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075FC" w14:textId="555D7F92" w:rsidR="00872F8E" w:rsidRPr="003A6DFC" w:rsidRDefault="00872F8E" w:rsidP="00872F8E">
      <w:pPr>
        <w:spacing w:after="0" w:line="240" w:lineRule="auto"/>
        <w:jc w:val="center"/>
        <w:rPr>
          <w:rFonts w:ascii="Century" w:hAnsi="Century" w:cs="Times New Roman"/>
          <w:b/>
          <w:sz w:val="40"/>
          <w:szCs w:val="40"/>
          <w:lang w:val="en-GB"/>
        </w:rPr>
      </w:pPr>
      <w:r w:rsidRPr="003A6DFC">
        <w:rPr>
          <w:rFonts w:ascii="Century" w:hAnsi="Century" w:cs="Times New Roman"/>
          <w:b/>
          <w:sz w:val="40"/>
          <w:szCs w:val="40"/>
          <w:lang w:val="en-GB"/>
        </w:rPr>
        <w:t>Is inconsistent reporting of self-assessed health persistent and systematic? Evidence from the UKHLS</w:t>
      </w:r>
      <w:r w:rsidRPr="003A6DFC">
        <w:rPr>
          <w:rFonts w:ascii="Century" w:hAnsi="Century" w:cs="Times New Roman"/>
          <w:b/>
          <w:sz w:val="40"/>
          <w:szCs w:val="40"/>
          <w:vertAlign w:val="superscript"/>
        </w:rPr>
        <w:t>*</w:t>
      </w:r>
    </w:p>
    <w:p w14:paraId="3D6B21D5" w14:textId="77777777" w:rsidR="00872F8E" w:rsidRPr="003A6DFC" w:rsidRDefault="00872F8E" w:rsidP="00872F8E">
      <w:pPr>
        <w:spacing w:after="0" w:line="240" w:lineRule="auto"/>
        <w:jc w:val="center"/>
        <w:rPr>
          <w:rFonts w:ascii="Century" w:hAnsi="Century" w:cs="Times New Roman"/>
          <w:sz w:val="18"/>
          <w:szCs w:val="18"/>
          <w:lang w:val="en-GB"/>
        </w:rPr>
      </w:pPr>
    </w:p>
    <w:p w14:paraId="51FDC7B0" w14:textId="77777777" w:rsidR="00872F8E" w:rsidRPr="003A6DFC" w:rsidRDefault="00872F8E" w:rsidP="00872F8E">
      <w:pPr>
        <w:spacing w:after="0" w:line="240" w:lineRule="auto"/>
        <w:jc w:val="center"/>
        <w:rPr>
          <w:rFonts w:ascii="Century" w:hAnsi="Century" w:cs="Times New Roman"/>
          <w:b/>
          <w:sz w:val="24"/>
          <w:szCs w:val="24"/>
          <w:lang w:val="en-GB"/>
        </w:rPr>
      </w:pPr>
      <w:r w:rsidRPr="003A6DFC">
        <w:rPr>
          <w:rFonts w:ascii="Century" w:hAnsi="Century" w:cs="Times New Roman"/>
          <w:lang w:val="en-GB"/>
        </w:rPr>
        <w:t xml:space="preserve">Apostolos </w:t>
      </w:r>
      <w:proofErr w:type="spellStart"/>
      <w:r w:rsidRPr="003A6DFC">
        <w:rPr>
          <w:rFonts w:ascii="Century" w:hAnsi="Century" w:cs="Times New Roman"/>
          <w:lang w:val="en-GB"/>
        </w:rPr>
        <w:t>Davillas</w:t>
      </w:r>
      <w:proofErr w:type="spellEnd"/>
    </w:p>
    <w:p w14:paraId="005194DD" w14:textId="1C5F2EE7" w:rsidR="00872F8E" w:rsidRPr="003A6DFC" w:rsidRDefault="005459EA" w:rsidP="005515CF">
      <w:pPr>
        <w:spacing w:after="0" w:line="240" w:lineRule="auto"/>
        <w:jc w:val="center"/>
        <w:rPr>
          <w:rFonts w:ascii="Century" w:hAnsi="Century" w:cs="Times New Roman"/>
          <w:sz w:val="18"/>
          <w:szCs w:val="18"/>
        </w:rPr>
      </w:pPr>
      <w:r w:rsidRPr="003A6DFC">
        <w:rPr>
          <w:rFonts w:ascii="Century" w:hAnsi="Century" w:cs="Times New Roman"/>
          <w:sz w:val="18"/>
          <w:szCs w:val="18"/>
        </w:rPr>
        <w:t>Department of Economics, University of Macedonia, Greece</w:t>
      </w:r>
    </w:p>
    <w:p w14:paraId="54C8A57F" w14:textId="77777777" w:rsidR="00872F8E" w:rsidRPr="003A6DFC" w:rsidRDefault="00872F8E" w:rsidP="00872F8E">
      <w:pPr>
        <w:spacing w:after="0" w:line="240" w:lineRule="auto"/>
        <w:jc w:val="center"/>
        <w:rPr>
          <w:rFonts w:ascii="Century" w:hAnsi="Century" w:cs="Times New Roman"/>
          <w:sz w:val="18"/>
          <w:szCs w:val="18"/>
          <w:lang w:val="en-GB"/>
        </w:rPr>
      </w:pPr>
    </w:p>
    <w:p w14:paraId="3081D05B" w14:textId="77777777" w:rsidR="00872F8E" w:rsidRPr="003A6DFC" w:rsidRDefault="00872F8E" w:rsidP="00872F8E">
      <w:pPr>
        <w:spacing w:after="0" w:line="240" w:lineRule="auto"/>
        <w:jc w:val="center"/>
        <w:rPr>
          <w:rFonts w:ascii="Century" w:hAnsi="Century" w:cs="Times New Roman"/>
          <w:bCs/>
        </w:rPr>
      </w:pPr>
      <w:r w:rsidRPr="003A6DFC">
        <w:rPr>
          <w:rFonts w:ascii="Century" w:hAnsi="Century" w:cs="Times New Roman"/>
          <w:bCs/>
        </w:rPr>
        <w:t>Victor Hugo de Oliveira</w:t>
      </w:r>
    </w:p>
    <w:p w14:paraId="7F230567" w14:textId="77777777" w:rsidR="00872F8E" w:rsidRPr="003A6DFC" w:rsidRDefault="00872F8E" w:rsidP="00872F8E">
      <w:pPr>
        <w:spacing w:after="0" w:line="240" w:lineRule="auto"/>
        <w:jc w:val="center"/>
        <w:rPr>
          <w:rFonts w:ascii="Century" w:hAnsi="Century" w:cs="Times New Roman"/>
          <w:bCs/>
          <w:sz w:val="18"/>
          <w:szCs w:val="18"/>
          <w:lang w:val="en-GB"/>
        </w:rPr>
      </w:pPr>
      <w:r w:rsidRPr="003A6DFC">
        <w:rPr>
          <w:rFonts w:ascii="Century" w:hAnsi="Century" w:cs="Times New Roman"/>
          <w:bCs/>
          <w:sz w:val="18"/>
          <w:szCs w:val="18"/>
          <w:lang w:val="en-GB"/>
        </w:rPr>
        <w:t>Health Economics Group, University of East Anglia</w:t>
      </w:r>
    </w:p>
    <w:p w14:paraId="12F81E8C" w14:textId="77777777" w:rsidR="00872F8E" w:rsidRPr="003A6DFC" w:rsidRDefault="00872F8E" w:rsidP="00872F8E">
      <w:pPr>
        <w:spacing w:after="0" w:line="240" w:lineRule="auto"/>
        <w:jc w:val="center"/>
        <w:rPr>
          <w:rFonts w:ascii="Century" w:hAnsi="Century" w:cs="Times New Roman"/>
          <w:sz w:val="18"/>
          <w:szCs w:val="18"/>
          <w:lang w:val="en-GB"/>
        </w:rPr>
      </w:pPr>
    </w:p>
    <w:p w14:paraId="53B897A2" w14:textId="77777777" w:rsidR="00872F8E" w:rsidRPr="003A6DFC" w:rsidRDefault="00872F8E" w:rsidP="00872F8E">
      <w:pPr>
        <w:spacing w:after="0" w:line="240" w:lineRule="auto"/>
        <w:jc w:val="center"/>
        <w:rPr>
          <w:rFonts w:ascii="Century" w:hAnsi="Century" w:cs="Times New Roman"/>
          <w:lang w:val="en-GB"/>
        </w:rPr>
      </w:pPr>
      <w:r w:rsidRPr="003A6DFC">
        <w:rPr>
          <w:rFonts w:ascii="Century" w:hAnsi="Century" w:cs="Times New Roman"/>
          <w:lang w:val="en-GB"/>
        </w:rPr>
        <w:t>Andrew M Jones</w:t>
      </w:r>
    </w:p>
    <w:p w14:paraId="6B9DF339" w14:textId="77777777" w:rsidR="00872F8E" w:rsidRPr="003A6DFC" w:rsidRDefault="00872F8E" w:rsidP="00872F8E">
      <w:pPr>
        <w:spacing w:after="0" w:line="240" w:lineRule="auto"/>
        <w:jc w:val="center"/>
        <w:rPr>
          <w:rFonts w:ascii="Century" w:hAnsi="Century" w:cs="Times New Roman"/>
          <w:sz w:val="18"/>
          <w:szCs w:val="18"/>
          <w:lang w:val="en-GB"/>
        </w:rPr>
      </w:pPr>
      <w:r w:rsidRPr="003A6DFC">
        <w:rPr>
          <w:rFonts w:ascii="Century" w:hAnsi="Century" w:cs="Times New Roman"/>
          <w:sz w:val="18"/>
          <w:szCs w:val="18"/>
          <w:lang w:val="en-GB"/>
        </w:rPr>
        <w:t>Department of Economics and Related Studies, University of York</w:t>
      </w:r>
    </w:p>
    <w:p w14:paraId="2588B597" w14:textId="77777777" w:rsidR="00872F8E" w:rsidRPr="003A6DFC" w:rsidRDefault="00872F8E" w:rsidP="00872F8E">
      <w:pPr>
        <w:spacing w:after="0" w:line="240" w:lineRule="auto"/>
        <w:jc w:val="center"/>
        <w:rPr>
          <w:rFonts w:ascii="Century" w:hAnsi="Century" w:cs="Times New Roman"/>
          <w:sz w:val="20"/>
          <w:szCs w:val="20"/>
          <w:lang w:val="en-GB"/>
        </w:rPr>
      </w:pPr>
    </w:p>
    <w:p w14:paraId="271BE704" w14:textId="77777777" w:rsidR="00872F8E" w:rsidRPr="003A6DFC" w:rsidRDefault="00872F8E" w:rsidP="00C604BB">
      <w:pPr>
        <w:spacing w:after="0" w:line="240" w:lineRule="auto"/>
        <w:jc w:val="center"/>
        <w:rPr>
          <w:rFonts w:ascii="Century" w:hAnsi="Century" w:cs="Times New Roman"/>
          <w:b/>
          <w:lang w:val="en-GB"/>
        </w:rPr>
      </w:pPr>
      <w:r w:rsidRPr="003A6DFC">
        <w:rPr>
          <w:rFonts w:ascii="Century" w:hAnsi="Century" w:cs="Times New Roman"/>
          <w:b/>
          <w:lang w:val="en-GB"/>
        </w:rPr>
        <w:t>Abstract</w:t>
      </w:r>
    </w:p>
    <w:p w14:paraId="747A5A65" w14:textId="042FF307" w:rsidR="00872F8E" w:rsidRPr="003A6DFC" w:rsidRDefault="00EB33B0" w:rsidP="00872F8E">
      <w:pPr>
        <w:spacing w:after="0" w:line="240" w:lineRule="auto"/>
        <w:jc w:val="both"/>
        <w:rPr>
          <w:rFonts w:ascii="Century" w:hAnsi="Century" w:cs="Times New Roman"/>
          <w:lang w:val="en-GB"/>
        </w:rPr>
      </w:pPr>
      <w:bookmarkStart w:id="0" w:name="_Hlk115128188"/>
      <w:r w:rsidRPr="003A6DFC">
        <w:rPr>
          <w:rFonts w:ascii="Century" w:hAnsi="Century"/>
          <w:lang w:val="en-GB"/>
        </w:rPr>
        <w:t xml:space="preserve">In this paper, we investigate whether individuals provide consistent responses to self-assessed health (SAH) questions in the UK Household Longitudinal Study (UKHLS), and the potential implications for empirical research in case of inconsistent reporting behaviour. We capitalise on an opportunity in the UKHLS, asking respondents the same SAH question twice: with a self-completion and an open interview mode, within the same household interview over four waves. We estimate multivariate models to explore which individual characteristics are systematically relevant for the likelihood and frequency of inconsistent reporting. About 11%-24% of those reported a particular SAH category in the self-completion reported inconsistently in the open interview. </w:t>
      </w:r>
      <w:r w:rsidRPr="003A6DFC">
        <w:rPr>
          <w:rFonts w:ascii="Century" w:hAnsi="Century" w:cs="Arial"/>
        </w:rPr>
        <w:t xml:space="preserve">The probability of inconsistency is systematically associated with individual’s demographics, education, income, employment status, cognitive and non-cognitive skills. </w:t>
      </w:r>
      <w:r w:rsidRPr="003A6DFC">
        <w:rPr>
          <w:rFonts w:ascii="Century" w:hAnsi="Century"/>
          <w:lang w:val="en-GB"/>
        </w:rPr>
        <w:t>The same characteristics also predict the frequency of inconsistent reporting across four UKHLS waves. Analysis of the implications of reporting inconsistencies shows no impact of SAH measurement on the association between income and health. A set of dimensions of people’s physiological and biological health, captured using biomarkers, is associated equally with both SAH measures, suggesting that the interview mode does not play a role in the relationship between SAH and more objective health measures.</w:t>
      </w:r>
      <w:bookmarkEnd w:id="0"/>
    </w:p>
    <w:p w14:paraId="605287FD" w14:textId="77777777" w:rsidR="003D0D7D" w:rsidRPr="003A6DFC" w:rsidRDefault="003D0D7D" w:rsidP="00872F8E">
      <w:pPr>
        <w:spacing w:after="0" w:line="240" w:lineRule="auto"/>
        <w:jc w:val="both"/>
        <w:rPr>
          <w:rFonts w:ascii="Century" w:hAnsi="Century" w:cs="Times New Roman"/>
        </w:rPr>
      </w:pPr>
    </w:p>
    <w:p w14:paraId="0C2D7299" w14:textId="696BA2EA" w:rsidR="00872F8E" w:rsidRPr="003A6DFC" w:rsidRDefault="00872F8E" w:rsidP="00872F8E">
      <w:pPr>
        <w:jc w:val="both"/>
        <w:rPr>
          <w:rFonts w:ascii="Century" w:hAnsi="Century" w:cs="Times New Roman"/>
          <w:lang w:val="en-GB"/>
        </w:rPr>
      </w:pPr>
      <w:r w:rsidRPr="003A6DFC">
        <w:rPr>
          <w:rFonts w:ascii="Century" w:hAnsi="Century" w:cs="Times New Roman"/>
          <w:b/>
          <w:lang w:val="en-GB"/>
        </w:rPr>
        <w:t>Keywords</w:t>
      </w:r>
      <w:r w:rsidRPr="003A6DFC">
        <w:rPr>
          <w:rFonts w:ascii="Century" w:hAnsi="Century" w:cs="Times New Roman"/>
          <w:lang w:val="en-GB"/>
        </w:rPr>
        <w:t xml:space="preserve">: </w:t>
      </w:r>
      <w:r w:rsidR="00321BEF" w:rsidRPr="003A6DFC">
        <w:rPr>
          <w:rFonts w:ascii="Century" w:hAnsi="Century" w:cs="Times New Roman"/>
          <w:bCs/>
          <w:lang w:val="en-GB"/>
        </w:rPr>
        <w:t>measurement error; reporting bias; self-assessed health; UKHLS</w:t>
      </w:r>
    </w:p>
    <w:p w14:paraId="73163DDB" w14:textId="31851A91" w:rsidR="00ED195F" w:rsidRPr="003A6DFC" w:rsidRDefault="00872F8E" w:rsidP="00872F8E">
      <w:pPr>
        <w:jc w:val="both"/>
        <w:rPr>
          <w:rFonts w:ascii="Century" w:hAnsi="Century" w:cs="Times New Roman"/>
          <w:b/>
          <w:lang w:val="fr-FR"/>
        </w:rPr>
      </w:pPr>
      <w:r w:rsidRPr="003A6DFC">
        <w:rPr>
          <w:rFonts w:ascii="Century" w:hAnsi="Century" w:cs="Times New Roman"/>
          <w:b/>
          <w:lang w:val="fr-FR"/>
        </w:rPr>
        <w:t xml:space="preserve">JEL </w:t>
      </w:r>
      <w:proofErr w:type="gramStart"/>
      <w:r w:rsidRPr="003A6DFC">
        <w:rPr>
          <w:rFonts w:ascii="Century" w:hAnsi="Century" w:cs="Times New Roman"/>
          <w:b/>
          <w:lang w:val="fr-FR"/>
        </w:rPr>
        <w:t>codes:</w:t>
      </w:r>
      <w:proofErr w:type="gramEnd"/>
      <w:r w:rsidR="00A754B4" w:rsidRPr="003A6DFC">
        <w:rPr>
          <w:rFonts w:ascii="Century" w:hAnsi="Century" w:cs="Times New Roman"/>
          <w:b/>
          <w:lang w:val="fr-FR"/>
        </w:rPr>
        <w:t xml:space="preserve"> </w:t>
      </w:r>
      <w:r w:rsidR="004C3E41" w:rsidRPr="003A6DFC">
        <w:rPr>
          <w:rFonts w:ascii="Century" w:hAnsi="Century" w:cs="Times New Roman"/>
          <w:b/>
          <w:lang w:val="fr-FR"/>
        </w:rPr>
        <w:t>C10, C33, C83, I10</w:t>
      </w:r>
    </w:p>
    <w:p w14:paraId="4F5D69D2" w14:textId="534E2B42" w:rsidR="00285995" w:rsidRPr="003A6DFC" w:rsidRDefault="00C405F8" w:rsidP="00285995">
      <w:pPr>
        <w:jc w:val="both"/>
        <w:rPr>
          <w:rFonts w:ascii="Century" w:hAnsi="Century" w:cs="Times New Roman"/>
          <w:bCs/>
          <w:lang w:val="en-GB"/>
        </w:rPr>
      </w:pPr>
      <w:r w:rsidRPr="003A6DFC">
        <w:rPr>
          <w:rFonts w:ascii="Century" w:hAnsi="Century" w:cs="Times New Roman"/>
          <w:b/>
          <w:lang w:val="en-GB"/>
        </w:rPr>
        <w:t xml:space="preserve">Corresponding author: </w:t>
      </w:r>
      <w:r w:rsidR="0017714A" w:rsidRPr="003A6DFC">
        <w:rPr>
          <w:rFonts w:ascii="Century" w:hAnsi="Century" w:cs="Times New Roman"/>
          <w:bCs/>
          <w:lang w:val="en-GB"/>
        </w:rPr>
        <w:t xml:space="preserve">Apostolos </w:t>
      </w:r>
      <w:proofErr w:type="spellStart"/>
      <w:r w:rsidR="0017714A" w:rsidRPr="003A6DFC">
        <w:rPr>
          <w:rFonts w:ascii="Century" w:hAnsi="Century" w:cs="Times New Roman"/>
          <w:bCs/>
          <w:lang w:val="en-GB"/>
        </w:rPr>
        <w:t>Davillas</w:t>
      </w:r>
      <w:proofErr w:type="spellEnd"/>
      <w:r w:rsidR="00E07E6A" w:rsidRPr="003A6DFC">
        <w:rPr>
          <w:rFonts w:ascii="Century" w:hAnsi="Century" w:cs="Times New Roman"/>
          <w:bCs/>
          <w:lang w:val="en-GB"/>
        </w:rPr>
        <w:t>,</w:t>
      </w:r>
      <w:r w:rsidR="00BD1128" w:rsidRPr="003A6DFC">
        <w:rPr>
          <w:rFonts w:ascii="Century" w:hAnsi="Century" w:cs="Times New Roman"/>
          <w:bCs/>
          <w:lang w:val="en-GB"/>
        </w:rPr>
        <w:t xml:space="preserve"> Department of Economics, University of Macedonia, 156 </w:t>
      </w:r>
      <w:proofErr w:type="spellStart"/>
      <w:r w:rsidR="00BD1128" w:rsidRPr="003A6DFC">
        <w:rPr>
          <w:rFonts w:ascii="Century" w:hAnsi="Century" w:cs="Times New Roman"/>
          <w:bCs/>
          <w:lang w:val="en-GB"/>
        </w:rPr>
        <w:t>Egnatia</w:t>
      </w:r>
      <w:proofErr w:type="spellEnd"/>
      <w:r w:rsidR="00BD1128" w:rsidRPr="003A6DFC">
        <w:rPr>
          <w:rFonts w:ascii="Century" w:hAnsi="Century" w:cs="Times New Roman"/>
          <w:bCs/>
          <w:lang w:val="en-GB"/>
        </w:rPr>
        <w:t xml:space="preserve"> Street, Thessaloniki, Greece</w:t>
      </w:r>
      <w:r w:rsidR="00E07E6A" w:rsidRPr="003A6DFC">
        <w:rPr>
          <w:rFonts w:ascii="Century" w:hAnsi="Century" w:cs="Times New Roman"/>
          <w:bCs/>
          <w:lang w:val="en-GB"/>
        </w:rPr>
        <w:t>;</w:t>
      </w:r>
      <w:r w:rsidR="00BD1128" w:rsidRPr="003A6DFC">
        <w:rPr>
          <w:rStyle w:val="Hyperlink"/>
          <w:rFonts w:ascii="Century" w:hAnsi="Century" w:cs="Times New Roman"/>
          <w:bCs/>
          <w:lang w:val="en-GB"/>
        </w:rPr>
        <w:t xml:space="preserve"> a.davillas@uom.edu.gr</w:t>
      </w:r>
      <w:r w:rsidR="000E3B81" w:rsidRPr="003A6DFC">
        <w:rPr>
          <w:rFonts w:ascii="Century" w:hAnsi="Century" w:cs="Times New Roman"/>
          <w:bCs/>
          <w:lang w:val="en-GB"/>
        </w:rPr>
        <w:t>.</w:t>
      </w:r>
    </w:p>
    <w:p w14:paraId="7EA9B388" w14:textId="0F551D9B" w:rsidR="00872F8E" w:rsidRPr="003A6DFC" w:rsidRDefault="00872F8E" w:rsidP="00285995">
      <w:pPr>
        <w:jc w:val="both"/>
        <w:rPr>
          <w:rFonts w:ascii="Century" w:hAnsi="Century" w:cs="Times New Roman"/>
          <w:b/>
          <w:lang w:val="en-GB"/>
        </w:rPr>
      </w:pPr>
      <w:r w:rsidRPr="003A6DFC">
        <w:rPr>
          <w:rFonts w:ascii="Times New Roman" w:hAnsi="Times New Roman" w:cs="Times New Roman"/>
          <w:sz w:val="24"/>
          <w:szCs w:val="24"/>
        </w:rPr>
        <w:t>_______</w:t>
      </w:r>
    </w:p>
    <w:p w14:paraId="5FDBB641" w14:textId="224C7665" w:rsidR="001B0139" w:rsidRPr="003A6DFC" w:rsidRDefault="00872F8E" w:rsidP="00872F8E">
      <w:pPr>
        <w:spacing w:before="120" w:after="0" w:line="240" w:lineRule="auto"/>
        <w:jc w:val="both"/>
        <w:rPr>
          <w:rFonts w:ascii="Century" w:hAnsi="Century" w:cs="Times New Roman"/>
          <w:sz w:val="18"/>
          <w:szCs w:val="18"/>
        </w:rPr>
        <w:sectPr w:rsidR="001B0139" w:rsidRPr="003A6DFC" w:rsidSect="00F93CFD">
          <w:headerReference w:type="default" r:id="rId8"/>
          <w:footerReference w:type="even" r:id="rId9"/>
          <w:footerReference w:type="default" r:id="rId10"/>
          <w:headerReference w:type="first" r:id="rId11"/>
          <w:footerReference w:type="first" r:id="rId12"/>
          <w:pgSz w:w="11906" w:h="16838"/>
          <w:pgMar w:top="1701" w:right="1701" w:bottom="1701" w:left="1701" w:header="709" w:footer="709" w:gutter="0"/>
          <w:pgNumType w:start="0"/>
          <w:cols w:space="708"/>
          <w:titlePg/>
          <w:docGrid w:linePitch="360"/>
        </w:sectPr>
      </w:pPr>
      <w:r w:rsidRPr="003A6DFC">
        <w:rPr>
          <w:rFonts w:ascii="Century" w:hAnsi="Century" w:cs="Times New Roman"/>
          <w:b/>
          <w:sz w:val="18"/>
          <w:szCs w:val="18"/>
          <w:vertAlign w:val="superscript"/>
        </w:rPr>
        <w:t>*</w:t>
      </w:r>
      <w:r w:rsidRPr="003A6DFC">
        <w:rPr>
          <w:rFonts w:ascii="Century" w:hAnsi="Century" w:cs="Times New Roman"/>
          <w:sz w:val="18"/>
          <w:szCs w:val="18"/>
        </w:rPr>
        <w:t xml:space="preserve">Understanding Society is an initiative funded by the Economic and Social Research Council (ESRC) and various Government Departments, with scientific leadership by the Institute for Social and Economic Research, University of Essex, and survey delivery by </w:t>
      </w:r>
      <w:proofErr w:type="spellStart"/>
      <w:r w:rsidRPr="003A6DFC">
        <w:rPr>
          <w:rFonts w:ascii="Century" w:hAnsi="Century" w:cs="Times New Roman"/>
          <w:sz w:val="18"/>
          <w:szCs w:val="18"/>
        </w:rPr>
        <w:t>NatCen</w:t>
      </w:r>
      <w:proofErr w:type="spellEnd"/>
      <w:r w:rsidRPr="003A6DFC">
        <w:rPr>
          <w:rFonts w:ascii="Century" w:hAnsi="Century" w:cs="Times New Roman"/>
          <w:sz w:val="18"/>
          <w:szCs w:val="18"/>
        </w:rPr>
        <w:t xml:space="preserve"> Social Research and Kantar Public. The research data are distributed by the UK Data Service. We acknowledge financial support from the ESRC (ES/V003356/1). The funders, data creators and UK Data Service have no responsibility for the contents of this paper.</w:t>
      </w:r>
      <w:r w:rsidR="00A33DD0" w:rsidRPr="003A6DFC">
        <w:t xml:space="preserve"> </w:t>
      </w:r>
      <w:r w:rsidR="00A33DD0" w:rsidRPr="003A6DFC">
        <w:rPr>
          <w:rFonts w:ascii="Century" w:hAnsi="Century" w:cs="Times New Roman"/>
          <w:sz w:val="18"/>
          <w:szCs w:val="18"/>
        </w:rPr>
        <w:t>We thank Paul Clarke and Philip Clarke for their useful comments on an earlier version of our study.</w:t>
      </w:r>
    </w:p>
    <w:p w14:paraId="4F567DCC" w14:textId="77777777" w:rsidR="000463C0" w:rsidRPr="003A6DFC" w:rsidRDefault="000463C0" w:rsidP="00017049">
      <w:pPr>
        <w:pStyle w:val="PargrafodaLista"/>
        <w:numPr>
          <w:ilvl w:val="0"/>
          <w:numId w:val="3"/>
        </w:numPr>
        <w:spacing w:after="0" w:line="360" w:lineRule="auto"/>
        <w:ind w:left="357" w:hanging="357"/>
        <w:jc w:val="both"/>
        <w:rPr>
          <w:rFonts w:ascii="Century" w:hAnsi="Century" w:cs="Times New Roman"/>
          <w:b/>
          <w:sz w:val="28"/>
          <w:szCs w:val="28"/>
          <w:lang w:val="en-GB"/>
        </w:rPr>
      </w:pPr>
      <w:r w:rsidRPr="003A6DFC">
        <w:rPr>
          <w:rFonts w:ascii="Century" w:hAnsi="Century" w:cs="Times New Roman"/>
          <w:b/>
          <w:sz w:val="28"/>
          <w:szCs w:val="28"/>
          <w:lang w:val="en-GB"/>
        </w:rPr>
        <w:lastRenderedPageBreak/>
        <w:t>Introduction</w:t>
      </w:r>
    </w:p>
    <w:p w14:paraId="1E589283" w14:textId="092E04CA" w:rsidR="00A96207" w:rsidRPr="003A6DFC" w:rsidRDefault="00A96207" w:rsidP="00017049">
      <w:pPr>
        <w:spacing w:after="0" w:line="360" w:lineRule="auto"/>
        <w:jc w:val="both"/>
        <w:rPr>
          <w:rFonts w:ascii="Century" w:hAnsi="Century" w:cs="Times New Roman"/>
          <w:lang w:val="en-GB"/>
        </w:rPr>
      </w:pPr>
    </w:p>
    <w:p w14:paraId="0140B52A" w14:textId="5EC0F690" w:rsidR="004142C9" w:rsidRPr="003A6DFC" w:rsidRDefault="00E15200" w:rsidP="005438BE">
      <w:pPr>
        <w:spacing w:after="0" w:line="360" w:lineRule="auto"/>
        <w:jc w:val="both"/>
        <w:rPr>
          <w:rFonts w:ascii="Century" w:hAnsi="Century" w:cs="Times New Roman"/>
          <w:lang w:val="en-GB"/>
        </w:rPr>
      </w:pPr>
      <w:r w:rsidRPr="003A6DFC">
        <w:rPr>
          <w:rFonts w:ascii="Century" w:hAnsi="Century" w:cs="Times New Roman"/>
          <w:lang w:val="en-GB"/>
        </w:rPr>
        <w:t xml:space="preserve">The interplay between socioeconomic circumstances and health is of major importance for well-being and for human capital investment. To investigate these complex links, studies have </w:t>
      </w:r>
      <w:r w:rsidR="00A31479" w:rsidRPr="003A6DFC">
        <w:rPr>
          <w:rFonts w:ascii="Century" w:hAnsi="Century" w:cs="Times New Roman"/>
          <w:lang w:val="en-GB"/>
        </w:rPr>
        <w:t xml:space="preserve">often </w:t>
      </w:r>
      <w:r w:rsidRPr="003A6DFC">
        <w:rPr>
          <w:rFonts w:ascii="Century" w:hAnsi="Century" w:cs="Times New Roman"/>
          <w:lang w:val="en-GB"/>
        </w:rPr>
        <w:t xml:space="preserve">used survey data that combine information on social and economic circumstances with self-reported health measures. This is mostly </w:t>
      </w:r>
      <w:r w:rsidR="00A31479" w:rsidRPr="003A6DFC">
        <w:rPr>
          <w:rFonts w:ascii="Century" w:hAnsi="Century" w:cs="Times New Roman"/>
          <w:lang w:val="en-GB"/>
        </w:rPr>
        <w:t>due to</w:t>
      </w:r>
      <w:r w:rsidRPr="003A6DFC">
        <w:rPr>
          <w:rFonts w:ascii="Century" w:hAnsi="Century" w:cs="Times New Roman"/>
          <w:lang w:val="en-GB"/>
        </w:rPr>
        <w:t xml:space="preserve"> the limited availability of datasets that combine more objective health measures with a wide range of socioeconomic data, along with the simplicity that self-reported health measures </w:t>
      </w:r>
      <w:r w:rsidR="009C0DB5" w:rsidRPr="003A6DFC">
        <w:rPr>
          <w:rFonts w:ascii="Century" w:hAnsi="Century" w:cs="Times New Roman"/>
          <w:lang w:val="en-GB"/>
        </w:rPr>
        <w:t xml:space="preserve">may </w:t>
      </w:r>
      <w:r w:rsidRPr="003A6DFC">
        <w:rPr>
          <w:rFonts w:ascii="Century" w:hAnsi="Century" w:cs="Times New Roman"/>
          <w:lang w:val="en-GB"/>
        </w:rPr>
        <w:t>offer.</w:t>
      </w:r>
      <w:r w:rsidR="00D870CE" w:rsidRPr="003A6DFC">
        <w:rPr>
          <w:rFonts w:ascii="Century" w:hAnsi="Century" w:cs="Times New Roman"/>
          <w:lang w:val="en-GB"/>
        </w:rPr>
        <w:t xml:space="preserve"> Among self-reported health measure</w:t>
      </w:r>
      <w:r w:rsidR="008B4F5D" w:rsidRPr="003A6DFC">
        <w:rPr>
          <w:rFonts w:ascii="Century" w:hAnsi="Century" w:cs="Times New Roman"/>
          <w:lang w:val="en-GB"/>
        </w:rPr>
        <w:t>s</w:t>
      </w:r>
      <w:r w:rsidR="00D870CE" w:rsidRPr="003A6DFC">
        <w:rPr>
          <w:rFonts w:ascii="Century" w:hAnsi="Century" w:cs="Times New Roman"/>
          <w:lang w:val="en-GB"/>
        </w:rPr>
        <w:t xml:space="preserve">, </w:t>
      </w:r>
      <w:r w:rsidR="007612A9" w:rsidRPr="003A6DFC">
        <w:rPr>
          <w:rFonts w:ascii="Century" w:hAnsi="Century" w:cs="Times New Roman"/>
          <w:lang w:val="en-GB"/>
        </w:rPr>
        <w:t>s</w:t>
      </w:r>
      <w:r w:rsidR="00476BD8" w:rsidRPr="003A6DFC">
        <w:rPr>
          <w:rFonts w:ascii="Century" w:hAnsi="Century" w:cs="Times New Roman"/>
          <w:lang w:val="en-GB"/>
        </w:rPr>
        <w:t xml:space="preserve">elf-assessed </w:t>
      </w:r>
      <w:r w:rsidR="007612A9" w:rsidRPr="003A6DFC">
        <w:rPr>
          <w:rFonts w:ascii="Century" w:hAnsi="Century" w:cs="Times New Roman"/>
          <w:lang w:val="en-GB"/>
        </w:rPr>
        <w:t>h</w:t>
      </w:r>
      <w:r w:rsidR="00476BD8" w:rsidRPr="003A6DFC">
        <w:rPr>
          <w:rFonts w:ascii="Century" w:hAnsi="Century" w:cs="Times New Roman"/>
          <w:lang w:val="en-GB"/>
        </w:rPr>
        <w:t>ealth (</w:t>
      </w:r>
      <w:r w:rsidR="002C5762" w:rsidRPr="003A6DFC">
        <w:rPr>
          <w:rFonts w:ascii="Century" w:hAnsi="Century" w:cs="Times New Roman"/>
          <w:lang w:val="en-GB"/>
        </w:rPr>
        <w:t>SAH</w:t>
      </w:r>
      <w:r w:rsidR="00476BD8" w:rsidRPr="003A6DFC">
        <w:rPr>
          <w:rFonts w:ascii="Century" w:hAnsi="Century" w:cs="Times New Roman"/>
          <w:lang w:val="en-GB"/>
        </w:rPr>
        <w:t>)</w:t>
      </w:r>
      <w:r w:rsidR="002C5762" w:rsidRPr="003A6DFC">
        <w:rPr>
          <w:rFonts w:ascii="Century" w:hAnsi="Century" w:cs="Times New Roman"/>
          <w:lang w:val="en-GB"/>
        </w:rPr>
        <w:t xml:space="preserve"> </w:t>
      </w:r>
      <w:r w:rsidR="007612A9" w:rsidRPr="003A6DFC">
        <w:rPr>
          <w:rFonts w:ascii="Century" w:hAnsi="Century" w:cs="Times New Roman"/>
          <w:lang w:val="en-GB"/>
        </w:rPr>
        <w:t xml:space="preserve">is </w:t>
      </w:r>
      <w:r w:rsidR="004142C9" w:rsidRPr="003A6DFC">
        <w:rPr>
          <w:rFonts w:ascii="Century" w:hAnsi="Century" w:cs="Times New Roman"/>
          <w:lang w:val="en-GB"/>
        </w:rPr>
        <w:t>widely</w:t>
      </w:r>
      <w:r w:rsidR="002C5762" w:rsidRPr="003A6DFC">
        <w:rPr>
          <w:rFonts w:ascii="Century" w:hAnsi="Century" w:cs="Times New Roman"/>
          <w:lang w:val="en-GB"/>
        </w:rPr>
        <w:t xml:space="preserve"> used</w:t>
      </w:r>
      <w:r w:rsidR="00A31479" w:rsidRPr="003A6DFC">
        <w:rPr>
          <w:rFonts w:ascii="Century" w:hAnsi="Century" w:cs="Times New Roman"/>
          <w:lang w:val="en-GB"/>
        </w:rPr>
        <w:t xml:space="preserve"> </w:t>
      </w:r>
      <w:r w:rsidR="002C5762" w:rsidRPr="003A6DFC">
        <w:rPr>
          <w:rFonts w:ascii="Century" w:hAnsi="Century" w:cs="Times New Roman"/>
          <w:lang w:val="en-GB"/>
        </w:rPr>
        <w:t>in economics</w:t>
      </w:r>
      <w:r w:rsidR="00B05CD8" w:rsidRPr="003A6DFC">
        <w:rPr>
          <w:rFonts w:ascii="Century" w:hAnsi="Century" w:cs="Times New Roman"/>
          <w:lang w:val="en-GB"/>
        </w:rPr>
        <w:t xml:space="preserve"> </w:t>
      </w:r>
      <w:r w:rsidR="007B7E01" w:rsidRPr="003A6DFC">
        <w:rPr>
          <w:rFonts w:ascii="Century" w:hAnsi="Century" w:cs="Times New Roman"/>
          <w:lang w:val="en-GB"/>
        </w:rPr>
        <w:t>(</w:t>
      </w:r>
      <w:r w:rsidR="008B4F5D" w:rsidRPr="003A6DFC">
        <w:rPr>
          <w:rFonts w:ascii="Century" w:hAnsi="Century" w:cs="Times New Roman"/>
          <w:lang w:val="en-GB"/>
        </w:rPr>
        <w:t xml:space="preserve">e.g., </w:t>
      </w:r>
      <w:r w:rsidR="007B7E01" w:rsidRPr="003A6DFC">
        <w:rPr>
          <w:rFonts w:ascii="Century" w:hAnsi="Century" w:cs="Times New Roman"/>
          <w:lang w:val="en-GB"/>
        </w:rPr>
        <w:t xml:space="preserve">Aoki and Santiago, 2018; </w:t>
      </w:r>
      <w:proofErr w:type="spellStart"/>
      <w:r w:rsidR="007B7E01" w:rsidRPr="003A6DFC">
        <w:rPr>
          <w:rFonts w:ascii="Century" w:hAnsi="Century" w:cs="Times New Roman"/>
          <w:lang w:val="en-GB"/>
        </w:rPr>
        <w:t>Contoyannis</w:t>
      </w:r>
      <w:proofErr w:type="spellEnd"/>
      <w:r w:rsidR="007B7E01" w:rsidRPr="003A6DFC">
        <w:rPr>
          <w:rFonts w:ascii="Century" w:hAnsi="Century" w:cs="Times New Roman"/>
          <w:lang w:val="en-GB"/>
        </w:rPr>
        <w:t xml:space="preserve"> and Jones, 2004; </w:t>
      </w:r>
      <w:proofErr w:type="spellStart"/>
      <w:r w:rsidR="007B7E01" w:rsidRPr="003A6DFC">
        <w:rPr>
          <w:rFonts w:ascii="Century" w:hAnsi="Century" w:cs="Times New Roman"/>
          <w:lang w:val="en-GB"/>
        </w:rPr>
        <w:t>Contoyannis</w:t>
      </w:r>
      <w:proofErr w:type="spellEnd"/>
      <w:r w:rsidR="00F447A2" w:rsidRPr="003A6DFC">
        <w:rPr>
          <w:rFonts w:ascii="Century" w:hAnsi="Century" w:cs="Times New Roman"/>
          <w:lang w:val="en-GB"/>
        </w:rPr>
        <w:t xml:space="preserve">, Jones and Rice, </w:t>
      </w:r>
      <w:r w:rsidR="007B7E01" w:rsidRPr="003A6DFC">
        <w:rPr>
          <w:rFonts w:ascii="Century" w:hAnsi="Century" w:cs="Times New Roman"/>
          <w:lang w:val="en-GB"/>
        </w:rPr>
        <w:t xml:space="preserve">2004; Currie, Duque and Garfinkel, 2015; García-Gómez, </w:t>
      </w:r>
      <w:proofErr w:type="gramStart"/>
      <w:r w:rsidR="007B7E01" w:rsidRPr="003A6DFC">
        <w:rPr>
          <w:rFonts w:ascii="Century" w:hAnsi="Century" w:cs="Times New Roman"/>
          <w:lang w:val="en-GB"/>
        </w:rPr>
        <w:t>Jones</w:t>
      </w:r>
      <w:proofErr w:type="gramEnd"/>
      <w:r w:rsidR="007B7E01" w:rsidRPr="003A6DFC">
        <w:rPr>
          <w:rFonts w:ascii="Century" w:hAnsi="Century" w:cs="Times New Roman"/>
          <w:lang w:val="en-GB"/>
        </w:rPr>
        <w:t xml:space="preserve"> and Rice, 2010; Johnson, 2010; </w:t>
      </w:r>
      <w:r w:rsidR="004A61D0" w:rsidRPr="003A6DFC">
        <w:rPr>
          <w:rFonts w:ascii="Century" w:hAnsi="Century" w:cs="Times New Roman"/>
          <w:lang w:val="en-GB"/>
        </w:rPr>
        <w:t>v</w:t>
      </w:r>
      <w:r w:rsidR="007B7E01" w:rsidRPr="003A6DFC">
        <w:rPr>
          <w:rFonts w:ascii="Century" w:hAnsi="Century" w:cs="Times New Roman"/>
          <w:lang w:val="en-GB"/>
        </w:rPr>
        <w:t xml:space="preserve">an </w:t>
      </w:r>
      <w:proofErr w:type="spellStart"/>
      <w:r w:rsidR="007B7E01" w:rsidRPr="003A6DFC">
        <w:rPr>
          <w:rFonts w:ascii="Century" w:hAnsi="Century" w:cs="Times New Roman"/>
          <w:lang w:val="en-GB"/>
        </w:rPr>
        <w:t>Doorslaer</w:t>
      </w:r>
      <w:proofErr w:type="spellEnd"/>
      <w:r w:rsidR="007B7E01" w:rsidRPr="003A6DFC">
        <w:rPr>
          <w:rFonts w:ascii="Century" w:hAnsi="Century" w:cs="Times New Roman"/>
          <w:lang w:val="en-GB"/>
        </w:rPr>
        <w:t xml:space="preserve"> et al., 2000)</w:t>
      </w:r>
      <w:r w:rsidR="00B05CD8" w:rsidRPr="003A6DFC">
        <w:rPr>
          <w:rFonts w:ascii="Century" w:hAnsi="Century" w:cs="Times New Roman"/>
          <w:lang w:val="en-GB"/>
        </w:rPr>
        <w:t>,</w:t>
      </w:r>
      <w:r w:rsidR="007B7E01" w:rsidRPr="003A6DFC">
        <w:rPr>
          <w:rFonts w:ascii="Century" w:hAnsi="Century" w:cs="Times New Roman"/>
          <w:lang w:val="en-GB"/>
        </w:rPr>
        <w:t xml:space="preserve"> </w:t>
      </w:r>
      <w:r w:rsidR="002C5762" w:rsidRPr="003A6DFC">
        <w:rPr>
          <w:rFonts w:ascii="Century" w:hAnsi="Century" w:cs="Times New Roman"/>
          <w:lang w:val="en-GB"/>
        </w:rPr>
        <w:t xml:space="preserve">and </w:t>
      </w:r>
      <w:r w:rsidR="00A31479" w:rsidRPr="003A6DFC">
        <w:rPr>
          <w:rFonts w:ascii="Century" w:hAnsi="Century" w:cs="Times New Roman"/>
          <w:lang w:val="en-GB"/>
        </w:rPr>
        <w:t xml:space="preserve">in </w:t>
      </w:r>
      <w:r w:rsidR="002C5762" w:rsidRPr="003A6DFC">
        <w:rPr>
          <w:rFonts w:ascii="Century" w:hAnsi="Century" w:cs="Times New Roman"/>
          <w:lang w:val="en-GB"/>
        </w:rPr>
        <w:t>social research</w:t>
      </w:r>
      <w:r w:rsidR="00B05CD8" w:rsidRPr="003A6DFC">
        <w:rPr>
          <w:rFonts w:ascii="Century" w:hAnsi="Century" w:cs="Times New Roman"/>
          <w:lang w:val="en-GB"/>
        </w:rPr>
        <w:t xml:space="preserve"> (</w:t>
      </w:r>
      <w:r w:rsidR="008B4F5D" w:rsidRPr="003A6DFC">
        <w:rPr>
          <w:rFonts w:ascii="Century" w:hAnsi="Century" w:cs="Times New Roman"/>
          <w:lang w:val="en-GB"/>
        </w:rPr>
        <w:t xml:space="preserve">e.g., </w:t>
      </w:r>
      <w:proofErr w:type="spellStart"/>
      <w:r w:rsidR="00B05CD8" w:rsidRPr="003A6DFC">
        <w:rPr>
          <w:rFonts w:ascii="Century" w:hAnsi="Century" w:cs="Times New Roman"/>
          <w:lang w:val="en-GB"/>
        </w:rPr>
        <w:t>Monden</w:t>
      </w:r>
      <w:proofErr w:type="spellEnd"/>
      <w:r w:rsidR="00B05CD8" w:rsidRPr="003A6DFC">
        <w:rPr>
          <w:rFonts w:ascii="Century" w:hAnsi="Century" w:cs="Times New Roman"/>
          <w:lang w:val="en-GB"/>
        </w:rPr>
        <w:t>, 2010; Monk, 2015)</w:t>
      </w:r>
      <w:r w:rsidR="008B4F5D" w:rsidRPr="003A6DFC">
        <w:rPr>
          <w:rFonts w:ascii="Century" w:hAnsi="Century" w:cs="Times New Roman"/>
          <w:lang w:val="en-GB"/>
        </w:rPr>
        <w:t>.</w:t>
      </w:r>
      <w:r w:rsidR="00A556A0" w:rsidRPr="003A6DFC">
        <w:rPr>
          <w:rFonts w:ascii="Century" w:hAnsi="Century" w:cs="Times New Roman"/>
          <w:lang w:val="en-GB"/>
        </w:rPr>
        <w:t xml:space="preserve"> </w:t>
      </w:r>
      <w:r w:rsidR="008B4F5D" w:rsidRPr="003A6DFC">
        <w:rPr>
          <w:rFonts w:ascii="Century" w:hAnsi="Century" w:cs="Times New Roman"/>
          <w:lang w:val="en-GB"/>
        </w:rPr>
        <w:t>M</w:t>
      </w:r>
      <w:r w:rsidR="00A556A0" w:rsidRPr="003A6DFC">
        <w:rPr>
          <w:rFonts w:ascii="Century" w:hAnsi="Century" w:cs="Times New Roman"/>
          <w:lang w:val="en-GB"/>
        </w:rPr>
        <w:t>oreover</w:t>
      </w:r>
      <w:r w:rsidR="009D201A" w:rsidRPr="003A6DFC">
        <w:rPr>
          <w:rFonts w:ascii="Century" w:hAnsi="Century" w:cs="Times New Roman"/>
          <w:lang w:val="en-GB"/>
        </w:rPr>
        <w:t>,</w:t>
      </w:r>
      <w:r w:rsidR="00A556A0" w:rsidRPr="003A6DFC">
        <w:rPr>
          <w:rFonts w:ascii="Century" w:hAnsi="Century" w:cs="Times New Roman"/>
          <w:lang w:val="en-GB"/>
        </w:rPr>
        <w:t xml:space="preserve"> SAH measures are </w:t>
      </w:r>
      <w:r w:rsidR="00B25453" w:rsidRPr="003A6DFC">
        <w:rPr>
          <w:rFonts w:ascii="Century" w:hAnsi="Century" w:cs="Times New Roman"/>
          <w:lang w:val="en-GB"/>
        </w:rPr>
        <w:t xml:space="preserve">commonly </w:t>
      </w:r>
      <w:r w:rsidR="00A556A0" w:rsidRPr="003A6DFC">
        <w:rPr>
          <w:rFonts w:ascii="Century" w:hAnsi="Century" w:cs="Times New Roman"/>
          <w:lang w:val="en-GB"/>
        </w:rPr>
        <w:t xml:space="preserve">used </w:t>
      </w:r>
      <w:r w:rsidR="002C5762" w:rsidRPr="003A6DFC">
        <w:rPr>
          <w:rFonts w:ascii="Century" w:hAnsi="Century" w:cs="Times New Roman"/>
          <w:lang w:val="en-GB"/>
        </w:rPr>
        <w:t xml:space="preserve">in epidemiological and medical research where </w:t>
      </w:r>
      <w:r w:rsidR="00A31479" w:rsidRPr="003A6DFC">
        <w:rPr>
          <w:rFonts w:ascii="Century" w:hAnsi="Century" w:cs="Times New Roman"/>
          <w:lang w:val="en-GB"/>
        </w:rPr>
        <w:t>an</w:t>
      </w:r>
      <w:r w:rsidR="002C5762" w:rsidRPr="003A6DFC">
        <w:rPr>
          <w:rFonts w:ascii="Century" w:hAnsi="Century" w:cs="Times New Roman"/>
          <w:lang w:val="en-GB"/>
        </w:rPr>
        <w:t xml:space="preserve"> association with mortality has been demonstrated</w:t>
      </w:r>
      <w:r w:rsidR="00B025B4" w:rsidRPr="003A6DFC">
        <w:rPr>
          <w:rFonts w:ascii="Century" w:hAnsi="Century" w:cs="Times New Roman"/>
          <w:lang w:val="en-GB"/>
        </w:rPr>
        <w:t xml:space="preserve"> (</w:t>
      </w:r>
      <w:r w:rsidR="008B4F5D" w:rsidRPr="003A6DFC">
        <w:rPr>
          <w:rFonts w:ascii="Century" w:hAnsi="Century" w:cs="Times New Roman"/>
          <w:lang w:val="en-GB"/>
        </w:rPr>
        <w:t xml:space="preserve">e.g., </w:t>
      </w:r>
      <w:proofErr w:type="spellStart"/>
      <w:r w:rsidR="008B4F5D" w:rsidRPr="003A6DFC">
        <w:rPr>
          <w:rFonts w:ascii="Century" w:hAnsi="Century" w:cs="Times New Roman"/>
          <w:lang w:val="en-GB"/>
        </w:rPr>
        <w:t>Jylhä</w:t>
      </w:r>
      <w:proofErr w:type="spellEnd"/>
      <w:r w:rsidR="008B4F5D" w:rsidRPr="003A6DFC">
        <w:rPr>
          <w:rFonts w:ascii="Century" w:hAnsi="Century" w:cs="Times New Roman"/>
          <w:lang w:val="en-GB"/>
        </w:rPr>
        <w:t xml:space="preserve">, 2009; </w:t>
      </w:r>
      <w:r w:rsidR="00B025B4" w:rsidRPr="003A6DFC">
        <w:rPr>
          <w:rFonts w:ascii="Century" w:hAnsi="Century" w:cs="Times New Roman"/>
          <w:lang w:val="en-GB"/>
        </w:rPr>
        <w:t>Kaplan and Camacho, 198</w:t>
      </w:r>
      <w:r w:rsidR="00972EC4" w:rsidRPr="003A6DFC">
        <w:rPr>
          <w:rFonts w:ascii="Century" w:hAnsi="Century" w:cs="Times New Roman"/>
          <w:lang w:val="en-GB"/>
        </w:rPr>
        <w:t>3</w:t>
      </w:r>
      <w:r w:rsidR="00B025B4" w:rsidRPr="003A6DFC">
        <w:rPr>
          <w:rFonts w:ascii="Century" w:hAnsi="Century" w:cs="Times New Roman"/>
          <w:lang w:val="en-GB"/>
        </w:rPr>
        <w:t>; Kun</w:t>
      </w:r>
      <w:r w:rsidR="009120F3" w:rsidRPr="003A6DFC">
        <w:rPr>
          <w:rFonts w:ascii="Century" w:hAnsi="Century" w:cs="Times New Roman"/>
          <w:lang w:val="en-GB"/>
        </w:rPr>
        <w:t>s</w:t>
      </w:r>
      <w:r w:rsidR="00B025B4" w:rsidRPr="003A6DFC">
        <w:rPr>
          <w:rFonts w:ascii="Century" w:hAnsi="Century" w:cs="Times New Roman"/>
          <w:lang w:val="en-GB"/>
        </w:rPr>
        <w:t xml:space="preserve">t et al., 2004; </w:t>
      </w:r>
      <w:proofErr w:type="spellStart"/>
      <w:r w:rsidR="00B025B4" w:rsidRPr="003A6DFC">
        <w:rPr>
          <w:rFonts w:ascii="Century" w:hAnsi="Century" w:cs="Times New Roman"/>
          <w:lang w:val="en-GB"/>
        </w:rPr>
        <w:t>Mossey</w:t>
      </w:r>
      <w:proofErr w:type="spellEnd"/>
      <w:r w:rsidR="00B025B4" w:rsidRPr="003A6DFC">
        <w:rPr>
          <w:rFonts w:ascii="Century" w:hAnsi="Century" w:cs="Times New Roman"/>
          <w:lang w:val="en-GB"/>
        </w:rPr>
        <w:t xml:space="preserve"> and Shapiro, 1982; Hu et al., 2016)</w:t>
      </w:r>
      <w:r w:rsidR="002C5762" w:rsidRPr="003A6DFC">
        <w:rPr>
          <w:rFonts w:ascii="Century" w:hAnsi="Century" w:cs="Times New Roman"/>
          <w:lang w:val="en-GB"/>
        </w:rPr>
        <w:t>.</w:t>
      </w:r>
      <w:r w:rsidR="00622581" w:rsidRPr="003A6DFC">
        <w:rPr>
          <w:rStyle w:val="Refdenotaderodap"/>
          <w:rFonts w:ascii="Century" w:hAnsi="Century" w:cs="Times New Roman"/>
          <w:lang w:val="en-GB"/>
        </w:rPr>
        <w:footnoteReference w:id="1"/>
      </w:r>
      <w:r w:rsidR="00B86DC4" w:rsidRPr="003A6DFC">
        <w:rPr>
          <w:rFonts w:ascii="Century" w:hAnsi="Century" w:cs="Times New Roman"/>
          <w:lang w:val="en-GB"/>
        </w:rPr>
        <w:t xml:space="preserve"> </w:t>
      </w:r>
    </w:p>
    <w:p w14:paraId="524EC283" w14:textId="77777777" w:rsidR="00544125" w:rsidRPr="003A6DFC" w:rsidRDefault="008B4F5D" w:rsidP="001D1FB1">
      <w:pPr>
        <w:spacing w:after="0" w:line="360" w:lineRule="auto"/>
        <w:ind w:firstLine="708"/>
        <w:jc w:val="both"/>
        <w:rPr>
          <w:rFonts w:ascii="Century" w:hAnsi="Century"/>
          <w:lang w:val="en-GB"/>
        </w:rPr>
      </w:pPr>
      <w:r w:rsidRPr="003A6DFC">
        <w:rPr>
          <w:rFonts w:ascii="Century" w:hAnsi="Century" w:cs="Times New Roman"/>
          <w:lang w:val="en-GB"/>
        </w:rPr>
        <w:t>Studies have sought a</w:t>
      </w:r>
      <w:r w:rsidR="009328F7" w:rsidRPr="003A6DFC">
        <w:rPr>
          <w:rFonts w:ascii="Century" w:hAnsi="Century" w:cs="Times New Roman"/>
          <w:lang w:val="en-GB"/>
        </w:rPr>
        <w:t xml:space="preserve"> better understanding </w:t>
      </w:r>
      <w:r w:rsidR="002839F8" w:rsidRPr="003A6DFC">
        <w:rPr>
          <w:rFonts w:ascii="Century" w:hAnsi="Century" w:cs="Times New Roman"/>
          <w:lang w:val="en-GB"/>
        </w:rPr>
        <w:t xml:space="preserve">of </w:t>
      </w:r>
      <w:r w:rsidR="009328F7" w:rsidRPr="003A6DFC">
        <w:rPr>
          <w:rFonts w:ascii="Century" w:hAnsi="Century" w:cs="Times New Roman"/>
          <w:lang w:val="en-GB"/>
        </w:rPr>
        <w:t>the</w:t>
      </w:r>
      <w:r w:rsidR="000B12BC" w:rsidRPr="003A6DFC">
        <w:rPr>
          <w:rFonts w:ascii="Century" w:hAnsi="Century" w:cs="Times New Roman"/>
          <w:lang w:val="en-GB"/>
        </w:rPr>
        <w:t xml:space="preserve"> extent to which</w:t>
      </w:r>
      <w:r w:rsidR="00A61E7C" w:rsidRPr="003A6DFC">
        <w:rPr>
          <w:rFonts w:ascii="Century" w:hAnsi="Century" w:cs="Times New Roman"/>
          <w:lang w:val="en-GB"/>
        </w:rPr>
        <w:t xml:space="preserve"> SAH can be interpreted as a good proxy of underlying health</w:t>
      </w:r>
      <w:r w:rsidR="0027528C" w:rsidRPr="003A6DFC">
        <w:rPr>
          <w:rFonts w:ascii="Century" w:hAnsi="Century" w:cs="Times New Roman"/>
          <w:lang w:val="en-GB"/>
        </w:rPr>
        <w:t xml:space="preserve"> between respondents of different socioeconomic backgrounds </w:t>
      </w:r>
      <w:r w:rsidR="00B91914" w:rsidRPr="003A6DFC">
        <w:rPr>
          <w:rFonts w:ascii="Century" w:hAnsi="Century" w:cs="Times New Roman"/>
          <w:lang w:val="en-GB"/>
        </w:rPr>
        <w:t xml:space="preserve">and in general </w:t>
      </w:r>
      <w:r w:rsidR="009328F7" w:rsidRPr="003A6DFC">
        <w:rPr>
          <w:rFonts w:ascii="Century" w:hAnsi="Century" w:cs="Times New Roman"/>
          <w:lang w:val="en-GB"/>
        </w:rPr>
        <w:t>(</w:t>
      </w:r>
      <w:r w:rsidR="00A31479" w:rsidRPr="003A6DFC">
        <w:rPr>
          <w:rFonts w:ascii="Century" w:hAnsi="Century" w:cs="Times New Roman"/>
          <w:lang w:val="en-GB"/>
        </w:rPr>
        <w:t xml:space="preserve">e.g., </w:t>
      </w:r>
      <w:r w:rsidR="00B91914" w:rsidRPr="003A6DFC">
        <w:rPr>
          <w:rFonts w:ascii="Century" w:hAnsi="Century" w:cs="Times New Roman"/>
          <w:lang w:val="en-GB"/>
        </w:rPr>
        <w:t xml:space="preserve">Au and Johnston, 2014; </w:t>
      </w:r>
      <w:r w:rsidR="008C76CE" w:rsidRPr="003A6DFC">
        <w:rPr>
          <w:rFonts w:ascii="Century" w:hAnsi="Century" w:cs="Times New Roman"/>
          <w:lang w:val="en-GB"/>
        </w:rPr>
        <w:t xml:space="preserve">Bago </w:t>
      </w:r>
      <w:proofErr w:type="spellStart"/>
      <w:r w:rsidR="008C76CE" w:rsidRPr="003A6DFC">
        <w:rPr>
          <w:rFonts w:ascii="Century" w:hAnsi="Century" w:cs="Times New Roman"/>
          <w:lang w:val="en-GB"/>
        </w:rPr>
        <w:t>d’Uva</w:t>
      </w:r>
      <w:proofErr w:type="spellEnd"/>
      <w:r w:rsidR="0027528C" w:rsidRPr="003A6DFC">
        <w:rPr>
          <w:rFonts w:ascii="Century" w:hAnsi="Century" w:cs="Times New Roman"/>
          <w:lang w:val="en-GB"/>
        </w:rPr>
        <w:t xml:space="preserve"> et al., 2</w:t>
      </w:r>
      <w:r w:rsidR="008C76CE" w:rsidRPr="003A6DFC">
        <w:rPr>
          <w:rFonts w:ascii="Century" w:hAnsi="Century" w:cs="Times New Roman"/>
          <w:lang w:val="en-GB"/>
        </w:rPr>
        <w:t xml:space="preserve">008; Dowd and </w:t>
      </w:r>
      <w:proofErr w:type="spellStart"/>
      <w:r w:rsidR="008C76CE" w:rsidRPr="003A6DFC">
        <w:rPr>
          <w:rFonts w:ascii="Century" w:hAnsi="Century" w:cs="Times New Roman"/>
          <w:lang w:val="en-GB"/>
        </w:rPr>
        <w:t>Zajacova</w:t>
      </w:r>
      <w:proofErr w:type="spellEnd"/>
      <w:r w:rsidR="008C76CE" w:rsidRPr="003A6DFC">
        <w:rPr>
          <w:rFonts w:ascii="Century" w:hAnsi="Century" w:cs="Times New Roman"/>
          <w:lang w:val="en-GB"/>
        </w:rPr>
        <w:t xml:space="preserve">, 2010; </w:t>
      </w:r>
      <w:proofErr w:type="spellStart"/>
      <w:r w:rsidR="008C76CE" w:rsidRPr="003A6DFC">
        <w:rPr>
          <w:rFonts w:ascii="Century" w:hAnsi="Century" w:cs="Times New Roman"/>
          <w:lang w:val="en-GB"/>
        </w:rPr>
        <w:t>Etilé</w:t>
      </w:r>
      <w:proofErr w:type="spellEnd"/>
      <w:r w:rsidR="008C76CE" w:rsidRPr="003A6DFC">
        <w:rPr>
          <w:rFonts w:ascii="Century" w:hAnsi="Century" w:cs="Times New Roman"/>
          <w:lang w:val="en-GB"/>
        </w:rPr>
        <w:t xml:space="preserve"> and </w:t>
      </w:r>
      <w:proofErr w:type="spellStart"/>
      <w:r w:rsidR="008C76CE" w:rsidRPr="003A6DFC">
        <w:rPr>
          <w:rFonts w:ascii="Century" w:hAnsi="Century" w:cs="Times New Roman"/>
          <w:lang w:val="en-GB"/>
        </w:rPr>
        <w:t>Milcent</w:t>
      </w:r>
      <w:proofErr w:type="spellEnd"/>
      <w:r w:rsidR="008C76CE" w:rsidRPr="003A6DFC">
        <w:rPr>
          <w:rFonts w:ascii="Century" w:hAnsi="Century" w:cs="Times New Roman"/>
          <w:lang w:val="en-GB"/>
        </w:rPr>
        <w:t xml:space="preserve">, 2006; </w:t>
      </w:r>
      <w:proofErr w:type="spellStart"/>
      <w:r w:rsidR="008C76CE" w:rsidRPr="003A6DFC">
        <w:rPr>
          <w:rFonts w:ascii="Century" w:hAnsi="Century" w:cs="Times New Roman"/>
          <w:lang w:val="en-GB"/>
        </w:rPr>
        <w:t>Lindeboom</w:t>
      </w:r>
      <w:proofErr w:type="spellEnd"/>
      <w:r w:rsidR="008C76CE" w:rsidRPr="003A6DFC">
        <w:rPr>
          <w:rFonts w:ascii="Century" w:hAnsi="Century" w:cs="Times New Roman"/>
          <w:lang w:val="en-GB"/>
        </w:rPr>
        <w:t xml:space="preserve"> and </w:t>
      </w:r>
      <w:r w:rsidR="004A61D0" w:rsidRPr="003A6DFC">
        <w:rPr>
          <w:rFonts w:ascii="Century" w:hAnsi="Century" w:cs="Times New Roman"/>
          <w:lang w:val="en-GB"/>
        </w:rPr>
        <w:t>v</w:t>
      </w:r>
      <w:r w:rsidR="008C76CE" w:rsidRPr="003A6DFC">
        <w:rPr>
          <w:rFonts w:ascii="Century" w:hAnsi="Century" w:cs="Times New Roman"/>
          <w:lang w:val="en-GB"/>
        </w:rPr>
        <w:t xml:space="preserve">an </w:t>
      </w:r>
      <w:proofErr w:type="spellStart"/>
      <w:r w:rsidR="008C76CE" w:rsidRPr="003A6DFC">
        <w:rPr>
          <w:rFonts w:ascii="Century" w:hAnsi="Century" w:cs="Times New Roman"/>
          <w:lang w:val="en-GB"/>
        </w:rPr>
        <w:t>Doorslaer</w:t>
      </w:r>
      <w:proofErr w:type="spellEnd"/>
      <w:r w:rsidR="008C76CE" w:rsidRPr="003A6DFC">
        <w:rPr>
          <w:rFonts w:ascii="Century" w:hAnsi="Century" w:cs="Times New Roman"/>
          <w:lang w:val="en-GB"/>
        </w:rPr>
        <w:t>, 2004</w:t>
      </w:r>
      <w:r w:rsidR="00A31479" w:rsidRPr="003A6DFC">
        <w:rPr>
          <w:rFonts w:ascii="Century" w:hAnsi="Century" w:cs="Times New Roman"/>
          <w:lang w:val="en-GB"/>
        </w:rPr>
        <w:t>)</w:t>
      </w:r>
      <w:r w:rsidR="000E1CB7" w:rsidRPr="003A6DFC">
        <w:rPr>
          <w:rFonts w:ascii="Century" w:hAnsi="Century" w:cs="Times New Roman"/>
          <w:lang w:val="en-GB"/>
        </w:rPr>
        <w:t xml:space="preserve">. </w:t>
      </w:r>
      <w:r w:rsidR="00E461F2" w:rsidRPr="003A6DFC">
        <w:rPr>
          <w:rFonts w:ascii="Century" w:hAnsi="Century" w:cs="Times New Roman"/>
          <w:lang w:val="en-GB"/>
        </w:rPr>
        <w:t xml:space="preserve">A related issue to </w:t>
      </w:r>
      <w:proofErr w:type="gramStart"/>
      <w:r w:rsidR="00E461F2" w:rsidRPr="003A6DFC">
        <w:rPr>
          <w:rFonts w:ascii="Century" w:hAnsi="Century" w:cs="Times New Roman"/>
          <w:lang w:val="en-GB"/>
        </w:rPr>
        <w:t>whether or not</w:t>
      </w:r>
      <w:proofErr w:type="gramEnd"/>
      <w:r w:rsidR="00E461F2" w:rsidRPr="003A6DFC">
        <w:rPr>
          <w:rFonts w:ascii="Century" w:hAnsi="Century" w:cs="Times New Roman"/>
          <w:lang w:val="en-GB"/>
        </w:rPr>
        <w:t xml:space="preserve"> SAH is a good proxy of people’s health is the reliability of SAH it terms of consistency to responses to SAH questions from the same individuals in a short time interval where genuine changes in people’s health are not practically feasible. For example, a reliable proxy of people’s health measure should be consistent in the case of repeated collection of the same measure when people’s actual health doesn’t change – i.e., in the context of our research, there should be consistency in responses to SAH within the same interview.</w:t>
      </w:r>
      <w:r w:rsidR="00E461F2" w:rsidRPr="003A6DFC">
        <w:rPr>
          <w:rFonts w:ascii="Century" w:hAnsi="Century"/>
          <w:b/>
          <w:bCs/>
          <w:i/>
          <w:iCs/>
          <w:lang w:val="en-GB"/>
        </w:rPr>
        <w:t xml:space="preserve"> </w:t>
      </w:r>
    </w:p>
    <w:p w14:paraId="6419CB38" w14:textId="368EC6A4" w:rsidR="003702AE" w:rsidRPr="003A6DFC" w:rsidRDefault="00302261" w:rsidP="001D1FB1">
      <w:pPr>
        <w:spacing w:after="0" w:line="360" w:lineRule="auto"/>
        <w:ind w:firstLine="708"/>
        <w:jc w:val="both"/>
        <w:rPr>
          <w:rFonts w:ascii="Century" w:hAnsi="Century" w:cs="Times New Roman"/>
          <w:lang w:val="en-GB"/>
        </w:rPr>
      </w:pPr>
      <w:r w:rsidRPr="003A6DFC">
        <w:rPr>
          <w:rFonts w:ascii="Century" w:hAnsi="Century" w:cs="Times New Roman"/>
          <w:lang w:val="en-GB"/>
        </w:rPr>
        <w:t>A</w:t>
      </w:r>
      <w:r w:rsidR="009C0188" w:rsidRPr="003A6DFC">
        <w:rPr>
          <w:rFonts w:ascii="Century" w:hAnsi="Century" w:cs="Times New Roman"/>
          <w:lang w:val="en-GB"/>
        </w:rPr>
        <w:t xml:space="preserve"> </w:t>
      </w:r>
      <w:r w:rsidR="00CA7695" w:rsidRPr="003A6DFC">
        <w:rPr>
          <w:rFonts w:ascii="Century" w:hAnsi="Century" w:cs="Times New Roman"/>
          <w:lang w:val="en-GB"/>
        </w:rPr>
        <w:t>short</w:t>
      </w:r>
      <w:r w:rsidR="009C0188" w:rsidRPr="003A6DFC">
        <w:rPr>
          <w:rFonts w:ascii="Century" w:hAnsi="Century" w:cs="Times New Roman"/>
          <w:lang w:val="en-GB"/>
        </w:rPr>
        <w:t xml:space="preserve"> </w:t>
      </w:r>
      <w:r w:rsidR="00CA7695" w:rsidRPr="003A6DFC">
        <w:rPr>
          <w:rFonts w:ascii="Century" w:hAnsi="Century" w:cs="Times New Roman"/>
          <w:lang w:val="en-GB"/>
        </w:rPr>
        <w:t>literature has</w:t>
      </w:r>
      <w:r w:rsidR="009C0188" w:rsidRPr="003A6DFC">
        <w:rPr>
          <w:rFonts w:ascii="Century" w:hAnsi="Century" w:cs="Times New Roman"/>
          <w:lang w:val="en-GB"/>
        </w:rPr>
        <w:t xml:space="preserve"> test</w:t>
      </w:r>
      <w:r w:rsidRPr="003A6DFC">
        <w:rPr>
          <w:rFonts w:ascii="Century" w:hAnsi="Century" w:cs="Times New Roman"/>
          <w:lang w:val="en-GB"/>
        </w:rPr>
        <w:t>ed</w:t>
      </w:r>
      <w:r w:rsidR="009C0188" w:rsidRPr="003A6DFC">
        <w:rPr>
          <w:rFonts w:ascii="Century" w:hAnsi="Century" w:cs="Times New Roman"/>
          <w:lang w:val="en-GB"/>
        </w:rPr>
        <w:t xml:space="preserve"> the consistency of responses to SAH questions</w:t>
      </w:r>
      <w:r w:rsidR="00D32FB1" w:rsidRPr="003A6DFC">
        <w:rPr>
          <w:rFonts w:ascii="Century" w:hAnsi="Century" w:cs="Times New Roman"/>
          <w:lang w:val="en-GB"/>
        </w:rPr>
        <w:t>,</w:t>
      </w:r>
      <w:r w:rsidR="009C0188" w:rsidRPr="003A6DFC">
        <w:rPr>
          <w:rFonts w:ascii="Century" w:hAnsi="Century" w:cs="Times New Roman"/>
          <w:lang w:val="en-GB"/>
        </w:rPr>
        <w:t xml:space="preserve"> by </w:t>
      </w:r>
      <w:r w:rsidR="00D32FB1" w:rsidRPr="003A6DFC">
        <w:rPr>
          <w:rFonts w:ascii="Century" w:hAnsi="Century" w:cs="Times New Roman"/>
          <w:lang w:val="en-GB"/>
        </w:rPr>
        <w:t>compar</w:t>
      </w:r>
      <w:r w:rsidR="009C0188" w:rsidRPr="003A6DFC">
        <w:rPr>
          <w:rFonts w:ascii="Century" w:hAnsi="Century" w:cs="Times New Roman"/>
          <w:lang w:val="en-GB"/>
        </w:rPr>
        <w:t xml:space="preserve">ing repeated SAH questions for the same individuals </w:t>
      </w:r>
      <w:r w:rsidRPr="003A6DFC">
        <w:rPr>
          <w:rFonts w:ascii="Century" w:hAnsi="Century" w:cs="Times New Roman"/>
          <w:lang w:val="en-GB"/>
        </w:rPr>
        <w:t xml:space="preserve">collected </w:t>
      </w:r>
      <w:r w:rsidR="009C0188" w:rsidRPr="003A6DFC">
        <w:rPr>
          <w:rFonts w:ascii="Century" w:hAnsi="Century" w:cs="Times New Roman"/>
          <w:lang w:val="en-GB"/>
        </w:rPr>
        <w:t>over a short time</w:t>
      </w:r>
      <w:r w:rsidR="008356D7" w:rsidRPr="003A6DFC">
        <w:rPr>
          <w:rFonts w:ascii="Century" w:hAnsi="Century" w:cs="Times New Roman"/>
          <w:lang w:val="en-GB"/>
        </w:rPr>
        <w:t xml:space="preserve"> </w:t>
      </w:r>
      <w:r w:rsidR="00EB36C0" w:rsidRPr="003A6DFC">
        <w:rPr>
          <w:rFonts w:ascii="Century" w:hAnsi="Century" w:cs="Times New Roman"/>
          <w:lang w:val="en-GB"/>
        </w:rPr>
        <w:t>(</w:t>
      </w:r>
      <w:r w:rsidR="00D32FB1" w:rsidRPr="003A6DFC">
        <w:rPr>
          <w:rFonts w:ascii="Century" w:hAnsi="Century" w:cs="Times New Roman"/>
          <w:lang w:val="en-GB"/>
        </w:rPr>
        <w:t xml:space="preserve">e.g., </w:t>
      </w:r>
      <w:r w:rsidR="00911FB1" w:rsidRPr="003A6DFC">
        <w:rPr>
          <w:rFonts w:ascii="Century" w:hAnsi="Century" w:cs="Times New Roman"/>
          <w:lang w:val="en-GB"/>
        </w:rPr>
        <w:t>Black</w:t>
      </w:r>
      <w:r w:rsidR="00EB36C0" w:rsidRPr="003A6DFC">
        <w:rPr>
          <w:rFonts w:ascii="Century" w:hAnsi="Century" w:cs="Times New Roman"/>
          <w:lang w:val="en-GB"/>
        </w:rPr>
        <w:t xml:space="preserve"> et al., 2017; </w:t>
      </w:r>
      <w:r w:rsidR="003B304A" w:rsidRPr="003A6DFC">
        <w:rPr>
          <w:rFonts w:ascii="Century" w:hAnsi="Century" w:cs="Times New Roman"/>
          <w:lang w:val="en-GB"/>
        </w:rPr>
        <w:t xml:space="preserve">Chen et al., 2021; </w:t>
      </w:r>
      <w:r w:rsidR="00EB36C0" w:rsidRPr="003A6DFC">
        <w:rPr>
          <w:rFonts w:ascii="Century" w:hAnsi="Century" w:cs="Times New Roman"/>
          <w:lang w:val="en-GB"/>
        </w:rPr>
        <w:t>Clarke and Ryan, 2006; Crossley and Kennedy, 2002)</w:t>
      </w:r>
      <w:r w:rsidR="007F0899" w:rsidRPr="003A6DFC">
        <w:rPr>
          <w:rFonts w:ascii="Century" w:hAnsi="Century" w:cs="Times New Roman"/>
          <w:lang w:val="en-GB"/>
        </w:rPr>
        <w:t xml:space="preserve">. </w:t>
      </w:r>
      <w:r w:rsidR="0032362D" w:rsidRPr="003A6DFC">
        <w:rPr>
          <w:rFonts w:ascii="Century" w:hAnsi="Century" w:cs="Times New Roman"/>
          <w:lang w:val="en-GB"/>
        </w:rPr>
        <w:t>D</w:t>
      </w:r>
      <w:r w:rsidR="009318DF" w:rsidRPr="003A6DFC">
        <w:rPr>
          <w:rFonts w:ascii="Century" w:hAnsi="Century" w:cs="Times New Roman"/>
          <w:lang w:val="en-GB"/>
        </w:rPr>
        <w:t xml:space="preserve">ifferences in capacity to respond to survey questions or </w:t>
      </w:r>
      <w:r w:rsidRPr="003A6DFC">
        <w:rPr>
          <w:rFonts w:ascii="Century" w:hAnsi="Century" w:cs="Times New Roman"/>
          <w:lang w:val="en-GB"/>
        </w:rPr>
        <w:t>in</w:t>
      </w:r>
      <w:r w:rsidR="009318DF" w:rsidRPr="003A6DFC">
        <w:rPr>
          <w:rFonts w:ascii="Century" w:hAnsi="Century" w:cs="Times New Roman"/>
          <w:lang w:val="en-GB"/>
        </w:rPr>
        <w:t xml:space="preserve"> </w:t>
      </w:r>
      <w:r w:rsidR="009318DF" w:rsidRPr="003A6DFC">
        <w:rPr>
          <w:rFonts w:ascii="Century" w:hAnsi="Century" w:cs="Times New Roman"/>
          <w:lang w:val="en-GB"/>
        </w:rPr>
        <w:lastRenderedPageBreak/>
        <w:t>reporting behaviour</w:t>
      </w:r>
      <w:r w:rsidR="0032362D" w:rsidRPr="003A6DFC">
        <w:rPr>
          <w:rFonts w:ascii="Century" w:hAnsi="Century" w:cs="Times New Roman"/>
          <w:lang w:val="en-GB"/>
        </w:rPr>
        <w:t xml:space="preserve"> </w:t>
      </w:r>
      <w:r w:rsidRPr="003A6DFC">
        <w:rPr>
          <w:rFonts w:ascii="Century" w:hAnsi="Century" w:cs="Times New Roman"/>
          <w:lang w:val="en-GB"/>
        </w:rPr>
        <w:t xml:space="preserve">may </w:t>
      </w:r>
      <w:r w:rsidR="0032362D" w:rsidRPr="003A6DFC">
        <w:rPr>
          <w:rFonts w:ascii="Century" w:hAnsi="Century" w:cs="Times New Roman"/>
          <w:lang w:val="en-GB"/>
        </w:rPr>
        <w:t>depend on respondents</w:t>
      </w:r>
      <w:r w:rsidRPr="003A6DFC">
        <w:rPr>
          <w:rFonts w:ascii="Century" w:hAnsi="Century" w:cs="Times New Roman"/>
          <w:lang w:val="en-GB"/>
        </w:rPr>
        <w:t>’</w:t>
      </w:r>
      <w:r w:rsidR="0032362D" w:rsidRPr="003A6DFC">
        <w:rPr>
          <w:rFonts w:ascii="Century" w:hAnsi="Century" w:cs="Times New Roman"/>
          <w:lang w:val="en-GB"/>
        </w:rPr>
        <w:t xml:space="preserve"> </w:t>
      </w:r>
      <w:r w:rsidR="009318DF" w:rsidRPr="003A6DFC">
        <w:rPr>
          <w:rFonts w:ascii="Century" w:hAnsi="Century" w:cs="Times New Roman"/>
          <w:lang w:val="en-GB"/>
        </w:rPr>
        <w:t xml:space="preserve">cognitive and </w:t>
      </w:r>
      <w:r w:rsidR="00F64619" w:rsidRPr="003A6DFC">
        <w:rPr>
          <w:rFonts w:ascii="Century" w:hAnsi="Century" w:cs="Times New Roman"/>
          <w:lang w:val="en-GB"/>
        </w:rPr>
        <w:t>non-cognitive skills, which may explain why some individuals tend to provide inconsistent response about their self-assessed health and others do not (Black et al., 2017).</w:t>
      </w:r>
      <w:r w:rsidR="0032362D" w:rsidRPr="003A6DFC">
        <w:rPr>
          <w:rFonts w:ascii="Century" w:hAnsi="Century" w:cs="Times New Roman"/>
          <w:lang w:val="en-GB"/>
        </w:rPr>
        <w:t xml:space="preserve"> Moreover, individuals may respond inconsistently </w:t>
      </w:r>
      <w:r w:rsidR="003702AE" w:rsidRPr="003A6DFC">
        <w:rPr>
          <w:rFonts w:ascii="Century" w:hAnsi="Century" w:cs="Times New Roman"/>
          <w:lang w:val="en-GB"/>
        </w:rPr>
        <w:t>because they a</w:t>
      </w:r>
      <w:r w:rsidR="007F0899" w:rsidRPr="003A6DFC">
        <w:rPr>
          <w:rFonts w:ascii="Century" w:hAnsi="Century" w:cs="Times New Roman"/>
          <w:lang w:val="en-GB"/>
        </w:rPr>
        <w:t>ssess their health with some uncertainty</w:t>
      </w:r>
      <w:r w:rsidRPr="003A6DFC">
        <w:rPr>
          <w:rFonts w:ascii="Century" w:hAnsi="Century" w:cs="Times New Roman"/>
          <w:lang w:val="en-GB"/>
        </w:rPr>
        <w:t xml:space="preserve"> or</w:t>
      </w:r>
      <w:r w:rsidR="003702AE" w:rsidRPr="003A6DFC">
        <w:rPr>
          <w:rFonts w:ascii="Century" w:hAnsi="Century" w:cs="Times New Roman"/>
          <w:lang w:val="en-GB"/>
        </w:rPr>
        <w:t xml:space="preserve"> they </w:t>
      </w:r>
      <w:r w:rsidRPr="003A6DFC">
        <w:rPr>
          <w:rFonts w:ascii="Century" w:hAnsi="Century" w:cs="Times New Roman"/>
          <w:lang w:val="en-GB"/>
        </w:rPr>
        <w:t xml:space="preserve">have </w:t>
      </w:r>
      <w:r w:rsidR="003702AE" w:rsidRPr="003A6DFC">
        <w:rPr>
          <w:rFonts w:ascii="Century" w:hAnsi="Century" w:cs="Times New Roman"/>
          <w:lang w:val="en-GB"/>
        </w:rPr>
        <w:t xml:space="preserve">“learned” more about their </w:t>
      </w:r>
      <w:r w:rsidR="007F0899" w:rsidRPr="003A6DFC">
        <w:rPr>
          <w:rFonts w:ascii="Century" w:hAnsi="Century" w:cs="Times New Roman"/>
          <w:lang w:val="en-GB"/>
        </w:rPr>
        <w:t xml:space="preserve">health status </w:t>
      </w:r>
      <w:r w:rsidR="003702AE" w:rsidRPr="003A6DFC">
        <w:rPr>
          <w:rFonts w:ascii="Century" w:hAnsi="Century" w:cs="Times New Roman"/>
          <w:lang w:val="en-GB"/>
        </w:rPr>
        <w:t>because of the other questions that</w:t>
      </w:r>
      <w:r w:rsidRPr="003A6DFC">
        <w:rPr>
          <w:rFonts w:ascii="Century" w:hAnsi="Century" w:cs="Times New Roman"/>
          <w:lang w:val="en-GB"/>
        </w:rPr>
        <w:t xml:space="preserve"> are</w:t>
      </w:r>
      <w:r w:rsidR="003702AE" w:rsidRPr="003A6DFC">
        <w:rPr>
          <w:rFonts w:ascii="Century" w:hAnsi="Century" w:cs="Times New Roman"/>
          <w:lang w:val="en-GB"/>
        </w:rPr>
        <w:t xml:space="preserve"> asked between the first and the second SAH question</w:t>
      </w:r>
      <w:r w:rsidRPr="003A6DFC">
        <w:rPr>
          <w:rFonts w:ascii="Century" w:hAnsi="Century" w:cs="Times New Roman"/>
          <w:lang w:val="en-GB"/>
        </w:rPr>
        <w:t>s</w:t>
      </w:r>
      <w:r w:rsidR="00EB36C0" w:rsidRPr="003A6DFC">
        <w:rPr>
          <w:rFonts w:ascii="Century" w:hAnsi="Century" w:cs="Times New Roman"/>
          <w:lang w:val="en-GB"/>
        </w:rPr>
        <w:t xml:space="preserve"> ─ for example, specific health or disability questions can influence subsequent responses about people</w:t>
      </w:r>
      <w:r w:rsidRPr="003A6DFC">
        <w:rPr>
          <w:rFonts w:ascii="Century" w:hAnsi="Century" w:cs="Times New Roman"/>
          <w:lang w:val="en-GB"/>
        </w:rPr>
        <w:t>’</w:t>
      </w:r>
      <w:r w:rsidR="00EB36C0" w:rsidRPr="003A6DFC">
        <w:rPr>
          <w:rFonts w:ascii="Century" w:hAnsi="Century" w:cs="Times New Roman"/>
          <w:lang w:val="en-GB"/>
        </w:rPr>
        <w:t>s</w:t>
      </w:r>
      <w:r w:rsidRPr="003A6DFC">
        <w:rPr>
          <w:rFonts w:ascii="Century" w:hAnsi="Century" w:cs="Times New Roman"/>
          <w:lang w:val="en-GB"/>
        </w:rPr>
        <w:t xml:space="preserve"> </w:t>
      </w:r>
      <w:r w:rsidR="00EB36C0" w:rsidRPr="003A6DFC">
        <w:rPr>
          <w:rFonts w:ascii="Century" w:hAnsi="Century" w:cs="Times New Roman"/>
          <w:lang w:val="en-GB"/>
        </w:rPr>
        <w:t>health status</w:t>
      </w:r>
      <w:r w:rsidR="00546800" w:rsidRPr="003A6DFC">
        <w:rPr>
          <w:rFonts w:ascii="Century" w:hAnsi="Century" w:cs="Times New Roman"/>
          <w:lang w:val="en-GB"/>
        </w:rPr>
        <w:t xml:space="preserve"> (Black et al., 2017; Clarke and Ryan, 2006; Crossley and Kennedy, 2002)</w:t>
      </w:r>
      <w:r w:rsidR="00EB36C0" w:rsidRPr="003A6DFC">
        <w:rPr>
          <w:rFonts w:ascii="Century" w:hAnsi="Century" w:cs="Times New Roman"/>
          <w:lang w:val="en-GB"/>
        </w:rPr>
        <w:t>.</w:t>
      </w:r>
      <w:r w:rsidR="004C0B5E" w:rsidRPr="003A6DFC">
        <w:rPr>
          <w:rStyle w:val="Refdenotaderodap"/>
          <w:rFonts w:ascii="Century" w:hAnsi="Century" w:cs="Times New Roman"/>
          <w:lang w:val="en-GB"/>
        </w:rPr>
        <w:footnoteReference w:id="2"/>
      </w:r>
      <w:r w:rsidR="00EB36C0" w:rsidRPr="003A6DFC">
        <w:rPr>
          <w:rFonts w:ascii="Century" w:hAnsi="Century" w:cs="Times New Roman"/>
          <w:lang w:val="en-GB"/>
        </w:rPr>
        <w:t xml:space="preserve"> </w:t>
      </w:r>
      <w:r w:rsidR="00546800" w:rsidRPr="003A6DFC">
        <w:rPr>
          <w:rFonts w:ascii="Century" w:hAnsi="Century" w:cs="Times New Roman"/>
          <w:lang w:val="en-GB"/>
        </w:rPr>
        <w:t>Strategic reporting may be another reason</w:t>
      </w:r>
      <w:r w:rsidR="00054860" w:rsidRPr="003A6DFC">
        <w:rPr>
          <w:rFonts w:ascii="Century" w:hAnsi="Century" w:cs="Times New Roman"/>
          <w:lang w:val="en-GB"/>
        </w:rPr>
        <w:t xml:space="preserve"> of reporting inconsistency ─ for example, the broader literature on </w:t>
      </w:r>
      <w:r w:rsidR="009151BA" w:rsidRPr="003A6DFC">
        <w:rPr>
          <w:rFonts w:ascii="Century" w:hAnsi="Century" w:cs="Times New Roman"/>
          <w:lang w:val="en-GB"/>
        </w:rPr>
        <w:t xml:space="preserve">measurement error in </w:t>
      </w:r>
      <w:r w:rsidR="00054860" w:rsidRPr="003A6DFC">
        <w:rPr>
          <w:rFonts w:ascii="Century" w:hAnsi="Century" w:cs="Times New Roman"/>
          <w:lang w:val="en-GB"/>
        </w:rPr>
        <w:t>well</w:t>
      </w:r>
      <w:r w:rsidR="00106A15" w:rsidRPr="003A6DFC">
        <w:rPr>
          <w:rFonts w:ascii="Century" w:hAnsi="Century" w:cs="Times New Roman"/>
          <w:lang w:val="en-GB"/>
        </w:rPr>
        <w:t>-</w:t>
      </w:r>
      <w:r w:rsidR="009151BA" w:rsidRPr="003A6DFC">
        <w:rPr>
          <w:rFonts w:ascii="Century" w:hAnsi="Century" w:cs="Times New Roman"/>
          <w:lang w:val="en-GB"/>
        </w:rPr>
        <w:t>being indicators argue</w:t>
      </w:r>
      <w:r w:rsidR="00D32FB1" w:rsidRPr="003A6DFC">
        <w:rPr>
          <w:rFonts w:ascii="Century" w:hAnsi="Century" w:cs="Times New Roman"/>
          <w:lang w:val="en-GB"/>
        </w:rPr>
        <w:t>s</w:t>
      </w:r>
      <w:r w:rsidR="009151BA" w:rsidRPr="003A6DFC">
        <w:rPr>
          <w:rFonts w:ascii="Century" w:hAnsi="Century" w:cs="Times New Roman"/>
          <w:lang w:val="en-GB"/>
        </w:rPr>
        <w:t xml:space="preserve"> that </w:t>
      </w:r>
      <w:r w:rsidR="003702AE" w:rsidRPr="003A6DFC">
        <w:rPr>
          <w:rFonts w:ascii="Century" w:hAnsi="Century" w:cs="Times New Roman"/>
          <w:lang w:val="en-GB"/>
        </w:rPr>
        <w:t xml:space="preserve">individuals may </w:t>
      </w:r>
      <w:r w:rsidR="00D32FB1" w:rsidRPr="003A6DFC">
        <w:rPr>
          <w:rFonts w:ascii="Century" w:hAnsi="Century" w:cs="Times New Roman"/>
          <w:lang w:val="en-GB"/>
        </w:rPr>
        <w:t>exhibit</w:t>
      </w:r>
      <w:r w:rsidR="003702AE" w:rsidRPr="003A6DFC">
        <w:rPr>
          <w:rFonts w:ascii="Century" w:hAnsi="Century" w:cs="Times New Roman"/>
          <w:lang w:val="en-GB"/>
        </w:rPr>
        <w:t xml:space="preserve"> a "justification bias" when they overstate their poor health condition in order to rationalize their economic inactivity (</w:t>
      </w:r>
      <w:r w:rsidR="00054860" w:rsidRPr="003A6DFC">
        <w:rPr>
          <w:rFonts w:ascii="Century" w:hAnsi="Century" w:cs="Times New Roman"/>
          <w:lang w:val="en-GB"/>
        </w:rPr>
        <w:t xml:space="preserve">e.g., </w:t>
      </w:r>
      <w:r w:rsidR="004D59C1" w:rsidRPr="003A6DFC">
        <w:rPr>
          <w:rFonts w:ascii="Century" w:hAnsi="Century" w:cs="Times New Roman"/>
          <w:lang w:val="en-GB"/>
        </w:rPr>
        <w:t xml:space="preserve">Black, Johnston and </w:t>
      </w:r>
      <w:proofErr w:type="spellStart"/>
      <w:r w:rsidR="004D59C1" w:rsidRPr="003A6DFC">
        <w:rPr>
          <w:rFonts w:ascii="Century" w:hAnsi="Century" w:cs="Times New Roman"/>
          <w:lang w:val="en-GB"/>
        </w:rPr>
        <w:t>Suziedelyte</w:t>
      </w:r>
      <w:proofErr w:type="spellEnd"/>
      <w:r w:rsidR="00054860" w:rsidRPr="003A6DFC">
        <w:rPr>
          <w:rFonts w:ascii="Century" w:hAnsi="Century" w:cs="Times New Roman"/>
          <w:lang w:val="en-GB"/>
        </w:rPr>
        <w:t xml:space="preserve">, </w:t>
      </w:r>
      <w:r w:rsidR="003702AE" w:rsidRPr="003A6DFC">
        <w:rPr>
          <w:rFonts w:ascii="Century" w:hAnsi="Century" w:cs="Times New Roman"/>
          <w:lang w:val="en-GB"/>
        </w:rPr>
        <w:t xml:space="preserve">2017; </w:t>
      </w:r>
      <w:r w:rsidR="009F17D6" w:rsidRPr="003A6DFC">
        <w:rPr>
          <w:rFonts w:ascii="Century" w:hAnsi="Century" w:cs="Arial"/>
          <w:color w:val="222222"/>
          <w:shd w:val="clear" w:color="auto" w:fill="FFFFFF"/>
        </w:rPr>
        <w:t>Bound</w:t>
      </w:r>
      <w:r w:rsidR="009F17D6" w:rsidRPr="003A6DFC">
        <w:rPr>
          <w:rFonts w:ascii="Century" w:hAnsi="Century" w:cs="Times New Roman"/>
        </w:rPr>
        <w:t xml:space="preserve">, 1991; </w:t>
      </w:r>
      <w:r w:rsidR="003702AE" w:rsidRPr="003A6DFC">
        <w:rPr>
          <w:rFonts w:ascii="Century" w:hAnsi="Century" w:cs="Times New Roman"/>
          <w:lang w:val="en-GB"/>
        </w:rPr>
        <w:t>Kapteyn</w:t>
      </w:r>
      <w:r w:rsidR="009E4FE3" w:rsidRPr="003A6DFC">
        <w:rPr>
          <w:rFonts w:ascii="Century" w:hAnsi="Century" w:cs="Times New Roman"/>
          <w:lang w:val="en-GB"/>
        </w:rPr>
        <w:t xml:space="preserve"> et al., </w:t>
      </w:r>
      <w:r w:rsidR="003702AE" w:rsidRPr="003A6DFC">
        <w:rPr>
          <w:rFonts w:ascii="Century" w:hAnsi="Century" w:cs="Times New Roman"/>
          <w:lang w:val="en-GB"/>
        </w:rPr>
        <w:t>2007</w:t>
      </w:r>
      <w:r w:rsidR="006D08CB" w:rsidRPr="003A6DFC">
        <w:rPr>
          <w:rFonts w:ascii="Century" w:hAnsi="Century" w:cs="Times New Roman"/>
          <w:lang w:val="en-GB"/>
        </w:rPr>
        <w:t>;</w:t>
      </w:r>
      <w:r w:rsidR="008B3D22" w:rsidRPr="003A6DFC">
        <w:rPr>
          <w:rFonts w:ascii="Century" w:hAnsi="Century" w:cs="Times New Roman"/>
          <w:lang w:val="en-GB"/>
        </w:rPr>
        <w:t xml:space="preserve"> </w:t>
      </w:r>
      <w:proofErr w:type="spellStart"/>
      <w:r w:rsidR="008B3D22" w:rsidRPr="003A6DFC">
        <w:rPr>
          <w:rFonts w:ascii="Century" w:hAnsi="Century" w:cs="Times New Roman"/>
          <w:lang w:val="en-GB"/>
        </w:rPr>
        <w:t>Kerkhofs</w:t>
      </w:r>
      <w:proofErr w:type="spellEnd"/>
      <w:r w:rsidR="008B3D22" w:rsidRPr="003A6DFC">
        <w:rPr>
          <w:rFonts w:ascii="Century" w:hAnsi="Century" w:cs="Times New Roman"/>
          <w:lang w:val="en-GB"/>
        </w:rPr>
        <w:t xml:space="preserve"> and </w:t>
      </w:r>
      <w:proofErr w:type="spellStart"/>
      <w:r w:rsidR="008B3D22" w:rsidRPr="003A6DFC">
        <w:rPr>
          <w:rFonts w:ascii="Century" w:hAnsi="Century" w:cs="Times New Roman"/>
          <w:lang w:val="en-GB"/>
        </w:rPr>
        <w:t>Lindeboom</w:t>
      </w:r>
      <w:proofErr w:type="spellEnd"/>
      <w:r w:rsidR="008B3D22" w:rsidRPr="003A6DFC">
        <w:rPr>
          <w:rFonts w:ascii="Century" w:hAnsi="Century" w:cs="Times New Roman"/>
          <w:lang w:val="en-GB"/>
        </w:rPr>
        <w:t>, 1995</w:t>
      </w:r>
      <w:r w:rsidR="003702AE" w:rsidRPr="003A6DFC">
        <w:rPr>
          <w:rFonts w:ascii="Century" w:hAnsi="Century" w:cs="Times New Roman"/>
          <w:lang w:val="en-GB"/>
        </w:rPr>
        <w:t>)</w:t>
      </w:r>
      <w:r w:rsidR="00632AD1" w:rsidRPr="003A6DFC">
        <w:rPr>
          <w:rFonts w:ascii="Century" w:hAnsi="Century" w:cs="Times New Roman"/>
          <w:lang w:val="en-GB"/>
        </w:rPr>
        <w:t>. Mode of data collection may be</w:t>
      </w:r>
      <w:r w:rsidR="003848D9" w:rsidRPr="003A6DFC">
        <w:rPr>
          <w:rFonts w:ascii="Century" w:hAnsi="Century" w:cs="Times New Roman"/>
          <w:lang w:val="en-GB"/>
        </w:rPr>
        <w:t xml:space="preserve"> </w:t>
      </w:r>
      <w:r w:rsidR="00632AD1" w:rsidRPr="003A6DFC">
        <w:rPr>
          <w:rFonts w:ascii="Century" w:hAnsi="Century" w:cs="Times New Roman"/>
          <w:lang w:val="en-GB"/>
        </w:rPr>
        <w:t>relevant here</w:t>
      </w:r>
      <w:r w:rsidR="003848D9" w:rsidRPr="003A6DFC">
        <w:rPr>
          <w:rFonts w:ascii="Century" w:hAnsi="Century" w:cs="Times New Roman"/>
          <w:lang w:val="en-GB"/>
        </w:rPr>
        <w:t>;</w:t>
      </w:r>
      <w:r w:rsidR="00632AD1" w:rsidRPr="003A6DFC">
        <w:rPr>
          <w:rFonts w:ascii="Century" w:hAnsi="Century" w:cs="Times New Roman"/>
          <w:lang w:val="en-GB"/>
        </w:rPr>
        <w:t xml:space="preserve"> </w:t>
      </w:r>
      <w:r w:rsidR="003848D9" w:rsidRPr="003A6DFC">
        <w:rPr>
          <w:rFonts w:ascii="Century" w:hAnsi="Century" w:cs="Times New Roman"/>
          <w:lang w:val="en-GB"/>
        </w:rPr>
        <w:t xml:space="preserve">some of the existing </w:t>
      </w:r>
      <w:r w:rsidR="00EB10A3" w:rsidRPr="003A6DFC">
        <w:rPr>
          <w:rFonts w:ascii="Century" w:hAnsi="Century" w:cs="Times New Roman"/>
          <w:lang w:val="en-GB"/>
        </w:rPr>
        <w:t>literature</w:t>
      </w:r>
      <w:r w:rsidR="008B2C5C" w:rsidRPr="003A6DFC">
        <w:rPr>
          <w:rFonts w:ascii="Century" w:hAnsi="Century" w:cs="Times New Roman"/>
          <w:lang w:val="en-GB"/>
        </w:rPr>
        <w:t xml:space="preserve"> </w:t>
      </w:r>
      <w:r w:rsidR="00EB10A3" w:rsidRPr="003A6DFC">
        <w:rPr>
          <w:rFonts w:ascii="Century" w:hAnsi="Century" w:cs="Times New Roman"/>
          <w:lang w:val="en-GB"/>
        </w:rPr>
        <w:t xml:space="preserve">has </w:t>
      </w:r>
      <w:r w:rsidR="008B2C5C" w:rsidRPr="003A6DFC">
        <w:rPr>
          <w:rFonts w:ascii="Century" w:hAnsi="Century" w:cs="Times New Roman"/>
          <w:lang w:val="en-GB"/>
        </w:rPr>
        <w:t>argued that self-completion</w:t>
      </w:r>
      <w:r w:rsidR="007956C1" w:rsidRPr="003A6DFC">
        <w:rPr>
          <w:rFonts w:ascii="Century" w:hAnsi="Century" w:cs="Times New Roman"/>
          <w:lang w:val="en-GB"/>
        </w:rPr>
        <w:t>,</w:t>
      </w:r>
      <w:r w:rsidR="008B2C5C" w:rsidRPr="003A6DFC">
        <w:rPr>
          <w:rFonts w:ascii="Century" w:hAnsi="Century" w:cs="Times New Roman"/>
          <w:lang w:val="en-GB"/>
        </w:rPr>
        <w:t xml:space="preserve"> as opposed to open interview</w:t>
      </w:r>
      <w:r w:rsidR="007956C1" w:rsidRPr="003A6DFC">
        <w:rPr>
          <w:rFonts w:ascii="Century" w:hAnsi="Century" w:cs="Times New Roman"/>
          <w:lang w:val="en-GB"/>
        </w:rPr>
        <w:t>, mode</w:t>
      </w:r>
      <w:r w:rsidR="008B2C5C" w:rsidRPr="003A6DFC">
        <w:rPr>
          <w:rFonts w:ascii="Century" w:hAnsi="Century" w:cs="Times New Roman"/>
          <w:lang w:val="en-GB"/>
        </w:rPr>
        <w:t xml:space="preserve"> may be more </w:t>
      </w:r>
      <w:r w:rsidR="007956C1" w:rsidRPr="003A6DFC">
        <w:rPr>
          <w:rFonts w:ascii="Century" w:hAnsi="Century" w:cs="Times New Roman"/>
          <w:lang w:val="en-GB"/>
        </w:rPr>
        <w:t>re</w:t>
      </w:r>
      <w:r w:rsidR="00D32FB1" w:rsidRPr="003A6DFC">
        <w:rPr>
          <w:rFonts w:ascii="Century" w:hAnsi="Century" w:cs="Times New Roman"/>
          <w:lang w:val="en-GB"/>
        </w:rPr>
        <w:t>liable</w:t>
      </w:r>
      <w:r w:rsidR="007956C1" w:rsidRPr="003A6DFC">
        <w:rPr>
          <w:rFonts w:ascii="Century" w:hAnsi="Century" w:cs="Times New Roman"/>
          <w:lang w:val="en-GB"/>
        </w:rPr>
        <w:t xml:space="preserve"> in eliciting accurate responses to sensitive questions especially in the presence of other household members (e.g., </w:t>
      </w:r>
      <w:r w:rsidR="003702AE" w:rsidRPr="003A6DFC">
        <w:rPr>
          <w:rFonts w:ascii="Century" w:hAnsi="Century" w:cs="Times New Roman"/>
          <w:lang w:val="en-GB"/>
        </w:rPr>
        <w:t xml:space="preserve">Conti and </w:t>
      </w:r>
      <w:proofErr w:type="spellStart"/>
      <w:r w:rsidR="003702AE" w:rsidRPr="003A6DFC">
        <w:rPr>
          <w:rFonts w:ascii="Century" w:hAnsi="Century" w:cs="Times New Roman"/>
          <w:lang w:val="en-GB"/>
        </w:rPr>
        <w:t>Pudney</w:t>
      </w:r>
      <w:proofErr w:type="spellEnd"/>
      <w:r w:rsidR="003702AE" w:rsidRPr="003A6DFC">
        <w:rPr>
          <w:rFonts w:ascii="Century" w:hAnsi="Century" w:cs="Times New Roman"/>
          <w:lang w:val="en-GB"/>
        </w:rPr>
        <w:t>, 2011).</w:t>
      </w:r>
    </w:p>
    <w:p w14:paraId="281095C5" w14:textId="062AE75E" w:rsidR="00CA10C7" w:rsidRPr="003A6DFC" w:rsidRDefault="00F17B68" w:rsidP="001D1FB1">
      <w:pPr>
        <w:spacing w:after="0" w:line="360" w:lineRule="auto"/>
        <w:ind w:firstLine="708"/>
        <w:jc w:val="both"/>
        <w:rPr>
          <w:rFonts w:ascii="Century" w:hAnsi="Century"/>
          <w:b/>
          <w:bCs/>
          <w:i/>
          <w:iCs/>
          <w:lang w:val="en-GB"/>
        </w:rPr>
      </w:pPr>
      <w:r w:rsidRPr="003A6DFC">
        <w:rPr>
          <w:rFonts w:ascii="Century" w:hAnsi="Century" w:cstheme="minorHAnsi"/>
        </w:rPr>
        <w:t>T</w:t>
      </w:r>
      <w:r w:rsidR="00C15B5B" w:rsidRPr="003A6DFC">
        <w:rPr>
          <w:rFonts w:ascii="Century" w:hAnsi="Century" w:cstheme="minorHAnsi"/>
        </w:rPr>
        <w:t xml:space="preserve">he few studies that test the consistency of responses to SAH </w:t>
      </w:r>
      <w:proofErr w:type="gramStart"/>
      <w:r w:rsidR="00C15B5B" w:rsidRPr="003A6DFC">
        <w:rPr>
          <w:rFonts w:ascii="Century" w:hAnsi="Century" w:cstheme="minorHAnsi"/>
        </w:rPr>
        <w:t>questions</w:t>
      </w:r>
      <w:r w:rsidR="00D32FB1" w:rsidRPr="003A6DFC">
        <w:rPr>
          <w:rFonts w:ascii="Century" w:hAnsi="Century" w:cstheme="minorHAnsi"/>
        </w:rPr>
        <w:t>,</w:t>
      </w:r>
      <w:r w:rsidR="009A2503" w:rsidRPr="003A6DFC">
        <w:rPr>
          <w:rFonts w:ascii="Century" w:hAnsi="Century" w:cstheme="minorHAnsi"/>
        </w:rPr>
        <w:t xml:space="preserve"> and</w:t>
      </w:r>
      <w:proofErr w:type="gramEnd"/>
      <w:r w:rsidR="009A2503" w:rsidRPr="003A6DFC">
        <w:rPr>
          <w:rFonts w:ascii="Century" w:hAnsi="Century" w:cstheme="minorHAnsi"/>
        </w:rPr>
        <w:t xml:space="preserve"> estimate misclassification </w:t>
      </w:r>
      <w:r w:rsidR="00EB10A3" w:rsidRPr="003A6DFC">
        <w:rPr>
          <w:rFonts w:ascii="Century" w:hAnsi="Century" w:cstheme="minorHAnsi"/>
        </w:rPr>
        <w:t>by</w:t>
      </w:r>
      <w:r w:rsidR="009A2503" w:rsidRPr="003A6DFC">
        <w:rPr>
          <w:rFonts w:ascii="Century" w:hAnsi="Century" w:cstheme="minorHAnsi"/>
        </w:rPr>
        <w:t xml:space="preserve"> assess</w:t>
      </w:r>
      <w:r w:rsidR="00EB10A3" w:rsidRPr="003A6DFC">
        <w:rPr>
          <w:rFonts w:ascii="Century" w:hAnsi="Century" w:cstheme="minorHAnsi"/>
        </w:rPr>
        <w:t>ing</w:t>
      </w:r>
      <w:r w:rsidR="00C15B5B" w:rsidRPr="003A6DFC">
        <w:rPr>
          <w:rFonts w:ascii="Century" w:hAnsi="Century" w:cstheme="minorHAnsi"/>
        </w:rPr>
        <w:t xml:space="preserve"> repeated SAH questions for the same individuals over a short time frame</w:t>
      </w:r>
      <w:r w:rsidR="00D32FB1" w:rsidRPr="003A6DFC">
        <w:rPr>
          <w:rFonts w:ascii="Century" w:hAnsi="Century" w:cstheme="minorHAnsi"/>
        </w:rPr>
        <w:t>,</w:t>
      </w:r>
      <w:r w:rsidR="00C15B5B" w:rsidRPr="003A6DFC">
        <w:rPr>
          <w:rFonts w:ascii="Century" w:hAnsi="Century" w:cstheme="minorHAnsi"/>
        </w:rPr>
        <w:t xml:space="preserve"> </w:t>
      </w:r>
      <w:r w:rsidRPr="003A6DFC">
        <w:rPr>
          <w:rFonts w:ascii="Century" w:hAnsi="Century" w:cstheme="minorHAnsi"/>
        </w:rPr>
        <w:t xml:space="preserve">mainly </w:t>
      </w:r>
      <w:r w:rsidR="00C15B5B" w:rsidRPr="003A6DFC">
        <w:rPr>
          <w:rFonts w:ascii="Century" w:hAnsi="Century" w:cstheme="minorHAnsi"/>
        </w:rPr>
        <w:t>use Australian data</w:t>
      </w:r>
      <w:r w:rsidRPr="003A6DFC">
        <w:rPr>
          <w:rFonts w:ascii="Century" w:hAnsi="Century" w:cstheme="minorHAnsi"/>
        </w:rPr>
        <w:t xml:space="preserve"> (</w:t>
      </w:r>
      <w:r w:rsidR="00E552CF" w:rsidRPr="003A6DFC">
        <w:rPr>
          <w:rFonts w:ascii="Century" w:hAnsi="Century" w:cs="Times New Roman"/>
          <w:lang w:val="en-GB"/>
        </w:rPr>
        <w:t>Black et al., 2017; Chen et al., 2021; Clarke and Ryan, 2006; Crossley and Kennedy, 2002</w:t>
      </w:r>
      <w:r w:rsidRPr="003A6DFC">
        <w:rPr>
          <w:rFonts w:ascii="Century" w:hAnsi="Century" w:cstheme="minorHAnsi"/>
        </w:rPr>
        <w:t>)</w:t>
      </w:r>
      <w:r w:rsidR="00C15B5B" w:rsidRPr="003A6DFC">
        <w:rPr>
          <w:rFonts w:ascii="Century" w:hAnsi="Century" w:cstheme="minorHAnsi"/>
        </w:rPr>
        <w:t>. These studies often compare responses from SAH questions with different wording</w:t>
      </w:r>
      <w:r w:rsidR="00883A72" w:rsidRPr="003A6DFC">
        <w:rPr>
          <w:rFonts w:ascii="Century" w:hAnsi="Century" w:cstheme="minorHAnsi"/>
        </w:rPr>
        <w:t xml:space="preserve"> and/or </w:t>
      </w:r>
      <w:r w:rsidR="00C15B5B" w:rsidRPr="003A6DFC">
        <w:rPr>
          <w:rFonts w:ascii="Century" w:hAnsi="Century" w:cstheme="minorHAnsi"/>
        </w:rPr>
        <w:t>SAH measures that are asked wi</w:t>
      </w:r>
      <w:r w:rsidR="00883A72" w:rsidRPr="003A6DFC">
        <w:rPr>
          <w:rFonts w:ascii="Century" w:hAnsi="Century" w:cstheme="minorHAnsi"/>
        </w:rPr>
        <w:t xml:space="preserve">thin a </w:t>
      </w:r>
      <w:r w:rsidR="00BD5917" w:rsidRPr="003A6DFC">
        <w:rPr>
          <w:rFonts w:ascii="Century" w:hAnsi="Century" w:cstheme="minorHAnsi"/>
        </w:rPr>
        <w:t xml:space="preserve">wider </w:t>
      </w:r>
      <w:r w:rsidR="00883A72" w:rsidRPr="003A6DFC">
        <w:rPr>
          <w:rFonts w:ascii="Century" w:hAnsi="Century" w:cstheme="minorHAnsi"/>
        </w:rPr>
        <w:t>time window</w:t>
      </w:r>
      <w:r w:rsidR="00330126" w:rsidRPr="003A6DFC">
        <w:rPr>
          <w:rFonts w:ascii="Century" w:hAnsi="Century" w:cstheme="minorHAnsi"/>
        </w:rPr>
        <w:t xml:space="preserve"> (up to 30 days)</w:t>
      </w:r>
      <w:r w:rsidR="00BD5917" w:rsidRPr="003A6DFC">
        <w:rPr>
          <w:rFonts w:ascii="Century" w:hAnsi="Century" w:cstheme="minorHAnsi"/>
        </w:rPr>
        <w:t xml:space="preserve"> rather than within </w:t>
      </w:r>
      <w:r w:rsidR="00CC3164" w:rsidRPr="003A6DFC">
        <w:rPr>
          <w:rFonts w:ascii="Century" w:hAnsi="Century" w:cstheme="minorHAnsi"/>
        </w:rPr>
        <w:t xml:space="preserve">the time window allowed at </w:t>
      </w:r>
      <w:r w:rsidR="00BD5917" w:rsidRPr="003A6DFC">
        <w:rPr>
          <w:rFonts w:ascii="Century" w:hAnsi="Century" w:cstheme="minorHAnsi"/>
        </w:rPr>
        <w:t xml:space="preserve">the same household interview </w:t>
      </w:r>
      <w:r w:rsidR="00BD5917" w:rsidRPr="003A6DFC">
        <w:rPr>
          <w:rFonts w:ascii="Century" w:hAnsi="Century" w:cs="Times New Roman"/>
          <w:lang w:val="en-GB"/>
        </w:rPr>
        <w:t>(Black et al., 2017; Clarke and Ryan, 2006)</w:t>
      </w:r>
      <w:r w:rsidR="00B12208" w:rsidRPr="003A6DFC">
        <w:rPr>
          <w:rFonts w:ascii="Century" w:hAnsi="Century" w:cstheme="minorHAnsi"/>
        </w:rPr>
        <w:t>.</w:t>
      </w:r>
      <w:r w:rsidR="008505AC" w:rsidRPr="003A6DFC">
        <w:rPr>
          <w:rFonts w:ascii="Century" w:hAnsi="Century" w:cstheme="minorHAnsi"/>
        </w:rPr>
        <w:t xml:space="preserve"> </w:t>
      </w:r>
      <w:r w:rsidR="000D30AA" w:rsidRPr="003A6DFC">
        <w:rPr>
          <w:rFonts w:ascii="Century" w:hAnsi="Century" w:cstheme="minorHAnsi"/>
        </w:rPr>
        <w:t xml:space="preserve">For instance, a wider time window between SAH questions may introduce time-varying unobservable influences which may affect actual people’s health and/or affect people’s responses revising their responses regardless of </w:t>
      </w:r>
      <w:proofErr w:type="gramStart"/>
      <w:r w:rsidR="000D30AA" w:rsidRPr="003A6DFC">
        <w:rPr>
          <w:rFonts w:ascii="Century" w:hAnsi="Century" w:cstheme="minorHAnsi"/>
        </w:rPr>
        <w:t>whether or not</w:t>
      </w:r>
      <w:proofErr w:type="gramEnd"/>
      <w:r w:rsidR="000D30AA" w:rsidRPr="003A6DFC">
        <w:rPr>
          <w:rFonts w:ascii="Century" w:hAnsi="Century" w:cstheme="minorHAnsi"/>
        </w:rPr>
        <w:t xml:space="preserve"> their actual health may have changed. Consequently, comparisons of repeated SAH questions collected after a wide time interval may </w:t>
      </w:r>
      <w:r w:rsidR="000D30AA" w:rsidRPr="003A6DFC">
        <w:rPr>
          <w:rFonts w:ascii="Century" w:hAnsi="Century" w:cstheme="minorHAnsi"/>
        </w:rPr>
        <w:lastRenderedPageBreak/>
        <w:t xml:space="preserve">produce misleading results and uncertainty on </w:t>
      </w:r>
      <w:proofErr w:type="gramStart"/>
      <w:r w:rsidR="000D30AA" w:rsidRPr="003A6DFC">
        <w:rPr>
          <w:rFonts w:ascii="Century" w:hAnsi="Century" w:cstheme="minorHAnsi"/>
        </w:rPr>
        <w:t>whether or not</w:t>
      </w:r>
      <w:proofErr w:type="gramEnd"/>
      <w:r w:rsidR="000D30AA" w:rsidRPr="003A6DFC">
        <w:rPr>
          <w:rFonts w:ascii="Century" w:hAnsi="Century" w:cstheme="minorHAnsi"/>
        </w:rPr>
        <w:t xml:space="preserve"> this is driven by changes of peoples actual underlying health. In our study, respondents report their SAH using different collection modes in a short time window within the same UKHLS wave.</w:t>
      </w:r>
      <w:r w:rsidR="000D30AA" w:rsidRPr="003A6DFC">
        <w:rPr>
          <w:rFonts w:ascii="Century" w:hAnsi="Century"/>
          <w:b/>
          <w:bCs/>
          <w:lang w:val="en-GB"/>
        </w:rPr>
        <w:t xml:space="preserve"> </w:t>
      </w:r>
      <w:r w:rsidR="000D30AA" w:rsidRPr="003A6DFC">
        <w:rPr>
          <w:rFonts w:ascii="Century" w:hAnsi="Century"/>
          <w:lang w:val="en-GB"/>
        </w:rPr>
        <w:t>Furthermore,</w:t>
      </w:r>
      <w:r w:rsidR="000D30AA" w:rsidRPr="003A6DFC">
        <w:rPr>
          <w:rFonts w:ascii="Century" w:hAnsi="Century"/>
          <w:b/>
          <w:bCs/>
          <w:i/>
          <w:iCs/>
          <w:lang w:val="en-GB"/>
        </w:rPr>
        <w:t xml:space="preserve"> </w:t>
      </w:r>
      <w:r w:rsidR="000D30AA" w:rsidRPr="003A6DFC">
        <w:rPr>
          <w:rFonts w:ascii="Century" w:hAnsi="Century" w:cstheme="minorHAnsi"/>
        </w:rPr>
        <w:t>o</w:t>
      </w:r>
      <w:r w:rsidR="006D252A" w:rsidRPr="003A6DFC">
        <w:rPr>
          <w:rFonts w:ascii="Century" w:hAnsi="Century" w:cstheme="minorHAnsi"/>
        </w:rPr>
        <w:t>ften these studies are based on cross-sectional data and even w</w:t>
      </w:r>
      <w:r w:rsidR="00BD5917" w:rsidRPr="003A6DFC">
        <w:rPr>
          <w:rFonts w:ascii="Century" w:hAnsi="Century" w:cstheme="minorHAnsi"/>
        </w:rPr>
        <w:t xml:space="preserve">hen longitudinal data on duplicate responses to different SAH questions within each wave is available, they are </w:t>
      </w:r>
      <w:r w:rsidR="00EB72A1" w:rsidRPr="003A6DFC">
        <w:rPr>
          <w:rFonts w:ascii="Century" w:hAnsi="Century" w:cstheme="minorHAnsi"/>
        </w:rPr>
        <w:t xml:space="preserve">often based on </w:t>
      </w:r>
      <w:r w:rsidR="00BD5917" w:rsidRPr="003A6DFC">
        <w:rPr>
          <w:rFonts w:ascii="Century" w:hAnsi="Century" w:cstheme="minorHAnsi"/>
        </w:rPr>
        <w:t xml:space="preserve">unequally spaced panels, which </w:t>
      </w:r>
      <w:r w:rsidR="00BB12F8" w:rsidRPr="003A6DFC">
        <w:rPr>
          <w:rFonts w:ascii="Century" w:hAnsi="Century" w:cstheme="minorHAnsi"/>
        </w:rPr>
        <w:t xml:space="preserve">may </w:t>
      </w:r>
      <w:r w:rsidR="00DC5FD0" w:rsidRPr="003A6DFC">
        <w:rPr>
          <w:rFonts w:ascii="Century" w:hAnsi="Century" w:cstheme="minorHAnsi"/>
        </w:rPr>
        <w:t>limi</w:t>
      </w:r>
      <w:r w:rsidR="00EB10A3" w:rsidRPr="003A6DFC">
        <w:rPr>
          <w:rFonts w:ascii="Century" w:hAnsi="Century" w:cstheme="minorHAnsi"/>
        </w:rPr>
        <w:t>t</w:t>
      </w:r>
      <w:r w:rsidR="00B12208" w:rsidRPr="003A6DFC">
        <w:rPr>
          <w:rFonts w:ascii="Century" w:hAnsi="Century" w:cstheme="minorHAnsi"/>
        </w:rPr>
        <w:t xml:space="preserve"> analysis of persistent patterns </w:t>
      </w:r>
      <w:r w:rsidR="00EB10A3" w:rsidRPr="003A6DFC">
        <w:rPr>
          <w:rFonts w:ascii="Century" w:hAnsi="Century" w:cstheme="minorHAnsi"/>
        </w:rPr>
        <w:t>i</w:t>
      </w:r>
      <w:r w:rsidR="00B12208" w:rsidRPr="003A6DFC">
        <w:rPr>
          <w:rFonts w:ascii="Century" w:hAnsi="Century" w:cstheme="minorHAnsi"/>
        </w:rPr>
        <w:t xml:space="preserve">n inconsistency </w:t>
      </w:r>
      <w:r w:rsidR="009B26D0" w:rsidRPr="003A6DFC">
        <w:rPr>
          <w:rFonts w:ascii="Century" w:hAnsi="Century" w:cstheme="minorHAnsi"/>
        </w:rPr>
        <w:t xml:space="preserve">SAH </w:t>
      </w:r>
      <w:r w:rsidR="00B12208" w:rsidRPr="003A6DFC">
        <w:rPr>
          <w:rFonts w:ascii="Century" w:hAnsi="Century" w:cstheme="minorHAnsi"/>
        </w:rPr>
        <w:t xml:space="preserve">reporting </w:t>
      </w:r>
      <w:proofErr w:type="spellStart"/>
      <w:r w:rsidR="00EB33B0" w:rsidRPr="003A6DFC">
        <w:rPr>
          <w:rFonts w:ascii="Century" w:hAnsi="Century" w:cstheme="minorHAnsi"/>
        </w:rPr>
        <w:t>behaviour</w:t>
      </w:r>
      <w:proofErr w:type="spellEnd"/>
      <w:r w:rsidR="00DD517A" w:rsidRPr="003A6DFC">
        <w:rPr>
          <w:rFonts w:ascii="Century" w:hAnsi="Century" w:cstheme="minorHAnsi"/>
        </w:rPr>
        <w:t xml:space="preserve"> </w:t>
      </w:r>
      <w:r w:rsidR="00DD517A" w:rsidRPr="003A6DFC">
        <w:rPr>
          <w:rFonts w:ascii="Century" w:hAnsi="Century" w:cs="Times New Roman"/>
          <w:lang w:val="en-GB"/>
        </w:rPr>
        <w:t xml:space="preserve">(Black et al., 2017; </w:t>
      </w:r>
      <w:r w:rsidR="00FD5CC7" w:rsidRPr="003A6DFC">
        <w:rPr>
          <w:rFonts w:ascii="Century" w:hAnsi="Century" w:cs="Times New Roman"/>
          <w:lang w:val="en-GB"/>
        </w:rPr>
        <w:t xml:space="preserve">Chen et al., 2021; </w:t>
      </w:r>
      <w:r w:rsidR="00DD517A" w:rsidRPr="003A6DFC">
        <w:rPr>
          <w:rFonts w:ascii="Century" w:hAnsi="Century" w:cs="Times New Roman"/>
          <w:lang w:val="en-GB"/>
        </w:rPr>
        <w:t>Clarke and Ryan, 2006; Crossley and Kennedy, 2002)</w:t>
      </w:r>
      <w:r w:rsidR="00B12208" w:rsidRPr="003A6DFC">
        <w:rPr>
          <w:rFonts w:ascii="Century" w:hAnsi="Century" w:cstheme="minorHAnsi"/>
        </w:rPr>
        <w:t xml:space="preserve">. </w:t>
      </w:r>
    </w:p>
    <w:p w14:paraId="681AEFF7" w14:textId="628C553D" w:rsidR="00330126" w:rsidRPr="003A6DFC" w:rsidRDefault="008505AC" w:rsidP="001D1FB1">
      <w:pPr>
        <w:spacing w:after="0" w:line="360" w:lineRule="auto"/>
        <w:ind w:firstLine="708"/>
        <w:jc w:val="both"/>
        <w:rPr>
          <w:rFonts w:ascii="Century" w:hAnsi="Century" w:cstheme="minorHAnsi"/>
        </w:rPr>
      </w:pPr>
      <w:r w:rsidRPr="003A6DFC">
        <w:rPr>
          <w:rFonts w:ascii="Century" w:hAnsi="Century" w:cstheme="minorHAnsi"/>
        </w:rPr>
        <w:t xml:space="preserve">Moreover, none of these studies have </w:t>
      </w:r>
      <w:r w:rsidR="00A41387" w:rsidRPr="003A6DFC">
        <w:rPr>
          <w:rFonts w:ascii="Century" w:hAnsi="Century" w:cstheme="minorHAnsi"/>
        </w:rPr>
        <w:t>used</w:t>
      </w:r>
      <w:r w:rsidRPr="003A6DFC">
        <w:rPr>
          <w:rFonts w:ascii="Century" w:hAnsi="Century" w:cstheme="minorHAnsi"/>
        </w:rPr>
        <w:t xml:space="preserve"> more objectively measured health indicators, such as nurse-administered and blood-based biomarker data</w:t>
      </w:r>
      <w:r w:rsidR="00A41387" w:rsidRPr="003A6DFC">
        <w:rPr>
          <w:rFonts w:ascii="Century" w:hAnsi="Century" w:cstheme="minorHAnsi"/>
        </w:rPr>
        <w:t xml:space="preserve">, and </w:t>
      </w:r>
      <w:r w:rsidRPr="003A6DFC">
        <w:rPr>
          <w:rFonts w:ascii="Century" w:hAnsi="Century" w:cstheme="minorHAnsi"/>
        </w:rPr>
        <w:t xml:space="preserve">do not </w:t>
      </w:r>
      <w:proofErr w:type="spellStart"/>
      <w:r w:rsidR="00A41387" w:rsidRPr="003A6DFC">
        <w:rPr>
          <w:rFonts w:ascii="Century" w:hAnsi="Century" w:cstheme="minorHAnsi"/>
        </w:rPr>
        <w:t>analyse</w:t>
      </w:r>
      <w:proofErr w:type="spellEnd"/>
      <w:r w:rsidRPr="003A6DFC">
        <w:rPr>
          <w:rFonts w:ascii="Century" w:hAnsi="Century" w:cstheme="minorHAnsi"/>
        </w:rPr>
        <w:t xml:space="preserve"> </w:t>
      </w:r>
      <w:r w:rsidR="00A174EB" w:rsidRPr="003A6DFC">
        <w:rPr>
          <w:rFonts w:ascii="Century" w:hAnsi="Century" w:cstheme="minorHAnsi"/>
        </w:rPr>
        <w:t xml:space="preserve">whether </w:t>
      </w:r>
      <w:r w:rsidR="00C83027" w:rsidRPr="003A6DFC">
        <w:rPr>
          <w:rFonts w:ascii="Century" w:hAnsi="Century" w:cstheme="minorHAnsi"/>
        </w:rPr>
        <w:t>individuals’</w:t>
      </w:r>
      <w:r w:rsidR="00A174EB" w:rsidRPr="003A6DFC">
        <w:rPr>
          <w:rFonts w:ascii="Century" w:hAnsi="Century" w:cstheme="minorHAnsi"/>
        </w:rPr>
        <w:t xml:space="preserve"> biological health status </w:t>
      </w:r>
      <w:r w:rsidR="00A41387" w:rsidRPr="003A6DFC">
        <w:rPr>
          <w:rFonts w:ascii="Century" w:hAnsi="Century" w:cstheme="minorHAnsi"/>
        </w:rPr>
        <w:t>is</w:t>
      </w:r>
      <w:r w:rsidR="00A174EB" w:rsidRPr="003A6DFC">
        <w:rPr>
          <w:rFonts w:ascii="Century" w:hAnsi="Century" w:cstheme="minorHAnsi"/>
        </w:rPr>
        <w:t xml:space="preserve"> reflected </w:t>
      </w:r>
      <w:r w:rsidR="00A41387" w:rsidRPr="003A6DFC">
        <w:rPr>
          <w:rFonts w:ascii="Century" w:hAnsi="Century" w:cstheme="minorHAnsi"/>
        </w:rPr>
        <w:t>differently across the two</w:t>
      </w:r>
      <w:r w:rsidR="002B3CB2" w:rsidRPr="003A6DFC">
        <w:rPr>
          <w:rFonts w:ascii="Century" w:hAnsi="Century" w:cstheme="minorHAnsi"/>
        </w:rPr>
        <w:t xml:space="preserve"> SAH measured administered using different survey modes (open interview and self-completion)</w:t>
      </w:r>
      <w:r w:rsidR="00C83027" w:rsidRPr="003A6DFC">
        <w:rPr>
          <w:rFonts w:ascii="Century" w:hAnsi="Century" w:cstheme="minorHAnsi"/>
        </w:rPr>
        <w:t xml:space="preserve">. </w:t>
      </w:r>
      <w:r w:rsidR="00CA10C7" w:rsidRPr="003A6DFC">
        <w:rPr>
          <w:rFonts w:ascii="Century" w:hAnsi="Century" w:cstheme="minorHAnsi"/>
        </w:rPr>
        <w:t xml:space="preserve">Particularly, the scope of this approach is to validate individual responses to SAH questions from different interview modes by using measures of biomarkers as proxies of people’s true underlying health regarding certain dimensions. Biomarkers are objective health measures that not only capture pathogenic processes but also reflect clinical condition and pre-symptomatic perception of individuals (Colburn et al., 2001). Some biomarkers (e.g., obesity) may capture conditions that are more visible than others (e.g., cholesterol), which may be associated with different response for the same SAH question from different modes of collection. For instance, social desirability, i.e., when respondents tend to take social norms into account in the case that interviews involve social interactions that is more likely to happen in the open-interview mode (Bowling, 2005), may be a driving force behind potential differences in the association between more objective measures of health and reporting </w:t>
      </w:r>
      <w:proofErr w:type="spellStart"/>
      <w:r w:rsidR="00CA10C7" w:rsidRPr="003A6DFC">
        <w:rPr>
          <w:rFonts w:ascii="Century" w:hAnsi="Century" w:cstheme="minorHAnsi"/>
        </w:rPr>
        <w:t>behaviour</w:t>
      </w:r>
      <w:proofErr w:type="spellEnd"/>
      <w:r w:rsidR="00CA10C7" w:rsidRPr="003A6DFC">
        <w:rPr>
          <w:rFonts w:ascii="Century" w:hAnsi="Century" w:cstheme="minorHAnsi"/>
        </w:rPr>
        <w:t xml:space="preserve"> to SAH questions by mode of administration if people face a more visible health condition.</w:t>
      </w:r>
    </w:p>
    <w:p w14:paraId="2300AC2C" w14:textId="3F92293E" w:rsidR="001D1FB1" w:rsidRPr="003A6DFC" w:rsidRDefault="008E05A4" w:rsidP="001D1FB1">
      <w:pPr>
        <w:spacing w:after="0" w:line="360" w:lineRule="auto"/>
        <w:ind w:firstLine="708"/>
        <w:jc w:val="both"/>
        <w:rPr>
          <w:rFonts w:ascii="Century" w:hAnsi="Century"/>
        </w:rPr>
      </w:pPr>
      <w:r w:rsidRPr="003A6DFC">
        <w:rPr>
          <w:rFonts w:ascii="Century" w:hAnsi="Century" w:cs="Times New Roman"/>
          <w:lang w:val="en-GB"/>
        </w:rPr>
        <w:t>Our paper contributes to th</w:t>
      </w:r>
      <w:r w:rsidR="00EB72A1" w:rsidRPr="003A6DFC">
        <w:rPr>
          <w:rFonts w:ascii="Century" w:hAnsi="Century" w:cs="Times New Roman"/>
          <w:lang w:val="en-GB"/>
        </w:rPr>
        <w:t>is</w:t>
      </w:r>
      <w:r w:rsidRPr="003A6DFC">
        <w:rPr>
          <w:rFonts w:ascii="Century" w:hAnsi="Century" w:cs="Times New Roman"/>
          <w:lang w:val="en-GB"/>
        </w:rPr>
        <w:t xml:space="preserve"> literature in </w:t>
      </w:r>
      <w:proofErr w:type="gramStart"/>
      <w:r w:rsidRPr="003A6DFC">
        <w:rPr>
          <w:rFonts w:ascii="Century" w:hAnsi="Century" w:cs="Times New Roman"/>
          <w:lang w:val="en-GB"/>
        </w:rPr>
        <w:t>a number of</w:t>
      </w:r>
      <w:proofErr w:type="gramEnd"/>
      <w:r w:rsidRPr="003A6DFC">
        <w:rPr>
          <w:rFonts w:ascii="Century" w:hAnsi="Century" w:cs="Times New Roman"/>
          <w:lang w:val="en-GB"/>
        </w:rPr>
        <w:t xml:space="preserve"> ways. </w:t>
      </w:r>
      <w:r w:rsidR="00FA0F0A" w:rsidRPr="003A6DFC">
        <w:rPr>
          <w:rFonts w:ascii="Century" w:hAnsi="Century" w:cs="Times New Roman"/>
          <w:lang w:val="en-GB"/>
        </w:rPr>
        <w:t>We capitali</w:t>
      </w:r>
      <w:r w:rsidR="00EB72A1" w:rsidRPr="003A6DFC">
        <w:rPr>
          <w:rFonts w:ascii="Century" w:hAnsi="Century" w:cs="Times New Roman"/>
          <w:lang w:val="en-GB"/>
        </w:rPr>
        <w:t>s</w:t>
      </w:r>
      <w:r w:rsidR="00FA0F0A" w:rsidRPr="003A6DFC">
        <w:rPr>
          <w:rFonts w:ascii="Century" w:hAnsi="Century" w:cs="Times New Roman"/>
          <w:lang w:val="en-GB"/>
        </w:rPr>
        <w:t xml:space="preserve">e on the </w:t>
      </w:r>
      <w:r w:rsidR="00FA0F0A" w:rsidRPr="003A6DFC">
        <w:rPr>
          <w:rFonts w:ascii="Century" w:hAnsi="Century"/>
        </w:rPr>
        <w:t xml:space="preserve">rare opportunity provided by UK Household Longitudinal Study (UKHLS) </w:t>
      </w:r>
      <w:r w:rsidR="006D3FFD" w:rsidRPr="003A6DFC">
        <w:rPr>
          <w:rFonts w:ascii="Century" w:hAnsi="Century"/>
        </w:rPr>
        <w:t xml:space="preserve">which </w:t>
      </w:r>
      <w:r w:rsidR="00FA0F0A" w:rsidRPr="003A6DFC">
        <w:rPr>
          <w:rFonts w:ascii="Century" w:hAnsi="Century"/>
        </w:rPr>
        <w:t>ask</w:t>
      </w:r>
      <w:r w:rsidR="006D3FFD" w:rsidRPr="003A6DFC">
        <w:rPr>
          <w:rFonts w:ascii="Century" w:hAnsi="Century"/>
        </w:rPr>
        <w:t>s</w:t>
      </w:r>
      <w:r w:rsidR="00FA0F0A" w:rsidRPr="003A6DFC">
        <w:rPr>
          <w:rFonts w:ascii="Century" w:hAnsi="Century"/>
        </w:rPr>
        <w:t xml:space="preserve"> respondents the same SAH question with identical wording twice</w:t>
      </w:r>
      <w:r w:rsidR="00283A73" w:rsidRPr="003A6DFC">
        <w:rPr>
          <w:rFonts w:ascii="Century" w:hAnsi="Century"/>
        </w:rPr>
        <w:t xml:space="preserve"> (one with a self-completion </w:t>
      </w:r>
      <w:r w:rsidR="006D3FFD" w:rsidRPr="003A6DFC">
        <w:rPr>
          <w:rFonts w:ascii="Century" w:hAnsi="Century"/>
        </w:rPr>
        <w:t xml:space="preserve">mode </w:t>
      </w:r>
      <w:r w:rsidR="00283A73" w:rsidRPr="003A6DFC">
        <w:rPr>
          <w:rFonts w:ascii="Century" w:hAnsi="Century"/>
        </w:rPr>
        <w:t>and one with an open interview mode)</w:t>
      </w:r>
      <w:r w:rsidR="00FA0F0A" w:rsidRPr="003A6DFC">
        <w:rPr>
          <w:rFonts w:ascii="Century" w:hAnsi="Century"/>
        </w:rPr>
        <w:t xml:space="preserve">, </w:t>
      </w:r>
      <w:r w:rsidR="00E77AEA" w:rsidRPr="003A6DFC">
        <w:rPr>
          <w:rFonts w:ascii="Century" w:hAnsi="Century"/>
        </w:rPr>
        <w:t xml:space="preserve">mainly </w:t>
      </w:r>
      <w:r w:rsidR="00FA0F0A" w:rsidRPr="003A6DFC">
        <w:rPr>
          <w:rFonts w:ascii="Century" w:hAnsi="Century"/>
        </w:rPr>
        <w:t>within</w:t>
      </w:r>
      <w:r w:rsidR="00E77AEA" w:rsidRPr="003A6DFC">
        <w:rPr>
          <w:rFonts w:ascii="Century" w:hAnsi="Century"/>
        </w:rPr>
        <w:t xml:space="preserve"> </w:t>
      </w:r>
      <w:r w:rsidR="00E77AEA" w:rsidRPr="003A6DFC">
        <w:rPr>
          <w:rFonts w:ascii="Century" w:hAnsi="Century"/>
        </w:rPr>
        <w:lastRenderedPageBreak/>
        <w:t>the same household interview</w:t>
      </w:r>
      <w:r w:rsidR="00FA0F0A" w:rsidRPr="003A6DFC">
        <w:rPr>
          <w:rFonts w:ascii="Century" w:hAnsi="Century"/>
        </w:rPr>
        <w:t xml:space="preserve"> at UKHLS </w:t>
      </w:r>
      <w:r w:rsidR="00A3497E" w:rsidRPr="003A6DFC">
        <w:rPr>
          <w:rFonts w:ascii="Century" w:hAnsi="Century"/>
        </w:rPr>
        <w:t>W</w:t>
      </w:r>
      <w:r w:rsidR="00FA0F0A" w:rsidRPr="003A6DFC">
        <w:rPr>
          <w:rFonts w:ascii="Century" w:hAnsi="Century"/>
        </w:rPr>
        <w:t>aves 2, 3, 4 and 5.</w:t>
      </w:r>
      <w:r w:rsidR="00E77AEA" w:rsidRPr="003A6DFC">
        <w:rPr>
          <w:rStyle w:val="Refdenotaderodap"/>
          <w:rFonts w:ascii="Century" w:hAnsi="Century"/>
        </w:rPr>
        <w:footnoteReference w:id="3"/>
      </w:r>
      <w:r w:rsidR="00FA0F0A" w:rsidRPr="003A6DFC">
        <w:rPr>
          <w:rFonts w:ascii="Century" w:hAnsi="Century"/>
        </w:rPr>
        <w:t xml:space="preserve"> Descriptive analysis of the data show considerable inconsistency </w:t>
      </w:r>
      <w:r w:rsidR="00A3497E" w:rsidRPr="003A6DFC">
        <w:rPr>
          <w:rFonts w:ascii="Century" w:hAnsi="Century"/>
        </w:rPr>
        <w:t xml:space="preserve">in reporting </w:t>
      </w:r>
      <w:r w:rsidR="0064610B" w:rsidRPr="003A6DFC">
        <w:rPr>
          <w:rFonts w:ascii="Century" w:hAnsi="Century"/>
        </w:rPr>
        <w:t>of the</w:t>
      </w:r>
      <w:r w:rsidR="00A3497E" w:rsidRPr="003A6DFC">
        <w:rPr>
          <w:rFonts w:ascii="Century" w:hAnsi="Century"/>
        </w:rPr>
        <w:t xml:space="preserve"> SAH questions within each wave. We </w:t>
      </w:r>
      <w:r w:rsidR="00283A73" w:rsidRPr="003A6DFC">
        <w:rPr>
          <w:rFonts w:ascii="Century" w:hAnsi="Century"/>
        </w:rPr>
        <w:t xml:space="preserve">estimate </w:t>
      </w:r>
      <w:r w:rsidR="0009288C" w:rsidRPr="003A6DFC">
        <w:rPr>
          <w:rFonts w:ascii="Century" w:hAnsi="Century"/>
        </w:rPr>
        <w:t xml:space="preserve">multivariate </w:t>
      </w:r>
      <w:r w:rsidR="00A3497E" w:rsidRPr="003A6DFC">
        <w:rPr>
          <w:rFonts w:ascii="Century" w:hAnsi="Century"/>
        </w:rPr>
        <w:t>models to</w:t>
      </w:r>
      <w:r w:rsidR="00283A73" w:rsidRPr="003A6DFC">
        <w:rPr>
          <w:rFonts w:ascii="Century" w:hAnsi="Century"/>
        </w:rPr>
        <w:t xml:space="preserve"> explore the profile of those individuals </w:t>
      </w:r>
      <w:r w:rsidR="0009288C" w:rsidRPr="003A6DFC">
        <w:rPr>
          <w:rFonts w:ascii="Century" w:hAnsi="Century"/>
        </w:rPr>
        <w:t xml:space="preserve">who </w:t>
      </w:r>
      <w:r w:rsidR="00283A73" w:rsidRPr="003A6DFC">
        <w:rPr>
          <w:rFonts w:ascii="Century" w:hAnsi="Century"/>
        </w:rPr>
        <w:t xml:space="preserve">reported inconsistently to </w:t>
      </w:r>
      <w:r w:rsidR="009F6999" w:rsidRPr="003A6DFC">
        <w:rPr>
          <w:rFonts w:ascii="Century" w:hAnsi="Century"/>
        </w:rPr>
        <w:t xml:space="preserve">SAH </w:t>
      </w:r>
      <w:r w:rsidR="002A0E53" w:rsidRPr="003A6DFC">
        <w:rPr>
          <w:rFonts w:ascii="Century" w:hAnsi="Century"/>
        </w:rPr>
        <w:t xml:space="preserve">questions between the open interview and the self-completion mode within each UKHLS wave. </w:t>
      </w:r>
    </w:p>
    <w:p w14:paraId="2FECB0F7" w14:textId="1F34F8FE" w:rsidR="00C20784" w:rsidRPr="003A6DFC" w:rsidRDefault="00BC2F81" w:rsidP="0009686B">
      <w:pPr>
        <w:spacing w:after="0" w:line="360" w:lineRule="auto"/>
        <w:ind w:firstLine="708"/>
        <w:jc w:val="both"/>
        <w:rPr>
          <w:rFonts w:ascii="Century" w:hAnsi="Century"/>
        </w:rPr>
      </w:pPr>
      <w:r w:rsidRPr="003A6DFC">
        <w:rPr>
          <w:rFonts w:ascii="Century" w:hAnsi="Century"/>
        </w:rPr>
        <w:t xml:space="preserve">Second, </w:t>
      </w:r>
      <w:r w:rsidR="002B0752" w:rsidRPr="003A6DFC">
        <w:rPr>
          <w:rFonts w:ascii="Century" w:hAnsi="Century"/>
        </w:rPr>
        <w:t xml:space="preserve">we implement analysis to explore the </w:t>
      </w:r>
      <w:r w:rsidR="00A41387" w:rsidRPr="003A6DFC">
        <w:rPr>
          <w:rFonts w:ascii="Century" w:hAnsi="Century"/>
        </w:rPr>
        <w:t>frequency of</w:t>
      </w:r>
      <w:r w:rsidR="002B0752" w:rsidRPr="003A6DFC">
        <w:rPr>
          <w:rFonts w:ascii="Century" w:hAnsi="Century"/>
        </w:rPr>
        <w:t xml:space="preserve"> reporting inconsistencies. Specifically, </w:t>
      </w:r>
      <w:r w:rsidR="00940B13" w:rsidRPr="003A6DFC">
        <w:rPr>
          <w:rFonts w:ascii="Century" w:hAnsi="Century"/>
        </w:rPr>
        <w:t xml:space="preserve">we </w:t>
      </w:r>
      <w:r w:rsidR="00725174" w:rsidRPr="003A6DFC">
        <w:rPr>
          <w:rFonts w:ascii="Century" w:hAnsi="Century"/>
        </w:rPr>
        <w:t xml:space="preserve">study </w:t>
      </w:r>
      <w:r w:rsidR="0033396C" w:rsidRPr="003A6DFC">
        <w:rPr>
          <w:rFonts w:ascii="Century" w:hAnsi="Century"/>
        </w:rPr>
        <w:t xml:space="preserve">inconsistent </w:t>
      </w:r>
      <w:r w:rsidR="003821AB" w:rsidRPr="003A6DFC">
        <w:rPr>
          <w:rFonts w:ascii="Century" w:hAnsi="Century"/>
        </w:rPr>
        <w:t>reporting within a time frame that does not justify changes in their actual health status. Although these results do not provide guid</w:t>
      </w:r>
      <w:r w:rsidR="0064610B" w:rsidRPr="003A6DFC">
        <w:rPr>
          <w:rFonts w:ascii="Century" w:hAnsi="Century"/>
        </w:rPr>
        <w:t>ance</w:t>
      </w:r>
      <w:r w:rsidR="003821AB" w:rsidRPr="003A6DFC">
        <w:rPr>
          <w:rFonts w:ascii="Century" w:hAnsi="Century"/>
        </w:rPr>
        <w:t xml:space="preserve"> on whether </w:t>
      </w:r>
      <w:r w:rsidR="00BC04E3" w:rsidRPr="003A6DFC">
        <w:rPr>
          <w:rFonts w:ascii="Century" w:hAnsi="Century"/>
        </w:rPr>
        <w:t xml:space="preserve">the self-completed or the open interview mode </w:t>
      </w:r>
      <w:r w:rsidR="00725174" w:rsidRPr="003A6DFC">
        <w:rPr>
          <w:rFonts w:ascii="Century" w:hAnsi="Century"/>
        </w:rPr>
        <w:t>provides more reliable SAH measures</w:t>
      </w:r>
      <w:r w:rsidR="00BC04E3" w:rsidRPr="003A6DFC">
        <w:rPr>
          <w:rFonts w:ascii="Century" w:hAnsi="Century"/>
        </w:rPr>
        <w:t xml:space="preserve">, they </w:t>
      </w:r>
      <w:r w:rsidR="0064610B" w:rsidRPr="003A6DFC">
        <w:rPr>
          <w:rFonts w:ascii="Century" w:hAnsi="Century"/>
        </w:rPr>
        <w:t xml:space="preserve">do </w:t>
      </w:r>
      <w:r w:rsidR="00BC04E3" w:rsidRPr="003A6DFC">
        <w:rPr>
          <w:rFonts w:ascii="Century" w:hAnsi="Century"/>
        </w:rPr>
        <w:t xml:space="preserve">provide evidence </w:t>
      </w:r>
      <w:r w:rsidR="00BD3BFB" w:rsidRPr="003A6DFC">
        <w:rPr>
          <w:rFonts w:ascii="Century" w:hAnsi="Century"/>
        </w:rPr>
        <w:t>on whether the observed patterns are systematic and</w:t>
      </w:r>
      <w:r w:rsidR="0064610B" w:rsidRPr="003A6DFC">
        <w:rPr>
          <w:rFonts w:ascii="Century" w:hAnsi="Century"/>
        </w:rPr>
        <w:t xml:space="preserve"> persistent</w:t>
      </w:r>
      <w:r w:rsidR="0009288C" w:rsidRPr="003A6DFC">
        <w:rPr>
          <w:rFonts w:ascii="Century" w:hAnsi="Century"/>
        </w:rPr>
        <w:t>.</w:t>
      </w:r>
      <w:r w:rsidR="002A6ECD" w:rsidRPr="003A6DFC">
        <w:rPr>
          <w:rStyle w:val="Refdenotaderodap"/>
          <w:rFonts w:ascii="Century" w:hAnsi="Century"/>
        </w:rPr>
        <w:footnoteReference w:id="4"/>
      </w:r>
      <w:r w:rsidR="006C675A" w:rsidRPr="003A6DFC" w:rsidDel="00AE7966">
        <w:rPr>
          <w:rStyle w:val="Refdenotaderodap"/>
          <w:rFonts w:ascii="Century" w:hAnsi="Century"/>
        </w:rPr>
        <w:t xml:space="preserve"> </w:t>
      </w:r>
      <w:r w:rsidR="006C675A" w:rsidRPr="003A6DFC">
        <w:rPr>
          <w:rFonts w:ascii="Century" w:hAnsi="Century"/>
        </w:rPr>
        <w:t>It should be noted that in this paper we do not aim to disentangle any potential role of true state dependence (if any), i.e., that inconsistent response to the two SAH questions in the past may have a structural impact on the probability of inconsistent SAH responses in the future, from spurious state dependence, which may be attributed to time invariant (or serially correlated) individual-level characteristics, in explaining the observed persistence. Besides, u</w:t>
      </w:r>
      <w:r w:rsidR="002A6ECD" w:rsidRPr="003A6DFC">
        <w:rPr>
          <w:rFonts w:ascii="Century" w:hAnsi="Century"/>
        </w:rPr>
        <w:t xml:space="preserve">nlike Chen et al. (2021), our paper does not aim to assess which of the two SAH measures (the self-completion versus the open interview) is more accurate or the type and incidence of response errors associated with each of the two measures. The results suggest that reporting inconsistencies are a systematic </w:t>
      </w:r>
      <w:proofErr w:type="spellStart"/>
      <w:r w:rsidR="002A6ECD" w:rsidRPr="003A6DFC">
        <w:rPr>
          <w:rFonts w:ascii="Century" w:hAnsi="Century"/>
        </w:rPr>
        <w:t>behaviour</w:t>
      </w:r>
      <w:proofErr w:type="spellEnd"/>
      <w:r w:rsidR="002A6ECD" w:rsidRPr="003A6DFC">
        <w:rPr>
          <w:rFonts w:ascii="Century" w:hAnsi="Century"/>
        </w:rPr>
        <w:t xml:space="preserve"> that repeats over time for certain population groups. Non-random measurement error in SAH, that is associated with socioeconomic variables, </w:t>
      </w:r>
      <w:r w:rsidR="002A6ECD" w:rsidRPr="003A6DFC">
        <w:rPr>
          <w:rFonts w:ascii="Century" w:hAnsi="Century"/>
        </w:rPr>
        <w:lastRenderedPageBreak/>
        <w:t>may contaminate existing research using SAH measures as outcome or explanatory covariate.</w:t>
      </w:r>
    </w:p>
    <w:p w14:paraId="721F4FDD" w14:textId="7A61A95B" w:rsidR="00DD6C57" w:rsidRPr="003A6DFC" w:rsidRDefault="001D1FB1" w:rsidP="00DD6C57">
      <w:pPr>
        <w:spacing w:after="0" w:line="360" w:lineRule="auto"/>
        <w:ind w:firstLine="708"/>
        <w:jc w:val="both"/>
        <w:rPr>
          <w:rFonts w:ascii="Century" w:hAnsi="Century"/>
        </w:rPr>
      </w:pPr>
      <w:r w:rsidRPr="003A6DFC">
        <w:rPr>
          <w:rFonts w:ascii="Century" w:hAnsi="Century"/>
        </w:rPr>
        <w:t xml:space="preserve">Third, </w:t>
      </w:r>
      <w:r w:rsidR="00D92A87" w:rsidRPr="003A6DFC">
        <w:rPr>
          <w:rFonts w:ascii="Century" w:hAnsi="Century"/>
        </w:rPr>
        <w:t>the richness of our data allows us to use a detailed set of demographic and socioeconomic characteristics, cognitive and noncognitive skills as well as</w:t>
      </w:r>
      <w:r w:rsidR="00921441" w:rsidRPr="003A6DFC">
        <w:rPr>
          <w:rFonts w:ascii="Century" w:hAnsi="Century"/>
        </w:rPr>
        <w:t xml:space="preserve"> proxies of the micro-social environment during the household interview, such as the presence of other adults or children. </w:t>
      </w:r>
      <w:r w:rsidR="00953F82" w:rsidRPr="003A6DFC">
        <w:rPr>
          <w:rFonts w:ascii="Century" w:hAnsi="Century"/>
          <w:lang w:val="en-GB"/>
        </w:rPr>
        <w:t>T</w:t>
      </w:r>
      <w:r w:rsidR="00E4283D" w:rsidRPr="003A6DFC">
        <w:rPr>
          <w:rFonts w:ascii="Century" w:hAnsi="Century"/>
          <w:lang w:val="en-GB"/>
        </w:rPr>
        <w:t>he nature of the questionnaire content within the two SAH questions do</w:t>
      </w:r>
      <w:r w:rsidR="0033396C" w:rsidRPr="003A6DFC">
        <w:rPr>
          <w:rFonts w:ascii="Century" w:hAnsi="Century"/>
          <w:lang w:val="en-GB"/>
        </w:rPr>
        <w:t>es</w:t>
      </w:r>
      <w:r w:rsidR="00E4283D" w:rsidRPr="003A6DFC">
        <w:rPr>
          <w:rFonts w:ascii="Century" w:hAnsi="Century"/>
          <w:lang w:val="en-GB"/>
        </w:rPr>
        <w:t xml:space="preserve"> not allow us to explore whether any potential “learning” effects</w:t>
      </w:r>
      <w:r w:rsidR="00392BA8" w:rsidRPr="003A6DFC">
        <w:rPr>
          <w:rFonts w:ascii="Century" w:hAnsi="Century"/>
          <w:lang w:val="en-GB"/>
        </w:rPr>
        <w:t>,</w:t>
      </w:r>
      <w:r w:rsidR="00E4283D" w:rsidRPr="003A6DFC">
        <w:rPr>
          <w:rFonts w:ascii="Century" w:hAnsi="Century"/>
          <w:lang w:val="en-GB"/>
        </w:rPr>
        <w:t xml:space="preserve"> or “justification biases” may explain the observed inconsistencies in SAH within each wave.</w:t>
      </w:r>
      <w:r w:rsidR="00FE60C2" w:rsidRPr="003A6DFC">
        <w:rPr>
          <w:rStyle w:val="Refdenotaderodap"/>
          <w:rFonts w:ascii="Century" w:hAnsi="Century"/>
          <w:lang w:val="en-GB"/>
        </w:rPr>
        <w:footnoteReference w:id="5"/>
      </w:r>
      <w:r w:rsidR="00E4283D" w:rsidRPr="003A6DFC">
        <w:rPr>
          <w:rFonts w:ascii="Century" w:hAnsi="Century"/>
          <w:lang w:val="en-GB"/>
        </w:rPr>
        <w:t xml:space="preserve"> Instead, our analysis</w:t>
      </w:r>
      <w:r w:rsidR="0033396C" w:rsidRPr="003A6DFC">
        <w:rPr>
          <w:rFonts w:ascii="Century" w:hAnsi="Century"/>
          <w:lang w:val="en-GB"/>
        </w:rPr>
        <w:t xml:space="preserve"> </w:t>
      </w:r>
      <w:r w:rsidR="008C4AEE" w:rsidRPr="003A6DFC">
        <w:rPr>
          <w:rFonts w:ascii="Century" w:hAnsi="Century"/>
        </w:rPr>
        <w:t>allow</w:t>
      </w:r>
      <w:r w:rsidR="0033396C" w:rsidRPr="003A6DFC">
        <w:rPr>
          <w:rFonts w:ascii="Century" w:hAnsi="Century"/>
        </w:rPr>
        <w:t>s</w:t>
      </w:r>
      <w:r w:rsidR="008C4AEE" w:rsidRPr="003A6DFC">
        <w:rPr>
          <w:rFonts w:ascii="Century" w:hAnsi="Century"/>
        </w:rPr>
        <w:t xml:space="preserve"> us to </w:t>
      </w:r>
      <w:r w:rsidR="00080B89" w:rsidRPr="003A6DFC">
        <w:rPr>
          <w:rFonts w:ascii="Century" w:hAnsi="Century"/>
        </w:rPr>
        <w:t xml:space="preserve">identify the profile of those who are more likely to report SAH inconsistently as well as </w:t>
      </w:r>
      <w:r w:rsidR="006F33B9" w:rsidRPr="003A6DFC">
        <w:rPr>
          <w:rFonts w:ascii="Century" w:hAnsi="Century"/>
        </w:rPr>
        <w:t xml:space="preserve">those who </w:t>
      </w:r>
      <w:r w:rsidR="00CF4DA8" w:rsidRPr="003A6DFC">
        <w:rPr>
          <w:rFonts w:ascii="Century" w:hAnsi="Century"/>
        </w:rPr>
        <w:t xml:space="preserve">repeat this inconsistent reporting SAH </w:t>
      </w:r>
      <w:proofErr w:type="spellStart"/>
      <w:r w:rsidR="00CF4DA8" w:rsidRPr="003A6DFC">
        <w:rPr>
          <w:rFonts w:ascii="Century" w:hAnsi="Century"/>
        </w:rPr>
        <w:t>behavio</w:t>
      </w:r>
      <w:r w:rsidR="00392BA8" w:rsidRPr="003A6DFC">
        <w:rPr>
          <w:rFonts w:ascii="Century" w:hAnsi="Century"/>
        </w:rPr>
        <w:t>u</w:t>
      </w:r>
      <w:r w:rsidR="00CF4DA8" w:rsidRPr="003A6DFC">
        <w:rPr>
          <w:rFonts w:ascii="Century" w:hAnsi="Century"/>
        </w:rPr>
        <w:t>r</w:t>
      </w:r>
      <w:proofErr w:type="spellEnd"/>
      <w:r w:rsidR="00CF4DA8" w:rsidRPr="003A6DFC">
        <w:rPr>
          <w:rFonts w:ascii="Century" w:hAnsi="Century"/>
        </w:rPr>
        <w:t xml:space="preserve"> mo</w:t>
      </w:r>
      <w:r w:rsidR="0033396C" w:rsidRPr="003A6DFC">
        <w:rPr>
          <w:rFonts w:ascii="Century" w:hAnsi="Century"/>
        </w:rPr>
        <w:t>st frequently</w:t>
      </w:r>
      <w:r w:rsidR="00CF4DA8" w:rsidRPr="003A6DFC">
        <w:rPr>
          <w:rFonts w:ascii="Century" w:hAnsi="Century"/>
        </w:rPr>
        <w:t xml:space="preserve">. </w:t>
      </w:r>
      <w:r w:rsidR="00D27C03" w:rsidRPr="003A6DFC">
        <w:rPr>
          <w:rFonts w:ascii="Century" w:hAnsi="Century"/>
        </w:rPr>
        <w:t xml:space="preserve">Investigating the frequency of inconsistent responses help us to </w:t>
      </w:r>
      <w:proofErr w:type="spellStart"/>
      <w:r w:rsidR="00D27C03" w:rsidRPr="003A6DFC">
        <w:rPr>
          <w:rFonts w:ascii="Century" w:hAnsi="Century"/>
        </w:rPr>
        <w:t>characterise</w:t>
      </w:r>
      <w:proofErr w:type="spellEnd"/>
      <w:r w:rsidR="00D27C03" w:rsidRPr="003A6DFC">
        <w:rPr>
          <w:rFonts w:ascii="Century" w:hAnsi="Century"/>
        </w:rPr>
        <w:t xml:space="preserve"> the profile of those individuals who reported SAH without consistency more persistently. The latter suggests that reporting inconsistencies are a systematic </w:t>
      </w:r>
      <w:proofErr w:type="spellStart"/>
      <w:r w:rsidR="00D27C03" w:rsidRPr="003A6DFC">
        <w:rPr>
          <w:rFonts w:ascii="Century" w:hAnsi="Century"/>
        </w:rPr>
        <w:t>behaviour</w:t>
      </w:r>
      <w:proofErr w:type="spellEnd"/>
      <w:r w:rsidR="00D27C03" w:rsidRPr="003A6DFC">
        <w:rPr>
          <w:rFonts w:ascii="Century" w:hAnsi="Century"/>
        </w:rPr>
        <w:t xml:space="preserve"> that repeated over time for certain population groups and not simply a snapshot of a certain time (when focusing on modelling the probability of reporting SAH inconsistently at a particular wave). Our results show that the same individual profile that predicts the probability of inconsistent response to SAH questions also explain the high frequency of inconsistent responses.</w:t>
      </w:r>
      <w:r w:rsidR="00D27C03" w:rsidRPr="003A6DFC">
        <w:rPr>
          <w:rFonts w:ascii="Century" w:hAnsi="Century"/>
          <w:b/>
          <w:bCs/>
          <w:lang w:val="en-GB"/>
        </w:rPr>
        <w:t xml:space="preserve"> </w:t>
      </w:r>
      <w:r w:rsidR="00CF4DA8" w:rsidRPr="003A6DFC">
        <w:rPr>
          <w:rFonts w:ascii="Century" w:hAnsi="Century"/>
        </w:rPr>
        <w:t xml:space="preserve">The potential implications of this measurement </w:t>
      </w:r>
      <w:r w:rsidR="00392BA8" w:rsidRPr="003A6DFC">
        <w:rPr>
          <w:rFonts w:ascii="Century" w:hAnsi="Century"/>
        </w:rPr>
        <w:t xml:space="preserve">error </w:t>
      </w:r>
      <w:r w:rsidR="00CF4DA8" w:rsidRPr="003A6DFC">
        <w:rPr>
          <w:rFonts w:ascii="Century" w:hAnsi="Century"/>
        </w:rPr>
        <w:t>are relevant when SAH is used as an outcome of interest</w:t>
      </w:r>
      <w:r w:rsidR="0033396C" w:rsidRPr="003A6DFC">
        <w:rPr>
          <w:rFonts w:ascii="Century" w:hAnsi="Century"/>
        </w:rPr>
        <w:t>.</w:t>
      </w:r>
      <w:r w:rsidR="00D14638" w:rsidRPr="003A6DFC">
        <w:rPr>
          <w:rFonts w:ascii="Century" w:hAnsi="Century"/>
        </w:rPr>
        <w:t xml:space="preserve"> </w:t>
      </w:r>
    </w:p>
    <w:p w14:paraId="493E7370" w14:textId="49E8058C" w:rsidR="00067AF3" w:rsidRPr="003A6DFC" w:rsidRDefault="0033396C" w:rsidP="00DD6C57">
      <w:pPr>
        <w:spacing w:after="0" w:line="360" w:lineRule="auto"/>
        <w:ind w:firstLine="708"/>
        <w:jc w:val="both"/>
        <w:rPr>
          <w:rFonts w:ascii="Century" w:hAnsi="Century"/>
        </w:rPr>
      </w:pPr>
      <w:r w:rsidRPr="003A6DFC">
        <w:rPr>
          <w:rFonts w:ascii="Century" w:hAnsi="Century"/>
        </w:rPr>
        <w:t>Many</w:t>
      </w:r>
      <w:r w:rsidR="00D14638" w:rsidRPr="003A6DFC">
        <w:rPr>
          <w:rFonts w:ascii="Century" w:hAnsi="Century"/>
        </w:rPr>
        <w:t xml:space="preserve"> datasets collect SAH measures, </w:t>
      </w:r>
      <w:r w:rsidR="00392BA8" w:rsidRPr="003A6DFC">
        <w:rPr>
          <w:rFonts w:ascii="Century" w:hAnsi="Century"/>
        </w:rPr>
        <w:t>and</w:t>
      </w:r>
      <w:r w:rsidR="00D14638" w:rsidRPr="003A6DFC">
        <w:rPr>
          <w:rFonts w:ascii="Century" w:hAnsi="Century"/>
        </w:rPr>
        <w:t xml:space="preserve"> researchers m</w:t>
      </w:r>
      <w:r w:rsidR="00392BA8" w:rsidRPr="003A6DFC">
        <w:rPr>
          <w:rFonts w:ascii="Century" w:hAnsi="Century"/>
        </w:rPr>
        <w:t>ay</w:t>
      </w:r>
      <w:r w:rsidR="00D14638" w:rsidRPr="003A6DFC">
        <w:rPr>
          <w:rFonts w:ascii="Century" w:hAnsi="Century"/>
        </w:rPr>
        <w:t xml:space="preserve"> pay limited attention to the collection mode (self-completion as opposed to </w:t>
      </w:r>
      <w:r w:rsidR="00BE4139" w:rsidRPr="003A6DFC">
        <w:rPr>
          <w:rFonts w:ascii="Century" w:hAnsi="Century"/>
        </w:rPr>
        <w:t>open interview</w:t>
      </w:r>
      <w:r w:rsidR="00D14638" w:rsidRPr="003A6DFC">
        <w:rPr>
          <w:rFonts w:ascii="Century" w:hAnsi="Century"/>
        </w:rPr>
        <w:t>)</w:t>
      </w:r>
      <w:r w:rsidR="00BE4139" w:rsidRPr="003A6DFC">
        <w:rPr>
          <w:rFonts w:ascii="Century" w:hAnsi="Century"/>
        </w:rPr>
        <w:t>.</w:t>
      </w:r>
      <w:r w:rsidR="0072600F" w:rsidRPr="003A6DFC">
        <w:rPr>
          <w:rFonts w:ascii="Century" w:hAnsi="Century"/>
        </w:rPr>
        <w:t xml:space="preserve"> </w:t>
      </w:r>
      <w:r w:rsidR="002026A8" w:rsidRPr="003A6DFC">
        <w:rPr>
          <w:rFonts w:ascii="Century" w:hAnsi="Century"/>
        </w:rPr>
        <w:t>SAH data</w:t>
      </w:r>
      <w:r w:rsidR="008017C0" w:rsidRPr="003A6DFC">
        <w:rPr>
          <w:rFonts w:ascii="Century" w:hAnsi="Century"/>
        </w:rPr>
        <w:t xml:space="preserve"> have been</w:t>
      </w:r>
      <w:r w:rsidR="002026A8" w:rsidRPr="003A6DFC">
        <w:rPr>
          <w:rFonts w:ascii="Century" w:hAnsi="Century"/>
        </w:rPr>
        <w:t xml:space="preserve"> routinely collected </w:t>
      </w:r>
      <w:r w:rsidR="000728EB" w:rsidRPr="003A6DFC">
        <w:rPr>
          <w:rFonts w:ascii="Century" w:hAnsi="Century"/>
        </w:rPr>
        <w:t xml:space="preserve">in </w:t>
      </w:r>
      <w:r w:rsidR="00FD19DD" w:rsidRPr="003A6DFC">
        <w:rPr>
          <w:rFonts w:ascii="Century" w:hAnsi="Century"/>
        </w:rPr>
        <w:t>many datasets</w:t>
      </w:r>
      <w:r w:rsidR="000728EB" w:rsidRPr="003A6DFC">
        <w:rPr>
          <w:rFonts w:ascii="Century" w:hAnsi="Century"/>
        </w:rPr>
        <w:t>,</w:t>
      </w:r>
      <w:r w:rsidR="00FD19DD" w:rsidRPr="003A6DFC">
        <w:rPr>
          <w:rFonts w:ascii="Century" w:hAnsi="Century"/>
        </w:rPr>
        <w:t xml:space="preserve"> including the</w:t>
      </w:r>
      <w:r w:rsidR="000728EB" w:rsidRPr="003A6DFC">
        <w:rPr>
          <w:rFonts w:ascii="Century" w:hAnsi="Century"/>
        </w:rPr>
        <w:t xml:space="preserve"> </w:t>
      </w:r>
      <w:r w:rsidR="002026A8" w:rsidRPr="003A6DFC">
        <w:rPr>
          <w:rFonts w:ascii="Century" w:hAnsi="Century"/>
        </w:rPr>
        <w:t>National Health and Nutrition Examination Survey</w:t>
      </w:r>
      <w:r w:rsidR="00B45289" w:rsidRPr="003A6DFC">
        <w:rPr>
          <w:rFonts w:ascii="Century" w:hAnsi="Century"/>
        </w:rPr>
        <w:t xml:space="preserve"> (NHANES)</w:t>
      </w:r>
      <w:r w:rsidR="0019135C" w:rsidRPr="003A6DFC">
        <w:rPr>
          <w:rFonts w:ascii="Century" w:hAnsi="Century"/>
        </w:rPr>
        <w:t xml:space="preserve"> </w:t>
      </w:r>
      <w:r w:rsidR="002026A8" w:rsidRPr="003A6DFC">
        <w:rPr>
          <w:rFonts w:ascii="Century" w:hAnsi="Century"/>
        </w:rPr>
        <w:t>in the US, the Survey of Health, Ageing and Retirement in Europe and the British Household Panel Survey</w:t>
      </w:r>
      <w:r w:rsidR="00B45289" w:rsidRPr="003A6DFC">
        <w:rPr>
          <w:rFonts w:ascii="Century" w:hAnsi="Century"/>
        </w:rPr>
        <w:t xml:space="preserve"> (BHPS)</w:t>
      </w:r>
      <w:r w:rsidR="002026A8" w:rsidRPr="003A6DFC">
        <w:rPr>
          <w:rFonts w:ascii="Century" w:hAnsi="Century"/>
        </w:rPr>
        <w:t xml:space="preserve"> in the UK. </w:t>
      </w:r>
      <w:r w:rsidR="001F7D3F" w:rsidRPr="003A6DFC">
        <w:rPr>
          <w:rFonts w:ascii="Century" w:hAnsi="Century"/>
        </w:rPr>
        <w:t xml:space="preserve">For example, SAH measures are collected using an open interview mode in the case of both </w:t>
      </w:r>
      <w:r w:rsidR="000728EB" w:rsidRPr="003A6DFC">
        <w:rPr>
          <w:rFonts w:ascii="Century" w:hAnsi="Century"/>
        </w:rPr>
        <w:t xml:space="preserve">the </w:t>
      </w:r>
      <w:r w:rsidR="00B45289" w:rsidRPr="003A6DFC">
        <w:rPr>
          <w:rFonts w:ascii="Century" w:hAnsi="Century"/>
        </w:rPr>
        <w:t xml:space="preserve">NHANES </w:t>
      </w:r>
      <w:r w:rsidR="000728EB" w:rsidRPr="003A6DFC">
        <w:rPr>
          <w:rFonts w:ascii="Century" w:hAnsi="Century"/>
        </w:rPr>
        <w:t>and the</w:t>
      </w:r>
      <w:r w:rsidR="00B45289" w:rsidRPr="003A6DFC">
        <w:rPr>
          <w:rFonts w:ascii="Century" w:hAnsi="Century"/>
        </w:rPr>
        <w:t xml:space="preserve"> BHPS</w:t>
      </w:r>
      <w:r w:rsidR="003C01DD" w:rsidRPr="003A6DFC">
        <w:rPr>
          <w:rFonts w:ascii="Century" w:hAnsi="Century"/>
        </w:rPr>
        <w:t xml:space="preserve">; however, </w:t>
      </w:r>
      <w:r w:rsidR="00B72FD0" w:rsidRPr="003A6DFC">
        <w:rPr>
          <w:rFonts w:ascii="Century" w:hAnsi="Century"/>
        </w:rPr>
        <w:t>most</w:t>
      </w:r>
      <w:r w:rsidR="00DA65D8" w:rsidRPr="003A6DFC">
        <w:rPr>
          <w:rFonts w:ascii="Century" w:hAnsi="Century"/>
        </w:rPr>
        <w:t xml:space="preserve"> existing studies</w:t>
      </w:r>
      <w:r w:rsidR="003C01DD" w:rsidRPr="003A6DFC">
        <w:rPr>
          <w:rFonts w:ascii="Century" w:hAnsi="Century"/>
        </w:rPr>
        <w:t xml:space="preserve"> do not explicitly </w:t>
      </w:r>
      <w:r w:rsidR="00BB2AA0" w:rsidRPr="003A6DFC">
        <w:rPr>
          <w:rFonts w:ascii="Century" w:hAnsi="Century"/>
        </w:rPr>
        <w:t xml:space="preserve">consider the potential implications of the SAH collection mode and the </w:t>
      </w:r>
      <w:r w:rsidR="00BB2AA0" w:rsidRPr="003A6DFC">
        <w:rPr>
          <w:rFonts w:ascii="Century" w:hAnsi="Century"/>
        </w:rPr>
        <w:lastRenderedPageBreak/>
        <w:t xml:space="preserve">survey design for the SAH collection </w:t>
      </w:r>
      <w:r w:rsidR="00C86F8E" w:rsidRPr="003A6DFC">
        <w:rPr>
          <w:rFonts w:ascii="Century" w:hAnsi="Century"/>
        </w:rPr>
        <w:t xml:space="preserve">on their analysis </w:t>
      </w:r>
      <w:r w:rsidR="00BB2AA0" w:rsidRPr="003A6DFC">
        <w:rPr>
          <w:rFonts w:ascii="Century" w:hAnsi="Century"/>
        </w:rPr>
        <w:t>(</w:t>
      </w:r>
      <w:r w:rsidR="00A80BAC" w:rsidRPr="003A6DFC">
        <w:rPr>
          <w:rFonts w:ascii="Century" w:hAnsi="Century"/>
        </w:rPr>
        <w:t xml:space="preserve">e.g., </w:t>
      </w:r>
      <w:proofErr w:type="spellStart"/>
      <w:r w:rsidR="00BB2AA0" w:rsidRPr="003A6DFC">
        <w:rPr>
          <w:rFonts w:ascii="Century" w:hAnsi="Century"/>
        </w:rPr>
        <w:t>Contoyannis</w:t>
      </w:r>
      <w:proofErr w:type="spellEnd"/>
      <w:r w:rsidR="00E13520" w:rsidRPr="003A6DFC">
        <w:rPr>
          <w:rFonts w:ascii="Century" w:hAnsi="Century"/>
        </w:rPr>
        <w:t>, Jones and Rice</w:t>
      </w:r>
      <w:r w:rsidR="00BB2AA0" w:rsidRPr="003A6DFC">
        <w:rPr>
          <w:rFonts w:ascii="Century" w:hAnsi="Century"/>
        </w:rPr>
        <w:t>, 2004</w:t>
      </w:r>
      <w:r w:rsidR="00735B3D" w:rsidRPr="003A6DFC">
        <w:rPr>
          <w:rFonts w:ascii="Century" w:hAnsi="Century"/>
        </w:rPr>
        <w:t xml:space="preserve">, </w:t>
      </w:r>
      <w:proofErr w:type="spellStart"/>
      <w:r w:rsidR="00735B3D" w:rsidRPr="003A6DFC">
        <w:rPr>
          <w:rFonts w:ascii="Century" w:hAnsi="Century"/>
        </w:rPr>
        <w:t>Fichera</w:t>
      </w:r>
      <w:proofErr w:type="spellEnd"/>
      <w:r w:rsidR="00735B3D" w:rsidRPr="003A6DFC">
        <w:rPr>
          <w:rFonts w:ascii="Century" w:hAnsi="Century"/>
        </w:rPr>
        <w:t xml:space="preserve"> and </w:t>
      </w:r>
      <w:proofErr w:type="spellStart"/>
      <w:r w:rsidR="00735B3D" w:rsidRPr="003A6DFC">
        <w:rPr>
          <w:rFonts w:ascii="Century" w:hAnsi="Century"/>
        </w:rPr>
        <w:t>Gathergood</w:t>
      </w:r>
      <w:proofErr w:type="spellEnd"/>
      <w:r w:rsidR="00735B3D" w:rsidRPr="003A6DFC">
        <w:rPr>
          <w:rFonts w:ascii="Century" w:hAnsi="Century"/>
        </w:rPr>
        <w:t xml:space="preserve">, 2016; </w:t>
      </w:r>
      <w:r w:rsidR="00E13520" w:rsidRPr="003A6DFC">
        <w:rPr>
          <w:rFonts w:ascii="Century" w:hAnsi="Century"/>
        </w:rPr>
        <w:t xml:space="preserve">Donni, </w:t>
      </w:r>
      <w:proofErr w:type="spellStart"/>
      <w:r w:rsidR="00E13520" w:rsidRPr="003A6DFC">
        <w:rPr>
          <w:rFonts w:ascii="Century" w:hAnsi="Century"/>
        </w:rPr>
        <w:t>Peragine</w:t>
      </w:r>
      <w:proofErr w:type="spellEnd"/>
      <w:r w:rsidR="00E13520" w:rsidRPr="003A6DFC">
        <w:rPr>
          <w:rFonts w:ascii="Century" w:hAnsi="Century"/>
        </w:rPr>
        <w:t xml:space="preserve"> and </w:t>
      </w:r>
      <w:proofErr w:type="spellStart"/>
      <w:r w:rsidR="00E13520" w:rsidRPr="003A6DFC">
        <w:rPr>
          <w:rFonts w:ascii="Century" w:hAnsi="Century"/>
        </w:rPr>
        <w:t>Pignataro</w:t>
      </w:r>
      <w:proofErr w:type="spellEnd"/>
      <w:r w:rsidR="007E1930" w:rsidRPr="003A6DFC">
        <w:rPr>
          <w:rFonts w:ascii="Century" w:hAnsi="Century"/>
        </w:rPr>
        <w:t>, 201</w:t>
      </w:r>
      <w:r w:rsidR="00EA7F11" w:rsidRPr="003A6DFC">
        <w:rPr>
          <w:rFonts w:ascii="Century" w:hAnsi="Century"/>
        </w:rPr>
        <w:t>4</w:t>
      </w:r>
      <w:r w:rsidR="00BB2AA0" w:rsidRPr="003A6DFC">
        <w:rPr>
          <w:rFonts w:ascii="Century" w:hAnsi="Century"/>
        </w:rPr>
        <w:t>).</w:t>
      </w:r>
      <w:r w:rsidR="007C5B5F" w:rsidRPr="003A6DFC">
        <w:rPr>
          <w:rFonts w:ascii="Century" w:hAnsi="Century"/>
        </w:rPr>
        <w:t xml:space="preserve"> Often, even</w:t>
      </w:r>
      <w:r w:rsidR="00127F72" w:rsidRPr="003A6DFC">
        <w:rPr>
          <w:rFonts w:ascii="Century" w:hAnsi="Century"/>
        </w:rPr>
        <w:t xml:space="preserve"> when </w:t>
      </w:r>
      <w:r w:rsidR="007C5B5F" w:rsidRPr="003A6DFC">
        <w:rPr>
          <w:rFonts w:ascii="Century" w:hAnsi="Century"/>
        </w:rPr>
        <w:t xml:space="preserve">multiple </w:t>
      </w:r>
      <w:r w:rsidR="006638D8" w:rsidRPr="003A6DFC">
        <w:rPr>
          <w:rFonts w:ascii="Century" w:hAnsi="Century"/>
        </w:rPr>
        <w:t>m</w:t>
      </w:r>
      <w:r w:rsidR="007C5B5F" w:rsidRPr="003A6DFC">
        <w:rPr>
          <w:rFonts w:ascii="Century" w:hAnsi="Century"/>
        </w:rPr>
        <w:t>easures</w:t>
      </w:r>
      <w:r w:rsidR="006638D8" w:rsidRPr="003A6DFC">
        <w:rPr>
          <w:rFonts w:ascii="Century" w:hAnsi="Century"/>
        </w:rPr>
        <w:t xml:space="preserve"> of SAH questions with the same or similar wording </w:t>
      </w:r>
      <w:r w:rsidR="007C5B5F" w:rsidRPr="003A6DFC">
        <w:rPr>
          <w:rFonts w:ascii="Century" w:hAnsi="Century"/>
        </w:rPr>
        <w:t>are available in a dataset</w:t>
      </w:r>
      <w:r w:rsidR="00B45289" w:rsidRPr="003A6DFC">
        <w:rPr>
          <w:rFonts w:ascii="Century" w:hAnsi="Century"/>
        </w:rPr>
        <w:t xml:space="preserve"> (at least for some waves, such as in the case of HILDA in Australia, NHANES</w:t>
      </w:r>
      <w:r w:rsidR="00392BA8" w:rsidRPr="003A6DFC">
        <w:rPr>
          <w:rFonts w:ascii="Century" w:hAnsi="Century"/>
        </w:rPr>
        <w:t xml:space="preserve"> in the USA,</w:t>
      </w:r>
      <w:r w:rsidR="00B45289" w:rsidRPr="003A6DFC">
        <w:rPr>
          <w:rFonts w:ascii="Century" w:hAnsi="Century"/>
        </w:rPr>
        <w:t xml:space="preserve"> and UKHLS in the UK)</w:t>
      </w:r>
      <w:r w:rsidR="007C5B5F" w:rsidRPr="003A6DFC">
        <w:rPr>
          <w:rFonts w:ascii="Century" w:hAnsi="Century"/>
        </w:rPr>
        <w:t xml:space="preserve">, </w:t>
      </w:r>
      <w:r w:rsidR="008017C0" w:rsidRPr="003A6DFC">
        <w:rPr>
          <w:rFonts w:ascii="Century" w:hAnsi="Century"/>
        </w:rPr>
        <w:t>researchers</w:t>
      </w:r>
      <w:r w:rsidR="007C5B5F" w:rsidRPr="003A6DFC">
        <w:rPr>
          <w:rFonts w:ascii="Century" w:hAnsi="Century"/>
        </w:rPr>
        <w:t xml:space="preserve"> do not</w:t>
      </w:r>
      <w:r w:rsidR="00127F72" w:rsidRPr="003A6DFC">
        <w:rPr>
          <w:rFonts w:ascii="Century" w:hAnsi="Century"/>
        </w:rPr>
        <w:t xml:space="preserve"> use all available information and</w:t>
      </w:r>
      <w:r w:rsidR="006638D8" w:rsidRPr="003A6DFC">
        <w:rPr>
          <w:rFonts w:ascii="Century" w:hAnsi="Century"/>
        </w:rPr>
        <w:t xml:space="preserve"> often consider responses </w:t>
      </w:r>
      <w:r w:rsidR="00D665AD" w:rsidRPr="003A6DFC">
        <w:rPr>
          <w:rFonts w:ascii="Century" w:hAnsi="Century"/>
        </w:rPr>
        <w:t xml:space="preserve">to a particular </w:t>
      </w:r>
      <w:r w:rsidR="006638D8" w:rsidRPr="003A6DFC">
        <w:rPr>
          <w:rFonts w:ascii="Century" w:hAnsi="Century"/>
        </w:rPr>
        <w:t>SAH question despite</w:t>
      </w:r>
      <w:r w:rsidR="00212BA8" w:rsidRPr="003A6DFC">
        <w:rPr>
          <w:rFonts w:ascii="Century" w:hAnsi="Century"/>
        </w:rPr>
        <w:t xml:space="preserve"> concerns about the consistency of responses within repeated SAH questions (</w:t>
      </w:r>
      <w:r w:rsidR="00791336" w:rsidRPr="003A6DFC">
        <w:rPr>
          <w:rFonts w:ascii="Century" w:hAnsi="Century"/>
        </w:rPr>
        <w:t xml:space="preserve">e.g., </w:t>
      </w:r>
      <w:r w:rsidR="0019224F" w:rsidRPr="003A6DFC">
        <w:rPr>
          <w:rFonts w:ascii="Century" w:hAnsi="Century"/>
        </w:rPr>
        <w:t>Au and Johnston, 2014</w:t>
      </w:r>
      <w:r w:rsidR="00791336" w:rsidRPr="003A6DFC">
        <w:rPr>
          <w:rFonts w:ascii="Century" w:hAnsi="Century"/>
        </w:rPr>
        <w:t>,</w:t>
      </w:r>
      <w:r w:rsidR="0019224F" w:rsidRPr="003A6DFC">
        <w:rPr>
          <w:rFonts w:ascii="Century" w:hAnsi="Century"/>
        </w:rPr>
        <w:t xml:space="preserve"> </w:t>
      </w:r>
      <w:proofErr w:type="spellStart"/>
      <w:r w:rsidR="00B45289" w:rsidRPr="003A6DFC">
        <w:rPr>
          <w:rFonts w:ascii="Century" w:hAnsi="Century"/>
        </w:rPr>
        <w:t>Davillas</w:t>
      </w:r>
      <w:proofErr w:type="spellEnd"/>
      <w:r w:rsidR="00B45289" w:rsidRPr="003A6DFC">
        <w:rPr>
          <w:rFonts w:ascii="Century" w:hAnsi="Century"/>
        </w:rPr>
        <w:t xml:space="preserve"> et al., 2019</w:t>
      </w:r>
      <w:r w:rsidR="00791336" w:rsidRPr="003A6DFC">
        <w:rPr>
          <w:rFonts w:ascii="Century" w:hAnsi="Century"/>
        </w:rPr>
        <w:t>,</w:t>
      </w:r>
      <w:r w:rsidR="00B45289" w:rsidRPr="003A6DFC">
        <w:rPr>
          <w:rFonts w:ascii="Century" w:hAnsi="Century"/>
        </w:rPr>
        <w:t xml:space="preserve"> </w:t>
      </w:r>
      <w:proofErr w:type="spellStart"/>
      <w:r w:rsidR="0019224F" w:rsidRPr="003A6DFC">
        <w:rPr>
          <w:rFonts w:ascii="Century" w:hAnsi="Century"/>
        </w:rPr>
        <w:t>Nesson</w:t>
      </w:r>
      <w:proofErr w:type="spellEnd"/>
      <w:r w:rsidR="0019224F" w:rsidRPr="003A6DFC">
        <w:rPr>
          <w:rFonts w:ascii="Century" w:hAnsi="Century"/>
        </w:rPr>
        <w:t xml:space="preserve"> and Robinson, 2019</w:t>
      </w:r>
      <w:r w:rsidR="00212BA8" w:rsidRPr="003A6DFC">
        <w:rPr>
          <w:rFonts w:ascii="Century" w:hAnsi="Century"/>
        </w:rPr>
        <w:t>).</w:t>
      </w:r>
      <w:r w:rsidR="00BB2AA0" w:rsidRPr="003A6DFC">
        <w:rPr>
          <w:rFonts w:ascii="Century" w:hAnsi="Century"/>
        </w:rPr>
        <w:t xml:space="preserve"> I</w:t>
      </w:r>
      <w:r w:rsidR="0072600F" w:rsidRPr="003A6DFC">
        <w:rPr>
          <w:rFonts w:ascii="Century" w:hAnsi="Century"/>
        </w:rPr>
        <w:t>f socioeconomic status (SES) play</w:t>
      </w:r>
      <w:r w:rsidR="007A4520" w:rsidRPr="003A6DFC">
        <w:rPr>
          <w:rFonts w:ascii="Century" w:hAnsi="Century"/>
        </w:rPr>
        <w:t>s</w:t>
      </w:r>
      <w:r w:rsidR="0072600F" w:rsidRPr="003A6DFC">
        <w:rPr>
          <w:rFonts w:ascii="Century" w:hAnsi="Century"/>
        </w:rPr>
        <w:t xml:space="preserve"> an important role </w:t>
      </w:r>
      <w:r w:rsidR="008017C0" w:rsidRPr="003A6DFC">
        <w:rPr>
          <w:rFonts w:ascii="Century" w:hAnsi="Century"/>
        </w:rPr>
        <w:t>for</w:t>
      </w:r>
      <w:r w:rsidR="0072600F" w:rsidRPr="003A6DFC">
        <w:rPr>
          <w:rFonts w:ascii="Century" w:hAnsi="Century"/>
        </w:rPr>
        <w:t xml:space="preserve"> reporting </w:t>
      </w:r>
      <w:r w:rsidR="008017C0" w:rsidRPr="003A6DFC">
        <w:rPr>
          <w:rFonts w:ascii="Century" w:hAnsi="Century"/>
        </w:rPr>
        <w:t xml:space="preserve">of </w:t>
      </w:r>
      <w:r w:rsidR="0072600F" w:rsidRPr="003A6DFC">
        <w:rPr>
          <w:rFonts w:ascii="Century" w:hAnsi="Century"/>
        </w:rPr>
        <w:t>SAH</w:t>
      </w:r>
      <w:r w:rsidR="003C01DD" w:rsidRPr="003A6DFC">
        <w:rPr>
          <w:rFonts w:ascii="Century" w:hAnsi="Century"/>
        </w:rPr>
        <w:t xml:space="preserve"> collected with different interview modes</w:t>
      </w:r>
      <w:r w:rsidR="008017C0" w:rsidRPr="003A6DFC">
        <w:rPr>
          <w:rFonts w:ascii="Century" w:hAnsi="Century"/>
        </w:rPr>
        <w:t xml:space="preserve"> (</w:t>
      </w:r>
      <w:r w:rsidR="003C01DD" w:rsidRPr="003A6DFC">
        <w:rPr>
          <w:rFonts w:ascii="Century" w:hAnsi="Century"/>
        </w:rPr>
        <w:t>self-completion versus the open interview)</w:t>
      </w:r>
      <w:r w:rsidR="00CA7695" w:rsidRPr="003A6DFC">
        <w:rPr>
          <w:rStyle w:val="Refdenotaderodap"/>
          <w:rFonts w:ascii="Century" w:hAnsi="Century"/>
        </w:rPr>
        <w:footnoteReference w:id="6"/>
      </w:r>
      <w:r w:rsidR="0072600F" w:rsidRPr="003A6DFC">
        <w:rPr>
          <w:rFonts w:ascii="Century" w:hAnsi="Century"/>
        </w:rPr>
        <w:t>, this may be a concern for the robustness of the existing studies that use SAH as an outcome</w:t>
      </w:r>
      <w:r w:rsidR="00DD6C57" w:rsidRPr="003A6DFC">
        <w:rPr>
          <w:rFonts w:ascii="Century" w:hAnsi="Century"/>
        </w:rPr>
        <w:t xml:space="preserve"> </w:t>
      </w:r>
      <w:r w:rsidR="0072600F" w:rsidRPr="003A6DFC">
        <w:rPr>
          <w:rFonts w:ascii="Century" w:hAnsi="Century"/>
        </w:rPr>
        <w:t>and</w:t>
      </w:r>
      <w:r w:rsidR="00762292" w:rsidRPr="003A6DFC">
        <w:rPr>
          <w:rFonts w:ascii="Century" w:hAnsi="Century"/>
        </w:rPr>
        <w:t xml:space="preserve"> w</w:t>
      </w:r>
      <w:r w:rsidR="00762292" w:rsidRPr="003A6DFC">
        <w:rPr>
          <w:rFonts w:ascii="Century" w:hAnsi="Century" w:cs="Arial"/>
        </w:rPr>
        <w:t>here measurement error is part of the error structure of the SAH regression models.</w:t>
      </w:r>
    </w:p>
    <w:p w14:paraId="3220862A" w14:textId="6BDE2CB9" w:rsidR="00F71BDD" w:rsidRPr="003A6DFC" w:rsidRDefault="00C83027" w:rsidP="0036224E">
      <w:pPr>
        <w:spacing w:after="0" w:line="360" w:lineRule="auto"/>
        <w:ind w:firstLine="708"/>
        <w:jc w:val="both"/>
        <w:rPr>
          <w:rFonts w:ascii="Century" w:hAnsi="Century" w:cs="Times New Roman"/>
          <w:lang w:val="en-GB"/>
        </w:rPr>
      </w:pPr>
      <w:r w:rsidRPr="003A6DFC">
        <w:rPr>
          <w:rFonts w:ascii="Century" w:hAnsi="Century" w:cs="Times New Roman"/>
          <w:lang w:val="en-GB"/>
        </w:rPr>
        <w:t>W</w:t>
      </w:r>
      <w:r w:rsidR="00E15713" w:rsidRPr="003A6DFC">
        <w:rPr>
          <w:rFonts w:ascii="Century" w:hAnsi="Century" w:cs="Times New Roman"/>
          <w:lang w:val="en-GB"/>
        </w:rPr>
        <w:t>e</w:t>
      </w:r>
      <w:r w:rsidRPr="003A6DFC">
        <w:rPr>
          <w:rFonts w:ascii="Century" w:hAnsi="Century" w:cs="Times New Roman"/>
          <w:lang w:val="en-GB"/>
        </w:rPr>
        <w:t xml:space="preserve"> </w:t>
      </w:r>
      <w:r w:rsidR="003D7980" w:rsidRPr="003A6DFC">
        <w:rPr>
          <w:rFonts w:ascii="Century" w:hAnsi="Century" w:cs="Times New Roman"/>
          <w:lang w:val="en-GB"/>
        </w:rPr>
        <w:t xml:space="preserve">provide evidence </w:t>
      </w:r>
      <w:r w:rsidR="00DD6C57" w:rsidRPr="003A6DFC">
        <w:rPr>
          <w:rFonts w:ascii="Century" w:hAnsi="Century" w:cs="Times New Roman"/>
          <w:lang w:val="en-GB"/>
        </w:rPr>
        <w:t>on whether the</w:t>
      </w:r>
      <w:r w:rsidR="00E15713" w:rsidRPr="003A6DFC">
        <w:rPr>
          <w:rFonts w:ascii="Century" w:hAnsi="Century" w:cs="Times New Roman"/>
          <w:lang w:val="en-GB"/>
        </w:rPr>
        <w:t xml:space="preserve"> </w:t>
      </w:r>
      <w:r w:rsidR="00524A7A" w:rsidRPr="003A6DFC">
        <w:rPr>
          <w:rFonts w:ascii="Century" w:hAnsi="Century" w:cs="Times New Roman"/>
          <w:lang w:val="en-GB"/>
        </w:rPr>
        <w:t>SAH interview mode affect</w:t>
      </w:r>
      <w:r w:rsidR="00DD6C57" w:rsidRPr="003A6DFC">
        <w:rPr>
          <w:rFonts w:ascii="Century" w:hAnsi="Century" w:cs="Times New Roman"/>
          <w:lang w:val="en-GB"/>
        </w:rPr>
        <w:t>s</w:t>
      </w:r>
      <w:r w:rsidR="00524A7A" w:rsidRPr="003A6DFC">
        <w:rPr>
          <w:rFonts w:ascii="Century" w:hAnsi="Century" w:cs="Times New Roman"/>
          <w:lang w:val="en-GB"/>
        </w:rPr>
        <w:t xml:space="preserve"> results </w:t>
      </w:r>
      <w:r w:rsidR="00DD6C57" w:rsidRPr="003A6DFC">
        <w:rPr>
          <w:rFonts w:ascii="Century" w:hAnsi="Century" w:cs="Times New Roman"/>
          <w:lang w:val="en-GB"/>
        </w:rPr>
        <w:t>for</w:t>
      </w:r>
      <w:r w:rsidR="00524A7A" w:rsidRPr="003A6DFC">
        <w:rPr>
          <w:rFonts w:ascii="Century" w:hAnsi="Century" w:cs="Times New Roman"/>
          <w:lang w:val="en-GB"/>
        </w:rPr>
        <w:t xml:space="preserve"> the income-health gradient ─ </w:t>
      </w:r>
      <w:r w:rsidR="002B6E46" w:rsidRPr="003A6DFC">
        <w:rPr>
          <w:rFonts w:ascii="Century" w:hAnsi="Century" w:cs="Times New Roman"/>
          <w:lang w:val="en-GB"/>
        </w:rPr>
        <w:t>a</w:t>
      </w:r>
      <w:r w:rsidR="00782D4D" w:rsidRPr="003A6DFC">
        <w:rPr>
          <w:rFonts w:ascii="Century" w:hAnsi="Century" w:cs="Times New Roman"/>
          <w:lang w:val="en-GB"/>
        </w:rPr>
        <w:t xml:space="preserve"> popular topic in the socioeconomic determinants of health literature, where </w:t>
      </w:r>
      <w:r w:rsidR="00200381" w:rsidRPr="003A6DFC">
        <w:rPr>
          <w:rFonts w:ascii="Century" w:hAnsi="Century" w:cs="Times New Roman"/>
          <w:lang w:val="en-GB"/>
        </w:rPr>
        <w:t xml:space="preserve">self-reported health </w:t>
      </w:r>
      <w:r w:rsidR="00782D4D" w:rsidRPr="003A6DFC">
        <w:rPr>
          <w:rFonts w:ascii="Century" w:hAnsi="Century" w:cs="Times New Roman"/>
          <w:lang w:val="en-GB"/>
        </w:rPr>
        <w:t>measures are often used as health outcomes</w:t>
      </w:r>
      <w:r w:rsidR="00392BA8" w:rsidRPr="003A6DFC">
        <w:rPr>
          <w:rFonts w:ascii="Century" w:hAnsi="Century" w:cs="Times New Roman"/>
          <w:lang w:val="en-GB"/>
        </w:rPr>
        <w:t xml:space="preserve"> </w:t>
      </w:r>
      <w:r w:rsidR="00782D4D" w:rsidRPr="003A6DFC">
        <w:rPr>
          <w:rFonts w:ascii="Century" w:hAnsi="Century" w:cs="Times New Roman"/>
          <w:lang w:val="en-GB"/>
        </w:rPr>
        <w:t xml:space="preserve">(e.g., </w:t>
      </w:r>
      <w:proofErr w:type="spellStart"/>
      <w:r w:rsidR="00782D4D" w:rsidRPr="003A6DFC">
        <w:rPr>
          <w:rFonts w:ascii="Century" w:hAnsi="Century" w:cs="Times New Roman"/>
          <w:lang w:val="en-GB"/>
        </w:rPr>
        <w:t>Davillas</w:t>
      </w:r>
      <w:proofErr w:type="spellEnd"/>
      <w:r w:rsidR="00782D4D" w:rsidRPr="003A6DFC">
        <w:rPr>
          <w:rFonts w:ascii="Century" w:hAnsi="Century" w:cs="Times New Roman"/>
          <w:lang w:val="en-GB"/>
        </w:rPr>
        <w:t xml:space="preserve"> et al., 2019; </w:t>
      </w:r>
      <w:proofErr w:type="spellStart"/>
      <w:r w:rsidR="00782D4D" w:rsidRPr="003A6DFC">
        <w:rPr>
          <w:rFonts w:ascii="Century" w:hAnsi="Century" w:cs="Times New Roman"/>
          <w:lang w:val="en-GB"/>
        </w:rPr>
        <w:t>Foverskov</w:t>
      </w:r>
      <w:proofErr w:type="spellEnd"/>
      <w:r w:rsidR="00782D4D" w:rsidRPr="003A6DFC">
        <w:rPr>
          <w:rFonts w:ascii="Century" w:hAnsi="Century" w:cs="Times New Roman"/>
          <w:lang w:val="en-GB"/>
        </w:rPr>
        <w:t xml:space="preserve"> and Holm, 2016; Fuchs, 2004; </w:t>
      </w:r>
      <w:proofErr w:type="spellStart"/>
      <w:r w:rsidR="00782D4D" w:rsidRPr="003A6DFC">
        <w:rPr>
          <w:rFonts w:ascii="Century" w:hAnsi="Century" w:cs="Times New Roman"/>
          <w:lang w:val="en-GB"/>
        </w:rPr>
        <w:t>Frijters</w:t>
      </w:r>
      <w:proofErr w:type="spellEnd"/>
      <w:r w:rsidR="00782D4D" w:rsidRPr="003A6DFC">
        <w:rPr>
          <w:rFonts w:ascii="Century" w:hAnsi="Century" w:cs="Times New Roman"/>
          <w:lang w:val="en-GB"/>
        </w:rPr>
        <w:t xml:space="preserve"> et al., 2005; </w:t>
      </w:r>
      <w:r w:rsidR="00200381" w:rsidRPr="003A6DFC">
        <w:rPr>
          <w:rFonts w:ascii="Century" w:hAnsi="Century" w:cs="Times New Roman"/>
          <w:lang w:val="en-GB"/>
        </w:rPr>
        <w:t xml:space="preserve">Johnston et al., 2009; </w:t>
      </w:r>
      <w:r w:rsidR="00782D4D" w:rsidRPr="003A6DFC">
        <w:rPr>
          <w:rFonts w:ascii="Century" w:hAnsi="Century" w:cs="Times New Roman"/>
          <w:lang w:val="en-GB"/>
        </w:rPr>
        <w:t xml:space="preserve">Larrimore, 2011; </w:t>
      </w:r>
      <w:proofErr w:type="spellStart"/>
      <w:r w:rsidR="008F35AB" w:rsidRPr="003A6DFC">
        <w:rPr>
          <w:rFonts w:ascii="Century" w:hAnsi="Century" w:cs="Times New Roman"/>
          <w:lang w:val="en-GB"/>
        </w:rPr>
        <w:t>Ziebarth</w:t>
      </w:r>
      <w:proofErr w:type="spellEnd"/>
      <w:r w:rsidR="00782D4D" w:rsidRPr="003A6DFC">
        <w:rPr>
          <w:rFonts w:ascii="Century" w:hAnsi="Century" w:cs="Times New Roman"/>
          <w:lang w:val="en-GB"/>
        </w:rPr>
        <w:t>, 2010)</w:t>
      </w:r>
      <w:r w:rsidR="00524A7A" w:rsidRPr="003A6DFC">
        <w:rPr>
          <w:rFonts w:ascii="Century" w:hAnsi="Century" w:cs="Times New Roman"/>
          <w:lang w:val="en-GB"/>
        </w:rPr>
        <w:t xml:space="preserve">. </w:t>
      </w:r>
      <w:r w:rsidR="006B0031" w:rsidRPr="003A6DFC">
        <w:rPr>
          <w:rFonts w:ascii="Century" w:hAnsi="Century" w:cs="Times New Roman"/>
          <w:lang w:val="en-GB"/>
        </w:rPr>
        <w:t xml:space="preserve">Separate linear regression models on household income are estimated using the self-completion and the open-interview SAH measures as outcome. </w:t>
      </w:r>
      <w:r w:rsidR="00F71BDD" w:rsidRPr="003A6DFC">
        <w:rPr>
          <w:rFonts w:ascii="Century" w:hAnsi="Century" w:cs="Times New Roman"/>
          <w:lang w:val="en-GB"/>
        </w:rPr>
        <w:t xml:space="preserve">The analysis of income-health gradient is an attempt to shed light on the role of the mode of collection. Assuming that the parameter of interest is estimated with measurement error in both specifications, part of the potential difference between gradients should be attributed to the mode of SAH collection. The reason is that unobserved reporting </w:t>
      </w:r>
      <w:r w:rsidR="00EB33B0" w:rsidRPr="003A6DFC">
        <w:rPr>
          <w:rFonts w:ascii="Century" w:hAnsi="Century" w:cs="Times New Roman"/>
          <w:lang w:val="en-GB"/>
        </w:rPr>
        <w:t>behaviour</w:t>
      </w:r>
      <w:r w:rsidR="00F71BDD" w:rsidRPr="003A6DFC">
        <w:rPr>
          <w:rFonts w:ascii="Century" w:hAnsi="Century" w:cs="Times New Roman"/>
          <w:lang w:val="en-GB"/>
        </w:rPr>
        <w:t xml:space="preserve"> depend on the interview mode (see List et al., 2004). Despite the implications of measurement error in both linear regression models, the absence of differences suggest</w:t>
      </w:r>
      <w:r w:rsidR="00C967FD" w:rsidRPr="003A6DFC">
        <w:rPr>
          <w:rFonts w:ascii="Century" w:hAnsi="Century" w:cs="Times New Roman"/>
          <w:lang w:val="en-GB"/>
        </w:rPr>
        <w:t>s</w:t>
      </w:r>
      <w:r w:rsidR="00F71BDD" w:rsidRPr="003A6DFC">
        <w:rPr>
          <w:rFonts w:ascii="Century" w:hAnsi="Century" w:cs="Times New Roman"/>
          <w:lang w:val="en-GB"/>
        </w:rPr>
        <w:t xml:space="preserve"> that the interview mode plays little role in the income-health gradient. </w:t>
      </w:r>
    </w:p>
    <w:p w14:paraId="25CCCC02" w14:textId="72A06844" w:rsidR="00E04A34" w:rsidRPr="003A6DFC" w:rsidRDefault="00C83027" w:rsidP="0036224E">
      <w:pPr>
        <w:spacing w:after="0" w:line="360" w:lineRule="auto"/>
        <w:ind w:firstLine="708"/>
        <w:jc w:val="both"/>
        <w:rPr>
          <w:rFonts w:ascii="Century" w:hAnsi="Century" w:cs="Times New Roman"/>
          <w:lang w:val="en-GB"/>
        </w:rPr>
      </w:pPr>
      <w:r w:rsidRPr="003A6DFC">
        <w:rPr>
          <w:rFonts w:ascii="Century" w:hAnsi="Century" w:cs="Times New Roman"/>
          <w:lang w:val="en-GB"/>
        </w:rPr>
        <w:lastRenderedPageBreak/>
        <w:t xml:space="preserve">Finally, </w:t>
      </w:r>
      <w:r w:rsidR="00EA672E" w:rsidRPr="003A6DFC">
        <w:rPr>
          <w:rFonts w:ascii="Century" w:hAnsi="Century" w:cs="Times New Roman"/>
          <w:lang w:val="en-GB"/>
        </w:rPr>
        <w:t xml:space="preserve">we </w:t>
      </w:r>
      <w:r w:rsidR="001D7D7F" w:rsidRPr="003A6DFC">
        <w:rPr>
          <w:rFonts w:ascii="Century" w:hAnsi="Century" w:cs="Times New Roman"/>
          <w:lang w:val="en-GB"/>
        </w:rPr>
        <w:t>use</w:t>
      </w:r>
      <w:r w:rsidR="00EA672E" w:rsidRPr="003A6DFC">
        <w:rPr>
          <w:rFonts w:ascii="Century" w:hAnsi="Century" w:cs="Times New Roman"/>
          <w:lang w:val="en-GB"/>
        </w:rPr>
        <w:t xml:space="preserve"> </w:t>
      </w:r>
      <w:r w:rsidR="001D7D7F" w:rsidRPr="003A6DFC">
        <w:rPr>
          <w:rFonts w:ascii="Century" w:hAnsi="Century" w:cs="Times New Roman"/>
          <w:lang w:val="en-GB"/>
        </w:rPr>
        <w:t xml:space="preserve">a </w:t>
      </w:r>
      <w:r w:rsidR="00EA672E" w:rsidRPr="003A6DFC">
        <w:rPr>
          <w:rFonts w:ascii="Century" w:hAnsi="Century" w:cs="Times New Roman"/>
          <w:lang w:val="en-GB"/>
        </w:rPr>
        <w:t xml:space="preserve">detailed set of nurse-collected blood-based biomarker data. </w:t>
      </w:r>
      <w:r w:rsidR="0047586F" w:rsidRPr="003A6DFC">
        <w:rPr>
          <w:rFonts w:ascii="Century" w:hAnsi="Century" w:cs="Times New Roman"/>
          <w:lang w:val="en-GB"/>
        </w:rPr>
        <w:t xml:space="preserve">Unlike the self-reported health measures, </w:t>
      </w:r>
      <w:r w:rsidR="00701ED9" w:rsidRPr="003A6DFC">
        <w:rPr>
          <w:rFonts w:ascii="Century" w:hAnsi="Century" w:cs="Times New Roman"/>
          <w:lang w:val="en-GB"/>
        </w:rPr>
        <w:t>biomarker</w:t>
      </w:r>
      <w:r w:rsidR="00EA672E" w:rsidRPr="003A6DFC">
        <w:rPr>
          <w:rFonts w:ascii="Century" w:hAnsi="Century" w:cs="Times New Roman"/>
          <w:lang w:val="en-GB"/>
        </w:rPr>
        <w:t xml:space="preserve">s </w:t>
      </w:r>
      <w:r w:rsidR="00701ED9" w:rsidRPr="003A6DFC">
        <w:rPr>
          <w:rFonts w:ascii="Century" w:hAnsi="Century" w:cs="Times New Roman"/>
          <w:lang w:val="en-GB"/>
        </w:rPr>
        <w:t xml:space="preserve">are more objective </w:t>
      </w:r>
      <w:r w:rsidR="00EA672E" w:rsidRPr="003A6DFC">
        <w:rPr>
          <w:rFonts w:ascii="Century" w:hAnsi="Century" w:cs="Times New Roman"/>
          <w:lang w:val="en-GB"/>
        </w:rPr>
        <w:t xml:space="preserve">health </w:t>
      </w:r>
      <w:proofErr w:type="gramStart"/>
      <w:r w:rsidR="00E87957" w:rsidRPr="003A6DFC">
        <w:rPr>
          <w:rFonts w:ascii="Century" w:hAnsi="Century" w:cs="Times New Roman"/>
          <w:lang w:val="en-GB"/>
        </w:rPr>
        <w:t>measures</w:t>
      </w:r>
      <w:proofErr w:type="gramEnd"/>
      <w:r w:rsidR="00701ED9" w:rsidRPr="003A6DFC">
        <w:rPr>
          <w:rFonts w:ascii="Century" w:hAnsi="Century" w:cs="Times New Roman"/>
          <w:lang w:val="en-GB"/>
        </w:rPr>
        <w:t xml:space="preserve"> and</w:t>
      </w:r>
      <w:r w:rsidR="001D7D7F" w:rsidRPr="003A6DFC">
        <w:rPr>
          <w:rFonts w:ascii="Century" w:hAnsi="Century" w:cs="Times New Roman"/>
          <w:lang w:val="en-GB"/>
        </w:rPr>
        <w:t>,</w:t>
      </w:r>
      <w:r w:rsidR="00EA672E" w:rsidRPr="003A6DFC">
        <w:rPr>
          <w:rFonts w:ascii="Century" w:hAnsi="Century" w:cs="Times New Roman"/>
          <w:lang w:val="en-GB"/>
        </w:rPr>
        <w:t xml:space="preserve"> beyond pathogenic cases</w:t>
      </w:r>
      <w:r w:rsidR="001D7D7F" w:rsidRPr="003A6DFC">
        <w:rPr>
          <w:rFonts w:ascii="Century" w:hAnsi="Century" w:cs="Times New Roman"/>
          <w:lang w:val="en-GB"/>
        </w:rPr>
        <w:t>,</w:t>
      </w:r>
      <w:r w:rsidR="00EA672E" w:rsidRPr="003A6DFC">
        <w:rPr>
          <w:rFonts w:ascii="Century" w:hAnsi="Century" w:cs="Times New Roman"/>
          <w:lang w:val="en-GB"/>
        </w:rPr>
        <w:t xml:space="preserve"> they also provide </w:t>
      </w:r>
      <w:r w:rsidR="00701ED9" w:rsidRPr="003A6DFC">
        <w:rPr>
          <w:rFonts w:ascii="Century" w:hAnsi="Century" w:cs="Times New Roman"/>
          <w:lang w:val="en-GB"/>
        </w:rPr>
        <w:t xml:space="preserve">information on pre-disease </w:t>
      </w:r>
      <w:r w:rsidR="005C523E" w:rsidRPr="003A6DFC">
        <w:rPr>
          <w:rFonts w:ascii="Century" w:hAnsi="Century" w:cs="Times New Roman"/>
          <w:lang w:val="en-GB"/>
        </w:rPr>
        <w:t xml:space="preserve">stages </w:t>
      </w:r>
      <w:r w:rsidR="00701ED9" w:rsidRPr="003A6DFC">
        <w:rPr>
          <w:rFonts w:ascii="Century" w:hAnsi="Century" w:cs="Times New Roman"/>
          <w:lang w:val="en-GB"/>
        </w:rPr>
        <w:t xml:space="preserve">that </w:t>
      </w:r>
      <w:r w:rsidR="00EA672E" w:rsidRPr="003A6DFC">
        <w:rPr>
          <w:rFonts w:ascii="Century" w:hAnsi="Century" w:cs="Times New Roman"/>
          <w:lang w:val="en-GB"/>
        </w:rPr>
        <w:t xml:space="preserve">may be </w:t>
      </w:r>
      <w:r w:rsidR="00FC1765" w:rsidRPr="003A6DFC">
        <w:rPr>
          <w:rFonts w:ascii="Century" w:hAnsi="Century" w:cs="Times New Roman"/>
          <w:lang w:val="en-GB"/>
        </w:rPr>
        <w:t xml:space="preserve">below </w:t>
      </w:r>
      <w:r w:rsidR="00701ED9" w:rsidRPr="003A6DFC">
        <w:rPr>
          <w:rFonts w:ascii="Century" w:hAnsi="Century" w:cs="Times New Roman"/>
          <w:lang w:val="en-GB"/>
        </w:rPr>
        <w:t>clinical diagnosis thresholds</w:t>
      </w:r>
      <w:r w:rsidR="00EA672E" w:rsidRPr="003A6DFC">
        <w:rPr>
          <w:rFonts w:ascii="Century" w:hAnsi="Century" w:cs="Times New Roman"/>
          <w:lang w:val="en-GB"/>
        </w:rPr>
        <w:t xml:space="preserve">. </w:t>
      </w:r>
      <w:bookmarkStart w:id="2" w:name="_Hlk115144176"/>
      <w:r w:rsidR="00E04A34" w:rsidRPr="003A6DFC">
        <w:rPr>
          <w:rFonts w:ascii="Century" w:hAnsi="Century" w:cs="Arial"/>
        </w:rPr>
        <w:t xml:space="preserve">Certain dimensions of physiological and biological health may be reflected more strongly in responses to SAH self-completion questions as opposed to the open interview mode. Individuals without visible health conditions (e.g., obesity) may strategically report their health status in the open interview mode (see Black, Johnston and </w:t>
      </w:r>
      <w:proofErr w:type="spellStart"/>
      <w:r w:rsidR="00E04A34" w:rsidRPr="003A6DFC">
        <w:rPr>
          <w:rFonts w:ascii="Century" w:hAnsi="Century" w:cs="Arial"/>
        </w:rPr>
        <w:t>Suziedelyte</w:t>
      </w:r>
      <w:proofErr w:type="spellEnd"/>
      <w:r w:rsidR="00E04A34" w:rsidRPr="003A6DFC">
        <w:rPr>
          <w:rFonts w:ascii="Century" w:hAnsi="Century" w:cs="Arial"/>
        </w:rPr>
        <w:t xml:space="preserve">, 2017), while the self-completion mode may lead them to provide more reliable or honest responses to sensitive survey questions such as their health status (see List et al., 2004). Moreover, the presence of interviewer in the open interview mode can trigger a general “put on a good show for the visitor” effect, which may lead respondents to overstate their true health status relative to the more private self-completion interview mode (see Conti and </w:t>
      </w:r>
      <w:proofErr w:type="spellStart"/>
      <w:r w:rsidR="00E04A34" w:rsidRPr="003A6DFC">
        <w:rPr>
          <w:rFonts w:ascii="Century" w:hAnsi="Century" w:cs="Arial"/>
        </w:rPr>
        <w:t>Pudney</w:t>
      </w:r>
      <w:proofErr w:type="spellEnd"/>
      <w:r w:rsidR="00E04A34" w:rsidRPr="003A6DFC">
        <w:rPr>
          <w:rFonts w:ascii="Century" w:hAnsi="Century" w:cs="Arial"/>
        </w:rPr>
        <w:t>, 2011).</w:t>
      </w:r>
      <w:bookmarkEnd w:id="2"/>
    </w:p>
    <w:p w14:paraId="32C4688B" w14:textId="3244D472" w:rsidR="00DA7FA9" w:rsidRPr="003A6DFC" w:rsidRDefault="00E04A34" w:rsidP="0036224E">
      <w:pPr>
        <w:spacing w:after="0" w:line="360" w:lineRule="auto"/>
        <w:ind w:firstLine="708"/>
        <w:jc w:val="both"/>
        <w:rPr>
          <w:rFonts w:ascii="Century" w:hAnsi="Century" w:cs="Times New Roman"/>
          <w:lang w:val="en-GB"/>
        </w:rPr>
      </w:pPr>
      <w:r w:rsidRPr="003A6DFC">
        <w:rPr>
          <w:rFonts w:ascii="Century" w:hAnsi="Century" w:cs="Times New Roman"/>
          <w:lang w:val="en-GB"/>
        </w:rPr>
        <w:t xml:space="preserve">Testing </w:t>
      </w:r>
      <w:r w:rsidR="00B14ED3" w:rsidRPr="003A6DFC">
        <w:rPr>
          <w:rFonts w:ascii="Century" w:hAnsi="Century" w:cs="Times New Roman"/>
          <w:lang w:val="en-GB"/>
        </w:rPr>
        <w:t xml:space="preserve">whether the relationship between SAH and biomarkers differs depending on the interview mode </w:t>
      </w:r>
      <w:r w:rsidRPr="003A6DFC">
        <w:rPr>
          <w:rFonts w:ascii="Century" w:hAnsi="Century" w:cs="Times New Roman"/>
          <w:lang w:val="en-GB"/>
        </w:rPr>
        <w:t>c</w:t>
      </w:r>
      <w:r w:rsidR="00DA7FA9" w:rsidRPr="003A6DFC">
        <w:rPr>
          <w:rFonts w:ascii="Century" w:hAnsi="Century" w:cs="Times New Roman"/>
          <w:lang w:val="en-GB"/>
        </w:rPr>
        <w:t xml:space="preserve">ontributes to the literature on better understanding SAH as a health </w:t>
      </w:r>
      <w:r w:rsidR="001D7D7F" w:rsidRPr="003A6DFC">
        <w:rPr>
          <w:rFonts w:ascii="Century" w:hAnsi="Century" w:cs="Times New Roman"/>
          <w:lang w:val="en-GB"/>
        </w:rPr>
        <w:t>outcome</w:t>
      </w:r>
      <w:r w:rsidR="00DA7FA9" w:rsidRPr="003A6DFC">
        <w:rPr>
          <w:rFonts w:ascii="Century" w:hAnsi="Century" w:cs="Times New Roman"/>
          <w:lang w:val="en-GB"/>
        </w:rPr>
        <w:t xml:space="preserve"> (</w:t>
      </w:r>
      <w:r w:rsidR="001D7D7F" w:rsidRPr="003A6DFC">
        <w:rPr>
          <w:rFonts w:ascii="Century" w:hAnsi="Century" w:cs="Times New Roman"/>
          <w:lang w:val="en-GB"/>
        </w:rPr>
        <w:t xml:space="preserve">e.g., </w:t>
      </w:r>
      <w:r w:rsidR="000E34DA" w:rsidRPr="003A6DFC">
        <w:rPr>
          <w:rFonts w:ascii="Century" w:hAnsi="Century" w:cs="Times New Roman"/>
          <w:lang w:val="en-GB"/>
        </w:rPr>
        <w:t xml:space="preserve">Au and Johnston, 2014; </w:t>
      </w:r>
      <w:proofErr w:type="spellStart"/>
      <w:r w:rsidR="0026227E" w:rsidRPr="003A6DFC">
        <w:rPr>
          <w:rFonts w:ascii="Century" w:hAnsi="Century" w:cs="Times New Roman"/>
          <w:lang w:val="en-GB"/>
        </w:rPr>
        <w:t>Jylhä</w:t>
      </w:r>
      <w:proofErr w:type="spellEnd"/>
      <w:r w:rsidR="0026227E" w:rsidRPr="003A6DFC">
        <w:rPr>
          <w:rFonts w:ascii="Century" w:hAnsi="Century" w:cs="Times New Roman"/>
          <w:lang w:val="en-GB"/>
        </w:rPr>
        <w:t>, 2009</w:t>
      </w:r>
      <w:r w:rsidR="00DA7FA9" w:rsidRPr="003A6DFC">
        <w:rPr>
          <w:rFonts w:ascii="Century" w:hAnsi="Century" w:cs="Times New Roman"/>
          <w:lang w:val="en-GB"/>
        </w:rPr>
        <w:t xml:space="preserve">). </w:t>
      </w:r>
      <w:r w:rsidR="000C2974" w:rsidRPr="003A6DFC">
        <w:rPr>
          <w:rFonts w:ascii="Century" w:hAnsi="Century" w:cs="Times New Roman"/>
          <w:lang w:val="en-GB"/>
        </w:rPr>
        <w:t>A finding</w:t>
      </w:r>
      <w:r w:rsidR="00DA7FA9" w:rsidRPr="003A6DFC">
        <w:rPr>
          <w:rFonts w:ascii="Century" w:hAnsi="Century" w:cs="Times New Roman"/>
          <w:lang w:val="en-GB"/>
        </w:rPr>
        <w:t xml:space="preserve"> that different dimensions </w:t>
      </w:r>
      <w:r w:rsidR="001D7D7F" w:rsidRPr="003A6DFC">
        <w:rPr>
          <w:rFonts w:ascii="Century" w:hAnsi="Century" w:cs="Times New Roman"/>
          <w:lang w:val="en-GB"/>
        </w:rPr>
        <w:t xml:space="preserve">of health </w:t>
      </w:r>
      <w:r w:rsidR="000C2974" w:rsidRPr="003A6DFC">
        <w:rPr>
          <w:rFonts w:ascii="Century" w:hAnsi="Century" w:cs="Times New Roman"/>
          <w:lang w:val="en-GB"/>
        </w:rPr>
        <w:t xml:space="preserve">have differing patterns of association with </w:t>
      </w:r>
      <w:r w:rsidR="00DA7FA9" w:rsidRPr="003A6DFC">
        <w:rPr>
          <w:rFonts w:ascii="Century" w:hAnsi="Century" w:cs="Times New Roman"/>
          <w:lang w:val="en-GB"/>
        </w:rPr>
        <w:t>the two SAH measures may</w:t>
      </w:r>
      <w:r w:rsidR="0026227E" w:rsidRPr="003A6DFC">
        <w:rPr>
          <w:rFonts w:ascii="Century" w:hAnsi="Century" w:cs="Times New Roman"/>
          <w:lang w:val="en-GB"/>
        </w:rPr>
        <w:t xml:space="preserve"> </w:t>
      </w:r>
      <w:r w:rsidR="000C2974" w:rsidRPr="003A6DFC">
        <w:rPr>
          <w:rFonts w:ascii="Century" w:hAnsi="Century" w:cs="Times New Roman"/>
          <w:lang w:val="en-GB"/>
        </w:rPr>
        <w:t xml:space="preserve">explain </w:t>
      </w:r>
      <w:r w:rsidR="0026227E" w:rsidRPr="003A6DFC">
        <w:rPr>
          <w:rFonts w:ascii="Century" w:hAnsi="Century" w:cs="Times New Roman"/>
          <w:lang w:val="en-GB"/>
        </w:rPr>
        <w:t xml:space="preserve">why </w:t>
      </w:r>
      <w:r w:rsidR="005F3769" w:rsidRPr="003A6DFC">
        <w:rPr>
          <w:rFonts w:ascii="Century" w:hAnsi="Century" w:cs="Times New Roman"/>
          <w:lang w:val="en-GB"/>
        </w:rPr>
        <w:t xml:space="preserve">econometric results may differ between the </w:t>
      </w:r>
      <w:r w:rsidR="0026227E" w:rsidRPr="003A6DFC">
        <w:rPr>
          <w:rFonts w:ascii="Century" w:hAnsi="Century" w:cs="Times New Roman"/>
          <w:lang w:val="en-GB"/>
        </w:rPr>
        <w:t xml:space="preserve">open interview </w:t>
      </w:r>
      <w:r w:rsidR="001D7D7F" w:rsidRPr="003A6DFC">
        <w:rPr>
          <w:rFonts w:ascii="Century" w:hAnsi="Century" w:cs="Times New Roman"/>
          <w:lang w:val="en-GB"/>
        </w:rPr>
        <w:t>and</w:t>
      </w:r>
      <w:r w:rsidR="0026227E" w:rsidRPr="003A6DFC">
        <w:rPr>
          <w:rFonts w:ascii="Century" w:hAnsi="Century" w:cs="Times New Roman"/>
          <w:lang w:val="en-GB"/>
        </w:rPr>
        <w:t xml:space="preserve"> self-completion </w:t>
      </w:r>
      <w:r w:rsidR="0018002F" w:rsidRPr="003A6DFC">
        <w:rPr>
          <w:rFonts w:ascii="Century" w:hAnsi="Century" w:cs="Times New Roman"/>
          <w:lang w:val="en-GB"/>
        </w:rPr>
        <w:t xml:space="preserve">SAH measures </w:t>
      </w:r>
      <w:r w:rsidR="000C2974" w:rsidRPr="003A6DFC">
        <w:rPr>
          <w:rFonts w:ascii="Century" w:hAnsi="Century" w:cs="Times New Roman"/>
          <w:lang w:val="en-GB"/>
        </w:rPr>
        <w:t>they are used as outcomes or explanatory variables</w:t>
      </w:r>
      <w:r w:rsidR="0026227E" w:rsidRPr="003A6DFC">
        <w:rPr>
          <w:rFonts w:ascii="Century" w:hAnsi="Century" w:cs="Times New Roman"/>
          <w:lang w:val="en-GB"/>
        </w:rPr>
        <w:t xml:space="preserve">. </w:t>
      </w:r>
      <w:r w:rsidR="000E34DA" w:rsidRPr="003A6DFC">
        <w:rPr>
          <w:rFonts w:ascii="Century" w:hAnsi="Century" w:cs="Times New Roman"/>
          <w:lang w:val="en-GB"/>
        </w:rPr>
        <w:t>On the other hand, if there are no differences</w:t>
      </w:r>
      <w:r w:rsidR="000C2974" w:rsidRPr="003A6DFC">
        <w:rPr>
          <w:rFonts w:ascii="Century" w:hAnsi="Century" w:cs="Times New Roman"/>
          <w:lang w:val="en-GB"/>
        </w:rPr>
        <w:t>,</w:t>
      </w:r>
      <w:r w:rsidR="000E34DA" w:rsidRPr="003A6DFC">
        <w:rPr>
          <w:rFonts w:ascii="Century" w:hAnsi="Century" w:cs="Times New Roman"/>
          <w:lang w:val="en-GB"/>
        </w:rPr>
        <w:t xml:space="preserve"> </w:t>
      </w:r>
      <w:r w:rsidR="005F3769" w:rsidRPr="003A6DFC">
        <w:rPr>
          <w:rFonts w:ascii="Century" w:hAnsi="Century" w:cs="Times New Roman"/>
          <w:lang w:val="en-GB"/>
        </w:rPr>
        <w:t>other mechanisms on how individuals translate and report their actual health using SAH measures</w:t>
      </w:r>
      <w:r w:rsidR="000C2974" w:rsidRPr="003A6DFC">
        <w:rPr>
          <w:rFonts w:ascii="Century" w:hAnsi="Century" w:cs="Times New Roman"/>
          <w:lang w:val="en-GB"/>
        </w:rPr>
        <w:t xml:space="preserve"> may be relevant</w:t>
      </w:r>
      <w:r w:rsidR="005F3769" w:rsidRPr="003A6DFC">
        <w:rPr>
          <w:rFonts w:ascii="Century" w:hAnsi="Century" w:cs="Times New Roman"/>
          <w:lang w:val="en-GB"/>
        </w:rPr>
        <w:t xml:space="preserve"> (</w:t>
      </w:r>
      <w:proofErr w:type="spellStart"/>
      <w:r w:rsidR="005F3769" w:rsidRPr="003A6DFC">
        <w:rPr>
          <w:rFonts w:ascii="Century" w:hAnsi="Century" w:cs="Times New Roman"/>
          <w:lang w:val="en-GB"/>
        </w:rPr>
        <w:t>Jylhä</w:t>
      </w:r>
      <w:proofErr w:type="spellEnd"/>
      <w:r w:rsidR="005F3769" w:rsidRPr="003A6DFC">
        <w:rPr>
          <w:rFonts w:ascii="Century" w:hAnsi="Century" w:cs="Times New Roman"/>
          <w:lang w:val="en-GB"/>
        </w:rPr>
        <w:t xml:space="preserve">, 2009). </w:t>
      </w:r>
    </w:p>
    <w:p w14:paraId="37EA2374" w14:textId="61E996CD" w:rsidR="002026A8" w:rsidRPr="003A6DFC" w:rsidRDefault="00200DBA" w:rsidP="00C83027">
      <w:pPr>
        <w:spacing w:after="0" w:line="360" w:lineRule="auto"/>
        <w:ind w:firstLine="708"/>
        <w:jc w:val="both"/>
        <w:rPr>
          <w:rFonts w:ascii="Century" w:hAnsi="Century" w:cs="Times New Roman"/>
          <w:lang w:val="en-GB"/>
        </w:rPr>
      </w:pPr>
      <w:r w:rsidRPr="003A6DFC">
        <w:rPr>
          <w:rFonts w:ascii="Century" w:hAnsi="Century" w:cs="Times New Roman"/>
          <w:lang w:val="en-GB"/>
        </w:rPr>
        <w:t xml:space="preserve">The rest of the paper is organized as follows. Section 2 presents and describes the </w:t>
      </w:r>
      <w:r w:rsidR="0083115E" w:rsidRPr="003A6DFC">
        <w:rPr>
          <w:rFonts w:ascii="Century" w:hAnsi="Century" w:cs="Times New Roman"/>
          <w:lang w:val="en-GB"/>
        </w:rPr>
        <w:t xml:space="preserve">UKHLS </w:t>
      </w:r>
      <w:r w:rsidRPr="003A6DFC">
        <w:rPr>
          <w:rFonts w:ascii="Century" w:hAnsi="Century" w:cs="Times New Roman"/>
          <w:lang w:val="en-GB"/>
        </w:rPr>
        <w:t>dataset</w:t>
      </w:r>
      <w:r w:rsidR="008E05A4" w:rsidRPr="003A6DFC">
        <w:rPr>
          <w:rFonts w:ascii="Century" w:hAnsi="Century" w:cs="Times New Roman"/>
          <w:lang w:val="en-GB"/>
        </w:rPr>
        <w:t>. Section 3 presents our econometric</w:t>
      </w:r>
      <w:r w:rsidR="0083115E" w:rsidRPr="003A6DFC">
        <w:rPr>
          <w:rFonts w:ascii="Century" w:hAnsi="Century" w:cs="Times New Roman"/>
          <w:lang w:val="en-GB"/>
        </w:rPr>
        <w:t xml:space="preserve"> methods</w:t>
      </w:r>
      <w:r w:rsidR="008E05A4" w:rsidRPr="003A6DFC">
        <w:rPr>
          <w:rFonts w:ascii="Century" w:hAnsi="Century" w:cs="Times New Roman"/>
          <w:lang w:val="en-GB"/>
        </w:rPr>
        <w:t xml:space="preserve">.  </w:t>
      </w:r>
      <w:r w:rsidR="00496B68" w:rsidRPr="003A6DFC">
        <w:rPr>
          <w:rFonts w:ascii="Century" w:hAnsi="Century" w:cs="Times New Roman"/>
          <w:lang w:val="en-GB"/>
        </w:rPr>
        <w:t>A</w:t>
      </w:r>
      <w:r w:rsidR="008E05A4" w:rsidRPr="003A6DFC">
        <w:rPr>
          <w:rFonts w:ascii="Century" w:hAnsi="Century" w:cs="Times New Roman"/>
          <w:lang w:val="en-GB"/>
        </w:rPr>
        <w:t xml:space="preserve">nalysis of the observed inconsistent responses to SAH questions over time and the relevant longitudinal patterns are presented in Section </w:t>
      </w:r>
      <w:r w:rsidR="009A3D9D" w:rsidRPr="003A6DFC">
        <w:rPr>
          <w:rFonts w:ascii="Century" w:hAnsi="Century" w:cs="Times New Roman"/>
          <w:lang w:val="en-GB"/>
        </w:rPr>
        <w:t>4</w:t>
      </w:r>
      <w:r w:rsidR="008E05A4" w:rsidRPr="003A6DFC">
        <w:rPr>
          <w:rFonts w:ascii="Century" w:hAnsi="Century" w:cs="Times New Roman"/>
          <w:lang w:val="en-GB"/>
        </w:rPr>
        <w:t xml:space="preserve">. </w:t>
      </w:r>
      <w:r w:rsidR="00496B68" w:rsidRPr="003A6DFC">
        <w:rPr>
          <w:rFonts w:ascii="Century" w:hAnsi="Century" w:cs="Times New Roman"/>
          <w:lang w:val="en-GB"/>
        </w:rPr>
        <w:t xml:space="preserve">Multivariate analysis of the association between inconsistent reporting and socioeconomic factors as well as </w:t>
      </w:r>
      <w:r w:rsidR="001D1332" w:rsidRPr="003A6DFC">
        <w:rPr>
          <w:rFonts w:ascii="Century" w:hAnsi="Century" w:cs="Times New Roman"/>
          <w:lang w:val="en-GB"/>
        </w:rPr>
        <w:t>an</w:t>
      </w:r>
      <w:r w:rsidR="00496B68" w:rsidRPr="003A6DFC">
        <w:rPr>
          <w:rFonts w:ascii="Century" w:hAnsi="Century" w:cs="Times New Roman"/>
          <w:lang w:val="en-GB"/>
        </w:rPr>
        <w:t xml:space="preserve"> analysis of</w:t>
      </w:r>
      <w:r w:rsidR="001D1332" w:rsidRPr="003A6DFC">
        <w:rPr>
          <w:rFonts w:ascii="Century" w:hAnsi="Century" w:cs="Times New Roman"/>
          <w:lang w:val="en-GB"/>
        </w:rPr>
        <w:t xml:space="preserve"> the potential implications for measurement error in SAH for research on the income-health gradient are </w:t>
      </w:r>
      <w:r w:rsidR="008E05A4" w:rsidRPr="003A6DFC">
        <w:rPr>
          <w:rFonts w:ascii="Century" w:hAnsi="Century" w:cs="Times New Roman"/>
          <w:lang w:val="en-GB"/>
        </w:rPr>
        <w:t xml:space="preserve">presented and discussed in Section </w:t>
      </w:r>
      <w:r w:rsidR="009A3D9D" w:rsidRPr="003A6DFC">
        <w:rPr>
          <w:rFonts w:ascii="Century" w:hAnsi="Century" w:cs="Times New Roman"/>
          <w:lang w:val="en-GB"/>
        </w:rPr>
        <w:t>5</w:t>
      </w:r>
      <w:r w:rsidR="008E05A4" w:rsidRPr="003A6DFC">
        <w:rPr>
          <w:rFonts w:ascii="Century" w:hAnsi="Century" w:cs="Times New Roman"/>
          <w:lang w:val="en-GB"/>
        </w:rPr>
        <w:t xml:space="preserve">. </w:t>
      </w:r>
      <w:r w:rsidR="002309B2" w:rsidRPr="003A6DFC">
        <w:rPr>
          <w:rFonts w:ascii="Century" w:hAnsi="Century" w:cs="Times New Roman"/>
          <w:lang w:val="en-GB"/>
        </w:rPr>
        <w:t xml:space="preserve">Section 5 also contains our analysis on whether physiological and biological health are reflected more strongly in the self-completion or the open interview SAH measures. </w:t>
      </w:r>
      <w:r w:rsidR="008E05A4" w:rsidRPr="003A6DFC">
        <w:rPr>
          <w:rFonts w:ascii="Century" w:hAnsi="Century" w:cs="Times New Roman"/>
          <w:lang w:val="en-GB"/>
        </w:rPr>
        <w:t xml:space="preserve">Section </w:t>
      </w:r>
      <w:r w:rsidR="009A3D9D" w:rsidRPr="003A6DFC">
        <w:rPr>
          <w:rFonts w:ascii="Century" w:hAnsi="Century" w:cs="Times New Roman"/>
          <w:lang w:val="en-GB"/>
        </w:rPr>
        <w:t>6</w:t>
      </w:r>
      <w:r w:rsidR="008E05A4" w:rsidRPr="003A6DFC">
        <w:rPr>
          <w:rFonts w:ascii="Century" w:hAnsi="Century" w:cs="Times New Roman"/>
          <w:lang w:val="en-GB"/>
        </w:rPr>
        <w:t xml:space="preserve"> concludes and </w:t>
      </w:r>
      <w:r w:rsidR="0083115E" w:rsidRPr="003A6DFC">
        <w:rPr>
          <w:rFonts w:ascii="Century" w:hAnsi="Century" w:cs="Times New Roman"/>
          <w:lang w:val="en-GB"/>
        </w:rPr>
        <w:t>provides</w:t>
      </w:r>
      <w:r w:rsidR="008E05A4" w:rsidRPr="003A6DFC">
        <w:rPr>
          <w:rFonts w:ascii="Century" w:hAnsi="Century" w:cs="Times New Roman"/>
          <w:lang w:val="en-GB"/>
        </w:rPr>
        <w:t xml:space="preserve"> a summary of our</w:t>
      </w:r>
      <w:r w:rsidR="0083115E" w:rsidRPr="003A6DFC">
        <w:rPr>
          <w:rFonts w:ascii="Century" w:hAnsi="Century" w:cs="Times New Roman"/>
          <w:lang w:val="en-GB"/>
        </w:rPr>
        <w:t xml:space="preserve"> </w:t>
      </w:r>
      <w:r w:rsidR="008E05A4" w:rsidRPr="003A6DFC">
        <w:rPr>
          <w:rFonts w:ascii="Century" w:hAnsi="Century" w:cs="Times New Roman"/>
          <w:lang w:val="en-GB"/>
        </w:rPr>
        <w:t xml:space="preserve">findings. </w:t>
      </w:r>
    </w:p>
    <w:p w14:paraId="5077260C" w14:textId="77777777" w:rsidR="002026A8" w:rsidRPr="003A6DFC" w:rsidRDefault="002026A8" w:rsidP="0036224E">
      <w:pPr>
        <w:spacing w:after="0" w:line="360" w:lineRule="auto"/>
        <w:ind w:firstLine="360"/>
        <w:jc w:val="both"/>
        <w:rPr>
          <w:rFonts w:ascii="Century" w:hAnsi="Century" w:cs="Times New Roman"/>
          <w:lang w:val="en-GB"/>
        </w:rPr>
      </w:pPr>
    </w:p>
    <w:p w14:paraId="5671EF82" w14:textId="1E3BE486" w:rsidR="00067AF3" w:rsidRPr="003A6DFC" w:rsidRDefault="00067AF3" w:rsidP="003A112F">
      <w:pPr>
        <w:pStyle w:val="PargrafodaLista"/>
        <w:numPr>
          <w:ilvl w:val="0"/>
          <w:numId w:val="3"/>
        </w:numPr>
        <w:spacing w:after="0" w:line="360" w:lineRule="auto"/>
        <w:jc w:val="both"/>
        <w:rPr>
          <w:rFonts w:ascii="Century" w:hAnsi="Century" w:cs="Times New Roman"/>
          <w:b/>
          <w:sz w:val="28"/>
          <w:szCs w:val="28"/>
          <w:lang w:val="en-GB"/>
        </w:rPr>
      </w:pPr>
      <w:r w:rsidRPr="003A6DFC">
        <w:rPr>
          <w:rFonts w:ascii="Century" w:hAnsi="Century" w:cs="Times New Roman"/>
          <w:b/>
          <w:sz w:val="28"/>
          <w:szCs w:val="28"/>
          <w:lang w:val="en-GB"/>
        </w:rPr>
        <w:lastRenderedPageBreak/>
        <w:t>The UKHLS dataset</w:t>
      </w:r>
    </w:p>
    <w:p w14:paraId="24C3A229" w14:textId="77777777" w:rsidR="00C86F8E" w:rsidRPr="003A6DFC" w:rsidRDefault="00C86F8E" w:rsidP="00283E2E">
      <w:pPr>
        <w:spacing w:after="0" w:line="360" w:lineRule="auto"/>
        <w:ind w:firstLine="360"/>
        <w:jc w:val="both"/>
        <w:rPr>
          <w:rFonts w:ascii="Century" w:hAnsi="Century" w:cs="Arial"/>
        </w:rPr>
      </w:pPr>
    </w:p>
    <w:p w14:paraId="429273E2" w14:textId="4CF18830" w:rsidR="003A112F" w:rsidRPr="003A6DFC" w:rsidRDefault="003A112F" w:rsidP="005438BE">
      <w:pPr>
        <w:spacing w:after="0" w:line="360" w:lineRule="auto"/>
        <w:jc w:val="both"/>
        <w:rPr>
          <w:rFonts w:ascii="Century" w:hAnsi="Century" w:cs="Arial"/>
        </w:rPr>
      </w:pPr>
      <w:r w:rsidRPr="003A6DFC">
        <w:rPr>
          <w:rFonts w:ascii="Century" w:hAnsi="Century" w:cs="Arial"/>
        </w:rPr>
        <w:t>The data come from Understanding Society, the UK Household Longitudinal Study (UKHLS). The UKHLS is a large, nationa</w:t>
      </w:r>
      <w:r w:rsidR="00496B68" w:rsidRPr="003A6DFC">
        <w:rPr>
          <w:rFonts w:ascii="Century" w:hAnsi="Century" w:cs="Arial"/>
        </w:rPr>
        <w:t>l</w:t>
      </w:r>
      <w:r w:rsidRPr="003A6DFC">
        <w:rPr>
          <w:rFonts w:ascii="Century" w:hAnsi="Century" w:cs="Arial"/>
        </w:rPr>
        <w:t>l</w:t>
      </w:r>
      <w:r w:rsidR="00496B68" w:rsidRPr="003A6DFC">
        <w:rPr>
          <w:rFonts w:ascii="Century" w:hAnsi="Century" w:cs="Arial"/>
        </w:rPr>
        <w:t>y</w:t>
      </w:r>
      <w:r w:rsidRPr="003A6DFC">
        <w:rPr>
          <w:rFonts w:ascii="Century" w:hAnsi="Century" w:cs="Arial"/>
        </w:rPr>
        <w:t xml:space="preserve"> representative panel survey, with a design that involves overlapping 2-year waves. Individuals have been interviewed annually since the initial wave in 2009–2010 (Wave 1). </w:t>
      </w:r>
      <w:r w:rsidR="00115EF0" w:rsidRPr="003A6DFC">
        <w:rPr>
          <w:rFonts w:ascii="Century" w:hAnsi="Century" w:cs="Arial"/>
        </w:rPr>
        <w:t>The BHPS sub-sample is ab</w:t>
      </w:r>
      <w:r w:rsidR="00FC1765" w:rsidRPr="003A6DFC">
        <w:rPr>
          <w:rFonts w:ascii="Century" w:hAnsi="Century" w:cs="Arial"/>
        </w:rPr>
        <w:t>sorbed</w:t>
      </w:r>
      <w:r w:rsidR="00115EF0" w:rsidRPr="003A6DFC">
        <w:rPr>
          <w:rFonts w:ascii="Century" w:hAnsi="Century" w:cs="Arial"/>
        </w:rPr>
        <w:t xml:space="preserve"> into the UKHLS at </w:t>
      </w:r>
      <w:r w:rsidR="00FC1765" w:rsidRPr="003A6DFC">
        <w:rPr>
          <w:rFonts w:ascii="Century" w:hAnsi="Century" w:cs="Arial"/>
        </w:rPr>
        <w:t>W</w:t>
      </w:r>
      <w:r w:rsidR="00115EF0" w:rsidRPr="003A6DFC">
        <w:rPr>
          <w:rFonts w:ascii="Century" w:hAnsi="Century" w:cs="Arial"/>
        </w:rPr>
        <w:t xml:space="preserve">ave 2. </w:t>
      </w:r>
      <w:r w:rsidRPr="003A6DFC">
        <w:rPr>
          <w:rFonts w:ascii="Century" w:hAnsi="Century" w:cs="Arial"/>
        </w:rPr>
        <w:t xml:space="preserve">UKHLS contains a detailed set of demographics, socioeconomic, health and well-being information for all household members on an annual basis. </w:t>
      </w:r>
    </w:p>
    <w:p w14:paraId="1DC057FF" w14:textId="4C2C6663" w:rsidR="003A112F" w:rsidRPr="003A6DFC" w:rsidRDefault="003A112F" w:rsidP="00283E2E">
      <w:pPr>
        <w:spacing w:after="0" w:line="360" w:lineRule="auto"/>
        <w:ind w:firstLine="708"/>
        <w:jc w:val="both"/>
        <w:rPr>
          <w:rFonts w:ascii="Century" w:hAnsi="Century" w:cs="Arial"/>
        </w:rPr>
      </w:pPr>
      <w:r w:rsidRPr="003A6DFC">
        <w:rPr>
          <w:rFonts w:ascii="Century" w:hAnsi="Century" w:cs="Arial"/>
        </w:rPr>
        <w:t>A feature of this dataset is that information on SAH is collected twice for each respondent at each of the UKHLS Waves 2, 3, 4 and 5, with two modes of collection: open interview and self-completion. Responses on SAH are asked during the open, face-to-face interviews for each household member and, within the same wave, using a self-completion questionnaire</w:t>
      </w:r>
      <w:r w:rsidR="00514AF4" w:rsidRPr="003A6DFC">
        <w:rPr>
          <w:rFonts w:ascii="Century" w:hAnsi="Century" w:cs="Arial"/>
        </w:rPr>
        <w:t>.</w:t>
      </w:r>
      <w:r w:rsidRPr="003A6DFC">
        <w:rPr>
          <w:rFonts w:ascii="Century" w:hAnsi="Century" w:cs="Arial"/>
        </w:rPr>
        <w:t xml:space="preserve"> </w:t>
      </w:r>
      <w:r w:rsidR="00514AF4" w:rsidRPr="003A6DFC">
        <w:rPr>
          <w:rFonts w:ascii="Century" w:hAnsi="Century" w:cs="Arial"/>
        </w:rPr>
        <w:t>T</w:t>
      </w:r>
      <w:r w:rsidRPr="003A6DFC">
        <w:rPr>
          <w:rFonts w:ascii="Century" w:hAnsi="Century" w:cs="Arial"/>
        </w:rPr>
        <w:t>his was available as a paper questionnaire for Wave 2 and using the computer assisted self-interviewing (CASI) survey technique, in which the respondent uses a computer to complete the SAH questionnaire without an interviewer administering it to the respondent</w:t>
      </w:r>
      <w:r w:rsidR="009923F0" w:rsidRPr="003A6DFC">
        <w:rPr>
          <w:rStyle w:val="Refdenotaderodap"/>
          <w:rFonts w:ascii="Century" w:hAnsi="Century" w:cs="Arial"/>
        </w:rPr>
        <w:footnoteReference w:id="7"/>
      </w:r>
      <w:r w:rsidRPr="003A6DFC">
        <w:rPr>
          <w:rFonts w:ascii="Century" w:hAnsi="Century" w:cs="Arial"/>
        </w:rPr>
        <w:t>. Specifically, the following SAH question</w:t>
      </w:r>
      <w:r w:rsidR="004F0B83" w:rsidRPr="003A6DFC">
        <w:rPr>
          <w:rFonts w:ascii="Century" w:hAnsi="Century" w:cs="Arial"/>
        </w:rPr>
        <w:t xml:space="preserve"> </w:t>
      </w:r>
      <w:r w:rsidRPr="003A6DFC">
        <w:rPr>
          <w:rFonts w:ascii="Century" w:hAnsi="Century" w:cs="Arial"/>
        </w:rPr>
        <w:t xml:space="preserve">is asked twice, within each wave and in </w:t>
      </w:r>
      <w:r w:rsidR="004F0B83" w:rsidRPr="003A6DFC">
        <w:rPr>
          <w:rFonts w:ascii="Century" w:hAnsi="Century" w:cs="Arial"/>
        </w:rPr>
        <w:t>the</w:t>
      </w:r>
      <w:r w:rsidRPr="003A6DFC">
        <w:rPr>
          <w:rFonts w:ascii="Century" w:hAnsi="Century" w:cs="Arial"/>
        </w:rPr>
        <w:t xml:space="preserve"> time frame of </w:t>
      </w:r>
      <w:r w:rsidR="00C16125" w:rsidRPr="003A6DFC">
        <w:rPr>
          <w:rFonts w:ascii="Century" w:hAnsi="Century" w:cs="Arial"/>
        </w:rPr>
        <w:t>the UKHLS household interview</w:t>
      </w:r>
      <w:r w:rsidRPr="003A6DFC">
        <w:rPr>
          <w:rFonts w:ascii="Century" w:hAnsi="Century" w:cs="Arial"/>
        </w:rPr>
        <w:t>: “In general, would you say your health is</w:t>
      </w:r>
      <w:r w:rsidR="004F0B83" w:rsidRPr="003A6DFC">
        <w:rPr>
          <w:rFonts w:ascii="Century" w:hAnsi="Century" w:cs="Arial"/>
        </w:rPr>
        <w:t>:</w:t>
      </w:r>
      <w:r w:rsidRPr="003A6DFC">
        <w:rPr>
          <w:rFonts w:ascii="Century" w:hAnsi="Century" w:cs="Arial"/>
        </w:rPr>
        <w:t xml:space="preserve"> Excellent, Very Good, Good, Fair or Poor</w:t>
      </w:r>
      <w:r w:rsidR="004F0B83" w:rsidRPr="003A6DFC">
        <w:rPr>
          <w:rFonts w:ascii="Century" w:hAnsi="Century" w:cs="Arial"/>
        </w:rPr>
        <w:t>?</w:t>
      </w:r>
      <w:r w:rsidRPr="003A6DFC">
        <w:rPr>
          <w:rFonts w:ascii="Century" w:hAnsi="Century" w:cs="Arial"/>
        </w:rPr>
        <w:t xml:space="preserve">”. Wording of the question and ordering of the health categories are identical between both measures within and between the UKHLS </w:t>
      </w:r>
      <w:r w:rsidR="00514AF4" w:rsidRPr="003A6DFC">
        <w:rPr>
          <w:rFonts w:ascii="Century" w:hAnsi="Century" w:cs="Arial"/>
        </w:rPr>
        <w:t>W</w:t>
      </w:r>
      <w:r w:rsidRPr="003A6DFC">
        <w:rPr>
          <w:rFonts w:ascii="Century" w:hAnsi="Century" w:cs="Arial"/>
        </w:rPr>
        <w:t xml:space="preserve">aves 2-5. </w:t>
      </w:r>
      <w:r w:rsidR="0045398B" w:rsidRPr="003A6DFC">
        <w:rPr>
          <w:rFonts w:ascii="Century" w:hAnsi="Century" w:cs="Arial"/>
        </w:rPr>
        <w:t>W</w:t>
      </w:r>
      <w:r w:rsidR="00AE52DE" w:rsidRPr="003A6DFC">
        <w:rPr>
          <w:rFonts w:ascii="Century" w:hAnsi="Century" w:cs="Arial"/>
        </w:rPr>
        <w:t xml:space="preserve">e have </w:t>
      </w:r>
      <w:r w:rsidR="00C64FE3" w:rsidRPr="003A6DFC">
        <w:rPr>
          <w:rFonts w:ascii="Century" w:hAnsi="Century" w:cs="Arial"/>
        </w:rPr>
        <w:t xml:space="preserve">coded SAH so that higher values </w:t>
      </w:r>
      <w:r w:rsidR="004F3BE5" w:rsidRPr="003A6DFC">
        <w:rPr>
          <w:rFonts w:ascii="Century" w:hAnsi="Century" w:cs="Arial"/>
        </w:rPr>
        <w:t xml:space="preserve">indicate </w:t>
      </w:r>
      <w:r w:rsidR="001374D6" w:rsidRPr="003A6DFC">
        <w:rPr>
          <w:rFonts w:ascii="Century" w:hAnsi="Century" w:cs="Arial"/>
        </w:rPr>
        <w:t xml:space="preserve">a better health state. </w:t>
      </w:r>
    </w:p>
    <w:p w14:paraId="76FCA062" w14:textId="1075A4DD" w:rsidR="003A112F" w:rsidRPr="003A6DFC" w:rsidRDefault="003A112F" w:rsidP="00283E2E">
      <w:pPr>
        <w:spacing w:after="0" w:line="360" w:lineRule="auto"/>
        <w:ind w:firstLine="708"/>
        <w:jc w:val="both"/>
        <w:rPr>
          <w:rFonts w:ascii="Century" w:hAnsi="Century" w:cs="Arial"/>
        </w:rPr>
      </w:pPr>
      <w:r w:rsidRPr="003A6DFC">
        <w:rPr>
          <w:rFonts w:ascii="Century" w:hAnsi="Century" w:cs="Arial"/>
        </w:rPr>
        <w:t xml:space="preserve">To explore those factors that are associated with probability of reporting inconsistently </w:t>
      </w:r>
      <w:r w:rsidR="004F0B83" w:rsidRPr="003A6DFC">
        <w:rPr>
          <w:rFonts w:ascii="Century" w:hAnsi="Century" w:cs="Arial"/>
        </w:rPr>
        <w:t xml:space="preserve">between the </w:t>
      </w:r>
      <w:r w:rsidRPr="003A6DFC">
        <w:rPr>
          <w:rFonts w:ascii="Century" w:hAnsi="Century" w:cs="Arial"/>
        </w:rPr>
        <w:t>open interview versus self-completion</w:t>
      </w:r>
      <w:r w:rsidR="004F0B83" w:rsidRPr="003A6DFC">
        <w:rPr>
          <w:rFonts w:ascii="Century" w:hAnsi="Century" w:cs="Arial"/>
        </w:rPr>
        <w:t xml:space="preserve"> questions</w:t>
      </w:r>
      <w:r w:rsidR="00EE4EC9" w:rsidRPr="003A6DFC">
        <w:rPr>
          <w:rFonts w:ascii="Century" w:hAnsi="Century" w:cs="Arial"/>
        </w:rPr>
        <w:t>,</w:t>
      </w:r>
      <w:r w:rsidRPr="003A6DFC">
        <w:rPr>
          <w:rFonts w:ascii="Century" w:hAnsi="Century" w:cs="Arial"/>
        </w:rPr>
        <w:t xml:space="preserve"> within each wave</w:t>
      </w:r>
      <w:r w:rsidR="00EE4EC9" w:rsidRPr="003A6DFC">
        <w:rPr>
          <w:rFonts w:ascii="Century" w:hAnsi="Century" w:cs="Arial"/>
        </w:rPr>
        <w:t>,</w:t>
      </w:r>
      <w:r w:rsidR="00514AF4" w:rsidRPr="003A6DFC">
        <w:rPr>
          <w:rFonts w:ascii="Century" w:hAnsi="Century" w:cs="Arial"/>
        </w:rPr>
        <w:t xml:space="preserve"> a set of longitudinally collected (unless otherwise stated) explanatory variables are used.</w:t>
      </w:r>
      <w:r w:rsidRPr="003A6DFC">
        <w:rPr>
          <w:rFonts w:ascii="Century" w:hAnsi="Century" w:cs="Arial"/>
        </w:rPr>
        <w:t xml:space="preserve"> </w:t>
      </w:r>
      <w:r w:rsidR="00514AF4" w:rsidRPr="003A6DFC">
        <w:rPr>
          <w:rFonts w:ascii="Century" w:hAnsi="Century" w:cs="Arial"/>
        </w:rPr>
        <w:t xml:space="preserve">These </w:t>
      </w:r>
      <w:r w:rsidRPr="003A6DFC">
        <w:rPr>
          <w:rFonts w:ascii="Century" w:hAnsi="Century" w:cs="Arial"/>
        </w:rPr>
        <w:t>follow the related literature (Black et al., 2017; Chen et al., 2021; Crossley and Kennedy, 2002; Clarke and Ryan, 2006)</w:t>
      </w:r>
      <w:r w:rsidR="00514AF4" w:rsidRPr="003A6DFC">
        <w:rPr>
          <w:rFonts w:ascii="Century" w:hAnsi="Century" w:cs="Arial"/>
        </w:rPr>
        <w:t>.</w:t>
      </w:r>
      <w:r w:rsidRPr="003A6DFC">
        <w:rPr>
          <w:rFonts w:ascii="Century" w:hAnsi="Century" w:cs="Arial"/>
        </w:rPr>
        <w:t xml:space="preserve"> We account for demographic and socioeconomic characteristics</w:t>
      </w:r>
      <w:r w:rsidR="00514AF4" w:rsidRPr="003A6DFC">
        <w:rPr>
          <w:rFonts w:ascii="Century" w:hAnsi="Century" w:cs="Arial"/>
        </w:rPr>
        <w:t>,</w:t>
      </w:r>
      <w:r w:rsidRPr="003A6DFC">
        <w:rPr>
          <w:rFonts w:ascii="Century" w:hAnsi="Century" w:cs="Arial"/>
        </w:rPr>
        <w:t xml:space="preserve"> </w:t>
      </w:r>
      <w:r w:rsidR="00514AF4" w:rsidRPr="003A6DFC">
        <w:rPr>
          <w:rFonts w:ascii="Century" w:hAnsi="Century" w:cs="Arial"/>
        </w:rPr>
        <w:t>m</w:t>
      </w:r>
      <w:r w:rsidRPr="003A6DFC">
        <w:rPr>
          <w:rFonts w:ascii="Century" w:hAnsi="Century" w:cs="Arial"/>
        </w:rPr>
        <w:t>easures of cognitive ability, personality traits</w:t>
      </w:r>
      <w:r w:rsidR="00514AF4" w:rsidRPr="003A6DFC">
        <w:rPr>
          <w:rFonts w:ascii="Century" w:hAnsi="Century" w:cs="Arial"/>
        </w:rPr>
        <w:t>,</w:t>
      </w:r>
      <w:r w:rsidRPr="003A6DFC">
        <w:rPr>
          <w:rFonts w:ascii="Century" w:hAnsi="Century" w:cs="Arial"/>
        </w:rPr>
        <w:t xml:space="preserve"> and indicators for the presence of other household members during the interview are included in our model specifications. </w:t>
      </w:r>
    </w:p>
    <w:p w14:paraId="5DBB73D9" w14:textId="208BA398" w:rsidR="000F6BAD" w:rsidRPr="003A6DFC" w:rsidRDefault="000F6BAD" w:rsidP="000F6BAD">
      <w:pPr>
        <w:spacing w:after="0" w:line="360" w:lineRule="auto"/>
        <w:ind w:firstLine="708"/>
        <w:jc w:val="both"/>
        <w:rPr>
          <w:rFonts w:ascii="Century" w:hAnsi="Century" w:cs="Arial"/>
        </w:rPr>
      </w:pPr>
      <w:r w:rsidRPr="003A6DFC">
        <w:rPr>
          <w:rFonts w:ascii="Century" w:hAnsi="Century" w:cs="Arial"/>
        </w:rPr>
        <w:lastRenderedPageBreak/>
        <w:t>Specifically, gender and age group dummies for five-year intervals between 16 and 85 and a dummy for those over 85 years old are included in our analysis; this allows us to flexibly capture the role of age as well as gender on reporting inconsistency. Existing literature has shown that age and gender are systematic sources of reporting heterogeneity in SAH</w:t>
      </w:r>
      <w:r w:rsidR="008B4A89" w:rsidRPr="003A6DFC">
        <w:rPr>
          <w:rFonts w:ascii="Century" w:hAnsi="Century" w:cs="Arial"/>
        </w:rPr>
        <w:t xml:space="preserve"> (</w:t>
      </w:r>
      <w:proofErr w:type="spellStart"/>
      <w:r w:rsidR="008B4A89" w:rsidRPr="003A6DFC">
        <w:rPr>
          <w:rFonts w:ascii="Century" w:hAnsi="Century" w:cs="Arial"/>
        </w:rPr>
        <w:t>Zajacova</w:t>
      </w:r>
      <w:proofErr w:type="spellEnd"/>
      <w:r w:rsidR="008B4A89" w:rsidRPr="003A6DFC">
        <w:rPr>
          <w:rFonts w:ascii="Century" w:hAnsi="Century" w:cs="Arial"/>
        </w:rPr>
        <w:t xml:space="preserve">, </w:t>
      </w:r>
      <w:proofErr w:type="spellStart"/>
      <w:r w:rsidR="008B4A89" w:rsidRPr="003A6DFC">
        <w:rPr>
          <w:rFonts w:ascii="Century" w:hAnsi="Century" w:cs="Arial"/>
        </w:rPr>
        <w:t>Huzurbazar</w:t>
      </w:r>
      <w:proofErr w:type="spellEnd"/>
      <w:r w:rsidR="008B4A89" w:rsidRPr="003A6DFC">
        <w:rPr>
          <w:rFonts w:ascii="Century" w:hAnsi="Century" w:cs="Arial"/>
        </w:rPr>
        <w:t xml:space="preserve"> and </w:t>
      </w:r>
      <w:proofErr w:type="spellStart"/>
      <w:r w:rsidR="008B4A89" w:rsidRPr="003A6DFC">
        <w:rPr>
          <w:rFonts w:ascii="Century" w:hAnsi="Century" w:cs="Arial"/>
        </w:rPr>
        <w:t>Tood</w:t>
      </w:r>
      <w:proofErr w:type="spellEnd"/>
      <w:r w:rsidR="008B4A89" w:rsidRPr="003A6DFC">
        <w:rPr>
          <w:rFonts w:ascii="Century" w:hAnsi="Century" w:cs="Arial"/>
        </w:rPr>
        <w:t>, 2017))</w:t>
      </w:r>
      <w:r w:rsidRPr="003A6DFC">
        <w:rPr>
          <w:rFonts w:ascii="Century" w:hAnsi="Century" w:cs="Arial"/>
        </w:rPr>
        <w:t xml:space="preserve">. For instance, older individuals are more likely to assess their health better than younger individuals, equivalently healthy counterparts, while females assess their health lower than equivalently healthy men (e.g., </w:t>
      </w:r>
      <w:proofErr w:type="spellStart"/>
      <w:r w:rsidRPr="003A6DFC">
        <w:rPr>
          <w:rFonts w:ascii="Century" w:hAnsi="Century" w:cs="Arial"/>
        </w:rPr>
        <w:t>Nesson</w:t>
      </w:r>
      <w:proofErr w:type="spellEnd"/>
      <w:r w:rsidRPr="003A6DFC">
        <w:rPr>
          <w:rFonts w:ascii="Century" w:hAnsi="Century" w:cs="Arial"/>
        </w:rPr>
        <w:t xml:space="preserve"> and Robinson, 2019). Because older individuals expect to face health problems, younger individuals tend to interpret the information about their own health differently (see </w:t>
      </w:r>
      <w:proofErr w:type="spellStart"/>
      <w:r w:rsidRPr="003A6DFC">
        <w:rPr>
          <w:rFonts w:ascii="Century" w:hAnsi="Century" w:cs="Arial"/>
        </w:rPr>
        <w:t>Jylhä</w:t>
      </w:r>
      <w:proofErr w:type="spellEnd"/>
      <w:r w:rsidRPr="003A6DFC">
        <w:rPr>
          <w:rFonts w:ascii="Century" w:hAnsi="Century" w:cs="Arial"/>
        </w:rPr>
        <w:t>, 2009). Nonetheless, it has been shown that males are more likely to inconsistently report their SAH when compared to women (see Black et al., 2017; Clark and Ryan, 2006; Crossley and Kennedy, 2002).</w:t>
      </w:r>
    </w:p>
    <w:p w14:paraId="7B582152" w14:textId="49DF4BE0" w:rsidR="000F6BAD" w:rsidRPr="003A6DFC" w:rsidRDefault="000F6BAD" w:rsidP="000F6BAD">
      <w:pPr>
        <w:spacing w:after="0" w:line="360" w:lineRule="auto"/>
        <w:ind w:firstLine="708"/>
        <w:jc w:val="both"/>
        <w:rPr>
          <w:rFonts w:ascii="Century" w:hAnsi="Century" w:cs="Arial"/>
        </w:rPr>
      </w:pPr>
      <w:r w:rsidRPr="003A6DFC">
        <w:rPr>
          <w:rFonts w:ascii="Century" w:hAnsi="Century" w:cs="Arial"/>
        </w:rPr>
        <w:t xml:space="preserve">Two measures are used to capture the socioeconomic status of the respondents: highest educational attainment (degree, other higher qualification, A-level, GCSE, other lower qualification, no qualification) and household income (equivalized using the modified OECD scale and deflated). Recent evidence has shown that low-educated individuals are more inclined to provide inconsistent responses about their SAH (e.g., Chen et al. 2021), while high-educated individuals are more likely to show consistent reporting </w:t>
      </w:r>
      <w:proofErr w:type="spellStart"/>
      <w:r w:rsidR="00EB33B0" w:rsidRPr="003A6DFC">
        <w:rPr>
          <w:rFonts w:ascii="Century" w:hAnsi="Century" w:cs="Arial"/>
        </w:rPr>
        <w:t>behaviour</w:t>
      </w:r>
      <w:proofErr w:type="spellEnd"/>
      <w:r w:rsidRPr="003A6DFC">
        <w:rPr>
          <w:rFonts w:ascii="Century" w:hAnsi="Century" w:cs="Arial"/>
        </w:rPr>
        <w:t xml:space="preserve"> (e.g., Black et al., 2017). Better education is associated with better health literacy and greater control of people’s own health status (</w:t>
      </w:r>
      <w:proofErr w:type="spellStart"/>
      <w:r w:rsidRPr="003A6DFC">
        <w:rPr>
          <w:rFonts w:ascii="Century" w:hAnsi="Century" w:cs="Arial"/>
        </w:rPr>
        <w:t>Nutbeam</w:t>
      </w:r>
      <w:proofErr w:type="spellEnd"/>
      <w:r w:rsidRPr="003A6DFC">
        <w:rPr>
          <w:rFonts w:ascii="Century" w:hAnsi="Century" w:cs="Arial"/>
        </w:rPr>
        <w:t xml:space="preserve">, 2008), which may improve consistency to responses to SAH questions as people may be more certain about their health state.  Existing literature has also documented a negative association between inconsistent SAH reporting </w:t>
      </w:r>
      <w:proofErr w:type="spellStart"/>
      <w:r w:rsidR="00EB33B0" w:rsidRPr="003A6DFC">
        <w:rPr>
          <w:rFonts w:ascii="Century" w:hAnsi="Century" w:cs="Arial"/>
        </w:rPr>
        <w:t>behaviour</w:t>
      </w:r>
      <w:proofErr w:type="spellEnd"/>
      <w:r w:rsidRPr="003A6DFC">
        <w:rPr>
          <w:rFonts w:ascii="Century" w:hAnsi="Century" w:cs="Arial"/>
        </w:rPr>
        <w:t xml:space="preserve"> and income (see Chen et al. 2021). Richer individuals are more likely to access preventive health care than poorer ones (e.g., Cookson et al., 2016), which may help individuals to reduce uncertainty about their true health status and, thus, it may improve consistent reporting to SAH questions   </w:t>
      </w:r>
    </w:p>
    <w:p w14:paraId="7F0350A7" w14:textId="311FB3A6" w:rsidR="000F6BAD" w:rsidRPr="003A6DFC" w:rsidRDefault="000F6BAD" w:rsidP="000F6BAD">
      <w:pPr>
        <w:spacing w:after="0" w:line="360" w:lineRule="auto"/>
        <w:ind w:firstLine="708"/>
        <w:jc w:val="both"/>
        <w:rPr>
          <w:rFonts w:ascii="Century" w:hAnsi="Century" w:cs="Times New Roman"/>
          <w:lang w:val="en-GB"/>
        </w:rPr>
      </w:pPr>
      <w:r w:rsidRPr="003A6DFC">
        <w:rPr>
          <w:rFonts w:ascii="Century" w:hAnsi="Century" w:cs="Arial"/>
        </w:rPr>
        <w:t xml:space="preserve"> Employment status is captured by a four-category categorical variable (employed, unemployed, retired, and other job status). </w:t>
      </w:r>
      <w:r w:rsidRPr="003A6DFC">
        <w:rPr>
          <w:rFonts w:ascii="Century" w:hAnsi="Century" w:cs="Times New Roman"/>
          <w:lang w:val="en-GB"/>
        </w:rPr>
        <w:t xml:space="preserve">the existing literature is not conclusive about the relationship between labour market status and consistent reporting </w:t>
      </w:r>
      <w:r w:rsidR="00EB33B0" w:rsidRPr="003A6DFC">
        <w:rPr>
          <w:rFonts w:ascii="Century" w:hAnsi="Century" w:cs="Times New Roman"/>
          <w:lang w:val="en-GB"/>
        </w:rPr>
        <w:t>behaviour</w:t>
      </w:r>
      <w:r w:rsidRPr="003A6DFC">
        <w:rPr>
          <w:rFonts w:ascii="Century" w:hAnsi="Century" w:cs="Times New Roman"/>
          <w:lang w:val="en-GB"/>
        </w:rPr>
        <w:t xml:space="preserve"> on SAH. While some evidence shows that unemployed individuals and those out of labour force are more likely to provide inconsistent </w:t>
      </w:r>
      <w:r w:rsidRPr="003A6DFC">
        <w:rPr>
          <w:rFonts w:ascii="Century" w:hAnsi="Century" w:cs="Times New Roman"/>
          <w:lang w:val="en-GB"/>
        </w:rPr>
        <w:lastRenderedPageBreak/>
        <w:t xml:space="preserve">responses (see Clarke and Ryan, 2006; Crossley and Kennedy, 2002), more recent studies do not find systematic associations (see Black et al., 2017; Chen et al., 2021). </w:t>
      </w:r>
    </w:p>
    <w:p w14:paraId="3D3A1F43" w14:textId="77777777" w:rsidR="000F6BAD" w:rsidRPr="003A6DFC" w:rsidRDefault="000F6BAD" w:rsidP="000F6BAD">
      <w:pPr>
        <w:spacing w:after="0" w:line="360" w:lineRule="auto"/>
        <w:ind w:firstLine="708"/>
        <w:jc w:val="both"/>
        <w:rPr>
          <w:rFonts w:ascii="Century" w:hAnsi="Century" w:cs="Arial"/>
        </w:rPr>
      </w:pPr>
      <w:r w:rsidRPr="003A6DFC">
        <w:rPr>
          <w:rFonts w:ascii="Century" w:hAnsi="Century" w:cs="Arial"/>
        </w:rPr>
        <w:t>Completing the vector of socioeconomic characteristics, a four-category variable is used to account for marital status (married, single, separated/divorced, and widowed). For example, married individuals may have some incentives to assess their health more positively in the open interview and in front of the partner rather than in the case of typically more honest self-completion mode. Existing literature from Australia provides mixed results about the association between marital status and inconsistent response to SAH questions (</w:t>
      </w:r>
      <w:r w:rsidRPr="003A6DFC">
        <w:rPr>
          <w:rFonts w:ascii="Century" w:hAnsi="Century" w:cs="Times New Roman"/>
          <w:lang w:val="en-GB"/>
        </w:rPr>
        <w:t>Black et al., 2017; Chen et al., 2021</w:t>
      </w:r>
      <w:r w:rsidRPr="003A6DFC">
        <w:rPr>
          <w:rFonts w:ascii="Century" w:hAnsi="Century" w:cs="Arial"/>
        </w:rPr>
        <w:t xml:space="preserve">), highlighting some space for additional empirical evidence in the case of the UK.  </w:t>
      </w:r>
    </w:p>
    <w:p w14:paraId="79CE2C45" w14:textId="77777777" w:rsidR="000F6BAD" w:rsidRPr="003A6DFC" w:rsidRDefault="000F6BAD" w:rsidP="000F6BAD">
      <w:pPr>
        <w:spacing w:after="0" w:line="360" w:lineRule="auto"/>
        <w:ind w:firstLine="708"/>
        <w:jc w:val="both"/>
        <w:rPr>
          <w:rFonts w:ascii="Century" w:hAnsi="Century" w:cs="Arial"/>
        </w:rPr>
      </w:pPr>
      <w:r w:rsidRPr="003A6DFC">
        <w:rPr>
          <w:rFonts w:ascii="Century" w:hAnsi="Century" w:cs="Arial"/>
          <w:lang w:val="en-GB"/>
        </w:rPr>
        <w:t xml:space="preserve">Cognitive ability is considered as an important determinant of reporting behaviour (e.g., Black et al., 2017). Questionnaires place cognitive demands to respondents and, thus, it is likely that respondent’s cognitive ability will affect the consistency of responses. Moreover, as cognitive ability is associated with </w:t>
      </w:r>
      <w:proofErr w:type="gramStart"/>
      <w:r w:rsidRPr="003A6DFC">
        <w:rPr>
          <w:rFonts w:ascii="Century" w:hAnsi="Century" w:cs="Arial"/>
          <w:lang w:val="en-GB"/>
        </w:rPr>
        <w:t>a number of</w:t>
      </w:r>
      <w:proofErr w:type="gramEnd"/>
      <w:r w:rsidRPr="003A6DFC">
        <w:rPr>
          <w:rFonts w:ascii="Century" w:hAnsi="Century" w:cs="Arial"/>
          <w:lang w:val="en-GB"/>
        </w:rPr>
        <w:t xml:space="preserve"> labour market outcomes (Lin et al., 2018), establishing the presence of systematic error in SAH that is relevant to cognitive ability may be of particular relevance to research exploring the effect of self-reported health measures on labour market outcomes. </w:t>
      </w:r>
      <w:r w:rsidRPr="003A6DFC">
        <w:rPr>
          <w:rFonts w:ascii="Century" w:hAnsi="Century" w:cs="Arial"/>
        </w:rPr>
        <w:t xml:space="preserve">Recent evidence using Australian data shows that the probability of consistent SAH responses increases with the quantiles of the cognitive ability index that accounts for memory, cognitive function, and verbal skills (see </w:t>
      </w:r>
      <w:proofErr w:type="spellStart"/>
      <w:r w:rsidRPr="003A6DFC">
        <w:rPr>
          <w:rFonts w:ascii="Century" w:hAnsi="Century" w:cs="Arial"/>
        </w:rPr>
        <w:t>Balck</w:t>
      </w:r>
      <w:proofErr w:type="spellEnd"/>
      <w:r w:rsidRPr="003A6DFC">
        <w:rPr>
          <w:rFonts w:ascii="Century" w:hAnsi="Century" w:cs="Arial"/>
        </w:rPr>
        <w:t xml:space="preserve"> et al., 2017). Complementing the existing literature, a wide set of cognitive ability measures are employed in our study to explore the conditional association of each of these measures, capturing different aspects of people’s cognitive ability, on the probability of inconsistent response to SAH questions. </w:t>
      </w:r>
      <w:r w:rsidRPr="003A6DFC">
        <w:rPr>
          <w:rFonts w:ascii="Century" w:hAnsi="Century" w:cs="Arial"/>
          <w:lang w:val="en-GB"/>
        </w:rPr>
        <w:t xml:space="preserve">A large set of cognitive ability measures are collected at UKHLS wave 3; as no repeated data are available for waves 2, 4 and 5 we have to assume that cognitive ability remains fixed within the relatively short time interval between waves 2 and 5. The literature suggests that cognitive ability may be fairly stable with age (Lyons et al., 2017) and, thus, our results on the role of cognitive ability on reporting behaviour may not be contaminated by the absence of longitudinal data on cognitive ability. </w:t>
      </w:r>
    </w:p>
    <w:p w14:paraId="75855896" w14:textId="77777777" w:rsidR="000F6BAD" w:rsidRPr="003A6DFC" w:rsidRDefault="000F6BAD" w:rsidP="000F6BAD">
      <w:pPr>
        <w:spacing w:after="0" w:line="360" w:lineRule="auto"/>
        <w:ind w:firstLine="708"/>
        <w:jc w:val="both"/>
        <w:rPr>
          <w:rFonts w:ascii="Century" w:hAnsi="Century" w:cs="Arial"/>
        </w:rPr>
      </w:pPr>
      <w:r w:rsidRPr="003A6DFC">
        <w:rPr>
          <w:rFonts w:ascii="Century" w:hAnsi="Century" w:cs="Arial"/>
          <w:lang w:val="en-GB"/>
        </w:rPr>
        <w:t xml:space="preserve">We control for the following cognitive ability measures: episodic memory, i.e., the number of words the respondent can recall from a carefully recorded list of ten words (two variables for immediate, and delayed word recall); working memory, measured by counting the correct answer to a series of five (simple) numerical </w:t>
      </w:r>
      <w:r w:rsidRPr="003A6DFC">
        <w:rPr>
          <w:rFonts w:ascii="Century" w:hAnsi="Century" w:cs="Arial"/>
          <w:lang w:val="en-GB"/>
        </w:rPr>
        <w:lastRenderedPageBreak/>
        <w:t xml:space="preserve">subtraction questions; semantic or category fluency, measured by counting the number of correct and incorrect responses to naming as many animals as the respondent can in 60 minutes; practical numerical knowledge, measured by counting the number of correct answers to five questions. </w:t>
      </w:r>
    </w:p>
    <w:p w14:paraId="17A466B5" w14:textId="17CF35B8" w:rsidR="000F6BAD" w:rsidRPr="003A6DFC" w:rsidRDefault="000F6BAD" w:rsidP="000F6BAD">
      <w:pPr>
        <w:spacing w:after="0" w:line="360" w:lineRule="auto"/>
        <w:ind w:firstLine="708"/>
        <w:jc w:val="both"/>
        <w:rPr>
          <w:rFonts w:ascii="Century" w:hAnsi="Century" w:cs="Arial"/>
        </w:rPr>
      </w:pPr>
      <w:r w:rsidRPr="003A6DFC">
        <w:rPr>
          <w:rFonts w:ascii="Century" w:hAnsi="Century" w:cs="Arial"/>
          <w:lang w:val="en-GB"/>
        </w:rPr>
        <w:t xml:space="preserve">Personality traits are also collected at UKHLS Wave 3 using a 15-item questionnaire version of the Big-Five Inventory (John et al.,1991). Responses to a set of three questions (from the total of 15 questions) pertaining to each trait are then used to calculate each of the five-personality trait scores: </w:t>
      </w:r>
      <w:bookmarkStart w:id="3" w:name="_Hlk113528285"/>
      <w:r w:rsidRPr="003A6DFC">
        <w:rPr>
          <w:rFonts w:ascii="Century" w:hAnsi="Century" w:cs="Arial"/>
          <w:lang w:val="en-GB"/>
        </w:rPr>
        <w:t>agreeableness, conscientiousness, extraversion, neuroticism, and openness to experience</w:t>
      </w:r>
      <w:bookmarkEnd w:id="3"/>
      <w:r w:rsidRPr="003A6DFC">
        <w:rPr>
          <w:rFonts w:ascii="Century" w:hAnsi="Century" w:cs="Arial"/>
          <w:lang w:val="en-GB"/>
        </w:rPr>
        <w:t xml:space="preserve">. Higher scores indicate that the particular trait is more relevant to the respondent. The “Big-Five” personality traits have been used extensively in the economics literature and are viewed as a stable input in regression models; they are characterized by a limited variability over time, with any potential intra-individual personality change being mostly unrelated to adverse life events (Cobb-Clark and </w:t>
      </w:r>
      <w:proofErr w:type="spellStart"/>
      <w:r w:rsidRPr="003A6DFC">
        <w:rPr>
          <w:rFonts w:ascii="Century" w:hAnsi="Century" w:cs="Arial"/>
          <w:lang w:val="en-GB"/>
        </w:rPr>
        <w:t>Schurer</w:t>
      </w:r>
      <w:proofErr w:type="spellEnd"/>
      <w:r w:rsidRPr="003A6DFC">
        <w:rPr>
          <w:rFonts w:ascii="Century" w:hAnsi="Century" w:cs="Arial"/>
          <w:lang w:val="en-GB"/>
        </w:rPr>
        <w:t>, 2012).</w:t>
      </w:r>
      <w:r w:rsidRPr="003A6DFC">
        <w:rPr>
          <w:rFonts w:ascii="Century" w:hAnsi="Century" w:cs="Arial"/>
        </w:rPr>
        <w:t xml:space="preserve"> Using Australian data, it has been shown that </w:t>
      </w:r>
      <w:r w:rsidRPr="003A6DFC">
        <w:rPr>
          <w:rFonts w:ascii="Century" w:hAnsi="Century" w:cs="Arial"/>
          <w:lang w:val="en-GB"/>
        </w:rPr>
        <w:t>conscientious</w:t>
      </w:r>
      <w:r w:rsidRPr="003A6DFC">
        <w:rPr>
          <w:rFonts w:ascii="Century" w:hAnsi="Century" w:cs="Arial"/>
        </w:rPr>
        <w:t xml:space="preserve"> respondents are less likely to provide inconsistent response to SAH questions (see Black et al., 2017); the hypothesis behind this association is that individual effort and consideration about answering the survey questions may varies according to certain personality traits (see Bertrand and Mullainathan, 2001). We complement the existing literature by providing evidence of the conditional association of all “Big-Five” personality </w:t>
      </w:r>
      <w:proofErr w:type="spellStart"/>
      <w:proofErr w:type="gramStart"/>
      <w:r w:rsidRPr="003A6DFC">
        <w:rPr>
          <w:rFonts w:ascii="Century" w:hAnsi="Century" w:cs="Arial"/>
        </w:rPr>
        <w:t>traits,i.e</w:t>
      </w:r>
      <w:proofErr w:type="spellEnd"/>
      <w:r w:rsidRPr="003A6DFC">
        <w:rPr>
          <w:rFonts w:ascii="Century" w:hAnsi="Century" w:cs="Arial"/>
        </w:rPr>
        <w:t>.</w:t>
      </w:r>
      <w:proofErr w:type="gramEnd"/>
      <w:r w:rsidRPr="003A6DFC">
        <w:rPr>
          <w:rFonts w:ascii="Century" w:hAnsi="Century" w:cs="Arial"/>
        </w:rPr>
        <w:t xml:space="preserve">, </w:t>
      </w:r>
      <w:r w:rsidRPr="003A6DFC">
        <w:rPr>
          <w:rFonts w:ascii="Century" w:hAnsi="Century" w:cs="Arial"/>
          <w:lang w:val="en-GB"/>
        </w:rPr>
        <w:t>agreeableness, conscientiousness, extraversion, neuroticism, and openness to experience</w:t>
      </w:r>
      <w:r w:rsidRPr="003A6DFC">
        <w:rPr>
          <w:rFonts w:ascii="Century" w:hAnsi="Century" w:cs="Arial"/>
        </w:rPr>
        <w:t xml:space="preserve">, on reporting </w:t>
      </w:r>
      <w:proofErr w:type="spellStart"/>
      <w:r w:rsidR="00EB33B0" w:rsidRPr="003A6DFC">
        <w:rPr>
          <w:rFonts w:ascii="Century" w:hAnsi="Century" w:cs="Arial"/>
        </w:rPr>
        <w:t>behaviour</w:t>
      </w:r>
      <w:proofErr w:type="spellEnd"/>
      <w:r w:rsidRPr="003A6DFC">
        <w:rPr>
          <w:rFonts w:ascii="Century" w:hAnsi="Century" w:cs="Arial"/>
        </w:rPr>
        <w:t xml:space="preserve"> to SAH question in the context of the UK population.</w:t>
      </w:r>
      <w:r w:rsidRPr="003A6DFC">
        <w:rPr>
          <w:rFonts w:ascii="Century" w:hAnsi="Century" w:cs="Arial"/>
          <w:b/>
          <w:bCs/>
        </w:rPr>
        <w:t xml:space="preserve"> </w:t>
      </w:r>
    </w:p>
    <w:p w14:paraId="1904FD1B" w14:textId="77777777" w:rsidR="000F6BAD" w:rsidRPr="003A6DFC" w:rsidRDefault="000F6BAD" w:rsidP="000F6BAD">
      <w:pPr>
        <w:spacing w:after="0" w:line="360" w:lineRule="auto"/>
        <w:ind w:firstLine="708"/>
        <w:jc w:val="both"/>
        <w:rPr>
          <w:rFonts w:ascii="Century" w:hAnsi="Century" w:cs="Arial"/>
          <w:lang w:val="en-GB"/>
        </w:rPr>
      </w:pPr>
      <w:r w:rsidRPr="003A6DFC">
        <w:rPr>
          <w:rFonts w:ascii="Century" w:hAnsi="Century" w:cs="Arial"/>
          <w:lang w:val="en-GB"/>
        </w:rPr>
        <w:t xml:space="preserve">Finally, to account for the role of the micro-social environment during the open interview (which may affect reporting behaviour at the open interview but to lesser extent for self-completion), we have included two dummy variables for the presence of other adults and children (aged 10-15) during the household interviews. Existing research has shown that social desirability bias, which is especially relevant to the presence of other household members during the open interview, may affect reporting behaviour in well-being outcomes (Conti and </w:t>
      </w:r>
      <w:proofErr w:type="spellStart"/>
      <w:r w:rsidRPr="003A6DFC">
        <w:rPr>
          <w:rFonts w:ascii="Century" w:hAnsi="Century" w:cs="Arial"/>
          <w:lang w:val="en-GB"/>
        </w:rPr>
        <w:t>Pudney</w:t>
      </w:r>
      <w:proofErr w:type="spellEnd"/>
      <w:r w:rsidRPr="003A6DFC">
        <w:rPr>
          <w:rFonts w:ascii="Century" w:hAnsi="Century" w:cs="Arial"/>
          <w:lang w:val="en-GB"/>
        </w:rPr>
        <w:t xml:space="preserve">, 2011). Regional dummies are included to account for regional variations in health. </w:t>
      </w:r>
    </w:p>
    <w:p w14:paraId="6F6EB5FE" w14:textId="77777777" w:rsidR="000F6BAD" w:rsidRPr="003A6DFC" w:rsidRDefault="000F6BAD" w:rsidP="000F6BAD">
      <w:pPr>
        <w:spacing w:after="0" w:line="360" w:lineRule="auto"/>
        <w:jc w:val="both"/>
        <w:rPr>
          <w:rFonts w:ascii="Century" w:hAnsi="Century" w:cs="Times New Roman"/>
          <w:lang w:val="en-GB"/>
        </w:rPr>
      </w:pPr>
      <w:r w:rsidRPr="003A6DFC">
        <w:rPr>
          <w:rFonts w:ascii="Century" w:hAnsi="Century" w:cs="Times New Roman"/>
          <w:lang w:val="en-GB"/>
        </w:rPr>
        <w:tab/>
        <w:t xml:space="preserve">Longitudinal information from these explanatory variables (where available) are used for our models exploring the factors associated with the likelihood of inconsistent responses at each wave. However, in our subsequent analysis of the </w:t>
      </w:r>
      <w:r w:rsidRPr="003A6DFC">
        <w:rPr>
          <w:rFonts w:ascii="Century" w:hAnsi="Century" w:cs="Times New Roman"/>
          <w:lang w:val="en-GB"/>
        </w:rPr>
        <w:lastRenderedPageBreak/>
        <w:t>frequency of inconsistent reporting (i.e., the total number of inconsistent responses across the four waves), a snapshot of the explanatory variables is employed (mainly from Wave 2; and Wave 3 for the personality and cognitive ability measures).</w:t>
      </w:r>
    </w:p>
    <w:p w14:paraId="0DC868E8" w14:textId="77777777" w:rsidR="006D6F86" w:rsidRPr="003A6DFC" w:rsidRDefault="006D6F86" w:rsidP="006D6F86">
      <w:pPr>
        <w:spacing w:after="0" w:line="360" w:lineRule="auto"/>
        <w:jc w:val="both"/>
        <w:rPr>
          <w:rFonts w:ascii="Century" w:hAnsi="Century" w:cs="Times New Roman"/>
          <w:b/>
          <w:bCs/>
          <w:sz w:val="28"/>
          <w:szCs w:val="28"/>
          <w:lang w:val="en-GB"/>
        </w:rPr>
      </w:pPr>
    </w:p>
    <w:p w14:paraId="7F938E98" w14:textId="656C7B70" w:rsidR="006D6F86" w:rsidRPr="003A6DFC" w:rsidRDefault="006D6F86" w:rsidP="006D6F86">
      <w:pPr>
        <w:spacing w:after="0" w:line="360" w:lineRule="auto"/>
        <w:jc w:val="both"/>
        <w:rPr>
          <w:rFonts w:ascii="Century" w:hAnsi="Century" w:cs="Times New Roman"/>
          <w:b/>
          <w:bCs/>
          <w:i/>
          <w:iCs/>
          <w:lang w:val="en-GB"/>
        </w:rPr>
      </w:pPr>
      <w:r w:rsidRPr="003A6DFC">
        <w:rPr>
          <w:rFonts w:ascii="Century" w:hAnsi="Century" w:cs="Times New Roman"/>
          <w:b/>
          <w:bCs/>
          <w:i/>
          <w:iCs/>
          <w:lang w:val="en-GB"/>
        </w:rPr>
        <w:t>Nurse administered and blood-based biomarker data</w:t>
      </w:r>
    </w:p>
    <w:p w14:paraId="29B3A338" w14:textId="2376131A" w:rsidR="000B130B" w:rsidRPr="003A6DFC" w:rsidRDefault="000B130B" w:rsidP="005438BE">
      <w:pPr>
        <w:pStyle w:val="NormalWeb"/>
        <w:spacing w:before="0" w:beforeAutospacing="0" w:after="0" w:afterAutospacing="0" w:line="360" w:lineRule="auto"/>
        <w:jc w:val="both"/>
        <w:rPr>
          <w:rFonts w:ascii="Century" w:hAnsi="Century"/>
          <w:sz w:val="22"/>
          <w:szCs w:val="22"/>
          <w:lang w:val="en-GB"/>
        </w:rPr>
      </w:pPr>
      <w:r w:rsidRPr="003A6DFC">
        <w:rPr>
          <w:rFonts w:ascii="Century" w:hAnsi="Century"/>
          <w:sz w:val="22"/>
          <w:szCs w:val="22"/>
          <w:lang w:val="en-GB"/>
        </w:rPr>
        <w:t>Nurse-collected and blood-based biomarkers are collected by trained nurses as part of the</w:t>
      </w:r>
      <w:r w:rsidR="003D5EBA" w:rsidRPr="003A6DFC">
        <w:rPr>
          <w:rFonts w:ascii="Century" w:hAnsi="Century"/>
          <w:sz w:val="22"/>
          <w:szCs w:val="22"/>
          <w:lang w:val="en-GB"/>
        </w:rPr>
        <w:t xml:space="preserve">ir </w:t>
      </w:r>
      <w:r w:rsidRPr="003A6DFC">
        <w:rPr>
          <w:rFonts w:ascii="Century" w:hAnsi="Century"/>
          <w:sz w:val="22"/>
          <w:szCs w:val="22"/>
          <w:lang w:val="en-GB"/>
        </w:rPr>
        <w:t xml:space="preserve">visits following the UKHLS </w:t>
      </w:r>
      <w:r w:rsidR="00FC1765" w:rsidRPr="003A6DFC">
        <w:rPr>
          <w:rFonts w:ascii="Century" w:hAnsi="Century"/>
          <w:sz w:val="22"/>
          <w:szCs w:val="22"/>
          <w:lang w:val="en-GB"/>
        </w:rPr>
        <w:t>W</w:t>
      </w:r>
      <w:r w:rsidRPr="003A6DFC">
        <w:rPr>
          <w:rFonts w:ascii="Century" w:hAnsi="Century"/>
          <w:sz w:val="22"/>
          <w:szCs w:val="22"/>
          <w:lang w:val="en-GB"/>
        </w:rPr>
        <w:t xml:space="preserve">ave 2 and </w:t>
      </w:r>
      <w:r w:rsidR="00FC1765" w:rsidRPr="003A6DFC">
        <w:rPr>
          <w:rFonts w:ascii="Century" w:hAnsi="Century"/>
          <w:sz w:val="22"/>
          <w:szCs w:val="22"/>
          <w:lang w:val="en-GB"/>
        </w:rPr>
        <w:t>W</w:t>
      </w:r>
      <w:r w:rsidRPr="003A6DFC">
        <w:rPr>
          <w:rFonts w:ascii="Century" w:hAnsi="Century"/>
          <w:sz w:val="22"/>
          <w:szCs w:val="22"/>
          <w:lang w:val="en-GB"/>
        </w:rPr>
        <w:t xml:space="preserve">ave 3 main waves. </w:t>
      </w:r>
      <w:r w:rsidR="00D03D92" w:rsidRPr="003A6DFC">
        <w:rPr>
          <w:rFonts w:ascii="Century" w:hAnsi="Century"/>
          <w:sz w:val="22"/>
          <w:szCs w:val="22"/>
          <w:lang w:val="en-GB"/>
        </w:rPr>
        <w:t>W</w:t>
      </w:r>
      <w:r w:rsidRPr="003A6DFC">
        <w:rPr>
          <w:rFonts w:ascii="Century" w:hAnsi="Century"/>
          <w:sz w:val="22"/>
          <w:szCs w:val="22"/>
          <w:lang w:val="en-GB"/>
        </w:rPr>
        <w:t xml:space="preserve">ave 2 nurse visits collect data from the original UKHLS sample, while </w:t>
      </w:r>
      <w:r w:rsidR="00FC1765" w:rsidRPr="003A6DFC">
        <w:rPr>
          <w:rFonts w:ascii="Century" w:hAnsi="Century"/>
          <w:sz w:val="22"/>
          <w:szCs w:val="22"/>
          <w:lang w:val="en-GB"/>
        </w:rPr>
        <w:t>W</w:t>
      </w:r>
      <w:r w:rsidRPr="003A6DFC">
        <w:rPr>
          <w:rFonts w:ascii="Century" w:hAnsi="Century"/>
          <w:sz w:val="22"/>
          <w:szCs w:val="22"/>
          <w:lang w:val="en-GB"/>
        </w:rPr>
        <w:t>ave 3 collect</w:t>
      </w:r>
      <w:r w:rsidR="00FC1765" w:rsidRPr="003A6DFC">
        <w:rPr>
          <w:rFonts w:ascii="Century" w:hAnsi="Century"/>
          <w:sz w:val="22"/>
          <w:szCs w:val="22"/>
          <w:lang w:val="en-GB"/>
        </w:rPr>
        <w:t>s</w:t>
      </w:r>
      <w:r w:rsidRPr="003A6DFC">
        <w:rPr>
          <w:rFonts w:ascii="Century" w:hAnsi="Century"/>
          <w:sz w:val="22"/>
          <w:szCs w:val="22"/>
          <w:lang w:val="en-GB"/>
        </w:rPr>
        <w:t xml:space="preserve"> data from the </w:t>
      </w:r>
      <w:r w:rsidR="00115EF0" w:rsidRPr="003A6DFC">
        <w:rPr>
          <w:rFonts w:ascii="Century" w:hAnsi="Century"/>
          <w:sz w:val="22"/>
          <w:szCs w:val="22"/>
          <w:lang w:val="en-GB"/>
        </w:rPr>
        <w:t xml:space="preserve">BHPS </w:t>
      </w:r>
      <w:r w:rsidRPr="003A6DFC">
        <w:rPr>
          <w:rFonts w:ascii="Century" w:hAnsi="Century"/>
          <w:sz w:val="22"/>
          <w:szCs w:val="22"/>
          <w:lang w:val="en-GB"/>
        </w:rPr>
        <w:t xml:space="preserve">sample that </w:t>
      </w:r>
      <w:r w:rsidR="00FC1765" w:rsidRPr="003A6DFC">
        <w:rPr>
          <w:rFonts w:ascii="Century" w:hAnsi="Century"/>
          <w:sz w:val="22"/>
          <w:szCs w:val="22"/>
          <w:lang w:val="en-GB"/>
        </w:rPr>
        <w:t xml:space="preserve">was </w:t>
      </w:r>
      <w:r w:rsidRPr="003A6DFC">
        <w:rPr>
          <w:rFonts w:ascii="Century" w:hAnsi="Century"/>
          <w:sz w:val="22"/>
          <w:szCs w:val="22"/>
          <w:lang w:val="en-GB"/>
        </w:rPr>
        <w:t>absorbed into the UKHLS</w:t>
      </w:r>
      <w:r w:rsidR="00D03D92" w:rsidRPr="003A6DFC">
        <w:rPr>
          <w:rFonts w:ascii="Century" w:hAnsi="Century"/>
          <w:sz w:val="22"/>
          <w:szCs w:val="22"/>
          <w:lang w:val="en-GB"/>
        </w:rPr>
        <w:t>. We</w:t>
      </w:r>
      <w:r w:rsidR="00FC1765" w:rsidRPr="003A6DFC">
        <w:rPr>
          <w:rFonts w:ascii="Century" w:hAnsi="Century"/>
          <w:sz w:val="22"/>
          <w:szCs w:val="22"/>
          <w:lang w:val="en-GB"/>
        </w:rPr>
        <w:t xml:space="preserve"> use</w:t>
      </w:r>
      <w:r w:rsidR="00D03D92" w:rsidRPr="003A6DFC">
        <w:rPr>
          <w:rFonts w:ascii="Century" w:hAnsi="Century"/>
          <w:sz w:val="22"/>
          <w:szCs w:val="22"/>
          <w:lang w:val="en-GB"/>
        </w:rPr>
        <w:t xml:space="preserve"> a pooled </w:t>
      </w:r>
      <w:r w:rsidR="00FC1765" w:rsidRPr="003A6DFC">
        <w:rPr>
          <w:rFonts w:ascii="Century" w:hAnsi="Century"/>
          <w:sz w:val="22"/>
          <w:szCs w:val="22"/>
          <w:lang w:val="en-GB"/>
        </w:rPr>
        <w:t>sample of W</w:t>
      </w:r>
      <w:r w:rsidR="00D03D92" w:rsidRPr="003A6DFC">
        <w:rPr>
          <w:rFonts w:ascii="Century" w:hAnsi="Century"/>
          <w:sz w:val="22"/>
          <w:szCs w:val="22"/>
          <w:lang w:val="en-GB"/>
        </w:rPr>
        <w:t>ave</w:t>
      </w:r>
      <w:r w:rsidR="00FC1765" w:rsidRPr="003A6DFC">
        <w:rPr>
          <w:rFonts w:ascii="Century" w:hAnsi="Century"/>
          <w:sz w:val="22"/>
          <w:szCs w:val="22"/>
          <w:lang w:val="en-GB"/>
        </w:rPr>
        <w:t>s</w:t>
      </w:r>
      <w:r w:rsidR="00D03D92" w:rsidRPr="003A6DFC">
        <w:rPr>
          <w:rFonts w:ascii="Century" w:hAnsi="Century"/>
          <w:sz w:val="22"/>
          <w:szCs w:val="22"/>
          <w:lang w:val="en-GB"/>
        </w:rPr>
        <w:t xml:space="preserve"> 2 and 3 in our analysis </w:t>
      </w:r>
      <w:r w:rsidR="00342FF9" w:rsidRPr="003A6DFC">
        <w:rPr>
          <w:rFonts w:ascii="Century" w:hAnsi="Century"/>
          <w:sz w:val="22"/>
          <w:szCs w:val="22"/>
          <w:lang w:val="en-GB"/>
        </w:rPr>
        <w:t xml:space="preserve">to explore </w:t>
      </w:r>
      <w:r w:rsidR="00307B31" w:rsidRPr="003A6DFC">
        <w:rPr>
          <w:rFonts w:ascii="Century" w:hAnsi="Century"/>
          <w:sz w:val="22"/>
          <w:szCs w:val="22"/>
          <w:lang w:val="en-GB"/>
        </w:rPr>
        <w:t xml:space="preserve">whether </w:t>
      </w:r>
      <w:r w:rsidR="00FC1765" w:rsidRPr="003A6DFC">
        <w:rPr>
          <w:rFonts w:ascii="Century" w:hAnsi="Century"/>
          <w:sz w:val="22"/>
          <w:szCs w:val="22"/>
          <w:lang w:val="en-GB"/>
        </w:rPr>
        <w:t xml:space="preserve">these </w:t>
      </w:r>
      <w:r w:rsidR="00D20980" w:rsidRPr="003A6DFC">
        <w:rPr>
          <w:rFonts w:ascii="Century" w:hAnsi="Century"/>
          <w:sz w:val="22"/>
          <w:szCs w:val="22"/>
          <w:lang w:val="en-GB"/>
        </w:rPr>
        <w:t xml:space="preserve">objectively measured </w:t>
      </w:r>
      <w:r w:rsidR="00FC1765" w:rsidRPr="003A6DFC">
        <w:rPr>
          <w:rFonts w:ascii="Century" w:hAnsi="Century"/>
          <w:sz w:val="22"/>
          <w:szCs w:val="22"/>
          <w:lang w:val="en-GB"/>
        </w:rPr>
        <w:t xml:space="preserve">biomarkers have different patterns of association with </w:t>
      </w:r>
      <w:r w:rsidR="00445872" w:rsidRPr="003A6DFC">
        <w:rPr>
          <w:rFonts w:ascii="Century" w:hAnsi="Century"/>
          <w:sz w:val="22"/>
          <w:szCs w:val="22"/>
          <w:lang w:val="en-GB"/>
        </w:rPr>
        <w:t xml:space="preserve">our two </w:t>
      </w:r>
      <w:r w:rsidR="00FC1765" w:rsidRPr="003A6DFC">
        <w:rPr>
          <w:rFonts w:ascii="Century" w:hAnsi="Century"/>
          <w:sz w:val="22"/>
          <w:szCs w:val="22"/>
          <w:lang w:val="en-GB"/>
        </w:rPr>
        <w:t>SAH</w:t>
      </w:r>
      <w:r w:rsidR="00445872" w:rsidRPr="003A6DFC">
        <w:rPr>
          <w:rFonts w:ascii="Century" w:hAnsi="Century"/>
          <w:sz w:val="22"/>
          <w:szCs w:val="22"/>
          <w:lang w:val="en-GB"/>
        </w:rPr>
        <w:t xml:space="preserve"> measures</w:t>
      </w:r>
      <w:r w:rsidR="00342FF9" w:rsidRPr="003A6DFC">
        <w:rPr>
          <w:rFonts w:ascii="Century" w:hAnsi="Century"/>
          <w:sz w:val="22"/>
          <w:szCs w:val="22"/>
          <w:lang w:val="en-GB"/>
        </w:rPr>
        <w:t xml:space="preserve">.  </w:t>
      </w:r>
      <w:r w:rsidR="00954EF3" w:rsidRPr="003A6DFC">
        <w:rPr>
          <w:rFonts w:ascii="Century" w:hAnsi="Century"/>
          <w:sz w:val="22"/>
          <w:szCs w:val="22"/>
          <w:lang w:val="en-GB"/>
        </w:rPr>
        <w:t xml:space="preserve">Following </w:t>
      </w:r>
      <w:r w:rsidR="009872FD" w:rsidRPr="003A6DFC">
        <w:rPr>
          <w:rFonts w:ascii="Century" w:hAnsi="Century"/>
          <w:sz w:val="22"/>
          <w:szCs w:val="22"/>
          <w:lang w:val="en-GB"/>
        </w:rPr>
        <w:t xml:space="preserve">the </w:t>
      </w:r>
      <w:r w:rsidR="00954EF3" w:rsidRPr="003A6DFC">
        <w:rPr>
          <w:rFonts w:ascii="Century" w:hAnsi="Century"/>
          <w:sz w:val="22"/>
          <w:szCs w:val="22"/>
          <w:lang w:val="en-GB"/>
        </w:rPr>
        <w:t>literature, w</w:t>
      </w:r>
      <w:r w:rsidRPr="003A6DFC">
        <w:rPr>
          <w:rFonts w:ascii="Century" w:hAnsi="Century"/>
          <w:sz w:val="22"/>
          <w:szCs w:val="22"/>
          <w:lang w:val="en-GB"/>
        </w:rPr>
        <w:t>e</w:t>
      </w:r>
      <w:r w:rsidR="00BB05C9" w:rsidRPr="003A6DFC">
        <w:rPr>
          <w:rFonts w:ascii="Century" w:hAnsi="Century"/>
          <w:sz w:val="22"/>
          <w:szCs w:val="22"/>
          <w:lang w:val="en-GB"/>
        </w:rPr>
        <w:t xml:space="preserve"> use</w:t>
      </w:r>
      <w:r w:rsidR="00954EF3" w:rsidRPr="003A6DFC">
        <w:rPr>
          <w:rFonts w:ascii="Century" w:hAnsi="Century"/>
          <w:sz w:val="22"/>
          <w:szCs w:val="22"/>
          <w:lang w:val="en-GB"/>
        </w:rPr>
        <w:t xml:space="preserve"> a </w:t>
      </w:r>
      <w:r w:rsidR="009872FD" w:rsidRPr="003A6DFC">
        <w:rPr>
          <w:rFonts w:ascii="Century" w:hAnsi="Century"/>
          <w:sz w:val="22"/>
          <w:szCs w:val="22"/>
          <w:lang w:val="en-GB"/>
        </w:rPr>
        <w:t>range</w:t>
      </w:r>
      <w:r w:rsidR="00954EF3" w:rsidRPr="003A6DFC">
        <w:rPr>
          <w:rFonts w:ascii="Century" w:hAnsi="Century"/>
          <w:sz w:val="22"/>
          <w:szCs w:val="22"/>
          <w:lang w:val="en-GB"/>
        </w:rPr>
        <w:t xml:space="preserve"> of </w:t>
      </w:r>
      <w:r w:rsidR="00E45A8F" w:rsidRPr="003A6DFC">
        <w:rPr>
          <w:rFonts w:ascii="Century" w:hAnsi="Century"/>
          <w:sz w:val="22"/>
          <w:szCs w:val="22"/>
          <w:lang w:val="en-GB"/>
        </w:rPr>
        <w:t>biomarkers</w:t>
      </w:r>
      <w:r w:rsidR="009872FD" w:rsidRPr="003A6DFC">
        <w:rPr>
          <w:rFonts w:ascii="Century" w:hAnsi="Century"/>
          <w:sz w:val="22"/>
          <w:szCs w:val="22"/>
          <w:lang w:val="en-GB"/>
        </w:rPr>
        <w:t xml:space="preserve"> (e.g., </w:t>
      </w:r>
      <w:proofErr w:type="spellStart"/>
      <w:r w:rsidR="009872FD" w:rsidRPr="003A6DFC">
        <w:rPr>
          <w:rFonts w:ascii="Century" w:hAnsi="Century"/>
          <w:sz w:val="22"/>
          <w:szCs w:val="22"/>
          <w:lang w:val="en-GB"/>
        </w:rPr>
        <w:t>Davillas</w:t>
      </w:r>
      <w:proofErr w:type="spellEnd"/>
      <w:r w:rsidR="009872FD" w:rsidRPr="003A6DFC">
        <w:rPr>
          <w:rFonts w:ascii="Century" w:hAnsi="Century"/>
          <w:sz w:val="22"/>
          <w:szCs w:val="22"/>
          <w:lang w:val="en-GB"/>
        </w:rPr>
        <w:t xml:space="preserve"> and Jones, 2020; </w:t>
      </w:r>
      <w:proofErr w:type="spellStart"/>
      <w:r w:rsidR="009872FD" w:rsidRPr="003A6DFC">
        <w:rPr>
          <w:rFonts w:ascii="Century" w:hAnsi="Century"/>
          <w:sz w:val="22"/>
          <w:szCs w:val="22"/>
          <w:lang w:val="en-GB"/>
        </w:rPr>
        <w:t>Davillas</w:t>
      </w:r>
      <w:proofErr w:type="spellEnd"/>
      <w:r w:rsidR="009872FD" w:rsidRPr="003A6DFC">
        <w:rPr>
          <w:rFonts w:ascii="Century" w:hAnsi="Century"/>
          <w:sz w:val="22"/>
          <w:szCs w:val="22"/>
          <w:lang w:val="en-GB"/>
        </w:rPr>
        <w:t xml:space="preserve"> and </w:t>
      </w:r>
      <w:proofErr w:type="spellStart"/>
      <w:r w:rsidR="009872FD" w:rsidRPr="003A6DFC">
        <w:rPr>
          <w:rFonts w:ascii="Century" w:hAnsi="Century"/>
          <w:sz w:val="22"/>
          <w:szCs w:val="22"/>
          <w:lang w:val="en-GB"/>
        </w:rPr>
        <w:t>Pudney</w:t>
      </w:r>
      <w:proofErr w:type="spellEnd"/>
      <w:r w:rsidR="009872FD" w:rsidRPr="003A6DFC">
        <w:rPr>
          <w:rFonts w:ascii="Century" w:hAnsi="Century"/>
          <w:sz w:val="22"/>
          <w:szCs w:val="22"/>
          <w:lang w:val="en-GB"/>
        </w:rPr>
        <w:t>, 2020)</w:t>
      </w:r>
      <w:r w:rsidR="00E45A8F" w:rsidRPr="003A6DFC">
        <w:rPr>
          <w:rFonts w:ascii="Century" w:hAnsi="Century"/>
          <w:sz w:val="22"/>
          <w:szCs w:val="22"/>
          <w:lang w:val="en-GB"/>
        </w:rPr>
        <w:t>. We use t</w:t>
      </w:r>
      <w:r w:rsidRPr="003A6DFC">
        <w:rPr>
          <w:rFonts w:ascii="Century" w:hAnsi="Century"/>
          <w:sz w:val="22"/>
          <w:szCs w:val="22"/>
          <w:lang w:val="en-GB"/>
        </w:rPr>
        <w:t xml:space="preserve">he waist-to-height ratio (WHR) to measure adiposity. Resting heart rate and blood pressure </w:t>
      </w:r>
      <w:r w:rsidR="009872FD" w:rsidRPr="003A6DFC">
        <w:rPr>
          <w:rFonts w:ascii="Century" w:hAnsi="Century"/>
          <w:sz w:val="22"/>
          <w:szCs w:val="22"/>
          <w:lang w:val="en-GB"/>
        </w:rPr>
        <w:t>a</w:t>
      </w:r>
      <w:r w:rsidRPr="003A6DFC">
        <w:rPr>
          <w:rFonts w:ascii="Century" w:hAnsi="Century"/>
          <w:sz w:val="22"/>
          <w:szCs w:val="22"/>
          <w:lang w:val="en-GB"/>
        </w:rPr>
        <w:t xml:space="preserve">re measured followed standard measurement protocols. Systolic blood pressure, the maximum pressure in an artery when the heart is pumping blood, diastolic blood pressure, the lowest pressure when the heart is resting, and the </w:t>
      </w:r>
      <w:r w:rsidR="009872FD" w:rsidRPr="003A6DFC">
        <w:rPr>
          <w:rFonts w:ascii="Century" w:hAnsi="Century"/>
          <w:sz w:val="22"/>
          <w:szCs w:val="22"/>
          <w:lang w:val="en-GB"/>
        </w:rPr>
        <w:t>pulse</w:t>
      </w:r>
      <w:r w:rsidRPr="003A6DFC">
        <w:rPr>
          <w:rFonts w:ascii="Century" w:hAnsi="Century"/>
          <w:sz w:val="22"/>
          <w:szCs w:val="22"/>
          <w:lang w:val="en-GB"/>
        </w:rPr>
        <w:t xml:space="preserve"> rate are used as continuous variables; higher values indicate </w:t>
      </w:r>
      <w:r w:rsidR="0073283D" w:rsidRPr="003A6DFC">
        <w:rPr>
          <w:rFonts w:ascii="Century" w:hAnsi="Century"/>
          <w:sz w:val="22"/>
          <w:szCs w:val="22"/>
          <w:lang w:val="en-GB"/>
        </w:rPr>
        <w:t xml:space="preserve">higher </w:t>
      </w:r>
      <w:r w:rsidRPr="003A6DFC">
        <w:rPr>
          <w:rFonts w:ascii="Century" w:hAnsi="Century"/>
          <w:sz w:val="22"/>
          <w:szCs w:val="22"/>
          <w:lang w:val="en-GB"/>
        </w:rPr>
        <w:t>cardiovascular</w:t>
      </w:r>
      <w:r w:rsidR="0073283D" w:rsidRPr="003A6DFC">
        <w:rPr>
          <w:rFonts w:ascii="Century" w:hAnsi="Century"/>
          <w:sz w:val="22"/>
          <w:szCs w:val="22"/>
          <w:lang w:val="en-GB"/>
        </w:rPr>
        <w:t xml:space="preserve"> risks</w:t>
      </w:r>
      <w:r w:rsidRPr="003A6DFC">
        <w:rPr>
          <w:rFonts w:ascii="Century" w:hAnsi="Century"/>
          <w:sz w:val="22"/>
          <w:szCs w:val="22"/>
          <w:lang w:val="en-GB"/>
        </w:rPr>
        <w:t>. We use a set of blood-based biomarkers relevant to inflammation, steroid hormones, fat in the blood, blood sugar and liver functioning. C-reactive protein (CRP) is our biomarker for systemic inflammation, which rises as part of the immune response to infection.</w:t>
      </w:r>
      <w:r w:rsidR="00537D81" w:rsidRPr="003A6DFC">
        <w:rPr>
          <w:rStyle w:val="Refdenotaderodap"/>
          <w:rFonts w:ascii="Century" w:hAnsi="Century"/>
          <w:sz w:val="22"/>
          <w:szCs w:val="22"/>
          <w:lang w:val="en-GB"/>
        </w:rPr>
        <w:footnoteReference w:id="8"/>
      </w:r>
      <w:r w:rsidRPr="003A6DFC">
        <w:rPr>
          <w:rFonts w:ascii="Century" w:hAnsi="Century"/>
          <w:sz w:val="22"/>
          <w:szCs w:val="22"/>
          <w:lang w:val="en-GB"/>
        </w:rPr>
        <w:t xml:space="preserve"> The </w:t>
      </w:r>
      <w:proofErr w:type="spellStart"/>
      <w:r w:rsidRPr="003A6DFC">
        <w:rPr>
          <w:rFonts w:ascii="Century" w:hAnsi="Century"/>
          <w:sz w:val="22"/>
          <w:szCs w:val="22"/>
          <w:lang w:val="en-GB"/>
        </w:rPr>
        <w:t>dihydroepiandrosterone</w:t>
      </w:r>
      <w:proofErr w:type="spellEnd"/>
      <w:r w:rsidRPr="003A6DFC">
        <w:rPr>
          <w:rFonts w:ascii="Century" w:hAnsi="Century"/>
          <w:sz w:val="22"/>
          <w:szCs w:val="22"/>
          <w:lang w:val="en-GB"/>
        </w:rPr>
        <w:t xml:space="preserve"> </w:t>
      </w:r>
      <w:proofErr w:type="spellStart"/>
      <w:r w:rsidRPr="003A6DFC">
        <w:rPr>
          <w:rFonts w:ascii="Century" w:hAnsi="Century"/>
          <w:sz w:val="22"/>
          <w:szCs w:val="22"/>
          <w:lang w:val="en-GB"/>
        </w:rPr>
        <w:t>suphate</w:t>
      </w:r>
      <w:proofErr w:type="spellEnd"/>
      <w:r w:rsidRPr="003A6DFC">
        <w:rPr>
          <w:rFonts w:ascii="Century" w:hAnsi="Century"/>
          <w:sz w:val="22"/>
          <w:szCs w:val="22"/>
          <w:lang w:val="en-GB"/>
        </w:rPr>
        <w:t xml:space="preserve"> (DHEAS) is the most common steroid hormone in the body</w:t>
      </w:r>
      <w:r w:rsidR="00E45A8F" w:rsidRPr="003A6DFC">
        <w:rPr>
          <w:rFonts w:ascii="Century" w:hAnsi="Century"/>
          <w:sz w:val="22"/>
          <w:szCs w:val="22"/>
          <w:lang w:val="en-GB"/>
        </w:rPr>
        <w:t xml:space="preserve"> ─ a </w:t>
      </w:r>
      <w:r w:rsidRPr="003A6DFC">
        <w:rPr>
          <w:rFonts w:ascii="Century" w:hAnsi="Century"/>
          <w:sz w:val="22"/>
          <w:szCs w:val="22"/>
          <w:lang w:val="en-GB"/>
        </w:rPr>
        <w:t xml:space="preserve">primary mechanism through which psychosocial stressors may affect </w:t>
      </w:r>
      <w:r w:rsidR="00E45A8F" w:rsidRPr="003A6DFC">
        <w:rPr>
          <w:rFonts w:ascii="Century" w:hAnsi="Century"/>
          <w:sz w:val="22"/>
          <w:szCs w:val="22"/>
          <w:lang w:val="en-GB"/>
        </w:rPr>
        <w:t xml:space="preserve">people’s </w:t>
      </w:r>
      <w:r w:rsidRPr="003A6DFC">
        <w:rPr>
          <w:rFonts w:ascii="Century" w:hAnsi="Century"/>
          <w:sz w:val="22"/>
          <w:szCs w:val="22"/>
          <w:lang w:val="en-GB"/>
        </w:rPr>
        <w:t>health. Low levels of DHEAS are associated with cardiovascular and all-cause mortality risks</w:t>
      </w:r>
      <w:r w:rsidR="00445872" w:rsidRPr="003A6DFC">
        <w:rPr>
          <w:rFonts w:ascii="Century" w:hAnsi="Century"/>
          <w:sz w:val="22"/>
          <w:szCs w:val="22"/>
          <w:lang w:val="en-GB"/>
        </w:rPr>
        <w:t xml:space="preserve"> (Ohlsson et al., 2010)</w:t>
      </w:r>
      <w:r w:rsidRPr="003A6DFC">
        <w:rPr>
          <w:rFonts w:ascii="Century" w:hAnsi="Century"/>
          <w:sz w:val="22"/>
          <w:szCs w:val="22"/>
          <w:lang w:val="en-GB"/>
        </w:rPr>
        <w:t xml:space="preserve">. The “good” cholesterol, high-density lipoprotein cholesterol (HDL), is used </w:t>
      </w:r>
      <w:r w:rsidR="009872FD" w:rsidRPr="003A6DFC">
        <w:rPr>
          <w:rFonts w:ascii="Century" w:hAnsi="Century"/>
          <w:sz w:val="22"/>
          <w:szCs w:val="22"/>
          <w:lang w:val="en-GB"/>
        </w:rPr>
        <w:t xml:space="preserve">as </w:t>
      </w:r>
      <w:r w:rsidRPr="003A6DFC">
        <w:rPr>
          <w:rFonts w:ascii="Century" w:hAnsi="Century"/>
          <w:sz w:val="22"/>
          <w:szCs w:val="22"/>
          <w:lang w:val="en-GB"/>
        </w:rPr>
        <w:t xml:space="preserve">our fat in the blood biomarker; lower HDL levels are associated with increased </w:t>
      </w:r>
      <w:r w:rsidR="0073283D" w:rsidRPr="003A6DFC">
        <w:rPr>
          <w:rFonts w:ascii="Century" w:hAnsi="Century"/>
          <w:sz w:val="22"/>
          <w:szCs w:val="22"/>
          <w:lang w:val="en-GB"/>
        </w:rPr>
        <w:t xml:space="preserve">cardiovascular </w:t>
      </w:r>
      <w:r w:rsidRPr="003A6DFC">
        <w:rPr>
          <w:rFonts w:ascii="Century" w:hAnsi="Century"/>
          <w:sz w:val="22"/>
          <w:szCs w:val="22"/>
          <w:lang w:val="en-GB"/>
        </w:rPr>
        <w:t>risks.</w:t>
      </w:r>
      <w:r w:rsidR="00537D81" w:rsidRPr="003A6DFC">
        <w:rPr>
          <w:rFonts w:ascii="Century" w:hAnsi="Century"/>
          <w:sz w:val="22"/>
          <w:szCs w:val="22"/>
          <w:lang w:val="en-GB"/>
        </w:rPr>
        <w:t xml:space="preserve"> </w:t>
      </w:r>
      <w:r w:rsidRPr="003A6DFC">
        <w:rPr>
          <w:rFonts w:ascii="Century" w:hAnsi="Century"/>
          <w:sz w:val="22"/>
          <w:szCs w:val="22"/>
          <w:lang w:val="en-GB"/>
        </w:rPr>
        <w:t>HbA1c is a biomarker that measures blood sugar, regarded as a diagnostic test for diabetes. As a liver function test, we use albumin, the main liver protein; lower albumin levels suggest impaired liver function (</w:t>
      </w:r>
      <w:bookmarkStart w:id="4" w:name="bbib0105"/>
      <w:proofErr w:type="spellStart"/>
      <w:r w:rsidR="005A34DB" w:rsidRPr="003A6DFC">
        <w:rPr>
          <w:rFonts w:ascii="Century" w:hAnsi="Century"/>
          <w:sz w:val="22"/>
          <w:szCs w:val="22"/>
          <w:lang w:val="en-GB"/>
        </w:rPr>
        <w:t>Davillas</w:t>
      </w:r>
      <w:proofErr w:type="spellEnd"/>
      <w:r w:rsidR="005A34DB" w:rsidRPr="003A6DFC">
        <w:rPr>
          <w:rFonts w:ascii="Century" w:hAnsi="Century"/>
          <w:sz w:val="22"/>
          <w:szCs w:val="22"/>
          <w:lang w:val="en-GB"/>
        </w:rPr>
        <w:t xml:space="preserve"> and </w:t>
      </w:r>
      <w:proofErr w:type="spellStart"/>
      <w:r w:rsidR="005A34DB" w:rsidRPr="003A6DFC">
        <w:rPr>
          <w:rFonts w:ascii="Century" w:hAnsi="Century"/>
          <w:sz w:val="22"/>
          <w:szCs w:val="22"/>
          <w:lang w:val="en-GB"/>
        </w:rPr>
        <w:t>Pudney</w:t>
      </w:r>
      <w:proofErr w:type="spellEnd"/>
      <w:r w:rsidR="005A34DB" w:rsidRPr="003A6DFC">
        <w:rPr>
          <w:rFonts w:ascii="Century" w:hAnsi="Century"/>
          <w:sz w:val="22"/>
          <w:szCs w:val="22"/>
          <w:lang w:val="en-GB"/>
        </w:rPr>
        <w:t>, 2020</w:t>
      </w:r>
      <w:r w:rsidRPr="003A6DFC">
        <w:rPr>
          <w:rFonts w:ascii="Century" w:hAnsi="Century"/>
          <w:sz w:val="22"/>
          <w:szCs w:val="22"/>
          <w:lang w:val="en-GB"/>
        </w:rPr>
        <w:t>).</w:t>
      </w:r>
      <w:r w:rsidR="00445872" w:rsidRPr="003A6DFC">
        <w:rPr>
          <w:rFonts w:ascii="Century" w:hAnsi="Century"/>
          <w:sz w:val="22"/>
          <w:szCs w:val="22"/>
          <w:lang w:val="en-GB"/>
        </w:rPr>
        <w:t xml:space="preserve"> </w:t>
      </w:r>
      <w:r w:rsidRPr="003A6DFC">
        <w:rPr>
          <w:rFonts w:ascii="Century" w:hAnsi="Century"/>
          <w:sz w:val="22"/>
          <w:szCs w:val="22"/>
          <w:lang w:val="en-GB"/>
        </w:rPr>
        <w:t xml:space="preserve">In addition to specific markers, an index of multi-system risk that measures the wear and tear on the body, approximating </w:t>
      </w:r>
      <w:r w:rsidRPr="003A6DFC">
        <w:rPr>
          <w:rFonts w:ascii="Century" w:hAnsi="Century"/>
          <w:sz w:val="22"/>
          <w:szCs w:val="22"/>
          <w:lang w:val="en-GB"/>
        </w:rPr>
        <w:lastRenderedPageBreak/>
        <w:t>the allostatic load, is also employed</w:t>
      </w:r>
      <w:bookmarkStart w:id="5" w:name="bbib0200"/>
      <w:r w:rsidRPr="003A6DFC">
        <w:rPr>
          <w:rFonts w:ascii="Century" w:hAnsi="Century"/>
          <w:sz w:val="22"/>
          <w:szCs w:val="22"/>
          <w:lang w:val="en-GB"/>
        </w:rPr>
        <w:t xml:space="preserve">. </w:t>
      </w:r>
      <w:bookmarkEnd w:id="4"/>
      <w:bookmarkEnd w:id="5"/>
      <w:r w:rsidRPr="003A6DFC">
        <w:rPr>
          <w:rFonts w:ascii="Century" w:hAnsi="Century"/>
          <w:sz w:val="22"/>
          <w:szCs w:val="22"/>
          <w:lang w:val="en-GB"/>
        </w:rPr>
        <w:t>Following exiting literature</w:t>
      </w:r>
      <w:r w:rsidR="005A34DB" w:rsidRPr="003A6DFC">
        <w:rPr>
          <w:rFonts w:ascii="Century" w:hAnsi="Century"/>
          <w:sz w:val="22"/>
          <w:szCs w:val="22"/>
          <w:lang w:val="en-GB"/>
        </w:rPr>
        <w:t xml:space="preserve"> (</w:t>
      </w:r>
      <w:proofErr w:type="spellStart"/>
      <w:r w:rsidR="005A34DB" w:rsidRPr="003A6DFC">
        <w:rPr>
          <w:rFonts w:ascii="Century" w:hAnsi="Century"/>
          <w:sz w:val="22"/>
          <w:szCs w:val="22"/>
          <w:lang w:val="en-GB"/>
        </w:rPr>
        <w:t>Davillas</w:t>
      </w:r>
      <w:proofErr w:type="spellEnd"/>
      <w:r w:rsidR="005A34DB" w:rsidRPr="003A6DFC">
        <w:rPr>
          <w:rFonts w:ascii="Century" w:hAnsi="Century"/>
          <w:sz w:val="22"/>
          <w:szCs w:val="22"/>
          <w:lang w:val="en-GB"/>
        </w:rPr>
        <w:t xml:space="preserve"> and </w:t>
      </w:r>
      <w:proofErr w:type="spellStart"/>
      <w:r w:rsidR="005A34DB" w:rsidRPr="003A6DFC">
        <w:rPr>
          <w:rFonts w:ascii="Century" w:hAnsi="Century"/>
          <w:sz w:val="22"/>
          <w:szCs w:val="22"/>
          <w:lang w:val="en-GB"/>
        </w:rPr>
        <w:t>Pudney</w:t>
      </w:r>
      <w:proofErr w:type="spellEnd"/>
      <w:r w:rsidR="005A34DB" w:rsidRPr="003A6DFC">
        <w:rPr>
          <w:rFonts w:ascii="Century" w:hAnsi="Century"/>
          <w:sz w:val="22"/>
          <w:szCs w:val="22"/>
          <w:lang w:val="en-GB"/>
        </w:rPr>
        <w:t>, 2020)</w:t>
      </w:r>
      <w:r w:rsidRPr="003A6DFC">
        <w:rPr>
          <w:rFonts w:ascii="Century" w:hAnsi="Century"/>
          <w:sz w:val="22"/>
          <w:szCs w:val="22"/>
          <w:lang w:val="en-GB"/>
        </w:rPr>
        <w:t>, HDL, Albumin and DHEAS</w:t>
      </w:r>
      <w:r w:rsidR="009872FD" w:rsidRPr="003A6DFC">
        <w:rPr>
          <w:rFonts w:ascii="Century" w:hAnsi="Century"/>
          <w:sz w:val="22"/>
          <w:szCs w:val="22"/>
          <w:lang w:val="en-GB"/>
        </w:rPr>
        <w:t xml:space="preserve"> are</w:t>
      </w:r>
      <w:r w:rsidRPr="003A6DFC">
        <w:rPr>
          <w:rFonts w:ascii="Century" w:hAnsi="Century"/>
          <w:sz w:val="22"/>
          <w:szCs w:val="22"/>
          <w:lang w:val="en-GB"/>
        </w:rPr>
        <w:t xml:space="preserve"> transformed to negative values to reflect ill health, and then each of the measures described above is converted into </w:t>
      </w:r>
      <w:r w:rsidRPr="003A6DFC">
        <w:rPr>
          <w:rStyle w:val="nfase"/>
          <w:rFonts w:ascii="Century" w:hAnsi="Century"/>
          <w:sz w:val="22"/>
          <w:szCs w:val="22"/>
          <w:lang w:val="en-GB"/>
        </w:rPr>
        <w:t>z</w:t>
      </w:r>
      <w:r w:rsidRPr="003A6DFC">
        <w:rPr>
          <w:rFonts w:ascii="Century" w:hAnsi="Century"/>
          <w:sz w:val="22"/>
          <w:szCs w:val="22"/>
          <w:lang w:val="en-GB"/>
        </w:rPr>
        <w:t>-scores and summed.</w:t>
      </w:r>
      <w:r w:rsidR="00091568" w:rsidRPr="003A6DFC">
        <w:rPr>
          <w:rFonts w:ascii="Century" w:hAnsi="Century"/>
          <w:sz w:val="22"/>
          <w:szCs w:val="22"/>
          <w:lang w:val="en-GB"/>
        </w:rPr>
        <w:t xml:space="preserve"> </w:t>
      </w:r>
      <w:r w:rsidR="00091568" w:rsidRPr="003A6DFC" w:rsidDel="009872FD">
        <w:rPr>
          <w:rFonts w:ascii="Century" w:hAnsi="Century"/>
          <w:sz w:val="22"/>
          <w:szCs w:val="22"/>
          <w:lang w:val="en-GB"/>
        </w:rPr>
        <w:t>To facilitate comparisons all our biomarker</w:t>
      </w:r>
      <w:r w:rsidR="00C94F03" w:rsidRPr="003A6DFC" w:rsidDel="009872FD">
        <w:rPr>
          <w:rFonts w:ascii="Century" w:hAnsi="Century"/>
          <w:sz w:val="22"/>
          <w:szCs w:val="22"/>
          <w:lang w:val="en-GB"/>
        </w:rPr>
        <w:t xml:space="preserve">s </w:t>
      </w:r>
      <w:r w:rsidR="00091568" w:rsidRPr="003A6DFC" w:rsidDel="009872FD">
        <w:rPr>
          <w:rFonts w:ascii="Century" w:hAnsi="Century"/>
          <w:sz w:val="22"/>
          <w:szCs w:val="22"/>
          <w:lang w:val="en-GB"/>
        </w:rPr>
        <w:t>and allostatic load are</w:t>
      </w:r>
      <w:r w:rsidR="00C94F03" w:rsidRPr="003A6DFC" w:rsidDel="009872FD">
        <w:rPr>
          <w:rFonts w:ascii="Century" w:hAnsi="Century"/>
          <w:sz w:val="22"/>
          <w:szCs w:val="22"/>
          <w:lang w:val="en-GB"/>
        </w:rPr>
        <w:t xml:space="preserve"> transformed to reflect derivations from their standard deviation. </w:t>
      </w:r>
      <w:r w:rsidR="00091568" w:rsidRPr="003A6DFC" w:rsidDel="009872FD">
        <w:rPr>
          <w:rFonts w:ascii="Century" w:hAnsi="Century"/>
          <w:sz w:val="22"/>
          <w:szCs w:val="22"/>
          <w:lang w:val="en-GB"/>
        </w:rPr>
        <w:t xml:space="preserve"> </w:t>
      </w:r>
    </w:p>
    <w:p w14:paraId="0960E469" w14:textId="6F3C2A2C" w:rsidR="00342FF9" w:rsidRPr="003A6DFC" w:rsidRDefault="00342FF9" w:rsidP="00760769">
      <w:pPr>
        <w:pStyle w:val="NormalWeb"/>
        <w:spacing w:before="0" w:beforeAutospacing="0" w:after="0" w:afterAutospacing="0" w:line="360" w:lineRule="auto"/>
        <w:jc w:val="both"/>
        <w:rPr>
          <w:rFonts w:ascii="Century" w:hAnsi="Century"/>
          <w:sz w:val="22"/>
          <w:szCs w:val="22"/>
          <w:lang w:val="en-GB"/>
        </w:rPr>
      </w:pPr>
    </w:p>
    <w:p w14:paraId="722ABC36" w14:textId="77777777" w:rsidR="00876E8A" w:rsidRPr="003A6DFC" w:rsidRDefault="00876E8A" w:rsidP="00760769">
      <w:pPr>
        <w:pStyle w:val="NormalWeb"/>
        <w:spacing w:before="0" w:beforeAutospacing="0" w:after="0" w:afterAutospacing="0" w:line="360" w:lineRule="auto"/>
        <w:jc w:val="both"/>
        <w:rPr>
          <w:rFonts w:ascii="Century" w:hAnsi="Century"/>
          <w:sz w:val="22"/>
          <w:szCs w:val="22"/>
          <w:lang w:val="en-GB"/>
        </w:rPr>
      </w:pPr>
    </w:p>
    <w:p w14:paraId="3572A2FC" w14:textId="6FA5E049" w:rsidR="00305863" w:rsidRPr="003A6DFC" w:rsidRDefault="00067AF3" w:rsidP="00017049">
      <w:pPr>
        <w:spacing w:after="0" w:line="360" w:lineRule="auto"/>
        <w:jc w:val="both"/>
        <w:rPr>
          <w:rFonts w:ascii="Century" w:hAnsi="Century" w:cs="Times New Roman"/>
          <w:b/>
          <w:sz w:val="28"/>
          <w:szCs w:val="28"/>
          <w:lang w:val="en-GB"/>
        </w:rPr>
      </w:pPr>
      <w:r w:rsidRPr="003A6DFC">
        <w:rPr>
          <w:rFonts w:ascii="Century" w:hAnsi="Century" w:cs="Times New Roman"/>
          <w:b/>
          <w:sz w:val="28"/>
          <w:szCs w:val="28"/>
          <w:lang w:val="en-GB"/>
        </w:rPr>
        <w:t>3</w:t>
      </w:r>
      <w:r w:rsidR="00305863" w:rsidRPr="003A6DFC">
        <w:rPr>
          <w:rFonts w:ascii="Century" w:hAnsi="Century" w:cs="Times New Roman"/>
          <w:b/>
          <w:sz w:val="28"/>
          <w:szCs w:val="28"/>
          <w:lang w:val="en-GB"/>
        </w:rPr>
        <w:t xml:space="preserve">. Methods </w:t>
      </w:r>
    </w:p>
    <w:p w14:paraId="5A2D5CA4" w14:textId="77777777" w:rsidR="00CC60AF" w:rsidRPr="003A6DFC" w:rsidRDefault="00CC60AF" w:rsidP="00CC3EB8">
      <w:pPr>
        <w:pStyle w:val="PargrafodaLista"/>
        <w:spacing w:after="0" w:line="360" w:lineRule="auto"/>
        <w:ind w:left="360"/>
        <w:jc w:val="both"/>
        <w:rPr>
          <w:rFonts w:ascii="Century" w:hAnsi="Century" w:cs="Times New Roman"/>
          <w:b/>
          <w:sz w:val="20"/>
          <w:szCs w:val="20"/>
          <w:lang w:val="en-GB"/>
        </w:rPr>
      </w:pPr>
    </w:p>
    <w:p w14:paraId="6A72C0ED" w14:textId="77777777" w:rsidR="0085139B" w:rsidRPr="003A6DFC" w:rsidRDefault="0085139B" w:rsidP="0085139B">
      <w:pPr>
        <w:spacing w:after="0" w:line="360" w:lineRule="auto"/>
        <w:jc w:val="both"/>
        <w:rPr>
          <w:rFonts w:ascii="Century" w:hAnsi="Century" w:cs="Times New Roman"/>
          <w:b/>
          <w:i/>
          <w:iCs/>
          <w:lang w:val="en-GB"/>
        </w:rPr>
      </w:pPr>
      <w:r w:rsidRPr="003A6DFC">
        <w:rPr>
          <w:rFonts w:ascii="Century" w:hAnsi="Century" w:cs="Times New Roman"/>
          <w:b/>
          <w:i/>
          <w:iCs/>
          <w:lang w:val="en-GB"/>
        </w:rPr>
        <w:t xml:space="preserve">Panel </w:t>
      </w:r>
      <w:proofErr w:type="spellStart"/>
      <w:r w:rsidRPr="003A6DFC">
        <w:rPr>
          <w:rFonts w:ascii="Century" w:hAnsi="Century" w:cs="Times New Roman"/>
          <w:b/>
          <w:i/>
          <w:iCs/>
          <w:lang w:val="en-GB"/>
        </w:rPr>
        <w:t>probit</w:t>
      </w:r>
      <w:proofErr w:type="spellEnd"/>
      <w:r w:rsidRPr="003A6DFC">
        <w:rPr>
          <w:rFonts w:ascii="Century" w:hAnsi="Century" w:cs="Times New Roman"/>
          <w:b/>
          <w:i/>
          <w:iCs/>
          <w:lang w:val="en-GB"/>
        </w:rPr>
        <w:t xml:space="preserve"> models for the likelihood of reporting inconsistency</w:t>
      </w:r>
    </w:p>
    <w:p w14:paraId="4F602A13" w14:textId="77777777" w:rsidR="0085139B" w:rsidRPr="003A6DFC" w:rsidRDefault="0085139B" w:rsidP="0085139B">
      <w:pPr>
        <w:spacing w:after="0" w:line="360" w:lineRule="auto"/>
        <w:jc w:val="both"/>
        <w:rPr>
          <w:rFonts w:ascii="Century" w:hAnsi="Century" w:cs="Times New Roman"/>
          <w:bCs/>
          <w:iCs/>
          <w:lang w:val="en-GB"/>
        </w:rPr>
      </w:pPr>
      <w:r w:rsidRPr="003A6DFC">
        <w:rPr>
          <w:rFonts w:ascii="Century" w:hAnsi="Century" w:cs="Times New Roman"/>
          <w:bCs/>
          <w:iCs/>
          <w:lang w:val="en-GB"/>
        </w:rPr>
        <w:t xml:space="preserve">We investigate the determinants of within-wave inconsistent SAH responses by modelling whether the responses to SAH question differ between the self-completion </w:t>
      </w:r>
      <m:oMath>
        <m:r>
          <w:rPr>
            <w:rFonts w:ascii="Cambria Math" w:hAnsi="Cambria Math" w:cs="Times New Roman"/>
            <w:lang w:val="en-GB"/>
          </w:rPr>
          <m:t>(</m:t>
        </m:r>
        <m:sSub>
          <m:sSubPr>
            <m:ctrlPr>
              <w:rPr>
                <w:rFonts w:ascii="Cambria Math" w:hAnsi="Cambria Math" w:cs="Times New Roman"/>
                <w:bCs/>
                <w:i/>
                <w:iCs/>
                <w:lang w:val="en-GB"/>
              </w:rPr>
            </m:ctrlPr>
          </m:sSubPr>
          <m:e>
            <m:r>
              <w:rPr>
                <w:rFonts w:ascii="Cambria Math" w:hAnsi="Cambria Math" w:cs="Times New Roman"/>
                <w:lang w:val="en-GB"/>
              </w:rPr>
              <m:t>H</m:t>
            </m:r>
          </m:e>
          <m:sub>
            <m:r>
              <w:rPr>
                <w:rFonts w:ascii="Cambria Math" w:hAnsi="Cambria Math" w:cs="Times New Roman"/>
                <w:lang w:val="en-GB"/>
              </w:rPr>
              <m:t>sc</m:t>
            </m:r>
          </m:sub>
        </m:sSub>
        <m:r>
          <w:rPr>
            <w:rFonts w:ascii="Cambria Math" w:hAnsi="Cambria Math" w:cs="Times New Roman"/>
            <w:lang w:val="en-GB"/>
          </w:rPr>
          <m:t xml:space="preserve">) </m:t>
        </m:r>
      </m:oMath>
      <w:r w:rsidRPr="003A6DFC">
        <w:rPr>
          <w:rFonts w:ascii="Century" w:hAnsi="Century" w:cs="Times New Roman"/>
          <w:bCs/>
          <w:iCs/>
          <w:lang w:val="en-GB"/>
        </w:rPr>
        <w:t xml:space="preserve">and the open interview </w:t>
      </w:r>
      <m:oMath>
        <m:r>
          <w:rPr>
            <w:rFonts w:ascii="Cambria Math" w:hAnsi="Cambria Math" w:cs="Times New Roman"/>
            <w:lang w:val="en-GB"/>
          </w:rPr>
          <m:t>(</m:t>
        </m:r>
        <m:sSub>
          <m:sSubPr>
            <m:ctrlPr>
              <w:rPr>
                <w:rFonts w:ascii="Cambria Math" w:hAnsi="Cambria Math" w:cs="Times New Roman"/>
                <w:bCs/>
                <w:i/>
                <w:iCs/>
                <w:lang w:val="en-GB"/>
              </w:rPr>
            </m:ctrlPr>
          </m:sSubPr>
          <m:e>
            <m:r>
              <w:rPr>
                <w:rFonts w:ascii="Cambria Math" w:hAnsi="Cambria Math" w:cs="Times New Roman"/>
                <w:lang w:val="en-GB"/>
              </w:rPr>
              <m:t>H</m:t>
            </m:r>
          </m:e>
          <m:sub>
            <m:r>
              <w:rPr>
                <w:rFonts w:ascii="Cambria Math" w:hAnsi="Cambria Math" w:cs="Times New Roman"/>
                <w:lang w:val="en-GB"/>
              </w:rPr>
              <m:t>OI</m:t>
            </m:r>
          </m:sub>
        </m:sSub>
        <m:r>
          <w:rPr>
            <w:rFonts w:ascii="Cambria Math" w:hAnsi="Cambria Math" w:cs="Times New Roman"/>
            <w:lang w:val="en-GB"/>
          </w:rPr>
          <m:t>)</m:t>
        </m:r>
      </m:oMath>
      <w:r w:rsidRPr="003A6DFC">
        <w:rPr>
          <w:rFonts w:ascii="Century" w:hAnsi="Century" w:cs="Times New Roman"/>
          <w:bCs/>
          <w:iCs/>
          <w:lang w:val="en-GB"/>
        </w:rPr>
        <w:t xml:space="preserve"> , administered within the same wave for all participants. Our dependent variable, </w:t>
      </w:r>
      <m:oMath>
        <m:sSub>
          <m:sSubPr>
            <m:ctrlPr>
              <w:rPr>
                <w:rFonts w:ascii="Cambria Math" w:hAnsi="Cambria Math" w:cs="Times New Roman"/>
                <w:bCs/>
                <w:i/>
                <w:iCs/>
                <w:lang w:val="en-GB"/>
              </w:rPr>
            </m:ctrlPr>
          </m:sSubPr>
          <m:e>
            <m:r>
              <w:rPr>
                <w:rFonts w:ascii="Cambria Math" w:hAnsi="Cambria Math" w:cs="Times New Roman"/>
                <w:lang w:val="en-GB"/>
              </w:rPr>
              <m:t>y</m:t>
            </m:r>
          </m:e>
          <m:sub>
            <m:r>
              <w:rPr>
                <w:rFonts w:ascii="Cambria Math" w:hAnsi="Cambria Math" w:cs="Times New Roman"/>
                <w:lang w:val="en-GB"/>
              </w:rPr>
              <m:t>it</m:t>
            </m:r>
          </m:sub>
        </m:sSub>
      </m:oMath>
      <w:r w:rsidRPr="003A6DFC">
        <w:rPr>
          <w:rFonts w:ascii="Century" w:hAnsi="Century" w:cs="Times New Roman"/>
          <w:bCs/>
          <w:iCs/>
          <w:lang w:val="en-GB"/>
        </w:rPr>
        <w:t xml:space="preserve">, is defined as a dichotomous variable that, for each respondent </w:t>
      </w:r>
      <m:oMath>
        <m:r>
          <w:rPr>
            <w:rFonts w:ascii="Cambria Math" w:hAnsi="Cambria Math" w:cs="Times New Roman"/>
            <w:lang w:val="en-GB"/>
          </w:rPr>
          <m:t>i</m:t>
        </m:r>
      </m:oMath>
      <w:r w:rsidRPr="003A6DFC">
        <w:rPr>
          <w:rFonts w:ascii="Century" w:hAnsi="Century" w:cs="Times New Roman"/>
          <w:bCs/>
          <w:iCs/>
          <w:lang w:val="en-GB"/>
        </w:rPr>
        <w:t xml:space="preserve"> in UKHLS wave </w:t>
      </w:r>
      <m:oMath>
        <m:r>
          <w:rPr>
            <w:rFonts w:ascii="Cambria Math" w:hAnsi="Cambria Math" w:cs="Times New Roman"/>
            <w:lang w:val="en-GB"/>
          </w:rPr>
          <m:t>t</m:t>
        </m:r>
      </m:oMath>
      <w:r w:rsidRPr="003A6DFC">
        <w:rPr>
          <w:rFonts w:ascii="Century" w:hAnsi="Century" w:cs="Times New Roman"/>
          <w:bCs/>
          <w:iCs/>
          <w:lang w:val="en-GB"/>
        </w:rPr>
        <w:t xml:space="preserve"> (2, 3, 4 and 5), takes the value of 1 if they reported differently in the </w:t>
      </w:r>
      <m:oMath>
        <m:sSub>
          <m:sSubPr>
            <m:ctrlPr>
              <w:rPr>
                <w:rFonts w:ascii="Cambria Math" w:hAnsi="Cambria Math" w:cs="Times New Roman"/>
                <w:bCs/>
                <w:i/>
                <w:iCs/>
                <w:lang w:val="en-GB"/>
              </w:rPr>
            </m:ctrlPr>
          </m:sSubPr>
          <m:e>
            <m:r>
              <w:rPr>
                <w:rFonts w:ascii="Cambria Math" w:hAnsi="Cambria Math" w:cs="Times New Roman"/>
                <w:lang w:val="en-GB"/>
              </w:rPr>
              <m:t>H</m:t>
            </m:r>
          </m:e>
          <m:sub>
            <m:r>
              <w:rPr>
                <w:rFonts w:ascii="Cambria Math" w:hAnsi="Cambria Math" w:cs="Times New Roman"/>
                <w:lang w:val="en-GB"/>
              </w:rPr>
              <m:t>sc</m:t>
            </m:r>
          </m:sub>
        </m:sSub>
      </m:oMath>
      <w:r w:rsidRPr="003A6DFC">
        <w:rPr>
          <w:rFonts w:ascii="Century" w:hAnsi="Century" w:cs="Times New Roman"/>
          <w:bCs/>
          <w:iCs/>
          <w:lang w:val="en-GB"/>
        </w:rPr>
        <w:t xml:space="preserve"> versus the </w:t>
      </w:r>
      <m:oMath>
        <m:sSub>
          <m:sSubPr>
            <m:ctrlPr>
              <w:rPr>
                <w:rFonts w:ascii="Cambria Math" w:hAnsi="Cambria Math" w:cs="Times New Roman"/>
                <w:bCs/>
                <w:i/>
                <w:iCs/>
                <w:lang w:val="en-GB"/>
              </w:rPr>
            </m:ctrlPr>
          </m:sSubPr>
          <m:e>
            <m:r>
              <w:rPr>
                <w:rFonts w:ascii="Cambria Math" w:hAnsi="Cambria Math" w:cs="Times New Roman"/>
                <w:lang w:val="en-GB"/>
              </w:rPr>
              <m:t>H</m:t>
            </m:r>
          </m:e>
          <m:sub>
            <m:r>
              <w:rPr>
                <w:rFonts w:ascii="Cambria Math" w:hAnsi="Cambria Math" w:cs="Times New Roman"/>
                <w:lang w:val="en-GB"/>
              </w:rPr>
              <m:t>OI</m:t>
            </m:r>
          </m:sub>
        </m:sSub>
      </m:oMath>
      <w:r w:rsidRPr="003A6DFC">
        <w:rPr>
          <w:rFonts w:ascii="Century" w:hAnsi="Century" w:cs="Times New Roman"/>
          <w:bCs/>
          <w:iCs/>
          <w:lang w:val="en-GB"/>
        </w:rPr>
        <w:t xml:space="preserve"> , and 0 otherwise. </w:t>
      </w:r>
    </w:p>
    <w:p w14:paraId="373AFCE9" w14:textId="77777777" w:rsidR="0085139B" w:rsidRPr="003A6DFC" w:rsidRDefault="0085139B" w:rsidP="0085139B">
      <w:pPr>
        <w:spacing w:after="0" w:line="360" w:lineRule="auto"/>
        <w:ind w:firstLine="708"/>
        <w:jc w:val="both"/>
        <w:rPr>
          <w:rFonts w:ascii="Century" w:hAnsi="Century" w:cs="Times New Roman"/>
          <w:bCs/>
          <w:iCs/>
          <w:lang w:val="en-GB"/>
        </w:rPr>
      </w:pPr>
      <w:r w:rsidRPr="003A6DFC">
        <w:rPr>
          <w:rFonts w:ascii="Century" w:hAnsi="Century" w:cs="Times New Roman"/>
          <w:bCs/>
          <w:iCs/>
          <w:lang w:val="en-GB"/>
        </w:rPr>
        <w:t xml:space="preserve">We estimate pooled </w:t>
      </w:r>
      <w:proofErr w:type="spellStart"/>
      <w:r w:rsidRPr="003A6DFC">
        <w:rPr>
          <w:rFonts w:ascii="Century" w:hAnsi="Century" w:cs="Times New Roman"/>
          <w:bCs/>
          <w:iCs/>
          <w:lang w:val="en-GB"/>
        </w:rPr>
        <w:t>probit</w:t>
      </w:r>
      <w:proofErr w:type="spellEnd"/>
      <w:r w:rsidRPr="003A6DFC">
        <w:rPr>
          <w:rFonts w:ascii="Century" w:hAnsi="Century" w:cs="Times New Roman"/>
          <w:bCs/>
          <w:iCs/>
          <w:lang w:val="en-GB"/>
        </w:rPr>
        <w:t xml:space="preserve"> models. </w:t>
      </w:r>
      <w:r w:rsidRPr="003A6DFC">
        <w:rPr>
          <w:rFonts w:ascii="Century" w:hAnsi="Century" w:cs="Times New Roman"/>
          <w:lang w:val="en-GB"/>
        </w:rPr>
        <w:t>The likelihood for this model corresponds to assuming independence in the error terms across time, however the maximum likelihood estimator of the model has the quasi-maximum likelihood property and is robust to arbitrary serial correlation (e.g., Wooldridge, 2002).</w:t>
      </w:r>
      <w:r w:rsidRPr="003A6DFC">
        <w:rPr>
          <w:rFonts w:ascii="Century" w:hAnsi="Century" w:cs="Times New Roman"/>
          <w:bCs/>
          <w:iCs/>
          <w:lang w:val="en-GB"/>
        </w:rPr>
        <w:t xml:space="preserve"> The probability of reporting inconsistently is given by:</w:t>
      </w:r>
    </w:p>
    <w:p w14:paraId="6D054099" w14:textId="77777777" w:rsidR="0085139B" w:rsidRPr="003A6DFC" w:rsidRDefault="0085139B" w:rsidP="0085139B">
      <w:pPr>
        <w:spacing w:before="240" w:after="240" w:line="360" w:lineRule="auto"/>
        <w:ind w:left="709"/>
        <w:jc w:val="right"/>
        <w:rPr>
          <w:rFonts w:ascii="Century" w:hAnsi="Century" w:cs="Times New Roman"/>
          <w:lang w:val="en-GB"/>
        </w:rPr>
      </w:pPr>
      <m:oMath>
        <m:r>
          <m:rPr>
            <m:sty m:val="p"/>
          </m:rPr>
          <w:rPr>
            <w:rFonts w:ascii="Cambria Math" w:hAnsi="Cambria Math" w:cs="Times New Roman"/>
            <w:lang w:val="en-GB"/>
          </w:rPr>
          <m:t>Pr</m:t>
        </m:r>
        <m:d>
          <m:dPr>
            <m:ctrlPr>
              <w:rPr>
                <w:rFonts w:ascii="Cambria Math" w:hAnsi="Cambria Math" w:cs="Times New Roman"/>
                <w:lang w:val="en-GB"/>
              </w:rPr>
            </m:ctrlPr>
          </m:dPr>
          <m:e>
            <m:sSub>
              <m:sSubPr>
                <m:ctrlPr>
                  <w:rPr>
                    <w:rFonts w:ascii="Cambria Math" w:hAnsi="Cambria Math" w:cs="Times New Roman"/>
                    <w:lang w:val="en-GB"/>
                  </w:rPr>
                </m:ctrlPr>
              </m:sSubPr>
              <m:e>
                <m:r>
                  <w:rPr>
                    <w:rFonts w:ascii="Cambria Math" w:hAnsi="Cambria Math" w:cs="Times New Roman"/>
                    <w:lang w:val="en-GB"/>
                  </w:rPr>
                  <m:t>y</m:t>
                </m:r>
              </m:e>
              <m:sub>
                <m:r>
                  <w:rPr>
                    <w:rFonts w:ascii="Cambria Math" w:hAnsi="Cambria Math" w:cs="Times New Roman"/>
                    <w:lang w:val="en-GB"/>
                  </w:rPr>
                  <m:t>it</m:t>
                </m:r>
              </m:sub>
            </m:sSub>
            <m:r>
              <m:rPr>
                <m:sty m:val="p"/>
              </m:rPr>
              <w:rPr>
                <w:rFonts w:ascii="Cambria Math" w:hAnsi="Cambria Math" w:cs="Times New Roman"/>
                <w:lang w:val="en-GB"/>
              </w:rPr>
              <m:t>=1</m:t>
            </m:r>
          </m:e>
        </m:d>
        <m:r>
          <m:rPr>
            <m:sty m:val="p"/>
          </m:rPr>
          <w:rPr>
            <w:rFonts w:ascii="Cambria Math" w:hAnsi="Cambria Math" w:cs="Times New Roman"/>
            <w:lang w:val="en-GB"/>
          </w:rPr>
          <m:t>=Φ</m:t>
        </m:r>
        <m:d>
          <m:dPr>
            <m:ctrlPr>
              <w:rPr>
                <w:rFonts w:ascii="Cambria Math" w:hAnsi="Cambria Math" w:cs="Times New Roman"/>
                <w:lang w:val="en-GB"/>
              </w:rPr>
            </m:ctrlPr>
          </m:dPr>
          <m:e>
            <m:sSub>
              <m:sSubPr>
                <m:ctrlPr>
                  <w:rPr>
                    <w:rFonts w:ascii="Cambria Math" w:hAnsi="Cambria Math" w:cs="Times New Roman"/>
                    <w:lang w:val="en-GB"/>
                  </w:rPr>
                </m:ctrlPr>
              </m:sSubPr>
              <m:e>
                <m:r>
                  <w:rPr>
                    <w:rFonts w:ascii="Cambria Math" w:hAnsi="Cambria Math" w:cs="Times New Roman"/>
                    <w:lang w:val="en-GB"/>
                  </w:rPr>
                  <m:t>x</m:t>
                </m:r>
              </m:e>
              <m:sub>
                <m:r>
                  <w:rPr>
                    <w:rFonts w:ascii="Cambria Math" w:hAnsi="Cambria Math" w:cs="Times New Roman"/>
                    <w:lang w:val="en-GB"/>
                  </w:rPr>
                  <m:t>it</m:t>
                </m:r>
              </m:sub>
            </m:sSub>
            <m:r>
              <w:rPr>
                <w:rFonts w:ascii="Cambria Math" w:hAnsi="Cambria Math" w:cs="Times New Roman"/>
                <w:lang w:val="en-GB"/>
              </w:rPr>
              <m:t>β</m:t>
            </m:r>
          </m:e>
        </m:d>
      </m:oMath>
      <w:r w:rsidRPr="003A6DFC">
        <w:rPr>
          <w:rFonts w:ascii="Century" w:hAnsi="Century" w:cs="Times New Roman"/>
          <w:lang w:val="en-GB"/>
        </w:rPr>
        <w:tab/>
      </w:r>
      <w:r w:rsidRPr="003A6DFC">
        <w:rPr>
          <w:rFonts w:ascii="Century" w:hAnsi="Century" w:cs="Times New Roman"/>
          <w:lang w:val="en-GB"/>
        </w:rPr>
        <w:tab/>
      </w:r>
      <w:r w:rsidRPr="003A6DFC">
        <w:rPr>
          <w:rFonts w:ascii="Century" w:hAnsi="Century" w:cs="Times New Roman"/>
          <w:lang w:val="en-GB"/>
        </w:rPr>
        <w:tab/>
      </w:r>
      <w:r w:rsidRPr="003A6DFC">
        <w:rPr>
          <w:rFonts w:ascii="Century" w:hAnsi="Century" w:cs="Times New Roman"/>
          <w:lang w:val="en-GB"/>
        </w:rPr>
        <w:tab/>
        <w:t xml:space="preserve">       </w:t>
      </w:r>
      <w:r w:rsidRPr="003A6DFC">
        <w:rPr>
          <w:rFonts w:ascii="Century" w:hAnsi="Century" w:cs="Times New Roman"/>
          <w:lang w:val="en-GB"/>
        </w:rPr>
        <w:tab/>
        <w:t xml:space="preserve">       (1)</w:t>
      </w:r>
    </w:p>
    <w:p w14:paraId="7D8C1222" w14:textId="53CC4490" w:rsidR="0085139B" w:rsidRPr="003A6DFC" w:rsidRDefault="0085139B" w:rsidP="0085139B">
      <w:pPr>
        <w:spacing w:after="0" w:line="360" w:lineRule="auto"/>
        <w:jc w:val="both"/>
        <w:rPr>
          <w:rFonts w:ascii="Century" w:hAnsi="Century" w:cs="Times New Roman"/>
          <w:bCs/>
          <w:iCs/>
          <w:lang w:val="en-GB"/>
        </w:rPr>
      </w:pPr>
      <w:r w:rsidRPr="003A6DFC">
        <w:rPr>
          <w:rFonts w:ascii="Century" w:hAnsi="Century" w:cs="Times New Roman"/>
          <w:bCs/>
          <w:iCs/>
          <w:lang w:val="en-GB"/>
        </w:rPr>
        <w:t xml:space="preserve">where, the underlying latent variable model is given by </w:t>
      </w:r>
      <m:oMath>
        <m:sSubSup>
          <m:sSubSupPr>
            <m:ctrlPr>
              <w:rPr>
                <w:rFonts w:ascii="Cambria Math" w:hAnsi="Cambria Math" w:cs="Times New Roman"/>
                <w:bCs/>
                <w:i/>
                <w:iCs/>
                <w:lang w:val="en-GB"/>
              </w:rPr>
            </m:ctrlPr>
          </m:sSubSupPr>
          <m:e>
            <m:r>
              <w:rPr>
                <w:rFonts w:ascii="Cambria Math" w:hAnsi="Cambria Math" w:cs="Times New Roman"/>
                <w:lang w:val="en-GB"/>
              </w:rPr>
              <m:t>y</m:t>
            </m:r>
          </m:e>
          <m:sub>
            <m:r>
              <w:rPr>
                <w:rFonts w:ascii="Cambria Math" w:hAnsi="Cambria Math" w:cs="Times New Roman"/>
                <w:lang w:val="en-GB"/>
              </w:rPr>
              <m:t>it</m:t>
            </m:r>
          </m:sub>
          <m:sup>
            <m:r>
              <w:rPr>
                <w:rFonts w:ascii="Cambria Math" w:hAnsi="Cambria Math" w:cs="Times New Roman"/>
                <w:lang w:val="en-GB"/>
              </w:rPr>
              <m:t>*</m:t>
            </m:r>
          </m:sup>
        </m:sSubSup>
        <m:r>
          <w:rPr>
            <w:rFonts w:ascii="Cambria Math" w:hAnsi="Cambria Math" w:cs="Times New Roman"/>
            <w:lang w:val="en-GB"/>
          </w:rPr>
          <m:t>=</m:t>
        </m:r>
        <m:sSub>
          <m:sSubPr>
            <m:ctrlPr>
              <w:rPr>
                <w:rFonts w:ascii="Cambria Math" w:hAnsi="Cambria Math" w:cs="Times New Roman"/>
                <w:bCs/>
                <w:i/>
                <w:iCs/>
                <w:lang w:val="en-GB"/>
              </w:rPr>
            </m:ctrlPr>
          </m:sSubPr>
          <m:e>
            <m:r>
              <w:rPr>
                <w:rFonts w:ascii="Cambria Math" w:hAnsi="Cambria Math" w:cs="Times New Roman"/>
                <w:lang w:val="en-GB"/>
              </w:rPr>
              <m:t>x</m:t>
            </m:r>
          </m:e>
          <m:sub>
            <m:r>
              <w:rPr>
                <w:rFonts w:ascii="Cambria Math" w:hAnsi="Cambria Math" w:cs="Times New Roman"/>
                <w:lang w:val="en-GB"/>
              </w:rPr>
              <m:t>it</m:t>
            </m:r>
          </m:sub>
        </m:sSub>
        <m:r>
          <w:rPr>
            <w:rFonts w:ascii="Cambria Math" w:hAnsi="Cambria Math" w:cs="Times New Roman"/>
            <w:lang w:val="en-GB"/>
          </w:rPr>
          <m:t>β+</m:t>
        </m:r>
        <m:sSub>
          <m:sSubPr>
            <m:ctrlPr>
              <w:rPr>
                <w:rFonts w:ascii="Cambria Math" w:hAnsi="Cambria Math" w:cs="Times New Roman"/>
                <w:bCs/>
                <w:i/>
                <w:iCs/>
                <w:lang w:val="en-GB"/>
              </w:rPr>
            </m:ctrlPr>
          </m:sSubPr>
          <m:e>
            <m:r>
              <w:rPr>
                <w:rFonts w:ascii="Cambria Math" w:hAnsi="Cambria Math" w:cs="Times New Roman"/>
                <w:lang w:val="en-GB"/>
              </w:rPr>
              <m:t>e</m:t>
            </m:r>
          </m:e>
          <m:sub>
            <m:r>
              <w:rPr>
                <w:rFonts w:ascii="Cambria Math" w:hAnsi="Cambria Math" w:cs="Times New Roman"/>
                <w:lang w:val="en-GB"/>
              </w:rPr>
              <m:t>it</m:t>
            </m:r>
          </m:sub>
        </m:sSub>
      </m:oMath>
      <w:r w:rsidRPr="003A6DFC">
        <w:rPr>
          <w:rFonts w:ascii="Century" w:hAnsi="Century" w:cs="Times New Roman"/>
          <w:bCs/>
          <w:iCs/>
          <w:lang w:val="en-GB"/>
        </w:rPr>
        <w:t xml:space="preserve">, with </w:t>
      </w:r>
      <m:oMath>
        <m:sSub>
          <m:sSubPr>
            <m:ctrlPr>
              <w:rPr>
                <w:rFonts w:ascii="Cambria Math" w:hAnsi="Cambria Math" w:cs="Times New Roman"/>
                <w:bCs/>
                <w:i/>
                <w:iCs/>
                <w:lang w:val="en-GB"/>
              </w:rPr>
            </m:ctrlPr>
          </m:sSubPr>
          <m:e>
            <m:r>
              <w:rPr>
                <w:rFonts w:ascii="Cambria Math" w:hAnsi="Cambria Math" w:cs="Times New Roman"/>
                <w:lang w:val="en-GB"/>
              </w:rPr>
              <m:t>y</m:t>
            </m:r>
          </m:e>
          <m:sub>
            <m:r>
              <w:rPr>
                <w:rFonts w:ascii="Cambria Math" w:hAnsi="Cambria Math" w:cs="Times New Roman"/>
                <w:lang w:val="en-GB"/>
              </w:rPr>
              <m:t>it</m:t>
            </m:r>
          </m:sub>
        </m:sSub>
        <m:r>
          <w:rPr>
            <w:rFonts w:ascii="Cambria Math" w:hAnsi="Cambria Math" w:cs="Times New Roman"/>
            <w:lang w:val="en-GB"/>
          </w:rPr>
          <m:t>=1</m:t>
        </m:r>
        <m:d>
          <m:dPr>
            <m:begChr m:val="["/>
            <m:endChr m:val="]"/>
            <m:ctrlPr>
              <w:rPr>
                <w:rFonts w:ascii="Cambria Math" w:hAnsi="Cambria Math" w:cs="Times New Roman"/>
                <w:bCs/>
                <w:i/>
                <w:iCs/>
                <w:lang w:val="en-GB"/>
              </w:rPr>
            </m:ctrlPr>
          </m:dPr>
          <m:e>
            <m:sSubSup>
              <m:sSubSupPr>
                <m:ctrlPr>
                  <w:rPr>
                    <w:rFonts w:ascii="Cambria Math" w:hAnsi="Cambria Math" w:cs="Times New Roman"/>
                    <w:bCs/>
                    <w:i/>
                    <w:iCs/>
                    <w:lang w:val="en-GB"/>
                  </w:rPr>
                </m:ctrlPr>
              </m:sSubSupPr>
              <m:e>
                <m:r>
                  <w:rPr>
                    <w:rFonts w:ascii="Cambria Math" w:hAnsi="Cambria Math" w:cs="Times New Roman"/>
                    <w:lang w:val="en-GB"/>
                  </w:rPr>
                  <m:t>y</m:t>
                </m:r>
              </m:e>
              <m:sub>
                <m:r>
                  <w:rPr>
                    <w:rFonts w:ascii="Cambria Math" w:hAnsi="Cambria Math" w:cs="Times New Roman"/>
                    <w:lang w:val="en-GB"/>
                  </w:rPr>
                  <m:t>it</m:t>
                </m:r>
              </m:sub>
              <m:sup>
                <m:r>
                  <w:rPr>
                    <w:rFonts w:ascii="Cambria Math" w:hAnsi="Cambria Math" w:cs="Times New Roman"/>
                    <w:lang w:val="en-GB"/>
                  </w:rPr>
                  <m:t>*</m:t>
                </m:r>
              </m:sup>
            </m:sSubSup>
            <m:r>
              <w:rPr>
                <w:rFonts w:ascii="Cambria Math" w:hAnsi="Cambria Math" w:cs="Times New Roman"/>
                <w:lang w:val="en-GB"/>
              </w:rPr>
              <m:t>&gt;0</m:t>
            </m:r>
          </m:e>
        </m:d>
      </m:oMath>
      <w:r w:rsidRPr="003A6DFC">
        <w:rPr>
          <w:rFonts w:ascii="Century" w:hAnsi="Century" w:cs="Times New Roman"/>
          <w:bCs/>
          <w:iCs/>
          <w:lang w:val="en-GB"/>
        </w:rPr>
        <w:t xml:space="preserve">. The vector </w:t>
      </w:r>
      <m:oMath>
        <m:sSub>
          <m:sSubPr>
            <m:ctrlPr>
              <w:rPr>
                <w:rFonts w:ascii="Cambria Math" w:hAnsi="Cambria Math" w:cs="Times New Roman"/>
                <w:bCs/>
                <w:i/>
                <w:iCs/>
                <w:lang w:val="en-GB"/>
              </w:rPr>
            </m:ctrlPr>
          </m:sSubPr>
          <m:e>
            <m:r>
              <w:rPr>
                <w:rFonts w:ascii="Cambria Math" w:hAnsi="Cambria Math" w:cs="Times New Roman"/>
                <w:lang w:val="en-GB"/>
              </w:rPr>
              <m:t>x</m:t>
            </m:r>
          </m:e>
          <m:sub>
            <m:r>
              <w:rPr>
                <w:rFonts w:ascii="Cambria Math" w:hAnsi="Cambria Math" w:cs="Times New Roman"/>
                <w:lang w:val="en-GB"/>
              </w:rPr>
              <m:t>it</m:t>
            </m:r>
          </m:sub>
        </m:sSub>
      </m:oMath>
      <w:r w:rsidRPr="003A6DFC">
        <w:rPr>
          <w:rFonts w:ascii="Century" w:hAnsi="Century" w:cs="Times New Roman"/>
          <w:bCs/>
          <w:iCs/>
          <w:lang w:val="en-GB"/>
        </w:rPr>
        <w:t xml:space="preserve"> is the set of covariates used in our analysis, </w:t>
      </w:r>
      <m:oMath>
        <m:r>
          <w:rPr>
            <w:rFonts w:ascii="Cambria Math" w:hAnsi="Cambria Math" w:cs="Times New Roman"/>
            <w:lang w:val="en-GB"/>
          </w:rPr>
          <m:t>β</m:t>
        </m:r>
      </m:oMath>
      <w:r w:rsidRPr="003A6DFC">
        <w:rPr>
          <w:rFonts w:ascii="Century" w:hAnsi="Century" w:cs="Times New Roman"/>
          <w:bCs/>
          <w:iCs/>
          <w:lang w:val="en-GB"/>
        </w:rPr>
        <w:t xml:space="preserve"> are the </w:t>
      </w:r>
      <w:r w:rsidR="00362C87" w:rsidRPr="003A6DFC">
        <w:rPr>
          <w:rFonts w:ascii="Century" w:hAnsi="Century" w:cs="Times New Roman"/>
          <w:bCs/>
          <w:iCs/>
          <w:lang w:val="en-GB"/>
        </w:rPr>
        <w:t>respective</w:t>
      </w:r>
      <w:r w:rsidRPr="003A6DFC">
        <w:rPr>
          <w:rFonts w:ascii="Century" w:hAnsi="Century" w:cs="Times New Roman"/>
          <w:bCs/>
          <w:iCs/>
          <w:lang w:val="en-GB"/>
        </w:rPr>
        <w:t xml:space="preserve"> coefficients to be estimated, and </w:t>
      </w:r>
      <m:oMath>
        <m:sSub>
          <m:sSubPr>
            <m:ctrlPr>
              <w:rPr>
                <w:rFonts w:ascii="Cambria Math" w:hAnsi="Cambria Math" w:cs="Times New Roman"/>
                <w:bCs/>
                <w:i/>
                <w:iCs/>
                <w:lang w:val="en-GB"/>
              </w:rPr>
            </m:ctrlPr>
          </m:sSubPr>
          <m:e>
            <m:r>
              <w:rPr>
                <w:rFonts w:ascii="Cambria Math" w:hAnsi="Cambria Math" w:cs="Times New Roman"/>
                <w:lang w:val="en-GB"/>
              </w:rPr>
              <m:t>e</m:t>
            </m:r>
          </m:e>
          <m:sub>
            <m:r>
              <w:rPr>
                <w:rFonts w:ascii="Cambria Math" w:hAnsi="Cambria Math" w:cs="Times New Roman"/>
                <w:lang w:val="en-GB"/>
              </w:rPr>
              <m:t>it</m:t>
            </m:r>
          </m:sub>
        </m:sSub>
      </m:oMath>
      <w:r w:rsidRPr="003A6DFC">
        <w:rPr>
          <w:rFonts w:ascii="Century" w:hAnsi="Century" w:cs="Times New Roman"/>
          <w:bCs/>
          <w:iCs/>
          <w:lang w:val="en-GB"/>
        </w:rPr>
        <w:t xml:space="preserve"> is the independently and normally distributed error term. The term </w:t>
      </w:r>
      <m:oMath>
        <m:r>
          <m:rPr>
            <m:sty m:val="p"/>
          </m:rPr>
          <w:rPr>
            <w:rFonts w:ascii="Cambria Math" w:hAnsi="Cambria Math" w:cs="Times New Roman"/>
            <w:lang w:val="en-GB"/>
          </w:rPr>
          <m:t>Φ</m:t>
        </m:r>
        <m:d>
          <m:dPr>
            <m:ctrlPr>
              <w:rPr>
                <w:rFonts w:ascii="Cambria Math" w:hAnsi="Cambria Math" w:cs="Times New Roman"/>
                <w:bCs/>
                <w:i/>
                <w:iCs/>
                <w:lang w:val="en-GB"/>
              </w:rPr>
            </m:ctrlPr>
          </m:dPr>
          <m:e>
            <m:r>
              <w:rPr>
                <w:rFonts w:ascii="Cambria Math" w:hAnsi="Cambria Math" w:cs="Times New Roman"/>
                <w:lang w:val="en-GB"/>
              </w:rPr>
              <m:t>∙</m:t>
            </m:r>
          </m:e>
        </m:d>
      </m:oMath>
      <w:r w:rsidRPr="003A6DFC">
        <w:rPr>
          <w:rFonts w:ascii="Century" w:hAnsi="Century" w:cs="Times New Roman"/>
          <w:bCs/>
          <w:iCs/>
          <w:lang w:val="en-GB"/>
        </w:rPr>
        <w:t xml:space="preserve"> is the cumulative</w:t>
      </w:r>
      <w:r w:rsidR="00A920D8" w:rsidRPr="003A6DFC">
        <w:rPr>
          <w:rFonts w:ascii="Century" w:hAnsi="Century" w:cs="Times New Roman"/>
          <w:bCs/>
          <w:iCs/>
          <w:lang w:val="en-GB"/>
        </w:rPr>
        <w:t xml:space="preserve"> distribution function of the </w:t>
      </w:r>
      <w:r w:rsidRPr="003A6DFC">
        <w:rPr>
          <w:rFonts w:ascii="Century" w:hAnsi="Century" w:cs="Times New Roman"/>
          <w:bCs/>
          <w:iCs/>
          <w:lang w:val="en-GB"/>
        </w:rPr>
        <w:t>normal</w:t>
      </w:r>
      <w:r w:rsidR="00A920D8" w:rsidRPr="003A6DFC">
        <w:rPr>
          <w:rFonts w:ascii="Century" w:hAnsi="Century" w:cs="Times New Roman"/>
          <w:bCs/>
          <w:iCs/>
          <w:lang w:val="en-GB"/>
        </w:rPr>
        <w:t xml:space="preserve"> standard</w:t>
      </w:r>
      <w:r w:rsidRPr="003A6DFC">
        <w:rPr>
          <w:rFonts w:ascii="Century" w:hAnsi="Century" w:cs="Times New Roman"/>
          <w:bCs/>
          <w:iCs/>
          <w:lang w:val="en-GB"/>
        </w:rPr>
        <w:t xml:space="preserve"> distribution. </w:t>
      </w:r>
    </w:p>
    <w:p w14:paraId="01A09991" w14:textId="77777777" w:rsidR="0085139B" w:rsidRPr="003A6DFC" w:rsidRDefault="0085139B" w:rsidP="0085139B">
      <w:pPr>
        <w:spacing w:after="0" w:line="360" w:lineRule="auto"/>
        <w:ind w:firstLine="708"/>
        <w:jc w:val="both"/>
        <w:rPr>
          <w:rFonts w:ascii="Century" w:hAnsi="Century" w:cs="Times New Roman"/>
          <w:bCs/>
          <w:iCs/>
          <w:lang w:val="en-GB"/>
        </w:rPr>
      </w:pPr>
      <w:r w:rsidRPr="003A6DFC">
        <w:rPr>
          <w:rFonts w:ascii="Century" w:hAnsi="Century" w:cs="Times New Roman"/>
          <w:lang w:val="en-GB"/>
        </w:rPr>
        <w:t xml:space="preserve">Our second specification is the random effects </w:t>
      </w:r>
      <w:proofErr w:type="spellStart"/>
      <w:r w:rsidRPr="003A6DFC">
        <w:rPr>
          <w:rFonts w:ascii="Century" w:hAnsi="Century" w:cs="Times New Roman"/>
          <w:lang w:val="en-GB"/>
        </w:rPr>
        <w:t>probit</w:t>
      </w:r>
      <w:proofErr w:type="spellEnd"/>
      <w:r w:rsidRPr="003A6DFC">
        <w:rPr>
          <w:rFonts w:ascii="Century" w:hAnsi="Century" w:cs="Times New Roman"/>
          <w:lang w:val="en-GB"/>
        </w:rPr>
        <w:t xml:space="preserve"> model which assumes an error components specification. This allows the error term to be decomposed into permanent and transitory components, but it is not robust to misspecification of the serial correlation. A random effect term </w:t>
      </w:r>
      <m:oMath>
        <m:r>
          <w:rPr>
            <w:rFonts w:ascii="Cambria Math" w:hAnsi="Cambria Math" w:cs="Times New Roman"/>
            <w:lang w:val="en-GB"/>
          </w:rPr>
          <m:t>(</m:t>
        </m:r>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i</m:t>
            </m:r>
          </m:sub>
        </m:sSub>
      </m:oMath>
      <w:r w:rsidRPr="003A6DFC">
        <w:rPr>
          <w:rFonts w:ascii="Century" w:hAnsi="Century" w:cs="Times New Roman"/>
          <w:lang w:val="en-GB"/>
        </w:rPr>
        <w:t>) is included</w:t>
      </w:r>
      <w:r w:rsidRPr="003A6DFC">
        <w:rPr>
          <w:rFonts w:ascii="Century" w:hAnsi="Century" w:cs="Times New Roman"/>
          <w:bCs/>
          <w:iCs/>
          <w:lang w:val="en-GB"/>
        </w:rPr>
        <w:t xml:space="preserve"> as part of the error structure, i.e., </w:t>
      </w:r>
      <m:oMath>
        <m:sSub>
          <m:sSubPr>
            <m:ctrlPr>
              <w:rPr>
                <w:rFonts w:ascii="Cambria Math" w:hAnsi="Cambria Math" w:cs="Times New Roman"/>
                <w:bCs/>
                <w:i/>
                <w:iCs/>
                <w:lang w:val="en-GB"/>
              </w:rPr>
            </m:ctrlPr>
          </m:sSubPr>
          <m:e>
            <m:r>
              <w:rPr>
                <w:rFonts w:ascii="Cambria Math" w:hAnsi="Cambria Math" w:cs="Times New Roman"/>
                <w:lang w:val="en-GB"/>
              </w:rPr>
              <m:t>u</m:t>
            </m:r>
          </m:e>
          <m:sub>
            <m:r>
              <w:rPr>
                <w:rFonts w:ascii="Cambria Math" w:hAnsi="Cambria Math" w:cs="Times New Roman"/>
                <w:lang w:val="en-GB"/>
              </w:rPr>
              <m:t>it</m:t>
            </m:r>
          </m:sub>
        </m:sSub>
        <m:r>
          <w:rPr>
            <w:rFonts w:ascii="Cambria Math" w:hAnsi="Cambria Math" w:cs="Times New Roman"/>
            <w:lang w:val="en-GB"/>
          </w:rPr>
          <m:t>=</m:t>
        </m:r>
        <m:sSub>
          <m:sSubPr>
            <m:ctrlPr>
              <w:rPr>
                <w:rFonts w:ascii="Cambria Math" w:hAnsi="Cambria Math" w:cs="Times New Roman"/>
                <w:bCs/>
                <w:i/>
                <w:iCs/>
                <w:lang w:val="en-GB"/>
              </w:rPr>
            </m:ctrlPr>
          </m:sSubPr>
          <m:e>
            <m:r>
              <w:rPr>
                <w:rFonts w:ascii="Cambria Math" w:hAnsi="Cambria Math" w:cs="Times New Roman"/>
                <w:lang w:val="en-GB"/>
              </w:rPr>
              <m:t>c</m:t>
            </m:r>
          </m:e>
          <m:sub>
            <m:r>
              <w:rPr>
                <w:rFonts w:ascii="Cambria Math" w:hAnsi="Cambria Math" w:cs="Times New Roman"/>
                <w:lang w:val="en-GB"/>
              </w:rPr>
              <m:t>i</m:t>
            </m:r>
          </m:sub>
        </m:sSub>
        <m:r>
          <w:rPr>
            <w:rFonts w:ascii="Cambria Math" w:hAnsi="Cambria Math" w:cs="Times New Roman"/>
            <w:lang w:val="en-GB"/>
          </w:rPr>
          <m:t>+</m:t>
        </m:r>
        <m:sSub>
          <m:sSubPr>
            <m:ctrlPr>
              <w:rPr>
                <w:rFonts w:ascii="Cambria Math" w:hAnsi="Cambria Math" w:cs="Times New Roman"/>
                <w:bCs/>
                <w:i/>
                <w:iCs/>
                <w:lang w:val="en-GB"/>
              </w:rPr>
            </m:ctrlPr>
          </m:sSubPr>
          <m:e>
            <m:r>
              <w:rPr>
                <w:rFonts w:ascii="Cambria Math" w:hAnsi="Cambria Math" w:cs="Times New Roman"/>
                <w:lang w:val="en-GB"/>
              </w:rPr>
              <m:t>e</m:t>
            </m:r>
          </m:e>
          <m:sub>
            <m:r>
              <w:rPr>
                <w:rFonts w:ascii="Cambria Math" w:hAnsi="Cambria Math" w:cs="Times New Roman"/>
                <w:lang w:val="en-GB"/>
              </w:rPr>
              <m:t>it</m:t>
            </m:r>
          </m:sub>
        </m:sSub>
      </m:oMath>
      <w:r w:rsidRPr="003A6DFC">
        <w:rPr>
          <w:rFonts w:ascii="Century" w:hAnsi="Century" w:cs="Times New Roman"/>
          <w:bCs/>
          <w:iCs/>
          <w:lang w:val="en-GB"/>
        </w:rPr>
        <w:t xml:space="preserve">. A random effects (RE) </w:t>
      </w:r>
      <w:proofErr w:type="spellStart"/>
      <w:r w:rsidRPr="003A6DFC">
        <w:rPr>
          <w:rFonts w:ascii="Century" w:hAnsi="Century" w:cs="Times New Roman"/>
          <w:bCs/>
          <w:iCs/>
          <w:lang w:val="en-GB"/>
        </w:rPr>
        <w:t>probit</w:t>
      </w:r>
      <w:proofErr w:type="spellEnd"/>
      <w:r w:rsidRPr="003A6DFC">
        <w:rPr>
          <w:rFonts w:ascii="Century" w:hAnsi="Century" w:cs="Times New Roman"/>
          <w:bCs/>
          <w:iCs/>
          <w:lang w:val="en-GB"/>
        </w:rPr>
        <w:t xml:space="preserve"> model can be the estimated as: </w:t>
      </w:r>
    </w:p>
    <w:p w14:paraId="093002DB" w14:textId="77777777" w:rsidR="0085139B" w:rsidRPr="003A6DFC" w:rsidRDefault="0085139B" w:rsidP="0085139B">
      <w:pPr>
        <w:spacing w:before="240" w:after="240" w:line="360" w:lineRule="auto"/>
        <w:ind w:left="709"/>
        <w:jc w:val="right"/>
        <w:rPr>
          <w:rFonts w:ascii="Century" w:hAnsi="Century" w:cs="Times New Roman"/>
          <w:lang w:val="en-GB"/>
        </w:rPr>
      </w:pPr>
      <m:oMath>
        <m:r>
          <m:rPr>
            <m:sty m:val="p"/>
          </m:rPr>
          <w:rPr>
            <w:rFonts w:ascii="Cambria Math" w:hAnsi="Cambria Math" w:cs="Times New Roman"/>
            <w:lang w:val="en-GB"/>
          </w:rPr>
          <w:lastRenderedPageBreak/>
          <m:t>Pr</m:t>
        </m:r>
        <m:d>
          <m:dPr>
            <m:ctrlPr>
              <w:rPr>
                <w:rFonts w:ascii="Cambria Math" w:hAnsi="Cambria Math" w:cs="Times New Roman"/>
                <w:lang w:val="en-GB"/>
              </w:rPr>
            </m:ctrlPr>
          </m:dPr>
          <m:e>
            <m:sSub>
              <m:sSubPr>
                <m:ctrlPr>
                  <w:rPr>
                    <w:rFonts w:ascii="Cambria Math" w:hAnsi="Cambria Math" w:cs="Times New Roman"/>
                    <w:lang w:val="en-GB"/>
                  </w:rPr>
                </m:ctrlPr>
              </m:sSubPr>
              <m:e>
                <m:r>
                  <w:rPr>
                    <w:rFonts w:ascii="Cambria Math" w:hAnsi="Cambria Math" w:cs="Times New Roman"/>
                    <w:lang w:val="en-GB"/>
                  </w:rPr>
                  <m:t>y</m:t>
                </m:r>
              </m:e>
              <m:sub>
                <m:r>
                  <w:rPr>
                    <w:rFonts w:ascii="Cambria Math" w:hAnsi="Cambria Math" w:cs="Times New Roman"/>
                    <w:lang w:val="en-GB"/>
                  </w:rPr>
                  <m:t>it</m:t>
                </m:r>
              </m:sub>
            </m:sSub>
            <m:r>
              <m:rPr>
                <m:sty m:val="p"/>
              </m:rPr>
              <w:rPr>
                <w:rFonts w:ascii="Cambria Math" w:hAnsi="Cambria Math" w:cs="Times New Roman"/>
                <w:lang w:val="en-GB"/>
              </w:rPr>
              <m:t>=1|</m:t>
            </m:r>
            <m:sSub>
              <m:sSubPr>
                <m:ctrlPr>
                  <w:rPr>
                    <w:rFonts w:ascii="Cambria Math" w:hAnsi="Cambria Math" w:cs="Times New Roman"/>
                    <w:lang w:val="en-GB"/>
                  </w:rPr>
                </m:ctrlPr>
              </m:sSubPr>
              <m:e>
                <m:r>
                  <w:rPr>
                    <w:rFonts w:ascii="Cambria Math" w:hAnsi="Cambria Math" w:cs="Times New Roman"/>
                    <w:lang w:val="en-GB"/>
                  </w:rPr>
                  <m:t>x</m:t>
                </m:r>
              </m:e>
              <m:sub>
                <m:r>
                  <w:rPr>
                    <w:rFonts w:ascii="Cambria Math" w:hAnsi="Cambria Math" w:cs="Times New Roman"/>
                    <w:lang w:val="en-GB"/>
                  </w:rPr>
                  <m:t>it</m:t>
                </m:r>
              </m:sub>
            </m:sSub>
            <m:r>
              <m:rPr>
                <m:sty m:val="p"/>
              </m:rPr>
              <w:rPr>
                <w:rFonts w:ascii="Cambria Math" w:hAnsi="Cambria Math" w:cs="Times New Roman"/>
                <w:lang w:val="en-GB"/>
              </w:rPr>
              <m:t>,</m:t>
            </m:r>
            <m:sSub>
              <m:sSubPr>
                <m:ctrlPr>
                  <w:rPr>
                    <w:rFonts w:ascii="Cambria Math" w:hAnsi="Cambria Math" w:cs="Times New Roman"/>
                    <w:lang w:val="en-GB"/>
                  </w:rPr>
                </m:ctrlPr>
              </m:sSubPr>
              <m:e>
                <m:r>
                  <w:rPr>
                    <w:rFonts w:ascii="Cambria Math" w:hAnsi="Cambria Math" w:cs="Times New Roman"/>
                    <w:lang w:val="en-GB"/>
                  </w:rPr>
                  <m:t>c</m:t>
                </m:r>
              </m:e>
              <m:sub>
                <m:r>
                  <w:rPr>
                    <w:rFonts w:ascii="Cambria Math" w:hAnsi="Cambria Math" w:cs="Times New Roman"/>
                    <w:lang w:val="en-GB"/>
                  </w:rPr>
                  <m:t>i</m:t>
                </m:r>
              </m:sub>
            </m:sSub>
          </m:e>
        </m:d>
        <m:r>
          <m:rPr>
            <m:sty m:val="p"/>
          </m:rPr>
          <w:rPr>
            <w:rFonts w:ascii="Cambria Math" w:hAnsi="Cambria Math" w:cs="Times New Roman"/>
            <w:lang w:val="en-GB"/>
          </w:rPr>
          <m:t>=Φ</m:t>
        </m:r>
        <m:d>
          <m:dPr>
            <m:ctrlPr>
              <w:rPr>
                <w:rFonts w:ascii="Cambria Math" w:hAnsi="Cambria Math" w:cs="Times New Roman"/>
                <w:lang w:val="en-GB"/>
              </w:rPr>
            </m:ctrlPr>
          </m:dPr>
          <m:e>
            <m:sSub>
              <m:sSubPr>
                <m:ctrlPr>
                  <w:rPr>
                    <w:rFonts w:ascii="Cambria Math" w:hAnsi="Cambria Math" w:cs="Times New Roman"/>
                    <w:lang w:val="en-GB"/>
                  </w:rPr>
                </m:ctrlPr>
              </m:sSubPr>
              <m:e>
                <m:r>
                  <w:rPr>
                    <w:rFonts w:ascii="Cambria Math" w:hAnsi="Cambria Math" w:cs="Times New Roman"/>
                    <w:lang w:val="en-GB"/>
                  </w:rPr>
                  <m:t>x</m:t>
                </m:r>
              </m:e>
              <m:sub>
                <m:r>
                  <w:rPr>
                    <w:rFonts w:ascii="Cambria Math" w:hAnsi="Cambria Math" w:cs="Times New Roman"/>
                    <w:lang w:val="en-GB"/>
                  </w:rPr>
                  <m:t>it</m:t>
                </m:r>
              </m:sub>
            </m:sSub>
            <m:sSub>
              <m:sSubPr>
                <m:ctrlPr>
                  <w:rPr>
                    <w:rFonts w:ascii="Cambria Math" w:hAnsi="Cambria Math" w:cs="Times New Roman"/>
                    <w:i/>
                    <w:lang w:val="en-GB"/>
                  </w:rPr>
                </m:ctrlPr>
              </m:sSubPr>
              <m:e>
                <m:r>
                  <w:rPr>
                    <w:rFonts w:ascii="Cambria Math" w:hAnsi="Cambria Math" w:cs="Times New Roman"/>
                    <w:lang w:val="en-GB"/>
                  </w:rPr>
                  <m:t>γ</m:t>
                </m:r>
              </m:e>
              <m:sub>
                <m:r>
                  <w:rPr>
                    <w:rFonts w:ascii="Cambria Math" w:hAnsi="Cambria Math" w:cs="Times New Roman"/>
                    <w:lang w:val="en-GB"/>
                  </w:rPr>
                  <m:t>c</m:t>
                </m:r>
              </m:sub>
            </m:sSub>
            <m:r>
              <m:rPr>
                <m:sty m:val="p"/>
              </m:rPr>
              <w:rPr>
                <w:rFonts w:ascii="Cambria Math" w:hAnsi="Cambria Math" w:cs="Times New Roman"/>
                <w:lang w:val="en-GB"/>
              </w:rPr>
              <m:t>+</m:t>
            </m:r>
            <m:sSub>
              <m:sSubPr>
                <m:ctrlPr>
                  <w:rPr>
                    <w:rFonts w:ascii="Cambria Math" w:hAnsi="Cambria Math" w:cs="Times New Roman"/>
                    <w:lang w:val="en-GB"/>
                  </w:rPr>
                </m:ctrlPr>
              </m:sSubPr>
              <m:e>
                <m:r>
                  <w:rPr>
                    <w:rFonts w:ascii="Cambria Math" w:hAnsi="Cambria Math" w:cs="Times New Roman"/>
                    <w:lang w:val="en-GB"/>
                  </w:rPr>
                  <m:t>c</m:t>
                </m:r>
              </m:e>
              <m:sub>
                <m:r>
                  <w:rPr>
                    <w:rFonts w:ascii="Cambria Math" w:hAnsi="Cambria Math" w:cs="Times New Roman"/>
                    <w:lang w:val="en-GB"/>
                  </w:rPr>
                  <m:t>i</m:t>
                </m:r>
              </m:sub>
            </m:sSub>
          </m:e>
        </m:d>
      </m:oMath>
      <w:r w:rsidRPr="003A6DFC">
        <w:rPr>
          <w:rFonts w:ascii="Century" w:hAnsi="Century" w:cs="Times New Roman"/>
          <w:lang w:val="en-GB"/>
        </w:rPr>
        <w:t>.</w:t>
      </w:r>
      <w:r w:rsidRPr="003A6DFC">
        <w:rPr>
          <w:rFonts w:ascii="Century" w:hAnsi="Century" w:cs="Times New Roman"/>
          <w:lang w:val="en-GB"/>
        </w:rPr>
        <w:tab/>
      </w:r>
      <w:r w:rsidRPr="003A6DFC">
        <w:rPr>
          <w:rFonts w:ascii="Century" w:hAnsi="Century" w:cs="Times New Roman"/>
          <w:lang w:val="en-GB"/>
        </w:rPr>
        <w:tab/>
      </w:r>
      <w:r w:rsidRPr="003A6DFC">
        <w:rPr>
          <w:rFonts w:ascii="Century" w:hAnsi="Century" w:cs="Times New Roman"/>
          <w:lang w:val="en-GB"/>
        </w:rPr>
        <w:tab/>
      </w:r>
      <w:r w:rsidRPr="003A6DFC">
        <w:rPr>
          <w:rFonts w:ascii="Century" w:hAnsi="Century" w:cs="Times New Roman"/>
          <w:lang w:val="en-GB"/>
        </w:rPr>
        <w:tab/>
        <w:t xml:space="preserve">       (2)</w:t>
      </w:r>
    </w:p>
    <w:p w14:paraId="11EA415D" w14:textId="4C038271" w:rsidR="0085139B" w:rsidRPr="003A6DFC" w:rsidRDefault="0085139B" w:rsidP="0085139B">
      <w:pPr>
        <w:spacing w:after="0" w:line="360" w:lineRule="auto"/>
        <w:jc w:val="both"/>
        <w:rPr>
          <w:rFonts w:ascii="Century" w:hAnsi="Century" w:cs="Times New Roman"/>
          <w:bCs/>
          <w:lang w:val="en-GB"/>
        </w:rPr>
      </w:pPr>
      <w:r w:rsidRPr="003A6DFC">
        <w:rPr>
          <w:rFonts w:ascii="Century" w:hAnsi="Century" w:cs="Times New Roman"/>
          <w:bCs/>
          <w:iCs/>
          <w:lang w:val="en-GB"/>
        </w:rPr>
        <w:t xml:space="preserve">where the underlying latent variable model is given by </w:t>
      </w:r>
      <m:oMath>
        <m:sSubSup>
          <m:sSubSupPr>
            <m:ctrlPr>
              <w:rPr>
                <w:rFonts w:ascii="Cambria Math" w:hAnsi="Cambria Math" w:cs="Times New Roman"/>
                <w:bCs/>
                <w:i/>
                <w:iCs/>
                <w:lang w:val="en-GB"/>
              </w:rPr>
            </m:ctrlPr>
          </m:sSubSupPr>
          <m:e>
            <m:r>
              <w:rPr>
                <w:rFonts w:ascii="Cambria Math" w:hAnsi="Cambria Math" w:cs="Times New Roman"/>
                <w:lang w:val="en-GB"/>
              </w:rPr>
              <m:t>y</m:t>
            </m:r>
          </m:e>
          <m:sub>
            <m:r>
              <w:rPr>
                <w:rFonts w:ascii="Cambria Math" w:hAnsi="Cambria Math" w:cs="Times New Roman"/>
                <w:lang w:val="en-GB"/>
              </w:rPr>
              <m:t>it</m:t>
            </m:r>
          </m:sub>
          <m:sup>
            <m:r>
              <w:rPr>
                <w:rFonts w:ascii="Cambria Math" w:hAnsi="Cambria Math" w:cs="Times New Roman"/>
                <w:lang w:val="en-GB"/>
              </w:rPr>
              <m:t>*</m:t>
            </m:r>
          </m:sup>
        </m:sSubSup>
        <m:r>
          <w:rPr>
            <w:rFonts w:ascii="Cambria Math" w:hAnsi="Cambria Math" w:cs="Times New Roman"/>
            <w:lang w:val="en-GB"/>
          </w:rPr>
          <m:t>=</m:t>
        </m:r>
        <m:sSub>
          <m:sSubPr>
            <m:ctrlPr>
              <w:rPr>
                <w:rFonts w:ascii="Cambria Math" w:hAnsi="Cambria Math" w:cs="Times New Roman"/>
                <w:bCs/>
                <w:i/>
                <w:iCs/>
                <w:lang w:val="en-GB"/>
              </w:rPr>
            </m:ctrlPr>
          </m:sSubPr>
          <m:e>
            <m:r>
              <w:rPr>
                <w:rFonts w:ascii="Cambria Math" w:hAnsi="Cambria Math" w:cs="Times New Roman"/>
                <w:lang w:val="en-GB"/>
              </w:rPr>
              <m:t>x</m:t>
            </m:r>
          </m:e>
          <m:sub>
            <m:r>
              <w:rPr>
                <w:rFonts w:ascii="Cambria Math" w:hAnsi="Cambria Math" w:cs="Times New Roman"/>
                <w:lang w:val="en-GB"/>
              </w:rPr>
              <m:t>it</m:t>
            </m:r>
          </m:sub>
        </m:sSub>
        <m:sSub>
          <m:sSubPr>
            <m:ctrlPr>
              <w:rPr>
                <w:rFonts w:ascii="Cambria Math" w:hAnsi="Cambria Math" w:cs="Times New Roman"/>
                <w:bCs/>
                <w:i/>
                <w:iCs/>
                <w:lang w:val="en-GB"/>
              </w:rPr>
            </m:ctrlPr>
          </m:sSubPr>
          <m:e>
            <m:r>
              <w:rPr>
                <w:rFonts w:ascii="Cambria Math" w:hAnsi="Cambria Math" w:cs="Times New Roman"/>
                <w:lang w:val="en-GB"/>
              </w:rPr>
              <m:t>γ</m:t>
            </m:r>
          </m:e>
          <m:sub>
            <m:r>
              <w:rPr>
                <w:rFonts w:ascii="Cambria Math" w:hAnsi="Cambria Math" w:cs="Times New Roman"/>
                <w:lang w:val="en-GB"/>
              </w:rPr>
              <m:t>c</m:t>
            </m:r>
          </m:sub>
        </m:sSub>
        <m:r>
          <w:rPr>
            <w:rFonts w:ascii="Cambria Math" w:hAnsi="Cambria Math" w:cs="Times New Roman"/>
            <w:lang w:val="en-GB"/>
          </w:rPr>
          <m:t>+</m:t>
        </m:r>
        <m:sSub>
          <m:sSubPr>
            <m:ctrlPr>
              <w:rPr>
                <w:rFonts w:ascii="Cambria Math" w:hAnsi="Cambria Math" w:cs="Times New Roman"/>
                <w:bCs/>
                <w:i/>
                <w:iCs/>
                <w:lang w:val="en-GB"/>
              </w:rPr>
            </m:ctrlPr>
          </m:sSubPr>
          <m:e>
            <m:r>
              <w:rPr>
                <w:rFonts w:ascii="Cambria Math" w:hAnsi="Cambria Math" w:cs="Times New Roman"/>
                <w:lang w:val="en-GB"/>
              </w:rPr>
              <m:t>u</m:t>
            </m:r>
          </m:e>
          <m:sub>
            <m:r>
              <w:rPr>
                <w:rFonts w:ascii="Cambria Math" w:hAnsi="Cambria Math" w:cs="Times New Roman"/>
                <w:lang w:val="en-GB"/>
              </w:rPr>
              <m:t>it</m:t>
            </m:r>
          </m:sub>
        </m:sSub>
      </m:oMath>
      <w:r w:rsidRPr="003A6DFC">
        <w:rPr>
          <w:rFonts w:ascii="Century" w:hAnsi="Century" w:cs="Times New Roman"/>
          <w:bCs/>
          <w:iCs/>
          <w:lang w:val="en-GB"/>
        </w:rPr>
        <w:t xml:space="preserve">, with </w:t>
      </w:r>
      <m:oMath>
        <m:sSub>
          <m:sSubPr>
            <m:ctrlPr>
              <w:rPr>
                <w:rFonts w:ascii="Cambria Math" w:hAnsi="Cambria Math" w:cs="Times New Roman"/>
                <w:bCs/>
                <w:i/>
                <w:iCs/>
                <w:lang w:val="en-GB"/>
              </w:rPr>
            </m:ctrlPr>
          </m:sSubPr>
          <m:e>
            <m:r>
              <w:rPr>
                <w:rFonts w:ascii="Cambria Math" w:hAnsi="Cambria Math" w:cs="Times New Roman"/>
                <w:lang w:val="en-GB"/>
              </w:rPr>
              <m:t>y</m:t>
            </m:r>
          </m:e>
          <m:sub>
            <m:r>
              <w:rPr>
                <w:rFonts w:ascii="Cambria Math" w:hAnsi="Cambria Math" w:cs="Times New Roman"/>
                <w:lang w:val="en-GB"/>
              </w:rPr>
              <m:t>it</m:t>
            </m:r>
          </m:sub>
        </m:sSub>
        <m:r>
          <w:rPr>
            <w:rFonts w:ascii="Cambria Math" w:hAnsi="Cambria Math" w:cs="Times New Roman"/>
            <w:lang w:val="en-GB"/>
          </w:rPr>
          <m:t>=1</m:t>
        </m:r>
        <m:d>
          <m:dPr>
            <m:begChr m:val="["/>
            <m:endChr m:val="]"/>
            <m:ctrlPr>
              <w:rPr>
                <w:rFonts w:ascii="Cambria Math" w:hAnsi="Cambria Math" w:cs="Times New Roman"/>
                <w:bCs/>
                <w:i/>
                <w:iCs/>
                <w:lang w:val="en-GB"/>
              </w:rPr>
            </m:ctrlPr>
          </m:dPr>
          <m:e>
            <m:sSubSup>
              <m:sSubSupPr>
                <m:ctrlPr>
                  <w:rPr>
                    <w:rFonts w:ascii="Cambria Math" w:hAnsi="Cambria Math" w:cs="Times New Roman"/>
                    <w:bCs/>
                    <w:i/>
                    <w:iCs/>
                    <w:lang w:val="en-GB"/>
                  </w:rPr>
                </m:ctrlPr>
              </m:sSubSupPr>
              <m:e>
                <m:r>
                  <w:rPr>
                    <w:rFonts w:ascii="Cambria Math" w:hAnsi="Cambria Math" w:cs="Times New Roman"/>
                    <w:lang w:val="en-GB"/>
                  </w:rPr>
                  <m:t>y</m:t>
                </m:r>
              </m:e>
              <m:sub>
                <m:r>
                  <w:rPr>
                    <w:rFonts w:ascii="Cambria Math" w:hAnsi="Cambria Math" w:cs="Times New Roman"/>
                    <w:lang w:val="en-GB"/>
                  </w:rPr>
                  <m:t>it</m:t>
                </m:r>
              </m:sub>
              <m:sup>
                <m:r>
                  <w:rPr>
                    <w:rFonts w:ascii="Cambria Math" w:hAnsi="Cambria Math" w:cs="Times New Roman"/>
                    <w:lang w:val="en-GB"/>
                  </w:rPr>
                  <m:t>*</m:t>
                </m:r>
              </m:sup>
            </m:sSubSup>
            <m:r>
              <w:rPr>
                <w:rFonts w:ascii="Cambria Math" w:hAnsi="Cambria Math" w:cs="Times New Roman"/>
                <w:lang w:val="en-GB"/>
              </w:rPr>
              <m:t>&gt;0</m:t>
            </m:r>
          </m:e>
        </m:d>
      </m:oMath>
      <w:r w:rsidRPr="003A6DFC">
        <w:rPr>
          <w:rFonts w:ascii="Century" w:hAnsi="Century" w:cs="Times New Roman"/>
          <w:bCs/>
          <w:iCs/>
          <w:lang w:val="en-GB"/>
        </w:rPr>
        <w:t xml:space="preserve">. The terms </w:t>
      </w:r>
      <m:oMath>
        <m:sSub>
          <m:sSubPr>
            <m:ctrlPr>
              <w:rPr>
                <w:rFonts w:ascii="Cambria Math" w:hAnsi="Cambria Math" w:cs="Times New Roman"/>
                <w:i/>
                <w:lang w:val="en-GB"/>
              </w:rPr>
            </m:ctrlPr>
          </m:sSubPr>
          <m:e>
            <m:r>
              <w:rPr>
                <w:rFonts w:ascii="Cambria Math" w:hAnsi="Cambria Math" w:cs="Times New Roman"/>
                <w:lang w:val="en-GB"/>
              </w:rPr>
              <m:t>c</m:t>
            </m:r>
          </m:e>
          <m:sub>
            <m:r>
              <w:rPr>
                <w:rFonts w:ascii="Cambria Math" w:hAnsi="Cambria Math" w:cs="Times New Roman"/>
                <w:lang w:val="en-GB"/>
              </w:rPr>
              <m:t>i</m:t>
            </m:r>
          </m:sub>
        </m:sSub>
      </m:oMath>
      <w:r w:rsidRPr="003A6DFC">
        <w:rPr>
          <w:rFonts w:ascii="Century" w:hAnsi="Century" w:cs="Times New Roman"/>
          <w:bCs/>
          <w:iCs/>
          <w:lang w:val="en-GB"/>
        </w:rPr>
        <w:t xml:space="preserve"> and </w:t>
      </w:r>
      <m:oMath>
        <m:sSub>
          <m:sSubPr>
            <m:ctrlPr>
              <w:rPr>
                <w:rFonts w:ascii="Cambria Math" w:hAnsi="Cambria Math" w:cs="Times New Roman"/>
                <w:i/>
                <w:lang w:val="en-GB"/>
              </w:rPr>
            </m:ctrlPr>
          </m:sSubPr>
          <m:e>
            <m:r>
              <w:rPr>
                <w:rFonts w:ascii="Cambria Math" w:hAnsi="Cambria Math" w:cs="Times New Roman"/>
                <w:lang w:val="en-GB"/>
              </w:rPr>
              <m:t>e</m:t>
            </m:r>
          </m:e>
          <m:sub>
            <m:r>
              <w:rPr>
                <w:rFonts w:ascii="Cambria Math" w:hAnsi="Cambria Math" w:cs="Times New Roman"/>
                <w:lang w:val="en-GB"/>
              </w:rPr>
              <m:t>it</m:t>
            </m:r>
          </m:sub>
        </m:sSub>
      </m:oMath>
      <w:r w:rsidRPr="003A6DFC">
        <w:rPr>
          <w:rFonts w:ascii="Century" w:hAnsi="Century" w:cs="Times New Roman"/>
          <w:bCs/>
          <w:iCs/>
          <w:lang w:val="en-GB"/>
        </w:rPr>
        <w:t xml:space="preserve"> are assumed to be normally distributed and independent of </w:t>
      </w:r>
      <m:oMath>
        <m:sSub>
          <m:sSubPr>
            <m:ctrlPr>
              <w:rPr>
                <w:rFonts w:ascii="Cambria Math" w:hAnsi="Cambria Math" w:cs="Times New Roman"/>
                <w:i/>
                <w:lang w:val="en-GB"/>
              </w:rPr>
            </m:ctrlPr>
          </m:sSubPr>
          <m:e>
            <m:r>
              <w:rPr>
                <w:rFonts w:ascii="Cambria Math" w:hAnsi="Cambria Math" w:cs="Times New Roman"/>
                <w:lang w:val="en-GB"/>
              </w:rPr>
              <m:t>x</m:t>
            </m:r>
          </m:e>
          <m:sub>
            <m:r>
              <w:rPr>
                <w:rFonts w:ascii="Cambria Math" w:hAnsi="Cambria Math" w:cs="Times New Roman"/>
                <w:lang w:val="en-GB"/>
              </w:rPr>
              <m:t>it</m:t>
            </m:r>
          </m:sub>
        </m:sSub>
        <m:r>
          <w:rPr>
            <w:rFonts w:ascii="Cambria Math" w:hAnsi="Cambria Math" w:cs="Times New Roman"/>
            <w:lang w:val="en-GB"/>
          </w:rPr>
          <m:t xml:space="preserve"> </m:t>
        </m:r>
      </m:oMath>
      <w:r w:rsidRPr="003A6DFC">
        <w:rPr>
          <w:rFonts w:ascii="Century" w:hAnsi="Century" w:cs="Times New Roman"/>
          <w:lang w:val="en-GB"/>
        </w:rPr>
        <w:t xml:space="preserve"> and </w:t>
      </w:r>
      <w:r w:rsidRPr="003A6DFC">
        <w:rPr>
          <w:rFonts w:ascii="Century" w:hAnsi="Century"/>
          <w:lang w:val="en-GB"/>
        </w:rPr>
        <w:t>of each other</w:t>
      </w:r>
      <w:r w:rsidRPr="003A6DFC">
        <w:rPr>
          <w:lang w:val="en-GB"/>
        </w:rPr>
        <w:t>.</w:t>
      </w:r>
      <w:r w:rsidRPr="003A6DFC">
        <w:rPr>
          <w:rFonts w:ascii="Century" w:hAnsi="Century" w:cs="Times New Roman"/>
          <w:lang w:val="en-GB"/>
        </w:rPr>
        <w:t xml:space="preserve"> Conventional maximum likelihood estimation (MLE) methods,</w:t>
      </w:r>
      <w:r w:rsidRPr="003A6DFC">
        <w:rPr>
          <w:rFonts w:ascii="Century" w:hAnsi="Century"/>
          <w:lang w:val="en-GB"/>
        </w:rPr>
        <w:t xml:space="preserve"> alongside the Gaussian quadrature procedure,</w:t>
      </w:r>
      <w:r w:rsidRPr="003A6DFC">
        <w:rPr>
          <w:rFonts w:ascii="Century" w:hAnsi="Century" w:cs="Times New Roman"/>
          <w:lang w:val="en-GB"/>
        </w:rPr>
        <w:t xml:space="preserve"> can be then used for the consistent </w:t>
      </w:r>
      <w:r w:rsidRPr="003A6DFC">
        <w:rPr>
          <w:rFonts w:ascii="Century" w:hAnsi="Century" w:cs="Times New Roman"/>
          <w:bCs/>
          <w:iCs/>
          <w:lang w:val="en-GB"/>
        </w:rPr>
        <w:t xml:space="preserve">estimation of the explanatory variable coefficients </w:t>
      </w:r>
      <m:oMath>
        <m:sSub>
          <m:sSubPr>
            <m:ctrlPr>
              <w:rPr>
                <w:rFonts w:ascii="Cambria Math" w:hAnsi="Cambria Math" w:cs="Times New Roman"/>
                <w:i/>
                <w:lang w:val="en-GB"/>
              </w:rPr>
            </m:ctrlPr>
          </m:sSubPr>
          <m:e>
            <m:r>
              <w:rPr>
                <w:rFonts w:ascii="Cambria Math" w:hAnsi="Cambria Math" w:cs="Times New Roman"/>
                <w:lang w:val="en-GB"/>
              </w:rPr>
              <m:t>γ</m:t>
            </m:r>
          </m:e>
          <m:sub>
            <m:r>
              <w:rPr>
                <w:rFonts w:ascii="Cambria Math" w:hAnsi="Cambria Math" w:cs="Times New Roman"/>
                <w:lang w:val="en-GB"/>
              </w:rPr>
              <m:t>c</m:t>
            </m:r>
          </m:sub>
        </m:sSub>
      </m:oMath>
      <w:r w:rsidRPr="003A6DFC">
        <w:rPr>
          <w:rFonts w:ascii="Century" w:hAnsi="Century" w:cs="Times New Roman"/>
          <w:bCs/>
          <w:iCs/>
          <w:lang w:val="en-GB"/>
        </w:rPr>
        <w:t xml:space="preserve"> and the variance of unobserved heterogeneity </w:t>
      </w:r>
      <m:oMath>
        <m:sSubSup>
          <m:sSubSupPr>
            <m:ctrlPr>
              <w:rPr>
                <w:rFonts w:ascii="Cambria Math" w:hAnsi="Cambria Math" w:cs="Times New Roman"/>
                <w:bCs/>
                <w:iCs/>
                <w:lang w:val="en-GB"/>
              </w:rPr>
            </m:ctrlPr>
          </m:sSubSupPr>
          <m:e>
            <m:r>
              <w:rPr>
                <w:rFonts w:ascii="Cambria Math" w:hAnsi="Cambria Math" w:cs="Times New Roman"/>
                <w:lang w:val="en-GB"/>
              </w:rPr>
              <m:t>σ</m:t>
            </m:r>
          </m:e>
          <m:sub>
            <m:r>
              <w:rPr>
                <w:rFonts w:ascii="Cambria Math" w:hAnsi="Cambria Math" w:cs="Times New Roman"/>
                <w:lang w:val="en-GB"/>
              </w:rPr>
              <m:t>c</m:t>
            </m:r>
          </m:sub>
          <m:sup>
            <m:r>
              <m:rPr>
                <m:sty m:val="p"/>
              </m:rPr>
              <w:rPr>
                <w:rFonts w:ascii="Cambria Math" w:hAnsi="Cambria Math" w:cs="Times New Roman"/>
                <w:lang w:val="en-GB"/>
              </w:rPr>
              <m:t>2</m:t>
            </m:r>
          </m:sup>
        </m:sSubSup>
      </m:oMath>
      <w:r w:rsidRPr="003A6DFC">
        <w:rPr>
          <w:rFonts w:ascii="Century" w:hAnsi="Century" w:cs="Times New Roman"/>
          <w:bCs/>
          <w:iCs/>
          <w:lang w:val="en-GB"/>
        </w:rPr>
        <w:t xml:space="preserve"> (Butler and Moffitt, 1982; Greene, 2003; </w:t>
      </w:r>
      <w:r w:rsidRPr="003A6DFC">
        <w:rPr>
          <w:rFonts w:ascii="Century" w:hAnsi="Century" w:cs="Times New Roman"/>
          <w:lang w:val="en-GB"/>
        </w:rPr>
        <w:t>Wooldridge, 2002).</w:t>
      </w:r>
      <w:r w:rsidRPr="003A6DFC">
        <w:rPr>
          <w:rStyle w:val="Refdenotaderodap"/>
          <w:rFonts w:ascii="Century" w:hAnsi="Century" w:cs="Times New Roman"/>
          <w:lang w:val="en-GB"/>
        </w:rPr>
        <w:footnoteReference w:id="9"/>
      </w:r>
      <w:r w:rsidRPr="003A6DFC">
        <w:rPr>
          <w:rFonts w:ascii="Century" w:hAnsi="Century" w:cs="Times New Roman"/>
          <w:lang w:val="en-GB"/>
        </w:rPr>
        <w:t xml:space="preserve"> The Average marginal effects are estimated for the pooled and random effects models, with</w:t>
      </w:r>
      <w:r w:rsidRPr="003A6DFC">
        <w:rPr>
          <w:rFonts w:ascii="Century" w:hAnsi="Century" w:cs="Times New Roman"/>
          <w:bCs/>
          <w:lang w:val="en-GB"/>
        </w:rPr>
        <w:t xml:space="preserve"> standard errors estimated using the delta method (Wooldridge, 2005).</w:t>
      </w:r>
      <w:r w:rsidR="0077409B" w:rsidRPr="003A6DFC">
        <w:rPr>
          <w:rStyle w:val="Refdenotaderodap"/>
          <w:rFonts w:ascii="Century" w:hAnsi="Century" w:cs="Times New Roman"/>
          <w:bCs/>
          <w:lang w:val="en-GB"/>
        </w:rPr>
        <w:footnoteReference w:id="10"/>
      </w:r>
      <w:r w:rsidRPr="003A6DFC">
        <w:rPr>
          <w:rFonts w:ascii="Century" w:hAnsi="Century" w:cs="Times New Roman"/>
          <w:bCs/>
          <w:lang w:val="en-GB"/>
        </w:rPr>
        <w:t xml:space="preserve">  </w:t>
      </w:r>
    </w:p>
    <w:p w14:paraId="2B799C13" w14:textId="4F71B83C" w:rsidR="005666A8" w:rsidRPr="003A6DFC" w:rsidRDefault="005666A8" w:rsidP="00017049">
      <w:pPr>
        <w:spacing w:after="0" w:line="360" w:lineRule="auto"/>
        <w:jc w:val="both"/>
        <w:rPr>
          <w:rFonts w:ascii="Century" w:hAnsi="Century" w:cs="Times New Roman"/>
          <w:bCs/>
          <w:lang w:val="en-GB"/>
        </w:rPr>
      </w:pPr>
    </w:p>
    <w:p w14:paraId="17895AC7" w14:textId="77777777" w:rsidR="00AB1FB2" w:rsidRPr="003A6DFC" w:rsidRDefault="00AB1FB2" w:rsidP="00AB1FB2">
      <w:pPr>
        <w:spacing w:after="0" w:line="360" w:lineRule="auto"/>
        <w:jc w:val="both"/>
        <w:rPr>
          <w:rFonts w:ascii="Century" w:hAnsi="Century" w:cs="Times New Roman"/>
          <w:b/>
          <w:i/>
          <w:iCs/>
          <w:lang w:val="en-GB"/>
        </w:rPr>
      </w:pPr>
      <w:r w:rsidRPr="003A6DFC">
        <w:rPr>
          <w:rFonts w:ascii="Century" w:hAnsi="Century" w:cs="Times New Roman"/>
          <w:b/>
          <w:i/>
          <w:iCs/>
          <w:lang w:val="en-GB"/>
        </w:rPr>
        <w:t xml:space="preserve">Fractional response model for the frequency of the inconsistent reporting  </w:t>
      </w:r>
    </w:p>
    <w:p w14:paraId="0B6C4D47" w14:textId="77777777" w:rsidR="00AB1FB2" w:rsidRPr="003A6DFC" w:rsidRDefault="00AB1FB2" w:rsidP="00AB1FB2">
      <w:pPr>
        <w:spacing w:after="0" w:line="360" w:lineRule="auto"/>
        <w:jc w:val="both"/>
        <w:rPr>
          <w:rFonts w:ascii="Century" w:hAnsi="Century" w:cs="Times New Roman"/>
          <w:bCs/>
          <w:lang w:val="en-GB"/>
        </w:rPr>
      </w:pPr>
      <w:r w:rsidRPr="003A6DFC">
        <w:rPr>
          <w:rFonts w:ascii="Century" w:hAnsi="Century" w:cs="Times New Roman"/>
          <w:bCs/>
          <w:lang w:val="en-GB"/>
        </w:rPr>
        <w:t xml:space="preserve">We analyse the profile of those who reporting inconsistently more frequently than others over the four waves available. The frequency of inconsistent SAH responses is defined by the number of waves in which the </w:t>
      </w:r>
      <m:oMath>
        <m:r>
          <w:rPr>
            <w:rFonts w:ascii="Cambria Math" w:hAnsi="Cambria Math" w:cs="Times New Roman"/>
            <w:lang w:val="en-GB"/>
          </w:rPr>
          <m:t>(</m:t>
        </m:r>
        <m:sSub>
          <m:sSubPr>
            <m:ctrlPr>
              <w:rPr>
                <w:rFonts w:ascii="Cambria Math" w:hAnsi="Cambria Math" w:cs="Times New Roman"/>
                <w:bCs/>
                <w:i/>
                <w:iCs/>
                <w:lang w:val="en-GB"/>
              </w:rPr>
            </m:ctrlPr>
          </m:sSubPr>
          <m:e>
            <m:r>
              <w:rPr>
                <w:rFonts w:ascii="Cambria Math" w:hAnsi="Cambria Math" w:cs="Times New Roman"/>
                <w:lang w:val="en-GB"/>
              </w:rPr>
              <m:t>H</m:t>
            </m:r>
          </m:e>
          <m:sub>
            <m:r>
              <w:rPr>
                <w:rFonts w:ascii="Cambria Math" w:hAnsi="Cambria Math" w:cs="Times New Roman"/>
                <w:lang w:val="en-GB"/>
              </w:rPr>
              <m:t>sc</m:t>
            </m:r>
          </m:sub>
        </m:sSub>
        <m:r>
          <w:rPr>
            <w:rFonts w:ascii="Cambria Math" w:hAnsi="Cambria Math" w:cs="Times New Roman"/>
            <w:lang w:val="en-GB"/>
          </w:rPr>
          <m:t>)</m:t>
        </m:r>
      </m:oMath>
      <w:r w:rsidRPr="003A6DFC">
        <w:rPr>
          <w:rFonts w:ascii="Century" w:hAnsi="Century" w:cs="Times New Roman"/>
          <w:lang w:val="en-GB"/>
        </w:rPr>
        <w:t xml:space="preserve"> differs from </w:t>
      </w:r>
      <m:oMath>
        <m:d>
          <m:dPr>
            <m:ctrlPr>
              <w:rPr>
                <w:rFonts w:ascii="Cambria Math" w:hAnsi="Cambria Math" w:cs="Times New Roman"/>
                <w:i/>
                <w:lang w:val="en-GB"/>
              </w:rPr>
            </m:ctrlPr>
          </m:dPr>
          <m:e>
            <m:sSub>
              <m:sSubPr>
                <m:ctrlPr>
                  <w:rPr>
                    <w:rFonts w:ascii="Cambria Math" w:hAnsi="Cambria Math" w:cs="Times New Roman"/>
                    <w:bCs/>
                    <w:i/>
                    <w:iCs/>
                    <w:lang w:val="en-GB"/>
                  </w:rPr>
                </m:ctrlPr>
              </m:sSubPr>
              <m:e>
                <m:r>
                  <w:rPr>
                    <w:rFonts w:ascii="Cambria Math" w:hAnsi="Cambria Math" w:cs="Times New Roman"/>
                    <w:lang w:val="en-GB"/>
                  </w:rPr>
                  <m:t>H</m:t>
                </m:r>
              </m:e>
              <m:sub>
                <m:r>
                  <w:rPr>
                    <w:rFonts w:ascii="Cambria Math" w:hAnsi="Cambria Math" w:cs="Times New Roman"/>
                    <w:lang w:val="en-GB"/>
                  </w:rPr>
                  <m:t>OI</m:t>
                </m:r>
              </m:sub>
            </m:sSub>
          </m:e>
        </m:d>
      </m:oMath>
      <w:r w:rsidRPr="003A6DFC">
        <w:rPr>
          <w:rFonts w:ascii="Century" w:hAnsi="Century" w:cs="Times New Roman"/>
          <w:lang w:val="en-GB"/>
        </w:rPr>
        <w:t xml:space="preserve">. </w:t>
      </w:r>
      <w:r w:rsidRPr="003A6DFC">
        <w:rPr>
          <w:rFonts w:ascii="Century" w:hAnsi="Century" w:cs="Times New Roman"/>
          <w:bCs/>
          <w:lang w:val="en-GB"/>
        </w:rPr>
        <w:t xml:space="preserve">Our dependent variable is defined as the fraction of waves with inconsistent responses to SAH questions relative to total number of waves available in our dataset (4 waves); values of the resulting dependent variable lie in the interval </w:t>
      </w:r>
      <m:oMath>
        <m:d>
          <m:dPr>
            <m:begChr m:val="["/>
            <m:endChr m:val="]"/>
            <m:ctrlPr>
              <w:rPr>
                <w:rFonts w:ascii="Cambria Math" w:hAnsi="Cambria Math" w:cs="Times New Roman"/>
                <w:bCs/>
                <w:i/>
                <w:lang w:val="en-GB"/>
              </w:rPr>
            </m:ctrlPr>
          </m:dPr>
          <m:e>
            <m:r>
              <w:rPr>
                <w:rFonts w:ascii="Cambria Math" w:hAnsi="Cambria Math" w:cs="Times New Roman"/>
                <w:lang w:val="en-GB"/>
              </w:rPr>
              <m:t>0,1</m:t>
            </m:r>
          </m:e>
        </m:d>
      </m:oMath>
      <w:r w:rsidRPr="003A6DFC">
        <w:rPr>
          <w:rFonts w:ascii="Century" w:hAnsi="Century" w:cs="Times New Roman"/>
          <w:bCs/>
          <w:lang w:val="en-GB"/>
        </w:rPr>
        <w:t xml:space="preserve">. This outcome variable is modelled using a cross sectional fractional response model using explanatory variables from baseline (Wave 2 or Wave 3 for the cognitive and non-cognitive measures). </w:t>
      </w:r>
    </w:p>
    <w:p w14:paraId="54DD4D1F" w14:textId="77777777" w:rsidR="00AB1FB2" w:rsidRPr="003A6DFC" w:rsidRDefault="00AB1FB2" w:rsidP="00AB1FB2">
      <w:pPr>
        <w:spacing w:after="0" w:line="360" w:lineRule="auto"/>
        <w:jc w:val="both"/>
        <w:rPr>
          <w:rFonts w:ascii="Century" w:hAnsi="Century" w:cs="Times New Roman"/>
          <w:bCs/>
          <w:lang w:val="en-GB"/>
        </w:rPr>
      </w:pPr>
      <w:r w:rsidRPr="003A6DFC">
        <w:rPr>
          <w:rFonts w:ascii="Century" w:hAnsi="Century" w:cs="Times New Roman"/>
          <w:bCs/>
          <w:lang w:val="en-GB"/>
        </w:rPr>
        <w:tab/>
        <w:t>The fractional response model is fitted by a quasi-maximum likelihood estimator, which does not require the true distribution of the entire model to obtain consistent parameter estimates for the conditional mean (</w:t>
      </w:r>
      <w:proofErr w:type="spellStart"/>
      <w:r w:rsidRPr="003A6DFC">
        <w:rPr>
          <w:rFonts w:ascii="Century" w:hAnsi="Century" w:cs="Times New Roman"/>
          <w:bCs/>
          <w:lang w:val="en-GB"/>
        </w:rPr>
        <w:t>Papke</w:t>
      </w:r>
      <w:proofErr w:type="spellEnd"/>
      <w:r w:rsidRPr="003A6DFC">
        <w:rPr>
          <w:rFonts w:ascii="Century" w:hAnsi="Century" w:cs="Times New Roman"/>
          <w:bCs/>
          <w:lang w:val="en-GB"/>
        </w:rPr>
        <w:t xml:space="preserve"> and Wooldridge, 1996). The conditional mean of the outcome variable can be expressed as:</w:t>
      </w:r>
    </w:p>
    <w:p w14:paraId="48E47E2B" w14:textId="77777777" w:rsidR="00AB1FB2" w:rsidRPr="003A6DFC" w:rsidRDefault="00AB1FB2" w:rsidP="00AB1FB2">
      <w:pPr>
        <w:spacing w:after="0" w:line="360" w:lineRule="auto"/>
        <w:jc w:val="both"/>
        <w:rPr>
          <w:rFonts w:ascii="Century" w:hAnsi="Century" w:cs="Times New Roman"/>
          <w:bCs/>
          <w:lang w:val="en-GB"/>
        </w:rPr>
      </w:pPr>
    </w:p>
    <w:p w14:paraId="00C924A5" w14:textId="7E5DB5E2" w:rsidR="00AB1FB2" w:rsidRPr="003A6DFC" w:rsidRDefault="00AB1FB2" w:rsidP="00AB1FB2">
      <w:pPr>
        <w:spacing w:after="0" w:line="360" w:lineRule="auto"/>
        <w:jc w:val="right"/>
        <w:rPr>
          <w:rFonts w:ascii="Century" w:hAnsi="Century" w:cs="Times New Roman"/>
          <w:bCs/>
          <w:lang w:val="en-GB"/>
        </w:rPr>
      </w:pPr>
      <m:oMath>
        <m:r>
          <w:rPr>
            <w:rFonts w:ascii="Cambria Math" w:hAnsi="Cambria Math" w:cs="Times New Roman"/>
            <w:lang w:val="en-GB"/>
          </w:rPr>
          <m:t>E</m:t>
        </m:r>
        <m:d>
          <m:dPr>
            <m:ctrlPr>
              <w:rPr>
                <w:rFonts w:ascii="Cambria Math" w:hAnsi="Cambria Math" w:cs="Times New Roman"/>
                <w:bCs/>
                <w:i/>
                <w:lang w:val="en-GB"/>
              </w:rPr>
            </m:ctrlPr>
          </m:dPr>
          <m:e>
            <m:sSub>
              <m:sSubPr>
                <m:ctrlPr>
                  <w:rPr>
                    <w:rFonts w:ascii="Cambria Math" w:hAnsi="Cambria Math" w:cs="Times New Roman"/>
                    <w:bCs/>
                    <w:i/>
                    <w:lang w:val="en-GB"/>
                  </w:rPr>
                </m:ctrlPr>
              </m:sSubPr>
              <m:e>
                <m:r>
                  <w:rPr>
                    <w:rFonts w:ascii="Cambria Math" w:hAnsi="Cambria Math" w:cs="Times New Roman"/>
                    <w:lang w:val="en-GB"/>
                  </w:rPr>
                  <m:t>y</m:t>
                </m:r>
              </m:e>
              <m:sub>
                <m:r>
                  <w:rPr>
                    <w:rFonts w:ascii="Cambria Math" w:hAnsi="Cambria Math" w:cs="Times New Roman"/>
                    <w:lang w:val="en-GB"/>
                  </w:rPr>
                  <m:t>i</m:t>
                </m:r>
              </m:sub>
            </m:sSub>
            <m:r>
              <w:rPr>
                <w:rFonts w:ascii="Cambria Math" w:hAnsi="Cambria Math" w:cs="Times New Roman"/>
                <w:lang w:val="en-GB"/>
              </w:rPr>
              <m:t>|</m:t>
            </m:r>
            <m:sSub>
              <m:sSubPr>
                <m:ctrlPr>
                  <w:rPr>
                    <w:rFonts w:ascii="Cambria Math" w:hAnsi="Cambria Math" w:cs="Times New Roman"/>
                    <w:bCs/>
                    <w:i/>
                    <w:lang w:val="en-GB"/>
                  </w:rPr>
                </m:ctrlPr>
              </m:sSubPr>
              <m:e>
                <m:r>
                  <w:rPr>
                    <w:rFonts w:ascii="Cambria Math" w:hAnsi="Cambria Math" w:cs="Times New Roman"/>
                    <w:lang w:val="en-GB"/>
                  </w:rPr>
                  <m:t>x</m:t>
                </m:r>
              </m:e>
              <m:sub>
                <m:r>
                  <w:rPr>
                    <w:rFonts w:ascii="Cambria Math" w:hAnsi="Cambria Math" w:cs="Times New Roman"/>
                    <w:lang w:val="en-GB"/>
                  </w:rPr>
                  <m:t>i</m:t>
                </m:r>
              </m:sub>
            </m:sSub>
          </m:e>
        </m:d>
        <m:r>
          <w:rPr>
            <w:rFonts w:ascii="Cambria Math" w:hAnsi="Cambria Math" w:cs="Times New Roman"/>
            <w:lang w:val="en-GB"/>
          </w:rPr>
          <m:t>=G</m:t>
        </m:r>
        <m:d>
          <m:dPr>
            <m:ctrlPr>
              <w:rPr>
                <w:rFonts w:ascii="Cambria Math" w:hAnsi="Cambria Math" w:cs="Times New Roman"/>
                <w:bCs/>
                <w:i/>
                <w:lang w:val="en-GB"/>
              </w:rPr>
            </m:ctrlPr>
          </m:dPr>
          <m:e>
            <m:sSub>
              <m:sSubPr>
                <m:ctrlPr>
                  <w:rPr>
                    <w:rFonts w:ascii="Cambria Math" w:hAnsi="Cambria Math" w:cs="Times New Roman"/>
                    <w:bCs/>
                    <w:i/>
                    <w:lang w:val="en-GB"/>
                  </w:rPr>
                </m:ctrlPr>
              </m:sSubPr>
              <m:e>
                <m:r>
                  <w:rPr>
                    <w:rFonts w:ascii="Cambria Math" w:hAnsi="Cambria Math" w:cs="Times New Roman"/>
                    <w:lang w:val="en-GB"/>
                  </w:rPr>
                  <m:t>x</m:t>
                </m:r>
              </m:e>
              <m:sub>
                <m:r>
                  <w:rPr>
                    <w:rFonts w:ascii="Cambria Math" w:hAnsi="Cambria Math" w:cs="Times New Roman"/>
                    <w:lang w:val="en-GB"/>
                  </w:rPr>
                  <m:t>i</m:t>
                </m:r>
              </m:sub>
            </m:sSub>
            <m:r>
              <w:rPr>
                <w:rFonts w:ascii="Cambria Math" w:hAnsi="Cambria Math" w:cs="Times New Roman"/>
                <w:lang w:val="en-GB"/>
              </w:rPr>
              <m:t>β</m:t>
            </m:r>
          </m:e>
        </m:d>
      </m:oMath>
      <w:r w:rsidRPr="003A6DFC">
        <w:rPr>
          <w:rFonts w:ascii="Century" w:hAnsi="Century" w:cs="Times New Roman"/>
          <w:lang w:val="en-GB"/>
        </w:rPr>
        <w:tab/>
      </w:r>
      <w:r w:rsidRPr="003A6DFC">
        <w:rPr>
          <w:rFonts w:ascii="Century" w:hAnsi="Century" w:cs="Times New Roman"/>
          <w:lang w:val="en-GB"/>
        </w:rPr>
        <w:tab/>
      </w:r>
      <w:r w:rsidRPr="003A6DFC">
        <w:rPr>
          <w:rFonts w:ascii="Century" w:hAnsi="Century" w:cs="Times New Roman"/>
          <w:lang w:val="en-GB"/>
        </w:rPr>
        <w:tab/>
        <w:t xml:space="preserve">       </w:t>
      </w:r>
      <w:r w:rsidRPr="003A6DFC">
        <w:rPr>
          <w:rFonts w:ascii="Century" w:hAnsi="Century" w:cs="Times New Roman"/>
          <w:lang w:val="en-GB"/>
        </w:rPr>
        <w:tab/>
        <w:t xml:space="preserve">       (3)</w:t>
      </w:r>
    </w:p>
    <w:p w14:paraId="3F8F8C6F" w14:textId="77777777" w:rsidR="00AB1FB2" w:rsidRPr="003A6DFC" w:rsidRDefault="00AB1FB2" w:rsidP="00AB1FB2">
      <w:pPr>
        <w:spacing w:after="0" w:line="360" w:lineRule="auto"/>
        <w:jc w:val="both"/>
        <w:rPr>
          <w:rFonts w:ascii="Century" w:hAnsi="Century" w:cs="Times New Roman"/>
          <w:bCs/>
          <w:lang w:val="en-GB"/>
        </w:rPr>
      </w:pPr>
    </w:p>
    <w:p w14:paraId="010B448A" w14:textId="77777777" w:rsidR="00AB1FB2" w:rsidRPr="003A6DFC" w:rsidRDefault="00AB1FB2" w:rsidP="00AB1FB2">
      <w:pPr>
        <w:spacing w:after="0" w:line="360" w:lineRule="auto"/>
        <w:jc w:val="both"/>
        <w:rPr>
          <w:rFonts w:ascii="Century" w:hAnsi="Century" w:cs="Times New Roman"/>
          <w:bCs/>
          <w:lang w:val="en-GB"/>
        </w:rPr>
      </w:pPr>
      <w:r w:rsidRPr="003A6DFC">
        <w:rPr>
          <w:rFonts w:ascii="Century" w:hAnsi="Century" w:cs="Times New Roman"/>
          <w:bCs/>
          <w:lang w:val="en-GB"/>
        </w:rPr>
        <w:t xml:space="preserve">where, </w:t>
      </w:r>
      <m:oMath>
        <m:r>
          <m:rPr>
            <m:sty m:val="p"/>
          </m:rPr>
          <w:rPr>
            <w:rFonts w:ascii="Cambria Math" w:hAnsi="Cambria Math" w:cs="Times New Roman"/>
            <w:lang w:val="en-GB"/>
          </w:rPr>
          <m:t>0≤</m:t>
        </m:r>
        <m:sSub>
          <m:sSubPr>
            <m:ctrlPr>
              <w:rPr>
                <w:rFonts w:ascii="Cambria Math" w:hAnsi="Cambria Math" w:cs="Times New Roman"/>
                <w:bCs/>
                <w:lang w:val="en-GB"/>
              </w:rPr>
            </m:ctrlPr>
          </m:sSubPr>
          <m:e>
            <m:r>
              <w:rPr>
                <w:rFonts w:ascii="Cambria Math" w:hAnsi="Cambria Math" w:cs="Times New Roman"/>
                <w:lang w:val="en-GB"/>
              </w:rPr>
              <m:t>y</m:t>
            </m:r>
          </m:e>
          <m:sub>
            <m:r>
              <w:rPr>
                <w:rFonts w:ascii="Cambria Math" w:hAnsi="Cambria Math" w:cs="Times New Roman"/>
                <w:lang w:val="en-GB"/>
              </w:rPr>
              <m:t>i</m:t>
            </m:r>
          </m:sub>
        </m:sSub>
        <m:r>
          <m:rPr>
            <m:sty m:val="p"/>
          </m:rPr>
          <w:rPr>
            <w:rFonts w:ascii="Cambria Math" w:hAnsi="Cambria Math" w:cs="Times New Roman"/>
            <w:lang w:val="en-GB"/>
          </w:rPr>
          <m:t>≤1</m:t>
        </m:r>
      </m:oMath>
      <w:r w:rsidRPr="003A6DFC">
        <w:rPr>
          <w:rFonts w:ascii="Century" w:hAnsi="Century" w:cs="Times New Roman"/>
          <w:bCs/>
          <w:lang w:val="en-GB"/>
        </w:rPr>
        <w:t xml:space="preserve">, and </w:t>
      </w:r>
      <m:oMath>
        <m:r>
          <w:rPr>
            <w:rFonts w:ascii="Cambria Math" w:hAnsi="Cambria Math" w:cs="Times New Roman"/>
            <w:lang w:val="en-GB"/>
          </w:rPr>
          <m:t>G</m:t>
        </m:r>
        <m:d>
          <m:dPr>
            <m:ctrlPr>
              <w:rPr>
                <w:rFonts w:ascii="Cambria Math" w:hAnsi="Cambria Math" w:cs="Times New Roman"/>
                <w:bCs/>
                <w:lang w:val="en-GB"/>
              </w:rPr>
            </m:ctrlPr>
          </m:dPr>
          <m:e>
            <m:r>
              <m:rPr>
                <m:sty m:val="p"/>
              </m:rPr>
              <w:rPr>
                <w:rFonts w:ascii="Cambria Math" w:hAnsi="Cambria Math" w:cs="Times New Roman"/>
                <w:lang w:val="en-GB"/>
              </w:rPr>
              <m:t>∙</m:t>
            </m:r>
          </m:e>
        </m:d>
      </m:oMath>
      <w:r w:rsidRPr="003A6DFC">
        <w:rPr>
          <w:rFonts w:ascii="Century" w:hAnsi="Century" w:cs="Times New Roman"/>
          <w:bCs/>
          <w:lang w:val="en-GB"/>
        </w:rPr>
        <w:t xml:space="preserve"> is a known function satisfying </w:t>
      </w:r>
      <m:oMath>
        <m:r>
          <m:rPr>
            <m:sty m:val="p"/>
          </m:rPr>
          <w:rPr>
            <w:rFonts w:ascii="Cambria Math" w:hAnsi="Cambria Math" w:cs="Times New Roman"/>
            <w:lang w:val="en-GB"/>
          </w:rPr>
          <m:t>0&lt;</m:t>
        </m:r>
        <m:r>
          <w:rPr>
            <w:rFonts w:ascii="Cambria Math" w:hAnsi="Cambria Math" w:cs="Times New Roman"/>
            <w:lang w:val="en-GB"/>
          </w:rPr>
          <m:t>G</m:t>
        </m:r>
        <m:d>
          <m:dPr>
            <m:ctrlPr>
              <w:rPr>
                <w:rFonts w:ascii="Cambria Math" w:hAnsi="Cambria Math" w:cs="Times New Roman"/>
                <w:bCs/>
                <w:lang w:val="en-GB"/>
              </w:rPr>
            </m:ctrlPr>
          </m:dPr>
          <m:e>
            <m:r>
              <w:rPr>
                <w:rFonts w:ascii="Cambria Math" w:hAnsi="Cambria Math" w:cs="Times New Roman"/>
                <w:lang w:val="en-GB"/>
              </w:rPr>
              <m:t>z</m:t>
            </m:r>
          </m:e>
        </m:d>
        <m:r>
          <m:rPr>
            <m:sty m:val="p"/>
          </m:rPr>
          <w:rPr>
            <w:rFonts w:ascii="Cambria Math" w:hAnsi="Cambria Math" w:cs="Times New Roman"/>
            <w:lang w:val="en-GB"/>
          </w:rPr>
          <m:t>&lt;1</m:t>
        </m:r>
      </m:oMath>
      <w:r w:rsidRPr="003A6DFC">
        <w:rPr>
          <w:rFonts w:ascii="Century" w:hAnsi="Century" w:cs="Times New Roman"/>
          <w:bCs/>
          <w:lang w:val="en-GB"/>
        </w:rPr>
        <w:t xml:space="preserve"> for all </w:t>
      </w:r>
      <m:oMath>
        <m:r>
          <w:rPr>
            <w:rFonts w:ascii="Cambria Math" w:hAnsi="Cambria Math" w:cs="Times New Roman"/>
            <w:lang w:val="en-GB"/>
          </w:rPr>
          <m:t>z</m:t>
        </m:r>
        <m:r>
          <m:rPr>
            <m:scr m:val="double-struck"/>
            <m:sty m:val="p"/>
          </m:rPr>
          <w:rPr>
            <w:rFonts w:ascii="Cambria Math" w:hAnsi="Cambria Math" w:cs="Times New Roman"/>
            <w:lang w:val="en-GB"/>
          </w:rPr>
          <m:t>∈R</m:t>
        </m:r>
      </m:oMath>
      <w:r w:rsidRPr="003A6DFC">
        <w:rPr>
          <w:rFonts w:ascii="Century" w:hAnsi="Century" w:cs="Times New Roman"/>
          <w:bCs/>
          <w:lang w:val="en-GB"/>
        </w:rPr>
        <w:t xml:space="preserve">. The function </w:t>
      </w:r>
      <m:oMath>
        <m:r>
          <w:rPr>
            <w:rFonts w:ascii="Cambria Math" w:hAnsi="Cambria Math" w:cs="Times New Roman"/>
            <w:lang w:val="en-GB"/>
          </w:rPr>
          <m:t>G</m:t>
        </m:r>
        <m:d>
          <m:dPr>
            <m:ctrlPr>
              <w:rPr>
                <w:rFonts w:ascii="Cambria Math" w:hAnsi="Cambria Math" w:cs="Times New Roman"/>
                <w:bCs/>
                <w:lang w:val="en-GB"/>
              </w:rPr>
            </m:ctrlPr>
          </m:dPr>
          <m:e>
            <m:r>
              <m:rPr>
                <m:sty m:val="p"/>
              </m:rPr>
              <w:rPr>
                <w:rFonts w:ascii="Cambria Math" w:hAnsi="Cambria Math" w:cs="Times New Roman"/>
                <w:lang w:val="en-GB"/>
              </w:rPr>
              <m:t>∙</m:t>
            </m:r>
          </m:e>
        </m:d>
      </m:oMath>
      <w:r w:rsidRPr="003A6DFC">
        <w:rPr>
          <w:rFonts w:ascii="Century" w:hAnsi="Century" w:cs="Times New Roman"/>
          <w:bCs/>
          <w:lang w:val="en-GB"/>
        </w:rPr>
        <w:t xml:space="preserve"> is specified as the normal standard cumulative distribution </w:t>
      </w:r>
      <w:r w:rsidRPr="003A6DFC">
        <w:rPr>
          <w:rFonts w:ascii="Century" w:hAnsi="Century" w:cs="Times New Roman"/>
          <w:bCs/>
          <w:lang w:val="en-GB"/>
        </w:rPr>
        <w:lastRenderedPageBreak/>
        <w:t>function. The quasi-maximum likelihood estimator can be implemented by using a Bernoulli log-likelihood function (Papke and Wooldridge, 1996). Marginal effects are also estimated to facilitate quantitative interpretation of our results</w:t>
      </w:r>
      <w:r w:rsidRPr="003A6DFC">
        <w:rPr>
          <w:rFonts w:ascii="Century" w:hAnsi="Century"/>
          <w:vertAlign w:val="superscript"/>
        </w:rPr>
        <w:footnoteReference w:id="11"/>
      </w:r>
    </w:p>
    <w:p w14:paraId="2F761935" w14:textId="77777777" w:rsidR="00957CFD" w:rsidRPr="003A6DFC" w:rsidRDefault="00957CFD" w:rsidP="00017049">
      <w:pPr>
        <w:spacing w:after="0" w:line="360" w:lineRule="auto"/>
        <w:jc w:val="both"/>
        <w:rPr>
          <w:rFonts w:ascii="Century" w:hAnsi="Century" w:cs="Times New Roman"/>
          <w:b/>
          <w:i/>
          <w:iCs/>
          <w:lang w:val="en-GB"/>
        </w:rPr>
      </w:pPr>
    </w:p>
    <w:p w14:paraId="127367A8" w14:textId="4227C3F3" w:rsidR="009F17D6" w:rsidRPr="003A6DFC" w:rsidRDefault="0029601C" w:rsidP="009F17D6">
      <w:pPr>
        <w:spacing w:after="0" w:line="360" w:lineRule="auto"/>
        <w:rPr>
          <w:rFonts w:ascii="Century" w:hAnsi="Century" w:cs="Times New Roman"/>
          <w:b/>
          <w:i/>
          <w:iCs/>
          <w:lang w:val="en-GB"/>
        </w:rPr>
      </w:pPr>
      <w:r w:rsidRPr="003A6DFC">
        <w:rPr>
          <w:rFonts w:ascii="Century" w:hAnsi="Century" w:cs="Times New Roman"/>
          <w:b/>
          <w:i/>
          <w:iCs/>
          <w:lang w:val="en-GB"/>
        </w:rPr>
        <w:t>M</w:t>
      </w:r>
      <w:r w:rsidR="009F17D6" w:rsidRPr="003A6DFC">
        <w:rPr>
          <w:rFonts w:ascii="Century" w:hAnsi="Century" w:cs="Times New Roman"/>
          <w:b/>
          <w:i/>
          <w:iCs/>
          <w:lang w:val="en-GB"/>
        </w:rPr>
        <w:t xml:space="preserve">easurement </w:t>
      </w:r>
      <w:r w:rsidRPr="003A6DFC">
        <w:rPr>
          <w:rFonts w:ascii="Century" w:hAnsi="Century" w:cs="Times New Roman"/>
          <w:b/>
          <w:i/>
          <w:iCs/>
          <w:lang w:val="en-GB"/>
        </w:rPr>
        <w:t>of SAH and</w:t>
      </w:r>
      <w:r w:rsidR="009F17D6" w:rsidRPr="003A6DFC">
        <w:rPr>
          <w:rFonts w:ascii="Century" w:hAnsi="Century" w:cs="Times New Roman"/>
          <w:b/>
          <w:i/>
          <w:iCs/>
          <w:lang w:val="en-GB"/>
        </w:rPr>
        <w:t xml:space="preserve"> the income-health gradient  </w:t>
      </w:r>
    </w:p>
    <w:p w14:paraId="57AAA945" w14:textId="18FC2D74" w:rsidR="00A63F05" w:rsidRPr="003A6DFC" w:rsidRDefault="00052684" w:rsidP="00BB05C9">
      <w:pPr>
        <w:spacing w:after="0" w:line="360" w:lineRule="auto"/>
        <w:jc w:val="both"/>
        <w:rPr>
          <w:rFonts w:ascii="Century" w:hAnsi="Century" w:cs="Times New Roman"/>
          <w:bCs/>
          <w:lang w:val="en-GB"/>
        </w:rPr>
      </w:pPr>
      <w:r w:rsidRPr="003A6DFC">
        <w:rPr>
          <w:rFonts w:ascii="Century" w:hAnsi="Century" w:cs="Times New Roman"/>
          <w:bCs/>
          <w:lang w:val="en-GB"/>
        </w:rPr>
        <w:t xml:space="preserve">Among the covariates used to explore </w:t>
      </w:r>
      <w:r w:rsidR="0029601C" w:rsidRPr="003A6DFC">
        <w:rPr>
          <w:rFonts w:ascii="Century" w:hAnsi="Century" w:cs="Times New Roman"/>
          <w:bCs/>
          <w:lang w:val="en-GB"/>
        </w:rPr>
        <w:t xml:space="preserve">inconsistent </w:t>
      </w:r>
      <w:r w:rsidRPr="003A6DFC">
        <w:rPr>
          <w:rFonts w:ascii="Century" w:hAnsi="Century" w:cs="Times New Roman"/>
          <w:bCs/>
          <w:lang w:val="en-GB"/>
        </w:rPr>
        <w:t>reporting</w:t>
      </w:r>
      <w:r w:rsidR="0029601C" w:rsidRPr="003A6DFC">
        <w:rPr>
          <w:rFonts w:ascii="Century" w:hAnsi="Century" w:cs="Times New Roman"/>
          <w:bCs/>
          <w:lang w:val="en-GB"/>
        </w:rPr>
        <w:t>,</w:t>
      </w:r>
      <w:r w:rsidRPr="003A6DFC">
        <w:rPr>
          <w:rFonts w:ascii="Century" w:hAnsi="Century" w:cs="Times New Roman"/>
          <w:bCs/>
          <w:lang w:val="en-GB"/>
        </w:rPr>
        <w:t xml:space="preserve"> </w:t>
      </w:r>
      <w:r w:rsidR="005E1D12" w:rsidRPr="003A6DFC">
        <w:rPr>
          <w:rFonts w:ascii="Century" w:hAnsi="Century" w:cs="Times New Roman"/>
          <w:bCs/>
          <w:lang w:val="en-GB"/>
        </w:rPr>
        <w:t xml:space="preserve">we </w:t>
      </w:r>
      <w:r w:rsidR="0029601C" w:rsidRPr="003A6DFC">
        <w:rPr>
          <w:rFonts w:ascii="Century" w:hAnsi="Century" w:cs="Times New Roman"/>
          <w:bCs/>
          <w:lang w:val="en-GB"/>
        </w:rPr>
        <w:t>fi</w:t>
      </w:r>
      <w:r w:rsidR="005E1D12" w:rsidRPr="003A6DFC">
        <w:rPr>
          <w:rFonts w:ascii="Century" w:hAnsi="Century" w:cs="Times New Roman"/>
          <w:bCs/>
          <w:lang w:val="en-GB"/>
        </w:rPr>
        <w:t xml:space="preserve">nd that </w:t>
      </w:r>
      <w:r w:rsidR="009F17D6" w:rsidRPr="003A6DFC">
        <w:rPr>
          <w:rFonts w:ascii="Century" w:hAnsi="Century" w:cs="Times New Roman"/>
          <w:bCs/>
          <w:lang w:val="en-GB"/>
        </w:rPr>
        <w:t xml:space="preserve">household income </w:t>
      </w:r>
      <w:r w:rsidR="0029601C" w:rsidRPr="003A6DFC">
        <w:rPr>
          <w:rFonts w:ascii="Century" w:hAnsi="Century" w:cs="Times New Roman"/>
          <w:bCs/>
          <w:lang w:val="en-GB"/>
        </w:rPr>
        <w:t>has</w:t>
      </w:r>
      <w:r w:rsidR="009F17D6" w:rsidRPr="003A6DFC">
        <w:rPr>
          <w:rFonts w:ascii="Century" w:hAnsi="Century" w:cs="Times New Roman"/>
          <w:bCs/>
          <w:lang w:val="en-GB"/>
        </w:rPr>
        <w:t xml:space="preserve"> </w:t>
      </w:r>
      <w:r w:rsidR="005E1D12" w:rsidRPr="003A6DFC">
        <w:rPr>
          <w:rFonts w:ascii="Century" w:hAnsi="Century" w:cs="Times New Roman"/>
          <w:bCs/>
          <w:lang w:val="en-GB"/>
        </w:rPr>
        <w:t xml:space="preserve">a strong </w:t>
      </w:r>
      <w:r w:rsidR="0029601C" w:rsidRPr="003A6DFC">
        <w:rPr>
          <w:rFonts w:ascii="Century" w:hAnsi="Century" w:cs="Times New Roman"/>
          <w:bCs/>
          <w:lang w:val="en-GB"/>
        </w:rPr>
        <w:t>association</w:t>
      </w:r>
      <w:r w:rsidR="005E1D12" w:rsidRPr="003A6DFC">
        <w:rPr>
          <w:rFonts w:ascii="Century" w:hAnsi="Century" w:cs="Times New Roman"/>
          <w:bCs/>
          <w:lang w:val="en-GB"/>
        </w:rPr>
        <w:t xml:space="preserve">. Given the large </w:t>
      </w:r>
      <w:r w:rsidR="0029601C" w:rsidRPr="003A6DFC">
        <w:rPr>
          <w:rFonts w:ascii="Century" w:hAnsi="Century" w:cs="Times New Roman"/>
          <w:bCs/>
          <w:lang w:val="en-GB"/>
        </w:rPr>
        <w:t>literature</w:t>
      </w:r>
      <w:r w:rsidR="005E1D12" w:rsidRPr="003A6DFC">
        <w:rPr>
          <w:rFonts w:ascii="Century" w:hAnsi="Century" w:cs="Times New Roman"/>
          <w:bCs/>
          <w:lang w:val="en-GB"/>
        </w:rPr>
        <w:t xml:space="preserve"> on the health-income gradient, th</w:t>
      </w:r>
      <w:r w:rsidR="0029601C" w:rsidRPr="003A6DFC">
        <w:rPr>
          <w:rFonts w:ascii="Century" w:hAnsi="Century" w:cs="Times New Roman"/>
          <w:bCs/>
          <w:lang w:val="en-GB"/>
        </w:rPr>
        <w:t xml:space="preserve">is </w:t>
      </w:r>
      <w:r w:rsidR="005E1D12" w:rsidRPr="003A6DFC">
        <w:rPr>
          <w:rFonts w:ascii="Century" w:hAnsi="Century" w:cs="Times New Roman"/>
          <w:bCs/>
          <w:lang w:val="en-GB"/>
        </w:rPr>
        <w:t>impl</w:t>
      </w:r>
      <w:r w:rsidR="0029601C" w:rsidRPr="003A6DFC">
        <w:rPr>
          <w:rFonts w:ascii="Century" w:hAnsi="Century" w:cs="Times New Roman"/>
          <w:bCs/>
          <w:lang w:val="en-GB"/>
        </w:rPr>
        <w:t>ies</w:t>
      </w:r>
      <w:r w:rsidR="005E1D12" w:rsidRPr="003A6DFC">
        <w:rPr>
          <w:rFonts w:ascii="Century" w:hAnsi="Century" w:cs="Times New Roman"/>
          <w:bCs/>
          <w:lang w:val="en-GB"/>
        </w:rPr>
        <w:t xml:space="preserve"> that </w:t>
      </w:r>
      <w:r w:rsidR="009F17D6" w:rsidRPr="003A6DFC">
        <w:rPr>
          <w:rFonts w:ascii="Century" w:hAnsi="Century" w:cs="Times New Roman"/>
          <w:bCs/>
          <w:lang w:val="en-GB"/>
        </w:rPr>
        <w:t xml:space="preserve">differences in the interview mode </w:t>
      </w:r>
      <w:r w:rsidR="0029601C" w:rsidRPr="003A6DFC">
        <w:rPr>
          <w:rFonts w:ascii="Century" w:hAnsi="Century" w:cs="Times New Roman"/>
          <w:bCs/>
          <w:lang w:val="en-GB"/>
        </w:rPr>
        <w:t xml:space="preserve">may </w:t>
      </w:r>
      <w:r w:rsidR="009F17D6" w:rsidRPr="003A6DFC">
        <w:rPr>
          <w:rFonts w:ascii="Century" w:hAnsi="Century" w:cs="Times New Roman"/>
          <w:bCs/>
          <w:lang w:val="en-GB"/>
        </w:rPr>
        <w:t xml:space="preserve">matter for studies of the income-health gradient that rely on SAH measures. </w:t>
      </w:r>
      <w:r w:rsidR="00306156" w:rsidRPr="003A6DFC">
        <w:rPr>
          <w:rFonts w:ascii="Century" w:hAnsi="Century" w:cs="Times New Roman"/>
          <w:bCs/>
          <w:lang w:val="en-GB"/>
        </w:rPr>
        <w:t xml:space="preserve">Using all the available UKHLS waves (Waves 2-5) we estimate </w:t>
      </w:r>
      <w:r w:rsidR="000D3B52" w:rsidRPr="003A6DFC">
        <w:rPr>
          <w:rFonts w:ascii="Century" w:hAnsi="Century" w:cs="Times New Roman"/>
          <w:bCs/>
          <w:lang w:val="en-GB"/>
        </w:rPr>
        <w:t xml:space="preserve">pooled OLS </w:t>
      </w:r>
      <w:r w:rsidR="00DC2277" w:rsidRPr="003A6DFC">
        <w:rPr>
          <w:rFonts w:ascii="Century" w:hAnsi="Century" w:cs="Times New Roman"/>
          <w:bCs/>
          <w:lang w:val="en-GB"/>
        </w:rPr>
        <w:t xml:space="preserve">regression models </w:t>
      </w:r>
      <w:r w:rsidR="00AC20B0" w:rsidRPr="003A6DFC">
        <w:rPr>
          <w:rFonts w:ascii="Century" w:hAnsi="Century" w:cs="Times New Roman"/>
          <w:bCs/>
          <w:lang w:val="en-GB"/>
        </w:rPr>
        <w:t>for each mode of</w:t>
      </w:r>
      <w:r w:rsidR="00DC2277" w:rsidRPr="003A6DFC">
        <w:rPr>
          <w:rFonts w:ascii="Century" w:hAnsi="Century" w:cs="Times New Roman"/>
          <w:bCs/>
          <w:lang w:val="en-GB"/>
        </w:rPr>
        <w:t xml:space="preserve"> SAH on household income, adjusted for </w:t>
      </w:r>
      <w:r w:rsidR="00B00FC2" w:rsidRPr="003A6DFC">
        <w:rPr>
          <w:rFonts w:ascii="Century" w:hAnsi="Century" w:cs="Times New Roman"/>
          <w:bCs/>
          <w:lang w:val="en-GB"/>
        </w:rPr>
        <w:t xml:space="preserve">individual’s age, gender and </w:t>
      </w:r>
      <w:r w:rsidR="00DC2277" w:rsidRPr="003A6DFC">
        <w:rPr>
          <w:rFonts w:ascii="Century" w:hAnsi="Century" w:cs="Times New Roman"/>
          <w:bCs/>
          <w:lang w:val="en-GB"/>
        </w:rPr>
        <w:t xml:space="preserve">wave fixed effects. </w:t>
      </w:r>
      <w:r w:rsidR="00F3345D" w:rsidRPr="003A6DFC">
        <w:rPr>
          <w:rFonts w:ascii="Century" w:hAnsi="Century" w:cs="Times New Roman"/>
          <w:bCs/>
          <w:lang w:val="en-GB"/>
        </w:rPr>
        <w:t>SAH</w:t>
      </w:r>
      <w:r w:rsidR="00B00FC2" w:rsidRPr="003A6DFC">
        <w:rPr>
          <w:rFonts w:ascii="Century" w:hAnsi="Century" w:cs="Times New Roman"/>
          <w:bCs/>
          <w:lang w:val="en-GB"/>
        </w:rPr>
        <w:t xml:space="preserve"> is coded </w:t>
      </w:r>
      <w:r w:rsidR="00F3345D" w:rsidRPr="003A6DFC">
        <w:rPr>
          <w:rFonts w:ascii="Century" w:hAnsi="Century" w:cs="Times New Roman"/>
          <w:bCs/>
          <w:lang w:val="en-GB"/>
        </w:rPr>
        <w:t xml:space="preserve">so that higher values indicate a better heath state.  </w:t>
      </w:r>
      <w:r w:rsidR="00DC2277" w:rsidRPr="003A6DFC">
        <w:rPr>
          <w:rFonts w:ascii="Century" w:hAnsi="Century" w:cs="Times New Roman"/>
          <w:bCs/>
          <w:lang w:val="en-GB"/>
        </w:rPr>
        <w:t xml:space="preserve">These models, although parsimonious, allow us </w:t>
      </w:r>
      <w:r w:rsidR="00EF4993" w:rsidRPr="003A6DFC">
        <w:rPr>
          <w:rFonts w:ascii="Century" w:hAnsi="Century" w:cs="Times New Roman"/>
          <w:bCs/>
          <w:lang w:val="en-GB"/>
        </w:rPr>
        <w:t xml:space="preserve">to explore potential differences in the </w:t>
      </w:r>
      <w:r w:rsidR="005A129D" w:rsidRPr="003A6DFC">
        <w:rPr>
          <w:rFonts w:ascii="Century" w:hAnsi="Century" w:cs="Times New Roman"/>
          <w:bCs/>
          <w:lang w:val="en-GB"/>
        </w:rPr>
        <w:t xml:space="preserve">association between income and health </w:t>
      </w:r>
      <w:r w:rsidR="00EF4993" w:rsidRPr="003A6DFC">
        <w:rPr>
          <w:rFonts w:ascii="Century" w:hAnsi="Century" w:cs="Times New Roman"/>
          <w:bCs/>
          <w:lang w:val="en-GB"/>
        </w:rPr>
        <w:t xml:space="preserve">that may be attributed to SAH measurement. </w:t>
      </w:r>
    </w:p>
    <w:p w14:paraId="501D43F1" w14:textId="0DC4573C" w:rsidR="008E44E2" w:rsidRPr="003A6DFC" w:rsidRDefault="008E44E2" w:rsidP="008E44E2">
      <w:pPr>
        <w:spacing w:after="0" w:line="360" w:lineRule="auto"/>
        <w:jc w:val="both"/>
        <w:rPr>
          <w:rFonts w:ascii="Century" w:hAnsi="Century" w:cs="Times New Roman"/>
          <w:bCs/>
          <w:lang w:val="en-GB"/>
        </w:rPr>
      </w:pPr>
    </w:p>
    <w:p w14:paraId="37AD77EA" w14:textId="0B0231CE" w:rsidR="004620C8" w:rsidRPr="003A6DFC" w:rsidRDefault="00AC20B0" w:rsidP="00017049">
      <w:pPr>
        <w:spacing w:after="0" w:line="360" w:lineRule="auto"/>
        <w:jc w:val="both"/>
        <w:rPr>
          <w:rFonts w:ascii="Century" w:hAnsi="Century" w:cs="Times New Roman"/>
          <w:b/>
          <w:i/>
          <w:iCs/>
          <w:lang w:val="en-GB"/>
        </w:rPr>
      </w:pPr>
      <w:r w:rsidRPr="003A6DFC">
        <w:rPr>
          <w:rFonts w:ascii="Century" w:hAnsi="Century" w:cs="Times New Roman"/>
          <w:b/>
          <w:i/>
          <w:iCs/>
          <w:lang w:val="en-GB"/>
        </w:rPr>
        <w:t>The association between biomarkers and SAH</w:t>
      </w:r>
    </w:p>
    <w:p w14:paraId="72427D4A" w14:textId="53611AB1" w:rsidR="002A415B" w:rsidRPr="003A6DFC" w:rsidRDefault="002A415B" w:rsidP="00017049">
      <w:pPr>
        <w:spacing w:after="0" w:line="360" w:lineRule="auto"/>
        <w:jc w:val="both"/>
        <w:rPr>
          <w:rFonts w:ascii="Century" w:hAnsi="Century" w:cs="Times New Roman"/>
          <w:bCs/>
          <w:sz w:val="24"/>
          <w:szCs w:val="24"/>
          <w:lang w:val="en-GB"/>
        </w:rPr>
      </w:pPr>
      <w:r w:rsidRPr="003A6DFC">
        <w:rPr>
          <w:rFonts w:ascii="Century" w:hAnsi="Century" w:cs="Times New Roman"/>
          <w:bCs/>
          <w:lang w:val="en-GB"/>
        </w:rPr>
        <w:t xml:space="preserve">Given </w:t>
      </w:r>
      <w:r w:rsidR="00342FF9" w:rsidRPr="003A6DFC">
        <w:rPr>
          <w:rFonts w:ascii="Century" w:hAnsi="Century" w:cs="Times New Roman"/>
          <w:bCs/>
          <w:lang w:val="en-GB"/>
        </w:rPr>
        <w:t xml:space="preserve">the cross-sectional </w:t>
      </w:r>
      <w:r w:rsidR="00AC20B0" w:rsidRPr="003A6DFC">
        <w:rPr>
          <w:rFonts w:ascii="Century" w:hAnsi="Century" w:cs="Times New Roman"/>
          <w:bCs/>
          <w:lang w:val="en-GB"/>
        </w:rPr>
        <w:t>format</w:t>
      </w:r>
      <w:r w:rsidR="00342FF9" w:rsidRPr="003A6DFC">
        <w:rPr>
          <w:rFonts w:ascii="Century" w:hAnsi="Century" w:cs="Times New Roman"/>
          <w:bCs/>
          <w:lang w:val="en-GB"/>
        </w:rPr>
        <w:t xml:space="preserve"> of our biomarker data, linear regression models of SAH </w:t>
      </w:r>
      <w:r w:rsidR="00BB05C9" w:rsidRPr="003A6DFC">
        <w:rPr>
          <w:rFonts w:ascii="Century" w:hAnsi="Century" w:cs="Times New Roman"/>
          <w:bCs/>
          <w:lang w:val="en-GB"/>
        </w:rPr>
        <w:t xml:space="preserve">on </w:t>
      </w:r>
      <w:r w:rsidR="00AD1770" w:rsidRPr="003A6DFC">
        <w:rPr>
          <w:rFonts w:ascii="Century" w:hAnsi="Century" w:cs="Times New Roman"/>
          <w:bCs/>
          <w:lang w:val="en-GB"/>
        </w:rPr>
        <w:t xml:space="preserve">each of </w:t>
      </w:r>
      <w:r w:rsidR="00342FF9" w:rsidRPr="003A6DFC">
        <w:rPr>
          <w:rFonts w:ascii="Century" w:hAnsi="Century" w:cs="Times New Roman"/>
          <w:bCs/>
          <w:lang w:val="en-GB"/>
        </w:rPr>
        <w:t>our biomarker</w:t>
      </w:r>
      <w:r w:rsidR="00AC20B0" w:rsidRPr="003A6DFC">
        <w:rPr>
          <w:rFonts w:ascii="Century" w:hAnsi="Century" w:cs="Times New Roman"/>
          <w:bCs/>
          <w:lang w:val="en-GB"/>
        </w:rPr>
        <w:t>s</w:t>
      </w:r>
      <w:r w:rsidR="00F253CC" w:rsidRPr="003A6DFC">
        <w:rPr>
          <w:rFonts w:ascii="Century" w:hAnsi="Century" w:cs="Times New Roman"/>
          <w:bCs/>
          <w:lang w:val="en-GB"/>
        </w:rPr>
        <w:t xml:space="preserve"> (and </w:t>
      </w:r>
      <w:r w:rsidR="00AC20B0" w:rsidRPr="003A6DFC">
        <w:rPr>
          <w:rFonts w:ascii="Century" w:hAnsi="Century" w:cs="Times New Roman"/>
          <w:bCs/>
          <w:lang w:val="en-GB"/>
        </w:rPr>
        <w:t xml:space="preserve">for </w:t>
      </w:r>
      <w:r w:rsidR="00F253CC" w:rsidRPr="003A6DFC">
        <w:rPr>
          <w:rFonts w:ascii="Century" w:hAnsi="Century" w:cs="Times New Roman"/>
          <w:bCs/>
          <w:lang w:val="en-GB"/>
        </w:rPr>
        <w:t>allostatic load)</w:t>
      </w:r>
      <w:r w:rsidR="00AD1770" w:rsidRPr="003A6DFC">
        <w:rPr>
          <w:rFonts w:ascii="Century" w:hAnsi="Century" w:cs="Times New Roman"/>
          <w:bCs/>
          <w:lang w:val="en-GB"/>
        </w:rPr>
        <w:t xml:space="preserve"> </w:t>
      </w:r>
      <w:r w:rsidR="0003070F" w:rsidRPr="003A6DFC">
        <w:rPr>
          <w:rFonts w:ascii="Century" w:hAnsi="Century" w:cs="Times New Roman"/>
          <w:bCs/>
          <w:lang w:val="en-GB"/>
        </w:rPr>
        <w:t xml:space="preserve">are </w:t>
      </w:r>
      <w:r w:rsidR="00AD1770" w:rsidRPr="003A6DFC">
        <w:rPr>
          <w:rFonts w:ascii="Century" w:hAnsi="Century" w:cs="Times New Roman"/>
          <w:bCs/>
          <w:lang w:val="en-GB"/>
        </w:rPr>
        <w:t xml:space="preserve">estimated for the pooled </w:t>
      </w:r>
      <w:r w:rsidR="00AC20B0" w:rsidRPr="003A6DFC">
        <w:rPr>
          <w:rFonts w:ascii="Century" w:hAnsi="Century" w:cs="Times New Roman"/>
          <w:bCs/>
          <w:lang w:val="en-GB"/>
        </w:rPr>
        <w:t>W</w:t>
      </w:r>
      <w:r w:rsidR="00AD1770" w:rsidRPr="003A6DFC">
        <w:rPr>
          <w:rFonts w:ascii="Century" w:hAnsi="Century" w:cs="Times New Roman"/>
          <w:bCs/>
          <w:lang w:val="en-GB"/>
        </w:rPr>
        <w:t>ave</w:t>
      </w:r>
      <w:r w:rsidR="00AC20B0" w:rsidRPr="003A6DFC">
        <w:rPr>
          <w:rFonts w:ascii="Century" w:hAnsi="Century" w:cs="Times New Roman"/>
          <w:bCs/>
          <w:lang w:val="en-GB"/>
        </w:rPr>
        <w:t>s</w:t>
      </w:r>
      <w:r w:rsidR="00AD1770" w:rsidRPr="003A6DFC">
        <w:rPr>
          <w:rFonts w:ascii="Century" w:hAnsi="Century" w:cs="Times New Roman"/>
          <w:bCs/>
          <w:lang w:val="en-GB"/>
        </w:rPr>
        <w:t xml:space="preserve"> 2 and 3</w:t>
      </w:r>
      <w:r w:rsidR="00AC20B0" w:rsidRPr="003A6DFC">
        <w:rPr>
          <w:rFonts w:ascii="Century" w:hAnsi="Century" w:cs="Times New Roman"/>
          <w:bCs/>
          <w:lang w:val="en-GB"/>
        </w:rPr>
        <w:t xml:space="preserve"> </w:t>
      </w:r>
      <w:r w:rsidR="00AD1770" w:rsidRPr="003A6DFC">
        <w:rPr>
          <w:rFonts w:ascii="Century" w:hAnsi="Century" w:cs="Times New Roman"/>
          <w:bCs/>
          <w:lang w:val="en-GB"/>
        </w:rPr>
        <w:t>sample</w:t>
      </w:r>
      <w:r w:rsidR="00F253CC" w:rsidRPr="003A6DFC">
        <w:rPr>
          <w:rFonts w:ascii="Century" w:hAnsi="Century" w:cs="Times New Roman"/>
          <w:bCs/>
          <w:lang w:val="en-GB"/>
        </w:rPr>
        <w:t xml:space="preserve">; each of these </w:t>
      </w:r>
      <w:r w:rsidR="00AD1770" w:rsidRPr="003A6DFC">
        <w:rPr>
          <w:rFonts w:ascii="Century" w:hAnsi="Century" w:cs="Times New Roman"/>
          <w:bCs/>
          <w:lang w:val="en-GB"/>
        </w:rPr>
        <w:t>models also account</w:t>
      </w:r>
      <w:r w:rsidR="00AC20B0" w:rsidRPr="003A6DFC">
        <w:rPr>
          <w:rFonts w:ascii="Century" w:hAnsi="Century" w:cs="Times New Roman"/>
          <w:bCs/>
          <w:lang w:val="en-GB"/>
        </w:rPr>
        <w:t>s</w:t>
      </w:r>
      <w:r w:rsidR="00AD1770" w:rsidRPr="003A6DFC">
        <w:rPr>
          <w:rFonts w:ascii="Century" w:hAnsi="Century" w:cs="Times New Roman"/>
          <w:bCs/>
          <w:lang w:val="en-GB"/>
        </w:rPr>
        <w:t xml:space="preserve"> for age, gender</w:t>
      </w:r>
      <w:r w:rsidR="005C1CB3" w:rsidRPr="003A6DFC">
        <w:rPr>
          <w:rFonts w:ascii="Century" w:hAnsi="Century" w:cs="Times New Roman"/>
          <w:bCs/>
          <w:lang w:val="en-GB"/>
        </w:rPr>
        <w:t xml:space="preserve">, regional </w:t>
      </w:r>
      <w:proofErr w:type="gramStart"/>
      <w:r w:rsidR="005C1CB3" w:rsidRPr="003A6DFC">
        <w:rPr>
          <w:rFonts w:ascii="Century" w:hAnsi="Century" w:cs="Times New Roman"/>
          <w:bCs/>
          <w:lang w:val="en-GB"/>
        </w:rPr>
        <w:t>dummies</w:t>
      </w:r>
      <w:proofErr w:type="gramEnd"/>
      <w:r w:rsidR="005C1CB3" w:rsidRPr="003A6DFC">
        <w:rPr>
          <w:rFonts w:ascii="Century" w:hAnsi="Century" w:cs="Times New Roman"/>
          <w:bCs/>
          <w:lang w:val="en-GB"/>
        </w:rPr>
        <w:t xml:space="preserve"> </w:t>
      </w:r>
      <w:r w:rsidR="00AD1770" w:rsidRPr="003A6DFC">
        <w:rPr>
          <w:rFonts w:ascii="Century" w:hAnsi="Century" w:cs="Times New Roman"/>
          <w:bCs/>
          <w:lang w:val="en-GB"/>
        </w:rPr>
        <w:t xml:space="preserve">and wave fixed effects. As </w:t>
      </w:r>
      <w:r w:rsidR="00AC20B0" w:rsidRPr="003A6DFC">
        <w:rPr>
          <w:rFonts w:ascii="Century" w:hAnsi="Century" w:cs="Times New Roman"/>
          <w:bCs/>
          <w:lang w:val="en-GB"/>
        </w:rPr>
        <w:t xml:space="preserve">the </w:t>
      </w:r>
      <w:r w:rsidR="00AD1770" w:rsidRPr="003A6DFC">
        <w:rPr>
          <w:rFonts w:ascii="Century" w:hAnsi="Century" w:cs="Times New Roman"/>
          <w:bCs/>
          <w:lang w:val="en-GB"/>
        </w:rPr>
        <w:t>biomarker</w:t>
      </w:r>
      <w:r w:rsidR="00AC20B0" w:rsidRPr="003A6DFC">
        <w:rPr>
          <w:rFonts w:ascii="Century" w:hAnsi="Century" w:cs="Times New Roman"/>
          <w:bCs/>
          <w:lang w:val="en-GB"/>
        </w:rPr>
        <w:t>s</w:t>
      </w:r>
      <w:r w:rsidR="00AD1770" w:rsidRPr="003A6DFC">
        <w:rPr>
          <w:rFonts w:ascii="Century" w:hAnsi="Century" w:cs="Times New Roman"/>
          <w:bCs/>
          <w:lang w:val="en-GB"/>
        </w:rPr>
        <w:t xml:space="preserve"> are</w:t>
      </w:r>
      <w:r w:rsidR="00994287" w:rsidRPr="003A6DFC">
        <w:rPr>
          <w:rFonts w:ascii="Century" w:hAnsi="Century" w:cs="Times New Roman"/>
          <w:bCs/>
          <w:lang w:val="en-GB"/>
        </w:rPr>
        <w:t xml:space="preserve"> </w:t>
      </w:r>
      <w:r w:rsidR="0019401A" w:rsidRPr="003A6DFC">
        <w:rPr>
          <w:rFonts w:ascii="Century" w:hAnsi="Century" w:cs="Times New Roman"/>
          <w:bCs/>
          <w:lang w:val="en-GB"/>
        </w:rPr>
        <w:t xml:space="preserve">measured </w:t>
      </w:r>
      <w:r w:rsidR="00AD1770" w:rsidRPr="003A6DFC">
        <w:rPr>
          <w:rFonts w:ascii="Century" w:hAnsi="Century" w:cs="Times New Roman"/>
          <w:bCs/>
          <w:lang w:val="en-GB"/>
        </w:rPr>
        <w:t>health indicators</w:t>
      </w:r>
      <w:r w:rsidR="0019401A" w:rsidRPr="003A6DFC">
        <w:rPr>
          <w:rFonts w:ascii="Century" w:hAnsi="Century" w:cs="Times New Roman"/>
          <w:bCs/>
          <w:lang w:val="en-GB"/>
        </w:rPr>
        <w:t xml:space="preserve">, comparisons of the magnitude of their associations with </w:t>
      </w:r>
      <w:r w:rsidR="00A93653" w:rsidRPr="003A6DFC">
        <w:rPr>
          <w:rFonts w:ascii="Century" w:hAnsi="Century" w:cs="Times New Roman"/>
          <w:bCs/>
          <w:lang w:val="en-GB"/>
        </w:rPr>
        <w:t xml:space="preserve">our </w:t>
      </w:r>
      <w:r w:rsidR="0019401A" w:rsidRPr="003A6DFC">
        <w:rPr>
          <w:rFonts w:ascii="Century" w:hAnsi="Century" w:cs="Times New Roman"/>
          <w:bCs/>
          <w:lang w:val="en-GB"/>
        </w:rPr>
        <w:t>two</w:t>
      </w:r>
      <w:r w:rsidR="00A93653" w:rsidRPr="003A6DFC">
        <w:rPr>
          <w:rFonts w:ascii="Century" w:hAnsi="Century" w:cs="Times New Roman"/>
          <w:bCs/>
          <w:lang w:val="en-GB"/>
        </w:rPr>
        <w:t xml:space="preserve"> SAH measures</w:t>
      </w:r>
      <w:r w:rsidR="0019401A" w:rsidRPr="003A6DFC">
        <w:rPr>
          <w:rFonts w:ascii="Century" w:hAnsi="Century" w:cs="Times New Roman"/>
          <w:bCs/>
          <w:lang w:val="en-GB"/>
        </w:rPr>
        <w:t xml:space="preserve"> (open interview versus the self-completion mode) may give information on whether </w:t>
      </w:r>
      <w:proofErr w:type="gramStart"/>
      <w:r w:rsidR="0019401A" w:rsidRPr="003A6DFC">
        <w:rPr>
          <w:rFonts w:ascii="Century" w:hAnsi="Century" w:cs="Times New Roman"/>
          <w:bCs/>
          <w:lang w:val="en-GB"/>
        </w:rPr>
        <w:t xml:space="preserve">particular </w:t>
      </w:r>
      <w:r w:rsidR="00994287" w:rsidRPr="003A6DFC">
        <w:rPr>
          <w:rFonts w:ascii="Century" w:hAnsi="Century" w:cs="Times New Roman"/>
          <w:bCs/>
          <w:lang w:val="en-GB"/>
        </w:rPr>
        <w:t>dimensions</w:t>
      </w:r>
      <w:proofErr w:type="gramEnd"/>
      <w:r w:rsidR="00994287" w:rsidRPr="003A6DFC">
        <w:rPr>
          <w:rFonts w:ascii="Century" w:hAnsi="Century" w:cs="Times New Roman"/>
          <w:bCs/>
          <w:lang w:val="en-GB"/>
        </w:rPr>
        <w:t xml:space="preserve"> of </w:t>
      </w:r>
      <w:r w:rsidR="00773F76" w:rsidRPr="003A6DFC">
        <w:rPr>
          <w:rFonts w:ascii="Century" w:hAnsi="Century" w:cs="Times New Roman"/>
          <w:bCs/>
          <w:lang w:val="en-GB"/>
        </w:rPr>
        <w:t xml:space="preserve">physiological and </w:t>
      </w:r>
      <w:r w:rsidR="00C94F03" w:rsidRPr="003A6DFC">
        <w:rPr>
          <w:rFonts w:ascii="Century" w:hAnsi="Century" w:cs="Times New Roman"/>
          <w:bCs/>
          <w:lang w:val="en-GB"/>
        </w:rPr>
        <w:t xml:space="preserve">biological health </w:t>
      </w:r>
      <w:r w:rsidR="0019401A" w:rsidRPr="003A6DFC">
        <w:rPr>
          <w:rFonts w:ascii="Century" w:hAnsi="Century" w:cs="Times New Roman"/>
          <w:bCs/>
          <w:lang w:val="en-GB"/>
        </w:rPr>
        <w:t>are reflected more</w:t>
      </w:r>
      <w:r w:rsidR="00C94F03" w:rsidRPr="003A6DFC">
        <w:rPr>
          <w:rFonts w:ascii="Century" w:hAnsi="Century" w:cs="Times New Roman"/>
          <w:bCs/>
          <w:lang w:val="en-GB"/>
        </w:rPr>
        <w:t xml:space="preserve"> strongly</w:t>
      </w:r>
      <w:r w:rsidR="0019401A" w:rsidRPr="003A6DFC">
        <w:rPr>
          <w:rFonts w:ascii="Century" w:hAnsi="Century" w:cs="Times New Roman"/>
          <w:bCs/>
          <w:lang w:val="en-GB"/>
        </w:rPr>
        <w:t xml:space="preserve"> in one or the other SAH measure. </w:t>
      </w:r>
    </w:p>
    <w:p w14:paraId="2E5B932E" w14:textId="71C79FFE" w:rsidR="00B14ED3" w:rsidRPr="003A6DFC" w:rsidRDefault="00B14ED3" w:rsidP="00017049">
      <w:pPr>
        <w:spacing w:after="0" w:line="360" w:lineRule="auto"/>
        <w:jc w:val="both"/>
        <w:rPr>
          <w:rFonts w:ascii="Century" w:hAnsi="Century" w:cs="Times New Roman"/>
          <w:bCs/>
          <w:sz w:val="24"/>
          <w:szCs w:val="24"/>
          <w:lang w:val="en-GB"/>
        </w:rPr>
      </w:pPr>
      <w:r w:rsidRPr="003A6DFC">
        <w:rPr>
          <w:rFonts w:ascii="Century" w:hAnsi="Century" w:cs="Times New Roman"/>
          <w:bCs/>
          <w:sz w:val="24"/>
          <w:szCs w:val="24"/>
          <w:lang w:val="en-GB"/>
        </w:rPr>
        <w:br w:type="page"/>
      </w:r>
    </w:p>
    <w:p w14:paraId="627C18B5" w14:textId="2DFF1698" w:rsidR="00067AF3" w:rsidRPr="003A6DFC" w:rsidRDefault="005836FF" w:rsidP="009A3D9D">
      <w:pPr>
        <w:pStyle w:val="PargrafodaLista"/>
        <w:numPr>
          <w:ilvl w:val="0"/>
          <w:numId w:val="8"/>
        </w:numPr>
        <w:spacing w:after="0" w:line="360" w:lineRule="auto"/>
        <w:rPr>
          <w:rFonts w:ascii="Century" w:hAnsi="Century" w:cs="Times New Roman"/>
          <w:b/>
          <w:sz w:val="28"/>
          <w:szCs w:val="28"/>
          <w:lang w:val="en-GB"/>
        </w:rPr>
      </w:pPr>
      <w:r w:rsidRPr="003A6DFC">
        <w:rPr>
          <w:rFonts w:ascii="Century" w:hAnsi="Century" w:cs="Times New Roman"/>
          <w:b/>
          <w:sz w:val="28"/>
          <w:szCs w:val="28"/>
          <w:lang w:val="en-GB"/>
        </w:rPr>
        <w:lastRenderedPageBreak/>
        <w:t xml:space="preserve">Descriptive analysis of inconsistent responses </w:t>
      </w:r>
    </w:p>
    <w:p w14:paraId="17AD3FE8" w14:textId="77777777" w:rsidR="00BB05C9" w:rsidRPr="003A6DFC" w:rsidRDefault="00BB05C9" w:rsidP="00BB05C9">
      <w:pPr>
        <w:spacing w:after="0" w:line="360" w:lineRule="auto"/>
        <w:jc w:val="both"/>
        <w:rPr>
          <w:rFonts w:ascii="Century" w:hAnsi="Century" w:cs="Times New Roman"/>
          <w:bCs/>
          <w:lang w:val="en-GB"/>
        </w:rPr>
      </w:pPr>
    </w:p>
    <w:p w14:paraId="00C2C3A1" w14:textId="0C27C550" w:rsidR="00BB05C9" w:rsidRPr="003A6DFC" w:rsidRDefault="002B65B8" w:rsidP="00BB05C9">
      <w:pPr>
        <w:spacing w:after="0" w:line="360" w:lineRule="auto"/>
        <w:jc w:val="both"/>
        <w:rPr>
          <w:rFonts w:ascii="Century" w:hAnsi="Century" w:cs="Times New Roman"/>
          <w:bCs/>
          <w:lang w:val="en-GB"/>
        </w:rPr>
      </w:pPr>
      <w:r w:rsidRPr="003A6DFC">
        <w:rPr>
          <w:rFonts w:ascii="Century" w:hAnsi="Century" w:cs="Times New Roman"/>
          <w:bCs/>
          <w:lang w:val="en-GB"/>
        </w:rPr>
        <w:t xml:space="preserve">Figure 1 presents the distribution of responses to SAH questions for the open </w:t>
      </w:r>
      <w:r w:rsidR="006B4C80" w:rsidRPr="003A6DFC">
        <w:rPr>
          <w:rFonts w:ascii="Century" w:hAnsi="Century" w:cs="Times New Roman"/>
          <w:bCs/>
          <w:lang w:val="en-GB"/>
        </w:rPr>
        <w:t>and</w:t>
      </w:r>
      <w:r w:rsidRPr="003A6DFC">
        <w:rPr>
          <w:rFonts w:ascii="Century" w:hAnsi="Century" w:cs="Times New Roman"/>
          <w:bCs/>
          <w:lang w:val="en-GB"/>
        </w:rPr>
        <w:t xml:space="preserve"> the self-completion question</w:t>
      </w:r>
      <w:r w:rsidR="002C6F92" w:rsidRPr="003A6DFC">
        <w:rPr>
          <w:rFonts w:ascii="Century" w:hAnsi="Century" w:cs="Times New Roman"/>
          <w:bCs/>
          <w:lang w:val="en-GB"/>
        </w:rPr>
        <w:t>s</w:t>
      </w:r>
      <w:r w:rsidRPr="003A6DFC">
        <w:rPr>
          <w:rFonts w:ascii="Century" w:hAnsi="Century" w:cs="Times New Roman"/>
          <w:bCs/>
          <w:lang w:val="en-GB"/>
        </w:rPr>
        <w:t xml:space="preserve"> separately for all waves </w:t>
      </w:r>
      <w:r w:rsidR="00626F64" w:rsidRPr="003A6DFC">
        <w:rPr>
          <w:rFonts w:ascii="Century" w:hAnsi="Century" w:cs="Times New Roman"/>
          <w:bCs/>
          <w:lang w:val="en-GB"/>
        </w:rPr>
        <w:t xml:space="preserve">(Waves 2-5) </w:t>
      </w:r>
      <w:r w:rsidR="006B4C80" w:rsidRPr="003A6DFC">
        <w:rPr>
          <w:rFonts w:ascii="Century" w:hAnsi="Century" w:cs="Times New Roman"/>
          <w:bCs/>
          <w:lang w:val="en-GB"/>
        </w:rPr>
        <w:t xml:space="preserve">where </w:t>
      </w:r>
      <w:proofErr w:type="gramStart"/>
      <w:r w:rsidR="006B4C80" w:rsidRPr="003A6DFC">
        <w:rPr>
          <w:rFonts w:ascii="Century" w:hAnsi="Century" w:cs="Times New Roman"/>
          <w:bCs/>
          <w:lang w:val="en-GB"/>
        </w:rPr>
        <w:t>both of</w:t>
      </w:r>
      <w:r w:rsidRPr="003A6DFC">
        <w:rPr>
          <w:rFonts w:ascii="Century" w:hAnsi="Century" w:cs="Times New Roman"/>
          <w:bCs/>
          <w:lang w:val="en-GB"/>
        </w:rPr>
        <w:t xml:space="preserve"> these</w:t>
      </w:r>
      <w:proofErr w:type="gramEnd"/>
      <w:r w:rsidRPr="003A6DFC">
        <w:rPr>
          <w:rFonts w:ascii="Century" w:hAnsi="Century" w:cs="Times New Roman"/>
          <w:bCs/>
          <w:lang w:val="en-GB"/>
        </w:rPr>
        <w:t xml:space="preserve"> measures are collected for each individual. </w:t>
      </w:r>
      <w:r w:rsidR="006B4C80" w:rsidRPr="003A6DFC">
        <w:rPr>
          <w:rFonts w:ascii="Century" w:hAnsi="Century" w:cs="Times New Roman"/>
          <w:bCs/>
          <w:lang w:val="en-GB"/>
        </w:rPr>
        <w:t xml:space="preserve">These show that the </w:t>
      </w:r>
      <w:r w:rsidR="006B4C80" w:rsidRPr="003A6DFC">
        <w:rPr>
          <w:rFonts w:ascii="Century" w:hAnsi="Century" w:cs="Times New Roman"/>
          <w:bCs/>
          <w:i/>
          <w:iCs/>
          <w:lang w:val="en-GB"/>
        </w:rPr>
        <w:t>overall</w:t>
      </w:r>
      <w:r w:rsidR="006B4C80" w:rsidRPr="003A6DFC">
        <w:rPr>
          <w:rFonts w:ascii="Century" w:hAnsi="Century" w:cs="Times New Roman"/>
          <w:bCs/>
          <w:lang w:val="en-GB"/>
        </w:rPr>
        <w:t xml:space="preserve"> marginal distributions of SAH are very similar for the two modes of data collection, especially at Wave 5. However</w:t>
      </w:r>
      <w:r w:rsidR="006D3021" w:rsidRPr="003A6DFC">
        <w:rPr>
          <w:rFonts w:ascii="Century" w:hAnsi="Century" w:cs="Times New Roman"/>
          <w:bCs/>
          <w:lang w:val="en-GB"/>
        </w:rPr>
        <w:t>,</w:t>
      </w:r>
      <w:r w:rsidR="006B4C80" w:rsidRPr="003A6DFC">
        <w:rPr>
          <w:rFonts w:ascii="Century" w:hAnsi="Century" w:cs="Times New Roman"/>
          <w:bCs/>
          <w:lang w:val="en-GB"/>
        </w:rPr>
        <w:t xml:space="preserve"> the two modes do not give identical </w:t>
      </w:r>
      <w:r w:rsidR="006D3021" w:rsidRPr="003A6DFC">
        <w:rPr>
          <w:rFonts w:ascii="Century" w:hAnsi="Century" w:cs="Times New Roman"/>
          <w:bCs/>
          <w:lang w:val="en-GB"/>
        </w:rPr>
        <w:t>distributions,</w:t>
      </w:r>
      <w:r w:rsidR="006B4C80" w:rsidRPr="003A6DFC">
        <w:rPr>
          <w:rFonts w:ascii="Century" w:hAnsi="Century" w:cs="Times New Roman"/>
          <w:bCs/>
          <w:lang w:val="en-GB"/>
        </w:rPr>
        <w:t xml:space="preserve"> and, in the earlier waves, more respondents </w:t>
      </w:r>
      <w:r w:rsidR="00453E21" w:rsidRPr="003A6DFC">
        <w:rPr>
          <w:rFonts w:ascii="Century" w:hAnsi="Century" w:cs="Times New Roman"/>
          <w:bCs/>
          <w:lang w:val="en-GB"/>
        </w:rPr>
        <w:t>report better health in the open interview mode.</w:t>
      </w:r>
      <w:r w:rsidR="00BB05C9" w:rsidRPr="003A6DFC">
        <w:rPr>
          <w:rFonts w:ascii="Century" w:hAnsi="Century" w:cs="Times New Roman"/>
          <w:bCs/>
          <w:lang w:val="en-GB"/>
        </w:rPr>
        <w:t xml:space="preserve"> Overall, these preliminary results give us limited information about the inter-individual differences in SAH reporting between the open interview and the self-completion and only indicate the presence of moderate differences in the </w:t>
      </w:r>
      <w:r w:rsidR="00BB05C9" w:rsidRPr="003A6DFC">
        <w:rPr>
          <w:rFonts w:ascii="Century" w:hAnsi="Century" w:cs="Times New Roman"/>
          <w:bCs/>
          <w:i/>
          <w:iCs/>
          <w:lang w:val="en-GB"/>
        </w:rPr>
        <w:t>overall</w:t>
      </w:r>
      <w:r w:rsidR="00BB05C9" w:rsidRPr="003A6DFC">
        <w:rPr>
          <w:rFonts w:ascii="Century" w:hAnsi="Century" w:cs="Times New Roman"/>
          <w:bCs/>
          <w:lang w:val="en-GB"/>
        </w:rPr>
        <w:t xml:space="preserve"> distribution of SAH categories. </w:t>
      </w:r>
    </w:p>
    <w:p w14:paraId="53E2A712" w14:textId="77777777" w:rsidR="00BA6E39" w:rsidRPr="003A6DFC" w:rsidRDefault="00BA6E39" w:rsidP="00BB05C9">
      <w:pPr>
        <w:spacing w:after="0" w:line="360" w:lineRule="auto"/>
        <w:jc w:val="both"/>
        <w:rPr>
          <w:rFonts w:ascii="Century" w:hAnsi="Century" w:cs="Times New Roman"/>
          <w:bCs/>
          <w:lang w:val="en-GB"/>
        </w:rPr>
      </w:pPr>
    </w:p>
    <w:tbl>
      <w:tblPr>
        <w:tblStyle w:val="Tabelacomgrad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87528E" w:rsidRPr="003A6DFC" w14:paraId="26DF7189" w14:textId="77777777" w:rsidTr="003848D9">
        <w:tc>
          <w:tcPr>
            <w:tcW w:w="5000" w:type="pct"/>
          </w:tcPr>
          <w:p w14:paraId="287B8D10" w14:textId="77777777" w:rsidR="0087528E" w:rsidRPr="003A6DFC" w:rsidRDefault="0087528E" w:rsidP="003848D9">
            <w:pPr>
              <w:jc w:val="center"/>
              <w:rPr>
                <w:b/>
                <w:bCs/>
                <w:sz w:val="20"/>
                <w:szCs w:val="20"/>
                <w:lang w:val="en-GB"/>
              </w:rPr>
            </w:pPr>
            <w:r w:rsidRPr="003A6DFC">
              <w:rPr>
                <w:rFonts w:ascii="Century" w:hAnsi="Century"/>
                <w:b/>
                <w:bCs/>
                <w:sz w:val="20"/>
                <w:szCs w:val="20"/>
                <w:lang w:val="en-GB"/>
              </w:rPr>
              <w:t>Figure 1. Histogram of SAH responses (self-completion and open interview) by waves: unbalanced sample (obs. 161,242)</w:t>
            </w:r>
          </w:p>
        </w:tc>
      </w:tr>
      <w:tr w:rsidR="0087528E" w:rsidRPr="003A6DFC" w14:paraId="32D54762" w14:textId="77777777" w:rsidTr="003848D9">
        <w:tc>
          <w:tcPr>
            <w:tcW w:w="5000" w:type="pct"/>
          </w:tcPr>
          <w:p w14:paraId="65135CA0" w14:textId="77777777" w:rsidR="0087528E" w:rsidRPr="003A6DFC" w:rsidRDefault="0087528E" w:rsidP="003848D9">
            <w:pPr>
              <w:jc w:val="center"/>
              <w:rPr>
                <w:rFonts w:ascii="Century" w:hAnsi="Century"/>
                <w:b/>
                <w:bCs/>
                <w:sz w:val="24"/>
                <w:szCs w:val="24"/>
                <w:lang w:val="en-GB"/>
              </w:rPr>
            </w:pPr>
            <w:r w:rsidRPr="003A6DFC">
              <w:rPr>
                <w:rFonts w:ascii="Century" w:hAnsi="Century"/>
                <w:b/>
                <w:bCs/>
                <w:noProof/>
                <w:sz w:val="24"/>
                <w:szCs w:val="24"/>
              </w:rPr>
              <w:drawing>
                <wp:inline distT="0" distB="0" distL="0" distR="0" wp14:anchorId="610113FB" wp14:editId="01687781">
                  <wp:extent cx="5400040" cy="3782695"/>
                  <wp:effectExtent l="0" t="0" r="0" b="8255"/>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pic:nvPicPr>
                        <pic:blipFill>
                          <a:blip r:embed="rId13"/>
                          <a:stretch>
                            <a:fillRect/>
                          </a:stretch>
                        </pic:blipFill>
                        <pic:spPr>
                          <a:xfrm>
                            <a:off x="0" y="0"/>
                            <a:ext cx="5400040" cy="3782695"/>
                          </a:xfrm>
                          <a:prstGeom prst="rect">
                            <a:avLst/>
                          </a:prstGeom>
                        </pic:spPr>
                      </pic:pic>
                    </a:graphicData>
                  </a:graphic>
                </wp:inline>
              </w:drawing>
            </w:r>
          </w:p>
        </w:tc>
      </w:tr>
    </w:tbl>
    <w:p w14:paraId="3B204B9A" w14:textId="77777777" w:rsidR="0087528E" w:rsidRPr="003A6DFC" w:rsidRDefault="0087528E" w:rsidP="0087528E">
      <w:pPr>
        <w:spacing w:after="0" w:line="360" w:lineRule="auto"/>
        <w:rPr>
          <w:rFonts w:ascii="Century" w:hAnsi="Century" w:cs="Times New Roman"/>
          <w:b/>
          <w:sz w:val="24"/>
          <w:szCs w:val="24"/>
          <w:lang w:val="en-GB"/>
        </w:rPr>
      </w:pPr>
    </w:p>
    <w:p w14:paraId="21BE8F33" w14:textId="6E26D2F5" w:rsidR="002B65B8" w:rsidRPr="003A6DFC" w:rsidRDefault="002B65B8" w:rsidP="002B65B8">
      <w:pPr>
        <w:spacing w:after="0" w:line="360" w:lineRule="auto"/>
        <w:ind w:firstLine="708"/>
        <w:jc w:val="both"/>
        <w:rPr>
          <w:rFonts w:ascii="Century" w:hAnsi="Century" w:cs="Times New Roman"/>
          <w:bCs/>
          <w:lang w:val="en-GB"/>
        </w:rPr>
      </w:pPr>
      <w:r w:rsidRPr="003A6DFC">
        <w:rPr>
          <w:rFonts w:ascii="Century" w:hAnsi="Century" w:cs="Times New Roman"/>
          <w:bCs/>
          <w:lang w:val="en-GB"/>
        </w:rPr>
        <w:t>Th</w:t>
      </w:r>
      <w:r w:rsidR="00BB05C9" w:rsidRPr="003A6DFC">
        <w:rPr>
          <w:rFonts w:ascii="Century" w:hAnsi="Century" w:cs="Times New Roman"/>
          <w:bCs/>
          <w:lang w:val="en-GB"/>
        </w:rPr>
        <w:t>e</w:t>
      </w:r>
      <w:r w:rsidRPr="003A6DFC">
        <w:rPr>
          <w:rFonts w:ascii="Century" w:hAnsi="Century" w:cs="Times New Roman"/>
          <w:bCs/>
          <w:lang w:val="en-GB"/>
        </w:rPr>
        <w:t xml:space="preserve"> preliminary analysis</w:t>
      </w:r>
      <w:r w:rsidR="00234B66" w:rsidRPr="003A6DFC">
        <w:rPr>
          <w:rFonts w:ascii="Century" w:hAnsi="Century" w:cs="Times New Roman"/>
          <w:bCs/>
          <w:lang w:val="en-GB"/>
        </w:rPr>
        <w:t xml:space="preserve"> </w:t>
      </w:r>
      <w:r w:rsidR="00453E21" w:rsidRPr="003A6DFC">
        <w:rPr>
          <w:rFonts w:ascii="Century" w:hAnsi="Century" w:cs="Times New Roman"/>
          <w:bCs/>
          <w:lang w:val="en-GB"/>
        </w:rPr>
        <w:t xml:space="preserve">in </w:t>
      </w:r>
      <w:r w:rsidR="00234B66" w:rsidRPr="003A6DFC">
        <w:rPr>
          <w:rFonts w:ascii="Century" w:hAnsi="Century" w:cs="Times New Roman"/>
          <w:bCs/>
          <w:lang w:val="en-GB"/>
        </w:rPr>
        <w:t>Figure 1</w:t>
      </w:r>
      <w:r w:rsidRPr="003A6DFC">
        <w:rPr>
          <w:rFonts w:ascii="Century" w:hAnsi="Century" w:cs="Times New Roman"/>
          <w:bCs/>
          <w:lang w:val="en-GB"/>
        </w:rPr>
        <w:t xml:space="preserve"> is </w:t>
      </w:r>
      <w:r w:rsidR="00234B66" w:rsidRPr="003A6DFC">
        <w:rPr>
          <w:rFonts w:ascii="Century" w:hAnsi="Century" w:cs="Times New Roman"/>
          <w:bCs/>
          <w:lang w:val="en-GB"/>
        </w:rPr>
        <w:t xml:space="preserve">based </w:t>
      </w:r>
      <w:r w:rsidRPr="003A6DFC">
        <w:rPr>
          <w:rFonts w:ascii="Century" w:hAnsi="Century" w:cs="Times New Roman"/>
          <w:bCs/>
          <w:lang w:val="en-GB"/>
        </w:rPr>
        <w:t xml:space="preserve">on an unbalanced sample. However, for our analysis we need to follow the same individuals across the four waves </w:t>
      </w:r>
      <w:r w:rsidR="00453E21" w:rsidRPr="003A6DFC">
        <w:rPr>
          <w:rFonts w:ascii="Century" w:hAnsi="Century" w:cs="Times New Roman"/>
          <w:bCs/>
          <w:lang w:val="en-GB"/>
        </w:rPr>
        <w:t>and ensure</w:t>
      </w:r>
      <w:r w:rsidRPr="003A6DFC">
        <w:rPr>
          <w:rFonts w:ascii="Century" w:hAnsi="Century" w:cs="Times New Roman"/>
          <w:bCs/>
          <w:lang w:val="en-GB"/>
        </w:rPr>
        <w:t xml:space="preserve"> the presence of valid responses for both SAH questions for </w:t>
      </w:r>
      <w:proofErr w:type="gramStart"/>
      <w:r w:rsidRPr="003A6DFC">
        <w:rPr>
          <w:rFonts w:ascii="Century" w:hAnsi="Century" w:cs="Times New Roman"/>
          <w:bCs/>
          <w:lang w:val="en-GB"/>
        </w:rPr>
        <w:t xml:space="preserve">each </w:t>
      </w:r>
      <w:r w:rsidRPr="003A6DFC">
        <w:rPr>
          <w:rFonts w:ascii="Century" w:hAnsi="Century" w:cs="Times New Roman"/>
          <w:bCs/>
          <w:lang w:val="en-GB"/>
        </w:rPr>
        <w:lastRenderedPageBreak/>
        <w:t>individual</w:t>
      </w:r>
      <w:proofErr w:type="gramEnd"/>
      <w:r w:rsidRPr="003A6DFC">
        <w:rPr>
          <w:rFonts w:ascii="Century" w:hAnsi="Century" w:cs="Times New Roman"/>
          <w:bCs/>
          <w:lang w:val="en-GB"/>
        </w:rPr>
        <w:t xml:space="preserve"> within and across waves as well as non-missing information on all explanatory variables used in our analysis ― thus, a balanced sample is used for the remaining </w:t>
      </w:r>
      <w:r w:rsidR="00453E21" w:rsidRPr="003A6DFC">
        <w:rPr>
          <w:rFonts w:ascii="Century" w:hAnsi="Century" w:cs="Times New Roman"/>
          <w:bCs/>
          <w:lang w:val="en-GB"/>
        </w:rPr>
        <w:t>analysis</w:t>
      </w:r>
      <w:r w:rsidRPr="003A6DFC">
        <w:rPr>
          <w:rFonts w:ascii="Century" w:hAnsi="Century" w:cs="Times New Roman"/>
          <w:bCs/>
          <w:lang w:val="en-GB"/>
        </w:rPr>
        <w:t xml:space="preserve">. </w:t>
      </w:r>
      <w:r w:rsidR="00C16125" w:rsidRPr="003A6DFC">
        <w:rPr>
          <w:rFonts w:ascii="Century" w:hAnsi="Century" w:cs="Times New Roman"/>
          <w:bCs/>
          <w:lang w:val="en-GB"/>
        </w:rPr>
        <w:t xml:space="preserve">Figure </w:t>
      </w:r>
      <w:r w:rsidR="00453E21" w:rsidRPr="003A6DFC">
        <w:rPr>
          <w:rFonts w:ascii="Century" w:hAnsi="Century" w:cs="Times New Roman"/>
          <w:bCs/>
          <w:lang w:val="en-GB"/>
        </w:rPr>
        <w:t>2</w:t>
      </w:r>
      <w:r w:rsidR="00C16125" w:rsidRPr="003A6DFC">
        <w:rPr>
          <w:rFonts w:ascii="Century" w:hAnsi="Century" w:cs="Times New Roman"/>
          <w:bCs/>
          <w:lang w:val="en-GB"/>
        </w:rPr>
        <w:t xml:space="preserve"> shows that the </w:t>
      </w:r>
      <w:r w:rsidR="00453E21" w:rsidRPr="003A6DFC">
        <w:rPr>
          <w:rFonts w:ascii="Century" w:hAnsi="Century" w:cs="Times New Roman"/>
          <w:bCs/>
          <w:lang w:val="en-GB"/>
        </w:rPr>
        <w:t>frequencies</w:t>
      </w:r>
      <w:r w:rsidR="00C16125" w:rsidRPr="003A6DFC">
        <w:rPr>
          <w:rFonts w:ascii="Century" w:hAnsi="Century" w:cs="Times New Roman"/>
          <w:bCs/>
          <w:lang w:val="en-GB"/>
        </w:rPr>
        <w:t xml:space="preserve"> of the different SAH categories (for both the self-completion and the open interview question) are almost identical between the unbalanced and balanced samples; this suggests that the implications of these exclusion restrictions </w:t>
      </w:r>
      <w:r w:rsidR="00453E21" w:rsidRPr="003A6DFC">
        <w:rPr>
          <w:rFonts w:ascii="Century" w:hAnsi="Century" w:cs="Times New Roman"/>
          <w:bCs/>
          <w:lang w:val="en-GB"/>
        </w:rPr>
        <w:t>should</w:t>
      </w:r>
      <w:r w:rsidR="00C16125" w:rsidRPr="003A6DFC">
        <w:rPr>
          <w:rFonts w:ascii="Century" w:hAnsi="Century" w:cs="Times New Roman"/>
          <w:bCs/>
          <w:lang w:val="en-GB"/>
        </w:rPr>
        <w:t xml:space="preserve"> be very limited for our analysis.</w:t>
      </w:r>
    </w:p>
    <w:p w14:paraId="0A593C16" w14:textId="691F0419" w:rsidR="00D404C1" w:rsidRPr="003A6DFC" w:rsidRDefault="00D404C1" w:rsidP="009F5E77">
      <w:pPr>
        <w:spacing w:after="0" w:line="360" w:lineRule="auto"/>
        <w:rPr>
          <w:rFonts w:ascii="Century" w:hAnsi="Century" w:cs="Times New Roman"/>
          <w:b/>
          <w:sz w:val="24"/>
          <w:szCs w:val="24"/>
          <w:lang w:val="en-GB"/>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453E21" w:rsidRPr="003A6DFC" w14:paraId="17D5D782" w14:textId="77777777" w:rsidTr="00BB4740">
        <w:tc>
          <w:tcPr>
            <w:tcW w:w="8504" w:type="dxa"/>
          </w:tcPr>
          <w:p w14:paraId="19897AE7" w14:textId="43D23C6C" w:rsidR="00453E21" w:rsidRPr="003A6DFC" w:rsidRDefault="00453E21" w:rsidP="00BB4740">
            <w:pPr>
              <w:jc w:val="center"/>
              <w:rPr>
                <w:rFonts w:ascii="Century" w:hAnsi="Century"/>
                <w:b/>
                <w:bCs/>
                <w:sz w:val="20"/>
                <w:szCs w:val="20"/>
                <w:lang w:val="en-GB"/>
              </w:rPr>
            </w:pPr>
            <w:r w:rsidRPr="003A6DFC">
              <w:rPr>
                <w:rFonts w:ascii="Century" w:hAnsi="Century"/>
                <w:b/>
                <w:bCs/>
                <w:sz w:val="20"/>
                <w:szCs w:val="20"/>
                <w:lang w:val="en-GB"/>
              </w:rPr>
              <w:t xml:space="preserve">Figure 2. Histogram for SAH responses (self-completion and open interview):        </w:t>
            </w:r>
          </w:p>
          <w:p w14:paraId="4A3CC171" w14:textId="77777777" w:rsidR="00453E21" w:rsidRPr="003A6DFC" w:rsidRDefault="00453E21" w:rsidP="00BB4740">
            <w:pPr>
              <w:jc w:val="center"/>
              <w:rPr>
                <w:b/>
                <w:bCs/>
                <w:sz w:val="20"/>
                <w:szCs w:val="20"/>
                <w:lang w:val="en-GB"/>
              </w:rPr>
            </w:pPr>
            <w:r w:rsidRPr="003A6DFC">
              <w:rPr>
                <w:rFonts w:ascii="Century" w:hAnsi="Century"/>
                <w:b/>
                <w:bCs/>
                <w:sz w:val="20"/>
                <w:szCs w:val="20"/>
                <w:lang w:val="en-GB"/>
              </w:rPr>
              <w:t>unbalanced sample (obs. 161,242), balanced sample (obs. 97,456) and balanced sample with no missing data on all variables used in the analysis (obs. 90,600).</w:t>
            </w:r>
          </w:p>
        </w:tc>
      </w:tr>
      <w:tr w:rsidR="00453E21" w:rsidRPr="003A6DFC" w14:paraId="3BCBF5E2" w14:textId="77777777" w:rsidTr="00BB4740">
        <w:tc>
          <w:tcPr>
            <w:tcW w:w="8504" w:type="dxa"/>
          </w:tcPr>
          <w:p w14:paraId="01B94656" w14:textId="77777777" w:rsidR="00453E21" w:rsidRPr="003A6DFC" w:rsidRDefault="00453E21" w:rsidP="00BB4740">
            <w:pPr>
              <w:pStyle w:val="PargrafodaLista"/>
              <w:ind w:left="0"/>
              <w:jc w:val="center"/>
              <w:rPr>
                <w:lang w:val="en-GB"/>
              </w:rPr>
            </w:pPr>
            <w:r w:rsidRPr="003A6DFC">
              <w:rPr>
                <w:noProof/>
                <w:lang w:val="en-GB"/>
              </w:rPr>
              <w:drawing>
                <wp:inline distT="0" distB="0" distL="0" distR="0" wp14:anchorId="3B5249FF" wp14:editId="5EED8357">
                  <wp:extent cx="5400040" cy="3242310"/>
                  <wp:effectExtent l="0" t="0" r="0" b="0"/>
                  <wp:docPr id="4" name="Imagem 1" descr="Linha do te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Linha do tempo&#10;&#10;Descrição gerada automaticamente"/>
                          <pic:cNvPicPr/>
                        </pic:nvPicPr>
                        <pic:blipFill>
                          <a:blip r:embed="rId14"/>
                          <a:stretch>
                            <a:fillRect/>
                          </a:stretch>
                        </pic:blipFill>
                        <pic:spPr>
                          <a:xfrm>
                            <a:off x="0" y="0"/>
                            <a:ext cx="5400040" cy="3242310"/>
                          </a:xfrm>
                          <a:prstGeom prst="rect">
                            <a:avLst/>
                          </a:prstGeom>
                        </pic:spPr>
                      </pic:pic>
                    </a:graphicData>
                  </a:graphic>
                </wp:inline>
              </w:drawing>
            </w:r>
          </w:p>
        </w:tc>
      </w:tr>
    </w:tbl>
    <w:p w14:paraId="5EBCDDBE" w14:textId="77777777" w:rsidR="00453E21" w:rsidRPr="003A6DFC" w:rsidRDefault="00453E21" w:rsidP="0087528E">
      <w:pPr>
        <w:spacing w:after="0" w:line="360" w:lineRule="auto"/>
        <w:jc w:val="both"/>
        <w:rPr>
          <w:rFonts w:ascii="Century" w:hAnsi="Century"/>
        </w:rPr>
      </w:pPr>
    </w:p>
    <w:p w14:paraId="3BB32B18" w14:textId="78089FB0" w:rsidR="002B65B8" w:rsidRPr="003A6DFC" w:rsidRDefault="002B65B8" w:rsidP="00DB0F68">
      <w:pPr>
        <w:spacing w:after="0" w:line="360" w:lineRule="auto"/>
        <w:ind w:firstLine="709"/>
        <w:jc w:val="both"/>
        <w:rPr>
          <w:rFonts w:ascii="Century" w:hAnsi="Century"/>
          <w:lang w:val="en-GB"/>
        </w:rPr>
      </w:pPr>
      <w:r w:rsidRPr="003A6DFC">
        <w:rPr>
          <w:rFonts w:ascii="Century" w:hAnsi="Century"/>
        </w:rPr>
        <w:t xml:space="preserve">Figure </w:t>
      </w:r>
      <w:r w:rsidR="00453E21" w:rsidRPr="003A6DFC">
        <w:rPr>
          <w:rFonts w:ascii="Century" w:hAnsi="Century"/>
        </w:rPr>
        <w:t>3</w:t>
      </w:r>
      <w:r w:rsidRPr="003A6DFC">
        <w:rPr>
          <w:rFonts w:ascii="Century" w:hAnsi="Century"/>
        </w:rPr>
        <w:t xml:space="preserve"> shows a bubble plot of responses to self-completion as opposed to open interview, using </w:t>
      </w:r>
      <w:r w:rsidR="000C7347" w:rsidRPr="003A6DFC">
        <w:rPr>
          <w:rFonts w:ascii="Century" w:hAnsi="Century"/>
        </w:rPr>
        <w:t>the</w:t>
      </w:r>
      <w:r w:rsidRPr="003A6DFC">
        <w:rPr>
          <w:rFonts w:ascii="Century" w:hAnsi="Century"/>
        </w:rPr>
        <w:t xml:space="preserve"> complete cases balanced sample. This illustrates the exten</w:t>
      </w:r>
      <w:r w:rsidR="000C7347" w:rsidRPr="003A6DFC">
        <w:rPr>
          <w:rFonts w:ascii="Century" w:hAnsi="Century"/>
        </w:rPr>
        <w:t>t</w:t>
      </w:r>
      <w:r w:rsidRPr="003A6DFC">
        <w:rPr>
          <w:rFonts w:ascii="Century" w:hAnsi="Century"/>
        </w:rPr>
        <w:t xml:space="preserve"> and pattern of </w:t>
      </w:r>
      <w:r w:rsidRPr="003A6DFC">
        <w:rPr>
          <w:rFonts w:ascii="Century" w:hAnsi="Century"/>
          <w:i/>
          <w:iCs/>
        </w:rPr>
        <w:t>inter-individual differences</w:t>
      </w:r>
      <w:r w:rsidRPr="003A6DFC">
        <w:rPr>
          <w:rFonts w:ascii="Century" w:hAnsi="Century"/>
        </w:rPr>
        <w:t xml:space="preserve"> in reporting between the </w:t>
      </w:r>
      <w:r w:rsidRPr="003A6DFC">
        <w:rPr>
          <w:rFonts w:ascii="Century" w:hAnsi="Century"/>
          <w:lang w:val="en-GB"/>
        </w:rPr>
        <w:t xml:space="preserve">two </w:t>
      </w:r>
      <w:r w:rsidR="00B5186A" w:rsidRPr="003A6DFC">
        <w:rPr>
          <w:rFonts w:ascii="Century" w:hAnsi="Century"/>
          <w:lang w:val="en-GB"/>
        </w:rPr>
        <w:t>SAH</w:t>
      </w:r>
      <w:r w:rsidR="00A93653" w:rsidRPr="003A6DFC">
        <w:rPr>
          <w:rFonts w:ascii="Century" w:hAnsi="Century"/>
          <w:lang w:val="en-GB"/>
        </w:rPr>
        <w:t xml:space="preserve"> measures</w:t>
      </w:r>
      <w:r w:rsidRPr="003A6DFC">
        <w:rPr>
          <w:rFonts w:ascii="Century" w:hAnsi="Century"/>
          <w:lang w:val="en-GB"/>
        </w:rPr>
        <w:t>. Although we observe that there is a concordance in responses to both SAH responses for most of the respondents (</w:t>
      </w:r>
      <w:r w:rsidR="000C7347" w:rsidRPr="003A6DFC">
        <w:rPr>
          <w:rFonts w:ascii="Century" w:hAnsi="Century"/>
          <w:lang w:val="en-GB"/>
        </w:rPr>
        <w:t xml:space="preserve">along the </w:t>
      </w:r>
      <w:r w:rsidRPr="003A6DFC">
        <w:rPr>
          <w:rFonts w:ascii="Century" w:hAnsi="Century"/>
          <w:lang w:val="en-GB"/>
        </w:rPr>
        <w:t xml:space="preserve">main diagonal), there is a </w:t>
      </w:r>
      <w:r w:rsidR="000C7347" w:rsidRPr="003A6DFC">
        <w:rPr>
          <w:rFonts w:ascii="Century" w:hAnsi="Century"/>
          <w:lang w:val="en-GB"/>
        </w:rPr>
        <w:t>size</w:t>
      </w:r>
      <w:r w:rsidRPr="003A6DFC">
        <w:rPr>
          <w:rFonts w:ascii="Century" w:hAnsi="Century"/>
          <w:lang w:val="en-GB"/>
        </w:rPr>
        <w:t>able proportion of respondents (as show by the size of the bubbles above and below the m</w:t>
      </w:r>
      <w:r w:rsidR="000C7347" w:rsidRPr="003A6DFC">
        <w:rPr>
          <w:rFonts w:ascii="Century" w:hAnsi="Century"/>
          <w:lang w:val="en-GB"/>
        </w:rPr>
        <w:t>ain</w:t>
      </w:r>
      <w:r w:rsidRPr="003A6DFC">
        <w:rPr>
          <w:rFonts w:ascii="Century" w:hAnsi="Century"/>
          <w:lang w:val="en-GB"/>
        </w:rPr>
        <w:t xml:space="preserve"> diagonal) that reported </w:t>
      </w:r>
      <w:r w:rsidR="000C7347" w:rsidRPr="003A6DFC">
        <w:rPr>
          <w:rFonts w:ascii="Century" w:hAnsi="Century"/>
          <w:lang w:val="en-GB"/>
        </w:rPr>
        <w:t xml:space="preserve">their SAH </w:t>
      </w:r>
      <w:r w:rsidRPr="003A6DFC">
        <w:rPr>
          <w:rFonts w:ascii="Century" w:hAnsi="Century"/>
          <w:lang w:val="en-GB"/>
        </w:rPr>
        <w:t xml:space="preserve">inconsistently within </w:t>
      </w:r>
      <w:r w:rsidR="000C7347" w:rsidRPr="003A6DFC">
        <w:rPr>
          <w:rFonts w:ascii="Century" w:hAnsi="Century"/>
          <w:lang w:val="en-GB"/>
        </w:rPr>
        <w:t>the same interview</w:t>
      </w:r>
      <w:r w:rsidRPr="003A6DFC">
        <w:rPr>
          <w:rFonts w:ascii="Century" w:hAnsi="Century"/>
          <w:lang w:val="en-GB"/>
        </w:rPr>
        <w:t xml:space="preserve">. </w:t>
      </w:r>
      <w:r w:rsidR="00CF73A7" w:rsidRPr="003A6DFC">
        <w:rPr>
          <w:rFonts w:ascii="Century" w:hAnsi="Century"/>
          <w:lang w:val="en-GB"/>
        </w:rPr>
        <w:t xml:space="preserve">Table 1 presents the </w:t>
      </w:r>
      <w:r w:rsidR="00DB0F68" w:rsidRPr="003A6DFC">
        <w:rPr>
          <w:rFonts w:ascii="Century" w:hAnsi="Century"/>
          <w:lang w:val="en-GB"/>
        </w:rPr>
        <w:t>corresponding proportions</w:t>
      </w:r>
      <w:r w:rsidR="00990F4D" w:rsidRPr="003A6DFC">
        <w:rPr>
          <w:rFonts w:ascii="Century" w:hAnsi="Century"/>
          <w:lang w:val="en-GB"/>
        </w:rPr>
        <w:t xml:space="preserve"> </w:t>
      </w:r>
      <w:r w:rsidR="00D21E6B" w:rsidRPr="003A6DFC">
        <w:rPr>
          <w:rFonts w:ascii="Century" w:hAnsi="Century"/>
          <w:lang w:val="en-GB"/>
        </w:rPr>
        <w:t xml:space="preserve">of reporting a particular SAH status in the open interview mode conditional on responses to the self-completion SAH questions. </w:t>
      </w:r>
      <w:r w:rsidRPr="003A6DFC">
        <w:rPr>
          <w:rFonts w:ascii="Century" w:hAnsi="Century"/>
          <w:lang w:val="en-GB"/>
        </w:rPr>
        <w:t>For example, f</w:t>
      </w:r>
      <w:r w:rsidR="000C7347" w:rsidRPr="003A6DFC">
        <w:rPr>
          <w:rFonts w:ascii="Century" w:hAnsi="Century"/>
          <w:lang w:val="en-GB"/>
        </w:rPr>
        <w:t>or</w:t>
      </w:r>
      <w:r w:rsidRPr="003A6DFC">
        <w:rPr>
          <w:rFonts w:ascii="Century" w:hAnsi="Century"/>
          <w:lang w:val="en-GB"/>
        </w:rPr>
        <w:t xml:space="preserve"> those who reported excellent health in the self-completion interview, about 80% reported excellent health in the open interview </w:t>
      </w:r>
      <w:r w:rsidRPr="003A6DFC">
        <w:rPr>
          <w:rFonts w:ascii="Century" w:hAnsi="Century"/>
          <w:lang w:val="en-GB"/>
        </w:rPr>
        <w:lastRenderedPageBreak/>
        <w:t xml:space="preserve">SAH question, while the remaining </w:t>
      </w:r>
      <w:r w:rsidR="000C7347" w:rsidRPr="003A6DFC">
        <w:rPr>
          <w:rFonts w:ascii="Century" w:hAnsi="Century"/>
          <w:lang w:val="en-GB"/>
        </w:rPr>
        <w:t>respondents are</w:t>
      </w:r>
      <w:r w:rsidRPr="003A6DFC">
        <w:rPr>
          <w:rFonts w:ascii="Century" w:hAnsi="Century"/>
          <w:lang w:val="en-GB"/>
        </w:rPr>
        <w:t xml:space="preserve"> distributed</w:t>
      </w:r>
      <w:r w:rsidR="000C7347" w:rsidRPr="003A6DFC">
        <w:rPr>
          <w:rFonts w:ascii="Century" w:hAnsi="Century"/>
          <w:lang w:val="en-GB"/>
        </w:rPr>
        <w:t xml:space="preserve"> across</w:t>
      </w:r>
      <w:r w:rsidRPr="003A6DFC">
        <w:rPr>
          <w:rFonts w:ascii="Century" w:hAnsi="Century"/>
          <w:lang w:val="en-GB"/>
        </w:rPr>
        <w:t xml:space="preserve"> all other categories (with 15% of those reporting the nearest possible category ― very good health). Overall, our results show that 11%-24% of those </w:t>
      </w:r>
      <w:r w:rsidR="000C7347" w:rsidRPr="003A6DFC">
        <w:rPr>
          <w:rFonts w:ascii="Century" w:hAnsi="Century"/>
          <w:lang w:val="en-GB"/>
        </w:rPr>
        <w:t xml:space="preserve">who </w:t>
      </w:r>
      <w:r w:rsidRPr="003A6DFC">
        <w:rPr>
          <w:rFonts w:ascii="Century" w:hAnsi="Century"/>
          <w:lang w:val="en-GB"/>
        </w:rPr>
        <w:t xml:space="preserve">reported a </w:t>
      </w:r>
      <w:r w:rsidR="000C7347" w:rsidRPr="003A6DFC">
        <w:rPr>
          <w:rFonts w:ascii="Century" w:hAnsi="Century"/>
          <w:lang w:val="en-GB"/>
        </w:rPr>
        <w:t>given</w:t>
      </w:r>
      <w:r w:rsidRPr="003A6DFC">
        <w:rPr>
          <w:rFonts w:ascii="Century" w:hAnsi="Century"/>
          <w:lang w:val="en-GB"/>
        </w:rPr>
        <w:t xml:space="preserve"> SAH category in self-completion mode, reported inconsistently in the open interview, with </w:t>
      </w:r>
      <w:proofErr w:type="gramStart"/>
      <w:r w:rsidRPr="003A6DFC">
        <w:rPr>
          <w:rFonts w:ascii="Century" w:hAnsi="Century"/>
          <w:lang w:val="en-GB"/>
        </w:rPr>
        <w:t>the majority of</w:t>
      </w:r>
      <w:proofErr w:type="gramEnd"/>
      <w:r w:rsidRPr="003A6DFC">
        <w:rPr>
          <w:rFonts w:ascii="Century" w:hAnsi="Century"/>
          <w:lang w:val="en-GB"/>
        </w:rPr>
        <w:t xml:space="preserve"> the inconsistent responses concentrated </w:t>
      </w:r>
      <w:r w:rsidR="000C7347" w:rsidRPr="003A6DFC">
        <w:rPr>
          <w:rFonts w:ascii="Century" w:hAnsi="Century"/>
          <w:lang w:val="en-GB"/>
        </w:rPr>
        <w:t>in</w:t>
      </w:r>
      <w:r w:rsidRPr="003A6DFC">
        <w:rPr>
          <w:rFonts w:ascii="Century" w:hAnsi="Century"/>
          <w:lang w:val="en-GB"/>
        </w:rPr>
        <w:t xml:space="preserve"> the SAH categories that are </w:t>
      </w:r>
      <w:r w:rsidR="000C7347" w:rsidRPr="003A6DFC">
        <w:rPr>
          <w:rFonts w:ascii="Century" w:hAnsi="Century"/>
          <w:lang w:val="en-GB"/>
        </w:rPr>
        <w:t>adjacent</w:t>
      </w:r>
      <w:r w:rsidRPr="003A6DFC">
        <w:rPr>
          <w:rFonts w:ascii="Century" w:hAnsi="Century"/>
          <w:lang w:val="en-GB"/>
        </w:rPr>
        <w:t xml:space="preserve"> to their self-completion responses. </w:t>
      </w:r>
    </w:p>
    <w:p w14:paraId="0C279A75" w14:textId="77777777" w:rsidR="00FC39EE" w:rsidRPr="003A6DFC" w:rsidRDefault="00FC39EE" w:rsidP="0087528E">
      <w:pPr>
        <w:spacing w:after="0" w:line="360" w:lineRule="auto"/>
        <w:jc w:val="both"/>
        <w:rPr>
          <w:rFonts w:ascii="Century" w:hAnsi="Century"/>
          <w:lang w:val="en-GB"/>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6A48C1" w:rsidRPr="003A6DFC" w14:paraId="4BC9C306" w14:textId="77777777" w:rsidTr="00387327">
        <w:trPr>
          <w:jc w:val="center"/>
        </w:trPr>
        <w:tc>
          <w:tcPr>
            <w:tcW w:w="8504" w:type="dxa"/>
          </w:tcPr>
          <w:p w14:paraId="697F1807" w14:textId="600CF692" w:rsidR="006A48C1" w:rsidRPr="003A6DFC" w:rsidRDefault="006A48C1" w:rsidP="009C71E1">
            <w:pPr>
              <w:pStyle w:val="PargrafodaLista"/>
              <w:ind w:left="0"/>
              <w:jc w:val="center"/>
              <w:rPr>
                <w:rFonts w:ascii="Century" w:hAnsi="Century"/>
                <w:b/>
                <w:bCs/>
                <w:sz w:val="20"/>
                <w:szCs w:val="20"/>
                <w:lang w:val="en-GB"/>
              </w:rPr>
            </w:pPr>
            <w:r w:rsidRPr="003A6DFC">
              <w:rPr>
                <w:rFonts w:ascii="Century" w:hAnsi="Century"/>
                <w:b/>
                <w:bCs/>
                <w:sz w:val="20"/>
                <w:szCs w:val="20"/>
                <w:lang w:val="en-GB"/>
              </w:rPr>
              <w:t xml:space="preserve">Figure </w:t>
            </w:r>
            <w:r w:rsidR="000C7347" w:rsidRPr="003A6DFC">
              <w:rPr>
                <w:rFonts w:ascii="Century" w:hAnsi="Century"/>
                <w:b/>
                <w:bCs/>
                <w:sz w:val="20"/>
                <w:szCs w:val="20"/>
                <w:lang w:val="en-GB"/>
              </w:rPr>
              <w:t>3</w:t>
            </w:r>
            <w:r w:rsidRPr="003A6DFC">
              <w:rPr>
                <w:rFonts w:ascii="Century" w:hAnsi="Century"/>
                <w:b/>
                <w:bCs/>
                <w:sz w:val="20"/>
                <w:szCs w:val="20"/>
                <w:lang w:val="en-GB"/>
              </w:rPr>
              <w:t xml:space="preserve">. </w:t>
            </w:r>
            <w:r w:rsidR="002B65B8" w:rsidRPr="003A6DFC">
              <w:rPr>
                <w:rFonts w:ascii="Century" w:hAnsi="Century"/>
                <w:b/>
                <w:bCs/>
                <w:sz w:val="20"/>
                <w:szCs w:val="20"/>
                <w:lang w:val="en-GB"/>
              </w:rPr>
              <w:t xml:space="preserve">Bubble </w:t>
            </w:r>
            <w:r w:rsidRPr="003A6DFC">
              <w:rPr>
                <w:rFonts w:ascii="Century" w:hAnsi="Century"/>
                <w:b/>
                <w:bCs/>
                <w:sz w:val="20"/>
                <w:szCs w:val="20"/>
                <w:lang w:val="en-GB"/>
              </w:rPr>
              <w:t>plot</w:t>
            </w:r>
            <w:r w:rsidR="002176BB" w:rsidRPr="003A6DFC">
              <w:rPr>
                <w:rFonts w:ascii="Century" w:hAnsi="Century"/>
                <w:b/>
                <w:bCs/>
                <w:sz w:val="20"/>
                <w:szCs w:val="20"/>
                <w:lang w:val="en-GB"/>
              </w:rPr>
              <w:t xml:space="preserve"> ―</w:t>
            </w:r>
            <w:r w:rsidRPr="003A6DFC">
              <w:rPr>
                <w:rFonts w:ascii="Century" w:hAnsi="Century"/>
                <w:b/>
                <w:bCs/>
                <w:sz w:val="20"/>
                <w:szCs w:val="20"/>
                <w:lang w:val="en-GB"/>
              </w:rPr>
              <w:t xml:space="preserve"> SAH </w:t>
            </w:r>
            <w:r w:rsidR="006374D7" w:rsidRPr="003A6DFC">
              <w:rPr>
                <w:rFonts w:ascii="Century" w:hAnsi="Century"/>
                <w:b/>
                <w:bCs/>
                <w:sz w:val="20"/>
                <w:szCs w:val="20"/>
                <w:lang w:val="en-GB"/>
              </w:rPr>
              <w:t>s</w:t>
            </w:r>
            <w:r w:rsidRPr="003A6DFC">
              <w:rPr>
                <w:rFonts w:ascii="Century" w:hAnsi="Century"/>
                <w:b/>
                <w:bCs/>
                <w:sz w:val="20"/>
                <w:szCs w:val="20"/>
                <w:lang w:val="en-GB"/>
              </w:rPr>
              <w:t>elf-completion v</w:t>
            </w:r>
            <w:r w:rsidR="000C7347" w:rsidRPr="003A6DFC">
              <w:rPr>
                <w:rFonts w:ascii="Century" w:hAnsi="Century"/>
                <w:b/>
                <w:bCs/>
                <w:sz w:val="20"/>
                <w:szCs w:val="20"/>
                <w:lang w:val="en-GB"/>
              </w:rPr>
              <w:t>er</w:t>
            </w:r>
            <w:r w:rsidRPr="003A6DFC">
              <w:rPr>
                <w:rFonts w:ascii="Century" w:hAnsi="Century"/>
                <w:b/>
                <w:bCs/>
                <w:sz w:val="20"/>
                <w:szCs w:val="20"/>
                <w:lang w:val="en-GB"/>
              </w:rPr>
              <w:t>s</w:t>
            </w:r>
            <w:r w:rsidR="000C7347" w:rsidRPr="003A6DFC">
              <w:rPr>
                <w:rFonts w:ascii="Century" w:hAnsi="Century"/>
                <w:b/>
                <w:bCs/>
                <w:sz w:val="20"/>
                <w:szCs w:val="20"/>
                <w:lang w:val="en-GB"/>
              </w:rPr>
              <w:t>us</w:t>
            </w:r>
            <w:r w:rsidRPr="003A6DFC">
              <w:rPr>
                <w:rFonts w:ascii="Century" w:hAnsi="Century"/>
                <w:b/>
                <w:bCs/>
                <w:sz w:val="20"/>
                <w:szCs w:val="20"/>
                <w:lang w:val="en-GB"/>
              </w:rPr>
              <w:t xml:space="preserve"> </w:t>
            </w:r>
            <w:r w:rsidR="006374D7" w:rsidRPr="003A6DFC">
              <w:rPr>
                <w:rFonts w:ascii="Century" w:hAnsi="Century"/>
                <w:b/>
                <w:bCs/>
                <w:sz w:val="20"/>
                <w:szCs w:val="20"/>
                <w:lang w:val="en-GB"/>
              </w:rPr>
              <w:t>o</w:t>
            </w:r>
            <w:r w:rsidRPr="003A6DFC">
              <w:rPr>
                <w:rFonts w:ascii="Century" w:hAnsi="Century"/>
                <w:b/>
                <w:bCs/>
                <w:sz w:val="20"/>
                <w:szCs w:val="20"/>
                <w:lang w:val="en-GB"/>
              </w:rPr>
              <w:t xml:space="preserve">pen interview: </w:t>
            </w:r>
            <w:r w:rsidR="00E966C3" w:rsidRPr="003A6DFC">
              <w:rPr>
                <w:rFonts w:ascii="Century" w:hAnsi="Century"/>
                <w:b/>
                <w:bCs/>
                <w:sz w:val="20"/>
                <w:szCs w:val="20"/>
                <w:lang w:val="en-GB"/>
              </w:rPr>
              <w:t xml:space="preserve">                                        </w:t>
            </w:r>
            <w:r w:rsidR="003E405F" w:rsidRPr="003A6DFC">
              <w:rPr>
                <w:rFonts w:ascii="Century" w:hAnsi="Century"/>
                <w:b/>
                <w:bCs/>
                <w:sz w:val="20"/>
                <w:szCs w:val="20"/>
                <w:lang w:val="en-GB"/>
              </w:rPr>
              <w:t>b</w:t>
            </w:r>
            <w:r w:rsidRPr="003A6DFC">
              <w:rPr>
                <w:rFonts w:ascii="Century" w:hAnsi="Century"/>
                <w:b/>
                <w:bCs/>
                <w:sz w:val="20"/>
                <w:szCs w:val="20"/>
                <w:lang w:val="en-GB"/>
              </w:rPr>
              <w:t>alanced sample</w:t>
            </w:r>
            <w:r w:rsidR="00015105" w:rsidRPr="003A6DFC">
              <w:rPr>
                <w:rFonts w:ascii="Century" w:hAnsi="Century"/>
                <w:b/>
                <w:bCs/>
                <w:sz w:val="20"/>
                <w:szCs w:val="20"/>
                <w:lang w:val="en-GB"/>
              </w:rPr>
              <w:t xml:space="preserve"> with non-missing information</w:t>
            </w:r>
            <w:r w:rsidR="00E966C3" w:rsidRPr="003A6DFC">
              <w:rPr>
                <w:rFonts w:ascii="Century" w:hAnsi="Century"/>
                <w:b/>
                <w:bCs/>
                <w:sz w:val="20"/>
                <w:szCs w:val="20"/>
                <w:lang w:val="en-GB"/>
              </w:rPr>
              <w:t xml:space="preserve"> </w:t>
            </w:r>
            <w:r w:rsidR="005E6954" w:rsidRPr="003A6DFC">
              <w:rPr>
                <w:rFonts w:ascii="Century" w:hAnsi="Century"/>
                <w:b/>
                <w:bCs/>
                <w:sz w:val="20"/>
                <w:szCs w:val="20"/>
                <w:lang w:val="en-GB"/>
              </w:rPr>
              <w:t xml:space="preserve">on all covariates </w:t>
            </w:r>
            <w:r w:rsidR="00E966C3" w:rsidRPr="003A6DFC">
              <w:rPr>
                <w:rFonts w:ascii="Century" w:hAnsi="Century"/>
                <w:b/>
                <w:bCs/>
                <w:sz w:val="20"/>
                <w:szCs w:val="20"/>
                <w:lang w:val="en-GB"/>
              </w:rPr>
              <w:t>(obs. 90,600)</w:t>
            </w:r>
            <w:r w:rsidR="004C2134" w:rsidRPr="003A6DFC">
              <w:rPr>
                <w:rFonts w:ascii="Century" w:hAnsi="Century"/>
                <w:b/>
                <w:bCs/>
                <w:sz w:val="20"/>
                <w:szCs w:val="20"/>
                <w:lang w:val="en-GB"/>
              </w:rPr>
              <w:t>.</w:t>
            </w:r>
          </w:p>
        </w:tc>
      </w:tr>
      <w:tr w:rsidR="006A48C1" w:rsidRPr="003A6DFC" w14:paraId="6AAE865A" w14:textId="77777777" w:rsidTr="00387327">
        <w:trPr>
          <w:jc w:val="center"/>
        </w:trPr>
        <w:tc>
          <w:tcPr>
            <w:tcW w:w="8504" w:type="dxa"/>
          </w:tcPr>
          <w:p w14:paraId="164B8809" w14:textId="048E2FF1" w:rsidR="006A48C1" w:rsidRPr="003A6DFC" w:rsidRDefault="007050E9" w:rsidP="009C71E1">
            <w:pPr>
              <w:pStyle w:val="PargrafodaLista"/>
              <w:ind w:left="0"/>
              <w:jc w:val="center"/>
              <w:rPr>
                <w:rFonts w:ascii="Century" w:hAnsi="Century"/>
                <w:lang w:val="en-GB"/>
              </w:rPr>
            </w:pPr>
            <w:r w:rsidRPr="003A6DFC">
              <w:rPr>
                <w:noProof/>
              </w:rPr>
              <w:drawing>
                <wp:inline distT="0" distB="0" distL="0" distR="0" wp14:anchorId="5CB81604" wp14:editId="0FAAC12C">
                  <wp:extent cx="4894729" cy="3557082"/>
                  <wp:effectExtent l="0" t="0" r="127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14021" cy="3571102"/>
                          </a:xfrm>
                          <a:prstGeom prst="rect">
                            <a:avLst/>
                          </a:prstGeom>
                          <a:noFill/>
                          <a:ln>
                            <a:noFill/>
                          </a:ln>
                        </pic:spPr>
                      </pic:pic>
                    </a:graphicData>
                  </a:graphic>
                </wp:inline>
              </w:drawing>
            </w:r>
          </w:p>
        </w:tc>
      </w:tr>
      <w:tr w:rsidR="006A48C1" w:rsidRPr="003A6DFC" w14:paraId="75236E24" w14:textId="77777777" w:rsidTr="00387327">
        <w:trPr>
          <w:jc w:val="center"/>
        </w:trPr>
        <w:tc>
          <w:tcPr>
            <w:tcW w:w="8504" w:type="dxa"/>
          </w:tcPr>
          <w:p w14:paraId="446516AB" w14:textId="7DE31F04" w:rsidR="006A48C1" w:rsidRPr="003A6DFC" w:rsidRDefault="006A48C1" w:rsidP="005E336A">
            <w:pPr>
              <w:ind w:left="459" w:right="805"/>
              <w:jc w:val="both"/>
              <w:rPr>
                <w:rFonts w:ascii="Century" w:hAnsi="Century"/>
                <w:sz w:val="20"/>
                <w:szCs w:val="20"/>
                <w:lang w:val="en-GB"/>
              </w:rPr>
            </w:pPr>
            <w:r w:rsidRPr="003A6DFC">
              <w:rPr>
                <w:rFonts w:ascii="Century" w:hAnsi="Century"/>
                <w:sz w:val="20"/>
                <w:szCs w:val="20"/>
                <w:lang w:val="en-GB"/>
              </w:rPr>
              <w:t xml:space="preserve">Note: Each bubble is weighted by the number of respondents. </w:t>
            </w:r>
            <w:r w:rsidR="005E336A" w:rsidRPr="003A6DFC">
              <w:rPr>
                <w:rFonts w:ascii="Century" w:hAnsi="Century"/>
                <w:sz w:val="20"/>
                <w:szCs w:val="20"/>
                <w:lang w:val="en-GB"/>
              </w:rPr>
              <w:t>Higher s</w:t>
            </w:r>
            <w:r w:rsidR="00A17F6D" w:rsidRPr="003A6DFC">
              <w:rPr>
                <w:rFonts w:ascii="Century" w:hAnsi="Century"/>
                <w:sz w:val="20"/>
                <w:szCs w:val="20"/>
                <w:lang w:val="en-GB"/>
              </w:rPr>
              <w:t>elf-assessed health</w:t>
            </w:r>
            <w:r w:rsidR="005E336A" w:rsidRPr="003A6DFC">
              <w:rPr>
                <w:rFonts w:ascii="Century" w:hAnsi="Century"/>
                <w:sz w:val="20"/>
                <w:szCs w:val="20"/>
                <w:lang w:val="en-GB"/>
              </w:rPr>
              <w:t xml:space="preserve"> (SAH) values indicate a better health state</w:t>
            </w:r>
            <w:r w:rsidR="00A17F6D" w:rsidRPr="003A6DFC">
              <w:rPr>
                <w:rFonts w:ascii="Century" w:hAnsi="Century"/>
                <w:sz w:val="20"/>
                <w:szCs w:val="20"/>
                <w:lang w:val="en-GB"/>
              </w:rPr>
              <w:t>:</w:t>
            </w:r>
            <w:r w:rsidR="005E336A" w:rsidRPr="003A6DFC">
              <w:rPr>
                <w:rFonts w:ascii="Century" w:hAnsi="Century"/>
                <w:sz w:val="20"/>
                <w:szCs w:val="20"/>
                <w:lang w:val="en-GB"/>
              </w:rPr>
              <w:t xml:space="preserve"> “1” stands for Poor, “2” Fair, “3” Good, “4” Very good and “5” Excellent.</w:t>
            </w:r>
            <w:r w:rsidR="00A17F6D" w:rsidRPr="003A6DFC">
              <w:rPr>
                <w:rFonts w:ascii="Century" w:hAnsi="Century"/>
                <w:sz w:val="20"/>
                <w:szCs w:val="20"/>
                <w:lang w:val="en-GB"/>
              </w:rPr>
              <w:t xml:space="preserve"> </w:t>
            </w:r>
          </w:p>
        </w:tc>
      </w:tr>
    </w:tbl>
    <w:p w14:paraId="37DF5A41" w14:textId="59888738" w:rsidR="006A48C1" w:rsidRPr="003A6DFC" w:rsidRDefault="006A48C1" w:rsidP="009F5E77">
      <w:pPr>
        <w:spacing w:after="0" w:line="360" w:lineRule="auto"/>
        <w:rPr>
          <w:rFonts w:ascii="Century" w:hAnsi="Century" w:cs="Times New Roman"/>
          <w:b/>
          <w:sz w:val="24"/>
          <w:szCs w:val="24"/>
        </w:rPr>
      </w:pPr>
    </w:p>
    <w:p w14:paraId="65B864AE" w14:textId="77777777" w:rsidR="00744846" w:rsidRPr="003A6DFC" w:rsidRDefault="00744846" w:rsidP="009F5E77">
      <w:pPr>
        <w:spacing w:after="0" w:line="360" w:lineRule="auto"/>
        <w:rPr>
          <w:rFonts w:ascii="Century" w:hAnsi="Century" w:cs="Times New Roman"/>
          <w:b/>
          <w:sz w:val="24"/>
          <w:szCs w:val="24"/>
        </w:rPr>
      </w:pPr>
    </w:p>
    <w:tbl>
      <w:tblPr>
        <w:tblW w:w="10791" w:type="dxa"/>
        <w:jc w:val="center"/>
        <w:tblLayout w:type="fixed"/>
        <w:tblLook w:val="04A0" w:firstRow="1" w:lastRow="0" w:firstColumn="1" w:lastColumn="0" w:noHBand="0" w:noVBand="1"/>
      </w:tblPr>
      <w:tblGrid>
        <w:gridCol w:w="2420"/>
        <w:gridCol w:w="1395"/>
        <w:gridCol w:w="1395"/>
        <w:gridCol w:w="1395"/>
        <w:gridCol w:w="1395"/>
        <w:gridCol w:w="1395"/>
        <w:gridCol w:w="1396"/>
      </w:tblGrid>
      <w:tr w:rsidR="00A21C33" w:rsidRPr="003A6DFC" w14:paraId="7988A8E0" w14:textId="77777777" w:rsidTr="005E6954">
        <w:trPr>
          <w:trHeight w:val="288"/>
          <w:tblHeader/>
          <w:jc w:val="center"/>
        </w:trPr>
        <w:tc>
          <w:tcPr>
            <w:tcW w:w="10791" w:type="dxa"/>
            <w:gridSpan w:val="7"/>
            <w:tcBorders>
              <w:top w:val="nil"/>
              <w:left w:val="nil"/>
              <w:bottom w:val="single" w:sz="4" w:space="0" w:color="auto"/>
              <w:right w:val="nil"/>
            </w:tcBorders>
            <w:shd w:val="clear" w:color="auto" w:fill="auto"/>
            <w:noWrap/>
            <w:vAlign w:val="bottom"/>
            <w:hideMark/>
          </w:tcPr>
          <w:p w14:paraId="7A11020D" w14:textId="1FEF8286" w:rsidR="00A21C33" w:rsidRPr="003A6DFC" w:rsidRDefault="00A21C33" w:rsidP="005E295F">
            <w:pPr>
              <w:spacing w:after="0" w:line="240" w:lineRule="auto"/>
              <w:jc w:val="both"/>
              <w:rPr>
                <w:rFonts w:ascii="Century" w:eastAsia="Times New Roman" w:hAnsi="Century" w:cs="Calibri"/>
                <w:b/>
                <w:bCs/>
                <w:sz w:val="20"/>
                <w:szCs w:val="20"/>
                <w:lang w:val="en-GB" w:eastAsia="en-GB"/>
              </w:rPr>
            </w:pPr>
            <w:r w:rsidRPr="003A6DFC">
              <w:rPr>
                <w:rFonts w:ascii="Century" w:eastAsia="Times New Roman" w:hAnsi="Century" w:cs="Calibri"/>
                <w:b/>
                <w:bCs/>
                <w:sz w:val="20"/>
                <w:szCs w:val="20"/>
                <w:lang w:val="en-GB" w:eastAsia="en-GB"/>
              </w:rPr>
              <w:t xml:space="preserve">Table </w:t>
            </w:r>
            <w:r w:rsidR="002808A2" w:rsidRPr="003A6DFC">
              <w:rPr>
                <w:rFonts w:ascii="Century" w:eastAsia="Times New Roman" w:hAnsi="Century" w:cs="Calibri"/>
                <w:b/>
                <w:bCs/>
                <w:sz w:val="20"/>
                <w:szCs w:val="20"/>
                <w:lang w:val="en-GB" w:eastAsia="en-GB"/>
              </w:rPr>
              <w:t>1</w:t>
            </w:r>
            <w:r w:rsidRPr="003A6DFC">
              <w:rPr>
                <w:rFonts w:ascii="Century" w:eastAsia="Times New Roman" w:hAnsi="Century" w:cs="Calibri"/>
                <w:b/>
                <w:bCs/>
                <w:sz w:val="20"/>
                <w:szCs w:val="20"/>
                <w:lang w:val="en-GB" w:eastAsia="en-GB"/>
              </w:rPr>
              <w:t xml:space="preserve">. </w:t>
            </w:r>
            <w:r w:rsidR="000F288A" w:rsidRPr="003A6DFC">
              <w:rPr>
                <w:rFonts w:ascii="Century" w:eastAsia="Times New Roman" w:hAnsi="Century" w:cs="Calibri"/>
                <w:b/>
                <w:bCs/>
                <w:sz w:val="20"/>
                <w:szCs w:val="20"/>
                <w:lang w:val="en-GB" w:eastAsia="en-GB"/>
              </w:rPr>
              <w:t xml:space="preserve">Distribution </w:t>
            </w:r>
            <w:r w:rsidRPr="003A6DFC">
              <w:rPr>
                <w:rFonts w:ascii="Century" w:eastAsia="Times New Roman" w:hAnsi="Century" w:cs="Calibri"/>
                <w:b/>
                <w:bCs/>
                <w:sz w:val="20"/>
                <w:szCs w:val="20"/>
                <w:lang w:val="en-GB" w:eastAsia="en-GB"/>
              </w:rPr>
              <w:t xml:space="preserve">of SAH responses in </w:t>
            </w:r>
            <w:r w:rsidR="004C2134" w:rsidRPr="003A6DFC">
              <w:rPr>
                <w:rFonts w:ascii="Century" w:eastAsia="Times New Roman" w:hAnsi="Century" w:cs="Calibri"/>
                <w:b/>
                <w:bCs/>
                <w:sz w:val="20"/>
                <w:szCs w:val="20"/>
                <w:lang w:val="en-GB" w:eastAsia="en-GB"/>
              </w:rPr>
              <w:t>s</w:t>
            </w:r>
            <w:r w:rsidRPr="003A6DFC">
              <w:rPr>
                <w:rFonts w:ascii="Century" w:eastAsia="Times New Roman" w:hAnsi="Century" w:cs="Calibri"/>
                <w:b/>
                <w:bCs/>
                <w:sz w:val="20"/>
                <w:szCs w:val="20"/>
                <w:lang w:val="en-GB" w:eastAsia="en-GB"/>
              </w:rPr>
              <w:t xml:space="preserve">elf-completion </w:t>
            </w:r>
            <w:r w:rsidR="000F288A" w:rsidRPr="003A6DFC">
              <w:rPr>
                <w:rFonts w:ascii="Century" w:eastAsia="Times New Roman" w:hAnsi="Century" w:cs="Calibri"/>
                <w:b/>
                <w:bCs/>
                <w:sz w:val="20"/>
                <w:szCs w:val="20"/>
                <w:lang w:val="en-GB" w:eastAsia="en-GB"/>
              </w:rPr>
              <w:t>versus the o</w:t>
            </w:r>
            <w:r w:rsidRPr="003A6DFC">
              <w:rPr>
                <w:rFonts w:ascii="Century" w:eastAsia="Times New Roman" w:hAnsi="Century" w:cs="Calibri"/>
                <w:b/>
                <w:bCs/>
                <w:sz w:val="20"/>
                <w:szCs w:val="20"/>
                <w:lang w:val="en-GB" w:eastAsia="en-GB"/>
              </w:rPr>
              <w:t>pen interview</w:t>
            </w:r>
            <w:r w:rsidR="005E6954" w:rsidRPr="003A6DFC">
              <w:rPr>
                <w:rFonts w:ascii="Century" w:eastAsia="Times New Roman" w:hAnsi="Century" w:cs="Calibri"/>
                <w:b/>
                <w:bCs/>
                <w:sz w:val="20"/>
                <w:szCs w:val="20"/>
                <w:lang w:val="en-GB" w:eastAsia="en-GB"/>
              </w:rPr>
              <w:t xml:space="preserve"> questionnaire</w:t>
            </w:r>
            <w:r w:rsidR="00F97C22" w:rsidRPr="003A6DFC">
              <w:rPr>
                <w:rFonts w:ascii="Century" w:eastAsia="Times New Roman" w:hAnsi="Century" w:cs="Calibri"/>
                <w:b/>
                <w:bCs/>
                <w:sz w:val="20"/>
                <w:szCs w:val="20"/>
                <w:lang w:val="en-GB" w:eastAsia="en-GB"/>
              </w:rPr>
              <w:t xml:space="preserve">. </w:t>
            </w:r>
          </w:p>
        </w:tc>
      </w:tr>
      <w:tr w:rsidR="005E6954" w:rsidRPr="003A6DFC" w14:paraId="3A53230A" w14:textId="77777777" w:rsidTr="00E270A9">
        <w:trPr>
          <w:trHeight w:val="288"/>
          <w:tblHeader/>
          <w:jc w:val="center"/>
        </w:trPr>
        <w:tc>
          <w:tcPr>
            <w:tcW w:w="2420" w:type="dxa"/>
            <w:vMerge w:val="restart"/>
            <w:tcBorders>
              <w:top w:val="nil"/>
              <w:left w:val="nil"/>
              <w:right w:val="nil"/>
            </w:tcBorders>
            <w:shd w:val="clear" w:color="auto" w:fill="auto"/>
            <w:vAlign w:val="center"/>
            <w:hideMark/>
          </w:tcPr>
          <w:p w14:paraId="0CCAD5CF" w14:textId="34319F40" w:rsidR="005E6954" w:rsidRPr="003A6DFC" w:rsidRDefault="005E6954" w:rsidP="00301B10">
            <w:pPr>
              <w:spacing w:after="0" w:line="240" w:lineRule="auto"/>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Self-completion interview</w:t>
            </w:r>
          </w:p>
        </w:tc>
        <w:tc>
          <w:tcPr>
            <w:tcW w:w="8371" w:type="dxa"/>
            <w:gridSpan w:val="6"/>
            <w:tcBorders>
              <w:top w:val="nil"/>
              <w:left w:val="nil"/>
              <w:bottom w:val="single" w:sz="4" w:space="0" w:color="auto"/>
              <w:right w:val="nil"/>
            </w:tcBorders>
            <w:shd w:val="clear" w:color="auto" w:fill="auto"/>
            <w:vAlign w:val="center"/>
            <w:hideMark/>
          </w:tcPr>
          <w:p w14:paraId="2E42235B" w14:textId="341E99DF" w:rsidR="005E6954" w:rsidRPr="003A6DFC" w:rsidRDefault="005E6954" w:rsidP="005E295F">
            <w:pPr>
              <w:spacing w:after="0" w:line="240" w:lineRule="auto"/>
              <w:jc w:val="center"/>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Open interview</w:t>
            </w:r>
          </w:p>
        </w:tc>
      </w:tr>
      <w:tr w:rsidR="00A21C33" w:rsidRPr="003A6DFC" w14:paraId="4B788B10" w14:textId="77777777" w:rsidTr="005E6954">
        <w:trPr>
          <w:trHeight w:val="58"/>
          <w:tblHeader/>
          <w:jc w:val="center"/>
        </w:trPr>
        <w:tc>
          <w:tcPr>
            <w:tcW w:w="2420" w:type="dxa"/>
            <w:vMerge/>
            <w:tcBorders>
              <w:left w:val="nil"/>
              <w:bottom w:val="single" w:sz="4" w:space="0" w:color="auto"/>
              <w:right w:val="nil"/>
            </w:tcBorders>
            <w:shd w:val="clear" w:color="auto" w:fill="auto"/>
            <w:vAlign w:val="center"/>
            <w:hideMark/>
          </w:tcPr>
          <w:p w14:paraId="22740D54" w14:textId="77777777" w:rsidR="00A21C33" w:rsidRPr="003A6DFC" w:rsidRDefault="00A21C33" w:rsidP="005E295F">
            <w:pPr>
              <w:spacing w:after="0" w:line="240" w:lineRule="auto"/>
              <w:rPr>
                <w:rFonts w:ascii="Century" w:eastAsia="Times New Roman" w:hAnsi="Century" w:cs="Calibri"/>
                <w:b/>
                <w:bCs/>
                <w:sz w:val="16"/>
                <w:szCs w:val="16"/>
                <w:lang w:val="en-GB" w:eastAsia="en-GB"/>
              </w:rPr>
            </w:pPr>
          </w:p>
        </w:tc>
        <w:tc>
          <w:tcPr>
            <w:tcW w:w="1395" w:type="dxa"/>
            <w:tcBorders>
              <w:top w:val="nil"/>
              <w:left w:val="nil"/>
              <w:bottom w:val="single" w:sz="4" w:space="0" w:color="auto"/>
              <w:right w:val="nil"/>
            </w:tcBorders>
            <w:shd w:val="clear" w:color="auto" w:fill="auto"/>
            <w:vAlign w:val="center"/>
            <w:hideMark/>
          </w:tcPr>
          <w:p w14:paraId="5930090F" w14:textId="77777777" w:rsidR="00A21C33" w:rsidRPr="003A6DFC" w:rsidRDefault="00A21C33" w:rsidP="005E295F">
            <w:pPr>
              <w:spacing w:after="0" w:line="240" w:lineRule="auto"/>
              <w:jc w:val="center"/>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Excellent</w:t>
            </w:r>
          </w:p>
        </w:tc>
        <w:tc>
          <w:tcPr>
            <w:tcW w:w="1395" w:type="dxa"/>
            <w:tcBorders>
              <w:top w:val="nil"/>
              <w:left w:val="nil"/>
              <w:bottom w:val="single" w:sz="4" w:space="0" w:color="auto"/>
              <w:right w:val="nil"/>
            </w:tcBorders>
            <w:shd w:val="clear" w:color="auto" w:fill="auto"/>
            <w:vAlign w:val="center"/>
            <w:hideMark/>
          </w:tcPr>
          <w:p w14:paraId="22D87179" w14:textId="77777777" w:rsidR="00A21C33" w:rsidRPr="003A6DFC" w:rsidRDefault="00A21C33" w:rsidP="005E295F">
            <w:pPr>
              <w:spacing w:after="0" w:line="240" w:lineRule="auto"/>
              <w:jc w:val="center"/>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Very good</w:t>
            </w:r>
          </w:p>
        </w:tc>
        <w:tc>
          <w:tcPr>
            <w:tcW w:w="1395" w:type="dxa"/>
            <w:tcBorders>
              <w:top w:val="nil"/>
              <w:left w:val="nil"/>
              <w:bottom w:val="single" w:sz="4" w:space="0" w:color="auto"/>
              <w:right w:val="nil"/>
            </w:tcBorders>
            <w:shd w:val="clear" w:color="auto" w:fill="auto"/>
            <w:vAlign w:val="center"/>
            <w:hideMark/>
          </w:tcPr>
          <w:p w14:paraId="6485ED72" w14:textId="77777777" w:rsidR="00A21C33" w:rsidRPr="003A6DFC" w:rsidRDefault="00A21C33" w:rsidP="005E295F">
            <w:pPr>
              <w:spacing w:after="0" w:line="240" w:lineRule="auto"/>
              <w:jc w:val="center"/>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Good</w:t>
            </w:r>
          </w:p>
        </w:tc>
        <w:tc>
          <w:tcPr>
            <w:tcW w:w="1395" w:type="dxa"/>
            <w:tcBorders>
              <w:top w:val="nil"/>
              <w:left w:val="nil"/>
              <w:bottom w:val="single" w:sz="4" w:space="0" w:color="auto"/>
              <w:right w:val="nil"/>
            </w:tcBorders>
            <w:shd w:val="clear" w:color="auto" w:fill="auto"/>
            <w:vAlign w:val="center"/>
            <w:hideMark/>
          </w:tcPr>
          <w:p w14:paraId="00F31AFD" w14:textId="77777777" w:rsidR="00A21C33" w:rsidRPr="003A6DFC" w:rsidRDefault="00A21C33" w:rsidP="005E295F">
            <w:pPr>
              <w:spacing w:after="0" w:line="240" w:lineRule="auto"/>
              <w:jc w:val="center"/>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Fair</w:t>
            </w:r>
          </w:p>
        </w:tc>
        <w:tc>
          <w:tcPr>
            <w:tcW w:w="1395" w:type="dxa"/>
            <w:tcBorders>
              <w:top w:val="nil"/>
              <w:left w:val="nil"/>
              <w:bottom w:val="single" w:sz="4" w:space="0" w:color="auto"/>
              <w:right w:val="nil"/>
            </w:tcBorders>
            <w:shd w:val="clear" w:color="auto" w:fill="auto"/>
            <w:vAlign w:val="center"/>
            <w:hideMark/>
          </w:tcPr>
          <w:p w14:paraId="095F16F5" w14:textId="77777777" w:rsidR="00A21C33" w:rsidRPr="003A6DFC" w:rsidRDefault="00A21C33" w:rsidP="005E295F">
            <w:pPr>
              <w:spacing w:after="0" w:line="240" w:lineRule="auto"/>
              <w:jc w:val="center"/>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Poor</w:t>
            </w:r>
          </w:p>
        </w:tc>
        <w:tc>
          <w:tcPr>
            <w:tcW w:w="1396" w:type="dxa"/>
            <w:tcBorders>
              <w:top w:val="nil"/>
              <w:left w:val="nil"/>
              <w:bottom w:val="single" w:sz="4" w:space="0" w:color="auto"/>
              <w:right w:val="nil"/>
            </w:tcBorders>
            <w:shd w:val="clear" w:color="auto" w:fill="auto"/>
            <w:vAlign w:val="center"/>
            <w:hideMark/>
          </w:tcPr>
          <w:p w14:paraId="20006D94" w14:textId="77777777" w:rsidR="00A21C33" w:rsidRPr="003A6DFC" w:rsidRDefault="00A21C33" w:rsidP="005E6954">
            <w:pPr>
              <w:spacing w:after="0" w:line="240" w:lineRule="auto"/>
              <w:jc w:val="center"/>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Total</w:t>
            </w:r>
          </w:p>
        </w:tc>
      </w:tr>
      <w:tr w:rsidR="00A0613F" w:rsidRPr="003A6DFC" w14:paraId="16CA4500" w14:textId="77777777" w:rsidTr="005E6954">
        <w:trPr>
          <w:trHeight w:val="288"/>
          <w:tblHeader/>
          <w:jc w:val="center"/>
        </w:trPr>
        <w:tc>
          <w:tcPr>
            <w:tcW w:w="2420" w:type="dxa"/>
            <w:tcBorders>
              <w:top w:val="nil"/>
              <w:left w:val="nil"/>
              <w:bottom w:val="nil"/>
              <w:right w:val="nil"/>
            </w:tcBorders>
            <w:shd w:val="clear" w:color="auto" w:fill="auto"/>
            <w:noWrap/>
            <w:vAlign w:val="center"/>
            <w:hideMark/>
          </w:tcPr>
          <w:p w14:paraId="6A7BC129" w14:textId="77777777" w:rsidR="00A0613F" w:rsidRPr="003A6DFC" w:rsidRDefault="00A0613F" w:rsidP="00A0613F">
            <w:pPr>
              <w:spacing w:after="0" w:line="240" w:lineRule="auto"/>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Excellent</w:t>
            </w:r>
          </w:p>
        </w:tc>
        <w:tc>
          <w:tcPr>
            <w:tcW w:w="1395" w:type="dxa"/>
            <w:tcBorders>
              <w:top w:val="nil"/>
              <w:left w:val="nil"/>
              <w:bottom w:val="nil"/>
              <w:right w:val="nil"/>
            </w:tcBorders>
            <w:shd w:val="clear" w:color="auto" w:fill="auto"/>
            <w:noWrap/>
            <w:vAlign w:val="center"/>
            <w:hideMark/>
          </w:tcPr>
          <w:p w14:paraId="28AE2A0C" w14:textId="3B8F3B79"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12,015 (80.12%)</w:t>
            </w:r>
          </w:p>
        </w:tc>
        <w:tc>
          <w:tcPr>
            <w:tcW w:w="1395" w:type="dxa"/>
            <w:tcBorders>
              <w:top w:val="nil"/>
              <w:left w:val="nil"/>
              <w:bottom w:val="nil"/>
              <w:right w:val="nil"/>
            </w:tcBorders>
            <w:shd w:val="clear" w:color="auto" w:fill="auto"/>
            <w:noWrap/>
            <w:vAlign w:val="center"/>
            <w:hideMark/>
          </w:tcPr>
          <w:p w14:paraId="3C8FD445" w14:textId="165C7E27"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2,283 (15.22%)</w:t>
            </w:r>
          </w:p>
        </w:tc>
        <w:tc>
          <w:tcPr>
            <w:tcW w:w="1395" w:type="dxa"/>
            <w:tcBorders>
              <w:top w:val="nil"/>
              <w:left w:val="nil"/>
              <w:bottom w:val="nil"/>
              <w:right w:val="nil"/>
            </w:tcBorders>
            <w:shd w:val="clear" w:color="auto" w:fill="auto"/>
            <w:noWrap/>
            <w:vAlign w:val="center"/>
            <w:hideMark/>
          </w:tcPr>
          <w:p w14:paraId="74CF2099" w14:textId="0381D09E"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578 (3.85%)</w:t>
            </w:r>
          </w:p>
        </w:tc>
        <w:tc>
          <w:tcPr>
            <w:tcW w:w="1395" w:type="dxa"/>
            <w:tcBorders>
              <w:top w:val="nil"/>
              <w:left w:val="nil"/>
              <w:bottom w:val="nil"/>
              <w:right w:val="nil"/>
            </w:tcBorders>
            <w:shd w:val="clear" w:color="auto" w:fill="auto"/>
            <w:noWrap/>
            <w:vAlign w:val="center"/>
            <w:hideMark/>
          </w:tcPr>
          <w:p w14:paraId="49227D00" w14:textId="22C5EE35"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85 (0.57%)</w:t>
            </w:r>
          </w:p>
        </w:tc>
        <w:tc>
          <w:tcPr>
            <w:tcW w:w="1395" w:type="dxa"/>
            <w:tcBorders>
              <w:top w:val="nil"/>
              <w:left w:val="nil"/>
              <w:bottom w:val="nil"/>
              <w:right w:val="nil"/>
            </w:tcBorders>
            <w:shd w:val="clear" w:color="auto" w:fill="auto"/>
            <w:noWrap/>
            <w:vAlign w:val="center"/>
            <w:hideMark/>
          </w:tcPr>
          <w:p w14:paraId="4B2246BC" w14:textId="05432566"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35 (0.23%)</w:t>
            </w:r>
          </w:p>
        </w:tc>
        <w:tc>
          <w:tcPr>
            <w:tcW w:w="1396" w:type="dxa"/>
            <w:tcBorders>
              <w:top w:val="nil"/>
              <w:left w:val="nil"/>
              <w:bottom w:val="nil"/>
              <w:right w:val="nil"/>
            </w:tcBorders>
            <w:shd w:val="clear" w:color="auto" w:fill="auto"/>
            <w:noWrap/>
            <w:vAlign w:val="center"/>
            <w:hideMark/>
          </w:tcPr>
          <w:p w14:paraId="7D007D0D" w14:textId="4E39C60B" w:rsidR="00A0613F" w:rsidRPr="003A6DFC" w:rsidRDefault="00A0613F" w:rsidP="005E6954">
            <w:pPr>
              <w:spacing w:after="0" w:line="240" w:lineRule="auto"/>
              <w:jc w:val="center"/>
              <w:rPr>
                <w:rFonts w:ascii="Century" w:eastAsia="Times New Roman" w:hAnsi="Century" w:cs="Calibri"/>
                <w:sz w:val="16"/>
                <w:szCs w:val="16"/>
                <w:lang w:val="en-GB" w:eastAsia="en-GB"/>
              </w:rPr>
            </w:pPr>
            <w:proofErr w:type="gramStart"/>
            <w:r w:rsidRPr="003A6DFC">
              <w:rPr>
                <w:rFonts w:ascii="Century" w:hAnsi="Century" w:cs="Calibri"/>
                <w:b/>
                <w:bCs/>
                <w:color w:val="000000"/>
                <w:sz w:val="16"/>
                <w:szCs w:val="16"/>
                <w:lang w:val="pt-BR"/>
              </w:rPr>
              <w:t xml:space="preserve">14,996 </w:t>
            </w:r>
            <w:r w:rsidR="005E6954" w:rsidRPr="003A6DFC">
              <w:rPr>
                <w:rFonts w:ascii="Century" w:hAnsi="Century" w:cs="Calibri"/>
                <w:b/>
                <w:bCs/>
                <w:color w:val="000000"/>
                <w:sz w:val="16"/>
                <w:szCs w:val="16"/>
                <w:lang w:val="pt-BR"/>
              </w:rPr>
              <w:t xml:space="preserve"> (</w:t>
            </w:r>
            <w:proofErr w:type="gramEnd"/>
            <w:r w:rsidR="005E6954" w:rsidRPr="003A6DFC">
              <w:rPr>
                <w:rFonts w:ascii="Century" w:hAnsi="Century" w:cs="Calibri"/>
                <w:b/>
                <w:bCs/>
                <w:color w:val="000000"/>
                <w:sz w:val="16"/>
                <w:szCs w:val="16"/>
                <w:lang w:val="pt-BR"/>
              </w:rPr>
              <w:t>100%)</w:t>
            </w:r>
          </w:p>
        </w:tc>
      </w:tr>
      <w:tr w:rsidR="00A0613F" w:rsidRPr="003A6DFC" w14:paraId="55488B43" w14:textId="77777777" w:rsidTr="005E6954">
        <w:trPr>
          <w:trHeight w:val="288"/>
          <w:tblHeader/>
          <w:jc w:val="center"/>
        </w:trPr>
        <w:tc>
          <w:tcPr>
            <w:tcW w:w="2420" w:type="dxa"/>
            <w:tcBorders>
              <w:top w:val="nil"/>
              <w:left w:val="nil"/>
              <w:bottom w:val="nil"/>
              <w:right w:val="nil"/>
            </w:tcBorders>
            <w:shd w:val="clear" w:color="auto" w:fill="auto"/>
            <w:noWrap/>
            <w:vAlign w:val="center"/>
            <w:hideMark/>
          </w:tcPr>
          <w:p w14:paraId="68C5CC6A" w14:textId="77777777" w:rsidR="00A0613F" w:rsidRPr="003A6DFC" w:rsidRDefault="00A0613F" w:rsidP="00A0613F">
            <w:pPr>
              <w:spacing w:after="0" w:line="240" w:lineRule="auto"/>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Very good</w:t>
            </w:r>
          </w:p>
        </w:tc>
        <w:tc>
          <w:tcPr>
            <w:tcW w:w="1395" w:type="dxa"/>
            <w:tcBorders>
              <w:top w:val="nil"/>
              <w:left w:val="nil"/>
              <w:bottom w:val="nil"/>
              <w:right w:val="nil"/>
            </w:tcBorders>
            <w:shd w:val="clear" w:color="auto" w:fill="auto"/>
            <w:noWrap/>
            <w:vAlign w:val="center"/>
            <w:hideMark/>
          </w:tcPr>
          <w:p w14:paraId="0740004A" w14:textId="00E96F39"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2,365 (7.22%)</w:t>
            </w:r>
          </w:p>
        </w:tc>
        <w:tc>
          <w:tcPr>
            <w:tcW w:w="1395" w:type="dxa"/>
            <w:tcBorders>
              <w:top w:val="nil"/>
              <w:left w:val="nil"/>
              <w:bottom w:val="nil"/>
              <w:right w:val="nil"/>
            </w:tcBorders>
            <w:shd w:val="clear" w:color="auto" w:fill="auto"/>
            <w:noWrap/>
            <w:vAlign w:val="center"/>
            <w:hideMark/>
          </w:tcPr>
          <w:p w14:paraId="3D57BB13" w14:textId="75606A98"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25,738 (78.63%)</w:t>
            </w:r>
          </w:p>
        </w:tc>
        <w:tc>
          <w:tcPr>
            <w:tcW w:w="1395" w:type="dxa"/>
            <w:tcBorders>
              <w:top w:val="nil"/>
              <w:left w:val="nil"/>
              <w:bottom w:val="nil"/>
              <w:right w:val="nil"/>
            </w:tcBorders>
            <w:shd w:val="clear" w:color="auto" w:fill="auto"/>
            <w:noWrap/>
            <w:vAlign w:val="center"/>
            <w:hideMark/>
          </w:tcPr>
          <w:p w14:paraId="69B09779" w14:textId="31277247"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4,321 (13.20%)</w:t>
            </w:r>
          </w:p>
        </w:tc>
        <w:tc>
          <w:tcPr>
            <w:tcW w:w="1395" w:type="dxa"/>
            <w:tcBorders>
              <w:top w:val="nil"/>
              <w:left w:val="nil"/>
              <w:bottom w:val="nil"/>
              <w:right w:val="nil"/>
            </w:tcBorders>
            <w:shd w:val="clear" w:color="auto" w:fill="auto"/>
            <w:noWrap/>
            <w:vAlign w:val="center"/>
            <w:hideMark/>
          </w:tcPr>
          <w:p w14:paraId="36AFF96A" w14:textId="6A023C1A"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293 (0.90%)</w:t>
            </w:r>
          </w:p>
        </w:tc>
        <w:tc>
          <w:tcPr>
            <w:tcW w:w="1395" w:type="dxa"/>
            <w:tcBorders>
              <w:top w:val="nil"/>
              <w:left w:val="nil"/>
              <w:bottom w:val="nil"/>
              <w:right w:val="nil"/>
            </w:tcBorders>
            <w:shd w:val="clear" w:color="auto" w:fill="auto"/>
            <w:noWrap/>
            <w:vAlign w:val="center"/>
            <w:hideMark/>
          </w:tcPr>
          <w:p w14:paraId="18002609" w14:textId="15E9FAC9"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17 (0.05%)</w:t>
            </w:r>
          </w:p>
        </w:tc>
        <w:tc>
          <w:tcPr>
            <w:tcW w:w="1396" w:type="dxa"/>
            <w:tcBorders>
              <w:top w:val="nil"/>
              <w:left w:val="nil"/>
              <w:bottom w:val="nil"/>
              <w:right w:val="nil"/>
            </w:tcBorders>
            <w:shd w:val="clear" w:color="auto" w:fill="auto"/>
            <w:noWrap/>
            <w:vAlign w:val="center"/>
            <w:hideMark/>
          </w:tcPr>
          <w:p w14:paraId="58BFE888" w14:textId="0719C9B2" w:rsidR="00A0613F" w:rsidRPr="003A6DFC" w:rsidRDefault="00A0613F" w:rsidP="005E6954">
            <w:pPr>
              <w:spacing w:after="0" w:line="240" w:lineRule="auto"/>
              <w:jc w:val="center"/>
              <w:rPr>
                <w:rFonts w:ascii="Century" w:hAnsi="Century" w:cs="Calibri"/>
                <w:b/>
                <w:bCs/>
                <w:color w:val="000000"/>
                <w:sz w:val="16"/>
                <w:szCs w:val="16"/>
                <w:lang w:val="pt-BR"/>
              </w:rPr>
            </w:pPr>
            <w:r w:rsidRPr="003A6DFC">
              <w:rPr>
                <w:rFonts w:ascii="Century" w:hAnsi="Century" w:cs="Calibri"/>
                <w:b/>
                <w:bCs/>
                <w:color w:val="000000"/>
                <w:sz w:val="16"/>
                <w:szCs w:val="16"/>
                <w:lang w:val="pt-BR"/>
              </w:rPr>
              <w:t>32,734</w:t>
            </w:r>
            <w:r w:rsidR="005E6954" w:rsidRPr="003A6DFC">
              <w:rPr>
                <w:rFonts w:ascii="Century" w:hAnsi="Century" w:cs="Calibri"/>
                <w:b/>
                <w:bCs/>
                <w:color w:val="000000"/>
                <w:sz w:val="16"/>
                <w:szCs w:val="16"/>
                <w:lang w:val="pt-BR"/>
              </w:rPr>
              <w:t xml:space="preserve"> (100%)</w:t>
            </w:r>
          </w:p>
        </w:tc>
      </w:tr>
      <w:tr w:rsidR="00A0613F" w:rsidRPr="003A6DFC" w14:paraId="301D836A" w14:textId="77777777" w:rsidTr="005E6954">
        <w:trPr>
          <w:trHeight w:val="288"/>
          <w:tblHeader/>
          <w:jc w:val="center"/>
        </w:trPr>
        <w:tc>
          <w:tcPr>
            <w:tcW w:w="2420" w:type="dxa"/>
            <w:tcBorders>
              <w:top w:val="nil"/>
              <w:left w:val="nil"/>
              <w:bottom w:val="nil"/>
              <w:right w:val="nil"/>
            </w:tcBorders>
            <w:shd w:val="clear" w:color="auto" w:fill="auto"/>
            <w:noWrap/>
            <w:vAlign w:val="center"/>
            <w:hideMark/>
          </w:tcPr>
          <w:p w14:paraId="5B136BB8" w14:textId="77777777" w:rsidR="00A0613F" w:rsidRPr="003A6DFC" w:rsidRDefault="00A0613F" w:rsidP="00A0613F">
            <w:pPr>
              <w:spacing w:after="0" w:line="240" w:lineRule="auto"/>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Good</w:t>
            </w:r>
          </w:p>
        </w:tc>
        <w:tc>
          <w:tcPr>
            <w:tcW w:w="1395" w:type="dxa"/>
            <w:tcBorders>
              <w:top w:val="nil"/>
              <w:left w:val="nil"/>
              <w:bottom w:val="nil"/>
              <w:right w:val="nil"/>
            </w:tcBorders>
            <w:shd w:val="clear" w:color="auto" w:fill="auto"/>
            <w:noWrap/>
            <w:vAlign w:val="center"/>
            <w:hideMark/>
          </w:tcPr>
          <w:p w14:paraId="13185EA5" w14:textId="1DDC7301"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396 (1.51%)</w:t>
            </w:r>
          </w:p>
        </w:tc>
        <w:tc>
          <w:tcPr>
            <w:tcW w:w="1395" w:type="dxa"/>
            <w:tcBorders>
              <w:top w:val="nil"/>
              <w:left w:val="nil"/>
              <w:bottom w:val="nil"/>
              <w:right w:val="nil"/>
            </w:tcBorders>
            <w:shd w:val="clear" w:color="auto" w:fill="auto"/>
            <w:noWrap/>
            <w:vAlign w:val="center"/>
            <w:hideMark/>
          </w:tcPr>
          <w:p w14:paraId="28F38987" w14:textId="0EE6390D"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3,849 (14.65%)</w:t>
            </w:r>
          </w:p>
        </w:tc>
        <w:tc>
          <w:tcPr>
            <w:tcW w:w="1395" w:type="dxa"/>
            <w:tcBorders>
              <w:top w:val="nil"/>
              <w:left w:val="nil"/>
              <w:bottom w:val="nil"/>
              <w:right w:val="nil"/>
            </w:tcBorders>
            <w:shd w:val="clear" w:color="auto" w:fill="auto"/>
            <w:noWrap/>
            <w:vAlign w:val="center"/>
            <w:hideMark/>
          </w:tcPr>
          <w:p w14:paraId="21EFD29E" w14:textId="5157DD5E"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19,926 (75.83%)</w:t>
            </w:r>
          </w:p>
        </w:tc>
        <w:tc>
          <w:tcPr>
            <w:tcW w:w="1395" w:type="dxa"/>
            <w:tcBorders>
              <w:top w:val="nil"/>
              <w:left w:val="nil"/>
              <w:bottom w:val="nil"/>
              <w:right w:val="nil"/>
            </w:tcBorders>
            <w:shd w:val="clear" w:color="auto" w:fill="auto"/>
            <w:noWrap/>
            <w:vAlign w:val="center"/>
            <w:hideMark/>
          </w:tcPr>
          <w:p w14:paraId="086FB152" w14:textId="588A65FC"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2,026 (7.71%)</w:t>
            </w:r>
          </w:p>
        </w:tc>
        <w:tc>
          <w:tcPr>
            <w:tcW w:w="1395" w:type="dxa"/>
            <w:tcBorders>
              <w:top w:val="nil"/>
              <w:left w:val="nil"/>
              <w:bottom w:val="nil"/>
              <w:right w:val="nil"/>
            </w:tcBorders>
            <w:shd w:val="clear" w:color="auto" w:fill="auto"/>
            <w:noWrap/>
            <w:vAlign w:val="center"/>
            <w:hideMark/>
          </w:tcPr>
          <w:p w14:paraId="3FF259ED" w14:textId="4A0110AA"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80 (0.30%)</w:t>
            </w:r>
          </w:p>
        </w:tc>
        <w:tc>
          <w:tcPr>
            <w:tcW w:w="1396" w:type="dxa"/>
            <w:tcBorders>
              <w:top w:val="nil"/>
              <w:left w:val="nil"/>
              <w:bottom w:val="nil"/>
              <w:right w:val="nil"/>
            </w:tcBorders>
            <w:shd w:val="clear" w:color="auto" w:fill="auto"/>
            <w:noWrap/>
            <w:vAlign w:val="center"/>
            <w:hideMark/>
          </w:tcPr>
          <w:p w14:paraId="4F70A958" w14:textId="035B6345" w:rsidR="00A0613F" w:rsidRPr="003A6DFC" w:rsidRDefault="00A0613F" w:rsidP="005E6954">
            <w:pPr>
              <w:spacing w:after="0" w:line="240" w:lineRule="auto"/>
              <w:jc w:val="center"/>
              <w:rPr>
                <w:rFonts w:ascii="Century" w:hAnsi="Century" w:cs="Calibri"/>
                <w:b/>
                <w:bCs/>
                <w:color w:val="000000"/>
                <w:sz w:val="16"/>
                <w:szCs w:val="16"/>
                <w:lang w:val="pt-BR"/>
              </w:rPr>
            </w:pPr>
            <w:r w:rsidRPr="003A6DFC">
              <w:rPr>
                <w:rFonts w:ascii="Century" w:hAnsi="Century" w:cs="Calibri"/>
                <w:b/>
                <w:bCs/>
                <w:color w:val="000000"/>
                <w:sz w:val="16"/>
                <w:szCs w:val="16"/>
                <w:lang w:val="pt-BR"/>
              </w:rPr>
              <w:t>26,277</w:t>
            </w:r>
            <w:r w:rsidR="005E6954" w:rsidRPr="003A6DFC">
              <w:rPr>
                <w:rFonts w:ascii="Century" w:hAnsi="Century" w:cs="Calibri"/>
                <w:b/>
                <w:bCs/>
                <w:color w:val="000000"/>
                <w:sz w:val="16"/>
                <w:szCs w:val="16"/>
                <w:lang w:val="pt-BR"/>
              </w:rPr>
              <w:t xml:space="preserve"> (100%)</w:t>
            </w:r>
          </w:p>
        </w:tc>
      </w:tr>
      <w:tr w:rsidR="00A0613F" w:rsidRPr="003A6DFC" w14:paraId="48CDF703" w14:textId="77777777" w:rsidTr="005E6954">
        <w:trPr>
          <w:trHeight w:val="288"/>
          <w:tblHeader/>
          <w:jc w:val="center"/>
        </w:trPr>
        <w:tc>
          <w:tcPr>
            <w:tcW w:w="2420" w:type="dxa"/>
            <w:tcBorders>
              <w:top w:val="nil"/>
              <w:left w:val="nil"/>
              <w:bottom w:val="nil"/>
              <w:right w:val="nil"/>
            </w:tcBorders>
            <w:shd w:val="clear" w:color="auto" w:fill="auto"/>
            <w:noWrap/>
            <w:vAlign w:val="center"/>
            <w:hideMark/>
          </w:tcPr>
          <w:p w14:paraId="7747494E" w14:textId="77777777" w:rsidR="00A0613F" w:rsidRPr="003A6DFC" w:rsidRDefault="00A0613F" w:rsidP="00A0613F">
            <w:pPr>
              <w:spacing w:after="0" w:line="240" w:lineRule="auto"/>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Fair</w:t>
            </w:r>
          </w:p>
        </w:tc>
        <w:tc>
          <w:tcPr>
            <w:tcW w:w="1395" w:type="dxa"/>
            <w:tcBorders>
              <w:top w:val="nil"/>
              <w:left w:val="nil"/>
              <w:bottom w:val="nil"/>
              <w:right w:val="nil"/>
            </w:tcBorders>
            <w:shd w:val="clear" w:color="auto" w:fill="auto"/>
            <w:noWrap/>
            <w:vAlign w:val="center"/>
            <w:hideMark/>
          </w:tcPr>
          <w:p w14:paraId="04D42056" w14:textId="6C9327F2"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46 (0.37%)</w:t>
            </w:r>
          </w:p>
        </w:tc>
        <w:tc>
          <w:tcPr>
            <w:tcW w:w="1395" w:type="dxa"/>
            <w:tcBorders>
              <w:top w:val="nil"/>
              <w:left w:val="nil"/>
              <w:bottom w:val="nil"/>
              <w:right w:val="nil"/>
            </w:tcBorders>
            <w:shd w:val="clear" w:color="auto" w:fill="auto"/>
            <w:noWrap/>
            <w:vAlign w:val="center"/>
            <w:hideMark/>
          </w:tcPr>
          <w:p w14:paraId="58E94567" w14:textId="48AB8056"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261 (2.09%)</w:t>
            </w:r>
          </w:p>
        </w:tc>
        <w:tc>
          <w:tcPr>
            <w:tcW w:w="1395" w:type="dxa"/>
            <w:tcBorders>
              <w:top w:val="nil"/>
              <w:left w:val="nil"/>
              <w:bottom w:val="nil"/>
              <w:right w:val="nil"/>
            </w:tcBorders>
            <w:shd w:val="clear" w:color="auto" w:fill="auto"/>
            <w:noWrap/>
            <w:vAlign w:val="center"/>
            <w:hideMark/>
          </w:tcPr>
          <w:p w14:paraId="0818692C" w14:textId="32D4353E"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1,610 (12.92%)</w:t>
            </w:r>
          </w:p>
        </w:tc>
        <w:tc>
          <w:tcPr>
            <w:tcW w:w="1395" w:type="dxa"/>
            <w:tcBorders>
              <w:top w:val="nil"/>
              <w:left w:val="nil"/>
              <w:bottom w:val="nil"/>
              <w:right w:val="nil"/>
            </w:tcBorders>
            <w:shd w:val="clear" w:color="auto" w:fill="auto"/>
            <w:noWrap/>
            <w:vAlign w:val="center"/>
            <w:hideMark/>
          </w:tcPr>
          <w:p w14:paraId="2B876DEA" w14:textId="120B5A0D"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9,802 (78.64%)</w:t>
            </w:r>
          </w:p>
        </w:tc>
        <w:tc>
          <w:tcPr>
            <w:tcW w:w="1395" w:type="dxa"/>
            <w:tcBorders>
              <w:top w:val="nil"/>
              <w:left w:val="nil"/>
              <w:bottom w:val="nil"/>
              <w:right w:val="nil"/>
            </w:tcBorders>
            <w:shd w:val="clear" w:color="auto" w:fill="auto"/>
            <w:noWrap/>
            <w:vAlign w:val="center"/>
            <w:hideMark/>
          </w:tcPr>
          <w:p w14:paraId="059074F1" w14:textId="6C8E2A09"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745 (5.98%)</w:t>
            </w:r>
          </w:p>
        </w:tc>
        <w:tc>
          <w:tcPr>
            <w:tcW w:w="1396" w:type="dxa"/>
            <w:tcBorders>
              <w:top w:val="nil"/>
              <w:left w:val="nil"/>
              <w:bottom w:val="nil"/>
              <w:right w:val="nil"/>
            </w:tcBorders>
            <w:shd w:val="clear" w:color="auto" w:fill="auto"/>
            <w:noWrap/>
            <w:vAlign w:val="center"/>
            <w:hideMark/>
          </w:tcPr>
          <w:p w14:paraId="11E2E73E" w14:textId="63FC0AFB" w:rsidR="00A0613F" w:rsidRPr="003A6DFC" w:rsidRDefault="00A0613F" w:rsidP="005E6954">
            <w:pPr>
              <w:spacing w:after="0" w:line="240" w:lineRule="auto"/>
              <w:jc w:val="center"/>
              <w:rPr>
                <w:rFonts w:ascii="Century" w:hAnsi="Century" w:cs="Calibri"/>
                <w:b/>
                <w:bCs/>
                <w:color w:val="000000"/>
                <w:sz w:val="16"/>
                <w:szCs w:val="16"/>
                <w:lang w:val="pt-BR"/>
              </w:rPr>
            </w:pPr>
            <w:r w:rsidRPr="003A6DFC">
              <w:rPr>
                <w:rFonts w:ascii="Century" w:hAnsi="Century" w:cs="Calibri"/>
                <w:b/>
                <w:bCs/>
                <w:color w:val="000000"/>
                <w:sz w:val="16"/>
                <w:szCs w:val="16"/>
                <w:lang w:val="pt-BR"/>
              </w:rPr>
              <w:t>12,464</w:t>
            </w:r>
            <w:r w:rsidR="005E6954" w:rsidRPr="003A6DFC">
              <w:rPr>
                <w:rFonts w:ascii="Century" w:hAnsi="Century" w:cs="Calibri"/>
                <w:b/>
                <w:bCs/>
                <w:color w:val="000000"/>
                <w:sz w:val="16"/>
                <w:szCs w:val="16"/>
                <w:lang w:val="pt-BR"/>
              </w:rPr>
              <w:t xml:space="preserve"> (100%)</w:t>
            </w:r>
          </w:p>
        </w:tc>
      </w:tr>
      <w:tr w:rsidR="00A0613F" w:rsidRPr="003A6DFC" w14:paraId="40FE299E" w14:textId="77777777" w:rsidTr="005E6954">
        <w:trPr>
          <w:trHeight w:val="288"/>
          <w:tblHeader/>
          <w:jc w:val="center"/>
        </w:trPr>
        <w:tc>
          <w:tcPr>
            <w:tcW w:w="2420" w:type="dxa"/>
            <w:tcBorders>
              <w:top w:val="nil"/>
              <w:left w:val="nil"/>
              <w:bottom w:val="single" w:sz="4" w:space="0" w:color="auto"/>
              <w:right w:val="nil"/>
            </w:tcBorders>
            <w:shd w:val="clear" w:color="auto" w:fill="auto"/>
            <w:noWrap/>
            <w:vAlign w:val="center"/>
            <w:hideMark/>
          </w:tcPr>
          <w:p w14:paraId="2089FE7D" w14:textId="77777777" w:rsidR="00A0613F" w:rsidRPr="003A6DFC" w:rsidRDefault="00A0613F" w:rsidP="00A0613F">
            <w:pPr>
              <w:spacing w:after="0" w:line="240" w:lineRule="auto"/>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Poor</w:t>
            </w:r>
          </w:p>
        </w:tc>
        <w:tc>
          <w:tcPr>
            <w:tcW w:w="1395" w:type="dxa"/>
            <w:tcBorders>
              <w:top w:val="nil"/>
              <w:left w:val="nil"/>
              <w:bottom w:val="single" w:sz="4" w:space="0" w:color="auto"/>
              <w:right w:val="nil"/>
            </w:tcBorders>
            <w:shd w:val="clear" w:color="auto" w:fill="auto"/>
            <w:noWrap/>
            <w:vAlign w:val="center"/>
            <w:hideMark/>
          </w:tcPr>
          <w:p w14:paraId="68F4D76D" w14:textId="553E94CA"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7 (0.17%)</w:t>
            </w:r>
          </w:p>
        </w:tc>
        <w:tc>
          <w:tcPr>
            <w:tcW w:w="1395" w:type="dxa"/>
            <w:tcBorders>
              <w:top w:val="nil"/>
              <w:left w:val="nil"/>
              <w:bottom w:val="single" w:sz="4" w:space="0" w:color="auto"/>
              <w:right w:val="nil"/>
            </w:tcBorders>
            <w:shd w:val="clear" w:color="auto" w:fill="auto"/>
            <w:noWrap/>
            <w:vAlign w:val="center"/>
            <w:hideMark/>
          </w:tcPr>
          <w:p w14:paraId="13F95E85" w14:textId="6E1EAF1C"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14 (0.34%)</w:t>
            </w:r>
          </w:p>
        </w:tc>
        <w:tc>
          <w:tcPr>
            <w:tcW w:w="1395" w:type="dxa"/>
            <w:tcBorders>
              <w:top w:val="nil"/>
              <w:left w:val="nil"/>
              <w:bottom w:val="single" w:sz="4" w:space="0" w:color="auto"/>
              <w:right w:val="nil"/>
            </w:tcBorders>
            <w:shd w:val="clear" w:color="auto" w:fill="auto"/>
            <w:noWrap/>
            <w:vAlign w:val="center"/>
            <w:hideMark/>
          </w:tcPr>
          <w:p w14:paraId="60ABD9B3" w14:textId="28DD8A8E"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51 (1.24%)</w:t>
            </w:r>
          </w:p>
        </w:tc>
        <w:tc>
          <w:tcPr>
            <w:tcW w:w="1395" w:type="dxa"/>
            <w:tcBorders>
              <w:top w:val="nil"/>
              <w:left w:val="nil"/>
              <w:bottom w:val="single" w:sz="4" w:space="0" w:color="auto"/>
              <w:right w:val="nil"/>
            </w:tcBorders>
            <w:shd w:val="clear" w:color="auto" w:fill="auto"/>
            <w:noWrap/>
            <w:vAlign w:val="center"/>
            <w:hideMark/>
          </w:tcPr>
          <w:p w14:paraId="3BCB8982" w14:textId="220BA078"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354 (8.57%)</w:t>
            </w:r>
          </w:p>
        </w:tc>
        <w:tc>
          <w:tcPr>
            <w:tcW w:w="1395" w:type="dxa"/>
            <w:tcBorders>
              <w:top w:val="nil"/>
              <w:left w:val="nil"/>
              <w:bottom w:val="single" w:sz="4" w:space="0" w:color="auto"/>
              <w:right w:val="nil"/>
            </w:tcBorders>
            <w:shd w:val="clear" w:color="auto" w:fill="auto"/>
            <w:noWrap/>
            <w:vAlign w:val="center"/>
            <w:hideMark/>
          </w:tcPr>
          <w:p w14:paraId="0A672622" w14:textId="50775667" w:rsidR="00A0613F" w:rsidRPr="003A6DFC" w:rsidRDefault="00A0613F" w:rsidP="00A0613F">
            <w:pPr>
              <w:spacing w:after="0" w:line="240" w:lineRule="auto"/>
              <w:jc w:val="right"/>
              <w:rPr>
                <w:rFonts w:ascii="Century" w:eastAsia="Times New Roman" w:hAnsi="Century" w:cs="Calibri"/>
                <w:sz w:val="16"/>
                <w:szCs w:val="16"/>
                <w:lang w:val="en-GB" w:eastAsia="en-GB"/>
              </w:rPr>
            </w:pPr>
            <w:r w:rsidRPr="003A6DFC">
              <w:rPr>
                <w:rFonts w:ascii="Century" w:hAnsi="Century" w:cs="Calibri"/>
                <w:color w:val="000000"/>
                <w:sz w:val="16"/>
                <w:szCs w:val="16"/>
                <w:lang w:val="pt-BR"/>
              </w:rPr>
              <w:t>3,703 (89.68%)</w:t>
            </w:r>
          </w:p>
        </w:tc>
        <w:tc>
          <w:tcPr>
            <w:tcW w:w="1396" w:type="dxa"/>
            <w:tcBorders>
              <w:top w:val="nil"/>
              <w:left w:val="nil"/>
              <w:bottom w:val="single" w:sz="4" w:space="0" w:color="auto"/>
              <w:right w:val="nil"/>
            </w:tcBorders>
            <w:shd w:val="clear" w:color="auto" w:fill="auto"/>
            <w:noWrap/>
            <w:vAlign w:val="center"/>
            <w:hideMark/>
          </w:tcPr>
          <w:p w14:paraId="322E9B07" w14:textId="573E32DF" w:rsidR="00A0613F" w:rsidRPr="003A6DFC" w:rsidRDefault="00A0613F" w:rsidP="005E6954">
            <w:pPr>
              <w:spacing w:after="0" w:line="240" w:lineRule="auto"/>
              <w:jc w:val="center"/>
              <w:rPr>
                <w:rFonts w:ascii="Century" w:hAnsi="Century" w:cs="Calibri"/>
                <w:b/>
                <w:bCs/>
                <w:color w:val="000000"/>
                <w:sz w:val="16"/>
                <w:szCs w:val="16"/>
                <w:lang w:val="pt-BR"/>
              </w:rPr>
            </w:pPr>
            <w:r w:rsidRPr="003A6DFC">
              <w:rPr>
                <w:rFonts w:ascii="Century" w:hAnsi="Century" w:cs="Calibri"/>
                <w:b/>
                <w:bCs/>
                <w:color w:val="000000"/>
                <w:sz w:val="16"/>
                <w:szCs w:val="16"/>
                <w:lang w:val="pt-BR"/>
              </w:rPr>
              <w:t>4,129</w:t>
            </w:r>
            <w:r w:rsidR="005E6954" w:rsidRPr="003A6DFC">
              <w:rPr>
                <w:rFonts w:ascii="Century" w:hAnsi="Century" w:cs="Calibri"/>
                <w:b/>
                <w:bCs/>
                <w:color w:val="000000"/>
                <w:sz w:val="16"/>
                <w:szCs w:val="16"/>
                <w:lang w:val="pt-BR"/>
              </w:rPr>
              <w:t xml:space="preserve"> (100%)</w:t>
            </w:r>
          </w:p>
        </w:tc>
      </w:tr>
      <w:tr w:rsidR="00A0613F" w:rsidRPr="003A6DFC" w14:paraId="3557628F" w14:textId="77777777" w:rsidTr="005E6954">
        <w:trPr>
          <w:trHeight w:val="288"/>
          <w:tblHeader/>
          <w:jc w:val="center"/>
        </w:trPr>
        <w:tc>
          <w:tcPr>
            <w:tcW w:w="2420" w:type="dxa"/>
            <w:tcBorders>
              <w:top w:val="single" w:sz="4" w:space="0" w:color="auto"/>
              <w:left w:val="nil"/>
              <w:bottom w:val="single" w:sz="4" w:space="0" w:color="auto"/>
              <w:right w:val="nil"/>
            </w:tcBorders>
            <w:shd w:val="clear" w:color="auto" w:fill="auto"/>
            <w:vAlign w:val="center"/>
            <w:hideMark/>
          </w:tcPr>
          <w:p w14:paraId="718F7693" w14:textId="77777777" w:rsidR="00A0613F" w:rsidRPr="003A6DFC" w:rsidRDefault="00A0613F" w:rsidP="00A0613F">
            <w:pPr>
              <w:spacing w:after="0" w:line="240" w:lineRule="auto"/>
              <w:rPr>
                <w:rFonts w:ascii="Century" w:eastAsia="Times New Roman" w:hAnsi="Century" w:cs="Calibri"/>
                <w:b/>
                <w:bCs/>
                <w:sz w:val="16"/>
                <w:szCs w:val="16"/>
                <w:lang w:val="en-GB" w:eastAsia="en-GB"/>
              </w:rPr>
            </w:pPr>
            <w:r w:rsidRPr="003A6DFC">
              <w:rPr>
                <w:rFonts w:ascii="Century" w:eastAsia="Times New Roman" w:hAnsi="Century" w:cs="Calibri"/>
                <w:b/>
                <w:bCs/>
                <w:sz w:val="16"/>
                <w:szCs w:val="16"/>
                <w:lang w:val="en-GB" w:eastAsia="en-GB"/>
              </w:rPr>
              <w:t>Total</w:t>
            </w:r>
          </w:p>
        </w:tc>
        <w:tc>
          <w:tcPr>
            <w:tcW w:w="1395" w:type="dxa"/>
            <w:tcBorders>
              <w:top w:val="single" w:sz="4" w:space="0" w:color="auto"/>
              <w:left w:val="nil"/>
              <w:bottom w:val="single" w:sz="4" w:space="0" w:color="auto"/>
              <w:right w:val="nil"/>
            </w:tcBorders>
            <w:shd w:val="clear" w:color="auto" w:fill="auto"/>
            <w:vAlign w:val="center"/>
            <w:hideMark/>
          </w:tcPr>
          <w:p w14:paraId="27C4DFFD" w14:textId="266831A6" w:rsidR="00A0613F" w:rsidRPr="003A6DFC" w:rsidRDefault="00A0613F" w:rsidP="00592D4D">
            <w:pPr>
              <w:spacing w:after="0" w:line="240" w:lineRule="auto"/>
              <w:jc w:val="center"/>
              <w:rPr>
                <w:rFonts w:ascii="Century" w:eastAsia="Times New Roman" w:hAnsi="Century" w:cs="Calibri"/>
                <w:b/>
                <w:bCs/>
                <w:sz w:val="16"/>
                <w:szCs w:val="16"/>
                <w:lang w:val="en-GB" w:eastAsia="en-GB"/>
              </w:rPr>
            </w:pPr>
            <w:r w:rsidRPr="003A6DFC">
              <w:rPr>
                <w:rFonts w:ascii="Century" w:hAnsi="Century" w:cs="Calibri"/>
                <w:b/>
                <w:bCs/>
                <w:color w:val="000000"/>
                <w:sz w:val="16"/>
                <w:szCs w:val="16"/>
                <w:lang w:val="pt-BR"/>
              </w:rPr>
              <w:t>14,829</w:t>
            </w:r>
          </w:p>
        </w:tc>
        <w:tc>
          <w:tcPr>
            <w:tcW w:w="1395" w:type="dxa"/>
            <w:tcBorders>
              <w:top w:val="single" w:sz="4" w:space="0" w:color="auto"/>
              <w:left w:val="nil"/>
              <w:bottom w:val="single" w:sz="4" w:space="0" w:color="auto"/>
              <w:right w:val="nil"/>
            </w:tcBorders>
            <w:shd w:val="clear" w:color="auto" w:fill="auto"/>
            <w:vAlign w:val="center"/>
            <w:hideMark/>
          </w:tcPr>
          <w:p w14:paraId="46D1A6AE" w14:textId="5D5F2701" w:rsidR="00A0613F" w:rsidRPr="003A6DFC" w:rsidRDefault="00A0613F" w:rsidP="00592D4D">
            <w:pPr>
              <w:spacing w:after="0" w:line="240" w:lineRule="auto"/>
              <w:jc w:val="center"/>
              <w:rPr>
                <w:rFonts w:ascii="Century" w:eastAsia="Times New Roman" w:hAnsi="Century" w:cs="Calibri"/>
                <w:b/>
                <w:bCs/>
                <w:sz w:val="16"/>
                <w:szCs w:val="16"/>
                <w:lang w:val="en-GB" w:eastAsia="en-GB"/>
              </w:rPr>
            </w:pPr>
            <w:r w:rsidRPr="003A6DFC">
              <w:rPr>
                <w:rFonts w:ascii="Century" w:hAnsi="Century" w:cs="Calibri"/>
                <w:b/>
                <w:bCs/>
                <w:color w:val="000000"/>
                <w:sz w:val="16"/>
                <w:szCs w:val="16"/>
                <w:lang w:val="pt-BR"/>
              </w:rPr>
              <w:t>32,145</w:t>
            </w:r>
          </w:p>
        </w:tc>
        <w:tc>
          <w:tcPr>
            <w:tcW w:w="1395" w:type="dxa"/>
            <w:tcBorders>
              <w:top w:val="single" w:sz="4" w:space="0" w:color="auto"/>
              <w:left w:val="nil"/>
              <w:bottom w:val="single" w:sz="4" w:space="0" w:color="auto"/>
              <w:right w:val="nil"/>
            </w:tcBorders>
            <w:shd w:val="clear" w:color="auto" w:fill="auto"/>
            <w:vAlign w:val="center"/>
            <w:hideMark/>
          </w:tcPr>
          <w:p w14:paraId="73F43CC5" w14:textId="3E3DA13B" w:rsidR="00A0613F" w:rsidRPr="003A6DFC" w:rsidRDefault="00A0613F" w:rsidP="00592D4D">
            <w:pPr>
              <w:spacing w:after="0" w:line="240" w:lineRule="auto"/>
              <w:jc w:val="center"/>
              <w:rPr>
                <w:rFonts w:ascii="Century" w:eastAsia="Times New Roman" w:hAnsi="Century" w:cs="Calibri"/>
                <w:b/>
                <w:bCs/>
                <w:sz w:val="16"/>
                <w:szCs w:val="16"/>
                <w:lang w:val="en-GB" w:eastAsia="en-GB"/>
              </w:rPr>
            </w:pPr>
            <w:r w:rsidRPr="003A6DFC">
              <w:rPr>
                <w:rFonts w:ascii="Century" w:hAnsi="Century" w:cs="Calibri"/>
                <w:b/>
                <w:bCs/>
                <w:color w:val="000000"/>
                <w:sz w:val="16"/>
                <w:szCs w:val="16"/>
                <w:lang w:val="pt-BR"/>
              </w:rPr>
              <w:t>26,486</w:t>
            </w:r>
          </w:p>
        </w:tc>
        <w:tc>
          <w:tcPr>
            <w:tcW w:w="1395" w:type="dxa"/>
            <w:tcBorders>
              <w:top w:val="single" w:sz="4" w:space="0" w:color="auto"/>
              <w:left w:val="nil"/>
              <w:bottom w:val="single" w:sz="4" w:space="0" w:color="auto"/>
              <w:right w:val="nil"/>
            </w:tcBorders>
            <w:shd w:val="clear" w:color="auto" w:fill="auto"/>
            <w:vAlign w:val="center"/>
            <w:hideMark/>
          </w:tcPr>
          <w:p w14:paraId="7BCC506B" w14:textId="1AAB71E8" w:rsidR="00A0613F" w:rsidRPr="003A6DFC" w:rsidRDefault="00A0613F" w:rsidP="00592D4D">
            <w:pPr>
              <w:spacing w:after="0" w:line="240" w:lineRule="auto"/>
              <w:jc w:val="center"/>
              <w:rPr>
                <w:rFonts w:ascii="Century" w:eastAsia="Times New Roman" w:hAnsi="Century" w:cs="Calibri"/>
                <w:b/>
                <w:bCs/>
                <w:sz w:val="16"/>
                <w:szCs w:val="16"/>
                <w:lang w:val="en-GB" w:eastAsia="en-GB"/>
              </w:rPr>
            </w:pPr>
            <w:r w:rsidRPr="003A6DFC">
              <w:rPr>
                <w:rFonts w:ascii="Century" w:hAnsi="Century" w:cs="Calibri"/>
                <w:b/>
                <w:bCs/>
                <w:color w:val="000000"/>
                <w:sz w:val="16"/>
                <w:szCs w:val="16"/>
                <w:lang w:val="pt-BR"/>
              </w:rPr>
              <w:t>12,560</w:t>
            </w:r>
          </w:p>
        </w:tc>
        <w:tc>
          <w:tcPr>
            <w:tcW w:w="1395" w:type="dxa"/>
            <w:tcBorders>
              <w:top w:val="single" w:sz="4" w:space="0" w:color="auto"/>
              <w:left w:val="nil"/>
              <w:bottom w:val="single" w:sz="4" w:space="0" w:color="auto"/>
              <w:right w:val="nil"/>
            </w:tcBorders>
            <w:shd w:val="clear" w:color="auto" w:fill="auto"/>
            <w:vAlign w:val="center"/>
            <w:hideMark/>
          </w:tcPr>
          <w:p w14:paraId="683606A4" w14:textId="0D3A8FCD" w:rsidR="00A0613F" w:rsidRPr="003A6DFC" w:rsidRDefault="00A0613F" w:rsidP="00592D4D">
            <w:pPr>
              <w:spacing w:after="0" w:line="240" w:lineRule="auto"/>
              <w:jc w:val="center"/>
              <w:rPr>
                <w:rFonts w:ascii="Century" w:eastAsia="Times New Roman" w:hAnsi="Century" w:cs="Calibri"/>
                <w:b/>
                <w:bCs/>
                <w:sz w:val="16"/>
                <w:szCs w:val="16"/>
                <w:lang w:val="en-GB" w:eastAsia="en-GB"/>
              </w:rPr>
            </w:pPr>
            <w:r w:rsidRPr="003A6DFC">
              <w:rPr>
                <w:rFonts w:ascii="Century" w:hAnsi="Century" w:cs="Calibri"/>
                <w:b/>
                <w:bCs/>
                <w:color w:val="000000"/>
                <w:sz w:val="16"/>
                <w:szCs w:val="16"/>
                <w:lang w:val="pt-BR"/>
              </w:rPr>
              <w:t>4,580</w:t>
            </w:r>
          </w:p>
        </w:tc>
        <w:tc>
          <w:tcPr>
            <w:tcW w:w="1396" w:type="dxa"/>
            <w:tcBorders>
              <w:top w:val="single" w:sz="4" w:space="0" w:color="auto"/>
              <w:left w:val="nil"/>
              <w:bottom w:val="single" w:sz="4" w:space="0" w:color="auto"/>
              <w:right w:val="nil"/>
            </w:tcBorders>
            <w:shd w:val="clear" w:color="auto" w:fill="auto"/>
            <w:vAlign w:val="center"/>
            <w:hideMark/>
          </w:tcPr>
          <w:p w14:paraId="7BA99F76" w14:textId="2EBAC7A4" w:rsidR="00A0613F" w:rsidRPr="003A6DFC" w:rsidRDefault="00A0613F" w:rsidP="005E6954">
            <w:pPr>
              <w:spacing w:after="0" w:line="240" w:lineRule="auto"/>
              <w:jc w:val="center"/>
              <w:rPr>
                <w:rFonts w:ascii="Century" w:eastAsia="Times New Roman" w:hAnsi="Century" w:cs="Calibri"/>
                <w:b/>
                <w:bCs/>
                <w:sz w:val="16"/>
                <w:szCs w:val="16"/>
                <w:lang w:val="en-GB" w:eastAsia="en-GB"/>
              </w:rPr>
            </w:pPr>
            <w:r w:rsidRPr="003A6DFC">
              <w:rPr>
                <w:rFonts w:ascii="Century" w:hAnsi="Century" w:cs="Calibri"/>
                <w:b/>
                <w:bCs/>
                <w:color w:val="000000"/>
                <w:sz w:val="16"/>
                <w:szCs w:val="16"/>
                <w:lang w:val="pt-BR"/>
              </w:rPr>
              <w:t>90,600</w:t>
            </w:r>
          </w:p>
        </w:tc>
      </w:tr>
    </w:tbl>
    <w:p w14:paraId="0A1F07EA" w14:textId="6DFB5248" w:rsidR="006A48C1" w:rsidRPr="003A6DFC" w:rsidRDefault="006A48C1" w:rsidP="009F5E77">
      <w:pPr>
        <w:spacing w:after="0" w:line="360" w:lineRule="auto"/>
        <w:rPr>
          <w:rFonts w:ascii="Century" w:hAnsi="Century" w:cs="Times New Roman"/>
          <w:b/>
          <w:sz w:val="24"/>
          <w:szCs w:val="24"/>
          <w:lang w:val="en-GB"/>
        </w:rPr>
      </w:pPr>
    </w:p>
    <w:p w14:paraId="3E277DEE" w14:textId="6BB2E7A7" w:rsidR="00D73BA1" w:rsidRPr="003A6DFC" w:rsidRDefault="00C7555E" w:rsidP="00955314">
      <w:pPr>
        <w:spacing w:after="0" w:line="360" w:lineRule="auto"/>
        <w:ind w:firstLine="708"/>
        <w:jc w:val="both"/>
        <w:rPr>
          <w:rFonts w:ascii="Century" w:hAnsi="Century" w:cs="Times New Roman"/>
          <w:bCs/>
          <w:lang w:val="en-GB"/>
        </w:rPr>
      </w:pPr>
      <w:r w:rsidRPr="003A6DFC">
        <w:rPr>
          <w:rFonts w:ascii="Century" w:hAnsi="Century" w:cs="Times New Roman"/>
          <w:bCs/>
          <w:lang w:val="en-GB"/>
        </w:rPr>
        <w:lastRenderedPageBreak/>
        <w:t>Capitali</w:t>
      </w:r>
      <w:r w:rsidR="000C7347" w:rsidRPr="003A6DFC">
        <w:rPr>
          <w:rFonts w:ascii="Century" w:hAnsi="Century" w:cs="Times New Roman"/>
          <w:bCs/>
          <w:lang w:val="en-GB"/>
        </w:rPr>
        <w:t>s</w:t>
      </w:r>
      <w:r w:rsidRPr="003A6DFC">
        <w:rPr>
          <w:rFonts w:ascii="Century" w:hAnsi="Century" w:cs="Times New Roman"/>
          <w:bCs/>
          <w:lang w:val="en-GB"/>
        </w:rPr>
        <w:t xml:space="preserve">ing on the longitudinal nature of our data, we explore the unconditional dynamics of the observed within-wave inconsistencies. </w:t>
      </w:r>
      <w:r w:rsidR="00D73BA1" w:rsidRPr="003A6DFC">
        <w:rPr>
          <w:rFonts w:ascii="Century" w:hAnsi="Century" w:cs="Times New Roman"/>
          <w:bCs/>
        </w:rPr>
        <w:t>Following Black et al. (2017) and Chen et al. (2021), Table A1 (Appendix) provides shares of consistent and inconsistent responses to SAH questions from open and self-completion modes using the balanced sample of waves 2-5. Table A1 shows that from those reporting SAH inconsistently</w:t>
      </w:r>
      <w:r w:rsidR="00F52E6C" w:rsidRPr="003A6DFC">
        <w:rPr>
          <w:rFonts w:ascii="Century" w:hAnsi="Century" w:cs="Times New Roman"/>
          <w:bCs/>
        </w:rPr>
        <w:t xml:space="preserve"> (</w:t>
      </w:r>
      <w:r w:rsidR="00F52E6C" w:rsidRPr="003A6DFC">
        <w:rPr>
          <w:rFonts w:ascii="Century" w:hAnsi="Century" w:cs="Times New Roman"/>
          <w:bCs/>
          <w:lang w:val="en-GB"/>
        </w:rPr>
        <w:t>SAH-OI &gt; SAH-SC or SAH-OI &lt; SAH-SC</w:t>
      </w:r>
      <w:r w:rsidR="00F52E6C" w:rsidRPr="003A6DFC">
        <w:rPr>
          <w:rFonts w:ascii="Century" w:hAnsi="Century" w:cs="Times New Roman"/>
          <w:bCs/>
        </w:rPr>
        <w:t>)</w:t>
      </w:r>
      <w:r w:rsidR="00D73BA1" w:rsidRPr="003A6DFC">
        <w:rPr>
          <w:rFonts w:ascii="Century" w:hAnsi="Century" w:cs="Times New Roman"/>
          <w:bCs/>
        </w:rPr>
        <w:t xml:space="preserve"> between the open interview and the self-completion SAH measure, there is no consistent pattern of reporting better health in the SAH open interview as opposed to self-completion (and vice versa) across waves; the fraction of our sample reporting SAH consistently </w:t>
      </w:r>
      <w:r w:rsidR="001806BD" w:rsidRPr="003A6DFC">
        <w:rPr>
          <w:rFonts w:ascii="Century" w:hAnsi="Century" w:cs="Times New Roman"/>
          <w:bCs/>
        </w:rPr>
        <w:t>(</w:t>
      </w:r>
      <w:r w:rsidR="001806BD" w:rsidRPr="003A6DFC">
        <w:rPr>
          <w:rFonts w:ascii="Century" w:hAnsi="Century" w:cs="Times New Roman"/>
          <w:bCs/>
          <w:lang w:val="en-GB"/>
        </w:rPr>
        <w:t>SAH-OI = SAH-SC</w:t>
      </w:r>
      <w:r w:rsidR="001806BD" w:rsidRPr="003A6DFC">
        <w:rPr>
          <w:rFonts w:ascii="Century" w:hAnsi="Century" w:cs="Times New Roman"/>
          <w:bCs/>
        </w:rPr>
        <w:t xml:space="preserve">) </w:t>
      </w:r>
      <w:r w:rsidR="00D73BA1" w:rsidRPr="003A6DFC">
        <w:rPr>
          <w:rFonts w:ascii="Century" w:hAnsi="Century" w:cs="Times New Roman"/>
          <w:bCs/>
        </w:rPr>
        <w:t>over time increases from 76% to 81% when moving from wave 2 to wave 5 for the same individuals (balanced sample).</w:t>
      </w:r>
      <w:r w:rsidR="00A21B46" w:rsidRPr="003A6DFC">
        <w:rPr>
          <w:rFonts w:ascii="Century" w:hAnsi="Century" w:cs="Times New Roman"/>
          <w:bCs/>
        </w:rPr>
        <w:t xml:space="preserve"> </w:t>
      </w:r>
      <w:r w:rsidR="005B2B7F" w:rsidRPr="003A6DFC">
        <w:rPr>
          <w:rFonts w:ascii="Century" w:hAnsi="Century" w:cs="Times New Roman"/>
          <w:bCs/>
          <w:lang w:val="en-GB"/>
        </w:rPr>
        <w:t>However, we refrain from modelling these patterns explicitly in our paper and we focus part of our analysis on a dichotomous variable on consistent reporting in SAH questions or not for reasons we describe below</w:t>
      </w:r>
      <w:r w:rsidR="00972CBE" w:rsidRPr="003A6DFC">
        <w:rPr>
          <w:rFonts w:ascii="Century" w:hAnsi="Century" w:cs="Times New Roman"/>
          <w:bCs/>
          <w:lang w:val="en-GB"/>
        </w:rPr>
        <w:t>. We believe that these comparisons (SAH-OI &gt; SAH-SC and SAH-OI &lt; SAH-SC) are more affected by the ceiling (or floor) effects</w:t>
      </w:r>
      <w:r w:rsidR="005B2B7F" w:rsidRPr="003A6DFC">
        <w:rPr>
          <w:rFonts w:ascii="Century" w:hAnsi="Century" w:cs="Times New Roman"/>
          <w:bCs/>
          <w:lang w:val="en-GB"/>
        </w:rPr>
        <w:t>.</w:t>
      </w:r>
      <w:r w:rsidR="00665FFB" w:rsidRPr="003A6DFC">
        <w:rPr>
          <w:rStyle w:val="Refdenotaderodap"/>
          <w:rFonts w:ascii="Century" w:hAnsi="Century" w:cs="Times New Roman"/>
          <w:bCs/>
          <w:lang w:val="en-GB"/>
        </w:rPr>
        <w:footnoteReference w:id="12"/>
      </w:r>
      <w:r w:rsidR="005B2B7F" w:rsidRPr="003A6DFC">
        <w:rPr>
          <w:rFonts w:ascii="Century" w:hAnsi="Century" w:cs="Times New Roman"/>
          <w:bCs/>
          <w:lang w:val="en-GB"/>
        </w:rPr>
        <w:t xml:space="preserve"> </w:t>
      </w:r>
    </w:p>
    <w:p w14:paraId="7B452CD9" w14:textId="4EE48BB4" w:rsidR="00C25A0E" w:rsidRPr="003A6DFC" w:rsidRDefault="00C7555E" w:rsidP="00E65F11">
      <w:pPr>
        <w:spacing w:after="0" w:line="360" w:lineRule="auto"/>
        <w:ind w:firstLine="708"/>
        <w:jc w:val="both"/>
        <w:rPr>
          <w:rFonts w:ascii="Century" w:hAnsi="Century" w:cs="Calibri"/>
        </w:rPr>
      </w:pPr>
      <w:r w:rsidRPr="003A6DFC">
        <w:rPr>
          <w:rFonts w:ascii="Century" w:hAnsi="Century" w:cs="Times New Roman"/>
          <w:bCs/>
          <w:lang w:val="en-GB"/>
        </w:rPr>
        <w:t xml:space="preserve">Table 2 presents summary statistics </w:t>
      </w:r>
      <w:r w:rsidR="000C7347" w:rsidRPr="003A6DFC">
        <w:rPr>
          <w:rFonts w:ascii="Century" w:hAnsi="Century" w:cs="Times New Roman"/>
          <w:bCs/>
          <w:lang w:val="en-GB"/>
        </w:rPr>
        <w:t>for</w:t>
      </w:r>
      <w:r w:rsidRPr="003A6DFC">
        <w:rPr>
          <w:rFonts w:ascii="Century" w:hAnsi="Century" w:cs="Times New Roman"/>
          <w:bCs/>
          <w:lang w:val="en-GB"/>
        </w:rPr>
        <w:t xml:space="preserve"> all the observed sequences of reporting </w:t>
      </w:r>
      <w:r w:rsidR="00955314" w:rsidRPr="003A6DFC">
        <w:rPr>
          <w:rFonts w:ascii="Century" w:hAnsi="Century" w:cs="Times New Roman"/>
          <w:bCs/>
          <w:lang w:val="en-GB"/>
        </w:rPr>
        <w:t xml:space="preserve">inconsistency/consistency. </w:t>
      </w:r>
      <w:r w:rsidR="00227ED4" w:rsidRPr="003A6DFC">
        <w:rPr>
          <w:rFonts w:ascii="Century" w:hAnsi="Century" w:cs="Times New Roman"/>
          <w:bCs/>
          <w:lang w:val="en-GB"/>
        </w:rPr>
        <w:t>The</w:t>
      </w:r>
      <w:r w:rsidR="00955314" w:rsidRPr="003A6DFC">
        <w:rPr>
          <w:rFonts w:ascii="Century" w:hAnsi="Century" w:cs="Times New Roman"/>
          <w:bCs/>
          <w:lang w:val="en-GB"/>
        </w:rPr>
        <w:t>se</w:t>
      </w:r>
      <w:r w:rsidR="00227ED4" w:rsidRPr="003A6DFC">
        <w:rPr>
          <w:rFonts w:ascii="Century" w:hAnsi="Century" w:cs="Times New Roman"/>
          <w:bCs/>
          <w:lang w:val="en-GB"/>
        </w:rPr>
        <w:t xml:space="preserve"> sequences cover </w:t>
      </w:r>
      <w:r w:rsidR="000C7347" w:rsidRPr="003A6DFC">
        <w:rPr>
          <w:rFonts w:ascii="Century" w:hAnsi="Century" w:cs="Times New Roman"/>
          <w:bCs/>
          <w:lang w:val="en-GB"/>
        </w:rPr>
        <w:t>four</w:t>
      </w:r>
      <w:r w:rsidR="00227ED4" w:rsidRPr="003A6DFC">
        <w:rPr>
          <w:rFonts w:ascii="Century" w:hAnsi="Century" w:cs="Times New Roman"/>
          <w:bCs/>
          <w:lang w:val="en-GB"/>
        </w:rPr>
        <w:t xml:space="preserve"> waves, resulting in 16 </w:t>
      </w:r>
      <m:oMath>
        <m:d>
          <m:dPr>
            <m:ctrlPr>
              <w:rPr>
                <w:rFonts w:ascii="Cambria Math" w:hAnsi="Cambria Math" w:cs="Times New Roman"/>
                <w:bCs/>
                <w:i/>
                <w:lang w:val="en-GB"/>
              </w:rPr>
            </m:ctrlPr>
          </m:dPr>
          <m:e>
            <m:sSup>
              <m:sSupPr>
                <m:ctrlPr>
                  <w:rPr>
                    <w:rFonts w:ascii="Cambria Math" w:hAnsi="Cambria Math" w:cs="Times New Roman"/>
                    <w:bCs/>
                    <w:i/>
                    <w:lang w:val="en-GB"/>
                  </w:rPr>
                </m:ctrlPr>
              </m:sSupPr>
              <m:e>
                <m:r>
                  <w:rPr>
                    <w:rFonts w:ascii="Cambria Math" w:hAnsi="Cambria Math" w:cs="Times New Roman"/>
                    <w:lang w:val="en-GB"/>
                  </w:rPr>
                  <m:t>=2</m:t>
                </m:r>
              </m:e>
              <m:sup>
                <m:r>
                  <w:rPr>
                    <w:rFonts w:ascii="Cambria Math" w:hAnsi="Cambria Math" w:cs="Times New Roman"/>
                    <w:lang w:val="en-GB"/>
                  </w:rPr>
                  <m:t>4</m:t>
                </m:r>
              </m:sup>
            </m:sSup>
          </m:e>
        </m:d>
      </m:oMath>
      <w:r w:rsidR="00227ED4" w:rsidRPr="003A6DFC">
        <w:rPr>
          <w:rFonts w:ascii="Century" w:hAnsi="Century" w:cs="Times New Roman"/>
          <w:bCs/>
          <w:lang w:val="en-GB"/>
        </w:rPr>
        <w:t xml:space="preserve"> distinct </w:t>
      </w:r>
      <w:r w:rsidR="00955314" w:rsidRPr="003A6DFC">
        <w:rPr>
          <w:rFonts w:ascii="Century" w:hAnsi="Century" w:cs="Times New Roman"/>
          <w:bCs/>
          <w:lang w:val="en-GB"/>
        </w:rPr>
        <w:t>sequences.</w:t>
      </w:r>
      <w:r w:rsidR="00665FFB" w:rsidRPr="003A6DFC">
        <w:rPr>
          <w:rFonts w:ascii="Century" w:hAnsi="Century" w:cs="Times New Roman"/>
          <w:bCs/>
          <w:lang w:val="en-GB"/>
        </w:rPr>
        <w:t xml:space="preserve"> </w:t>
      </w:r>
      <w:r w:rsidR="00C54EBA" w:rsidRPr="003A6DFC">
        <w:rPr>
          <w:rFonts w:ascii="Century" w:hAnsi="Century" w:cs="Times New Roman"/>
          <w:bCs/>
          <w:lang w:val="en-GB"/>
        </w:rPr>
        <w:t xml:space="preserve">We assign </w:t>
      </w:r>
      <w:r w:rsidR="000C7347" w:rsidRPr="003A6DFC">
        <w:rPr>
          <w:rFonts w:ascii="Century" w:hAnsi="Century" w:cs="Times New Roman"/>
          <w:bCs/>
          <w:lang w:val="en-GB"/>
        </w:rPr>
        <w:t xml:space="preserve">a </w:t>
      </w:r>
      <w:r w:rsidR="00C54EBA" w:rsidRPr="003A6DFC">
        <w:rPr>
          <w:rFonts w:ascii="Century" w:hAnsi="Century" w:cs="Times New Roman"/>
          <w:bCs/>
          <w:lang w:val="en-GB"/>
        </w:rPr>
        <w:t>value</w:t>
      </w:r>
      <w:r w:rsidR="00955314" w:rsidRPr="003A6DFC">
        <w:rPr>
          <w:rFonts w:ascii="Century" w:hAnsi="Century" w:cs="Times New Roman"/>
          <w:bCs/>
          <w:lang w:val="en-GB"/>
        </w:rPr>
        <w:t xml:space="preserve"> of </w:t>
      </w:r>
      <w:r w:rsidR="000C7347" w:rsidRPr="003A6DFC">
        <w:rPr>
          <w:rFonts w:ascii="Century" w:hAnsi="Century" w:cs="Times New Roman"/>
          <w:bCs/>
          <w:lang w:val="en-GB"/>
        </w:rPr>
        <w:t>1</w:t>
      </w:r>
      <w:r w:rsidR="00C54EBA" w:rsidRPr="003A6DFC">
        <w:rPr>
          <w:rFonts w:ascii="Century" w:hAnsi="Century" w:cs="Times New Roman"/>
          <w:bCs/>
          <w:lang w:val="en-GB"/>
        </w:rPr>
        <w:t xml:space="preserve"> to respondents with in</w:t>
      </w:r>
      <w:r w:rsidR="00C54EBA" w:rsidRPr="003A6DFC">
        <w:rPr>
          <w:rFonts w:ascii="Century" w:hAnsi="Century" w:cs="Calibri"/>
        </w:rPr>
        <w:t>consistent SAH responses between the self-completion and open interview</w:t>
      </w:r>
      <w:r w:rsidR="008D128C" w:rsidRPr="003A6DFC">
        <w:rPr>
          <w:rFonts w:ascii="Century" w:hAnsi="Century" w:cs="Calibri"/>
        </w:rPr>
        <w:t xml:space="preserve"> </w:t>
      </w:r>
      <w:r w:rsidR="00C54EBA" w:rsidRPr="003A6DFC">
        <w:rPr>
          <w:rFonts w:ascii="Century" w:hAnsi="Century" w:cs="Calibri"/>
        </w:rPr>
        <w:t>measures</w:t>
      </w:r>
      <w:r w:rsidR="00955314" w:rsidRPr="003A6DFC">
        <w:rPr>
          <w:rFonts w:ascii="Century" w:hAnsi="Century" w:cs="Calibri"/>
        </w:rPr>
        <w:t xml:space="preserve"> at each specific wave</w:t>
      </w:r>
      <w:r w:rsidR="00C54EBA" w:rsidRPr="003A6DFC">
        <w:rPr>
          <w:rFonts w:ascii="Century" w:hAnsi="Century" w:cs="Calibri"/>
        </w:rPr>
        <w:t>, and 0</w:t>
      </w:r>
      <w:r w:rsidR="00955314" w:rsidRPr="003A6DFC">
        <w:rPr>
          <w:rFonts w:ascii="Century" w:hAnsi="Century" w:cs="Calibri"/>
        </w:rPr>
        <w:t xml:space="preserve"> otherwise</w:t>
      </w:r>
      <w:r w:rsidR="00C54EBA" w:rsidRPr="003A6DFC">
        <w:rPr>
          <w:rFonts w:ascii="Century" w:hAnsi="Century" w:cs="Calibri"/>
        </w:rPr>
        <w:t xml:space="preserve">. </w:t>
      </w:r>
      <w:r w:rsidR="00C25A0E" w:rsidRPr="003A6DFC">
        <w:rPr>
          <w:rFonts w:ascii="Century" w:hAnsi="Century" w:cs="Times New Roman"/>
          <w:bCs/>
          <w:lang w:val="en-GB"/>
        </w:rPr>
        <w:t>Table 2 shows that only 42.6% of our sample are classified as “always consistent” (</w:t>
      </w:r>
      <w:r w:rsidR="00C25A0E" w:rsidRPr="003A6DFC">
        <w:rPr>
          <w:rFonts w:ascii="Century" w:hAnsi="Century" w:cs="Calibri"/>
        </w:rPr>
        <w:t xml:space="preserve">0000). Turning to the remaining sequences, the results show that more than half of our sample (57.4%) is formed by respondents who have provided inconsistent responses about their SAH at least once. Specifically, grouping the remaining sequences with respect to frequency or consistent/inconsistent responses, those who are </w:t>
      </w:r>
      <w:r w:rsidR="00C25A0E" w:rsidRPr="003A6DFC">
        <w:rPr>
          <w:rFonts w:ascii="Century" w:hAnsi="Century" w:cs="Times New Roman"/>
          <w:bCs/>
          <w:lang w:val="en-GB"/>
        </w:rPr>
        <w:t xml:space="preserve">“mostly consistent” (0001, 0010, 0100 and 1000), i.e., within-wave inconsistent SAH reporting only once among the four waves, represent 35.5% of our total sample. Sequences which could be grouped as “moderately inconsistent” (1001, 1010, 1100, 0011, 0101, 0110), accounting for less than 1/3 of the total sample (16.4%). The proportion of the “mostly inconsistent” </w:t>
      </w:r>
      <w:r w:rsidR="00C25A0E" w:rsidRPr="003A6DFC">
        <w:rPr>
          <w:rFonts w:ascii="Century" w:hAnsi="Century" w:cs="Times New Roman"/>
          <w:bCs/>
          <w:lang w:val="en-GB"/>
        </w:rPr>
        <w:lastRenderedPageBreak/>
        <w:t xml:space="preserve">sequences, i.e., those who are reporting SAH within-wave inconsistently in three out of four waves (“0111”, “1011”, “1101”, “1110”) accounts for the 4.8% of our sample. </w:t>
      </w:r>
      <w:r w:rsidR="00C25A0E" w:rsidRPr="003A6DFC">
        <w:rPr>
          <w:rFonts w:ascii="Century" w:hAnsi="Century" w:cs="Calibri"/>
        </w:rPr>
        <w:t>Only 0.75% are “always inconsistent” (1111).</w:t>
      </w:r>
      <w:r w:rsidR="00C25A0E" w:rsidRPr="003A6DFC">
        <w:rPr>
          <w:rStyle w:val="Refdenotaderodap"/>
          <w:rFonts w:ascii="Century" w:hAnsi="Century" w:cs="Calibri"/>
        </w:rPr>
        <w:footnoteReference w:id="13"/>
      </w:r>
    </w:p>
    <w:p w14:paraId="43E77C51" w14:textId="4DCD5FF9" w:rsidR="00B14ED3" w:rsidRPr="003A6DFC" w:rsidRDefault="00B14ED3" w:rsidP="00C25A0E">
      <w:pPr>
        <w:spacing w:after="0" w:line="360" w:lineRule="auto"/>
        <w:ind w:firstLine="708"/>
        <w:jc w:val="both"/>
        <w:rPr>
          <w:rFonts w:ascii="Century" w:hAnsi="Century" w:cs="Calibri"/>
        </w:rPr>
      </w:pPr>
    </w:p>
    <w:p w14:paraId="5AE7AC78" w14:textId="77777777" w:rsidR="00B14ED3" w:rsidRPr="003A6DFC" w:rsidRDefault="00B14ED3" w:rsidP="00C25A0E">
      <w:pPr>
        <w:spacing w:after="0" w:line="360" w:lineRule="auto"/>
        <w:ind w:firstLine="708"/>
        <w:jc w:val="both"/>
        <w:rPr>
          <w:rFonts w:ascii="Century" w:hAnsi="Century" w:cs="Calibri"/>
        </w:rPr>
      </w:pPr>
    </w:p>
    <w:tbl>
      <w:tblPr>
        <w:tblW w:w="5494" w:type="dxa"/>
        <w:jc w:val="center"/>
        <w:tblLayout w:type="fixed"/>
        <w:tblCellMar>
          <w:left w:w="70" w:type="dxa"/>
          <w:right w:w="70" w:type="dxa"/>
        </w:tblCellMar>
        <w:tblLook w:val="04A0" w:firstRow="1" w:lastRow="0" w:firstColumn="1" w:lastColumn="0" w:noHBand="0" w:noVBand="1"/>
      </w:tblPr>
      <w:tblGrid>
        <w:gridCol w:w="1388"/>
        <w:gridCol w:w="1447"/>
        <w:gridCol w:w="1208"/>
        <w:gridCol w:w="1451"/>
      </w:tblGrid>
      <w:tr w:rsidR="007B0DA7" w:rsidRPr="003A6DFC" w14:paraId="78777885" w14:textId="77777777" w:rsidTr="00F27078">
        <w:trPr>
          <w:trHeight w:val="276"/>
          <w:jc w:val="center"/>
        </w:trPr>
        <w:tc>
          <w:tcPr>
            <w:tcW w:w="5494" w:type="dxa"/>
            <w:gridSpan w:val="4"/>
            <w:tcBorders>
              <w:left w:val="nil"/>
              <w:bottom w:val="single" w:sz="4" w:space="0" w:color="auto"/>
              <w:right w:val="nil"/>
            </w:tcBorders>
            <w:shd w:val="clear" w:color="auto" w:fill="auto"/>
            <w:noWrap/>
            <w:vAlign w:val="bottom"/>
          </w:tcPr>
          <w:p w14:paraId="067959D2" w14:textId="426F0FB8" w:rsidR="007B0DA7" w:rsidRPr="003A6DFC" w:rsidRDefault="007B0DA7" w:rsidP="00567DCE">
            <w:pPr>
              <w:spacing w:after="0" w:line="240" w:lineRule="auto"/>
              <w:jc w:val="center"/>
              <w:rPr>
                <w:rFonts w:ascii="Century" w:hAnsi="Century" w:cs="Times New Roman"/>
                <w:b/>
                <w:sz w:val="20"/>
                <w:szCs w:val="20"/>
                <w:lang w:val="en-GB"/>
              </w:rPr>
            </w:pPr>
            <w:r w:rsidRPr="003A6DFC">
              <w:rPr>
                <w:rFonts w:ascii="Century" w:hAnsi="Century" w:cs="Times New Roman"/>
                <w:b/>
                <w:sz w:val="20"/>
                <w:szCs w:val="20"/>
                <w:lang w:val="en-GB"/>
              </w:rPr>
              <w:t xml:space="preserve">Table </w:t>
            </w:r>
            <w:r w:rsidR="002808A2" w:rsidRPr="003A6DFC">
              <w:rPr>
                <w:rFonts w:ascii="Century" w:hAnsi="Century" w:cs="Times New Roman"/>
                <w:b/>
                <w:sz w:val="20"/>
                <w:szCs w:val="20"/>
                <w:lang w:val="en-GB"/>
              </w:rPr>
              <w:t>2</w:t>
            </w:r>
            <w:r w:rsidRPr="003A6DFC">
              <w:rPr>
                <w:rFonts w:ascii="Century" w:hAnsi="Century" w:cs="Times New Roman"/>
                <w:b/>
                <w:sz w:val="20"/>
                <w:szCs w:val="20"/>
                <w:lang w:val="en-GB"/>
              </w:rPr>
              <w:t>: Distribution of inconsistent/consistent</w:t>
            </w:r>
            <w:r w:rsidR="00EB25BD" w:rsidRPr="003A6DFC">
              <w:rPr>
                <w:rFonts w:ascii="Century" w:hAnsi="Century" w:cs="Times New Roman"/>
                <w:b/>
                <w:sz w:val="20"/>
                <w:szCs w:val="20"/>
                <w:lang w:val="en-GB"/>
              </w:rPr>
              <w:t xml:space="preserve"> responses to SAH</w:t>
            </w:r>
            <w:r w:rsidR="00C93F84" w:rsidRPr="003A6DFC">
              <w:rPr>
                <w:rFonts w:ascii="Century" w:hAnsi="Century" w:cs="Times New Roman"/>
                <w:b/>
                <w:sz w:val="20"/>
                <w:szCs w:val="20"/>
                <w:lang w:val="en-GB"/>
              </w:rPr>
              <w:t xml:space="preserve">: </w:t>
            </w:r>
            <w:r w:rsidR="003E405F" w:rsidRPr="003A6DFC">
              <w:rPr>
                <w:rFonts w:ascii="Century" w:hAnsi="Century" w:cs="Times New Roman"/>
                <w:b/>
                <w:sz w:val="20"/>
                <w:szCs w:val="20"/>
                <w:lang w:val="en-GB"/>
              </w:rPr>
              <w:t>b</w:t>
            </w:r>
            <w:r w:rsidRPr="003A6DFC">
              <w:rPr>
                <w:rFonts w:ascii="Century" w:hAnsi="Century" w:cs="Times New Roman"/>
                <w:b/>
                <w:sz w:val="20"/>
                <w:szCs w:val="20"/>
                <w:lang w:val="en-GB"/>
              </w:rPr>
              <w:t>alanced sample</w:t>
            </w:r>
          </w:p>
        </w:tc>
      </w:tr>
      <w:tr w:rsidR="007B0DA7" w:rsidRPr="003A6DFC" w14:paraId="2BD32453" w14:textId="77777777" w:rsidTr="00F27078">
        <w:trPr>
          <w:trHeight w:val="276"/>
          <w:jc w:val="center"/>
        </w:trPr>
        <w:tc>
          <w:tcPr>
            <w:tcW w:w="1388" w:type="dxa"/>
            <w:tcBorders>
              <w:top w:val="single" w:sz="4" w:space="0" w:color="auto"/>
              <w:left w:val="nil"/>
              <w:bottom w:val="single" w:sz="4" w:space="0" w:color="auto"/>
              <w:right w:val="nil"/>
            </w:tcBorders>
            <w:shd w:val="clear" w:color="auto" w:fill="auto"/>
            <w:noWrap/>
            <w:vAlign w:val="bottom"/>
          </w:tcPr>
          <w:p w14:paraId="605FF289" w14:textId="77777777" w:rsidR="007B0DA7" w:rsidRPr="003A6DFC" w:rsidRDefault="007B0DA7" w:rsidP="00D46AA4">
            <w:pPr>
              <w:spacing w:after="0" w:line="240" w:lineRule="auto"/>
              <w:jc w:val="center"/>
              <w:rPr>
                <w:rFonts w:ascii="Century" w:hAnsi="Century" w:cs="Times New Roman"/>
                <w:b/>
                <w:sz w:val="20"/>
                <w:szCs w:val="20"/>
                <w:lang w:val="en-GB"/>
              </w:rPr>
            </w:pPr>
            <w:r w:rsidRPr="003A6DFC">
              <w:rPr>
                <w:rFonts w:ascii="Century" w:hAnsi="Century" w:cs="Times New Roman"/>
                <w:b/>
                <w:sz w:val="20"/>
                <w:szCs w:val="20"/>
                <w:lang w:val="en-GB"/>
              </w:rPr>
              <w:t>Sequences</w:t>
            </w:r>
          </w:p>
        </w:tc>
        <w:tc>
          <w:tcPr>
            <w:tcW w:w="1447" w:type="dxa"/>
            <w:tcBorders>
              <w:top w:val="single" w:sz="4" w:space="0" w:color="auto"/>
              <w:left w:val="nil"/>
              <w:bottom w:val="single" w:sz="4" w:space="0" w:color="auto"/>
              <w:right w:val="nil"/>
            </w:tcBorders>
            <w:shd w:val="clear" w:color="auto" w:fill="auto"/>
            <w:noWrap/>
            <w:vAlign w:val="bottom"/>
          </w:tcPr>
          <w:p w14:paraId="5BE85101" w14:textId="77777777" w:rsidR="007B0DA7" w:rsidRPr="003A6DFC" w:rsidRDefault="007B0DA7" w:rsidP="007B0DA7">
            <w:pPr>
              <w:spacing w:after="0" w:line="240" w:lineRule="auto"/>
              <w:jc w:val="right"/>
              <w:rPr>
                <w:rFonts w:ascii="Century" w:hAnsi="Century" w:cs="Times New Roman"/>
                <w:b/>
                <w:sz w:val="20"/>
                <w:szCs w:val="20"/>
                <w:lang w:val="en-GB"/>
              </w:rPr>
            </w:pPr>
            <w:r w:rsidRPr="003A6DFC">
              <w:rPr>
                <w:rFonts w:ascii="Century" w:hAnsi="Century" w:cs="Times New Roman"/>
                <w:b/>
                <w:sz w:val="20"/>
                <w:szCs w:val="20"/>
                <w:lang w:val="en-GB"/>
              </w:rPr>
              <w:t>Frequency</w:t>
            </w:r>
          </w:p>
        </w:tc>
        <w:tc>
          <w:tcPr>
            <w:tcW w:w="1208" w:type="dxa"/>
            <w:tcBorders>
              <w:top w:val="single" w:sz="4" w:space="0" w:color="auto"/>
              <w:left w:val="nil"/>
              <w:bottom w:val="single" w:sz="4" w:space="0" w:color="auto"/>
              <w:right w:val="nil"/>
            </w:tcBorders>
            <w:shd w:val="clear" w:color="auto" w:fill="auto"/>
            <w:noWrap/>
            <w:vAlign w:val="bottom"/>
          </w:tcPr>
          <w:p w14:paraId="7A786807" w14:textId="486897C6" w:rsidR="007B0DA7" w:rsidRPr="003A6DFC" w:rsidRDefault="007B0DA7" w:rsidP="007B0DA7">
            <w:pPr>
              <w:spacing w:after="0" w:line="240" w:lineRule="auto"/>
              <w:jc w:val="right"/>
              <w:rPr>
                <w:rFonts w:ascii="Century" w:hAnsi="Century" w:cs="Times New Roman"/>
                <w:b/>
                <w:sz w:val="20"/>
                <w:szCs w:val="20"/>
                <w:lang w:val="en-GB"/>
              </w:rPr>
            </w:pPr>
            <w:r w:rsidRPr="003A6DFC">
              <w:rPr>
                <w:rFonts w:ascii="Century" w:hAnsi="Century" w:cs="Times New Roman"/>
                <w:b/>
                <w:sz w:val="20"/>
                <w:szCs w:val="20"/>
                <w:lang w:val="en-GB"/>
              </w:rPr>
              <w:t>Percent</w:t>
            </w:r>
          </w:p>
        </w:tc>
        <w:tc>
          <w:tcPr>
            <w:tcW w:w="1451" w:type="dxa"/>
            <w:tcBorders>
              <w:top w:val="single" w:sz="4" w:space="0" w:color="auto"/>
              <w:left w:val="nil"/>
              <w:bottom w:val="single" w:sz="4" w:space="0" w:color="auto"/>
              <w:right w:val="nil"/>
            </w:tcBorders>
            <w:shd w:val="clear" w:color="auto" w:fill="auto"/>
            <w:noWrap/>
            <w:vAlign w:val="bottom"/>
          </w:tcPr>
          <w:p w14:paraId="783BDE7C" w14:textId="69D3A79F" w:rsidR="007B0DA7" w:rsidRPr="003A6DFC" w:rsidRDefault="007B0DA7" w:rsidP="007B0DA7">
            <w:pPr>
              <w:spacing w:after="0" w:line="240" w:lineRule="auto"/>
              <w:jc w:val="right"/>
              <w:rPr>
                <w:rFonts w:ascii="Century" w:hAnsi="Century" w:cs="Times New Roman"/>
                <w:b/>
                <w:sz w:val="20"/>
                <w:szCs w:val="20"/>
                <w:lang w:val="en-GB"/>
              </w:rPr>
            </w:pPr>
            <w:r w:rsidRPr="003A6DFC">
              <w:rPr>
                <w:rFonts w:ascii="Century" w:hAnsi="Century" w:cs="Times New Roman"/>
                <w:b/>
                <w:sz w:val="20"/>
                <w:szCs w:val="20"/>
                <w:lang w:val="en-GB"/>
              </w:rPr>
              <w:t>Cumulative</w:t>
            </w:r>
          </w:p>
        </w:tc>
      </w:tr>
      <w:tr w:rsidR="00D46AA4" w:rsidRPr="003A6DFC" w14:paraId="1151AD42" w14:textId="77777777" w:rsidTr="00F27078">
        <w:trPr>
          <w:trHeight w:val="276"/>
          <w:jc w:val="center"/>
        </w:trPr>
        <w:tc>
          <w:tcPr>
            <w:tcW w:w="1388" w:type="dxa"/>
            <w:tcBorders>
              <w:top w:val="single" w:sz="4" w:space="0" w:color="auto"/>
              <w:left w:val="nil"/>
              <w:bottom w:val="nil"/>
              <w:right w:val="nil"/>
            </w:tcBorders>
            <w:shd w:val="clear" w:color="auto" w:fill="auto"/>
            <w:noWrap/>
            <w:vAlign w:val="center"/>
            <w:hideMark/>
          </w:tcPr>
          <w:p w14:paraId="5E253F92" w14:textId="79339A0A"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0000</w:t>
            </w:r>
          </w:p>
        </w:tc>
        <w:tc>
          <w:tcPr>
            <w:tcW w:w="1447" w:type="dxa"/>
            <w:tcBorders>
              <w:top w:val="single" w:sz="4" w:space="0" w:color="auto"/>
              <w:left w:val="nil"/>
              <w:bottom w:val="nil"/>
              <w:right w:val="nil"/>
            </w:tcBorders>
            <w:shd w:val="clear" w:color="auto" w:fill="auto"/>
            <w:noWrap/>
            <w:vAlign w:val="center"/>
            <w:hideMark/>
          </w:tcPr>
          <w:p w14:paraId="56049F73" w14:textId="4BA973DC"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38,568</w:t>
            </w:r>
          </w:p>
        </w:tc>
        <w:tc>
          <w:tcPr>
            <w:tcW w:w="1208" w:type="dxa"/>
            <w:tcBorders>
              <w:top w:val="single" w:sz="4" w:space="0" w:color="auto"/>
              <w:left w:val="nil"/>
              <w:bottom w:val="nil"/>
              <w:right w:val="nil"/>
            </w:tcBorders>
            <w:shd w:val="clear" w:color="auto" w:fill="auto"/>
            <w:noWrap/>
            <w:vAlign w:val="center"/>
            <w:hideMark/>
          </w:tcPr>
          <w:p w14:paraId="0A65EFB3" w14:textId="3ECE8D13"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42.57</w:t>
            </w:r>
          </w:p>
        </w:tc>
        <w:tc>
          <w:tcPr>
            <w:tcW w:w="1451" w:type="dxa"/>
            <w:tcBorders>
              <w:top w:val="single" w:sz="4" w:space="0" w:color="auto"/>
              <w:left w:val="nil"/>
              <w:bottom w:val="nil"/>
              <w:right w:val="nil"/>
            </w:tcBorders>
            <w:shd w:val="clear" w:color="auto" w:fill="auto"/>
            <w:noWrap/>
            <w:vAlign w:val="center"/>
            <w:hideMark/>
          </w:tcPr>
          <w:p w14:paraId="03A94F3E" w14:textId="1506D6B1"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42.57</w:t>
            </w:r>
          </w:p>
        </w:tc>
      </w:tr>
      <w:tr w:rsidR="00D46AA4" w:rsidRPr="003A6DFC" w14:paraId="0DFFC0B0" w14:textId="77777777" w:rsidTr="00F27078">
        <w:trPr>
          <w:trHeight w:val="276"/>
          <w:jc w:val="center"/>
        </w:trPr>
        <w:tc>
          <w:tcPr>
            <w:tcW w:w="1388" w:type="dxa"/>
            <w:tcBorders>
              <w:top w:val="nil"/>
              <w:left w:val="nil"/>
              <w:bottom w:val="nil"/>
              <w:right w:val="nil"/>
            </w:tcBorders>
            <w:shd w:val="clear" w:color="auto" w:fill="auto"/>
            <w:noWrap/>
            <w:vAlign w:val="center"/>
            <w:hideMark/>
          </w:tcPr>
          <w:p w14:paraId="05706524" w14:textId="4266EE09"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0001</w:t>
            </w:r>
          </w:p>
        </w:tc>
        <w:tc>
          <w:tcPr>
            <w:tcW w:w="1447" w:type="dxa"/>
            <w:tcBorders>
              <w:top w:val="nil"/>
              <w:left w:val="nil"/>
              <w:bottom w:val="nil"/>
              <w:right w:val="nil"/>
            </w:tcBorders>
            <w:shd w:val="clear" w:color="auto" w:fill="auto"/>
            <w:noWrap/>
            <w:vAlign w:val="center"/>
            <w:hideMark/>
          </w:tcPr>
          <w:p w14:paraId="43E4D757" w14:textId="01C6AFC8"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6,472</w:t>
            </w:r>
          </w:p>
        </w:tc>
        <w:tc>
          <w:tcPr>
            <w:tcW w:w="1208" w:type="dxa"/>
            <w:tcBorders>
              <w:top w:val="nil"/>
              <w:left w:val="nil"/>
              <w:bottom w:val="nil"/>
              <w:right w:val="nil"/>
            </w:tcBorders>
            <w:shd w:val="clear" w:color="auto" w:fill="auto"/>
            <w:noWrap/>
            <w:vAlign w:val="center"/>
            <w:hideMark/>
          </w:tcPr>
          <w:p w14:paraId="3D260676" w14:textId="3E523D56"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7.14</w:t>
            </w:r>
          </w:p>
        </w:tc>
        <w:tc>
          <w:tcPr>
            <w:tcW w:w="1451" w:type="dxa"/>
            <w:tcBorders>
              <w:top w:val="nil"/>
              <w:left w:val="nil"/>
              <w:bottom w:val="nil"/>
              <w:right w:val="nil"/>
            </w:tcBorders>
            <w:shd w:val="clear" w:color="auto" w:fill="auto"/>
            <w:noWrap/>
            <w:vAlign w:val="center"/>
            <w:hideMark/>
          </w:tcPr>
          <w:p w14:paraId="76D2BF3F" w14:textId="7407D020"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49.71</w:t>
            </w:r>
          </w:p>
        </w:tc>
      </w:tr>
      <w:tr w:rsidR="00D46AA4" w:rsidRPr="003A6DFC" w14:paraId="72208187" w14:textId="77777777" w:rsidTr="000A1B87">
        <w:trPr>
          <w:trHeight w:val="276"/>
          <w:jc w:val="center"/>
        </w:trPr>
        <w:tc>
          <w:tcPr>
            <w:tcW w:w="1388" w:type="dxa"/>
            <w:tcBorders>
              <w:top w:val="nil"/>
              <w:left w:val="nil"/>
              <w:bottom w:val="nil"/>
              <w:right w:val="nil"/>
            </w:tcBorders>
            <w:shd w:val="clear" w:color="auto" w:fill="auto"/>
            <w:noWrap/>
            <w:vAlign w:val="center"/>
            <w:hideMark/>
          </w:tcPr>
          <w:p w14:paraId="278FC986" w14:textId="6AC86232"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0010</w:t>
            </w:r>
          </w:p>
        </w:tc>
        <w:tc>
          <w:tcPr>
            <w:tcW w:w="1447" w:type="dxa"/>
            <w:tcBorders>
              <w:top w:val="nil"/>
              <w:left w:val="nil"/>
              <w:bottom w:val="nil"/>
              <w:right w:val="nil"/>
            </w:tcBorders>
            <w:shd w:val="clear" w:color="auto" w:fill="auto"/>
            <w:noWrap/>
            <w:vAlign w:val="center"/>
            <w:hideMark/>
          </w:tcPr>
          <w:p w14:paraId="5232EC40" w14:textId="246BFAB2"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7,276</w:t>
            </w:r>
          </w:p>
        </w:tc>
        <w:tc>
          <w:tcPr>
            <w:tcW w:w="1208" w:type="dxa"/>
            <w:tcBorders>
              <w:top w:val="nil"/>
              <w:left w:val="nil"/>
              <w:bottom w:val="nil"/>
              <w:right w:val="nil"/>
            </w:tcBorders>
            <w:shd w:val="clear" w:color="auto" w:fill="auto"/>
            <w:noWrap/>
            <w:vAlign w:val="center"/>
            <w:hideMark/>
          </w:tcPr>
          <w:p w14:paraId="069E3389" w14:textId="5D7D531B"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8.03</w:t>
            </w:r>
          </w:p>
        </w:tc>
        <w:tc>
          <w:tcPr>
            <w:tcW w:w="1451" w:type="dxa"/>
            <w:tcBorders>
              <w:top w:val="nil"/>
              <w:left w:val="nil"/>
              <w:bottom w:val="nil"/>
              <w:right w:val="nil"/>
            </w:tcBorders>
            <w:shd w:val="clear" w:color="auto" w:fill="auto"/>
            <w:noWrap/>
            <w:vAlign w:val="center"/>
            <w:hideMark/>
          </w:tcPr>
          <w:p w14:paraId="7E2BD1E7" w14:textId="2BEA27D9"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57.74</w:t>
            </w:r>
          </w:p>
        </w:tc>
      </w:tr>
      <w:tr w:rsidR="00D46AA4" w:rsidRPr="003A6DFC" w14:paraId="30853841" w14:textId="77777777" w:rsidTr="000A1B87">
        <w:trPr>
          <w:trHeight w:val="276"/>
          <w:jc w:val="center"/>
        </w:trPr>
        <w:tc>
          <w:tcPr>
            <w:tcW w:w="1388" w:type="dxa"/>
            <w:tcBorders>
              <w:top w:val="nil"/>
              <w:left w:val="nil"/>
              <w:bottom w:val="nil"/>
              <w:right w:val="nil"/>
            </w:tcBorders>
            <w:shd w:val="clear" w:color="auto" w:fill="auto"/>
            <w:noWrap/>
            <w:vAlign w:val="center"/>
            <w:hideMark/>
          </w:tcPr>
          <w:p w14:paraId="6416068F" w14:textId="51077F08"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0100</w:t>
            </w:r>
          </w:p>
        </w:tc>
        <w:tc>
          <w:tcPr>
            <w:tcW w:w="1447" w:type="dxa"/>
            <w:tcBorders>
              <w:top w:val="nil"/>
              <w:left w:val="nil"/>
              <w:bottom w:val="nil"/>
              <w:right w:val="nil"/>
            </w:tcBorders>
            <w:shd w:val="clear" w:color="auto" w:fill="auto"/>
            <w:noWrap/>
            <w:vAlign w:val="center"/>
            <w:hideMark/>
          </w:tcPr>
          <w:p w14:paraId="3C069928" w14:textId="27A12F86"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8,712</w:t>
            </w:r>
          </w:p>
        </w:tc>
        <w:tc>
          <w:tcPr>
            <w:tcW w:w="1208" w:type="dxa"/>
            <w:tcBorders>
              <w:top w:val="nil"/>
              <w:left w:val="nil"/>
              <w:bottom w:val="nil"/>
              <w:right w:val="nil"/>
            </w:tcBorders>
            <w:shd w:val="clear" w:color="auto" w:fill="auto"/>
            <w:noWrap/>
            <w:vAlign w:val="center"/>
            <w:hideMark/>
          </w:tcPr>
          <w:p w14:paraId="642E5B03" w14:textId="6DA8E472"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9.62</w:t>
            </w:r>
          </w:p>
        </w:tc>
        <w:tc>
          <w:tcPr>
            <w:tcW w:w="1451" w:type="dxa"/>
            <w:tcBorders>
              <w:top w:val="nil"/>
              <w:left w:val="nil"/>
              <w:bottom w:val="nil"/>
              <w:right w:val="nil"/>
            </w:tcBorders>
            <w:shd w:val="clear" w:color="auto" w:fill="auto"/>
            <w:noWrap/>
            <w:vAlign w:val="center"/>
            <w:hideMark/>
          </w:tcPr>
          <w:p w14:paraId="616666DE" w14:textId="0350CF2C"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67.36</w:t>
            </w:r>
          </w:p>
        </w:tc>
      </w:tr>
      <w:tr w:rsidR="00D46AA4" w:rsidRPr="003A6DFC" w14:paraId="79711552" w14:textId="77777777" w:rsidTr="00F27078">
        <w:trPr>
          <w:trHeight w:val="276"/>
          <w:jc w:val="center"/>
        </w:trPr>
        <w:tc>
          <w:tcPr>
            <w:tcW w:w="1388" w:type="dxa"/>
            <w:tcBorders>
              <w:top w:val="nil"/>
              <w:left w:val="nil"/>
              <w:bottom w:val="nil"/>
              <w:right w:val="nil"/>
            </w:tcBorders>
            <w:shd w:val="clear" w:color="auto" w:fill="auto"/>
            <w:noWrap/>
            <w:vAlign w:val="center"/>
            <w:hideMark/>
          </w:tcPr>
          <w:p w14:paraId="01CBD4C8" w14:textId="4E2871DF"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1000</w:t>
            </w:r>
          </w:p>
        </w:tc>
        <w:tc>
          <w:tcPr>
            <w:tcW w:w="1447" w:type="dxa"/>
            <w:tcBorders>
              <w:top w:val="nil"/>
              <w:left w:val="nil"/>
              <w:bottom w:val="nil"/>
              <w:right w:val="nil"/>
            </w:tcBorders>
            <w:shd w:val="clear" w:color="auto" w:fill="auto"/>
            <w:noWrap/>
            <w:vAlign w:val="center"/>
            <w:hideMark/>
          </w:tcPr>
          <w:p w14:paraId="03AEB4DB" w14:textId="00A55C46"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9,660</w:t>
            </w:r>
          </w:p>
        </w:tc>
        <w:tc>
          <w:tcPr>
            <w:tcW w:w="1208" w:type="dxa"/>
            <w:tcBorders>
              <w:top w:val="nil"/>
              <w:left w:val="nil"/>
              <w:bottom w:val="nil"/>
              <w:right w:val="nil"/>
            </w:tcBorders>
            <w:shd w:val="clear" w:color="auto" w:fill="auto"/>
            <w:noWrap/>
            <w:vAlign w:val="center"/>
            <w:hideMark/>
          </w:tcPr>
          <w:p w14:paraId="605CF1E0" w14:textId="62D18EE4"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10.66</w:t>
            </w:r>
          </w:p>
        </w:tc>
        <w:tc>
          <w:tcPr>
            <w:tcW w:w="1451" w:type="dxa"/>
            <w:tcBorders>
              <w:top w:val="nil"/>
              <w:left w:val="nil"/>
              <w:bottom w:val="nil"/>
              <w:right w:val="nil"/>
            </w:tcBorders>
            <w:shd w:val="clear" w:color="auto" w:fill="auto"/>
            <w:noWrap/>
            <w:vAlign w:val="center"/>
            <w:hideMark/>
          </w:tcPr>
          <w:p w14:paraId="68B817AC" w14:textId="1C63BA24"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78.02</w:t>
            </w:r>
          </w:p>
        </w:tc>
      </w:tr>
      <w:tr w:rsidR="00D46AA4" w:rsidRPr="003A6DFC" w14:paraId="524B0E07" w14:textId="77777777" w:rsidTr="000A1B87">
        <w:trPr>
          <w:trHeight w:val="276"/>
          <w:jc w:val="center"/>
        </w:trPr>
        <w:tc>
          <w:tcPr>
            <w:tcW w:w="1388" w:type="dxa"/>
            <w:tcBorders>
              <w:top w:val="nil"/>
              <w:left w:val="nil"/>
              <w:bottom w:val="nil"/>
              <w:right w:val="nil"/>
            </w:tcBorders>
            <w:shd w:val="clear" w:color="auto" w:fill="auto"/>
            <w:noWrap/>
            <w:vAlign w:val="center"/>
            <w:hideMark/>
          </w:tcPr>
          <w:p w14:paraId="024BE3F4" w14:textId="38E8B8F1"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1001</w:t>
            </w:r>
          </w:p>
        </w:tc>
        <w:tc>
          <w:tcPr>
            <w:tcW w:w="1447" w:type="dxa"/>
            <w:tcBorders>
              <w:top w:val="nil"/>
              <w:left w:val="nil"/>
              <w:bottom w:val="nil"/>
              <w:right w:val="nil"/>
            </w:tcBorders>
            <w:shd w:val="clear" w:color="auto" w:fill="auto"/>
            <w:noWrap/>
            <w:vAlign w:val="center"/>
            <w:hideMark/>
          </w:tcPr>
          <w:p w14:paraId="3474B02E" w14:textId="530BC26D"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2,340</w:t>
            </w:r>
          </w:p>
        </w:tc>
        <w:tc>
          <w:tcPr>
            <w:tcW w:w="1208" w:type="dxa"/>
            <w:tcBorders>
              <w:top w:val="nil"/>
              <w:left w:val="nil"/>
              <w:bottom w:val="nil"/>
              <w:right w:val="nil"/>
            </w:tcBorders>
            <w:shd w:val="clear" w:color="auto" w:fill="auto"/>
            <w:noWrap/>
            <w:vAlign w:val="center"/>
            <w:hideMark/>
          </w:tcPr>
          <w:p w14:paraId="7B979273" w14:textId="052EB761"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2.58</w:t>
            </w:r>
          </w:p>
        </w:tc>
        <w:tc>
          <w:tcPr>
            <w:tcW w:w="1451" w:type="dxa"/>
            <w:tcBorders>
              <w:top w:val="nil"/>
              <w:left w:val="nil"/>
              <w:bottom w:val="nil"/>
              <w:right w:val="nil"/>
            </w:tcBorders>
            <w:shd w:val="clear" w:color="auto" w:fill="auto"/>
            <w:noWrap/>
            <w:vAlign w:val="center"/>
            <w:hideMark/>
          </w:tcPr>
          <w:p w14:paraId="00DA5066" w14:textId="6C3DA74D"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80.6</w:t>
            </w:r>
          </w:p>
        </w:tc>
      </w:tr>
      <w:tr w:rsidR="00D46AA4" w:rsidRPr="003A6DFC" w14:paraId="571677EF" w14:textId="77777777" w:rsidTr="000A1B87">
        <w:trPr>
          <w:trHeight w:val="276"/>
          <w:jc w:val="center"/>
        </w:trPr>
        <w:tc>
          <w:tcPr>
            <w:tcW w:w="1388" w:type="dxa"/>
            <w:tcBorders>
              <w:top w:val="nil"/>
              <w:left w:val="nil"/>
              <w:bottom w:val="nil"/>
              <w:right w:val="nil"/>
            </w:tcBorders>
            <w:shd w:val="clear" w:color="auto" w:fill="auto"/>
            <w:noWrap/>
            <w:vAlign w:val="center"/>
            <w:hideMark/>
          </w:tcPr>
          <w:p w14:paraId="24660C7F" w14:textId="1448357A"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1010</w:t>
            </w:r>
          </w:p>
        </w:tc>
        <w:tc>
          <w:tcPr>
            <w:tcW w:w="1447" w:type="dxa"/>
            <w:tcBorders>
              <w:top w:val="nil"/>
              <w:left w:val="nil"/>
              <w:bottom w:val="nil"/>
              <w:right w:val="nil"/>
            </w:tcBorders>
            <w:shd w:val="clear" w:color="auto" w:fill="auto"/>
            <w:noWrap/>
            <w:vAlign w:val="center"/>
            <w:hideMark/>
          </w:tcPr>
          <w:p w14:paraId="79FA1CEE" w14:textId="31385094"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2,488</w:t>
            </w:r>
          </w:p>
        </w:tc>
        <w:tc>
          <w:tcPr>
            <w:tcW w:w="1208" w:type="dxa"/>
            <w:tcBorders>
              <w:top w:val="nil"/>
              <w:left w:val="nil"/>
              <w:bottom w:val="nil"/>
              <w:right w:val="nil"/>
            </w:tcBorders>
            <w:shd w:val="clear" w:color="auto" w:fill="auto"/>
            <w:noWrap/>
            <w:vAlign w:val="center"/>
            <w:hideMark/>
          </w:tcPr>
          <w:p w14:paraId="0B34CA87" w14:textId="58780DA3"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2.75</w:t>
            </w:r>
          </w:p>
        </w:tc>
        <w:tc>
          <w:tcPr>
            <w:tcW w:w="1451" w:type="dxa"/>
            <w:tcBorders>
              <w:top w:val="nil"/>
              <w:left w:val="nil"/>
              <w:bottom w:val="nil"/>
              <w:right w:val="nil"/>
            </w:tcBorders>
            <w:shd w:val="clear" w:color="auto" w:fill="auto"/>
            <w:noWrap/>
            <w:vAlign w:val="center"/>
            <w:hideMark/>
          </w:tcPr>
          <w:p w14:paraId="034A5E76" w14:textId="10B0182F"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83.35</w:t>
            </w:r>
          </w:p>
        </w:tc>
      </w:tr>
      <w:tr w:rsidR="00D46AA4" w:rsidRPr="003A6DFC" w14:paraId="1231C037" w14:textId="77777777" w:rsidTr="00F27078">
        <w:trPr>
          <w:trHeight w:val="276"/>
          <w:jc w:val="center"/>
        </w:trPr>
        <w:tc>
          <w:tcPr>
            <w:tcW w:w="1388" w:type="dxa"/>
            <w:tcBorders>
              <w:top w:val="nil"/>
              <w:left w:val="nil"/>
              <w:bottom w:val="nil"/>
              <w:right w:val="nil"/>
            </w:tcBorders>
            <w:shd w:val="clear" w:color="auto" w:fill="auto"/>
            <w:noWrap/>
            <w:vAlign w:val="center"/>
            <w:hideMark/>
          </w:tcPr>
          <w:p w14:paraId="1403E5F8" w14:textId="4E9C811D"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1100</w:t>
            </w:r>
          </w:p>
        </w:tc>
        <w:tc>
          <w:tcPr>
            <w:tcW w:w="1447" w:type="dxa"/>
            <w:tcBorders>
              <w:top w:val="nil"/>
              <w:left w:val="nil"/>
              <w:bottom w:val="nil"/>
              <w:right w:val="nil"/>
            </w:tcBorders>
            <w:shd w:val="clear" w:color="auto" w:fill="auto"/>
            <w:noWrap/>
            <w:vAlign w:val="center"/>
            <w:hideMark/>
          </w:tcPr>
          <w:p w14:paraId="749A12EA" w14:textId="65121EA8"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2,964</w:t>
            </w:r>
          </w:p>
        </w:tc>
        <w:tc>
          <w:tcPr>
            <w:tcW w:w="1208" w:type="dxa"/>
            <w:tcBorders>
              <w:top w:val="nil"/>
              <w:left w:val="nil"/>
              <w:bottom w:val="nil"/>
              <w:right w:val="nil"/>
            </w:tcBorders>
            <w:shd w:val="clear" w:color="auto" w:fill="auto"/>
            <w:noWrap/>
            <w:vAlign w:val="center"/>
            <w:hideMark/>
          </w:tcPr>
          <w:p w14:paraId="55D48136" w14:textId="032F0D2B"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3.27</w:t>
            </w:r>
          </w:p>
        </w:tc>
        <w:tc>
          <w:tcPr>
            <w:tcW w:w="1451" w:type="dxa"/>
            <w:tcBorders>
              <w:top w:val="nil"/>
              <w:left w:val="nil"/>
              <w:bottom w:val="nil"/>
              <w:right w:val="nil"/>
            </w:tcBorders>
            <w:shd w:val="clear" w:color="auto" w:fill="auto"/>
            <w:noWrap/>
            <w:vAlign w:val="center"/>
            <w:hideMark/>
          </w:tcPr>
          <w:p w14:paraId="546DC52A" w14:textId="3F18E0F2"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86.62</w:t>
            </w:r>
          </w:p>
        </w:tc>
      </w:tr>
      <w:tr w:rsidR="00D46AA4" w:rsidRPr="003A6DFC" w14:paraId="03072E86" w14:textId="77777777" w:rsidTr="00F27078">
        <w:trPr>
          <w:trHeight w:val="276"/>
          <w:jc w:val="center"/>
        </w:trPr>
        <w:tc>
          <w:tcPr>
            <w:tcW w:w="1388" w:type="dxa"/>
            <w:tcBorders>
              <w:top w:val="nil"/>
              <w:left w:val="nil"/>
              <w:bottom w:val="nil"/>
              <w:right w:val="nil"/>
            </w:tcBorders>
            <w:shd w:val="clear" w:color="auto" w:fill="auto"/>
            <w:noWrap/>
            <w:vAlign w:val="center"/>
            <w:hideMark/>
          </w:tcPr>
          <w:p w14:paraId="19A7BD4C" w14:textId="387A71D8"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0011</w:t>
            </w:r>
          </w:p>
        </w:tc>
        <w:tc>
          <w:tcPr>
            <w:tcW w:w="1447" w:type="dxa"/>
            <w:tcBorders>
              <w:top w:val="nil"/>
              <w:left w:val="nil"/>
              <w:bottom w:val="nil"/>
              <w:right w:val="nil"/>
            </w:tcBorders>
            <w:shd w:val="clear" w:color="auto" w:fill="auto"/>
            <w:noWrap/>
            <w:vAlign w:val="center"/>
            <w:hideMark/>
          </w:tcPr>
          <w:p w14:paraId="5315D2BE" w14:textId="4C6E325A"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2,460</w:t>
            </w:r>
          </w:p>
        </w:tc>
        <w:tc>
          <w:tcPr>
            <w:tcW w:w="1208" w:type="dxa"/>
            <w:tcBorders>
              <w:top w:val="nil"/>
              <w:left w:val="nil"/>
              <w:bottom w:val="nil"/>
              <w:right w:val="nil"/>
            </w:tcBorders>
            <w:shd w:val="clear" w:color="auto" w:fill="auto"/>
            <w:noWrap/>
            <w:vAlign w:val="center"/>
            <w:hideMark/>
          </w:tcPr>
          <w:p w14:paraId="07429D77" w14:textId="3A8E7A17"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2.72</w:t>
            </w:r>
          </w:p>
        </w:tc>
        <w:tc>
          <w:tcPr>
            <w:tcW w:w="1451" w:type="dxa"/>
            <w:tcBorders>
              <w:top w:val="nil"/>
              <w:left w:val="nil"/>
              <w:bottom w:val="nil"/>
              <w:right w:val="nil"/>
            </w:tcBorders>
            <w:shd w:val="clear" w:color="auto" w:fill="auto"/>
            <w:noWrap/>
            <w:vAlign w:val="center"/>
            <w:hideMark/>
          </w:tcPr>
          <w:p w14:paraId="219F9AED" w14:textId="06EEA491"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89.34</w:t>
            </w:r>
          </w:p>
        </w:tc>
      </w:tr>
      <w:tr w:rsidR="00D46AA4" w:rsidRPr="003A6DFC" w14:paraId="6B3DA25A" w14:textId="77777777" w:rsidTr="000A1B87">
        <w:trPr>
          <w:trHeight w:val="276"/>
          <w:jc w:val="center"/>
        </w:trPr>
        <w:tc>
          <w:tcPr>
            <w:tcW w:w="1388" w:type="dxa"/>
            <w:tcBorders>
              <w:top w:val="nil"/>
              <w:left w:val="nil"/>
              <w:bottom w:val="nil"/>
              <w:right w:val="nil"/>
            </w:tcBorders>
            <w:shd w:val="clear" w:color="auto" w:fill="auto"/>
            <w:noWrap/>
            <w:vAlign w:val="center"/>
            <w:hideMark/>
          </w:tcPr>
          <w:p w14:paraId="4590758A" w14:textId="0C2C0AD9"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0101</w:t>
            </w:r>
          </w:p>
        </w:tc>
        <w:tc>
          <w:tcPr>
            <w:tcW w:w="1447" w:type="dxa"/>
            <w:tcBorders>
              <w:top w:val="nil"/>
              <w:left w:val="nil"/>
              <w:bottom w:val="nil"/>
              <w:right w:val="nil"/>
            </w:tcBorders>
            <w:shd w:val="clear" w:color="auto" w:fill="auto"/>
            <w:noWrap/>
            <w:vAlign w:val="center"/>
            <w:hideMark/>
          </w:tcPr>
          <w:p w14:paraId="51FA0514" w14:textId="10A8D4D7"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2,104</w:t>
            </w:r>
          </w:p>
        </w:tc>
        <w:tc>
          <w:tcPr>
            <w:tcW w:w="1208" w:type="dxa"/>
            <w:tcBorders>
              <w:top w:val="nil"/>
              <w:left w:val="nil"/>
              <w:bottom w:val="nil"/>
              <w:right w:val="nil"/>
            </w:tcBorders>
            <w:shd w:val="clear" w:color="auto" w:fill="auto"/>
            <w:noWrap/>
            <w:vAlign w:val="center"/>
            <w:hideMark/>
          </w:tcPr>
          <w:p w14:paraId="7FA1A7DA" w14:textId="37FA03D0"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2.32</w:t>
            </w:r>
          </w:p>
        </w:tc>
        <w:tc>
          <w:tcPr>
            <w:tcW w:w="1451" w:type="dxa"/>
            <w:tcBorders>
              <w:top w:val="nil"/>
              <w:left w:val="nil"/>
              <w:bottom w:val="nil"/>
              <w:right w:val="nil"/>
            </w:tcBorders>
            <w:shd w:val="clear" w:color="auto" w:fill="auto"/>
            <w:noWrap/>
            <w:vAlign w:val="center"/>
            <w:hideMark/>
          </w:tcPr>
          <w:p w14:paraId="77B1635B" w14:textId="0D7115E3"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91.66</w:t>
            </w:r>
          </w:p>
        </w:tc>
      </w:tr>
      <w:tr w:rsidR="00D46AA4" w:rsidRPr="003A6DFC" w14:paraId="544E1A3D" w14:textId="77777777" w:rsidTr="000A1B87">
        <w:trPr>
          <w:trHeight w:val="276"/>
          <w:jc w:val="center"/>
        </w:trPr>
        <w:tc>
          <w:tcPr>
            <w:tcW w:w="1388" w:type="dxa"/>
            <w:tcBorders>
              <w:top w:val="nil"/>
              <w:left w:val="nil"/>
              <w:bottom w:val="nil"/>
              <w:right w:val="nil"/>
            </w:tcBorders>
            <w:shd w:val="clear" w:color="auto" w:fill="auto"/>
            <w:noWrap/>
            <w:vAlign w:val="center"/>
            <w:hideMark/>
          </w:tcPr>
          <w:p w14:paraId="368A401F" w14:textId="46615857"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0110</w:t>
            </w:r>
          </w:p>
        </w:tc>
        <w:tc>
          <w:tcPr>
            <w:tcW w:w="1447" w:type="dxa"/>
            <w:tcBorders>
              <w:top w:val="nil"/>
              <w:left w:val="nil"/>
              <w:bottom w:val="nil"/>
              <w:right w:val="nil"/>
            </w:tcBorders>
            <w:shd w:val="clear" w:color="auto" w:fill="auto"/>
            <w:noWrap/>
            <w:vAlign w:val="center"/>
            <w:hideMark/>
          </w:tcPr>
          <w:p w14:paraId="70CAAE9D" w14:textId="1F86E842"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2,512</w:t>
            </w:r>
          </w:p>
        </w:tc>
        <w:tc>
          <w:tcPr>
            <w:tcW w:w="1208" w:type="dxa"/>
            <w:tcBorders>
              <w:top w:val="nil"/>
              <w:left w:val="nil"/>
              <w:bottom w:val="nil"/>
              <w:right w:val="nil"/>
            </w:tcBorders>
            <w:shd w:val="clear" w:color="auto" w:fill="auto"/>
            <w:noWrap/>
            <w:vAlign w:val="center"/>
            <w:hideMark/>
          </w:tcPr>
          <w:p w14:paraId="2A99B692" w14:textId="1588FFF9"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2.77</w:t>
            </w:r>
          </w:p>
        </w:tc>
        <w:tc>
          <w:tcPr>
            <w:tcW w:w="1451" w:type="dxa"/>
            <w:tcBorders>
              <w:top w:val="nil"/>
              <w:left w:val="nil"/>
              <w:bottom w:val="nil"/>
              <w:right w:val="nil"/>
            </w:tcBorders>
            <w:shd w:val="clear" w:color="auto" w:fill="auto"/>
            <w:noWrap/>
            <w:vAlign w:val="center"/>
            <w:hideMark/>
          </w:tcPr>
          <w:p w14:paraId="65FDCA7D" w14:textId="43D0BEAF"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94.43</w:t>
            </w:r>
          </w:p>
        </w:tc>
      </w:tr>
      <w:tr w:rsidR="00D46AA4" w:rsidRPr="003A6DFC" w14:paraId="0B2BC870" w14:textId="77777777" w:rsidTr="00F27078">
        <w:trPr>
          <w:trHeight w:val="276"/>
          <w:jc w:val="center"/>
        </w:trPr>
        <w:tc>
          <w:tcPr>
            <w:tcW w:w="1388" w:type="dxa"/>
            <w:tcBorders>
              <w:top w:val="nil"/>
              <w:left w:val="nil"/>
              <w:bottom w:val="nil"/>
              <w:right w:val="nil"/>
            </w:tcBorders>
            <w:shd w:val="clear" w:color="auto" w:fill="auto"/>
            <w:noWrap/>
            <w:vAlign w:val="center"/>
            <w:hideMark/>
          </w:tcPr>
          <w:p w14:paraId="53518787" w14:textId="3A302780"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0111</w:t>
            </w:r>
          </w:p>
        </w:tc>
        <w:tc>
          <w:tcPr>
            <w:tcW w:w="1447" w:type="dxa"/>
            <w:tcBorders>
              <w:top w:val="nil"/>
              <w:left w:val="nil"/>
              <w:bottom w:val="nil"/>
              <w:right w:val="nil"/>
            </w:tcBorders>
            <w:shd w:val="clear" w:color="auto" w:fill="auto"/>
            <w:noWrap/>
            <w:vAlign w:val="center"/>
            <w:hideMark/>
          </w:tcPr>
          <w:p w14:paraId="79C9190F" w14:textId="646830DD"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1,124</w:t>
            </w:r>
          </w:p>
        </w:tc>
        <w:tc>
          <w:tcPr>
            <w:tcW w:w="1208" w:type="dxa"/>
            <w:tcBorders>
              <w:top w:val="nil"/>
              <w:left w:val="nil"/>
              <w:bottom w:val="nil"/>
              <w:right w:val="nil"/>
            </w:tcBorders>
            <w:shd w:val="clear" w:color="auto" w:fill="auto"/>
            <w:noWrap/>
            <w:vAlign w:val="center"/>
            <w:hideMark/>
          </w:tcPr>
          <w:p w14:paraId="32D35E8B" w14:textId="0C27868C"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1.24</w:t>
            </w:r>
          </w:p>
        </w:tc>
        <w:tc>
          <w:tcPr>
            <w:tcW w:w="1451" w:type="dxa"/>
            <w:tcBorders>
              <w:top w:val="nil"/>
              <w:left w:val="nil"/>
              <w:bottom w:val="nil"/>
              <w:right w:val="nil"/>
            </w:tcBorders>
            <w:shd w:val="clear" w:color="auto" w:fill="auto"/>
            <w:noWrap/>
            <w:vAlign w:val="center"/>
            <w:hideMark/>
          </w:tcPr>
          <w:p w14:paraId="71DECB57" w14:textId="636170CA"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95.67</w:t>
            </w:r>
          </w:p>
        </w:tc>
      </w:tr>
      <w:tr w:rsidR="00D46AA4" w:rsidRPr="003A6DFC" w14:paraId="0B5140DA" w14:textId="77777777" w:rsidTr="000A1B87">
        <w:trPr>
          <w:trHeight w:val="276"/>
          <w:jc w:val="center"/>
        </w:trPr>
        <w:tc>
          <w:tcPr>
            <w:tcW w:w="1388" w:type="dxa"/>
            <w:tcBorders>
              <w:top w:val="nil"/>
              <w:left w:val="nil"/>
              <w:bottom w:val="nil"/>
              <w:right w:val="nil"/>
            </w:tcBorders>
            <w:shd w:val="clear" w:color="auto" w:fill="auto"/>
            <w:noWrap/>
            <w:vAlign w:val="center"/>
            <w:hideMark/>
          </w:tcPr>
          <w:p w14:paraId="29B51FAB" w14:textId="2C30DD9C"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1011</w:t>
            </w:r>
          </w:p>
        </w:tc>
        <w:tc>
          <w:tcPr>
            <w:tcW w:w="1447" w:type="dxa"/>
            <w:tcBorders>
              <w:top w:val="nil"/>
              <w:left w:val="nil"/>
              <w:bottom w:val="nil"/>
              <w:right w:val="nil"/>
            </w:tcBorders>
            <w:shd w:val="clear" w:color="auto" w:fill="auto"/>
            <w:noWrap/>
            <w:vAlign w:val="center"/>
            <w:hideMark/>
          </w:tcPr>
          <w:p w14:paraId="248CB8B1" w14:textId="69B2768C"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1,012</w:t>
            </w:r>
          </w:p>
        </w:tc>
        <w:tc>
          <w:tcPr>
            <w:tcW w:w="1208" w:type="dxa"/>
            <w:tcBorders>
              <w:top w:val="nil"/>
              <w:left w:val="nil"/>
              <w:bottom w:val="nil"/>
              <w:right w:val="nil"/>
            </w:tcBorders>
            <w:shd w:val="clear" w:color="auto" w:fill="auto"/>
            <w:noWrap/>
            <w:vAlign w:val="center"/>
            <w:hideMark/>
          </w:tcPr>
          <w:p w14:paraId="45962269" w14:textId="7E7AC0A2"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1.12</w:t>
            </w:r>
          </w:p>
        </w:tc>
        <w:tc>
          <w:tcPr>
            <w:tcW w:w="1451" w:type="dxa"/>
            <w:tcBorders>
              <w:top w:val="nil"/>
              <w:left w:val="nil"/>
              <w:bottom w:val="nil"/>
              <w:right w:val="nil"/>
            </w:tcBorders>
            <w:shd w:val="clear" w:color="auto" w:fill="auto"/>
            <w:noWrap/>
            <w:vAlign w:val="center"/>
            <w:hideMark/>
          </w:tcPr>
          <w:p w14:paraId="2BB2F442" w14:textId="463CF6A5"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96.79</w:t>
            </w:r>
          </w:p>
        </w:tc>
      </w:tr>
      <w:tr w:rsidR="00D46AA4" w:rsidRPr="003A6DFC" w14:paraId="38D400A9" w14:textId="77777777" w:rsidTr="000A1B87">
        <w:trPr>
          <w:trHeight w:val="276"/>
          <w:jc w:val="center"/>
        </w:trPr>
        <w:tc>
          <w:tcPr>
            <w:tcW w:w="1388" w:type="dxa"/>
            <w:tcBorders>
              <w:top w:val="nil"/>
              <w:left w:val="nil"/>
              <w:bottom w:val="nil"/>
              <w:right w:val="nil"/>
            </w:tcBorders>
            <w:shd w:val="clear" w:color="auto" w:fill="auto"/>
            <w:noWrap/>
            <w:vAlign w:val="center"/>
            <w:hideMark/>
          </w:tcPr>
          <w:p w14:paraId="47319980" w14:textId="2BCEF215"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1101</w:t>
            </w:r>
          </w:p>
        </w:tc>
        <w:tc>
          <w:tcPr>
            <w:tcW w:w="1447" w:type="dxa"/>
            <w:tcBorders>
              <w:top w:val="nil"/>
              <w:left w:val="nil"/>
              <w:bottom w:val="nil"/>
              <w:right w:val="nil"/>
            </w:tcBorders>
            <w:shd w:val="clear" w:color="auto" w:fill="auto"/>
            <w:noWrap/>
            <w:vAlign w:val="center"/>
            <w:hideMark/>
          </w:tcPr>
          <w:p w14:paraId="54DAA714" w14:textId="3D29D6D0"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1,036</w:t>
            </w:r>
          </w:p>
        </w:tc>
        <w:tc>
          <w:tcPr>
            <w:tcW w:w="1208" w:type="dxa"/>
            <w:tcBorders>
              <w:top w:val="nil"/>
              <w:left w:val="nil"/>
              <w:bottom w:val="nil"/>
              <w:right w:val="nil"/>
            </w:tcBorders>
            <w:shd w:val="clear" w:color="auto" w:fill="auto"/>
            <w:noWrap/>
            <w:vAlign w:val="center"/>
            <w:hideMark/>
          </w:tcPr>
          <w:p w14:paraId="63489377" w14:textId="0922B279"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1.14</w:t>
            </w:r>
          </w:p>
        </w:tc>
        <w:tc>
          <w:tcPr>
            <w:tcW w:w="1451" w:type="dxa"/>
            <w:tcBorders>
              <w:top w:val="nil"/>
              <w:left w:val="nil"/>
              <w:bottom w:val="nil"/>
              <w:right w:val="nil"/>
            </w:tcBorders>
            <w:shd w:val="clear" w:color="auto" w:fill="auto"/>
            <w:noWrap/>
            <w:vAlign w:val="center"/>
            <w:hideMark/>
          </w:tcPr>
          <w:p w14:paraId="724E16F7" w14:textId="13257552"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97.93</w:t>
            </w:r>
          </w:p>
        </w:tc>
      </w:tr>
      <w:tr w:rsidR="00D46AA4" w:rsidRPr="003A6DFC" w14:paraId="68F68098" w14:textId="77777777" w:rsidTr="00F27078">
        <w:trPr>
          <w:trHeight w:val="276"/>
          <w:jc w:val="center"/>
        </w:trPr>
        <w:tc>
          <w:tcPr>
            <w:tcW w:w="1388" w:type="dxa"/>
            <w:tcBorders>
              <w:top w:val="nil"/>
              <w:left w:val="nil"/>
              <w:right w:val="nil"/>
            </w:tcBorders>
            <w:shd w:val="clear" w:color="auto" w:fill="auto"/>
            <w:noWrap/>
            <w:vAlign w:val="center"/>
            <w:hideMark/>
          </w:tcPr>
          <w:p w14:paraId="382A21D8" w14:textId="1F128875"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1110</w:t>
            </w:r>
          </w:p>
        </w:tc>
        <w:tc>
          <w:tcPr>
            <w:tcW w:w="1447" w:type="dxa"/>
            <w:tcBorders>
              <w:top w:val="nil"/>
              <w:left w:val="nil"/>
              <w:right w:val="nil"/>
            </w:tcBorders>
            <w:shd w:val="clear" w:color="auto" w:fill="auto"/>
            <w:noWrap/>
            <w:vAlign w:val="center"/>
            <w:hideMark/>
          </w:tcPr>
          <w:p w14:paraId="43613C20" w14:textId="2509B6CA"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1,196</w:t>
            </w:r>
          </w:p>
        </w:tc>
        <w:tc>
          <w:tcPr>
            <w:tcW w:w="1208" w:type="dxa"/>
            <w:tcBorders>
              <w:top w:val="nil"/>
              <w:left w:val="nil"/>
              <w:right w:val="nil"/>
            </w:tcBorders>
            <w:shd w:val="clear" w:color="auto" w:fill="auto"/>
            <w:noWrap/>
            <w:vAlign w:val="center"/>
            <w:hideMark/>
          </w:tcPr>
          <w:p w14:paraId="044C7D9B" w14:textId="00B62566"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1.32</w:t>
            </w:r>
          </w:p>
        </w:tc>
        <w:tc>
          <w:tcPr>
            <w:tcW w:w="1451" w:type="dxa"/>
            <w:tcBorders>
              <w:top w:val="nil"/>
              <w:left w:val="nil"/>
              <w:right w:val="nil"/>
            </w:tcBorders>
            <w:shd w:val="clear" w:color="auto" w:fill="auto"/>
            <w:noWrap/>
            <w:vAlign w:val="center"/>
            <w:hideMark/>
          </w:tcPr>
          <w:p w14:paraId="057B5EF5" w14:textId="66C56E81"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99.25</w:t>
            </w:r>
          </w:p>
        </w:tc>
      </w:tr>
      <w:tr w:rsidR="00D46AA4" w:rsidRPr="003A6DFC" w14:paraId="15A4A2B7" w14:textId="77777777" w:rsidTr="00F27078">
        <w:trPr>
          <w:trHeight w:val="276"/>
          <w:jc w:val="center"/>
        </w:trPr>
        <w:tc>
          <w:tcPr>
            <w:tcW w:w="1388" w:type="dxa"/>
            <w:tcBorders>
              <w:top w:val="nil"/>
              <w:left w:val="nil"/>
              <w:bottom w:val="single" w:sz="4" w:space="0" w:color="auto"/>
              <w:right w:val="nil"/>
            </w:tcBorders>
            <w:shd w:val="clear" w:color="auto" w:fill="auto"/>
            <w:noWrap/>
            <w:vAlign w:val="center"/>
            <w:hideMark/>
          </w:tcPr>
          <w:p w14:paraId="53B02BC6" w14:textId="3F2D2A66"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sz w:val="18"/>
                <w:szCs w:val="18"/>
              </w:rPr>
              <w:t>1111</w:t>
            </w:r>
          </w:p>
        </w:tc>
        <w:tc>
          <w:tcPr>
            <w:tcW w:w="1447" w:type="dxa"/>
            <w:tcBorders>
              <w:top w:val="nil"/>
              <w:left w:val="nil"/>
              <w:bottom w:val="single" w:sz="4" w:space="0" w:color="auto"/>
              <w:right w:val="nil"/>
            </w:tcBorders>
            <w:shd w:val="clear" w:color="auto" w:fill="auto"/>
            <w:noWrap/>
            <w:vAlign w:val="center"/>
            <w:hideMark/>
          </w:tcPr>
          <w:p w14:paraId="288C1BA1" w14:textId="42C060B3"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676</w:t>
            </w:r>
          </w:p>
        </w:tc>
        <w:tc>
          <w:tcPr>
            <w:tcW w:w="1208" w:type="dxa"/>
            <w:tcBorders>
              <w:top w:val="nil"/>
              <w:left w:val="nil"/>
              <w:bottom w:val="single" w:sz="4" w:space="0" w:color="auto"/>
              <w:right w:val="nil"/>
            </w:tcBorders>
            <w:shd w:val="clear" w:color="auto" w:fill="auto"/>
            <w:noWrap/>
            <w:vAlign w:val="center"/>
            <w:hideMark/>
          </w:tcPr>
          <w:p w14:paraId="220CBB05" w14:textId="694A7E1A"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0.75</w:t>
            </w:r>
          </w:p>
        </w:tc>
        <w:tc>
          <w:tcPr>
            <w:tcW w:w="1451" w:type="dxa"/>
            <w:tcBorders>
              <w:top w:val="nil"/>
              <w:left w:val="nil"/>
              <w:bottom w:val="single" w:sz="4" w:space="0" w:color="auto"/>
              <w:right w:val="nil"/>
            </w:tcBorders>
            <w:shd w:val="clear" w:color="auto" w:fill="auto"/>
            <w:noWrap/>
            <w:vAlign w:val="center"/>
            <w:hideMark/>
          </w:tcPr>
          <w:p w14:paraId="5D6F65E3" w14:textId="69D4ABCC"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sz w:val="18"/>
                <w:szCs w:val="18"/>
              </w:rPr>
              <w:t>100</w:t>
            </w:r>
          </w:p>
        </w:tc>
      </w:tr>
      <w:tr w:rsidR="00D46AA4" w:rsidRPr="003A6DFC" w14:paraId="6D526CB8" w14:textId="77777777" w:rsidTr="00E800F0">
        <w:trPr>
          <w:trHeight w:val="276"/>
          <w:jc w:val="center"/>
        </w:trPr>
        <w:tc>
          <w:tcPr>
            <w:tcW w:w="1388" w:type="dxa"/>
            <w:tcBorders>
              <w:top w:val="single" w:sz="4" w:space="0" w:color="auto"/>
              <w:left w:val="nil"/>
              <w:bottom w:val="single" w:sz="4" w:space="0" w:color="auto"/>
              <w:right w:val="nil"/>
            </w:tcBorders>
            <w:shd w:val="clear" w:color="auto" w:fill="auto"/>
            <w:noWrap/>
            <w:vAlign w:val="center"/>
          </w:tcPr>
          <w:p w14:paraId="0A549FFB" w14:textId="32E3D117" w:rsidR="00D46AA4" w:rsidRPr="003A6DFC" w:rsidRDefault="00D46AA4" w:rsidP="00D46AA4">
            <w:pPr>
              <w:spacing w:after="0" w:line="240" w:lineRule="auto"/>
              <w:jc w:val="center"/>
              <w:rPr>
                <w:rFonts w:ascii="Century" w:hAnsi="Century" w:cs="Times New Roman"/>
                <w:bCs/>
                <w:sz w:val="18"/>
                <w:szCs w:val="18"/>
                <w:lang w:val="en-GB"/>
              </w:rPr>
            </w:pPr>
            <w:r w:rsidRPr="003A6DFC">
              <w:rPr>
                <w:rFonts w:ascii="Century" w:hAnsi="Century" w:cs="Calibri"/>
                <w:b/>
                <w:bCs/>
                <w:sz w:val="18"/>
                <w:szCs w:val="18"/>
              </w:rPr>
              <w:t>Total</w:t>
            </w:r>
          </w:p>
        </w:tc>
        <w:tc>
          <w:tcPr>
            <w:tcW w:w="1447" w:type="dxa"/>
            <w:tcBorders>
              <w:top w:val="single" w:sz="4" w:space="0" w:color="auto"/>
              <w:left w:val="nil"/>
              <w:bottom w:val="single" w:sz="4" w:space="0" w:color="auto"/>
              <w:right w:val="nil"/>
            </w:tcBorders>
            <w:shd w:val="clear" w:color="auto" w:fill="auto"/>
            <w:noWrap/>
            <w:vAlign w:val="center"/>
          </w:tcPr>
          <w:p w14:paraId="6B8A27F6" w14:textId="685910E4"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b/>
                <w:bCs/>
                <w:sz w:val="18"/>
                <w:szCs w:val="18"/>
              </w:rPr>
              <w:t>90,600</w:t>
            </w:r>
          </w:p>
        </w:tc>
        <w:tc>
          <w:tcPr>
            <w:tcW w:w="1208" w:type="dxa"/>
            <w:tcBorders>
              <w:top w:val="single" w:sz="4" w:space="0" w:color="auto"/>
              <w:left w:val="nil"/>
              <w:bottom w:val="single" w:sz="4" w:space="0" w:color="auto"/>
              <w:right w:val="nil"/>
            </w:tcBorders>
            <w:shd w:val="clear" w:color="auto" w:fill="auto"/>
            <w:noWrap/>
            <w:vAlign w:val="center"/>
          </w:tcPr>
          <w:p w14:paraId="2E2C0905" w14:textId="6C101766"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b/>
                <w:bCs/>
                <w:sz w:val="18"/>
                <w:szCs w:val="18"/>
              </w:rPr>
              <w:t>100</w:t>
            </w:r>
          </w:p>
        </w:tc>
        <w:tc>
          <w:tcPr>
            <w:tcW w:w="1451" w:type="dxa"/>
            <w:tcBorders>
              <w:top w:val="single" w:sz="4" w:space="0" w:color="auto"/>
              <w:left w:val="nil"/>
              <w:bottom w:val="single" w:sz="4" w:space="0" w:color="auto"/>
              <w:right w:val="nil"/>
            </w:tcBorders>
            <w:shd w:val="clear" w:color="auto" w:fill="auto"/>
            <w:noWrap/>
            <w:vAlign w:val="center"/>
          </w:tcPr>
          <w:p w14:paraId="6A62DA02" w14:textId="405EA3E2" w:rsidR="00D46AA4" w:rsidRPr="003A6DFC" w:rsidRDefault="00D46AA4" w:rsidP="00D46AA4">
            <w:pPr>
              <w:spacing w:after="0" w:line="240" w:lineRule="auto"/>
              <w:jc w:val="right"/>
              <w:rPr>
                <w:rFonts w:ascii="Century" w:hAnsi="Century" w:cs="Times New Roman"/>
                <w:bCs/>
                <w:sz w:val="18"/>
                <w:szCs w:val="18"/>
                <w:lang w:val="en-GB"/>
              </w:rPr>
            </w:pPr>
            <w:r w:rsidRPr="003A6DFC">
              <w:rPr>
                <w:rFonts w:ascii="Century" w:hAnsi="Century" w:cs="Calibri"/>
                <w:b/>
                <w:bCs/>
                <w:sz w:val="18"/>
                <w:szCs w:val="18"/>
              </w:rPr>
              <w:t>-</w:t>
            </w:r>
          </w:p>
        </w:tc>
      </w:tr>
      <w:tr w:rsidR="00E800F0" w:rsidRPr="003A6DFC" w14:paraId="0A9BDC38" w14:textId="77777777" w:rsidTr="00E800F0">
        <w:trPr>
          <w:trHeight w:val="276"/>
          <w:jc w:val="center"/>
        </w:trPr>
        <w:tc>
          <w:tcPr>
            <w:tcW w:w="5494" w:type="dxa"/>
            <w:gridSpan w:val="4"/>
            <w:tcBorders>
              <w:top w:val="single" w:sz="4" w:space="0" w:color="auto"/>
              <w:left w:val="nil"/>
              <w:right w:val="nil"/>
            </w:tcBorders>
            <w:shd w:val="clear" w:color="auto" w:fill="auto"/>
            <w:noWrap/>
            <w:vAlign w:val="center"/>
          </w:tcPr>
          <w:p w14:paraId="6DEF2643" w14:textId="0FAB282D" w:rsidR="00E800F0" w:rsidRPr="003A6DFC" w:rsidRDefault="00E800F0" w:rsidP="00CC6094">
            <w:pPr>
              <w:spacing w:after="0" w:line="240" w:lineRule="auto"/>
              <w:jc w:val="both"/>
              <w:rPr>
                <w:rFonts w:ascii="Century" w:hAnsi="Century" w:cs="Calibri"/>
                <w:sz w:val="18"/>
                <w:szCs w:val="18"/>
              </w:rPr>
            </w:pPr>
            <w:r w:rsidRPr="003A6DFC">
              <w:rPr>
                <w:rFonts w:ascii="Century" w:hAnsi="Century" w:cs="Calibri"/>
                <w:sz w:val="18"/>
                <w:szCs w:val="18"/>
              </w:rPr>
              <w:t xml:space="preserve">Notes: “0” stands for </w:t>
            </w:r>
            <w:r w:rsidR="00BB0955" w:rsidRPr="003A6DFC">
              <w:rPr>
                <w:rFonts w:ascii="Century" w:hAnsi="Century" w:cs="Calibri"/>
                <w:sz w:val="18"/>
                <w:szCs w:val="18"/>
              </w:rPr>
              <w:t>consistent SAH responses</w:t>
            </w:r>
            <w:r w:rsidR="00CC6094" w:rsidRPr="003A6DFC">
              <w:rPr>
                <w:rFonts w:ascii="Century" w:hAnsi="Century" w:cs="Calibri"/>
                <w:sz w:val="18"/>
                <w:szCs w:val="18"/>
              </w:rPr>
              <w:t xml:space="preserve"> between the self-complet</w:t>
            </w:r>
            <w:r w:rsidR="00184786" w:rsidRPr="003A6DFC">
              <w:rPr>
                <w:rFonts w:ascii="Century" w:hAnsi="Century" w:cs="Calibri"/>
                <w:sz w:val="18"/>
                <w:szCs w:val="18"/>
              </w:rPr>
              <w:t>ion</w:t>
            </w:r>
            <w:r w:rsidR="00CC6094" w:rsidRPr="003A6DFC">
              <w:rPr>
                <w:rFonts w:ascii="Century" w:hAnsi="Century" w:cs="Calibri"/>
                <w:sz w:val="18"/>
                <w:szCs w:val="18"/>
              </w:rPr>
              <w:t xml:space="preserve"> and open interview</w:t>
            </w:r>
            <w:r w:rsidR="00184786" w:rsidRPr="003A6DFC">
              <w:rPr>
                <w:rFonts w:ascii="Century" w:hAnsi="Century" w:cs="Calibri"/>
                <w:sz w:val="18"/>
                <w:szCs w:val="18"/>
              </w:rPr>
              <w:t xml:space="preserve"> SAH measures</w:t>
            </w:r>
            <w:r w:rsidR="00955314" w:rsidRPr="003A6DFC">
              <w:rPr>
                <w:rFonts w:ascii="Century" w:hAnsi="Century" w:cs="Calibri"/>
                <w:sz w:val="18"/>
                <w:szCs w:val="18"/>
              </w:rPr>
              <w:t xml:space="preserve"> for each particular wave</w:t>
            </w:r>
            <w:r w:rsidRPr="003A6DFC">
              <w:rPr>
                <w:rFonts w:ascii="Century" w:hAnsi="Century" w:cs="Calibri"/>
                <w:sz w:val="18"/>
                <w:szCs w:val="18"/>
              </w:rPr>
              <w:t xml:space="preserve">; </w:t>
            </w:r>
            <w:r w:rsidR="00BB0955" w:rsidRPr="003A6DFC">
              <w:rPr>
                <w:rFonts w:ascii="Century" w:hAnsi="Century" w:cs="Calibri"/>
                <w:sz w:val="18"/>
                <w:szCs w:val="18"/>
              </w:rPr>
              <w:t>“</w:t>
            </w:r>
            <w:r w:rsidRPr="003A6DFC">
              <w:rPr>
                <w:rFonts w:ascii="Century" w:hAnsi="Century" w:cs="Calibri"/>
                <w:sz w:val="18"/>
                <w:szCs w:val="18"/>
              </w:rPr>
              <w:t>1</w:t>
            </w:r>
            <w:r w:rsidR="00BB0955" w:rsidRPr="003A6DFC">
              <w:rPr>
                <w:rFonts w:ascii="Century" w:hAnsi="Century" w:cs="Calibri"/>
                <w:sz w:val="18"/>
                <w:szCs w:val="18"/>
              </w:rPr>
              <w:t>”</w:t>
            </w:r>
            <w:r w:rsidRPr="003A6DFC">
              <w:rPr>
                <w:rFonts w:ascii="Century" w:hAnsi="Century" w:cs="Calibri"/>
                <w:sz w:val="18"/>
                <w:szCs w:val="18"/>
              </w:rPr>
              <w:t xml:space="preserve"> for </w:t>
            </w:r>
            <w:r w:rsidR="00BB0955" w:rsidRPr="003A6DFC">
              <w:rPr>
                <w:rFonts w:ascii="Century" w:hAnsi="Century" w:cs="Calibri"/>
                <w:sz w:val="18"/>
                <w:szCs w:val="18"/>
              </w:rPr>
              <w:t>inconsistent SAH responses.</w:t>
            </w:r>
            <w:r w:rsidRPr="003A6DFC">
              <w:rPr>
                <w:rFonts w:ascii="Century" w:hAnsi="Century" w:cs="Calibri"/>
                <w:sz w:val="18"/>
                <w:szCs w:val="18"/>
              </w:rPr>
              <w:t xml:space="preserve"> </w:t>
            </w:r>
          </w:p>
        </w:tc>
      </w:tr>
    </w:tbl>
    <w:p w14:paraId="436FD375" w14:textId="77777777" w:rsidR="00C25A0E" w:rsidRPr="003A6DFC" w:rsidRDefault="00C25A0E" w:rsidP="009F5E77">
      <w:pPr>
        <w:spacing w:after="0" w:line="360" w:lineRule="auto"/>
        <w:rPr>
          <w:rFonts w:ascii="Century" w:hAnsi="Century" w:cs="Times New Roman"/>
          <w:bCs/>
          <w:lang w:val="en-GB"/>
        </w:rPr>
      </w:pPr>
    </w:p>
    <w:p w14:paraId="0CD627EC" w14:textId="77777777" w:rsidR="004B536C" w:rsidRPr="003A6DFC" w:rsidRDefault="004B536C" w:rsidP="009F5E77">
      <w:pPr>
        <w:spacing w:after="0" w:line="360" w:lineRule="auto"/>
        <w:rPr>
          <w:rFonts w:ascii="Century" w:hAnsi="Century" w:cs="Times New Roman"/>
          <w:bCs/>
          <w:lang w:val="en-GB"/>
        </w:rPr>
      </w:pPr>
    </w:p>
    <w:p w14:paraId="77683EC8" w14:textId="321D4BDE" w:rsidR="00FB0037" w:rsidRPr="003A6DFC" w:rsidRDefault="00D8151D" w:rsidP="00346AF0">
      <w:pPr>
        <w:spacing w:after="0" w:line="360" w:lineRule="auto"/>
        <w:ind w:firstLine="708"/>
        <w:jc w:val="both"/>
        <w:rPr>
          <w:rFonts w:ascii="Century" w:hAnsi="Century" w:cs="Times New Roman"/>
          <w:bCs/>
          <w:lang w:val="en-GB"/>
        </w:rPr>
      </w:pPr>
      <w:r w:rsidRPr="003A6DFC">
        <w:rPr>
          <w:rFonts w:ascii="Century" w:hAnsi="Century" w:cs="Times New Roman"/>
          <w:bCs/>
          <w:lang w:val="en-GB"/>
        </w:rPr>
        <w:t xml:space="preserve">Table </w:t>
      </w:r>
      <w:r w:rsidR="00EC287D" w:rsidRPr="003A6DFC">
        <w:rPr>
          <w:rFonts w:ascii="Century" w:hAnsi="Century" w:cs="Times New Roman"/>
          <w:bCs/>
          <w:lang w:val="en-GB"/>
        </w:rPr>
        <w:t xml:space="preserve">3 </w:t>
      </w:r>
      <w:r w:rsidRPr="003A6DFC">
        <w:rPr>
          <w:rFonts w:ascii="Century" w:hAnsi="Century" w:cs="Times New Roman"/>
          <w:bCs/>
          <w:lang w:val="en-GB"/>
        </w:rPr>
        <w:t xml:space="preserve">provides some </w:t>
      </w:r>
      <w:r w:rsidR="001745C0" w:rsidRPr="003A6DFC">
        <w:rPr>
          <w:rFonts w:ascii="Century" w:hAnsi="Century" w:cs="Times New Roman"/>
          <w:bCs/>
          <w:lang w:val="en-GB"/>
        </w:rPr>
        <w:t xml:space="preserve">preliminary evidence on whether </w:t>
      </w:r>
      <w:r w:rsidR="004C769E" w:rsidRPr="003A6DFC">
        <w:rPr>
          <w:rFonts w:ascii="Century" w:hAnsi="Century" w:cs="Times New Roman"/>
          <w:bCs/>
          <w:lang w:val="en-GB"/>
        </w:rPr>
        <w:t xml:space="preserve">the </w:t>
      </w:r>
      <w:r w:rsidR="001745C0" w:rsidRPr="003A6DFC">
        <w:rPr>
          <w:rFonts w:ascii="Century" w:hAnsi="Century" w:cs="Times New Roman"/>
          <w:bCs/>
          <w:lang w:val="en-GB"/>
        </w:rPr>
        <w:t>inconsistent reporting patterns</w:t>
      </w:r>
      <w:r w:rsidR="00D52706" w:rsidRPr="003A6DFC">
        <w:rPr>
          <w:rFonts w:ascii="Century" w:hAnsi="Century" w:cs="Times New Roman"/>
          <w:bCs/>
          <w:lang w:val="en-GB"/>
        </w:rPr>
        <w:t xml:space="preserve"> over time are </w:t>
      </w:r>
      <w:r w:rsidR="00A23EBA" w:rsidRPr="003A6DFC">
        <w:rPr>
          <w:rFonts w:ascii="Century" w:hAnsi="Century" w:cs="Times New Roman"/>
          <w:bCs/>
          <w:lang w:val="en-GB"/>
        </w:rPr>
        <w:t>systematically associated with individual characteristics</w:t>
      </w:r>
      <w:r w:rsidR="003E44BF" w:rsidRPr="003A6DFC">
        <w:rPr>
          <w:rFonts w:ascii="Century" w:hAnsi="Century" w:cs="Times New Roman"/>
          <w:bCs/>
          <w:lang w:val="en-GB"/>
        </w:rPr>
        <w:t xml:space="preserve">. </w:t>
      </w:r>
      <w:r w:rsidR="000F0975" w:rsidRPr="003A6DFC">
        <w:rPr>
          <w:rFonts w:ascii="Century" w:hAnsi="Century" w:cs="Arial"/>
        </w:rPr>
        <w:t xml:space="preserve">For example, </w:t>
      </w:r>
      <w:r w:rsidR="005A7701" w:rsidRPr="003A6DFC">
        <w:rPr>
          <w:rFonts w:ascii="Century" w:hAnsi="Century" w:cs="Arial"/>
        </w:rPr>
        <w:t xml:space="preserve">Table </w:t>
      </w:r>
      <w:r w:rsidR="00EC287D" w:rsidRPr="003A6DFC">
        <w:rPr>
          <w:rFonts w:ascii="Century" w:hAnsi="Century" w:cs="Arial"/>
        </w:rPr>
        <w:t xml:space="preserve">3 </w:t>
      </w:r>
      <w:r w:rsidR="00D52706" w:rsidRPr="003A6DFC">
        <w:rPr>
          <w:rFonts w:ascii="Century" w:hAnsi="Century" w:cs="Times New Roman"/>
          <w:bCs/>
          <w:lang w:val="en-GB"/>
        </w:rPr>
        <w:t xml:space="preserve">shows that </w:t>
      </w:r>
      <w:r w:rsidR="00A66A6F" w:rsidRPr="003A6DFC">
        <w:rPr>
          <w:rFonts w:ascii="Century" w:hAnsi="Century" w:cs="Times New Roman"/>
          <w:bCs/>
          <w:lang w:val="en-GB"/>
        </w:rPr>
        <w:t xml:space="preserve">males are more prevalent </w:t>
      </w:r>
      <w:r w:rsidR="00D10A37" w:rsidRPr="003A6DFC">
        <w:rPr>
          <w:rFonts w:ascii="Century" w:hAnsi="Century" w:cs="Times New Roman"/>
          <w:bCs/>
          <w:lang w:val="en-GB"/>
        </w:rPr>
        <w:t>in</w:t>
      </w:r>
      <w:r w:rsidR="00A66A6F" w:rsidRPr="003A6DFC">
        <w:rPr>
          <w:rFonts w:ascii="Century" w:hAnsi="Century" w:cs="Times New Roman"/>
          <w:bCs/>
          <w:lang w:val="en-GB"/>
        </w:rPr>
        <w:t xml:space="preserve"> the “mostly inconsistent” and “always inconsistent” groups.</w:t>
      </w:r>
      <w:r w:rsidR="0056676B" w:rsidRPr="003A6DFC">
        <w:rPr>
          <w:rFonts w:ascii="Century" w:hAnsi="Century" w:cs="Times New Roman"/>
          <w:bCs/>
          <w:lang w:val="en-GB"/>
        </w:rPr>
        <w:t xml:space="preserve"> </w:t>
      </w:r>
      <w:r w:rsidR="00137DB9" w:rsidRPr="003A6DFC">
        <w:rPr>
          <w:rFonts w:ascii="Century" w:hAnsi="Century" w:cs="Times New Roman"/>
          <w:bCs/>
          <w:lang w:val="en-GB"/>
        </w:rPr>
        <w:t xml:space="preserve">Mean values for the age groups show heterogeneous patterns across the </w:t>
      </w:r>
      <w:r w:rsidR="00B95D7C" w:rsidRPr="003A6DFC">
        <w:rPr>
          <w:rFonts w:ascii="Century" w:hAnsi="Century" w:cs="Times New Roman"/>
          <w:bCs/>
          <w:lang w:val="en-GB"/>
        </w:rPr>
        <w:t xml:space="preserve">different sub-groups. </w:t>
      </w:r>
      <w:r w:rsidR="00821597" w:rsidRPr="003A6DFC">
        <w:rPr>
          <w:rFonts w:ascii="Century" w:hAnsi="Century" w:cs="Times New Roman"/>
          <w:bCs/>
          <w:lang w:val="en-GB"/>
        </w:rPr>
        <w:t xml:space="preserve">Turning to education, lower educational categories are more prevalent for the “moderately </w:t>
      </w:r>
      <w:r w:rsidR="00821597" w:rsidRPr="003A6DFC">
        <w:rPr>
          <w:rFonts w:ascii="Century" w:hAnsi="Century" w:cs="Times New Roman"/>
          <w:bCs/>
          <w:lang w:val="en-GB"/>
        </w:rPr>
        <w:lastRenderedPageBreak/>
        <w:t>inconsistent”, “mostly inconsistent” and “always inconsistent” groups as opposed to the “always consistent” or “mostly consistent” groups (as well as for the total sample). The average log of income for the total sample is about 7.2 and decreases as the number of waves with inconsistent SAH responses</w:t>
      </w:r>
      <w:r w:rsidR="004F09C8" w:rsidRPr="003A6DFC">
        <w:rPr>
          <w:rFonts w:ascii="Century" w:hAnsi="Century" w:cs="Times New Roman"/>
          <w:bCs/>
          <w:lang w:val="en-GB"/>
        </w:rPr>
        <w:t xml:space="preserve"> increases</w:t>
      </w:r>
      <w:r w:rsidR="00FB4844" w:rsidRPr="003A6DFC">
        <w:rPr>
          <w:rFonts w:ascii="Century" w:hAnsi="Century" w:cs="Times New Roman"/>
          <w:bCs/>
          <w:lang w:val="en-GB"/>
        </w:rPr>
        <w:t xml:space="preserve">; </w:t>
      </w:r>
      <w:r w:rsidR="004F09C8" w:rsidRPr="003A6DFC">
        <w:rPr>
          <w:rFonts w:ascii="Century" w:hAnsi="Century" w:cs="Times New Roman"/>
          <w:bCs/>
          <w:lang w:val="en-GB"/>
        </w:rPr>
        <w:t xml:space="preserve">the </w:t>
      </w:r>
      <w:r w:rsidR="00FB4844" w:rsidRPr="003A6DFC">
        <w:rPr>
          <w:rFonts w:ascii="Century" w:hAnsi="Century" w:cs="Times New Roman"/>
          <w:bCs/>
          <w:lang w:val="en-GB"/>
        </w:rPr>
        <w:t xml:space="preserve">difference in household income </w:t>
      </w:r>
      <w:r w:rsidR="00821597" w:rsidRPr="003A6DFC">
        <w:rPr>
          <w:rFonts w:ascii="Century" w:hAnsi="Century" w:cs="Times New Roman"/>
          <w:bCs/>
          <w:lang w:val="en-GB"/>
        </w:rPr>
        <w:t xml:space="preserve">between </w:t>
      </w:r>
      <w:r w:rsidR="00FB4844" w:rsidRPr="003A6DFC">
        <w:rPr>
          <w:rFonts w:ascii="Century" w:hAnsi="Century" w:cs="Times New Roman"/>
          <w:bCs/>
          <w:lang w:val="en-GB"/>
        </w:rPr>
        <w:t xml:space="preserve">the </w:t>
      </w:r>
      <w:r w:rsidR="00821597" w:rsidRPr="003A6DFC">
        <w:rPr>
          <w:rFonts w:ascii="Century" w:hAnsi="Century" w:cs="Times New Roman"/>
          <w:bCs/>
          <w:lang w:val="en-GB"/>
        </w:rPr>
        <w:t>“always consistent” and “always inconsistent” categories is approximately 25%</w:t>
      </w:r>
      <w:r w:rsidR="00346AF0" w:rsidRPr="003A6DFC">
        <w:rPr>
          <w:rFonts w:ascii="Century" w:hAnsi="Century" w:cs="Times New Roman"/>
          <w:bCs/>
          <w:lang w:val="en-GB"/>
        </w:rPr>
        <w:t>.</w:t>
      </w:r>
      <w:r w:rsidR="00D35D2B" w:rsidRPr="003A6DFC">
        <w:rPr>
          <w:rFonts w:ascii="Century" w:hAnsi="Century" w:cs="Times New Roman"/>
          <w:bCs/>
          <w:lang w:val="en-GB"/>
        </w:rPr>
        <w:t xml:space="preserve"> </w:t>
      </w:r>
      <w:r w:rsidR="00FB4844" w:rsidRPr="003A6DFC">
        <w:rPr>
          <w:rFonts w:ascii="Century" w:hAnsi="Century" w:cs="Times New Roman"/>
          <w:bCs/>
          <w:lang w:val="en-GB"/>
        </w:rPr>
        <w:t xml:space="preserve">These </w:t>
      </w:r>
      <w:r w:rsidR="004F09C8" w:rsidRPr="003A6DFC">
        <w:rPr>
          <w:rFonts w:ascii="Century" w:hAnsi="Century" w:cs="Times New Roman"/>
          <w:bCs/>
          <w:lang w:val="en-GB"/>
        </w:rPr>
        <w:t xml:space="preserve">results </w:t>
      </w:r>
      <w:r w:rsidR="00FB4844" w:rsidRPr="003A6DFC">
        <w:rPr>
          <w:rFonts w:ascii="Century" w:hAnsi="Century" w:cs="Times New Roman"/>
          <w:bCs/>
          <w:lang w:val="en-GB"/>
        </w:rPr>
        <w:t xml:space="preserve">suggest that socioeconomic status (proxied by education and </w:t>
      </w:r>
      <w:r w:rsidR="00FB0A21" w:rsidRPr="003A6DFC">
        <w:rPr>
          <w:rFonts w:ascii="Century" w:hAnsi="Century" w:cs="Times New Roman"/>
          <w:bCs/>
          <w:lang w:val="en-GB"/>
        </w:rPr>
        <w:t xml:space="preserve">household </w:t>
      </w:r>
      <w:r w:rsidR="00FB4844" w:rsidRPr="003A6DFC">
        <w:rPr>
          <w:rFonts w:ascii="Century" w:hAnsi="Century" w:cs="Times New Roman"/>
          <w:bCs/>
          <w:lang w:val="en-GB"/>
        </w:rPr>
        <w:t xml:space="preserve">income) </w:t>
      </w:r>
      <w:r w:rsidR="009470B4" w:rsidRPr="003A6DFC">
        <w:rPr>
          <w:rFonts w:ascii="Century" w:hAnsi="Century" w:cs="Times New Roman"/>
          <w:bCs/>
          <w:lang w:val="en-GB"/>
        </w:rPr>
        <w:t xml:space="preserve">is </w:t>
      </w:r>
      <w:r w:rsidR="004F09C8" w:rsidRPr="003A6DFC">
        <w:rPr>
          <w:rFonts w:ascii="Century" w:hAnsi="Century" w:cs="Times New Roman"/>
          <w:bCs/>
          <w:lang w:val="en-GB"/>
        </w:rPr>
        <w:t>relevant for</w:t>
      </w:r>
      <w:r w:rsidR="003A4BEF" w:rsidRPr="003A6DFC">
        <w:rPr>
          <w:rFonts w:ascii="Century" w:hAnsi="Century" w:cs="Times New Roman"/>
          <w:bCs/>
          <w:lang w:val="en-GB"/>
        </w:rPr>
        <w:t xml:space="preserve"> reporting behaviour in SAH. </w:t>
      </w:r>
      <w:r w:rsidR="003B3CDD" w:rsidRPr="003A6DFC">
        <w:rPr>
          <w:rFonts w:ascii="Century" w:hAnsi="Century" w:cs="Times New Roman"/>
          <w:bCs/>
          <w:lang w:val="en-GB"/>
        </w:rPr>
        <w:t>Regarding</w:t>
      </w:r>
      <w:r w:rsidR="00DB55A3" w:rsidRPr="003A6DFC">
        <w:rPr>
          <w:rFonts w:ascii="Century" w:hAnsi="Century" w:cs="Times New Roman"/>
          <w:bCs/>
          <w:lang w:val="en-GB"/>
        </w:rPr>
        <w:t xml:space="preserve"> </w:t>
      </w:r>
      <w:r w:rsidR="003B3CDD" w:rsidRPr="003A6DFC">
        <w:rPr>
          <w:rFonts w:ascii="Century" w:hAnsi="Century" w:cs="Times New Roman"/>
          <w:bCs/>
          <w:lang w:val="en-GB"/>
        </w:rPr>
        <w:t xml:space="preserve">job status, </w:t>
      </w:r>
      <w:r w:rsidR="00A86EB0" w:rsidRPr="003A6DFC">
        <w:rPr>
          <w:rFonts w:ascii="Century" w:hAnsi="Century" w:cs="Times New Roman"/>
          <w:bCs/>
          <w:lang w:val="en-GB"/>
        </w:rPr>
        <w:t xml:space="preserve">our unconditional summary statistics show </w:t>
      </w:r>
      <w:r w:rsidR="003A4BEF" w:rsidRPr="003A6DFC">
        <w:rPr>
          <w:rFonts w:ascii="Century" w:hAnsi="Century" w:cs="Times New Roman"/>
          <w:bCs/>
          <w:lang w:val="en-GB"/>
        </w:rPr>
        <w:t xml:space="preserve">that </w:t>
      </w:r>
      <w:r w:rsidR="00A86EB0" w:rsidRPr="003A6DFC">
        <w:rPr>
          <w:rFonts w:ascii="Century" w:hAnsi="Century" w:cs="Times New Roman"/>
          <w:bCs/>
          <w:lang w:val="en-GB"/>
        </w:rPr>
        <w:t xml:space="preserve">the mean </w:t>
      </w:r>
      <w:r w:rsidR="003A4BEF" w:rsidRPr="003A6DFC">
        <w:rPr>
          <w:rFonts w:ascii="Century" w:hAnsi="Century" w:cs="Times New Roman"/>
          <w:bCs/>
          <w:lang w:val="en-GB"/>
        </w:rPr>
        <w:t xml:space="preserve">unemployment </w:t>
      </w:r>
      <w:r w:rsidR="00A86EB0" w:rsidRPr="003A6DFC">
        <w:rPr>
          <w:rFonts w:ascii="Century" w:hAnsi="Century" w:cs="Times New Roman"/>
          <w:bCs/>
          <w:lang w:val="en-GB"/>
        </w:rPr>
        <w:t>prevalence</w:t>
      </w:r>
      <w:r w:rsidR="003E44BF" w:rsidRPr="003A6DFC">
        <w:rPr>
          <w:rFonts w:ascii="Century" w:hAnsi="Century" w:cs="Times New Roman"/>
          <w:bCs/>
          <w:lang w:val="en-GB"/>
        </w:rPr>
        <w:t xml:space="preserve"> </w:t>
      </w:r>
      <w:r w:rsidR="006104AB" w:rsidRPr="003A6DFC">
        <w:rPr>
          <w:rFonts w:ascii="Century" w:hAnsi="Century" w:cs="Times New Roman"/>
          <w:bCs/>
          <w:lang w:val="en-GB"/>
        </w:rPr>
        <w:t xml:space="preserve">increases from 3.1% </w:t>
      </w:r>
      <w:r w:rsidR="00A86EB0" w:rsidRPr="003A6DFC">
        <w:rPr>
          <w:rFonts w:ascii="Century" w:hAnsi="Century" w:cs="Times New Roman"/>
          <w:bCs/>
          <w:lang w:val="en-GB"/>
        </w:rPr>
        <w:t xml:space="preserve">in the case of the </w:t>
      </w:r>
      <w:r w:rsidR="006104AB" w:rsidRPr="003A6DFC">
        <w:rPr>
          <w:rFonts w:ascii="Century" w:hAnsi="Century" w:cs="Times New Roman"/>
          <w:bCs/>
          <w:lang w:val="en-GB"/>
        </w:rPr>
        <w:t>"always consistent"</w:t>
      </w:r>
      <w:r w:rsidR="00A86EB0" w:rsidRPr="003A6DFC">
        <w:rPr>
          <w:rFonts w:ascii="Century" w:hAnsi="Century" w:cs="Times New Roman"/>
          <w:bCs/>
          <w:lang w:val="en-GB"/>
        </w:rPr>
        <w:t xml:space="preserve"> sub-sample</w:t>
      </w:r>
      <w:r w:rsidR="006104AB" w:rsidRPr="003A6DFC">
        <w:rPr>
          <w:rFonts w:ascii="Century" w:hAnsi="Century" w:cs="Times New Roman"/>
          <w:bCs/>
          <w:lang w:val="en-GB"/>
        </w:rPr>
        <w:t xml:space="preserve"> to 8.1% </w:t>
      </w:r>
      <w:r w:rsidR="00A86EB0" w:rsidRPr="003A6DFC">
        <w:rPr>
          <w:rFonts w:ascii="Century" w:hAnsi="Century" w:cs="Times New Roman"/>
          <w:bCs/>
          <w:lang w:val="en-GB"/>
        </w:rPr>
        <w:t xml:space="preserve">for the </w:t>
      </w:r>
      <w:r w:rsidR="006104AB" w:rsidRPr="003A6DFC">
        <w:rPr>
          <w:rFonts w:ascii="Century" w:hAnsi="Century" w:cs="Times New Roman"/>
          <w:bCs/>
          <w:lang w:val="en-GB"/>
        </w:rPr>
        <w:t xml:space="preserve">"always </w:t>
      </w:r>
      <w:r w:rsidR="004F09C8" w:rsidRPr="003A6DFC">
        <w:rPr>
          <w:rFonts w:ascii="Century" w:hAnsi="Century" w:cs="Times New Roman"/>
          <w:bCs/>
          <w:lang w:val="en-GB"/>
        </w:rPr>
        <w:t>in</w:t>
      </w:r>
      <w:r w:rsidR="006104AB" w:rsidRPr="003A6DFC">
        <w:rPr>
          <w:rFonts w:ascii="Century" w:hAnsi="Century" w:cs="Times New Roman"/>
          <w:bCs/>
          <w:lang w:val="en-GB"/>
        </w:rPr>
        <w:t>consistent"</w:t>
      </w:r>
      <w:r w:rsidR="00A86EB0" w:rsidRPr="003A6DFC">
        <w:rPr>
          <w:rFonts w:ascii="Century" w:hAnsi="Century" w:cs="Times New Roman"/>
          <w:bCs/>
          <w:lang w:val="en-GB"/>
        </w:rPr>
        <w:t xml:space="preserve"> sub-sample</w:t>
      </w:r>
      <w:r w:rsidR="006104AB" w:rsidRPr="003A6DFC">
        <w:rPr>
          <w:rFonts w:ascii="Century" w:hAnsi="Century" w:cs="Times New Roman"/>
          <w:bCs/>
          <w:lang w:val="en-GB"/>
        </w:rPr>
        <w:t>.</w:t>
      </w:r>
      <w:r w:rsidR="00DB55A3" w:rsidRPr="003A6DFC">
        <w:rPr>
          <w:rFonts w:ascii="Century" w:hAnsi="Century" w:cs="Times New Roman"/>
          <w:bCs/>
          <w:lang w:val="en-GB"/>
        </w:rPr>
        <w:t xml:space="preserve"> </w:t>
      </w:r>
      <w:r w:rsidR="00A77ADE" w:rsidRPr="003A6DFC">
        <w:rPr>
          <w:rFonts w:ascii="Century" w:hAnsi="Century" w:cs="Times New Roman"/>
          <w:bCs/>
          <w:lang w:val="en-GB"/>
        </w:rPr>
        <w:t>Turning to marital status, the unconditional summary statistics show that w</w:t>
      </w:r>
      <w:r w:rsidR="00DB55A3" w:rsidRPr="003A6DFC">
        <w:rPr>
          <w:rFonts w:ascii="Century" w:hAnsi="Century" w:cs="Times New Roman"/>
          <w:bCs/>
          <w:lang w:val="en-GB"/>
        </w:rPr>
        <w:t xml:space="preserve">hile the </w:t>
      </w:r>
      <w:r w:rsidR="00A77ADE" w:rsidRPr="003A6DFC">
        <w:rPr>
          <w:rFonts w:ascii="Century" w:hAnsi="Century" w:cs="Times New Roman"/>
          <w:bCs/>
          <w:lang w:val="en-GB"/>
        </w:rPr>
        <w:t xml:space="preserve">proportion </w:t>
      </w:r>
      <w:r w:rsidR="00DB55A3" w:rsidRPr="003A6DFC">
        <w:rPr>
          <w:rFonts w:ascii="Century" w:hAnsi="Century" w:cs="Times New Roman"/>
          <w:bCs/>
          <w:lang w:val="en-GB"/>
        </w:rPr>
        <w:t xml:space="preserve">of married respondents is decreasing </w:t>
      </w:r>
      <w:r w:rsidR="00A77ADE" w:rsidRPr="003A6DFC">
        <w:rPr>
          <w:rFonts w:ascii="Century" w:hAnsi="Century" w:cs="Times New Roman"/>
          <w:bCs/>
          <w:lang w:val="en-GB"/>
        </w:rPr>
        <w:t>with the increasing</w:t>
      </w:r>
      <w:r w:rsidR="00023E80" w:rsidRPr="003A6DFC">
        <w:rPr>
          <w:rFonts w:ascii="Century" w:hAnsi="Century" w:cs="Times New Roman"/>
          <w:bCs/>
          <w:lang w:val="en-GB"/>
        </w:rPr>
        <w:t xml:space="preserve"> number of waves that individuals reported SAH inconsistently within each wave</w:t>
      </w:r>
      <w:r w:rsidR="00DB55A3" w:rsidRPr="003A6DFC">
        <w:rPr>
          <w:rFonts w:ascii="Century" w:hAnsi="Century" w:cs="Times New Roman"/>
          <w:bCs/>
          <w:lang w:val="en-GB"/>
        </w:rPr>
        <w:t xml:space="preserve">, the proportion of single respondents is increasing. </w:t>
      </w:r>
    </w:p>
    <w:p w14:paraId="58AE99AF" w14:textId="30D0639D" w:rsidR="003C6EFE" w:rsidRPr="003A6DFC" w:rsidRDefault="00023E80" w:rsidP="00371DEA">
      <w:pPr>
        <w:spacing w:after="0" w:line="360" w:lineRule="auto"/>
        <w:ind w:firstLine="708"/>
        <w:jc w:val="both"/>
        <w:rPr>
          <w:rFonts w:ascii="Century" w:hAnsi="Century" w:cs="Times New Roman"/>
          <w:bCs/>
          <w:lang w:val="en-GB"/>
        </w:rPr>
      </w:pPr>
      <w:r w:rsidRPr="003A6DFC">
        <w:rPr>
          <w:rFonts w:ascii="Century" w:hAnsi="Century" w:cs="Times New Roman"/>
          <w:bCs/>
          <w:lang w:val="en-GB"/>
        </w:rPr>
        <w:t xml:space="preserve">Table </w:t>
      </w:r>
      <w:r w:rsidR="00EC287D" w:rsidRPr="003A6DFC">
        <w:rPr>
          <w:rFonts w:ascii="Century" w:hAnsi="Century" w:cs="Times New Roman"/>
          <w:bCs/>
          <w:lang w:val="en-GB"/>
        </w:rPr>
        <w:t>3</w:t>
      </w:r>
      <w:r w:rsidRPr="003A6DFC">
        <w:rPr>
          <w:rFonts w:ascii="Century" w:hAnsi="Century" w:cs="Times New Roman"/>
          <w:bCs/>
          <w:lang w:val="en-GB"/>
        </w:rPr>
        <w:t xml:space="preserve"> also shows that </w:t>
      </w:r>
      <w:r w:rsidR="001E1ACC" w:rsidRPr="003A6DFC">
        <w:rPr>
          <w:rFonts w:ascii="Century" w:hAnsi="Century" w:cs="Times New Roman"/>
          <w:bCs/>
          <w:lang w:val="en-GB"/>
        </w:rPr>
        <w:t xml:space="preserve">the more consistent sub-samples </w:t>
      </w:r>
      <w:r w:rsidR="004F09C8" w:rsidRPr="003A6DFC">
        <w:rPr>
          <w:rFonts w:ascii="Century" w:hAnsi="Century" w:cs="Times New Roman"/>
          <w:bCs/>
          <w:lang w:val="en-GB"/>
        </w:rPr>
        <w:t>have</w:t>
      </w:r>
      <w:r w:rsidR="001E1ACC" w:rsidRPr="003A6DFC">
        <w:rPr>
          <w:rFonts w:ascii="Century" w:hAnsi="Century" w:cs="Times New Roman"/>
          <w:bCs/>
          <w:lang w:val="en-GB"/>
        </w:rPr>
        <w:t xml:space="preserve"> higher cognitive ability scores </w:t>
      </w:r>
      <w:r w:rsidR="004F09C8" w:rsidRPr="003A6DFC">
        <w:rPr>
          <w:rFonts w:ascii="Century" w:hAnsi="Century" w:cs="Times New Roman"/>
          <w:bCs/>
          <w:lang w:val="en-GB"/>
        </w:rPr>
        <w:t>for</w:t>
      </w:r>
      <w:r w:rsidR="001E1ACC" w:rsidRPr="003A6DFC">
        <w:rPr>
          <w:rFonts w:ascii="Century" w:hAnsi="Century" w:cs="Times New Roman"/>
          <w:bCs/>
          <w:lang w:val="en-GB"/>
        </w:rPr>
        <w:t xml:space="preserve"> the set of cognitive ability measures used in our analysis. </w:t>
      </w:r>
      <w:r w:rsidR="003F55A7" w:rsidRPr="003A6DFC">
        <w:rPr>
          <w:rFonts w:ascii="Century" w:hAnsi="Century" w:cs="Times New Roman"/>
          <w:bCs/>
          <w:lang w:val="en-GB"/>
        </w:rPr>
        <w:t xml:space="preserve">Turning to </w:t>
      </w:r>
      <w:r w:rsidR="00286C17" w:rsidRPr="003A6DFC">
        <w:rPr>
          <w:rFonts w:ascii="Century" w:hAnsi="Century" w:cs="Times New Roman"/>
          <w:bCs/>
          <w:lang w:val="en-GB"/>
        </w:rPr>
        <w:t>the Big 5 personality traits</w:t>
      </w:r>
      <w:r w:rsidR="003F55A7" w:rsidRPr="003A6DFC">
        <w:rPr>
          <w:rFonts w:ascii="Century" w:hAnsi="Century" w:cs="Times New Roman"/>
          <w:bCs/>
          <w:lang w:val="en-GB"/>
        </w:rPr>
        <w:t xml:space="preserve">, </w:t>
      </w:r>
      <w:r w:rsidR="00230EDE" w:rsidRPr="003A6DFC">
        <w:rPr>
          <w:rFonts w:ascii="Century" w:hAnsi="Century" w:cs="Times New Roman"/>
          <w:bCs/>
          <w:lang w:val="en-GB"/>
        </w:rPr>
        <w:t xml:space="preserve">the mean values </w:t>
      </w:r>
      <w:r w:rsidR="00EC7C35" w:rsidRPr="003A6DFC">
        <w:rPr>
          <w:rFonts w:ascii="Century" w:hAnsi="Century" w:cs="Times New Roman"/>
          <w:bCs/>
          <w:lang w:val="en-GB"/>
        </w:rPr>
        <w:t xml:space="preserve">for </w:t>
      </w:r>
      <w:r w:rsidR="00230EDE" w:rsidRPr="003A6DFC">
        <w:rPr>
          <w:rFonts w:ascii="Century" w:hAnsi="Century" w:cs="Times New Roman"/>
          <w:bCs/>
          <w:lang w:val="en-GB"/>
        </w:rPr>
        <w:t xml:space="preserve">agreeableness, conscientiousness and extraversion are higher for the always inconsistent sub-group as opposed to the whole sample and the always consistent sub-group. </w:t>
      </w:r>
      <w:r w:rsidR="00D07441" w:rsidRPr="003A6DFC">
        <w:rPr>
          <w:rFonts w:ascii="Century" w:hAnsi="Century" w:cs="Times New Roman"/>
          <w:bCs/>
          <w:lang w:val="en-GB"/>
        </w:rPr>
        <w:t>Concerning the micro-social environment</w:t>
      </w:r>
      <w:r w:rsidR="00A05B22" w:rsidRPr="003A6DFC">
        <w:rPr>
          <w:rFonts w:ascii="Century" w:hAnsi="Century" w:cs="Times New Roman"/>
          <w:bCs/>
          <w:lang w:val="en-GB"/>
        </w:rPr>
        <w:t xml:space="preserve">, the unconditional mean for the presence of children (ages 10-15) during the household interview progressively increased as moving from the “always consistent” to “always inconsistent” sub-samples. </w:t>
      </w:r>
    </w:p>
    <w:p w14:paraId="1EEB5AB8" w14:textId="2000C5BD" w:rsidR="003C6EFE" w:rsidRPr="003A6DFC" w:rsidRDefault="003C6EFE" w:rsidP="00E90570">
      <w:pPr>
        <w:spacing w:after="0" w:line="360" w:lineRule="auto"/>
        <w:jc w:val="both"/>
        <w:rPr>
          <w:rFonts w:ascii="Century" w:hAnsi="Century" w:cs="Times New Roman"/>
          <w:bCs/>
          <w:lang w:val="en-GB"/>
        </w:rPr>
        <w:sectPr w:rsidR="003C6EFE" w:rsidRPr="003A6DFC" w:rsidSect="00482DDF">
          <w:footerReference w:type="first" r:id="rId16"/>
          <w:pgSz w:w="11906" w:h="16838"/>
          <w:pgMar w:top="1701" w:right="1701" w:bottom="1701" w:left="1701" w:header="709" w:footer="709" w:gutter="0"/>
          <w:pgNumType w:start="1"/>
          <w:cols w:space="708"/>
          <w:titlePg/>
          <w:docGrid w:linePitch="360"/>
        </w:sectPr>
      </w:pPr>
    </w:p>
    <w:tbl>
      <w:tblPr>
        <w:tblW w:w="14000" w:type="dxa"/>
        <w:tblLayout w:type="fixed"/>
        <w:tblLook w:val="04A0" w:firstRow="1" w:lastRow="0" w:firstColumn="1" w:lastColumn="0" w:noHBand="0" w:noVBand="1"/>
      </w:tblPr>
      <w:tblGrid>
        <w:gridCol w:w="3652"/>
        <w:gridCol w:w="851"/>
        <w:gridCol w:w="1984"/>
        <w:gridCol w:w="1701"/>
        <w:gridCol w:w="2126"/>
        <w:gridCol w:w="1843"/>
        <w:gridCol w:w="1843"/>
      </w:tblGrid>
      <w:tr w:rsidR="007C58F4" w:rsidRPr="003A6DFC" w14:paraId="1F38A57C" w14:textId="77777777" w:rsidTr="002C6227">
        <w:trPr>
          <w:trHeight w:val="38"/>
        </w:trPr>
        <w:tc>
          <w:tcPr>
            <w:tcW w:w="14000" w:type="dxa"/>
            <w:gridSpan w:val="7"/>
            <w:tcBorders>
              <w:bottom w:val="single" w:sz="4" w:space="0" w:color="auto"/>
            </w:tcBorders>
            <w:shd w:val="clear" w:color="auto" w:fill="auto"/>
            <w:noWrap/>
            <w:vAlign w:val="center"/>
          </w:tcPr>
          <w:p w14:paraId="251E8748" w14:textId="458A551A" w:rsidR="007C58F4" w:rsidRPr="003A6DFC" w:rsidRDefault="007C58F4" w:rsidP="007D0E88">
            <w:pPr>
              <w:pStyle w:val="SemEspaamento"/>
              <w:rPr>
                <w:rFonts w:ascii="Century" w:hAnsi="Century"/>
                <w:b/>
                <w:bCs/>
                <w:sz w:val="20"/>
                <w:szCs w:val="20"/>
                <w:lang w:eastAsia="en-GB"/>
              </w:rPr>
            </w:pPr>
            <w:r w:rsidRPr="003A6DFC">
              <w:rPr>
                <w:rFonts w:ascii="Century" w:hAnsi="Century"/>
                <w:b/>
                <w:bCs/>
                <w:sz w:val="20"/>
                <w:szCs w:val="20"/>
                <w:lang w:eastAsia="en-GB"/>
              </w:rPr>
              <w:lastRenderedPageBreak/>
              <w:t xml:space="preserve">Table </w:t>
            </w:r>
            <w:r w:rsidR="00EC287D" w:rsidRPr="003A6DFC">
              <w:rPr>
                <w:rFonts w:ascii="Century" w:hAnsi="Century"/>
                <w:b/>
                <w:bCs/>
                <w:sz w:val="20"/>
                <w:szCs w:val="20"/>
                <w:lang w:eastAsia="en-GB"/>
              </w:rPr>
              <w:t>3</w:t>
            </w:r>
            <w:r w:rsidRPr="003A6DFC">
              <w:rPr>
                <w:rFonts w:ascii="Century" w:hAnsi="Century"/>
                <w:b/>
                <w:bCs/>
                <w:sz w:val="20"/>
                <w:szCs w:val="20"/>
                <w:lang w:eastAsia="en-GB"/>
              </w:rPr>
              <w:t xml:space="preserve">. </w:t>
            </w:r>
            <w:r w:rsidR="004F09C8" w:rsidRPr="003A6DFC">
              <w:rPr>
                <w:rFonts w:ascii="Century" w:hAnsi="Century"/>
                <w:b/>
                <w:bCs/>
                <w:sz w:val="20"/>
                <w:szCs w:val="20"/>
                <w:lang w:eastAsia="en-GB"/>
              </w:rPr>
              <w:t>Sample means of explanatory variables</w:t>
            </w:r>
            <w:r w:rsidR="002C1521" w:rsidRPr="003A6DFC">
              <w:rPr>
                <w:rFonts w:ascii="Century" w:hAnsi="Century"/>
                <w:b/>
                <w:bCs/>
                <w:sz w:val="20"/>
                <w:szCs w:val="20"/>
                <w:lang w:eastAsia="en-GB"/>
              </w:rPr>
              <w:t>: balanced sample</w:t>
            </w:r>
            <w:r w:rsidR="004F09C8" w:rsidRPr="003A6DFC">
              <w:rPr>
                <w:rFonts w:ascii="Century" w:hAnsi="Century"/>
                <w:b/>
                <w:bCs/>
                <w:sz w:val="20"/>
                <w:szCs w:val="20"/>
                <w:lang w:eastAsia="en-GB"/>
              </w:rPr>
              <w:t>s</w:t>
            </w:r>
          </w:p>
        </w:tc>
      </w:tr>
      <w:tr w:rsidR="00367AFA" w:rsidRPr="003A6DFC" w14:paraId="78EB02DA" w14:textId="77777777" w:rsidTr="002C6227">
        <w:trPr>
          <w:trHeight w:val="38"/>
        </w:trPr>
        <w:tc>
          <w:tcPr>
            <w:tcW w:w="3652" w:type="dxa"/>
            <w:tcBorders>
              <w:left w:val="nil"/>
              <w:right w:val="nil"/>
            </w:tcBorders>
            <w:shd w:val="clear" w:color="auto" w:fill="auto"/>
            <w:noWrap/>
            <w:vAlign w:val="bottom"/>
          </w:tcPr>
          <w:p w14:paraId="65DFFD23" w14:textId="77777777" w:rsidR="00367AFA" w:rsidRPr="003A6DFC" w:rsidRDefault="00367AFA" w:rsidP="00EA5D30">
            <w:pPr>
              <w:spacing w:after="0" w:line="240" w:lineRule="auto"/>
              <w:rPr>
                <w:rFonts w:ascii="Century" w:eastAsia="Times New Roman" w:hAnsi="Century" w:cs="Calibri"/>
                <w:b/>
                <w:bCs/>
                <w:color w:val="000000"/>
                <w:sz w:val="16"/>
                <w:szCs w:val="16"/>
                <w:lang w:val="en-GB" w:eastAsia="en-GB"/>
              </w:rPr>
            </w:pPr>
            <w:bookmarkStart w:id="6" w:name="_Hlk86932884"/>
          </w:p>
        </w:tc>
        <w:tc>
          <w:tcPr>
            <w:tcW w:w="851" w:type="dxa"/>
            <w:tcBorders>
              <w:left w:val="nil"/>
              <w:right w:val="nil"/>
            </w:tcBorders>
            <w:shd w:val="clear" w:color="auto" w:fill="auto"/>
            <w:vAlign w:val="center"/>
          </w:tcPr>
          <w:p w14:paraId="5CFF1AA7" w14:textId="77777777" w:rsidR="00367AFA" w:rsidRPr="003A6DFC" w:rsidRDefault="00367AFA" w:rsidP="00C91443">
            <w:pPr>
              <w:pStyle w:val="SemEspaamento"/>
              <w:jc w:val="center"/>
              <w:rPr>
                <w:rFonts w:ascii="Century" w:hAnsi="Century"/>
                <w:b/>
                <w:bCs/>
                <w:sz w:val="16"/>
                <w:szCs w:val="16"/>
                <w:lang w:eastAsia="en-GB"/>
              </w:rPr>
            </w:pPr>
          </w:p>
        </w:tc>
        <w:tc>
          <w:tcPr>
            <w:tcW w:w="9497" w:type="dxa"/>
            <w:gridSpan w:val="5"/>
            <w:tcBorders>
              <w:top w:val="single" w:sz="4" w:space="0" w:color="auto"/>
              <w:left w:val="nil"/>
              <w:bottom w:val="single" w:sz="4" w:space="0" w:color="auto"/>
              <w:right w:val="nil"/>
            </w:tcBorders>
            <w:shd w:val="clear" w:color="auto" w:fill="auto"/>
            <w:vAlign w:val="center"/>
          </w:tcPr>
          <w:p w14:paraId="14EA3B20" w14:textId="2D002868" w:rsidR="00367AFA" w:rsidRPr="003A6DFC" w:rsidRDefault="00367AFA"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 xml:space="preserve"># </w:t>
            </w:r>
            <w:proofErr w:type="gramStart"/>
            <w:r w:rsidRPr="003A6DFC">
              <w:rPr>
                <w:rFonts w:ascii="Century" w:hAnsi="Century"/>
                <w:b/>
                <w:bCs/>
                <w:sz w:val="16"/>
                <w:szCs w:val="16"/>
                <w:lang w:eastAsia="en-GB"/>
              </w:rPr>
              <w:t>of</w:t>
            </w:r>
            <w:proofErr w:type="gramEnd"/>
            <w:r w:rsidRPr="003A6DFC">
              <w:rPr>
                <w:rFonts w:ascii="Century" w:hAnsi="Century"/>
                <w:b/>
                <w:bCs/>
                <w:sz w:val="16"/>
                <w:szCs w:val="16"/>
                <w:lang w:eastAsia="en-GB"/>
              </w:rPr>
              <w:t xml:space="preserve"> waves: </w:t>
            </w:r>
            <w:r w:rsidR="00E405D3" w:rsidRPr="003A6DFC">
              <w:rPr>
                <w:rFonts w:ascii="Century" w:hAnsi="Century"/>
                <w:b/>
                <w:bCs/>
                <w:sz w:val="16"/>
                <w:szCs w:val="16"/>
                <w:lang w:eastAsia="en-GB"/>
              </w:rPr>
              <w:t>in</w:t>
            </w:r>
            <w:r w:rsidRPr="003A6DFC">
              <w:rPr>
                <w:rFonts w:ascii="Century" w:hAnsi="Century"/>
                <w:b/>
                <w:bCs/>
                <w:sz w:val="16"/>
                <w:szCs w:val="16"/>
                <w:lang w:eastAsia="en-GB"/>
              </w:rPr>
              <w:t>consistent SAH measures</w:t>
            </w:r>
          </w:p>
        </w:tc>
      </w:tr>
      <w:tr w:rsidR="00367AFA" w:rsidRPr="003A6DFC" w14:paraId="514DBF81" w14:textId="77777777" w:rsidTr="002C6227">
        <w:trPr>
          <w:trHeight w:val="38"/>
        </w:trPr>
        <w:tc>
          <w:tcPr>
            <w:tcW w:w="3652" w:type="dxa"/>
            <w:tcBorders>
              <w:left w:val="nil"/>
              <w:right w:val="nil"/>
            </w:tcBorders>
            <w:shd w:val="clear" w:color="auto" w:fill="auto"/>
            <w:noWrap/>
            <w:vAlign w:val="bottom"/>
          </w:tcPr>
          <w:p w14:paraId="51C6A2C8" w14:textId="52CAB28C" w:rsidR="00367AFA" w:rsidRPr="003A6DFC" w:rsidRDefault="00A020D4" w:rsidP="00EA5D30">
            <w:pPr>
              <w:spacing w:after="0" w:line="240" w:lineRule="auto"/>
              <w:rPr>
                <w:rFonts w:ascii="Century" w:eastAsia="Times New Roman" w:hAnsi="Century" w:cs="Calibri"/>
                <w:b/>
                <w:bCs/>
                <w:color w:val="000000"/>
                <w:sz w:val="16"/>
                <w:szCs w:val="16"/>
                <w:lang w:val="en-GB" w:eastAsia="en-GB"/>
              </w:rPr>
            </w:pPr>
            <w:r w:rsidRPr="003A6DFC">
              <w:rPr>
                <w:rFonts w:ascii="Century" w:eastAsia="Times New Roman" w:hAnsi="Century" w:cs="Calibri"/>
                <w:b/>
                <w:bCs/>
                <w:color w:val="000000"/>
                <w:sz w:val="16"/>
                <w:szCs w:val="16"/>
                <w:lang w:val="en-GB" w:eastAsia="en-GB"/>
              </w:rPr>
              <w:t>Variables</w:t>
            </w:r>
            <w:r w:rsidR="00367AFA" w:rsidRPr="003A6DFC">
              <w:rPr>
                <w:rFonts w:ascii="Century" w:eastAsia="Times New Roman" w:hAnsi="Century" w:cs="Calibri"/>
                <w:b/>
                <w:bCs/>
                <w:color w:val="000000"/>
                <w:sz w:val="16"/>
                <w:szCs w:val="16"/>
                <w:lang w:val="en-GB" w:eastAsia="en-GB"/>
              </w:rPr>
              <w:t xml:space="preserve"> </w:t>
            </w:r>
          </w:p>
        </w:tc>
        <w:tc>
          <w:tcPr>
            <w:tcW w:w="851" w:type="dxa"/>
            <w:tcBorders>
              <w:left w:val="nil"/>
              <w:right w:val="nil"/>
            </w:tcBorders>
            <w:shd w:val="clear" w:color="auto" w:fill="auto"/>
            <w:vAlign w:val="center"/>
          </w:tcPr>
          <w:p w14:paraId="4C5FA42E" w14:textId="659121B0" w:rsidR="00367AFA" w:rsidRPr="003A6DFC" w:rsidRDefault="00367AFA"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Total</w:t>
            </w:r>
          </w:p>
        </w:tc>
        <w:tc>
          <w:tcPr>
            <w:tcW w:w="1984" w:type="dxa"/>
            <w:tcBorders>
              <w:top w:val="single" w:sz="4" w:space="0" w:color="auto"/>
              <w:left w:val="nil"/>
              <w:right w:val="nil"/>
            </w:tcBorders>
            <w:shd w:val="clear" w:color="auto" w:fill="auto"/>
            <w:vAlign w:val="center"/>
          </w:tcPr>
          <w:p w14:paraId="10F28200" w14:textId="7747042E" w:rsidR="00367AFA" w:rsidRPr="003A6DFC" w:rsidRDefault="00E405D3"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0</w:t>
            </w:r>
            <w:r w:rsidR="00367AFA" w:rsidRPr="003A6DFC">
              <w:rPr>
                <w:rFonts w:ascii="Century" w:hAnsi="Century"/>
                <w:b/>
                <w:bCs/>
                <w:sz w:val="16"/>
                <w:szCs w:val="16"/>
                <w:lang w:eastAsia="en-GB"/>
              </w:rPr>
              <w:t xml:space="preserve"> waves </w:t>
            </w:r>
          </w:p>
          <w:p w14:paraId="0C2A442B" w14:textId="37F018C1" w:rsidR="00367AFA" w:rsidRPr="003A6DFC" w:rsidRDefault="00367AFA"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w:t>
            </w:r>
            <w:proofErr w:type="gramStart"/>
            <w:r w:rsidRPr="003A6DFC">
              <w:rPr>
                <w:rFonts w:ascii="Century" w:hAnsi="Century"/>
                <w:b/>
                <w:bCs/>
                <w:sz w:val="16"/>
                <w:szCs w:val="16"/>
                <w:lang w:eastAsia="en-GB"/>
              </w:rPr>
              <w:t>always</w:t>
            </w:r>
            <w:proofErr w:type="gramEnd"/>
            <w:r w:rsidRPr="003A6DFC">
              <w:rPr>
                <w:rFonts w:ascii="Century" w:hAnsi="Century"/>
                <w:b/>
                <w:bCs/>
                <w:sz w:val="16"/>
                <w:szCs w:val="16"/>
                <w:lang w:eastAsia="en-GB"/>
              </w:rPr>
              <w:t xml:space="preserve"> consistent)</w:t>
            </w:r>
          </w:p>
        </w:tc>
        <w:tc>
          <w:tcPr>
            <w:tcW w:w="1701" w:type="dxa"/>
            <w:tcBorders>
              <w:top w:val="single" w:sz="4" w:space="0" w:color="auto"/>
              <w:left w:val="nil"/>
              <w:right w:val="nil"/>
            </w:tcBorders>
            <w:shd w:val="clear" w:color="auto" w:fill="auto"/>
            <w:vAlign w:val="center"/>
          </w:tcPr>
          <w:p w14:paraId="23D446E2" w14:textId="5C17C9EA" w:rsidR="00367AFA" w:rsidRPr="003A6DFC" w:rsidRDefault="00E405D3"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1 wave</w:t>
            </w:r>
          </w:p>
          <w:p w14:paraId="4C85D5BA" w14:textId="3895B7F8" w:rsidR="00817833" w:rsidRPr="003A6DFC" w:rsidRDefault="00817833"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w:t>
            </w:r>
            <w:proofErr w:type="gramStart"/>
            <w:r w:rsidRPr="003A6DFC">
              <w:rPr>
                <w:rFonts w:ascii="Century" w:hAnsi="Century"/>
                <w:b/>
                <w:bCs/>
                <w:sz w:val="16"/>
                <w:szCs w:val="16"/>
                <w:lang w:eastAsia="en-GB"/>
              </w:rPr>
              <w:t>mostly</w:t>
            </w:r>
            <w:proofErr w:type="gramEnd"/>
            <w:r w:rsidRPr="003A6DFC">
              <w:rPr>
                <w:rFonts w:ascii="Century" w:hAnsi="Century"/>
                <w:b/>
                <w:bCs/>
                <w:sz w:val="16"/>
                <w:szCs w:val="16"/>
                <w:lang w:eastAsia="en-GB"/>
              </w:rPr>
              <w:t xml:space="preserve"> consistent)</w:t>
            </w:r>
          </w:p>
        </w:tc>
        <w:tc>
          <w:tcPr>
            <w:tcW w:w="2126" w:type="dxa"/>
            <w:tcBorders>
              <w:top w:val="single" w:sz="4" w:space="0" w:color="auto"/>
              <w:left w:val="nil"/>
              <w:right w:val="nil"/>
            </w:tcBorders>
            <w:shd w:val="clear" w:color="auto" w:fill="auto"/>
            <w:vAlign w:val="center"/>
          </w:tcPr>
          <w:p w14:paraId="7C230D18" w14:textId="119047C9" w:rsidR="00367AFA" w:rsidRPr="003A6DFC" w:rsidRDefault="00367AFA"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2</w:t>
            </w:r>
            <w:r w:rsidR="002575A7" w:rsidRPr="003A6DFC">
              <w:rPr>
                <w:rFonts w:ascii="Century" w:hAnsi="Century"/>
                <w:b/>
                <w:bCs/>
                <w:sz w:val="16"/>
                <w:szCs w:val="16"/>
                <w:lang w:eastAsia="en-GB"/>
              </w:rPr>
              <w:t xml:space="preserve"> waves</w:t>
            </w:r>
          </w:p>
          <w:p w14:paraId="45650B93" w14:textId="6231DF9B" w:rsidR="00817833" w:rsidRPr="003A6DFC" w:rsidRDefault="00A628E6" w:rsidP="005C3056">
            <w:pPr>
              <w:pStyle w:val="SemEspaamento"/>
              <w:rPr>
                <w:rFonts w:ascii="Century" w:hAnsi="Century"/>
                <w:b/>
                <w:bCs/>
                <w:sz w:val="16"/>
                <w:szCs w:val="16"/>
                <w:lang w:eastAsia="en-GB"/>
              </w:rPr>
            </w:pPr>
            <w:r w:rsidRPr="003A6DFC">
              <w:rPr>
                <w:rFonts w:ascii="Century" w:hAnsi="Century"/>
                <w:b/>
                <w:bCs/>
                <w:sz w:val="16"/>
                <w:szCs w:val="16"/>
                <w:lang w:eastAsia="en-GB"/>
              </w:rPr>
              <w:t>(</w:t>
            </w:r>
            <w:proofErr w:type="gramStart"/>
            <w:r w:rsidRPr="003A6DFC">
              <w:rPr>
                <w:rFonts w:ascii="Century" w:hAnsi="Century"/>
                <w:b/>
                <w:bCs/>
                <w:sz w:val="16"/>
                <w:szCs w:val="16"/>
                <w:lang w:eastAsia="en-GB"/>
              </w:rPr>
              <w:t>moderately</w:t>
            </w:r>
            <w:proofErr w:type="gramEnd"/>
            <w:r w:rsidRPr="003A6DFC">
              <w:rPr>
                <w:rFonts w:ascii="Century" w:hAnsi="Century"/>
                <w:b/>
                <w:bCs/>
                <w:sz w:val="16"/>
                <w:szCs w:val="16"/>
                <w:lang w:eastAsia="en-GB"/>
              </w:rPr>
              <w:t xml:space="preserve"> </w:t>
            </w:r>
            <w:r w:rsidR="002C6227" w:rsidRPr="003A6DFC">
              <w:rPr>
                <w:rFonts w:ascii="Century" w:hAnsi="Century"/>
                <w:b/>
                <w:bCs/>
                <w:sz w:val="16"/>
                <w:szCs w:val="16"/>
                <w:lang w:eastAsia="en-GB"/>
              </w:rPr>
              <w:t>inconsistent</w:t>
            </w:r>
            <w:r w:rsidRPr="003A6DFC">
              <w:rPr>
                <w:rFonts w:ascii="Century" w:hAnsi="Century"/>
                <w:b/>
                <w:bCs/>
                <w:sz w:val="16"/>
                <w:szCs w:val="16"/>
                <w:lang w:eastAsia="en-GB"/>
              </w:rPr>
              <w:t>)</w:t>
            </w:r>
          </w:p>
        </w:tc>
        <w:tc>
          <w:tcPr>
            <w:tcW w:w="1843" w:type="dxa"/>
            <w:tcBorders>
              <w:top w:val="single" w:sz="4" w:space="0" w:color="auto"/>
              <w:left w:val="nil"/>
              <w:right w:val="nil"/>
            </w:tcBorders>
            <w:shd w:val="clear" w:color="auto" w:fill="auto"/>
            <w:vAlign w:val="center"/>
          </w:tcPr>
          <w:p w14:paraId="1833CC68" w14:textId="78EAD91C" w:rsidR="00367AFA" w:rsidRPr="003A6DFC" w:rsidRDefault="00E405D3"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3</w:t>
            </w:r>
            <w:r w:rsidR="002575A7" w:rsidRPr="003A6DFC">
              <w:rPr>
                <w:rFonts w:ascii="Century" w:hAnsi="Century"/>
                <w:b/>
                <w:bCs/>
                <w:sz w:val="16"/>
                <w:szCs w:val="16"/>
                <w:lang w:eastAsia="en-GB"/>
              </w:rPr>
              <w:t xml:space="preserve"> waves</w:t>
            </w:r>
          </w:p>
          <w:p w14:paraId="5079D96C" w14:textId="6A9B5AB9" w:rsidR="00817833" w:rsidRPr="003A6DFC" w:rsidRDefault="00817833"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w:t>
            </w:r>
            <w:proofErr w:type="gramStart"/>
            <w:r w:rsidRPr="003A6DFC">
              <w:rPr>
                <w:rFonts w:ascii="Century" w:hAnsi="Century"/>
                <w:b/>
                <w:bCs/>
                <w:sz w:val="16"/>
                <w:szCs w:val="16"/>
                <w:lang w:eastAsia="en-GB"/>
              </w:rPr>
              <w:t>mostly</w:t>
            </w:r>
            <w:proofErr w:type="gramEnd"/>
            <w:r w:rsidRPr="003A6DFC">
              <w:rPr>
                <w:rFonts w:ascii="Century" w:hAnsi="Century"/>
                <w:b/>
                <w:bCs/>
                <w:sz w:val="16"/>
                <w:szCs w:val="16"/>
                <w:lang w:eastAsia="en-GB"/>
              </w:rPr>
              <w:t xml:space="preserve"> inconsistent)</w:t>
            </w:r>
          </w:p>
        </w:tc>
        <w:tc>
          <w:tcPr>
            <w:tcW w:w="1843" w:type="dxa"/>
            <w:tcBorders>
              <w:left w:val="nil"/>
              <w:right w:val="nil"/>
            </w:tcBorders>
            <w:shd w:val="clear" w:color="auto" w:fill="auto"/>
            <w:vAlign w:val="center"/>
          </w:tcPr>
          <w:p w14:paraId="2B1CEB8D" w14:textId="203CF361" w:rsidR="00367AFA" w:rsidRPr="003A6DFC" w:rsidRDefault="00E405D3"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4</w:t>
            </w:r>
            <w:r w:rsidR="00367AFA" w:rsidRPr="003A6DFC">
              <w:rPr>
                <w:rFonts w:ascii="Century" w:hAnsi="Century"/>
                <w:b/>
                <w:bCs/>
                <w:sz w:val="16"/>
                <w:szCs w:val="16"/>
                <w:lang w:eastAsia="en-GB"/>
              </w:rPr>
              <w:t xml:space="preserve"> </w:t>
            </w:r>
            <w:r w:rsidR="002575A7" w:rsidRPr="003A6DFC">
              <w:rPr>
                <w:rFonts w:ascii="Century" w:hAnsi="Century"/>
                <w:b/>
                <w:bCs/>
                <w:sz w:val="16"/>
                <w:szCs w:val="16"/>
                <w:lang w:eastAsia="en-GB"/>
              </w:rPr>
              <w:t>waves</w:t>
            </w:r>
          </w:p>
          <w:p w14:paraId="6D96E7F6" w14:textId="42720454" w:rsidR="00367AFA" w:rsidRPr="003A6DFC" w:rsidRDefault="00367AFA" w:rsidP="00C91443">
            <w:pPr>
              <w:pStyle w:val="SemEspaamento"/>
              <w:jc w:val="center"/>
              <w:rPr>
                <w:rFonts w:ascii="Century" w:hAnsi="Century"/>
                <w:b/>
                <w:bCs/>
                <w:sz w:val="16"/>
                <w:szCs w:val="16"/>
                <w:lang w:eastAsia="en-GB"/>
              </w:rPr>
            </w:pPr>
            <w:r w:rsidRPr="003A6DFC">
              <w:rPr>
                <w:rFonts w:ascii="Century" w:hAnsi="Century"/>
                <w:b/>
                <w:bCs/>
                <w:sz w:val="16"/>
                <w:szCs w:val="16"/>
                <w:lang w:eastAsia="en-GB"/>
              </w:rPr>
              <w:t>(</w:t>
            </w:r>
            <w:proofErr w:type="gramStart"/>
            <w:r w:rsidRPr="003A6DFC">
              <w:rPr>
                <w:rFonts w:ascii="Century" w:hAnsi="Century"/>
                <w:b/>
                <w:bCs/>
                <w:sz w:val="16"/>
                <w:szCs w:val="16"/>
                <w:lang w:eastAsia="en-GB"/>
              </w:rPr>
              <w:t>always</w:t>
            </w:r>
            <w:proofErr w:type="gramEnd"/>
            <w:r w:rsidRPr="003A6DFC">
              <w:rPr>
                <w:rFonts w:ascii="Century" w:hAnsi="Century"/>
                <w:b/>
                <w:bCs/>
                <w:sz w:val="16"/>
                <w:szCs w:val="16"/>
                <w:lang w:eastAsia="en-GB"/>
              </w:rPr>
              <w:t xml:space="preserve"> inconsistent)</w:t>
            </w:r>
          </w:p>
        </w:tc>
      </w:tr>
      <w:bookmarkEnd w:id="6"/>
      <w:tr w:rsidR="00030664" w:rsidRPr="003A6DFC" w14:paraId="297191FE" w14:textId="759CBE8B" w:rsidTr="002C6227">
        <w:trPr>
          <w:trHeight w:val="136"/>
        </w:trPr>
        <w:tc>
          <w:tcPr>
            <w:tcW w:w="3652" w:type="dxa"/>
            <w:tcBorders>
              <w:top w:val="single" w:sz="4" w:space="0" w:color="auto"/>
              <w:left w:val="nil"/>
              <w:bottom w:val="nil"/>
              <w:right w:val="nil"/>
            </w:tcBorders>
            <w:shd w:val="clear" w:color="auto" w:fill="auto"/>
            <w:noWrap/>
            <w:vAlign w:val="center"/>
          </w:tcPr>
          <w:p w14:paraId="3BF718D2" w14:textId="7D05E9F5"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Male</w:t>
            </w:r>
            <w:r w:rsidRPr="003A6DFC">
              <w:rPr>
                <w:rFonts w:ascii="Century" w:eastAsia="Times New Roman" w:hAnsi="Century" w:cs="Calibri"/>
                <w:color w:val="000000"/>
                <w:sz w:val="16"/>
                <w:szCs w:val="16"/>
                <w:vertAlign w:val="superscript"/>
                <w:lang w:val="en-GB" w:eastAsia="en-GB"/>
              </w:rPr>
              <w:t>†</w:t>
            </w:r>
          </w:p>
        </w:tc>
        <w:tc>
          <w:tcPr>
            <w:tcW w:w="851" w:type="dxa"/>
            <w:tcBorders>
              <w:top w:val="single" w:sz="4" w:space="0" w:color="auto"/>
              <w:left w:val="nil"/>
              <w:bottom w:val="nil"/>
              <w:right w:val="nil"/>
            </w:tcBorders>
            <w:vAlign w:val="center"/>
          </w:tcPr>
          <w:p w14:paraId="65A1F428" w14:textId="58C13E6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0.427</w:t>
            </w:r>
          </w:p>
        </w:tc>
        <w:tc>
          <w:tcPr>
            <w:tcW w:w="1984" w:type="dxa"/>
            <w:tcBorders>
              <w:top w:val="single" w:sz="4" w:space="0" w:color="auto"/>
              <w:left w:val="nil"/>
              <w:bottom w:val="nil"/>
              <w:right w:val="nil"/>
            </w:tcBorders>
            <w:vAlign w:val="center"/>
          </w:tcPr>
          <w:p w14:paraId="648F5CDF" w14:textId="0883815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0.402</w:t>
            </w:r>
          </w:p>
        </w:tc>
        <w:tc>
          <w:tcPr>
            <w:tcW w:w="1701" w:type="dxa"/>
            <w:tcBorders>
              <w:top w:val="single" w:sz="4" w:space="0" w:color="auto"/>
              <w:left w:val="nil"/>
              <w:bottom w:val="nil"/>
              <w:right w:val="nil"/>
            </w:tcBorders>
            <w:vAlign w:val="center"/>
          </w:tcPr>
          <w:p w14:paraId="63D9E273" w14:textId="38056F2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0.434</w:t>
            </w:r>
          </w:p>
        </w:tc>
        <w:tc>
          <w:tcPr>
            <w:tcW w:w="2126" w:type="dxa"/>
            <w:tcBorders>
              <w:top w:val="single" w:sz="4" w:space="0" w:color="auto"/>
              <w:left w:val="nil"/>
              <w:bottom w:val="nil"/>
              <w:right w:val="nil"/>
            </w:tcBorders>
            <w:vAlign w:val="center"/>
          </w:tcPr>
          <w:p w14:paraId="16DA1A1A" w14:textId="4385D36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0.458</w:t>
            </w:r>
          </w:p>
        </w:tc>
        <w:tc>
          <w:tcPr>
            <w:tcW w:w="1843" w:type="dxa"/>
            <w:tcBorders>
              <w:top w:val="single" w:sz="4" w:space="0" w:color="auto"/>
              <w:left w:val="nil"/>
              <w:bottom w:val="nil"/>
              <w:right w:val="nil"/>
            </w:tcBorders>
            <w:vAlign w:val="center"/>
          </w:tcPr>
          <w:p w14:paraId="486F9DA6" w14:textId="000C050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0.488</w:t>
            </w:r>
          </w:p>
        </w:tc>
        <w:tc>
          <w:tcPr>
            <w:tcW w:w="1843" w:type="dxa"/>
            <w:tcBorders>
              <w:top w:val="single" w:sz="4" w:space="0" w:color="auto"/>
              <w:left w:val="nil"/>
              <w:bottom w:val="nil"/>
              <w:right w:val="nil"/>
            </w:tcBorders>
            <w:vAlign w:val="center"/>
          </w:tcPr>
          <w:p w14:paraId="447C977B" w14:textId="682921D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0.497</w:t>
            </w:r>
          </w:p>
        </w:tc>
      </w:tr>
      <w:tr w:rsidR="00030664" w:rsidRPr="003A6DFC" w14:paraId="7D5F342D" w14:textId="77777777" w:rsidTr="002C6227">
        <w:trPr>
          <w:trHeight w:val="136"/>
        </w:trPr>
        <w:tc>
          <w:tcPr>
            <w:tcW w:w="3652" w:type="dxa"/>
            <w:tcBorders>
              <w:top w:val="nil"/>
              <w:left w:val="nil"/>
              <w:bottom w:val="nil"/>
              <w:right w:val="nil"/>
            </w:tcBorders>
            <w:shd w:val="clear" w:color="auto" w:fill="auto"/>
            <w:noWrap/>
            <w:vAlign w:val="center"/>
          </w:tcPr>
          <w:p w14:paraId="3A6178FF" w14:textId="497FE74F" w:rsidR="00030664" w:rsidRPr="003A6DFC" w:rsidRDefault="00030664" w:rsidP="00030664">
            <w:pPr>
              <w:spacing w:after="0" w:line="240" w:lineRule="auto"/>
              <w:rPr>
                <w:rFonts w:ascii="Century" w:hAnsi="Century"/>
                <w:sz w:val="16"/>
                <w:szCs w:val="16"/>
                <w:lang w:eastAsia="en-GB"/>
              </w:rPr>
            </w:pPr>
            <w:r w:rsidRPr="003A6DFC">
              <w:rPr>
                <w:rFonts w:ascii="Century" w:hAnsi="Century"/>
                <w:sz w:val="16"/>
                <w:szCs w:val="16"/>
                <w:lang w:eastAsia="en-GB"/>
              </w:rPr>
              <w:t>Aged 16-25</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486BA1E2" w14:textId="0D037E6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0.081</w:t>
            </w:r>
          </w:p>
        </w:tc>
        <w:tc>
          <w:tcPr>
            <w:tcW w:w="1984" w:type="dxa"/>
            <w:tcBorders>
              <w:top w:val="nil"/>
              <w:left w:val="nil"/>
              <w:bottom w:val="nil"/>
              <w:right w:val="nil"/>
            </w:tcBorders>
            <w:vAlign w:val="center"/>
          </w:tcPr>
          <w:p w14:paraId="642E2D5F" w14:textId="5A1552B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0.074</w:t>
            </w:r>
          </w:p>
        </w:tc>
        <w:tc>
          <w:tcPr>
            <w:tcW w:w="1701" w:type="dxa"/>
            <w:tcBorders>
              <w:top w:val="nil"/>
              <w:left w:val="nil"/>
              <w:bottom w:val="nil"/>
              <w:right w:val="nil"/>
            </w:tcBorders>
            <w:vAlign w:val="center"/>
          </w:tcPr>
          <w:p w14:paraId="5A8F8049" w14:textId="7F12344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0.084</w:t>
            </w:r>
          </w:p>
        </w:tc>
        <w:tc>
          <w:tcPr>
            <w:tcW w:w="2126" w:type="dxa"/>
            <w:tcBorders>
              <w:top w:val="nil"/>
              <w:left w:val="nil"/>
              <w:bottom w:val="nil"/>
              <w:right w:val="nil"/>
            </w:tcBorders>
            <w:vAlign w:val="center"/>
          </w:tcPr>
          <w:p w14:paraId="4E394424" w14:textId="786B874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0.091</w:t>
            </w:r>
          </w:p>
        </w:tc>
        <w:tc>
          <w:tcPr>
            <w:tcW w:w="1843" w:type="dxa"/>
            <w:tcBorders>
              <w:top w:val="nil"/>
              <w:left w:val="nil"/>
              <w:bottom w:val="nil"/>
              <w:right w:val="nil"/>
            </w:tcBorders>
            <w:vAlign w:val="center"/>
          </w:tcPr>
          <w:p w14:paraId="05F7E7D5" w14:textId="50320E7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0.089</w:t>
            </w:r>
          </w:p>
        </w:tc>
        <w:tc>
          <w:tcPr>
            <w:tcW w:w="1843" w:type="dxa"/>
            <w:tcBorders>
              <w:top w:val="nil"/>
              <w:left w:val="nil"/>
              <w:bottom w:val="nil"/>
              <w:right w:val="nil"/>
            </w:tcBorders>
            <w:vAlign w:val="center"/>
          </w:tcPr>
          <w:p w14:paraId="12858630" w14:textId="2B6159A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0.084</w:t>
            </w:r>
          </w:p>
        </w:tc>
      </w:tr>
      <w:tr w:rsidR="00030664" w:rsidRPr="003A6DFC" w14:paraId="241E3FE0" w14:textId="4A75427C" w:rsidTr="002C6227">
        <w:trPr>
          <w:trHeight w:val="136"/>
        </w:trPr>
        <w:tc>
          <w:tcPr>
            <w:tcW w:w="3652" w:type="dxa"/>
            <w:tcBorders>
              <w:top w:val="nil"/>
              <w:left w:val="nil"/>
              <w:bottom w:val="nil"/>
              <w:right w:val="nil"/>
            </w:tcBorders>
            <w:shd w:val="clear" w:color="auto" w:fill="auto"/>
            <w:noWrap/>
            <w:vAlign w:val="center"/>
          </w:tcPr>
          <w:p w14:paraId="05026C9E" w14:textId="38762BC4"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Aged 26-35</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267298A2" w14:textId="50B80EA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0.144</w:t>
            </w:r>
          </w:p>
        </w:tc>
        <w:tc>
          <w:tcPr>
            <w:tcW w:w="1984" w:type="dxa"/>
            <w:tcBorders>
              <w:top w:val="nil"/>
              <w:left w:val="nil"/>
              <w:bottom w:val="nil"/>
              <w:right w:val="nil"/>
            </w:tcBorders>
            <w:vAlign w:val="center"/>
          </w:tcPr>
          <w:p w14:paraId="48E2C91E" w14:textId="40176AC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0.154</w:t>
            </w:r>
          </w:p>
        </w:tc>
        <w:tc>
          <w:tcPr>
            <w:tcW w:w="1701" w:type="dxa"/>
            <w:tcBorders>
              <w:top w:val="nil"/>
              <w:left w:val="nil"/>
              <w:bottom w:val="nil"/>
              <w:right w:val="nil"/>
            </w:tcBorders>
            <w:vAlign w:val="center"/>
          </w:tcPr>
          <w:p w14:paraId="51B411AA" w14:textId="5D68E22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0.143</w:t>
            </w:r>
          </w:p>
        </w:tc>
        <w:tc>
          <w:tcPr>
            <w:tcW w:w="2126" w:type="dxa"/>
            <w:tcBorders>
              <w:top w:val="nil"/>
              <w:left w:val="nil"/>
              <w:bottom w:val="nil"/>
              <w:right w:val="nil"/>
            </w:tcBorders>
            <w:vAlign w:val="center"/>
          </w:tcPr>
          <w:p w14:paraId="4220FDF3" w14:textId="1BBA094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0.125</w:t>
            </w:r>
          </w:p>
        </w:tc>
        <w:tc>
          <w:tcPr>
            <w:tcW w:w="1843" w:type="dxa"/>
            <w:tcBorders>
              <w:top w:val="nil"/>
              <w:left w:val="nil"/>
              <w:bottom w:val="nil"/>
              <w:right w:val="nil"/>
            </w:tcBorders>
            <w:vAlign w:val="center"/>
          </w:tcPr>
          <w:p w14:paraId="7A6CD9EE" w14:textId="4B01D6D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0.130</w:t>
            </w:r>
          </w:p>
        </w:tc>
        <w:tc>
          <w:tcPr>
            <w:tcW w:w="1843" w:type="dxa"/>
            <w:tcBorders>
              <w:top w:val="nil"/>
              <w:left w:val="nil"/>
              <w:bottom w:val="nil"/>
              <w:right w:val="nil"/>
            </w:tcBorders>
            <w:vAlign w:val="center"/>
          </w:tcPr>
          <w:p w14:paraId="0364C9E6" w14:textId="209B898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0.127</w:t>
            </w:r>
          </w:p>
        </w:tc>
      </w:tr>
      <w:tr w:rsidR="00030664" w:rsidRPr="003A6DFC" w14:paraId="55BC3EA3" w14:textId="6878DE73" w:rsidTr="002C6227">
        <w:trPr>
          <w:trHeight w:val="136"/>
        </w:trPr>
        <w:tc>
          <w:tcPr>
            <w:tcW w:w="3652" w:type="dxa"/>
            <w:tcBorders>
              <w:top w:val="nil"/>
              <w:left w:val="nil"/>
              <w:bottom w:val="nil"/>
              <w:right w:val="nil"/>
            </w:tcBorders>
            <w:shd w:val="clear" w:color="auto" w:fill="auto"/>
            <w:noWrap/>
            <w:vAlign w:val="center"/>
          </w:tcPr>
          <w:p w14:paraId="3EEE5FDE" w14:textId="650E936B"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Aged 36-45</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2ADAA3E4" w14:textId="09F7422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0.202</w:t>
            </w:r>
          </w:p>
        </w:tc>
        <w:tc>
          <w:tcPr>
            <w:tcW w:w="1984" w:type="dxa"/>
            <w:tcBorders>
              <w:top w:val="nil"/>
              <w:left w:val="nil"/>
              <w:bottom w:val="nil"/>
              <w:right w:val="nil"/>
            </w:tcBorders>
            <w:vAlign w:val="center"/>
          </w:tcPr>
          <w:p w14:paraId="2242F59C" w14:textId="6DB1AAA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0.208</w:t>
            </w:r>
          </w:p>
        </w:tc>
        <w:tc>
          <w:tcPr>
            <w:tcW w:w="1701" w:type="dxa"/>
            <w:tcBorders>
              <w:top w:val="nil"/>
              <w:left w:val="nil"/>
              <w:bottom w:val="nil"/>
              <w:right w:val="nil"/>
            </w:tcBorders>
            <w:vAlign w:val="center"/>
          </w:tcPr>
          <w:p w14:paraId="71249EA9" w14:textId="53ECDCB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0.199</w:t>
            </w:r>
          </w:p>
        </w:tc>
        <w:tc>
          <w:tcPr>
            <w:tcW w:w="2126" w:type="dxa"/>
            <w:tcBorders>
              <w:top w:val="nil"/>
              <w:left w:val="nil"/>
              <w:bottom w:val="nil"/>
              <w:right w:val="nil"/>
            </w:tcBorders>
            <w:vAlign w:val="center"/>
          </w:tcPr>
          <w:p w14:paraId="58176E8A" w14:textId="40DCA26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0.196</w:t>
            </w:r>
          </w:p>
        </w:tc>
        <w:tc>
          <w:tcPr>
            <w:tcW w:w="1843" w:type="dxa"/>
            <w:tcBorders>
              <w:top w:val="nil"/>
              <w:left w:val="nil"/>
              <w:bottom w:val="nil"/>
              <w:right w:val="nil"/>
            </w:tcBorders>
            <w:vAlign w:val="center"/>
          </w:tcPr>
          <w:p w14:paraId="16B8BA26" w14:textId="6B4F83F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0.192</w:t>
            </w:r>
          </w:p>
        </w:tc>
        <w:tc>
          <w:tcPr>
            <w:tcW w:w="1843" w:type="dxa"/>
            <w:tcBorders>
              <w:top w:val="nil"/>
              <w:left w:val="nil"/>
              <w:bottom w:val="nil"/>
              <w:right w:val="nil"/>
            </w:tcBorders>
            <w:vAlign w:val="center"/>
          </w:tcPr>
          <w:p w14:paraId="0775196C" w14:textId="648765B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0.212</w:t>
            </w:r>
          </w:p>
        </w:tc>
      </w:tr>
      <w:tr w:rsidR="00030664" w:rsidRPr="003A6DFC" w14:paraId="551F6522" w14:textId="54D661B6" w:rsidTr="002C6227">
        <w:trPr>
          <w:trHeight w:val="136"/>
        </w:trPr>
        <w:tc>
          <w:tcPr>
            <w:tcW w:w="3652" w:type="dxa"/>
            <w:tcBorders>
              <w:top w:val="nil"/>
              <w:left w:val="nil"/>
              <w:bottom w:val="nil"/>
              <w:right w:val="nil"/>
            </w:tcBorders>
            <w:shd w:val="clear" w:color="auto" w:fill="auto"/>
            <w:noWrap/>
            <w:vAlign w:val="center"/>
          </w:tcPr>
          <w:p w14:paraId="37853783" w14:textId="06C2F5F0"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Aged 46-55</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2021FFD5" w14:textId="3954F69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0.199</w:t>
            </w:r>
          </w:p>
        </w:tc>
        <w:tc>
          <w:tcPr>
            <w:tcW w:w="1984" w:type="dxa"/>
            <w:tcBorders>
              <w:top w:val="nil"/>
              <w:left w:val="nil"/>
              <w:bottom w:val="nil"/>
              <w:right w:val="nil"/>
            </w:tcBorders>
            <w:vAlign w:val="center"/>
          </w:tcPr>
          <w:p w14:paraId="778FAB50" w14:textId="0B85D18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0.197</w:t>
            </w:r>
          </w:p>
        </w:tc>
        <w:tc>
          <w:tcPr>
            <w:tcW w:w="1701" w:type="dxa"/>
            <w:tcBorders>
              <w:top w:val="nil"/>
              <w:left w:val="nil"/>
              <w:bottom w:val="nil"/>
              <w:right w:val="nil"/>
            </w:tcBorders>
            <w:vAlign w:val="center"/>
          </w:tcPr>
          <w:p w14:paraId="684F39C2" w14:textId="27C428D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0.191</w:t>
            </w:r>
          </w:p>
        </w:tc>
        <w:tc>
          <w:tcPr>
            <w:tcW w:w="2126" w:type="dxa"/>
            <w:tcBorders>
              <w:top w:val="nil"/>
              <w:left w:val="nil"/>
              <w:bottom w:val="nil"/>
              <w:right w:val="nil"/>
            </w:tcBorders>
            <w:vAlign w:val="center"/>
          </w:tcPr>
          <w:p w14:paraId="7C1C0790" w14:textId="2B5FC98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0.208</w:t>
            </w:r>
          </w:p>
        </w:tc>
        <w:tc>
          <w:tcPr>
            <w:tcW w:w="1843" w:type="dxa"/>
            <w:tcBorders>
              <w:top w:val="nil"/>
              <w:left w:val="nil"/>
              <w:bottom w:val="nil"/>
              <w:right w:val="nil"/>
            </w:tcBorders>
            <w:vAlign w:val="center"/>
          </w:tcPr>
          <w:p w14:paraId="2931C190" w14:textId="14C2F87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0.228</w:t>
            </w:r>
          </w:p>
        </w:tc>
        <w:tc>
          <w:tcPr>
            <w:tcW w:w="1843" w:type="dxa"/>
            <w:tcBorders>
              <w:top w:val="nil"/>
              <w:left w:val="nil"/>
              <w:bottom w:val="nil"/>
              <w:right w:val="nil"/>
            </w:tcBorders>
            <w:vAlign w:val="center"/>
          </w:tcPr>
          <w:p w14:paraId="36103657" w14:textId="16C2BE7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0.260</w:t>
            </w:r>
          </w:p>
        </w:tc>
      </w:tr>
      <w:tr w:rsidR="00030664" w:rsidRPr="003A6DFC" w14:paraId="2AFD6912" w14:textId="2F22AB1B" w:rsidTr="002C6227">
        <w:trPr>
          <w:trHeight w:val="136"/>
        </w:trPr>
        <w:tc>
          <w:tcPr>
            <w:tcW w:w="3652" w:type="dxa"/>
            <w:tcBorders>
              <w:top w:val="nil"/>
              <w:left w:val="nil"/>
              <w:bottom w:val="nil"/>
              <w:right w:val="nil"/>
            </w:tcBorders>
            <w:shd w:val="clear" w:color="auto" w:fill="auto"/>
            <w:noWrap/>
            <w:vAlign w:val="center"/>
          </w:tcPr>
          <w:p w14:paraId="3077B51A" w14:textId="3FB856C6"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Aged 56-65</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3337CD47" w14:textId="48113E1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0.177</w:t>
            </w:r>
          </w:p>
        </w:tc>
        <w:tc>
          <w:tcPr>
            <w:tcW w:w="1984" w:type="dxa"/>
            <w:tcBorders>
              <w:top w:val="nil"/>
              <w:left w:val="nil"/>
              <w:bottom w:val="nil"/>
              <w:right w:val="nil"/>
            </w:tcBorders>
            <w:vAlign w:val="center"/>
          </w:tcPr>
          <w:p w14:paraId="2BF0CF0B" w14:textId="5887929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0.184</w:t>
            </w:r>
          </w:p>
        </w:tc>
        <w:tc>
          <w:tcPr>
            <w:tcW w:w="1701" w:type="dxa"/>
            <w:tcBorders>
              <w:top w:val="nil"/>
              <w:left w:val="nil"/>
              <w:bottom w:val="nil"/>
              <w:right w:val="nil"/>
            </w:tcBorders>
            <w:vAlign w:val="center"/>
          </w:tcPr>
          <w:p w14:paraId="208FA4F7" w14:textId="640F27A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0.178</w:t>
            </w:r>
          </w:p>
        </w:tc>
        <w:tc>
          <w:tcPr>
            <w:tcW w:w="2126" w:type="dxa"/>
            <w:tcBorders>
              <w:top w:val="nil"/>
              <w:left w:val="nil"/>
              <w:bottom w:val="nil"/>
              <w:right w:val="nil"/>
            </w:tcBorders>
            <w:vAlign w:val="center"/>
          </w:tcPr>
          <w:p w14:paraId="71A76139" w14:textId="347052F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0.172</w:t>
            </w:r>
          </w:p>
        </w:tc>
        <w:tc>
          <w:tcPr>
            <w:tcW w:w="1843" w:type="dxa"/>
            <w:tcBorders>
              <w:top w:val="nil"/>
              <w:left w:val="nil"/>
              <w:bottom w:val="nil"/>
              <w:right w:val="nil"/>
            </w:tcBorders>
            <w:vAlign w:val="center"/>
          </w:tcPr>
          <w:p w14:paraId="24E94F2E" w14:textId="542B6A6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0.145</w:t>
            </w:r>
          </w:p>
        </w:tc>
        <w:tc>
          <w:tcPr>
            <w:tcW w:w="1843" w:type="dxa"/>
            <w:tcBorders>
              <w:top w:val="nil"/>
              <w:left w:val="nil"/>
              <w:bottom w:val="nil"/>
              <w:right w:val="nil"/>
            </w:tcBorders>
            <w:vAlign w:val="center"/>
          </w:tcPr>
          <w:p w14:paraId="7C1B2EC3" w14:textId="209EC73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0.112</w:t>
            </w:r>
          </w:p>
        </w:tc>
      </w:tr>
      <w:tr w:rsidR="00030664" w:rsidRPr="003A6DFC" w14:paraId="47EC3D1C" w14:textId="21F7A364" w:rsidTr="002C6227">
        <w:trPr>
          <w:trHeight w:val="136"/>
        </w:trPr>
        <w:tc>
          <w:tcPr>
            <w:tcW w:w="3652" w:type="dxa"/>
            <w:tcBorders>
              <w:top w:val="nil"/>
              <w:left w:val="nil"/>
              <w:bottom w:val="nil"/>
              <w:right w:val="nil"/>
            </w:tcBorders>
            <w:shd w:val="clear" w:color="auto" w:fill="auto"/>
            <w:noWrap/>
            <w:vAlign w:val="center"/>
          </w:tcPr>
          <w:p w14:paraId="56B496C7" w14:textId="10A01321"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Aged 66-75</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49760CC4" w14:textId="064E61B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0.135</w:t>
            </w:r>
          </w:p>
        </w:tc>
        <w:tc>
          <w:tcPr>
            <w:tcW w:w="1984" w:type="dxa"/>
            <w:tcBorders>
              <w:top w:val="nil"/>
              <w:left w:val="nil"/>
              <w:bottom w:val="nil"/>
              <w:right w:val="nil"/>
            </w:tcBorders>
            <w:vAlign w:val="center"/>
          </w:tcPr>
          <w:p w14:paraId="4BD25FB9" w14:textId="0807EBF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0.131</w:t>
            </w:r>
          </w:p>
        </w:tc>
        <w:tc>
          <w:tcPr>
            <w:tcW w:w="1701" w:type="dxa"/>
            <w:tcBorders>
              <w:top w:val="nil"/>
              <w:left w:val="nil"/>
              <w:bottom w:val="nil"/>
              <w:right w:val="nil"/>
            </w:tcBorders>
            <w:vAlign w:val="center"/>
          </w:tcPr>
          <w:p w14:paraId="590700F2" w14:textId="32F55DC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0.137</w:t>
            </w:r>
          </w:p>
        </w:tc>
        <w:tc>
          <w:tcPr>
            <w:tcW w:w="2126" w:type="dxa"/>
            <w:tcBorders>
              <w:top w:val="nil"/>
              <w:left w:val="nil"/>
              <w:bottom w:val="nil"/>
              <w:right w:val="nil"/>
            </w:tcBorders>
            <w:vAlign w:val="center"/>
          </w:tcPr>
          <w:p w14:paraId="4F034FF2" w14:textId="0A1C0B8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0.141</w:t>
            </w:r>
          </w:p>
        </w:tc>
        <w:tc>
          <w:tcPr>
            <w:tcW w:w="1843" w:type="dxa"/>
            <w:tcBorders>
              <w:top w:val="nil"/>
              <w:left w:val="nil"/>
              <w:bottom w:val="nil"/>
              <w:right w:val="nil"/>
            </w:tcBorders>
            <w:vAlign w:val="center"/>
          </w:tcPr>
          <w:p w14:paraId="06B9F14D" w14:textId="70F2877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0.142</w:t>
            </w:r>
          </w:p>
        </w:tc>
        <w:tc>
          <w:tcPr>
            <w:tcW w:w="1843" w:type="dxa"/>
            <w:tcBorders>
              <w:top w:val="nil"/>
              <w:left w:val="nil"/>
              <w:bottom w:val="nil"/>
              <w:right w:val="nil"/>
            </w:tcBorders>
            <w:vAlign w:val="center"/>
          </w:tcPr>
          <w:p w14:paraId="0EEC6FFE" w14:textId="2343C92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0.130</w:t>
            </w:r>
          </w:p>
        </w:tc>
      </w:tr>
      <w:tr w:rsidR="00030664" w:rsidRPr="003A6DFC" w14:paraId="18430910" w14:textId="30CE46E6" w:rsidTr="002C6227">
        <w:trPr>
          <w:trHeight w:val="136"/>
        </w:trPr>
        <w:tc>
          <w:tcPr>
            <w:tcW w:w="3652" w:type="dxa"/>
            <w:tcBorders>
              <w:top w:val="nil"/>
              <w:left w:val="nil"/>
              <w:bottom w:val="nil"/>
              <w:right w:val="nil"/>
            </w:tcBorders>
            <w:shd w:val="clear" w:color="auto" w:fill="auto"/>
            <w:noWrap/>
            <w:vAlign w:val="center"/>
          </w:tcPr>
          <w:p w14:paraId="4CF128A6" w14:textId="7AEBDE2C"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Aged 76-85</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091879A2" w14:textId="7A87DC3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0.054</w:t>
            </w:r>
          </w:p>
        </w:tc>
        <w:tc>
          <w:tcPr>
            <w:tcW w:w="1984" w:type="dxa"/>
            <w:tcBorders>
              <w:top w:val="nil"/>
              <w:left w:val="nil"/>
              <w:bottom w:val="nil"/>
              <w:right w:val="nil"/>
            </w:tcBorders>
            <w:vAlign w:val="center"/>
          </w:tcPr>
          <w:p w14:paraId="36A30AE8" w14:textId="4918130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0.046</w:t>
            </w:r>
          </w:p>
        </w:tc>
        <w:tc>
          <w:tcPr>
            <w:tcW w:w="1701" w:type="dxa"/>
            <w:tcBorders>
              <w:top w:val="nil"/>
              <w:left w:val="nil"/>
              <w:bottom w:val="nil"/>
              <w:right w:val="nil"/>
            </w:tcBorders>
            <w:vAlign w:val="center"/>
          </w:tcPr>
          <w:p w14:paraId="5B3AFF57" w14:textId="3B9EE6D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0.061</w:t>
            </w:r>
          </w:p>
        </w:tc>
        <w:tc>
          <w:tcPr>
            <w:tcW w:w="2126" w:type="dxa"/>
            <w:tcBorders>
              <w:top w:val="nil"/>
              <w:left w:val="nil"/>
              <w:bottom w:val="nil"/>
              <w:right w:val="nil"/>
            </w:tcBorders>
            <w:vAlign w:val="center"/>
          </w:tcPr>
          <w:p w14:paraId="3215EF78" w14:textId="5A0B4E4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0.056</w:t>
            </w:r>
          </w:p>
        </w:tc>
        <w:tc>
          <w:tcPr>
            <w:tcW w:w="1843" w:type="dxa"/>
            <w:tcBorders>
              <w:top w:val="nil"/>
              <w:left w:val="nil"/>
              <w:bottom w:val="nil"/>
              <w:right w:val="nil"/>
            </w:tcBorders>
            <w:vAlign w:val="center"/>
          </w:tcPr>
          <w:p w14:paraId="6A07EDE5" w14:textId="7EC7CBA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0.066</w:t>
            </w:r>
          </w:p>
        </w:tc>
        <w:tc>
          <w:tcPr>
            <w:tcW w:w="1843" w:type="dxa"/>
            <w:tcBorders>
              <w:top w:val="nil"/>
              <w:left w:val="nil"/>
              <w:bottom w:val="nil"/>
              <w:right w:val="nil"/>
            </w:tcBorders>
            <w:vAlign w:val="center"/>
          </w:tcPr>
          <w:p w14:paraId="1CC0AE50" w14:textId="51DC537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0.058</w:t>
            </w:r>
          </w:p>
        </w:tc>
      </w:tr>
      <w:tr w:rsidR="00030664" w:rsidRPr="003A6DFC" w14:paraId="25B2A11E" w14:textId="55CA64D0" w:rsidTr="002C6227">
        <w:trPr>
          <w:trHeight w:val="136"/>
        </w:trPr>
        <w:tc>
          <w:tcPr>
            <w:tcW w:w="3652" w:type="dxa"/>
            <w:tcBorders>
              <w:top w:val="nil"/>
              <w:left w:val="nil"/>
              <w:bottom w:val="nil"/>
              <w:right w:val="nil"/>
            </w:tcBorders>
            <w:shd w:val="clear" w:color="auto" w:fill="auto"/>
            <w:noWrap/>
            <w:vAlign w:val="center"/>
          </w:tcPr>
          <w:p w14:paraId="5EBF7A29" w14:textId="0492E3B0"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Aged 86 and older</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7260ED7A" w14:textId="0C7A732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0.008</w:t>
            </w:r>
          </w:p>
        </w:tc>
        <w:tc>
          <w:tcPr>
            <w:tcW w:w="1984" w:type="dxa"/>
            <w:tcBorders>
              <w:top w:val="nil"/>
              <w:left w:val="nil"/>
              <w:bottom w:val="nil"/>
              <w:right w:val="nil"/>
            </w:tcBorders>
            <w:vAlign w:val="center"/>
          </w:tcPr>
          <w:p w14:paraId="436E0284" w14:textId="50A0ECE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0.007</w:t>
            </w:r>
          </w:p>
        </w:tc>
        <w:tc>
          <w:tcPr>
            <w:tcW w:w="1701" w:type="dxa"/>
            <w:tcBorders>
              <w:top w:val="nil"/>
              <w:left w:val="nil"/>
              <w:bottom w:val="nil"/>
              <w:right w:val="nil"/>
            </w:tcBorders>
            <w:vAlign w:val="center"/>
          </w:tcPr>
          <w:p w14:paraId="3D1A0616" w14:textId="48ADEB5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0.008</w:t>
            </w:r>
          </w:p>
        </w:tc>
        <w:tc>
          <w:tcPr>
            <w:tcW w:w="2126" w:type="dxa"/>
            <w:tcBorders>
              <w:top w:val="nil"/>
              <w:left w:val="nil"/>
              <w:bottom w:val="nil"/>
              <w:right w:val="nil"/>
            </w:tcBorders>
            <w:vAlign w:val="center"/>
          </w:tcPr>
          <w:p w14:paraId="5B1104BB" w14:textId="5329EE4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0.012</w:t>
            </w:r>
          </w:p>
        </w:tc>
        <w:tc>
          <w:tcPr>
            <w:tcW w:w="1843" w:type="dxa"/>
            <w:tcBorders>
              <w:top w:val="nil"/>
              <w:left w:val="nil"/>
              <w:bottom w:val="nil"/>
              <w:right w:val="nil"/>
            </w:tcBorders>
            <w:vAlign w:val="center"/>
          </w:tcPr>
          <w:p w14:paraId="6CC9CA47" w14:textId="0AA7D25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0.010</w:t>
            </w:r>
          </w:p>
        </w:tc>
        <w:tc>
          <w:tcPr>
            <w:tcW w:w="1843" w:type="dxa"/>
            <w:tcBorders>
              <w:top w:val="nil"/>
              <w:left w:val="nil"/>
              <w:bottom w:val="nil"/>
              <w:right w:val="nil"/>
            </w:tcBorders>
            <w:vAlign w:val="center"/>
          </w:tcPr>
          <w:p w14:paraId="436DE881" w14:textId="633C5F2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0.016</w:t>
            </w:r>
          </w:p>
        </w:tc>
      </w:tr>
      <w:tr w:rsidR="00030664" w:rsidRPr="003A6DFC" w14:paraId="2A22D724" w14:textId="77777777" w:rsidTr="002C6227">
        <w:trPr>
          <w:trHeight w:val="136"/>
        </w:trPr>
        <w:tc>
          <w:tcPr>
            <w:tcW w:w="3652" w:type="dxa"/>
            <w:tcBorders>
              <w:top w:val="nil"/>
              <w:left w:val="nil"/>
              <w:bottom w:val="nil"/>
              <w:right w:val="nil"/>
            </w:tcBorders>
            <w:shd w:val="clear" w:color="auto" w:fill="auto"/>
            <w:noWrap/>
            <w:vAlign w:val="center"/>
          </w:tcPr>
          <w:p w14:paraId="443696B3" w14:textId="271E398C" w:rsidR="00030664" w:rsidRPr="003A6DFC" w:rsidRDefault="00030664" w:rsidP="00030664">
            <w:pPr>
              <w:spacing w:after="0" w:line="240" w:lineRule="auto"/>
              <w:rPr>
                <w:rFonts w:ascii="Century" w:hAnsi="Century"/>
                <w:sz w:val="16"/>
                <w:szCs w:val="16"/>
                <w:lang w:eastAsia="en-GB"/>
              </w:rPr>
            </w:pPr>
            <w:r w:rsidRPr="003A6DFC">
              <w:rPr>
                <w:rFonts w:ascii="Century" w:hAnsi="Century"/>
                <w:sz w:val="16"/>
                <w:szCs w:val="16"/>
                <w:lang w:eastAsia="en-GB"/>
              </w:rPr>
              <w:t>Degree</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7D402B3D" w14:textId="1E1BC41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0.254</w:t>
            </w:r>
          </w:p>
        </w:tc>
        <w:tc>
          <w:tcPr>
            <w:tcW w:w="1984" w:type="dxa"/>
            <w:tcBorders>
              <w:top w:val="nil"/>
              <w:left w:val="nil"/>
              <w:bottom w:val="nil"/>
              <w:right w:val="nil"/>
            </w:tcBorders>
            <w:vAlign w:val="center"/>
          </w:tcPr>
          <w:p w14:paraId="21C7B7AD" w14:textId="2A3FA86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0.300</w:t>
            </w:r>
          </w:p>
        </w:tc>
        <w:tc>
          <w:tcPr>
            <w:tcW w:w="1701" w:type="dxa"/>
            <w:tcBorders>
              <w:top w:val="nil"/>
              <w:left w:val="nil"/>
              <w:bottom w:val="nil"/>
              <w:right w:val="nil"/>
            </w:tcBorders>
            <w:vAlign w:val="center"/>
          </w:tcPr>
          <w:p w14:paraId="05DE2CB6" w14:textId="672BB09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0.239</w:t>
            </w:r>
          </w:p>
        </w:tc>
        <w:tc>
          <w:tcPr>
            <w:tcW w:w="2126" w:type="dxa"/>
            <w:tcBorders>
              <w:top w:val="nil"/>
              <w:left w:val="nil"/>
              <w:bottom w:val="nil"/>
              <w:right w:val="nil"/>
            </w:tcBorders>
            <w:vAlign w:val="center"/>
          </w:tcPr>
          <w:p w14:paraId="3765F2D2" w14:textId="122337E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0.192</w:t>
            </w:r>
          </w:p>
        </w:tc>
        <w:tc>
          <w:tcPr>
            <w:tcW w:w="1843" w:type="dxa"/>
            <w:tcBorders>
              <w:top w:val="nil"/>
              <w:left w:val="nil"/>
              <w:bottom w:val="nil"/>
              <w:right w:val="nil"/>
            </w:tcBorders>
            <w:vAlign w:val="center"/>
          </w:tcPr>
          <w:p w14:paraId="5D213EAD" w14:textId="6C253E1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0.167</w:t>
            </w:r>
          </w:p>
        </w:tc>
        <w:tc>
          <w:tcPr>
            <w:tcW w:w="1843" w:type="dxa"/>
            <w:tcBorders>
              <w:top w:val="nil"/>
              <w:left w:val="nil"/>
              <w:bottom w:val="nil"/>
              <w:right w:val="nil"/>
            </w:tcBorders>
            <w:vAlign w:val="center"/>
          </w:tcPr>
          <w:p w14:paraId="5F6E4B43" w14:textId="6BCCAF2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0.216</w:t>
            </w:r>
          </w:p>
        </w:tc>
      </w:tr>
      <w:tr w:rsidR="00030664" w:rsidRPr="003A6DFC" w14:paraId="7ACD6A7A" w14:textId="67860B39" w:rsidTr="002C6227">
        <w:trPr>
          <w:trHeight w:val="136"/>
        </w:trPr>
        <w:tc>
          <w:tcPr>
            <w:tcW w:w="3652" w:type="dxa"/>
            <w:tcBorders>
              <w:top w:val="nil"/>
              <w:left w:val="nil"/>
              <w:bottom w:val="nil"/>
              <w:right w:val="nil"/>
            </w:tcBorders>
            <w:shd w:val="clear" w:color="auto" w:fill="auto"/>
            <w:noWrap/>
            <w:vAlign w:val="center"/>
          </w:tcPr>
          <w:p w14:paraId="50DBCC25" w14:textId="431FEBEF"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Other higher qualification</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47F6BDCF" w14:textId="26687C7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0.129</w:t>
            </w:r>
          </w:p>
        </w:tc>
        <w:tc>
          <w:tcPr>
            <w:tcW w:w="1984" w:type="dxa"/>
            <w:tcBorders>
              <w:top w:val="nil"/>
              <w:left w:val="nil"/>
              <w:bottom w:val="nil"/>
              <w:right w:val="nil"/>
            </w:tcBorders>
            <w:vAlign w:val="center"/>
          </w:tcPr>
          <w:p w14:paraId="75DC1FDF" w14:textId="117B4FC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0.134</w:t>
            </w:r>
          </w:p>
        </w:tc>
        <w:tc>
          <w:tcPr>
            <w:tcW w:w="1701" w:type="dxa"/>
            <w:tcBorders>
              <w:top w:val="nil"/>
              <w:left w:val="nil"/>
              <w:bottom w:val="nil"/>
              <w:right w:val="nil"/>
            </w:tcBorders>
            <w:vAlign w:val="center"/>
          </w:tcPr>
          <w:p w14:paraId="7CAD4ECF" w14:textId="42B02C6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0.131</w:t>
            </w:r>
          </w:p>
        </w:tc>
        <w:tc>
          <w:tcPr>
            <w:tcW w:w="2126" w:type="dxa"/>
            <w:tcBorders>
              <w:top w:val="nil"/>
              <w:left w:val="nil"/>
              <w:bottom w:val="nil"/>
              <w:right w:val="nil"/>
            </w:tcBorders>
            <w:vAlign w:val="center"/>
          </w:tcPr>
          <w:p w14:paraId="1B2D8DE6" w14:textId="7BA4649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0.120</w:t>
            </w:r>
          </w:p>
        </w:tc>
        <w:tc>
          <w:tcPr>
            <w:tcW w:w="1843" w:type="dxa"/>
            <w:tcBorders>
              <w:top w:val="nil"/>
              <w:left w:val="nil"/>
              <w:bottom w:val="nil"/>
              <w:right w:val="nil"/>
            </w:tcBorders>
            <w:vAlign w:val="center"/>
          </w:tcPr>
          <w:p w14:paraId="0CDAF86D" w14:textId="6CB3509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0.114</w:t>
            </w:r>
          </w:p>
        </w:tc>
        <w:tc>
          <w:tcPr>
            <w:tcW w:w="1843" w:type="dxa"/>
            <w:tcBorders>
              <w:top w:val="nil"/>
              <w:left w:val="nil"/>
              <w:bottom w:val="nil"/>
              <w:right w:val="nil"/>
            </w:tcBorders>
            <w:vAlign w:val="center"/>
          </w:tcPr>
          <w:p w14:paraId="67DB649B" w14:textId="36278DF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0.099</w:t>
            </w:r>
          </w:p>
        </w:tc>
      </w:tr>
      <w:tr w:rsidR="00030664" w:rsidRPr="003A6DFC" w14:paraId="39FEAA1C" w14:textId="17A8C3A6" w:rsidTr="002C6227">
        <w:trPr>
          <w:trHeight w:val="136"/>
        </w:trPr>
        <w:tc>
          <w:tcPr>
            <w:tcW w:w="3652" w:type="dxa"/>
            <w:tcBorders>
              <w:top w:val="nil"/>
              <w:left w:val="nil"/>
              <w:bottom w:val="nil"/>
              <w:right w:val="nil"/>
            </w:tcBorders>
            <w:shd w:val="clear" w:color="auto" w:fill="auto"/>
            <w:noWrap/>
            <w:vAlign w:val="center"/>
          </w:tcPr>
          <w:p w14:paraId="357ABD90" w14:textId="5105B4C1"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A-level</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2AD753BF" w14:textId="267F1AB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0.203</w:t>
            </w:r>
          </w:p>
        </w:tc>
        <w:tc>
          <w:tcPr>
            <w:tcW w:w="1984" w:type="dxa"/>
            <w:tcBorders>
              <w:top w:val="nil"/>
              <w:left w:val="nil"/>
              <w:bottom w:val="nil"/>
              <w:right w:val="nil"/>
            </w:tcBorders>
            <w:vAlign w:val="center"/>
          </w:tcPr>
          <w:p w14:paraId="0A12E22F" w14:textId="7530EFB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0.202</w:t>
            </w:r>
          </w:p>
        </w:tc>
        <w:tc>
          <w:tcPr>
            <w:tcW w:w="1701" w:type="dxa"/>
            <w:tcBorders>
              <w:top w:val="nil"/>
              <w:left w:val="nil"/>
              <w:bottom w:val="nil"/>
              <w:right w:val="nil"/>
            </w:tcBorders>
            <w:vAlign w:val="center"/>
          </w:tcPr>
          <w:p w14:paraId="0A35BEF7" w14:textId="716833E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0.203</w:t>
            </w:r>
          </w:p>
        </w:tc>
        <w:tc>
          <w:tcPr>
            <w:tcW w:w="2126" w:type="dxa"/>
            <w:tcBorders>
              <w:top w:val="nil"/>
              <w:left w:val="nil"/>
              <w:bottom w:val="nil"/>
              <w:right w:val="nil"/>
            </w:tcBorders>
            <w:vAlign w:val="center"/>
          </w:tcPr>
          <w:p w14:paraId="2997143D" w14:textId="459B7C8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0.208</w:t>
            </w:r>
          </w:p>
        </w:tc>
        <w:tc>
          <w:tcPr>
            <w:tcW w:w="1843" w:type="dxa"/>
            <w:tcBorders>
              <w:top w:val="nil"/>
              <w:left w:val="nil"/>
              <w:bottom w:val="nil"/>
              <w:right w:val="nil"/>
            </w:tcBorders>
            <w:vAlign w:val="center"/>
          </w:tcPr>
          <w:p w14:paraId="0CAECAD0" w14:textId="79054AF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0.201</w:t>
            </w:r>
          </w:p>
        </w:tc>
        <w:tc>
          <w:tcPr>
            <w:tcW w:w="1843" w:type="dxa"/>
            <w:tcBorders>
              <w:top w:val="nil"/>
              <w:left w:val="nil"/>
              <w:bottom w:val="nil"/>
              <w:right w:val="nil"/>
            </w:tcBorders>
            <w:vAlign w:val="center"/>
          </w:tcPr>
          <w:p w14:paraId="773A71EC" w14:textId="5B1AC71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0.186</w:t>
            </w:r>
          </w:p>
        </w:tc>
      </w:tr>
      <w:tr w:rsidR="00030664" w:rsidRPr="003A6DFC" w14:paraId="529574CB" w14:textId="33A85181" w:rsidTr="002C6227">
        <w:trPr>
          <w:trHeight w:val="136"/>
        </w:trPr>
        <w:tc>
          <w:tcPr>
            <w:tcW w:w="3652" w:type="dxa"/>
            <w:tcBorders>
              <w:top w:val="nil"/>
              <w:left w:val="nil"/>
              <w:bottom w:val="nil"/>
              <w:right w:val="nil"/>
            </w:tcBorders>
            <w:shd w:val="clear" w:color="auto" w:fill="auto"/>
            <w:noWrap/>
            <w:vAlign w:val="center"/>
          </w:tcPr>
          <w:p w14:paraId="79D0BDE6" w14:textId="4BFA4750"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GCSE</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25D32C84" w14:textId="2D54AEE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0.209</w:t>
            </w:r>
          </w:p>
        </w:tc>
        <w:tc>
          <w:tcPr>
            <w:tcW w:w="1984" w:type="dxa"/>
            <w:tcBorders>
              <w:top w:val="nil"/>
              <w:left w:val="nil"/>
              <w:bottom w:val="nil"/>
              <w:right w:val="nil"/>
            </w:tcBorders>
            <w:vAlign w:val="center"/>
          </w:tcPr>
          <w:p w14:paraId="560D17F5" w14:textId="24C581F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0.189</w:t>
            </w:r>
          </w:p>
        </w:tc>
        <w:tc>
          <w:tcPr>
            <w:tcW w:w="1701" w:type="dxa"/>
            <w:tcBorders>
              <w:top w:val="nil"/>
              <w:left w:val="nil"/>
              <w:bottom w:val="nil"/>
              <w:right w:val="nil"/>
            </w:tcBorders>
            <w:vAlign w:val="center"/>
          </w:tcPr>
          <w:p w14:paraId="52BD754B" w14:textId="4817E29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0.213</w:t>
            </w:r>
          </w:p>
        </w:tc>
        <w:tc>
          <w:tcPr>
            <w:tcW w:w="2126" w:type="dxa"/>
            <w:tcBorders>
              <w:top w:val="nil"/>
              <w:left w:val="nil"/>
              <w:bottom w:val="nil"/>
              <w:right w:val="nil"/>
            </w:tcBorders>
            <w:vAlign w:val="center"/>
          </w:tcPr>
          <w:p w14:paraId="51FE78BC" w14:textId="575C3FA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0.238</w:t>
            </w:r>
          </w:p>
        </w:tc>
        <w:tc>
          <w:tcPr>
            <w:tcW w:w="1843" w:type="dxa"/>
            <w:tcBorders>
              <w:top w:val="nil"/>
              <w:left w:val="nil"/>
              <w:bottom w:val="nil"/>
              <w:right w:val="nil"/>
            </w:tcBorders>
            <w:vAlign w:val="center"/>
          </w:tcPr>
          <w:p w14:paraId="3196E3E7" w14:textId="0902B52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0.240</w:t>
            </w:r>
          </w:p>
        </w:tc>
        <w:tc>
          <w:tcPr>
            <w:tcW w:w="1843" w:type="dxa"/>
            <w:tcBorders>
              <w:top w:val="nil"/>
              <w:left w:val="nil"/>
              <w:bottom w:val="nil"/>
              <w:right w:val="nil"/>
            </w:tcBorders>
            <w:vAlign w:val="center"/>
          </w:tcPr>
          <w:p w14:paraId="3BF15EB9" w14:textId="47EB3CB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0.275</w:t>
            </w:r>
          </w:p>
        </w:tc>
      </w:tr>
      <w:tr w:rsidR="00030664" w:rsidRPr="003A6DFC" w14:paraId="0EC35FB8" w14:textId="7A850964" w:rsidTr="002C6227">
        <w:trPr>
          <w:trHeight w:val="136"/>
        </w:trPr>
        <w:tc>
          <w:tcPr>
            <w:tcW w:w="3652" w:type="dxa"/>
            <w:tcBorders>
              <w:top w:val="nil"/>
              <w:left w:val="nil"/>
              <w:bottom w:val="nil"/>
              <w:right w:val="nil"/>
            </w:tcBorders>
            <w:shd w:val="clear" w:color="auto" w:fill="auto"/>
            <w:noWrap/>
            <w:vAlign w:val="center"/>
          </w:tcPr>
          <w:p w14:paraId="31BED3CB" w14:textId="09D4AD5F"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Other low qualification</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3A667B3D" w14:textId="26859CF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0.097</w:t>
            </w:r>
          </w:p>
        </w:tc>
        <w:tc>
          <w:tcPr>
            <w:tcW w:w="1984" w:type="dxa"/>
            <w:tcBorders>
              <w:top w:val="nil"/>
              <w:left w:val="nil"/>
              <w:bottom w:val="nil"/>
              <w:right w:val="nil"/>
            </w:tcBorders>
            <w:vAlign w:val="center"/>
          </w:tcPr>
          <w:p w14:paraId="39E1F9E0" w14:textId="6EE2763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0.085</w:t>
            </w:r>
          </w:p>
        </w:tc>
        <w:tc>
          <w:tcPr>
            <w:tcW w:w="1701" w:type="dxa"/>
            <w:tcBorders>
              <w:top w:val="nil"/>
              <w:left w:val="nil"/>
              <w:bottom w:val="nil"/>
              <w:right w:val="nil"/>
            </w:tcBorders>
            <w:vAlign w:val="center"/>
          </w:tcPr>
          <w:p w14:paraId="2873291F" w14:textId="00DDB2F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0.101</w:t>
            </w:r>
          </w:p>
        </w:tc>
        <w:tc>
          <w:tcPr>
            <w:tcW w:w="2126" w:type="dxa"/>
            <w:tcBorders>
              <w:top w:val="nil"/>
              <w:left w:val="nil"/>
              <w:bottom w:val="nil"/>
              <w:right w:val="nil"/>
            </w:tcBorders>
            <w:vAlign w:val="center"/>
          </w:tcPr>
          <w:p w14:paraId="5652E11F" w14:textId="54283E6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0.115</w:t>
            </w:r>
          </w:p>
        </w:tc>
        <w:tc>
          <w:tcPr>
            <w:tcW w:w="1843" w:type="dxa"/>
            <w:tcBorders>
              <w:top w:val="nil"/>
              <w:left w:val="nil"/>
              <w:bottom w:val="nil"/>
              <w:right w:val="nil"/>
            </w:tcBorders>
            <w:vAlign w:val="center"/>
          </w:tcPr>
          <w:p w14:paraId="38B6FEEF" w14:textId="26EE822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0.119</w:t>
            </w:r>
          </w:p>
        </w:tc>
        <w:tc>
          <w:tcPr>
            <w:tcW w:w="1843" w:type="dxa"/>
            <w:tcBorders>
              <w:top w:val="nil"/>
              <w:left w:val="nil"/>
              <w:bottom w:val="nil"/>
              <w:right w:val="nil"/>
            </w:tcBorders>
            <w:vAlign w:val="center"/>
          </w:tcPr>
          <w:p w14:paraId="645E6954" w14:textId="2704193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0.101</w:t>
            </w:r>
          </w:p>
        </w:tc>
      </w:tr>
      <w:tr w:rsidR="00030664" w:rsidRPr="003A6DFC" w14:paraId="60AC6B21" w14:textId="3E8D3BFB" w:rsidTr="002C6227">
        <w:trPr>
          <w:trHeight w:val="136"/>
        </w:trPr>
        <w:tc>
          <w:tcPr>
            <w:tcW w:w="3652" w:type="dxa"/>
            <w:tcBorders>
              <w:top w:val="nil"/>
              <w:left w:val="nil"/>
              <w:bottom w:val="nil"/>
              <w:right w:val="nil"/>
            </w:tcBorders>
            <w:shd w:val="clear" w:color="auto" w:fill="auto"/>
            <w:noWrap/>
            <w:vAlign w:val="center"/>
          </w:tcPr>
          <w:p w14:paraId="783BDEE5" w14:textId="5EE9EA6B"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No qualification</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7FA477EB" w14:textId="63472C6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0.108</w:t>
            </w:r>
          </w:p>
        </w:tc>
        <w:tc>
          <w:tcPr>
            <w:tcW w:w="1984" w:type="dxa"/>
            <w:tcBorders>
              <w:top w:val="nil"/>
              <w:left w:val="nil"/>
              <w:bottom w:val="nil"/>
              <w:right w:val="nil"/>
            </w:tcBorders>
            <w:vAlign w:val="center"/>
          </w:tcPr>
          <w:p w14:paraId="6C8895FD" w14:textId="3C7FC08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0.091</w:t>
            </w:r>
          </w:p>
        </w:tc>
        <w:tc>
          <w:tcPr>
            <w:tcW w:w="1701" w:type="dxa"/>
            <w:tcBorders>
              <w:top w:val="nil"/>
              <w:left w:val="nil"/>
              <w:bottom w:val="nil"/>
              <w:right w:val="nil"/>
            </w:tcBorders>
            <w:vAlign w:val="center"/>
          </w:tcPr>
          <w:p w14:paraId="657AC7B2" w14:textId="0C0951E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0.112</w:t>
            </w:r>
          </w:p>
        </w:tc>
        <w:tc>
          <w:tcPr>
            <w:tcW w:w="2126" w:type="dxa"/>
            <w:tcBorders>
              <w:top w:val="nil"/>
              <w:left w:val="nil"/>
              <w:bottom w:val="nil"/>
              <w:right w:val="nil"/>
            </w:tcBorders>
            <w:vAlign w:val="center"/>
          </w:tcPr>
          <w:p w14:paraId="5EE8A974" w14:textId="5C9815D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0.126</w:t>
            </w:r>
          </w:p>
        </w:tc>
        <w:tc>
          <w:tcPr>
            <w:tcW w:w="1843" w:type="dxa"/>
            <w:tcBorders>
              <w:top w:val="nil"/>
              <w:left w:val="nil"/>
              <w:bottom w:val="nil"/>
              <w:right w:val="nil"/>
            </w:tcBorders>
            <w:vAlign w:val="center"/>
          </w:tcPr>
          <w:p w14:paraId="580CDDE3" w14:textId="518A837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0.159</w:t>
            </w:r>
          </w:p>
        </w:tc>
        <w:tc>
          <w:tcPr>
            <w:tcW w:w="1843" w:type="dxa"/>
            <w:tcBorders>
              <w:top w:val="nil"/>
              <w:left w:val="nil"/>
              <w:bottom w:val="nil"/>
              <w:right w:val="nil"/>
            </w:tcBorders>
            <w:vAlign w:val="center"/>
          </w:tcPr>
          <w:p w14:paraId="17F8B80B" w14:textId="49E1519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0.123</w:t>
            </w:r>
          </w:p>
        </w:tc>
      </w:tr>
      <w:tr w:rsidR="00030664" w:rsidRPr="003A6DFC" w14:paraId="60F2BC09" w14:textId="5D1E0CC7" w:rsidTr="002C6227">
        <w:trPr>
          <w:trHeight w:val="136"/>
        </w:trPr>
        <w:tc>
          <w:tcPr>
            <w:tcW w:w="3652" w:type="dxa"/>
            <w:tcBorders>
              <w:top w:val="nil"/>
              <w:left w:val="nil"/>
              <w:bottom w:val="nil"/>
              <w:right w:val="nil"/>
            </w:tcBorders>
            <w:shd w:val="clear" w:color="auto" w:fill="auto"/>
            <w:noWrap/>
            <w:vAlign w:val="center"/>
          </w:tcPr>
          <w:p w14:paraId="5196B252" w14:textId="53225CA0"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Log of HH income</w:t>
            </w:r>
          </w:p>
        </w:tc>
        <w:tc>
          <w:tcPr>
            <w:tcW w:w="851" w:type="dxa"/>
            <w:tcBorders>
              <w:top w:val="nil"/>
              <w:left w:val="nil"/>
              <w:bottom w:val="nil"/>
              <w:right w:val="nil"/>
            </w:tcBorders>
            <w:vAlign w:val="center"/>
          </w:tcPr>
          <w:p w14:paraId="0D6C0A28" w14:textId="6403783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7.157</w:t>
            </w:r>
          </w:p>
        </w:tc>
        <w:tc>
          <w:tcPr>
            <w:tcW w:w="1984" w:type="dxa"/>
            <w:tcBorders>
              <w:top w:val="nil"/>
              <w:left w:val="nil"/>
              <w:bottom w:val="nil"/>
              <w:right w:val="nil"/>
            </w:tcBorders>
            <w:vAlign w:val="center"/>
          </w:tcPr>
          <w:p w14:paraId="3F3D3ABD" w14:textId="742729C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7.200</w:t>
            </w:r>
          </w:p>
        </w:tc>
        <w:tc>
          <w:tcPr>
            <w:tcW w:w="1701" w:type="dxa"/>
            <w:tcBorders>
              <w:top w:val="nil"/>
              <w:left w:val="nil"/>
              <w:bottom w:val="nil"/>
              <w:right w:val="nil"/>
            </w:tcBorders>
            <w:vAlign w:val="center"/>
          </w:tcPr>
          <w:p w14:paraId="25E1434C" w14:textId="1D7A645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7.139</w:t>
            </w:r>
          </w:p>
        </w:tc>
        <w:tc>
          <w:tcPr>
            <w:tcW w:w="2126" w:type="dxa"/>
            <w:tcBorders>
              <w:top w:val="nil"/>
              <w:left w:val="nil"/>
              <w:bottom w:val="nil"/>
              <w:right w:val="nil"/>
            </w:tcBorders>
            <w:vAlign w:val="center"/>
          </w:tcPr>
          <w:p w14:paraId="53D45E2C" w14:textId="7B67A46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7.114</w:t>
            </w:r>
          </w:p>
        </w:tc>
        <w:tc>
          <w:tcPr>
            <w:tcW w:w="1843" w:type="dxa"/>
            <w:tcBorders>
              <w:top w:val="nil"/>
              <w:left w:val="nil"/>
              <w:bottom w:val="nil"/>
              <w:right w:val="nil"/>
            </w:tcBorders>
            <w:vAlign w:val="center"/>
          </w:tcPr>
          <w:p w14:paraId="7480CB11" w14:textId="521C1FD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7.070</w:t>
            </w:r>
          </w:p>
        </w:tc>
        <w:tc>
          <w:tcPr>
            <w:tcW w:w="1843" w:type="dxa"/>
            <w:tcBorders>
              <w:top w:val="nil"/>
              <w:left w:val="nil"/>
              <w:bottom w:val="nil"/>
              <w:right w:val="nil"/>
            </w:tcBorders>
            <w:vAlign w:val="center"/>
          </w:tcPr>
          <w:p w14:paraId="4EF8AF19" w14:textId="1BFDB1E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6.980</w:t>
            </w:r>
          </w:p>
        </w:tc>
      </w:tr>
      <w:tr w:rsidR="00030664" w:rsidRPr="003A6DFC" w14:paraId="10268973" w14:textId="77777777" w:rsidTr="002C6227">
        <w:trPr>
          <w:trHeight w:val="136"/>
        </w:trPr>
        <w:tc>
          <w:tcPr>
            <w:tcW w:w="3652" w:type="dxa"/>
            <w:tcBorders>
              <w:top w:val="nil"/>
              <w:left w:val="nil"/>
              <w:bottom w:val="nil"/>
              <w:right w:val="nil"/>
            </w:tcBorders>
            <w:shd w:val="clear" w:color="auto" w:fill="auto"/>
            <w:noWrap/>
            <w:vAlign w:val="center"/>
          </w:tcPr>
          <w:p w14:paraId="0129BE7D" w14:textId="03E7E239" w:rsidR="00030664" w:rsidRPr="003A6DFC" w:rsidRDefault="00030664" w:rsidP="00030664">
            <w:pPr>
              <w:spacing w:after="0" w:line="240" w:lineRule="auto"/>
              <w:rPr>
                <w:rFonts w:ascii="Century" w:hAnsi="Century"/>
                <w:sz w:val="16"/>
                <w:szCs w:val="16"/>
                <w:lang w:eastAsia="en-GB"/>
              </w:rPr>
            </w:pPr>
            <w:r w:rsidRPr="003A6DFC">
              <w:rPr>
                <w:rFonts w:ascii="Century" w:hAnsi="Century"/>
                <w:sz w:val="16"/>
                <w:szCs w:val="16"/>
                <w:lang w:eastAsia="en-GB"/>
              </w:rPr>
              <w:t>Employed</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397D6C45" w14:textId="6E9EB2F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0.589</w:t>
            </w:r>
          </w:p>
        </w:tc>
        <w:tc>
          <w:tcPr>
            <w:tcW w:w="1984" w:type="dxa"/>
            <w:tcBorders>
              <w:top w:val="nil"/>
              <w:left w:val="nil"/>
              <w:bottom w:val="nil"/>
              <w:right w:val="nil"/>
            </w:tcBorders>
            <w:vAlign w:val="center"/>
          </w:tcPr>
          <w:p w14:paraId="1BAF6903" w14:textId="5945D6C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0.594</w:t>
            </w:r>
          </w:p>
        </w:tc>
        <w:tc>
          <w:tcPr>
            <w:tcW w:w="1701" w:type="dxa"/>
            <w:tcBorders>
              <w:top w:val="nil"/>
              <w:left w:val="nil"/>
              <w:bottom w:val="nil"/>
              <w:right w:val="nil"/>
            </w:tcBorders>
            <w:vAlign w:val="center"/>
          </w:tcPr>
          <w:p w14:paraId="335C6425" w14:textId="674E3B2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0.589</w:t>
            </w:r>
          </w:p>
        </w:tc>
        <w:tc>
          <w:tcPr>
            <w:tcW w:w="2126" w:type="dxa"/>
            <w:tcBorders>
              <w:top w:val="nil"/>
              <w:left w:val="nil"/>
              <w:bottom w:val="nil"/>
              <w:right w:val="nil"/>
            </w:tcBorders>
            <w:vAlign w:val="center"/>
          </w:tcPr>
          <w:p w14:paraId="7A7AA0ED" w14:textId="3F41433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0.581</w:t>
            </w:r>
          </w:p>
        </w:tc>
        <w:tc>
          <w:tcPr>
            <w:tcW w:w="1843" w:type="dxa"/>
            <w:tcBorders>
              <w:top w:val="nil"/>
              <w:left w:val="nil"/>
              <w:bottom w:val="nil"/>
              <w:right w:val="nil"/>
            </w:tcBorders>
            <w:vAlign w:val="center"/>
          </w:tcPr>
          <w:p w14:paraId="4D7C9ADC" w14:textId="45BC068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0.582</w:t>
            </w:r>
          </w:p>
        </w:tc>
        <w:tc>
          <w:tcPr>
            <w:tcW w:w="1843" w:type="dxa"/>
            <w:tcBorders>
              <w:top w:val="nil"/>
              <w:left w:val="nil"/>
              <w:bottom w:val="nil"/>
              <w:right w:val="nil"/>
            </w:tcBorders>
            <w:vAlign w:val="center"/>
          </w:tcPr>
          <w:p w14:paraId="404DC004" w14:textId="5952F3F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0.559</w:t>
            </w:r>
          </w:p>
        </w:tc>
      </w:tr>
      <w:tr w:rsidR="00030664" w:rsidRPr="003A6DFC" w14:paraId="51979E5A" w14:textId="10681CB0" w:rsidTr="002C6227">
        <w:trPr>
          <w:trHeight w:val="136"/>
        </w:trPr>
        <w:tc>
          <w:tcPr>
            <w:tcW w:w="3652" w:type="dxa"/>
            <w:tcBorders>
              <w:top w:val="nil"/>
              <w:left w:val="nil"/>
              <w:bottom w:val="nil"/>
              <w:right w:val="nil"/>
            </w:tcBorders>
            <w:shd w:val="clear" w:color="auto" w:fill="auto"/>
            <w:noWrap/>
            <w:vAlign w:val="center"/>
          </w:tcPr>
          <w:p w14:paraId="5B2492F7" w14:textId="0CEABF9F"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Unemployed</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78AAD737" w14:textId="5E66D1F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0.038</w:t>
            </w:r>
          </w:p>
        </w:tc>
        <w:tc>
          <w:tcPr>
            <w:tcW w:w="1984" w:type="dxa"/>
            <w:tcBorders>
              <w:top w:val="nil"/>
              <w:left w:val="nil"/>
              <w:bottom w:val="nil"/>
              <w:right w:val="nil"/>
            </w:tcBorders>
            <w:vAlign w:val="center"/>
          </w:tcPr>
          <w:p w14:paraId="37421D82" w14:textId="29915B7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0.031</w:t>
            </w:r>
          </w:p>
        </w:tc>
        <w:tc>
          <w:tcPr>
            <w:tcW w:w="1701" w:type="dxa"/>
            <w:tcBorders>
              <w:top w:val="nil"/>
              <w:left w:val="nil"/>
              <w:bottom w:val="nil"/>
              <w:right w:val="nil"/>
            </w:tcBorders>
            <w:vAlign w:val="center"/>
          </w:tcPr>
          <w:p w14:paraId="14D8F6C1" w14:textId="486E348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0.039</w:t>
            </w:r>
          </w:p>
        </w:tc>
        <w:tc>
          <w:tcPr>
            <w:tcW w:w="2126" w:type="dxa"/>
            <w:tcBorders>
              <w:top w:val="nil"/>
              <w:left w:val="nil"/>
              <w:bottom w:val="nil"/>
              <w:right w:val="nil"/>
            </w:tcBorders>
            <w:vAlign w:val="center"/>
          </w:tcPr>
          <w:p w14:paraId="11E6E2AA" w14:textId="46E0F7A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0.049</w:t>
            </w:r>
          </w:p>
        </w:tc>
        <w:tc>
          <w:tcPr>
            <w:tcW w:w="1843" w:type="dxa"/>
            <w:tcBorders>
              <w:top w:val="nil"/>
              <w:left w:val="nil"/>
              <w:bottom w:val="nil"/>
              <w:right w:val="nil"/>
            </w:tcBorders>
            <w:vAlign w:val="center"/>
          </w:tcPr>
          <w:p w14:paraId="3EF2AEB4" w14:textId="3F89A3C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0.056</w:t>
            </w:r>
          </w:p>
        </w:tc>
        <w:tc>
          <w:tcPr>
            <w:tcW w:w="1843" w:type="dxa"/>
            <w:tcBorders>
              <w:top w:val="nil"/>
              <w:left w:val="nil"/>
              <w:bottom w:val="nil"/>
              <w:right w:val="nil"/>
            </w:tcBorders>
            <w:vAlign w:val="center"/>
          </w:tcPr>
          <w:p w14:paraId="1158B8A0" w14:textId="1E5BCDA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0.081</w:t>
            </w:r>
          </w:p>
        </w:tc>
      </w:tr>
      <w:tr w:rsidR="00030664" w:rsidRPr="003A6DFC" w14:paraId="77F8E278" w14:textId="690EA5B8" w:rsidTr="002C6227">
        <w:trPr>
          <w:trHeight w:val="136"/>
        </w:trPr>
        <w:tc>
          <w:tcPr>
            <w:tcW w:w="3652" w:type="dxa"/>
            <w:tcBorders>
              <w:top w:val="nil"/>
              <w:left w:val="nil"/>
              <w:bottom w:val="nil"/>
              <w:right w:val="nil"/>
            </w:tcBorders>
            <w:shd w:val="clear" w:color="auto" w:fill="auto"/>
            <w:noWrap/>
            <w:vAlign w:val="center"/>
          </w:tcPr>
          <w:p w14:paraId="40A2B604" w14:textId="566A86D5"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Retired</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627DFEFE" w14:textId="42EE1FE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0.248</w:t>
            </w:r>
          </w:p>
        </w:tc>
        <w:tc>
          <w:tcPr>
            <w:tcW w:w="1984" w:type="dxa"/>
            <w:tcBorders>
              <w:top w:val="nil"/>
              <w:left w:val="nil"/>
              <w:bottom w:val="nil"/>
              <w:right w:val="nil"/>
            </w:tcBorders>
            <w:vAlign w:val="center"/>
          </w:tcPr>
          <w:p w14:paraId="168A71B0" w14:textId="444B4B7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0.244</w:t>
            </w:r>
          </w:p>
        </w:tc>
        <w:tc>
          <w:tcPr>
            <w:tcW w:w="1701" w:type="dxa"/>
            <w:tcBorders>
              <w:top w:val="nil"/>
              <w:left w:val="nil"/>
              <w:bottom w:val="nil"/>
              <w:right w:val="nil"/>
            </w:tcBorders>
            <w:vAlign w:val="center"/>
          </w:tcPr>
          <w:p w14:paraId="3F152188" w14:textId="179A1C6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0.252</w:t>
            </w:r>
          </w:p>
        </w:tc>
        <w:tc>
          <w:tcPr>
            <w:tcW w:w="2126" w:type="dxa"/>
            <w:tcBorders>
              <w:top w:val="nil"/>
              <w:left w:val="nil"/>
              <w:bottom w:val="nil"/>
              <w:right w:val="nil"/>
            </w:tcBorders>
            <w:vAlign w:val="center"/>
          </w:tcPr>
          <w:p w14:paraId="4290084F" w14:textId="0E41241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0.251</w:t>
            </w:r>
          </w:p>
        </w:tc>
        <w:tc>
          <w:tcPr>
            <w:tcW w:w="1843" w:type="dxa"/>
            <w:tcBorders>
              <w:top w:val="nil"/>
              <w:left w:val="nil"/>
              <w:bottom w:val="nil"/>
              <w:right w:val="nil"/>
            </w:tcBorders>
            <w:vAlign w:val="center"/>
          </w:tcPr>
          <w:p w14:paraId="4C303EF9" w14:textId="741168E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0.245</w:t>
            </w:r>
          </w:p>
        </w:tc>
        <w:tc>
          <w:tcPr>
            <w:tcW w:w="1843" w:type="dxa"/>
            <w:tcBorders>
              <w:top w:val="nil"/>
              <w:left w:val="nil"/>
              <w:bottom w:val="nil"/>
              <w:right w:val="nil"/>
            </w:tcBorders>
            <w:vAlign w:val="center"/>
          </w:tcPr>
          <w:p w14:paraId="525FB731" w14:textId="5AF35A9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0.241</w:t>
            </w:r>
          </w:p>
        </w:tc>
      </w:tr>
      <w:tr w:rsidR="00030664" w:rsidRPr="003A6DFC" w14:paraId="606D848B" w14:textId="62FA940B" w:rsidTr="002C6227">
        <w:trPr>
          <w:trHeight w:val="136"/>
        </w:trPr>
        <w:tc>
          <w:tcPr>
            <w:tcW w:w="3652" w:type="dxa"/>
            <w:tcBorders>
              <w:top w:val="nil"/>
              <w:left w:val="nil"/>
              <w:bottom w:val="nil"/>
              <w:right w:val="nil"/>
            </w:tcBorders>
            <w:shd w:val="clear" w:color="auto" w:fill="auto"/>
            <w:noWrap/>
            <w:vAlign w:val="center"/>
          </w:tcPr>
          <w:p w14:paraId="2215193F" w14:textId="1ABD1F46"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Other job status</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691D1EEB" w14:textId="44E7FF1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0.124</w:t>
            </w:r>
          </w:p>
        </w:tc>
        <w:tc>
          <w:tcPr>
            <w:tcW w:w="1984" w:type="dxa"/>
            <w:tcBorders>
              <w:top w:val="nil"/>
              <w:left w:val="nil"/>
              <w:bottom w:val="nil"/>
              <w:right w:val="nil"/>
            </w:tcBorders>
            <w:vAlign w:val="center"/>
          </w:tcPr>
          <w:p w14:paraId="7F09341A" w14:textId="13320F3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0.130</w:t>
            </w:r>
          </w:p>
        </w:tc>
        <w:tc>
          <w:tcPr>
            <w:tcW w:w="1701" w:type="dxa"/>
            <w:tcBorders>
              <w:top w:val="nil"/>
              <w:left w:val="nil"/>
              <w:bottom w:val="nil"/>
              <w:right w:val="nil"/>
            </w:tcBorders>
            <w:vAlign w:val="center"/>
          </w:tcPr>
          <w:p w14:paraId="2726204F" w14:textId="027D8B9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0.121</w:t>
            </w:r>
          </w:p>
        </w:tc>
        <w:tc>
          <w:tcPr>
            <w:tcW w:w="2126" w:type="dxa"/>
            <w:tcBorders>
              <w:top w:val="nil"/>
              <w:left w:val="nil"/>
              <w:bottom w:val="nil"/>
              <w:right w:val="nil"/>
            </w:tcBorders>
            <w:vAlign w:val="center"/>
          </w:tcPr>
          <w:p w14:paraId="2B3DFA14" w14:textId="2561E47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0.118</w:t>
            </w:r>
          </w:p>
        </w:tc>
        <w:tc>
          <w:tcPr>
            <w:tcW w:w="1843" w:type="dxa"/>
            <w:tcBorders>
              <w:top w:val="nil"/>
              <w:left w:val="nil"/>
              <w:bottom w:val="nil"/>
              <w:right w:val="nil"/>
            </w:tcBorders>
            <w:vAlign w:val="center"/>
          </w:tcPr>
          <w:p w14:paraId="22A10959" w14:textId="3785BE2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0.118</w:t>
            </w:r>
          </w:p>
        </w:tc>
        <w:tc>
          <w:tcPr>
            <w:tcW w:w="1843" w:type="dxa"/>
            <w:tcBorders>
              <w:top w:val="nil"/>
              <w:left w:val="nil"/>
              <w:bottom w:val="nil"/>
              <w:right w:val="nil"/>
            </w:tcBorders>
            <w:vAlign w:val="center"/>
          </w:tcPr>
          <w:p w14:paraId="505948E1" w14:textId="20DD061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0.118</w:t>
            </w:r>
          </w:p>
        </w:tc>
      </w:tr>
      <w:tr w:rsidR="00030664" w:rsidRPr="003A6DFC" w14:paraId="3E36F513" w14:textId="77777777" w:rsidTr="002C6227">
        <w:trPr>
          <w:trHeight w:val="136"/>
        </w:trPr>
        <w:tc>
          <w:tcPr>
            <w:tcW w:w="3652" w:type="dxa"/>
            <w:tcBorders>
              <w:top w:val="nil"/>
              <w:left w:val="nil"/>
              <w:bottom w:val="nil"/>
              <w:right w:val="nil"/>
            </w:tcBorders>
            <w:shd w:val="clear" w:color="auto" w:fill="auto"/>
            <w:noWrap/>
            <w:vAlign w:val="center"/>
          </w:tcPr>
          <w:p w14:paraId="5AFFB585" w14:textId="3510DFCE" w:rsidR="00030664" w:rsidRPr="003A6DFC" w:rsidRDefault="00030664" w:rsidP="00030664">
            <w:pPr>
              <w:spacing w:after="0" w:line="240" w:lineRule="auto"/>
              <w:rPr>
                <w:rFonts w:ascii="Century" w:hAnsi="Century"/>
                <w:sz w:val="16"/>
                <w:szCs w:val="16"/>
                <w:lang w:eastAsia="en-GB"/>
              </w:rPr>
            </w:pPr>
            <w:r w:rsidRPr="003A6DFC">
              <w:rPr>
                <w:rFonts w:ascii="Century" w:hAnsi="Century"/>
                <w:sz w:val="16"/>
                <w:szCs w:val="16"/>
                <w:lang w:eastAsia="en-GB"/>
              </w:rPr>
              <w:t>Married</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1EE38ABB" w14:textId="5A3F2FA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0.687</w:t>
            </w:r>
          </w:p>
        </w:tc>
        <w:tc>
          <w:tcPr>
            <w:tcW w:w="1984" w:type="dxa"/>
            <w:tcBorders>
              <w:top w:val="nil"/>
              <w:left w:val="nil"/>
              <w:bottom w:val="nil"/>
              <w:right w:val="nil"/>
            </w:tcBorders>
            <w:vAlign w:val="center"/>
          </w:tcPr>
          <w:p w14:paraId="1A4DF27D" w14:textId="4513828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0.702</w:t>
            </w:r>
          </w:p>
        </w:tc>
        <w:tc>
          <w:tcPr>
            <w:tcW w:w="1701" w:type="dxa"/>
            <w:tcBorders>
              <w:top w:val="nil"/>
              <w:left w:val="nil"/>
              <w:bottom w:val="nil"/>
              <w:right w:val="nil"/>
            </w:tcBorders>
            <w:vAlign w:val="center"/>
          </w:tcPr>
          <w:p w14:paraId="3B5C74FC" w14:textId="1882D6E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0.679</w:t>
            </w:r>
          </w:p>
        </w:tc>
        <w:tc>
          <w:tcPr>
            <w:tcW w:w="2126" w:type="dxa"/>
            <w:tcBorders>
              <w:top w:val="nil"/>
              <w:left w:val="nil"/>
              <w:bottom w:val="nil"/>
              <w:right w:val="nil"/>
            </w:tcBorders>
            <w:vAlign w:val="center"/>
          </w:tcPr>
          <w:p w14:paraId="6500BDA3" w14:textId="6E7BF4D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0.672</w:t>
            </w:r>
          </w:p>
        </w:tc>
        <w:tc>
          <w:tcPr>
            <w:tcW w:w="1843" w:type="dxa"/>
            <w:tcBorders>
              <w:top w:val="nil"/>
              <w:left w:val="nil"/>
              <w:bottom w:val="nil"/>
              <w:right w:val="nil"/>
            </w:tcBorders>
            <w:vAlign w:val="center"/>
          </w:tcPr>
          <w:p w14:paraId="68780B1A" w14:textId="246C1B5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0.671</w:t>
            </w:r>
          </w:p>
        </w:tc>
        <w:tc>
          <w:tcPr>
            <w:tcW w:w="1843" w:type="dxa"/>
            <w:tcBorders>
              <w:top w:val="nil"/>
              <w:left w:val="nil"/>
              <w:bottom w:val="nil"/>
              <w:right w:val="nil"/>
            </w:tcBorders>
            <w:vAlign w:val="center"/>
          </w:tcPr>
          <w:p w14:paraId="604ECC12" w14:textId="6262C16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0.629</w:t>
            </w:r>
          </w:p>
        </w:tc>
      </w:tr>
      <w:tr w:rsidR="00030664" w:rsidRPr="003A6DFC" w14:paraId="03FCDEDC" w14:textId="39B1AA61" w:rsidTr="002C6227">
        <w:trPr>
          <w:trHeight w:val="136"/>
        </w:trPr>
        <w:tc>
          <w:tcPr>
            <w:tcW w:w="3652" w:type="dxa"/>
            <w:tcBorders>
              <w:top w:val="nil"/>
              <w:left w:val="nil"/>
              <w:bottom w:val="nil"/>
              <w:right w:val="nil"/>
            </w:tcBorders>
            <w:shd w:val="clear" w:color="auto" w:fill="auto"/>
            <w:noWrap/>
            <w:vAlign w:val="center"/>
          </w:tcPr>
          <w:p w14:paraId="5BB47F16" w14:textId="64657EB1"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Single</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08EDEEF4" w14:textId="01A1BD7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0.162</w:t>
            </w:r>
          </w:p>
        </w:tc>
        <w:tc>
          <w:tcPr>
            <w:tcW w:w="1984" w:type="dxa"/>
            <w:tcBorders>
              <w:top w:val="nil"/>
              <w:left w:val="nil"/>
              <w:bottom w:val="nil"/>
              <w:right w:val="nil"/>
            </w:tcBorders>
            <w:vAlign w:val="center"/>
          </w:tcPr>
          <w:p w14:paraId="49E46008" w14:textId="34ED870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0.153</w:t>
            </w:r>
          </w:p>
        </w:tc>
        <w:tc>
          <w:tcPr>
            <w:tcW w:w="1701" w:type="dxa"/>
            <w:tcBorders>
              <w:top w:val="nil"/>
              <w:left w:val="nil"/>
              <w:bottom w:val="nil"/>
              <w:right w:val="nil"/>
            </w:tcBorders>
            <w:vAlign w:val="center"/>
          </w:tcPr>
          <w:p w14:paraId="5B1425FE" w14:textId="1761A50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0.166</w:t>
            </w:r>
          </w:p>
        </w:tc>
        <w:tc>
          <w:tcPr>
            <w:tcW w:w="2126" w:type="dxa"/>
            <w:tcBorders>
              <w:top w:val="nil"/>
              <w:left w:val="nil"/>
              <w:bottom w:val="nil"/>
              <w:right w:val="nil"/>
            </w:tcBorders>
            <w:vAlign w:val="center"/>
          </w:tcPr>
          <w:p w14:paraId="02220091" w14:textId="1804FD9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0.174</w:t>
            </w:r>
          </w:p>
        </w:tc>
        <w:tc>
          <w:tcPr>
            <w:tcW w:w="1843" w:type="dxa"/>
            <w:tcBorders>
              <w:top w:val="nil"/>
              <w:left w:val="nil"/>
              <w:bottom w:val="nil"/>
              <w:right w:val="nil"/>
            </w:tcBorders>
            <w:vAlign w:val="center"/>
          </w:tcPr>
          <w:p w14:paraId="209578A0" w14:textId="12802A6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0.168</w:t>
            </w:r>
          </w:p>
        </w:tc>
        <w:tc>
          <w:tcPr>
            <w:tcW w:w="1843" w:type="dxa"/>
            <w:tcBorders>
              <w:top w:val="nil"/>
              <w:left w:val="nil"/>
              <w:bottom w:val="nil"/>
              <w:right w:val="nil"/>
            </w:tcBorders>
            <w:vAlign w:val="center"/>
          </w:tcPr>
          <w:p w14:paraId="1EB53ED8" w14:textId="59E6C21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0.209</w:t>
            </w:r>
          </w:p>
        </w:tc>
      </w:tr>
      <w:tr w:rsidR="00030664" w:rsidRPr="003A6DFC" w14:paraId="7304BE11" w14:textId="4FCC97EC" w:rsidTr="002C6227">
        <w:trPr>
          <w:trHeight w:val="136"/>
        </w:trPr>
        <w:tc>
          <w:tcPr>
            <w:tcW w:w="3652" w:type="dxa"/>
            <w:tcBorders>
              <w:top w:val="nil"/>
              <w:left w:val="nil"/>
              <w:bottom w:val="nil"/>
              <w:right w:val="nil"/>
            </w:tcBorders>
            <w:shd w:val="clear" w:color="auto" w:fill="auto"/>
            <w:noWrap/>
            <w:vAlign w:val="center"/>
          </w:tcPr>
          <w:p w14:paraId="3A4C7926" w14:textId="19C2664A"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Separated/divorced</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0B18F11D" w14:textId="04B19FD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0.091</w:t>
            </w:r>
          </w:p>
        </w:tc>
        <w:tc>
          <w:tcPr>
            <w:tcW w:w="1984" w:type="dxa"/>
            <w:tcBorders>
              <w:top w:val="nil"/>
              <w:left w:val="nil"/>
              <w:bottom w:val="nil"/>
              <w:right w:val="nil"/>
            </w:tcBorders>
            <w:vAlign w:val="center"/>
          </w:tcPr>
          <w:p w14:paraId="448309D3" w14:textId="2D4D362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0.091</w:t>
            </w:r>
          </w:p>
        </w:tc>
        <w:tc>
          <w:tcPr>
            <w:tcW w:w="1701" w:type="dxa"/>
            <w:tcBorders>
              <w:top w:val="nil"/>
              <w:left w:val="nil"/>
              <w:bottom w:val="nil"/>
              <w:right w:val="nil"/>
            </w:tcBorders>
            <w:vAlign w:val="center"/>
          </w:tcPr>
          <w:p w14:paraId="086E3936" w14:textId="06240BA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0.092</w:t>
            </w:r>
          </w:p>
        </w:tc>
        <w:tc>
          <w:tcPr>
            <w:tcW w:w="2126" w:type="dxa"/>
            <w:tcBorders>
              <w:top w:val="nil"/>
              <w:left w:val="nil"/>
              <w:bottom w:val="nil"/>
              <w:right w:val="nil"/>
            </w:tcBorders>
            <w:vAlign w:val="center"/>
          </w:tcPr>
          <w:p w14:paraId="595E428F" w14:textId="2FDEEA9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0.092</w:t>
            </w:r>
          </w:p>
        </w:tc>
        <w:tc>
          <w:tcPr>
            <w:tcW w:w="1843" w:type="dxa"/>
            <w:tcBorders>
              <w:top w:val="nil"/>
              <w:left w:val="nil"/>
              <w:bottom w:val="nil"/>
              <w:right w:val="nil"/>
            </w:tcBorders>
            <w:vAlign w:val="center"/>
          </w:tcPr>
          <w:p w14:paraId="637C0F8F" w14:textId="15D996A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0.095</w:t>
            </w:r>
          </w:p>
        </w:tc>
        <w:tc>
          <w:tcPr>
            <w:tcW w:w="1843" w:type="dxa"/>
            <w:tcBorders>
              <w:top w:val="nil"/>
              <w:left w:val="nil"/>
              <w:bottom w:val="nil"/>
              <w:right w:val="nil"/>
            </w:tcBorders>
            <w:vAlign w:val="center"/>
          </w:tcPr>
          <w:p w14:paraId="5871CD5A" w14:textId="5775D75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0.092</w:t>
            </w:r>
          </w:p>
        </w:tc>
      </w:tr>
      <w:tr w:rsidR="00030664" w:rsidRPr="003A6DFC" w14:paraId="766F1F5F" w14:textId="015E5286" w:rsidTr="002C6227">
        <w:trPr>
          <w:trHeight w:val="136"/>
        </w:trPr>
        <w:tc>
          <w:tcPr>
            <w:tcW w:w="3652" w:type="dxa"/>
            <w:tcBorders>
              <w:top w:val="nil"/>
              <w:left w:val="nil"/>
              <w:bottom w:val="nil"/>
              <w:right w:val="nil"/>
            </w:tcBorders>
            <w:shd w:val="clear" w:color="auto" w:fill="auto"/>
            <w:noWrap/>
            <w:vAlign w:val="center"/>
          </w:tcPr>
          <w:p w14:paraId="17FC89B0" w14:textId="54436C3D"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Widowed</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nil"/>
              <w:right w:val="nil"/>
            </w:tcBorders>
            <w:vAlign w:val="center"/>
          </w:tcPr>
          <w:p w14:paraId="6A54998F" w14:textId="5ED4024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0.060</w:t>
            </w:r>
          </w:p>
        </w:tc>
        <w:tc>
          <w:tcPr>
            <w:tcW w:w="1984" w:type="dxa"/>
            <w:tcBorders>
              <w:top w:val="nil"/>
              <w:left w:val="nil"/>
              <w:bottom w:val="nil"/>
              <w:right w:val="nil"/>
            </w:tcBorders>
            <w:vAlign w:val="center"/>
          </w:tcPr>
          <w:p w14:paraId="555BE866" w14:textId="0668EC9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0.054</w:t>
            </w:r>
          </w:p>
        </w:tc>
        <w:tc>
          <w:tcPr>
            <w:tcW w:w="1701" w:type="dxa"/>
            <w:tcBorders>
              <w:top w:val="nil"/>
              <w:left w:val="nil"/>
              <w:bottom w:val="nil"/>
              <w:right w:val="nil"/>
            </w:tcBorders>
            <w:vAlign w:val="center"/>
          </w:tcPr>
          <w:p w14:paraId="0D4EAB2C" w14:textId="0248FB3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0.064</w:t>
            </w:r>
          </w:p>
        </w:tc>
        <w:tc>
          <w:tcPr>
            <w:tcW w:w="2126" w:type="dxa"/>
            <w:tcBorders>
              <w:top w:val="nil"/>
              <w:left w:val="nil"/>
              <w:bottom w:val="nil"/>
              <w:right w:val="nil"/>
            </w:tcBorders>
            <w:vAlign w:val="center"/>
          </w:tcPr>
          <w:p w14:paraId="0BFEBE67" w14:textId="44D9C30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0.062</w:t>
            </w:r>
          </w:p>
        </w:tc>
        <w:tc>
          <w:tcPr>
            <w:tcW w:w="1843" w:type="dxa"/>
            <w:tcBorders>
              <w:top w:val="nil"/>
              <w:left w:val="nil"/>
              <w:bottom w:val="nil"/>
              <w:right w:val="nil"/>
            </w:tcBorders>
            <w:vAlign w:val="center"/>
          </w:tcPr>
          <w:p w14:paraId="74C884D7" w14:textId="711B7B7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0.066</w:t>
            </w:r>
          </w:p>
        </w:tc>
        <w:tc>
          <w:tcPr>
            <w:tcW w:w="1843" w:type="dxa"/>
            <w:tcBorders>
              <w:top w:val="nil"/>
              <w:left w:val="nil"/>
              <w:bottom w:val="nil"/>
              <w:right w:val="nil"/>
            </w:tcBorders>
            <w:vAlign w:val="center"/>
          </w:tcPr>
          <w:p w14:paraId="46E71865" w14:textId="465BB31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0.071</w:t>
            </w:r>
          </w:p>
        </w:tc>
      </w:tr>
      <w:tr w:rsidR="00030664" w:rsidRPr="003A6DFC" w14:paraId="636098D3" w14:textId="3ED76BB6" w:rsidTr="002C6227">
        <w:trPr>
          <w:trHeight w:val="136"/>
        </w:trPr>
        <w:tc>
          <w:tcPr>
            <w:tcW w:w="3652" w:type="dxa"/>
            <w:tcBorders>
              <w:top w:val="nil"/>
              <w:left w:val="nil"/>
              <w:bottom w:val="nil"/>
              <w:right w:val="nil"/>
            </w:tcBorders>
            <w:shd w:val="clear" w:color="auto" w:fill="auto"/>
            <w:noWrap/>
            <w:vAlign w:val="center"/>
          </w:tcPr>
          <w:p w14:paraId="11433530" w14:textId="438DAC38"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Immediate word recall</w:t>
            </w:r>
          </w:p>
        </w:tc>
        <w:tc>
          <w:tcPr>
            <w:tcW w:w="851" w:type="dxa"/>
            <w:tcBorders>
              <w:top w:val="nil"/>
              <w:left w:val="nil"/>
              <w:bottom w:val="nil"/>
              <w:right w:val="nil"/>
            </w:tcBorders>
            <w:vAlign w:val="center"/>
          </w:tcPr>
          <w:p w14:paraId="57B6E47C" w14:textId="6CE4C08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6.447</w:t>
            </w:r>
          </w:p>
        </w:tc>
        <w:tc>
          <w:tcPr>
            <w:tcW w:w="1984" w:type="dxa"/>
            <w:tcBorders>
              <w:top w:val="nil"/>
              <w:left w:val="nil"/>
              <w:bottom w:val="nil"/>
              <w:right w:val="nil"/>
            </w:tcBorders>
            <w:vAlign w:val="center"/>
          </w:tcPr>
          <w:p w14:paraId="3FFABD5B" w14:textId="1EBA5C1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6.632</w:t>
            </w:r>
          </w:p>
        </w:tc>
        <w:tc>
          <w:tcPr>
            <w:tcW w:w="1701" w:type="dxa"/>
            <w:tcBorders>
              <w:top w:val="nil"/>
              <w:left w:val="nil"/>
              <w:bottom w:val="nil"/>
              <w:right w:val="nil"/>
            </w:tcBorders>
            <w:vAlign w:val="center"/>
          </w:tcPr>
          <w:p w14:paraId="22BF99C9" w14:textId="6E6C045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6.397</w:t>
            </w:r>
          </w:p>
        </w:tc>
        <w:tc>
          <w:tcPr>
            <w:tcW w:w="2126" w:type="dxa"/>
            <w:tcBorders>
              <w:top w:val="nil"/>
              <w:left w:val="nil"/>
              <w:bottom w:val="nil"/>
              <w:right w:val="nil"/>
            </w:tcBorders>
            <w:vAlign w:val="center"/>
          </w:tcPr>
          <w:p w14:paraId="37FC4C7F" w14:textId="40EEA47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6.228</w:t>
            </w:r>
          </w:p>
        </w:tc>
        <w:tc>
          <w:tcPr>
            <w:tcW w:w="1843" w:type="dxa"/>
            <w:tcBorders>
              <w:top w:val="nil"/>
              <w:left w:val="nil"/>
              <w:bottom w:val="nil"/>
              <w:right w:val="nil"/>
            </w:tcBorders>
            <w:vAlign w:val="center"/>
          </w:tcPr>
          <w:p w14:paraId="2A89D1B5" w14:textId="1E27573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6.020</w:t>
            </w:r>
          </w:p>
        </w:tc>
        <w:tc>
          <w:tcPr>
            <w:tcW w:w="1843" w:type="dxa"/>
            <w:tcBorders>
              <w:top w:val="nil"/>
              <w:left w:val="nil"/>
              <w:bottom w:val="nil"/>
              <w:right w:val="nil"/>
            </w:tcBorders>
            <w:vAlign w:val="center"/>
          </w:tcPr>
          <w:p w14:paraId="57003555" w14:textId="6648F25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5.870</w:t>
            </w:r>
          </w:p>
        </w:tc>
      </w:tr>
      <w:tr w:rsidR="00030664" w:rsidRPr="003A6DFC" w14:paraId="237FE93D" w14:textId="22A65882" w:rsidTr="002C6227">
        <w:trPr>
          <w:trHeight w:val="136"/>
        </w:trPr>
        <w:tc>
          <w:tcPr>
            <w:tcW w:w="3652" w:type="dxa"/>
            <w:tcBorders>
              <w:top w:val="nil"/>
              <w:left w:val="nil"/>
              <w:bottom w:val="nil"/>
              <w:right w:val="nil"/>
            </w:tcBorders>
            <w:shd w:val="clear" w:color="auto" w:fill="auto"/>
            <w:noWrap/>
            <w:vAlign w:val="center"/>
          </w:tcPr>
          <w:p w14:paraId="45B5A5E8" w14:textId="0DE71DE1"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Delayed word recall</w:t>
            </w:r>
          </w:p>
        </w:tc>
        <w:tc>
          <w:tcPr>
            <w:tcW w:w="851" w:type="dxa"/>
            <w:tcBorders>
              <w:top w:val="nil"/>
              <w:left w:val="nil"/>
              <w:bottom w:val="nil"/>
              <w:right w:val="nil"/>
            </w:tcBorders>
            <w:vAlign w:val="center"/>
          </w:tcPr>
          <w:p w14:paraId="22D1D982" w14:textId="1785603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5.425</w:t>
            </w:r>
          </w:p>
        </w:tc>
        <w:tc>
          <w:tcPr>
            <w:tcW w:w="1984" w:type="dxa"/>
            <w:tcBorders>
              <w:top w:val="nil"/>
              <w:left w:val="nil"/>
              <w:bottom w:val="nil"/>
              <w:right w:val="nil"/>
            </w:tcBorders>
            <w:vAlign w:val="center"/>
          </w:tcPr>
          <w:p w14:paraId="3CA990BB" w14:textId="72C85CA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5.626</w:t>
            </w:r>
          </w:p>
        </w:tc>
        <w:tc>
          <w:tcPr>
            <w:tcW w:w="1701" w:type="dxa"/>
            <w:tcBorders>
              <w:top w:val="nil"/>
              <w:left w:val="nil"/>
              <w:bottom w:val="nil"/>
              <w:right w:val="nil"/>
            </w:tcBorders>
            <w:vAlign w:val="center"/>
          </w:tcPr>
          <w:p w14:paraId="3D5D09D6" w14:textId="0B96F0C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5.380</w:t>
            </w:r>
          </w:p>
        </w:tc>
        <w:tc>
          <w:tcPr>
            <w:tcW w:w="2126" w:type="dxa"/>
            <w:tcBorders>
              <w:top w:val="nil"/>
              <w:left w:val="nil"/>
              <w:bottom w:val="nil"/>
              <w:right w:val="nil"/>
            </w:tcBorders>
            <w:vAlign w:val="center"/>
          </w:tcPr>
          <w:p w14:paraId="1FF8DF21" w14:textId="38A0874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5.160</w:t>
            </w:r>
          </w:p>
        </w:tc>
        <w:tc>
          <w:tcPr>
            <w:tcW w:w="1843" w:type="dxa"/>
            <w:tcBorders>
              <w:top w:val="nil"/>
              <w:left w:val="nil"/>
              <w:bottom w:val="nil"/>
              <w:right w:val="nil"/>
            </w:tcBorders>
            <w:vAlign w:val="center"/>
          </w:tcPr>
          <w:p w14:paraId="7B5ACFD0" w14:textId="01722EA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4.974</w:t>
            </w:r>
          </w:p>
        </w:tc>
        <w:tc>
          <w:tcPr>
            <w:tcW w:w="1843" w:type="dxa"/>
            <w:tcBorders>
              <w:top w:val="nil"/>
              <w:left w:val="nil"/>
              <w:bottom w:val="nil"/>
              <w:right w:val="nil"/>
            </w:tcBorders>
            <w:vAlign w:val="center"/>
          </w:tcPr>
          <w:p w14:paraId="45552DBA" w14:textId="14743BD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4.828</w:t>
            </w:r>
          </w:p>
        </w:tc>
      </w:tr>
      <w:tr w:rsidR="00030664" w:rsidRPr="003A6DFC" w14:paraId="77AEC56D" w14:textId="691FCEF9" w:rsidTr="002C6227">
        <w:trPr>
          <w:trHeight w:val="136"/>
        </w:trPr>
        <w:tc>
          <w:tcPr>
            <w:tcW w:w="3652" w:type="dxa"/>
            <w:tcBorders>
              <w:top w:val="nil"/>
              <w:left w:val="nil"/>
              <w:bottom w:val="nil"/>
              <w:right w:val="nil"/>
            </w:tcBorders>
            <w:shd w:val="clear" w:color="auto" w:fill="auto"/>
            <w:noWrap/>
            <w:vAlign w:val="center"/>
          </w:tcPr>
          <w:p w14:paraId="4AAE6397" w14:textId="0FE5EECC"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Number of correct subtractions</w:t>
            </w:r>
          </w:p>
        </w:tc>
        <w:tc>
          <w:tcPr>
            <w:tcW w:w="851" w:type="dxa"/>
            <w:tcBorders>
              <w:top w:val="nil"/>
              <w:left w:val="nil"/>
              <w:bottom w:val="nil"/>
              <w:right w:val="nil"/>
            </w:tcBorders>
            <w:vAlign w:val="center"/>
          </w:tcPr>
          <w:p w14:paraId="68BBB584" w14:textId="4A28A76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4.507</w:t>
            </w:r>
          </w:p>
        </w:tc>
        <w:tc>
          <w:tcPr>
            <w:tcW w:w="1984" w:type="dxa"/>
            <w:tcBorders>
              <w:top w:val="nil"/>
              <w:left w:val="nil"/>
              <w:bottom w:val="nil"/>
              <w:right w:val="nil"/>
            </w:tcBorders>
            <w:vAlign w:val="center"/>
          </w:tcPr>
          <w:p w14:paraId="48B825D0" w14:textId="14AA3EB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4.592</w:t>
            </w:r>
          </w:p>
        </w:tc>
        <w:tc>
          <w:tcPr>
            <w:tcW w:w="1701" w:type="dxa"/>
            <w:tcBorders>
              <w:top w:val="nil"/>
              <w:left w:val="nil"/>
              <w:bottom w:val="nil"/>
              <w:right w:val="nil"/>
            </w:tcBorders>
            <w:vAlign w:val="center"/>
          </w:tcPr>
          <w:p w14:paraId="3A0D558B" w14:textId="6235E2F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4.482</w:t>
            </w:r>
          </w:p>
        </w:tc>
        <w:tc>
          <w:tcPr>
            <w:tcW w:w="2126" w:type="dxa"/>
            <w:tcBorders>
              <w:top w:val="nil"/>
              <w:left w:val="nil"/>
              <w:bottom w:val="nil"/>
              <w:right w:val="nil"/>
            </w:tcBorders>
            <w:vAlign w:val="center"/>
          </w:tcPr>
          <w:p w14:paraId="4B487E47" w14:textId="4851767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4.413</w:t>
            </w:r>
          </w:p>
        </w:tc>
        <w:tc>
          <w:tcPr>
            <w:tcW w:w="1843" w:type="dxa"/>
            <w:tcBorders>
              <w:top w:val="nil"/>
              <w:left w:val="nil"/>
              <w:bottom w:val="nil"/>
              <w:right w:val="nil"/>
            </w:tcBorders>
            <w:vAlign w:val="center"/>
          </w:tcPr>
          <w:p w14:paraId="5B44DE94" w14:textId="783BD2A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4.282</w:t>
            </w:r>
          </w:p>
        </w:tc>
        <w:tc>
          <w:tcPr>
            <w:tcW w:w="1843" w:type="dxa"/>
            <w:tcBorders>
              <w:top w:val="nil"/>
              <w:left w:val="nil"/>
              <w:bottom w:val="nil"/>
              <w:right w:val="nil"/>
            </w:tcBorders>
            <w:vAlign w:val="center"/>
          </w:tcPr>
          <w:p w14:paraId="6757D042" w14:textId="2A0C6B4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4.325</w:t>
            </w:r>
          </w:p>
        </w:tc>
      </w:tr>
      <w:tr w:rsidR="00030664" w:rsidRPr="003A6DFC" w14:paraId="6487B81E" w14:textId="291D0CEF" w:rsidTr="002C6227">
        <w:trPr>
          <w:trHeight w:val="136"/>
        </w:trPr>
        <w:tc>
          <w:tcPr>
            <w:tcW w:w="3652" w:type="dxa"/>
            <w:tcBorders>
              <w:top w:val="nil"/>
              <w:left w:val="nil"/>
              <w:bottom w:val="nil"/>
              <w:right w:val="nil"/>
            </w:tcBorders>
            <w:shd w:val="clear" w:color="auto" w:fill="auto"/>
            <w:noWrap/>
            <w:vAlign w:val="center"/>
          </w:tcPr>
          <w:p w14:paraId="06D8DC3D" w14:textId="367F2256"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Verbal fluency: correct words</w:t>
            </w:r>
          </w:p>
        </w:tc>
        <w:tc>
          <w:tcPr>
            <w:tcW w:w="851" w:type="dxa"/>
            <w:tcBorders>
              <w:top w:val="nil"/>
              <w:left w:val="nil"/>
              <w:bottom w:val="nil"/>
              <w:right w:val="nil"/>
            </w:tcBorders>
            <w:vAlign w:val="center"/>
          </w:tcPr>
          <w:p w14:paraId="2C3251C9" w14:textId="397CD90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22.567</w:t>
            </w:r>
          </w:p>
        </w:tc>
        <w:tc>
          <w:tcPr>
            <w:tcW w:w="1984" w:type="dxa"/>
            <w:tcBorders>
              <w:top w:val="nil"/>
              <w:left w:val="nil"/>
              <w:bottom w:val="nil"/>
              <w:right w:val="nil"/>
            </w:tcBorders>
            <w:vAlign w:val="center"/>
          </w:tcPr>
          <w:p w14:paraId="27797937" w14:textId="059E2DD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23.230</w:t>
            </w:r>
          </w:p>
        </w:tc>
        <w:tc>
          <w:tcPr>
            <w:tcW w:w="1701" w:type="dxa"/>
            <w:tcBorders>
              <w:top w:val="nil"/>
              <w:left w:val="nil"/>
              <w:bottom w:val="nil"/>
              <w:right w:val="nil"/>
            </w:tcBorders>
            <w:vAlign w:val="center"/>
          </w:tcPr>
          <w:p w14:paraId="4C1536EA" w14:textId="2051849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22.299</w:t>
            </w:r>
          </w:p>
        </w:tc>
        <w:tc>
          <w:tcPr>
            <w:tcW w:w="2126" w:type="dxa"/>
            <w:tcBorders>
              <w:top w:val="nil"/>
              <w:left w:val="nil"/>
              <w:bottom w:val="nil"/>
              <w:right w:val="nil"/>
            </w:tcBorders>
            <w:vAlign w:val="center"/>
          </w:tcPr>
          <w:p w14:paraId="0FDC4A2B" w14:textId="7257AB5B"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21.737</w:t>
            </w:r>
          </w:p>
        </w:tc>
        <w:tc>
          <w:tcPr>
            <w:tcW w:w="1843" w:type="dxa"/>
            <w:tcBorders>
              <w:top w:val="nil"/>
              <w:left w:val="nil"/>
              <w:bottom w:val="nil"/>
              <w:right w:val="nil"/>
            </w:tcBorders>
            <w:vAlign w:val="center"/>
          </w:tcPr>
          <w:p w14:paraId="4CAF072E" w14:textId="2855A57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21.601</w:t>
            </w:r>
          </w:p>
        </w:tc>
        <w:tc>
          <w:tcPr>
            <w:tcW w:w="1843" w:type="dxa"/>
            <w:tcBorders>
              <w:top w:val="nil"/>
              <w:left w:val="nil"/>
              <w:bottom w:val="nil"/>
              <w:right w:val="nil"/>
            </w:tcBorders>
            <w:vAlign w:val="center"/>
          </w:tcPr>
          <w:p w14:paraId="7CAE4932" w14:textId="78BA87B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22.000</w:t>
            </w:r>
          </w:p>
        </w:tc>
      </w:tr>
      <w:tr w:rsidR="00030664" w:rsidRPr="003A6DFC" w14:paraId="14E321C3" w14:textId="5FB25C59" w:rsidTr="002C6227">
        <w:trPr>
          <w:trHeight w:val="136"/>
        </w:trPr>
        <w:tc>
          <w:tcPr>
            <w:tcW w:w="3652" w:type="dxa"/>
            <w:tcBorders>
              <w:top w:val="nil"/>
              <w:left w:val="nil"/>
              <w:bottom w:val="nil"/>
              <w:right w:val="nil"/>
            </w:tcBorders>
            <w:shd w:val="clear" w:color="auto" w:fill="auto"/>
            <w:noWrap/>
            <w:vAlign w:val="center"/>
          </w:tcPr>
          <w:p w14:paraId="45AF559A" w14:textId="45BA5377"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Verbal fluency: incorrect words</w:t>
            </w:r>
          </w:p>
        </w:tc>
        <w:tc>
          <w:tcPr>
            <w:tcW w:w="851" w:type="dxa"/>
            <w:tcBorders>
              <w:top w:val="nil"/>
              <w:left w:val="nil"/>
              <w:bottom w:val="nil"/>
              <w:right w:val="nil"/>
            </w:tcBorders>
            <w:vAlign w:val="center"/>
          </w:tcPr>
          <w:p w14:paraId="2158EC92" w14:textId="26F6945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0.329</w:t>
            </w:r>
          </w:p>
        </w:tc>
        <w:tc>
          <w:tcPr>
            <w:tcW w:w="1984" w:type="dxa"/>
            <w:tcBorders>
              <w:top w:val="nil"/>
              <w:left w:val="nil"/>
              <w:bottom w:val="nil"/>
              <w:right w:val="nil"/>
            </w:tcBorders>
            <w:vAlign w:val="center"/>
          </w:tcPr>
          <w:p w14:paraId="0528BAA8" w14:textId="5CA57B1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0.300</w:t>
            </w:r>
          </w:p>
        </w:tc>
        <w:tc>
          <w:tcPr>
            <w:tcW w:w="1701" w:type="dxa"/>
            <w:tcBorders>
              <w:top w:val="nil"/>
              <w:left w:val="nil"/>
              <w:bottom w:val="nil"/>
              <w:right w:val="nil"/>
            </w:tcBorders>
            <w:vAlign w:val="center"/>
          </w:tcPr>
          <w:p w14:paraId="4A6BE0C2" w14:textId="536FDEA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0.334</w:t>
            </w:r>
          </w:p>
        </w:tc>
        <w:tc>
          <w:tcPr>
            <w:tcW w:w="2126" w:type="dxa"/>
            <w:tcBorders>
              <w:top w:val="nil"/>
              <w:left w:val="nil"/>
              <w:bottom w:val="nil"/>
              <w:right w:val="nil"/>
            </w:tcBorders>
            <w:vAlign w:val="center"/>
          </w:tcPr>
          <w:p w14:paraId="15C793FF" w14:textId="05BD501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0.371</w:t>
            </w:r>
          </w:p>
        </w:tc>
        <w:tc>
          <w:tcPr>
            <w:tcW w:w="1843" w:type="dxa"/>
            <w:tcBorders>
              <w:top w:val="nil"/>
              <w:left w:val="nil"/>
              <w:bottom w:val="nil"/>
              <w:right w:val="nil"/>
            </w:tcBorders>
            <w:vAlign w:val="center"/>
          </w:tcPr>
          <w:p w14:paraId="050B440E" w14:textId="4AB718CA"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0.414</w:t>
            </w:r>
          </w:p>
        </w:tc>
        <w:tc>
          <w:tcPr>
            <w:tcW w:w="1843" w:type="dxa"/>
            <w:tcBorders>
              <w:top w:val="nil"/>
              <w:left w:val="nil"/>
              <w:bottom w:val="nil"/>
              <w:right w:val="nil"/>
            </w:tcBorders>
            <w:vAlign w:val="center"/>
          </w:tcPr>
          <w:p w14:paraId="0345072D" w14:textId="6D3ED65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0.325</w:t>
            </w:r>
          </w:p>
        </w:tc>
      </w:tr>
      <w:tr w:rsidR="00030664" w:rsidRPr="003A6DFC" w14:paraId="419D51EF" w14:textId="4BA1962C" w:rsidTr="002C6227">
        <w:trPr>
          <w:trHeight w:val="136"/>
        </w:trPr>
        <w:tc>
          <w:tcPr>
            <w:tcW w:w="3652" w:type="dxa"/>
            <w:tcBorders>
              <w:top w:val="nil"/>
              <w:left w:val="nil"/>
              <w:bottom w:val="nil"/>
              <w:right w:val="nil"/>
            </w:tcBorders>
            <w:shd w:val="clear" w:color="auto" w:fill="auto"/>
            <w:noWrap/>
            <w:vAlign w:val="center"/>
          </w:tcPr>
          <w:p w14:paraId="65D38567" w14:textId="1820CD4E"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Numeric ability: correct answers</w:t>
            </w:r>
          </w:p>
        </w:tc>
        <w:tc>
          <w:tcPr>
            <w:tcW w:w="851" w:type="dxa"/>
            <w:tcBorders>
              <w:top w:val="nil"/>
              <w:left w:val="nil"/>
              <w:bottom w:val="nil"/>
              <w:right w:val="nil"/>
            </w:tcBorders>
            <w:vAlign w:val="center"/>
          </w:tcPr>
          <w:p w14:paraId="06FF8CB7" w14:textId="1EB0F8E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3.727</w:t>
            </w:r>
          </w:p>
        </w:tc>
        <w:tc>
          <w:tcPr>
            <w:tcW w:w="1984" w:type="dxa"/>
            <w:tcBorders>
              <w:top w:val="nil"/>
              <w:left w:val="nil"/>
              <w:bottom w:val="nil"/>
              <w:right w:val="nil"/>
            </w:tcBorders>
            <w:vAlign w:val="center"/>
          </w:tcPr>
          <w:p w14:paraId="7C772AFF" w14:textId="064AA71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3.851</w:t>
            </w:r>
          </w:p>
        </w:tc>
        <w:tc>
          <w:tcPr>
            <w:tcW w:w="1701" w:type="dxa"/>
            <w:tcBorders>
              <w:top w:val="nil"/>
              <w:left w:val="nil"/>
              <w:bottom w:val="nil"/>
              <w:right w:val="nil"/>
            </w:tcBorders>
            <w:vAlign w:val="center"/>
          </w:tcPr>
          <w:p w14:paraId="670C7E79" w14:textId="78F8F50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3.695</w:t>
            </w:r>
          </w:p>
        </w:tc>
        <w:tc>
          <w:tcPr>
            <w:tcW w:w="2126" w:type="dxa"/>
            <w:tcBorders>
              <w:top w:val="nil"/>
              <w:left w:val="nil"/>
              <w:bottom w:val="nil"/>
              <w:right w:val="nil"/>
            </w:tcBorders>
            <w:vAlign w:val="center"/>
          </w:tcPr>
          <w:p w14:paraId="2CA4B342" w14:textId="01DCAE9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3.561</w:t>
            </w:r>
          </w:p>
        </w:tc>
        <w:tc>
          <w:tcPr>
            <w:tcW w:w="1843" w:type="dxa"/>
            <w:tcBorders>
              <w:top w:val="nil"/>
              <w:left w:val="nil"/>
              <w:bottom w:val="nil"/>
              <w:right w:val="nil"/>
            </w:tcBorders>
            <w:vAlign w:val="center"/>
          </w:tcPr>
          <w:p w14:paraId="2555604C" w14:textId="0A228E62"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3.478</w:t>
            </w:r>
          </w:p>
        </w:tc>
        <w:tc>
          <w:tcPr>
            <w:tcW w:w="1843" w:type="dxa"/>
            <w:tcBorders>
              <w:top w:val="nil"/>
              <w:left w:val="nil"/>
              <w:bottom w:val="nil"/>
              <w:right w:val="nil"/>
            </w:tcBorders>
            <w:vAlign w:val="center"/>
          </w:tcPr>
          <w:p w14:paraId="14A2195B" w14:textId="6ABCE99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3.515</w:t>
            </w:r>
          </w:p>
        </w:tc>
      </w:tr>
      <w:tr w:rsidR="00030664" w:rsidRPr="003A6DFC" w14:paraId="6B668A46" w14:textId="6E0667A5" w:rsidTr="002C6227">
        <w:trPr>
          <w:trHeight w:val="136"/>
        </w:trPr>
        <w:tc>
          <w:tcPr>
            <w:tcW w:w="3652" w:type="dxa"/>
            <w:tcBorders>
              <w:top w:val="nil"/>
              <w:left w:val="nil"/>
              <w:bottom w:val="nil"/>
              <w:right w:val="nil"/>
            </w:tcBorders>
            <w:shd w:val="clear" w:color="auto" w:fill="auto"/>
            <w:noWrap/>
            <w:vAlign w:val="center"/>
          </w:tcPr>
          <w:p w14:paraId="040E27C2" w14:textId="3D70F158"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Agreeableness</w:t>
            </w:r>
          </w:p>
        </w:tc>
        <w:tc>
          <w:tcPr>
            <w:tcW w:w="851" w:type="dxa"/>
            <w:tcBorders>
              <w:top w:val="nil"/>
              <w:left w:val="nil"/>
              <w:bottom w:val="nil"/>
              <w:right w:val="nil"/>
            </w:tcBorders>
            <w:vAlign w:val="center"/>
          </w:tcPr>
          <w:p w14:paraId="0CA45D8E" w14:textId="6C5957B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5.638</w:t>
            </w:r>
          </w:p>
        </w:tc>
        <w:tc>
          <w:tcPr>
            <w:tcW w:w="1984" w:type="dxa"/>
            <w:tcBorders>
              <w:top w:val="nil"/>
              <w:left w:val="nil"/>
              <w:bottom w:val="nil"/>
              <w:right w:val="nil"/>
            </w:tcBorders>
            <w:vAlign w:val="center"/>
          </w:tcPr>
          <w:p w14:paraId="20F8DADF" w14:textId="3A865E7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5.637</w:t>
            </w:r>
          </w:p>
        </w:tc>
        <w:tc>
          <w:tcPr>
            <w:tcW w:w="1701" w:type="dxa"/>
            <w:tcBorders>
              <w:top w:val="nil"/>
              <w:left w:val="nil"/>
              <w:bottom w:val="nil"/>
              <w:right w:val="nil"/>
            </w:tcBorders>
            <w:vAlign w:val="center"/>
          </w:tcPr>
          <w:p w14:paraId="35801E62" w14:textId="4FE3FA5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5.649</w:t>
            </w:r>
          </w:p>
        </w:tc>
        <w:tc>
          <w:tcPr>
            <w:tcW w:w="2126" w:type="dxa"/>
            <w:tcBorders>
              <w:top w:val="nil"/>
              <w:left w:val="nil"/>
              <w:bottom w:val="nil"/>
              <w:right w:val="nil"/>
            </w:tcBorders>
            <w:vAlign w:val="center"/>
          </w:tcPr>
          <w:p w14:paraId="7FEC9188" w14:textId="7807AB0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5.633</w:t>
            </w:r>
          </w:p>
        </w:tc>
        <w:tc>
          <w:tcPr>
            <w:tcW w:w="1843" w:type="dxa"/>
            <w:tcBorders>
              <w:top w:val="nil"/>
              <w:left w:val="nil"/>
              <w:bottom w:val="nil"/>
              <w:right w:val="nil"/>
            </w:tcBorders>
            <w:vAlign w:val="center"/>
          </w:tcPr>
          <w:p w14:paraId="7FA40755" w14:textId="59391A1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5.571</w:t>
            </w:r>
          </w:p>
        </w:tc>
        <w:tc>
          <w:tcPr>
            <w:tcW w:w="1843" w:type="dxa"/>
            <w:tcBorders>
              <w:top w:val="nil"/>
              <w:left w:val="nil"/>
              <w:bottom w:val="nil"/>
              <w:right w:val="nil"/>
            </w:tcBorders>
            <w:vAlign w:val="center"/>
          </w:tcPr>
          <w:p w14:paraId="63DD54B5" w14:textId="7EA9AEA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5.781</w:t>
            </w:r>
          </w:p>
        </w:tc>
      </w:tr>
      <w:tr w:rsidR="00030664" w:rsidRPr="003A6DFC" w14:paraId="62DE9C3C" w14:textId="0774CE31" w:rsidTr="002C6227">
        <w:trPr>
          <w:trHeight w:val="136"/>
        </w:trPr>
        <w:tc>
          <w:tcPr>
            <w:tcW w:w="3652" w:type="dxa"/>
            <w:tcBorders>
              <w:top w:val="nil"/>
              <w:left w:val="nil"/>
              <w:bottom w:val="nil"/>
              <w:right w:val="nil"/>
            </w:tcBorders>
            <w:shd w:val="clear" w:color="auto" w:fill="auto"/>
            <w:noWrap/>
            <w:vAlign w:val="center"/>
          </w:tcPr>
          <w:p w14:paraId="57D3870E" w14:textId="30E785CD"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Conscientiousness</w:t>
            </w:r>
          </w:p>
        </w:tc>
        <w:tc>
          <w:tcPr>
            <w:tcW w:w="851" w:type="dxa"/>
            <w:tcBorders>
              <w:top w:val="nil"/>
              <w:left w:val="nil"/>
              <w:bottom w:val="nil"/>
              <w:right w:val="nil"/>
            </w:tcBorders>
            <w:vAlign w:val="center"/>
          </w:tcPr>
          <w:p w14:paraId="2C08D858" w14:textId="4E9E2A8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5.505</w:t>
            </w:r>
          </w:p>
        </w:tc>
        <w:tc>
          <w:tcPr>
            <w:tcW w:w="1984" w:type="dxa"/>
            <w:tcBorders>
              <w:top w:val="nil"/>
              <w:left w:val="nil"/>
              <w:bottom w:val="nil"/>
              <w:right w:val="nil"/>
            </w:tcBorders>
            <w:vAlign w:val="center"/>
          </w:tcPr>
          <w:p w14:paraId="17C8FBA5" w14:textId="24D1C88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5.520</w:t>
            </w:r>
          </w:p>
        </w:tc>
        <w:tc>
          <w:tcPr>
            <w:tcW w:w="1701" w:type="dxa"/>
            <w:tcBorders>
              <w:top w:val="nil"/>
              <w:left w:val="nil"/>
              <w:bottom w:val="nil"/>
              <w:right w:val="nil"/>
            </w:tcBorders>
            <w:vAlign w:val="center"/>
          </w:tcPr>
          <w:p w14:paraId="00D3BA86" w14:textId="1F06637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5.498</w:t>
            </w:r>
          </w:p>
        </w:tc>
        <w:tc>
          <w:tcPr>
            <w:tcW w:w="2126" w:type="dxa"/>
            <w:tcBorders>
              <w:top w:val="nil"/>
              <w:left w:val="nil"/>
              <w:bottom w:val="nil"/>
              <w:right w:val="nil"/>
            </w:tcBorders>
            <w:vAlign w:val="center"/>
          </w:tcPr>
          <w:p w14:paraId="321C00EB" w14:textId="5323B60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5.489</w:t>
            </w:r>
          </w:p>
        </w:tc>
        <w:tc>
          <w:tcPr>
            <w:tcW w:w="1843" w:type="dxa"/>
            <w:tcBorders>
              <w:top w:val="nil"/>
              <w:left w:val="nil"/>
              <w:bottom w:val="nil"/>
              <w:right w:val="nil"/>
            </w:tcBorders>
            <w:vAlign w:val="center"/>
          </w:tcPr>
          <w:p w14:paraId="4D163A46" w14:textId="1C0C3CC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5.474</w:t>
            </w:r>
          </w:p>
        </w:tc>
        <w:tc>
          <w:tcPr>
            <w:tcW w:w="1843" w:type="dxa"/>
            <w:tcBorders>
              <w:top w:val="nil"/>
              <w:left w:val="nil"/>
              <w:bottom w:val="nil"/>
              <w:right w:val="nil"/>
            </w:tcBorders>
            <w:vAlign w:val="center"/>
          </w:tcPr>
          <w:p w14:paraId="63DE6C9D" w14:textId="1C83BA1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5.568</w:t>
            </w:r>
          </w:p>
        </w:tc>
      </w:tr>
      <w:tr w:rsidR="00030664" w:rsidRPr="003A6DFC" w14:paraId="7E43CEC9" w14:textId="34C74737" w:rsidTr="002C6227">
        <w:trPr>
          <w:trHeight w:val="136"/>
        </w:trPr>
        <w:tc>
          <w:tcPr>
            <w:tcW w:w="3652" w:type="dxa"/>
            <w:tcBorders>
              <w:top w:val="nil"/>
              <w:left w:val="nil"/>
              <w:bottom w:val="nil"/>
              <w:right w:val="nil"/>
            </w:tcBorders>
            <w:shd w:val="clear" w:color="auto" w:fill="auto"/>
            <w:noWrap/>
            <w:vAlign w:val="center"/>
          </w:tcPr>
          <w:p w14:paraId="111C9F23" w14:textId="3D04D23B"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Extraversion</w:t>
            </w:r>
          </w:p>
        </w:tc>
        <w:tc>
          <w:tcPr>
            <w:tcW w:w="851" w:type="dxa"/>
            <w:tcBorders>
              <w:top w:val="nil"/>
              <w:left w:val="nil"/>
              <w:bottom w:val="nil"/>
              <w:right w:val="nil"/>
            </w:tcBorders>
            <w:vAlign w:val="center"/>
          </w:tcPr>
          <w:p w14:paraId="13E4EDED" w14:textId="0487C9F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4.583</w:t>
            </w:r>
          </w:p>
        </w:tc>
        <w:tc>
          <w:tcPr>
            <w:tcW w:w="1984" w:type="dxa"/>
            <w:tcBorders>
              <w:top w:val="nil"/>
              <w:left w:val="nil"/>
              <w:bottom w:val="nil"/>
              <w:right w:val="nil"/>
            </w:tcBorders>
            <w:vAlign w:val="center"/>
          </w:tcPr>
          <w:p w14:paraId="5B94A8CC" w14:textId="685CFED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4.562</w:t>
            </w:r>
          </w:p>
        </w:tc>
        <w:tc>
          <w:tcPr>
            <w:tcW w:w="1701" w:type="dxa"/>
            <w:tcBorders>
              <w:top w:val="nil"/>
              <w:left w:val="nil"/>
              <w:bottom w:val="nil"/>
              <w:right w:val="nil"/>
            </w:tcBorders>
            <w:vAlign w:val="center"/>
          </w:tcPr>
          <w:p w14:paraId="1176B3FB" w14:textId="52A9A20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4.604</w:t>
            </w:r>
          </w:p>
        </w:tc>
        <w:tc>
          <w:tcPr>
            <w:tcW w:w="2126" w:type="dxa"/>
            <w:tcBorders>
              <w:top w:val="nil"/>
              <w:left w:val="nil"/>
              <w:bottom w:val="nil"/>
              <w:right w:val="nil"/>
            </w:tcBorders>
            <w:vAlign w:val="center"/>
          </w:tcPr>
          <w:p w14:paraId="21B3FA4D" w14:textId="50BA90A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4.588</w:t>
            </w:r>
          </w:p>
        </w:tc>
        <w:tc>
          <w:tcPr>
            <w:tcW w:w="1843" w:type="dxa"/>
            <w:tcBorders>
              <w:top w:val="nil"/>
              <w:left w:val="nil"/>
              <w:bottom w:val="nil"/>
              <w:right w:val="nil"/>
            </w:tcBorders>
            <w:vAlign w:val="center"/>
          </w:tcPr>
          <w:p w14:paraId="21B54BBA" w14:textId="204D59C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4.594</w:t>
            </w:r>
          </w:p>
        </w:tc>
        <w:tc>
          <w:tcPr>
            <w:tcW w:w="1843" w:type="dxa"/>
            <w:tcBorders>
              <w:top w:val="nil"/>
              <w:left w:val="nil"/>
              <w:bottom w:val="nil"/>
              <w:right w:val="nil"/>
            </w:tcBorders>
            <w:vAlign w:val="center"/>
          </w:tcPr>
          <w:p w14:paraId="1428EAD7" w14:textId="5278DBDD"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4.604</w:t>
            </w:r>
          </w:p>
        </w:tc>
      </w:tr>
      <w:tr w:rsidR="00030664" w:rsidRPr="003A6DFC" w14:paraId="3323C503" w14:textId="1A135BA1" w:rsidTr="002C6227">
        <w:trPr>
          <w:trHeight w:val="136"/>
        </w:trPr>
        <w:tc>
          <w:tcPr>
            <w:tcW w:w="3652" w:type="dxa"/>
            <w:tcBorders>
              <w:top w:val="nil"/>
              <w:left w:val="nil"/>
              <w:bottom w:val="nil"/>
              <w:right w:val="nil"/>
            </w:tcBorders>
            <w:shd w:val="clear" w:color="auto" w:fill="auto"/>
            <w:noWrap/>
            <w:vAlign w:val="center"/>
          </w:tcPr>
          <w:p w14:paraId="0A60E437" w14:textId="7D01E338"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Neuroticism</w:t>
            </w:r>
          </w:p>
        </w:tc>
        <w:tc>
          <w:tcPr>
            <w:tcW w:w="851" w:type="dxa"/>
            <w:tcBorders>
              <w:top w:val="nil"/>
              <w:left w:val="nil"/>
              <w:bottom w:val="nil"/>
              <w:right w:val="nil"/>
            </w:tcBorders>
            <w:vAlign w:val="center"/>
          </w:tcPr>
          <w:p w14:paraId="18CCE5F9" w14:textId="0197813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3.546</w:t>
            </w:r>
          </w:p>
        </w:tc>
        <w:tc>
          <w:tcPr>
            <w:tcW w:w="1984" w:type="dxa"/>
            <w:tcBorders>
              <w:top w:val="nil"/>
              <w:left w:val="nil"/>
              <w:bottom w:val="nil"/>
              <w:right w:val="nil"/>
            </w:tcBorders>
            <w:vAlign w:val="center"/>
          </w:tcPr>
          <w:p w14:paraId="6D36F053" w14:textId="2C449284"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3.591</w:t>
            </w:r>
          </w:p>
        </w:tc>
        <w:tc>
          <w:tcPr>
            <w:tcW w:w="1701" w:type="dxa"/>
            <w:tcBorders>
              <w:top w:val="nil"/>
              <w:left w:val="nil"/>
              <w:bottom w:val="nil"/>
              <w:right w:val="nil"/>
            </w:tcBorders>
            <w:vAlign w:val="center"/>
          </w:tcPr>
          <w:p w14:paraId="5C5B80E6" w14:textId="5DB597A3"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3.540</w:t>
            </w:r>
          </w:p>
        </w:tc>
        <w:tc>
          <w:tcPr>
            <w:tcW w:w="2126" w:type="dxa"/>
            <w:tcBorders>
              <w:top w:val="nil"/>
              <w:left w:val="nil"/>
              <w:bottom w:val="nil"/>
              <w:right w:val="nil"/>
            </w:tcBorders>
            <w:vAlign w:val="center"/>
          </w:tcPr>
          <w:p w14:paraId="69B2EB3D" w14:textId="1A872AB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3.489</w:t>
            </w:r>
          </w:p>
        </w:tc>
        <w:tc>
          <w:tcPr>
            <w:tcW w:w="1843" w:type="dxa"/>
            <w:tcBorders>
              <w:top w:val="nil"/>
              <w:left w:val="nil"/>
              <w:bottom w:val="nil"/>
              <w:right w:val="nil"/>
            </w:tcBorders>
            <w:vAlign w:val="center"/>
          </w:tcPr>
          <w:p w14:paraId="47909746" w14:textId="4E7E45D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3.401</w:t>
            </w:r>
          </w:p>
        </w:tc>
        <w:tc>
          <w:tcPr>
            <w:tcW w:w="1843" w:type="dxa"/>
            <w:tcBorders>
              <w:top w:val="nil"/>
              <w:left w:val="nil"/>
              <w:bottom w:val="nil"/>
              <w:right w:val="nil"/>
            </w:tcBorders>
            <w:vAlign w:val="center"/>
          </w:tcPr>
          <w:p w14:paraId="43B404C0" w14:textId="5D4AD62C"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3.462</w:t>
            </w:r>
          </w:p>
        </w:tc>
      </w:tr>
      <w:tr w:rsidR="00030664" w:rsidRPr="003A6DFC" w14:paraId="5E972E2A" w14:textId="1AFD6499" w:rsidTr="002C6227">
        <w:trPr>
          <w:trHeight w:val="136"/>
        </w:trPr>
        <w:tc>
          <w:tcPr>
            <w:tcW w:w="3652" w:type="dxa"/>
            <w:tcBorders>
              <w:top w:val="nil"/>
              <w:left w:val="nil"/>
              <w:bottom w:val="nil"/>
              <w:right w:val="nil"/>
            </w:tcBorders>
            <w:shd w:val="clear" w:color="auto" w:fill="auto"/>
            <w:noWrap/>
            <w:vAlign w:val="center"/>
          </w:tcPr>
          <w:p w14:paraId="7E49C041" w14:textId="4C76C79D"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Openness to experience</w:t>
            </w:r>
          </w:p>
        </w:tc>
        <w:tc>
          <w:tcPr>
            <w:tcW w:w="851" w:type="dxa"/>
            <w:tcBorders>
              <w:top w:val="nil"/>
              <w:left w:val="nil"/>
              <w:bottom w:val="nil"/>
              <w:right w:val="nil"/>
            </w:tcBorders>
            <w:vAlign w:val="center"/>
          </w:tcPr>
          <w:p w14:paraId="041A2B57" w14:textId="1B073A3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4.545</w:t>
            </w:r>
          </w:p>
        </w:tc>
        <w:tc>
          <w:tcPr>
            <w:tcW w:w="1984" w:type="dxa"/>
            <w:tcBorders>
              <w:top w:val="nil"/>
              <w:left w:val="nil"/>
              <w:bottom w:val="nil"/>
              <w:right w:val="nil"/>
            </w:tcBorders>
            <w:vAlign w:val="center"/>
          </w:tcPr>
          <w:p w14:paraId="168D345D" w14:textId="7F52115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4.558</w:t>
            </w:r>
          </w:p>
        </w:tc>
        <w:tc>
          <w:tcPr>
            <w:tcW w:w="1701" w:type="dxa"/>
            <w:tcBorders>
              <w:top w:val="nil"/>
              <w:left w:val="nil"/>
              <w:bottom w:val="nil"/>
              <w:right w:val="nil"/>
            </w:tcBorders>
            <w:vAlign w:val="center"/>
          </w:tcPr>
          <w:p w14:paraId="133C7AC5" w14:textId="0A705F5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4.546</w:t>
            </w:r>
          </w:p>
        </w:tc>
        <w:tc>
          <w:tcPr>
            <w:tcW w:w="2126" w:type="dxa"/>
            <w:tcBorders>
              <w:top w:val="nil"/>
              <w:left w:val="nil"/>
              <w:bottom w:val="nil"/>
              <w:right w:val="nil"/>
            </w:tcBorders>
            <w:vAlign w:val="center"/>
          </w:tcPr>
          <w:p w14:paraId="21D9C21A" w14:textId="14068EE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4.534</w:t>
            </w:r>
          </w:p>
        </w:tc>
        <w:tc>
          <w:tcPr>
            <w:tcW w:w="1843" w:type="dxa"/>
            <w:tcBorders>
              <w:top w:val="nil"/>
              <w:left w:val="nil"/>
              <w:bottom w:val="nil"/>
              <w:right w:val="nil"/>
            </w:tcBorders>
            <w:vAlign w:val="center"/>
          </w:tcPr>
          <w:p w14:paraId="054ED248" w14:textId="5AA52F4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4.466</w:t>
            </w:r>
          </w:p>
        </w:tc>
        <w:tc>
          <w:tcPr>
            <w:tcW w:w="1843" w:type="dxa"/>
            <w:tcBorders>
              <w:top w:val="nil"/>
              <w:left w:val="nil"/>
              <w:bottom w:val="nil"/>
              <w:right w:val="nil"/>
            </w:tcBorders>
            <w:vAlign w:val="center"/>
          </w:tcPr>
          <w:p w14:paraId="31BFE9A6" w14:textId="0E12835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4.533</w:t>
            </w:r>
          </w:p>
        </w:tc>
      </w:tr>
      <w:tr w:rsidR="00030664" w:rsidRPr="003A6DFC" w14:paraId="01F529FE" w14:textId="232C356A" w:rsidTr="002C6227">
        <w:trPr>
          <w:trHeight w:val="136"/>
        </w:trPr>
        <w:tc>
          <w:tcPr>
            <w:tcW w:w="3652" w:type="dxa"/>
            <w:tcBorders>
              <w:top w:val="nil"/>
              <w:left w:val="nil"/>
              <w:right w:val="nil"/>
            </w:tcBorders>
            <w:shd w:val="clear" w:color="auto" w:fill="auto"/>
            <w:noWrap/>
            <w:vAlign w:val="center"/>
          </w:tcPr>
          <w:p w14:paraId="68D2FC4A" w14:textId="03D4BE03"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Multiple adult interviews/HH</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right w:val="nil"/>
            </w:tcBorders>
            <w:vAlign w:val="center"/>
          </w:tcPr>
          <w:p w14:paraId="673AC6D9" w14:textId="7745795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0.720</w:t>
            </w:r>
          </w:p>
        </w:tc>
        <w:tc>
          <w:tcPr>
            <w:tcW w:w="1984" w:type="dxa"/>
            <w:tcBorders>
              <w:top w:val="nil"/>
              <w:left w:val="nil"/>
              <w:right w:val="nil"/>
            </w:tcBorders>
            <w:vAlign w:val="center"/>
          </w:tcPr>
          <w:p w14:paraId="2A6B4DAA" w14:textId="3F4C1B07"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0.728</w:t>
            </w:r>
          </w:p>
        </w:tc>
        <w:tc>
          <w:tcPr>
            <w:tcW w:w="1701" w:type="dxa"/>
            <w:tcBorders>
              <w:top w:val="nil"/>
              <w:left w:val="nil"/>
              <w:right w:val="nil"/>
            </w:tcBorders>
            <w:vAlign w:val="center"/>
          </w:tcPr>
          <w:p w14:paraId="075734EB" w14:textId="65B5A618"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0.712</w:t>
            </w:r>
          </w:p>
        </w:tc>
        <w:tc>
          <w:tcPr>
            <w:tcW w:w="2126" w:type="dxa"/>
            <w:tcBorders>
              <w:top w:val="nil"/>
              <w:left w:val="nil"/>
              <w:right w:val="nil"/>
            </w:tcBorders>
            <w:vAlign w:val="center"/>
          </w:tcPr>
          <w:p w14:paraId="004D9321" w14:textId="04B1DCA9"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0.715</w:t>
            </w:r>
          </w:p>
        </w:tc>
        <w:tc>
          <w:tcPr>
            <w:tcW w:w="1843" w:type="dxa"/>
            <w:tcBorders>
              <w:top w:val="nil"/>
              <w:left w:val="nil"/>
              <w:right w:val="nil"/>
            </w:tcBorders>
            <w:vAlign w:val="center"/>
          </w:tcPr>
          <w:p w14:paraId="794DC1D7" w14:textId="366AEF20"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0.720</w:t>
            </w:r>
          </w:p>
        </w:tc>
        <w:tc>
          <w:tcPr>
            <w:tcW w:w="1843" w:type="dxa"/>
            <w:tcBorders>
              <w:top w:val="nil"/>
              <w:left w:val="nil"/>
              <w:right w:val="nil"/>
            </w:tcBorders>
            <w:vAlign w:val="center"/>
          </w:tcPr>
          <w:p w14:paraId="25107765" w14:textId="3F646D26"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0.753</w:t>
            </w:r>
          </w:p>
        </w:tc>
      </w:tr>
      <w:tr w:rsidR="00030664" w:rsidRPr="003A6DFC" w14:paraId="3CFAE733" w14:textId="7F5849E7" w:rsidTr="002C6227">
        <w:trPr>
          <w:trHeight w:val="136"/>
        </w:trPr>
        <w:tc>
          <w:tcPr>
            <w:tcW w:w="3652" w:type="dxa"/>
            <w:tcBorders>
              <w:top w:val="nil"/>
              <w:left w:val="nil"/>
              <w:bottom w:val="single" w:sz="4" w:space="0" w:color="auto"/>
              <w:right w:val="nil"/>
            </w:tcBorders>
            <w:shd w:val="clear" w:color="auto" w:fill="auto"/>
            <w:noWrap/>
            <w:vAlign w:val="center"/>
          </w:tcPr>
          <w:p w14:paraId="3558A514" w14:textId="138A22C1" w:rsidR="00030664" w:rsidRPr="003A6DFC" w:rsidRDefault="00030664" w:rsidP="00030664">
            <w:pPr>
              <w:spacing w:after="0" w:line="240" w:lineRule="auto"/>
              <w:rPr>
                <w:rFonts w:ascii="Century" w:eastAsia="Times New Roman" w:hAnsi="Century" w:cs="Calibri"/>
                <w:color w:val="000000"/>
                <w:sz w:val="16"/>
                <w:szCs w:val="16"/>
                <w:lang w:val="en-GB" w:eastAsia="en-GB"/>
              </w:rPr>
            </w:pPr>
            <w:r w:rsidRPr="003A6DFC">
              <w:rPr>
                <w:rFonts w:ascii="Century" w:hAnsi="Century"/>
                <w:sz w:val="16"/>
                <w:szCs w:val="16"/>
                <w:lang w:eastAsia="en-GB"/>
              </w:rPr>
              <w:t>Children (aged 10-15) interviewed/HH</w:t>
            </w:r>
            <w:r w:rsidRPr="003A6DFC">
              <w:rPr>
                <w:rFonts w:ascii="Century" w:eastAsia="Times New Roman" w:hAnsi="Century" w:cs="Calibri"/>
                <w:color w:val="000000"/>
                <w:sz w:val="16"/>
                <w:szCs w:val="16"/>
                <w:vertAlign w:val="superscript"/>
                <w:lang w:val="en-GB" w:eastAsia="en-GB"/>
              </w:rPr>
              <w:t>†</w:t>
            </w:r>
          </w:p>
        </w:tc>
        <w:tc>
          <w:tcPr>
            <w:tcW w:w="851" w:type="dxa"/>
            <w:tcBorders>
              <w:top w:val="nil"/>
              <w:left w:val="nil"/>
              <w:bottom w:val="single" w:sz="4" w:space="0" w:color="auto"/>
              <w:right w:val="nil"/>
            </w:tcBorders>
            <w:vAlign w:val="center"/>
          </w:tcPr>
          <w:p w14:paraId="63FA1C5C" w14:textId="0ABC326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0.149</w:t>
            </w:r>
          </w:p>
        </w:tc>
        <w:tc>
          <w:tcPr>
            <w:tcW w:w="1984" w:type="dxa"/>
            <w:tcBorders>
              <w:top w:val="nil"/>
              <w:left w:val="nil"/>
              <w:bottom w:val="single" w:sz="4" w:space="0" w:color="auto"/>
              <w:right w:val="nil"/>
            </w:tcBorders>
            <w:vAlign w:val="center"/>
          </w:tcPr>
          <w:p w14:paraId="21189FA7" w14:textId="70E787D1"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0.145</w:t>
            </w:r>
          </w:p>
        </w:tc>
        <w:tc>
          <w:tcPr>
            <w:tcW w:w="1701" w:type="dxa"/>
            <w:tcBorders>
              <w:top w:val="nil"/>
              <w:left w:val="nil"/>
              <w:bottom w:val="single" w:sz="4" w:space="0" w:color="auto"/>
              <w:right w:val="nil"/>
            </w:tcBorders>
            <w:vAlign w:val="center"/>
          </w:tcPr>
          <w:p w14:paraId="08E54FBE" w14:textId="7D523F4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0.147</w:t>
            </w:r>
          </w:p>
        </w:tc>
        <w:tc>
          <w:tcPr>
            <w:tcW w:w="2126" w:type="dxa"/>
            <w:tcBorders>
              <w:top w:val="nil"/>
              <w:left w:val="nil"/>
              <w:bottom w:val="single" w:sz="4" w:space="0" w:color="auto"/>
              <w:right w:val="nil"/>
            </w:tcBorders>
            <w:vAlign w:val="center"/>
          </w:tcPr>
          <w:p w14:paraId="3F8EB63B" w14:textId="57538035"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0.158</w:t>
            </w:r>
          </w:p>
        </w:tc>
        <w:tc>
          <w:tcPr>
            <w:tcW w:w="1843" w:type="dxa"/>
            <w:tcBorders>
              <w:top w:val="nil"/>
              <w:left w:val="nil"/>
              <w:bottom w:val="single" w:sz="4" w:space="0" w:color="auto"/>
              <w:right w:val="nil"/>
            </w:tcBorders>
            <w:vAlign w:val="center"/>
          </w:tcPr>
          <w:p w14:paraId="5306C48D" w14:textId="396A483F"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0.178</w:t>
            </w:r>
          </w:p>
        </w:tc>
        <w:tc>
          <w:tcPr>
            <w:tcW w:w="1843" w:type="dxa"/>
            <w:tcBorders>
              <w:top w:val="nil"/>
              <w:left w:val="nil"/>
              <w:bottom w:val="single" w:sz="4" w:space="0" w:color="auto"/>
              <w:right w:val="nil"/>
            </w:tcBorders>
            <w:vAlign w:val="center"/>
          </w:tcPr>
          <w:p w14:paraId="22999AD4" w14:textId="3D626E4E" w:rsidR="00030664" w:rsidRPr="003A6DFC" w:rsidRDefault="00030664" w:rsidP="00C91443">
            <w:pPr>
              <w:pStyle w:val="SemEspaamento"/>
              <w:jc w:val="center"/>
              <w:rPr>
                <w:rFonts w:ascii="Century" w:hAnsi="Century"/>
                <w:sz w:val="16"/>
                <w:szCs w:val="16"/>
                <w:lang w:eastAsia="en-GB"/>
              </w:rPr>
            </w:pPr>
            <w:r w:rsidRPr="003A6DFC">
              <w:rPr>
                <w:rFonts w:ascii="Century" w:hAnsi="Century" w:cs="Calibri"/>
                <w:sz w:val="16"/>
                <w:szCs w:val="16"/>
              </w:rPr>
              <w:t>0.183</w:t>
            </w:r>
          </w:p>
        </w:tc>
      </w:tr>
      <w:tr w:rsidR="0020115B" w:rsidRPr="003A6DFC" w14:paraId="7AB16401" w14:textId="77777777" w:rsidTr="0020115B">
        <w:trPr>
          <w:trHeight w:val="136"/>
        </w:trPr>
        <w:tc>
          <w:tcPr>
            <w:tcW w:w="3652" w:type="dxa"/>
            <w:tcBorders>
              <w:top w:val="nil"/>
              <w:left w:val="nil"/>
              <w:bottom w:val="single" w:sz="4" w:space="0" w:color="auto"/>
              <w:right w:val="nil"/>
            </w:tcBorders>
            <w:shd w:val="clear" w:color="auto" w:fill="auto"/>
            <w:noWrap/>
            <w:vAlign w:val="center"/>
          </w:tcPr>
          <w:p w14:paraId="39445EDB" w14:textId="09448258" w:rsidR="0020115B" w:rsidRPr="003A6DFC" w:rsidRDefault="0020115B" w:rsidP="0020115B">
            <w:pPr>
              <w:spacing w:after="0" w:line="240" w:lineRule="auto"/>
              <w:rPr>
                <w:rFonts w:ascii="Century" w:hAnsi="Century"/>
                <w:b/>
                <w:bCs/>
                <w:sz w:val="16"/>
                <w:szCs w:val="16"/>
                <w:lang w:eastAsia="en-GB"/>
              </w:rPr>
            </w:pPr>
            <w:r w:rsidRPr="003A6DFC">
              <w:rPr>
                <w:rFonts w:ascii="Century" w:hAnsi="Century"/>
                <w:b/>
                <w:bCs/>
                <w:sz w:val="16"/>
                <w:szCs w:val="16"/>
                <w:lang w:eastAsia="en-GB"/>
              </w:rPr>
              <w:t>Sample size</w:t>
            </w:r>
          </w:p>
        </w:tc>
        <w:tc>
          <w:tcPr>
            <w:tcW w:w="851" w:type="dxa"/>
            <w:tcBorders>
              <w:top w:val="nil"/>
              <w:left w:val="nil"/>
              <w:bottom w:val="single" w:sz="4" w:space="0" w:color="auto"/>
              <w:right w:val="nil"/>
            </w:tcBorders>
            <w:vAlign w:val="bottom"/>
          </w:tcPr>
          <w:p w14:paraId="0EF7D599" w14:textId="1A1BC7EF" w:rsidR="0020115B" w:rsidRPr="003A6DFC" w:rsidRDefault="0020115B" w:rsidP="0020115B">
            <w:pPr>
              <w:pStyle w:val="SemEspaamento"/>
              <w:jc w:val="center"/>
              <w:rPr>
                <w:rFonts w:ascii="Century" w:hAnsi="Century" w:cs="Calibri"/>
                <w:b/>
                <w:bCs/>
                <w:sz w:val="16"/>
                <w:szCs w:val="16"/>
              </w:rPr>
            </w:pPr>
            <w:r w:rsidRPr="003A6DFC">
              <w:rPr>
                <w:rFonts w:ascii="Century" w:hAnsi="Century" w:cs="Calibri"/>
                <w:b/>
                <w:bCs/>
                <w:sz w:val="16"/>
                <w:szCs w:val="16"/>
              </w:rPr>
              <w:t>90,600</w:t>
            </w:r>
          </w:p>
        </w:tc>
        <w:tc>
          <w:tcPr>
            <w:tcW w:w="1984" w:type="dxa"/>
            <w:tcBorders>
              <w:top w:val="nil"/>
              <w:left w:val="nil"/>
              <w:bottom w:val="single" w:sz="4" w:space="0" w:color="auto"/>
              <w:right w:val="nil"/>
            </w:tcBorders>
            <w:vAlign w:val="bottom"/>
          </w:tcPr>
          <w:p w14:paraId="54CA007C" w14:textId="36D1E2B5" w:rsidR="0020115B" w:rsidRPr="003A6DFC" w:rsidRDefault="0020115B" w:rsidP="0020115B">
            <w:pPr>
              <w:pStyle w:val="SemEspaamento"/>
              <w:jc w:val="center"/>
              <w:rPr>
                <w:rFonts w:ascii="Century" w:hAnsi="Century" w:cs="Calibri"/>
                <w:b/>
                <w:bCs/>
                <w:sz w:val="16"/>
                <w:szCs w:val="16"/>
              </w:rPr>
            </w:pPr>
            <w:r w:rsidRPr="003A6DFC">
              <w:rPr>
                <w:rFonts w:ascii="Century" w:hAnsi="Century" w:cs="Calibri"/>
                <w:b/>
                <w:bCs/>
                <w:sz w:val="16"/>
                <w:szCs w:val="16"/>
              </w:rPr>
              <w:t>38,568</w:t>
            </w:r>
          </w:p>
        </w:tc>
        <w:tc>
          <w:tcPr>
            <w:tcW w:w="1701" w:type="dxa"/>
            <w:tcBorders>
              <w:top w:val="nil"/>
              <w:left w:val="nil"/>
              <w:bottom w:val="single" w:sz="4" w:space="0" w:color="auto"/>
              <w:right w:val="nil"/>
            </w:tcBorders>
            <w:vAlign w:val="bottom"/>
          </w:tcPr>
          <w:p w14:paraId="64816DD6" w14:textId="2CF30D27" w:rsidR="0020115B" w:rsidRPr="003A6DFC" w:rsidRDefault="0020115B" w:rsidP="0020115B">
            <w:pPr>
              <w:pStyle w:val="SemEspaamento"/>
              <w:jc w:val="center"/>
              <w:rPr>
                <w:rFonts w:ascii="Century" w:hAnsi="Century" w:cs="Calibri"/>
                <w:b/>
                <w:bCs/>
                <w:sz w:val="16"/>
                <w:szCs w:val="16"/>
              </w:rPr>
            </w:pPr>
            <w:r w:rsidRPr="003A6DFC">
              <w:rPr>
                <w:rFonts w:ascii="Century" w:hAnsi="Century" w:cs="Calibri"/>
                <w:b/>
                <w:bCs/>
                <w:sz w:val="16"/>
                <w:szCs w:val="16"/>
              </w:rPr>
              <w:t>32,120</w:t>
            </w:r>
          </w:p>
        </w:tc>
        <w:tc>
          <w:tcPr>
            <w:tcW w:w="2126" w:type="dxa"/>
            <w:tcBorders>
              <w:top w:val="nil"/>
              <w:left w:val="nil"/>
              <w:bottom w:val="single" w:sz="4" w:space="0" w:color="auto"/>
              <w:right w:val="nil"/>
            </w:tcBorders>
            <w:vAlign w:val="bottom"/>
          </w:tcPr>
          <w:p w14:paraId="545F8DF2" w14:textId="034C4B04" w:rsidR="0020115B" w:rsidRPr="003A6DFC" w:rsidRDefault="0020115B" w:rsidP="0020115B">
            <w:pPr>
              <w:pStyle w:val="SemEspaamento"/>
              <w:jc w:val="center"/>
              <w:rPr>
                <w:rFonts w:ascii="Century" w:hAnsi="Century" w:cs="Calibri"/>
                <w:b/>
                <w:bCs/>
                <w:sz w:val="16"/>
                <w:szCs w:val="16"/>
              </w:rPr>
            </w:pPr>
            <w:r w:rsidRPr="003A6DFC">
              <w:rPr>
                <w:rFonts w:ascii="Century" w:hAnsi="Century" w:cs="Calibri"/>
                <w:b/>
                <w:bCs/>
                <w:sz w:val="16"/>
                <w:szCs w:val="16"/>
              </w:rPr>
              <w:t>14,868</w:t>
            </w:r>
          </w:p>
        </w:tc>
        <w:tc>
          <w:tcPr>
            <w:tcW w:w="1843" w:type="dxa"/>
            <w:tcBorders>
              <w:top w:val="nil"/>
              <w:left w:val="nil"/>
              <w:bottom w:val="single" w:sz="4" w:space="0" w:color="auto"/>
              <w:right w:val="nil"/>
            </w:tcBorders>
            <w:vAlign w:val="bottom"/>
          </w:tcPr>
          <w:p w14:paraId="70D569A2" w14:textId="20E6949F" w:rsidR="0020115B" w:rsidRPr="003A6DFC" w:rsidRDefault="0020115B" w:rsidP="0020115B">
            <w:pPr>
              <w:pStyle w:val="SemEspaamento"/>
              <w:jc w:val="center"/>
              <w:rPr>
                <w:rFonts w:ascii="Century" w:hAnsi="Century" w:cs="Calibri"/>
                <w:b/>
                <w:bCs/>
                <w:sz w:val="16"/>
                <w:szCs w:val="16"/>
              </w:rPr>
            </w:pPr>
            <w:r w:rsidRPr="003A6DFC">
              <w:rPr>
                <w:rFonts w:ascii="Century" w:hAnsi="Century" w:cs="Calibri"/>
                <w:b/>
                <w:bCs/>
                <w:sz w:val="16"/>
                <w:szCs w:val="16"/>
              </w:rPr>
              <w:t>4,368</w:t>
            </w:r>
          </w:p>
        </w:tc>
        <w:tc>
          <w:tcPr>
            <w:tcW w:w="1843" w:type="dxa"/>
            <w:tcBorders>
              <w:top w:val="nil"/>
              <w:left w:val="nil"/>
              <w:bottom w:val="single" w:sz="4" w:space="0" w:color="auto"/>
              <w:right w:val="nil"/>
            </w:tcBorders>
            <w:vAlign w:val="bottom"/>
          </w:tcPr>
          <w:p w14:paraId="46425B32" w14:textId="48E06C22" w:rsidR="0020115B" w:rsidRPr="003A6DFC" w:rsidRDefault="0020115B" w:rsidP="0020115B">
            <w:pPr>
              <w:pStyle w:val="SemEspaamento"/>
              <w:jc w:val="center"/>
              <w:rPr>
                <w:rFonts w:ascii="Century" w:hAnsi="Century" w:cs="Calibri"/>
                <w:b/>
                <w:bCs/>
                <w:sz w:val="16"/>
                <w:szCs w:val="16"/>
              </w:rPr>
            </w:pPr>
            <w:r w:rsidRPr="003A6DFC">
              <w:rPr>
                <w:rFonts w:ascii="Century" w:hAnsi="Century" w:cs="Calibri"/>
                <w:b/>
                <w:bCs/>
                <w:sz w:val="16"/>
                <w:szCs w:val="16"/>
              </w:rPr>
              <w:t>676</w:t>
            </w:r>
          </w:p>
        </w:tc>
      </w:tr>
      <w:tr w:rsidR="007C58F4" w:rsidRPr="003A6DFC" w14:paraId="630CB8B5" w14:textId="77777777" w:rsidTr="002C6227">
        <w:trPr>
          <w:trHeight w:val="58"/>
        </w:trPr>
        <w:tc>
          <w:tcPr>
            <w:tcW w:w="14000" w:type="dxa"/>
            <w:gridSpan w:val="7"/>
            <w:tcBorders>
              <w:top w:val="single" w:sz="4" w:space="0" w:color="auto"/>
            </w:tcBorders>
            <w:shd w:val="clear" w:color="auto" w:fill="auto"/>
            <w:noWrap/>
            <w:vAlign w:val="center"/>
          </w:tcPr>
          <w:p w14:paraId="2D2AEE82" w14:textId="20EE625D" w:rsidR="007C58F4" w:rsidRPr="003A6DFC" w:rsidRDefault="007C58F4" w:rsidP="001F1B64">
            <w:pPr>
              <w:pStyle w:val="SemEspaamento"/>
              <w:rPr>
                <w:rFonts w:ascii="Century" w:hAnsi="Century" w:cs="Times New Roman"/>
                <w:b/>
                <w:sz w:val="16"/>
                <w:szCs w:val="16"/>
              </w:rPr>
            </w:pPr>
            <w:r w:rsidRPr="003A6DFC">
              <w:rPr>
                <w:rFonts w:ascii="Century" w:hAnsi="Century"/>
                <w:sz w:val="16"/>
                <w:szCs w:val="16"/>
                <w:lang w:eastAsia="en-GB"/>
              </w:rPr>
              <w:t>Note</w:t>
            </w:r>
            <w:r w:rsidR="00BC4189" w:rsidRPr="003A6DFC">
              <w:rPr>
                <w:rFonts w:ascii="Century" w:hAnsi="Century"/>
                <w:sz w:val="16"/>
                <w:szCs w:val="16"/>
                <w:lang w:eastAsia="en-GB"/>
              </w:rPr>
              <w:t>s</w:t>
            </w:r>
            <w:r w:rsidRPr="003A6DFC">
              <w:rPr>
                <w:rFonts w:ascii="Century" w:hAnsi="Century"/>
                <w:sz w:val="16"/>
                <w:szCs w:val="16"/>
                <w:lang w:eastAsia="en-GB"/>
              </w:rPr>
              <w:t xml:space="preserve">: </w:t>
            </w:r>
            <w:r w:rsidRPr="003A6DFC">
              <w:rPr>
                <w:rFonts w:ascii="Century" w:hAnsi="Century"/>
                <w:sz w:val="16"/>
                <w:szCs w:val="16"/>
                <w:vertAlign w:val="superscript"/>
                <w:lang w:eastAsia="en-GB"/>
              </w:rPr>
              <w:t xml:space="preserve">† </w:t>
            </w:r>
            <w:r w:rsidRPr="003A6DFC">
              <w:rPr>
                <w:rFonts w:ascii="Century" w:hAnsi="Century"/>
                <w:sz w:val="16"/>
                <w:szCs w:val="16"/>
                <w:lang w:eastAsia="en-GB"/>
              </w:rPr>
              <w:t>Dichotomous variables.</w:t>
            </w:r>
            <w:r w:rsidR="00BC4189" w:rsidRPr="003A6DFC">
              <w:rPr>
                <w:rFonts w:ascii="Century" w:hAnsi="Century"/>
                <w:sz w:val="16"/>
                <w:szCs w:val="16"/>
                <w:lang w:eastAsia="en-GB"/>
              </w:rPr>
              <w:t xml:space="preserve"> </w:t>
            </w:r>
          </w:p>
        </w:tc>
      </w:tr>
    </w:tbl>
    <w:p w14:paraId="62BF1BB7" w14:textId="77777777" w:rsidR="00C5499A" w:rsidRPr="003A6DFC" w:rsidRDefault="00C5499A" w:rsidP="009F5E77">
      <w:pPr>
        <w:spacing w:after="0" w:line="360" w:lineRule="auto"/>
        <w:rPr>
          <w:rFonts w:ascii="Century" w:hAnsi="Century" w:cs="Times New Roman"/>
          <w:b/>
          <w:sz w:val="24"/>
          <w:szCs w:val="24"/>
          <w:lang w:val="en-GB"/>
        </w:rPr>
      </w:pPr>
    </w:p>
    <w:p w14:paraId="6998230F" w14:textId="77777777" w:rsidR="001263A7" w:rsidRPr="003A6DFC" w:rsidRDefault="001263A7" w:rsidP="001263A7">
      <w:pPr>
        <w:rPr>
          <w:rFonts w:ascii="Century" w:hAnsi="Century" w:cs="Times New Roman"/>
          <w:b/>
          <w:sz w:val="24"/>
          <w:szCs w:val="24"/>
          <w:lang w:val="en-GB"/>
        </w:rPr>
      </w:pPr>
    </w:p>
    <w:p w14:paraId="0A242FD2" w14:textId="4D4D1D7D" w:rsidR="001263A7" w:rsidRPr="003A6DFC" w:rsidRDefault="001263A7" w:rsidP="001263A7">
      <w:pPr>
        <w:tabs>
          <w:tab w:val="center" w:pos="6979"/>
        </w:tabs>
        <w:rPr>
          <w:rFonts w:ascii="Century" w:hAnsi="Century" w:cs="Times New Roman"/>
          <w:sz w:val="24"/>
          <w:szCs w:val="24"/>
          <w:lang w:val="en-GB"/>
        </w:rPr>
        <w:sectPr w:rsidR="001263A7" w:rsidRPr="003A6DFC" w:rsidSect="008B1804">
          <w:pgSz w:w="16838" w:h="11906" w:orient="landscape"/>
          <w:pgMar w:top="1191" w:right="1440" w:bottom="1191" w:left="1440" w:header="709" w:footer="709" w:gutter="0"/>
          <w:cols w:space="708"/>
          <w:titlePg/>
          <w:docGrid w:linePitch="360"/>
        </w:sectPr>
      </w:pPr>
    </w:p>
    <w:p w14:paraId="6CAE3212" w14:textId="0541DD71" w:rsidR="004F09C8" w:rsidRPr="003A6DFC" w:rsidRDefault="004F09C8" w:rsidP="004B536C">
      <w:pPr>
        <w:pStyle w:val="PargrafodaLista"/>
        <w:numPr>
          <w:ilvl w:val="0"/>
          <w:numId w:val="8"/>
        </w:numPr>
        <w:spacing w:after="0" w:line="360" w:lineRule="auto"/>
        <w:rPr>
          <w:rFonts w:ascii="Century" w:hAnsi="Century" w:cs="Times New Roman"/>
          <w:b/>
          <w:sz w:val="28"/>
          <w:szCs w:val="28"/>
          <w:lang w:val="en-GB"/>
        </w:rPr>
      </w:pPr>
      <w:r w:rsidRPr="003A6DFC">
        <w:rPr>
          <w:rFonts w:ascii="Century" w:hAnsi="Century" w:cs="Times New Roman"/>
          <w:b/>
          <w:sz w:val="28"/>
          <w:szCs w:val="28"/>
          <w:lang w:val="en-GB"/>
        </w:rPr>
        <w:lastRenderedPageBreak/>
        <w:t>Multivariate Models</w:t>
      </w:r>
    </w:p>
    <w:p w14:paraId="4AD8FC03" w14:textId="77777777" w:rsidR="004B536C" w:rsidRPr="003A6DFC" w:rsidRDefault="004B536C" w:rsidP="004B536C">
      <w:pPr>
        <w:pStyle w:val="PargrafodaLista"/>
        <w:spacing w:after="0" w:line="360" w:lineRule="auto"/>
        <w:ind w:left="360"/>
        <w:rPr>
          <w:rFonts w:ascii="Century" w:hAnsi="Century" w:cs="Times New Roman"/>
          <w:b/>
          <w:sz w:val="28"/>
          <w:szCs w:val="28"/>
          <w:lang w:val="en-GB"/>
        </w:rPr>
      </w:pPr>
    </w:p>
    <w:p w14:paraId="7E5F96FE" w14:textId="1C62C03B" w:rsidR="00032816" w:rsidRPr="003A6DFC" w:rsidRDefault="009A3D9D" w:rsidP="00156098">
      <w:pPr>
        <w:spacing w:after="0" w:line="360" w:lineRule="auto"/>
        <w:rPr>
          <w:rFonts w:ascii="Century" w:hAnsi="Century" w:cs="Times New Roman"/>
          <w:b/>
          <w:sz w:val="28"/>
          <w:szCs w:val="28"/>
          <w:lang w:val="en-GB"/>
        </w:rPr>
      </w:pPr>
      <w:r w:rsidRPr="003A6DFC">
        <w:rPr>
          <w:rFonts w:ascii="Century" w:hAnsi="Century" w:cs="Times New Roman"/>
          <w:b/>
          <w:sz w:val="28"/>
          <w:szCs w:val="28"/>
          <w:lang w:val="en-GB"/>
        </w:rPr>
        <w:t>5</w:t>
      </w:r>
      <w:r w:rsidR="004F09C8" w:rsidRPr="003A6DFC">
        <w:rPr>
          <w:rFonts w:ascii="Century" w:hAnsi="Century" w:cs="Times New Roman"/>
          <w:b/>
          <w:sz w:val="28"/>
          <w:szCs w:val="28"/>
          <w:lang w:val="en-GB"/>
        </w:rPr>
        <w:t xml:space="preserve">.1 </w:t>
      </w:r>
      <w:r w:rsidR="00B6065F" w:rsidRPr="003A6DFC">
        <w:rPr>
          <w:rFonts w:ascii="Century" w:hAnsi="Century" w:cs="Times New Roman"/>
          <w:b/>
          <w:sz w:val="28"/>
          <w:szCs w:val="28"/>
          <w:lang w:val="en-GB"/>
        </w:rPr>
        <w:t>The likelihood of an inconsistent response</w:t>
      </w:r>
    </w:p>
    <w:p w14:paraId="1EFA09AF" w14:textId="2B812BD2" w:rsidR="00F04BAE" w:rsidRPr="003A6DFC" w:rsidRDefault="00156098" w:rsidP="005438BE">
      <w:pPr>
        <w:spacing w:after="0" w:line="360" w:lineRule="auto"/>
        <w:jc w:val="both"/>
        <w:rPr>
          <w:rFonts w:ascii="Century" w:hAnsi="Century" w:cs="Times New Roman"/>
          <w:lang w:val="en-GB"/>
        </w:rPr>
      </w:pPr>
      <w:r w:rsidRPr="003A6DFC">
        <w:rPr>
          <w:rFonts w:ascii="Century" w:hAnsi="Century" w:cs="Times New Roman"/>
          <w:lang w:val="en-GB"/>
        </w:rPr>
        <w:t xml:space="preserve">Table </w:t>
      </w:r>
      <w:r w:rsidR="00EC287D" w:rsidRPr="003A6DFC">
        <w:rPr>
          <w:rFonts w:ascii="Century" w:hAnsi="Century" w:cs="Times New Roman"/>
          <w:lang w:val="en-GB"/>
        </w:rPr>
        <w:t>A2</w:t>
      </w:r>
      <w:r w:rsidR="00F84C8D" w:rsidRPr="003A6DFC">
        <w:rPr>
          <w:rFonts w:ascii="Century" w:hAnsi="Century" w:cs="Times New Roman"/>
          <w:lang w:val="en-GB"/>
        </w:rPr>
        <w:t xml:space="preserve"> (Appendix)</w:t>
      </w:r>
      <w:r w:rsidR="00EC287D" w:rsidRPr="003A6DFC">
        <w:rPr>
          <w:rFonts w:ascii="Century" w:hAnsi="Century" w:cs="Times New Roman"/>
          <w:lang w:val="en-GB"/>
        </w:rPr>
        <w:t xml:space="preserve"> </w:t>
      </w:r>
      <w:r w:rsidRPr="003A6DFC">
        <w:rPr>
          <w:rFonts w:ascii="Century" w:hAnsi="Century" w:cs="Times New Roman"/>
          <w:lang w:val="en-GB"/>
        </w:rPr>
        <w:t xml:space="preserve">presents the estimated coefficients from </w:t>
      </w:r>
      <w:r w:rsidR="00B6065F" w:rsidRPr="003A6DFC">
        <w:rPr>
          <w:rFonts w:ascii="Century" w:hAnsi="Century" w:cs="Times New Roman"/>
          <w:lang w:val="en-GB"/>
        </w:rPr>
        <w:t xml:space="preserve">the </w:t>
      </w:r>
      <w:r w:rsidRPr="003A6DFC">
        <w:rPr>
          <w:rFonts w:ascii="Century" w:hAnsi="Century" w:cs="Times New Roman"/>
          <w:lang w:val="en-GB"/>
        </w:rPr>
        <w:t>pooled and random effect</w:t>
      </w:r>
      <w:r w:rsidR="00D0664E" w:rsidRPr="003A6DFC">
        <w:rPr>
          <w:rFonts w:ascii="Century" w:hAnsi="Century" w:cs="Times New Roman"/>
          <w:lang w:val="en-GB"/>
        </w:rPr>
        <w:t xml:space="preserve"> (RE) </w:t>
      </w:r>
      <w:proofErr w:type="spellStart"/>
      <w:r w:rsidR="00D0664E" w:rsidRPr="003A6DFC">
        <w:rPr>
          <w:rFonts w:ascii="Century" w:hAnsi="Century" w:cs="Times New Roman"/>
          <w:lang w:val="en-GB"/>
        </w:rPr>
        <w:t>probit</w:t>
      </w:r>
      <w:proofErr w:type="spellEnd"/>
      <w:r w:rsidRPr="003A6DFC">
        <w:rPr>
          <w:rFonts w:ascii="Century" w:hAnsi="Century" w:cs="Times New Roman"/>
          <w:lang w:val="en-GB"/>
        </w:rPr>
        <w:t xml:space="preserve"> models</w:t>
      </w:r>
      <w:r w:rsidR="00D0664E" w:rsidRPr="003A6DFC">
        <w:rPr>
          <w:rFonts w:ascii="Century" w:hAnsi="Century" w:cs="Times New Roman"/>
          <w:lang w:val="en-GB"/>
        </w:rPr>
        <w:t xml:space="preserve"> for the probability of reporting SAH inconsistently in the self-completion and open interview within each wave</w:t>
      </w:r>
      <w:r w:rsidRPr="003A6DFC">
        <w:rPr>
          <w:rFonts w:ascii="Century" w:hAnsi="Century" w:cs="Times New Roman"/>
          <w:lang w:val="en-GB"/>
        </w:rPr>
        <w:t xml:space="preserve">. </w:t>
      </w:r>
      <w:r w:rsidR="00D0664E" w:rsidRPr="003A6DFC">
        <w:rPr>
          <w:rFonts w:ascii="Century" w:hAnsi="Century" w:cs="Times New Roman"/>
          <w:lang w:val="en-GB"/>
        </w:rPr>
        <w:t xml:space="preserve">Overall, </w:t>
      </w:r>
      <w:r w:rsidRPr="003A6DFC">
        <w:rPr>
          <w:rFonts w:ascii="Century" w:hAnsi="Century" w:cs="Times New Roman"/>
          <w:lang w:val="en-GB"/>
        </w:rPr>
        <w:t xml:space="preserve">the coefficients from both </w:t>
      </w:r>
      <w:r w:rsidR="00D0664E" w:rsidRPr="003A6DFC">
        <w:rPr>
          <w:rFonts w:ascii="Century" w:hAnsi="Century" w:cs="Times New Roman"/>
          <w:lang w:val="en-GB"/>
        </w:rPr>
        <w:t xml:space="preserve">models </w:t>
      </w:r>
      <w:r w:rsidRPr="003A6DFC">
        <w:rPr>
          <w:rFonts w:ascii="Century" w:hAnsi="Century" w:cs="Times New Roman"/>
          <w:lang w:val="en-GB"/>
        </w:rPr>
        <w:t>are very similar in terms of</w:t>
      </w:r>
      <w:r w:rsidR="005357D1" w:rsidRPr="003A6DFC">
        <w:rPr>
          <w:rFonts w:ascii="Century" w:hAnsi="Century" w:cs="Times New Roman"/>
          <w:lang w:val="en-GB"/>
        </w:rPr>
        <w:t xml:space="preserve"> </w:t>
      </w:r>
      <w:r w:rsidR="00D90A9E" w:rsidRPr="003A6DFC">
        <w:rPr>
          <w:rFonts w:ascii="Century" w:hAnsi="Century" w:cs="Times New Roman"/>
          <w:lang w:val="en-GB"/>
        </w:rPr>
        <w:t xml:space="preserve">the direction of the associations </w:t>
      </w:r>
      <w:r w:rsidR="00D0664E" w:rsidRPr="003A6DFC">
        <w:rPr>
          <w:rFonts w:ascii="Century" w:hAnsi="Century" w:cs="Times New Roman"/>
          <w:lang w:val="en-GB"/>
        </w:rPr>
        <w:t>and statistical</w:t>
      </w:r>
      <w:r w:rsidRPr="003A6DFC">
        <w:rPr>
          <w:rFonts w:ascii="Century" w:hAnsi="Century" w:cs="Times New Roman"/>
          <w:lang w:val="en-GB"/>
        </w:rPr>
        <w:t xml:space="preserve"> significance</w:t>
      </w:r>
      <w:r w:rsidR="005438BE" w:rsidRPr="003A6DFC">
        <w:rPr>
          <w:rStyle w:val="Refdenotaderodap"/>
          <w:rFonts w:ascii="Century" w:hAnsi="Century" w:cs="Times New Roman"/>
          <w:lang w:val="en-GB"/>
        </w:rPr>
        <w:footnoteReference w:id="14"/>
      </w:r>
      <w:r w:rsidRPr="003A6DFC">
        <w:rPr>
          <w:rFonts w:ascii="Century" w:hAnsi="Century" w:cs="Times New Roman"/>
          <w:lang w:val="en-GB"/>
        </w:rPr>
        <w:t>.</w:t>
      </w:r>
      <w:r w:rsidR="00D37809" w:rsidRPr="003A6DFC">
        <w:rPr>
          <w:rFonts w:ascii="Century" w:hAnsi="Century" w:cs="Times New Roman"/>
          <w:lang w:val="en-GB"/>
        </w:rPr>
        <w:t xml:space="preserve"> </w:t>
      </w:r>
      <w:r w:rsidR="00B24D0C" w:rsidRPr="003A6DFC">
        <w:rPr>
          <w:rFonts w:ascii="Century" w:hAnsi="Century" w:cs="Times New Roman"/>
          <w:lang w:val="en-GB"/>
        </w:rPr>
        <w:t>T</w:t>
      </w:r>
      <w:r w:rsidR="00D0664E" w:rsidRPr="003A6DFC">
        <w:rPr>
          <w:rFonts w:ascii="Century" w:hAnsi="Century" w:cs="Times New Roman"/>
          <w:lang w:val="en-GB"/>
        </w:rPr>
        <w:t xml:space="preserve">he RE </w:t>
      </w:r>
      <w:proofErr w:type="spellStart"/>
      <w:r w:rsidR="00D0664E" w:rsidRPr="003A6DFC">
        <w:rPr>
          <w:rFonts w:ascii="Century" w:hAnsi="Century" w:cs="Times New Roman"/>
          <w:lang w:val="en-GB"/>
        </w:rPr>
        <w:t>probit</w:t>
      </w:r>
      <w:proofErr w:type="spellEnd"/>
      <w:r w:rsidR="00D0664E" w:rsidRPr="003A6DFC">
        <w:rPr>
          <w:rFonts w:ascii="Century" w:hAnsi="Century" w:cs="Times New Roman"/>
          <w:lang w:val="en-GB"/>
        </w:rPr>
        <w:t xml:space="preserve"> model</w:t>
      </w:r>
      <w:r w:rsidR="00B6065F" w:rsidRPr="003A6DFC">
        <w:rPr>
          <w:rFonts w:ascii="Century" w:hAnsi="Century" w:cs="Times New Roman"/>
          <w:lang w:val="en-GB"/>
        </w:rPr>
        <w:t xml:space="preserve"> imposes an error component </w:t>
      </w:r>
      <w:r w:rsidR="00D90A9E" w:rsidRPr="003A6DFC">
        <w:rPr>
          <w:rFonts w:ascii="Century" w:hAnsi="Century" w:cs="Times New Roman"/>
          <w:lang w:val="en-GB"/>
        </w:rPr>
        <w:t xml:space="preserve">structure </w:t>
      </w:r>
      <w:r w:rsidR="007539CD" w:rsidRPr="003A6DFC">
        <w:rPr>
          <w:rFonts w:ascii="Century" w:hAnsi="Century" w:cs="Times New Roman"/>
          <w:lang w:val="en-GB"/>
        </w:rPr>
        <w:t>o</w:t>
      </w:r>
      <w:r w:rsidR="00B6065F" w:rsidRPr="003A6DFC">
        <w:rPr>
          <w:rFonts w:ascii="Century" w:hAnsi="Century" w:cs="Times New Roman"/>
          <w:lang w:val="en-GB"/>
        </w:rPr>
        <w:t>n</w:t>
      </w:r>
      <w:r w:rsidR="007539CD" w:rsidRPr="003A6DFC">
        <w:rPr>
          <w:rFonts w:ascii="Century" w:hAnsi="Century" w:cs="Times New Roman"/>
          <w:lang w:val="en-GB"/>
        </w:rPr>
        <w:t xml:space="preserve"> the data</w:t>
      </w:r>
      <w:r w:rsidR="00D90A9E" w:rsidRPr="003A6DFC">
        <w:rPr>
          <w:rFonts w:ascii="Century" w:hAnsi="Century" w:cs="Times New Roman"/>
          <w:lang w:val="en-GB"/>
        </w:rPr>
        <w:t xml:space="preserve">, </w:t>
      </w:r>
      <w:r w:rsidR="0085649D" w:rsidRPr="003A6DFC">
        <w:rPr>
          <w:rFonts w:ascii="Century" w:hAnsi="Century" w:cs="Times New Roman"/>
          <w:lang w:val="en-GB"/>
        </w:rPr>
        <w:t>decomposing the error term and modelling the time-invariant unobserved heterogeneity</w:t>
      </w:r>
      <w:r w:rsidR="00B24D0C" w:rsidRPr="003A6DFC">
        <w:rPr>
          <w:rFonts w:ascii="Century" w:hAnsi="Century" w:cs="Times New Roman"/>
          <w:lang w:val="en-GB"/>
        </w:rPr>
        <w:t>.</w:t>
      </w:r>
      <w:r w:rsidR="00F04BAE" w:rsidRPr="003A6DFC">
        <w:rPr>
          <w:rFonts w:ascii="Century" w:hAnsi="Century" w:cs="Times New Roman"/>
          <w:lang w:val="en-GB"/>
        </w:rPr>
        <w:t xml:space="preserve"> Under these assumptions, the intra-class correlation coefficient (rho) shows that about 12% of the unexplained variation in inconsistent SAH reporting behaviour is attributable to the individual effect ― this is relatively low in magnitude, albeit highly statistically significant. This indicates that after controlling for our set of observed characteristics, there are still unexplained differences in the probability of reporting SAH inconsistently with only a low proportion of this variation (12%) attributed to the time invariant error component in a random effects model.</w:t>
      </w:r>
    </w:p>
    <w:p w14:paraId="1FB16B00" w14:textId="66EFA2D4" w:rsidR="004B536C" w:rsidRPr="003A6DFC" w:rsidRDefault="004B536C" w:rsidP="005438BE">
      <w:pPr>
        <w:spacing w:after="0" w:line="360" w:lineRule="auto"/>
        <w:ind w:firstLine="708"/>
        <w:jc w:val="both"/>
        <w:rPr>
          <w:rFonts w:ascii="Century" w:hAnsi="Century" w:cs="Times New Roman"/>
          <w:lang w:val="en-GB"/>
        </w:rPr>
      </w:pPr>
      <w:r w:rsidRPr="003A6DFC">
        <w:rPr>
          <w:rFonts w:ascii="Century" w:hAnsi="Century" w:cs="Times New Roman"/>
          <w:lang w:val="en-GB"/>
        </w:rPr>
        <w:t xml:space="preserve">Table </w:t>
      </w:r>
      <w:r w:rsidR="00F84C8D" w:rsidRPr="003A6DFC">
        <w:rPr>
          <w:rFonts w:ascii="Century" w:hAnsi="Century" w:cs="Times New Roman"/>
          <w:lang w:val="en-GB"/>
        </w:rPr>
        <w:t xml:space="preserve">4 </w:t>
      </w:r>
      <w:r w:rsidRPr="003A6DFC">
        <w:rPr>
          <w:rFonts w:ascii="Century" w:hAnsi="Century" w:cs="Times New Roman"/>
          <w:lang w:val="en-GB"/>
        </w:rPr>
        <w:t xml:space="preserve">presents the marginal effects, providing an indication of the magnitude of the association between our explanatory variables and the probability of reporting inconsistency. In general, the marginal effects are similar for the pooled and RE </w:t>
      </w:r>
      <w:proofErr w:type="spellStart"/>
      <w:r w:rsidRPr="003A6DFC">
        <w:rPr>
          <w:rFonts w:ascii="Century" w:hAnsi="Century" w:cs="Times New Roman"/>
          <w:lang w:val="en-GB"/>
        </w:rPr>
        <w:t>probit</w:t>
      </w:r>
      <w:proofErr w:type="spellEnd"/>
      <w:r w:rsidRPr="003A6DFC">
        <w:rPr>
          <w:rFonts w:ascii="Century" w:hAnsi="Century" w:cs="Times New Roman"/>
          <w:lang w:val="en-GB"/>
        </w:rPr>
        <w:t xml:space="preserve"> models</w:t>
      </w:r>
      <w:r w:rsidR="00BD3EAD" w:rsidRPr="003A6DFC">
        <w:rPr>
          <w:rFonts w:ascii="Century" w:hAnsi="Century" w:cs="Times New Roman"/>
          <w:lang w:val="en-GB"/>
        </w:rPr>
        <w:t xml:space="preserve">; this </w:t>
      </w:r>
      <w:r w:rsidR="0069069C" w:rsidRPr="003A6DFC">
        <w:rPr>
          <w:rFonts w:ascii="Century" w:hAnsi="Century" w:cs="Times New Roman"/>
          <w:lang w:val="en-GB"/>
        </w:rPr>
        <w:t xml:space="preserve">may reflect </w:t>
      </w:r>
      <w:r w:rsidR="00BD3EAD" w:rsidRPr="003A6DFC">
        <w:rPr>
          <w:rFonts w:ascii="Century" w:hAnsi="Century" w:cs="Times New Roman"/>
          <w:lang w:val="en-GB"/>
        </w:rPr>
        <w:t xml:space="preserve">the </w:t>
      </w:r>
      <w:proofErr w:type="gramStart"/>
      <w:r w:rsidR="00BD3EAD" w:rsidRPr="003A6DFC">
        <w:rPr>
          <w:rFonts w:ascii="Century" w:hAnsi="Century" w:cs="Times New Roman"/>
          <w:lang w:val="en-GB"/>
        </w:rPr>
        <w:t>fairly small</w:t>
      </w:r>
      <w:proofErr w:type="gramEnd"/>
      <w:r w:rsidR="00BD3EAD" w:rsidRPr="003A6DFC">
        <w:rPr>
          <w:rFonts w:ascii="Century" w:hAnsi="Century" w:cs="Times New Roman"/>
          <w:lang w:val="en-GB"/>
        </w:rPr>
        <w:t xml:space="preserve"> role of </w:t>
      </w:r>
      <w:r w:rsidR="009E4DE3" w:rsidRPr="003A6DFC">
        <w:rPr>
          <w:rFonts w:ascii="Century" w:hAnsi="Century" w:cs="Times New Roman"/>
          <w:lang w:val="en-GB"/>
        </w:rPr>
        <w:t xml:space="preserve">individual effects </w:t>
      </w:r>
      <w:r w:rsidR="00BD3EAD" w:rsidRPr="003A6DFC">
        <w:rPr>
          <w:rFonts w:ascii="Century" w:hAnsi="Century" w:cs="Times New Roman"/>
          <w:lang w:val="en-GB"/>
        </w:rPr>
        <w:t>in explaining the variability of inconsistent SAH responses</w:t>
      </w:r>
      <w:r w:rsidR="0069069C" w:rsidRPr="003A6DFC">
        <w:rPr>
          <w:rFonts w:ascii="Century" w:hAnsi="Century" w:cs="Times New Roman"/>
          <w:lang w:val="en-GB"/>
        </w:rPr>
        <w:t xml:space="preserve">, </w:t>
      </w:r>
      <w:r w:rsidR="009E4DE3" w:rsidRPr="003A6DFC">
        <w:rPr>
          <w:rFonts w:ascii="Century" w:hAnsi="Century" w:cs="Times New Roman"/>
          <w:lang w:val="en-GB"/>
        </w:rPr>
        <w:t xml:space="preserve">which is used to scale the </w:t>
      </w:r>
      <w:r w:rsidR="00844F99" w:rsidRPr="003A6DFC">
        <w:rPr>
          <w:rFonts w:ascii="Century" w:hAnsi="Century" w:cs="Times New Roman"/>
          <w:lang w:val="en-GB"/>
        </w:rPr>
        <w:t xml:space="preserve">corresponding </w:t>
      </w:r>
      <w:r w:rsidR="0069069C" w:rsidRPr="003A6DFC">
        <w:rPr>
          <w:rFonts w:ascii="Century" w:hAnsi="Century" w:cs="Times New Roman"/>
          <w:lang w:val="en-GB"/>
        </w:rPr>
        <w:t xml:space="preserve">marginal effects </w:t>
      </w:r>
      <w:r w:rsidR="00D46BC1" w:rsidRPr="003A6DFC">
        <w:rPr>
          <w:rFonts w:ascii="Century" w:hAnsi="Century" w:cs="Times New Roman"/>
          <w:lang w:val="en-GB"/>
        </w:rPr>
        <w:t xml:space="preserve">for </w:t>
      </w:r>
      <w:r w:rsidR="0069069C" w:rsidRPr="003A6DFC">
        <w:rPr>
          <w:rFonts w:ascii="Century" w:hAnsi="Century" w:cs="Times New Roman"/>
          <w:lang w:val="en-GB"/>
        </w:rPr>
        <w:t xml:space="preserve">the RE model. </w:t>
      </w:r>
      <w:r w:rsidRPr="003A6DFC">
        <w:rPr>
          <w:rFonts w:ascii="Century" w:hAnsi="Century" w:cs="Times New Roman"/>
          <w:lang w:val="en-GB"/>
        </w:rPr>
        <w:t xml:space="preserve">On average men are 0.026 more likely to report inconsistent SAH than females. Those belonging to the 26-35, 36-45 and 56-65 age groups have a lower probability on average (between 0.017 and 0.021) of reporting SAH inconsistently compared to our youngest age group (16-25, reference category). We also find systematic education and income gradients in the probability of reporting SAH inconsistently. For example, the probability of inconsistent responses for those with no qualification is 0.035 higher compared to those with a university degree (reference group); the corresponding probability for those with O-level or GCSE is 0.041 higher compared to the reference group. This indicates the presence of a non-monotonic but positive association between the probability of reporting inconsistent SAH and the lower level of </w:t>
      </w:r>
      <w:r w:rsidRPr="003A6DFC">
        <w:rPr>
          <w:rFonts w:ascii="Century" w:hAnsi="Century" w:cs="Times New Roman"/>
          <w:lang w:val="en-GB"/>
        </w:rPr>
        <w:lastRenderedPageBreak/>
        <w:t xml:space="preserve">educational attainment as opposed the reference category (degree). Moreover, there is systematic and positive association with income, indicating that higher income is associated with a lower probability of reporting SAH inconsistently. These results are broadly consistent with existing evidence that measures of socioeconomic status are important determinants of reporting behaviour in SAH and other health outcomes (e.g., Bago </w:t>
      </w:r>
      <w:proofErr w:type="spellStart"/>
      <w:r w:rsidRPr="003A6DFC">
        <w:rPr>
          <w:rFonts w:ascii="Century" w:hAnsi="Century" w:cs="Times New Roman"/>
          <w:lang w:val="en-GB"/>
        </w:rPr>
        <w:t>d’Uva</w:t>
      </w:r>
      <w:proofErr w:type="spellEnd"/>
      <w:r w:rsidRPr="003A6DFC">
        <w:rPr>
          <w:rFonts w:ascii="Century" w:hAnsi="Century" w:cs="Times New Roman"/>
          <w:lang w:val="en-GB"/>
        </w:rPr>
        <w:t xml:space="preserve">, O’Donnell and van </w:t>
      </w:r>
      <w:proofErr w:type="spellStart"/>
      <w:r w:rsidRPr="003A6DFC">
        <w:rPr>
          <w:rFonts w:ascii="Century" w:hAnsi="Century" w:cs="Times New Roman"/>
          <w:lang w:val="en-GB"/>
        </w:rPr>
        <w:t>Doorslaer</w:t>
      </w:r>
      <w:proofErr w:type="spellEnd"/>
      <w:r w:rsidRPr="003A6DFC">
        <w:rPr>
          <w:rFonts w:ascii="Century" w:hAnsi="Century" w:cs="Times New Roman"/>
          <w:lang w:val="en-GB"/>
        </w:rPr>
        <w:t xml:space="preserve">, 2008; Black et al., 2017; Crossley and Kennedy, 2002; Clarke and Ryan, 2006; </w:t>
      </w:r>
      <w:proofErr w:type="spellStart"/>
      <w:r w:rsidRPr="003A6DFC">
        <w:rPr>
          <w:rFonts w:ascii="Century" w:hAnsi="Century" w:cs="Times New Roman"/>
          <w:lang w:val="en-GB"/>
        </w:rPr>
        <w:t>Etilé</w:t>
      </w:r>
      <w:proofErr w:type="spellEnd"/>
      <w:r w:rsidRPr="003A6DFC">
        <w:rPr>
          <w:rFonts w:ascii="Century" w:hAnsi="Century" w:cs="Times New Roman"/>
          <w:lang w:val="en-GB"/>
        </w:rPr>
        <w:t xml:space="preserve"> and </w:t>
      </w:r>
      <w:proofErr w:type="spellStart"/>
      <w:r w:rsidRPr="003A6DFC">
        <w:rPr>
          <w:rFonts w:ascii="Century" w:hAnsi="Century" w:cs="Times New Roman"/>
          <w:lang w:val="en-GB"/>
        </w:rPr>
        <w:t>Milcent</w:t>
      </w:r>
      <w:proofErr w:type="spellEnd"/>
      <w:r w:rsidRPr="003A6DFC">
        <w:rPr>
          <w:rFonts w:ascii="Century" w:hAnsi="Century" w:cs="Times New Roman"/>
          <w:lang w:val="en-GB"/>
        </w:rPr>
        <w:t>, 2006; Johnston</w:t>
      </w:r>
      <w:r w:rsidR="00200381" w:rsidRPr="003A6DFC">
        <w:rPr>
          <w:rFonts w:ascii="Century" w:hAnsi="Century" w:cs="Times New Roman"/>
          <w:lang w:val="en-GB"/>
        </w:rPr>
        <w:t xml:space="preserve"> et al.</w:t>
      </w:r>
      <w:r w:rsidRPr="003A6DFC">
        <w:rPr>
          <w:rFonts w:ascii="Century" w:hAnsi="Century" w:cs="Times New Roman"/>
          <w:lang w:val="en-GB"/>
        </w:rPr>
        <w:t xml:space="preserve">, 2009). Regarding respondents’ job status, those who are retired and with other job statuses experience on average a higher probability of reporting inconsistently, compared to those employed, of about 0.027.  </w:t>
      </w:r>
    </w:p>
    <w:p w14:paraId="49ACCEB9" w14:textId="77777777" w:rsidR="004E5BC4" w:rsidRPr="003A6DFC" w:rsidRDefault="004E5BC4" w:rsidP="004E5BC4">
      <w:pPr>
        <w:spacing w:after="0" w:line="360" w:lineRule="auto"/>
        <w:ind w:firstLine="708"/>
        <w:jc w:val="both"/>
        <w:rPr>
          <w:rFonts w:ascii="Century" w:hAnsi="Century" w:cs="Times New Roman"/>
          <w:lang w:val="en-GB"/>
        </w:rPr>
      </w:pPr>
      <w:r w:rsidRPr="003A6DFC">
        <w:rPr>
          <w:rFonts w:ascii="Century" w:hAnsi="Century" w:cs="Times New Roman"/>
          <w:lang w:val="en-GB"/>
        </w:rPr>
        <w:t xml:space="preserve">Our measures of cognitive ability are systematically associated with the probability of reporting inconsistently; this is broadly in line with relevant research using data from Australia (Black et al., 2017).  Our detailed set of cognitive ability measures gives us the opportunity to further explore which aspects of cognitive ability are more strongly related to consistent reporting behaviours in SAH. To facilitate comparisons across the different cognitive ability variables, the estimates of the relevant marginal effects are scaled in terms of standard deviations of the variables. Overall, word recall (particularly immediate word recall), number of correct subtractions and the number of correct answers in some simple numeric ability tests are more strongly associated with the probability or reporting inconsistently. Given that word recall is related to episodic memory, i.e., memory associated with a specific event or episode, and numeracy is a measure of practical numerical knowledge, we argue that the role of these cognitive skills is much more pronounced on explaining inconsistent behaviours in reporting SAH than the associations for verbal fluency. For example, our marginal effects show that one standard deviation increase in numeric ability is associated with a lower probability of reporting inconsistently of about 0.019; the corresponding marginal effects for verbal fluency (correct words) indicates that one standard deviation increase in the measure is associated with 0.007 reduction in the probability of reporting inconsistently. </w:t>
      </w:r>
    </w:p>
    <w:p w14:paraId="05836DFF" w14:textId="77777777" w:rsidR="004E5BC4" w:rsidRPr="003A6DFC" w:rsidRDefault="004E5BC4" w:rsidP="004E5BC4">
      <w:pPr>
        <w:spacing w:after="0" w:line="360" w:lineRule="auto"/>
        <w:ind w:firstLine="708"/>
        <w:jc w:val="both"/>
        <w:rPr>
          <w:rFonts w:ascii="Century" w:hAnsi="Century" w:cs="Times New Roman"/>
          <w:bCs/>
          <w:lang w:val="en-GB"/>
        </w:rPr>
      </w:pPr>
      <w:r w:rsidRPr="003A6DFC">
        <w:rPr>
          <w:rFonts w:ascii="Century" w:hAnsi="Century" w:cs="Times New Roman"/>
          <w:bCs/>
          <w:lang w:val="en-GB"/>
        </w:rPr>
        <w:t xml:space="preserve">We find that the probability of reporting inconsistently is associated with conscientiousness, </w:t>
      </w:r>
      <w:proofErr w:type="gramStart"/>
      <w:r w:rsidRPr="003A6DFC">
        <w:rPr>
          <w:rFonts w:ascii="Century" w:hAnsi="Century" w:cs="Times New Roman"/>
          <w:bCs/>
          <w:lang w:val="en-GB"/>
        </w:rPr>
        <w:t>neuroticism</w:t>
      </w:r>
      <w:proofErr w:type="gramEnd"/>
      <w:r w:rsidRPr="003A6DFC">
        <w:rPr>
          <w:rFonts w:ascii="Century" w:hAnsi="Century" w:cs="Times New Roman"/>
          <w:bCs/>
          <w:lang w:val="en-GB"/>
        </w:rPr>
        <w:t xml:space="preserve"> and openness to experience. Higher conscientiousness scores, usually characterizing those individuals with a higher level of self-discipline, are associated with a systematically lower probability of reporting SAH inconsistently. Openness to experience is positively associated with reporting inconsistency. There are arguments that individuals more open to experiences may experience an increased probability of conflicting appraisals (Barford and </w:t>
      </w:r>
      <w:proofErr w:type="spellStart"/>
      <w:r w:rsidRPr="003A6DFC">
        <w:rPr>
          <w:rFonts w:ascii="Century" w:hAnsi="Century" w:cs="Times New Roman"/>
          <w:bCs/>
          <w:lang w:val="en-GB"/>
        </w:rPr>
        <w:t>Smillie</w:t>
      </w:r>
      <w:proofErr w:type="spellEnd"/>
      <w:r w:rsidRPr="003A6DFC">
        <w:rPr>
          <w:rFonts w:ascii="Century" w:hAnsi="Century" w:cs="Times New Roman"/>
          <w:bCs/>
          <w:lang w:val="en-GB"/>
        </w:rPr>
        <w:t xml:space="preserve">, 2016); the later may explain our </w:t>
      </w:r>
      <w:r w:rsidRPr="003A6DFC">
        <w:rPr>
          <w:rFonts w:ascii="Century" w:hAnsi="Century" w:cs="Times New Roman"/>
          <w:bCs/>
          <w:lang w:val="en-GB"/>
        </w:rPr>
        <w:lastRenderedPageBreak/>
        <w:t xml:space="preserve">findings that openness to experience is associated with individuals’ tendency to report SAH inconsistently in a short </w:t>
      </w:r>
      <w:proofErr w:type="gramStart"/>
      <w:r w:rsidRPr="003A6DFC">
        <w:rPr>
          <w:rFonts w:ascii="Century" w:hAnsi="Century" w:cs="Times New Roman"/>
          <w:bCs/>
          <w:lang w:val="en-GB"/>
        </w:rPr>
        <w:t>time period</w:t>
      </w:r>
      <w:proofErr w:type="gramEnd"/>
      <w:r w:rsidRPr="003A6DFC">
        <w:rPr>
          <w:rFonts w:ascii="Century" w:hAnsi="Century" w:cs="Times New Roman"/>
          <w:bCs/>
          <w:lang w:val="en-GB"/>
        </w:rPr>
        <w:t xml:space="preserve">. Higher neuroticism scores are associated with a lower probability of reporting inconsistently. Some studies have argued that neuroticism is associated with medical conditions, negatively perceived health status and frequency of visits to the GP (Jerram and Coleman, 1999; Nouri et al., 2019); those with higher scores are then more likely to have a more concrete perception of their SAH and, thus, more likely to report their SAH status more consistently. </w:t>
      </w:r>
    </w:p>
    <w:p w14:paraId="6E6DD2A0" w14:textId="063648AD" w:rsidR="00E8685F" w:rsidRPr="003A6DFC" w:rsidRDefault="00E8685F" w:rsidP="00C24905">
      <w:pPr>
        <w:spacing w:after="0" w:line="360" w:lineRule="auto"/>
        <w:ind w:firstLine="708"/>
        <w:jc w:val="both"/>
        <w:rPr>
          <w:rFonts w:ascii="Century" w:hAnsi="Century" w:cs="Times New Roman"/>
          <w:lang w:val="en-GB"/>
        </w:rPr>
      </w:pPr>
    </w:p>
    <w:tbl>
      <w:tblPr>
        <w:tblW w:w="0" w:type="auto"/>
        <w:jc w:val="center"/>
        <w:tblLayout w:type="fixed"/>
        <w:tblLook w:val="04A0" w:firstRow="1" w:lastRow="0" w:firstColumn="1" w:lastColumn="0" w:noHBand="0" w:noVBand="1"/>
      </w:tblPr>
      <w:tblGrid>
        <w:gridCol w:w="3828"/>
        <w:gridCol w:w="1249"/>
        <w:gridCol w:w="1250"/>
        <w:gridCol w:w="1249"/>
        <w:gridCol w:w="1250"/>
      </w:tblGrid>
      <w:tr w:rsidR="00C24905" w:rsidRPr="003A6DFC" w14:paraId="2ABD75CD" w14:textId="77777777" w:rsidTr="00BB4740">
        <w:trPr>
          <w:trHeight w:val="288"/>
          <w:jc w:val="center"/>
        </w:trPr>
        <w:tc>
          <w:tcPr>
            <w:tcW w:w="8826" w:type="dxa"/>
            <w:gridSpan w:val="5"/>
            <w:shd w:val="clear" w:color="auto" w:fill="auto"/>
            <w:noWrap/>
            <w:vAlign w:val="center"/>
          </w:tcPr>
          <w:p w14:paraId="4441C8B4" w14:textId="3F147B37" w:rsidR="00C24905" w:rsidRPr="003A6DFC" w:rsidRDefault="00C24905" w:rsidP="00BB4740">
            <w:pPr>
              <w:pStyle w:val="SemEspaamento"/>
              <w:jc w:val="both"/>
              <w:rPr>
                <w:rFonts w:ascii="Century" w:hAnsi="Century" w:cs="Times New Roman"/>
                <w:b/>
                <w:sz w:val="20"/>
                <w:szCs w:val="20"/>
              </w:rPr>
            </w:pPr>
            <w:r w:rsidRPr="003A6DFC">
              <w:rPr>
                <w:rFonts w:ascii="Century" w:hAnsi="Century"/>
                <w:b/>
                <w:bCs/>
                <w:sz w:val="20"/>
                <w:szCs w:val="20"/>
                <w:lang w:eastAsia="en-GB"/>
              </w:rPr>
              <w:t xml:space="preserve">Table </w:t>
            </w:r>
            <w:r w:rsidR="00F84C8D" w:rsidRPr="003A6DFC">
              <w:rPr>
                <w:rFonts w:ascii="Century" w:hAnsi="Century"/>
                <w:b/>
                <w:bCs/>
                <w:sz w:val="20"/>
                <w:szCs w:val="20"/>
                <w:lang w:eastAsia="en-GB"/>
              </w:rPr>
              <w:t>4</w:t>
            </w:r>
            <w:r w:rsidRPr="003A6DFC">
              <w:rPr>
                <w:rFonts w:ascii="Century" w:hAnsi="Century"/>
                <w:b/>
                <w:bCs/>
                <w:sz w:val="20"/>
                <w:szCs w:val="20"/>
                <w:lang w:eastAsia="en-GB"/>
              </w:rPr>
              <w:t>.</w:t>
            </w:r>
            <w:r w:rsidRPr="003A6DFC">
              <w:rPr>
                <w:rFonts w:ascii="Century" w:hAnsi="Century"/>
                <w:sz w:val="20"/>
                <w:szCs w:val="20"/>
                <w:lang w:eastAsia="en-GB"/>
              </w:rPr>
              <w:t xml:space="preserve"> </w:t>
            </w:r>
            <w:r w:rsidRPr="003A6DFC">
              <w:rPr>
                <w:rFonts w:ascii="Century" w:eastAsia="Times New Roman" w:hAnsi="Century" w:cs="Times New Roman"/>
                <w:b/>
                <w:bCs/>
                <w:sz w:val="20"/>
                <w:szCs w:val="20"/>
                <w:lang w:eastAsia="en-GB"/>
              </w:rPr>
              <w:t xml:space="preserve">Pooled </w:t>
            </w:r>
            <w:proofErr w:type="spellStart"/>
            <w:r w:rsidRPr="003A6DFC">
              <w:rPr>
                <w:rFonts w:ascii="Century" w:eastAsia="Times New Roman" w:hAnsi="Century" w:cs="Times New Roman"/>
                <w:b/>
                <w:bCs/>
                <w:sz w:val="20"/>
                <w:szCs w:val="20"/>
                <w:lang w:eastAsia="en-GB"/>
              </w:rPr>
              <w:t>probit</w:t>
            </w:r>
            <w:proofErr w:type="spellEnd"/>
            <w:r w:rsidRPr="003A6DFC">
              <w:rPr>
                <w:rFonts w:ascii="Century" w:eastAsia="Times New Roman" w:hAnsi="Century" w:cs="Times New Roman"/>
                <w:b/>
                <w:bCs/>
                <w:sz w:val="20"/>
                <w:szCs w:val="20"/>
                <w:lang w:eastAsia="en-GB"/>
              </w:rPr>
              <w:t xml:space="preserve"> model and random effects (RE) </w:t>
            </w:r>
            <w:proofErr w:type="spellStart"/>
            <w:r w:rsidRPr="003A6DFC">
              <w:rPr>
                <w:rFonts w:ascii="Century" w:eastAsia="Times New Roman" w:hAnsi="Century" w:cs="Times New Roman"/>
                <w:b/>
                <w:bCs/>
                <w:sz w:val="20"/>
                <w:szCs w:val="20"/>
                <w:lang w:eastAsia="en-GB"/>
              </w:rPr>
              <w:t>probit</w:t>
            </w:r>
            <w:proofErr w:type="spellEnd"/>
            <w:r w:rsidRPr="003A6DFC">
              <w:rPr>
                <w:rFonts w:ascii="Century" w:eastAsia="Times New Roman" w:hAnsi="Century" w:cs="Times New Roman"/>
                <w:b/>
                <w:bCs/>
                <w:sz w:val="20"/>
                <w:szCs w:val="20"/>
                <w:lang w:eastAsia="en-GB"/>
              </w:rPr>
              <w:t xml:space="preserve"> model for inconsistent responses to SAH questions</w:t>
            </w:r>
            <w:r w:rsidRPr="003A6DFC">
              <w:rPr>
                <w:rFonts w:ascii="Century" w:hAnsi="Century"/>
                <w:b/>
                <w:bCs/>
                <w:sz w:val="20"/>
                <w:szCs w:val="20"/>
                <w:lang w:eastAsia="en-GB"/>
              </w:rPr>
              <w:t xml:space="preserve">: </w:t>
            </w:r>
            <w:r w:rsidR="001904A9" w:rsidRPr="003A6DFC">
              <w:rPr>
                <w:rFonts w:ascii="Century" w:hAnsi="Century"/>
                <w:b/>
                <w:bCs/>
                <w:sz w:val="20"/>
                <w:szCs w:val="20"/>
                <w:lang w:eastAsia="en-GB"/>
              </w:rPr>
              <w:t>marginal</w:t>
            </w:r>
            <w:r w:rsidRPr="003A6DFC">
              <w:rPr>
                <w:rFonts w:ascii="Century" w:hAnsi="Century"/>
                <w:b/>
                <w:bCs/>
                <w:sz w:val="20"/>
                <w:szCs w:val="20"/>
                <w:lang w:eastAsia="en-GB"/>
              </w:rPr>
              <w:t xml:space="preserve"> effects </w:t>
            </w:r>
          </w:p>
        </w:tc>
      </w:tr>
      <w:tr w:rsidR="00C24905" w:rsidRPr="003A6DFC" w14:paraId="2F93D0B7" w14:textId="77777777" w:rsidTr="00BB4740">
        <w:trPr>
          <w:trHeight w:val="288"/>
          <w:jc w:val="center"/>
        </w:trPr>
        <w:tc>
          <w:tcPr>
            <w:tcW w:w="3828" w:type="dxa"/>
            <w:tcBorders>
              <w:top w:val="single" w:sz="4" w:space="0" w:color="auto"/>
            </w:tcBorders>
            <w:shd w:val="clear" w:color="auto" w:fill="auto"/>
            <w:noWrap/>
            <w:vAlign w:val="center"/>
          </w:tcPr>
          <w:p w14:paraId="415CF185" w14:textId="77777777" w:rsidR="00C24905" w:rsidRPr="003A6DFC" w:rsidRDefault="00C24905" w:rsidP="00BB4740">
            <w:pPr>
              <w:pStyle w:val="SemEspaamento"/>
              <w:rPr>
                <w:rFonts w:ascii="Century" w:hAnsi="Century"/>
                <w:sz w:val="18"/>
                <w:szCs w:val="18"/>
                <w:lang w:eastAsia="en-GB"/>
              </w:rPr>
            </w:pPr>
          </w:p>
        </w:tc>
        <w:tc>
          <w:tcPr>
            <w:tcW w:w="2499" w:type="dxa"/>
            <w:gridSpan w:val="2"/>
            <w:tcBorders>
              <w:top w:val="single" w:sz="4" w:space="0" w:color="auto"/>
            </w:tcBorders>
            <w:shd w:val="clear" w:color="auto" w:fill="auto"/>
            <w:noWrap/>
            <w:vAlign w:val="center"/>
          </w:tcPr>
          <w:p w14:paraId="25AA5010" w14:textId="77777777" w:rsidR="00C24905" w:rsidRPr="003A6DFC" w:rsidRDefault="00C24905" w:rsidP="00BB4740">
            <w:pPr>
              <w:pStyle w:val="SemEspaamento"/>
              <w:jc w:val="center"/>
              <w:rPr>
                <w:rFonts w:ascii="Century" w:hAnsi="Century"/>
                <w:b/>
                <w:bCs/>
                <w:sz w:val="18"/>
                <w:szCs w:val="18"/>
                <w:lang w:eastAsia="en-GB"/>
              </w:rPr>
            </w:pPr>
            <w:r w:rsidRPr="003A6DFC">
              <w:rPr>
                <w:rFonts w:ascii="Century" w:hAnsi="Century"/>
                <w:b/>
                <w:bCs/>
                <w:sz w:val="18"/>
                <w:szCs w:val="18"/>
                <w:lang w:eastAsia="en-GB"/>
              </w:rPr>
              <w:t xml:space="preserve">Pooled </w:t>
            </w:r>
            <w:proofErr w:type="spellStart"/>
            <w:r w:rsidRPr="003A6DFC">
              <w:rPr>
                <w:rFonts w:ascii="Century" w:hAnsi="Century"/>
                <w:b/>
                <w:bCs/>
                <w:sz w:val="18"/>
                <w:szCs w:val="18"/>
                <w:lang w:eastAsia="en-GB"/>
              </w:rPr>
              <w:t>probit</w:t>
            </w:r>
            <w:proofErr w:type="spellEnd"/>
          </w:p>
        </w:tc>
        <w:tc>
          <w:tcPr>
            <w:tcW w:w="2499" w:type="dxa"/>
            <w:gridSpan w:val="2"/>
            <w:tcBorders>
              <w:top w:val="single" w:sz="4" w:space="0" w:color="auto"/>
              <w:bottom w:val="single" w:sz="4" w:space="0" w:color="auto"/>
            </w:tcBorders>
            <w:shd w:val="clear" w:color="auto" w:fill="auto"/>
            <w:noWrap/>
            <w:vAlign w:val="center"/>
          </w:tcPr>
          <w:p w14:paraId="11CE3A00" w14:textId="77777777" w:rsidR="00C24905" w:rsidRPr="003A6DFC" w:rsidRDefault="00C24905" w:rsidP="00BB4740">
            <w:pPr>
              <w:pStyle w:val="SemEspaamento"/>
              <w:jc w:val="center"/>
              <w:rPr>
                <w:rFonts w:ascii="Century" w:hAnsi="Century"/>
                <w:b/>
                <w:bCs/>
                <w:sz w:val="18"/>
                <w:szCs w:val="18"/>
                <w:lang w:eastAsia="en-GB"/>
              </w:rPr>
            </w:pPr>
            <w:r w:rsidRPr="003A6DFC">
              <w:rPr>
                <w:rFonts w:ascii="Century" w:hAnsi="Century"/>
                <w:b/>
                <w:bCs/>
                <w:sz w:val="18"/>
                <w:szCs w:val="18"/>
                <w:lang w:eastAsia="en-GB"/>
              </w:rPr>
              <w:t xml:space="preserve">RE </w:t>
            </w:r>
            <w:proofErr w:type="spellStart"/>
            <w:r w:rsidRPr="003A6DFC">
              <w:rPr>
                <w:rFonts w:ascii="Century" w:hAnsi="Century"/>
                <w:b/>
                <w:bCs/>
                <w:sz w:val="18"/>
                <w:szCs w:val="18"/>
                <w:lang w:eastAsia="en-GB"/>
              </w:rPr>
              <w:t>probit</w:t>
            </w:r>
            <w:proofErr w:type="spellEnd"/>
            <w:r w:rsidRPr="003A6DFC">
              <w:rPr>
                <w:rFonts w:ascii="Century" w:hAnsi="Century"/>
                <w:b/>
                <w:bCs/>
                <w:sz w:val="18"/>
                <w:szCs w:val="18"/>
                <w:lang w:eastAsia="en-GB"/>
              </w:rPr>
              <w:t xml:space="preserve"> model</w:t>
            </w:r>
          </w:p>
        </w:tc>
      </w:tr>
      <w:tr w:rsidR="00C24905" w:rsidRPr="003A6DFC" w14:paraId="503F0854" w14:textId="77777777" w:rsidTr="00BB4740">
        <w:trPr>
          <w:trHeight w:val="288"/>
          <w:jc w:val="center"/>
        </w:trPr>
        <w:tc>
          <w:tcPr>
            <w:tcW w:w="3828" w:type="dxa"/>
            <w:tcBorders>
              <w:bottom w:val="single" w:sz="4" w:space="0" w:color="auto"/>
            </w:tcBorders>
            <w:shd w:val="clear" w:color="auto" w:fill="auto"/>
            <w:noWrap/>
            <w:vAlign w:val="bottom"/>
          </w:tcPr>
          <w:p w14:paraId="54BAD798" w14:textId="77777777" w:rsidR="00C24905" w:rsidRPr="003A6DFC" w:rsidRDefault="00C24905" w:rsidP="00BB4740">
            <w:pPr>
              <w:pStyle w:val="SemEspaamento"/>
              <w:rPr>
                <w:rFonts w:ascii="Century" w:hAnsi="Century"/>
                <w:sz w:val="18"/>
                <w:szCs w:val="18"/>
                <w:lang w:eastAsia="en-GB"/>
              </w:rPr>
            </w:pPr>
            <w:r w:rsidRPr="003A6DFC">
              <w:rPr>
                <w:rFonts w:ascii="Century" w:eastAsia="Times New Roman" w:hAnsi="Century" w:cs="Times New Roman"/>
                <w:b/>
                <w:bCs/>
                <w:sz w:val="18"/>
                <w:szCs w:val="18"/>
                <w:lang w:eastAsia="en-GB"/>
              </w:rPr>
              <w:t>Covariates</w:t>
            </w:r>
          </w:p>
        </w:tc>
        <w:tc>
          <w:tcPr>
            <w:tcW w:w="1249" w:type="dxa"/>
            <w:tcBorders>
              <w:top w:val="single" w:sz="4" w:space="0" w:color="auto"/>
              <w:bottom w:val="single" w:sz="4" w:space="0" w:color="auto"/>
            </w:tcBorders>
            <w:shd w:val="clear" w:color="auto" w:fill="auto"/>
            <w:noWrap/>
            <w:vAlign w:val="center"/>
          </w:tcPr>
          <w:p w14:paraId="1EEDB744" w14:textId="577BDC40" w:rsidR="00C24905" w:rsidRPr="003A6DFC" w:rsidRDefault="00807204" w:rsidP="00BB4740">
            <w:pPr>
              <w:pStyle w:val="SemEspaamento"/>
              <w:jc w:val="center"/>
              <w:rPr>
                <w:rFonts w:ascii="Century" w:hAnsi="Century"/>
                <w:b/>
                <w:bCs/>
                <w:sz w:val="18"/>
                <w:szCs w:val="18"/>
                <w:lang w:eastAsia="en-GB"/>
              </w:rPr>
            </w:pPr>
            <w:r w:rsidRPr="003A6DFC">
              <w:rPr>
                <w:rFonts w:ascii="Century" w:hAnsi="Century"/>
                <w:b/>
                <w:bCs/>
                <w:sz w:val="18"/>
                <w:szCs w:val="18"/>
                <w:lang w:eastAsia="en-GB"/>
              </w:rPr>
              <w:t>Marginal Effects</w:t>
            </w:r>
          </w:p>
        </w:tc>
        <w:tc>
          <w:tcPr>
            <w:tcW w:w="1250" w:type="dxa"/>
            <w:tcBorders>
              <w:top w:val="single" w:sz="4" w:space="0" w:color="auto"/>
              <w:bottom w:val="single" w:sz="4" w:space="0" w:color="auto"/>
            </w:tcBorders>
            <w:shd w:val="clear" w:color="auto" w:fill="auto"/>
            <w:noWrap/>
            <w:vAlign w:val="center"/>
          </w:tcPr>
          <w:p w14:paraId="209C6566" w14:textId="77777777" w:rsidR="00C24905" w:rsidRPr="003A6DFC" w:rsidRDefault="00C24905" w:rsidP="00BB4740">
            <w:pPr>
              <w:pStyle w:val="SemEspaamento"/>
              <w:jc w:val="center"/>
              <w:rPr>
                <w:rFonts w:ascii="Century" w:hAnsi="Century"/>
                <w:b/>
                <w:bCs/>
                <w:sz w:val="18"/>
                <w:szCs w:val="18"/>
                <w:lang w:eastAsia="en-GB"/>
              </w:rPr>
            </w:pPr>
            <w:r w:rsidRPr="003A6DFC">
              <w:rPr>
                <w:rFonts w:ascii="Century" w:hAnsi="Century"/>
                <w:b/>
                <w:bCs/>
                <w:sz w:val="18"/>
                <w:szCs w:val="18"/>
                <w:lang w:eastAsia="en-GB"/>
              </w:rPr>
              <w:t>SE</w:t>
            </w:r>
          </w:p>
        </w:tc>
        <w:tc>
          <w:tcPr>
            <w:tcW w:w="1249" w:type="dxa"/>
            <w:tcBorders>
              <w:top w:val="single" w:sz="4" w:space="0" w:color="auto"/>
              <w:bottom w:val="single" w:sz="4" w:space="0" w:color="auto"/>
            </w:tcBorders>
            <w:shd w:val="clear" w:color="auto" w:fill="auto"/>
            <w:noWrap/>
            <w:vAlign w:val="center"/>
          </w:tcPr>
          <w:p w14:paraId="2AEACEA6" w14:textId="21FC8BA6" w:rsidR="00C24905" w:rsidRPr="003A6DFC" w:rsidRDefault="00807204" w:rsidP="00BB4740">
            <w:pPr>
              <w:pStyle w:val="SemEspaamento"/>
              <w:jc w:val="center"/>
              <w:rPr>
                <w:rFonts w:ascii="Century" w:hAnsi="Century"/>
                <w:b/>
                <w:bCs/>
                <w:sz w:val="18"/>
                <w:szCs w:val="18"/>
                <w:lang w:eastAsia="en-GB"/>
              </w:rPr>
            </w:pPr>
            <w:r w:rsidRPr="003A6DFC">
              <w:rPr>
                <w:rFonts w:ascii="Century" w:hAnsi="Century"/>
                <w:b/>
                <w:bCs/>
                <w:sz w:val="18"/>
                <w:szCs w:val="18"/>
                <w:lang w:eastAsia="en-GB"/>
              </w:rPr>
              <w:t>Marginal effects</w:t>
            </w:r>
          </w:p>
        </w:tc>
        <w:tc>
          <w:tcPr>
            <w:tcW w:w="1250" w:type="dxa"/>
            <w:tcBorders>
              <w:top w:val="single" w:sz="4" w:space="0" w:color="auto"/>
              <w:bottom w:val="single" w:sz="4" w:space="0" w:color="auto"/>
            </w:tcBorders>
            <w:shd w:val="clear" w:color="auto" w:fill="auto"/>
            <w:noWrap/>
            <w:vAlign w:val="center"/>
          </w:tcPr>
          <w:p w14:paraId="0D0692EB" w14:textId="77777777" w:rsidR="00C24905" w:rsidRPr="003A6DFC" w:rsidRDefault="00C24905" w:rsidP="00BB4740">
            <w:pPr>
              <w:pStyle w:val="SemEspaamento"/>
              <w:jc w:val="center"/>
              <w:rPr>
                <w:rFonts w:ascii="Century" w:hAnsi="Century"/>
                <w:b/>
                <w:bCs/>
                <w:sz w:val="18"/>
                <w:szCs w:val="18"/>
                <w:lang w:eastAsia="en-GB"/>
              </w:rPr>
            </w:pPr>
            <w:r w:rsidRPr="003A6DFC">
              <w:rPr>
                <w:rFonts w:ascii="Century" w:hAnsi="Century"/>
                <w:b/>
                <w:bCs/>
                <w:sz w:val="18"/>
                <w:szCs w:val="18"/>
                <w:lang w:eastAsia="en-GB"/>
              </w:rPr>
              <w:t>SE</w:t>
            </w:r>
          </w:p>
        </w:tc>
      </w:tr>
      <w:tr w:rsidR="00C24905" w:rsidRPr="003A6DFC" w14:paraId="4ABC4977" w14:textId="77777777" w:rsidTr="00BB4740">
        <w:trPr>
          <w:trHeight w:val="170"/>
          <w:jc w:val="center"/>
        </w:trPr>
        <w:tc>
          <w:tcPr>
            <w:tcW w:w="3828" w:type="dxa"/>
            <w:tcBorders>
              <w:top w:val="single" w:sz="4" w:space="0" w:color="auto"/>
            </w:tcBorders>
            <w:shd w:val="clear" w:color="auto" w:fill="auto"/>
            <w:noWrap/>
            <w:vAlign w:val="center"/>
            <w:hideMark/>
          </w:tcPr>
          <w:p w14:paraId="1D2F58E2"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Male</w:t>
            </w:r>
          </w:p>
        </w:tc>
        <w:tc>
          <w:tcPr>
            <w:tcW w:w="1249" w:type="dxa"/>
            <w:tcBorders>
              <w:top w:val="single" w:sz="4" w:space="0" w:color="auto"/>
            </w:tcBorders>
            <w:shd w:val="clear" w:color="auto" w:fill="auto"/>
            <w:noWrap/>
            <w:vAlign w:val="center"/>
            <w:hideMark/>
          </w:tcPr>
          <w:p w14:paraId="3C718BD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0.0255***</w:t>
            </w:r>
          </w:p>
        </w:tc>
        <w:tc>
          <w:tcPr>
            <w:tcW w:w="1250" w:type="dxa"/>
            <w:tcBorders>
              <w:top w:val="single" w:sz="4" w:space="0" w:color="auto"/>
            </w:tcBorders>
            <w:shd w:val="clear" w:color="auto" w:fill="auto"/>
            <w:noWrap/>
            <w:vAlign w:val="center"/>
            <w:hideMark/>
          </w:tcPr>
          <w:p w14:paraId="6B0E008E"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0.0034</w:t>
            </w:r>
          </w:p>
        </w:tc>
        <w:tc>
          <w:tcPr>
            <w:tcW w:w="1249" w:type="dxa"/>
            <w:tcBorders>
              <w:top w:val="single" w:sz="4" w:space="0" w:color="auto"/>
            </w:tcBorders>
            <w:shd w:val="clear" w:color="auto" w:fill="auto"/>
            <w:noWrap/>
            <w:vAlign w:val="center"/>
          </w:tcPr>
          <w:p w14:paraId="13383EC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0.0259***</w:t>
            </w:r>
          </w:p>
        </w:tc>
        <w:tc>
          <w:tcPr>
            <w:tcW w:w="1250" w:type="dxa"/>
            <w:tcBorders>
              <w:top w:val="single" w:sz="4" w:space="0" w:color="auto"/>
            </w:tcBorders>
            <w:shd w:val="clear" w:color="auto" w:fill="auto"/>
            <w:noWrap/>
            <w:vAlign w:val="center"/>
          </w:tcPr>
          <w:p w14:paraId="6FCDF1A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0.0034</w:t>
            </w:r>
          </w:p>
        </w:tc>
      </w:tr>
      <w:tr w:rsidR="00C24905" w:rsidRPr="003A6DFC" w14:paraId="5C8CD575" w14:textId="77777777" w:rsidTr="00BB4740">
        <w:trPr>
          <w:trHeight w:val="170"/>
          <w:jc w:val="center"/>
        </w:trPr>
        <w:tc>
          <w:tcPr>
            <w:tcW w:w="3828" w:type="dxa"/>
            <w:shd w:val="clear" w:color="auto" w:fill="auto"/>
            <w:noWrap/>
            <w:vAlign w:val="center"/>
            <w:hideMark/>
          </w:tcPr>
          <w:p w14:paraId="345B4441"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Aged 26-35</w:t>
            </w:r>
          </w:p>
        </w:tc>
        <w:tc>
          <w:tcPr>
            <w:tcW w:w="1249" w:type="dxa"/>
            <w:shd w:val="clear" w:color="auto" w:fill="auto"/>
            <w:noWrap/>
            <w:vAlign w:val="center"/>
            <w:hideMark/>
          </w:tcPr>
          <w:p w14:paraId="2C564C4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-0.0210***</w:t>
            </w:r>
          </w:p>
        </w:tc>
        <w:tc>
          <w:tcPr>
            <w:tcW w:w="1250" w:type="dxa"/>
            <w:shd w:val="clear" w:color="auto" w:fill="auto"/>
            <w:noWrap/>
            <w:vAlign w:val="center"/>
            <w:hideMark/>
          </w:tcPr>
          <w:p w14:paraId="05B9116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0.0067</w:t>
            </w:r>
          </w:p>
        </w:tc>
        <w:tc>
          <w:tcPr>
            <w:tcW w:w="1249" w:type="dxa"/>
            <w:shd w:val="clear" w:color="auto" w:fill="auto"/>
            <w:noWrap/>
            <w:vAlign w:val="center"/>
          </w:tcPr>
          <w:p w14:paraId="27DCFBC0"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-0.0208***</w:t>
            </w:r>
          </w:p>
        </w:tc>
        <w:tc>
          <w:tcPr>
            <w:tcW w:w="1250" w:type="dxa"/>
            <w:shd w:val="clear" w:color="auto" w:fill="auto"/>
            <w:noWrap/>
            <w:vAlign w:val="center"/>
          </w:tcPr>
          <w:p w14:paraId="63B2C71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0.0067</w:t>
            </w:r>
          </w:p>
        </w:tc>
      </w:tr>
      <w:tr w:rsidR="00C24905" w:rsidRPr="003A6DFC" w14:paraId="5DBC2C8E" w14:textId="77777777" w:rsidTr="00BB4740">
        <w:trPr>
          <w:trHeight w:val="170"/>
          <w:jc w:val="center"/>
        </w:trPr>
        <w:tc>
          <w:tcPr>
            <w:tcW w:w="3828" w:type="dxa"/>
            <w:shd w:val="clear" w:color="auto" w:fill="auto"/>
            <w:noWrap/>
            <w:vAlign w:val="center"/>
            <w:hideMark/>
          </w:tcPr>
          <w:p w14:paraId="21E5DF5E"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Aged 36-45</w:t>
            </w:r>
          </w:p>
        </w:tc>
        <w:tc>
          <w:tcPr>
            <w:tcW w:w="1249" w:type="dxa"/>
            <w:shd w:val="clear" w:color="auto" w:fill="auto"/>
            <w:noWrap/>
            <w:vAlign w:val="center"/>
            <w:hideMark/>
          </w:tcPr>
          <w:p w14:paraId="0AB6E84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-0.0173**</w:t>
            </w:r>
          </w:p>
        </w:tc>
        <w:tc>
          <w:tcPr>
            <w:tcW w:w="1250" w:type="dxa"/>
            <w:shd w:val="clear" w:color="auto" w:fill="auto"/>
            <w:noWrap/>
            <w:vAlign w:val="center"/>
            <w:hideMark/>
          </w:tcPr>
          <w:p w14:paraId="25F9981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0.0069</w:t>
            </w:r>
          </w:p>
        </w:tc>
        <w:tc>
          <w:tcPr>
            <w:tcW w:w="1249" w:type="dxa"/>
            <w:shd w:val="clear" w:color="auto" w:fill="auto"/>
            <w:noWrap/>
            <w:vAlign w:val="center"/>
          </w:tcPr>
          <w:p w14:paraId="734BF82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-0.0173**</w:t>
            </w:r>
          </w:p>
        </w:tc>
        <w:tc>
          <w:tcPr>
            <w:tcW w:w="1250" w:type="dxa"/>
            <w:shd w:val="clear" w:color="auto" w:fill="auto"/>
            <w:noWrap/>
            <w:vAlign w:val="center"/>
          </w:tcPr>
          <w:p w14:paraId="447BD58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0.0069</w:t>
            </w:r>
          </w:p>
        </w:tc>
      </w:tr>
      <w:tr w:rsidR="00C24905" w:rsidRPr="003A6DFC" w14:paraId="20F123E2" w14:textId="77777777" w:rsidTr="00BB4740">
        <w:trPr>
          <w:trHeight w:val="170"/>
          <w:jc w:val="center"/>
        </w:trPr>
        <w:tc>
          <w:tcPr>
            <w:tcW w:w="3828" w:type="dxa"/>
            <w:shd w:val="clear" w:color="auto" w:fill="auto"/>
            <w:noWrap/>
            <w:vAlign w:val="center"/>
            <w:hideMark/>
          </w:tcPr>
          <w:p w14:paraId="1706357B"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Aged 46-55</w:t>
            </w:r>
          </w:p>
        </w:tc>
        <w:tc>
          <w:tcPr>
            <w:tcW w:w="1249" w:type="dxa"/>
            <w:shd w:val="clear" w:color="auto" w:fill="auto"/>
            <w:noWrap/>
            <w:vAlign w:val="center"/>
            <w:hideMark/>
          </w:tcPr>
          <w:p w14:paraId="643E66C1"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-0.0019</w:t>
            </w:r>
          </w:p>
        </w:tc>
        <w:tc>
          <w:tcPr>
            <w:tcW w:w="1250" w:type="dxa"/>
            <w:shd w:val="clear" w:color="auto" w:fill="auto"/>
            <w:noWrap/>
            <w:vAlign w:val="center"/>
            <w:hideMark/>
          </w:tcPr>
          <w:p w14:paraId="48F8E75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0.0071</w:t>
            </w:r>
          </w:p>
        </w:tc>
        <w:tc>
          <w:tcPr>
            <w:tcW w:w="1249" w:type="dxa"/>
            <w:shd w:val="clear" w:color="auto" w:fill="auto"/>
            <w:noWrap/>
            <w:vAlign w:val="center"/>
          </w:tcPr>
          <w:p w14:paraId="0FD087D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-0.0022</w:t>
            </w:r>
          </w:p>
        </w:tc>
        <w:tc>
          <w:tcPr>
            <w:tcW w:w="1250" w:type="dxa"/>
            <w:shd w:val="clear" w:color="auto" w:fill="auto"/>
            <w:noWrap/>
            <w:vAlign w:val="center"/>
          </w:tcPr>
          <w:p w14:paraId="4DF73D2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0.0071</w:t>
            </w:r>
          </w:p>
        </w:tc>
      </w:tr>
      <w:tr w:rsidR="00C24905" w:rsidRPr="003A6DFC" w14:paraId="3B5291F3" w14:textId="77777777" w:rsidTr="00BB4740">
        <w:trPr>
          <w:trHeight w:val="170"/>
          <w:jc w:val="center"/>
        </w:trPr>
        <w:tc>
          <w:tcPr>
            <w:tcW w:w="3828" w:type="dxa"/>
            <w:shd w:val="clear" w:color="auto" w:fill="auto"/>
            <w:noWrap/>
            <w:vAlign w:val="center"/>
            <w:hideMark/>
          </w:tcPr>
          <w:p w14:paraId="5DFA697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Aged 56-65</w:t>
            </w:r>
          </w:p>
        </w:tc>
        <w:tc>
          <w:tcPr>
            <w:tcW w:w="1249" w:type="dxa"/>
            <w:shd w:val="clear" w:color="auto" w:fill="auto"/>
            <w:noWrap/>
            <w:vAlign w:val="center"/>
            <w:hideMark/>
          </w:tcPr>
          <w:p w14:paraId="6AAD0EA9"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-0.0178**</w:t>
            </w:r>
          </w:p>
        </w:tc>
        <w:tc>
          <w:tcPr>
            <w:tcW w:w="1250" w:type="dxa"/>
            <w:shd w:val="clear" w:color="auto" w:fill="auto"/>
            <w:noWrap/>
            <w:vAlign w:val="center"/>
            <w:hideMark/>
          </w:tcPr>
          <w:p w14:paraId="0C18631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0.0074</w:t>
            </w:r>
          </w:p>
        </w:tc>
        <w:tc>
          <w:tcPr>
            <w:tcW w:w="1249" w:type="dxa"/>
            <w:shd w:val="clear" w:color="auto" w:fill="auto"/>
            <w:noWrap/>
            <w:vAlign w:val="center"/>
          </w:tcPr>
          <w:p w14:paraId="1E9DCF8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-0.0173**</w:t>
            </w:r>
          </w:p>
        </w:tc>
        <w:tc>
          <w:tcPr>
            <w:tcW w:w="1250" w:type="dxa"/>
            <w:shd w:val="clear" w:color="auto" w:fill="auto"/>
            <w:noWrap/>
            <w:vAlign w:val="center"/>
          </w:tcPr>
          <w:p w14:paraId="272E6E8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0.0074</w:t>
            </w:r>
          </w:p>
        </w:tc>
      </w:tr>
      <w:tr w:rsidR="00C24905" w:rsidRPr="003A6DFC" w14:paraId="35CFB752" w14:textId="77777777" w:rsidTr="00BB4740">
        <w:trPr>
          <w:trHeight w:val="170"/>
          <w:jc w:val="center"/>
        </w:trPr>
        <w:tc>
          <w:tcPr>
            <w:tcW w:w="3828" w:type="dxa"/>
            <w:shd w:val="clear" w:color="auto" w:fill="auto"/>
            <w:noWrap/>
            <w:vAlign w:val="center"/>
            <w:hideMark/>
          </w:tcPr>
          <w:p w14:paraId="69B5E281"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Aged 66-75</w:t>
            </w:r>
          </w:p>
        </w:tc>
        <w:tc>
          <w:tcPr>
            <w:tcW w:w="1249" w:type="dxa"/>
            <w:shd w:val="clear" w:color="auto" w:fill="auto"/>
            <w:noWrap/>
            <w:vAlign w:val="center"/>
            <w:hideMark/>
          </w:tcPr>
          <w:p w14:paraId="01BF56CB"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-0.0056</w:t>
            </w:r>
          </w:p>
        </w:tc>
        <w:tc>
          <w:tcPr>
            <w:tcW w:w="1250" w:type="dxa"/>
            <w:shd w:val="clear" w:color="auto" w:fill="auto"/>
            <w:noWrap/>
            <w:vAlign w:val="center"/>
            <w:hideMark/>
          </w:tcPr>
          <w:p w14:paraId="24715AC0"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0.0093</w:t>
            </w:r>
          </w:p>
        </w:tc>
        <w:tc>
          <w:tcPr>
            <w:tcW w:w="1249" w:type="dxa"/>
            <w:shd w:val="clear" w:color="auto" w:fill="auto"/>
            <w:noWrap/>
            <w:vAlign w:val="center"/>
          </w:tcPr>
          <w:p w14:paraId="2BB349A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-0.0061</w:t>
            </w:r>
          </w:p>
        </w:tc>
        <w:tc>
          <w:tcPr>
            <w:tcW w:w="1250" w:type="dxa"/>
            <w:shd w:val="clear" w:color="auto" w:fill="auto"/>
            <w:noWrap/>
            <w:vAlign w:val="center"/>
          </w:tcPr>
          <w:p w14:paraId="181D443E"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0.0092</w:t>
            </w:r>
          </w:p>
        </w:tc>
      </w:tr>
      <w:tr w:rsidR="00C24905" w:rsidRPr="003A6DFC" w14:paraId="4A7CB536" w14:textId="77777777" w:rsidTr="00BB4740">
        <w:trPr>
          <w:trHeight w:val="170"/>
          <w:jc w:val="center"/>
        </w:trPr>
        <w:tc>
          <w:tcPr>
            <w:tcW w:w="3828" w:type="dxa"/>
            <w:shd w:val="clear" w:color="auto" w:fill="auto"/>
            <w:noWrap/>
            <w:vAlign w:val="center"/>
            <w:hideMark/>
          </w:tcPr>
          <w:p w14:paraId="7CB8927C"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Aged 76-85</w:t>
            </w:r>
          </w:p>
        </w:tc>
        <w:tc>
          <w:tcPr>
            <w:tcW w:w="1249" w:type="dxa"/>
            <w:shd w:val="clear" w:color="auto" w:fill="auto"/>
            <w:noWrap/>
            <w:vAlign w:val="center"/>
            <w:hideMark/>
          </w:tcPr>
          <w:p w14:paraId="4FD8AD1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-0.0055</w:t>
            </w:r>
          </w:p>
        </w:tc>
        <w:tc>
          <w:tcPr>
            <w:tcW w:w="1250" w:type="dxa"/>
            <w:shd w:val="clear" w:color="auto" w:fill="auto"/>
            <w:noWrap/>
            <w:vAlign w:val="center"/>
            <w:hideMark/>
          </w:tcPr>
          <w:p w14:paraId="4675F3FF"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0.0110</w:t>
            </w:r>
          </w:p>
        </w:tc>
        <w:tc>
          <w:tcPr>
            <w:tcW w:w="1249" w:type="dxa"/>
            <w:shd w:val="clear" w:color="auto" w:fill="auto"/>
            <w:noWrap/>
            <w:vAlign w:val="center"/>
          </w:tcPr>
          <w:p w14:paraId="361E5BE6"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-0.0059</w:t>
            </w:r>
          </w:p>
        </w:tc>
        <w:tc>
          <w:tcPr>
            <w:tcW w:w="1250" w:type="dxa"/>
            <w:shd w:val="clear" w:color="auto" w:fill="auto"/>
            <w:noWrap/>
            <w:vAlign w:val="center"/>
          </w:tcPr>
          <w:p w14:paraId="45B84D5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0.0110</w:t>
            </w:r>
          </w:p>
        </w:tc>
      </w:tr>
      <w:tr w:rsidR="00C24905" w:rsidRPr="003A6DFC" w14:paraId="5DC1AE39" w14:textId="77777777" w:rsidTr="00BB4740">
        <w:trPr>
          <w:trHeight w:val="170"/>
          <w:jc w:val="center"/>
        </w:trPr>
        <w:tc>
          <w:tcPr>
            <w:tcW w:w="3828" w:type="dxa"/>
            <w:shd w:val="clear" w:color="auto" w:fill="auto"/>
            <w:noWrap/>
            <w:vAlign w:val="center"/>
            <w:hideMark/>
          </w:tcPr>
          <w:p w14:paraId="2D40BCF3"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Aged 86 and older</w:t>
            </w:r>
          </w:p>
        </w:tc>
        <w:tc>
          <w:tcPr>
            <w:tcW w:w="1249" w:type="dxa"/>
            <w:shd w:val="clear" w:color="auto" w:fill="auto"/>
            <w:noWrap/>
            <w:vAlign w:val="center"/>
            <w:hideMark/>
          </w:tcPr>
          <w:p w14:paraId="279D721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0.0006</w:t>
            </w:r>
          </w:p>
        </w:tc>
        <w:tc>
          <w:tcPr>
            <w:tcW w:w="1250" w:type="dxa"/>
            <w:shd w:val="clear" w:color="auto" w:fill="auto"/>
            <w:noWrap/>
            <w:vAlign w:val="center"/>
            <w:hideMark/>
          </w:tcPr>
          <w:p w14:paraId="5E2DF46E"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0.0189</w:t>
            </w:r>
          </w:p>
        </w:tc>
        <w:tc>
          <w:tcPr>
            <w:tcW w:w="1249" w:type="dxa"/>
            <w:shd w:val="clear" w:color="auto" w:fill="auto"/>
            <w:noWrap/>
            <w:vAlign w:val="center"/>
          </w:tcPr>
          <w:p w14:paraId="2406FC46"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-0.0021</w:t>
            </w:r>
          </w:p>
        </w:tc>
        <w:tc>
          <w:tcPr>
            <w:tcW w:w="1250" w:type="dxa"/>
            <w:shd w:val="clear" w:color="auto" w:fill="auto"/>
            <w:noWrap/>
            <w:vAlign w:val="center"/>
          </w:tcPr>
          <w:p w14:paraId="3B08DAE1"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0.0187</w:t>
            </w:r>
          </w:p>
        </w:tc>
      </w:tr>
      <w:tr w:rsidR="00C24905" w:rsidRPr="003A6DFC" w14:paraId="48718CAE" w14:textId="77777777" w:rsidTr="00BB4740">
        <w:trPr>
          <w:trHeight w:val="170"/>
          <w:jc w:val="center"/>
        </w:trPr>
        <w:tc>
          <w:tcPr>
            <w:tcW w:w="3828" w:type="dxa"/>
            <w:shd w:val="clear" w:color="auto" w:fill="auto"/>
            <w:noWrap/>
            <w:vAlign w:val="center"/>
            <w:hideMark/>
          </w:tcPr>
          <w:p w14:paraId="6A459B4B"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Other higher qualification</w:t>
            </w:r>
          </w:p>
        </w:tc>
        <w:tc>
          <w:tcPr>
            <w:tcW w:w="1249" w:type="dxa"/>
            <w:shd w:val="clear" w:color="auto" w:fill="auto"/>
            <w:noWrap/>
            <w:vAlign w:val="center"/>
            <w:hideMark/>
          </w:tcPr>
          <w:p w14:paraId="0B637D3E"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0.0195***</w:t>
            </w:r>
          </w:p>
        </w:tc>
        <w:tc>
          <w:tcPr>
            <w:tcW w:w="1250" w:type="dxa"/>
            <w:shd w:val="clear" w:color="auto" w:fill="auto"/>
            <w:noWrap/>
            <w:vAlign w:val="center"/>
            <w:hideMark/>
          </w:tcPr>
          <w:p w14:paraId="02C863B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0.0055</w:t>
            </w:r>
          </w:p>
        </w:tc>
        <w:tc>
          <w:tcPr>
            <w:tcW w:w="1249" w:type="dxa"/>
            <w:shd w:val="clear" w:color="auto" w:fill="auto"/>
            <w:noWrap/>
            <w:vAlign w:val="center"/>
          </w:tcPr>
          <w:p w14:paraId="5CA5C25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0.0198***</w:t>
            </w:r>
          </w:p>
        </w:tc>
        <w:tc>
          <w:tcPr>
            <w:tcW w:w="1250" w:type="dxa"/>
            <w:shd w:val="clear" w:color="auto" w:fill="auto"/>
            <w:noWrap/>
            <w:vAlign w:val="center"/>
          </w:tcPr>
          <w:p w14:paraId="5E1E38AF"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0.0055</w:t>
            </w:r>
          </w:p>
        </w:tc>
      </w:tr>
      <w:tr w:rsidR="00C24905" w:rsidRPr="003A6DFC" w14:paraId="243BEA54" w14:textId="77777777" w:rsidTr="00BB4740">
        <w:trPr>
          <w:trHeight w:val="170"/>
          <w:jc w:val="center"/>
        </w:trPr>
        <w:tc>
          <w:tcPr>
            <w:tcW w:w="3828" w:type="dxa"/>
            <w:shd w:val="clear" w:color="auto" w:fill="auto"/>
            <w:noWrap/>
            <w:vAlign w:val="center"/>
            <w:hideMark/>
          </w:tcPr>
          <w:p w14:paraId="472ED9C2"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A-level</w:t>
            </w:r>
          </w:p>
        </w:tc>
        <w:tc>
          <w:tcPr>
            <w:tcW w:w="1249" w:type="dxa"/>
            <w:shd w:val="clear" w:color="auto" w:fill="auto"/>
            <w:noWrap/>
            <w:vAlign w:val="center"/>
            <w:hideMark/>
          </w:tcPr>
          <w:p w14:paraId="6B64CC8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0.0244***</w:t>
            </w:r>
          </w:p>
        </w:tc>
        <w:tc>
          <w:tcPr>
            <w:tcW w:w="1250" w:type="dxa"/>
            <w:shd w:val="clear" w:color="auto" w:fill="auto"/>
            <w:noWrap/>
            <w:vAlign w:val="center"/>
            <w:hideMark/>
          </w:tcPr>
          <w:p w14:paraId="15083EB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0.0049</w:t>
            </w:r>
          </w:p>
        </w:tc>
        <w:tc>
          <w:tcPr>
            <w:tcW w:w="1249" w:type="dxa"/>
            <w:shd w:val="clear" w:color="auto" w:fill="auto"/>
            <w:noWrap/>
            <w:vAlign w:val="center"/>
          </w:tcPr>
          <w:p w14:paraId="785A2E11"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0.0248***</w:t>
            </w:r>
          </w:p>
        </w:tc>
        <w:tc>
          <w:tcPr>
            <w:tcW w:w="1250" w:type="dxa"/>
            <w:shd w:val="clear" w:color="auto" w:fill="auto"/>
            <w:noWrap/>
            <w:vAlign w:val="center"/>
          </w:tcPr>
          <w:p w14:paraId="36A64899"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0.0049</w:t>
            </w:r>
          </w:p>
        </w:tc>
      </w:tr>
      <w:tr w:rsidR="00C24905" w:rsidRPr="003A6DFC" w14:paraId="29CE1F4B" w14:textId="77777777" w:rsidTr="00BB4740">
        <w:trPr>
          <w:trHeight w:val="170"/>
          <w:jc w:val="center"/>
        </w:trPr>
        <w:tc>
          <w:tcPr>
            <w:tcW w:w="3828" w:type="dxa"/>
            <w:shd w:val="clear" w:color="auto" w:fill="auto"/>
            <w:noWrap/>
            <w:vAlign w:val="center"/>
            <w:hideMark/>
          </w:tcPr>
          <w:p w14:paraId="29995CB4"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GCSE</w:t>
            </w:r>
          </w:p>
        </w:tc>
        <w:tc>
          <w:tcPr>
            <w:tcW w:w="1249" w:type="dxa"/>
            <w:shd w:val="clear" w:color="auto" w:fill="auto"/>
            <w:noWrap/>
            <w:vAlign w:val="center"/>
            <w:hideMark/>
          </w:tcPr>
          <w:p w14:paraId="7B86241A"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0.0405***</w:t>
            </w:r>
          </w:p>
        </w:tc>
        <w:tc>
          <w:tcPr>
            <w:tcW w:w="1250" w:type="dxa"/>
            <w:shd w:val="clear" w:color="auto" w:fill="auto"/>
            <w:noWrap/>
            <w:vAlign w:val="center"/>
            <w:hideMark/>
          </w:tcPr>
          <w:p w14:paraId="6423FAEB"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0.0051</w:t>
            </w:r>
          </w:p>
        </w:tc>
        <w:tc>
          <w:tcPr>
            <w:tcW w:w="1249" w:type="dxa"/>
            <w:shd w:val="clear" w:color="auto" w:fill="auto"/>
            <w:noWrap/>
            <w:vAlign w:val="center"/>
          </w:tcPr>
          <w:p w14:paraId="535E04C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0.0412***</w:t>
            </w:r>
          </w:p>
        </w:tc>
        <w:tc>
          <w:tcPr>
            <w:tcW w:w="1250" w:type="dxa"/>
            <w:shd w:val="clear" w:color="auto" w:fill="auto"/>
            <w:noWrap/>
            <w:vAlign w:val="center"/>
          </w:tcPr>
          <w:p w14:paraId="58EA265A"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0.0051</w:t>
            </w:r>
          </w:p>
        </w:tc>
      </w:tr>
      <w:tr w:rsidR="00C24905" w:rsidRPr="003A6DFC" w14:paraId="3E245ED0" w14:textId="77777777" w:rsidTr="00BB4740">
        <w:trPr>
          <w:trHeight w:val="170"/>
          <w:jc w:val="center"/>
        </w:trPr>
        <w:tc>
          <w:tcPr>
            <w:tcW w:w="3828" w:type="dxa"/>
            <w:shd w:val="clear" w:color="auto" w:fill="auto"/>
            <w:noWrap/>
            <w:vAlign w:val="center"/>
            <w:hideMark/>
          </w:tcPr>
          <w:p w14:paraId="6393367E"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Other low qualification</w:t>
            </w:r>
          </w:p>
        </w:tc>
        <w:tc>
          <w:tcPr>
            <w:tcW w:w="1249" w:type="dxa"/>
            <w:shd w:val="clear" w:color="auto" w:fill="auto"/>
            <w:noWrap/>
            <w:vAlign w:val="center"/>
            <w:hideMark/>
          </w:tcPr>
          <w:p w14:paraId="219E6D19"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0.0369***</w:t>
            </w:r>
          </w:p>
        </w:tc>
        <w:tc>
          <w:tcPr>
            <w:tcW w:w="1250" w:type="dxa"/>
            <w:shd w:val="clear" w:color="auto" w:fill="auto"/>
            <w:noWrap/>
            <w:vAlign w:val="center"/>
            <w:hideMark/>
          </w:tcPr>
          <w:p w14:paraId="55CC0C1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0.0065</w:t>
            </w:r>
          </w:p>
        </w:tc>
        <w:tc>
          <w:tcPr>
            <w:tcW w:w="1249" w:type="dxa"/>
            <w:shd w:val="clear" w:color="auto" w:fill="auto"/>
            <w:noWrap/>
            <w:vAlign w:val="center"/>
          </w:tcPr>
          <w:p w14:paraId="0FF85DB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0.0379***</w:t>
            </w:r>
          </w:p>
        </w:tc>
        <w:tc>
          <w:tcPr>
            <w:tcW w:w="1250" w:type="dxa"/>
            <w:shd w:val="clear" w:color="auto" w:fill="auto"/>
            <w:noWrap/>
            <w:vAlign w:val="center"/>
          </w:tcPr>
          <w:p w14:paraId="4630186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0.0065</w:t>
            </w:r>
          </w:p>
        </w:tc>
      </w:tr>
      <w:tr w:rsidR="00C24905" w:rsidRPr="003A6DFC" w14:paraId="360478D4" w14:textId="77777777" w:rsidTr="00BB4740">
        <w:trPr>
          <w:trHeight w:val="170"/>
          <w:jc w:val="center"/>
        </w:trPr>
        <w:tc>
          <w:tcPr>
            <w:tcW w:w="3828" w:type="dxa"/>
            <w:shd w:val="clear" w:color="auto" w:fill="auto"/>
            <w:noWrap/>
            <w:vAlign w:val="center"/>
            <w:hideMark/>
          </w:tcPr>
          <w:p w14:paraId="14562B0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No qualification</w:t>
            </w:r>
          </w:p>
        </w:tc>
        <w:tc>
          <w:tcPr>
            <w:tcW w:w="1249" w:type="dxa"/>
            <w:shd w:val="clear" w:color="auto" w:fill="auto"/>
            <w:noWrap/>
            <w:vAlign w:val="center"/>
            <w:hideMark/>
          </w:tcPr>
          <w:p w14:paraId="48BD80B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0.0346***</w:t>
            </w:r>
          </w:p>
        </w:tc>
        <w:tc>
          <w:tcPr>
            <w:tcW w:w="1250" w:type="dxa"/>
            <w:shd w:val="clear" w:color="auto" w:fill="auto"/>
            <w:noWrap/>
            <w:vAlign w:val="center"/>
            <w:hideMark/>
          </w:tcPr>
          <w:p w14:paraId="29009A4B"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0.0070</w:t>
            </w:r>
          </w:p>
        </w:tc>
        <w:tc>
          <w:tcPr>
            <w:tcW w:w="1249" w:type="dxa"/>
            <w:shd w:val="clear" w:color="auto" w:fill="auto"/>
            <w:noWrap/>
            <w:vAlign w:val="center"/>
          </w:tcPr>
          <w:p w14:paraId="172BFB9A"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0.0351***</w:t>
            </w:r>
          </w:p>
        </w:tc>
        <w:tc>
          <w:tcPr>
            <w:tcW w:w="1250" w:type="dxa"/>
            <w:shd w:val="clear" w:color="auto" w:fill="auto"/>
            <w:noWrap/>
            <w:vAlign w:val="center"/>
          </w:tcPr>
          <w:p w14:paraId="0D5FF9F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0.0069</w:t>
            </w:r>
          </w:p>
        </w:tc>
      </w:tr>
      <w:tr w:rsidR="00C24905" w:rsidRPr="003A6DFC" w14:paraId="59BB8EBA" w14:textId="77777777" w:rsidTr="00BB4740">
        <w:trPr>
          <w:trHeight w:val="170"/>
          <w:jc w:val="center"/>
        </w:trPr>
        <w:tc>
          <w:tcPr>
            <w:tcW w:w="3828" w:type="dxa"/>
            <w:shd w:val="clear" w:color="auto" w:fill="auto"/>
            <w:noWrap/>
            <w:vAlign w:val="center"/>
            <w:hideMark/>
          </w:tcPr>
          <w:p w14:paraId="649C348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Log of the HH income</w:t>
            </w:r>
          </w:p>
        </w:tc>
        <w:tc>
          <w:tcPr>
            <w:tcW w:w="1249" w:type="dxa"/>
            <w:shd w:val="clear" w:color="auto" w:fill="auto"/>
            <w:noWrap/>
            <w:vAlign w:val="center"/>
            <w:hideMark/>
          </w:tcPr>
          <w:p w14:paraId="5798253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-0.0135***</w:t>
            </w:r>
          </w:p>
        </w:tc>
        <w:tc>
          <w:tcPr>
            <w:tcW w:w="1250" w:type="dxa"/>
            <w:shd w:val="clear" w:color="auto" w:fill="auto"/>
            <w:noWrap/>
            <w:vAlign w:val="center"/>
            <w:hideMark/>
          </w:tcPr>
          <w:p w14:paraId="02D97B3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0.0035</w:t>
            </w:r>
          </w:p>
        </w:tc>
        <w:tc>
          <w:tcPr>
            <w:tcW w:w="1249" w:type="dxa"/>
            <w:shd w:val="clear" w:color="auto" w:fill="auto"/>
            <w:noWrap/>
            <w:vAlign w:val="center"/>
          </w:tcPr>
          <w:p w14:paraId="6C58AF9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-0.0122***</w:t>
            </w:r>
          </w:p>
        </w:tc>
        <w:tc>
          <w:tcPr>
            <w:tcW w:w="1250" w:type="dxa"/>
            <w:shd w:val="clear" w:color="auto" w:fill="auto"/>
            <w:noWrap/>
            <w:vAlign w:val="center"/>
          </w:tcPr>
          <w:p w14:paraId="2155200E"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0.0035</w:t>
            </w:r>
          </w:p>
        </w:tc>
      </w:tr>
      <w:tr w:rsidR="00C24905" w:rsidRPr="003A6DFC" w14:paraId="1B1BE8E5" w14:textId="77777777" w:rsidTr="00BB4740">
        <w:trPr>
          <w:trHeight w:val="170"/>
          <w:jc w:val="center"/>
        </w:trPr>
        <w:tc>
          <w:tcPr>
            <w:tcW w:w="3828" w:type="dxa"/>
            <w:shd w:val="clear" w:color="auto" w:fill="auto"/>
            <w:noWrap/>
            <w:vAlign w:val="center"/>
            <w:hideMark/>
          </w:tcPr>
          <w:p w14:paraId="0B5F6704"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Unemployed</w:t>
            </w:r>
          </w:p>
        </w:tc>
        <w:tc>
          <w:tcPr>
            <w:tcW w:w="1249" w:type="dxa"/>
            <w:shd w:val="clear" w:color="auto" w:fill="auto"/>
            <w:noWrap/>
            <w:vAlign w:val="center"/>
            <w:hideMark/>
          </w:tcPr>
          <w:p w14:paraId="65FFB81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0.0026</w:t>
            </w:r>
          </w:p>
        </w:tc>
        <w:tc>
          <w:tcPr>
            <w:tcW w:w="1250" w:type="dxa"/>
            <w:shd w:val="clear" w:color="auto" w:fill="auto"/>
            <w:noWrap/>
            <w:vAlign w:val="center"/>
            <w:hideMark/>
          </w:tcPr>
          <w:p w14:paraId="1E45B6E0"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0.0077</w:t>
            </w:r>
          </w:p>
        </w:tc>
        <w:tc>
          <w:tcPr>
            <w:tcW w:w="1249" w:type="dxa"/>
            <w:shd w:val="clear" w:color="auto" w:fill="auto"/>
            <w:noWrap/>
            <w:vAlign w:val="center"/>
          </w:tcPr>
          <w:p w14:paraId="7385808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-0.0001</w:t>
            </w:r>
          </w:p>
        </w:tc>
        <w:tc>
          <w:tcPr>
            <w:tcW w:w="1250" w:type="dxa"/>
            <w:shd w:val="clear" w:color="auto" w:fill="auto"/>
            <w:noWrap/>
            <w:vAlign w:val="center"/>
          </w:tcPr>
          <w:p w14:paraId="63A063A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0.0076</w:t>
            </w:r>
          </w:p>
        </w:tc>
      </w:tr>
      <w:tr w:rsidR="00C24905" w:rsidRPr="003A6DFC" w14:paraId="09FCD7C7" w14:textId="77777777" w:rsidTr="00BB4740">
        <w:trPr>
          <w:trHeight w:val="170"/>
          <w:jc w:val="center"/>
        </w:trPr>
        <w:tc>
          <w:tcPr>
            <w:tcW w:w="3828" w:type="dxa"/>
            <w:shd w:val="clear" w:color="auto" w:fill="auto"/>
            <w:noWrap/>
            <w:vAlign w:val="center"/>
            <w:hideMark/>
          </w:tcPr>
          <w:p w14:paraId="18C249E6"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Retired</w:t>
            </w:r>
          </w:p>
        </w:tc>
        <w:tc>
          <w:tcPr>
            <w:tcW w:w="1249" w:type="dxa"/>
            <w:shd w:val="clear" w:color="auto" w:fill="auto"/>
            <w:noWrap/>
            <w:vAlign w:val="center"/>
            <w:hideMark/>
          </w:tcPr>
          <w:p w14:paraId="7099B29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-0.0275***</w:t>
            </w:r>
          </w:p>
        </w:tc>
        <w:tc>
          <w:tcPr>
            <w:tcW w:w="1250" w:type="dxa"/>
            <w:shd w:val="clear" w:color="auto" w:fill="auto"/>
            <w:noWrap/>
            <w:vAlign w:val="center"/>
            <w:hideMark/>
          </w:tcPr>
          <w:p w14:paraId="5364B02E"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0.0057</w:t>
            </w:r>
          </w:p>
        </w:tc>
        <w:tc>
          <w:tcPr>
            <w:tcW w:w="1249" w:type="dxa"/>
            <w:shd w:val="clear" w:color="auto" w:fill="auto"/>
            <w:noWrap/>
            <w:vAlign w:val="center"/>
          </w:tcPr>
          <w:p w14:paraId="58C7BB70"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-0.0274***</w:t>
            </w:r>
          </w:p>
        </w:tc>
        <w:tc>
          <w:tcPr>
            <w:tcW w:w="1250" w:type="dxa"/>
            <w:shd w:val="clear" w:color="auto" w:fill="auto"/>
            <w:noWrap/>
            <w:vAlign w:val="center"/>
          </w:tcPr>
          <w:p w14:paraId="016E92A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0.0057</w:t>
            </w:r>
          </w:p>
        </w:tc>
      </w:tr>
      <w:tr w:rsidR="00C24905" w:rsidRPr="003A6DFC" w14:paraId="1A6D3392" w14:textId="77777777" w:rsidTr="00BB4740">
        <w:trPr>
          <w:trHeight w:val="170"/>
          <w:jc w:val="center"/>
        </w:trPr>
        <w:tc>
          <w:tcPr>
            <w:tcW w:w="3828" w:type="dxa"/>
            <w:shd w:val="clear" w:color="auto" w:fill="auto"/>
            <w:noWrap/>
            <w:vAlign w:val="center"/>
            <w:hideMark/>
          </w:tcPr>
          <w:p w14:paraId="43EEAF3B"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Other job status</w:t>
            </w:r>
          </w:p>
        </w:tc>
        <w:tc>
          <w:tcPr>
            <w:tcW w:w="1249" w:type="dxa"/>
            <w:shd w:val="clear" w:color="auto" w:fill="auto"/>
            <w:noWrap/>
            <w:vAlign w:val="center"/>
            <w:hideMark/>
          </w:tcPr>
          <w:p w14:paraId="36C549C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-0.0271***</w:t>
            </w:r>
          </w:p>
        </w:tc>
        <w:tc>
          <w:tcPr>
            <w:tcW w:w="1250" w:type="dxa"/>
            <w:shd w:val="clear" w:color="auto" w:fill="auto"/>
            <w:noWrap/>
            <w:vAlign w:val="center"/>
            <w:hideMark/>
          </w:tcPr>
          <w:p w14:paraId="49AC49A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0.0047</w:t>
            </w:r>
          </w:p>
        </w:tc>
        <w:tc>
          <w:tcPr>
            <w:tcW w:w="1249" w:type="dxa"/>
            <w:shd w:val="clear" w:color="auto" w:fill="auto"/>
            <w:noWrap/>
            <w:vAlign w:val="center"/>
          </w:tcPr>
          <w:p w14:paraId="7191ACBB"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-0.0252***</w:t>
            </w:r>
          </w:p>
        </w:tc>
        <w:tc>
          <w:tcPr>
            <w:tcW w:w="1250" w:type="dxa"/>
            <w:shd w:val="clear" w:color="auto" w:fill="auto"/>
            <w:noWrap/>
            <w:vAlign w:val="center"/>
          </w:tcPr>
          <w:p w14:paraId="7C9C7CD0"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0.0047</w:t>
            </w:r>
          </w:p>
        </w:tc>
      </w:tr>
      <w:tr w:rsidR="00C24905" w:rsidRPr="003A6DFC" w14:paraId="027CF4B9" w14:textId="77777777" w:rsidTr="00BB4740">
        <w:trPr>
          <w:trHeight w:val="170"/>
          <w:jc w:val="center"/>
        </w:trPr>
        <w:tc>
          <w:tcPr>
            <w:tcW w:w="3828" w:type="dxa"/>
            <w:shd w:val="clear" w:color="auto" w:fill="auto"/>
            <w:noWrap/>
            <w:vAlign w:val="center"/>
            <w:hideMark/>
          </w:tcPr>
          <w:p w14:paraId="6A603331"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Single</w:t>
            </w:r>
          </w:p>
        </w:tc>
        <w:tc>
          <w:tcPr>
            <w:tcW w:w="1249" w:type="dxa"/>
            <w:shd w:val="clear" w:color="auto" w:fill="auto"/>
            <w:noWrap/>
            <w:vAlign w:val="center"/>
            <w:hideMark/>
          </w:tcPr>
          <w:p w14:paraId="0798BFC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-0.0009</w:t>
            </w:r>
          </w:p>
        </w:tc>
        <w:tc>
          <w:tcPr>
            <w:tcW w:w="1250" w:type="dxa"/>
            <w:shd w:val="clear" w:color="auto" w:fill="auto"/>
            <w:noWrap/>
            <w:vAlign w:val="center"/>
            <w:hideMark/>
          </w:tcPr>
          <w:p w14:paraId="0A0150F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0.0052</w:t>
            </w:r>
          </w:p>
        </w:tc>
        <w:tc>
          <w:tcPr>
            <w:tcW w:w="1249" w:type="dxa"/>
            <w:shd w:val="clear" w:color="auto" w:fill="auto"/>
            <w:noWrap/>
            <w:vAlign w:val="center"/>
          </w:tcPr>
          <w:p w14:paraId="6F8BE540"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-0.0010</w:t>
            </w:r>
          </w:p>
        </w:tc>
        <w:tc>
          <w:tcPr>
            <w:tcW w:w="1250" w:type="dxa"/>
            <w:shd w:val="clear" w:color="auto" w:fill="auto"/>
            <w:noWrap/>
            <w:vAlign w:val="center"/>
          </w:tcPr>
          <w:p w14:paraId="64E6BA10"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0.0052</w:t>
            </w:r>
          </w:p>
        </w:tc>
      </w:tr>
      <w:tr w:rsidR="00C24905" w:rsidRPr="003A6DFC" w14:paraId="4A91A817" w14:textId="77777777" w:rsidTr="00BB4740">
        <w:trPr>
          <w:trHeight w:val="170"/>
          <w:jc w:val="center"/>
        </w:trPr>
        <w:tc>
          <w:tcPr>
            <w:tcW w:w="3828" w:type="dxa"/>
            <w:shd w:val="clear" w:color="auto" w:fill="auto"/>
            <w:noWrap/>
            <w:vAlign w:val="center"/>
            <w:hideMark/>
          </w:tcPr>
          <w:p w14:paraId="0EC508D2"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Separated/divorced</w:t>
            </w:r>
          </w:p>
        </w:tc>
        <w:tc>
          <w:tcPr>
            <w:tcW w:w="1249" w:type="dxa"/>
            <w:shd w:val="clear" w:color="auto" w:fill="auto"/>
            <w:noWrap/>
            <w:vAlign w:val="center"/>
            <w:hideMark/>
          </w:tcPr>
          <w:p w14:paraId="37F008D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-0.0045</w:t>
            </w:r>
          </w:p>
        </w:tc>
        <w:tc>
          <w:tcPr>
            <w:tcW w:w="1250" w:type="dxa"/>
            <w:shd w:val="clear" w:color="auto" w:fill="auto"/>
            <w:noWrap/>
            <w:vAlign w:val="center"/>
            <w:hideMark/>
          </w:tcPr>
          <w:p w14:paraId="0E8F81C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0.0058</w:t>
            </w:r>
          </w:p>
        </w:tc>
        <w:tc>
          <w:tcPr>
            <w:tcW w:w="1249" w:type="dxa"/>
            <w:shd w:val="clear" w:color="auto" w:fill="auto"/>
            <w:noWrap/>
            <w:vAlign w:val="center"/>
          </w:tcPr>
          <w:p w14:paraId="3271DA0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-0.0045</w:t>
            </w:r>
          </w:p>
        </w:tc>
        <w:tc>
          <w:tcPr>
            <w:tcW w:w="1250" w:type="dxa"/>
            <w:shd w:val="clear" w:color="auto" w:fill="auto"/>
            <w:noWrap/>
            <w:vAlign w:val="center"/>
          </w:tcPr>
          <w:p w14:paraId="54C5FD4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0.0058</w:t>
            </w:r>
          </w:p>
        </w:tc>
      </w:tr>
      <w:tr w:rsidR="00C24905" w:rsidRPr="003A6DFC" w14:paraId="2E8BE548" w14:textId="77777777" w:rsidTr="00BB4740">
        <w:trPr>
          <w:trHeight w:val="170"/>
          <w:jc w:val="center"/>
        </w:trPr>
        <w:tc>
          <w:tcPr>
            <w:tcW w:w="3828" w:type="dxa"/>
            <w:shd w:val="clear" w:color="auto" w:fill="auto"/>
            <w:noWrap/>
            <w:vAlign w:val="center"/>
            <w:hideMark/>
          </w:tcPr>
          <w:p w14:paraId="50EA4F66"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Widowed</w:t>
            </w:r>
          </w:p>
        </w:tc>
        <w:tc>
          <w:tcPr>
            <w:tcW w:w="1249" w:type="dxa"/>
            <w:shd w:val="clear" w:color="auto" w:fill="auto"/>
            <w:noWrap/>
            <w:vAlign w:val="center"/>
            <w:hideMark/>
          </w:tcPr>
          <w:p w14:paraId="47F4DC1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-0.0001</w:t>
            </w:r>
          </w:p>
        </w:tc>
        <w:tc>
          <w:tcPr>
            <w:tcW w:w="1250" w:type="dxa"/>
            <w:shd w:val="clear" w:color="auto" w:fill="auto"/>
            <w:noWrap/>
            <w:vAlign w:val="center"/>
            <w:hideMark/>
          </w:tcPr>
          <w:p w14:paraId="17AD192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0.0075</w:t>
            </w:r>
          </w:p>
        </w:tc>
        <w:tc>
          <w:tcPr>
            <w:tcW w:w="1249" w:type="dxa"/>
            <w:shd w:val="clear" w:color="auto" w:fill="auto"/>
            <w:noWrap/>
            <w:vAlign w:val="center"/>
          </w:tcPr>
          <w:p w14:paraId="66A9E399"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0.0009</w:t>
            </w:r>
          </w:p>
        </w:tc>
        <w:tc>
          <w:tcPr>
            <w:tcW w:w="1250" w:type="dxa"/>
            <w:shd w:val="clear" w:color="auto" w:fill="auto"/>
            <w:noWrap/>
            <w:vAlign w:val="center"/>
          </w:tcPr>
          <w:p w14:paraId="1E8D51E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0.0075</w:t>
            </w:r>
          </w:p>
        </w:tc>
      </w:tr>
      <w:tr w:rsidR="00C24905" w:rsidRPr="003A6DFC" w14:paraId="2FB54046" w14:textId="77777777" w:rsidTr="00BB4740">
        <w:trPr>
          <w:trHeight w:val="170"/>
          <w:jc w:val="center"/>
        </w:trPr>
        <w:tc>
          <w:tcPr>
            <w:tcW w:w="3828" w:type="dxa"/>
            <w:shd w:val="clear" w:color="auto" w:fill="auto"/>
            <w:noWrap/>
            <w:vAlign w:val="center"/>
            <w:hideMark/>
          </w:tcPr>
          <w:p w14:paraId="47E7D73E"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Immediate word recall</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2439486E"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-0.0134***</w:t>
            </w:r>
          </w:p>
        </w:tc>
        <w:tc>
          <w:tcPr>
            <w:tcW w:w="1250" w:type="dxa"/>
            <w:shd w:val="clear" w:color="auto" w:fill="auto"/>
            <w:noWrap/>
            <w:vAlign w:val="center"/>
            <w:hideMark/>
          </w:tcPr>
          <w:p w14:paraId="449C74CF"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0.0025</w:t>
            </w:r>
          </w:p>
        </w:tc>
        <w:tc>
          <w:tcPr>
            <w:tcW w:w="1249" w:type="dxa"/>
            <w:shd w:val="clear" w:color="auto" w:fill="auto"/>
            <w:noWrap/>
            <w:vAlign w:val="center"/>
          </w:tcPr>
          <w:p w14:paraId="413A02AA"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-0.0134***</w:t>
            </w:r>
          </w:p>
        </w:tc>
        <w:tc>
          <w:tcPr>
            <w:tcW w:w="1250" w:type="dxa"/>
            <w:shd w:val="clear" w:color="auto" w:fill="auto"/>
            <w:noWrap/>
            <w:vAlign w:val="center"/>
          </w:tcPr>
          <w:p w14:paraId="698508F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0.0025</w:t>
            </w:r>
          </w:p>
        </w:tc>
      </w:tr>
      <w:tr w:rsidR="00C24905" w:rsidRPr="003A6DFC" w14:paraId="1F070A9E" w14:textId="77777777" w:rsidTr="00BB4740">
        <w:trPr>
          <w:trHeight w:val="170"/>
          <w:jc w:val="center"/>
        </w:trPr>
        <w:tc>
          <w:tcPr>
            <w:tcW w:w="3828" w:type="dxa"/>
            <w:shd w:val="clear" w:color="auto" w:fill="auto"/>
            <w:noWrap/>
            <w:vAlign w:val="center"/>
            <w:hideMark/>
          </w:tcPr>
          <w:p w14:paraId="576F89C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Delayed word recall</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6D059B0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-0.0055**</w:t>
            </w:r>
          </w:p>
        </w:tc>
        <w:tc>
          <w:tcPr>
            <w:tcW w:w="1250" w:type="dxa"/>
            <w:shd w:val="clear" w:color="auto" w:fill="auto"/>
            <w:noWrap/>
            <w:vAlign w:val="center"/>
            <w:hideMark/>
          </w:tcPr>
          <w:p w14:paraId="0B18CEB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0.0024</w:t>
            </w:r>
          </w:p>
        </w:tc>
        <w:tc>
          <w:tcPr>
            <w:tcW w:w="1249" w:type="dxa"/>
            <w:shd w:val="clear" w:color="auto" w:fill="auto"/>
            <w:noWrap/>
            <w:vAlign w:val="center"/>
          </w:tcPr>
          <w:p w14:paraId="51BFB386"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-0.0054**</w:t>
            </w:r>
          </w:p>
        </w:tc>
        <w:tc>
          <w:tcPr>
            <w:tcW w:w="1250" w:type="dxa"/>
            <w:shd w:val="clear" w:color="auto" w:fill="auto"/>
            <w:noWrap/>
            <w:vAlign w:val="center"/>
          </w:tcPr>
          <w:p w14:paraId="4257027B"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0.0024</w:t>
            </w:r>
          </w:p>
        </w:tc>
      </w:tr>
      <w:tr w:rsidR="00C24905" w:rsidRPr="003A6DFC" w14:paraId="6D3A8837" w14:textId="77777777" w:rsidTr="00BB4740">
        <w:trPr>
          <w:trHeight w:val="170"/>
          <w:jc w:val="center"/>
        </w:trPr>
        <w:tc>
          <w:tcPr>
            <w:tcW w:w="3828" w:type="dxa"/>
            <w:shd w:val="clear" w:color="auto" w:fill="auto"/>
            <w:noWrap/>
            <w:vAlign w:val="center"/>
            <w:hideMark/>
          </w:tcPr>
          <w:p w14:paraId="6C2F1262"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Number of correct subtractions</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64E12246"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-0.0088***</w:t>
            </w:r>
          </w:p>
        </w:tc>
        <w:tc>
          <w:tcPr>
            <w:tcW w:w="1250" w:type="dxa"/>
            <w:shd w:val="clear" w:color="auto" w:fill="auto"/>
            <w:noWrap/>
            <w:vAlign w:val="center"/>
            <w:hideMark/>
          </w:tcPr>
          <w:p w14:paraId="2BECCE31"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0.0018</w:t>
            </w:r>
          </w:p>
        </w:tc>
        <w:tc>
          <w:tcPr>
            <w:tcW w:w="1249" w:type="dxa"/>
            <w:shd w:val="clear" w:color="auto" w:fill="auto"/>
            <w:noWrap/>
            <w:vAlign w:val="center"/>
          </w:tcPr>
          <w:p w14:paraId="36AF03D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-0.0088***</w:t>
            </w:r>
          </w:p>
        </w:tc>
        <w:tc>
          <w:tcPr>
            <w:tcW w:w="1250" w:type="dxa"/>
            <w:shd w:val="clear" w:color="auto" w:fill="auto"/>
            <w:noWrap/>
            <w:vAlign w:val="center"/>
          </w:tcPr>
          <w:p w14:paraId="733256D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0.0018</w:t>
            </w:r>
          </w:p>
        </w:tc>
      </w:tr>
      <w:tr w:rsidR="00C24905" w:rsidRPr="003A6DFC" w14:paraId="44CCD843" w14:textId="77777777" w:rsidTr="00BB4740">
        <w:trPr>
          <w:trHeight w:val="170"/>
          <w:jc w:val="center"/>
        </w:trPr>
        <w:tc>
          <w:tcPr>
            <w:tcW w:w="3828" w:type="dxa"/>
            <w:shd w:val="clear" w:color="auto" w:fill="auto"/>
            <w:noWrap/>
            <w:vAlign w:val="center"/>
            <w:hideMark/>
          </w:tcPr>
          <w:p w14:paraId="7988879C"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Verbal fluency: correct words</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05C75F9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-0.0066***</w:t>
            </w:r>
          </w:p>
        </w:tc>
        <w:tc>
          <w:tcPr>
            <w:tcW w:w="1250" w:type="dxa"/>
            <w:shd w:val="clear" w:color="auto" w:fill="auto"/>
            <w:noWrap/>
            <w:vAlign w:val="center"/>
            <w:hideMark/>
          </w:tcPr>
          <w:p w14:paraId="4CAAD75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0.0019</w:t>
            </w:r>
          </w:p>
        </w:tc>
        <w:tc>
          <w:tcPr>
            <w:tcW w:w="1249" w:type="dxa"/>
            <w:shd w:val="clear" w:color="auto" w:fill="auto"/>
            <w:noWrap/>
            <w:vAlign w:val="center"/>
          </w:tcPr>
          <w:p w14:paraId="5113A98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-0.0069***</w:t>
            </w:r>
          </w:p>
        </w:tc>
        <w:tc>
          <w:tcPr>
            <w:tcW w:w="1250" w:type="dxa"/>
            <w:shd w:val="clear" w:color="auto" w:fill="auto"/>
            <w:noWrap/>
            <w:vAlign w:val="center"/>
          </w:tcPr>
          <w:p w14:paraId="7A5C5F9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0.0019</w:t>
            </w:r>
          </w:p>
        </w:tc>
      </w:tr>
      <w:tr w:rsidR="00C24905" w:rsidRPr="003A6DFC" w14:paraId="22E03A74" w14:textId="77777777" w:rsidTr="00BB4740">
        <w:trPr>
          <w:trHeight w:val="170"/>
          <w:jc w:val="center"/>
        </w:trPr>
        <w:tc>
          <w:tcPr>
            <w:tcW w:w="3828" w:type="dxa"/>
            <w:shd w:val="clear" w:color="auto" w:fill="auto"/>
            <w:noWrap/>
            <w:vAlign w:val="center"/>
            <w:hideMark/>
          </w:tcPr>
          <w:p w14:paraId="01914E19"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Verbal fluency: incorrect words</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3E6DBAB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0.0041***</w:t>
            </w:r>
          </w:p>
        </w:tc>
        <w:tc>
          <w:tcPr>
            <w:tcW w:w="1250" w:type="dxa"/>
            <w:shd w:val="clear" w:color="auto" w:fill="auto"/>
            <w:noWrap/>
            <w:vAlign w:val="center"/>
            <w:hideMark/>
          </w:tcPr>
          <w:p w14:paraId="12A01F8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0.0014</w:t>
            </w:r>
          </w:p>
        </w:tc>
        <w:tc>
          <w:tcPr>
            <w:tcW w:w="1249" w:type="dxa"/>
            <w:shd w:val="clear" w:color="auto" w:fill="auto"/>
            <w:noWrap/>
            <w:vAlign w:val="center"/>
          </w:tcPr>
          <w:p w14:paraId="23E71DD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0.0041***</w:t>
            </w:r>
          </w:p>
        </w:tc>
        <w:tc>
          <w:tcPr>
            <w:tcW w:w="1250" w:type="dxa"/>
            <w:shd w:val="clear" w:color="auto" w:fill="auto"/>
            <w:noWrap/>
            <w:vAlign w:val="center"/>
          </w:tcPr>
          <w:p w14:paraId="7470B51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0.0015</w:t>
            </w:r>
          </w:p>
        </w:tc>
      </w:tr>
      <w:tr w:rsidR="00C24905" w:rsidRPr="003A6DFC" w14:paraId="7EC29253" w14:textId="77777777" w:rsidTr="00BB4740">
        <w:trPr>
          <w:trHeight w:val="170"/>
          <w:jc w:val="center"/>
        </w:trPr>
        <w:tc>
          <w:tcPr>
            <w:tcW w:w="3828" w:type="dxa"/>
            <w:shd w:val="clear" w:color="auto" w:fill="auto"/>
            <w:noWrap/>
            <w:vAlign w:val="center"/>
            <w:hideMark/>
          </w:tcPr>
          <w:p w14:paraId="0F2F3ACD"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Numeric ability: correct answers</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21EF88F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-0.0186***</w:t>
            </w:r>
          </w:p>
        </w:tc>
        <w:tc>
          <w:tcPr>
            <w:tcW w:w="1250" w:type="dxa"/>
            <w:shd w:val="clear" w:color="auto" w:fill="auto"/>
            <w:noWrap/>
            <w:vAlign w:val="center"/>
            <w:hideMark/>
          </w:tcPr>
          <w:p w14:paraId="7D6631EF"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0.0020</w:t>
            </w:r>
          </w:p>
        </w:tc>
        <w:tc>
          <w:tcPr>
            <w:tcW w:w="1249" w:type="dxa"/>
            <w:shd w:val="clear" w:color="auto" w:fill="auto"/>
            <w:noWrap/>
            <w:vAlign w:val="center"/>
          </w:tcPr>
          <w:p w14:paraId="5496A59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-0.0188***</w:t>
            </w:r>
          </w:p>
        </w:tc>
        <w:tc>
          <w:tcPr>
            <w:tcW w:w="1250" w:type="dxa"/>
            <w:shd w:val="clear" w:color="auto" w:fill="auto"/>
            <w:noWrap/>
            <w:vAlign w:val="center"/>
          </w:tcPr>
          <w:p w14:paraId="325B972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0.0020</w:t>
            </w:r>
          </w:p>
        </w:tc>
      </w:tr>
      <w:tr w:rsidR="00C24905" w:rsidRPr="003A6DFC" w14:paraId="22D08FEE" w14:textId="77777777" w:rsidTr="00BB4740">
        <w:trPr>
          <w:trHeight w:val="170"/>
          <w:jc w:val="center"/>
        </w:trPr>
        <w:tc>
          <w:tcPr>
            <w:tcW w:w="3828" w:type="dxa"/>
            <w:shd w:val="clear" w:color="auto" w:fill="auto"/>
            <w:noWrap/>
            <w:vAlign w:val="center"/>
            <w:hideMark/>
          </w:tcPr>
          <w:p w14:paraId="09746E3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Agreeableness</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52B51BC1"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-0.0028*</w:t>
            </w:r>
          </w:p>
        </w:tc>
        <w:tc>
          <w:tcPr>
            <w:tcW w:w="1250" w:type="dxa"/>
            <w:shd w:val="clear" w:color="auto" w:fill="auto"/>
            <w:noWrap/>
            <w:vAlign w:val="center"/>
            <w:hideMark/>
          </w:tcPr>
          <w:p w14:paraId="08F6AAE9"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0.0017</w:t>
            </w:r>
          </w:p>
        </w:tc>
        <w:tc>
          <w:tcPr>
            <w:tcW w:w="1249" w:type="dxa"/>
            <w:shd w:val="clear" w:color="auto" w:fill="auto"/>
            <w:noWrap/>
            <w:vAlign w:val="center"/>
          </w:tcPr>
          <w:p w14:paraId="7A07606B"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-0.0028*</w:t>
            </w:r>
          </w:p>
        </w:tc>
        <w:tc>
          <w:tcPr>
            <w:tcW w:w="1250" w:type="dxa"/>
            <w:shd w:val="clear" w:color="auto" w:fill="auto"/>
            <w:noWrap/>
            <w:vAlign w:val="center"/>
          </w:tcPr>
          <w:p w14:paraId="080AD66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0.0017</w:t>
            </w:r>
          </w:p>
        </w:tc>
      </w:tr>
      <w:tr w:rsidR="00C24905" w:rsidRPr="003A6DFC" w14:paraId="692C776B" w14:textId="77777777" w:rsidTr="00BB4740">
        <w:trPr>
          <w:trHeight w:val="170"/>
          <w:jc w:val="center"/>
        </w:trPr>
        <w:tc>
          <w:tcPr>
            <w:tcW w:w="3828" w:type="dxa"/>
            <w:shd w:val="clear" w:color="auto" w:fill="auto"/>
            <w:noWrap/>
            <w:vAlign w:val="center"/>
            <w:hideMark/>
          </w:tcPr>
          <w:p w14:paraId="362E54C2"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Conscientiousness</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2A76724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-0.0039**</w:t>
            </w:r>
          </w:p>
        </w:tc>
        <w:tc>
          <w:tcPr>
            <w:tcW w:w="1250" w:type="dxa"/>
            <w:shd w:val="clear" w:color="auto" w:fill="auto"/>
            <w:noWrap/>
            <w:vAlign w:val="center"/>
            <w:hideMark/>
          </w:tcPr>
          <w:p w14:paraId="1D0A61B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0.0017</w:t>
            </w:r>
          </w:p>
        </w:tc>
        <w:tc>
          <w:tcPr>
            <w:tcW w:w="1249" w:type="dxa"/>
            <w:shd w:val="clear" w:color="auto" w:fill="auto"/>
            <w:noWrap/>
            <w:vAlign w:val="center"/>
          </w:tcPr>
          <w:p w14:paraId="32544AA1"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-0.0039**</w:t>
            </w:r>
          </w:p>
        </w:tc>
        <w:tc>
          <w:tcPr>
            <w:tcW w:w="1250" w:type="dxa"/>
            <w:shd w:val="clear" w:color="auto" w:fill="auto"/>
            <w:noWrap/>
            <w:vAlign w:val="center"/>
          </w:tcPr>
          <w:p w14:paraId="66BFDA7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0.0017</w:t>
            </w:r>
          </w:p>
        </w:tc>
      </w:tr>
      <w:tr w:rsidR="00C24905" w:rsidRPr="003A6DFC" w14:paraId="22B01D01" w14:textId="77777777" w:rsidTr="00BB4740">
        <w:trPr>
          <w:trHeight w:val="170"/>
          <w:jc w:val="center"/>
        </w:trPr>
        <w:tc>
          <w:tcPr>
            <w:tcW w:w="3828" w:type="dxa"/>
            <w:shd w:val="clear" w:color="auto" w:fill="auto"/>
            <w:noWrap/>
            <w:vAlign w:val="center"/>
            <w:hideMark/>
          </w:tcPr>
          <w:p w14:paraId="69EE378F"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Extraversion</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72D6542B"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0.0018</w:t>
            </w:r>
          </w:p>
        </w:tc>
        <w:tc>
          <w:tcPr>
            <w:tcW w:w="1250" w:type="dxa"/>
            <w:shd w:val="clear" w:color="auto" w:fill="auto"/>
            <w:noWrap/>
            <w:vAlign w:val="center"/>
            <w:hideMark/>
          </w:tcPr>
          <w:p w14:paraId="2367F30E"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0.0016</w:t>
            </w:r>
          </w:p>
        </w:tc>
        <w:tc>
          <w:tcPr>
            <w:tcW w:w="1249" w:type="dxa"/>
            <w:shd w:val="clear" w:color="auto" w:fill="auto"/>
            <w:noWrap/>
            <w:vAlign w:val="center"/>
          </w:tcPr>
          <w:p w14:paraId="65E4164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0.0019</w:t>
            </w:r>
          </w:p>
        </w:tc>
        <w:tc>
          <w:tcPr>
            <w:tcW w:w="1250" w:type="dxa"/>
            <w:shd w:val="clear" w:color="auto" w:fill="auto"/>
            <w:noWrap/>
            <w:vAlign w:val="center"/>
          </w:tcPr>
          <w:p w14:paraId="7A36C85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0.0016</w:t>
            </w:r>
          </w:p>
        </w:tc>
      </w:tr>
      <w:tr w:rsidR="00C24905" w:rsidRPr="003A6DFC" w14:paraId="6583259D" w14:textId="77777777" w:rsidTr="00BB4740">
        <w:trPr>
          <w:trHeight w:val="170"/>
          <w:jc w:val="center"/>
        </w:trPr>
        <w:tc>
          <w:tcPr>
            <w:tcW w:w="3828" w:type="dxa"/>
            <w:shd w:val="clear" w:color="auto" w:fill="auto"/>
            <w:noWrap/>
            <w:vAlign w:val="center"/>
            <w:hideMark/>
          </w:tcPr>
          <w:p w14:paraId="595564C9"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Neuroticism</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3C08606A"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-0.0075***</w:t>
            </w:r>
          </w:p>
        </w:tc>
        <w:tc>
          <w:tcPr>
            <w:tcW w:w="1250" w:type="dxa"/>
            <w:shd w:val="clear" w:color="auto" w:fill="auto"/>
            <w:noWrap/>
            <w:vAlign w:val="center"/>
            <w:hideMark/>
          </w:tcPr>
          <w:p w14:paraId="2867A3D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0.0016</w:t>
            </w:r>
          </w:p>
        </w:tc>
        <w:tc>
          <w:tcPr>
            <w:tcW w:w="1249" w:type="dxa"/>
            <w:shd w:val="clear" w:color="auto" w:fill="auto"/>
            <w:noWrap/>
            <w:vAlign w:val="center"/>
          </w:tcPr>
          <w:p w14:paraId="2B05471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-0.0075***</w:t>
            </w:r>
          </w:p>
        </w:tc>
        <w:tc>
          <w:tcPr>
            <w:tcW w:w="1250" w:type="dxa"/>
            <w:shd w:val="clear" w:color="auto" w:fill="auto"/>
            <w:noWrap/>
            <w:vAlign w:val="center"/>
          </w:tcPr>
          <w:p w14:paraId="048460D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0.0016</w:t>
            </w:r>
          </w:p>
        </w:tc>
      </w:tr>
      <w:tr w:rsidR="00C24905" w:rsidRPr="003A6DFC" w14:paraId="434B4044" w14:textId="77777777" w:rsidTr="00BB4740">
        <w:trPr>
          <w:trHeight w:val="170"/>
          <w:jc w:val="center"/>
        </w:trPr>
        <w:tc>
          <w:tcPr>
            <w:tcW w:w="3828" w:type="dxa"/>
            <w:shd w:val="clear" w:color="auto" w:fill="auto"/>
            <w:noWrap/>
            <w:vAlign w:val="center"/>
            <w:hideMark/>
          </w:tcPr>
          <w:p w14:paraId="7346E341"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Openness to experience</w:t>
            </w:r>
            <w:r w:rsidRPr="003A6DFC">
              <w:rPr>
                <w:rFonts w:ascii="Century" w:hAnsi="Century"/>
                <w:sz w:val="18"/>
                <w:szCs w:val="18"/>
                <w:vertAlign w:val="superscript"/>
                <w:lang w:eastAsia="en-GB"/>
              </w:rPr>
              <w:t>†</w:t>
            </w:r>
          </w:p>
        </w:tc>
        <w:tc>
          <w:tcPr>
            <w:tcW w:w="1249" w:type="dxa"/>
            <w:shd w:val="clear" w:color="auto" w:fill="auto"/>
            <w:noWrap/>
            <w:vAlign w:val="center"/>
            <w:hideMark/>
          </w:tcPr>
          <w:p w14:paraId="0189320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0.0059***</w:t>
            </w:r>
          </w:p>
        </w:tc>
        <w:tc>
          <w:tcPr>
            <w:tcW w:w="1250" w:type="dxa"/>
            <w:shd w:val="clear" w:color="auto" w:fill="auto"/>
            <w:noWrap/>
            <w:vAlign w:val="center"/>
            <w:hideMark/>
          </w:tcPr>
          <w:p w14:paraId="0751AC89"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0.0017</w:t>
            </w:r>
          </w:p>
        </w:tc>
        <w:tc>
          <w:tcPr>
            <w:tcW w:w="1249" w:type="dxa"/>
            <w:shd w:val="clear" w:color="auto" w:fill="auto"/>
            <w:noWrap/>
            <w:vAlign w:val="center"/>
          </w:tcPr>
          <w:p w14:paraId="6354C3C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0.0060***</w:t>
            </w:r>
          </w:p>
        </w:tc>
        <w:tc>
          <w:tcPr>
            <w:tcW w:w="1250" w:type="dxa"/>
            <w:shd w:val="clear" w:color="auto" w:fill="auto"/>
            <w:noWrap/>
            <w:vAlign w:val="center"/>
          </w:tcPr>
          <w:p w14:paraId="45E6D376"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0.0017</w:t>
            </w:r>
          </w:p>
        </w:tc>
      </w:tr>
      <w:tr w:rsidR="00C24905" w:rsidRPr="003A6DFC" w14:paraId="1E52BF58" w14:textId="77777777" w:rsidTr="00BB4740">
        <w:trPr>
          <w:trHeight w:val="170"/>
          <w:jc w:val="center"/>
        </w:trPr>
        <w:tc>
          <w:tcPr>
            <w:tcW w:w="3828" w:type="dxa"/>
            <w:shd w:val="clear" w:color="auto" w:fill="auto"/>
            <w:noWrap/>
            <w:vAlign w:val="center"/>
            <w:hideMark/>
          </w:tcPr>
          <w:p w14:paraId="38ED47D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Multiple adult interviews/HH</w:t>
            </w:r>
          </w:p>
        </w:tc>
        <w:tc>
          <w:tcPr>
            <w:tcW w:w="1249" w:type="dxa"/>
            <w:shd w:val="clear" w:color="auto" w:fill="auto"/>
            <w:noWrap/>
            <w:vAlign w:val="center"/>
            <w:hideMark/>
          </w:tcPr>
          <w:p w14:paraId="01EA0CD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-0.0035</w:t>
            </w:r>
          </w:p>
        </w:tc>
        <w:tc>
          <w:tcPr>
            <w:tcW w:w="1250" w:type="dxa"/>
            <w:shd w:val="clear" w:color="auto" w:fill="auto"/>
            <w:noWrap/>
            <w:vAlign w:val="center"/>
            <w:hideMark/>
          </w:tcPr>
          <w:p w14:paraId="0AFACEF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0.0041</w:t>
            </w:r>
          </w:p>
        </w:tc>
        <w:tc>
          <w:tcPr>
            <w:tcW w:w="1249" w:type="dxa"/>
            <w:shd w:val="clear" w:color="auto" w:fill="auto"/>
            <w:noWrap/>
            <w:vAlign w:val="center"/>
          </w:tcPr>
          <w:p w14:paraId="52E2010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-0.0037</w:t>
            </w:r>
          </w:p>
        </w:tc>
        <w:tc>
          <w:tcPr>
            <w:tcW w:w="1250" w:type="dxa"/>
            <w:shd w:val="clear" w:color="auto" w:fill="auto"/>
            <w:noWrap/>
            <w:vAlign w:val="center"/>
          </w:tcPr>
          <w:p w14:paraId="434DE4E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0.0041</w:t>
            </w:r>
          </w:p>
        </w:tc>
      </w:tr>
      <w:tr w:rsidR="00C24905" w:rsidRPr="003A6DFC" w14:paraId="45666CBD" w14:textId="77777777" w:rsidTr="00BB4740">
        <w:trPr>
          <w:trHeight w:val="170"/>
          <w:jc w:val="center"/>
        </w:trPr>
        <w:tc>
          <w:tcPr>
            <w:tcW w:w="3828" w:type="dxa"/>
            <w:shd w:val="clear" w:color="auto" w:fill="auto"/>
            <w:noWrap/>
            <w:vAlign w:val="center"/>
            <w:hideMark/>
          </w:tcPr>
          <w:p w14:paraId="67835581"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Children (aged 10-15) interviewed/HH</w:t>
            </w:r>
          </w:p>
        </w:tc>
        <w:tc>
          <w:tcPr>
            <w:tcW w:w="1249" w:type="dxa"/>
            <w:shd w:val="clear" w:color="auto" w:fill="auto"/>
            <w:noWrap/>
            <w:vAlign w:val="center"/>
            <w:hideMark/>
          </w:tcPr>
          <w:p w14:paraId="34741B1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0.0093**</w:t>
            </w:r>
          </w:p>
        </w:tc>
        <w:tc>
          <w:tcPr>
            <w:tcW w:w="1250" w:type="dxa"/>
            <w:shd w:val="clear" w:color="auto" w:fill="auto"/>
            <w:noWrap/>
            <w:vAlign w:val="center"/>
            <w:hideMark/>
          </w:tcPr>
          <w:p w14:paraId="65402A6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0.0045</w:t>
            </w:r>
          </w:p>
        </w:tc>
        <w:tc>
          <w:tcPr>
            <w:tcW w:w="1249" w:type="dxa"/>
            <w:shd w:val="clear" w:color="auto" w:fill="auto"/>
            <w:noWrap/>
            <w:vAlign w:val="center"/>
          </w:tcPr>
          <w:p w14:paraId="69A7A49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0.0079*</w:t>
            </w:r>
          </w:p>
        </w:tc>
        <w:tc>
          <w:tcPr>
            <w:tcW w:w="1250" w:type="dxa"/>
            <w:shd w:val="clear" w:color="auto" w:fill="auto"/>
            <w:noWrap/>
            <w:vAlign w:val="center"/>
          </w:tcPr>
          <w:p w14:paraId="5F61C8EF"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0.0045</w:t>
            </w:r>
          </w:p>
        </w:tc>
      </w:tr>
      <w:tr w:rsidR="00C24905" w:rsidRPr="003A6DFC" w14:paraId="50827099" w14:textId="77777777" w:rsidTr="00BB4740">
        <w:trPr>
          <w:trHeight w:val="170"/>
          <w:jc w:val="center"/>
        </w:trPr>
        <w:tc>
          <w:tcPr>
            <w:tcW w:w="3828" w:type="dxa"/>
            <w:shd w:val="clear" w:color="auto" w:fill="auto"/>
            <w:noWrap/>
            <w:vAlign w:val="center"/>
          </w:tcPr>
          <w:p w14:paraId="0566686E"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Wave 3</w:t>
            </w:r>
          </w:p>
        </w:tc>
        <w:tc>
          <w:tcPr>
            <w:tcW w:w="1249" w:type="dxa"/>
            <w:shd w:val="clear" w:color="auto" w:fill="auto"/>
            <w:noWrap/>
            <w:vAlign w:val="center"/>
          </w:tcPr>
          <w:p w14:paraId="44C0E84D"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-0.0107***</w:t>
            </w:r>
          </w:p>
        </w:tc>
        <w:tc>
          <w:tcPr>
            <w:tcW w:w="1250" w:type="dxa"/>
            <w:shd w:val="clear" w:color="auto" w:fill="auto"/>
            <w:noWrap/>
            <w:vAlign w:val="center"/>
          </w:tcPr>
          <w:p w14:paraId="379CAF7C"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0.0036</w:t>
            </w:r>
          </w:p>
        </w:tc>
        <w:tc>
          <w:tcPr>
            <w:tcW w:w="1249" w:type="dxa"/>
            <w:shd w:val="clear" w:color="auto" w:fill="auto"/>
            <w:noWrap/>
            <w:vAlign w:val="center"/>
          </w:tcPr>
          <w:p w14:paraId="1104F5E7"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-0.0108***</w:t>
            </w:r>
          </w:p>
        </w:tc>
        <w:tc>
          <w:tcPr>
            <w:tcW w:w="1250" w:type="dxa"/>
            <w:shd w:val="clear" w:color="auto" w:fill="auto"/>
            <w:noWrap/>
            <w:vAlign w:val="center"/>
          </w:tcPr>
          <w:p w14:paraId="065A47D5"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0.0036</w:t>
            </w:r>
          </w:p>
        </w:tc>
      </w:tr>
      <w:tr w:rsidR="00C24905" w:rsidRPr="003A6DFC" w14:paraId="46A6BC67" w14:textId="77777777" w:rsidTr="00BB4740">
        <w:trPr>
          <w:trHeight w:val="170"/>
          <w:jc w:val="center"/>
        </w:trPr>
        <w:tc>
          <w:tcPr>
            <w:tcW w:w="3828" w:type="dxa"/>
            <w:shd w:val="clear" w:color="auto" w:fill="auto"/>
            <w:noWrap/>
            <w:vAlign w:val="center"/>
          </w:tcPr>
          <w:p w14:paraId="37267C9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Wave 4</w:t>
            </w:r>
          </w:p>
        </w:tc>
        <w:tc>
          <w:tcPr>
            <w:tcW w:w="1249" w:type="dxa"/>
            <w:shd w:val="clear" w:color="auto" w:fill="auto"/>
            <w:noWrap/>
            <w:vAlign w:val="center"/>
          </w:tcPr>
          <w:p w14:paraId="5A8692FB"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-0.0275***</w:t>
            </w:r>
          </w:p>
        </w:tc>
        <w:tc>
          <w:tcPr>
            <w:tcW w:w="1250" w:type="dxa"/>
            <w:shd w:val="clear" w:color="auto" w:fill="auto"/>
            <w:noWrap/>
            <w:vAlign w:val="center"/>
          </w:tcPr>
          <w:p w14:paraId="77C19720"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0.0036</w:t>
            </w:r>
          </w:p>
        </w:tc>
        <w:tc>
          <w:tcPr>
            <w:tcW w:w="1249" w:type="dxa"/>
            <w:shd w:val="clear" w:color="auto" w:fill="auto"/>
            <w:noWrap/>
            <w:vAlign w:val="center"/>
          </w:tcPr>
          <w:p w14:paraId="58CF8EB3"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-0.0278***</w:t>
            </w:r>
          </w:p>
        </w:tc>
        <w:tc>
          <w:tcPr>
            <w:tcW w:w="1250" w:type="dxa"/>
            <w:shd w:val="clear" w:color="auto" w:fill="auto"/>
            <w:noWrap/>
            <w:vAlign w:val="center"/>
          </w:tcPr>
          <w:p w14:paraId="2DA24E68"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0.0036</w:t>
            </w:r>
          </w:p>
        </w:tc>
      </w:tr>
      <w:tr w:rsidR="00C24905" w:rsidRPr="003A6DFC" w14:paraId="3D969BAA" w14:textId="77777777" w:rsidTr="00BB4740">
        <w:trPr>
          <w:trHeight w:val="170"/>
          <w:jc w:val="center"/>
        </w:trPr>
        <w:tc>
          <w:tcPr>
            <w:tcW w:w="3828" w:type="dxa"/>
            <w:tcBorders>
              <w:bottom w:val="single" w:sz="4" w:space="0" w:color="auto"/>
            </w:tcBorders>
            <w:shd w:val="clear" w:color="auto" w:fill="auto"/>
            <w:noWrap/>
            <w:vAlign w:val="center"/>
          </w:tcPr>
          <w:p w14:paraId="0596A65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lang w:eastAsia="en-GB"/>
              </w:rPr>
              <w:t>Wave 5</w:t>
            </w:r>
          </w:p>
        </w:tc>
        <w:tc>
          <w:tcPr>
            <w:tcW w:w="1249" w:type="dxa"/>
            <w:tcBorders>
              <w:bottom w:val="single" w:sz="4" w:space="0" w:color="auto"/>
            </w:tcBorders>
            <w:shd w:val="clear" w:color="auto" w:fill="auto"/>
            <w:noWrap/>
            <w:vAlign w:val="center"/>
          </w:tcPr>
          <w:p w14:paraId="7F783929"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-0.0441***</w:t>
            </w:r>
          </w:p>
        </w:tc>
        <w:tc>
          <w:tcPr>
            <w:tcW w:w="1250" w:type="dxa"/>
            <w:tcBorders>
              <w:bottom w:val="single" w:sz="4" w:space="0" w:color="auto"/>
            </w:tcBorders>
            <w:shd w:val="clear" w:color="auto" w:fill="auto"/>
            <w:noWrap/>
            <w:vAlign w:val="center"/>
          </w:tcPr>
          <w:p w14:paraId="4235C6C4"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0.0035</w:t>
            </w:r>
          </w:p>
        </w:tc>
        <w:tc>
          <w:tcPr>
            <w:tcW w:w="1249" w:type="dxa"/>
            <w:tcBorders>
              <w:bottom w:val="single" w:sz="4" w:space="0" w:color="auto"/>
            </w:tcBorders>
            <w:shd w:val="clear" w:color="auto" w:fill="auto"/>
            <w:noWrap/>
            <w:vAlign w:val="center"/>
          </w:tcPr>
          <w:p w14:paraId="24172432"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-0.0444***</w:t>
            </w:r>
          </w:p>
        </w:tc>
        <w:tc>
          <w:tcPr>
            <w:tcW w:w="1250" w:type="dxa"/>
            <w:tcBorders>
              <w:bottom w:val="single" w:sz="4" w:space="0" w:color="auto"/>
            </w:tcBorders>
            <w:shd w:val="clear" w:color="auto" w:fill="auto"/>
            <w:noWrap/>
            <w:vAlign w:val="center"/>
          </w:tcPr>
          <w:p w14:paraId="26D46796" w14:textId="77777777" w:rsidR="00C24905" w:rsidRPr="003A6DFC" w:rsidRDefault="00C24905" w:rsidP="00BB4740">
            <w:pPr>
              <w:pStyle w:val="SemEspaamento"/>
              <w:jc w:val="center"/>
              <w:rPr>
                <w:rFonts w:ascii="Century" w:hAnsi="Century"/>
                <w:sz w:val="18"/>
                <w:szCs w:val="18"/>
                <w:lang w:eastAsia="en-GB"/>
              </w:rPr>
            </w:pPr>
            <w:r w:rsidRPr="003A6DFC">
              <w:rPr>
                <w:rFonts w:ascii="Century" w:hAnsi="Century" w:cs="Calibri"/>
                <w:color w:val="000000"/>
                <w:sz w:val="18"/>
                <w:szCs w:val="18"/>
              </w:rPr>
              <w:t>0.0035</w:t>
            </w:r>
          </w:p>
        </w:tc>
      </w:tr>
      <w:tr w:rsidR="007F37DB" w:rsidRPr="003A6DFC" w14:paraId="4200CFFE" w14:textId="77777777" w:rsidTr="00BB4740">
        <w:trPr>
          <w:trHeight w:val="170"/>
          <w:jc w:val="center"/>
        </w:trPr>
        <w:tc>
          <w:tcPr>
            <w:tcW w:w="3828" w:type="dxa"/>
            <w:tcBorders>
              <w:bottom w:val="single" w:sz="4" w:space="0" w:color="auto"/>
            </w:tcBorders>
            <w:shd w:val="clear" w:color="auto" w:fill="auto"/>
            <w:noWrap/>
            <w:vAlign w:val="center"/>
          </w:tcPr>
          <w:p w14:paraId="2AC8ADAA" w14:textId="2AD43D90" w:rsidR="007F37DB" w:rsidRPr="003A6DFC" w:rsidRDefault="007F37DB" w:rsidP="00BB4740">
            <w:pPr>
              <w:pStyle w:val="SemEspaamento"/>
              <w:rPr>
                <w:rFonts w:ascii="Century" w:hAnsi="Century"/>
                <w:sz w:val="18"/>
                <w:szCs w:val="18"/>
                <w:lang w:eastAsia="en-GB"/>
              </w:rPr>
            </w:pPr>
            <w:r w:rsidRPr="003A6DFC">
              <w:rPr>
                <w:rFonts w:ascii="Century" w:hAnsi="Century"/>
                <w:sz w:val="18"/>
                <w:szCs w:val="18"/>
                <w:lang w:eastAsia="en-GB"/>
              </w:rPr>
              <w:t>Sample size</w:t>
            </w:r>
          </w:p>
        </w:tc>
        <w:tc>
          <w:tcPr>
            <w:tcW w:w="1249" w:type="dxa"/>
            <w:tcBorders>
              <w:bottom w:val="single" w:sz="4" w:space="0" w:color="auto"/>
            </w:tcBorders>
            <w:shd w:val="clear" w:color="auto" w:fill="auto"/>
            <w:noWrap/>
            <w:vAlign w:val="center"/>
          </w:tcPr>
          <w:p w14:paraId="6FBB1691" w14:textId="7ACDA9B7" w:rsidR="007F37DB" w:rsidRPr="003A6DFC" w:rsidRDefault="007F37DB" w:rsidP="00BB4740">
            <w:pPr>
              <w:pStyle w:val="SemEspaamento"/>
              <w:jc w:val="center"/>
              <w:rPr>
                <w:rFonts w:ascii="Century" w:hAnsi="Century" w:cs="Calibri"/>
                <w:color w:val="000000"/>
                <w:sz w:val="18"/>
                <w:szCs w:val="18"/>
              </w:rPr>
            </w:pPr>
            <w:r w:rsidRPr="003A6DFC">
              <w:rPr>
                <w:rFonts w:ascii="Century" w:hAnsi="Century" w:cs="Calibri"/>
                <w:color w:val="000000"/>
                <w:sz w:val="18"/>
                <w:szCs w:val="18"/>
              </w:rPr>
              <w:t>90,600</w:t>
            </w:r>
          </w:p>
        </w:tc>
        <w:tc>
          <w:tcPr>
            <w:tcW w:w="1250" w:type="dxa"/>
            <w:tcBorders>
              <w:bottom w:val="single" w:sz="4" w:space="0" w:color="auto"/>
            </w:tcBorders>
            <w:shd w:val="clear" w:color="auto" w:fill="auto"/>
            <w:noWrap/>
            <w:vAlign w:val="center"/>
          </w:tcPr>
          <w:p w14:paraId="775DA146" w14:textId="77777777" w:rsidR="007F37DB" w:rsidRPr="003A6DFC" w:rsidRDefault="007F37DB" w:rsidP="00BB4740">
            <w:pPr>
              <w:pStyle w:val="SemEspaamento"/>
              <w:jc w:val="center"/>
              <w:rPr>
                <w:rFonts w:ascii="Century" w:hAnsi="Century" w:cs="Calibri"/>
                <w:color w:val="000000"/>
                <w:sz w:val="18"/>
                <w:szCs w:val="18"/>
              </w:rPr>
            </w:pPr>
          </w:p>
        </w:tc>
        <w:tc>
          <w:tcPr>
            <w:tcW w:w="1249" w:type="dxa"/>
            <w:tcBorders>
              <w:bottom w:val="single" w:sz="4" w:space="0" w:color="auto"/>
            </w:tcBorders>
            <w:shd w:val="clear" w:color="auto" w:fill="auto"/>
            <w:noWrap/>
            <w:vAlign w:val="center"/>
          </w:tcPr>
          <w:p w14:paraId="5E00EA25" w14:textId="6A0FEFEA" w:rsidR="007F37DB" w:rsidRPr="003A6DFC" w:rsidRDefault="007F37DB" w:rsidP="00BB4740">
            <w:pPr>
              <w:pStyle w:val="SemEspaamento"/>
              <w:jc w:val="center"/>
              <w:rPr>
                <w:rFonts w:ascii="Century" w:hAnsi="Century" w:cs="Calibri"/>
                <w:color w:val="000000"/>
                <w:sz w:val="18"/>
                <w:szCs w:val="18"/>
              </w:rPr>
            </w:pPr>
            <w:r w:rsidRPr="003A6DFC">
              <w:rPr>
                <w:rFonts w:ascii="Century" w:hAnsi="Century" w:cs="Calibri"/>
                <w:color w:val="000000"/>
                <w:sz w:val="18"/>
                <w:szCs w:val="18"/>
              </w:rPr>
              <w:t>90,600</w:t>
            </w:r>
          </w:p>
        </w:tc>
        <w:tc>
          <w:tcPr>
            <w:tcW w:w="1250" w:type="dxa"/>
            <w:tcBorders>
              <w:bottom w:val="single" w:sz="4" w:space="0" w:color="auto"/>
            </w:tcBorders>
            <w:shd w:val="clear" w:color="auto" w:fill="auto"/>
            <w:noWrap/>
            <w:vAlign w:val="center"/>
          </w:tcPr>
          <w:p w14:paraId="6423870C" w14:textId="77777777" w:rsidR="007F37DB" w:rsidRPr="003A6DFC" w:rsidRDefault="007F37DB" w:rsidP="00BB4740">
            <w:pPr>
              <w:pStyle w:val="SemEspaamento"/>
              <w:jc w:val="center"/>
              <w:rPr>
                <w:rFonts w:ascii="Century" w:hAnsi="Century" w:cs="Calibri"/>
                <w:color w:val="000000"/>
                <w:sz w:val="18"/>
                <w:szCs w:val="18"/>
              </w:rPr>
            </w:pPr>
          </w:p>
        </w:tc>
      </w:tr>
      <w:tr w:rsidR="00C24905" w:rsidRPr="003A6DFC" w14:paraId="49714273" w14:textId="77777777" w:rsidTr="00BB4740">
        <w:trPr>
          <w:trHeight w:val="187"/>
          <w:jc w:val="center"/>
        </w:trPr>
        <w:tc>
          <w:tcPr>
            <w:tcW w:w="8826" w:type="dxa"/>
            <w:gridSpan w:val="5"/>
            <w:tcBorders>
              <w:top w:val="single" w:sz="4" w:space="0" w:color="auto"/>
            </w:tcBorders>
            <w:shd w:val="clear" w:color="auto" w:fill="auto"/>
            <w:noWrap/>
            <w:vAlign w:val="center"/>
          </w:tcPr>
          <w:p w14:paraId="13F63A6A" w14:textId="3FBB347F" w:rsidR="000F6BAD" w:rsidRPr="003A6DFC" w:rsidRDefault="00C24905" w:rsidP="000F6BAD">
            <w:pPr>
              <w:pStyle w:val="SemEspaamento"/>
              <w:jc w:val="both"/>
              <w:rPr>
                <w:rFonts w:ascii="Century" w:eastAsia="Times New Roman" w:hAnsi="Century" w:cs="Calibri"/>
                <w:color w:val="000000"/>
                <w:sz w:val="18"/>
                <w:szCs w:val="18"/>
                <w:lang w:eastAsia="en-GB"/>
              </w:rPr>
            </w:pPr>
            <w:r w:rsidRPr="003A6DFC">
              <w:rPr>
                <w:rFonts w:ascii="Century" w:eastAsia="Times New Roman" w:hAnsi="Century" w:cs="Calibri"/>
                <w:color w:val="000000"/>
                <w:sz w:val="18"/>
                <w:szCs w:val="18"/>
                <w:lang w:eastAsia="en-GB"/>
              </w:rPr>
              <w:t xml:space="preserve">Note: </w:t>
            </w:r>
            <w:r w:rsidR="005D571A" w:rsidRPr="003A6DFC">
              <w:rPr>
                <w:rFonts w:ascii="Century" w:eastAsia="Times New Roman" w:hAnsi="Century" w:cs="Calibri"/>
                <w:color w:val="000000"/>
                <w:sz w:val="18"/>
                <w:szCs w:val="18"/>
                <w:lang w:eastAsia="en-GB"/>
              </w:rPr>
              <w:t>Marginal effects</w:t>
            </w:r>
            <w:r w:rsidRPr="003A6DFC">
              <w:rPr>
                <w:rFonts w:ascii="Century" w:eastAsia="Times New Roman" w:hAnsi="Century" w:cs="Calibri"/>
                <w:color w:val="000000"/>
                <w:sz w:val="18"/>
                <w:szCs w:val="18"/>
                <w:lang w:eastAsia="en-GB"/>
              </w:rPr>
              <w:t xml:space="preserve"> are estimated at sample means.</w:t>
            </w:r>
            <w:r w:rsidR="000F6BAD" w:rsidRPr="003A6DFC">
              <w:rPr>
                <w:rFonts w:ascii="Century" w:eastAsia="Times New Roman" w:hAnsi="Century" w:cs="Calibri"/>
                <w:color w:val="000000"/>
                <w:sz w:val="18"/>
                <w:szCs w:val="18"/>
                <w:lang w:eastAsia="en-GB"/>
              </w:rPr>
              <w:t xml:space="preserve"> Reference categories for the categorical variables included in our model: age groups (age 16-25), gender (female), education (Degree), marital status (married/cohabiting), job status (employed), and regional dummies (</w:t>
            </w:r>
            <w:proofErr w:type="gramStart"/>
            <w:r w:rsidR="000F6BAD" w:rsidRPr="003A6DFC">
              <w:rPr>
                <w:rFonts w:ascii="Century" w:eastAsia="Times New Roman" w:hAnsi="Century" w:cs="Calibri"/>
                <w:color w:val="000000"/>
                <w:sz w:val="18"/>
                <w:szCs w:val="18"/>
                <w:lang w:eastAsia="en-GB"/>
              </w:rPr>
              <w:t>North East</w:t>
            </w:r>
            <w:proofErr w:type="gramEnd"/>
            <w:r w:rsidR="000F6BAD" w:rsidRPr="003A6DFC">
              <w:rPr>
                <w:rFonts w:ascii="Century" w:eastAsia="Times New Roman" w:hAnsi="Century" w:cs="Calibri"/>
                <w:color w:val="000000"/>
                <w:sz w:val="18"/>
                <w:szCs w:val="18"/>
                <w:lang w:eastAsia="en-GB"/>
              </w:rPr>
              <w:t>).</w:t>
            </w:r>
          </w:p>
          <w:p w14:paraId="5AF0A3A8" w14:textId="77777777" w:rsidR="00C24905" w:rsidRPr="003A6DFC" w:rsidRDefault="00C24905" w:rsidP="00BB4740">
            <w:pPr>
              <w:pStyle w:val="SemEspaamento"/>
              <w:rPr>
                <w:rFonts w:ascii="Century" w:hAnsi="Century"/>
                <w:sz w:val="18"/>
                <w:szCs w:val="18"/>
                <w:lang w:eastAsia="en-GB"/>
              </w:rPr>
            </w:pPr>
            <w:r w:rsidRPr="003A6DFC">
              <w:rPr>
                <w:rFonts w:ascii="Century" w:hAnsi="Century"/>
                <w:sz w:val="18"/>
                <w:szCs w:val="18"/>
                <w:vertAlign w:val="superscript"/>
                <w:lang w:eastAsia="en-GB"/>
              </w:rPr>
              <w:t>†</w:t>
            </w:r>
            <w:r w:rsidRPr="003A6DFC">
              <w:rPr>
                <w:rFonts w:ascii="Century" w:hAnsi="Century"/>
                <w:sz w:val="18"/>
                <w:szCs w:val="18"/>
                <w:lang w:eastAsia="en-GB"/>
              </w:rPr>
              <w:t xml:space="preserve"> Expressed in terms of deviations from their standard deviation. </w:t>
            </w:r>
          </w:p>
          <w:p w14:paraId="5CC33FBE" w14:textId="77777777" w:rsidR="00C24905" w:rsidRPr="003A6DFC" w:rsidRDefault="00C24905" w:rsidP="00BB4740">
            <w:pPr>
              <w:pStyle w:val="SemEspaamento"/>
              <w:rPr>
                <w:rFonts w:ascii="Century" w:hAnsi="Century" w:cs="Calibri"/>
                <w:color w:val="000000"/>
                <w:sz w:val="18"/>
                <w:szCs w:val="18"/>
                <w:lang w:val="pt-BR"/>
              </w:rPr>
            </w:pPr>
            <w:r w:rsidRPr="003A6DFC">
              <w:rPr>
                <w:rFonts w:ascii="Century" w:eastAsia="Times New Roman" w:hAnsi="Century" w:cs="Calibri"/>
                <w:color w:val="000000"/>
                <w:sz w:val="18"/>
                <w:szCs w:val="18"/>
                <w:lang w:eastAsia="en-GB"/>
              </w:rPr>
              <w:t>* p&lt;0.10, ** p&lt;0.05, *** p&lt;0.01</w:t>
            </w:r>
          </w:p>
        </w:tc>
      </w:tr>
    </w:tbl>
    <w:p w14:paraId="0231956A" w14:textId="3B1BD768" w:rsidR="000D2E69" w:rsidRPr="003A6DFC" w:rsidRDefault="00C24905">
      <w:pPr>
        <w:rPr>
          <w:rFonts w:ascii="Century" w:hAnsi="Century" w:cs="Times New Roman"/>
          <w:lang w:val="en-GB"/>
        </w:rPr>
      </w:pPr>
      <w:r w:rsidRPr="003A6DFC">
        <w:rPr>
          <w:rFonts w:ascii="Century" w:eastAsia="Times New Roman" w:hAnsi="Century" w:cs="Calibri"/>
          <w:color w:val="000000"/>
          <w:sz w:val="18"/>
          <w:szCs w:val="18"/>
          <w:lang w:eastAsia="en-GB"/>
        </w:rPr>
        <w:t xml:space="preserve">  </w:t>
      </w:r>
      <w:r w:rsidR="000D2E69" w:rsidRPr="003A6DFC">
        <w:rPr>
          <w:rFonts w:ascii="Century" w:hAnsi="Century" w:cs="Times New Roman"/>
          <w:lang w:val="en-GB"/>
        </w:rPr>
        <w:br w:type="page"/>
      </w:r>
    </w:p>
    <w:p w14:paraId="1C93AC41" w14:textId="333AAE3F" w:rsidR="003C3257" w:rsidRPr="003A6DFC" w:rsidRDefault="0069740F" w:rsidP="00F43637">
      <w:pPr>
        <w:spacing w:after="0" w:line="360" w:lineRule="auto"/>
        <w:ind w:firstLine="708"/>
        <w:jc w:val="both"/>
        <w:rPr>
          <w:rFonts w:ascii="Century" w:hAnsi="Century" w:cs="Times New Roman"/>
          <w:bCs/>
          <w:lang w:val="en-GB"/>
        </w:rPr>
      </w:pPr>
      <w:r w:rsidRPr="003A6DFC">
        <w:rPr>
          <w:rFonts w:ascii="Century" w:hAnsi="Century" w:cs="Times New Roman"/>
          <w:bCs/>
          <w:lang w:val="en-GB"/>
        </w:rPr>
        <w:lastRenderedPageBreak/>
        <w:t xml:space="preserve">Presence of other adults or children during the open interview seems to have a limited association with reporting inconsistencies, this suggests a limited role for the so-called </w:t>
      </w:r>
      <w:r w:rsidRPr="003A6DFC">
        <w:rPr>
          <w:rFonts w:ascii="Century" w:hAnsi="Century" w:cs="Arial"/>
        </w:rPr>
        <w:t xml:space="preserve">micro-social environment during the open interview (Conti and </w:t>
      </w:r>
      <w:proofErr w:type="spellStart"/>
      <w:r w:rsidRPr="003A6DFC">
        <w:rPr>
          <w:rFonts w:ascii="Century" w:hAnsi="Century" w:cs="Arial"/>
        </w:rPr>
        <w:t>Pudney</w:t>
      </w:r>
      <w:proofErr w:type="spellEnd"/>
      <w:r w:rsidRPr="003A6DFC">
        <w:rPr>
          <w:rFonts w:ascii="Century" w:hAnsi="Century" w:cs="Arial"/>
        </w:rPr>
        <w:t xml:space="preserve">, 2011) on affecting reporting </w:t>
      </w:r>
      <w:proofErr w:type="spellStart"/>
      <w:r w:rsidR="00EB33B0" w:rsidRPr="003A6DFC">
        <w:rPr>
          <w:rFonts w:ascii="Century" w:hAnsi="Century" w:cs="Arial"/>
        </w:rPr>
        <w:t>behaviour</w:t>
      </w:r>
      <w:proofErr w:type="spellEnd"/>
      <w:r w:rsidRPr="003A6DFC">
        <w:rPr>
          <w:rFonts w:ascii="Century" w:hAnsi="Century" w:cs="Arial"/>
        </w:rPr>
        <w:t xml:space="preserve"> in the context of SAH. </w:t>
      </w:r>
      <w:r w:rsidRPr="003A6DFC">
        <w:rPr>
          <w:rFonts w:ascii="Century" w:hAnsi="Century" w:cs="Times New Roman"/>
          <w:bCs/>
          <w:lang w:val="en-GB"/>
        </w:rPr>
        <w:t>Finally, our results show that the probability of reporting inconsistent SAH is monotonically decreasing across waves compared to Wave 2 (reference). This may reflect utilization of the computer-based self-completion SAH questionnaires (</w:t>
      </w:r>
      <w:r w:rsidR="00D94FE5" w:rsidRPr="003A6DFC">
        <w:rPr>
          <w:rFonts w:ascii="Century" w:hAnsi="Century" w:cs="Times New Roman"/>
          <w:bCs/>
          <w:lang w:val="en-GB"/>
        </w:rPr>
        <w:t xml:space="preserve">to replace the paper questionnaire at Wave 2, </w:t>
      </w:r>
      <w:r w:rsidRPr="003A6DFC">
        <w:rPr>
          <w:rFonts w:ascii="Century" w:hAnsi="Century" w:cs="Times New Roman"/>
          <w:bCs/>
          <w:lang w:val="en-GB"/>
        </w:rPr>
        <w:t xml:space="preserve">as discussed earlier) and the potential role of a “learning-by-doing” </w:t>
      </w:r>
      <w:r w:rsidR="00F610FC" w:rsidRPr="003A6DFC">
        <w:rPr>
          <w:rFonts w:ascii="Century" w:hAnsi="Century" w:cs="Times New Roman"/>
          <w:bCs/>
          <w:lang w:val="en-GB"/>
        </w:rPr>
        <w:t xml:space="preserve">or “priming” </w:t>
      </w:r>
      <w:r w:rsidRPr="003A6DFC">
        <w:rPr>
          <w:rFonts w:ascii="Century" w:hAnsi="Century" w:cs="Times New Roman"/>
          <w:bCs/>
          <w:lang w:val="en-GB"/>
        </w:rPr>
        <w:t xml:space="preserve">process among respondents in answering SAH questions twice within each wave. </w:t>
      </w:r>
      <w:r w:rsidR="00F43637" w:rsidRPr="003A6DFC">
        <w:rPr>
          <w:rFonts w:ascii="Century" w:hAnsi="Century"/>
          <w:lang w:val="en-GB"/>
        </w:rPr>
        <w:t>A</w:t>
      </w:r>
      <w:r w:rsidR="003C3257" w:rsidRPr="003A6DFC">
        <w:rPr>
          <w:rFonts w:ascii="Century" w:hAnsi="Century"/>
          <w:lang w:val="en-GB"/>
        </w:rPr>
        <w:t xml:space="preserve">s the panel become more mature in time, respondents improved understanding of the questionnaire content and/or became more confident with interviewers or with the </w:t>
      </w:r>
      <w:proofErr w:type="gramStart"/>
      <w:r w:rsidR="003C3257" w:rsidRPr="003A6DFC">
        <w:rPr>
          <w:rFonts w:ascii="Century" w:hAnsi="Century"/>
          <w:lang w:val="en-GB"/>
        </w:rPr>
        <w:t>study as a whole</w:t>
      </w:r>
      <w:proofErr w:type="gramEnd"/>
      <w:r w:rsidR="003C3257" w:rsidRPr="003A6DFC">
        <w:rPr>
          <w:rFonts w:ascii="Century" w:hAnsi="Century"/>
          <w:lang w:val="en-GB"/>
        </w:rPr>
        <w:t>. Respondents may also learn how to strategically answer survey questionnaire with the objective of reducing the interview length (see Fisher, 2019). This may lead respondents to more consistent within-wave SAH responses as the panel ages.</w:t>
      </w:r>
    </w:p>
    <w:p w14:paraId="35E42EDF" w14:textId="77777777" w:rsidR="004B536C" w:rsidRPr="003A6DFC" w:rsidRDefault="004B536C" w:rsidP="00156098">
      <w:pPr>
        <w:spacing w:after="0" w:line="360" w:lineRule="auto"/>
        <w:jc w:val="both"/>
        <w:rPr>
          <w:rFonts w:ascii="Century" w:hAnsi="Century" w:cs="Times New Roman"/>
          <w:bCs/>
          <w:lang w:val="en-GB"/>
        </w:rPr>
      </w:pPr>
    </w:p>
    <w:p w14:paraId="17834484" w14:textId="77777777" w:rsidR="00AB1FB2" w:rsidRPr="003A6DFC" w:rsidRDefault="00AB1FB2" w:rsidP="00AB1FB2">
      <w:pPr>
        <w:spacing w:after="0" w:line="360" w:lineRule="auto"/>
        <w:jc w:val="both"/>
        <w:rPr>
          <w:rFonts w:ascii="Century" w:hAnsi="Century" w:cs="Times New Roman"/>
          <w:b/>
          <w:sz w:val="28"/>
          <w:szCs w:val="28"/>
          <w:lang w:val="en-GB"/>
        </w:rPr>
      </w:pPr>
      <w:r w:rsidRPr="003A6DFC">
        <w:rPr>
          <w:rFonts w:ascii="Century" w:hAnsi="Century" w:cs="Times New Roman"/>
          <w:b/>
          <w:sz w:val="28"/>
          <w:szCs w:val="28"/>
          <w:lang w:val="en-GB"/>
        </w:rPr>
        <w:t>5.2 The frequency of inconsistent responses</w:t>
      </w:r>
    </w:p>
    <w:p w14:paraId="21E82744" w14:textId="2FCDBB7A" w:rsidR="00AB1FB2" w:rsidRPr="003A6DFC" w:rsidRDefault="00AB1FB2" w:rsidP="00AB1FB2">
      <w:pPr>
        <w:spacing w:after="0" w:line="360" w:lineRule="auto"/>
        <w:jc w:val="both"/>
        <w:rPr>
          <w:rFonts w:ascii="Century" w:hAnsi="Century" w:cs="Times New Roman"/>
          <w:bCs/>
          <w:lang w:val="en-GB"/>
        </w:rPr>
      </w:pPr>
      <w:r w:rsidRPr="003A6DFC">
        <w:rPr>
          <w:rFonts w:ascii="Century" w:hAnsi="Century" w:cs="Times New Roman"/>
          <w:bCs/>
          <w:lang w:val="en-GB"/>
        </w:rPr>
        <w:t>Our analysis so far has explored those factors that are associated with the probability of reporting inconsistently in the two SAH questions (open interview versus self-completion) within each wave. In this sub-section we characterize the profile, based on individuals’ characteristics at baseline (mainly Wave 2 or Wave 3), of those reporting inconsistently more frequently than others across our four UKHLS waves. Our dependent variable is, thus, defined as the fraction of waves with inconsistent responses to SAH questions relative to total number of waves. Table 5 displays the marginal effects from the corresponding fractional response model; the model coefficients are presented in Table A</w:t>
      </w:r>
      <w:r w:rsidR="00F84C8D" w:rsidRPr="003A6DFC">
        <w:rPr>
          <w:rFonts w:ascii="Century" w:hAnsi="Century" w:cs="Times New Roman"/>
          <w:bCs/>
          <w:lang w:val="en-GB"/>
        </w:rPr>
        <w:t>3</w:t>
      </w:r>
      <w:r w:rsidRPr="003A6DFC">
        <w:rPr>
          <w:rFonts w:ascii="Century" w:hAnsi="Century" w:cs="Times New Roman"/>
          <w:bCs/>
          <w:lang w:val="en-GB"/>
        </w:rPr>
        <w:t xml:space="preserve"> (Appendix). </w:t>
      </w:r>
    </w:p>
    <w:p w14:paraId="62370EBA" w14:textId="77777777" w:rsidR="00AB1FB2" w:rsidRPr="003A6DFC" w:rsidRDefault="00AB1FB2" w:rsidP="00AB1FB2">
      <w:pPr>
        <w:spacing w:after="0" w:line="360" w:lineRule="auto"/>
        <w:ind w:firstLine="708"/>
        <w:jc w:val="both"/>
        <w:rPr>
          <w:rFonts w:ascii="Century" w:hAnsi="Century" w:cs="Times New Roman"/>
          <w:bCs/>
          <w:lang w:val="en-GB"/>
        </w:rPr>
      </w:pPr>
      <w:r w:rsidRPr="003A6DFC">
        <w:rPr>
          <w:rFonts w:ascii="Century" w:hAnsi="Century" w:cs="Times New Roman"/>
          <w:bCs/>
          <w:lang w:val="en-GB"/>
        </w:rPr>
        <w:t>Overall, the results from the fractional response model show that those baseline characteristics that predict the probability of reporting inconsistently to SAH questions are also systematically associated with a higher frequency of reporting SAH inconsistently, i.e., the presence of “persistent” behaviour in reporting inconsistency to SAH questions across the four waves.</w:t>
      </w:r>
      <w:r w:rsidRPr="003A6DFC">
        <w:rPr>
          <w:rFonts w:ascii="Century" w:hAnsi="Century" w:cs="Times New Roman"/>
          <w:lang w:val="en-GB"/>
        </w:rPr>
        <w:t xml:space="preserve"> Demographics (age and gender), education, income, employment status, cognitive and non-cognitive skills are the baseline characteristics that are most associated with a higher frequency of reporting inconsistently across the four UKHLS waves.</w:t>
      </w:r>
    </w:p>
    <w:p w14:paraId="753CEA28" w14:textId="3EB124DA" w:rsidR="004E5BC4" w:rsidRPr="003A6DFC" w:rsidRDefault="004E5BC4" w:rsidP="00AB1FB2">
      <w:pPr>
        <w:spacing w:after="0" w:line="240" w:lineRule="auto"/>
        <w:rPr>
          <w:rFonts w:ascii="Times New Roman" w:hAnsi="Times New Roman" w:cs="Times New Roman"/>
          <w:b/>
          <w:sz w:val="24"/>
          <w:szCs w:val="24"/>
          <w:lang w:val="en-GB"/>
        </w:rPr>
      </w:pPr>
      <w:r w:rsidRPr="003A6DFC">
        <w:rPr>
          <w:rFonts w:ascii="Times New Roman" w:hAnsi="Times New Roman" w:cs="Times New Roman"/>
          <w:b/>
          <w:sz w:val="24"/>
          <w:szCs w:val="24"/>
          <w:lang w:val="en-GB"/>
        </w:rPr>
        <w:br w:type="page"/>
      </w:r>
    </w:p>
    <w:tbl>
      <w:tblPr>
        <w:tblW w:w="0" w:type="auto"/>
        <w:tblCellMar>
          <w:left w:w="70" w:type="dxa"/>
          <w:right w:w="70" w:type="dxa"/>
        </w:tblCellMar>
        <w:tblLook w:val="04A0" w:firstRow="1" w:lastRow="0" w:firstColumn="1" w:lastColumn="0" w:noHBand="0" w:noVBand="1"/>
      </w:tblPr>
      <w:tblGrid>
        <w:gridCol w:w="6100"/>
        <w:gridCol w:w="1760"/>
        <w:gridCol w:w="1166"/>
      </w:tblGrid>
      <w:tr w:rsidR="00AB1FB2" w:rsidRPr="003A6DFC" w14:paraId="5C3C965B" w14:textId="77777777" w:rsidTr="00C004FF">
        <w:trPr>
          <w:trHeight w:val="290"/>
        </w:trPr>
        <w:tc>
          <w:tcPr>
            <w:tcW w:w="0" w:type="auto"/>
            <w:gridSpan w:val="3"/>
            <w:tcBorders>
              <w:bottom w:val="single" w:sz="4" w:space="0" w:color="auto"/>
            </w:tcBorders>
            <w:shd w:val="clear" w:color="auto" w:fill="auto"/>
            <w:noWrap/>
            <w:vAlign w:val="bottom"/>
          </w:tcPr>
          <w:p w14:paraId="3CEFF2A6" w14:textId="2D67A273" w:rsidR="00AB1FB2" w:rsidRPr="003A6DFC" w:rsidRDefault="00AB1FB2" w:rsidP="00C004FF">
            <w:pPr>
              <w:spacing w:after="0" w:line="240" w:lineRule="auto"/>
              <w:rPr>
                <w:rFonts w:ascii="Century" w:eastAsia="Times New Roman" w:hAnsi="Century" w:cs="Times New Roman"/>
                <w:b/>
                <w:bCs/>
                <w:sz w:val="20"/>
                <w:szCs w:val="20"/>
                <w:lang w:val="en-GB" w:eastAsia="pt-BR"/>
              </w:rPr>
            </w:pPr>
            <w:r w:rsidRPr="003A6DFC">
              <w:rPr>
                <w:rFonts w:ascii="Century" w:eastAsia="Times New Roman" w:hAnsi="Century" w:cs="Times New Roman"/>
                <w:b/>
                <w:bCs/>
                <w:sz w:val="20"/>
                <w:szCs w:val="20"/>
                <w:lang w:eastAsia="pt-BR"/>
              </w:rPr>
              <w:lastRenderedPageBreak/>
              <w:t xml:space="preserve">Table </w:t>
            </w:r>
            <w:r w:rsidRPr="003A6DFC">
              <w:rPr>
                <w:rFonts w:ascii="Century" w:eastAsia="Times New Roman" w:hAnsi="Century" w:cs="Times New Roman"/>
                <w:b/>
                <w:bCs/>
                <w:sz w:val="20"/>
                <w:szCs w:val="20"/>
                <w:lang w:val="en-GB" w:eastAsia="pt-BR"/>
              </w:rPr>
              <w:t>5</w:t>
            </w:r>
            <w:r w:rsidRPr="003A6DFC">
              <w:rPr>
                <w:rFonts w:ascii="Century" w:eastAsia="Times New Roman" w:hAnsi="Century" w:cs="Times New Roman"/>
                <w:b/>
                <w:bCs/>
                <w:sz w:val="20"/>
                <w:szCs w:val="20"/>
                <w:lang w:eastAsia="pt-BR"/>
              </w:rPr>
              <w:t>: Fractional response model for fraction of waves (as opposed to the total number of waves available) with inconsistent responses to SAH questions</w:t>
            </w:r>
            <w:r w:rsidRPr="003A6DFC">
              <w:rPr>
                <w:rFonts w:ascii="Century" w:eastAsia="Times New Roman" w:hAnsi="Century" w:cs="Times New Roman"/>
                <w:b/>
                <w:bCs/>
                <w:sz w:val="20"/>
                <w:szCs w:val="20"/>
                <w:lang w:val="en-GB" w:eastAsia="pt-BR"/>
              </w:rPr>
              <w:t>: marginal effects.</w:t>
            </w:r>
          </w:p>
        </w:tc>
      </w:tr>
      <w:tr w:rsidR="00AB1FB2" w:rsidRPr="003A6DFC" w14:paraId="1F666803" w14:textId="77777777" w:rsidTr="00C004FF">
        <w:trPr>
          <w:trHeight w:val="290"/>
        </w:trPr>
        <w:tc>
          <w:tcPr>
            <w:tcW w:w="0" w:type="auto"/>
            <w:tcBorders>
              <w:top w:val="single" w:sz="4" w:space="0" w:color="auto"/>
              <w:bottom w:val="single" w:sz="4" w:space="0" w:color="auto"/>
            </w:tcBorders>
            <w:shd w:val="clear" w:color="auto" w:fill="auto"/>
            <w:noWrap/>
            <w:vAlign w:val="bottom"/>
            <w:hideMark/>
          </w:tcPr>
          <w:p w14:paraId="1B6108E9" w14:textId="77777777" w:rsidR="00AB1FB2" w:rsidRPr="003A6DFC" w:rsidRDefault="00AB1FB2" w:rsidP="00C004FF">
            <w:pPr>
              <w:spacing w:after="0" w:line="240" w:lineRule="auto"/>
              <w:jc w:val="center"/>
              <w:rPr>
                <w:rFonts w:ascii="Century" w:eastAsia="Times New Roman" w:hAnsi="Century" w:cs="Times New Roman"/>
                <w:sz w:val="18"/>
                <w:szCs w:val="18"/>
                <w:lang w:eastAsia="pt-BR"/>
              </w:rPr>
            </w:pPr>
          </w:p>
        </w:tc>
        <w:tc>
          <w:tcPr>
            <w:tcW w:w="0" w:type="auto"/>
            <w:tcBorders>
              <w:top w:val="single" w:sz="4" w:space="0" w:color="auto"/>
              <w:bottom w:val="single" w:sz="4" w:space="0" w:color="auto"/>
            </w:tcBorders>
            <w:shd w:val="clear" w:color="auto" w:fill="auto"/>
            <w:noWrap/>
            <w:vAlign w:val="center"/>
            <w:hideMark/>
          </w:tcPr>
          <w:p w14:paraId="749FA30A" w14:textId="77777777" w:rsidR="00AB1FB2" w:rsidRPr="003A6DFC" w:rsidRDefault="00AB1FB2" w:rsidP="00C004FF">
            <w:pPr>
              <w:spacing w:after="0" w:line="240" w:lineRule="auto"/>
              <w:jc w:val="center"/>
              <w:rPr>
                <w:rFonts w:ascii="Century" w:eastAsia="Times New Roman" w:hAnsi="Century" w:cs="Times New Roman"/>
                <w:b/>
                <w:bCs/>
                <w:sz w:val="18"/>
                <w:szCs w:val="18"/>
                <w:lang w:eastAsia="pt-BR"/>
              </w:rPr>
            </w:pPr>
            <w:r w:rsidRPr="003A6DFC">
              <w:rPr>
                <w:rFonts w:ascii="Century" w:eastAsia="Times New Roman" w:hAnsi="Century" w:cs="Times New Roman"/>
                <w:b/>
                <w:bCs/>
                <w:sz w:val="18"/>
                <w:szCs w:val="18"/>
                <w:lang w:eastAsia="pt-BR"/>
              </w:rPr>
              <w:t>Coeff.</w:t>
            </w:r>
          </w:p>
        </w:tc>
        <w:tc>
          <w:tcPr>
            <w:tcW w:w="0" w:type="auto"/>
            <w:tcBorders>
              <w:top w:val="single" w:sz="4" w:space="0" w:color="auto"/>
              <w:bottom w:val="single" w:sz="4" w:space="0" w:color="auto"/>
            </w:tcBorders>
            <w:shd w:val="clear" w:color="auto" w:fill="auto"/>
            <w:noWrap/>
            <w:vAlign w:val="center"/>
            <w:hideMark/>
          </w:tcPr>
          <w:p w14:paraId="2B3EB304" w14:textId="77777777" w:rsidR="00AB1FB2" w:rsidRPr="003A6DFC" w:rsidRDefault="00AB1FB2" w:rsidP="00C004FF">
            <w:pPr>
              <w:spacing w:after="0" w:line="240" w:lineRule="auto"/>
              <w:jc w:val="center"/>
              <w:rPr>
                <w:rFonts w:ascii="Century" w:eastAsia="Times New Roman" w:hAnsi="Century" w:cs="Times New Roman"/>
                <w:b/>
                <w:bCs/>
                <w:sz w:val="18"/>
                <w:szCs w:val="18"/>
                <w:lang w:eastAsia="pt-BR"/>
              </w:rPr>
            </w:pPr>
            <w:r w:rsidRPr="003A6DFC">
              <w:rPr>
                <w:rFonts w:ascii="Century" w:eastAsia="Times New Roman" w:hAnsi="Century" w:cs="Times New Roman"/>
                <w:b/>
                <w:bCs/>
                <w:sz w:val="18"/>
                <w:szCs w:val="18"/>
                <w:lang w:eastAsia="pt-BR"/>
              </w:rPr>
              <w:t>SE</w:t>
            </w:r>
          </w:p>
        </w:tc>
      </w:tr>
      <w:tr w:rsidR="00AB1FB2" w:rsidRPr="003A6DFC" w14:paraId="23C50CE5" w14:textId="77777777" w:rsidTr="00C004FF">
        <w:trPr>
          <w:trHeight w:val="290"/>
        </w:trPr>
        <w:tc>
          <w:tcPr>
            <w:tcW w:w="0" w:type="auto"/>
            <w:tcBorders>
              <w:top w:val="single" w:sz="4" w:space="0" w:color="auto"/>
            </w:tcBorders>
            <w:shd w:val="clear" w:color="auto" w:fill="auto"/>
            <w:noWrap/>
            <w:vAlign w:val="center"/>
            <w:hideMark/>
          </w:tcPr>
          <w:p w14:paraId="36B10079"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Male</w:t>
            </w:r>
          </w:p>
        </w:tc>
        <w:tc>
          <w:tcPr>
            <w:tcW w:w="0" w:type="auto"/>
            <w:tcBorders>
              <w:top w:val="single" w:sz="4" w:space="0" w:color="auto"/>
            </w:tcBorders>
            <w:shd w:val="clear" w:color="auto" w:fill="auto"/>
            <w:noWrap/>
            <w:vAlign w:val="center"/>
            <w:hideMark/>
          </w:tcPr>
          <w:p w14:paraId="3F6C0370"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0.025***</w:t>
            </w:r>
          </w:p>
        </w:tc>
        <w:tc>
          <w:tcPr>
            <w:tcW w:w="0" w:type="auto"/>
            <w:tcBorders>
              <w:top w:val="single" w:sz="4" w:space="0" w:color="auto"/>
            </w:tcBorders>
            <w:shd w:val="clear" w:color="auto" w:fill="auto"/>
            <w:noWrap/>
            <w:vAlign w:val="center"/>
            <w:hideMark/>
          </w:tcPr>
          <w:p w14:paraId="2DCCC597"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0.003</w:t>
            </w:r>
          </w:p>
        </w:tc>
      </w:tr>
      <w:tr w:rsidR="00AB1FB2" w:rsidRPr="003A6DFC" w14:paraId="0534EEED" w14:textId="77777777" w:rsidTr="00C004FF">
        <w:trPr>
          <w:trHeight w:val="290"/>
        </w:trPr>
        <w:tc>
          <w:tcPr>
            <w:tcW w:w="0" w:type="auto"/>
            <w:shd w:val="clear" w:color="auto" w:fill="auto"/>
            <w:noWrap/>
            <w:vAlign w:val="center"/>
            <w:hideMark/>
          </w:tcPr>
          <w:p w14:paraId="598C7B44"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26-35</w:t>
            </w:r>
          </w:p>
        </w:tc>
        <w:tc>
          <w:tcPr>
            <w:tcW w:w="0" w:type="auto"/>
            <w:shd w:val="clear" w:color="auto" w:fill="auto"/>
            <w:noWrap/>
            <w:vAlign w:val="center"/>
            <w:hideMark/>
          </w:tcPr>
          <w:p w14:paraId="7D61C3E1"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-0.018***</w:t>
            </w:r>
          </w:p>
        </w:tc>
        <w:tc>
          <w:tcPr>
            <w:tcW w:w="0" w:type="auto"/>
            <w:shd w:val="clear" w:color="auto" w:fill="auto"/>
            <w:noWrap/>
            <w:vAlign w:val="center"/>
            <w:hideMark/>
          </w:tcPr>
          <w:p w14:paraId="2AA48953"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r>
      <w:tr w:rsidR="00AB1FB2" w:rsidRPr="003A6DFC" w14:paraId="5385AC22" w14:textId="77777777" w:rsidTr="00C004FF">
        <w:trPr>
          <w:trHeight w:val="290"/>
        </w:trPr>
        <w:tc>
          <w:tcPr>
            <w:tcW w:w="0" w:type="auto"/>
            <w:shd w:val="clear" w:color="auto" w:fill="auto"/>
            <w:noWrap/>
            <w:vAlign w:val="center"/>
            <w:hideMark/>
          </w:tcPr>
          <w:p w14:paraId="5ABEAF4C"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36-45</w:t>
            </w:r>
          </w:p>
        </w:tc>
        <w:tc>
          <w:tcPr>
            <w:tcW w:w="0" w:type="auto"/>
            <w:shd w:val="clear" w:color="auto" w:fill="auto"/>
            <w:noWrap/>
            <w:vAlign w:val="center"/>
            <w:hideMark/>
          </w:tcPr>
          <w:p w14:paraId="6057CF19"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-0.009</w:t>
            </w:r>
          </w:p>
        </w:tc>
        <w:tc>
          <w:tcPr>
            <w:tcW w:w="0" w:type="auto"/>
            <w:shd w:val="clear" w:color="auto" w:fill="auto"/>
            <w:noWrap/>
            <w:vAlign w:val="center"/>
            <w:hideMark/>
          </w:tcPr>
          <w:p w14:paraId="23B0DFC7"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r>
      <w:tr w:rsidR="00AB1FB2" w:rsidRPr="003A6DFC" w14:paraId="360D50B2" w14:textId="77777777" w:rsidTr="00C004FF">
        <w:trPr>
          <w:trHeight w:val="290"/>
        </w:trPr>
        <w:tc>
          <w:tcPr>
            <w:tcW w:w="0" w:type="auto"/>
            <w:shd w:val="clear" w:color="auto" w:fill="auto"/>
            <w:noWrap/>
            <w:vAlign w:val="center"/>
            <w:hideMark/>
          </w:tcPr>
          <w:p w14:paraId="4A298232"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46-55</w:t>
            </w:r>
          </w:p>
        </w:tc>
        <w:tc>
          <w:tcPr>
            <w:tcW w:w="0" w:type="auto"/>
            <w:shd w:val="clear" w:color="auto" w:fill="auto"/>
            <w:noWrap/>
            <w:vAlign w:val="center"/>
            <w:hideMark/>
          </w:tcPr>
          <w:p w14:paraId="35749CF2"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c>
          <w:tcPr>
            <w:tcW w:w="0" w:type="auto"/>
            <w:shd w:val="clear" w:color="auto" w:fill="auto"/>
            <w:noWrap/>
            <w:vAlign w:val="center"/>
            <w:hideMark/>
          </w:tcPr>
          <w:p w14:paraId="55B5AF27"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r>
      <w:tr w:rsidR="00AB1FB2" w:rsidRPr="003A6DFC" w14:paraId="7330B0E4" w14:textId="77777777" w:rsidTr="00C004FF">
        <w:trPr>
          <w:trHeight w:val="290"/>
        </w:trPr>
        <w:tc>
          <w:tcPr>
            <w:tcW w:w="0" w:type="auto"/>
            <w:shd w:val="clear" w:color="auto" w:fill="auto"/>
            <w:noWrap/>
            <w:vAlign w:val="center"/>
            <w:hideMark/>
          </w:tcPr>
          <w:p w14:paraId="37DD9B39"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56-65</w:t>
            </w:r>
          </w:p>
        </w:tc>
        <w:tc>
          <w:tcPr>
            <w:tcW w:w="0" w:type="auto"/>
            <w:shd w:val="clear" w:color="auto" w:fill="auto"/>
            <w:noWrap/>
            <w:vAlign w:val="center"/>
            <w:hideMark/>
          </w:tcPr>
          <w:p w14:paraId="4B98BC63"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-0.019**</w:t>
            </w:r>
          </w:p>
        </w:tc>
        <w:tc>
          <w:tcPr>
            <w:tcW w:w="0" w:type="auto"/>
            <w:shd w:val="clear" w:color="auto" w:fill="auto"/>
            <w:noWrap/>
            <w:vAlign w:val="center"/>
            <w:hideMark/>
          </w:tcPr>
          <w:p w14:paraId="3D800445"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0.008</w:t>
            </w:r>
          </w:p>
        </w:tc>
      </w:tr>
      <w:tr w:rsidR="00AB1FB2" w:rsidRPr="003A6DFC" w14:paraId="0F77B6EE" w14:textId="77777777" w:rsidTr="00C004FF">
        <w:trPr>
          <w:trHeight w:val="290"/>
        </w:trPr>
        <w:tc>
          <w:tcPr>
            <w:tcW w:w="0" w:type="auto"/>
            <w:shd w:val="clear" w:color="auto" w:fill="auto"/>
            <w:noWrap/>
            <w:vAlign w:val="center"/>
            <w:hideMark/>
          </w:tcPr>
          <w:p w14:paraId="2DFF1543"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66-75</w:t>
            </w:r>
          </w:p>
        </w:tc>
        <w:tc>
          <w:tcPr>
            <w:tcW w:w="0" w:type="auto"/>
            <w:shd w:val="clear" w:color="auto" w:fill="auto"/>
            <w:noWrap/>
            <w:vAlign w:val="center"/>
            <w:hideMark/>
          </w:tcPr>
          <w:p w14:paraId="2DDF7DB0"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-0.011</w:t>
            </w:r>
          </w:p>
        </w:tc>
        <w:tc>
          <w:tcPr>
            <w:tcW w:w="0" w:type="auto"/>
            <w:shd w:val="clear" w:color="auto" w:fill="auto"/>
            <w:noWrap/>
            <w:vAlign w:val="center"/>
            <w:hideMark/>
          </w:tcPr>
          <w:p w14:paraId="71E59450"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0.010</w:t>
            </w:r>
          </w:p>
        </w:tc>
      </w:tr>
      <w:tr w:rsidR="00AB1FB2" w:rsidRPr="003A6DFC" w14:paraId="0AF3AA93" w14:textId="77777777" w:rsidTr="00C004FF">
        <w:trPr>
          <w:trHeight w:val="290"/>
        </w:trPr>
        <w:tc>
          <w:tcPr>
            <w:tcW w:w="0" w:type="auto"/>
            <w:shd w:val="clear" w:color="auto" w:fill="auto"/>
            <w:noWrap/>
            <w:vAlign w:val="center"/>
            <w:hideMark/>
          </w:tcPr>
          <w:p w14:paraId="7EB1714B"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76-85</w:t>
            </w:r>
          </w:p>
        </w:tc>
        <w:tc>
          <w:tcPr>
            <w:tcW w:w="0" w:type="auto"/>
            <w:shd w:val="clear" w:color="auto" w:fill="auto"/>
            <w:noWrap/>
            <w:vAlign w:val="center"/>
            <w:hideMark/>
          </w:tcPr>
          <w:p w14:paraId="78544A38"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c>
          <w:tcPr>
            <w:tcW w:w="0" w:type="auto"/>
            <w:shd w:val="clear" w:color="auto" w:fill="auto"/>
            <w:noWrap/>
            <w:vAlign w:val="center"/>
            <w:hideMark/>
          </w:tcPr>
          <w:p w14:paraId="54B04FD6"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0.012</w:t>
            </w:r>
          </w:p>
        </w:tc>
      </w:tr>
      <w:tr w:rsidR="00AB1FB2" w:rsidRPr="003A6DFC" w14:paraId="4FAD5462" w14:textId="77777777" w:rsidTr="00C004FF">
        <w:trPr>
          <w:trHeight w:val="290"/>
        </w:trPr>
        <w:tc>
          <w:tcPr>
            <w:tcW w:w="0" w:type="auto"/>
            <w:shd w:val="clear" w:color="auto" w:fill="auto"/>
            <w:noWrap/>
            <w:vAlign w:val="center"/>
            <w:hideMark/>
          </w:tcPr>
          <w:p w14:paraId="40E3771C"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86-104</w:t>
            </w:r>
          </w:p>
        </w:tc>
        <w:tc>
          <w:tcPr>
            <w:tcW w:w="0" w:type="auto"/>
            <w:shd w:val="clear" w:color="auto" w:fill="auto"/>
            <w:noWrap/>
            <w:vAlign w:val="center"/>
            <w:hideMark/>
          </w:tcPr>
          <w:p w14:paraId="715D3F5E"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c>
          <w:tcPr>
            <w:tcW w:w="0" w:type="auto"/>
            <w:shd w:val="clear" w:color="auto" w:fill="auto"/>
            <w:noWrap/>
            <w:vAlign w:val="center"/>
            <w:hideMark/>
          </w:tcPr>
          <w:p w14:paraId="2154DCF5"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0.023</w:t>
            </w:r>
          </w:p>
        </w:tc>
      </w:tr>
      <w:tr w:rsidR="00AB1FB2" w:rsidRPr="003A6DFC" w14:paraId="45EBD7C9" w14:textId="77777777" w:rsidTr="00C004FF">
        <w:trPr>
          <w:trHeight w:val="290"/>
        </w:trPr>
        <w:tc>
          <w:tcPr>
            <w:tcW w:w="0" w:type="auto"/>
            <w:shd w:val="clear" w:color="auto" w:fill="auto"/>
            <w:noWrap/>
            <w:vAlign w:val="center"/>
            <w:hideMark/>
          </w:tcPr>
          <w:p w14:paraId="478B01FA"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Other higher qualification</w:t>
            </w:r>
          </w:p>
        </w:tc>
        <w:tc>
          <w:tcPr>
            <w:tcW w:w="0" w:type="auto"/>
            <w:shd w:val="clear" w:color="auto" w:fill="auto"/>
            <w:noWrap/>
            <w:vAlign w:val="center"/>
            <w:hideMark/>
          </w:tcPr>
          <w:p w14:paraId="3AD7AD83"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0.017***</w:t>
            </w:r>
          </w:p>
        </w:tc>
        <w:tc>
          <w:tcPr>
            <w:tcW w:w="0" w:type="auto"/>
            <w:shd w:val="clear" w:color="auto" w:fill="auto"/>
            <w:noWrap/>
            <w:vAlign w:val="center"/>
            <w:hideMark/>
          </w:tcPr>
          <w:p w14:paraId="7F283E52"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r>
      <w:tr w:rsidR="00AB1FB2" w:rsidRPr="003A6DFC" w14:paraId="19EC1DA5" w14:textId="77777777" w:rsidTr="00C004FF">
        <w:trPr>
          <w:trHeight w:val="290"/>
        </w:trPr>
        <w:tc>
          <w:tcPr>
            <w:tcW w:w="0" w:type="auto"/>
            <w:shd w:val="clear" w:color="auto" w:fill="auto"/>
            <w:noWrap/>
            <w:vAlign w:val="center"/>
            <w:hideMark/>
          </w:tcPr>
          <w:p w14:paraId="03C20793"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A-level</w:t>
            </w:r>
          </w:p>
        </w:tc>
        <w:tc>
          <w:tcPr>
            <w:tcW w:w="0" w:type="auto"/>
            <w:shd w:val="clear" w:color="auto" w:fill="auto"/>
            <w:noWrap/>
            <w:vAlign w:val="center"/>
            <w:hideMark/>
          </w:tcPr>
          <w:p w14:paraId="45A945CE"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0.021***</w:t>
            </w:r>
          </w:p>
        </w:tc>
        <w:tc>
          <w:tcPr>
            <w:tcW w:w="0" w:type="auto"/>
            <w:shd w:val="clear" w:color="auto" w:fill="auto"/>
            <w:noWrap/>
            <w:vAlign w:val="center"/>
            <w:hideMark/>
          </w:tcPr>
          <w:p w14:paraId="09E7BA8B"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r>
      <w:tr w:rsidR="00AB1FB2" w:rsidRPr="003A6DFC" w14:paraId="20F1EB11" w14:textId="77777777" w:rsidTr="00C004FF">
        <w:trPr>
          <w:trHeight w:val="290"/>
        </w:trPr>
        <w:tc>
          <w:tcPr>
            <w:tcW w:w="0" w:type="auto"/>
            <w:shd w:val="clear" w:color="auto" w:fill="auto"/>
            <w:noWrap/>
            <w:vAlign w:val="center"/>
            <w:hideMark/>
          </w:tcPr>
          <w:p w14:paraId="123A10CC"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GCSE</w:t>
            </w:r>
          </w:p>
        </w:tc>
        <w:tc>
          <w:tcPr>
            <w:tcW w:w="0" w:type="auto"/>
            <w:shd w:val="clear" w:color="auto" w:fill="auto"/>
            <w:noWrap/>
            <w:vAlign w:val="center"/>
            <w:hideMark/>
          </w:tcPr>
          <w:p w14:paraId="58A30B05"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0.038***</w:t>
            </w:r>
          </w:p>
        </w:tc>
        <w:tc>
          <w:tcPr>
            <w:tcW w:w="0" w:type="auto"/>
            <w:shd w:val="clear" w:color="auto" w:fill="auto"/>
            <w:noWrap/>
            <w:vAlign w:val="center"/>
            <w:hideMark/>
          </w:tcPr>
          <w:p w14:paraId="01EA9F67"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r>
      <w:tr w:rsidR="00AB1FB2" w:rsidRPr="003A6DFC" w14:paraId="083E0A6D" w14:textId="77777777" w:rsidTr="00C004FF">
        <w:trPr>
          <w:trHeight w:val="290"/>
        </w:trPr>
        <w:tc>
          <w:tcPr>
            <w:tcW w:w="0" w:type="auto"/>
            <w:shd w:val="clear" w:color="auto" w:fill="auto"/>
            <w:noWrap/>
            <w:vAlign w:val="center"/>
            <w:hideMark/>
          </w:tcPr>
          <w:p w14:paraId="7BD3AAF0"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Other low qualification</w:t>
            </w:r>
          </w:p>
        </w:tc>
        <w:tc>
          <w:tcPr>
            <w:tcW w:w="0" w:type="auto"/>
            <w:shd w:val="clear" w:color="auto" w:fill="auto"/>
            <w:noWrap/>
            <w:vAlign w:val="center"/>
            <w:hideMark/>
          </w:tcPr>
          <w:p w14:paraId="0251C023"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0.035***</w:t>
            </w:r>
          </w:p>
        </w:tc>
        <w:tc>
          <w:tcPr>
            <w:tcW w:w="0" w:type="auto"/>
            <w:shd w:val="clear" w:color="auto" w:fill="auto"/>
            <w:noWrap/>
            <w:vAlign w:val="center"/>
            <w:hideMark/>
          </w:tcPr>
          <w:p w14:paraId="1544B770"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AB1FB2" w:rsidRPr="003A6DFC" w14:paraId="4F996212" w14:textId="77777777" w:rsidTr="00C004FF">
        <w:trPr>
          <w:trHeight w:val="290"/>
        </w:trPr>
        <w:tc>
          <w:tcPr>
            <w:tcW w:w="0" w:type="auto"/>
            <w:shd w:val="clear" w:color="auto" w:fill="auto"/>
            <w:noWrap/>
            <w:vAlign w:val="center"/>
            <w:hideMark/>
          </w:tcPr>
          <w:p w14:paraId="4F22ADB2"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No qualification</w:t>
            </w:r>
          </w:p>
        </w:tc>
        <w:tc>
          <w:tcPr>
            <w:tcW w:w="0" w:type="auto"/>
            <w:shd w:val="clear" w:color="auto" w:fill="auto"/>
            <w:noWrap/>
            <w:vAlign w:val="center"/>
            <w:hideMark/>
          </w:tcPr>
          <w:p w14:paraId="006E650D"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0.037***</w:t>
            </w:r>
          </w:p>
        </w:tc>
        <w:tc>
          <w:tcPr>
            <w:tcW w:w="0" w:type="auto"/>
            <w:shd w:val="clear" w:color="auto" w:fill="auto"/>
            <w:noWrap/>
            <w:vAlign w:val="center"/>
            <w:hideMark/>
          </w:tcPr>
          <w:p w14:paraId="26275FF8"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AB1FB2" w:rsidRPr="003A6DFC" w14:paraId="65569973" w14:textId="77777777" w:rsidTr="00C004FF">
        <w:trPr>
          <w:trHeight w:val="290"/>
        </w:trPr>
        <w:tc>
          <w:tcPr>
            <w:tcW w:w="0" w:type="auto"/>
            <w:shd w:val="clear" w:color="auto" w:fill="auto"/>
            <w:noWrap/>
            <w:vAlign w:val="center"/>
            <w:hideMark/>
          </w:tcPr>
          <w:p w14:paraId="4A541BA0"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Log of the HH income</w:t>
            </w:r>
          </w:p>
        </w:tc>
        <w:tc>
          <w:tcPr>
            <w:tcW w:w="0" w:type="auto"/>
            <w:shd w:val="clear" w:color="auto" w:fill="auto"/>
            <w:noWrap/>
            <w:vAlign w:val="center"/>
            <w:hideMark/>
          </w:tcPr>
          <w:p w14:paraId="17B4AB6F"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-0.018***</w:t>
            </w:r>
          </w:p>
        </w:tc>
        <w:tc>
          <w:tcPr>
            <w:tcW w:w="0" w:type="auto"/>
            <w:shd w:val="clear" w:color="auto" w:fill="auto"/>
            <w:noWrap/>
            <w:vAlign w:val="center"/>
            <w:hideMark/>
          </w:tcPr>
          <w:p w14:paraId="092180CB"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0.004</w:t>
            </w:r>
          </w:p>
        </w:tc>
      </w:tr>
      <w:tr w:rsidR="00AB1FB2" w:rsidRPr="003A6DFC" w14:paraId="135B73D3" w14:textId="77777777" w:rsidTr="00C004FF">
        <w:trPr>
          <w:trHeight w:val="290"/>
        </w:trPr>
        <w:tc>
          <w:tcPr>
            <w:tcW w:w="0" w:type="auto"/>
            <w:shd w:val="clear" w:color="auto" w:fill="auto"/>
            <w:noWrap/>
            <w:vAlign w:val="center"/>
            <w:hideMark/>
          </w:tcPr>
          <w:p w14:paraId="4649C956"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Unemployed</w:t>
            </w:r>
          </w:p>
        </w:tc>
        <w:tc>
          <w:tcPr>
            <w:tcW w:w="0" w:type="auto"/>
            <w:shd w:val="clear" w:color="auto" w:fill="auto"/>
            <w:noWrap/>
            <w:vAlign w:val="center"/>
            <w:hideMark/>
          </w:tcPr>
          <w:p w14:paraId="17BDCC0D"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c>
          <w:tcPr>
            <w:tcW w:w="0" w:type="auto"/>
            <w:shd w:val="clear" w:color="auto" w:fill="auto"/>
            <w:noWrap/>
            <w:vAlign w:val="center"/>
            <w:hideMark/>
          </w:tcPr>
          <w:p w14:paraId="6749C019"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0.008</w:t>
            </w:r>
          </w:p>
        </w:tc>
      </w:tr>
      <w:tr w:rsidR="00AB1FB2" w:rsidRPr="003A6DFC" w14:paraId="2DBCE0D7" w14:textId="77777777" w:rsidTr="00C004FF">
        <w:trPr>
          <w:trHeight w:val="290"/>
        </w:trPr>
        <w:tc>
          <w:tcPr>
            <w:tcW w:w="0" w:type="auto"/>
            <w:shd w:val="clear" w:color="auto" w:fill="auto"/>
            <w:noWrap/>
            <w:vAlign w:val="center"/>
            <w:hideMark/>
          </w:tcPr>
          <w:p w14:paraId="367718FB"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Retired</w:t>
            </w:r>
          </w:p>
        </w:tc>
        <w:tc>
          <w:tcPr>
            <w:tcW w:w="0" w:type="auto"/>
            <w:shd w:val="clear" w:color="auto" w:fill="auto"/>
            <w:noWrap/>
            <w:vAlign w:val="center"/>
            <w:hideMark/>
          </w:tcPr>
          <w:p w14:paraId="120618EC"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-0.023***</w:t>
            </w:r>
          </w:p>
        </w:tc>
        <w:tc>
          <w:tcPr>
            <w:tcW w:w="0" w:type="auto"/>
            <w:shd w:val="clear" w:color="auto" w:fill="auto"/>
            <w:noWrap/>
            <w:vAlign w:val="center"/>
            <w:hideMark/>
          </w:tcPr>
          <w:p w14:paraId="0EF6D102"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AB1FB2" w:rsidRPr="003A6DFC" w14:paraId="55D71244" w14:textId="77777777" w:rsidTr="00C004FF">
        <w:trPr>
          <w:trHeight w:val="290"/>
        </w:trPr>
        <w:tc>
          <w:tcPr>
            <w:tcW w:w="0" w:type="auto"/>
            <w:shd w:val="clear" w:color="auto" w:fill="auto"/>
            <w:noWrap/>
            <w:vAlign w:val="center"/>
            <w:hideMark/>
          </w:tcPr>
          <w:p w14:paraId="420A6AE7"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Other job status</w:t>
            </w:r>
          </w:p>
        </w:tc>
        <w:tc>
          <w:tcPr>
            <w:tcW w:w="0" w:type="auto"/>
            <w:shd w:val="clear" w:color="auto" w:fill="auto"/>
            <w:noWrap/>
            <w:vAlign w:val="center"/>
            <w:hideMark/>
          </w:tcPr>
          <w:p w14:paraId="24B3EEBF"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-0.029***</w:t>
            </w:r>
          </w:p>
        </w:tc>
        <w:tc>
          <w:tcPr>
            <w:tcW w:w="0" w:type="auto"/>
            <w:shd w:val="clear" w:color="auto" w:fill="auto"/>
            <w:noWrap/>
            <w:vAlign w:val="center"/>
            <w:hideMark/>
          </w:tcPr>
          <w:p w14:paraId="25DACC29"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r>
      <w:tr w:rsidR="00AB1FB2" w:rsidRPr="003A6DFC" w14:paraId="2933B590" w14:textId="77777777" w:rsidTr="00C004FF">
        <w:trPr>
          <w:trHeight w:val="290"/>
        </w:trPr>
        <w:tc>
          <w:tcPr>
            <w:tcW w:w="0" w:type="auto"/>
            <w:shd w:val="clear" w:color="auto" w:fill="auto"/>
            <w:noWrap/>
            <w:vAlign w:val="center"/>
            <w:hideMark/>
          </w:tcPr>
          <w:p w14:paraId="36E49E95"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Single</w:t>
            </w:r>
          </w:p>
        </w:tc>
        <w:tc>
          <w:tcPr>
            <w:tcW w:w="0" w:type="auto"/>
            <w:shd w:val="clear" w:color="auto" w:fill="auto"/>
            <w:noWrap/>
            <w:vAlign w:val="center"/>
            <w:hideMark/>
          </w:tcPr>
          <w:p w14:paraId="7BA498D6"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0.001</w:t>
            </w:r>
          </w:p>
        </w:tc>
        <w:tc>
          <w:tcPr>
            <w:tcW w:w="0" w:type="auto"/>
            <w:shd w:val="clear" w:color="auto" w:fill="auto"/>
            <w:noWrap/>
            <w:vAlign w:val="center"/>
            <w:hideMark/>
          </w:tcPr>
          <w:p w14:paraId="74883A5B"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r>
      <w:tr w:rsidR="00AB1FB2" w:rsidRPr="003A6DFC" w14:paraId="4128ED13" w14:textId="77777777" w:rsidTr="00C004FF">
        <w:trPr>
          <w:trHeight w:val="290"/>
        </w:trPr>
        <w:tc>
          <w:tcPr>
            <w:tcW w:w="0" w:type="auto"/>
            <w:shd w:val="clear" w:color="auto" w:fill="auto"/>
            <w:noWrap/>
            <w:vAlign w:val="center"/>
            <w:hideMark/>
          </w:tcPr>
          <w:p w14:paraId="3FC91C92"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Separated/divorced</w:t>
            </w:r>
          </w:p>
        </w:tc>
        <w:tc>
          <w:tcPr>
            <w:tcW w:w="0" w:type="auto"/>
            <w:shd w:val="clear" w:color="auto" w:fill="auto"/>
            <w:noWrap/>
            <w:vAlign w:val="center"/>
            <w:hideMark/>
          </w:tcPr>
          <w:p w14:paraId="2159DCEA"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c>
          <w:tcPr>
            <w:tcW w:w="0" w:type="auto"/>
            <w:shd w:val="clear" w:color="auto" w:fill="auto"/>
            <w:noWrap/>
            <w:vAlign w:val="center"/>
            <w:hideMark/>
          </w:tcPr>
          <w:p w14:paraId="0F7CC89D"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AB1FB2" w:rsidRPr="003A6DFC" w14:paraId="464E8FC0" w14:textId="77777777" w:rsidTr="00C004FF">
        <w:trPr>
          <w:trHeight w:val="290"/>
        </w:trPr>
        <w:tc>
          <w:tcPr>
            <w:tcW w:w="0" w:type="auto"/>
            <w:shd w:val="clear" w:color="auto" w:fill="auto"/>
            <w:noWrap/>
            <w:vAlign w:val="center"/>
            <w:hideMark/>
          </w:tcPr>
          <w:p w14:paraId="5A1BDB07"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Widowed</w:t>
            </w:r>
          </w:p>
        </w:tc>
        <w:tc>
          <w:tcPr>
            <w:tcW w:w="0" w:type="auto"/>
            <w:shd w:val="clear" w:color="auto" w:fill="auto"/>
            <w:noWrap/>
            <w:vAlign w:val="center"/>
            <w:hideMark/>
          </w:tcPr>
          <w:p w14:paraId="79AE6F4F"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-0.003</w:t>
            </w:r>
          </w:p>
        </w:tc>
        <w:tc>
          <w:tcPr>
            <w:tcW w:w="0" w:type="auto"/>
            <w:shd w:val="clear" w:color="auto" w:fill="auto"/>
            <w:noWrap/>
            <w:vAlign w:val="center"/>
            <w:hideMark/>
          </w:tcPr>
          <w:p w14:paraId="33F12CC0"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0.008</w:t>
            </w:r>
          </w:p>
        </w:tc>
      </w:tr>
      <w:tr w:rsidR="00AB1FB2" w:rsidRPr="003A6DFC" w14:paraId="763629AC" w14:textId="77777777" w:rsidTr="00C004FF">
        <w:trPr>
          <w:trHeight w:val="290"/>
        </w:trPr>
        <w:tc>
          <w:tcPr>
            <w:tcW w:w="0" w:type="auto"/>
            <w:shd w:val="clear" w:color="auto" w:fill="auto"/>
            <w:noWrap/>
            <w:vAlign w:val="center"/>
            <w:hideMark/>
          </w:tcPr>
          <w:p w14:paraId="4EED95F6"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Immediate word recall</w:t>
            </w:r>
          </w:p>
        </w:tc>
        <w:tc>
          <w:tcPr>
            <w:tcW w:w="0" w:type="auto"/>
            <w:shd w:val="clear" w:color="auto" w:fill="auto"/>
            <w:noWrap/>
            <w:vAlign w:val="center"/>
            <w:hideMark/>
          </w:tcPr>
          <w:p w14:paraId="0B9ED6B6"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-0.014***</w:t>
            </w:r>
          </w:p>
        </w:tc>
        <w:tc>
          <w:tcPr>
            <w:tcW w:w="0" w:type="auto"/>
            <w:shd w:val="clear" w:color="auto" w:fill="auto"/>
            <w:noWrap/>
            <w:vAlign w:val="center"/>
            <w:hideMark/>
          </w:tcPr>
          <w:p w14:paraId="679FBD83"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0.003</w:t>
            </w:r>
          </w:p>
        </w:tc>
      </w:tr>
      <w:tr w:rsidR="00AB1FB2" w:rsidRPr="003A6DFC" w14:paraId="4FEB3255" w14:textId="77777777" w:rsidTr="00C004FF">
        <w:trPr>
          <w:trHeight w:val="290"/>
        </w:trPr>
        <w:tc>
          <w:tcPr>
            <w:tcW w:w="0" w:type="auto"/>
            <w:shd w:val="clear" w:color="auto" w:fill="auto"/>
            <w:noWrap/>
            <w:vAlign w:val="center"/>
            <w:hideMark/>
          </w:tcPr>
          <w:p w14:paraId="16E99895"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Delayed word recall</w:t>
            </w:r>
          </w:p>
        </w:tc>
        <w:tc>
          <w:tcPr>
            <w:tcW w:w="0" w:type="auto"/>
            <w:shd w:val="clear" w:color="auto" w:fill="auto"/>
            <w:noWrap/>
            <w:vAlign w:val="center"/>
            <w:hideMark/>
          </w:tcPr>
          <w:p w14:paraId="1A8F5197"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c>
          <w:tcPr>
            <w:tcW w:w="0" w:type="auto"/>
            <w:shd w:val="clear" w:color="auto" w:fill="auto"/>
            <w:noWrap/>
            <w:vAlign w:val="center"/>
            <w:hideMark/>
          </w:tcPr>
          <w:p w14:paraId="0739CFF2"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1A79539B" w14:textId="77777777" w:rsidTr="00C004FF">
        <w:trPr>
          <w:trHeight w:val="290"/>
        </w:trPr>
        <w:tc>
          <w:tcPr>
            <w:tcW w:w="0" w:type="auto"/>
            <w:shd w:val="clear" w:color="auto" w:fill="auto"/>
            <w:noWrap/>
            <w:vAlign w:val="center"/>
            <w:hideMark/>
          </w:tcPr>
          <w:p w14:paraId="0CF6C24B"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Number of correct subtractions</w:t>
            </w:r>
          </w:p>
        </w:tc>
        <w:tc>
          <w:tcPr>
            <w:tcW w:w="0" w:type="auto"/>
            <w:shd w:val="clear" w:color="auto" w:fill="auto"/>
            <w:noWrap/>
            <w:vAlign w:val="center"/>
            <w:hideMark/>
          </w:tcPr>
          <w:p w14:paraId="718881CC"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-0.009***</w:t>
            </w:r>
          </w:p>
        </w:tc>
        <w:tc>
          <w:tcPr>
            <w:tcW w:w="0" w:type="auto"/>
            <w:shd w:val="clear" w:color="auto" w:fill="auto"/>
            <w:noWrap/>
            <w:vAlign w:val="center"/>
            <w:hideMark/>
          </w:tcPr>
          <w:p w14:paraId="1CE8650D"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1931A2A0" w14:textId="77777777" w:rsidTr="00C004FF">
        <w:trPr>
          <w:trHeight w:val="290"/>
        </w:trPr>
        <w:tc>
          <w:tcPr>
            <w:tcW w:w="0" w:type="auto"/>
            <w:shd w:val="clear" w:color="auto" w:fill="auto"/>
            <w:noWrap/>
            <w:vAlign w:val="center"/>
            <w:hideMark/>
          </w:tcPr>
          <w:p w14:paraId="3B891768"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Verbal fluency: correct words</w:t>
            </w:r>
          </w:p>
        </w:tc>
        <w:tc>
          <w:tcPr>
            <w:tcW w:w="0" w:type="auto"/>
            <w:shd w:val="clear" w:color="auto" w:fill="auto"/>
            <w:noWrap/>
            <w:vAlign w:val="center"/>
            <w:hideMark/>
          </w:tcPr>
          <w:p w14:paraId="1553D02B"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c>
          <w:tcPr>
            <w:tcW w:w="0" w:type="auto"/>
            <w:shd w:val="clear" w:color="auto" w:fill="auto"/>
            <w:noWrap/>
            <w:vAlign w:val="center"/>
            <w:hideMark/>
          </w:tcPr>
          <w:p w14:paraId="4B65BDDD"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623D8D33" w14:textId="77777777" w:rsidTr="00C004FF">
        <w:trPr>
          <w:trHeight w:val="290"/>
        </w:trPr>
        <w:tc>
          <w:tcPr>
            <w:tcW w:w="0" w:type="auto"/>
            <w:shd w:val="clear" w:color="auto" w:fill="auto"/>
            <w:noWrap/>
            <w:vAlign w:val="center"/>
            <w:hideMark/>
          </w:tcPr>
          <w:p w14:paraId="203897B6"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Verbal fluency: incorrect words</w:t>
            </w:r>
          </w:p>
        </w:tc>
        <w:tc>
          <w:tcPr>
            <w:tcW w:w="0" w:type="auto"/>
            <w:shd w:val="clear" w:color="auto" w:fill="auto"/>
            <w:noWrap/>
            <w:vAlign w:val="center"/>
            <w:hideMark/>
          </w:tcPr>
          <w:p w14:paraId="3620F4D0"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c>
          <w:tcPr>
            <w:tcW w:w="0" w:type="auto"/>
            <w:shd w:val="clear" w:color="auto" w:fill="auto"/>
            <w:noWrap/>
            <w:vAlign w:val="center"/>
            <w:hideMark/>
          </w:tcPr>
          <w:p w14:paraId="295CA548"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0.001</w:t>
            </w:r>
          </w:p>
        </w:tc>
      </w:tr>
      <w:tr w:rsidR="00AB1FB2" w:rsidRPr="003A6DFC" w14:paraId="7198ED60" w14:textId="77777777" w:rsidTr="00C004FF">
        <w:trPr>
          <w:trHeight w:val="290"/>
        </w:trPr>
        <w:tc>
          <w:tcPr>
            <w:tcW w:w="0" w:type="auto"/>
            <w:shd w:val="clear" w:color="auto" w:fill="auto"/>
            <w:noWrap/>
            <w:vAlign w:val="center"/>
            <w:hideMark/>
          </w:tcPr>
          <w:p w14:paraId="6E5ED9C2"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Numeric ability: correct answers</w:t>
            </w:r>
          </w:p>
        </w:tc>
        <w:tc>
          <w:tcPr>
            <w:tcW w:w="0" w:type="auto"/>
            <w:shd w:val="clear" w:color="auto" w:fill="auto"/>
            <w:noWrap/>
            <w:vAlign w:val="center"/>
            <w:hideMark/>
          </w:tcPr>
          <w:p w14:paraId="47D4C776"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-0.017***</w:t>
            </w:r>
          </w:p>
        </w:tc>
        <w:tc>
          <w:tcPr>
            <w:tcW w:w="0" w:type="auto"/>
            <w:shd w:val="clear" w:color="auto" w:fill="auto"/>
            <w:noWrap/>
            <w:vAlign w:val="center"/>
            <w:hideMark/>
          </w:tcPr>
          <w:p w14:paraId="48F4C791"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2B12F2C5" w14:textId="77777777" w:rsidTr="00C004FF">
        <w:trPr>
          <w:trHeight w:val="290"/>
        </w:trPr>
        <w:tc>
          <w:tcPr>
            <w:tcW w:w="0" w:type="auto"/>
            <w:shd w:val="clear" w:color="auto" w:fill="auto"/>
            <w:noWrap/>
            <w:vAlign w:val="center"/>
            <w:hideMark/>
          </w:tcPr>
          <w:p w14:paraId="12D764B4"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Agreeableness</w:t>
            </w:r>
          </w:p>
        </w:tc>
        <w:tc>
          <w:tcPr>
            <w:tcW w:w="0" w:type="auto"/>
            <w:shd w:val="clear" w:color="auto" w:fill="auto"/>
            <w:noWrap/>
            <w:vAlign w:val="center"/>
            <w:hideMark/>
          </w:tcPr>
          <w:p w14:paraId="6C3F055C"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c>
          <w:tcPr>
            <w:tcW w:w="0" w:type="auto"/>
            <w:shd w:val="clear" w:color="auto" w:fill="auto"/>
            <w:noWrap/>
            <w:vAlign w:val="center"/>
            <w:hideMark/>
          </w:tcPr>
          <w:p w14:paraId="48BD8E8F"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302335EF" w14:textId="77777777" w:rsidTr="00C004FF">
        <w:trPr>
          <w:trHeight w:val="290"/>
        </w:trPr>
        <w:tc>
          <w:tcPr>
            <w:tcW w:w="0" w:type="auto"/>
            <w:shd w:val="clear" w:color="auto" w:fill="auto"/>
            <w:noWrap/>
            <w:vAlign w:val="center"/>
            <w:hideMark/>
          </w:tcPr>
          <w:p w14:paraId="10F83BD9"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Conscientiousness</w:t>
            </w:r>
          </w:p>
        </w:tc>
        <w:tc>
          <w:tcPr>
            <w:tcW w:w="0" w:type="auto"/>
            <w:shd w:val="clear" w:color="auto" w:fill="auto"/>
            <w:noWrap/>
            <w:vAlign w:val="center"/>
            <w:hideMark/>
          </w:tcPr>
          <w:p w14:paraId="1E1CA3DD"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-0.003**</w:t>
            </w:r>
          </w:p>
        </w:tc>
        <w:tc>
          <w:tcPr>
            <w:tcW w:w="0" w:type="auto"/>
            <w:shd w:val="clear" w:color="auto" w:fill="auto"/>
            <w:noWrap/>
            <w:vAlign w:val="center"/>
            <w:hideMark/>
          </w:tcPr>
          <w:p w14:paraId="4BC71952"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26E007DB" w14:textId="77777777" w:rsidTr="00C004FF">
        <w:trPr>
          <w:trHeight w:val="290"/>
        </w:trPr>
        <w:tc>
          <w:tcPr>
            <w:tcW w:w="0" w:type="auto"/>
            <w:shd w:val="clear" w:color="auto" w:fill="auto"/>
            <w:noWrap/>
            <w:vAlign w:val="center"/>
            <w:hideMark/>
          </w:tcPr>
          <w:p w14:paraId="51D8CED1"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Extraversion</w:t>
            </w:r>
          </w:p>
        </w:tc>
        <w:tc>
          <w:tcPr>
            <w:tcW w:w="0" w:type="auto"/>
            <w:shd w:val="clear" w:color="auto" w:fill="auto"/>
            <w:noWrap/>
            <w:vAlign w:val="center"/>
            <w:hideMark/>
          </w:tcPr>
          <w:p w14:paraId="0582FC39"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c>
          <w:tcPr>
            <w:tcW w:w="0" w:type="auto"/>
            <w:shd w:val="clear" w:color="auto" w:fill="auto"/>
            <w:noWrap/>
            <w:vAlign w:val="center"/>
            <w:hideMark/>
          </w:tcPr>
          <w:p w14:paraId="0D12D773"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2DE4C8D4" w14:textId="77777777" w:rsidTr="00C004FF">
        <w:trPr>
          <w:trHeight w:val="290"/>
        </w:trPr>
        <w:tc>
          <w:tcPr>
            <w:tcW w:w="0" w:type="auto"/>
            <w:shd w:val="clear" w:color="auto" w:fill="auto"/>
            <w:noWrap/>
            <w:vAlign w:val="center"/>
            <w:hideMark/>
          </w:tcPr>
          <w:p w14:paraId="7B9A356C"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Neuroticism</w:t>
            </w:r>
          </w:p>
        </w:tc>
        <w:tc>
          <w:tcPr>
            <w:tcW w:w="0" w:type="auto"/>
            <w:shd w:val="clear" w:color="auto" w:fill="auto"/>
            <w:noWrap/>
            <w:vAlign w:val="center"/>
            <w:hideMark/>
          </w:tcPr>
          <w:p w14:paraId="66005A68"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c>
          <w:tcPr>
            <w:tcW w:w="0" w:type="auto"/>
            <w:shd w:val="clear" w:color="auto" w:fill="auto"/>
            <w:noWrap/>
            <w:vAlign w:val="center"/>
            <w:hideMark/>
          </w:tcPr>
          <w:p w14:paraId="36993075"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15FA98AF" w14:textId="77777777" w:rsidTr="00C004FF">
        <w:trPr>
          <w:trHeight w:val="290"/>
        </w:trPr>
        <w:tc>
          <w:tcPr>
            <w:tcW w:w="0" w:type="auto"/>
            <w:shd w:val="clear" w:color="auto" w:fill="auto"/>
            <w:noWrap/>
            <w:vAlign w:val="center"/>
            <w:hideMark/>
          </w:tcPr>
          <w:p w14:paraId="3CF93C11"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Openness to experience</w:t>
            </w:r>
          </w:p>
        </w:tc>
        <w:tc>
          <w:tcPr>
            <w:tcW w:w="0" w:type="auto"/>
            <w:shd w:val="clear" w:color="auto" w:fill="auto"/>
            <w:noWrap/>
            <w:vAlign w:val="center"/>
            <w:hideMark/>
          </w:tcPr>
          <w:p w14:paraId="408223DB"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c>
          <w:tcPr>
            <w:tcW w:w="0" w:type="auto"/>
            <w:shd w:val="clear" w:color="auto" w:fill="auto"/>
            <w:noWrap/>
            <w:vAlign w:val="center"/>
            <w:hideMark/>
          </w:tcPr>
          <w:p w14:paraId="5BA64D91"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0.002</w:t>
            </w:r>
          </w:p>
        </w:tc>
      </w:tr>
      <w:tr w:rsidR="00AB1FB2" w:rsidRPr="003A6DFC" w14:paraId="0EEF4D72" w14:textId="77777777" w:rsidTr="00C004FF">
        <w:trPr>
          <w:trHeight w:val="290"/>
        </w:trPr>
        <w:tc>
          <w:tcPr>
            <w:tcW w:w="0" w:type="auto"/>
            <w:shd w:val="clear" w:color="auto" w:fill="auto"/>
            <w:noWrap/>
            <w:vAlign w:val="center"/>
            <w:hideMark/>
          </w:tcPr>
          <w:p w14:paraId="49C01F5B"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Multiple adult interviews/HH</w:t>
            </w:r>
          </w:p>
        </w:tc>
        <w:tc>
          <w:tcPr>
            <w:tcW w:w="0" w:type="auto"/>
            <w:shd w:val="clear" w:color="auto" w:fill="auto"/>
            <w:noWrap/>
            <w:vAlign w:val="center"/>
            <w:hideMark/>
          </w:tcPr>
          <w:p w14:paraId="6A7FBF39"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-0.001</w:t>
            </w:r>
          </w:p>
        </w:tc>
        <w:tc>
          <w:tcPr>
            <w:tcW w:w="0" w:type="auto"/>
            <w:shd w:val="clear" w:color="auto" w:fill="auto"/>
            <w:noWrap/>
            <w:vAlign w:val="center"/>
            <w:hideMark/>
          </w:tcPr>
          <w:p w14:paraId="41D7CD64"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0.004</w:t>
            </w:r>
          </w:p>
        </w:tc>
      </w:tr>
      <w:tr w:rsidR="00AB1FB2" w:rsidRPr="003A6DFC" w14:paraId="04FAE452" w14:textId="77777777" w:rsidTr="00C004FF">
        <w:trPr>
          <w:trHeight w:val="290"/>
        </w:trPr>
        <w:tc>
          <w:tcPr>
            <w:tcW w:w="0" w:type="auto"/>
            <w:shd w:val="clear" w:color="auto" w:fill="auto"/>
            <w:noWrap/>
            <w:vAlign w:val="center"/>
            <w:hideMark/>
          </w:tcPr>
          <w:p w14:paraId="0D7AD945"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Children (aged 10-15) interviewed/HH</w:t>
            </w:r>
          </w:p>
        </w:tc>
        <w:tc>
          <w:tcPr>
            <w:tcW w:w="0" w:type="auto"/>
            <w:shd w:val="clear" w:color="auto" w:fill="auto"/>
            <w:noWrap/>
            <w:vAlign w:val="center"/>
            <w:hideMark/>
          </w:tcPr>
          <w:p w14:paraId="3CEDF127"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0.015***</w:t>
            </w:r>
          </w:p>
        </w:tc>
        <w:tc>
          <w:tcPr>
            <w:tcW w:w="0" w:type="auto"/>
            <w:shd w:val="clear" w:color="auto" w:fill="auto"/>
            <w:noWrap/>
            <w:vAlign w:val="center"/>
            <w:hideMark/>
          </w:tcPr>
          <w:p w14:paraId="0F492AC8"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0.004</w:t>
            </w:r>
          </w:p>
        </w:tc>
      </w:tr>
      <w:tr w:rsidR="00AB1FB2" w:rsidRPr="003A6DFC" w14:paraId="47F2311E" w14:textId="77777777" w:rsidTr="00C004FF">
        <w:trPr>
          <w:trHeight w:val="290"/>
        </w:trPr>
        <w:tc>
          <w:tcPr>
            <w:tcW w:w="0" w:type="auto"/>
            <w:tcBorders>
              <w:top w:val="single" w:sz="4" w:space="0" w:color="auto"/>
            </w:tcBorders>
            <w:shd w:val="clear" w:color="auto" w:fill="auto"/>
            <w:noWrap/>
            <w:vAlign w:val="center"/>
            <w:hideMark/>
          </w:tcPr>
          <w:p w14:paraId="2815D0F8"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Log-likelihood</w:t>
            </w:r>
          </w:p>
        </w:tc>
        <w:tc>
          <w:tcPr>
            <w:tcW w:w="0" w:type="auto"/>
            <w:tcBorders>
              <w:top w:val="single" w:sz="4" w:space="0" w:color="auto"/>
            </w:tcBorders>
            <w:shd w:val="clear" w:color="auto" w:fill="auto"/>
            <w:noWrap/>
            <w:vAlign w:val="center"/>
            <w:hideMark/>
          </w:tcPr>
          <w:p w14:paraId="67FE6FE4"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-11,629.0</w:t>
            </w:r>
          </w:p>
        </w:tc>
        <w:tc>
          <w:tcPr>
            <w:tcW w:w="0" w:type="auto"/>
            <w:tcBorders>
              <w:top w:val="single" w:sz="4" w:space="0" w:color="auto"/>
            </w:tcBorders>
            <w:shd w:val="clear" w:color="auto" w:fill="auto"/>
            <w:noWrap/>
            <w:vAlign w:val="center"/>
            <w:hideMark/>
          </w:tcPr>
          <w:p w14:paraId="271767B4"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p>
        </w:tc>
      </w:tr>
      <w:tr w:rsidR="00AB1FB2" w:rsidRPr="003A6DFC" w14:paraId="390FA04B" w14:textId="77777777" w:rsidTr="00C004FF">
        <w:trPr>
          <w:trHeight w:val="290"/>
        </w:trPr>
        <w:tc>
          <w:tcPr>
            <w:tcW w:w="0" w:type="auto"/>
            <w:tcBorders>
              <w:bottom w:val="single" w:sz="4" w:space="0" w:color="auto"/>
            </w:tcBorders>
            <w:shd w:val="clear" w:color="auto" w:fill="auto"/>
            <w:noWrap/>
            <w:vAlign w:val="center"/>
            <w:hideMark/>
          </w:tcPr>
          <w:p w14:paraId="315325BD" w14:textId="77777777" w:rsidR="00AB1FB2" w:rsidRPr="003A6DFC" w:rsidRDefault="00AB1FB2" w:rsidP="00C004FF">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Sample size</w:t>
            </w:r>
          </w:p>
        </w:tc>
        <w:tc>
          <w:tcPr>
            <w:tcW w:w="0" w:type="auto"/>
            <w:tcBorders>
              <w:bottom w:val="single" w:sz="4" w:space="0" w:color="auto"/>
            </w:tcBorders>
            <w:shd w:val="clear" w:color="auto" w:fill="auto"/>
            <w:noWrap/>
            <w:vAlign w:val="center"/>
            <w:hideMark/>
          </w:tcPr>
          <w:p w14:paraId="5DDB9555"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22,650</w:t>
            </w:r>
          </w:p>
        </w:tc>
        <w:tc>
          <w:tcPr>
            <w:tcW w:w="0" w:type="auto"/>
            <w:tcBorders>
              <w:bottom w:val="single" w:sz="4" w:space="0" w:color="auto"/>
            </w:tcBorders>
            <w:shd w:val="clear" w:color="auto" w:fill="auto"/>
            <w:noWrap/>
            <w:vAlign w:val="center"/>
            <w:hideMark/>
          </w:tcPr>
          <w:p w14:paraId="4BFCB745" w14:textId="77777777" w:rsidR="00AB1FB2" w:rsidRPr="003A6DFC" w:rsidRDefault="00AB1FB2" w:rsidP="00C004FF">
            <w:pPr>
              <w:spacing w:after="0" w:line="240" w:lineRule="auto"/>
              <w:jc w:val="center"/>
              <w:rPr>
                <w:rFonts w:ascii="Century" w:eastAsia="Times New Roman" w:hAnsi="Century" w:cs="Calibri"/>
                <w:color w:val="000000"/>
                <w:sz w:val="18"/>
                <w:szCs w:val="18"/>
                <w:lang w:eastAsia="pt-BR"/>
              </w:rPr>
            </w:pPr>
          </w:p>
        </w:tc>
      </w:tr>
      <w:tr w:rsidR="00AB1FB2" w:rsidRPr="003A6DFC" w14:paraId="42CC47B4" w14:textId="77777777" w:rsidTr="00C004FF">
        <w:trPr>
          <w:trHeight w:val="290"/>
        </w:trPr>
        <w:tc>
          <w:tcPr>
            <w:tcW w:w="0" w:type="auto"/>
            <w:gridSpan w:val="3"/>
            <w:tcBorders>
              <w:top w:val="single" w:sz="4" w:space="0" w:color="auto"/>
            </w:tcBorders>
            <w:shd w:val="clear" w:color="auto" w:fill="auto"/>
            <w:noWrap/>
            <w:vAlign w:val="center"/>
          </w:tcPr>
          <w:p w14:paraId="27852900" w14:textId="77777777" w:rsidR="00AB1FB2" w:rsidRPr="003A6DFC" w:rsidRDefault="00AB1FB2" w:rsidP="00C004FF">
            <w:pPr>
              <w:spacing w:after="0" w:line="240" w:lineRule="auto"/>
              <w:jc w:val="both"/>
              <w:rPr>
                <w:rFonts w:ascii="Century" w:eastAsia="Times New Roman" w:hAnsi="Century" w:cs="Times New Roman"/>
                <w:sz w:val="18"/>
                <w:szCs w:val="18"/>
                <w:lang w:eastAsia="pt-BR"/>
              </w:rPr>
            </w:pPr>
            <w:r w:rsidRPr="003A6DFC">
              <w:rPr>
                <w:rFonts w:ascii="Century" w:eastAsia="Times New Roman" w:hAnsi="Century" w:cs="Times New Roman"/>
                <w:sz w:val="18"/>
                <w:szCs w:val="18"/>
                <w:lang w:eastAsia="pt-BR"/>
              </w:rPr>
              <w:t xml:space="preserve">Notes: The outcome variable is defined as the fraction of waves with inconsistent responses to SAH questions relative to total number of waves (varying from 0 to 1). </w:t>
            </w:r>
            <w:r w:rsidRPr="003A6DFC">
              <w:rPr>
                <w:rFonts w:ascii="Century" w:eastAsia="Times New Roman" w:hAnsi="Century" w:cs="Calibri"/>
                <w:color w:val="000000"/>
                <w:sz w:val="18"/>
                <w:szCs w:val="18"/>
                <w:lang w:val="en-GB" w:eastAsia="en-GB"/>
              </w:rPr>
              <w:t>Reference categories for the categorical variables included in our model: age groups (age 16-25), gender (female), education (Degree), marital status (married/cohabiting), job status (employed), and regional dummies (</w:t>
            </w:r>
            <w:proofErr w:type="gramStart"/>
            <w:r w:rsidRPr="003A6DFC">
              <w:rPr>
                <w:rFonts w:ascii="Century" w:eastAsia="Times New Roman" w:hAnsi="Century" w:cs="Calibri"/>
                <w:color w:val="000000"/>
                <w:sz w:val="18"/>
                <w:szCs w:val="18"/>
                <w:lang w:val="en-GB" w:eastAsia="en-GB"/>
              </w:rPr>
              <w:t>North East</w:t>
            </w:r>
            <w:proofErr w:type="gramEnd"/>
            <w:r w:rsidRPr="003A6DFC">
              <w:rPr>
                <w:rFonts w:ascii="Century" w:eastAsia="Times New Roman" w:hAnsi="Century" w:cs="Calibri"/>
                <w:color w:val="000000"/>
                <w:sz w:val="18"/>
                <w:szCs w:val="18"/>
                <w:lang w:val="en-GB" w:eastAsia="en-GB"/>
              </w:rPr>
              <w:t xml:space="preserve">). Standard errors (SE) are clustered at individual level. </w:t>
            </w:r>
            <w:r w:rsidRPr="003A6DFC">
              <w:rPr>
                <w:rFonts w:ascii="Century" w:eastAsia="Times New Roman" w:hAnsi="Century" w:cs="Times New Roman"/>
                <w:sz w:val="18"/>
                <w:szCs w:val="18"/>
                <w:lang w:eastAsia="pt-BR"/>
              </w:rPr>
              <w:t xml:space="preserve">Balanced sample is used for these estimations. </w:t>
            </w:r>
          </w:p>
          <w:p w14:paraId="3A82B0FA" w14:textId="77777777" w:rsidR="00AB1FB2" w:rsidRPr="003A6DFC" w:rsidRDefault="00AB1FB2" w:rsidP="00C004FF">
            <w:pPr>
              <w:spacing w:after="0" w:line="240" w:lineRule="auto"/>
              <w:jc w:val="both"/>
              <w:rPr>
                <w:rFonts w:ascii="Century" w:eastAsia="Times New Roman" w:hAnsi="Century" w:cs="Calibri"/>
                <w:b/>
                <w:bCs/>
                <w:color w:val="000000"/>
                <w:sz w:val="18"/>
                <w:szCs w:val="18"/>
                <w:lang w:val="en-GB" w:eastAsia="pt-BR"/>
              </w:rPr>
            </w:pPr>
            <w:r w:rsidRPr="003A6DFC">
              <w:rPr>
                <w:rFonts w:ascii="Century" w:eastAsia="Times New Roman" w:hAnsi="Century" w:cs="Times New Roman"/>
                <w:sz w:val="18"/>
                <w:szCs w:val="18"/>
                <w:lang w:eastAsia="pt-BR"/>
              </w:rPr>
              <w:t>* p&lt;0.10, ** p&lt;0.05, *** p&lt;0.01</w:t>
            </w:r>
          </w:p>
        </w:tc>
      </w:tr>
    </w:tbl>
    <w:p w14:paraId="31E798E9" w14:textId="6D3D4424" w:rsidR="00AB1FB2" w:rsidRPr="003A6DFC" w:rsidRDefault="00AB1FB2" w:rsidP="00AB1FB2">
      <w:pPr>
        <w:spacing w:after="0" w:line="240" w:lineRule="auto"/>
        <w:rPr>
          <w:rFonts w:ascii="Times New Roman" w:hAnsi="Times New Roman" w:cs="Times New Roman"/>
          <w:b/>
          <w:sz w:val="24"/>
          <w:szCs w:val="24"/>
          <w:lang w:val="en-GB"/>
        </w:rPr>
      </w:pPr>
    </w:p>
    <w:p w14:paraId="626BFBD5" w14:textId="77777777" w:rsidR="00C25A0E" w:rsidRPr="003A6DFC" w:rsidRDefault="00C25A0E" w:rsidP="00AB1FB2">
      <w:pPr>
        <w:spacing w:after="0" w:line="240" w:lineRule="auto"/>
        <w:rPr>
          <w:rFonts w:ascii="Times New Roman" w:hAnsi="Times New Roman" w:cs="Times New Roman"/>
          <w:b/>
          <w:sz w:val="24"/>
          <w:szCs w:val="24"/>
          <w:lang w:val="en-GB"/>
        </w:rPr>
      </w:pPr>
    </w:p>
    <w:p w14:paraId="1CE1F84A" w14:textId="77777777" w:rsidR="00AB1FB2" w:rsidRPr="003A6DFC" w:rsidRDefault="00AB1FB2" w:rsidP="00AB1FB2">
      <w:pPr>
        <w:spacing w:after="0" w:line="360" w:lineRule="auto"/>
        <w:ind w:firstLine="708"/>
        <w:jc w:val="both"/>
        <w:rPr>
          <w:rFonts w:ascii="Century" w:hAnsi="Century" w:cs="Times New Roman"/>
          <w:bCs/>
          <w:lang w:val="en-GB"/>
        </w:rPr>
      </w:pPr>
      <w:r w:rsidRPr="003A6DFC">
        <w:rPr>
          <w:rFonts w:ascii="Century" w:hAnsi="Century" w:cs="Times New Roman"/>
          <w:bCs/>
          <w:lang w:val="en-GB"/>
        </w:rPr>
        <w:t xml:space="preserve">The marginal effects from the fractional response model provide an indication of the magnitude of the association between the baseline characteristics used in our analysis and the frequency of reporting SAH inconsistently across the available four waves (Table </w:t>
      </w:r>
      <w:r w:rsidRPr="003A6DFC">
        <w:rPr>
          <w:rFonts w:ascii="Century" w:hAnsi="Century" w:cs="Times New Roman"/>
          <w:bCs/>
          <w:lang w:val="en-GB"/>
        </w:rPr>
        <w:lastRenderedPageBreak/>
        <w:t>5). Men have an increased frequency of within-wave inconsistent SAH reporting across all four UKHLS waves. Age has a negative but non-monotonic association with inconsistently reporting SAH more frequently. For example, respondents belonging to the 26-35 or 56-65 age group at baseline, as opposed to our reference category (16-25 age group), show reduced frequency of reporting inconsistent responses to SAH questions across waves.</w:t>
      </w:r>
    </w:p>
    <w:p w14:paraId="23FEF9F7" w14:textId="77777777" w:rsidR="00AB1FB2" w:rsidRPr="003A6DFC" w:rsidRDefault="00AB1FB2" w:rsidP="00AB1FB2">
      <w:pPr>
        <w:spacing w:after="0" w:line="360" w:lineRule="auto"/>
        <w:ind w:firstLine="708"/>
        <w:jc w:val="both"/>
        <w:rPr>
          <w:rFonts w:ascii="Century" w:hAnsi="Century" w:cs="Times New Roman"/>
          <w:bCs/>
          <w:lang w:val="en-GB"/>
        </w:rPr>
      </w:pPr>
      <w:r w:rsidRPr="003A6DFC">
        <w:rPr>
          <w:rFonts w:ascii="Century" w:hAnsi="Century" w:cs="Times New Roman"/>
          <w:bCs/>
          <w:lang w:val="en-GB"/>
        </w:rPr>
        <w:t xml:space="preserve">Turning to education, we observed a strong gradient, with lower education at baseline being positively associated with a higher frequency of being inconsistent SAH responses. For example, no educational qualifications, as compared to having a university degree (reference group), is associated with an increased frequency of inconsistent SAH reporting within each of the four UKHLS waves of about 3.7 percentage points. </w:t>
      </w:r>
      <w:proofErr w:type="gramStart"/>
      <w:r w:rsidRPr="003A6DFC">
        <w:rPr>
          <w:rFonts w:ascii="Century" w:hAnsi="Century" w:cs="Times New Roman"/>
          <w:bCs/>
          <w:lang w:val="en-GB"/>
        </w:rPr>
        <w:t>Concerning household income, there</w:t>
      </w:r>
      <w:proofErr w:type="gramEnd"/>
      <w:r w:rsidRPr="003A6DFC">
        <w:rPr>
          <w:rFonts w:ascii="Century" w:hAnsi="Century" w:cs="Times New Roman"/>
          <w:bCs/>
          <w:lang w:val="en-GB"/>
        </w:rPr>
        <w:t xml:space="preserve"> is a negative gradient, with richer respondents at baseline show reduced frequency of within-wave inconsistently reporting SAH. Compared to those employed, retired respondents and those of other job statuses show smaller frequency of inconsistently reporting SAH. The presence of children during the open interview is associated with increased frequency of inconsistent SAH reporting within each of the four UKHLS waves. </w:t>
      </w:r>
    </w:p>
    <w:p w14:paraId="07C82C5C" w14:textId="77777777" w:rsidR="00AB1FB2" w:rsidRPr="003A6DFC" w:rsidRDefault="00AB1FB2" w:rsidP="00AB1FB2">
      <w:pPr>
        <w:spacing w:after="0" w:line="360" w:lineRule="auto"/>
        <w:jc w:val="both"/>
        <w:rPr>
          <w:rFonts w:ascii="Century" w:hAnsi="Century" w:cs="Times New Roman"/>
          <w:bCs/>
          <w:lang w:val="en-GB"/>
        </w:rPr>
      </w:pPr>
      <w:r w:rsidRPr="003A6DFC">
        <w:rPr>
          <w:rFonts w:ascii="Century" w:hAnsi="Century" w:cs="Times New Roman"/>
          <w:bCs/>
          <w:lang w:val="en-GB"/>
        </w:rPr>
        <w:tab/>
        <w:t xml:space="preserve">The cognitive ability measures have a systematic gradient with the frequency of inconsistent reporting to SAH; higher levels of cognitive ability are associated with reduced frequency of inconsistent SAH reporting within each of the four UKHLS waves. The magnitude of the marginal effects, which are expressed in terms of deviations for their standard deviations, show that episodic memory (captured by the word recall measures) and numerical knowledge are those cognitive skills that have a higher association with the frequency of reporting inconsistency. The role of verbal fluency is lower in magnitude, but highly statistically significant. </w:t>
      </w:r>
    </w:p>
    <w:p w14:paraId="255A7EAB" w14:textId="77777777" w:rsidR="00AB1FB2" w:rsidRPr="003A6DFC" w:rsidRDefault="00AB1FB2" w:rsidP="00AB1FB2">
      <w:pPr>
        <w:spacing w:after="0" w:line="360" w:lineRule="auto"/>
        <w:jc w:val="both"/>
        <w:rPr>
          <w:rFonts w:ascii="Century" w:hAnsi="Century" w:cs="Times New Roman"/>
          <w:bCs/>
          <w:lang w:val="en-GB"/>
        </w:rPr>
      </w:pPr>
      <w:r w:rsidRPr="003A6DFC">
        <w:rPr>
          <w:rFonts w:ascii="Century" w:hAnsi="Century" w:cs="Times New Roman"/>
          <w:bCs/>
          <w:lang w:val="en-GB"/>
        </w:rPr>
        <w:tab/>
        <w:t xml:space="preserve">Regarding the Big-5 personality traits, conscientiousness and neuroticism are most strongly associated with reporting patterns in SAH. Openness to experience is associated with a higher frequency of inconsistent SAH reporting within each of the four UKHLS waves. Overall, these results highlight that the personality traits that are relevant to a higher level of self-discipline, exploring perceptual information in inflexible and divergent ways and neuroticism are relevant for persistent patterns in these behaviours across the four UKHLS waves. </w:t>
      </w:r>
    </w:p>
    <w:p w14:paraId="52DBEC64" w14:textId="6009B979" w:rsidR="004E5BC4" w:rsidRPr="003A6DFC" w:rsidRDefault="004E5BC4" w:rsidP="00156098">
      <w:pPr>
        <w:spacing w:after="0" w:line="360" w:lineRule="auto"/>
        <w:rPr>
          <w:rFonts w:ascii="Century" w:hAnsi="Century" w:cs="Times New Roman"/>
          <w:bCs/>
          <w:sz w:val="24"/>
          <w:szCs w:val="24"/>
        </w:rPr>
      </w:pPr>
      <w:r w:rsidRPr="003A6DFC">
        <w:rPr>
          <w:rFonts w:ascii="Century" w:hAnsi="Century" w:cs="Times New Roman"/>
          <w:bCs/>
          <w:sz w:val="24"/>
          <w:szCs w:val="24"/>
        </w:rPr>
        <w:br w:type="page"/>
      </w:r>
    </w:p>
    <w:p w14:paraId="49011847" w14:textId="21BCB10F" w:rsidR="00D959DD" w:rsidRPr="003A6DFC" w:rsidRDefault="009A3D9D" w:rsidP="00FD043A">
      <w:pPr>
        <w:rPr>
          <w:rFonts w:ascii="Century" w:hAnsi="Century" w:cs="Times New Roman"/>
          <w:bCs/>
          <w:lang w:val="en-GB"/>
        </w:rPr>
      </w:pPr>
      <w:r w:rsidRPr="003A6DFC">
        <w:rPr>
          <w:rFonts w:ascii="Century" w:hAnsi="Century"/>
          <w:b/>
          <w:sz w:val="28"/>
          <w:szCs w:val="28"/>
        </w:rPr>
        <w:lastRenderedPageBreak/>
        <w:t>5.3</w:t>
      </w:r>
      <w:bookmarkStart w:id="7" w:name="_Hlk91588590"/>
      <w:r w:rsidRPr="003A6DFC">
        <w:rPr>
          <w:rFonts w:ascii="Century" w:hAnsi="Century"/>
          <w:b/>
          <w:sz w:val="28"/>
          <w:szCs w:val="28"/>
        </w:rPr>
        <w:t xml:space="preserve"> </w:t>
      </w:r>
      <w:r w:rsidR="002A1186" w:rsidRPr="003A6DFC">
        <w:rPr>
          <w:rFonts w:ascii="Century" w:hAnsi="Century"/>
          <w:b/>
          <w:sz w:val="28"/>
          <w:szCs w:val="28"/>
        </w:rPr>
        <w:t>Implications for</w:t>
      </w:r>
      <w:r w:rsidR="001F3832" w:rsidRPr="003A6DFC">
        <w:rPr>
          <w:rFonts w:ascii="Century" w:hAnsi="Century"/>
          <w:b/>
          <w:sz w:val="28"/>
          <w:szCs w:val="28"/>
        </w:rPr>
        <w:t xml:space="preserve"> </w:t>
      </w:r>
      <w:bookmarkEnd w:id="7"/>
      <w:r w:rsidR="00177112" w:rsidRPr="003A6DFC">
        <w:rPr>
          <w:rFonts w:ascii="Century" w:hAnsi="Century"/>
          <w:b/>
          <w:sz w:val="28"/>
          <w:szCs w:val="28"/>
        </w:rPr>
        <w:t>the income-health gradient</w:t>
      </w:r>
      <w:bookmarkStart w:id="8" w:name="_Hlk90905968"/>
    </w:p>
    <w:p w14:paraId="7AEA6628" w14:textId="77777777" w:rsidR="005038C1" w:rsidRPr="003A6DFC" w:rsidRDefault="00C050EE" w:rsidP="005038C1">
      <w:pPr>
        <w:spacing w:after="0" w:line="360" w:lineRule="auto"/>
        <w:ind w:firstLine="708"/>
        <w:jc w:val="both"/>
        <w:rPr>
          <w:rFonts w:ascii="Century" w:hAnsi="Century" w:cs="Times New Roman"/>
          <w:bCs/>
          <w:lang w:val="en-GB"/>
        </w:rPr>
      </w:pPr>
      <w:r w:rsidRPr="003A6DFC">
        <w:rPr>
          <w:rFonts w:ascii="Century" w:hAnsi="Century" w:cs="Times New Roman"/>
          <w:bCs/>
          <w:lang w:val="en-GB"/>
        </w:rPr>
        <w:t>Our results so far show that the observed inconsistenc</w:t>
      </w:r>
      <w:r w:rsidR="00692D05" w:rsidRPr="003A6DFC">
        <w:rPr>
          <w:rFonts w:ascii="Century" w:hAnsi="Century" w:cs="Times New Roman"/>
          <w:bCs/>
          <w:lang w:val="en-GB"/>
        </w:rPr>
        <w:t>ies</w:t>
      </w:r>
      <w:r w:rsidRPr="003A6DFC">
        <w:rPr>
          <w:rFonts w:ascii="Century" w:hAnsi="Century" w:cs="Times New Roman"/>
          <w:bCs/>
          <w:lang w:val="en-GB"/>
        </w:rPr>
        <w:t xml:space="preserve"> in reporting in SAH within each wave </w:t>
      </w:r>
      <w:r w:rsidR="00692D05" w:rsidRPr="003A6DFC">
        <w:rPr>
          <w:rFonts w:ascii="Century" w:hAnsi="Century" w:cs="Times New Roman"/>
          <w:bCs/>
          <w:lang w:val="en-GB"/>
        </w:rPr>
        <w:t xml:space="preserve">and the frequency of inconsistency across waves </w:t>
      </w:r>
      <w:r w:rsidRPr="003A6DFC">
        <w:rPr>
          <w:rFonts w:ascii="Century" w:hAnsi="Century" w:cs="Times New Roman"/>
          <w:bCs/>
          <w:lang w:val="en-GB"/>
        </w:rPr>
        <w:t>are systematic and associated with individual characteristics.</w:t>
      </w:r>
      <w:r w:rsidR="00177112" w:rsidRPr="003A6DFC">
        <w:rPr>
          <w:rFonts w:ascii="Century" w:hAnsi="Century" w:cs="Times New Roman"/>
          <w:bCs/>
          <w:lang w:val="en-GB"/>
        </w:rPr>
        <w:t xml:space="preserve"> </w:t>
      </w:r>
      <w:r w:rsidRPr="003A6DFC">
        <w:rPr>
          <w:rFonts w:ascii="Century" w:hAnsi="Century" w:cs="Times New Roman"/>
          <w:bCs/>
          <w:lang w:val="en-GB"/>
        </w:rPr>
        <w:t>Among these individual characteristics, household income may be of particular interest given the existing research on the income-health gradient based on SAH measures. We f</w:t>
      </w:r>
      <w:r w:rsidR="00692D05" w:rsidRPr="003A6DFC">
        <w:rPr>
          <w:rFonts w:ascii="Century" w:hAnsi="Century" w:cs="Times New Roman"/>
          <w:bCs/>
          <w:lang w:val="en-GB"/>
        </w:rPr>
        <w:t>i</w:t>
      </w:r>
      <w:r w:rsidRPr="003A6DFC">
        <w:rPr>
          <w:rFonts w:ascii="Century" w:hAnsi="Century" w:cs="Times New Roman"/>
          <w:bCs/>
          <w:lang w:val="en-GB"/>
        </w:rPr>
        <w:t xml:space="preserve">nd that household income is negatively associated with the probability of reporting SAH inconsistently at each wave as well as with the probability of </w:t>
      </w:r>
      <w:r w:rsidR="00692D05" w:rsidRPr="003A6DFC">
        <w:rPr>
          <w:rFonts w:ascii="Century" w:hAnsi="Century" w:cs="Times New Roman"/>
          <w:bCs/>
          <w:lang w:val="en-GB"/>
        </w:rPr>
        <w:t xml:space="preserve">this </w:t>
      </w:r>
      <w:r w:rsidRPr="003A6DFC">
        <w:rPr>
          <w:rFonts w:ascii="Century" w:hAnsi="Century" w:cs="Times New Roman"/>
          <w:bCs/>
          <w:lang w:val="en-GB"/>
        </w:rPr>
        <w:t xml:space="preserve">being persistent across waves. </w:t>
      </w:r>
    </w:p>
    <w:p w14:paraId="112B132C" w14:textId="05731855" w:rsidR="00C050EE" w:rsidRPr="003A6DFC" w:rsidRDefault="005038C1" w:rsidP="00C050EE">
      <w:pPr>
        <w:spacing w:after="0" w:line="360" w:lineRule="auto"/>
        <w:ind w:firstLine="708"/>
        <w:jc w:val="both"/>
        <w:rPr>
          <w:rFonts w:ascii="Century" w:hAnsi="Century" w:cs="Times New Roman"/>
          <w:bCs/>
          <w:lang w:val="en-GB"/>
        </w:rPr>
      </w:pPr>
      <w:r w:rsidRPr="003A6DFC">
        <w:rPr>
          <w:rFonts w:ascii="Century" w:hAnsi="Century" w:cs="Times New Roman"/>
          <w:bCs/>
          <w:lang w:val="en-GB"/>
        </w:rPr>
        <w:t>T</w:t>
      </w:r>
      <w:r w:rsidR="002E038E" w:rsidRPr="003A6DFC">
        <w:rPr>
          <w:rFonts w:ascii="Century" w:hAnsi="Century" w:cs="Times New Roman"/>
          <w:bCs/>
          <w:lang w:val="en-GB"/>
        </w:rPr>
        <w:t>o explore whether</w:t>
      </w:r>
      <w:r w:rsidR="00C06EC5" w:rsidRPr="003A6DFC">
        <w:rPr>
          <w:rFonts w:ascii="Century" w:hAnsi="Century" w:cs="Times New Roman"/>
          <w:bCs/>
          <w:lang w:val="en-GB"/>
        </w:rPr>
        <w:t xml:space="preserve"> difference</w:t>
      </w:r>
      <w:r w:rsidR="002E038E" w:rsidRPr="003A6DFC">
        <w:rPr>
          <w:rFonts w:ascii="Century" w:hAnsi="Century" w:cs="Times New Roman"/>
          <w:bCs/>
          <w:lang w:val="en-GB"/>
        </w:rPr>
        <w:t xml:space="preserve"> i</w:t>
      </w:r>
      <w:r w:rsidR="00C150E8" w:rsidRPr="003A6DFC">
        <w:rPr>
          <w:rFonts w:ascii="Century" w:hAnsi="Century" w:cs="Times New Roman"/>
          <w:bCs/>
          <w:lang w:val="en-GB"/>
        </w:rPr>
        <w:t>n</w:t>
      </w:r>
      <w:r w:rsidR="002E038E" w:rsidRPr="003A6DFC">
        <w:rPr>
          <w:rFonts w:ascii="Century" w:hAnsi="Century" w:cs="Times New Roman"/>
          <w:bCs/>
          <w:lang w:val="en-GB"/>
        </w:rPr>
        <w:t xml:space="preserve"> interview mode (self-completion versus open interview)</w:t>
      </w:r>
      <w:r w:rsidR="00C150E8" w:rsidRPr="003A6DFC">
        <w:rPr>
          <w:rFonts w:ascii="Century" w:hAnsi="Century" w:cs="Times New Roman"/>
          <w:bCs/>
          <w:lang w:val="en-GB"/>
        </w:rPr>
        <w:t xml:space="preserve"> </w:t>
      </w:r>
      <w:r w:rsidR="00B14E5F" w:rsidRPr="003A6DFC">
        <w:rPr>
          <w:rFonts w:ascii="Century" w:hAnsi="Century" w:cs="Times New Roman"/>
          <w:bCs/>
          <w:lang w:val="en-GB"/>
        </w:rPr>
        <w:t>affect</w:t>
      </w:r>
      <w:r w:rsidR="00C150E8" w:rsidRPr="003A6DFC">
        <w:rPr>
          <w:rFonts w:ascii="Century" w:hAnsi="Century" w:cs="Times New Roman"/>
          <w:bCs/>
          <w:lang w:val="en-GB"/>
        </w:rPr>
        <w:t>s</w:t>
      </w:r>
      <w:r w:rsidR="00B14E5F" w:rsidRPr="003A6DFC">
        <w:rPr>
          <w:rFonts w:ascii="Century" w:hAnsi="Century" w:cs="Times New Roman"/>
          <w:bCs/>
          <w:lang w:val="en-GB"/>
        </w:rPr>
        <w:t xml:space="preserve"> </w:t>
      </w:r>
      <w:r w:rsidR="00C06EC5" w:rsidRPr="003A6DFC">
        <w:rPr>
          <w:rFonts w:ascii="Century" w:hAnsi="Century" w:cs="Times New Roman"/>
          <w:bCs/>
          <w:lang w:val="en-GB"/>
        </w:rPr>
        <w:t>the association between income and</w:t>
      </w:r>
      <w:r w:rsidR="002E038E" w:rsidRPr="003A6DFC">
        <w:rPr>
          <w:rFonts w:ascii="Century" w:hAnsi="Century" w:cs="Times New Roman"/>
          <w:bCs/>
          <w:lang w:val="en-GB"/>
        </w:rPr>
        <w:t xml:space="preserve"> </w:t>
      </w:r>
      <w:proofErr w:type="gramStart"/>
      <w:r w:rsidR="002E038E" w:rsidRPr="003A6DFC">
        <w:rPr>
          <w:rFonts w:ascii="Century" w:hAnsi="Century" w:cs="Times New Roman"/>
          <w:bCs/>
          <w:lang w:val="en-GB"/>
        </w:rPr>
        <w:t>SAH</w:t>
      </w:r>
      <w:r w:rsidR="00C06EC5" w:rsidRPr="003A6DFC">
        <w:rPr>
          <w:rFonts w:ascii="Century" w:hAnsi="Century" w:cs="Times New Roman"/>
          <w:bCs/>
          <w:lang w:val="en-GB"/>
        </w:rPr>
        <w:t xml:space="preserve">, </w:t>
      </w:r>
      <w:r w:rsidR="002E038E" w:rsidRPr="003A6DFC">
        <w:rPr>
          <w:rFonts w:ascii="Century" w:hAnsi="Century" w:cs="Times New Roman"/>
          <w:bCs/>
          <w:lang w:val="en-GB"/>
        </w:rPr>
        <w:t xml:space="preserve"> </w:t>
      </w:r>
      <w:r w:rsidR="00C050EE" w:rsidRPr="003A6DFC">
        <w:rPr>
          <w:rFonts w:ascii="Century" w:hAnsi="Century" w:cs="Times New Roman"/>
          <w:bCs/>
          <w:lang w:val="en-GB"/>
        </w:rPr>
        <w:t>we</w:t>
      </w:r>
      <w:proofErr w:type="gramEnd"/>
      <w:r w:rsidR="00C050EE" w:rsidRPr="003A6DFC">
        <w:rPr>
          <w:rFonts w:ascii="Century" w:hAnsi="Century" w:cs="Times New Roman"/>
          <w:bCs/>
          <w:lang w:val="en-GB"/>
        </w:rPr>
        <w:t xml:space="preserve"> estimate linear </w:t>
      </w:r>
      <w:r w:rsidR="00692D05" w:rsidRPr="003A6DFC">
        <w:rPr>
          <w:rFonts w:ascii="Century" w:hAnsi="Century" w:cs="Times New Roman"/>
          <w:bCs/>
          <w:lang w:val="en-GB"/>
        </w:rPr>
        <w:t>regression</w:t>
      </w:r>
      <w:r w:rsidR="00C050EE" w:rsidRPr="003A6DFC">
        <w:rPr>
          <w:rFonts w:ascii="Century" w:hAnsi="Century" w:cs="Times New Roman"/>
          <w:bCs/>
          <w:lang w:val="en-GB"/>
        </w:rPr>
        <w:t xml:space="preserve"> models </w:t>
      </w:r>
      <w:r w:rsidR="00C150E8" w:rsidRPr="003A6DFC">
        <w:rPr>
          <w:rFonts w:ascii="Century" w:hAnsi="Century" w:cs="Times New Roman"/>
          <w:bCs/>
          <w:lang w:val="en-GB"/>
        </w:rPr>
        <w:t>for</w:t>
      </w:r>
      <w:r w:rsidR="00692D05" w:rsidRPr="003A6DFC">
        <w:rPr>
          <w:rFonts w:ascii="Century" w:hAnsi="Century" w:cs="Times New Roman"/>
          <w:bCs/>
          <w:lang w:val="en-GB"/>
        </w:rPr>
        <w:t xml:space="preserve"> SAH </w:t>
      </w:r>
      <w:r w:rsidR="002632F2" w:rsidRPr="003A6DFC">
        <w:rPr>
          <w:rFonts w:ascii="Century" w:hAnsi="Century" w:cs="Times New Roman"/>
          <w:bCs/>
          <w:lang w:val="en-GB"/>
        </w:rPr>
        <w:t xml:space="preserve">regressed </w:t>
      </w:r>
      <w:r w:rsidR="00C050EE" w:rsidRPr="003A6DFC">
        <w:rPr>
          <w:rFonts w:ascii="Century" w:hAnsi="Century" w:cs="Times New Roman"/>
          <w:bCs/>
          <w:lang w:val="en-GB"/>
        </w:rPr>
        <w:t>on household income after adjust</w:t>
      </w:r>
      <w:r w:rsidR="00692D05" w:rsidRPr="003A6DFC">
        <w:rPr>
          <w:rFonts w:ascii="Century" w:hAnsi="Century" w:cs="Times New Roman"/>
          <w:bCs/>
          <w:lang w:val="en-GB"/>
        </w:rPr>
        <w:t>ing</w:t>
      </w:r>
      <w:r w:rsidR="00C050EE" w:rsidRPr="003A6DFC">
        <w:rPr>
          <w:rFonts w:ascii="Century" w:hAnsi="Century" w:cs="Times New Roman"/>
          <w:bCs/>
          <w:lang w:val="en-GB"/>
        </w:rPr>
        <w:t xml:space="preserve"> for</w:t>
      </w:r>
      <w:r w:rsidR="00C06EC5" w:rsidRPr="003A6DFC">
        <w:rPr>
          <w:rFonts w:ascii="Century" w:hAnsi="Century" w:cs="Times New Roman"/>
          <w:bCs/>
          <w:lang w:val="en-GB"/>
        </w:rPr>
        <w:t xml:space="preserve"> age, gender and</w:t>
      </w:r>
      <w:r w:rsidR="00C050EE" w:rsidRPr="003A6DFC">
        <w:rPr>
          <w:rFonts w:ascii="Century" w:hAnsi="Century" w:cs="Times New Roman"/>
          <w:bCs/>
          <w:lang w:val="en-GB"/>
        </w:rPr>
        <w:t xml:space="preserve"> wave fixed effects (Table </w:t>
      </w:r>
      <w:r w:rsidR="0055085A" w:rsidRPr="003A6DFC">
        <w:rPr>
          <w:rFonts w:ascii="Century" w:hAnsi="Century" w:cs="Times New Roman"/>
          <w:bCs/>
          <w:lang w:val="en-GB"/>
        </w:rPr>
        <w:t>6</w:t>
      </w:r>
      <w:r w:rsidR="00C050EE" w:rsidRPr="003A6DFC">
        <w:rPr>
          <w:rFonts w:ascii="Century" w:hAnsi="Century" w:cs="Times New Roman"/>
          <w:bCs/>
          <w:lang w:val="en-GB"/>
        </w:rPr>
        <w:t>, Panel A).</w:t>
      </w:r>
      <w:r w:rsidR="001C35B8" w:rsidRPr="003A6DFC">
        <w:rPr>
          <w:rFonts w:ascii="Century" w:hAnsi="Century" w:cs="Times New Roman"/>
          <w:bCs/>
          <w:lang w:val="en-GB"/>
        </w:rPr>
        <w:t xml:space="preserve"> Recall</w:t>
      </w:r>
      <w:r w:rsidR="005A54A4" w:rsidRPr="003A6DFC">
        <w:rPr>
          <w:rFonts w:ascii="Century" w:hAnsi="Century" w:cs="Times New Roman"/>
          <w:bCs/>
          <w:lang w:val="en-GB"/>
        </w:rPr>
        <w:t>,</w:t>
      </w:r>
      <w:r w:rsidR="00F3345D" w:rsidRPr="003A6DFC">
        <w:rPr>
          <w:rFonts w:ascii="Century" w:hAnsi="Century" w:cs="Times New Roman"/>
          <w:bCs/>
          <w:lang w:val="en-GB"/>
        </w:rPr>
        <w:t xml:space="preserve"> </w:t>
      </w:r>
      <w:r w:rsidR="001C35B8" w:rsidRPr="003A6DFC">
        <w:rPr>
          <w:rFonts w:ascii="Century" w:hAnsi="Century" w:cs="Times New Roman"/>
          <w:bCs/>
          <w:lang w:val="en-GB"/>
        </w:rPr>
        <w:t xml:space="preserve">that </w:t>
      </w:r>
      <w:r w:rsidR="00F3345D" w:rsidRPr="003A6DFC">
        <w:rPr>
          <w:rFonts w:ascii="Century" w:hAnsi="Century" w:cs="Times New Roman"/>
          <w:bCs/>
          <w:lang w:val="en-GB"/>
        </w:rPr>
        <w:t xml:space="preserve">we have </w:t>
      </w:r>
      <w:r w:rsidR="00942A83" w:rsidRPr="003A6DFC">
        <w:rPr>
          <w:rFonts w:ascii="Century" w:hAnsi="Century" w:cs="Times New Roman"/>
          <w:bCs/>
          <w:lang w:val="en-GB"/>
        </w:rPr>
        <w:t xml:space="preserve">coded </w:t>
      </w:r>
      <w:r w:rsidR="00F3345D" w:rsidRPr="003A6DFC">
        <w:rPr>
          <w:rFonts w:ascii="Century" w:hAnsi="Century" w:cs="Times New Roman"/>
          <w:bCs/>
          <w:lang w:val="en-GB"/>
        </w:rPr>
        <w:t xml:space="preserve">SAH so that higher values indicate a better health state. </w:t>
      </w:r>
      <w:r w:rsidR="00C06EC5" w:rsidRPr="003A6DFC">
        <w:rPr>
          <w:rFonts w:ascii="Century" w:hAnsi="Century" w:cs="Times New Roman"/>
          <w:bCs/>
          <w:lang w:val="en-GB"/>
        </w:rPr>
        <w:t xml:space="preserve">Our </w:t>
      </w:r>
      <w:r w:rsidR="00F411C1" w:rsidRPr="003A6DFC">
        <w:rPr>
          <w:rFonts w:ascii="Century" w:hAnsi="Century" w:cs="Times New Roman"/>
          <w:bCs/>
          <w:lang w:val="en-GB"/>
        </w:rPr>
        <w:t>estimates for the full sample</w:t>
      </w:r>
      <w:r w:rsidR="00C050EE" w:rsidRPr="003A6DFC">
        <w:rPr>
          <w:rFonts w:ascii="Century" w:hAnsi="Century" w:cs="Times New Roman"/>
          <w:bCs/>
          <w:lang w:val="en-GB"/>
        </w:rPr>
        <w:t xml:space="preserve"> </w:t>
      </w:r>
      <w:r w:rsidR="00F411C1" w:rsidRPr="003A6DFC">
        <w:rPr>
          <w:rFonts w:ascii="Century" w:hAnsi="Century" w:cs="Times New Roman"/>
          <w:bCs/>
          <w:lang w:val="en-GB"/>
        </w:rPr>
        <w:t>suggest evidence of a</w:t>
      </w:r>
      <w:r w:rsidR="00C06EC5" w:rsidRPr="003A6DFC">
        <w:rPr>
          <w:rFonts w:ascii="Century" w:hAnsi="Century" w:cs="Times New Roman"/>
          <w:bCs/>
          <w:lang w:val="en-GB"/>
        </w:rPr>
        <w:t xml:space="preserve"> positive and highly significant association between income and health with </w:t>
      </w:r>
      <w:r w:rsidR="00B14E5F" w:rsidRPr="003A6DFC">
        <w:rPr>
          <w:rFonts w:ascii="Century" w:hAnsi="Century" w:cs="Times New Roman"/>
          <w:bCs/>
          <w:lang w:val="en-GB"/>
        </w:rPr>
        <w:t>remarkably</w:t>
      </w:r>
      <w:r w:rsidR="00C150E8" w:rsidRPr="003A6DFC">
        <w:rPr>
          <w:rFonts w:ascii="Century" w:hAnsi="Century" w:cs="Times New Roman"/>
          <w:bCs/>
          <w:lang w:val="en-GB"/>
        </w:rPr>
        <w:t xml:space="preserve"> similar</w:t>
      </w:r>
      <w:r w:rsidR="00B14E5F" w:rsidRPr="003A6DFC">
        <w:rPr>
          <w:rFonts w:ascii="Century" w:hAnsi="Century" w:cs="Times New Roman"/>
          <w:bCs/>
          <w:lang w:val="en-GB"/>
        </w:rPr>
        <w:t xml:space="preserve"> income </w:t>
      </w:r>
      <w:r w:rsidR="00C06EC5" w:rsidRPr="003A6DFC">
        <w:rPr>
          <w:rFonts w:ascii="Century" w:hAnsi="Century" w:cs="Times New Roman"/>
          <w:bCs/>
          <w:lang w:val="en-GB"/>
        </w:rPr>
        <w:t>coefficients in the case of self-completion and open interview SAH measures</w:t>
      </w:r>
      <w:r w:rsidR="00C050EE" w:rsidRPr="003A6DFC">
        <w:rPr>
          <w:rFonts w:ascii="Century" w:hAnsi="Century" w:cs="Times New Roman"/>
          <w:bCs/>
          <w:lang w:val="en-GB"/>
        </w:rPr>
        <w:t xml:space="preserve">. </w:t>
      </w:r>
    </w:p>
    <w:p w14:paraId="0EA28E67" w14:textId="0F08C60E" w:rsidR="00F16DE5" w:rsidRPr="003A6DFC" w:rsidRDefault="00C050EE" w:rsidP="00E10528">
      <w:pPr>
        <w:spacing w:after="0" w:line="360" w:lineRule="auto"/>
        <w:jc w:val="both"/>
        <w:rPr>
          <w:rFonts w:ascii="Century" w:hAnsi="Century" w:cs="Times New Roman"/>
          <w:bCs/>
          <w:lang w:val="en-GB"/>
        </w:rPr>
      </w:pPr>
      <w:r w:rsidRPr="003A6DFC">
        <w:rPr>
          <w:rFonts w:ascii="Century" w:hAnsi="Century" w:cs="Times New Roman"/>
          <w:bCs/>
          <w:lang w:val="en-GB"/>
        </w:rPr>
        <w:tab/>
        <w:t>We then implement further analysis, excluding from our estimation sample certain sub-samples with specific patterns in reporting SAH.</w:t>
      </w:r>
      <w:r w:rsidR="00FD6C3A" w:rsidRPr="003A6DFC">
        <w:rPr>
          <w:rStyle w:val="Refdenotaderodap"/>
          <w:rFonts w:ascii="Century" w:hAnsi="Century" w:cs="Times New Roman"/>
          <w:bCs/>
          <w:lang w:val="en-GB"/>
        </w:rPr>
        <w:footnoteReference w:id="15"/>
      </w:r>
      <w:r w:rsidRPr="003A6DFC">
        <w:rPr>
          <w:rFonts w:ascii="Century" w:hAnsi="Century" w:cs="Times New Roman"/>
          <w:bCs/>
          <w:lang w:val="en-GB"/>
        </w:rPr>
        <w:t xml:space="preserve"> As expected, identical income coefficients are evident for the case of </w:t>
      </w:r>
      <w:r w:rsidR="00976C68" w:rsidRPr="003A6DFC">
        <w:rPr>
          <w:rFonts w:ascii="Century" w:hAnsi="Century" w:cs="Times New Roman"/>
          <w:bCs/>
          <w:lang w:val="en-GB"/>
        </w:rPr>
        <w:t>the</w:t>
      </w:r>
      <w:r w:rsidRPr="003A6DFC">
        <w:rPr>
          <w:rFonts w:ascii="Century" w:hAnsi="Century" w:cs="Times New Roman"/>
          <w:bCs/>
          <w:lang w:val="en-GB"/>
        </w:rPr>
        <w:t xml:space="preserve"> two models when we restrict our analysis to those </w:t>
      </w:r>
      <w:r w:rsidR="00976C68" w:rsidRPr="003A6DFC">
        <w:rPr>
          <w:rFonts w:ascii="Century" w:hAnsi="Century" w:cs="Times New Roman"/>
          <w:bCs/>
          <w:lang w:val="en-GB"/>
        </w:rPr>
        <w:t xml:space="preserve">who </w:t>
      </w:r>
      <w:r w:rsidRPr="003A6DFC">
        <w:rPr>
          <w:rFonts w:ascii="Century" w:hAnsi="Century" w:cs="Times New Roman"/>
          <w:bCs/>
          <w:lang w:val="en-GB"/>
        </w:rPr>
        <w:t xml:space="preserve">consistently report SAH within each of the four waves used here (Table </w:t>
      </w:r>
      <w:r w:rsidR="0055085A" w:rsidRPr="003A6DFC">
        <w:rPr>
          <w:rFonts w:ascii="Century" w:hAnsi="Century" w:cs="Times New Roman"/>
          <w:bCs/>
          <w:lang w:val="en-GB"/>
        </w:rPr>
        <w:t>6</w:t>
      </w:r>
      <w:r w:rsidRPr="003A6DFC">
        <w:rPr>
          <w:rFonts w:ascii="Century" w:hAnsi="Century" w:cs="Times New Roman"/>
          <w:bCs/>
          <w:lang w:val="en-GB"/>
        </w:rPr>
        <w:t>, Panel B: Always consistent)</w:t>
      </w:r>
      <w:r w:rsidR="00F411C1" w:rsidRPr="003A6DFC">
        <w:rPr>
          <w:rFonts w:ascii="Century" w:hAnsi="Century" w:cs="Times New Roman"/>
          <w:bCs/>
          <w:lang w:val="en-GB"/>
        </w:rPr>
        <w:t xml:space="preserve"> and </w:t>
      </w:r>
      <w:r w:rsidR="00426EB2" w:rsidRPr="003A6DFC">
        <w:rPr>
          <w:rFonts w:ascii="Century" w:hAnsi="Century" w:cs="Times New Roman"/>
          <w:bCs/>
          <w:lang w:val="en-GB"/>
        </w:rPr>
        <w:t xml:space="preserve">there </w:t>
      </w:r>
      <w:r w:rsidR="00E10528" w:rsidRPr="003A6DFC">
        <w:rPr>
          <w:rFonts w:ascii="Century" w:hAnsi="Century" w:cs="Times New Roman"/>
          <w:bCs/>
          <w:lang w:val="en-GB"/>
        </w:rPr>
        <w:t xml:space="preserve">is </w:t>
      </w:r>
      <w:r w:rsidR="00C06EC5" w:rsidRPr="003A6DFC">
        <w:rPr>
          <w:rFonts w:ascii="Century" w:hAnsi="Century" w:cs="Times New Roman"/>
          <w:bCs/>
          <w:lang w:val="en-GB"/>
        </w:rPr>
        <w:t>evidence of positive and systematic associations between income and health.</w:t>
      </w:r>
      <w:r w:rsidR="00E10528" w:rsidRPr="003A6DFC">
        <w:rPr>
          <w:rFonts w:ascii="Century" w:hAnsi="Century" w:cs="Times New Roman"/>
          <w:bCs/>
          <w:lang w:val="en-GB"/>
        </w:rPr>
        <w:t xml:space="preserve"> Analysis across all the remaining sub-samples show</w:t>
      </w:r>
      <w:r w:rsidR="00B14E5F" w:rsidRPr="003A6DFC">
        <w:rPr>
          <w:rFonts w:ascii="Century" w:hAnsi="Century" w:cs="Times New Roman"/>
          <w:bCs/>
          <w:lang w:val="en-GB"/>
        </w:rPr>
        <w:t xml:space="preserve"> practically identical </w:t>
      </w:r>
      <w:r w:rsidR="00E10528" w:rsidRPr="003A6DFC">
        <w:rPr>
          <w:rFonts w:ascii="Century" w:hAnsi="Century" w:cs="Times New Roman"/>
          <w:bCs/>
          <w:lang w:val="en-GB"/>
        </w:rPr>
        <w:t xml:space="preserve">results, with </w:t>
      </w:r>
      <w:r w:rsidR="00B14E5F" w:rsidRPr="003A6DFC">
        <w:rPr>
          <w:rFonts w:ascii="Century" w:hAnsi="Century" w:cs="Times New Roman"/>
          <w:bCs/>
          <w:lang w:val="en-GB"/>
        </w:rPr>
        <w:t xml:space="preserve">very </w:t>
      </w:r>
      <w:r w:rsidR="00E10528" w:rsidRPr="003A6DFC">
        <w:rPr>
          <w:rFonts w:ascii="Century" w:hAnsi="Century" w:cs="Times New Roman"/>
          <w:bCs/>
          <w:lang w:val="en-GB"/>
        </w:rPr>
        <w:t>limited differences in the estimated associations between income and health when using our two SAH measures.</w:t>
      </w:r>
    </w:p>
    <w:p w14:paraId="140D7999" w14:textId="74748CF5" w:rsidR="00FD6C3A" w:rsidRPr="003A6DFC" w:rsidRDefault="00FD6C3A" w:rsidP="00E10528">
      <w:pPr>
        <w:spacing w:after="0" w:line="360" w:lineRule="auto"/>
        <w:jc w:val="both"/>
        <w:rPr>
          <w:rFonts w:ascii="Century" w:hAnsi="Century" w:cs="Times New Roman"/>
          <w:bCs/>
          <w:lang w:val="en-GB"/>
        </w:rPr>
      </w:pPr>
      <w:r w:rsidRPr="003A6DFC">
        <w:rPr>
          <w:rFonts w:ascii="Century" w:hAnsi="Century" w:cs="Times New Roman"/>
          <w:bCs/>
          <w:lang w:val="en-GB"/>
        </w:rPr>
        <w:br w:type="page"/>
      </w:r>
    </w:p>
    <w:tbl>
      <w:tblPr>
        <w:tblW w:w="0" w:type="auto"/>
        <w:tblLook w:val="04A0" w:firstRow="1" w:lastRow="0" w:firstColumn="1" w:lastColumn="0" w:noHBand="0" w:noVBand="1"/>
      </w:tblPr>
      <w:tblGrid>
        <w:gridCol w:w="2231"/>
        <w:gridCol w:w="2396"/>
        <w:gridCol w:w="2425"/>
        <w:gridCol w:w="1561"/>
      </w:tblGrid>
      <w:tr w:rsidR="004A0040" w:rsidRPr="003A6DFC" w14:paraId="5B4C69CB" w14:textId="77777777" w:rsidTr="0069069C">
        <w:trPr>
          <w:trHeight w:val="288"/>
        </w:trPr>
        <w:tc>
          <w:tcPr>
            <w:tcW w:w="8613" w:type="dxa"/>
            <w:gridSpan w:val="4"/>
            <w:tcBorders>
              <w:bottom w:val="single" w:sz="4" w:space="0" w:color="auto"/>
            </w:tcBorders>
            <w:shd w:val="clear" w:color="auto" w:fill="auto"/>
            <w:noWrap/>
            <w:vAlign w:val="bottom"/>
          </w:tcPr>
          <w:bookmarkEnd w:id="8"/>
          <w:p w14:paraId="5A070B61" w14:textId="5EFCD600" w:rsidR="004A0040" w:rsidRPr="003A6DFC" w:rsidRDefault="004A0040" w:rsidP="0069069C">
            <w:pPr>
              <w:spacing w:after="0" w:line="240" w:lineRule="auto"/>
              <w:jc w:val="both"/>
              <w:rPr>
                <w:rFonts w:ascii="Century" w:eastAsia="Times New Roman" w:hAnsi="Century" w:cs="Calibri"/>
                <w:color w:val="000000"/>
                <w:sz w:val="20"/>
                <w:szCs w:val="20"/>
                <w:lang w:val="en-GB" w:eastAsia="en-GB"/>
              </w:rPr>
            </w:pPr>
            <w:r w:rsidRPr="003A6DFC">
              <w:rPr>
                <w:rFonts w:ascii="Century" w:eastAsia="Times New Roman" w:hAnsi="Century" w:cs="Calibri"/>
                <w:b/>
                <w:bCs/>
                <w:color w:val="000000"/>
                <w:sz w:val="20"/>
                <w:szCs w:val="20"/>
                <w:lang w:val="en-GB" w:eastAsia="en-GB"/>
              </w:rPr>
              <w:lastRenderedPageBreak/>
              <w:t xml:space="preserve">Table </w:t>
            </w:r>
            <w:r w:rsidR="0055085A" w:rsidRPr="003A6DFC">
              <w:rPr>
                <w:rFonts w:ascii="Century" w:eastAsia="Times New Roman" w:hAnsi="Century" w:cs="Calibri"/>
                <w:b/>
                <w:bCs/>
                <w:color w:val="000000"/>
                <w:sz w:val="20"/>
                <w:szCs w:val="20"/>
                <w:lang w:val="en-GB" w:eastAsia="en-GB"/>
              </w:rPr>
              <w:t>6</w:t>
            </w:r>
            <w:r w:rsidRPr="003A6DFC">
              <w:rPr>
                <w:rFonts w:ascii="Century" w:eastAsia="Times New Roman" w:hAnsi="Century" w:cs="Calibri"/>
                <w:b/>
                <w:bCs/>
                <w:color w:val="000000"/>
                <w:sz w:val="20"/>
                <w:szCs w:val="20"/>
                <w:lang w:val="en-GB" w:eastAsia="en-GB"/>
              </w:rPr>
              <w:t xml:space="preserve">. Income gradients in SAH measured using self-completion and open interview mode: pooled OLS. </w:t>
            </w:r>
          </w:p>
        </w:tc>
      </w:tr>
      <w:tr w:rsidR="004A0040" w:rsidRPr="003A6DFC" w14:paraId="1D9950AD" w14:textId="77777777" w:rsidTr="0069069C">
        <w:trPr>
          <w:trHeight w:val="454"/>
        </w:trPr>
        <w:tc>
          <w:tcPr>
            <w:tcW w:w="0" w:type="auto"/>
            <w:tcBorders>
              <w:top w:val="single" w:sz="4" w:space="0" w:color="auto"/>
            </w:tcBorders>
            <w:shd w:val="clear" w:color="auto" w:fill="auto"/>
            <w:noWrap/>
            <w:vAlign w:val="bottom"/>
            <w:hideMark/>
          </w:tcPr>
          <w:p w14:paraId="1D837D9F" w14:textId="77777777" w:rsidR="004A0040" w:rsidRPr="003A6DFC" w:rsidRDefault="004A0040" w:rsidP="0069069C">
            <w:pPr>
              <w:spacing w:after="0" w:line="240" w:lineRule="auto"/>
              <w:rPr>
                <w:rFonts w:ascii="Century" w:eastAsia="Times New Roman" w:hAnsi="Century" w:cs="Times New Roman"/>
                <w:b/>
                <w:bCs/>
                <w:sz w:val="20"/>
                <w:szCs w:val="20"/>
                <w:lang w:val="en-GB" w:eastAsia="en-GB"/>
              </w:rPr>
            </w:pPr>
          </w:p>
        </w:tc>
        <w:tc>
          <w:tcPr>
            <w:tcW w:w="2396" w:type="dxa"/>
            <w:tcBorders>
              <w:top w:val="single" w:sz="4" w:space="0" w:color="auto"/>
              <w:bottom w:val="single" w:sz="4" w:space="0" w:color="auto"/>
            </w:tcBorders>
            <w:shd w:val="clear" w:color="auto" w:fill="auto"/>
            <w:noWrap/>
            <w:vAlign w:val="bottom"/>
            <w:hideMark/>
          </w:tcPr>
          <w:p w14:paraId="5876ED50"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SAH ― Open Interview</w:t>
            </w:r>
          </w:p>
          <w:p w14:paraId="657B0AE0"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 xml:space="preserve"> </w:t>
            </w:r>
            <m:oMath>
              <m:d>
                <m:dPr>
                  <m:ctrlPr>
                    <w:rPr>
                      <w:rFonts w:ascii="Cambria Math" w:eastAsia="Times New Roman" w:hAnsi="Cambria Math" w:cs="Calibri"/>
                      <w:b/>
                      <w:bCs/>
                      <w:i/>
                      <w:color w:val="000000"/>
                      <w:sz w:val="20"/>
                      <w:szCs w:val="20"/>
                      <w:lang w:val="en-GB" w:eastAsia="en-GB"/>
                    </w:rPr>
                  </m:ctrlPr>
                </m:dPr>
                <m:e>
                  <m:sSub>
                    <m:sSubPr>
                      <m:ctrlPr>
                        <w:rPr>
                          <w:rFonts w:ascii="Cambria Math" w:eastAsia="Times New Roman" w:hAnsi="Cambria Math" w:cs="Calibri"/>
                          <w:b/>
                          <w:bCs/>
                          <w:i/>
                          <w:color w:val="000000"/>
                          <w:sz w:val="20"/>
                          <w:szCs w:val="20"/>
                          <w:lang w:val="en-GB" w:eastAsia="en-GB"/>
                        </w:rPr>
                      </m:ctrlPr>
                    </m:sSubPr>
                    <m:e>
                      <m:r>
                        <m:rPr>
                          <m:sty m:val="bi"/>
                        </m:rPr>
                        <w:rPr>
                          <w:rFonts w:ascii="Cambria Math" w:eastAsia="Times New Roman" w:hAnsi="Cambria Math" w:cs="Calibri"/>
                          <w:color w:val="000000"/>
                          <w:sz w:val="20"/>
                          <w:szCs w:val="20"/>
                          <w:lang w:val="en-GB" w:eastAsia="en-GB"/>
                        </w:rPr>
                        <m:t>H</m:t>
                      </m:r>
                    </m:e>
                    <m:sub>
                      <m:r>
                        <m:rPr>
                          <m:sty m:val="bi"/>
                        </m:rPr>
                        <w:rPr>
                          <w:rFonts w:ascii="Cambria Math" w:eastAsia="Times New Roman" w:hAnsi="Cambria Math" w:cs="Calibri"/>
                          <w:color w:val="000000"/>
                          <w:sz w:val="20"/>
                          <w:szCs w:val="20"/>
                          <w:lang w:val="en-GB" w:eastAsia="en-GB"/>
                        </w:rPr>
                        <m:t>OI</m:t>
                      </m:r>
                    </m:sub>
                  </m:sSub>
                </m:e>
              </m:d>
            </m:oMath>
          </w:p>
          <w:p w14:paraId="3C5D1408"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p>
        </w:tc>
        <w:tc>
          <w:tcPr>
            <w:tcW w:w="2425" w:type="dxa"/>
            <w:tcBorders>
              <w:top w:val="single" w:sz="4" w:space="0" w:color="auto"/>
              <w:bottom w:val="single" w:sz="4" w:space="0" w:color="auto"/>
            </w:tcBorders>
            <w:shd w:val="clear" w:color="auto" w:fill="auto"/>
            <w:noWrap/>
            <w:vAlign w:val="bottom"/>
            <w:hideMark/>
          </w:tcPr>
          <w:p w14:paraId="59D65CE2"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SAH ― Self-completion</w:t>
            </w:r>
          </w:p>
          <w:p w14:paraId="0FB62C1C" w14:textId="77777777" w:rsidR="004A0040" w:rsidRPr="003A6DFC" w:rsidRDefault="00000000" w:rsidP="0069069C">
            <w:pPr>
              <w:spacing w:after="0" w:line="240" w:lineRule="auto"/>
              <w:jc w:val="center"/>
              <w:rPr>
                <w:rFonts w:ascii="Century" w:eastAsia="Times New Roman" w:hAnsi="Century" w:cs="Calibri"/>
                <w:b/>
                <w:bCs/>
                <w:color w:val="000000"/>
                <w:sz w:val="20"/>
                <w:szCs w:val="20"/>
                <w:lang w:val="en-GB" w:eastAsia="en-GB"/>
              </w:rPr>
            </w:pPr>
            <m:oMathPara>
              <m:oMath>
                <m:d>
                  <m:dPr>
                    <m:ctrlPr>
                      <w:rPr>
                        <w:rFonts w:ascii="Cambria Math" w:eastAsia="Times New Roman" w:hAnsi="Cambria Math" w:cs="Calibri"/>
                        <w:b/>
                        <w:bCs/>
                        <w:i/>
                        <w:color w:val="000000"/>
                        <w:sz w:val="20"/>
                        <w:szCs w:val="20"/>
                        <w:lang w:val="en-GB" w:eastAsia="en-GB"/>
                      </w:rPr>
                    </m:ctrlPr>
                  </m:dPr>
                  <m:e>
                    <m:sSub>
                      <m:sSubPr>
                        <m:ctrlPr>
                          <w:rPr>
                            <w:rFonts w:ascii="Cambria Math" w:eastAsia="Times New Roman" w:hAnsi="Cambria Math" w:cs="Calibri"/>
                            <w:b/>
                            <w:bCs/>
                            <w:i/>
                            <w:color w:val="000000"/>
                            <w:sz w:val="20"/>
                            <w:szCs w:val="20"/>
                            <w:lang w:val="en-GB" w:eastAsia="en-GB"/>
                          </w:rPr>
                        </m:ctrlPr>
                      </m:sSubPr>
                      <m:e>
                        <m:r>
                          <m:rPr>
                            <m:sty m:val="bi"/>
                          </m:rPr>
                          <w:rPr>
                            <w:rFonts w:ascii="Cambria Math" w:eastAsia="Times New Roman" w:hAnsi="Cambria Math" w:cs="Calibri"/>
                            <w:color w:val="000000"/>
                            <w:sz w:val="20"/>
                            <w:szCs w:val="20"/>
                            <w:lang w:val="en-GB" w:eastAsia="en-GB"/>
                          </w:rPr>
                          <m:t>H</m:t>
                        </m:r>
                      </m:e>
                      <m:sub>
                        <m:r>
                          <m:rPr>
                            <m:sty m:val="bi"/>
                          </m:rPr>
                          <w:rPr>
                            <w:rFonts w:ascii="Cambria Math" w:eastAsia="Times New Roman" w:hAnsi="Cambria Math" w:cs="Calibri"/>
                            <w:color w:val="000000"/>
                            <w:sz w:val="20"/>
                            <w:szCs w:val="20"/>
                            <w:lang w:val="en-GB" w:eastAsia="en-GB"/>
                          </w:rPr>
                          <m:t>SC</m:t>
                        </m:r>
                      </m:sub>
                    </m:sSub>
                  </m:e>
                </m:d>
              </m:oMath>
            </m:oMathPara>
          </w:p>
          <w:p w14:paraId="5AC6F820"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p>
        </w:tc>
        <w:tc>
          <w:tcPr>
            <w:tcW w:w="1561" w:type="dxa"/>
            <w:tcBorders>
              <w:top w:val="single" w:sz="4" w:space="0" w:color="auto"/>
              <w:bottom w:val="single" w:sz="4" w:space="0" w:color="auto"/>
            </w:tcBorders>
            <w:shd w:val="clear" w:color="auto" w:fill="auto"/>
            <w:noWrap/>
            <w:vAlign w:val="bottom"/>
            <w:hideMark/>
          </w:tcPr>
          <w:p w14:paraId="1E29C82E"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Difference in coefficients</w:t>
            </w:r>
          </w:p>
          <w:p w14:paraId="43F15D69"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p>
        </w:tc>
      </w:tr>
      <w:tr w:rsidR="004A0040" w:rsidRPr="003A6DFC" w14:paraId="7522B7E9" w14:textId="77777777" w:rsidTr="0069069C">
        <w:trPr>
          <w:trHeight w:val="288"/>
        </w:trPr>
        <w:tc>
          <w:tcPr>
            <w:tcW w:w="0" w:type="auto"/>
            <w:tcBorders>
              <w:bottom w:val="single" w:sz="4" w:space="0" w:color="auto"/>
            </w:tcBorders>
            <w:shd w:val="clear" w:color="auto" w:fill="auto"/>
            <w:noWrap/>
            <w:vAlign w:val="center"/>
            <w:hideMark/>
          </w:tcPr>
          <w:p w14:paraId="1DB8B3EC"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p>
        </w:tc>
        <w:tc>
          <w:tcPr>
            <w:tcW w:w="2396" w:type="dxa"/>
            <w:tcBorders>
              <w:top w:val="single" w:sz="4" w:space="0" w:color="auto"/>
              <w:bottom w:val="single" w:sz="4" w:space="0" w:color="auto"/>
            </w:tcBorders>
            <w:shd w:val="clear" w:color="auto" w:fill="auto"/>
            <w:noWrap/>
            <w:vAlign w:val="center"/>
            <w:hideMark/>
          </w:tcPr>
          <w:p w14:paraId="51DB2B9E" w14:textId="77777777" w:rsidR="004A0040" w:rsidRPr="003A6DFC" w:rsidRDefault="004A0040" w:rsidP="0069069C">
            <w:pPr>
              <w:spacing w:after="0" w:line="240" w:lineRule="auto"/>
              <w:jc w:val="center"/>
              <w:rPr>
                <w:rFonts w:ascii="Century" w:eastAsia="Times New Roman" w:hAnsi="Century" w:cs="Times New Roman"/>
                <w:b/>
                <w:bCs/>
                <w:sz w:val="20"/>
                <w:szCs w:val="20"/>
                <w:lang w:val="en-GB" w:eastAsia="en-GB"/>
              </w:rPr>
            </w:pPr>
            <w:r w:rsidRPr="003A6DFC">
              <w:rPr>
                <w:rFonts w:ascii="Century" w:eastAsia="Times New Roman" w:hAnsi="Century" w:cs="Times New Roman"/>
                <w:b/>
                <w:bCs/>
                <w:sz w:val="20"/>
                <w:szCs w:val="20"/>
                <w:lang w:val="en-GB" w:eastAsia="en-GB"/>
              </w:rPr>
              <w:t>Coef.</w:t>
            </w:r>
          </w:p>
          <w:p w14:paraId="60251FCB" w14:textId="77777777" w:rsidR="004A0040" w:rsidRPr="003A6DFC" w:rsidRDefault="004A0040" w:rsidP="0069069C">
            <w:pPr>
              <w:spacing w:after="0" w:line="240" w:lineRule="auto"/>
              <w:jc w:val="center"/>
              <w:rPr>
                <w:rFonts w:ascii="Century" w:eastAsia="Times New Roman" w:hAnsi="Century" w:cs="Times New Roman"/>
                <w:b/>
                <w:bCs/>
                <w:sz w:val="20"/>
                <w:szCs w:val="20"/>
                <w:lang w:val="en-GB" w:eastAsia="en-GB"/>
              </w:rPr>
            </w:pPr>
            <w:r w:rsidRPr="003A6DFC">
              <w:rPr>
                <w:rFonts w:ascii="Century" w:eastAsia="Times New Roman" w:hAnsi="Century" w:cs="Times New Roman"/>
                <w:b/>
                <w:bCs/>
                <w:sz w:val="20"/>
                <w:szCs w:val="20"/>
                <w:lang w:val="en-GB" w:eastAsia="en-GB"/>
              </w:rPr>
              <w:t>(SE)</w:t>
            </w:r>
          </w:p>
        </w:tc>
        <w:tc>
          <w:tcPr>
            <w:tcW w:w="2425" w:type="dxa"/>
            <w:tcBorders>
              <w:top w:val="single" w:sz="4" w:space="0" w:color="auto"/>
              <w:bottom w:val="single" w:sz="4" w:space="0" w:color="auto"/>
            </w:tcBorders>
            <w:shd w:val="clear" w:color="auto" w:fill="auto"/>
            <w:noWrap/>
            <w:vAlign w:val="center"/>
            <w:hideMark/>
          </w:tcPr>
          <w:p w14:paraId="0B418EF5" w14:textId="77777777" w:rsidR="004A0040" w:rsidRPr="003A6DFC" w:rsidRDefault="004A0040" w:rsidP="0069069C">
            <w:pPr>
              <w:spacing w:after="0" w:line="240" w:lineRule="auto"/>
              <w:jc w:val="center"/>
              <w:rPr>
                <w:rFonts w:ascii="Century" w:eastAsia="Times New Roman" w:hAnsi="Century" w:cs="Times New Roman"/>
                <w:b/>
                <w:bCs/>
                <w:sz w:val="20"/>
                <w:szCs w:val="20"/>
                <w:lang w:val="en-GB" w:eastAsia="en-GB"/>
              </w:rPr>
            </w:pPr>
            <w:r w:rsidRPr="003A6DFC">
              <w:rPr>
                <w:rFonts w:ascii="Century" w:eastAsia="Times New Roman" w:hAnsi="Century" w:cs="Times New Roman"/>
                <w:b/>
                <w:bCs/>
                <w:sz w:val="20"/>
                <w:szCs w:val="20"/>
                <w:lang w:val="en-GB" w:eastAsia="en-GB"/>
              </w:rPr>
              <w:t>Coef.</w:t>
            </w:r>
          </w:p>
          <w:p w14:paraId="6D16092B" w14:textId="77777777" w:rsidR="004A0040" w:rsidRPr="003A6DFC" w:rsidRDefault="004A0040" w:rsidP="0069069C">
            <w:pPr>
              <w:spacing w:after="0" w:line="240" w:lineRule="auto"/>
              <w:jc w:val="center"/>
              <w:rPr>
                <w:rFonts w:ascii="Century" w:eastAsia="Times New Roman" w:hAnsi="Century" w:cs="Times New Roman"/>
                <w:b/>
                <w:bCs/>
                <w:sz w:val="20"/>
                <w:szCs w:val="20"/>
                <w:lang w:val="en-GB" w:eastAsia="en-GB"/>
              </w:rPr>
            </w:pPr>
            <w:r w:rsidRPr="003A6DFC">
              <w:rPr>
                <w:rFonts w:ascii="Century" w:eastAsia="Times New Roman" w:hAnsi="Century" w:cs="Times New Roman"/>
                <w:b/>
                <w:bCs/>
                <w:sz w:val="20"/>
                <w:szCs w:val="20"/>
                <w:lang w:val="en-GB" w:eastAsia="en-GB"/>
              </w:rPr>
              <w:t>(SE)</w:t>
            </w:r>
          </w:p>
        </w:tc>
        <w:tc>
          <w:tcPr>
            <w:tcW w:w="1561" w:type="dxa"/>
            <w:tcBorders>
              <w:top w:val="single" w:sz="4" w:space="0" w:color="auto"/>
              <w:bottom w:val="single" w:sz="4" w:space="0" w:color="auto"/>
            </w:tcBorders>
            <w:shd w:val="clear" w:color="auto" w:fill="auto"/>
            <w:noWrap/>
            <w:vAlign w:val="center"/>
            <w:hideMark/>
          </w:tcPr>
          <w:p w14:paraId="016AB15C" w14:textId="77777777" w:rsidR="004A0040" w:rsidRPr="003A6DFC" w:rsidRDefault="004A0040" w:rsidP="0069069C">
            <w:pPr>
              <w:spacing w:after="0" w:line="240" w:lineRule="auto"/>
              <w:jc w:val="center"/>
              <w:rPr>
                <w:rFonts w:ascii="Century" w:eastAsia="Times New Roman" w:hAnsi="Century" w:cs="Times New Roman"/>
                <w:b/>
                <w:bCs/>
                <w:sz w:val="20"/>
                <w:szCs w:val="20"/>
                <w:lang w:val="en-GB" w:eastAsia="en-GB"/>
              </w:rPr>
            </w:pPr>
            <w:r w:rsidRPr="003A6DFC">
              <w:rPr>
                <w:rFonts w:ascii="Century" w:eastAsia="Times New Roman" w:hAnsi="Century" w:cs="Times New Roman"/>
                <w:b/>
                <w:bCs/>
                <w:sz w:val="20"/>
                <w:szCs w:val="20"/>
                <w:lang w:val="en-GB" w:eastAsia="en-GB"/>
              </w:rPr>
              <w:t xml:space="preserve">p-value </w:t>
            </w:r>
          </w:p>
        </w:tc>
      </w:tr>
      <w:tr w:rsidR="004A0040" w:rsidRPr="003A6DFC" w14:paraId="3BCAA63D" w14:textId="77777777" w:rsidTr="0069069C">
        <w:trPr>
          <w:trHeight w:val="288"/>
        </w:trPr>
        <w:tc>
          <w:tcPr>
            <w:tcW w:w="8613" w:type="dxa"/>
            <w:gridSpan w:val="4"/>
            <w:tcBorders>
              <w:top w:val="single" w:sz="4" w:space="0" w:color="auto"/>
              <w:bottom w:val="single" w:sz="4" w:space="0" w:color="auto"/>
            </w:tcBorders>
            <w:shd w:val="clear" w:color="auto" w:fill="auto"/>
            <w:noWrap/>
            <w:vAlign w:val="center"/>
          </w:tcPr>
          <w:p w14:paraId="4FF66D44" w14:textId="77777777" w:rsidR="004A0040" w:rsidRPr="003A6DFC" w:rsidRDefault="004A0040" w:rsidP="0069069C">
            <w:pPr>
              <w:spacing w:after="0" w:line="240" w:lineRule="auto"/>
              <w:rPr>
                <w:rFonts w:ascii="Century" w:eastAsia="Times New Roman" w:hAnsi="Century" w:cs="Times New Roman"/>
                <w:b/>
                <w:bCs/>
                <w:sz w:val="20"/>
                <w:szCs w:val="20"/>
                <w:lang w:val="en-GB" w:eastAsia="en-GB"/>
              </w:rPr>
            </w:pPr>
            <w:r w:rsidRPr="003A6DFC">
              <w:rPr>
                <w:rFonts w:ascii="Century" w:eastAsia="Times New Roman" w:hAnsi="Century" w:cs="Calibri"/>
                <w:b/>
                <w:bCs/>
                <w:color w:val="000000"/>
                <w:sz w:val="20"/>
                <w:szCs w:val="20"/>
                <w:lang w:val="en-GB" w:eastAsia="en-GB"/>
              </w:rPr>
              <w:t>Panel A: Full sample</w:t>
            </w:r>
          </w:p>
        </w:tc>
      </w:tr>
      <w:tr w:rsidR="004A0040" w:rsidRPr="003A6DFC" w14:paraId="60BBCE0A" w14:textId="77777777" w:rsidTr="0069069C">
        <w:trPr>
          <w:trHeight w:val="288"/>
        </w:trPr>
        <w:tc>
          <w:tcPr>
            <w:tcW w:w="0" w:type="auto"/>
            <w:tcBorders>
              <w:top w:val="single" w:sz="4" w:space="0" w:color="auto"/>
            </w:tcBorders>
            <w:shd w:val="clear" w:color="auto" w:fill="auto"/>
            <w:noWrap/>
            <w:vAlign w:val="center"/>
            <w:hideMark/>
          </w:tcPr>
          <w:p w14:paraId="68585883" w14:textId="77777777" w:rsidR="004A0040" w:rsidRPr="003A6DFC" w:rsidRDefault="004A0040" w:rsidP="0069069C">
            <w:pPr>
              <w:spacing w:after="0" w:line="240" w:lineRule="auto"/>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Log of the HH income</w:t>
            </w:r>
          </w:p>
        </w:tc>
        <w:tc>
          <w:tcPr>
            <w:tcW w:w="2396" w:type="dxa"/>
            <w:tcBorders>
              <w:top w:val="single" w:sz="4" w:space="0" w:color="auto"/>
            </w:tcBorders>
            <w:shd w:val="clear" w:color="auto" w:fill="auto"/>
            <w:noWrap/>
            <w:vAlign w:val="center"/>
            <w:hideMark/>
          </w:tcPr>
          <w:p w14:paraId="20487814"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0.419***</w:t>
            </w:r>
          </w:p>
          <w:p w14:paraId="17334C9E"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(0.011)</w:t>
            </w:r>
          </w:p>
        </w:tc>
        <w:tc>
          <w:tcPr>
            <w:tcW w:w="2425" w:type="dxa"/>
            <w:tcBorders>
              <w:top w:val="single" w:sz="4" w:space="0" w:color="auto"/>
            </w:tcBorders>
            <w:shd w:val="clear" w:color="auto" w:fill="auto"/>
            <w:noWrap/>
            <w:vAlign w:val="center"/>
            <w:hideMark/>
          </w:tcPr>
          <w:p w14:paraId="260F0977"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0.419***</w:t>
            </w:r>
          </w:p>
          <w:p w14:paraId="29EAD952"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(0.011)</w:t>
            </w:r>
          </w:p>
        </w:tc>
        <w:tc>
          <w:tcPr>
            <w:tcW w:w="1561" w:type="dxa"/>
            <w:tcBorders>
              <w:top w:val="single" w:sz="4" w:space="0" w:color="auto"/>
            </w:tcBorders>
            <w:shd w:val="clear" w:color="auto" w:fill="auto"/>
            <w:noWrap/>
            <w:vAlign w:val="center"/>
            <w:hideMark/>
          </w:tcPr>
          <w:p w14:paraId="319FF662"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0.948</w:t>
            </w:r>
          </w:p>
        </w:tc>
      </w:tr>
      <w:tr w:rsidR="004A0040" w:rsidRPr="003A6DFC" w14:paraId="2B7D86DD" w14:textId="77777777" w:rsidTr="0069069C">
        <w:trPr>
          <w:trHeight w:val="288"/>
        </w:trPr>
        <w:tc>
          <w:tcPr>
            <w:tcW w:w="0" w:type="auto"/>
            <w:tcBorders>
              <w:bottom w:val="single" w:sz="4" w:space="0" w:color="auto"/>
            </w:tcBorders>
            <w:shd w:val="clear" w:color="auto" w:fill="auto"/>
            <w:noWrap/>
            <w:vAlign w:val="center"/>
            <w:hideMark/>
          </w:tcPr>
          <w:p w14:paraId="1FDC3791" w14:textId="77777777" w:rsidR="004A0040" w:rsidRPr="003A6DFC" w:rsidRDefault="004A0040" w:rsidP="0069069C">
            <w:pPr>
              <w:spacing w:after="0" w:line="240" w:lineRule="auto"/>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 xml:space="preserve">Sample size </w:t>
            </w:r>
          </w:p>
        </w:tc>
        <w:tc>
          <w:tcPr>
            <w:tcW w:w="4821" w:type="dxa"/>
            <w:gridSpan w:val="2"/>
            <w:tcBorders>
              <w:bottom w:val="single" w:sz="4" w:space="0" w:color="auto"/>
            </w:tcBorders>
            <w:shd w:val="clear" w:color="auto" w:fill="auto"/>
            <w:noWrap/>
            <w:vAlign w:val="center"/>
            <w:hideMark/>
          </w:tcPr>
          <w:p w14:paraId="5E4C78A9"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90,600</w:t>
            </w:r>
          </w:p>
        </w:tc>
        <w:tc>
          <w:tcPr>
            <w:tcW w:w="1561" w:type="dxa"/>
            <w:tcBorders>
              <w:bottom w:val="single" w:sz="4" w:space="0" w:color="auto"/>
            </w:tcBorders>
            <w:shd w:val="clear" w:color="auto" w:fill="auto"/>
            <w:noWrap/>
            <w:vAlign w:val="center"/>
            <w:hideMark/>
          </w:tcPr>
          <w:p w14:paraId="36BDD412"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p>
        </w:tc>
      </w:tr>
      <w:tr w:rsidR="004A0040" w:rsidRPr="003A6DFC" w14:paraId="31840BBF" w14:textId="77777777" w:rsidTr="0069069C">
        <w:trPr>
          <w:trHeight w:val="288"/>
        </w:trPr>
        <w:tc>
          <w:tcPr>
            <w:tcW w:w="8613" w:type="dxa"/>
            <w:gridSpan w:val="4"/>
            <w:tcBorders>
              <w:top w:val="single" w:sz="4" w:space="0" w:color="auto"/>
              <w:bottom w:val="single" w:sz="4" w:space="0" w:color="auto"/>
            </w:tcBorders>
            <w:shd w:val="clear" w:color="auto" w:fill="auto"/>
            <w:noWrap/>
            <w:vAlign w:val="center"/>
          </w:tcPr>
          <w:p w14:paraId="09AB9B57"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 xml:space="preserve">Panel B: Always consistent </w:t>
            </w:r>
          </w:p>
          <w:p w14:paraId="1772FDEC" w14:textId="77777777" w:rsidR="004A0040" w:rsidRPr="003A6DFC" w:rsidRDefault="004A0040" w:rsidP="0069069C">
            <w:pPr>
              <w:spacing w:after="0" w:line="240" w:lineRule="auto"/>
              <w:rPr>
                <w:rFonts w:ascii="Century" w:eastAsia="Times New Roman" w:hAnsi="Century" w:cs="Calibri"/>
                <w:color w:val="000000"/>
                <w:sz w:val="20"/>
                <w:szCs w:val="20"/>
                <w:lang w:val="en-GB" w:eastAsia="en-GB"/>
              </w:rPr>
            </w:pPr>
            <w:r w:rsidRPr="003A6DFC">
              <w:rPr>
                <w:rFonts w:ascii="Century" w:eastAsia="Times New Roman" w:hAnsi="Century" w:cs="Calibri"/>
                <w:b/>
                <w:bCs/>
                <w:color w:val="000000"/>
                <w:sz w:val="20"/>
                <w:szCs w:val="20"/>
                <w:lang w:val="en-GB" w:eastAsia="en-GB"/>
              </w:rPr>
              <w:t>(0 inconsistencies across four waves)</w:t>
            </w:r>
          </w:p>
        </w:tc>
      </w:tr>
      <w:tr w:rsidR="004A0040" w:rsidRPr="003A6DFC" w14:paraId="014E6DD9" w14:textId="77777777" w:rsidTr="0069069C">
        <w:trPr>
          <w:trHeight w:val="288"/>
        </w:trPr>
        <w:tc>
          <w:tcPr>
            <w:tcW w:w="0" w:type="auto"/>
            <w:tcBorders>
              <w:top w:val="single" w:sz="4" w:space="0" w:color="auto"/>
            </w:tcBorders>
            <w:shd w:val="clear" w:color="auto" w:fill="auto"/>
            <w:noWrap/>
            <w:vAlign w:val="center"/>
          </w:tcPr>
          <w:p w14:paraId="31C35D07" w14:textId="77777777" w:rsidR="004A0040" w:rsidRPr="003A6DFC" w:rsidRDefault="004A0040" w:rsidP="0069069C">
            <w:pPr>
              <w:spacing w:after="0" w:line="240" w:lineRule="auto"/>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Log of the HH income</w:t>
            </w:r>
          </w:p>
        </w:tc>
        <w:tc>
          <w:tcPr>
            <w:tcW w:w="2396" w:type="dxa"/>
            <w:tcBorders>
              <w:top w:val="single" w:sz="4" w:space="0" w:color="auto"/>
            </w:tcBorders>
            <w:shd w:val="clear" w:color="auto" w:fill="auto"/>
            <w:noWrap/>
            <w:vAlign w:val="center"/>
          </w:tcPr>
          <w:p w14:paraId="2ED4A9B0"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0.518***</w:t>
            </w:r>
          </w:p>
          <w:p w14:paraId="2F7E9E1A"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(0.018)</w:t>
            </w:r>
          </w:p>
        </w:tc>
        <w:tc>
          <w:tcPr>
            <w:tcW w:w="2425" w:type="dxa"/>
            <w:tcBorders>
              <w:top w:val="single" w:sz="4" w:space="0" w:color="auto"/>
            </w:tcBorders>
            <w:shd w:val="clear" w:color="auto" w:fill="auto"/>
            <w:noWrap/>
            <w:vAlign w:val="center"/>
          </w:tcPr>
          <w:p w14:paraId="27842B21"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0.518***</w:t>
            </w:r>
          </w:p>
          <w:p w14:paraId="1477691B"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(0.018)</w:t>
            </w:r>
          </w:p>
        </w:tc>
        <w:tc>
          <w:tcPr>
            <w:tcW w:w="1561" w:type="dxa"/>
            <w:tcBorders>
              <w:top w:val="single" w:sz="4" w:space="0" w:color="auto"/>
            </w:tcBorders>
            <w:shd w:val="clear" w:color="auto" w:fill="auto"/>
            <w:noWrap/>
            <w:vAlign w:val="center"/>
          </w:tcPr>
          <w:p w14:paraId="4407FBA9"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w:t>
            </w:r>
          </w:p>
        </w:tc>
      </w:tr>
      <w:tr w:rsidR="004A0040" w:rsidRPr="003A6DFC" w14:paraId="15473F9D" w14:textId="77777777" w:rsidTr="0069069C">
        <w:trPr>
          <w:trHeight w:val="288"/>
        </w:trPr>
        <w:tc>
          <w:tcPr>
            <w:tcW w:w="0" w:type="auto"/>
            <w:tcBorders>
              <w:bottom w:val="single" w:sz="4" w:space="0" w:color="auto"/>
            </w:tcBorders>
            <w:shd w:val="clear" w:color="auto" w:fill="auto"/>
            <w:noWrap/>
            <w:vAlign w:val="center"/>
          </w:tcPr>
          <w:p w14:paraId="38D8BD14" w14:textId="77777777" w:rsidR="004A0040" w:rsidRPr="003A6DFC" w:rsidRDefault="004A0040" w:rsidP="0069069C">
            <w:pPr>
              <w:spacing w:after="0" w:line="240" w:lineRule="auto"/>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Sample size</w:t>
            </w:r>
          </w:p>
        </w:tc>
        <w:tc>
          <w:tcPr>
            <w:tcW w:w="4821" w:type="dxa"/>
            <w:gridSpan w:val="2"/>
            <w:tcBorders>
              <w:bottom w:val="single" w:sz="4" w:space="0" w:color="auto"/>
            </w:tcBorders>
            <w:shd w:val="clear" w:color="auto" w:fill="auto"/>
            <w:noWrap/>
            <w:vAlign w:val="center"/>
          </w:tcPr>
          <w:p w14:paraId="6DDA784A"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38,568</w:t>
            </w:r>
          </w:p>
        </w:tc>
        <w:tc>
          <w:tcPr>
            <w:tcW w:w="1561" w:type="dxa"/>
            <w:tcBorders>
              <w:bottom w:val="single" w:sz="4" w:space="0" w:color="auto"/>
            </w:tcBorders>
            <w:shd w:val="clear" w:color="auto" w:fill="auto"/>
            <w:noWrap/>
            <w:vAlign w:val="center"/>
          </w:tcPr>
          <w:p w14:paraId="714593E2"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p>
        </w:tc>
      </w:tr>
      <w:tr w:rsidR="004A0040" w:rsidRPr="003A6DFC" w14:paraId="299F209B" w14:textId="77777777" w:rsidTr="0069069C">
        <w:trPr>
          <w:trHeight w:val="288"/>
        </w:trPr>
        <w:tc>
          <w:tcPr>
            <w:tcW w:w="8613" w:type="dxa"/>
            <w:gridSpan w:val="4"/>
            <w:tcBorders>
              <w:top w:val="single" w:sz="4" w:space="0" w:color="auto"/>
              <w:bottom w:val="single" w:sz="4" w:space="0" w:color="auto"/>
            </w:tcBorders>
            <w:shd w:val="clear" w:color="auto" w:fill="auto"/>
            <w:noWrap/>
            <w:vAlign w:val="center"/>
          </w:tcPr>
          <w:p w14:paraId="69601CE9"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 xml:space="preserve">Panel C: Full sample excluding those always consistent </w:t>
            </w:r>
          </w:p>
          <w:p w14:paraId="2741FD4C"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(1-4 inconsistencies across four waves)</w:t>
            </w:r>
          </w:p>
        </w:tc>
      </w:tr>
      <w:tr w:rsidR="004A0040" w:rsidRPr="003A6DFC" w14:paraId="269521D7" w14:textId="77777777" w:rsidTr="0069069C">
        <w:trPr>
          <w:trHeight w:val="288"/>
        </w:trPr>
        <w:tc>
          <w:tcPr>
            <w:tcW w:w="0" w:type="auto"/>
            <w:tcBorders>
              <w:top w:val="single" w:sz="4" w:space="0" w:color="auto"/>
            </w:tcBorders>
            <w:shd w:val="clear" w:color="auto" w:fill="auto"/>
            <w:noWrap/>
            <w:vAlign w:val="center"/>
          </w:tcPr>
          <w:p w14:paraId="58B2A589"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color w:val="000000"/>
                <w:sz w:val="20"/>
                <w:szCs w:val="20"/>
                <w:lang w:val="en-GB" w:eastAsia="en-GB"/>
              </w:rPr>
              <w:t>Log of the HH income</w:t>
            </w:r>
          </w:p>
        </w:tc>
        <w:tc>
          <w:tcPr>
            <w:tcW w:w="2396" w:type="dxa"/>
            <w:tcBorders>
              <w:top w:val="single" w:sz="4" w:space="0" w:color="auto"/>
            </w:tcBorders>
            <w:shd w:val="clear" w:color="auto" w:fill="auto"/>
            <w:noWrap/>
            <w:vAlign w:val="center"/>
          </w:tcPr>
          <w:p w14:paraId="588560B2"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0.335***</w:t>
            </w:r>
          </w:p>
          <w:p w14:paraId="0FDB6409"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(0.013)</w:t>
            </w:r>
          </w:p>
        </w:tc>
        <w:tc>
          <w:tcPr>
            <w:tcW w:w="2425" w:type="dxa"/>
            <w:tcBorders>
              <w:top w:val="single" w:sz="4" w:space="0" w:color="auto"/>
            </w:tcBorders>
            <w:shd w:val="clear" w:color="auto" w:fill="auto"/>
            <w:noWrap/>
            <w:vAlign w:val="center"/>
          </w:tcPr>
          <w:p w14:paraId="6E9958CD"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0.338***</w:t>
            </w:r>
          </w:p>
          <w:p w14:paraId="0BF09EC5"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(0.013)</w:t>
            </w:r>
          </w:p>
        </w:tc>
        <w:tc>
          <w:tcPr>
            <w:tcW w:w="1561" w:type="dxa"/>
            <w:tcBorders>
              <w:top w:val="single" w:sz="4" w:space="0" w:color="auto"/>
            </w:tcBorders>
            <w:shd w:val="clear" w:color="auto" w:fill="auto"/>
            <w:noWrap/>
            <w:vAlign w:val="center"/>
          </w:tcPr>
          <w:p w14:paraId="2907AD6E"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0.575</w:t>
            </w:r>
          </w:p>
        </w:tc>
      </w:tr>
      <w:tr w:rsidR="004A0040" w:rsidRPr="003A6DFC" w14:paraId="2362743A" w14:textId="77777777" w:rsidTr="0069069C">
        <w:trPr>
          <w:trHeight w:val="288"/>
        </w:trPr>
        <w:tc>
          <w:tcPr>
            <w:tcW w:w="0" w:type="auto"/>
            <w:tcBorders>
              <w:bottom w:val="single" w:sz="4" w:space="0" w:color="auto"/>
            </w:tcBorders>
            <w:shd w:val="clear" w:color="auto" w:fill="auto"/>
            <w:noWrap/>
            <w:vAlign w:val="center"/>
          </w:tcPr>
          <w:p w14:paraId="423FF685" w14:textId="77777777" w:rsidR="004A0040" w:rsidRPr="003A6DFC" w:rsidRDefault="004A0040" w:rsidP="0069069C">
            <w:pPr>
              <w:spacing w:after="0" w:line="240" w:lineRule="auto"/>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Sample size</w:t>
            </w:r>
          </w:p>
        </w:tc>
        <w:tc>
          <w:tcPr>
            <w:tcW w:w="4821" w:type="dxa"/>
            <w:gridSpan w:val="2"/>
            <w:tcBorders>
              <w:bottom w:val="single" w:sz="4" w:space="0" w:color="auto"/>
            </w:tcBorders>
            <w:shd w:val="clear" w:color="auto" w:fill="auto"/>
            <w:noWrap/>
            <w:vAlign w:val="center"/>
          </w:tcPr>
          <w:p w14:paraId="2AE115BF"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52,032</w:t>
            </w:r>
          </w:p>
        </w:tc>
        <w:tc>
          <w:tcPr>
            <w:tcW w:w="1561" w:type="dxa"/>
            <w:tcBorders>
              <w:bottom w:val="single" w:sz="4" w:space="0" w:color="auto"/>
            </w:tcBorders>
            <w:shd w:val="clear" w:color="auto" w:fill="auto"/>
            <w:noWrap/>
            <w:vAlign w:val="center"/>
          </w:tcPr>
          <w:p w14:paraId="180C1A87" w14:textId="77777777" w:rsidR="004A0040" w:rsidRPr="003A6DFC" w:rsidRDefault="004A0040" w:rsidP="0069069C">
            <w:pPr>
              <w:spacing w:after="0" w:line="240" w:lineRule="auto"/>
              <w:jc w:val="center"/>
              <w:rPr>
                <w:rFonts w:ascii="Century" w:hAnsi="Century" w:cs="Calibri"/>
                <w:color w:val="000000"/>
                <w:sz w:val="20"/>
                <w:szCs w:val="20"/>
              </w:rPr>
            </w:pPr>
          </w:p>
        </w:tc>
      </w:tr>
      <w:tr w:rsidR="004A0040" w:rsidRPr="003A6DFC" w14:paraId="0F866B87" w14:textId="77777777" w:rsidTr="0069069C">
        <w:trPr>
          <w:trHeight w:val="288"/>
        </w:trPr>
        <w:tc>
          <w:tcPr>
            <w:tcW w:w="8613" w:type="dxa"/>
            <w:gridSpan w:val="4"/>
            <w:tcBorders>
              <w:top w:val="single" w:sz="4" w:space="0" w:color="auto"/>
              <w:bottom w:val="single" w:sz="4" w:space="0" w:color="auto"/>
            </w:tcBorders>
            <w:shd w:val="clear" w:color="auto" w:fill="auto"/>
            <w:noWrap/>
            <w:vAlign w:val="center"/>
          </w:tcPr>
          <w:p w14:paraId="13119DFB"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Panel D: Inconsistent responses in 1 or 2 out of four waves in total</w:t>
            </w:r>
          </w:p>
          <w:p w14:paraId="25E64F8C"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w:t>
            </w:r>
            <w:proofErr w:type="gramStart"/>
            <w:r w:rsidRPr="003A6DFC">
              <w:rPr>
                <w:rFonts w:ascii="Century" w:eastAsia="Times New Roman" w:hAnsi="Century" w:cs="Calibri"/>
                <w:b/>
                <w:bCs/>
                <w:color w:val="000000"/>
                <w:sz w:val="20"/>
                <w:szCs w:val="20"/>
                <w:lang w:val="en-GB" w:eastAsia="en-GB"/>
              </w:rPr>
              <w:t>mostly</w:t>
            </w:r>
            <w:proofErr w:type="gramEnd"/>
            <w:r w:rsidRPr="003A6DFC">
              <w:rPr>
                <w:rFonts w:ascii="Century" w:eastAsia="Times New Roman" w:hAnsi="Century" w:cs="Calibri"/>
                <w:b/>
                <w:bCs/>
                <w:color w:val="000000"/>
                <w:sz w:val="20"/>
                <w:szCs w:val="20"/>
                <w:lang w:val="en-GB" w:eastAsia="en-GB"/>
              </w:rPr>
              <w:t xml:space="preserve"> consistent and moderately inconsistent)</w:t>
            </w:r>
          </w:p>
        </w:tc>
      </w:tr>
      <w:tr w:rsidR="004A0040" w:rsidRPr="003A6DFC" w14:paraId="69539100" w14:textId="77777777" w:rsidTr="0069069C">
        <w:trPr>
          <w:trHeight w:val="288"/>
        </w:trPr>
        <w:tc>
          <w:tcPr>
            <w:tcW w:w="0" w:type="auto"/>
            <w:tcBorders>
              <w:top w:val="single" w:sz="4" w:space="0" w:color="auto"/>
            </w:tcBorders>
            <w:shd w:val="clear" w:color="auto" w:fill="auto"/>
            <w:noWrap/>
            <w:vAlign w:val="center"/>
          </w:tcPr>
          <w:p w14:paraId="32D7E054" w14:textId="77777777" w:rsidR="004A0040" w:rsidRPr="003A6DFC" w:rsidRDefault="004A0040" w:rsidP="0069069C">
            <w:pPr>
              <w:spacing w:after="0" w:line="240" w:lineRule="auto"/>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Log of the HH income</w:t>
            </w:r>
          </w:p>
        </w:tc>
        <w:tc>
          <w:tcPr>
            <w:tcW w:w="2396" w:type="dxa"/>
            <w:tcBorders>
              <w:top w:val="single" w:sz="4" w:space="0" w:color="auto"/>
            </w:tcBorders>
            <w:shd w:val="clear" w:color="auto" w:fill="auto"/>
            <w:noWrap/>
            <w:vAlign w:val="center"/>
          </w:tcPr>
          <w:p w14:paraId="1EC5B888"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0.347***</w:t>
            </w:r>
          </w:p>
          <w:p w14:paraId="2244EDDC"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hAnsi="Century" w:cs="Calibri"/>
                <w:color w:val="000000"/>
                <w:sz w:val="20"/>
                <w:szCs w:val="20"/>
              </w:rPr>
              <w:t>(0.014)</w:t>
            </w:r>
          </w:p>
        </w:tc>
        <w:tc>
          <w:tcPr>
            <w:tcW w:w="2425" w:type="dxa"/>
            <w:tcBorders>
              <w:top w:val="single" w:sz="4" w:space="0" w:color="auto"/>
            </w:tcBorders>
            <w:shd w:val="clear" w:color="auto" w:fill="auto"/>
            <w:noWrap/>
            <w:vAlign w:val="center"/>
          </w:tcPr>
          <w:p w14:paraId="4965CA18"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0.347***</w:t>
            </w:r>
          </w:p>
          <w:p w14:paraId="6106C4E5"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hAnsi="Century" w:cs="Calibri"/>
                <w:color w:val="000000"/>
                <w:sz w:val="20"/>
                <w:szCs w:val="20"/>
              </w:rPr>
              <w:t xml:space="preserve">(0.014) </w:t>
            </w:r>
          </w:p>
        </w:tc>
        <w:tc>
          <w:tcPr>
            <w:tcW w:w="1561" w:type="dxa"/>
            <w:tcBorders>
              <w:top w:val="single" w:sz="4" w:space="0" w:color="auto"/>
            </w:tcBorders>
            <w:shd w:val="clear" w:color="auto" w:fill="auto"/>
            <w:noWrap/>
            <w:vAlign w:val="center"/>
          </w:tcPr>
          <w:p w14:paraId="5BBC7EA6" w14:textId="77777777" w:rsidR="004A0040" w:rsidRPr="003A6DFC" w:rsidRDefault="004A0040" w:rsidP="0069069C">
            <w:pPr>
              <w:spacing w:after="0" w:line="240" w:lineRule="auto"/>
              <w:jc w:val="center"/>
              <w:rPr>
                <w:rFonts w:ascii="Century" w:hAnsi="Century" w:cs="Calibri"/>
                <w:color w:val="000000"/>
                <w:sz w:val="20"/>
                <w:szCs w:val="20"/>
              </w:rPr>
            </w:pPr>
            <w:r w:rsidRPr="003A6DFC">
              <w:rPr>
                <w:rFonts w:ascii="Century" w:hAnsi="Century" w:cs="Calibri"/>
                <w:color w:val="000000"/>
                <w:sz w:val="20"/>
                <w:szCs w:val="20"/>
              </w:rPr>
              <w:t>0.926</w:t>
            </w:r>
          </w:p>
        </w:tc>
      </w:tr>
      <w:tr w:rsidR="004A0040" w:rsidRPr="003A6DFC" w14:paraId="188C1A02" w14:textId="77777777" w:rsidTr="0069069C">
        <w:trPr>
          <w:trHeight w:val="288"/>
        </w:trPr>
        <w:tc>
          <w:tcPr>
            <w:tcW w:w="0" w:type="auto"/>
            <w:tcBorders>
              <w:bottom w:val="single" w:sz="4" w:space="0" w:color="auto"/>
            </w:tcBorders>
            <w:shd w:val="clear" w:color="auto" w:fill="auto"/>
            <w:noWrap/>
            <w:vAlign w:val="center"/>
          </w:tcPr>
          <w:p w14:paraId="45EEA004" w14:textId="77777777" w:rsidR="004A0040" w:rsidRPr="003A6DFC" w:rsidRDefault="004A0040" w:rsidP="0069069C">
            <w:pPr>
              <w:spacing w:after="0" w:line="240" w:lineRule="auto"/>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Sample size</w:t>
            </w:r>
          </w:p>
        </w:tc>
        <w:tc>
          <w:tcPr>
            <w:tcW w:w="4821" w:type="dxa"/>
            <w:gridSpan w:val="2"/>
            <w:tcBorders>
              <w:bottom w:val="single" w:sz="4" w:space="0" w:color="auto"/>
            </w:tcBorders>
            <w:shd w:val="clear" w:color="auto" w:fill="auto"/>
            <w:noWrap/>
            <w:vAlign w:val="center"/>
          </w:tcPr>
          <w:p w14:paraId="6E7D8C52"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hAnsi="Century" w:cs="Calibri"/>
                <w:color w:val="000000"/>
                <w:sz w:val="20"/>
                <w:szCs w:val="20"/>
              </w:rPr>
              <w:t>46,988</w:t>
            </w:r>
          </w:p>
        </w:tc>
        <w:tc>
          <w:tcPr>
            <w:tcW w:w="1561" w:type="dxa"/>
            <w:tcBorders>
              <w:bottom w:val="single" w:sz="4" w:space="0" w:color="auto"/>
            </w:tcBorders>
            <w:shd w:val="clear" w:color="auto" w:fill="auto"/>
            <w:noWrap/>
            <w:vAlign w:val="center"/>
          </w:tcPr>
          <w:p w14:paraId="617D21F2" w14:textId="77777777" w:rsidR="004A0040" w:rsidRPr="003A6DFC" w:rsidRDefault="004A0040" w:rsidP="0069069C">
            <w:pPr>
              <w:spacing w:after="0" w:line="240" w:lineRule="auto"/>
              <w:jc w:val="center"/>
              <w:rPr>
                <w:rFonts w:ascii="Century" w:hAnsi="Century" w:cs="Calibri"/>
                <w:color w:val="000000"/>
                <w:sz w:val="20"/>
                <w:szCs w:val="20"/>
              </w:rPr>
            </w:pPr>
          </w:p>
        </w:tc>
      </w:tr>
      <w:tr w:rsidR="004A0040" w:rsidRPr="003A6DFC" w14:paraId="3DE86758" w14:textId="77777777" w:rsidTr="0069069C">
        <w:trPr>
          <w:trHeight w:val="288"/>
        </w:trPr>
        <w:tc>
          <w:tcPr>
            <w:tcW w:w="8613" w:type="dxa"/>
            <w:gridSpan w:val="4"/>
            <w:tcBorders>
              <w:top w:val="single" w:sz="4" w:space="0" w:color="auto"/>
              <w:bottom w:val="single" w:sz="4" w:space="0" w:color="auto"/>
            </w:tcBorders>
            <w:shd w:val="clear" w:color="auto" w:fill="auto"/>
            <w:noWrap/>
            <w:vAlign w:val="center"/>
          </w:tcPr>
          <w:p w14:paraId="51CE7114"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Panel E: Inconsistent responses in 3 or 4 out of four waves in total</w:t>
            </w:r>
          </w:p>
          <w:p w14:paraId="77D4E880"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b/>
                <w:bCs/>
                <w:color w:val="000000"/>
                <w:sz w:val="20"/>
                <w:szCs w:val="20"/>
                <w:lang w:val="en-GB" w:eastAsia="en-GB"/>
              </w:rPr>
              <w:t>(</w:t>
            </w:r>
            <w:proofErr w:type="gramStart"/>
            <w:r w:rsidRPr="003A6DFC">
              <w:rPr>
                <w:rFonts w:ascii="Century" w:eastAsia="Times New Roman" w:hAnsi="Century" w:cs="Calibri"/>
                <w:b/>
                <w:bCs/>
                <w:color w:val="000000"/>
                <w:sz w:val="20"/>
                <w:szCs w:val="20"/>
                <w:lang w:val="en-GB" w:eastAsia="en-GB"/>
              </w:rPr>
              <w:t>mostly</w:t>
            </w:r>
            <w:proofErr w:type="gramEnd"/>
            <w:r w:rsidRPr="003A6DFC">
              <w:rPr>
                <w:rFonts w:ascii="Century" w:eastAsia="Times New Roman" w:hAnsi="Century" w:cs="Calibri"/>
                <w:b/>
                <w:bCs/>
                <w:color w:val="000000"/>
                <w:sz w:val="20"/>
                <w:szCs w:val="20"/>
                <w:lang w:val="en-GB" w:eastAsia="en-GB"/>
              </w:rPr>
              <w:t xml:space="preserve"> inconsistent / always inconsistent)</w:t>
            </w:r>
          </w:p>
        </w:tc>
      </w:tr>
      <w:tr w:rsidR="004A0040" w:rsidRPr="003A6DFC" w14:paraId="33425D1E" w14:textId="77777777" w:rsidTr="0069069C">
        <w:trPr>
          <w:trHeight w:val="288"/>
        </w:trPr>
        <w:tc>
          <w:tcPr>
            <w:tcW w:w="0" w:type="auto"/>
            <w:tcBorders>
              <w:top w:val="single" w:sz="4" w:space="0" w:color="auto"/>
            </w:tcBorders>
            <w:shd w:val="clear" w:color="auto" w:fill="auto"/>
            <w:noWrap/>
            <w:vAlign w:val="center"/>
          </w:tcPr>
          <w:p w14:paraId="17D163BA"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color w:val="000000"/>
                <w:sz w:val="20"/>
                <w:szCs w:val="20"/>
                <w:lang w:val="en-GB" w:eastAsia="en-GB"/>
              </w:rPr>
              <w:t>Log of the HH income</w:t>
            </w:r>
          </w:p>
        </w:tc>
        <w:tc>
          <w:tcPr>
            <w:tcW w:w="2396" w:type="dxa"/>
            <w:tcBorders>
              <w:top w:val="single" w:sz="4" w:space="0" w:color="auto"/>
            </w:tcBorders>
            <w:shd w:val="clear" w:color="auto" w:fill="auto"/>
            <w:noWrap/>
            <w:vAlign w:val="bottom"/>
          </w:tcPr>
          <w:p w14:paraId="56EB985B"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hAnsi="Century" w:cs="Calibri"/>
                <w:color w:val="000000"/>
                <w:sz w:val="20"/>
                <w:szCs w:val="20"/>
              </w:rPr>
              <w:t>0.214***</w:t>
            </w:r>
          </w:p>
          <w:p w14:paraId="2740C755"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hAnsi="Century" w:cs="Calibri"/>
                <w:color w:val="000000"/>
                <w:sz w:val="20"/>
                <w:szCs w:val="20"/>
              </w:rPr>
              <w:t>(0.040)</w:t>
            </w:r>
          </w:p>
        </w:tc>
        <w:tc>
          <w:tcPr>
            <w:tcW w:w="2425" w:type="dxa"/>
            <w:tcBorders>
              <w:top w:val="single" w:sz="4" w:space="0" w:color="auto"/>
            </w:tcBorders>
            <w:shd w:val="clear" w:color="auto" w:fill="auto"/>
            <w:noWrap/>
            <w:vAlign w:val="bottom"/>
          </w:tcPr>
          <w:p w14:paraId="7B2BCD69"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hAnsi="Century" w:cs="Calibri"/>
                <w:color w:val="000000"/>
                <w:sz w:val="20"/>
                <w:szCs w:val="20"/>
              </w:rPr>
              <w:t>0.269***</w:t>
            </w:r>
          </w:p>
          <w:p w14:paraId="5A742490"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hAnsi="Century" w:cs="Calibri"/>
                <w:color w:val="000000"/>
                <w:sz w:val="20"/>
                <w:szCs w:val="20"/>
              </w:rPr>
              <w:t>(0.036)</w:t>
            </w:r>
          </w:p>
        </w:tc>
        <w:tc>
          <w:tcPr>
            <w:tcW w:w="1561" w:type="dxa"/>
            <w:tcBorders>
              <w:top w:val="single" w:sz="4" w:space="0" w:color="auto"/>
            </w:tcBorders>
            <w:shd w:val="clear" w:color="auto" w:fill="auto"/>
            <w:noWrap/>
            <w:vAlign w:val="bottom"/>
          </w:tcPr>
          <w:p w14:paraId="34AB860C" w14:textId="77777777" w:rsidR="004A0040" w:rsidRPr="003A6DFC" w:rsidRDefault="004A0040" w:rsidP="0069069C">
            <w:pPr>
              <w:spacing w:after="0" w:line="240" w:lineRule="auto"/>
              <w:jc w:val="center"/>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0.123</w:t>
            </w:r>
          </w:p>
        </w:tc>
      </w:tr>
      <w:tr w:rsidR="004A0040" w:rsidRPr="003A6DFC" w14:paraId="25FFAE3F" w14:textId="77777777" w:rsidTr="0069069C">
        <w:trPr>
          <w:trHeight w:val="288"/>
        </w:trPr>
        <w:tc>
          <w:tcPr>
            <w:tcW w:w="0" w:type="auto"/>
            <w:tcBorders>
              <w:bottom w:val="single" w:sz="4" w:space="0" w:color="auto"/>
            </w:tcBorders>
            <w:shd w:val="clear" w:color="auto" w:fill="auto"/>
            <w:noWrap/>
            <w:vAlign w:val="center"/>
          </w:tcPr>
          <w:p w14:paraId="13FB0AD0" w14:textId="77777777" w:rsidR="004A0040" w:rsidRPr="003A6DFC" w:rsidRDefault="004A0040" w:rsidP="0069069C">
            <w:pPr>
              <w:spacing w:after="0" w:line="240" w:lineRule="auto"/>
              <w:rPr>
                <w:rFonts w:ascii="Century" w:eastAsia="Times New Roman" w:hAnsi="Century" w:cs="Calibri"/>
                <w:b/>
                <w:bCs/>
                <w:color w:val="000000"/>
                <w:sz w:val="20"/>
                <w:szCs w:val="20"/>
                <w:lang w:val="en-GB" w:eastAsia="en-GB"/>
              </w:rPr>
            </w:pPr>
            <w:r w:rsidRPr="003A6DFC">
              <w:rPr>
                <w:rFonts w:ascii="Century" w:eastAsia="Times New Roman" w:hAnsi="Century" w:cs="Calibri"/>
                <w:color w:val="000000"/>
                <w:sz w:val="20"/>
                <w:szCs w:val="20"/>
                <w:lang w:val="en-GB" w:eastAsia="en-GB"/>
              </w:rPr>
              <w:t>Sample size</w:t>
            </w:r>
          </w:p>
        </w:tc>
        <w:tc>
          <w:tcPr>
            <w:tcW w:w="4821" w:type="dxa"/>
            <w:gridSpan w:val="2"/>
            <w:tcBorders>
              <w:bottom w:val="single" w:sz="4" w:space="0" w:color="auto"/>
            </w:tcBorders>
            <w:shd w:val="clear" w:color="auto" w:fill="auto"/>
            <w:noWrap/>
            <w:vAlign w:val="bottom"/>
          </w:tcPr>
          <w:p w14:paraId="20DA88E8"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r w:rsidRPr="003A6DFC">
              <w:rPr>
                <w:rFonts w:ascii="Century" w:hAnsi="Century" w:cs="Calibri"/>
                <w:color w:val="000000"/>
                <w:sz w:val="20"/>
                <w:szCs w:val="20"/>
              </w:rPr>
              <w:t>5,044</w:t>
            </w:r>
          </w:p>
        </w:tc>
        <w:tc>
          <w:tcPr>
            <w:tcW w:w="1561" w:type="dxa"/>
            <w:tcBorders>
              <w:bottom w:val="single" w:sz="4" w:space="0" w:color="auto"/>
            </w:tcBorders>
            <w:shd w:val="clear" w:color="auto" w:fill="auto"/>
            <w:noWrap/>
            <w:vAlign w:val="bottom"/>
          </w:tcPr>
          <w:p w14:paraId="7AC300B9" w14:textId="77777777" w:rsidR="004A0040" w:rsidRPr="003A6DFC" w:rsidRDefault="004A0040" w:rsidP="0069069C">
            <w:pPr>
              <w:spacing w:after="0" w:line="240" w:lineRule="auto"/>
              <w:jc w:val="center"/>
              <w:rPr>
                <w:rFonts w:ascii="Century" w:eastAsia="Times New Roman" w:hAnsi="Century" w:cs="Calibri"/>
                <w:b/>
                <w:bCs/>
                <w:color w:val="000000"/>
                <w:sz w:val="20"/>
                <w:szCs w:val="20"/>
                <w:lang w:val="en-GB" w:eastAsia="en-GB"/>
              </w:rPr>
            </w:pPr>
          </w:p>
        </w:tc>
      </w:tr>
      <w:tr w:rsidR="004A0040" w:rsidRPr="003A6DFC" w14:paraId="0BB30839" w14:textId="77777777" w:rsidTr="0069069C">
        <w:trPr>
          <w:trHeight w:val="288"/>
        </w:trPr>
        <w:tc>
          <w:tcPr>
            <w:tcW w:w="8613" w:type="dxa"/>
            <w:gridSpan w:val="4"/>
            <w:tcBorders>
              <w:top w:val="single" w:sz="4" w:space="0" w:color="auto"/>
            </w:tcBorders>
            <w:shd w:val="clear" w:color="auto" w:fill="auto"/>
            <w:noWrap/>
            <w:vAlign w:val="center"/>
          </w:tcPr>
          <w:p w14:paraId="5CCC763C" w14:textId="24AAB7D6" w:rsidR="004A0040" w:rsidRPr="003A6DFC" w:rsidRDefault="004A0040" w:rsidP="0069069C">
            <w:pPr>
              <w:spacing w:after="0" w:line="240" w:lineRule="auto"/>
              <w:jc w:val="both"/>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 xml:space="preserve">Notes: Pooled OLS </w:t>
            </w:r>
            <w:r w:rsidR="00445CD9" w:rsidRPr="003A6DFC">
              <w:rPr>
                <w:rFonts w:ascii="Century" w:eastAsia="Times New Roman" w:hAnsi="Century" w:cs="Calibri"/>
                <w:color w:val="000000"/>
                <w:sz w:val="20"/>
                <w:szCs w:val="20"/>
                <w:lang w:val="en-GB" w:eastAsia="en-GB"/>
              </w:rPr>
              <w:t>estimation</w:t>
            </w:r>
            <w:r w:rsidRPr="003A6DFC">
              <w:rPr>
                <w:rFonts w:ascii="Century" w:eastAsia="Times New Roman" w:hAnsi="Century" w:cs="Calibri"/>
                <w:color w:val="000000"/>
                <w:sz w:val="20"/>
                <w:szCs w:val="20"/>
                <w:lang w:val="en-GB" w:eastAsia="en-GB"/>
              </w:rPr>
              <w:t xml:space="preserve"> account</w:t>
            </w:r>
            <w:r w:rsidR="00445CD9" w:rsidRPr="003A6DFC">
              <w:rPr>
                <w:rFonts w:ascii="Century" w:eastAsia="Times New Roman" w:hAnsi="Century" w:cs="Calibri"/>
                <w:color w:val="000000"/>
                <w:sz w:val="20"/>
                <w:szCs w:val="20"/>
                <w:lang w:val="en-GB" w:eastAsia="en-GB"/>
              </w:rPr>
              <w:t>s</w:t>
            </w:r>
            <w:r w:rsidRPr="003A6DFC">
              <w:rPr>
                <w:rFonts w:ascii="Century" w:eastAsia="Times New Roman" w:hAnsi="Century" w:cs="Calibri"/>
                <w:color w:val="000000"/>
                <w:sz w:val="20"/>
                <w:szCs w:val="20"/>
                <w:lang w:val="en-GB" w:eastAsia="en-GB"/>
              </w:rPr>
              <w:t xml:space="preserve"> for wave fixed effects,</w:t>
            </w:r>
            <w:r w:rsidR="008F1CE3" w:rsidRPr="003A6DFC">
              <w:rPr>
                <w:rFonts w:ascii="Century" w:eastAsia="Times New Roman" w:hAnsi="Century" w:cs="Calibri"/>
                <w:color w:val="000000"/>
                <w:sz w:val="20"/>
                <w:szCs w:val="20"/>
                <w:lang w:val="en-GB" w:eastAsia="en-GB"/>
              </w:rPr>
              <w:t xml:space="preserve"> </w:t>
            </w:r>
            <w:r w:rsidRPr="003A6DFC">
              <w:rPr>
                <w:rFonts w:ascii="Century" w:eastAsia="Times New Roman" w:hAnsi="Century" w:cs="Calibri"/>
                <w:color w:val="000000"/>
                <w:sz w:val="20"/>
                <w:szCs w:val="20"/>
                <w:lang w:val="en-GB" w:eastAsia="en-GB"/>
              </w:rPr>
              <w:t>gender</w:t>
            </w:r>
            <w:r w:rsidR="00C24EDF" w:rsidRPr="003A6DFC">
              <w:rPr>
                <w:rFonts w:ascii="Century" w:eastAsia="Times New Roman" w:hAnsi="Century" w:cs="Calibri"/>
                <w:color w:val="000000"/>
                <w:sz w:val="20"/>
                <w:szCs w:val="20"/>
                <w:lang w:val="en-GB" w:eastAsia="en-GB"/>
              </w:rPr>
              <w:t xml:space="preserve"> (female as reference category)</w:t>
            </w:r>
            <w:r w:rsidRPr="003A6DFC">
              <w:rPr>
                <w:rFonts w:ascii="Century" w:eastAsia="Times New Roman" w:hAnsi="Century" w:cs="Calibri"/>
                <w:color w:val="000000"/>
                <w:sz w:val="20"/>
                <w:szCs w:val="20"/>
                <w:lang w:val="en-GB" w:eastAsia="en-GB"/>
              </w:rPr>
              <w:t xml:space="preserve"> and age dummies</w:t>
            </w:r>
            <w:r w:rsidR="00C24EDF" w:rsidRPr="003A6DFC">
              <w:rPr>
                <w:rFonts w:ascii="Century" w:eastAsia="Times New Roman" w:hAnsi="Century" w:cs="Calibri"/>
                <w:color w:val="000000"/>
                <w:sz w:val="20"/>
                <w:szCs w:val="20"/>
                <w:lang w:val="en-GB" w:eastAsia="en-GB"/>
              </w:rPr>
              <w:t xml:space="preserve"> (age 16-25 as reference category)</w:t>
            </w:r>
            <w:r w:rsidRPr="003A6DFC">
              <w:rPr>
                <w:rFonts w:ascii="Century" w:eastAsia="Times New Roman" w:hAnsi="Century" w:cs="Calibri"/>
                <w:color w:val="000000"/>
                <w:sz w:val="20"/>
                <w:szCs w:val="20"/>
                <w:lang w:val="en-GB" w:eastAsia="en-GB"/>
              </w:rPr>
              <w:t>.</w:t>
            </w:r>
            <w:r w:rsidR="00C24EDF" w:rsidRPr="003A6DFC">
              <w:rPr>
                <w:rFonts w:ascii="Century" w:eastAsia="Times New Roman" w:hAnsi="Century" w:cs="Calibri"/>
                <w:color w:val="000000"/>
                <w:sz w:val="20"/>
                <w:szCs w:val="20"/>
                <w:lang w:val="en-GB" w:eastAsia="en-GB"/>
              </w:rPr>
              <w:t xml:space="preserve"> </w:t>
            </w:r>
            <w:r w:rsidRPr="003A6DFC">
              <w:rPr>
                <w:rFonts w:ascii="Century" w:eastAsia="Times New Roman" w:hAnsi="Century" w:cs="Calibri"/>
                <w:color w:val="000000"/>
                <w:sz w:val="20"/>
                <w:szCs w:val="20"/>
                <w:lang w:val="en-GB" w:eastAsia="en-GB"/>
              </w:rPr>
              <w:t xml:space="preserve">Standard errors (SE) are clustered at individual level. The balanced sample is used for estimation. Higher SAH values indicate a better health state. </w:t>
            </w:r>
          </w:p>
          <w:p w14:paraId="2AE0C359" w14:textId="77777777" w:rsidR="004A0040" w:rsidRPr="003A6DFC" w:rsidRDefault="004A0040" w:rsidP="0069069C">
            <w:pPr>
              <w:spacing w:after="0" w:line="240" w:lineRule="auto"/>
              <w:jc w:val="both"/>
              <w:rPr>
                <w:rFonts w:ascii="Century" w:eastAsia="Times New Roman" w:hAnsi="Century" w:cs="Calibri"/>
                <w:color w:val="000000"/>
                <w:sz w:val="20"/>
                <w:szCs w:val="20"/>
                <w:lang w:val="en-GB" w:eastAsia="en-GB"/>
              </w:rPr>
            </w:pPr>
            <w:r w:rsidRPr="003A6DFC">
              <w:rPr>
                <w:rFonts w:ascii="Century" w:eastAsia="Times New Roman" w:hAnsi="Century" w:cs="Calibri"/>
                <w:color w:val="000000"/>
                <w:sz w:val="20"/>
                <w:szCs w:val="20"/>
                <w:lang w:val="en-GB" w:eastAsia="en-GB"/>
              </w:rPr>
              <w:t>* p&lt;0.10, ** p&lt;0.05, *** p&lt;0.01</w:t>
            </w:r>
          </w:p>
        </w:tc>
      </w:tr>
    </w:tbl>
    <w:p w14:paraId="7308899E" w14:textId="5DFE475C" w:rsidR="00C050EE" w:rsidRPr="003A6DFC" w:rsidRDefault="00C050EE" w:rsidP="00156098">
      <w:pPr>
        <w:spacing w:after="0" w:line="360" w:lineRule="auto"/>
        <w:jc w:val="both"/>
        <w:rPr>
          <w:rFonts w:ascii="Century" w:hAnsi="Century" w:cs="Times New Roman"/>
          <w:bCs/>
        </w:rPr>
      </w:pPr>
    </w:p>
    <w:p w14:paraId="4784F972" w14:textId="445B4D8E" w:rsidR="005038C1" w:rsidRPr="003A6DFC" w:rsidRDefault="005038C1" w:rsidP="00E67454">
      <w:pPr>
        <w:spacing w:after="0" w:line="360" w:lineRule="auto"/>
        <w:ind w:firstLine="708"/>
        <w:jc w:val="both"/>
        <w:rPr>
          <w:rFonts w:ascii="Century" w:hAnsi="Century" w:cs="Times New Roman"/>
          <w:bCs/>
          <w:lang w:val="en-GB"/>
        </w:rPr>
      </w:pPr>
      <w:r w:rsidRPr="003A6DFC">
        <w:rPr>
          <w:rFonts w:ascii="Century" w:hAnsi="Century" w:cs="Times New Roman"/>
          <w:bCs/>
          <w:lang w:val="en-GB"/>
        </w:rPr>
        <w:t>Our results from the models on reporting inconsistency in SAH shows that income is a statistically significant correlate, which may suggest the presence of a systematic correlation between inconsistency reporting to SAH questions and income, our explanatory covariate of interest; in this case, if drawing from the measurement error literature, the relevant OLS estimates may be biased and inconsistent. A closer look to the results from Table 6 show that as moving from Panel B to Panel E, there is a stronger absolute correlation between reporting inconsistencies and income as we increasingly focus on sub-samples that report SAH inconsistently. The observed decline in the magnitude of the income coefficients between Panel B and Panel E suggest that there is an under-estimation of the income-health gradient to what would have been observed if focusing only to those who reported SAH with consistency.</w:t>
      </w:r>
    </w:p>
    <w:p w14:paraId="18480CD7" w14:textId="77777777" w:rsidR="00C25A0E" w:rsidRPr="003A6DFC" w:rsidRDefault="00C25A0E" w:rsidP="00FF66D5">
      <w:pPr>
        <w:spacing w:after="0" w:line="360" w:lineRule="auto"/>
        <w:ind w:firstLine="709"/>
        <w:jc w:val="both"/>
        <w:rPr>
          <w:rFonts w:ascii="Century" w:hAnsi="Century" w:cs="Times New Roman"/>
          <w:bCs/>
          <w:lang w:val="en-GB"/>
        </w:rPr>
      </w:pPr>
    </w:p>
    <w:p w14:paraId="1ADFDC78" w14:textId="437AAD31" w:rsidR="00A86B4E" w:rsidRPr="003A6DFC" w:rsidRDefault="00F62DF2" w:rsidP="00F62DF2">
      <w:pPr>
        <w:spacing w:after="0" w:line="240" w:lineRule="auto"/>
        <w:jc w:val="both"/>
        <w:rPr>
          <w:rFonts w:ascii="Century" w:hAnsi="Century" w:cs="Times New Roman"/>
          <w:b/>
          <w:sz w:val="32"/>
          <w:szCs w:val="32"/>
          <w:lang w:val="en-GB"/>
        </w:rPr>
      </w:pPr>
      <w:r w:rsidRPr="003A6DFC">
        <w:rPr>
          <w:rFonts w:ascii="Century" w:hAnsi="Century" w:cs="Times New Roman"/>
          <w:b/>
          <w:sz w:val="32"/>
          <w:szCs w:val="32"/>
          <w:lang w:val="en-GB"/>
        </w:rPr>
        <w:t xml:space="preserve">5.4 </w:t>
      </w:r>
      <w:r w:rsidR="001F3832" w:rsidRPr="003A6DFC">
        <w:rPr>
          <w:rFonts w:ascii="Century" w:hAnsi="Century" w:cs="Times New Roman"/>
          <w:b/>
          <w:sz w:val="32"/>
          <w:szCs w:val="32"/>
          <w:lang w:val="en-GB"/>
        </w:rPr>
        <w:t xml:space="preserve">The association between biomarkers and SAH </w:t>
      </w:r>
      <w:r w:rsidR="00A86B4E" w:rsidRPr="003A6DFC">
        <w:rPr>
          <w:rFonts w:ascii="Century" w:hAnsi="Century" w:cs="Times New Roman"/>
          <w:b/>
          <w:sz w:val="32"/>
          <w:szCs w:val="32"/>
          <w:lang w:val="en-GB"/>
        </w:rPr>
        <w:t xml:space="preserve"> </w:t>
      </w:r>
    </w:p>
    <w:p w14:paraId="06D4ADEA" w14:textId="77777777" w:rsidR="00A86B4E" w:rsidRPr="003A6DFC" w:rsidRDefault="00A86B4E" w:rsidP="00F62DF2">
      <w:pPr>
        <w:spacing w:after="0" w:line="240" w:lineRule="auto"/>
        <w:jc w:val="both"/>
        <w:rPr>
          <w:rFonts w:ascii="Century" w:hAnsi="Century" w:cs="Times New Roman"/>
          <w:b/>
          <w:sz w:val="32"/>
          <w:szCs w:val="32"/>
          <w:lang w:val="en-GB"/>
        </w:rPr>
      </w:pPr>
    </w:p>
    <w:p w14:paraId="7D0FEC2F" w14:textId="0A840B07" w:rsidR="00CF70E2" w:rsidRPr="003A6DFC" w:rsidRDefault="00A86B4E" w:rsidP="001F3832">
      <w:pPr>
        <w:spacing w:after="0" w:line="360" w:lineRule="auto"/>
        <w:jc w:val="both"/>
        <w:rPr>
          <w:rFonts w:ascii="Century" w:hAnsi="Century" w:cs="Times New Roman"/>
          <w:bCs/>
          <w:lang w:val="en-GB"/>
        </w:rPr>
      </w:pPr>
      <w:r w:rsidRPr="003A6DFC">
        <w:rPr>
          <w:rFonts w:ascii="Century" w:hAnsi="Century" w:cs="Times New Roman"/>
          <w:bCs/>
          <w:lang w:val="en-GB"/>
        </w:rPr>
        <w:t xml:space="preserve">Figure 4 presents the coefficient estimates </w:t>
      </w:r>
      <w:r w:rsidR="001F3832" w:rsidRPr="003A6DFC">
        <w:rPr>
          <w:rFonts w:ascii="Century" w:hAnsi="Century" w:cs="Times New Roman"/>
          <w:bCs/>
          <w:lang w:val="en-GB"/>
        </w:rPr>
        <w:t>for</w:t>
      </w:r>
      <w:r w:rsidRPr="003A6DFC">
        <w:rPr>
          <w:rFonts w:ascii="Century" w:hAnsi="Century" w:cs="Times New Roman"/>
          <w:bCs/>
          <w:lang w:val="en-GB"/>
        </w:rPr>
        <w:t xml:space="preserve"> each of the biomarkers</w:t>
      </w:r>
      <w:r w:rsidR="00E51B96" w:rsidRPr="003A6DFC">
        <w:rPr>
          <w:rFonts w:ascii="Century" w:hAnsi="Century" w:cs="Times New Roman"/>
          <w:bCs/>
          <w:lang w:val="en-GB"/>
        </w:rPr>
        <w:t xml:space="preserve"> and </w:t>
      </w:r>
      <w:r w:rsidR="001F3832" w:rsidRPr="003A6DFC">
        <w:rPr>
          <w:rFonts w:ascii="Century" w:hAnsi="Century" w:cs="Times New Roman"/>
          <w:bCs/>
          <w:lang w:val="en-GB"/>
        </w:rPr>
        <w:t xml:space="preserve">for </w:t>
      </w:r>
      <w:r w:rsidR="00E51B96" w:rsidRPr="003A6DFC">
        <w:rPr>
          <w:rFonts w:ascii="Century" w:hAnsi="Century" w:cs="Times New Roman"/>
          <w:bCs/>
          <w:lang w:val="en-GB"/>
        </w:rPr>
        <w:t>allostatic load</w:t>
      </w:r>
      <w:r w:rsidRPr="003A6DFC">
        <w:rPr>
          <w:rFonts w:ascii="Century" w:hAnsi="Century" w:cs="Times New Roman"/>
          <w:bCs/>
          <w:lang w:val="en-GB"/>
        </w:rPr>
        <w:t xml:space="preserve">, </w:t>
      </w:r>
      <w:r w:rsidR="001F3832" w:rsidRPr="003A6DFC">
        <w:rPr>
          <w:rFonts w:ascii="Century" w:hAnsi="Century" w:cs="Times New Roman"/>
          <w:bCs/>
          <w:lang w:val="en-GB"/>
        </w:rPr>
        <w:t>measured in units of</w:t>
      </w:r>
      <w:r w:rsidRPr="003A6DFC">
        <w:rPr>
          <w:rFonts w:ascii="Century" w:hAnsi="Century" w:cs="Times New Roman"/>
          <w:bCs/>
          <w:lang w:val="en-GB"/>
        </w:rPr>
        <w:t xml:space="preserve"> standard deviations, </w:t>
      </w:r>
      <w:r w:rsidR="00E51B96" w:rsidRPr="003A6DFC">
        <w:rPr>
          <w:rFonts w:ascii="Century" w:hAnsi="Century" w:cs="Times New Roman"/>
          <w:bCs/>
          <w:lang w:val="en-GB"/>
        </w:rPr>
        <w:t>w</w:t>
      </w:r>
      <w:r w:rsidR="00172C5D" w:rsidRPr="003A6DFC">
        <w:rPr>
          <w:rFonts w:ascii="Century" w:hAnsi="Century" w:cs="Times New Roman"/>
          <w:bCs/>
          <w:lang w:val="en-GB"/>
        </w:rPr>
        <w:t>here</w:t>
      </w:r>
      <w:r w:rsidR="00E51B96" w:rsidRPr="003A6DFC">
        <w:rPr>
          <w:rFonts w:ascii="Century" w:hAnsi="Century" w:cs="Times New Roman"/>
          <w:bCs/>
          <w:lang w:val="en-GB"/>
        </w:rPr>
        <w:t xml:space="preserve"> </w:t>
      </w:r>
      <w:r w:rsidRPr="003A6DFC">
        <w:rPr>
          <w:rFonts w:ascii="Century" w:hAnsi="Century" w:cs="Times New Roman"/>
          <w:bCs/>
          <w:lang w:val="en-GB"/>
        </w:rPr>
        <w:t xml:space="preserve">each </w:t>
      </w:r>
      <w:r w:rsidR="00896381" w:rsidRPr="003A6DFC">
        <w:rPr>
          <w:rFonts w:ascii="Century" w:hAnsi="Century" w:cs="Times New Roman"/>
          <w:bCs/>
          <w:lang w:val="en-GB"/>
        </w:rPr>
        <w:t xml:space="preserve">of those is </w:t>
      </w:r>
      <w:r w:rsidRPr="003A6DFC">
        <w:rPr>
          <w:rFonts w:ascii="Century" w:hAnsi="Century" w:cs="Times New Roman"/>
          <w:bCs/>
          <w:lang w:val="en-GB"/>
        </w:rPr>
        <w:t xml:space="preserve">included separately </w:t>
      </w:r>
      <w:r w:rsidR="001F3832" w:rsidRPr="003A6DFC">
        <w:rPr>
          <w:rFonts w:ascii="Century" w:hAnsi="Century" w:cs="Times New Roman"/>
          <w:bCs/>
          <w:lang w:val="en-GB"/>
        </w:rPr>
        <w:t>in a</w:t>
      </w:r>
      <w:r w:rsidRPr="003A6DFC">
        <w:rPr>
          <w:rFonts w:ascii="Century" w:hAnsi="Century" w:cs="Times New Roman"/>
          <w:bCs/>
          <w:lang w:val="en-GB"/>
        </w:rPr>
        <w:t xml:space="preserve"> linear</w:t>
      </w:r>
      <w:r w:rsidR="001F3832" w:rsidRPr="003A6DFC">
        <w:rPr>
          <w:rFonts w:ascii="Century" w:hAnsi="Century" w:cs="Times New Roman"/>
          <w:bCs/>
          <w:lang w:val="en-GB"/>
        </w:rPr>
        <w:t xml:space="preserve"> </w:t>
      </w:r>
      <w:r w:rsidRPr="003A6DFC">
        <w:rPr>
          <w:rFonts w:ascii="Century" w:hAnsi="Century" w:cs="Times New Roman"/>
          <w:bCs/>
          <w:lang w:val="en-GB"/>
        </w:rPr>
        <w:t>regression model</w:t>
      </w:r>
      <w:r w:rsidR="00172C5D" w:rsidRPr="003A6DFC">
        <w:rPr>
          <w:rFonts w:ascii="Century" w:hAnsi="Century" w:cs="Times New Roman"/>
          <w:bCs/>
          <w:lang w:val="en-GB"/>
        </w:rPr>
        <w:t xml:space="preserve"> for both SAH</w:t>
      </w:r>
      <w:r w:rsidR="00A93653" w:rsidRPr="003A6DFC">
        <w:rPr>
          <w:rFonts w:ascii="Century" w:hAnsi="Century" w:cs="Times New Roman"/>
          <w:bCs/>
          <w:lang w:val="en-GB"/>
        </w:rPr>
        <w:t xml:space="preserve"> measures</w:t>
      </w:r>
      <w:r w:rsidRPr="003A6DFC">
        <w:rPr>
          <w:rFonts w:ascii="Century" w:hAnsi="Century" w:cs="Times New Roman"/>
          <w:bCs/>
          <w:lang w:val="en-GB"/>
        </w:rPr>
        <w:t xml:space="preserve">. </w:t>
      </w:r>
      <w:r w:rsidR="00AD1540" w:rsidRPr="003A6DFC">
        <w:rPr>
          <w:rFonts w:ascii="Century" w:hAnsi="Century" w:cs="Times New Roman"/>
          <w:bCs/>
          <w:lang w:val="en-GB"/>
        </w:rPr>
        <w:t>We follow Crossley (2002) for simplicity and adopt linear regression approach for this analysis.</w:t>
      </w:r>
      <w:r w:rsidR="00AD1540" w:rsidRPr="003A6DFC">
        <w:rPr>
          <w:rStyle w:val="Refdenotaderodap"/>
          <w:rFonts w:ascii="Century" w:hAnsi="Century" w:cs="Times New Roman"/>
          <w:bCs/>
          <w:lang w:val="en-GB"/>
        </w:rPr>
        <w:footnoteReference w:id="16"/>
      </w:r>
      <w:r w:rsidR="00AD1540" w:rsidRPr="003A6DFC">
        <w:rPr>
          <w:rFonts w:ascii="Century" w:hAnsi="Century" w:cs="Times New Roman"/>
          <w:bCs/>
          <w:lang w:val="en-GB"/>
        </w:rPr>
        <w:t xml:space="preserve"> This simple model helps us to test the hypothesis that if the mode of data collection does not matter for individual reporting </w:t>
      </w:r>
      <w:proofErr w:type="spellStart"/>
      <w:r w:rsidR="00AD1540" w:rsidRPr="003A6DFC">
        <w:rPr>
          <w:rFonts w:ascii="Century" w:hAnsi="Century" w:cs="Times New Roman"/>
          <w:bCs/>
          <w:lang w:val="en-GB"/>
        </w:rPr>
        <w:t>behavior</w:t>
      </w:r>
      <w:proofErr w:type="spellEnd"/>
      <w:r w:rsidR="00AD1540" w:rsidRPr="003A6DFC">
        <w:rPr>
          <w:rFonts w:ascii="Century" w:hAnsi="Century" w:cs="Times New Roman"/>
          <w:bCs/>
          <w:lang w:val="en-GB"/>
        </w:rPr>
        <w:t xml:space="preserve"> about their health status, we should not observe differences in the association between objective and subjective health measures. Moreover, we are also concerned with the potential multicollinearity among biomarkers which may lead to wide confidence intervals of the estimates. This is the reason why we run specific regression for each biomarker as </w:t>
      </w:r>
      <w:r w:rsidR="00365490" w:rsidRPr="003A6DFC">
        <w:rPr>
          <w:rFonts w:ascii="Century" w:hAnsi="Century" w:cs="Times New Roman"/>
          <w:bCs/>
          <w:lang w:val="en-GB"/>
        </w:rPr>
        <w:t xml:space="preserve">the </w:t>
      </w:r>
      <w:r w:rsidR="00AD1540" w:rsidRPr="003A6DFC">
        <w:rPr>
          <w:rFonts w:ascii="Century" w:hAnsi="Century" w:cs="Times New Roman"/>
          <w:bCs/>
          <w:lang w:val="en-GB"/>
        </w:rPr>
        <w:t>explanatory variable</w:t>
      </w:r>
      <w:r w:rsidR="00365490" w:rsidRPr="003A6DFC">
        <w:rPr>
          <w:rFonts w:ascii="Century" w:hAnsi="Century" w:cs="Times New Roman"/>
          <w:bCs/>
          <w:lang w:val="en-GB"/>
        </w:rPr>
        <w:t xml:space="preserve"> of interest</w:t>
      </w:r>
      <w:r w:rsidR="00AD1540" w:rsidRPr="003A6DFC">
        <w:rPr>
          <w:rFonts w:ascii="Century" w:hAnsi="Century" w:cs="Times New Roman"/>
          <w:bCs/>
          <w:lang w:val="en-GB"/>
        </w:rPr>
        <w:t xml:space="preserve">. To summarize the selected biomarkers into a composite measure, we use allostatic load index (see </w:t>
      </w:r>
      <w:proofErr w:type="spellStart"/>
      <w:r w:rsidR="00AD1540" w:rsidRPr="003A6DFC">
        <w:rPr>
          <w:rFonts w:ascii="Century" w:hAnsi="Century" w:cs="Times New Roman"/>
          <w:bCs/>
          <w:lang w:val="en-GB"/>
        </w:rPr>
        <w:t>Davillas</w:t>
      </w:r>
      <w:proofErr w:type="spellEnd"/>
      <w:r w:rsidR="00AD1540" w:rsidRPr="003A6DFC">
        <w:rPr>
          <w:rFonts w:ascii="Century" w:hAnsi="Century" w:cs="Times New Roman"/>
          <w:bCs/>
          <w:lang w:val="en-GB"/>
        </w:rPr>
        <w:t xml:space="preserve"> and </w:t>
      </w:r>
      <w:proofErr w:type="spellStart"/>
      <w:r w:rsidR="00AD1540" w:rsidRPr="003A6DFC">
        <w:rPr>
          <w:rFonts w:ascii="Century" w:hAnsi="Century" w:cs="Times New Roman"/>
          <w:bCs/>
          <w:lang w:val="en-GB"/>
        </w:rPr>
        <w:t>Pudney</w:t>
      </w:r>
      <w:proofErr w:type="spellEnd"/>
      <w:r w:rsidR="00AD1540" w:rsidRPr="003A6DFC">
        <w:rPr>
          <w:rFonts w:ascii="Century" w:hAnsi="Century" w:cs="Times New Roman"/>
          <w:bCs/>
          <w:lang w:val="en-GB"/>
        </w:rPr>
        <w:t xml:space="preserve">, 2020). </w:t>
      </w:r>
      <w:r w:rsidR="00CF70E2" w:rsidRPr="003A6DFC">
        <w:rPr>
          <w:rFonts w:ascii="Century" w:hAnsi="Century" w:cs="Times New Roman"/>
          <w:bCs/>
          <w:lang w:val="en-GB"/>
        </w:rPr>
        <w:t>A</w:t>
      </w:r>
      <w:r w:rsidR="00896381" w:rsidRPr="003A6DFC">
        <w:rPr>
          <w:rFonts w:ascii="Century" w:hAnsi="Century" w:cs="Times New Roman"/>
          <w:bCs/>
          <w:lang w:val="en-GB"/>
        </w:rPr>
        <w:t>ll coefficients have the expected sign</w:t>
      </w:r>
      <w:r w:rsidR="00172C5D" w:rsidRPr="003A6DFC">
        <w:rPr>
          <w:rFonts w:ascii="Century" w:hAnsi="Century" w:cs="Times New Roman"/>
          <w:bCs/>
          <w:lang w:val="en-GB"/>
        </w:rPr>
        <w:t>:</w:t>
      </w:r>
      <w:r w:rsidR="00896381" w:rsidRPr="003A6DFC">
        <w:rPr>
          <w:rFonts w:ascii="Century" w:hAnsi="Century" w:cs="Times New Roman"/>
          <w:bCs/>
          <w:lang w:val="en-GB"/>
        </w:rPr>
        <w:t xml:space="preserve"> those </w:t>
      </w:r>
      <w:r w:rsidR="00172C5D" w:rsidRPr="003A6DFC">
        <w:rPr>
          <w:rFonts w:ascii="Century" w:hAnsi="Century" w:cs="Times New Roman"/>
          <w:bCs/>
          <w:lang w:val="en-GB"/>
        </w:rPr>
        <w:t>that</w:t>
      </w:r>
      <w:r w:rsidR="00896381" w:rsidRPr="003A6DFC">
        <w:rPr>
          <w:rFonts w:ascii="Century" w:hAnsi="Century" w:cs="Times New Roman"/>
          <w:bCs/>
          <w:lang w:val="en-GB"/>
        </w:rPr>
        <w:t xml:space="preserve"> </w:t>
      </w:r>
      <w:r w:rsidR="00172C5D" w:rsidRPr="003A6DFC">
        <w:rPr>
          <w:rFonts w:ascii="Century" w:hAnsi="Century" w:cs="Times New Roman"/>
          <w:bCs/>
          <w:lang w:val="en-GB"/>
        </w:rPr>
        <w:t>reflect</w:t>
      </w:r>
      <w:r w:rsidR="00896381" w:rsidRPr="003A6DFC">
        <w:rPr>
          <w:rFonts w:ascii="Century" w:hAnsi="Century" w:cs="Times New Roman"/>
          <w:bCs/>
          <w:lang w:val="en-GB"/>
        </w:rPr>
        <w:t xml:space="preserve"> higher health risks </w:t>
      </w:r>
      <w:r w:rsidR="00172C5D" w:rsidRPr="003A6DFC">
        <w:rPr>
          <w:rFonts w:ascii="Century" w:hAnsi="Century" w:cs="Times New Roman"/>
          <w:bCs/>
          <w:lang w:val="en-GB"/>
        </w:rPr>
        <w:t xml:space="preserve">are </w:t>
      </w:r>
      <w:r w:rsidR="007E5BA2" w:rsidRPr="003A6DFC">
        <w:rPr>
          <w:rFonts w:ascii="Century" w:hAnsi="Century" w:cs="Times New Roman"/>
          <w:bCs/>
          <w:lang w:val="en-GB"/>
        </w:rPr>
        <w:t xml:space="preserve">negatively </w:t>
      </w:r>
      <w:r w:rsidR="00896381" w:rsidRPr="003A6DFC">
        <w:rPr>
          <w:rFonts w:ascii="Century" w:hAnsi="Century" w:cs="Times New Roman"/>
          <w:bCs/>
          <w:lang w:val="en-GB"/>
        </w:rPr>
        <w:t>associated with</w:t>
      </w:r>
      <w:r w:rsidR="00172290" w:rsidRPr="003A6DFC">
        <w:rPr>
          <w:rFonts w:ascii="Century" w:hAnsi="Century" w:cs="Times New Roman"/>
          <w:bCs/>
          <w:lang w:val="en-GB"/>
        </w:rPr>
        <w:t xml:space="preserve"> SAH</w:t>
      </w:r>
      <w:r w:rsidR="00172C5D" w:rsidRPr="003A6DFC">
        <w:rPr>
          <w:rFonts w:ascii="Century" w:hAnsi="Century" w:cs="Times New Roman"/>
          <w:bCs/>
          <w:lang w:val="en-GB"/>
        </w:rPr>
        <w:t>.</w:t>
      </w:r>
      <w:r w:rsidR="00896381" w:rsidRPr="003A6DFC">
        <w:rPr>
          <w:rFonts w:ascii="Century" w:hAnsi="Century" w:cs="Times New Roman"/>
          <w:bCs/>
          <w:lang w:val="en-GB"/>
        </w:rPr>
        <w:t xml:space="preserve"> </w:t>
      </w:r>
      <w:r w:rsidR="00A8779E" w:rsidRPr="003A6DFC">
        <w:rPr>
          <w:rFonts w:ascii="Century" w:hAnsi="Century" w:cs="Times New Roman"/>
          <w:bCs/>
          <w:lang w:val="en-GB"/>
        </w:rPr>
        <w:t xml:space="preserve">Positive </w:t>
      </w:r>
      <w:r w:rsidR="00172C5D" w:rsidRPr="003A6DFC">
        <w:rPr>
          <w:rFonts w:ascii="Century" w:hAnsi="Century" w:cs="Times New Roman"/>
          <w:bCs/>
          <w:lang w:val="en-GB"/>
        </w:rPr>
        <w:t>associations</w:t>
      </w:r>
      <w:r w:rsidR="00896381" w:rsidRPr="003A6DFC">
        <w:rPr>
          <w:rFonts w:ascii="Century" w:hAnsi="Century" w:cs="Times New Roman"/>
          <w:bCs/>
          <w:lang w:val="en-GB"/>
        </w:rPr>
        <w:t xml:space="preserve"> are observed for HDL cholesterol, Albumin and DHEAS as </w:t>
      </w:r>
      <w:r w:rsidR="008524F0" w:rsidRPr="003A6DFC">
        <w:rPr>
          <w:rFonts w:ascii="Century" w:hAnsi="Century" w:cs="Times New Roman"/>
          <w:bCs/>
          <w:lang w:val="en-GB"/>
        </w:rPr>
        <w:t>higher</w:t>
      </w:r>
      <w:r w:rsidR="00CF70E2" w:rsidRPr="003A6DFC">
        <w:rPr>
          <w:rFonts w:ascii="Century" w:hAnsi="Century" w:cs="Times New Roman"/>
          <w:bCs/>
          <w:lang w:val="en-GB"/>
        </w:rPr>
        <w:t xml:space="preserve"> values o</w:t>
      </w:r>
      <w:r w:rsidR="00172C5D" w:rsidRPr="003A6DFC">
        <w:rPr>
          <w:rFonts w:ascii="Century" w:hAnsi="Century" w:cs="Times New Roman"/>
          <w:bCs/>
          <w:lang w:val="en-GB"/>
        </w:rPr>
        <w:t>f</w:t>
      </w:r>
      <w:r w:rsidR="00CF70E2" w:rsidRPr="003A6DFC">
        <w:rPr>
          <w:rFonts w:ascii="Century" w:hAnsi="Century" w:cs="Times New Roman"/>
          <w:bCs/>
          <w:lang w:val="en-GB"/>
        </w:rPr>
        <w:t xml:space="preserve"> these biomarkers as associated with </w:t>
      </w:r>
      <w:r w:rsidR="008524F0" w:rsidRPr="003A6DFC">
        <w:rPr>
          <w:rFonts w:ascii="Century" w:hAnsi="Century" w:cs="Times New Roman"/>
          <w:bCs/>
          <w:lang w:val="en-GB"/>
        </w:rPr>
        <w:t>lower</w:t>
      </w:r>
      <w:r w:rsidR="00CF70E2" w:rsidRPr="003A6DFC">
        <w:rPr>
          <w:rFonts w:ascii="Century" w:hAnsi="Century" w:cs="Times New Roman"/>
          <w:bCs/>
          <w:lang w:val="en-GB"/>
        </w:rPr>
        <w:t xml:space="preserve"> health risks. </w:t>
      </w:r>
    </w:p>
    <w:p w14:paraId="71D1DFB5" w14:textId="1ACA1775" w:rsidR="00CF70E2" w:rsidRPr="003A6DFC" w:rsidRDefault="00CF70E2" w:rsidP="008524F0">
      <w:pPr>
        <w:spacing w:after="0" w:line="360" w:lineRule="auto"/>
        <w:ind w:firstLine="709"/>
        <w:jc w:val="both"/>
        <w:rPr>
          <w:rFonts w:ascii="Century" w:hAnsi="Century" w:cs="Times New Roman"/>
          <w:bCs/>
          <w:lang w:val="en-GB"/>
        </w:rPr>
      </w:pPr>
      <w:r w:rsidRPr="003A6DFC">
        <w:rPr>
          <w:rFonts w:ascii="Century" w:hAnsi="Century" w:cs="Times New Roman"/>
          <w:bCs/>
          <w:lang w:val="en-GB"/>
        </w:rPr>
        <w:t xml:space="preserve">Overall, </w:t>
      </w:r>
      <w:r w:rsidR="0051687A" w:rsidRPr="003A6DFC">
        <w:rPr>
          <w:rFonts w:ascii="Century" w:hAnsi="Century" w:cs="Times New Roman"/>
          <w:bCs/>
          <w:lang w:val="en-GB"/>
        </w:rPr>
        <w:t xml:space="preserve">the </w:t>
      </w:r>
      <w:r w:rsidRPr="003A6DFC">
        <w:rPr>
          <w:rFonts w:ascii="Century" w:hAnsi="Century" w:cs="Times New Roman"/>
          <w:bCs/>
          <w:lang w:val="en-GB"/>
        </w:rPr>
        <w:t xml:space="preserve">biomarker coefficient estimates do not vary </w:t>
      </w:r>
      <w:r w:rsidR="0051687A" w:rsidRPr="003A6DFC">
        <w:rPr>
          <w:rFonts w:ascii="Century" w:hAnsi="Century" w:cs="Times New Roman"/>
          <w:bCs/>
          <w:lang w:val="en-GB"/>
        </w:rPr>
        <w:t xml:space="preserve">systematically </w:t>
      </w:r>
      <w:r w:rsidRPr="003A6DFC">
        <w:rPr>
          <w:rFonts w:ascii="Century" w:hAnsi="Century" w:cs="Times New Roman"/>
          <w:bCs/>
          <w:lang w:val="en-GB"/>
        </w:rPr>
        <w:t xml:space="preserve">between the </w:t>
      </w:r>
      <w:r w:rsidR="0051687A" w:rsidRPr="003A6DFC">
        <w:rPr>
          <w:rFonts w:ascii="Century" w:hAnsi="Century" w:cs="Times New Roman"/>
          <w:bCs/>
          <w:lang w:val="en-GB"/>
        </w:rPr>
        <w:t xml:space="preserve">two SAH measures, indicating that there are limited differences in </w:t>
      </w:r>
      <w:r w:rsidR="00EC51D9" w:rsidRPr="003A6DFC">
        <w:rPr>
          <w:rFonts w:ascii="Century" w:hAnsi="Century" w:cs="Times New Roman"/>
          <w:bCs/>
          <w:lang w:val="en-GB"/>
        </w:rPr>
        <w:t xml:space="preserve">how these objectively collected health dimensions are </w:t>
      </w:r>
      <w:r w:rsidR="008524F0" w:rsidRPr="003A6DFC">
        <w:rPr>
          <w:rFonts w:ascii="Century" w:hAnsi="Century" w:cs="Times New Roman"/>
          <w:bCs/>
          <w:lang w:val="en-GB"/>
        </w:rPr>
        <w:t>associated with</w:t>
      </w:r>
      <w:r w:rsidR="00EC51D9" w:rsidRPr="003A6DFC">
        <w:rPr>
          <w:rFonts w:ascii="Century" w:hAnsi="Century" w:cs="Times New Roman"/>
          <w:bCs/>
          <w:lang w:val="en-GB"/>
        </w:rPr>
        <w:t xml:space="preserve"> the two SAH measures; </w:t>
      </w:r>
      <w:r w:rsidR="004E3439" w:rsidRPr="003A6DFC">
        <w:rPr>
          <w:rFonts w:ascii="Century" w:hAnsi="Century" w:cs="Times New Roman"/>
          <w:bCs/>
          <w:lang w:val="en-GB"/>
        </w:rPr>
        <w:t>this is also the case for the coefficient estimates of our co</w:t>
      </w:r>
      <w:r w:rsidR="00D7778F" w:rsidRPr="003A6DFC">
        <w:rPr>
          <w:rFonts w:ascii="Century" w:hAnsi="Century" w:cs="Times New Roman"/>
          <w:bCs/>
          <w:lang w:val="en-GB"/>
        </w:rPr>
        <w:t>mposite health measure ─ allostatic load.</w:t>
      </w:r>
      <w:r w:rsidR="000C030E" w:rsidRPr="003A6DFC">
        <w:rPr>
          <w:rFonts w:ascii="Century" w:hAnsi="Century" w:cs="Times New Roman"/>
          <w:bCs/>
          <w:lang w:val="en-GB"/>
        </w:rPr>
        <w:t xml:space="preserve"> Allostatic load</w:t>
      </w:r>
      <w:r w:rsidR="00591883" w:rsidRPr="003A6DFC">
        <w:rPr>
          <w:rFonts w:ascii="Century" w:hAnsi="Century" w:cs="Times New Roman"/>
          <w:bCs/>
          <w:lang w:val="en-GB"/>
        </w:rPr>
        <w:t xml:space="preserve"> (standardized by its standard deviation)</w:t>
      </w:r>
      <w:r w:rsidR="000C030E" w:rsidRPr="003A6DFC">
        <w:rPr>
          <w:rFonts w:ascii="Century" w:hAnsi="Century" w:cs="Times New Roman"/>
          <w:bCs/>
          <w:lang w:val="en-GB"/>
        </w:rPr>
        <w:t xml:space="preserve">, our composite biological measure, </w:t>
      </w:r>
      <w:r w:rsidR="00CA3AF9" w:rsidRPr="003A6DFC">
        <w:rPr>
          <w:rFonts w:ascii="Century" w:hAnsi="Century" w:cs="Times New Roman"/>
          <w:bCs/>
          <w:lang w:val="en-GB"/>
        </w:rPr>
        <w:t xml:space="preserve">is strongly associated with SAH. Turning to </w:t>
      </w:r>
      <w:r w:rsidR="00591883" w:rsidRPr="003A6DFC">
        <w:rPr>
          <w:rFonts w:ascii="Century" w:hAnsi="Century" w:cs="Times New Roman"/>
          <w:bCs/>
          <w:lang w:val="en-GB"/>
        </w:rPr>
        <w:t>the</w:t>
      </w:r>
      <w:r w:rsidR="00591883" w:rsidRPr="003A6DFC">
        <w:t xml:space="preserve"> </w:t>
      </w:r>
      <w:r w:rsidR="00591883" w:rsidRPr="003A6DFC">
        <w:rPr>
          <w:rFonts w:ascii="Century" w:hAnsi="Century" w:cs="Times New Roman"/>
          <w:bCs/>
          <w:lang w:val="en-GB"/>
        </w:rPr>
        <w:t xml:space="preserve">underlying </w:t>
      </w:r>
      <w:r w:rsidR="00CA3AF9" w:rsidRPr="003A6DFC">
        <w:rPr>
          <w:rFonts w:ascii="Century" w:hAnsi="Century" w:cs="Times New Roman"/>
          <w:bCs/>
          <w:lang w:val="en-GB"/>
        </w:rPr>
        <w:t>biomarkers</w:t>
      </w:r>
      <w:r w:rsidR="00591883" w:rsidRPr="003A6DFC">
        <w:rPr>
          <w:rFonts w:ascii="Century" w:hAnsi="Century" w:cs="Times New Roman"/>
          <w:bCs/>
          <w:lang w:val="en-GB"/>
        </w:rPr>
        <w:t xml:space="preserve"> (</w:t>
      </w:r>
      <w:r w:rsidR="004E3439" w:rsidRPr="003A6DFC">
        <w:rPr>
          <w:rFonts w:ascii="Century" w:hAnsi="Century" w:cs="Times New Roman"/>
          <w:bCs/>
          <w:lang w:val="en-GB"/>
        </w:rPr>
        <w:t xml:space="preserve">standardized </w:t>
      </w:r>
      <w:r w:rsidR="008524F0" w:rsidRPr="003A6DFC">
        <w:rPr>
          <w:rFonts w:ascii="Century" w:hAnsi="Century" w:cs="Times New Roman"/>
          <w:bCs/>
          <w:lang w:val="en-GB"/>
        </w:rPr>
        <w:t>by</w:t>
      </w:r>
      <w:r w:rsidR="004E3439" w:rsidRPr="003A6DFC">
        <w:rPr>
          <w:rFonts w:ascii="Century" w:hAnsi="Century" w:cs="Times New Roman"/>
          <w:bCs/>
          <w:lang w:val="en-GB"/>
        </w:rPr>
        <w:t xml:space="preserve"> their standard deviation</w:t>
      </w:r>
      <w:r w:rsidR="00591883" w:rsidRPr="003A6DFC">
        <w:rPr>
          <w:rFonts w:ascii="Century" w:hAnsi="Century" w:cs="Times New Roman"/>
          <w:bCs/>
          <w:lang w:val="en-GB"/>
        </w:rPr>
        <w:t>)</w:t>
      </w:r>
      <w:r w:rsidR="004E3439" w:rsidRPr="003A6DFC">
        <w:rPr>
          <w:rFonts w:ascii="Century" w:hAnsi="Century" w:cs="Times New Roman"/>
          <w:bCs/>
          <w:lang w:val="en-GB"/>
        </w:rPr>
        <w:t xml:space="preserve">, </w:t>
      </w:r>
      <w:r w:rsidR="00434261" w:rsidRPr="003A6DFC">
        <w:rPr>
          <w:rFonts w:ascii="Century" w:hAnsi="Century" w:cs="Times New Roman"/>
          <w:bCs/>
          <w:lang w:val="en-GB"/>
        </w:rPr>
        <w:t>adiposity</w:t>
      </w:r>
      <w:r w:rsidRPr="003A6DFC">
        <w:rPr>
          <w:rFonts w:ascii="Century" w:hAnsi="Century" w:cs="Times New Roman"/>
          <w:bCs/>
          <w:lang w:val="en-GB"/>
        </w:rPr>
        <w:t xml:space="preserve">, followed by </w:t>
      </w:r>
      <w:r w:rsidR="008524F0" w:rsidRPr="003A6DFC">
        <w:rPr>
          <w:rFonts w:ascii="Century" w:hAnsi="Century" w:cs="Times New Roman"/>
          <w:bCs/>
          <w:lang w:val="en-GB"/>
        </w:rPr>
        <w:t xml:space="preserve">the </w:t>
      </w:r>
      <w:r w:rsidR="00434261" w:rsidRPr="003A6DFC">
        <w:rPr>
          <w:rFonts w:ascii="Century" w:hAnsi="Century" w:cs="Times New Roman"/>
          <w:bCs/>
          <w:lang w:val="en-GB"/>
        </w:rPr>
        <w:t xml:space="preserve">diabetes biomarker (HbA1c), inflammation </w:t>
      </w:r>
      <w:r w:rsidRPr="003A6DFC">
        <w:rPr>
          <w:rFonts w:ascii="Century" w:hAnsi="Century" w:cs="Times New Roman"/>
          <w:bCs/>
          <w:lang w:val="en-GB"/>
        </w:rPr>
        <w:t>(CRP)</w:t>
      </w:r>
      <w:r w:rsidR="00434261" w:rsidRPr="003A6DFC">
        <w:rPr>
          <w:rFonts w:ascii="Century" w:hAnsi="Century" w:cs="Times New Roman"/>
          <w:bCs/>
          <w:lang w:val="en-GB"/>
        </w:rPr>
        <w:t xml:space="preserve">, </w:t>
      </w:r>
      <w:r w:rsidR="00591883" w:rsidRPr="003A6DFC">
        <w:rPr>
          <w:rFonts w:ascii="Century" w:hAnsi="Century" w:cs="Times New Roman"/>
          <w:bCs/>
          <w:lang w:val="en-GB"/>
        </w:rPr>
        <w:t>“</w:t>
      </w:r>
      <w:r w:rsidR="004E3439" w:rsidRPr="003A6DFC">
        <w:rPr>
          <w:rFonts w:ascii="Century" w:hAnsi="Century" w:cs="Times New Roman"/>
          <w:bCs/>
          <w:lang w:val="en-GB"/>
        </w:rPr>
        <w:t>fat in the blood</w:t>
      </w:r>
      <w:r w:rsidR="00591883" w:rsidRPr="003A6DFC">
        <w:rPr>
          <w:rFonts w:ascii="Century" w:hAnsi="Century" w:cs="Times New Roman"/>
          <w:bCs/>
          <w:lang w:val="en-GB"/>
        </w:rPr>
        <w:t>” biomarker</w:t>
      </w:r>
      <w:r w:rsidR="004E3439" w:rsidRPr="003A6DFC">
        <w:rPr>
          <w:rFonts w:ascii="Century" w:hAnsi="Century" w:cs="Times New Roman"/>
          <w:bCs/>
          <w:lang w:val="en-GB"/>
        </w:rPr>
        <w:t xml:space="preserve"> (HDL cholesterol</w:t>
      </w:r>
      <w:r w:rsidR="00591883" w:rsidRPr="003A6DFC">
        <w:rPr>
          <w:rFonts w:ascii="Century" w:hAnsi="Century" w:cs="Times New Roman"/>
          <w:bCs/>
          <w:lang w:val="en-GB"/>
        </w:rPr>
        <w:t>)</w:t>
      </w:r>
      <w:r w:rsidR="004E3439" w:rsidRPr="003A6DFC">
        <w:rPr>
          <w:rFonts w:ascii="Century" w:hAnsi="Century" w:cs="Times New Roman"/>
          <w:bCs/>
          <w:lang w:val="en-GB"/>
        </w:rPr>
        <w:t xml:space="preserve">, resting </w:t>
      </w:r>
      <w:r w:rsidR="00434261" w:rsidRPr="003A6DFC">
        <w:rPr>
          <w:rFonts w:ascii="Century" w:hAnsi="Century" w:cs="Times New Roman"/>
          <w:bCs/>
          <w:lang w:val="en-GB"/>
        </w:rPr>
        <w:t>pulse rate</w:t>
      </w:r>
      <w:r w:rsidR="004E3439" w:rsidRPr="003A6DFC">
        <w:rPr>
          <w:rFonts w:ascii="Century" w:hAnsi="Century" w:cs="Times New Roman"/>
          <w:bCs/>
          <w:lang w:val="en-GB"/>
        </w:rPr>
        <w:t xml:space="preserve"> and stress related steroids (DHEAS) </w:t>
      </w:r>
      <w:r w:rsidRPr="003A6DFC">
        <w:rPr>
          <w:rFonts w:ascii="Century" w:hAnsi="Century" w:cs="Times New Roman"/>
          <w:bCs/>
          <w:lang w:val="en-GB"/>
        </w:rPr>
        <w:t>are</w:t>
      </w:r>
      <w:r w:rsidR="004E3439" w:rsidRPr="003A6DFC">
        <w:rPr>
          <w:rFonts w:ascii="Century" w:hAnsi="Century" w:cs="Times New Roman"/>
          <w:bCs/>
          <w:lang w:val="en-GB"/>
        </w:rPr>
        <w:t xml:space="preserve"> </w:t>
      </w:r>
      <w:r w:rsidR="008524F0" w:rsidRPr="003A6DFC">
        <w:rPr>
          <w:rFonts w:ascii="Century" w:hAnsi="Century" w:cs="Times New Roman"/>
          <w:bCs/>
          <w:lang w:val="en-GB"/>
        </w:rPr>
        <w:t>most</w:t>
      </w:r>
      <w:r w:rsidRPr="003A6DFC">
        <w:rPr>
          <w:rFonts w:ascii="Century" w:hAnsi="Century" w:cs="Times New Roman"/>
          <w:bCs/>
          <w:lang w:val="en-GB"/>
        </w:rPr>
        <w:t xml:space="preserve"> strongly</w:t>
      </w:r>
      <w:r w:rsidR="00434261" w:rsidRPr="003A6DFC">
        <w:rPr>
          <w:rFonts w:ascii="Century" w:hAnsi="Century" w:cs="Times New Roman"/>
          <w:bCs/>
          <w:lang w:val="en-GB"/>
        </w:rPr>
        <w:t xml:space="preserve"> associated with </w:t>
      </w:r>
      <w:r w:rsidR="004E3439" w:rsidRPr="003A6DFC">
        <w:rPr>
          <w:rFonts w:ascii="Century" w:hAnsi="Century" w:cs="Times New Roman"/>
          <w:bCs/>
          <w:lang w:val="en-GB"/>
        </w:rPr>
        <w:t xml:space="preserve">both </w:t>
      </w:r>
      <w:r w:rsidR="00434261" w:rsidRPr="003A6DFC">
        <w:rPr>
          <w:rFonts w:ascii="Century" w:hAnsi="Century" w:cs="Times New Roman"/>
          <w:bCs/>
          <w:lang w:val="en-GB"/>
        </w:rPr>
        <w:t>SAH</w:t>
      </w:r>
      <w:r w:rsidR="004E3439" w:rsidRPr="003A6DFC">
        <w:rPr>
          <w:rFonts w:ascii="Century" w:hAnsi="Century" w:cs="Times New Roman"/>
          <w:bCs/>
          <w:lang w:val="en-GB"/>
        </w:rPr>
        <w:t xml:space="preserve"> measures</w:t>
      </w:r>
      <w:r w:rsidR="00434261" w:rsidRPr="003A6DFC">
        <w:rPr>
          <w:rFonts w:ascii="Century" w:hAnsi="Century" w:cs="Times New Roman"/>
          <w:bCs/>
          <w:lang w:val="en-GB"/>
        </w:rPr>
        <w:t xml:space="preserve">. </w:t>
      </w:r>
    </w:p>
    <w:p w14:paraId="343FDC6F" w14:textId="17108E11" w:rsidR="00A86B4E" w:rsidRPr="003A6DFC" w:rsidRDefault="00A86B4E" w:rsidP="00A86B4E">
      <w:pPr>
        <w:spacing w:after="0" w:line="360" w:lineRule="auto"/>
        <w:ind w:firstLine="709"/>
        <w:jc w:val="both"/>
        <w:rPr>
          <w:rFonts w:ascii="Century" w:hAnsi="Century" w:cs="Times New Roman"/>
          <w:bCs/>
          <w:lang w:val="en-GB"/>
        </w:rPr>
      </w:pPr>
    </w:p>
    <w:p w14:paraId="7126EAA1" w14:textId="5A03A182" w:rsidR="004B536C" w:rsidRPr="003A6DFC" w:rsidRDefault="004B536C" w:rsidP="00A86B4E">
      <w:pPr>
        <w:spacing w:after="0" w:line="360" w:lineRule="auto"/>
        <w:ind w:firstLine="709"/>
        <w:jc w:val="both"/>
        <w:rPr>
          <w:rFonts w:ascii="Century" w:hAnsi="Century" w:cs="Times New Roman"/>
          <w:bCs/>
          <w:lang w:val="en-GB"/>
        </w:rPr>
      </w:pPr>
    </w:p>
    <w:p w14:paraId="5857D882" w14:textId="3D19DCBA" w:rsidR="00582482" w:rsidRPr="003A6DFC" w:rsidRDefault="00582482" w:rsidP="00A86B4E">
      <w:pPr>
        <w:spacing w:after="0" w:line="360" w:lineRule="auto"/>
        <w:ind w:firstLine="709"/>
        <w:jc w:val="both"/>
        <w:rPr>
          <w:rFonts w:ascii="Century" w:hAnsi="Century" w:cs="Times New Roman"/>
          <w:bCs/>
          <w:lang w:val="en-GB"/>
        </w:rPr>
      </w:pPr>
    </w:p>
    <w:p w14:paraId="24359BD2" w14:textId="37A78F5F" w:rsidR="00582482" w:rsidRPr="003A6DFC" w:rsidRDefault="00582482" w:rsidP="00A86B4E">
      <w:pPr>
        <w:spacing w:after="0" w:line="360" w:lineRule="auto"/>
        <w:ind w:firstLine="709"/>
        <w:jc w:val="both"/>
        <w:rPr>
          <w:rFonts w:ascii="Century" w:hAnsi="Century" w:cs="Times New Roman"/>
          <w:bCs/>
          <w:lang w:val="en-GB"/>
        </w:rPr>
      </w:pPr>
    </w:p>
    <w:p w14:paraId="3233FF50" w14:textId="0FD664B3" w:rsidR="00582482" w:rsidRPr="003A6DFC" w:rsidRDefault="00582482" w:rsidP="00A86B4E">
      <w:pPr>
        <w:spacing w:after="0" w:line="360" w:lineRule="auto"/>
        <w:ind w:firstLine="709"/>
        <w:jc w:val="both"/>
        <w:rPr>
          <w:rFonts w:ascii="Century" w:hAnsi="Century" w:cs="Times New Roman"/>
          <w:bCs/>
          <w:lang w:val="en-GB"/>
        </w:rPr>
      </w:pPr>
    </w:p>
    <w:p w14:paraId="2EE1E931" w14:textId="77777777" w:rsidR="00582482" w:rsidRPr="003A6DFC" w:rsidRDefault="00582482" w:rsidP="00A86B4E">
      <w:pPr>
        <w:spacing w:after="0" w:line="360" w:lineRule="auto"/>
        <w:ind w:firstLine="709"/>
        <w:jc w:val="both"/>
        <w:rPr>
          <w:rFonts w:ascii="Century" w:hAnsi="Century" w:cs="Times New Roman"/>
          <w:bCs/>
          <w:lang w:val="en-GB"/>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D7778F" w:rsidRPr="003A6DFC" w14:paraId="1E7A1C18" w14:textId="77777777" w:rsidTr="00591883">
        <w:tc>
          <w:tcPr>
            <w:tcW w:w="9026" w:type="dxa"/>
          </w:tcPr>
          <w:p w14:paraId="5CA26BBA" w14:textId="77777777" w:rsidR="00582482" w:rsidRPr="003A6DFC" w:rsidRDefault="00582482" w:rsidP="00290856">
            <w:pPr>
              <w:tabs>
                <w:tab w:val="left" w:pos="1786"/>
              </w:tabs>
              <w:jc w:val="both"/>
              <w:rPr>
                <w:rFonts w:ascii="Century" w:hAnsi="Century" w:cs="Times New Roman"/>
                <w:b/>
                <w:bCs/>
                <w:lang w:val="en-GB"/>
              </w:rPr>
            </w:pPr>
          </w:p>
          <w:p w14:paraId="01667D57" w14:textId="77777777" w:rsidR="00582482" w:rsidRPr="003A6DFC" w:rsidRDefault="00582482" w:rsidP="00290856">
            <w:pPr>
              <w:tabs>
                <w:tab w:val="left" w:pos="1786"/>
              </w:tabs>
              <w:jc w:val="both"/>
              <w:rPr>
                <w:rFonts w:ascii="Century" w:hAnsi="Century" w:cs="Times New Roman"/>
                <w:b/>
                <w:bCs/>
                <w:lang w:val="en-GB"/>
              </w:rPr>
            </w:pPr>
          </w:p>
          <w:p w14:paraId="4E524D1E" w14:textId="77777777" w:rsidR="00582482" w:rsidRPr="003A6DFC" w:rsidRDefault="00582482" w:rsidP="00290856">
            <w:pPr>
              <w:tabs>
                <w:tab w:val="left" w:pos="1786"/>
              </w:tabs>
              <w:jc w:val="both"/>
              <w:rPr>
                <w:rFonts w:ascii="Century" w:hAnsi="Century" w:cs="Times New Roman"/>
                <w:b/>
                <w:bCs/>
                <w:lang w:val="en-GB"/>
              </w:rPr>
            </w:pPr>
          </w:p>
          <w:p w14:paraId="3922C424" w14:textId="77777777" w:rsidR="00582482" w:rsidRPr="003A6DFC" w:rsidRDefault="00582482" w:rsidP="00290856">
            <w:pPr>
              <w:tabs>
                <w:tab w:val="left" w:pos="1786"/>
              </w:tabs>
              <w:jc w:val="both"/>
              <w:rPr>
                <w:rFonts w:ascii="Century" w:hAnsi="Century" w:cs="Times New Roman"/>
                <w:b/>
                <w:bCs/>
                <w:lang w:val="en-GB"/>
              </w:rPr>
            </w:pPr>
          </w:p>
          <w:p w14:paraId="693270F9" w14:textId="77777777" w:rsidR="00582482" w:rsidRPr="003A6DFC" w:rsidRDefault="00582482" w:rsidP="00290856">
            <w:pPr>
              <w:tabs>
                <w:tab w:val="left" w:pos="1786"/>
              </w:tabs>
              <w:jc w:val="both"/>
              <w:rPr>
                <w:rFonts w:ascii="Century" w:hAnsi="Century" w:cs="Times New Roman"/>
                <w:b/>
                <w:bCs/>
                <w:lang w:val="en-GB"/>
              </w:rPr>
            </w:pPr>
          </w:p>
          <w:p w14:paraId="5564156F" w14:textId="77777777" w:rsidR="00582482" w:rsidRPr="003A6DFC" w:rsidRDefault="00582482" w:rsidP="00290856">
            <w:pPr>
              <w:tabs>
                <w:tab w:val="left" w:pos="1786"/>
              </w:tabs>
              <w:jc w:val="both"/>
              <w:rPr>
                <w:rFonts w:ascii="Century" w:hAnsi="Century" w:cs="Times New Roman"/>
                <w:b/>
                <w:bCs/>
                <w:lang w:val="en-GB"/>
              </w:rPr>
            </w:pPr>
          </w:p>
          <w:p w14:paraId="70381B10" w14:textId="77777777" w:rsidR="00582482" w:rsidRPr="003A6DFC" w:rsidRDefault="00582482" w:rsidP="00290856">
            <w:pPr>
              <w:tabs>
                <w:tab w:val="left" w:pos="1786"/>
              </w:tabs>
              <w:jc w:val="both"/>
              <w:rPr>
                <w:rFonts w:ascii="Century" w:hAnsi="Century" w:cs="Times New Roman"/>
                <w:b/>
                <w:bCs/>
                <w:lang w:val="en-GB"/>
              </w:rPr>
            </w:pPr>
          </w:p>
          <w:p w14:paraId="3F363ACA" w14:textId="7B972374" w:rsidR="00D7778F" w:rsidRPr="003A6DFC" w:rsidRDefault="00C611D2" w:rsidP="00290856">
            <w:pPr>
              <w:tabs>
                <w:tab w:val="left" w:pos="1786"/>
              </w:tabs>
              <w:jc w:val="both"/>
              <w:rPr>
                <w:rFonts w:ascii="Century" w:hAnsi="Century" w:cs="Times New Roman"/>
                <w:b/>
                <w:bCs/>
                <w:lang w:val="en-GB"/>
              </w:rPr>
            </w:pPr>
            <w:r w:rsidRPr="003A6DFC">
              <w:rPr>
                <w:rFonts w:ascii="Century" w:hAnsi="Century" w:cs="Times New Roman"/>
                <w:b/>
                <w:bCs/>
                <w:lang w:val="en-GB"/>
              </w:rPr>
              <w:t xml:space="preserve">Figure 4. </w:t>
            </w:r>
            <w:r w:rsidR="00D7778F" w:rsidRPr="003A6DFC">
              <w:rPr>
                <w:rFonts w:ascii="Century" w:hAnsi="Century" w:cs="Times New Roman"/>
                <w:b/>
                <w:bCs/>
                <w:lang w:val="en-GB"/>
              </w:rPr>
              <w:t xml:space="preserve"> </w:t>
            </w:r>
            <w:r w:rsidR="00290856" w:rsidRPr="003A6DFC">
              <w:rPr>
                <w:rFonts w:ascii="Century" w:hAnsi="Century" w:cs="Times New Roman"/>
                <w:b/>
                <w:bCs/>
                <w:lang w:val="en-GB"/>
              </w:rPr>
              <w:t>C</w:t>
            </w:r>
            <w:r w:rsidRPr="003A6DFC">
              <w:rPr>
                <w:rFonts w:ascii="Century" w:hAnsi="Century" w:cs="Times New Roman"/>
                <w:b/>
                <w:bCs/>
                <w:lang w:val="en-GB"/>
              </w:rPr>
              <w:t xml:space="preserve">oefficient estimates from biomarkers in </w:t>
            </w:r>
            <w:r w:rsidR="00290856" w:rsidRPr="003A6DFC">
              <w:rPr>
                <w:rFonts w:ascii="Century" w:hAnsi="Century" w:cs="Times New Roman"/>
                <w:b/>
                <w:bCs/>
                <w:lang w:val="en-GB"/>
              </w:rPr>
              <w:t xml:space="preserve">self-completion and open interview </w:t>
            </w:r>
            <w:r w:rsidRPr="003A6DFC">
              <w:rPr>
                <w:rFonts w:ascii="Century" w:hAnsi="Century" w:cs="Times New Roman"/>
                <w:b/>
                <w:bCs/>
                <w:lang w:val="en-GB"/>
              </w:rPr>
              <w:t>SAH regression models</w:t>
            </w:r>
            <w:r w:rsidR="00290856" w:rsidRPr="003A6DFC">
              <w:rPr>
                <w:rFonts w:ascii="Century" w:hAnsi="Century" w:cs="Times New Roman"/>
                <w:b/>
                <w:bCs/>
                <w:lang w:val="en-GB"/>
              </w:rPr>
              <w:t>.</w:t>
            </w:r>
          </w:p>
        </w:tc>
      </w:tr>
      <w:tr w:rsidR="00D7778F" w:rsidRPr="003A6DFC" w14:paraId="5712A276" w14:textId="77777777" w:rsidTr="00591883">
        <w:tc>
          <w:tcPr>
            <w:tcW w:w="9026" w:type="dxa"/>
          </w:tcPr>
          <w:p w14:paraId="4D948DD9" w14:textId="1A57C46B" w:rsidR="00D7778F" w:rsidRPr="003A6DFC" w:rsidRDefault="00521049" w:rsidP="00C611D2">
            <w:pPr>
              <w:tabs>
                <w:tab w:val="left" w:pos="1786"/>
              </w:tabs>
              <w:jc w:val="center"/>
              <w:rPr>
                <w:rFonts w:ascii="Century" w:hAnsi="Century" w:cs="Times New Roman"/>
                <w:lang w:val="en-GB"/>
              </w:rPr>
            </w:pPr>
            <w:r w:rsidRPr="003A6DFC">
              <w:rPr>
                <w:rFonts w:ascii="Century" w:hAnsi="Century" w:cs="Times New Roman"/>
                <w:noProof/>
                <w:lang w:val="en-GB"/>
              </w:rPr>
              <w:drawing>
                <wp:inline distT="0" distB="0" distL="0" distR="0" wp14:anchorId="2B65B630" wp14:editId="5BD04603">
                  <wp:extent cx="5731510" cy="4165600"/>
                  <wp:effectExtent l="0" t="0" r="2540" b="6350"/>
                  <wp:docPr id="6" name="Picture 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scatter chart&#10;&#10;Description automatically generated"/>
                          <pic:cNvPicPr/>
                        </pic:nvPicPr>
                        <pic:blipFill>
                          <a:blip r:embed="rId17"/>
                          <a:stretch>
                            <a:fillRect/>
                          </a:stretch>
                        </pic:blipFill>
                        <pic:spPr>
                          <a:xfrm>
                            <a:off x="0" y="0"/>
                            <a:ext cx="5731510" cy="4165600"/>
                          </a:xfrm>
                          <a:prstGeom prst="rect">
                            <a:avLst/>
                          </a:prstGeom>
                        </pic:spPr>
                      </pic:pic>
                    </a:graphicData>
                  </a:graphic>
                </wp:inline>
              </w:drawing>
            </w:r>
          </w:p>
        </w:tc>
      </w:tr>
      <w:tr w:rsidR="00D7778F" w:rsidRPr="003A6DFC" w14:paraId="7A572F2C" w14:textId="77777777" w:rsidTr="00591883">
        <w:tc>
          <w:tcPr>
            <w:tcW w:w="9026" w:type="dxa"/>
          </w:tcPr>
          <w:p w14:paraId="00EF608A" w14:textId="3CFD595C" w:rsidR="00D7778F" w:rsidRPr="003A6DFC" w:rsidRDefault="00290856" w:rsidP="00290856">
            <w:pPr>
              <w:tabs>
                <w:tab w:val="left" w:pos="1786"/>
              </w:tabs>
              <w:jc w:val="both"/>
              <w:rPr>
                <w:rFonts w:ascii="Century" w:hAnsi="Century" w:cs="Times New Roman"/>
                <w:sz w:val="20"/>
                <w:szCs w:val="20"/>
                <w:lang w:val="en-GB"/>
              </w:rPr>
            </w:pPr>
            <w:r w:rsidRPr="003A6DFC">
              <w:rPr>
                <w:rFonts w:ascii="Century" w:hAnsi="Century" w:cs="Times New Roman"/>
                <w:sz w:val="20"/>
                <w:szCs w:val="20"/>
                <w:lang w:val="en-GB"/>
              </w:rPr>
              <w:t xml:space="preserve">Notes: Each of the biomarkers (and allostatic load) are included separately in linear regression models of SAH outcomes measured using the self-completion and the open interview mode. </w:t>
            </w:r>
            <w:r w:rsidR="001374D6" w:rsidRPr="003A6DFC">
              <w:rPr>
                <w:rFonts w:ascii="Century" w:hAnsi="Century" w:cs="Times New Roman"/>
                <w:sz w:val="20"/>
                <w:szCs w:val="20"/>
                <w:lang w:val="en-GB"/>
              </w:rPr>
              <w:t>Higher SAH</w:t>
            </w:r>
            <w:r w:rsidR="007F35E8" w:rsidRPr="003A6DFC">
              <w:rPr>
                <w:rFonts w:ascii="Century" w:hAnsi="Century" w:cs="Times New Roman"/>
                <w:sz w:val="20"/>
                <w:szCs w:val="20"/>
                <w:lang w:val="en-GB"/>
              </w:rPr>
              <w:t xml:space="preserve"> values</w:t>
            </w:r>
            <w:r w:rsidR="001374D6" w:rsidRPr="003A6DFC">
              <w:rPr>
                <w:rFonts w:ascii="Century" w:hAnsi="Century" w:cs="Times New Roman"/>
                <w:sz w:val="20"/>
                <w:szCs w:val="20"/>
                <w:lang w:val="en-GB"/>
              </w:rPr>
              <w:t xml:space="preserve"> indicate a better health state. </w:t>
            </w:r>
            <w:r w:rsidRPr="003A6DFC">
              <w:rPr>
                <w:rFonts w:ascii="Century" w:hAnsi="Century" w:cs="Times New Roman"/>
                <w:sz w:val="20"/>
                <w:szCs w:val="20"/>
                <w:lang w:val="en-GB"/>
              </w:rPr>
              <w:t>All regressions account for age dummies, gender</w:t>
            </w:r>
            <w:r w:rsidR="00E02202" w:rsidRPr="003A6DFC">
              <w:rPr>
                <w:rFonts w:ascii="Century" w:hAnsi="Century" w:cs="Times New Roman"/>
                <w:sz w:val="20"/>
                <w:szCs w:val="20"/>
                <w:lang w:val="en-GB"/>
              </w:rPr>
              <w:t xml:space="preserve">, regional </w:t>
            </w:r>
            <w:proofErr w:type="gramStart"/>
            <w:r w:rsidR="00E02202" w:rsidRPr="003A6DFC">
              <w:rPr>
                <w:rFonts w:ascii="Century" w:hAnsi="Century" w:cs="Times New Roman"/>
                <w:sz w:val="20"/>
                <w:szCs w:val="20"/>
                <w:lang w:val="en-GB"/>
              </w:rPr>
              <w:t>dummies</w:t>
            </w:r>
            <w:proofErr w:type="gramEnd"/>
            <w:r w:rsidRPr="003A6DFC">
              <w:rPr>
                <w:rFonts w:ascii="Century" w:hAnsi="Century" w:cs="Times New Roman"/>
                <w:sz w:val="20"/>
                <w:szCs w:val="20"/>
                <w:lang w:val="en-GB"/>
              </w:rPr>
              <w:t xml:space="preserve"> and wave fixed effects. </w:t>
            </w:r>
            <w:r w:rsidR="00B1522E" w:rsidRPr="003A6DFC">
              <w:rPr>
                <w:rFonts w:ascii="Century" w:hAnsi="Century" w:cs="Times New Roman"/>
                <w:sz w:val="20"/>
                <w:szCs w:val="20"/>
                <w:lang w:val="en-GB"/>
              </w:rPr>
              <w:t xml:space="preserve">Sample size: 5,907 observations. </w:t>
            </w:r>
          </w:p>
        </w:tc>
      </w:tr>
    </w:tbl>
    <w:p w14:paraId="33C7B1B6" w14:textId="4D55064E" w:rsidR="00A86B4E" w:rsidRPr="003A6DFC" w:rsidRDefault="00A86B4E" w:rsidP="00A86B4E">
      <w:pPr>
        <w:tabs>
          <w:tab w:val="left" w:pos="1786"/>
        </w:tabs>
        <w:rPr>
          <w:rFonts w:ascii="Century" w:hAnsi="Century" w:cs="Times New Roman"/>
          <w:lang w:val="en-GB"/>
        </w:rPr>
      </w:pPr>
    </w:p>
    <w:p w14:paraId="107A4B45" w14:textId="2FBB1AA1" w:rsidR="00C25A0E" w:rsidRPr="003A6DFC" w:rsidRDefault="00C25A0E" w:rsidP="00156098">
      <w:pPr>
        <w:spacing w:after="0" w:line="360" w:lineRule="auto"/>
        <w:jc w:val="both"/>
        <w:rPr>
          <w:rFonts w:ascii="Century" w:hAnsi="Century" w:cs="Times New Roman"/>
          <w:b/>
          <w:sz w:val="32"/>
          <w:szCs w:val="32"/>
          <w:lang w:val="en-GB"/>
        </w:rPr>
      </w:pPr>
      <w:r w:rsidRPr="003A6DFC">
        <w:rPr>
          <w:rFonts w:ascii="Century" w:hAnsi="Century" w:cs="Times New Roman"/>
          <w:b/>
          <w:sz w:val="32"/>
          <w:szCs w:val="32"/>
          <w:lang w:val="en-GB"/>
        </w:rPr>
        <w:br w:type="page"/>
      </w:r>
    </w:p>
    <w:p w14:paraId="357AE60F" w14:textId="555EEF35" w:rsidR="00156098" w:rsidRPr="003A6DFC" w:rsidRDefault="009A3D9D" w:rsidP="00156098">
      <w:pPr>
        <w:spacing w:after="0" w:line="360" w:lineRule="auto"/>
        <w:jc w:val="both"/>
        <w:rPr>
          <w:rFonts w:ascii="Century" w:hAnsi="Century" w:cs="Times New Roman"/>
          <w:b/>
          <w:sz w:val="28"/>
          <w:szCs w:val="28"/>
          <w:lang w:val="en-GB"/>
        </w:rPr>
      </w:pPr>
      <w:r w:rsidRPr="003A6DFC">
        <w:rPr>
          <w:rFonts w:ascii="Century" w:hAnsi="Century" w:cs="Times New Roman"/>
          <w:b/>
          <w:sz w:val="28"/>
          <w:szCs w:val="28"/>
          <w:lang w:val="en-GB"/>
        </w:rPr>
        <w:lastRenderedPageBreak/>
        <w:t>6</w:t>
      </w:r>
      <w:r w:rsidR="00156098" w:rsidRPr="003A6DFC">
        <w:rPr>
          <w:rFonts w:ascii="Century" w:hAnsi="Century" w:cs="Times New Roman"/>
          <w:b/>
          <w:sz w:val="28"/>
          <w:szCs w:val="28"/>
          <w:lang w:val="en-GB"/>
        </w:rPr>
        <w:t>. Conclusion</w:t>
      </w:r>
    </w:p>
    <w:p w14:paraId="3D2D65FC" w14:textId="77777777" w:rsidR="005453C3" w:rsidRPr="003A6DFC" w:rsidRDefault="005453C3" w:rsidP="0082575C">
      <w:pPr>
        <w:spacing w:after="0" w:line="360" w:lineRule="auto"/>
        <w:ind w:firstLine="708"/>
        <w:jc w:val="both"/>
        <w:rPr>
          <w:rFonts w:ascii="Century" w:hAnsi="Century" w:cs="Times New Roman"/>
          <w:lang w:val="en-GB"/>
        </w:rPr>
      </w:pPr>
    </w:p>
    <w:p w14:paraId="4BDDE941" w14:textId="1FA14F89" w:rsidR="0069402F" w:rsidRPr="003A6DFC" w:rsidRDefault="00695A30" w:rsidP="00C32115">
      <w:pPr>
        <w:spacing w:after="0" w:line="360" w:lineRule="auto"/>
        <w:jc w:val="both"/>
        <w:rPr>
          <w:rFonts w:ascii="Century" w:hAnsi="Century" w:cs="Times New Roman"/>
          <w:b/>
          <w:lang w:val="en-GB"/>
        </w:rPr>
      </w:pPr>
      <w:r w:rsidRPr="003A6DFC">
        <w:rPr>
          <w:rFonts w:ascii="Century" w:hAnsi="Century" w:cs="Times New Roman"/>
          <w:lang w:val="en-GB"/>
        </w:rPr>
        <w:t xml:space="preserve">Beyond concerns </w:t>
      </w:r>
      <w:r w:rsidR="00E15EB0" w:rsidRPr="003A6DFC">
        <w:rPr>
          <w:rFonts w:ascii="Century" w:hAnsi="Century" w:cs="Times New Roman"/>
          <w:lang w:val="en-GB"/>
        </w:rPr>
        <w:t>to</w:t>
      </w:r>
      <w:r w:rsidRPr="003A6DFC">
        <w:rPr>
          <w:rFonts w:ascii="Century" w:hAnsi="Century" w:cs="Times New Roman"/>
          <w:lang w:val="en-GB"/>
        </w:rPr>
        <w:t xml:space="preserve"> better understan</w:t>
      </w:r>
      <w:r w:rsidR="00E15EB0" w:rsidRPr="003A6DFC">
        <w:rPr>
          <w:rFonts w:ascii="Century" w:hAnsi="Century" w:cs="Times New Roman"/>
          <w:lang w:val="en-GB"/>
        </w:rPr>
        <w:t>d</w:t>
      </w:r>
      <w:r w:rsidRPr="003A6DFC">
        <w:rPr>
          <w:rFonts w:ascii="Century" w:hAnsi="Century" w:cs="Times New Roman"/>
          <w:lang w:val="en-GB"/>
        </w:rPr>
        <w:t xml:space="preserve"> the extent to which SAH can be interpreted as a good proxy of individual’s underlying health, there is a s</w:t>
      </w:r>
      <w:r w:rsidR="00E15EB0" w:rsidRPr="003A6DFC">
        <w:rPr>
          <w:rFonts w:ascii="Century" w:hAnsi="Century" w:cs="Times New Roman"/>
          <w:lang w:val="en-GB"/>
        </w:rPr>
        <w:t>mall</w:t>
      </w:r>
      <w:r w:rsidRPr="003A6DFC">
        <w:rPr>
          <w:rFonts w:ascii="Century" w:hAnsi="Century" w:cs="Times New Roman"/>
          <w:lang w:val="en-GB"/>
        </w:rPr>
        <w:t xml:space="preserve"> literature on whether individuals </w:t>
      </w:r>
      <w:r w:rsidR="005C336F" w:rsidRPr="003A6DFC">
        <w:rPr>
          <w:rFonts w:ascii="Century" w:hAnsi="Century" w:cs="Times New Roman"/>
          <w:lang w:val="en-GB"/>
        </w:rPr>
        <w:t>answer</w:t>
      </w:r>
      <w:r w:rsidRPr="003A6DFC">
        <w:rPr>
          <w:rFonts w:ascii="Century" w:hAnsi="Century" w:cs="Times New Roman"/>
          <w:lang w:val="en-GB"/>
        </w:rPr>
        <w:t xml:space="preserve"> SAH questions consistently.</w:t>
      </w:r>
      <w:r w:rsidRPr="003A6DFC">
        <w:t xml:space="preserve"> </w:t>
      </w:r>
      <w:r w:rsidRPr="003A6DFC">
        <w:rPr>
          <w:rFonts w:ascii="Century" w:hAnsi="Century" w:cs="Times New Roman"/>
          <w:lang w:val="en-GB"/>
        </w:rPr>
        <w:t xml:space="preserve">We </w:t>
      </w:r>
      <w:r w:rsidR="00E15EB0" w:rsidRPr="003A6DFC">
        <w:rPr>
          <w:rFonts w:ascii="Century" w:hAnsi="Century" w:cs="Times New Roman"/>
          <w:lang w:val="en-GB"/>
        </w:rPr>
        <w:t xml:space="preserve">add to this and </w:t>
      </w:r>
      <w:r w:rsidRPr="003A6DFC">
        <w:rPr>
          <w:rFonts w:ascii="Century" w:hAnsi="Century" w:cs="Times New Roman"/>
          <w:lang w:val="en-GB"/>
        </w:rPr>
        <w:t>capitali</w:t>
      </w:r>
      <w:r w:rsidR="00E15EB0" w:rsidRPr="003A6DFC">
        <w:rPr>
          <w:rFonts w:ascii="Century" w:hAnsi="Century" w:cs="Times New Roman"/>
          <w:lang w:val="en-GB"/>
        </w:rPr>
        <w:t>s</w:t>
      </w:r>
      <w:r w:rsidRPr="003A6DFC">
        <w:rPr>
          <w:rFonts w:ascii="Century" w:hAnsi="Century" w:cs="Times New Roman"/>
          <w:lang w:val="en-GB"/>
        </w:rPr>
        <w:t xml:space="preserve">e on the rare opportunity provided by the UKHLS asking respondents the same SAH question with identical wording twice (one with a self-completion and one with an open interview mode), within the same household interview, at UKHLS Waves 2, 3, 4 and 5. Descriptive analysis shows </w:t>
      </w:r>
      <w:r w:rsidR="00E15EB0" w:rsidRPr="003A6DFC">
        <w:rPr>
          <w:rFonts w:ascii="Century" w:hAnsi="Century" w:cs="Times New Roman"/>
          <w:lang w:val="en-GB"/>
        </w:rPr>
        <w:t>substantial</w:t>
      </w:r>
      <w:r w:rsidR="0082575C" w:rsidRPr="003A6DFC">
        <w:rPr>
          <w:rFonts w:ascii="Century" w:hAnsi="Century" w:cs="Times New Roman"/>
          <w:lang w:val="en-GB"/>
        </w:rPr>
        <w:t xml:space="preserve"> </w:t>
      </w:r>
      <w:r w:rsidRPr="003A6DFC">
        <w:rPr>
          <w:rFonts w:ascii="Century" w:hAnsi="Century" w:cs="Times New Roman"/>
          <w:lang w:val="en-GB"/>
        </w:rPr>
        <w:t>inconsistency in reporting behavio</w:t>
      </w:r>
      <w:r w:rsidR="00E15EB0" w:rsidRPr="003A6DFC">
        <w:rPr>
          <w:rFonts w:ascii="Century" w:hAnsi="Century" w:cs="Times New Roman"/>
          <w:lang w:val="en-GB"/>
        </w:rPr>
        <w:t>u</w:t>
      </w:r>
      <w:r w:rsidRPr="003A6DFC">
        <w:rPr>
          <w:rFonts w:ascii="Century" w:hAnsi="Century" w:cs="Times New Roman"/>
          <w:lang w:val="en-GB"/>
        </w:rPr>
        <w:t>r</w:t>
      </w:r>
      <w:r w:rsidR="00E15EB0" w:rsidRPr="003A6DFC">
        <w:rPr>
          <w:rFonts w:ascii="Century" w:hAnsi="Century" w:cs="Times New Roman"/>
          <w:lang w:val="en-GB"/>
        </w:rPr>
        <w:t>.</w:t>
      </w:r>
      <w:r w:rsidRPr="003A6DFC">
        <w:rPr>
          <w:rFonts w:ascii="Century" w:hAnsi="Century" w:cs="Times New Roman"/>
          <w:lang w:val="en-GB"/>
        </w:rPr>
        <w:t xml:space="preserve"> </w:t>
      </w:r>
      <w:r w:rsidR="00E15EB0" w:rsidRPr="003A6DFC">
        <w:rPr>
          <w:rFonts w:ascii="Century" w:hAnsi="Century" w:cs="Times New Roman"/>
          <w:lang w:val="en-GB"/>
        </w:rPr>
        <w:t>W</w:t>
      </w:r>
      <w:r w:rsidRPr="003A6DFC">
        <w:rPr>
          <w:rFonts w:ascii="Century" w:hAnsi="Century" w:cs="Times New Roman"/>
          <w:lang w:val="en-GB"/>
        </w:rPr>
        <w:t>ithin each wave</w:t>
      </w:r>
      <w:r w:rsidR="00E15EB0" w:rsidRPr="003A6DFC">
        <w:rPr>
          <w:rFonts w:ascii="Century" w:hAnsi="Century" w:cs="Times New Roman"/>
          <w:lang w:val="en-GB"/>
        </w:rPr>
        <w:t>,</w:t>
      </w:r>
      <w:r w:rsidRPr="003A6DFC">
        <w:rPr>
          <w:rFonts w:ascii="Century" w:hAnsi="Century" w:cs="Times New Roman"/>
          <w:lang w:val="en-GB"/>
        </w:rPr>
        <w:t xml:space="preserve"> </w:t>
      </w:r>
      <w:r w:rsidR="0082575C" w:rsidRPr="003A6DFC">
        <w:rPr>
          <w:rFonts w:ascii="Century" w:hAnsi="Century" w:cs="Times New Roman"/>
          <w:lang w:val="en-GB"/>
        </w:rPr>
        <w:t xml:space="preserve">about 11%-24% of those </w:t>
      </w:r>
      <w:r w:rsidR="00E15EB0" w:rsidRPr="003A6DFC">
        <w:rPr>
          <w:rFonts w:ascii="Century" w:hAnsi="Century" w:cs="Times New Roman"/>
          <w:lang w:val="en-GB"/>
        </w:rPr>
        <w:t xml:space="preserve">who </w:t>
      </w:r>
      <w:r w:rsidR="0082575C" w:rsidRPr="003A6DFC">
        <w:rPr>
          <w:rFonts w:ascii="Century" w:hAnsi="Century" w:cs="Times New Roman"/>
          <w:lang w:val="en-GB"/>
        </w:rPr>
        <w:t xml:space="preserve">reported a </w:t>
      </w:r>
      <w:r w:rsidR="00E15EB0" w:rsidRPr="003A6DFC">
        <w:rPr>
          <w:rFonts w:ascii="Century" w:hAnsi="Century" w:cs="Times New Roman"/>
          <w:lang w:val="en-GB"/>
        </w:rPr>
        <w:t>given</w:t>
      </w:r>
      <w:r w:rsidR="0082575C" w:rsidRPr="003A6DFC">
        <w:rPr>
          <w:rFonts w:ascii="Century" w:hAnsi="Century" w:cs="Times New Roman"/>
          <w:lang w:val="en-GB"/>
        </w:rPr>
        <w:t xml:space="preserve"> SAH category in self-completion mode</w:t>
      </w:r>
      <w:r w:rsidR="00E15EB0" w:rsidRPr="003A6DFC">
        <w:rPr>
          <w:rFonts w:ascii="Century" w:hAnsi="Century" w:cs="Times New Roman"/>
          <w:lang w:val="en-GB"/>
        </w:rPr>
        <w:t xml:space="preserve"> </w:t>
      </w:r>
      <w:r w:rsidR="0082575C" w:rsidRPr="003A6DFC">
        <w:rPr>
          <w:rFonts w:ascii="Century" w:hAnsi="Century" w:cs="Times New Roman"/>
          <w:lang w:val="en-GB"/>
        </w:rPr>
        <w:t xml:space="preserve">reported inconsistently in the open interview, with </w:t>
      </w:r>
      <w:proofErr w:type="gramStart"/>
      <w:r w:rsidR="0082575C" w:rsidRPr="003A6DFC">
        <w:rPr>
          <w:rFonts w:ascii="Century" w:hAnsi="Century" w:cs="Times New Roman"/>
          <w:lang w:val="en-GB"/>
        </w:rPr>
        <w:t>the majority of</w:t>
      </w:r>
      <w:proofErr w:type="gramEnd"/>
      <w:r w:rsidR="0082575C" w:rsidRPr="003A6DFC">
        <w:rPr>
          <w:rFonts w:ascii="Century" w:hAnsi="Century" w:cs="Times New Roman"/>
          <w:lang w:val="en-GB"/>
        </w:rPr>
        <w:t xml:space="preserve"> the inconsistent responses concentrated </w:t>
      </w:r>
      <w:r w:rsidR="00E15EB0" w:rsidRPr="003A6DFC">
        <w:rPr>
          <w:rFonts w:ascii="Century" w:hAnsi="Century" w:cs="Times New Roman"/>
          <w:lang w:val="en-GB"/>
        </w:rPr>
        <w:t>in</w:t>
      </w:r>
      <w:r w:rsidR="0082575C" w:rsidRPr="003A6DFC">
        <w:rPr>
          <w:rFonts w:ascii="Century" w:hAnsi="Century" w:cs="Times New Roman"/>
          <w:lang w:val="en-GB"/>
        </w:rPr>
        <w:t xml:space="preserve"> the SAH categories </w:t>
      </w:r>
      <w:r w:rsidR="00E15EB0" w:rsidRPr="003A6DFC">
        <w:rPr>
          <w:rFonts w:ascii="Century" w:hAnsi="Century" w:cs="Times New Roman"/>
          <w:lang w:val="en-GB"/>
        </w:rPr>
        <w:t>adjacent</w:t>
      </w:r>
      <w:r w:rsidR="0082575C" w:rsidRPr="003A6DFC">
        <w:rPr>
          <w:rFonts w:ascii="Century" w:hAnsi="Century" w:cs="Times New Roman"/>
          <w:lang w:val="en-GB"/>
        </w:rPr>
        <w:t xml:space="preserve"> to their self-completion responses.</w:t>
      </w:r>
      <w:r w:rsidR="0082575C" w:rsidRPr="003A6DFC">
        <w:rPr>
          <w:rFonts w:ascii="Century" w:hAnsi="Century" w:cs="Times New Roman"/>
          <w:b/>
          <w:lang w:val="en-GB"/>
        </w:rPr>
        <w:t xml:space="preserve"> </w:t>
      </w:r>
      <w:r w:rsidR="0082575C" w:rsidRPr="003A6DFC">
        <w:rPr>
          <w:rFonts w:ascii="Century" w:hAnsi="Century" w:cs="Times New Roman"/>
          <w:bCs/>
          <w:lang w:val="en-GB"/>
        </w:rPr>
        <w:t xml:space="preserve">Descriptive analysis of </w:t>
      </w:r>
      <w:r w:rsidR="00D4733F" w:rsidRPr="003A6DFC">
        <w:rPr>
          <w:rFonts w:ascii="Century" w:hAnsi="Century" w:cs="Times New Roman"/>
          <w:bCs/>
          <w:lang w:val="en-GB"/>
        </w:rPr>
        <w:t>the sequences of reporting reveals</w:t>
      </w:r>
      <w:r w:rsidR="00E81808" w:rsidRPr="003A6DFC">
        <w:rPr>
          <w:rFonts w:ascii="Century" w:hAnsi="Century" w:cs="Times New Roman"/>
          <w:bCs/>
          <w:lang w:val="en-GB"/>
        </w:rPr>
        <w:t xml:space="preserve"> </w:t>
      </w:r>
      <w:r w:rsidR="00E15EB0" w:rsidRPr="003A6DFC">
        <w:rPr>
          <w:rFonts w:ascii="Century" w:hAnsi="Century" w:cs="Times New Roman"/>
          <w:bCs/>
          <w:lang w:val="en-GB"/>
        </w:rPr>
        <w:t>that only</w:t>
      </w:r>
      <w:r w:rsidR="00D4733F" w:rsidRPr="003A6DFC">
        <w:rPr>
          <w:rFonts w:ascii="Century" w:hAnsi="Century" w:cs="Times New Roman"/>
          <w:bCs/>
          <w:lang w:val="en-GB"/>
        </w:rPr>
        <w:t xml:space="preserve"> 43% of sample members </w:t>
      </w:r>
      <w:r w:rsidR="00E15EB0" w:rsidRPr="003A6DFC">
        <w:rPr>
          <w:rFonts w:ascii="Century" w:hAnsi="Century" w:cs="Times New Roman"/>
          <w:bCs/>
          <w:lang w:val="en-GB"/>
        </w:rPr>
        <w:t xml:space="preserve">are </w:t>
      </w:r>
      <w:r w:rsidR="00E81808" w:rsidRPr="003A6DFC">
        <w:rPr>
          <w:rFonts w:ascii="Century" w:hAnsi="Century" w:cs="Times New Roman"/>
          <w:bCs/>
          <w:lang w:val="en-GB"/>
        </w:rPr>
        <w:t>“always consistent”</w:t>
      </w:r>
      <w:r w:rsidR="00E15EB0" w:rsidRPr="003A6DFC">
        <w:rPr>
          <w:rFonts w:ascii="Century" w:hAnsi="Century" w:cs="Times New Roman"/>
          <w:bCs/>
          <w:lang w:val="en-GB"/>
        </w:rPr>
        <w:t>.</w:t>
      </w:r>
      <w:r w:rsidR="00E81808" w:rsidRPr="003A6DFC">
        <w:rPr>
          <w:rFonts w:ascii="Century" w:hAnsi="Century" w:cs="Times New Roman"/>
          <w:bCs/>
          <w:lang w:val="en-GB"/>
        </w:rPr>
        <w:t xml:space="preserve"> </w:t>
      </w:r>
    </w:p>
    <w:p w14:paraId="1F1E0920" w14:textId="5EAA1C89" w:rsidR="00AC77FE" w:rsidRPr="003A6DFC" w:rsidRDefault="00163C88" w:rsidP="00163C88">
      <w:pPr>
        <w:spacing w:after="0" w:line="360" w:lineRule="auto"/>
        <w:ind w:firstLine="708"/>
        <w:jc w:val="both"/>
        <w:rPr>
          <w:rFonts w:ascii="Century" w:hAnsi="Century" w:cs="Times New Roman"/>
          <w:lang w:val="en-GB"/>
        </w:rPr>
      </w:pPr>
      <w:r w:rsidRPr="003A6DFC">
        <w:rPr>
          <w:rFonts w:ascii="Century" w:hAnsi="Century" w:cs="Times New Roman"/>
          <w:bCs/>
          <w:lang w:val="en-GB"/>
        </w:rPr>
        <w:t>W</w:t>
      </w:r>
      <w:r w:rsidR="00E81808" w:rsidRPr="003A6DFC">
        <w:rPr>
          <w:rFonts w:ascii="Century" w:hAnsi="Century" w:cs="Times New Roman"/>
          <w:bCs/>
          <w:lang w:val="en-GB"/>
        </w:rPr>
        <w:t>e</w:t>
      </w:r>
      <w:r w:rsidRPr="003A6DFC">
        <w:rPr>
          <w:rFonts w:ascii="Century" w:hAnsi="Century" w:cs="Times New Roman"/>
          <w:bCs/>
          <w:lang w:val="en-GB"/>
        </w:rPr>
        <w:t xml:space="preserve"> </w:t>
      </w:r>
      <w:r w:rsidR="00E15EB0" w:rsidRPr="003A6DFC">
        <w:rPr>
          <w:rFonts w:ascii="Century" w:hAnsi="Century" w:cs="Times New Roman"/>
          <w:bCs/>
          <w:lang w:val="en-GB"/>
        </w:rPr>
        <w:t>use multivariate</w:t>
      </w:r>
      <w:r w:rsidR="003C3EB7" w:rsidRPr="003A6DFC">
        <w:rPr>
          <w:rFonts w:ascii="Century" w:hAnsi="Century" w:cs="Times New Roman"/>
          <w:bCs/>
          <w:lang w:val="en-GB"/>
        </w:rPr>
        <w:t xml:space="preserve"> models to </w:t>
      </w:r>
      <w:r w:rsidR="009C319C" w:rsidRPr="003A6DFC">
        <w:rPr>
          <w:rFonts w:ascii="Century" w:hAnsi="Century" w:cs="Times New Roman"/>
          <w:bCs/>
          <w:lang w:val="en-GB"/>
        </w:rPr>
        <w:t xml:space="preserve">explore the profile of those who are more likely to report SAH inconsistently. </w:t>
      </w:r>
      <w:r w:rsidR="00E15EB0" w:rsidRPr="003A6DFC">
        <w:rPr>
          <w:rFonts w:ascii="Century" w:hAnsi="Century" w:cs="Times New Roman"/>
          <w:bCs/>
          <w:lang w:val="en-GB"/>
        </w:rPr>
        <w:t>Sex</w:t>
      </w:r>
      <w:r w:rsidR="00F92F18" w:rsidRPr="003A6DFC">
        <w:rPr>
          <w:rFonts w:ascii="Century" w:hAnsi="Century" w:cs="Times New Roman"/>
          <w:bCs/>
          <w:lang w:val="en-GB"/>
        </w:rPr>
        <w:t xml:space="preserve">, age, educational attainment, household income, employment status, </w:t>
      </w:r>
      <w:r w:rsidR="004175BA" w:rsidRPr="003A6DFC">
        <w:rPr>
          <w:rFonts w:ascii="Century" w:hAnsi="Century" w:cs="Times New Roman"/>
          <w:lang w:val="en-GB"/>
        </w:rPr>
        <w:t>cognitive and non-cognitive skills are</w:t>
      </w:r>
      <w:r w:rsidR="00E15EB0" w:rsidRPr="003A6DFC">
        <w:rPr>
          <w:rFonts w:ascii="Century" w:hAnsi="Century" w:cs="Times New Roman"/>
          <w:lang w:val="en-GB"/>
        </w:rPr>
        <w:t xml:space="preserve"> associated with</w:t>
      </w:r>
      <w:r w:rsidR="004175BA" w:rsidRPr="003A6DFC">
        <w:rPr>
          <w:rFonts w:ascii="Century" w:hAnsi="Century" w:cs="Times New Roman"/>
          <w:lang w:val="en-GB"/>
        </w:rPr>
        <w:t xml:space="preserve"> the probability of reporting </w:t>
      </w:r>
      <w:r w:rsidR="00C01363" w:rsidRPr="003A6DFC">
        <w:rPr>
          <w:rFonts w:ascii="Century" w:hAnsi="Century" w:cs="Times New Roman"/>
          <w:lang w:val="en-GB"/>
        </w:rPr>
        <w:t xml:space="preserve">SAH </w:t>
      </w:r>
      <w:r w:rsidR="004175BA" w:rsidRPr="003A6DFC">
        <w:rPr>
          <w:rFonts w:ascii="Century" w:hAnsi="Century" w:cs="Times New Roman"/>
          <w:lang w:val="en-GB"/>
        </w:rPr>
        <w:t xml:space="preserve">inconsistency </w:t>
      </w:r>
      <w:r w:rsidR="00F92F18" w:rsidRPr="003A6DFC">
        <w:rPr>
          <w:rFonts w:ascii="Century" w:hAnsi="Century" w:cs="Times New Roman"/>
          <w:lang w:val="en-GB"/>
        </w:rPr>
        <w:t xml:space="preserve">within </w:t>
      </w:r>
      <w:r w:rsidR="00AC77FE" w:rsidRPr="003A6DFC">
        <w:rPr>
          <w:rFonts w:ascii="Century" w:hAnsi="Century" w:cs="Times New Roman"/>
          <w:lang w:val="en-GB"/>
        </w:rPr>
        <w:t>a</w:t>
      </w:r>
      <w:r w:rsidR="00F92F18" w:rsidRPr="003A6DFC">
        <w:rPr>
          <w:rFonts w:ascii="Century" w:hAnsi="Century" w:cs="Times New Roman"/>
          <w:lang w:val="en-GB"/>
        </w:rPr>
        <w:t xml:space="preserve"> wave. </w:t>
      </w:r>
      <w:r w:rsidR="003638EE" w:rsidRPr="003A6DFC">
        <w:rPr>
          <w:rFonts w:ascii="Century" w:hAnsi="Century"/>
          <w:color w:val="000000" w:themeColor="text1"/>
          <w:lang w:val="en-GB"/>
        </w:rPr>
        <w:t xml:space="preserve">Despite existing evidence that the micro-social environment during the household interviews (proxied by the presence of other adults or children during the interview) potentially affects responses to the self-completed wellbeing measures (e.g., Black et al., 2017; Conti and </w:t>
      </w:r>
      <w:proofErr w:type="spellStart"/>
      <w:r w:rsidR="003638EE" w:rsidRPr="003A6DFC">
        <w:rPr>
          <w:rFonts w:ascii="Century" w:hAnsi="Century"/>
          <w:color w:val="000000" w:themeColor="text1"/>
          <w:lang w:val="en-GB"/>
        </w:rPr>
        <w:t>Pudney</w:t>
      </w:r>
      <w:proofErr w:type="spellEnd"/>
      <w:r w:rsidR="003638EE" w:rsidRPr="003A6DFC">
        <w:rPr>
          <w:rFonts w:ascii="Century" w:hAnsi="Century"/>
          <w:color w:val="000000" w:themeColor="text1"/>
          <w:lang w:val="en-GB"/>
        </w:rPr>
        <w:t xml:space="preserve">, 2011), we find less pronounced evidence that they play a systematic role in reporting inconsistencies in SAH. For instance, the presence of another adult during the open interview does not systematically </w:t>
      </w:r>
      <w:proofErr w:type="gramStart"/>
      <w:r w:rsidR="003638EE" w:rsidRPr="003A6DFC">
        <w:rPr>
          <w:rFonts w:ascii="Century" w:hAnsi="Century"/>
          <w:color w:val="000000" w:themeColor="text1"/>
          <w:lang w:val="en-GB"/>
        </w:rPr>
        <w:t>associated</w:t>
      </w:r>
      <w:proofErr w:type="gramEnd"/>
      <w:r w:rsidR="003638EE" w:rsidRPr="003A6DFC">
        <w:rPr>
          <w:rFonts w:ascii="Century" w:hAnsi="Century"/>
          <w:color w:val="000000" w:themeColor="text1"/>
          <w:lang w:val="en-GB"/>
        </w:rPr>
        <w:t xml:space="preserve"> with reporting inconsistency to SAH questions, while the association between the presence of children during the interview in the household and inconsistency reporting in the relevant open interview as opposed to self-completion SAH question is not robust when controlling for unobserved heterogeneity.</w:t>
      </w:r>
    </w:p>
    <w:p w14:paraId="017FBD92" w14:textId="5A7E1AFC" w:rsidR="004175BA" w:rsidRPr="003A6DFC" w:rsidRDefault="004175BA" w:rsidP="00163C88">
      <w:pPr>
        <w:spacing w:after="0" w:line="360" w:lineRule="auto"/>
        <w:ind w:firstLine="708"/>
        <w:jc w:val="both"/>
        <w:rPr>
          <w:rFonts w:ascii="Century" w:hAnsi="Century"/>
        </w:rPr>
      </w:pPr>
      <w:r w:rsidRPr="003A6DFC">
        <w:rPr>
          <w:rFonts w:ascii="Century" w:hAnsi="Century" w:cs="Times New Roman"/>
          <w:lang w:val="en-GB"/>
        </w:rPr>
        <w:t xml:space="preserve"> </w:t>
      </w:r>
      <w:r w:rsidR="008F6B6A" w:rsidRPr="003A6DFC">
        <w:rPr>
          <w:rFonts w:ascii="Century" w:hAnsi="Century" w:cs="Times New Roman"/>
          <w:lang w:val="en-GB"/>
        </w:rPr>
        <w:t xml:space="preserve">We </w:t>
      </w:r>
      <w:r w:rsidR="00163C88" w:rsidRPr="003A6DFC">
        <w:rPr>
          <w:rFonts w:ascii="Century" w:hAnsi="Century" w:cs="Times New Roman"/>
          <w:lang w:val="en-GB"/>
        </w:rPr>
        <w:t>capitali</w:t>
      </w:r>
      <w:r w:rsidR="00AC77FE" w:rsidRPr="003A6DFC">
        <w:rPr>
          <w:rFonts w:ascii="Century" w:hAnsi="Century" w:cs="Times New Roman"/>
          <w:lang w:val="en-GB"/>
        </w:rPr>
        <w:t>se</w:t>
      </w:r>
      <w:r w:rsidR="00163C88" w:rsidRPr="003A6DFC">
        <w:rPr>
          <w:rFonts w:ascii="Century" w:hAnsi="Century" w:cs="Times New Roman"/>
          <w:lang w:val="en-GB"/>
        </w:rPr>
        <w:t xml:space="preserve"> on the longitudinal data available to explore the profile of those </w:t>
      </w:r>
      <w:r w:rsidR="00AC77FE" w:rsidRPr="003A6DFC">
        <w:rPr>
          <w:rFonts w:ascii="Century" w:hAnsi="Century" w:cs="Times New Roman"/>
          <w:lang w:val="en-GB"/>
        </w:rPr>
        <w:t xml:space="preserve">who </w:t>
      </w:r>
      <w:r w:rsidR="00163C88" w:rsidRPr="003A6DFC">
        <w:rPr>
          <w:rFonts w:ascii="Century" w:hAnsi="Century" w:cs="Times New Roman"/>
          <w:lang w:val="en-GB"/>
        </w:rPr>
        <w:t>report</w:t>
      </w:r>
      <w:r w:rsidR="00AC77FE" w:rsidRPr="003A6DFC">
        <w:rPr>
          <w:rFonts w:ascii="Century" w:hAnsi="Century" w:cs="Times New Roman"/>
          <w:lang w:val="en-GB"/>
        </w:rPr>
        <w:t xml:space="preserve"> </w:t>
      </w:r>
      <w:r w:rsidR="00163C88" w:rsidRPr="003A6DFC">
        <w:rPr>
          <w:rFonts w:ascii="Century" w:hAnsi="Century" w:cs="Times New Roman"/>
          <w:lang w:val="en-GB"/>
        </w:rPr>
        <w:t>inconsistently more frequently</w:t>
      </w:r>
      <w:r w:rsidR="00AC77FE" w:rsidRPr="003A6DFC">
        <w:rPr>
          <w:rFonts w:ascii="Century" w:hAnsi="Century" w:cs="Times New Roman"/>
          <w:lang w:val="en-GB"/>
        </w:rPr>
        <w:t xml:space="preserve"> over the four waves of data</w:t>
      </w:r>
      <w:r w:rsidR="00163C88" w:rsidRPr="003A6DFC">
        <w:rPr>
          <w:rFonts w:ascii="Century" w:hAnsi="Century" w:cs="Times New Roman"/>
          <w:lang w:val="en-GB"/>
        </w:rPr>
        <w:t xml:space="preserve">. </w:t>
      </w:r>
      <w:r w:rsidR="00AC77FE" w:rsidRPr="003A6DFC">
        <w:rPr>
          <w:rFonts w:ascii="Century" w:hAnsi="Century"/>
        </w:rPr>
        <w:t>W</w:t>
      </w:r>
      <w:r w:rsidR="00803432" w:rsidRPr="003A6DFC">
        <w:rPr>
          <w:rFonts w:ascii="Century" w:hAnsi="Century"/>
        </w:rPr>
        <w:t>e f</w:t>
      </w:r>
      <w:r w:rsidR="00AC77FE" w:rsidRPr="003A6DFC">
        <w:rPr>
          <w:rFonts w:ascii="Century" w:hAnsi="Century"/>
        </w:rPr>
        <w:t>i</w:t>
      </w:r>
      <w:r w:rsidR="00803432" w:rsidRPr="003A6DFC">
        <w:rPr>
          <w:rFonts w:ascii="Century" w:hAnsi="Century"/>
        </w:rPr>
        <w:t xml:space="preserve">nd </w:t>
      </w:r>
      <w:r w:rsidR="00704CBE" w:rsidRPr="003A6DFC">
        <w:rPr>
          <w:rFonts w:ascii="Century" w:hAnsi="Century"/>
        </w:rPr>
        <w:t xml:space="preserve">that those baseline characteristics that predict the probability of reporting inconsistently are also systematically associated with a higher frequency of reporting inconsistently. </w:t>
      </w:r>
    </w:p>
    <w:p w14:paraId="2C53CBA5" w14:textId="0EA0F162" w:rsidR="00237DCD" w:rsidRPr="003A6DFC" w:rsidRDefault="00977918" w:rsidP="00A14BBD">
      <w:pPr>
        <w:spacing w:after="0" w:line="360" w:lineRule="auto"/>
        <w:ind w:firstLine="708"/>
        <w:jc w:val="both"/>
        <w:rPr>
          <w:rFonts w:ascii="Century" w:hAnsi="Century"/>
          <w:lang w:val="en-GB"/>
        </w:rPr>
      </w:pPr>
      <w:r w:rsidRPr="003A6DFC">
        <w:rPr>
          <w:rFonts w:ascii="Century" w:hAnsi="Century" w:cs="Times New Roman"/>
          <w:lang w:val="en-GB"/>
        </w:rPr>
        <w:t>Our evidence suggests that the observed reporting inconsistency in SAH is not purely random measurement error; individuals with certain characteristics are on average less likely to report SAH consistently across the two measures using different modes of administration (self-completed versus open interview).</w:t>
      </w:r>
      <w:r w:rsidRPr="003A6DFC">
        <w:rPr>
          <w:rFonts w:ascii="Century" w:hAnsi="Century"/>
          <w:b/>
          <w:bCs/>
          <w:i/>
          <w:iCs/>
          <w:lang w:val="en-GB"/>
        </w:rPr>
        <w:t xml:space="preserve"> </w:t>
      </w:r>
      <w:r w:rsidR="0051710F" w:rsidRPr="003A6DFC">
        <w:rPr>
          <w:rFonts w:ascii="Century" w:hAnsi="Century"/>
        </w:rPr>
        <w:t>S</w:t>
      </w:r>
      <w:r w:rsidR="00CD0CCB" w:rsidRPr="003A6DFC">
        <w:rPr>
          <w:rFonts w:ascii="Century" w:hAnsi="Century"/>
        </w:rPr>
        <w:t>ocioeconomic status</w:t>
      </w:r>
      <w:r w:rsidR="00E41597" w:rsidRPr="003A6DFC">
        <w:rPr>
          <w:rFonts w:ascii="Century" w:hAnsi="Century"/>
        </w:rPr>
        <w:t xml:space="preserve">, </w:t>
      </w:r>
      <w:r w:rsidR="00E41597" w:rsidRPr="003A6DFC">
        <w:rPr>
          <w:rFonts w:ascii="Century" w:hAnsi="Century"/>
        </w:rPr>
        <w:lastRenderedPageBreak/>
        <w:t>among other individual characteristics,</w:t>
      </w:r>
      <w:r w:rsidR="00CD0CCB" w:rsidRPr="003A6DFC">
        <w:rPr>
          <w:rFonts w:ascii="Century" w:hAnsi="Century"/>
        </w:rPr>
        <w:t xml:space="preserve"> plays an important role </w:t>
      </w:r>
      <w:r w:rsidR="00AC77FE" w:rsidRPr="003A6DFC">
        <w:rPr>
          <w:rFonts w:ascii="Century" w:hAnsi="Century"/>
        </w:rPr>
        <w:t>i</w:t>
      </w:r>
      <w:r w:rsidR="00CD0CCB" w:rsidRPr="003A6DFC">
        <w:rPr>
          <w:rFonts w:ascii="Century" w:hAnsi="Century"/>
        </w:rPr>
        <w:t>n reporting inconsistency</w:t>
      </w:r>
      <w:r w:rsidR="00AC77FE" w:rsidRPr="003A6DFC">
        <w:rPr>
          <w:rFonts w:ascii="Century" w:hAnsi="Century"/>
        </w:rPr>
        <w:t>. T</w:t>
      </w:r>
      <w:r w:rsidR="00CD0CCB" w:rsidRPr="003A6DFC">
        <w:rPr>
          <w:rFonts w:ascii="Century" w:hAnsi="Century"/>
        </w:rPr>
        <w:t xml:space="preserve">his may </w:t>
      </w:r>
      <w:r w:rsidR="0051710F" w:rsidRPr="003A6DFC">
        <w:rPr>
          <w:rFonts w:ascii="Century" w:hAnsi="Century"/>
        </w:rPr>
        <w:t xml:space="preserve">suggest </w:t>
      </w:r>
      <w:r w:rsidR="00CD0CCB" w:rsidRPr="003A6DFC">
        <w:rPr>
          <w:rFonts w:ascii="Century" w:hAnsi="Century"/>
        </w:rPr>
        <w:t>that existing studies that use SAH as an outcome, modelled as a function of</w:t>
      </w:r>
      <w:r w:rsidR="0051710F" w:rsidRPr="003A6DFC">
        <w:rPr>
          <w:rFonts w:ascii="Century" w:hAnsi="Century"/>
        </w:rPr>
        <w:t xml:space="preserve"> socioeconomic status</w:t>
      </w:r>
      <w:r w:rsidR="00CD0CCB" w:rsidRPr="003A6DFC">
        <w:rPr>
          <w:rFonts w:ascii="Century" w:hAnsi="Century"/>
        </w:rPr>
        <w:t xml:space="preserve">, may be contaminated with the corresponding results </w:t>
      </w:r>
      <w:r w:rsidR="00E41597" w:rsidRPr="003A6DFC">
        <w:rPr>
          <w:rFonts w:ascii="Century" w:hAnsi="Century"/>
        </w:rPr>
        <w:t>potentially encompass significant biases</w:t>
      </w:r>
      <w:r w:rsidR="00F62543" w:rsidRPr="003A6DFC">
        <w:rPr>
          <w:rFonts w:ascii="Century" w:hAnsi="Century"/>
        </w:rPr>
        <w:t>.</w:t>
      </w:r>
      <w:r w:rsidR="00F62543" w:rsidRPr="003A6DFC">
        <w:rPr>
          <w:rStyle w:val="Refdenotaderodap"/>
          <w:rFonts w:ascii="Century" w:hAnsi="Century"/>
        </w:rPr>
        <w:footnoteReference w:id="17"/>
      </w:r>
      <w:r w:rsidR="006604C2" w:rsidRPr="003A6DFC">
        <w:rPr>
          <w:rFonts w:ascii="Century" w:hAnsi="Century"/>
        </w:rPr>
        <w:t xml:space="preserve"> </w:t>
      </w:r>
      <w:r w:rsidR="00A14BBD" w:rsidRPr="003A6DFC">
        <w:rPr>
          <w:rFonts w:ascii="Century" w:hAnsi="Century"/>
          <w:lang w:val="en-GB"/>
        </w:rPr>
        <w:t>Analysis of the association between income and health shows no evidence that employing the self-completion SAH measure as opposed to the open interview SAH (and vice versa) may affect the results. Specifically, we show that the interview mode, which is associated with inconsistent reporting behaviour, does not play a role in the estimation of the income-health gradient either based on the self-completion or the open interview SAH measures.</w:t>
      </w:r>
      <w:r w:rsidR="00A14BBD" w:rsidRPr="003A6DFC">
        <w:rPr>
          <w:rFonts w:ascii="Century" w:hAnsi="Century"/>
        </w:rPr>
        <w:t xml:space="preserve"> </w:t>
      </w:r>
      <w:r w:rsidR="00EB12FC" w:rsidRPr="003A6DFC">
        <w:rPr>
          <w:rFonts w:ascii="Century" w:hAnsi="Century"/>
        </w:rPr>
        <w:t>Finally, o</w:t>
      </w:r>
      <w:r w:rsidR="0092288A" w:rsidRPr="003A6DFC">
        <w:rPr>
          <w:rFonts w:ascii="Century" w:hAnsi="Century"/>
        </w:rPr>
        <w:t xml:space="preserve">f particular interest, we </w:t>
      </w:r>
      <w:r w:rsidR="00326940" w:rsidRPr="003A6DFC">
        <w:rPr>
          <w:rFonts w:ascii="Century" w:hAnsi="Century"/>
        </w:rPr>
        <w:t xml:space="preserve">do not find systematic differences in the association between </w:t>
      </w:r>
      <w:r w:rsidR="00A75322" w:rsidRPr="003A6DFC">
        <w:rPr>
          <w:rFonts w:ascii="Century" w:hAnsi="Century"/>
        </w:rPr>
        <w:t xml:space="preserve">our SAH measures, administered using the open interview and the self-completion mode, </w:t>
      </w:r>
      <w:r w:rsidR="000B6DE7" w:rsidRPr="003A6DFC">
        <w:rPr>
          <w:rFonts w:ascii="Century" w:hAnsi="Century"/>
        </w:rPr>
        <w:t xml:space="preserve">and </w:t>
      </w:r>
      <w:r w:rsidR="0092288A" w:rsidRPr="003A6DFC">
        <w:rPr>
          <w:rFonts w:ascii="Century" w:hAnsi="Century"/>
        </w:rPr>
        <w:t>a large set of objectively measure</w:t>
      </w:r>
      <w:r w:rsidR="00326940" w:rsidRPr="003A6DFC">
        <w:rPr>
          <w:rFonts w:ascii="Century" w:hAnsi="Century"/>
        </w:rPr>
        <w:t>d</w:t>
      </w:r>
      <w:r w:rsidR="005A47C4" w:rsidRPr="003A6DFC">
        <w:rPr>
          <w:rFonts w:ascii="Century" w:hAnsi="Century"/>
        </w:rPr>
        <w:t xml:space="preserve"> nurse-collected and</w:t>
      </w:r>
      <w:r w:rsidR="00326940" w:rsidRPr="003A6DFC">
        <w:rPr>
          <w:rFonts w:ascii="Century" w:hAnsi="Century"/>
        </w:rPr>
        <w:t xml:space="preserve"> blood-based </w:t>
      </w:r>
      <w:r w:rsidR="0092288A" w:rsidRPr="003A6DFC">
        <w:rPr>
          <w:rFonts w:ascii="Century" w:hAnsi="Century"/>
        </w:rPr>
        <w:t>biomarker</w:t>
      </w:r>
      <w:r w:rsidR="00326940" w:rsidRPr="003A6DFC">
        <w:rPr>
          <w:rFonts w:ascii="Century" w:hAnsi="Century"/>
        </w:rPr>
        <w:t>s.</w:t>
      </w:r>
      <w:r w:rsidR="0092288A" w:rsidRPr="003A6DFC">
        <w:rPr>
          <w:rFonts w:ascii="Century" w:hAnsi="Century"/>
        </w:rPr>
        <w:t xml:space="preserve"> </w:t>
      </w:r>
      <w:r w:rsidR="00326940" w:rsidRPr="003A6DFC">
        <w:rPr>
          <w:rFonts w:ascii="Century" w:hAnsi="Century"/>
        </w:rPr>
        <w:t>This may</w:t>
      </w:r>
      <w:r w:rsidR="0092288A" w:rsidRPr="003A6DFC">
        <w:rPr>
          <w:rFonts w:ascii="Century" w:hAnsi="Century"/>
        </w:rPr>
        <w:t xml:space="preserve"> sugge</w:t>
      </w:r>
      <w:r w:rsidR="00326940" w:rsidRPr="003A6DFC">
        <w:rPr>
          <w:rFonts w:ascii="Century" w:hAnsi="Century"/>
        </w:rPr>
        <w:t>st</w:t>
      </w:r>
      <w:r w:rsidR="0092288A" w:rsidRPr="003A6DFC">
        <w:rPr>
          <w:rFonts w:ascii="Century" w:hAnsi="Century"/>
        </w:rPr>
        <w:t xml:space="preserve"> that reporting inconsistencies are driven </w:t>
      </w:r>
      <w:r w:rsidR="00326940" w:rsidRPr="003A6DFC">
        <w:rPr>
          <w:rFonts w:ascii="Century" w:hAnsi="Century"/>
        </w:rPr>
        <w:t>by</w:t>
      </w:r>
      <w:r w:rsidR="0092288A" w:rsidRPr="003A6DFC">
        <w:rPr>
          <w:rFonts w:ascii="Century" w:hAnsi="Century"/>
        </w:rPr>
        <w:t xml:space="preserve"> mechanisms other than people’s </w:t>
      </w:r>
      <w:r w:rsidR="00773F76" w:rsidRPr="003A6DFC">
        <w:rPr>
          <w:rFonts w:ascii="Century" w:hAnsi="Century"/>
        </w:rPr>
        <w:t xml:space="preserve">physiological and </w:t>
      </w:r>
      <w:r w:rsidR="0092288A" w:rsidRPr="003A6DFC">
        <w:rPr>
          <w:rFonts w:ascii="Century" w:hAnsi="Century"/>
        </w:rPr>
        <w:t xml:space="preserve">biological health (or at least the </w:t>
      </w:r>
      <w:r w:rsidR="00326940" w:rsidRPr="003A6DFC">
        <w:rPr>
          <w:rFonts w:ascii="Century" w:hAnsi="Century"/>
        </w:rPr>
        <w:t xml:space="preserve">dimensions of </w:t>
      </w:r>
      <w:r w:rsidR="0092288A" w:rsidRPr="003A6DFC">
        <w:rPr>
          <w:rFonts w:ascii="Century" w:hAnsi="Century"/>
        </w:rPr>
        <w:t xml:space="preserve">physical health </w:t>
      </w:r>
      <w:r w:rsidR="00AA4983" w:rsidRPr="003A6DFC">
        <w:rPr>
          <w:rFonts w:ascii="Century" w:hAnsi="Century"/>
        </w:rPr>
        <w:t xml:space="preserve">captured by our set of biomarkers). </w:t>
      </w:r>
      <w:r w:rsidR="00A14BBD" w:rsidRPr="003A6DFC">
        <w:rPr>
          <w:rFonts w:ascii="Century" w:hAnsi="Century"/>
          <w:lang w:val="en-GB"/>
        </w:rPr>
        <w:t>Overall, our results show that inconsistent reporting behaviour about individual SAH is associated with socioeconomic and demographic characteristics, cognitive skills, and personality traits. However, in term of our income-health gradient illustrative example, we found no evidence that using the open interview SAH questionnaire as opposed to the self-completion may affect our results.</w:t>
      </w:r>
      <w:r w:rsidR="00237DCD" w:rsidRPr="003A6DFC">
        <w:rPr>
          <w:rFonts w:ascii="Century" w:hAnsi="Century"/>
          <w:lang w:val="en-GB"/>
        </w:rPr>
        <w:t xml:space="preserve"> </w:t>
      </w:r>
    </w:p>
    <w:p w14:paraId="52202FC9" w14:textId="7B9AA4DB" w:rsidR="00E634AA" w:rsidRPr="003A6DFC" w:rsidRDefault="00237DCD" w:rsidP="00A14BBD">
      <w:pPr>
        <w:spacing w:after="0" w:line="360" w:lineRule="auto"/>
        <w:ind w:firstLine="708"/>
        <w:jc w:val="both"/>
        <w:rPr>
          <w:rFonts w:ascii="Century" w:hAnsi="Century" w:cs="Times New Roman"/>
          <w:lang w:val="en-GB"/>
        </w:rPr>
      </w:pPr>
      <w:r w:rsidRPr="003A6DFC">
        <w:rPr>
          <w:rFonts w:ascii="Century" w:hAnsi="Century"/>
          <w:lang w:val="en-GB"/>
        </w:rPr>
        <w:t>Researchers working with SAH measures should bear in mind the sensitivity of SAH measurement as individuals may report inconsistently to the same SAH question within a very short time interval and without any changes in their underlying health. Despite our reassuring evidence that the income-health gradient remained robust to SAH measures collected with the two interview modes, further research is needed to explore potential implications of inconsistency reporting on the reliability of SAH as a health measure and its implications for the exiting research.</w:t>
      </w:r>
    </w:p>
    <w:p w14:paraId="7866A0F3" w14:textId="14397F9E" w:rsidR="005836FF" w:rsidRPr="003A6DFC" w:rsidRDefault="005836FF" w:rsidP="00017049">
      <w:pPr>
        <w:spacing w:after="0" w:line="240" w:lineRule="auto"/>
        <w:jc w:val="both"/>
        <w:rPr>
          <w:rFonts w:ascii="Century" w:hAnsi="Century" w:cs="Times New Roman"/>
          <w:b/>
          <w:sz w:val="24"/>
          <w:szCs w:val="24"/>
          <w:lang w:val="en-GB"/>
        </w:rPr>
      </w:pPr>
    </w:p>
    <w:p w14:paraId="570C81E1" w14:textId="337333D1" w:rsidR="00D959DD" w:rsidRPr="003A6DFC" w:rsidRDefault="00D959DD" w:rsidP="00017049">
      <w:pPr>
        <w:spacing w:after="0" w:line="240" w:lineRule="auto"/>
        <w:jc w:val="both"/>
        <w:rPr>
          <w:rFonts w:ascii="Century" w:hAnsi="Century" w:cs="Times New Roman"/>
          <w:b/>
          <w:sz w:val="24"/>
          <w:szCs w:val="24"/>
          <w:lang w:val="en-GB"/>
        </w:rPr>
      </w:pPr>
    </w:p>
    <w:p w14:paraId="6597AE44" w14:textId="070562A3" w:rsidR="00582482" w:rsidRPr="003A6DFC" w:rsidRDefault="00582482" w:rsidP="00017049">
      <w:pPr>
        <w:spacing w:after="0" w:line="240" w:lineRule="auto"/>
        <w:jc w:val="both"/>
        <w:rPr>
          <w:rFonts w:ascii="Century" w:hAnsi="Century" w:cs="Times New Roman"/>
          <w:b/>
          <w:sz w:val="24"/>
          <w:szCs w:val="24"/>
          <w:lang w:val="en-GB"/>
        </w:rPr>
      </w:pPr>
    </w:p>
    <w:p w14:paraId="74A5CB52" w14:textId="17760D44" w:rsidR="00582482" w:rsidRPr="003A6DFC" w:rsidRDefault="00582482" w:rsidP="00017049">
      <w:pPr>
        <w:spacing w:after="0" w:line="240" w:lineRule="auto"/>
        <w:jc w:val="both"/>
        <w:rPr>
          <w:rFonts w:ascii="Century" w:hAnsi="Century" w:cs="Times New Roman"/>
          <w:b/>
          <w:sz w:val="24"/>
          <w:szCs w:val="24"/>
          <w:lang w:val="en-GB"/>
        </w:rPr>
      </w:pPr>
    </w:p>
    <w:p w14:paraId="26E7A293" w14:textId="1F54B613" w:rsidR="00582482" w:rsidRPr="003A6DFC" w:rsidRDefault="00582482" w:rsidP="00017049">
      <w:pPr>
        <w:spacing w:after="0" w:line="240" w:lineRule="auto"/>
        <w:jc w:val="both"/>
        <w:rPr>
          <w:rFonts w:ascii="Century" w:hAnsi="Century" w:cs="Times New Roman"/>
          <w:b/>
          <w:sz w:val="24"/>
          <w:szCs w:val="24"/>
          <w:lang w:val="en-GB"/>
        </w:rPr>
      </w:pPr>
    </w:p>
    <w:p w14:paraId="0FD9B41F" w14:textId="2DDFCC19" w:rsidR="00582482" w:rsidRPr="003A6DFC" w:rsidRDefault="00582482" w:rsidP="00017049">
      <w:pPr>
        <w:spacing w:after="0" w:line="240" w:lineRule="auto"/>
        <w:jc w:val="both"/>
        <w:rPr>
          <w:rFonts w:ascii="Century" w:hAnsi="Century" w:cs="Times New Roman"/>
          <w:b/>
          <w:sz w:val="24"/>
          <w:szCs w:val="24"/>
          <w:lang w:val="en-GB"/>
        </w:rPr>
      </w:pPr>
    </w:p>
    <w:p w14:paraId="7DA5B5D1" w14:textId="77777777" w:rsidR="00582482" w:rsidRPr="003A6DFC" w:rsidRDefault="00582482" w:rsidP="00017049">
      <w:pPr>
        <w:spacing w:after="0" w:line="240" w:lineRule="auto"/>
        <w:jc w:val="both"/>
        <w:rPr>
          <w:rFonts w:ascii="Century" w:hAnsi="Century" w:cs="Times New Roman"/>
          <w:b/>
          <w:sz w:val="24"/>
          <w:szCs w:val="24"/>
          <w:lang w:val="en-GB"/>
        </w:rPr>
      </w:pPr>
    </w:p>
    <w:p w14:paraId="6C436B7B" w14:textId="520B981D" w:rsidR="00A920D3" w:rsidRPr="003A6DFC" w:rsidRDefault="000859CA" w:rsidP="00017049">
      <w:pPr>
        <w:spacing w:after="0" w:line="240" w:lineRule="auto"/>
        <w:jc w:val="both"/>
        <w:rPr>
          <w:rFonts w:ascii="Century" w:hAnsi="Century" w:cs="Times New Roman"/>
          <w:sz w:val="28"/>
          <w:szCs w:val="28"/>
          <w:lang w:val="en-GB"/>
        </w:rPr>
      </w:pPr>
      <w:r w:rsidRPr="003A6DFC">
        <w:rPr>
          <w:rFonts w:ascii="Century" w:hAnsi="Century" w:cs="Times New Roman"/>
          <w:b/>
          <w:sz w:val="28"/>
          <w:szCs w:val="28"/>
          <w:lang w:val="en-GB"/>
        </w:rPr>
        <w:lastRenderedPageBreak/>
        <w:t>References</w:t>
      </w:r>
      <w:r w:rsidR="00F96BE2" w:rsidRPr="003A6DFC">
        <w:rPr>
          <w:rFonts w:ascii="Century" w:hAnsi="Century" w:cs="Times New Roman"/>
          <w:b/>
          <w:sz w:val="28"/>
          <w:szCs w:val="28"/>
          <w:lang w:val="en-GB"/>
        </w:rPr>
        <w:t xml:space="preserve"> </w:t>
      </w:r>
    </w:p>
    <w:p w14:paraId="5CB1DFAC" w14:textId="2EEDD6AA" w:rsidR="00402D08" w:rsidRPr="003A6DFC" w:rsidRDefault="00402D08" w:rsidP="00017049">
      <w:pPr>
        <w:spacing w:after="120" w:line="240" w:lineRule="auto"/>
        <w:jc w:val="both"/>
        <w:rPr>
          <w:rFonts w:ascii="Century" w:hAnsi="Century" w:cs="Times New Roman"/>
          <w:lang w:val="en-GB"/>
        </w:rPr>
      </w:pPr>
    </w:p>
    <w:p w14:paraId="6763867C" w14:textId="77777777" w:rsidR="00B91914" w:rsidRPr="003A6DFC" w:rsidRDefault="00B91914" w:rsidP="00B91914">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Aoki, Y., Santiago, L. (2018). Speak better, do better? Education and health of migrants in the UK. </w:t>
      </w:r>
      <w:r w:rsidRPr="003A6DFC">
        <w:rPr>
          <w:rFonts w:ascii="Century" w:hAnsi="Century" w:cs="Arial"/>
          <w:i/>
          <w:iCs/>
          <w:color w:val="000000"/>
          <w:lang w:val="en-GB"/>
        </w:rPr>
        <w:t xml:space="preserve">Labour Economics, </w:t>
      </w:r>
      <w:r w:rsidRPr="003A6DFC">
        <w:rPr>
          <w:rFonts w:ascii="Century" w:hAnsi="Century" w:cs="Arial"/>
          <w:color w:val="000000"/>
          <w:lang w:val="en-GB"/>
        </w:rPr>
        <w:t xml:space="preserve">52, 1-17. </w:t>
      </w:r>
    </w:p>
    <w:p w14:paraId="702B3F46" w14:textId="42391E9A" w:rsidR="00B91914" w:rsidRPr="003A6DFC" w:rsidRDefault="00B91914" w:rsidP="00B91914">
      <w:pPr>
        <w:spacing w:after="240" w:line="240" w:lineRule="auto"/>
        <w:jc w:val="both"/>
        <w:rPr>
          <w:rFonts w:ascii="Century" w:hAnsi="Century" w:cs="Times New Roman"/>
          <w:lang w:val="en-GB"/>
        </w:rPr>
      </w:pPr>
      <w:r w:rsidRPr="003A6DFC">
        <w:rPr>
          <w:rFonts w:ascii="Century" w:hAnsi="Century" w:cs="Times New Roman"/>
          <w:lang w:val="en-GB"/>
        </w:rPr>
        <w:t xml:space="preserve">Au, N., Johnston, D.W. (2014). Self-assessed health: what does it mean and what does it hide? </w:t>
      </w:r>
      <w:r w:rsidRPr="003A6DFC">
        <w:rPr>
          <w:rFonts w:ascii="Century" w:hAnsi="Century" w:cs="Times New Roman"/>
          <w:i/>
          <w:iCs/>
          <w:lang w:val="en-GB"/>
        </w:rPr>
        <w:t>Social Science &amp; Medicine</w:t>
      </w:r>
      <w:r w:rsidRPr="003A6DFC">
        <w:rPr>
          <w:rFonts w:ascii="Century" w:hAnsi="Century" w:cs="Times New Roman"/>
          <w:lang w:val="en-GB"/>
        </w:rPr>
        <w:t>, 121, 21-28.</w:t>
      </w:r>
    </w:p>
    <w:p w14:paraId="0D15068B" w14:textId="77777777" w:rsidR="009F17D6" w:rsidRPr="003A6DFC" w:rsidRDefault="009F17D6" w:rsidP="00B91914">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Bago </w:t>
      </w:r>
      <w:proofErr w:type="spellStart"/>
      <w:r w:rsidRPr="003A6DFC">
        <w:rPr>
          <w:rFonts w:ascii="Century" w:hAnsi="Century" w:cs="Arial"/>
          <w:color w:val="000000"/>
          <w:lang w:val="en-GB"/>
        </w:rPr>
        <w:t>d’Uva</w:t>
      </w:r>
      <w:proofErr w:type="spellEnd"/>
      <w:r w:rsidRPr="003A6DFC">
        <w:rPr>
          <w:rFonts w:ascii="Century" w:hAnsi="Century" w:cs="Arial"/>
          <w:color w:val="000000"/>
          <w:lang w:val="en-GB"/>
        </w:rPr>
        <w:t xml:space="preserve">, T., O’Donnell, O., van </w:t>
      </w:r>
      <w:proofErr w:type="spellStart"/>
      <w:r w:rsidRPr="003A6DFC">
        <w:rPr>
          <w:rFonts w:ascii="Century" w:hAnsi="Century" w:cs="Arial"/>
          <w:color w:val="000000"/>
          <w:lang w:val="en-GB"/>
        </w:rPr>
        <w:t>Doorslaer</w:t>
      </w:r>
      <w:proofErr w:type="spellEnd"/>
      <w:r w:rsidRPr="003A6DFC">
        <w:rPr>
          <w:rFonts w:ascii="Century" w:hAnsi="Century" w:cs="Arial"/>
          <w:color w:val="000000"/>
          <w:lang w:val="en-GB"/>
        </w:rPr>
        <w:t xml:space="preserve">, E. (2008). Differential health reporting by education level and its impact on the measurement of health inequalities among older Europeans. </w:t>
      </w:r>
      <w:r w:rsidRPr="003A6DFC">
        <w:rPr>
          <w:rFonts w:ascii="Century" w:hAnsi="Century" w:cs="Arial"/>
          <w:i/>
          <w:iCs/>
          <w:color w:val="000000"/>
          <w:lang w:val="en-GB"/>
        </w:rPr>
        <w:t>International Journal of Epidemiology</w:t>
      </w:r>
      <w:r w:rsidRPr="003A6DFC">
        <w:rPr>
          <w:rFonts w:ascii="Century" w:hAnsi="Century" w:cs="Arial"/>
          <w:color w:val="000000"/>
          <w:lang w:val="en-GB"/>
        </w:rPr>
        <w:t xml:space="preserve">, 37, 1375-1383. </w:t>
      </w:r>
    </w:p>
    <w:p w14:paraId="7AA8C195" w14:textId="0DF126DF" w:rsidR="009F17D6" w:rsidRPr="003A6DFC" w:rsidRDefault="009F17D6"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Barford, K. A., </w:t>
      </w:r>
      <w:proofErr w:type="spellStart"/>
      <w:r w:rsidRPr="003A6DFC">
        <w:rPr>
          <w:rFonts w:ascii="Century" w:hAnsi="Century" w:cs="Arial"/>
          <w:color w:val="000000"/>
          <w:lang w:val="en-GB"/>
        </w:rPr>
        <w:t>Smillie</w:t>
      </w:r>
      <w:proofErr w:type="spellEnd"/>
      <w:r w:rsidRPr="003A6DFC">
        <w:rPr>
          <w:rFonts w:ascii="Century" w:hAnsi="Century" w:cs="Arial"/>
          <w:color w:val="000000"/>
          <w:lang w:val="en-GB"/>
        </w:rPr>
        <w:t xml:space="preserve">, L. D. (2016). Openness and other Big Five traits in relation to dispositional mixed emotions. </w:t>
      </w:r>
      <w:r w:rsidRPr="003A6DFC">
        <w:rPr>
          <w:rFonts w:ascii="Century" w:hAnsi="Century" w:cs="Arial"/>
          <w:i/>
          <w:iCs/>
          <w:color w:val="000000"/>
          <w:lang w:val="en-GB"/>
        </w:rPr>
        <w:t>Personality and Individual Differences</w:t>
      </w:r>
      <w:r w:rsidRPr="003A6DFC">
        <w:rPr>
          <w:rFonts w:ascii="Century" w:hAnsi="Century" w:cs="Arial"/>
          <w:color w:val="000000"/>
          <w:lang w:val="en-GB"/>
        </w:rPr>
        <w:t>, 102, 118-122.</w:t>
      </w:r>
    </w:p>
    <w:p w14:paraId="1093FD3C" w14:textId="607C4DF6" w:rsidR="00843BBC" w:rsidRPr="003A6DFC" w:rsidRDefault="00843BBC" w:rsidP="00843BBC">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Bertrand, M., Mullainathan, S., 2001. Do people mean what they say? Implications for subjective survey data. </w:t>
      </w:r>
      <w:r w:rsidRPr="003A6DFC">
        <w:rPr>
          <w:rFonts w:ascii="Century" w:hAnsi="Century" w:cs="Arial"/>
          <w:i/>
          <w:iCs/>
          <w:color w:val="000000"/>
          <w:lang w:val="en-GB"/>
        </w:rPr>
        <w:t>American Economic Review</w:t>
      </w:r>
      <w:r w:rsidRPr="003A6DFC">
        <w:rPr>
          <w:rFonts w:ascii="Century" w:hAnsi="Century" w:cs="Arial"/>
          <w:color w:val="000000"/>
          <w:lang w:val="en-GB"/>
        </w:rPr>
        <w:t>, 91 (2), 67e72.</w:t>
      </w:r>
    </w:p>
    <w:p w14:paraId="37176F16" w14:textId="7BEF7F90" w:rsidR="009F17D6" w:rsidRPr="003A6DFC" w:rsidRDefault="009F17D6"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Black, B., Johnston, D. W., </w:t>
      </w:r>
      <w:proofErr w:type="spellStart"/>
      <w:r w:rsidRPr="003A6DFC">
        <w:rPr>
          <w:rFonts w:ascii="Century" w:hAnsi="Century" w:cs="Arial"/>
          <w:color w:val="000000"/>
          <w:lang w:val="en-GB"/>
        </w:rPr>
        <w:t>Suziedelyte</w:t>
      </w:r>
      <w:proofErr w:type="spellEnd"/>
      <w:r w:rsidRPr="003A6DFC">
        <w:rPr>
          <w:rFonts w:ascii="Century" w:hAnsi="Century" w:cs="Arial"/>
          <w:color w:val="000000"/>
          <w:lang w:val="en-GB"/>
        </w:rPr>
        <w:t xml:space="preserve">, A. (2017). Justification bias in self-reported disability: </w:t>
      </w:r>
      <w:proofErr w:type="gramStart"/>
      <w:r w:rsidRPr="003A6DFC">
        <w:rPr>
          <w:rFonts w:ascii="Century" w:hAnsi="Century" w:cs="Arial"/>
          <w:color w:val="000000"/>
          <w:lang w:val="en-GB"/>
        </w:rPr>
        <w:t>New</w:t>
      </w:r>
      <w:proofErr w:type="gramEnd"/>
      <w:r w:rsidRPr="003A6DFC">
        <w:rPr>
          <w:rFonts w:ascii="Century" w:hAnsi="Century" w:cs="Arial"/>
          <w:color w:val="000000"/>
          <w:lang w:val="en-GB"/>
        </w:rPr>
        <w:t xml:space="preserve"> evidence from panel data. </w:t>
      </w:r>
      <w:r w:rsidRPr="003A6DFC">
        <w:rPr>
          <w:rFonts w:ascii="Century" w:hAnsi="Century" w:cs="Arial"/>
          <w:i/>
          <w:iCs/>
          <w:color w:val="000000"/>
          <w:lang w:val="en-GB"/>
        </w:rPr>
        <w:t>Journal of Health Economics</w:t>
      </w:r>
      <w:r w:rsidRPr="003A6DFC">
        <w:rPr>
          <w:rFonts w:ascii="Century" w:hAnsi="Century" w:cs="Arial"/>
          <w:color w:val="000000"/>
          <w:lang w:val="en-GB"/>
        </w:rPr>
        <w:t>, 54, 124-134.</w:t>
      </w:r>
    </w:p>
    <w:p w14:paraId="190D5F82" w14:textId="77777777" w:rsidR="009F17D6" w:rsidRPr="003A6DFC" w:rsidRDefault="009F17D6"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Black, N., Johnston, D.W., Shields, M.A., </w:t>
      </w:r>
      <w:proofErr w:type="spellStart"/>
      <w:r w:rsidRPr="003A6DFC">
        <w:rPr>
          <w:rFonts w:ascii="Century" w:hAnsi="Century" w:cs="Arial"/>
          <w:color w:val="000000"/>
          <w:lang w:val="en-GB"/>
        </w:rPr>
        <w:t>Suziedelyte</w:t>
      </w:r>
      <w:proofErr w:type="spellEnd"/>
      <w:r w:rsidRPr="003A6DFC">
        <w:rPr>
          <w:rFonts w:ascii="Century" w:hAnsi="Century" w:cs="Arial"/>
          <w:color w:val="000000"/>
          <w:lang w:val="en-GB"/>
        </w:rPr>
        <w:t xml:space="preserve">, A. (2017). Who provides inconsistent reports of their health status? The importance of age, cognitive </w:t>
      </w:r>
      <w:proofErr w:type="gramStart"/>
      <w:r w:rsidRPr="003A6DFC">
        <w:rPr>
          <w:rFonts w:ascii="Century" w:hAnsi="Century" w:cs="Arial"/>
          <w:color w:val="000000"/>
          <w:lang w:val="en-GB"/>
        </w:rPr>
        <w:t>ability</w:t>
      </w:r>
      <w:proofErr w:type="gramEnd"/>
      <w:r w:rsidRPr="003A6DFC">
        <w:rPr>
          <w:rFonts w:ascii="Century" w:hAnsi="Century" w:cs="Arial"/>
          <w:color w:val="000000"/>
          <w:lang w:val="en-GB"/>
        </w:rPr>
        <w:t xml:space="preserve"> and socioeconomic status. </w:t>
      </w:r>
      <w:r w:rsidRPr="003A6DFC">
        <w:rPr>
          <w:rFonts w:ascii="Century" w:hAnsi="Century" w:cs="Arial"/>
          <w:i/>
          <w:iCs/>
          <w:color w:val="000000"/>
          <w:lang w:val="en-GB"/>
        </w:rPr>
        <w:t>Social Science &amp; Medicine</w:t>
      </w:r>
      <w:r w:rsidRPr="003A6DFC">
        <w:rPr>
          <w:rFonts w:ascii="Century" w:hAnsi="Century" w:cs="Arial"/>
          <w:color w:val="000000"/>
          <w:lang w:val="en-GB"/>
        </w:rPr>
        <w:t xml:space="preserve">, 191, 9-18. </w:t>
      </w:r>
    </w:p>
    <w:p w14:paraId="3115C0C4" w14:textId="177808C3" w:rsidR="009F17D6" w:rsidRPr="003A6DFC" w:rsidRDefault="009F17D6" w:rsidP="00C83A67">
      <w:pPr>
        <w:autoSpaceDE w:val="0"/>
        <w:autoSpaceDN w:val="0"/>
        <w:adjustRightInd w:val="0"/>
        <w:spacing w:after="240" w:line="240" w:lineRule="auto"/>
        <w:jc w:val="both"/>
        <w:rPr>
          <w:rFonts w:ascii="Century" w:hAnsi="Century" w:cs="Arial"/>
          <w:color w:val="222222"/>
          <w:shd w:val="clear" w:color="auto" w:fill="FFFFFF"/>
        </w:rPr>
      </w:pPr>
      <w:r w:rsidRPr="003A6DFC">
        <w:rPr>
          <w:rFonts w:ascii="Century" w:hAnsi="Century" w:cs="Arial"/>
          <w:color w:val="222222"/>
          <w:shd w:val="clear" w:color="auto" w:fill="FFFFFF"/>
        </w:rPr>
        <w:t>Bound, J. (1991). Self-Reported Versus Objective Measures of Health in Retirement Models. </w:t>
      </w:r>
      <w:r w:rsidRPr="003A6DFC">
        <w:rPr>
          <w:rFonts w:ascii="Century" w:hAnsi="Century" w:cs="Arial"/>
          <w:i/>
          <w:iCs/>
          <w:color w:val="222222"/>
          <w:shd w:val="clear" w:color="auto" w:fill="FFFFFF"/>
        </w:rPr>
        <w:t>Journal of Human Resources</w:t>
      </w:r>
      <w:r w:rsidRPr="003A6DFC">
        <w:rPr>
          <w:rFonts w:ascii="Century" w:hAnsi="Century" w:cs="Arial"/>
          <w:color w:val="222222"/>
          <w:shd w:val="clear" w:color="auto" w:fill="FFFFFF"/>
        </w:rPr>
        <w:t>, 26, 106-138.</w:t>
      </w:r>
    </w:p>
    <w:p w14:paraId="579D0549" w14:textId="488F23FA" w:rsidR="0052039A" w:rsidRPr="003A6DFC" w:rsidRDefault="0052039A" w:rsidP="0052039A">
      <w:pPr>
        <w:autoSpaceDE w:val="0"/>
        <w:autoSpaceDN w:val="0"/>
        <w:adjustRightInd w:val="0"/>
        <w:spacing w:after="240" w:line="240" w:lineRule="auto"/>
        <w:jc w:val="both"/>
        <w:rPr>
          <w:rFonts w:ascii="Century" w:hAnsi="Century" w:cs="Arial"/>
          <w:color w:val="222222"/>
          <w:shd w:val="clear" w:color="auto" w:fill="FFFFFF"/>
        </w:rPr>
      </w:pPr>
      <w:r w:rsidRPr="003A6DFC">
        <w:rPr>
          <w:rFonts w:ascii="Century" w:hAnsi="Century" w:cs="Arial"/>
          <w:color w:val="222222"/>
          <w:shd w:val="clear" w:color="auto" w:fill="FFFFFF"/>
        </w:rPr>
        <w:t xml:space="preserve">Bowling, A. (2005). Mode of questionnaire administration can have serious effects on data quality. </w:t>
      </w:r>
      <w:r w:rsidRPr="003A6DFC">
        <w:rPr>
          <w:rFonts w:ascii="Century" w:hAnsi="Century" w:cs="Arial"/>
          <w:i/>
          <w:iCs/>
          <w:color w:val="222222"/>
          <w:shd w:val="clear" w:color="auto" w:fill="FFFFFF"/>
        </w:rPr>
        <w:t>Journal of Public Health</w:t>
      </w:r>
      <w:r w:rsidRPr="003A6DFC">
        <w:rPr>
          <w:rFonts w:ascii="Century" w:hAnsi="Century" w:cs="Arial"/>
          <w:color w:val="222222"/>
          <w:shd w:val="clear" w:color="auto" w:fill="FFFFFF"/>
        </w:rPr>
        <w:t>. 27 (3), 281–291.</w:t>
      </w:r>
    </w:p>
    <w:p w14:paraId="2A90DE12" w14:textId="77777777" w:rsidR="009F17D6" w:rsidRPr="003A6DFC" w:rsidRDefault="009F17D6"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Butler, J. S., Moffitt, R. (1982). A computationally efficient quadrature procedure for the one-factor multinomial </w:t>
      </w:r>
      <w:proofErr w:type="spellStart"/>
      <w:r w:rsidRPr="003A6DFC">
        <w:rPr>
          <w:rFonts w:ascii="Century" w:hAnsi="Century" w:cs="Arial"/>
          <w:color w:val="000000"/>
          <w:lang w:val="en-GB"/>
        </w:rPr>
        <w:t>probit</w:t>
      </w:r>
      <w:proofErr w:type="spellEnd"/>
      <w:r w:rsidRPr="003A6DFC">
        <w:rPr>
          <w:rFonts w:ascii="Century" w:hAnsi="Century" w:cs="Arial"/>
          <w:color w:val="000000"/>
          <w:lang w:val="en-GB"/>
        </w:rPr>
        <w:t xml:space="preserve"> model. </w:t>
      </w:r>
      <w:proofErr w:type="spellStart"/>
      <w:r w:rsidRPr="003A6DFC">
        <w:rPr>
          <w:rFonts w:ascii="Century" w:hAnsi="Century" w:cs="Arial"/>
          <w:i/>
          <w:iCs/>
          <w:color w:val="000000"/>
          <w:lang w:val="en-GB"/>
        </w:rPr>
        <w:t>Econometrica</w:t>
      </w:r>
      <w:proofErr w:type="spellEnd"/>
      <w:r w:rsidRPr="003A6DFC">
        <w:rPr>
          <w:rFonts w:ascii="Century" w:hAnsi="Century" w:cs="Arial"/>
          <w:color w:val="000000"/>
          <w:lang w:val="en-GB"/>
        </w:rPr>
        <w:t>, 50, 761-764.</w:t>
      </w:r>
    </w:p>
    <w:p w14:paraId="6C914495" w14:textId="135F21BA" w:rsidR="003847CA" w:rsidRPr="003A6DFC" w:rsidRDefault="003847CA"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Chen, L., Clarke, P.M., Petrie, D.J., Staub, K.E. (2021). The effects of self-assessed health: Dealing with and understanding misclassification bias. </w:t>
      </w:r>
      <w:r w:rsidRPr="003A6DFC">
        <w:rPr>
          <w:rFonts w:ascii="Century" w:hAnsi="Century" w:cs="Arial"/>
          <w:i/>
          <w:iCs/>
          <w:color w:val="000000"/>
          <w:lang w:val="en-GB"/>
        </w:rPr>
        <w:t>Journal of Health Economics</w:t>
      </w:r>
      <w:r w:rsidRPr="003A6DFC">
        <w:rPr>
          <w:rFonts w:ascii="Century" w:hAnsi="Century" w:cs="Arial"/>
          <w:color w:val="000000"/>
          <w:lang w:val="en-GB"/>
        </w:rPr>
        <w:t xml:space="preserve">, 102463. </w:t>
      </w:r>
    </w:p>
    <w:p w14:paraId="5CF56EC8" w14:textId="404EAA18"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Clarke, P.M.</w:t>
      </w:r>
      <w:r w:rsidR="003035E7" w:rsidRPr="003A6DFC">
        <w:rPr>
          <w:rFonts w:ascii="Century" w:hAnsi="Century" w:cs="Arial"/>
          <w:color w:val="000000"/>
          <w:lang w:val="en-GB"/>
        </w:rPr>
        <w:t>,</w:t>
      </w:r>
      <w:r w:rsidRPr="003A6DFC">
        <w:rPr>
          <w:rFonts w:ascii="Century" w:hAnsi="Century" w:cs="Arial"/>
          <w:color w:val="000000"/>
          <w:lang w:val="en-GB"/>
        </w:rPr>
        <w:t xml:space="preserve"> Ryan, C.</w:t>
      </w:r>
      <w:r w:rsidR="003035E7" w:rsidRPr="003A6DFC">
        <w:rPr>
          <w:rFonts w:ascii="Century" w:hAnsi="Century" w:cs="Arial"/>
          <w:color w:val="000000"/>
          <w:lang w:val="en-GB"/>
        </w:rPr>
        <w:t xml:space="preserve"> (2006).</w:t>
      </w:r>
      <w:r w:rsidRPr="003A6DFC">
        <w:rPr>
          <w:rFonts w:ascii="Century" w:hAnsi="Century" w:cs="Arial"/>
          <w:color w:val="000000"/>
          <w:lang w:val="en-GB"/>
        </w:rPr>
        <w:t xml:space="preserve"> Self-reported health: reliability and consequences for health inequality measurement. </w:t>
      </w:r>
      <w:r w:rsidRPr="003A6DFC">
        <w:rPr>
          <w:rFonts w:ascii="Century" w:hAnsi="Century" w:cs="Arial"/>
          <w:i/>
          <w:iCs/>
          <w:color w:val="000000"/>
          <w:lang w:val="en-GB"/>
        </w:rPr>
        <w:t>Health Economics</w:t>
      </w:r>
      <w:r w:rsidR="003035E7" w:rsidRPr="003A6DFC">
        <w:rPr>
          <w:rFonts w:ascii="Century" w:hAnsi="Century" w:cs="Arial"/>
          <w:color w:val="000000"/>
          <w:lang w:val="en-GB"/>
        </w:rPr>
        <w:t>,</w:t>
      </w:r>
      <w:r w:rsidRPr="003A6DFC">
        <w:rPr>
          <w:rFonts w:ascii="Century" w:hAnsi="Century" w:cs="Arial"/>
          <w:color w:val="000000"/>
          <w:lang w:val="en-GB"/>
        </w:rPr>
        <w:t xml:space="preserve"> 15 (6), 645–652</w:t>
      </w:r>
      <w:r w:rsidR="003035E7" w:rsidRPr="003A6DFC">
        <w:rPr>
          <w:rFonts w:ascii="Century" w:hAnsi="Century" w:cs="Arial"/>
          <w:color w:val="000000"/>
          <w:lang w:val="en-GB"/>
        </w:rPr>
        <w:t>.</w:t>
      </w:r>
    </w:p>
    <w:p w14:paraId="605BBA49" w14:textId="308D7C83" w:rsidR="0052039A" w:rsidRPr="003A6DFC" w:rsidRDefault="0052039A" w:rsidP="0052039A">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Colburn, W., </w:t>
      </w:r>
      <w:proofErr w:type="spellStart"/>
      <w:r w:rsidRPr="003A6DFC">
        <w:rPr>
          <w:rFonts w:ascii="Century" w:hAnsi="Century" w:cs="Arial"/>
          <w:color w:val="000000"/>
          <w:lang w:val="en-GB"/>
        </w:rPr>
        <w:t>DeGruttola</w:t>
      </w:r>
      <w:proofErr w:type="spellEnd"/>
      <w:r w:rsidRPr="003A6DFC">
        <w:rPr>
          <w:rFonts w:ascii="Century" w:hAnsi="Century" w:cs="Arial"/>
          <w:color w:val="000000"/>
          <w:lang w:val="en-GB"/>
        </w:rPr>
        <w:t xml:space="preserve">, V. G., </w:t>
      </w:r>
      <w:proofErr w:type="spellStart"/>
      <w:r w:rsidRPr="003A6DFC">
        <w:rPr>
          <w:rFonts w:ascii="Century" w:hAnsi="Century" w:cs="Arial"/>
          <w:color w:val="000000"/>
          <w:lang w:val="en-GB"/>
        </w:rPr>
        <w:t>DeMets</w:t>
      </w:r>
      <w:proofErr w:type="spellEnd"/>
      <w:r w:rsidRPr="003A6DFC">
        <w:rPr>
          <w:rFonts w:ascii="Century" w:hAnsi="Century" w:cs="Arial"/>
          <w:color w:val="000000"/>
          <w:lang w:val="en-GB"/>
        </w:rPr>
        <w:t xml:space="preserve">, D. L., Downing, G. J., </w:t>
      </w:r>
      <w:proofErr w:type="spellStart"/>
      <w:r w:rsidRPr="003A6DFC">
        <w:rPr>
          <w:rFonts w:ascii="Century" w:hAnsi="Century" w:cs="Arial"/>
          <w:color w:val="000000"/>
          <w:lang w:val="en-GB"/>
        </w:rPr>
        <w:t>Hoth</w:t>
      </w:r>
      <w:proofErr w:type="spellEnd"/>
      <w:r w:rsidRPr="003A6DFC">
        <w:rPr>
          <w:rFonts w:ascii="Century" w:hAnsi="Century" w:cs="Arial"/>
          <w:color w:val="000000"/>
          <w:lang w:val="en-GB"/>
        </w:rPr>
        <w:t xml:space="preserve">, D. F., Oates, J. A., Peck, C. C., Schooley, R. T., </w:t>
      </w:r>
      <w:proofErr w:type="spellStart"/>
      <w:r w:rsidRPr="003A6DFC">
        <w:rPr>
          <w:rFonts w:ascii="Century" w:hAnsi="Century" w:cs="Arial"/>
          <w:color w:val="000000"/>
          <w:lang w:val="en-GB"/>
        </w:rPr>
        <w:t>Spilker</w:t>
      </w:r>
      <w:proofErr w:type="spellEnd"/>
      <w:r w:rsidRPr="003A6DFC">
        <w:rPr>
          <w:rFonts w:ascii="Century" w:hAnsi="Century" w:cs="Arial"/>
          <w:color w:val="000000"/>
          <w:lang w:val="en-GB"/>
        </w:rPr>
        <w:t xml:space="preserve">, B. A., Woodcock, J., et al., </w:t>
      </w:r>
      <w:r w:rsidR="0093162C" w:rsidRPr="003A6DFC">
        <w:rPr>
          <w:rFonts w:ascii="Century" w:hAnsi="Century" w:cs="Arial"/>
          <w:color w:val="000000"/>
          <w:lang w:val="en-GB"/>
        </w:rPr>
        <w:t>(</w:t>
      </w:r>
      <w:r w:rsidRPr="003A6DFC">
        <w:rPr>
          <w:rFonts w:ascii="Century" w:hAnsi="Century" w:cs="Arial"/>
          <w:color w:val="000000"/>
          <w:lang w:val="en-GB"/>
        </w:rPr>
        <w:t>2001</w:t>
      </w:r>
      <w:r w:rsidR="0093162C" w:rsidRPr="003A6DFC">
        <w:rPr>
          <w:rFonts w:ascii="Century" w:hAnsi="Century" w:cs="Arial"/>
          <w:color w:val="000000"/>
          <w:lang w:val="en-GB"/>
        </w:rPr>
        <w:t>)</w:t>
      </w:r>
      <w:r w:rsidRPr="003A6DFC">
        <w:rPr>
          <w:rFonts w:ascii="Century" w:hAnsi="Century" w:cs="Arial"/>
          <w:color w:val="000000"/>
          <w:lang w:val="en-GB"/>
        </w:rPr>
        <w:t xml:space="preserve">. Biomarkers and surrogate endpoints: preferred definitions and conceptual framework. Biomarkers Definitions Working Group. </w:t>
      </w:r>
      <w:r w:rsidRPr="003A6DFC">
        <w:rPr>
          <w:rFonts w:ascii="Century" w:hAnsi="Century" w:cs="Arial"/>
          <w:i/>
          <w:iCs/>
          <w:color w:val="000000"/>
          <w:lang w:val="en-GB"/>
        </w:rPr>
        <w:t>Clinical Pharmacology &amp; Therapeutics</w:t>
      </w:r>
      <w:r w:rsidRPr="003A6DFC">
        <w:rPr>
          <w:rFonts w:ascii="Century" w:hAnsi="Century" w:cs="Arial"/>
          <w:color w:val="000000"/>
          <w:lang w:val="en-GB"/>
        </w:rPr>
        <w:t>, 69, 89–95.</w:t>
      </w:r>
    </w:p>
    <w:p w14:paraId="154DA71D" w14:textId="4A954FE8"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Conti, G.</w:t>
      </w:r>
      <w:r w:rsidR="00AD01C8" w:rsidRPr="003A6DFC">
        <w:rPr>
          <w:rFonts w:ascii="Century" w:hAnsi="Century" w:cs="Arial"/>
          <w:color w:val="000000"/>
          <w:lang w:val="en-GB"/>
        </w:rPr>
        <w:t xml:space="preserve">, </w:t>
      </w:r>
      <w:proofErr w:type="spellStart"/>
      <w:r w:rsidRPr="003A6DFC">
        <w:rPr>
          <w:rFonts w:ascii="Century" w:hAnsi="Century" w:cs="Arial"/>
          <w:color w:val="000000"/>
          <w:lang w:val="en-GB"/>
        </w:rPr>
        <w:t>Pudney</w:t>
      </w:r>
      <w:proofErr w:type="spellEnd"/>
      <w:r w:rsidRPr="003A6DFC">
        <w:rPr>
          <w:rFonts w:ascii="Century" w:hAnsi="Century" w:cs="Arial"/>
          <w:color w:val="000000"/>
          <w:lang w:val="en-GB"/>
        </w:rPr>
        <w:t xml:space="preserve">, S. </w:t>
      </w:r>
      <w:r w:rsidR="003035E7" w:rsidRPr="003A6DFC">
        <w:rPr>
          <w:rFonts w:ascii="Century" w:hAnsi="Century" w:cs="Arial"/>
          <w:color w:val="000000"/>
          <w:lang w:val="en-GB"/>
        </w:rPr>
        <w:t xml:space="preserve">(2011). </w:t>
      </w:r>
      <w:r w:rsidRPr="003A6DFC">
        <w:rPr>
          <w:rFonts w:ascii="Century" w:hAnsi="Century" w:cs="Arial"/>
          <w:color w:val="000000"/>
          <w:lang w:val="en-GB"/>
        </w:rPr>
        <w:t xml:space="preserve">Survey design and the analysis of satisfaction. </w:t>
      </w:r>
      <w:r w:rsidRPr="003A6DFC">
        <w:rPr>
          <w:rFonts w:ascii="Century" w:hAnsi="Century" w:cs="Arial"/>
          <w:i/>
          <w:iCs/>
          <w:color w:val="000000"/>
          <w:lang w:val="en-GB"/>
        </w:rPr>
        <w:t>Review of Economics and Statistics</w:t>
      </w:r>
      <w:r w:rsidR="003035E7" w:rsidRPr="003A6DFC">
        <w:rPr>
          <w:rFonts w:ascii="Century" w:hAnsi="Century" w:cs="Arial"/>
          <w:color w:val="000000"/>
          <w:lang w:val="en-GB"/>
        </w:rPr>
        <w:t>,</w:t>
      </w:r>
      <w:r w:rsidRPr="003A6DFC">
        <w:rPr>
          <w:rFonts w:ascii="Century" w:hAnsi="Century" w:cs="Arial"/>
          <w:color w:val="000000"/>
          <w:lang w:val="en-GB"/>
        </w:rPr>
        <w:t xml:space="preserve"> 93, 1087-1093</w:t>
      </w:r>
      <w:r w:rsidR="003035E7" w:rsidRPr="003A6DFC">
        <w:rPr>
          <w:rFonts w:ascii="Century" w:hAnsi="Century" w:cs="Arial"/>
          <w:color w:val="000000"/>
          <w:lang w:val="en-GB"/>
        </w:rPr>
        <w:t>.</w:t>
      </w:r>
      <w:r w:rsidRPr="003A6DFC">
        <w:rPr>
          <w:rFonts w:ascii="Century" w:hAnsi="Century" w:cs="Arial"/>
          <w:color w:val="000000"/>
          <w:lang w:val="en-GB"/>
        </w:rPr>
        <w:t xml:space="preserve"> </w:t>
      </w:r>
    </w:p>
    <w:p w14:paraId="5B23E44E" w14:textId="4C79B383"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Cobb-Clark, D.A., </w:t>
      </w:r>
      <w:proofErr w:type="spellStart"/>
      <w:r w:rsidRPr="003A6DFC">
        <w:rPr>
          <w:rFonts w:ascii="Century" w:hAnsi="Century" w:cs="Arial"/>
          <w:color w:val="000000"/>
          <w:lang w:val="en-GB"/>
        </w:rPr>
        <w:t>Schurer</w:t>
      </w:r>
      <w:proofErr w:type="spellEnd"/>
      <w:r w:rsidRPr="003A6DFC">
        <w:rPr>
          <w:rFonts w:ascii="Century" w:hAnsi="Century" w:cs="Arial"/>
          <w:color w:val="000000"/>
          <w:lang w:val="en-GB"/>
        </w:rPr>
        <w:t xml:space="preserve">, S. (2012). The stability of big-five personality traits. </w:t>
      </w:r>
      <w:r w:rsidRPr="003A6DFC">
        <w:rPr>
          <w:rFonts w:ascii="Century" w:hAnsi="Century" w:cs="Arial"/>
          <w:i/>
          <w:iCs/>
          <w:color w:val="000000"/>
          <w:lang w:val="en-GB"/>
        </w:rPr>
        <w:t>Economics Letters</w:t>
      </w:r>
      <w:r w:rsidRPr="003A6DFC">
        <w:rPr>
          <w:rFonts w:ascii="Century" w:hAnsi="Century" w:cs="Arial"/>
          <w:color w:val="000000"/>
          <w:lang w:val="en-GB"/>
        </w:rPr>
        <w:t>, 115(1), 11-15.</w:t>
      </w:r>
    </w:p>
    <w:p w14:paraId="66B2B51A" w14:textId="295BF1ED" w:rsidR="001024D4" w:rsidRPr="003A6DFC" w:rsidRDefault="001024D4"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fr-FR"/>
        </w:rPr>
        <w:lastRenderedPageBreak/>
        <w:t>Contoyannis</w:t>
      </w:r>
      <w:proofErr w:type="spellEnd"/>
      <w:r w:rsidRPr="003A6DFC">
        <w:rPr>
          <w:rFonts w:ascii="Century" w:hAnsi="Century" w:cs="Arial"/>
          <w:color w:val="000000"/>
          <w:lang w:val="fr-FR"/>
        </w:rPr>
        <w:t>, P. Jones, A. M.</w:t>
      </w:r>
      <w:r w:rsidR="003035E7" w:rsidRPr="003A6DFC">
        <w:rPr>
          <w:rFonts w:ascii="Century" w:hAnsi="Century" w:cs="Arial"/>
          <w:color w:val="000000"/>
          <w:lang w:val="fr-FR"/>
        </w:rPr>
        <w:t xml:space="preserve"> (2004).</w:t>
      </w:r>
      <w:r w:rsidRPr="003A6DFC">
        <w:rPr>
          <w:rFonts w:ascii="Century" w:hAnsi="Century" w:cs="Arial"/>
          <w:color w:val="000000"/>
          <w:lang w:val="fr-FR"/>
        </w:rPr>
        <w:t xml:space="preserve"> </w:t>
      </w:r>
      <w:r w:rsidRPr="003A6DFC">
        <w:rPr>
          <w:rFonts w:ascii="Century" w:hAnsi="Century" w:cs="Arial"/>
          <w:color w:val="000000"/>
          <w:lang w:val="en-GB"/>
        </w:rPr>
        <w:t xml:space="preserve">Socio-economic status, </w:t>
      </w:r>
      <w:proofErr w:type="gramStart"/>
      <w:r w:rsidRPr="003A6DFC">
        <w:rPr>
          <w:rFonts w:ascii="Century" w:hAnsi="Century" w:cs="Arial"/>
          <w:color w:val="000000"/>
          <w:lang w:val="en-GB"/>
        </w:rPr>
        <w:t>health</w:t>
      </w:r>
      <w:proofErr w:type="gramEnd"/>
      <w:r w:rsidRPr="003A6DFC">
        <w:rPr>
          <w:rFonts w:ascii="Century" w:hAnsi="Century" w:cs="Arial"/>
          <w:color w:val="000000"/>
          <w:lang w:val="en-GB"/>
        </w:rPr>
        <w:t xml:space="preserve"> and lifestyle. </w:t>
      </w:r>
      <w:r w:rsidRPr="003A6DFC">
        <w:rPr>
          <w:rFonts w:ascii="Century" w:hAnsi="Century" w:cs="Arial"/>
          <w:i/>
          <w:iCs/>
          <w:color w:val="000000"/>
          <w:lang w:val="en-GB"/>
        </w:rPr>
        <w:t xml:space="preserve">Journal of </w:t>
      </w:r>
      <w:r w:rsidR="003035E7" w:rsidRPr="003A6DFC">
        <w:rPr>
          <w:rFonts w:ascii="Century" w:hAnsi="Century" w:cs="Arial"/>
          <w:i/>
          <w:iCs/>
          <w:color w:val="000000"/>
          <w:lang w:val="en-GB"/>
        </w:rPr>
        <w:t>H</w:t>
      </w:r>
      <w:r w:rsidRPr="003A6DFC">
        <w:rPr>
          <w:rFonts w:ascii="Century" w:hAnsi="Century" w:cs="Arial"/>
          <w:i/>
          <w:iCs/>
          <w:color w:val="000000"/>
          <w:lang w:val="en-GB"/>
        </w:rPr>
        <w:t xml:space="preserve">ealth </w:t>
      </w:r>
      <w:r w:rsidR="003035E7" w:rsidRPr="003A6DFC">
        <w:rPr>
          <w:rFonts w:ascii="Century" w:hAnsi="Century" w:cs="Arial"/>
          <w:i/>
          <w:iCs/>
          <w:color w:val="000000"/>
          <w:lang w:val="en-GB"/>
        </w:rPr>
        <w:t>E</w:t>
      </w:r>
      <w:r w:rsidRPr="003A6DFC">
        <w:rPr>
          <w:rFonts w:ascii="Century" w:hAnsi="Century" w:cs="Arial"/>
          <w:i/>
          <w:iCs/>
          <w:color w:val="000000"/>
          <w:lang w:val="en-GB"/>
        </w:rPr>
        <w:t>conomics</w:t>
      </w:r>
      <w:r w:rsidR="003035E7" w:rsidRPr="003A6DFC">
        <w:rPr>
          <w:rFonts w:ascii="Century" w:hAnsi="Century" w:cs="Arial"/>
          <w:color w:val="000000"/>
          <w:lang w:val="en-GB"/>
        </w:rPr>
        <w:t>,</w:t>
      </w:r>
      <w:r w:rsidRPr="003A6DFC">
        <w:rPr>
          <w:rFonts w:ascii="Century" w:hAnsi="Century" w:cs="Arial"/>
          <w:color w:val="000000"/>
          <w:lang w:val="en-GB"/>
        </w:rPr>
        <w:t xml:space="preserve"> 23, 965-995</w:t>
      </w:r>
      <w:r w:rsidR="003035E7" w:rsidRPr="003A6DFC">
        <w:rPr>
          <w:rFonts w:ascii="Century" w:hAnsi="Century" w:cs="Arial"/>
          <w:color w:val="000000"/>
          <w:lang w:val="en-GB"/>
        </w:rPr>
        <w:t>.</w:t>
      </w:r>
      <w:r w:rsidRPr="003A6DFC">
        <w:rPr>
          <w:rFonts w:ascii="Century" w:hAnsi="Century" w:cs="Arial"/>
          <w:color w:val="000000"/>
          <w:lang w:val="en-GB"/>
        </w:rPr>
        <w:t xml:space="preserve"> </w:t>
      </w:r>
    </w:p>
    <w:p w14:paraId="70DA8D52" w14:textId="34FF0ED9" w:rsidR="001024D4" w:rsidRPr="003A6DFC" w:rsidRDefault="001024D4"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Contoyannis</w:t>
      </w:r>
      <w:proofErr w:type="spellEnd"/>
      <w:r w:rsidRPr="003A6DFC">
        <w:rPr>
          <w:rFonts w:ascii="Century" w:hAnsi="Century" w:cs="Arial"/>
          <w:color w:val="000000"/>
          <w:lang w:val="en-GB"/>
        </w:rPr>
        <w:t>, P., Jones, A.M.</w:t>
      </w:r>
      <w:r w:rsidR="003035E7" w:rsidRPr="003A6DFC">
        <w:rPr>
          <w:rFonts w:ascii="Century" w:hAnsi="Century" w:cs="Arial"/>
          <w:color w:val="000000"/>
          <w:lang w:val="en-GB"/>
        </w:rPr>
        <w:t xml:space="preserve">, </w:t>
      </w:r>
      <w:r w:rsidRPr="003A6DFC">
        <w:rPr>
          <w:rFonts w:ascii="Century" w:hAnsi="Century" w:cs="Arial"/>
          <w:color w:val="000000"/>
          <w:lang w:val="en-GB"/>
        </w:rPr>
        <w:t>Rice, N.</w:t>
      </w:r>
      <w:r w:rsidR="003035E7" w:rsidRPr="003A6DFC">
        <w:rPr>
          <w:rFonts w:ascii="Century" w:hAnsi="Century" w:cs="Arial"/>
          <w:color w:val="000000"/>
          <w:lang w:val="en-GB"/>
        </w:rPr>
        <w:t xml:space="preserve"> (2004).</w:t>
      </w:r>
      <w:r w:rsidRPr="003A6DFC">
        <w:rPr>
          <w:rFonts w:ascii="Century" w:hAnsi="Century" w:cs="Arial"/>
          <w:color w:val="000000"/>
          <w:lang w:val="en-GB"/>
        </w:rPr>
        <w:t xml:space="preserve"> The dynamics of health in the British Household Panel Survey. </w:t>
      </w:r>
      <w:r w:rsidRPr="003A6DFC">
        <w:rPr>
          <w:rFonts w:ascii="Century" w:hAnsi="Century" w:cs="Arial"/>
          <w:i/>
          <w:iCs/>
          <w:color w:val="000000"/>
          <w:lang w:val="en-GB"/>
        </w:rPr>
        <w:t>Journal of Applied Econometrics</w:t>
      </w:r>
      <w:r w:rsidR="003035E7" w:rsidRPr="003A6DFC">
        <w:rPr>
          <w:rFonts w:ascii="Century" w:hAnsi="Century" w:cs="Arial"/>
          <w:i/>
          <w:iCs/>
          <w:color w:val="000000"/>
          <w:lang w:val="en-GB"/>
        </w:rPr>
        <w:t>,</w:t>
      </w:r>
      <w:r w:rsidRPr="003A6DFC">
        <w:rPr>
          <w:rFonts w:ascii="Century" w:hAnsi="Century" w:cs="Arial"/>
          <w:color w:val="000000"/>
          <w:lang w:val="en-GB"/>
        </w:rPr>
        <w:t xml:space="preserve"> 19, 473-503</w:t>
      </w:r>
      <w:r w:rsidR="003035E7" w:rsidRPr="003A6DFC">
        <w:rPr>
          <w:rFonts w:ascii="Century" w:hAnsi="Century" w:cs="Arial"/>
          <w:color w:val="000000"/>
          <w:lang w:val="en-GB"/>
        </w:rPr>
        <w:t>.</w:t>
      </w:r>
      <w:r w:rsidRPr="003A6DFC">
        <w:rPr>
          <w:rFonts w:ascii="Century" w:hAnsi="Century" w:cs="Arial"/>
          <w:color w:val="000000"/>
          <w:lang w:val="en-GB"/>
        </w:rPr>
        <w:t xml:space="preserve"> </w:t>
      </w:r>
    </w:p>
    <w:p w14:paraId="37E977AB" w14:textId="30BBAA8B" w:rsidR="000650AF" w:rsidRPr="003A6DFC" w:rsidRDefault="000650AF"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Cookson, R., Propper, C., </w:t>
      </w:r>
      <w:proofErr w:type="spellStart"/>
      <w:r w:rsidRPr="003A6DFC">
        <w:rPr>
          <w:rFonts w:ascii="Century" w:hAnsi="Century" w:cs="Arial"/>
          <w:color w:val="000000"/>
          <w:lang w:val="en-GB"/>
        </w:rPr>
        <w:t>Asaria</w:t>
      </w:r>
      <w:proofErr w:type="spellEnd"/>
      <w:r w:rsidRPr="003A6DFC">
        <w:rPr>
          <w:rFonts w:ascii="Century" w:hAnsi="Century" w:cs="Arial"/>
          <w:color w:val="000000"/>
          <w:lang w:val="en-GB"/>
        </w:rPr>
        <w:t xml:space="preserve">, M., Raine, R. (2016). Socio-Economic Inequalities in Health Care in England. </w:t>
      </w:r>
      <w:r w:rsidRPr="003A6DFC">
        <w:rPr>
          <w:rFonts w:ascii="Century" w:hAnsi="Century" w:cs="Arial"/>
          <w:i/>
          <w:iCs/>
          <w:color w:val="000000"/>
          <w:lang w:val="en-GB"/>
        </w:rPr>
        <w:t>Fiscal Studies</w:t>
      </w:r>
      <w:r w:rsidRPr="003A6DFC">
        <w:rPr>
          <w:rFonts w:ascii="Century" w:hAnsi="Century" w:cs="Arial"/>
          <w:color w:val="000000"/>
          <w:lang w:val="en-GB"/>
        </w:rPr>
        <w:t>, 37, 371-403.</w:t>
      </w:r>
    </w:p>
    <w:p w14:paraId="52DF1F6A" w14:textId="18FDEFC2"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Crossley, T.F.</w:t>
      </w:r>
      <w:r w:rsidR="00AD01C8" w:rsidRPr="003A6DFC">
        <w:rPr>
          <w:rFonts w:ascii="Century" w:hAnsi="Century" w:cs="Arial"/>
          <w:color w:val="000000"/>
          <w:lang w:val="en-GB"/>
        </w:rPr>
        <w:t xml:space="preserve">, </w:t>
      </w:r>
      <w:r w:rsidRPr="003A6DFC">
        <w:rPr>
          <w:rFonts w:ascii="Century" w:hAnsi="Century" w:cs="Arial"/>
          <w:color w:val="000000"/>
          <w:lang w:val="en-GB"/>
        </w:rPr>
        <w:t xml:space="preserve">Kennedy, S. </w:t>
      </w:r>
      <w:r w:rsidR="003035E7" w:rsidRPr="003A6DFC">
        <w:rPr>
          <w:rFonts w:ascii="Century" w:hAnsi="Century" w:cs="Arial"/>
          <w:color w:val="000000"/>
          <w:lang w:val="en-GB"/>
        </w:rPr>
        <w:t xml:space="preserve">(2002). </w:t>
      </w:r>
      <w:r w:rsidRPr="003A6DFC">
        <w:rPr>
          <w:rFonts w:ascii="Century" w:hAnsi="Century" w:cs="Arial"/>
          <w:color w:val="000000"/>
          <w:lang w:val="en-GB"/>
        </w:rPr>
        <w:t xml:space="preserve">The reliability of self-assessed health status. </w:t>
      </w:r>
      <w:r w:rsidRPr="003A6DFC">
        <w:rPr>
          <w:rFonts w:ascii="Century" w:hAnsi="Century" w:cs="Arial"/>
          <w:i/>
          <w:iCs/>
          <w:color w:val="000000"/>
          <w:lang w:val="en-GB"/>
        </w:rPr>
        <w:t>Journal of Health Economics</w:t>
      </w:r>
      <w:r w:rsidR="003035E7" w:rsidRPr="003A6DFC">
        <w:rPr>
          <w:rFonts w:ascii="Century" w:hAnsi="Century" w:cs="Arial"/>
          <w:i/>
          <w:iCs/>
          <w:color w:val="000000"/>
          <w:lang w:val="en-GB"/>
        </w:rPr>
        <w:t>,</w:t>
      </w:r>
      <w:r w:rsidRPr="003A6DFC">
        <w:rPr>
          <w:rFonts w:ascii="Century" w:hAnsi="Century" w:cs="Arial"/>
          <w:color w:val="000000"/>
          <w:lang w:val="en-GB"/>
        </w:rPr>
        <w:t xml:space="preserve"> 21, 643-658</w:t>
      </w:r>
      <w:r w:rsidR="003035E7" w:rsidRPr="003A6DFC">
        <w:rPr>
          <w:rFonts w:ascii="Century" w:hAnsi="Century" w:cs="Arial"/>
          <w:color w:val="000000"/>
          <w:lang w:val="en-GB"/>
        </w:rPr>
        <w:t>.</w:t>
      </w:r>
    </w:p>
    <w:p w14:paraId="0B6C6BB1" w14:textId="381E1F75" w:rsidR="001024D4" w:rsidRPr="003A6DFC" w:rsidRDefault="001024D4"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Currie, J., Duque, V.</w:t>
      </w:r>
      <w:r w:rsidR="003035E7" w:rsidRPr="003A6DFC">
        <w:rPr>
          <w:rFonts w:ascii="Century" w:hAnsi="Century" w:cs="Arial"/>
          <w:color w:val="000000"/>
          <w:lang w:val="en-GB"/>
        </w:rPr>
        <w:t xml:space="preserve">, </w:t>
      </w:r>
      <w:r w:rsidRPr="003A6DFC">
        <w:rPr>
          <w:rFonts w:ascii="Century" w:hAnsi="Century" w:cs="Arial"/>
          <w:color w:val="000000"/>
          <w:lang w:val="en-GB"/>
        </w:rPr>
        <w:t xml:space="preserve">Garfinkel, I. </w:t>
      </w:r>
      <w:r w:rsidR="003035E7" w:rsidRPr="003A6DFC">
        <w:rPr>
          <w:rFonts w:ascii="Century" w:hAnsi="Century" w:cs="Arial"/>
          <w:color w:val="000000"/>
          <w:lang w:val="en-GB"/>
        </w:rPr>
        <w:t xml:space="preserve">(2015). </w:t>
      </w:r>
      <w:r w:rsidRPr="003A6DFC">
        <w:rPr>
          <w:rFonts w:ascii="Century" w:hAnsi="Century" w:cs="Arial"/>
          <w:color w:val="000000"/>
          <w:lang w:val="en-GB"/>
        </w:rPr>
        <w:t xml:space="preserve">The Great Recession and mothers' health. </w:t>
      </w:r>
      <w:r w:rsidRPr="003A6DFC">
        <w:rPr>
          <w:rFonts w:ascii="Century" w:hAnsi="Century" w:cs="Arial"/>
          <w:i/>
          <w:iCs/>
          <w:color w:val="000000"/>
          <w:lang w:val="en-GB"/>
        </w:rPr>
        <w:t>The Economic Journal</w:t>
      </w:r>
      <w:r w:rsidR="003035E7" w:rsidRPr="003A6DFC">
        <w:rPr>
          <w:rFonts w:ascii="Century" w:hAnsi="Century" w:cs="Arial"/>
          <w:color w:val="000000"/>
          <w:lang w:val="en-GB"/>
        </w:rPr>
        <w:t>,</w:t>
      </w:r>
      <w:r w:rsidRPr="003A6DFC">
        <w:rPr>
          <w:rFonts w:ascii="Century" w:hAnsi="Century" w:cs="Arial"/>
          <w:color w:val="000000"/>
          <w:lang w:val="en-GB"/>
        </w:rPr>
        <w:t xml:space="preserve"> 125, F311-F346</w:t>
      </w:r>
      <w:r w:rsidR="003035E7" w:rsidRPr="003A6DFC">
        <w:rPr>
          <w:rFonts w:ascii="Century" w:hAnsi="Century" w:cs="Arial"/>
          <w:color w:val="000000"/>
          <w:lang w:val="en-GB"/>
        </w:rPr>
        <w:t>.</w:t>
      </w:r>
      <w:r w:rsidRPr="003A6DFC">
        <w:rPr>
          <w:rFonts w:ascii="Century" w:hAnsi="Century" w:cs="Arial"/>
          <w:color w:val="000000"/>
          <w:lang w:val="en-GB"/>
        </w:rPr>
        <w:t xml:space="preserve"> </w:t>
      </w:r>
    </w:p>
    <w:p w14:paraId="37EDADA1" w14:textId="2A2955C4" w:rsidR="000D07F4" w:rsidRPr="003A6DFC" w:rsidRDefault="000D07F4" w:rsidP="000D07F4">
      <w:pPr>
        <w:jc w:val="both"/>
        <w:rPr>
          <w:rFonts w:ascii="Century" w:hAnsi="Century"/>
          <w:lang w:val="en-GB"/>
        </w:rPr>
      </w:pPr>
      <w:proofErr w:type="spellStart"/>
      <w:r w:rsidRPr="003A6DFC">
        <w:rPr>
          <w:rFonts w:ascii="Century" w:hAnsi="Century"/>
          <w:lang w:val="en-GB"/>
        </w:rPr>
        <w:t>Davillas</w:t>
      </w:r>
      <w:proofErr w:type="spellEnd"/>
      <w:r w:rsidRPr="003A6DFC">
        <w:rPr>
          <w:rFonts w:ascii="Century" w:hAnsi="Century"/>
          <w:lang w:val="en-GB"/>
        </w:rPr>
        <w:t>, A., Jones, A. M.,</w:t>
      </w:r>
      <w:r w:rsidR="00954EF3" w:rsidRPr="003A6DFC">
        <w:rPr>
          <w:rFonts w:ascii="Century" w:hAnsi="Century"/>
          <w:lang w:val="en-GB"/>
        </w:rPr>
        <w:t xml:space="preserve"> </w:t>
      </w:r>
      <w:proofErr w:type="spellStart"/>
      <w:r w:rsidRPr="003A6DFC">
        <w:rPr>
          <w:rFonts w:ascii="Century" w:hAnsi="Century"/>
          <w:lang w:val="en-GB"/>
        </w:rPr>
        <w:t>Benzeval</w:t>
      </w:r>
      <w:proofErr w:type="spellEnd"/>
      <w:r w:rsidRPr="003A6DFC">
        <w:rPr>
          <w:rFonts w:ascii="Century" w:hAnsi="Century"/>
          <w:lang w:val="en-GB"/>
        </w:rPr>
        <w:t xml:space="preserve">, M. (2019). The income-health gradient: evidence from self-reported health and biomarkers in understanding society. </w:t>
      </w:r>
      <w:r w:rsidRPr="003A6DFC">
        <w:rPr>
          <w:rFonts w:ascii="Century" w:hAnsi="Century"/>
        </w:rPr>
        <w:t>in Panel Data Econometrics, Academic Press.</w:t>
      </w:r>
      <w:r w:rsidRPr="003A6DFC">
        <w:rPr>
          <w:rFonts w:ascii="Century" w:hAnsi="Century"/>
          <w:lang w:val="en-GB"/>
        </w:rPr>
        <w:t xml:space="preserve"> </w:t>
      </w:r>
    </w:p>
    <w:p w14:paraId="7771DDBF" w14:textId="638D1630" w:rsidR="00115A3F" w:rsidRPr="003A6DFC" w:rsidRDefault="00115A3F" w:rsidP="00115A3F">
      <w:pPr>
        <w:jc w:val="both"/>
        <w:rPr>
          <w:rFonts w:ascii="Century" w:hAnsi="Century" w:cs="Arial"/>
          <w:color w:val="222222"/>
          <w:shd w:val="clear" w:color="auto" w:fill="FFFFFF"/>
          <w:lang w:val="en-GB"/>
        </w:rPr>
      </w:pPr>
      <w:proofErr w:type="spellStart"/>
      <w:r w:rsidRPr="003A6DFC">
        <w:rPr>
          <w:rFonts w:ascii="Century" w:hAnsi="Century" w:cs="Arial"/>
          <w:color w:val="222222"/>
          <w:shd w:val="clear" w:color="auto" w:fill="FFFFFF"/>
          <w:lang w:val="en-GB"/>
        </w:rPr>
        <w:t>Davillas</w:t>
      </w:r>
      <w:proofErr w:type="spellEnd"/>
      <w:r w:rsidRPr="003A6DFC">
        <w:rPr>
          <w:rFonts w:ascii="Century" w:hAnsi="Century" w:cs="Arial"/>
          <w:color w:val="222222"/>
          <w:shd w:val="clear" w:color="auto" w:fill="FFFFFF"/>
          <w:lang w:val="en-GB"/>
        </w:rPr>
        <w:t xml:space="preserve">, A., Jones, A.M. (2020). Ex ante inequality of opportunity in health, </w:t>
      </w:r>
      <w:proofErr w:type="gramStart"/>
      <w:r w:rsidRPr="003A6DFC">
        <w:rPr>
          <w:rFonts w:ascii="Century" w:hAnsi="Century" w:cs="Arial"/>
          <w:color w:val="222222"/>
          <w:shd w:val="clear" w:color="auto" w:fill="FFFFFF"/>
          <w:lang w:val="en-GB"/>
        </w:rPr>
        <w:t>decomposition</w:t>
      </w:r>
      <w:proofErr w:type="gramEnd"/>
      <w:r w:rsidRPr="003A6DFC">
        <w:rPr>
          <w:rFonts w:ascii="Century" w:hAnsi="Century" w:cs="Arial"/>
          <w:color w:val="222222"/>
          <w:shd w:val="clear" w:color="auto" w:fill="FFFFFF"/>
          <w:lang w:val="en-GB"/>
        </w:rPr>
        <w:t xml:space="preserve"> and distributional analysis of biomarkers. </w:t>
      </w:r>
      <w:r w:rsidRPr="003A6DFC">
        <w:rPr>
          <w:rFonts w:ascii="Century" w:hAnsi="Century" w:cs="Arial"/>
          <w:i/>
          <w:iCs/>
          <w:color w:val="222222"/>
          <w:shd w:val="clear" w:color="auto" w:fill="FFFFFF"/>
          <w:lang w:val="en-GB"/>
        </w:rPr>
        <w:t>Journal of Health Economics</w:t>
      </w:r>
      <w:r w:rsidRPr="003A6DFC">
        <w:rPr>
          <w:rFonts w:ascii="Century" w:hAnsi="Century" w:cs="Arial"/>
          <w:color w:val="222222"/>
          <w:shd w:val="clear" w:color="auto" w:fill="FFFFFF"/>
          <w:lang w:val="en-GB"/>
        </w:rPr>
        <w:t>, 69, 102251.</w:t>
      </w:r>
    </w:p>
    <w:p w14:paraId="7AD57CF9" w14:textId="21B81FA0" w:rsidR="00954EF3" w:rsidRPr="003A6DFC" w:rsidRDefault="00954EF3" w:rsidP="000D07F4">
      <w:pPr>
        <w:jc w:val="both"/>
        <w:rPr>
          <w:rFonts w:ascii="Century" w:hAnsi="Century" w:cs="Arial"/>
          <w:color w:val="000000"/>
          <w:lang w:val="en-GB"/>
        </w:rPr>
      </w:pPr>
      <w:proofErr w:type="spellStart"/>
      <w:r w:rsidRPr="003A6DFC">
        <w:rPr>
          <w:rFonts w:ascii="Century" w:hAnsi="Century" w:cs="Arial"/>
          <w:color w:val="000000"/>
          <w:lang w:val="en-GB"/>
        </w:rPr>
        <w:t>Davillas</w:t>
      </w:r>
      <w:proofErr w:type="spellEnd"/>
      <w:r w:rsidRPr="003A6DFC">
        <w:rPr>
          <w:rFonts w:ascii="Century" w:hAnsi="Century" w:cs="Arial"/>
          <w:color w:val="000000"/>
          <w:lang w:val="en-GB"/>
        </w:rPr>
        <w:t xml:space="preserve">, A., </w:t>
      </w:r>
      <w:proofErr w:type="spellStart"/>
      <w:r w:rsidRPr="003A6DFC">
        <w:rPr>
          <w:rFonts w:ascii="Century" w:hAnsi="Century" w:cs="Arial"/>
          <w:color w:val="000000"/>
          <w:lang w:val="en-GB"/>
        </w:rPr>
        <w:t>Pudney</w:t>
      </w:r>
      <w:proofErr w:type="spellEnd"/>
      <w:r w:rsidRPr="003A6DFC">
        <w:rPr>
          <w:rFonts w:ascii="Century" w:hAnsi="Century" w:cs="Arial"/>
          <w:color w:val="000000"/>
          <w:lang w:val="en-GB"/>
        </w:rPr>
        <w:t xml:space="preserve">, S. (2020). Biomarkers as precursors of disability. </w:t>
      </w:r>
      <w:r w:rsidRPr="003A6DFC">
        <w:rPr>
          <w:rFonts w:ascii="Century" w:hAnsi="Century" w:cs="Arial"/>
          <w:i/>
          <w:iCs/>
          <w:color w:val="000000"/>
          <w:lang w:val="en-GB"/>
        </w:rPr>
        <w:t>Economics &amp; Human Biology</w:t>
      </w:r>
      <w:r w:rsidRPr="003A6DFC">
        <w:rPr>
          <w:rFonts w:ascii="Century" w:hAnsi="Century" w:cs="Arial"/>
          <w:color w:val="000000"/>
          <w:lang w:val="en-GB"/>
        </w:rPr>
        <w:t>, 36, 100814.</w:t>
      </w:r>
    </w:p>
    <w:p w14:paraId="0F821692" w14:textId="1779D504"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Donni, P. L., </w:t>
      </w:r>
      <w:proofErr w:type="spellStart"/>
      <w:r w:rsidRPr="003A6DFC">
        <w:rPr>
          <w:rFonts w:ascii="Century" w:hAnsi="Century" w:cs="Arial"/>
          <w:color w:val="000000"/>
          <w:lang w:val="en-GB"/>
        </w:rPr>
        <w:t>Peragine</w:t>
      </w:r>
      <w:proofErr w:type="spellEnd"/>
      <w:r w:rsidRPr="003A6DFC">
        <w:rPr>
          <w:rFonts w:ascii="Century" w:hAnsi="Century" w:cs="Arial"/>
          <w:color w:val="000000"/>
          <w:lang w:val="en-GB"/>
        </w:rPr>
        <w:t xml:space="preserve">, V., </w:t>
      </w:r>
      <w:proofErr w:type="spellStart"/>
      <w:r w:rsidRPr="003A6DFC">
        <w:rPr>
          <w:rFonts w:ascii="Century" w:hAnsi="Century" w:cs="Arial"/>
          <w:color w:val="000000"/>
          <w:lang w:val="en-GB"/>
        </w:rPr>
        <w:t>Pignataro</w:t>
      </w:r>
      <w:proofErr w:type="spellEnd"/>
      <w:r w:rsidRPr="003A6DFC">
        <w:rPr>
          <w:rFonts w:ascii="Century" w:hAnsi="Century" w:cs="Arial"/>
          <w:color w:val="000000"/>
          <w:lang w:val="en-GB"/>
        </w:rPr>
        <w:t>, G. (2014). Ex</w:t>
      </w:r>
      <w:r w:rsidRPr="003A6DFC">
        <w:rPr>
          <w:rFonts w:ascii="Times New Roman" w:hAnsi="Times New Roman" w:cs="Times New Roman"/>
          <w:color w:val="000000"/>
          <w:lang w:val="en-GB"/>
        </w:rPr>
        <w:t>‐</w:t>
      </w:r>
      <w:r w:rsidRPr="003A6DFC">
        <w:rPr>
          <w:rFonts w:ascii="Century" w:hAnsi="Century" w:cs="Arial"/>
          <w:color w:val="000000"/>
          <w:lang w:val="en-GB"/>
        </w:rPr>
        <w:t>ante and Ex</w:t>
      </w:r>
      <w:r w:rsidRPr="003A6DFC">
        <w:rPr>
          <w:rFonts w:ascii="Times New Roman" w:hAnsi="Times New Roman" w:cs="Times New Roman"/>
          <w:color w:val="000000"/>
          <w:lang w:val="en-GB"/>
        </w:rPr>
        <w:t>‐</w:t>
      </w:r>
      <w:r w:rsidRPr="003A6DFC">
        <w:rPr>
          <w:rFonts w:ascii="Century" w:hAnsi="Century" w:cs="Arial"/>
          <w:color w:val="000000"/>
          <w:lang w:val="en-GB"/>
        </w:rPr>
        <w:t>post measurement of equality of opportunity in health: A normative decomposition. </w:t>
      </w:r>
      <w:r w:rsidRPr="003A6DFC">
        <w:rPr>
          <w:rFonts w:ascii="Century" w:hAnsi="Century" w:cs="Arial"/>
          <w:i/>
          <w:iCs/>
          <w:color w:val="000000"/>
          <w:lang w:val="en-GB"/>
        </w:rPr>
        <w:t xml:space="preserve">Health </w:t>
      </w:r>
      <w:r w:rsidR="00684EB7" w:rsidRPr="003A6DFC">
        <w:rPr>
          <w:rFonts w:ascii="Century" w:hAnsi="Century" w:cs="Arial"/>
          <w:i/>
          <w:iCs/>
          <w:color w:val="000000"/>
          <w:lang w:val="en-GB"/>
        </w:rPr>
        <w:t>E</w:t>
      </w:r>
      <w:r w:rsidRPr="003A6DFC">
        <w:rPr>
          <w:rFonts w:ascii="Century" w:hAnsi="Century" w:cs="Arial"/>
          <w:i/>
          <w:iCs/>
          <w:color w:val="000000"/>
          <w:lang w:val="en-GB"/>
        </w:rPr>
        <w:t>conomics</w:t>
      </w:r>
      <w:r w:rsidRPr="003A6DFC">
        <w:rPr>
          <w:rFonts w:ascii="Century" w:hAnsi="Century" w:cs="Arial"/>
          <w:color w:val="000000"/>
          <w:lang w:val="en-GB"/>
        </w:rPr>
        <w:t>, 23(2), 182-198.</w:t>
      </w:r>
    </w:p>
    <w:p w14:paraId="3823D97B" w14:textId="2E3406B3"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Dowd, J.B.</w:t>
      </w:r>
      <w:r w:rsidR="00AD01C8" w:rsidRPr="003A6DFC">
        <w:rPr>
          <w:rFonts w:ascii="Century" w:hAnsi="Century" w:cs="Arial"/>
          <w:color w:val="000000"/>
          <w:lang w:val="en-GB"/>
        </w:rPr>
        <w:t xml:space="preserve">, </w:t>
      </w:r>
      <w:proofErr w:type="spellStart"/>
      <w:r w:rsidRPr="003A6DFC">
        <w:rPr>
          <w:rFonts w:ascii="Century" w:hAnsi="Century" w:cs="Arial"/>
          <w:color w:val="000000"/>
          <w:lang w:val="en-GB"/>
        </w:rPr>
        <w:t>Zajacova</w:t>
      </w:r>
      <w:proofErr w:type="spellEnd"/>
      <w:r w:rsidRPr="003A6DFC">
        <w:rPr>
          <w:rFonts w:ascii="Century" w:hAnsi="Century" w:cs="Arial"/>
          <w:color w:val="000000"/>
          <w:lang w:val="en-GB"/>
        </w:rPr>
        <w:t xml:space="preserve">, A. </w:t>
      </w:r>
      <w:r w:rsidR="00684EB7" w:rsidRPr="003A6DFC">
        <w:rPr>
          <w:rFonts w:ascii="Century" w:hAnsi="Century" w:cs="Arial"/>
          <w:color w:val="000000"/>
          <w:lang w:val="en-GB"/>
        </w:rPr>
        <w:t xml:space="preserve">(2010). </w:t>
      </w:r>
      <w:r w:rsidRPr="003A6DFC">
        <w:rPr>
          <w:rFonts w:ascii="Century" w:hAnsi="Century" w:cs="Arial"/>
          <w:color w:val="000000"/>
          <w:lang w:val="en-GB"/>
        </w:rPr>
        <w:t xml:space="preserve">Does self-rated health mean the same thing across socioeconomic groups? Evidence from biomarker data. </w:t>
      </w:r>
      <w:r w:rsidRPr="003A6DFC">
        <w:rPr>
          <w:rFonts w:ascii="Century" w:hAnsi="Century" w:cs="Arial"/>
          <w:i/>
          <w:iCs/>
          <w:color w:val="000000"/>
          <w:lang w:val="en-GB"/>
        </w:rPr>
        <w:t>Annals of Epidemiology</w:t>
      </w:r>
      <w:r w:rsidR="00684EB7" w:rsidRPr="003A6DFC">
        <w:rPr>
          <w:rFonts w:ascii="Century" w:hAnsi="Century" w:cs="Arial"/>
          <w:color w:val="000000"/>
          <w:lang w:val="en-GB"/>
        </w:rPr>
        <w:t>,</w:t>
      </w:r>
      <w:r w:rsidRPr="003A6DFC">
        <w:rPr>
          <w:rFonts w:ascii="Century" w:hAnsi="Century" w:cs="Arial"/>
          <w:color w:val="000000"/>
          <w:lang w:val="en-GB"/>
        </w:rPr>
        <w:t xml:space="preserve"> 20, 743-749. </w:t>
      </w:r>
    </w:p>
    <w:p w14:paraId="41A1C63B" w14:textId="49A203CE"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Etilé</w:t>
      </w:r>
      <w:proofErr w:type="spellEnd"/>
      <w:r w:rsidRPr="003A6DFC">
        <w:rPr>
          <w:rFonts w:ascii="Century" w:hAnsi="Century" w:cs="Arial"/>
          <w:color w:val="000000"/>
          <w:lang w:val="en-GB"/>
        </w:rPr>
        <w:t>, F.</w:t>
      </w:r>
      <w:r w:rsidR="00684EB7" w:rsidRPr="003A6DFC">
        <w:rPr>
          <w:rFonts w:ascii="Century" w:hAnsi="Century" w:cs="Arial"/>
          <w:color w:val="000000"/>
          <w:lang w:val="en-GB"/>
        </w:rPr>
        <w:t xml:space="preserve">, </w:t>
      </w:r>
      <w:proofErr w:type="spellStart"/>
      <w:r w:rsidRPr="003A6DFC">
        <w:rPr>
          <w:rFonts w:ascii="Century" w:hAnsi="Century" w:cs="Arial"/>
          <w:color w:val="000000"/>
          <w:lang w:val="en-GB"/>
        </w:rPr>
        <w:t>Milcent</w:t>
      </w:r>
      <w:proofErr w:type="spellEnd"/>
      <w:r w:rsidRPr="003A6DFC">
        <w:rPr>
          <w:rFonts w:ascii="Century" w:hAnsi="Century" w:cs="Arial"/>
          <w:color w:val="000000"/>
          <w:lang w:val="en-GB"/>
        </w:rPr>
        <w:t xml:space="preserve">, C. </w:t>
      </w:r>
      <w:r w:rsidR="00684EB7" w:rsidRPr="003A6DFC">
        <w:rPr>
          <w:rFonts w:ascii="Century" w:hAnsi="Century" w:cs="Arial"/>
          <w:color w:val="000000"/>
          <w:lang w:val="en-GB"/>
        </w:rPr>
        <w:t xml:space="preserve">(2006). </w:t>
      </w:r>
      <w:r w:rsidRPr="003A6DFC">
        <w:rPr>
          <w:rFonts w:ascii="Century" w:hAnsi="Century" w:cs="Arial"/>
          <w:color w:val="000000"/>
          <w:lang w:val="en-GB"/>
        </w:rPr>
        <w:t>Income</w:t>
      </w:r>
      <w:r w:rsidRPr="003A6DFC">
        <w:rPr>
          <w:rFonts w:ascii="Times New Roman" w:hAnsi="Times New Roman" w:cs="Times New Roman"/>
          <w:color w:val="000000"/>
          <w:lang w:val="en-GB"/>
        </w:rPr>
        <w:t>‐</w:t>
      </w:r>
      <w:r w:rsidRPr="003A6DFC">
        <w:rPr>
          <w:rFonts w:ascii="Century" w:hAnsi="Century" w:cs="Arial"/>
          <w:color w:val="000000"/>
          <w:lang w:val="en-GB"/>
        </w:rPr>
        <w:t>related reporting heterogeneity in self</w:t>
      </w:r>
      <w:r w:rsidRPr="003A6DFC">
        <w:rPr>
          <w:rFonts w:ascii="Times New Roman" w:hAnsi="Times New Roman" w:cs="Times New Roman"/>
          <w:color w:val="000000"/>
          <w:lang w:val="en-GB"/>
        </w:rPr>
        <w:t>‐</w:t>
      </w:r>
      <w:r w:rsidRPr="003A6DFC">
        <w:rPr>
          <w:rFonts w:ascii="Century" w:hAnsi="Century" w:cs="Arial"/>
          <w:color w:val="000000"/>
          <w:lang w:val="en-GB"/>
        </w:rPr>
        <w:t xml:space="preserve">assessed health: evidence from France. </w:t>
      </w:r>
      <w:r w:rsidRPr="003A6DFC">
        <w:rPr>
          <w:rFonts w:ascii="Century" w:hAnsi="Century" w:cs="Arial"/>
          <w:i/>
          <w:iCs/>
          <w:color w:val="000000"/>
          <w:lang w:val="en-GB"/>
        </w:rPr>
        <w:t>Health Economics</w:t>
      </w:r>
      <w:r w:rsidR="00684EB7" w:rsidRPr="003A6DFC">
        <w:rPr>
          <w:rFonts w:ascii="Century" w:hAnsi="Century" w:cs="Arial"/>
          <w:color w:val="000000"/>
          <w:lang w:val="en-GB"/>
        </w:rPr>
        <w:t>,</w:t>
      </w:r>
      <w:r w:rsidRPr="003A6DFC">
        <w:rPr>
          <w:rFonts w:ascii="Century" w:hAnsi="Century" w:cs="Arial"/>
          <w:color w:val="000000"/>
          <w:lang w:val="en-GB"/>
        </w:rPr>
        <w:t xml:space="preserve"> 15, 965-981</w:t>
      </w:r>
      <w:r w:rsidR="00684EB7" w:rsidRPr="003A6DFC">
        <w:rPr>
          <w:rFonts w:ascii="Century" w:hAnsi="Century" w:cs="Arial"/>
          <w:color w:val="000000"/>
          <w:lang w:val="en-GB"/>
        </w:rPr>
        <w:t>.</w:t>
      </w:r>
      <w:r w:rsidRPr="003A6DFC">
        <w:rPr>
          <w:rFonts w:ascii="Century" w:hAnsi="Century" w:cs="Arial"/>
          <w:color w:val="000000"/>
          <w:lang w:val="en-GB"/>
        </w:rPr>
        <w:t xml:space="preserve"> </w:t>
      </w:r>
    </w:p>
    <w:p w14:paraId="453EE766" w14:textId="2645B05A" w:rsidR="000D07F4" w:rsidRPr="003A6DFC" w:rsidRDefault="000D07F4"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Fichera</w:t>
      </w:r>
      <w:proofErr w:type="spellEnd"/>
      <w:r w:rsidRPr="003A6DFC">
        <w:rPr>
          <w:rFonts w:ascii="Century" w:hAnsi="Century" w:cs="Arial"/>
          <w:color w:val="000000"/>
          <w:lang w:val="en-GB"/>
        </w:rPr>
        <w:t xml:space="preserve">, E., </w:t>
      </w:r>
      <w:proofErr w:type="spellStart"/>
      <w:r w:rsidRPr="003A6DFC">
        <w:rPr>
          <w:rFonts w:ascii="Century" w:hAnsi="Century" w:cs="Arial"/>
          <w:color w:val="000000"/>
          <w:lang w:val="en-GB"/>
        </w:rPr>
        <w:t>Gathergood</w:t>
      </w:r>
      <w:proofErr w:type="spellEnd"/>
      <w:r w:rsidRPr="003A6DFC">
        <w:rPr>
          <w:rFonts w:ascii="Century" w:hAnsi="Century" w:cs="Arial"/>
          <w:color w:val="000000"/>
          <w:lang w:val="en-GB"/>
        </w:rPr>
        <w:t>, J. (2016). Do wealth shocks affect health? New evidence from the housing boom. </w:t>
      </w:r>
      <w:r w:rsidRPr="003A6DFC">
        <w:rPr>
          <w:rFonts w:ascii="Century" w:hAnsi="Century" w:cs="Arial"/>
          <w:i/>
          <w:iCs/>
          <w:color w:val="000000"/>
          <w:lang w:val="en-GB"/>
        </w:rPr>
        <w:t>Health Economics</w:t>
      </w:r>
      <w:r w:rsidRPr="003A6DFC">
        <w:rPr>
          <w:rFonts w:ascii="Century" w:hAnsi="Century" w:cs="Arial"/>
          <w:color w:val="000000"/>
          <w:lang w:val="en-GB"/>
        </w:rPr>
        <w:t>, 25, 57-69.</w:t>
      </w:r>
    </w:p>
    <w:p w14:paraId="3E47041A" w14:textId="77777777" w:rsidR="00E3525E" w:rsidRPr="003A6DFC" w:rsidRDefault="00E3525E" w:rsidP="00E3525E">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Fisher, P. (2019). Does repeated measurement improve income data quality? </w:t>
      </w:r>
      <w:r w:rsidRPr="003A6DFC">
        <w:rPr>
          <w:rFonts w:ascii="Century" w:hAnsi="Century" w:cs="Arial"/>
          <w:i/>
          <w:iCs/>
          <w:color w:val="000000"/>
          <w:lang w:val="en-GB"/>
        </w:rPr>
        <w:t>Oxford Bulletin of Economics and Statistics</w:t>
      </w:r>
      <w:r w:rsidRPr="003A6DFC">
        <w:rPr>
          <w:rFonts w:ascii="Century" w:hAnsi="Century" w:cs="Arial"/>
          <w:color w:val="000000"/>
          <w:lang w:val="en-GB"/>
        </w:rPr>
        <w:t>, 81, 989-1011.</w:t>
      </w:r>
    </w:p>
    <w:p w14:paraId="194014DD" w14:textId="12C506F9" w:rsidR="000D07F4" w:rsidRPr="003A6DFC" w:rsidRDefault="000D07F4" w:rsidP="000D07F4">
      <w:pPr>
        <w:jc w:val="both"/>
        <w:rPr>
          <w:rFonts w:ascii="Century" w:hAnsi="Century"/>
          <w:lang w:val="en-GB"/>
        </w:rPr>
      </w:pPr>
      <w:proofErr w:type="spellStart"/>
      <w:r w:rsidRPr="003A6DFC">
        <w:rPr>
          <w:rFonts w:ascii="Century" w:hAnsi="Century" w:cs="Arial"/>
          <w:color w:val="222222"/>
          <w:shd w:val="clear" w:color="auto" w:fill="FFFFFF"/>
          <w:lang w:val="en-GB"/>
        </w:rPr>
        <w:t>Foverskov</w:t>
      </w:r>
      <w:proofErr w:type="spellEnd"/>
      <w:r w:rsidRPr="003A6DFC">
        <w:rPr>
          <w:rFonts w:ascii="Century" w:hAnsi="Century" w:cs="Arial"/>
          <w:color w:val="222222"/>
          <w:shd w:val="clear" w:color="auto" w:fill="FFFFFF"/>
          <w:lang w:val="en-GB"/>
        </w:rPr>
        <w:t>, E., Holm, A. (2016). Socioeconomic inequality in health in the British household panel: tests of the social causation, health selection and the indirect selection hypothesis using dynamic fixed effects panel models. </w:t>
      </w:r>
      <w:r w:rsidRPr="003A6DFC">
        <w:rPr>
          <w:rFonts w:ascii="Century" w:hAnsi="Century" w:cs="Arial"/>
          <w:i/>
          <w:iCs/>
          <w:color w:val="222222"/>
          <w:shd w:val="clear" w:color="auto" w:fill="FFFFFF"/>
        </w:rPr>
        <w:t>Social Science &amp; Medicine</w:t>
      </w:r>
      <w:r w:rsidRPr="003A6DFC">
        <w:rPr>
          <w:rFonts w:ascii="Century" w:hAnsi="Century" w:cs="Arial"/>
          <w:color w:val="222222"/>
          <w:shd w:val="clear" w:color="auto" w:fill="FFFFFF"/>
        </w:rPr>
        <w:t>, </w:t>
      </w:r>
      <w:r w:rsidRPr="003A6DFC">
        <w:rPr>
          <w:rFonts w:ascii="Century" w:hAnsi="Century" w:cs="Arial"/>
          <w:i/>
          <w:iCs/>
          <w:color w:val="222222"/>
          <w:shd w:val="clear" w:color="auto" w:fill="FFFFFF"/>
        </w:rPr>
        <w:t>150</w:t>
      </w:r>
      <w:r w:rsidRPr="003A6DFC">
        <w:rPr>
          <w:rFonts w:ascii="Century" w:hAnsi="Century" w:cs="Arial"/>
          <w:color w:val="222222"/>
          <w:shd w:val="clear" w:color="auto" w:fill="FFFFFF"/>
        </w:rPr>
        <w:t>, 172-183.</w:t>
      </w:r>
    </w:p>
    <w:p w14:paraId="4A6D2FD6" w14:textId="77777777" w:rsidR="000D07F4" w:rsidRPr="003A6DFC" w:rsidRDefault="000D07F4" w:rsidP="000D07F4">
      <w:pPr>
        <w:jc w:val="both"/>
        <w:rPr>
          <w:rFonts w:ascii="Century" w:hAnsi="Century" w:cs="Arial"/>
          <w:color w:val="222222"/>
          <w:shd w:val="clear" w:color="auto" w:fill="FFFFFF"/>
        </w:rPr>
      </w:pPr>
      <w:proofErr w:type="spellStart"/>
      <w:r w:rsidRPr="003A6DFC">
        <w:rPr>
          <w:rFonts w:ascii="Century" w:hAnsi="Century" w:cs="Arial"/>
          <w:color w:val="222222"/>
          <w:shd w:val="clear" w:color="auto" w:fill="FFFFFF"/>
          <w:lang w:val="en-GB"/>
        </w:rPr>
        <w:t>Frijters</w:t>
      </w:r>
      <w:proofErr w:type="spellEnd"/>
      <w:r w:rsidRPr="003A6DFC">
        <w:rPr>
          <w:rFonts w:ascii="Century" w:hAnsi="Century" w:cs="Arial"/>
          <w:color w:val="222222"/>
          <w:shd w:val="clear" w:color="auto" w:fill="FFFFFF"/>
          <w:lang w:val="en-GB"/>
        </w:rPr>
        <w:t xml:space="preserve">, P., </w:t>
      </w:r>
      <w:proofErr w:type="spellStart"/>
      <w:r w:rsidRPr="003A6DFC">
        <w:rPr>
          <w:rFonts w:ascii="Century" w:hAnsi="Century" w:cs="Arial"/>
          <w:color w:val="222222"/>
          <w:shd w:val="clear" w:color="auto" w:fill="FFFFFF"/>
          <w:lang w:val="en-GB"/>
        </w:rPr>
        <w:t>Haisken-DeNew</w:t>
      </w:r>
      <w:proofErr w:type="spellEnd"/>
      <w:r w:rsidRPr="003A6DFC">
        <w:rPr>
          <w:rFonts w:ascii="Century" w:hAnsi="Century" w:cs="Arial"/>
          <w:color w:val="222222"/>
          <w:shd w:val="clear" w:color="auto" w:fill="FFFFFF"/>
          <w:lang w:val="en-GB"/>
        </w:rPr>
        <w:t>, J. P., Shields, M.A. (2005). The causal effect of income on health: Evidence from German reunification. </w:t>
      </w:r>
      <w:r w:rsidRPr="003A6DFC">
        <w:rPr>
          <w:rFonts w:ascii="Century" w:hAnsi="Century" w:cs="Arial"/>
          <w:i/>
          <w:iCs/>
          <w:color w:val="222222"/>
          <w:shd w:val="clear" w:color="auto" w:fill="FFFFFF"/>
        </w:rPr>
        <w:t>Journal of Health Economics</w:t>
      </w:r>
      <w:r w:rsidRPr="003A6DFC">
        <w:rPr>
          <w:rFonts w:ascii="Century" w:hAnsi="Century" w:cs="Arial"/>
          <w:color w:val="222222"/>
          <w:shd w:val="clear" w:color="auto" w:fill="FFFFFF"/>
        </w:rPr>
        <w:t>, </w:t>
      </w:r>
      <w:r w:rsidRPr="003A6DFC">
        <w:rPr>
          <w:rFonts w:ascii="Century" w:hAnsi="Century" w:cs="Arial"/>
          <w:i/>
          <w:iCs/>
          <w:color w:val="222222"/>
          <w:shd w:val="clear" w:color="auto" w:fill="FFFFFF"/>
        </w:rPr>
        <w:t>24</w:t>
      </w:r>
      <w:r w:rsidRPr="003A6DFC">
        <w:rPr>
          <w:rFonts w:ascii="Century" w:hAnsi="Century" w:cs="Arial"/>
          <w:color w:val="222222"/>
          <w:shd w:val="clear" w:color="auto" w:fill="FFFFFF"/>
        </w:rPr>
        <w:t>, 997-1017.</w:t>
      </w:r>
    </w:p>
    <w:p w14:paraId="59D0FE81" w14:textId="77777777" w:rsidR="000D07F4" w:rsidRPr="003A6DFC" w:rsidRDefault="000D07F4" w:rsidP="000D07F4">
      <w:pPr>
        <w:jc w:val="both"/>
        <w:rPr>
          <w:rFonts w:ascii="Century" w:hAnsi="Century" w:cs="Arial"/>
          <w:color w:val="222222"/>
          <w:shd w:val="clear" w:color="auto" w:fill="FFFFFF"/>
        </w:rPr>
      </w:pPr>
      <w:r w:rsidRPr="003A6DFC">
        <w:rPr>
          <w:rFonts w:ascii="Century" w:hAnsi="Century" w:cs="Arial"/>
          <w:color w:val="222222"/>
          <w:shd w:val="clear" w:color="auto" w:fill="FFFFFF"/>
          <w:lang w:val="en-GB"/>
        </w:rPr>
        <w:lastRenderedPageBreak/>
        <w:t>Fuchs, V. R. (2004). Reflections on the socio-economic correlates of health. </w:t>
      </w:r>
      <w:r w:rsidRPr="003A6DFC">
        <w:rPr>
          <w:rFonts w:ascii="Century" w:hAnsi="Century" w:cs="Arial"/>
          <w:i/>
          <w:iCs/>
          <w:color w:val="222222"/>
          <w:shd w:val="clear" w:color="auto" w:fill="FFFFFF"/>
        </w:rPr>
        <w:t>Journal of Health Economics</w:t>
      </w:r>
      <w:r w:rsidRPr="003A6DFC">
        <w:rPr>
          <w:rFonts w:ascii="Century" w:hAnsi="Century" w:cs="Arial"/>
          <w:color w:val="222222"/>
          <w:shd w:val="clear" w:color="auto" w:fill="FFFFFF"/>
        </w:rPr>
        <w:t>, </w:t>
      </w:r>
      <w:r w:rsidRPr="003A6DFC">
        <w:rPr>
          <w:rFonts w:ascii="Century" w:hAnsi="Century" w:cs="Arial"/>
          <w:i/>
          <w:iCs/>
          <w:color w:val="222222"/>
          <w:shd w:val="clear" w:color="auto" w:fill="FFFFFF"/>
        </w:rPr>
        <w:t>23</w:t>
      </w:r>
      <w:r w:rsidRPr="003A6DFC">
        <w:rPr>
          <w:rFonts w:ascii="Century" w:hAnsi="Century" w:cs="Arial"/>
          <w:color w:val="222222"/>
          <w:shd w:val="clear" w:color="auto" w:fill="FFFFFF"/>
        </w:rPr>
        <w:t>(4), 653-661.</w:t>
      </w:r>
    </w:p>
    <w:p w14:paraId="596C242A" w14:textId="7B268D1D" w:rsidR="001024D4" w:rsidRPr="003A6DFC" w:rsidRDefault="001024D4"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García-Gómez, P., Jones, A. M.</w:t>
      </w:r>
      <w:r w:rsidR="00684EB7" w:rsidRPr="003A6DFC">
        <w:rPr>
          <w:rFonts w:ascii="Century" w:hAnsi="Century" w:cs="Arial"/>
          <w:color w:val="000000"/>
          <w:lang w:val="en-GB"/>
        </w:rPr>
        <w:t>,</w:t>
      </w:r>
      <w:r w:rsidRPr="003A6DFC">
        <w:rPr>
          <w:rFonts w:ascii="Century" w:hAnsi="Century" w:cs="Arial"/>
          <w:color w:val="000000"/>
          <w:lang w:val="en-GB"/>
        </w:rPr>
        <w:t xml:space="preserve"> Rice, N. </w:t>
      </w:r>
      <w:r w:rsidR="00684EB7" w:rsidRPr="003A6DFC">
        <w:rPr>
          <w:rFonts w:ascii="Century" w:hAnsi="Century" w:cs="Arial"/>
          <w:color w:val="000000"/>
          <w:lang w:val="en-GB"/>
        </w:rPr>
        <w:t xml:space="preserve">(2010). </w:t>
      </w:r>
      <w:r w:rsidRPr="003A6DFC">
        <w:rPr>
          <w:rFonts w:ascii="Century" w:hAnsi="Century" w:cs="Arial"/>
          <w:color w:val="000000"/>
          <w:lang w:val="en-GB"/>
        </w:rPr>
        <w:t xml:space="preserve">Health effects on labour market exits and entries. </w:t>
      </w:r>
      <w:r w:rsidRPr="003A6DFC">
        <w:rPr>
          <w:rFonts w:ascii="Century" w:hAnsi="Century" w:cs="Arial"/>
          <w:i/>
          <w:iCs/>
          <w:color w:val="000000"/>
          <w:lang w:val="en-GB"/>
        </w:rPr>
        <w:t>Labour Economics</w:t>
      </w:r>
      <w:r w:rsidR="00684EB7" w:rsidRPr="003A6DFC">
        <w:rPr>
          <w:rFonts w:ascii="Century" w:hAnsi="Century" w:cs="Arial"/>
          <w:i/>
          <w:iCs/>
          <w:color w:val="000000"/>
          <w:lang w:val="en-GB"/>
        </w:rPr>
        <w:t>,</w:t>
      </w:r>
      <w:r w:rsidRPr="003A6DFC">
        <w:rPr>
          <w:rFonts w:ascii="Century" w:hAnsi="Century" w:cs="Arial"/>
          <w:color w:val="000000"/>
          <w:lang w:val="en-GB"/>
        </w:rPr>
        <w:t xml:space="preserve"> 17, 62-76</w:t>
      </w:r>
      <w:r w:rsidR="00684EB7" w:rsidRPr="003A6DFC">
        <w:rPr>
          <w:rFonts w:ascii="Century" w:hAnsi="Century" w:cs="Arial"/>
          <w:color w:val="000000"/>
          <w:lang w:val="en-GB"/>
        </w:rPr>
        <w:t>.</w:t>
      </w:r>
      <w:r w:rsidRPr="003A6DFC">
        <w:rPr>
          <w:rFonts w:ascii="Century" w:hAnsi="Century" w:cs="Arial"/>
          <w:color w:val="000000"/>
          <w:lang w:val="en-GB"/>
        </w:rPr>
        <w:t xml:space="preserve"> </w:t>
      </w:r>
    </w:p>
    <w:p w14:paraId="40D705BE" w14:textId="084B586E"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Greene, W. H. Econometric Analysis. 5th ed., Pearson Education Prentice-Hall, Upper Saddle River, NJ (2003).</w:t>
      </w:r>
    </w:p>
    <w:p w14:paraId="7A5A3A90" w14:textId="77777777" w:rsidR="009C2E31" w:rsidRPr="003A6DFC" w:rsidRDefault="009C2E31" w:rsidP="002C575B">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Gunasekara</w:t>
      </w:r>
      <w:proofErr w:type="spellEnd"/>
      <w:r w:rsidRPr="003A6DFC">
        <w:rPr>
          <w:rFonts w:ascii="Century" w:hAnsi="Century" w:cs="Arial"/>
          <w:color w:val="000000"/>
          <w:lang w:val="en-GB"/>
        </w:rPr>
        <w:t xml:space="preserve">, F. I., Carter, K., Blakely, T. (2012). Comparing self-rated health and self-assessed change in health in a longitudinal survey: Which is more valid? </w:t>
      </w:r>
      <w:r w:rsidRPr="003A6DFC">
        <w:rPr>
          <w:rFonts w:ascii="Century" w:hAnsi="Century" w:cs="Arial"/>
          <w:i/>
          <w:iCs/>
          <w:color w:val="000000"/>
          <w:lang w:val="en-GB"/>
        </w:rPr>
        <w:t>Social Science &amp; Medicine</w:t>
      </w:r>
      <w:r w:rsidRPr="003A6DFC">
        <w:rPr>
          <w:rFonts w:ascii="Century" w:hAnsi="Century" w:cs="Arial"/>
          <w:color w:val="000000"/>
          <w:lang w:val="en-GB"/>
        </w:rPr>
        <w:t>, 74(7), 1117-1124.</w:t>
      </w:r>
    </w:p>
    <w:p w14:paraId="6B97884C" w14:textId="79D028CE"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Hu, Y., van </w:t>
      </w:r>
      <w:proofErr w:type="spellStart"/>
      <w:r w:rsidRPr="003A6DFC">
        <w:rPr>
          <w:rFonts w:ascii="Century" w:hAnsi="Century" w:cs="Arial"/>
          <w:color w:val="000000"/>
          <w:lang w:val="en-GB"/>
        </w:rPr>
        <w:t>Lenthe</w:t>
      </w:r>
      <w:proofErr w:type="spellEnd"/>
      <w:r w:rsidRPr="003A6DFC">
        <w:rPr>
          <w:rFonts w:ascii="Century" w:hAnsi="Century" w:cs="Arial"/>
          <w:color w:val="000000"/>
          <w:lang w:val="en-GB"/>
        </w:rPr>
        <w:t xml:space="preserve">, F. J., </w:t>
      </w:r>
      <w:proofErr w:type="spellStart"/>
      <w:r w:rsidRPr="003A6DFC">
        <w:rPr>
          <w:rFonts w:ascii="Century" w:hAnsi="Century" w:cs="Arial"/>
          <w:color w:val="000000"/>
          <w:lang w:val="en-GB"/>
        </w:rPr>
        <w:t>Borsboom</w:t>
      </w:r>
      <w:proofErr w:type="spellEnd"/>
      <w:r w:rsidRPr="003A6DFC">
        <w:rPr>
          <w:rFonts w:ascii="Century" w:hAnsi="Century" w:cs="Arial"/>
          <w:color w:val="000000"/>
          <w:lang w:val="en-GB"/>
        </w:rPr>
        <w:t xml:space="preserve">, G. J., </w:t>
      </w:r>
      <w:proofErr w:type="spellStart"/>
      <w:r w:rsidRPr="003A6DFC">
        <w:rPr>
          <w:rFonts w:ascii="Century" w:hAnsi="Century" w:cs="Arial"/>
          <w:color w:val="000000"/>
          <w:lang w:val="en-GB"/>
        </w:rPr>
        <w:t>Looman</w:t>
      </w:r>
      <w:proofErr w:type="spellEnd"/>
      <w:r w:rsidRPr="003A6DFC">
        <w:rPr>
          <w:rFonts w:ascii="Century" w:hAnsi="Century" w:cs="Arial"/>
          <w:color w:val="000000"/>
          <w:lang w:val="en-GB"/>
        </w:rPr>
        <w:t xml:space="preserve">, C. W. N., Bopp, M., </w:t>
      </w:r>
      <w:proofErr w:type="spellStart"/>
      <w:r w:rsidRPr="003A6DFC">
        <w:rPr>
          <w:rFonts w:ascii="Century" w:hAnsi="Century" w:cs="Arial"/>
          <w:color w:val="000000"/>
          <w:lang w:val="en-GB"/>
        </w:rPr>
        <w:t>Burström</w:t>
      </w:r>
      <w:proofErr w:type="spellEnd"/>
      <w:r w:rsidRPr="003A6DFC">
        <w:rPr>
          <w:rFonts w:ascii="Century" w:hAnsi="Century" w:cs="Arial"/>
          <w:color w:val="000000"/>
          <w:lang w:val="en-GB"/>
        </w:rPr>
        <w:t xml:space="preserve">, B., </w:t>
      </w:r>
      <w:proofErr w:type="spellStart"/>
      <w:r w:rsidRPr="003A6DFC">
        <w:rPr>
          <w:rFonts w:ascii="Century" w:hAnsi="Century" w:cs="Arial"/>
          <w:color w:val="000000"/>
          <w:lang w:val="en-GB"/>
        </w:rPr>
        <w:t>Dzúrová</w:t>
      </w:r>
      <w:proofErr w:type="spellEnd"/>
      <w:r w:rsidRPr="003A6DFC">
        <w:rPr>
          <w:rFonts w:ascii="Century" w:hAnsi="Century" w:cs="Arial"/>
          <w:color w:val="000000"/>
          <w:lang w:val="en-GB"/>
        </w:rPr>
        <w:t xml:space="preserve">, D., </w:t>
      </w:r>
      <w:proofErr w:type="spellStart"/>
      <w:r w:rsidRPr="003A6DFC">
        <w:rPr>
          <w:rFonts w:ascii="Century" w:hAnsi="Century" w:cs="Arial"/>
          <w:color w:val="000000"/>
          <w:lang w:val="en-GB"/>
        </w:rPr>
        <w:t>Ekholm</w:t>
      </w:r>
      <w:proofErr w:type="spellEnd"/>
      <w:r w:rsidRPr="003A6DFC">
        <w:rPr>
          <w:rFonts w:ascii="Century" w:hAnsi="Century" w:cs="Arial"/>
          <w:color w:val="000000"/>
          <w:lang w:val="en-GB"/>
        </w:rPr>
        <w:t xml:space="preserve">, O. </w:t>
      </w:r>
      <w:proofErr w:type="spellStart"/>
      <w:r w:rsidRPr="003A6DFC">
        <w:rPr>
          <w:rFonts w:ascii="Century" w:hAnsi="Century" w:cs="Arial"/>
          <w:color w:val="000000"/>
          <w:lang w:val="en-GB"/>
        </w:rPr>
        <w:t>Klumbiene</w:t>
      </w:r>
      <w:proofErr w:type="spellEnd"/>
      <w:r w:rsidRPr="003A6DFC">
        <w:rPr>
          <w:rFonts w:ascii="Century" w:hAnsi="Century" w:cs="Arial"/>
          <w:color w:val="000000"/>
          <w:lang w:val="en-GB"/>
        </w:rPr>
        <w:t xml:space="preserve">, J., </w:t>
      </w:r>
      <w:proofErr w:type="spellStart"/>
      <w:r w:rsidRPr="003A6DFC">
        <w:rPr>
          <w:rFonts w:ascii="Century" w:hAnsi="Century" w:cs="Arial"/>
          <w:color w:val="000000"/>
          <w:lang w:val="en-GB"/>
        </w:rPr>
        <w:t>Lahelma</w:t>
      </w:r>
      <w:proofErr w:type="spellEnd"/>
      <w:r w:rsidRPr="003A6DFC">
        <w:rPr>
          <w:rFonts w:ascii="Century" w:hAnsi="Century" w:cs="Arial"/>
          <w:color w:val="000000"/>
          <w:lang w:val="en-GB"/>
        </w:rPr>
        <w:t xml:space="preserve">, E., </w:t>
      </w:r>
      <w:proofErr w:type="spellStart"/>
      <w:r w:rsidRPr="003A6DFC">
        <w:rPr>
          <w:rFonts w:ascii="Century" w:hAnsi="Century" w:cs="Arial"/>
          <w:color w:val="000000"/>
          <w:lang w:val="en-GB"/>
        </w:rPr>
        <w:t>Leinsalu</w:t>
      </w:r>
      <w:proofErr w:type="spellEnd"/>
      <w:r w:rsidRPr="003A6DFC">
        <w:rPr>
          <w:rFonts w:ascii="Century" w:hAnsi="Century" w:cs="Arial"/>
          <w:color w:val="000000"/>
          <w:lang w:val="en-GB"/>
        </w:rPr>
        <w:t xml:space="preserve">, M., Regidor, E., Santana, P., de Gelder, R., </w:t>
      </w:r>
      <w:proofErr w:type="spellStart"/>
      <w:r w:rsidRPr="003A6DFC">
        <w:rPr>
          <w:rFonts w:ascii="Century" w:hAnsi="Century" w:cs="Arial"/>
          <w:color w:val="000000"/>
          <w:lang w:val="en-GB"/>
        </w:rPr>
        <w:t>Mackenbach</w:t>
      </w:r>
      <w:proofErr w:type="spellEnd"/>
      <w:r w:rsidRPr="003A6DFC">
        <w:rPr>
          <w:rFonts w:ascii="Century" w:hAnsi="Century" w:cs="Arial"/>
          <w:color w:val="000000"/>
          <w:lang w:val="en-GB"/>
        </w:rPr>
        <w:t xml:space="preserve">, J. P. (2016). Trends in socioeconomic inequalities in self-assessed health in 17 European countries between 1990 and 2010. </w:t>
      </w:r>
      <w:r w:rsidRPr="003A6DFC">
        <w:rPr>
          <w:rFonts w:ascii="Century" w:hAnsi="Century" w:cs="Arial"/>
          <w:i/>
          <w:iCs/>
          <w:color w:val="000000"/>
          <w:lang w:val="en-GB"/>
        </w:rPr>
        <w:t>Journal of Epidemiology and Community Health</w:t>
      </w:r>
      <w:r w:rsidRPr="003A6DFC">
        <w:rPr>
          <w:rFonts w:ascii="Century" w:hAnsi="Century" w:cs="Arial"/>
          <w:color w:val="000000"/>
          <w:lang w:val="en-GB"/>
        </w:rPr>
        <w:t>,70, 644-652.</w:t>
      </w:r>
    </w:p>
    <w:p w14:paraId="7F0B9777" w14:textId="26255281" w:rsidR="007058FD" w:rsidRPr="003A6DFC" w:rsidRDefault="007058FD"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Jerram, K. L.,</w:t>
      </w:r>
      <w:r w:rsidR="00684EB7" w:rsidRPr="003A6DFC">
        <w:rPr>
          <w:rFonts w:ascii="Century" w:hAnsi="Century" w:cs="Arial"/>
          <w:color w:val="000000"/>
          <w:lang w:val="en-GB"/>
        </w:rPr>
        <w:t xml:space="preserve"> </w:t>
      </w:r>
      <w:r w:rsidRPr="003A6DFC">
        <w:rPr>
          <w:rFonts w:ascii="Century" w:hAnsi="Century" w:cs="Arial"/>
          <w:color w:val="000000"/>
          <w:lang w:val="en-GB"/>
        </w:rPr>
        <w:t xml:space="preserve">Coleman, P. G. (1999). The big five personality traits and reporting of health problems and health behaviour in old age. </w:t>
      </w:r>
      <w:r w:rsidRPr="003A6DFC">
        <w:rPr>
          <w:rFonts w:ascii="Century" w:hAnsi="Century" w:cs="Arial"/>
          <w:i/>
          <w:iCs/>
          <w:color w:val="000000"/>
          <w:lang w:val="en-GB"/>
        </w:rPr>
        <w:t xml:space="preserve">British </w:t>
      </w:r>
      <w:r w:rsidR="00684EB7" w:rsidRPr="003A6DFC">
        <w:rPr>
          <w:rFonts w:ascii="Century" w:hAnsi="Century" w:cs="Arial"/>
          <w:i/>
          <w:iCs/>
          <w:color w:val="000000"/>
          <w:lang w:val="en-GB"/>
        </w:rPr>
        <w:t>J</w:t>
      </w:r>
      <w:r w:rsidRPr="003A6DFC">
        <w:rPr>
          <w:rFonts w:ascii="Century" w:hAnsi="Century" w:cs="Arial"/>
          <w:i/>
          <w:iCs/>
          <w:color w:val="000000"/>
          <w:lang w:val="en-GB"/>
        </w:rPr>
        <w:t xml:space="preserve">ournal of </w:t>
      </w:r>
      <w:r w:rsidR="00684EB7" w:rsidRPr="003A6DFC">
        <w:rPr>
          <w:rFonts w:ascii="Century" w:hAnsi="Century" w:cs="Arial"/>
          <w:i/>
          <w:iCs/>
          <w:color w:val="000000"/>
          <w:lang w:val="en-GB"/>
        </w:rPr>
        <w:t>H</w:t>
      </w:r>
      <w:r w:rsidRPr="003A6DFC">
        <w:rPr>
          <w:rFonts w:ascii="Century" w:hAnsi="Century" w:cs="Arial"/>
          <w:i/>
          <w:iCs/>
          <w:color w:val="000000"/>
          <w:lang w:val="en-GB"/>
        </w:rPr>
        <w:t xml:space="preserve">ealth </w:t>
      </w:r>
      <w:r w:rsidR="00684EB7" w:rsidRPr="003A6DFC">
        <w:rPr>
          <w:rFonts w:ascii="Century" w:hAnsi="Century" w:cs="Arial"/>
          <w:i/>
          <w:iCs/>
          <w:color w:val="000000"/>
          <w:lang w:val="en-GB"/>
        </w:rPr>
        <w:t>P</w:t>
      </w:r>
      <w:r w:rsidRPr="003A6DFC">
        <w:rPr>
          <w:rFonts w:ascii="Century" w:hAnsi="Century" w:cs="Arial"/>
          <w:i/>
          <w:iCs/>
          <w:color w:val="000000"/>
          <w:lang w:val="en-GB"/>
        </w:rPr>
        <w:t>sychology</w:t>
      </w:r>
      <w:r w:rsidRPr="003A6DFC">
        <w:rPr>
          <w:rFonts w:ascii="Century" w:hAnsi="Century" w:cs="Arial"/>
          <w:color w:val="000000"/>
          <w:lang w:val="en-GB"/>
        </w:rPr>
        <w:t>, 4(2), 181-192.</w:t>
      </w:r>
    </w:p>
    <w:p w14:paraId="511B2CC2" w14:textId="77777777" w:rsidR="007058FD" w:rsidRPr="003A6DFC" w:rsidRDefault="007058FD"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John, O., Donahue, E., </w:t>
      </w:r>
      <w:proofErr w:type="spellStart"/>
      <w:r w:rsidRPr="003A6DFC">
        <w:rPr>
          <w:rFonts w:ascii="Century" w:hAnsi="Century" w:cs="Arial"/>
          <w:color w:val="000000"/>
          <w:lang w:val="en-GB"/>
        </w:rPr>
        <w:t>Kentle</w:t>
      </w:r>
      <w:proofErr w:type="spellEnd"/>
      <w:r w:rsidRPr="003A6DFC">
        <w:rPr>
          <w:rFonts w:ascii="Century" w:hAnsi="Century" w:cs="Arial"/>
          <w:color w:val="000000"/>
          <w:lang w:val="en-GB"/>
        </w:rPr>
        <w:t>, R. (1991). The big five inventory-Versions 4a and 54. Berkeley, CA: University of California. Berkeley, Institute of Personality and Social Research.</w:t>
      </w:r>
    </w:p>
    <w:p w14:paraId="24B4484F" w14:textId="7E3BDC92" w:rsidR="001024D4" w:rsidRPr="003A6DFC" w:rsidRDefault="001024D4"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Johnson, R. C.</w:t>
      </w:r>
      <w:r w:rsidR="00684EB7" w:rsidRPr="003A6DFC">
        <w:rPr>
          <w:rFonts w:ascii="Century" w:hAnsi="Century" w:cs="Arial"/>
          <w:color w:val="000000"/>
          <w:lang w:val="en-GB"/>
        </w:rPr>
        <w:t xml:space="preserve"> (2010).</w:t>
      </w:r>
      <w:r w:rsidRPr="003A6DFC">
        <w:rPr>
          <w:rFonts w:ascii="Century" w:hAnsi="Century" w:cs="Arial"/>
          <w:color w:val="000000"/>
          <w:lang w:val="en-GB"/>
        </w:rPr>
        <w:t xml:space="preserve"> The health returns of education policies from preschool to high school and beyond. </w:t>
      </w:r>
      <w:r w:rsidRPr="003A6DFC">
        <w:rPr>
          <w:rFonts w:ascii="Century" w:hAnsi="Century" w:cs="Arial"/>
          <w:i/>
          <w:iCs/>
          <w:color w:val="000000"/>
          <w:lang w:val="en-GB"/>
        </w:rPr>
        <w:t>American Economic Review</w:t>
      </w:r>
      <w:r w:rsidR="00684EB7" w:rsidRPr="003A6DFC">
        <w:rPr>
          <w:rFonts w:ascii="Century" w:hAnsi="Century" w:cs="Arial"/>
          <w:i/>
          <w:iCs/>
          <w:color w:val="000000"/>
          <w:lang w:val="en-GB"/>
        </w:rPr>
        <w:t>,</w:t>
      </w:r>
      <w:r w:rsidRPr="003A6DFC">
        <w:rPr>
          <w:rFonts w:ascii="Century" w:hAnsi="Century" w:cs="Arial"/>
          <w:color w:val="000000"/>
          <w:lang w:val="en-GB"/>
        </w:rPr>
        <w:t xml:space="preserve"> 100, 188-194</w:t>
      </w:r>
      <w:r w:rsidR="00684EB7" w:rsidRPr="003A6DFC">
        <w:rPr>
          <w:rFonts w:ascii="Century" w:hAnsi="Century" w:cs="Arial"/>
          <w:color w:val="000000"/>
          <w:lang w:val="en-GB"/>
        </w:rPr>
        <w:t>.</w:t>
      </w:r>
    </w:p>
    <w:p w14:paraId="35BD5A9B" w14:textId="05F321FD" w:rsidR="007058FD" w:rsidRPr="003A6DFC" w:rsidRDefault="007058FD"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Johnston, D. W., Propper, C.</w:t>
      </w:r>
      <w:r w:rsidR="00684EB7" w:rsidRPr="003A6DFC">
        <w:rPr>
          <w:rFonts w:ascii="Century" w:hAnsi="Century" w:cs="Arial"/>
          <w:color w:val="000000"/>
          <w:lang w:val="en-GB"/>
        </w:rPr>
        <w:t>,</w:t>
      </w:r>
      <w:r w:rsidRPr="003A6DFC">
        <w:rPr>
          <w:rFonts w:ascii="Century" w:hAnsi="Century" w:cs="Arial"/>
          <w:color w:val="000000"/>
          <w:lang w:val="en-GB"/>
        </w:rPr>
        <w:t xml:space="preserve"> Shields, M.A. (2009). Comparing subjective and objective measures of health: Evidence from hypertension for the income/health gradient. </w:t>
      </w:r>
      <w:r w:rsidRPr="003A6DFC">
        <w:rPr>
          <w:rFonts w:ascii="Century" w:hAnsi="Century" w:cs="Arial"/>
          <w:i/>
          <w:iCs/>
          <w:color w:val="000000"/>
          <w:lang w:val="en-GB"/>
        </w:rPr>
        <w:t xml:space="preserve">Journal of </w:t>
      </w:r>
      <w:r w:rsidR="00684EB7" w:rsidRPr="003A6DFC">
        <w:rPr>
          <w:rFonts w:ascii="Century" w:hAnsi="Century" w:cs="Arial"/>
          <w:i/>
          <w:iCs/>
          <w:color w:val="000000"/>
          <w:lang w:val="en-GB"/>
        </w:rPr>
        <w:t>H</w:t>
      </w:r>
      <w:r w:rsidRPr="003A6DFC">
        <w:rPr>
          <w:rFonts w:ascii="Century" w:hAnsi="Century" w:cs="Arial"/>
          <w:i/>
          <w:iCs/>
          <w:color w:val="000000"/>
          <w:lang w:val="en-GB"/>
        </w:rPr>
        <w:t xml:space="preserve">ealth </w:t>
      </w:r>
      <w:r w:rsidR="00684EB7" w:rsidRPr="003A6DFC">
        <w:rPr>
          <w:rFonts w:ascii="Century" w:hAnsi="Century" w:cs="Arial"/>
          <w:i/>
          <w:iCs/>
          <w:color w:val="000000"/>
          <w:lang w:val="en-GB"/>
        </w:rPr>
        <w:t>E</w:t>
      </w:r>
      <w:r w:rsidRPr="003A6DFC">
        <w:rPr>
          <w:rFonts w:ascii="Century" w:hAnsi="Century" w:cs="Arial"/>
          <w:i/>
          <w:iCs/>
          <w:color w:val="000000"/>
          <w:lang w:val="en-GB"/>
        </w:rPr>
        <w:t>conomics</w:t>
      </w:r>
      <w:r w:rsidRPr="003A6DFC">
        <w:rPr>
          <w:rFonts w:ascii="Century" w:hAnsi="Century" w:cs="Arial"/>
          <w:color w:val="000000"/>
          <w:lang w:val="en-GB"/>
        </w:rPr>
        <w:t>, 28(3), 540-552.</w:t>
      </w:r>
    </w:p>
    <w:p w14:paraId="4CCB1E2D" w14:textId="5E7BF892" w:rsidR="007058FD" w:rsidRPr="003A6DFC" w:rsidRDefault="007058FD"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Jylhä</w:t>
      </w:r>
      <w:proofErr w:type="spellEnd"/>
      <w:r w:rsidRPr="003A6DFC">
        <w:rPr>
          <w:rFonts w:ascii="Century" w:hAnsi="Century" w:cs="Arial"/>
          <w:color w:val="000000"/>
          <w:lang w:val="en-GB"/>
        </w:rPr>
        <w:t>, M.</w:t>
      </w:r>
      <w:r w:rsidR="00684EB7" w:rsidRPr="003A6DFC">
        <w:rPr>
          <w:rFonts w:ascii="Century" w:hAnsi="Century" w:cs="Arial"/>
          <w:color w:val="000000"/>
          <w:lang w:val="en-GB"/>
        </w:rPr>
        <w:t xml:space="preserve"> (2009).</w:t>
      </w:r>
      <w:r w:rsidRPr="003A6DFC">
        <w:rPr>
          <w:rFonts w:ascii="Century" w:hAnsi="Century" w:cs="Arial"/>
          <w:color w:val="000000"/>
          <w:lang w:val="en-GB"/>
        </w:rPr>
        <w:t xml:space="preserve"> What is self-rated health and why does it predict mortality? Towards a unified conceptual model. </w:t>
      </w:r>
      <w:r w:rsidRPr="003A6DFC">
        <w:rPr>
          <w:rFonts w:ascii="Century" w:hAnsi="Century" w:cs="Arial"/>
          <w:i/>
          <w:iCs/>
          <w:color w:val="000000"/>
          <w:lang w:val="en-GB"/>
        </w:rPr>
        <w:t>Social Science &amp; Medicine</w:t>
      </w:r>
      <w:r w:rsidR="00684EB7" w:rsidRPr="003A6DFC">
        <w:rPr>
          <w:rFonts w:ascii="Century" w:hAnsi="Century" w:cs="Arial"/>
          <w:color w:val="000000"/>
          <w:lang w:val="en-GB"/>
        </w:rPr>
        <w:t>,</w:t>
      </w:r>
      <w:r w:rsidRPr="003A6DFC">
        <w:rPr>
          <w:rFonts w:ascii="Century" w:hAnsi="Century" w:cs="Arial"/>
          <w:color w:val="000000"/>
          <w:lang w:val="en-GB"/>
        </w:rPr>
        <w:t xml:space="preserve"> 69, 307-316. </w:t>
      </w:r>
    </w:p>
    <w:p w14:paraId="78A6A640" w14:textId="77777777" w:rsidR="006D08CB" w:rsidRPr="003A6DFC" w:rsidRDefault="006D08C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Kaplan, G.A., Camacho, T. (1983). Perceived health and mortality: a nine-year follow-up of the human population laboratory cohort. </w:t>
      </w:r>
      <w:r w:rsidRPr="003A6DFC">
        <w:rPr>
          <w:rFonts w:ascii="Century" w:hAnsi="Century" w:cs="Arial"/>
          <w:i/>
          <w:iCs/>
          <w:color w:val="000000"/>
          <w:lang w:val="en-GB"/>
        </w:rPr>
        <w:t>American Journal of Epidemiology</w:t>
      </w:r>
      <w:r w:rsidRPr="003A6DFC">
        <w:rPr>
          <w:rFonts w:ascii="Century" w:hAnsi="Century" w:cs="Arial"/>
          <w:color w:val="000000"/>
          <w:lang w:val="en-GB"/>
        </w:rPr>
        <w:t xml:space="preserve">, 117, 292-304. </w:t>
      </w:r>
    </w:p>
    <w:p w14:paraId="2C44E741" w14:textId="36B9A4C9" w:rsidR="006D08CB" w:rsidRPr="003A6DFC" w:rsidRDefault="006D08C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Kapteyn, A., Smith, J.P., van </w:t>
      </w:r>
      <w:proofErr w:type="spellStart"/>
      <w:r w:rsidRPr="003A6DFC">
        <w:rPr>
          <w:rFonts w:ascii="Century" w:hAnsi="Century" w:cs="Arial"/>
          <w:color w:val="000000"/>
          <w:lang w:val="en-GB"/>
        </w:rPr>
        <w:t>Soest</w:t>
      </w:r>
      <w:proofErr w:type="spellEnd"/>
      <w:r w:rsidRPr="003A6DFC">
        <w:rPr>
          <w:rFonts w:ascii="Century" w:hAnsi="Century" w:cs="Arial"/>
          <w:color w:val="000000"/>
          <w:lang w:val="en-GB"/>
        </w:rPr>
        <w:t>, A. (2007). Vignettes and self-reports of work disability in the United States and the Netherlands. </w:t>
      </w:r>
      <w:r w:rsidRPr="003A6DFC">
        <w:rPr>
          <w:rFonts w:ascii="Century" w:hAnsi="Century" w:cs="Arial"/>
          <w:i/>
          <w:iCs/>
          <w:color w:val="000000"/>
          <w:lang w:val="en-GB"/>
        </w:rPr>
        <w:t>American Economic Review</w:t>
      </w:r>
      <w:r w:rsidRPr="003A6DFC">
        <w:rPr>
          <w:rFonts w:ascii="Century" w:hAnsi="Century" w:cs="Arial"/>
          <w:color w:val="000000"/>
          <w:lang w:val="en-GB"/>
        </w:rPr>
        <w:t>, 97, 461-473.</w:t>
      </w:r>
    </w:p>
    <w:p w14:paraId="6A6861C8" w14:textId="7D7212DB" w:rsidR="006D08CB" w:rsidRPr="003A6DFC" w:rsidRDefault="006D08CB"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222222"/>
          <w:shd w:val="clear" w:color="auto" w:fill="FFFFFF"/>
        </w:rPr>
        <w:t>Kerkhofs</w:t>
      </w:r>
      <w:proofErr w:type="spellEnd"/>
      <w:r w:rsidRPr="003A6DFC">
        <w:rPr>
          <w:rFonts w:ascii="Century" w:hAnsi="Century" w:cs="Arial"/>
          <w:color w:val="222222"/>
          <w:shd w:val="clear" w:color="auto" w:fill="FFFFFF"/>
        </w:rPr>
        <w:t xml:space="preserve">, M., </w:t>
      </w:r>
      <w:proofErr w:type="spellStart"/>
      <w:r w:rsidRPr="003A6DFC">
        <w:rPr>
          <w:rFonts w:ascii="Century" w:hAnsi="Century" w:cs="Arial"/>
          <w:color w:val="222222"/>
          <w:shd w:val="clear" w:color="auto" w:fill="FFFFFF"/>
        </w:rPr>
        <w:t>Lindeboom</w:t>
      </w:r>
      <w:proofErr w:type="spellEnd"/>
      <w:r w:rsidRPr="003A6DFC">
        <w:rPr>
          <w:rFonts w:ascii="Century" w:hAnsi="Century" w:cs="Arial"/>
          <w:color w:val="222222"/>
          <w:shd w:val="clear" w:color="auto" w:fill="FFFFFF"/>
        </w:rPr>
        <w:t>, M. (1995). Subjective health measures and state dependent reporting errors. </w:t>
      </w:r>
      <w:r w:rsidRPr="003A6DFC">
        <w:rPr>
          <w:rFonts w:ascii="Century" w:hAnsi="Century" w:cs="Arial"/>
          <w:i/>
          <w:iCs/>
          <w:color w:val="222222"/>
          <w:shd w:val="clear" w:color="auto" w:fill="FFFFFF"/>
        </w:rPr>
        <w:t>Health economics</w:t>
      </w:r>
      <w:r w:rsidRPr="003A6DFC">
        <w:rPr>
          <w:rFonts w:ascii="Century" w:hAnsi="Century" w:cs="Arial"/>
          <w:color w:val="222222"/>
          <w:shd w:val="clear" w:color="auto" w:fill="FFFFFF"/>
        </w:rPr>
        <w:t>, 4, 221-235.</w:t>
      </w:r>
    </w:p>
    <w:p w14:paraId="417C2633" w14:textId="77777777" w:rsidR="006D08CB" w:rsidRPr="003A6DFC" w:rsidRDefault="006D08C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Kunst, A.E., Bos, V., </w:t>
      </w:r>
      <w:proofErr w:type="spellStart"/>
      <w:r w:rsidRPr="003A6DFC">
        <w:rPr>
          <w:rFonts w:ascii="Century" w:hAnsi="Century" w:cs="Arial"/>
          <w:color w:val="000000"/>
          <w:lang w:val="en-GB"/>
        </w:rPr>
        <w:t>Lahelma</w:t>
      </w:r>
      <w:proofErr w:type="spellEnd"/>
      <w:r w:rsidRPr="003A6DFC">
        <w:rPr>
          <w:rFonts w:ascii="Century" w:hAnsi="Century" w:cs="Arial"/>
          <w:color w:val="000000"/>
          <w:lang w:val="en-GB"/>
        </w:rPr>
        <w:t xml:space="preserve">, E., Bartley, M., </w:t>
      </w:r>
      <w:proofErr w:type="spellStart"/>
      <w:r w:rsidRPr="003A6DFC">
        <w:rPr>
          <w:rFonts w:ascii="Century" w:hAnsi="Century" w:cs="Arial"/>
          <w:color w:val="000000"/>
          <w:lang w:val="en-GB"/>
        </w:rPr>
        <w:t>Lissau</w:t>
      </w:r>
      <w:proofErr w:type="spellEnd"/>
      <w:r w:rsidRPr="003A6DFC">
        <w:rPr>
          <w:rFonts w:ascii="Century" w:hAnsi="Century" w:cs="Arial"/>
          <w:color w:val="000000"/>
          <w:lang w:val="en-GB"/>
        </w:rPr>
        <w:t xml:space="preserve">, I., Regidor, E., </w:t>
      </w:r>
      <w:proofErr w:type="spellStart"/>
      <w:r w:rsidRPr="003A6DFC">
        <w:rPr>
          <w:rFonts w:ascii="Century" w:hAnsi="Century" w:cs="Arial"/>
          <w:color w:val="000000"/>
          <w:lang w:val="en-GB"/>
        </w:rPr>
        <w:t>Mielck</w:t>
      </w:r>
      <w:proofErr w:type="spellEnd"/>
      <w:r w:rsidRPr="003A6DFC">
        <w:rPr>
          <w:rFonts w:ascii="Century" w:hAnsi="Century" w:cs="Arial"/>
          <w:color w:val="000000"/>
          <w:lang w:val="en-GB"/>
        </w:rPr>
        <w:t xml:space="preserve">, A., </w:t>
      </w:r>
      <w:proofErr w:type="spellStart"/>
      <w:r w:rsidRPr="003A6DFC">
        <w:rPr>
          <w:rFonts w:ascii="Century" w:hAnsi="Century" w:cs="Arial"/>
          <w:color w:val="000000"/>
          <w:lang w:val="en-GB"/>
        </w:rPr>
        <w:t>Cardano</w:t>
      </w:r>
      <w:proofErr w:type="spellEnd"/>
      <w:r w:rsidRPr="003A6DFC">
        <w:rPr>
          <w:rFonts w:ascii="Century" w:hAnsi="Century" w:cs="Arial"/>
          <w:color w:val="000000"/>
          <w:lang w:val="en-GB"/>
        </w:rPr>
        <w:t xml:space="preserve">, M., </w:t>
      </w:r>
      <w:proofErr w:type="spellStart"/>
      <w:r w:rsidRPr="003A6DFC">
        <w:rPr>
          <w:rFonts w:ascii="Century" w:hAnsi="Century" w:cs="Arial"/>
          <w:color w:val="000000"/>
          <w:lang w:val="en-GB"/>
        </w:rPr>
        <w:t>Dalstra</w:t>
      </w:r>
      <w:proofErr w:type="spellEnd"/>
      <w:r w:rsidRPr="003A6DFC">
        <w:rPr>
          <w:rFonts w:ascii="Century" w:hAnsi="Century" w:cs="Arial"/>
          <w:color w:val="000000"/>
          <w:lang w:val="en-GB"/>
        </w:rPr>
        <w:t xml:space="preserve">, J.A., </w:t>
      </w:r>
      <w:proofErr w:type="spellStart"/>
      <w:r w:rsidRPr="003A6DFC">
        <w:rPr>
          <w:rFonts w:ascii="Century" w:hAnsi="Century" w:cs="Arial"/>
          <w:color w:val="000000"/>
          <w:lang w:val="en-GB"/>
        </w:rPr>
        <w:t>Geurts</w:t>
      </w:r>
      <w:proofErr w:type="spellEnd"/>
      <w:r w:rsidRPr="003A6DFC">
        <w:rPr>
          <w:rFonts w:ascii="Century" w:hAnsi="Century" w:cs="Arial"/>
          <w:color w:val="000000"/>
          <w:lang w:val="en-GB"/>
        </w:rPr>
        <w:t xml:space="preserve">, J.J., </w:t>
      </w:r>
      <w:proofErr w:type="spellStart"/>
      <w:r w:rsidRPr="003A6DFC">
        <w:rPr>
          <w:rFonts w:ascii="Century" w:hAnsi="Century" w:cs="Arial"/>
          <w:color w:val="000000"/>
          <w:lang w:val="en-GB"/>
        </w:rPr>
        <w:t>Helmert</w:t>
      </w:r>
      <w:proofErr w:type="spellEnd"/>
      <w:r w:rsidRPr="003A6DFC">
        <w:rPr>
          <w:rFonts w:ascii="Century" w:hAnsi="Century" w:cs="Arial"/>
          <w:color w:val="000000"/>
          <w:lang w:val="en-GB"/>
        </w:rPr>
        <w:t xml:space="preserve">, U., </w:t>
      </w:r>
      <w:proofErr w:type="spellStart"/>
      <w:r w:rsidRPr="003A6DFC">
        <w:rPr>
          <w:rFonts w:ascii="Century" w:hAnsi="Century" w:cs="Arial"/>
          <w:color w:val="000000"/>
          <w:lang w:val="en-GB"/>
        </w:rPr>
        <w:t>Lennartsson</w:t>
      </w:r>
      <w:proofErr w:type="spellEnd"/>
      <w:r w:rsidRPr="003A6DFC">
        <w:rPr>
          <w:rFonts w:ascii="Century" w:hAnsi="Century" w:cs="Arial"/>
          <w:color w:val="000000"/>
          <w:lang w:val="en-GB"/>
        </w:rPr>
        <w:t xml:space="preserve">, C., Ramm, J., </w:t>
      </w:r>
      <w:proofErr w:type="spellStart"/>
      <w:r w:rsidRPr="003A6DFC">
        <w:rPr>
          <w:rFonts w:ascii="Century" w:hAnsi="Century" w:cs="Arial"/>
          <w:color w:val="000000"/>
          <w:lang w:val="en-GB"/>
        </w:rPr>
        <w:t>Spadea</w:t>
      </w:r>
      <w:proofErr w:type="spellEnd"/>
      <w:r w:rsidRPr="003A6DFC">
        <w:rPr>
          <w:rFonts w:ascii="Century" w:hAnsi="Century" w:cs="Arial"/>
          <w:color w:val="000000"/>
          <w:lang w:val="en-GB"/>
        </w:rPr>
        <w:t xml:space="preserve">, T., </w:t>
      </w:r>
      <w:proofErr w:type="spellStart"/>
      <w:r w:rsidRPr="003A6DFC">
        <w:rPr>
          <w:rFonts w:ascii="Century" w:hAnsi="Century" w:cs="Arial"/>
          <w:color w:val="000000"/>
          <w:lang w:val="en-GB"/>
        </w:rPr>
        <w:t>Stronegger</w:t>
      </w:r>
      <w:proofErr w:type="spellEnd"/>
      <w:r w:rsidRPr="003A6DFC">
        <w:rPr>
          <w:rFonts w:ascii="Century" w:hAnsi="Century" w:cs="Arial"/>
          <w:color w:val="000000"/>
          <w:lang w:val="en-GB"/>
        </w:rPr>
        <w:t xml:space="preserve">, W.J., </w:t>
      </w:r>
      <w:proofErr w:type="spellStart"/>
      <w:r w:rsidRPr="003A6DFC">
        <w:rPr>
          <w:rFonts w:ascii="Century" w:hAnsi="Century" w:cs="Arial"/>
          <w:color w:val="000000"/>
          <w:lang w:val="en-GB"/>
        </w:rPr>
        <w:t>Mackenbach</w:t>
      </w:r>
      <w:proofErr w:type="spellEnd"/>
      <w:r w:rsidRPr="003A6DFC">
        <w:rPr>
          <w:rFonts w:ascii="Century" w:hAnsi="Century" w:cs="Arial"/>
          <w:color w:val="000000"/>
          <w:lang w:val="en-GB"/>
        </w:rPr>
        <w:t xml:space="preserve">, J.P. (2004). Trends in socioeconomic inequalities in self-assessed health in 10 European countries. </w:t>
      </w:r>
      <w:r w:rsidRPr="003A6DFC">
        <w:rPr>
          <w:rFonts w:ascii="Century" w:hAnsi="Century" w:cs="Arial"/>
          <w:i/>
          <w:iCs/>
          <w:color w:val="000000"/>
          <w:lang w:val="en-GB"/>
        </w:rPr>
        <w:t>International Journal of Epidemiology</w:t>
      </w:r>
      <w:r w:rsidRPr="003A6DFC">
        <w:rPr>
          <w:rFonts w:ascii="Century" w:hAnsi="Century" w:cs="Arial"/>
          <w:color w:val="000000"/>
          <w:lang w:val="en-GB"/>
        </w:rPr>
        <w:t>, 34, 295-305.</w:t>
      </w:r>
    </w:p>
    <w:p w14:paraId="0A311988" w14:textId="4DAD78DC" w:rsidR="00686CE8" w:rsidRPr="003A6DFC" w:rsidRDefault="00686CE8" w:rsidP="00686CE8">
      <w:pPr>
        <w:jc w:val="both"/>
        <w:rPr>
          <w:rFonts w:ascii="Century" w:hAnsi="Century" w:cs="Arial"/>
          <w:color w:val="222222"/>
          <w:shd w:val="clear" w:color="auto" w:fill="FFFFFF"/>
        </w:rPr>
      </w:pPr>
      <w:r w:rsidRPr="003A6DFC">
        <w:rPr>
          <w:rFonts w:ascii="Century" w:hAnsi="Century" w:cs="Arial"/>
          <w:color w:val="222222"/>
          <w:shd w:val="clear" w:color="auto" w:fill="FFFFFF"/>
          <w:lang w:val="en-GB"/>
        </w:rPr>
        <w:lastRenderedPageBreak/>
        <w:t>Larrimore, J. (2011). Does a higher income have positive health effects? Using the earned income tax credit to explore the income</w:t>
      </w:r>
      <w:r w:rsidRPr="003A6DFC">
        <w:rPr>
          <w:rFonts w:ascii="Times New Roman" w:hAnsi="Times New Roman" w:cs="Times New Roman"/>
          <w:color w:val="222222"/>
          <w:shd w:val="clear" w:color="auto" w:fill="FFFFFF"/>
          <w:lang w:val="en-GB"/>
        </w:rPr>
        <w:t>‐</w:t>
      </w:r>
      <w:r w:rsidRPr="003A6DFC">
        <w:rPr>
          <w:rFonts w:ascii="Century" w:hAnsi="Century" w:cs="Arial"/>
          <w:color w:val="222222"/>
          <w:shd w:val="clear" w:color="auto" w:fill="FFFFFF"/>
          <w:lang w:val="en-GB"/>
        </w:rPr>
        <w:t>health gradient. </w:t>
      </w:r>
      <w:r w:rsidRPr="003A6DFC">
        <w:rPr>
          <w:rFonts w:ascii="Century" w:hAnsi="Century" w:cs="Arial"/>
          <w:i/>
          <w:iCs/>
          <w:color w:val="222222"/>
          <w:shd w:val="clear" w:color="auto" w:fill="FFFFFF"/>
        </w:rPr>
        <w:t>The Milbank Quarterly</w:t>
      </w:r>
      <w:r w:rsidRPr="003A6DFC">
        <w:rPr>
          <w:rFonts w:ascii="Century" w:hAnsi="Century" w:cs="Arial"/>
          <w:color w:val="222222"/>
          <w:shd w:val="clear" w:color="auto" w:fill="FFFFFF"/>
        </w:rPr>
        <w:t>, </w:t>
      </w:r>
      <w:r w:rsidRPr="003A6DFC">
        <w:rPr>
          <w:rFonts w:ascii="Century" w:hAnsi="Century" w:cs="Arial"/>
          <w:i/>
          <w:iCs/>
          <w:color w:val="222222"/>
          <w:shd w:val="clear" w:color="auto" w:fill="FFFFFF"/>
        </w:rPr>
        <w:t>89</w:t>
      </w:r>
      <w:r w:rsidRPr="003A6DFC">
        <w:rPr>
          <w:rFonts w:ascii="Century" w:hAnsi="Century" w:cs="Arial"/>
          <w:color w:val="222222"/>
          <w:shd w:val="clear" w:color="auto" w:fill="FFFFFF"/>
        </w:rPr>
        <w:t>, 694-727.</w:t>
      </w:r>
    </w:p>
    <w:p w14:paraId="130275D4" w14:textId="7921C805" w:rsidR="006315A0" w:rsidRPr="003A6DFC" w:rsidRDefault="006315A0" w:rsidP="00686CE8">
      <w:pPr>
        <w:jc w:val="both"/>
        <w:rPr>
          <w:rFonts w:ascii="Century" w:hAnsi="Century" w:cs="Arial"/>
          <w:color w:val="222222"/>
          <w:shd w:val="clear" w:color="auto" w:fill="FFFFFF"/>
        </w:rPr>
      </w:pPr>
    </w:p>
    <w:p w14:paraId="20035584" w14:textId="4BBFA30C" w:rsidR="006315A0" w:rsidRPr="003A6DFC" w:rsidRDefault="006315A0" w:rsidP="00686CE8">
      <w:pPr>
        <w:jc w:val="both"/>
        <w:rPr>
          <w:rFonts w:ascii="Century" w:hAnsi="Century" w:cs="Arial"/>
          <w:color w:val="222222"/>
          <w:shd w:val="clear" w:color="auto" w:fill="FFFFFF"/>
        </w:rPr>
      </w:pPr>
      <w:r w:rsidRPr="003A6DFC">
        <w:rPr>
          <w:rFonts w:ascii="Century" w:hAnsi="Century" w:cs="Arial"/>
          <w:color w:val="222222"/>
          <w:shd w:val="clear" w:color="auto" w:fill="FFFFFF"/>
        </w:rPr>
        <w:t xml:space="preserve">Li Donni, P., Peragine, V., Pignataro, G. (2014). Ex-ante and ex-post measurement of equality of opportunity in health: a normative decomposition. </w:t>
      </w:r>
      <w:r w:rsidRPr="003A6DFC">
        <w:rPr>
          <w:rFonts w:ascii="Century" w:hAnsi="Century" w:cs="Arial"/>
          <w:i/>
          <w:iCs/>
          <w:color w:val="222222"/>
          <w:shd w:val="clear" w:color="auto" w:fill="FFFFFF"/>
        </w:rPr>
        <w:t>Health Economics</w:t>
      </w:r>
      <w:r w:rsidRPr="003A6DFC">
        <w:rPr>
          <w:rFonts w:ascii="Century" w:hAnsi="Century" w:cs="Arial"/>
          <w:color w:val="222222"/>
          <w:shd w:val="clear" w:color="auto" w:fill="FFFFFF"/>
        </w:rPr>
        <w:t>, 23, 182-198.</w:t>
      </w:r>
    </w:p>
    <w:p w14:paraId="43080A4A" w14:textId="5208AAED" w:rsidR="007058FD" w:rsidRPr="003A6DFC" w:rsidRDefault="007058FD"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rPr>
        <w:t xml:space="preserve">Lin, D., </w:t>
      </w:r>
      <w:proofErr w:type="spellStart"/>
      <w:r w:rsidRPr="003A6DFC">
        <w:rPr>
          <w:rFonts w:ascii="Century" w:hAnsi="Century" w:cs="Arial"/>
          <w:color w:val="000000"/>
        </w:rPr>
        <w:t>Lutter</w:t>
      </w:r>
      <w:proofErr w:type="spellEnd"/>
      <w:r w:rsidRPr="003A6DFC">
        <w:rPr>
          <w:rFonts w:ascii="Century" w:hAnsi="Century" w:cs="Arial"/>
          <w:color w:val="000000"/>
        </w:rPr>
        <w:t xml:space="preserve">, R., </w:t>
      </w:r>
      <w:proofErr w:type="spellStart"/>
      <w:r w:rsidRPr="003A6DFC">
        <w:rPr>
          <w:rFonts w:ascii="Century" w:hAnsi="Century" w:cs="Arial"/>
          <w:color w:val="000000"/>
        </w:rPr>
        <w:t>Ruhm</w:t>
      </w:r>
      <w:proofErr w:type="spellEnd"/>
      <w:r w:rsidRPr="003A6DFC">
        <w:rPr>
          <w:rFonts w:ascii="Century" w:hAnsi="Century" w:cs="Arial"/>
          <w:color w:val="000000"/>
        </w:rPr>
        <w:t>, C.</w:t>
      </w:r>
      <w:r w:rsidR="00FE60C2" w:rsidRPr="003A6DFC">
        <w:rPr>
          <w:rFonts w:ascii="Century" w:hAnsi="Century" w:cs="Arial"/>
          <w:color w:val="000000"/>
        </w:rPr>
        <w:t xml:space="preserve"> </w:t>
      </w:r>
      <w:r w:rsidRPr="003A6DFC">
        <w:rPr>
          <w:rFonts w:ascii="Century" w:hAnsi="Century" w:cs="Arial"/>
          <w:color w:val="000000"/>
        </w:rPr>
        <w:t xml:space="preserve">J. (2018). </w:t>
      </w:r>
      <w:r w:rsidRPr="003A6DFC">
        <w:rPr>
          <w:rFonts w:ascii="Century" w:hAnsi="Century" w:cs="Arial"/>
          <w:color w:val="000000"/>
          <w:lang w:val="en-GB"/>
        </w:rPr>
        <w:t xml:space="preserve">Cognitive performance and labour market outcomes. </w:t>
      </w:r>
      <w:r w:rsidRPr="003A6DFC">
        <w:rPr>
          <w:rFonts w:ascii="Century" w:hAnsi="Century" w:cs="Arial"/>
          <w:i/>
          <w:iCs/>
          <w:color w:val="000000"/>
          <w:lang w:val="en-GB"/>
        </w:rPr>
        <w:t>Labour Economics</w:t>
      </w:r>
      <w:r w:rsidRPr="003A6DFC">
        <w:rPr>
          <w:rFonts w:ascii="Century" w:hAnsi="Century" w:cs="Arial"/>
          <w:color w:val="000000"/>
          <w:lang w:val="en-GB"/>
        </w:rPr>
        <w:t>, 51, 121-135.</w:t>
      </w:r>
    </w:p>
    <w:p w14:paraId="07B488C0" w14:textId="38F31C4A"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Lindeboom</w:t>
      </w:r>
      <w:proofErr w:type="spellEnd"/>
      <w:r w:rsidRPr="003A6DFC">
        <w:rPr>
          <w:rFonts w:ascii="Century" w:hAnsi="Century" w:cs="Arial"/>
          <w:color w:val="000000"/>
          <w:lang w:val="en-GB"/>
        </w:rPr>
        <w:t>, M.</w:t>
      </w:r>
      <w:r w:rsidR="00563CAB" w:rsidRPr="003A6DFC">
        <w:rPr>
          <w:rFonts w:ascii="Century" w:hAnsi="Century" w:cs="Arial"/>
          <w:color w:val="000000"/>
          <w:lang w:val="en-GB"/>
        </w:rPr>
        <w:t>,</w:t>
      </w:r>
      <w:r w:rsidRPr="003A6DFC">
        <w:rPr>
          <w:rFonts w:ascii="Century" w:hAnsi="Century" w:cs="Arial"/>
          <w:color w:val="000000"/>
          <w:lang w:val="en-GB"/>
        </w:rPr>
        <w:t xml:space="preserve"> van </w:t>
      </w:r>
      <w:proofErr w:type="spellStart"/>
      <w:r w:rsidRPr="003A6DFC">
        <w:rPr>
          <w:rFonts w:ascii="Century" w:hAnsi="Century" w:cs="Arial"/>
          <w:color w:val="000000"/>
          <w:lang w:val="en-GB"/>
        </w:rPr>
        <w:t>Doorslaer</w:t>
      </w:r>
      <w:proofErr w:type="spellEnd"/>
      <w:r w:rsidRPr="003A6DFC">
        <w:rPr>
          <w:rFonts w:ascii="Century" w:hAnsi="Century" w:cs="Arial"/>
          <w:color w:val="000000"/>
          <w:lang w:val="en-GB"/>
        </w:rPr>
        <w:t>, E.</w:t>
      </w:r>
      <w:r w:rsidR="00563CAB" w:rsidRPr="003A6DFC">
        <w:rPr>
          <w:rFonts w:ascii="Century" w:hAnsi="Century" w:cs="Arial"/>
          <w:color w:val="000000"/>
          <w:lang w:val="en-GB"/>
        </w:rPr>
        <w:t xml:space="preserve"> (2004).</w:t>
      </w:r>
      <w:r w:rsidRPr="003A6DFC">
        <w:rPr>
          <w:rFonts w:ascii="Century" w:hAnsi="Century" w:cs="Arial"/>
          <w:color w:val="000000"/>
          <w:lang w:val="en-GB"/>
        </w:rPr>
        <w:t xml:space="preserve"> Cut-point shift and index shift in self-reported health. </w:t>
      </w:r>
      <w:r w:rsidRPr="003A6DFC">
        <w:rPr>
          <w:rFonts w:ascii="Century" w:hAnsi="Century" w:cs="Arial"/>
          <w:i/>
          <w:iCs/>
          <w:color w:val="000000"/>
          <w:lang w:val="en-GB"/>
        </w:rPr>
        <w:t>Journal of Health Economics</w:t>
      </w:r>
      <w:r w:rsidR="00563CAB" w:rsidRPr="003A6DFC">
        <w:rPr>
          <w:rFonts w:ascii="Century" w:hAnsi="Century" w:cs="Arial"/>
          <w:color w:val="000000"/>
          <w:lang w:val="en-GB"/>
        </w:rPr>
        <w:t>,</w:t>
      </w:r>
      <w:r w:rsidRPr="003A6DFC">
        <w:rPr>
          <w:rFonts w:ascii="Century" w:hAnsi="Century" w:cs="Arial"/>
          <w:color w:val="000000"/>
          <w:lang w:val="en-GB"/>
        </w:rPr>
        <w:t xml:space="preserve"> 23, 1083-1099</w:t>
      </w:r>
      <w:r w:rsidR="00563CAB" w:rsidRPr="003A6DFC">
        <w:rPr>
          <w:rFonts w:ascii="Century" w:hAnsi="Century" w:cs="Arial"/>
          <w:color w:val="000000"/>
          <w:lang w:val="en-GB"/>
        </w:rPr>
        <w:t>.</w:t>
      </w:r>
    </w:p>
    <w:p w14:paraId="619108B7" w14:textId="20304065" w:rsidR="00DC60EA" w:rsidRPr="003A6DFC" w:rsidRDefault="00DC60EA" w:rsidP="00DC60EA">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List, J. A., </w:t>
      </w:r>
      <w:proofErr w:type="spellStart"/>
      <w:r w:rsidRPr="003A6DFC">
        <w:rPr>
          <w:rFonts w:ascii="Century" w:hAnsi="Century" w:cs="Arial"/>
          <w:color w:val="000000"/>
          <w:lang w:val="en-GB"/>
        </w:rPr>
        <w:t>Berrens</w:t>
      </w:r>
      <w:proofErr w:type="spellEnd"/>
      <w:r w:rsidRPr="003A6DFC">
        <w:rPr>
          <w:rFonts w:ascii="Century" w:hAnsi="Century" w:cs="Arial"/>
          <w:color w:val="000000"/>
          <w:lang w:val="en-GB"/>
        </w:rPr>
        <w:t xml:space="preserve">, R. P., </w:t>
      </w:r>
      <w:proofErr w:type="spellStart"/>
      <w:r w:rsidRPr="003A6DFC">
        <w:rPr>
          <w:rFonts w:ascii="Century" w:hAnsi="Century" w:cs="Arial"/>
          <w:color w:val="000000"/>
          <w:lang w:val="en-GB"/>
        </w:rPr>
        <w:t>Bohara</w:t>
      </w:r>
      <w:proofErr w:type="spellEnd"/>
      <w:r w:rsidRPr="003A6DFC">
        <w:rPr>
          <w:rFonts w:ascii="Century" w:hAnsi="Century" w:cs="Arial"/>
          <w:color w:val="000000"/>
          <w:lang w:val="en-GB"/>
        </w:rPr>
        <w:t xml:space="preserve">, A. K., </w:t>
      </w:r>
      <w:proofErr w:type="spellStart"/>
      <w:r w:rsidRPr="003A6DFC">
        <w:rPr>
          <w:rFonts w:ascii="Century" w:hAnsi="Century" w:cs="Arial"/>
          <w:color w:val="000000"/>
          <w:lang w:val="en-GB"/>
        </w:rPr>
        <w:t>Kerkvliet</w:t>
      </w:r>
      <w:proofErr w:type="spellEnd"/>
      <w:r w:rsidRPr="003A6DFC">
        <w:rPr>
          <w:rFonts w:ascii="Century" w:hAnsi="Century" w:cs="Arial"/>
          <w:color w:val="000000"/>
          <w:lang w:val="en-GB"/>
        </w:rPr>
        <w:t xml:space="preserve">, J. (2004). Examining the role of social </w:t>
      </w:r>
      <w:r w:rsidR="002C575B" w:rsidRPr="003A6DFC">
        <w:rPr>
          <w:rFonts w:ascii="Century" w:hAnsi="Century" w:cs="Arial"/>
          <w:color w:val="000000"/>
          <w:lang w:val="en-GB"/>
        </w:rPr>
        <w:t>is</w:t>
      </w:r>
      <w:r w:rsidRPr="003A6DFC">
        <w:rPr>
          <w:rFonts w:ascii="Century" w:hAnsi="Century" w:cs="Arial"/>
          <w:color w:val="000000"/>
          <w:lang w:val="en-GB"/>
        </w:rPr>
        <w:t xml:space="preserve">olation on stated preferences. </w:t>
      </w:r>
      <w:r w:rsidRPr="003A6DFC">
        <w:rPr>
          <w:rFonts w:ascii="Century" w:hAnsi="Century" w:cs="Arial"/>
          <w:i/>
          <w:iCs/>
          <w:color w:val="000000"/>
          <w:lang w:val="en-GB"/>
        </w:rPr>
        <w:t>American Economic Review</w:t>
      </w:r>
      <w:r w:rsidRPr="003A6DFC">
        <w:rPr>
          <w:rFonts w:ascii="Century" w:hAnsi="Century" w:cs="Arial"/>
          <w:color w:val="000000"/>
          <w:lang w:val="en-GB"/>
        </w:rPr>
        <w:t>, 94, 741–752.</w:t>
      </w:r>
    </w:p>
    <w:p w14:paraId="27FB9852" w14:textId="77777777" w:rsidR="009C2E31" w:rsidRPr="003A6DFC" w:rsidRDefault="009C2E31" w:rsidP="009C2E31">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fr-FR"/>
        </w:rPr>
        <w:t>Lumsdaine</w:t>
      </w:r>
      <w:proofErr w:type="spellEnd"/>
      <w:r w:rsidRPr="003A6DFC">
        <w:rPr>
          <w:rFonts w:ascii="Century" w:hAnsi="Century" w:cs="Arial"/>
          <w:color w:val="000000"/>
          <w:lang w:val="fr-FR"/>
        </w:rPr>
        <w:t xml:space="preserve">, R. L., </w:t>
      </w:r>
      <w:proofErr w:type="spellStart"/>
      <w:r w:rsidRPr="003A6DFC">
        <w:rPr>
          <w:rFonts w:ascii="Century" w:hAnsi="Century" w:cs="Arial"/>
          <w:color w:val="000000"/>
          <w:lang w:val="fr-FR"/>
        </w:rPr>
        <w:t>Exterkate</w:t>
      </w:r>
      <w:proofErr w:type="spellEnd"/>
      <w:r w:rsidRPr="003A6DFC">
        <w:rPr>
          <w:rFonts w:ascii="Century" w:hAnsi="Century" w:cs="Arial"/>
          <w:color w:val="000000"/>
          <w:lang w:val="fr-FR"/>
        </w:rPr>
        <w:t xml:space="preserve">, A. (2013). </w:t>
      </w:r>
      <w:r w:rsidRPr="003A6DFC">
        <w:rPr>
          <w:rFonts w:ascii="Century" w:hAnsi="Century" w:cs="Arial"/>
          <w:color w:val="000000"/>
          <w:lang w:val="en-GB"/>
        </w:rPr>
        <w:t>How survey design affects self-assessed health responses in the Survey of Health, Ageing, and Retirement in Europe (SHARE). European Economic Review, 63(C), 299-307.</w:t>
      </w:r>
    </w:p>
    <w:p w14:paraId="06DC1881" w14:textId="6F2627DB" w:rsidR="007058FD" w:rsidRPr="003A6DFC" w:rsidRDefault="00563CA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Lyons, M. J., </w:t>
      </w:r>
      <w:proofErr w:type="spellStart"/>
      <w:r w:rsidRPr="003A6DFC">
        <w:rPr>
          <w:rFonts w:ascii="Century" w:hAnsi="Century" w:cs="Arial"/>
          <w:color w:val="000000"/>
          <w:lang w:val="en-GB"/>
        </w:rPr>
        <w:t>Panizzon</w:t>
      </w:r>
      <w:proofErr w:type="spellEnd"/>
      <w:r w:rsidRPr="003A6DFC">
        <w:rPr>
          <w:rFonts w:ascii="Century" w:hAnsi="Century" w:cs="Arial"/>
          <w:color w:val="000000"/>
          <w:lang w:val="en-GB"/>
        </w:rPr>
        <w:t xml:space="preserve">, M. S., Liu, W., McKenzie, R., Bluestone, N. J., Grant, M. D., Franz, C. E., </w:t>
      </w:r>
      <w:proofErr w:type="spellStart"/>
      <w:r w:rsidRPr="003A6DFC">
        <w:rPr>
          <w:rFonts w:ascii="Century" w:hAnsi="Century" w:cs="Arial"/>
          <w:color w:val="000000"/>
          <w:lang w:val="en-GB"/>
        </w:rPr>
        <w:t>Vuoksimaa</w:t>
      </w:r>
      <w:proofErr w:type="spellEnd"/>
      <w:r w:rsidRPr="003A6DFC">
        <w:rPr>
          <w:rFonts w:ascii="Century" w:hAnsi="Century" w:cs="Arial"/>
          <w:color w:val="000000"/>
          <w:lang w:val="en-GB"/>
        </w:rPr>
        <w:t xml:space="preserve">, E. P., Toomey, R., Jacobson, K. C., Reynolds, C. A., </w:t>
      </w:r>
      <w:proofErr w:type="spellStart"/>
      <w:r w:rsidRPr="003A6DFC">
        <w:rPr>
          <w:rFonts w:ascii="Century" w:hAnsi="Century" w:cs="Arial"/>
          <w:color w:val="000000"/>
          <w:lang w:val="en-GB"/>
        </w:rPr>
        <w:t>Kremen</w:t>
      </w:r>
      <w:proofErr w:type="spellEnd"/>
      <w:r w:rsidRPr="003A6DFC">
        <w:rPr>
          <w:rFonts w:ascii="Century" w:hAnsi="Century" w:cs="Arial"/>
          <w:color w:val="000000"/>
          <w:lang w:val="en-GB"/>
        </w:rPr>
        <w:t xml:space="preserve">, W. S., Xian, H. </w:t>
      </w:r>
      <w:r w:rsidR="007058FD" w:rsidRPr="003A6DFC">
        <w:rPr>
          <w:rFonts w:ascii="Century" w:hAnsi="Century" w:cs="Arial"/>
          <w:color w:val="000000"/>
          <w:lang w:val="en-GB"/>
        </w:rPr>
        <w:t xml:space="preserve">(2017). A longitudinal twin study of general cognitive ability over four decades. </w:t>
      </w:r>
      <w:r w:rsidR="007058FD" w:rsidRPr="003A6DFC">
        <w:rPr>
          <w:rFonts w:ascii="Century" w:hAnsi="Century" w:cs="Arial"/>
          <w:i/>
          <w:iCs/>
          <w:color w:val="000000"/>
          <w:lang w:val="en-GB"/>
        </w:rPr>
        <w:t>Developmental Psychology</w:t>
      </w:r>
      <w:r w:rsidR="007058FD" w:rsidRPr="003A6DFC">
        <w:rPr>
          <w:rFonts w:ascii="Century" w:hAnsi="Century" w:cs="Arial"/>
          <w:color w:val="000000"/>
          <w:lang w:val="en-GB"/>
        </w:rPr>
        <w:t>, 53(6), 1170.</w:t>
      </w:r>
    </w:p>
    <w:p w14:paraId="3DF9CE4F" w14:textId="7C489737" w:rsidR="001024D4" w:rsidRPr="003A6DFC" w:rsidRDefault="001024D4"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Monden</w:t>
      </w:r>
      <w:proofErr w:type="spellEnd"/>
      <w:r w:rsidRPr="003A6DFC">
        <w:rPr>
          <w:rFonts w:ascii="Century" w:hAnsi="Century" w:cs="Arial"/>
          <w:color w:val="000000"/>
          <w:lang w:val="en-GB"/>
        </w:rPr>
        <w:t>, C.W.</w:t>
      </w:r>
      <w:r w:rsidR="00563CAB" w:rsidRPr="003A6DFC">
        <w:rPr>
          <w:rFonts w:ascii="Century" w:hAnsi="Century" w:cs="Arial"/>
          <w:color w:val="000000"/>
          <w:lang w:val="en-GB"/>
        </w:rPr>
        <w:t xml:space="preserve"> (2010).</w:t>
      </w:r>
      <w:r w:rsidRPr="003A6DFC">
        <w:rPr>
          <w:rFonts w:ascii="Century" w:hAnsi="Century" w:cs="Arial"/>
          <w:color w:val="000000"/>
          <w:lang w:val="en-GB"/>
        </w:rPr>
        <w:t xml:space="preserve"> Do measured and unmeasured family factors bias the association between education and self-assessed health? </w:t>
      </w:r>
      <w:r w:rsidRPr="003A6DFC">
        <w:rPr>
          <w:rFonts w:ascii="Century" w:hAnsi="Century" w:cs="Arial"/>
          <w:i/>
          <w:iCs/>
          <w:color w:val="000000"/>
          <w:lang w:val="en-GB"/>
        </w:rPr>
        <w:t xml:space="preserve">Social </w:t>
      </w:r>
      <w:r w:rsidR="00563CAB" w:rsidRPr="003A6DFC">
        <w:rPr>
          <w:rFonts w:ascii="Century" w:hAnsi="Century" w:cs="Arial"/>
          <w:i/>
          <w:iCs/>
          <w:color w:val="000000"/>
          <w:lang w:val="en-GB"/>
        </w:rPr>
        <w:t>I</w:t>
      </w:r>
      <w:r w:rsidRPr="003A6DFC">
        <w:rPr>
          <w:rFonts w:ascii="Century" w:hAnsi="Century" w:cs="Arial"/>
          <w:i/>
          <w:iCs/>
          <w:color w:val="000000"/>
          <w:lang w:val="en-GB"/>
        </w:rPr>
        <w:t xml:space="preserve">ndicators </w:t>
      </w:r>
      <w:r w:rsidR="00563CAB" w:rsidRPr="003A6DFC">
        <w:rPr>
          <w:rFonts w:ascii="Century" w:hAnsi="Century" w:cs="Arial"/>
          <w:i/>
          <w:iCs/>
          <w:color w:val="000000"/>
          <w:lang w:val="en-GB"/>
        </w:rPr>
        <w:t>R</w:t>
      </w:r>
      <w:r w:rsidRPr="003A6DFC">
        <w:rPr>
          <w:rFonts w:ascii="Century" w:hAnsi="Century" w:cs="Arial"/>
          <w:i/>
          <w:iCs/>
          <w:color w:val="000000"/>
          <w:lang w:val="en-GB"/>
        </w:rPr>
        <w:t>esearch</w:t>
      </w:r>
      <w:r w:rsidR="00563CAB" w:rsidRPr="003A6DFC">
        <w:rPr>
          <w:rFonts w:ascii="Century" w:hAnsi="Century" w:cs="Arial"/>
          <w:color w:val="000000"/>
          <w:lang w:val="en-GB"/>
        </w:rPr>
        <w:t>,</w:t>
      </w:r>
      <w:r w:rsidRPr="003A6DFC">
        <w:rPr>
          <w:rFonts w:ascii="Century" w:hAnsi="Century" w:cs="Arial"/>
          <w:color w:val="000000"/>
          <w:lang w:val="en-GB"/>
        </w:rPr>
        <w:t xml:space="preserve"> 98, 321-336</w:t>
      </w:r>
      <w:r w:rsidR="00563CAB" w:rsidRPr="003A6DFC">
        <w:rPr>
          <w:rFonts w:ascii="Century" w:hAnsi="Century" w:cs="Arial"/>
          <w:color w:val="000000"/>
          <w:lang w:val="en-GB"/>
        </w:rPr>
        <w:t>.</w:t>
      </w:r>
      <w:r w:rsidRPr="003A6DFC">
        <w:rPr>
          <w:rFonts w:ascii="Century" w:hAnsi="Century" w:cs="Arial"/>
          <w:color w:val="000000"/>
          <w:lang w:val="en-GB"/>
        </w:rPr>
        <w:t xml:space="preserve"> </w:t>
      </w:r>
    </w:p>
    <w:p w14:paraId="639AC303" w14:textId="2D948F92" w:rsidR="001024D4" w:rsidRPr="003A6DFC" w:rsidRDefault="001024D4"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Monk Jr, E.P. </w:t>
      </w:r>
      <w:r w:rsidR="008A1A51" w:rsidRPr="003A6DFC">
        <w:rPr>
          <w:rFonts w:ascii="Century" w:hAnsi="Century" w:cs="Arial"/>
          <w:color w:val="000000"/>
          <w:lang w:val="en-GB"/>
        </w:rPr>
        <w:t xml:space="preserve">(2015). </w:t>
      </w:r>
      <w:r w:rsidRPr="003A6DFC">
        <w:rPr>
          <w:rFonts w:ascii="Century" w:hAnsi="Century" w:cs="Arial"/>
          <w:color w:val="000000"/>
          <w:lang w:val="en-GB"/>
        </w:rPr>
        <w:t xml:space="preserve">The cost of color: Skin color, discrimination, and health among </w:t>
      </w:r>
      <w:proofErr w:type="gramStart"/>
      <w:r w:rsidRPr="003A6DFC">
        <w:rPr>
          <w:rFonts w:ascii="Century" w:hAnsi="Century" w:cs="Arial"/>
          <w:color w:val="000000"/>
          <w:lang w:val="en-GB"/>
        </w:rPr>
        <w:t>African-Americans</w:t>
      </w:r>
      <w:proofErr w:type="gramEnd"/>
      <w:r w:rsidRPr="003A6DFC">
        <w:rPr>
          <w:rFonts w:ascii="Century" w:hAnsi="Century" w:cs="Arial"/>
          <w:color w:val="000000"/>
          <w:lang w:val="en-GB"/>
        </w:rPr>
        <w:t xml:space="preserve">. </w:t>
      </w:r>
      <w:r w:rsidRPr="003A6DFC">
        <w:rPr>
          <w:rFonts w:ascii="Century" w:hAnsi="Century" w:cs="Arial"/>
          <w:i/>
          <w:iCs/>
          <w:color w:val="000000"/>
          <w:lang w:val="en-GB"/>
        </w:rPr>
        <w:t>American Journal of Sociology</w:t>
      </w:r>
      <w:r w:rsidR="008A1A51" w:rsidRPr="003A6DFC">
        <w:rPr>
          <w:rFonts w:ascii="Century" w:hAnsi="Century" w:cs="Arial"/>
          <w:color w:val="000000"/>
          <w:lang w:val="en-GB"/>
        </w:rPr>
        <w:t>,</w:t>
      </w:r>
      <w:r w:rsidRPr="003A6DFC">
        <w:rPr>
          <w:rFonts w:ascii="Century" w:hAnsi="Century" w:cs="Arial"/>
          <w:color w:val="000000"/>
          <w:lang w:val="en-GB"/>
        </w:rPr>
        <w:t xml:space="preserve"> 121, 396-444</w:t>
      </w:r>
      <w:r w:rsidR="008A1A51" w:rsidRPr="003A6DFC">
        <w:rPr>
          <w:rFonts w:ascii="Century" w:hAnsi="Century" w:cs="Arial"/>
          <w:color w:val="000000"/>
          <w:lang w:val="en-GB"/>
        </w:rPr>
        <w:t>.</w:t>
      </w:r>
      <w:r w:rsidRPr="003A6DFC">
        <w:rPr>
          <w:rFonts w:ascii="Century" w:hAnsi="Century" w:cs="Arial"/>
          <w:color w:val="000000"/>
          <w:lang w:val="en-GB"/>
        </w:rPr>
        <w:t xml:space="preserve"> </w:t>
      </w:r>
    </w:p>
    <w:p w14:paraId="20AB8ED1" w14:textId="77777777" w:rsidR="009320A3" w:rsidRPr="003A6DFC" w:rsidRDefault="009320A3" w:rsidP="00C83A67">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Mossey</w:t>
      </w:r>
      <w:proofErr w:type="spellEnd"/>
      <w:r w:rsidRPr="003A6DFC">
        <w:rPr>
          <w:rFonts w:ascii="Century" w:hAnsi="Century" w:cs="Arial"/>
          <w:color w:val="000000"/>
          <w:lang w:val="en-GB"/>
        </w:rPr>
        <w:t xml:space="preserve">, J.M., Shapiro, E. (1982). Self-rated health: a predictor of mortality among the elderly. </w:t>
      </w:r>
      <w:r w:rsidRPr="003A6DFC">
        <w:rPr>
          <w:rFonts w:ascii="Century" w:hAnsi="Century" w:cs="Arial"/>
          <w:i/>
          <w:iCs/>
          <w:color w:val="000000"/>
          <w:lang w:val="en-GB"/>
        </w:rPr>
        <w:t>American Journal of Public Health</w:t>
      </w:r>
      <w:r w:rsidRPr="003A6DFC">
        <w:rPr>
          <w:rFonts w:ascii="Century" w:hAnsi="Century" w:cs="Arial"/>
          <w:color w:val="000000"/>
          <w:lang w:val="en-GB"/>
        </w:rPr>
        <w:t xml:space="preserve">, 72, 800-808. </w:t>
      </w:r>
    </w:p>
    <w:p w14:paraId="7092B0FA" w14:textId="3B1BBA17" w:rsidR="009320A3" w:rsidRPr="003A6DFC" w:rsidRDefault="009320A3" w:rsidP="00C83A67">
      <w:pPr>
        <w:autoSpaceDE w:val="0"/>
        <w:autoSpaceDN w:val="0"/>
        <w:adjustRightInd w:val="0"/>
        <w:spacing w:after="240" w:line="240" w:lineRule="auto"/>
        <w:jc w:val="both"/>
        <w:rPr>
          <w:rFonts w:ascii="Century" w:hAnsi="Century" w:cs="Arial"/>
          <w:color w:val="222222"/>
          <w:shd w:val="clear" w:color="auto" w:fill="FFFFFF"/>
        </w:rPr>
      </w:pPr>
      <w:r w:rsidRPr="003A6DFC">
        <w:rPr>
          <w:rFonts w:ascii="Century" w:hAnsi="Century" w:cs="Arial"/>
          <w:color w:val="222222"/>
          <w:shd w:val="clear" w:color="auto" w:fill="FFFFFF"/>
        </w:rPr>
        <w:t xml:space="preserve">Nouri, F., </w:t>
      </w:r>
      <w:proofErr w:type="spellStart"/>
      <w:r w:rsidRPr="003A6DFC">
        <w:rPr>
          <w:rFonts w:ascii="Century" w:hAnsi="Century" w:cs="Arial"/>
          <w:color w:val="222222"/>
          <w:shd w:val="clear" w:color="auto" w:fill="FFFFFF"/>
        </w:rPr>
        <w:t>Feizi</w:t>
      </w:r>
      <w:proofErr w:type="spellEnd"/>
      <w:r w:rsidRPr="003A6DFC">
        <w:rPr>
          <w:rFonts w:ascii="Century" w:hAnsi="Century" w:cs="Arial"/>
          <w:color w:val="222222"/>
          <w:shd w:val="clear" w:color="auto" w:fill="FFFFFF"/>
        </w:rPr>
        <w:t xml:space="preserve">, A., Afshar, H., </w:t>
      </w:r>
      <w:proofErr w:type="spellStart"/>
      <w:r w:rsidRPr="003A6DFC">
        <w:rPr>
          <w:rFonts w:ascii="Century" w:hAnsi="Century" w:cs="Arial"/>
          <w:color w:val="222222"/>
          <w:shd w:val="clear" w:color="auto" w:fill="FFFFFF"/>
        </w:rPr>
        <w:t>Keshteli</w:t>
      </w:r>
      <w:proofErr w:type="spellEnd"/>
      <w:r w:rsidRPr="003A6DFC">
        <w:rPr>
          <w:rFonts w:ascii="Century" w:hAnsi="Century" w:cs="Arial"/>
          <w:color w:val="222222"/>
          <w:shd w:val="clear" w:color="auto" w:fill="FFFFFF"/>
        </w:rPr>
        <w:t xml:space="preserve">, A.H., </w:t>
      </w:r>
      <w:proofErr w:type="spellStart"/>
      <w:r w:rsidRPr="003A6DFC">
        <w:rPr>
          <w:rFonts w:ascii="Century" w:hAnsi="Century" w:cs="Arial"/>
          <w:color w:val="222222"/>
          <w:shd w:val="clear" w:color="auto" w:fill="FFFFFF"/>
        </w:rPr>
        <w:t>Adibi</w:t>
      </w:r>
      <w:proofErr w:type="spellEnd"/>
      <w:r w:rsidRPr="003A6DFC">
        <w:rPr>
          <w:rFonts w:ascii="Century" w:hAnsi="Century" w:cs="Arial"/>
          <w:color w:val="222222"/>
          <w:shd w:val="clear" w:color="auto" w:fill="FFFFFF"/>
        </w:rPr>
        <w:t>, P. (2019). How five-factor personality traits affect psychological distress and depression? results from a large population-based study. </w:t>
      </w:r>
      <w:r w:rsidRPr="003A6DFC">
        <w:rPr>
          <w:rFonts w:ascii="Century" w:hAnsi="Century" w:cs="Arial"/>
          <w:i/>
          <w:iCs/>
          <w:color w:val="222222"/>
          <w:shd w:val="clear" w:color="auto" w:fill="FFFFFF"/>
        </w:rPr>
        <w:t>Psychological Studies</w:t>
      </w:r>
      <w:r w:rsidRPr="003A6DFC">
        <w:rPr>
          <w:rFonts w:ascii="Century" w:hAnsi="Century" w:cs="Arial"/>
          <w:color w:val="222222"/>
          <w:shd w:val="clear" w:color="auto" w:fill="FFFFFF"/>
        </w:rPr>
        <w:t>, </w:t>
      </w:r>
      <w:r w:rsidRPr="003A6DFC">
        <w:rPr>
          <w:rFonts w:ascii="Century" w:hAnsi="Century" w:cs="Arial"/>
          <w:i/>
          <w:iCs/>
          <w:color w:val="222222"/>
          <w:shd w:val="clear" w:color="auto" w:fill="FFFFFF"/>
        </w:rPr>
        <w:t>64</w:t>
      </w:r>
      <w:r w:rsidRPr="003A6DFC">
        <w:rPr>
          <w:rFonts w:ascii="Century" w:hAnsi="Century" w:cs="Arial"/>
          <w:color w:val="222222"/>
          <w:shd w:val="clear" w:color="auto" w:fill="FFFFFF"/>
        </w:rPr>
        <w:t>, 59-69.</w:t>
      </w:r>
    </w:p>
    <w:p w14:paraId="31BEE5B0" w14:textId="0A57EA36" w:rsidR="00B91914" w:rsidRPr="003A6DFC" w:rsidRDefault="00B91914" w:rsidP="00C83A67">
      <w:pPr>
        <w:autoSpaceDE w:val="0"/>
        <w:autoSpaceDN w:val="0"/>
        <w:adjustRightInd w:val="0"/>
        <w:spacing w:after="240" w:line="240" w:lineRule="auto"/>
        <w:jc w:val="both"/>
        <w:rPr>
          <w:rFonts w:ascii="Century" w:hAnsi="Century" w:cs="Arial"/>
          <w:color w:val="222222"/>
          <w:shd w:val="clear" w:color="auto" w:fill="FFFFFF"/>
        </w:rPr>
      </w:pPr>
      <w:proofErr w:type="spellStart"/>
      <w:r w:rsidRPr="003A6DFC">
        <w:rPr>
          <w:rFonts w:ascii="Century" w:hAnsi="Century" w:cs="Arial"/>
          <w:color w:val="222222"/>
          <w:shd w:val="clear" w:color="auto" w:fill="FFFFFF"/>
        </w:rPr>
        <w:t>Nesson</w:t>
      </w:r>
      <w:proofErr w:type="spellEnd"/>
      <w:r w:rsidRPr="003A6DFC">
        <w:rPr>
          <w:rFonts w:ascii="Century" w:hAnsi="Century" w:cs="Arial"/>
          <w:color w:val="222222"/>
          <w:shd w:val="clear" w:color="auto" w:fill="FFFFFF"/>
        </w:rPr>
        <w:t>, E.T., Robinson, J.J. (2019). On the measurement of health and its effect on the measurement of health inequality. </w:t>
      </w:r>
      <w:r w:rsidRPr="003A6DFC">
        <w:rPr>
          <w:rFonts w:ascii="Century" w:hAnsi="Century" w:cs="Arial"/>
          <w:i/>
          <w:iCs/>
          <w:color w:val="222222"/>
          <w:shd w:val="clear" w:color="auto" w:fill="FFFFFF"/>
        </w:rPr>
        <w:t>Economics &amp; Human Biology</w:t>
      </w:r>
      <w:r w:rsidRPr="003A6DFC">
        <w:rPr>
          <w:rFonts w:ascii="Century" w:hAnsi="Century" w:cs="Arial"/>
          <w:color w:val="222222"/>
          <w:shd w:val="clear" w:color="auto" w:fill="FFFFFF"/>
        </w:rPr>
        <w:t>, 35, 207-221.</w:t>
      </w:r>
    </w:p>
    <w:p w14:paraId="368D5C02" w14:textId="700BDC96" w:rsidR="00C20B83" w:rsidRPr="003A6DFC" w:rsidRDefault="00C20B83" w:rsidP="00C20B83">
      <w:pPr>
        <w:autoSpaceDE w:val="0"/>
        <w:autoSpaceDN w:val="0"/>
        <w:adjustRightInd w:val="0"/>
        <w:spacing w:after="240" w:line="240" w:lineRule="auto"/>
        <w:jc w:val="both"/>
        <w:rPr>
          <w:rFonts w:ascii="Century" w:hAnsi="Century" w:cs="Arial"/>
          <w:color w:val="222222"/>
          <w:shd w:val="clear" w:color="auto" w:fill="FFFFFF"/>
        </w:rPr>
      </w:pPr>
      <w:proofErr w:type="spellStart"/>
      <w:r w:rsidRPr="003A6DFC">
        <w:rPr>
          <w:rFonts w:ascii="Century" w:hAnsi="Century" w:cs="Arial"/>
          <w:color w:val="222222"/>
          <w:shd w:val="clear" w:color="auto" w:fill="FFFFFF"/>
        </w:rPr>
        <w:t>Nutbeam</w:t>
      </w:r>
      <w:proofErr w:type="spellEnd"/>
      <w:r w:rsidRPr="003A6DFC">
        <w:rPr>
          <w:rFonts w:ascii="Century" w:hAnsi="Century" w:cs="Arial"/>
          <w:color w:val="222222"/>
          <w:shd w:val="clear" w:color="auto" w:fill="FFFFFF"/>
        </w:rPr>
        <w:t xml:space="preserve">, D. (2008). The evolving concept of health literacy. </w:t>
      </w:r>
      <w:r w:rsidRPr="003A6DFC">
        <w:rPr>
          <w:rFonts w:ascii="Century" w:hAnsi="Century" w:cs="Arial"/>
          <w:i/>
          <w:iCs/>
          <w:color w:val="222222"/>
          <w:shd w:val="clear" w:color="auto" w:fill="FFFFFF"/>
        </w:rPr>
        <w:t>Social Science &amp; Medicine</w:t>
      </w:r>
      <w:r w:rsidRPr="003A6DFC">
        <w:rPr>
          <w:rFonts w:ascii="Century" w:hAnsi="Century" w:cs="Arial"/>
          <w:color w:val="222222"/>
          <w:shd w:val="clear" w:color="auto" w:fill="FFFFFF"/>
        </w:rPr>
        <w:t>, 67(12), 2072-2078.</w:t>
      </w:r>
    </w:p>
    <w:p w14:paraId="3C85C24A" w14:textId="61B86C3F" w:rsidR="00115A3F" w:rsidRPr="003A6DFC" w:rsidRDefault="00115A3F" w:rsidP="00115A3F">
      <w:pPr>
        <w:jc w:val="both"/>
        <w:rPr>
          <w:rFonts w:ascii="Century" w:hAnsi="Century"/>
          <w:lang w:val="en-GB"/>
        </w:rPr>
      </w:pPr>
      <w:r w:rsidRPr="003A6DFC">
        <w:rPr>
          <w:rFonts w:ascii="Century" w:hAnsi="Century"/>
          <w:lang w:val="en-GB"/>
        </w:rPr>
        <w:t xml:space="preserve">Ohlsson, C., </w:t>
      </w:r>
      <w:proofErr w:type="spellStart"/>
      <w:r w:rsidRPr="003A6DFC">
        <w:rPr>
          <w:rFonts w:ascii="Century" w:hAnsi="Century"/>
          <w:lang w:val="en-GB"/>
        </w:rPr>
        <w:t>Labrie</w:t>
      </w:r>
      <w:proofErr w:type="spellEnd"/>
      <w:r w:rsidRPr="003A6DFC">
        <w:rPr>
          <w:rFonts w:ascii="Century" w:hAnsi="Century"/>
          <w:lang w:val="en-GB"/>
        </w:rPr>
        <w:t xml:space="preserve">, F., Barrett-Connor, E., Karlsson, M. K., </w:t>
      </w:r>
      <w:proofErr w:type="spellStart"/>
      <w:r w:rsidRPr="003A6DFC">
        <w:rPr>
          <w:rFonts w:ascii="Century" w:hAnsi="Century"/>
          <w:lang w:val="en-GB"/>
        </w:rPr>
        <w:t>Ljunggren</w:t>
      </w:r>
      <w:proofErr w:type="spellEnd"/>
      <w:r w:rsidRPr="003A6DFC">
        <w:rPr>
          <w:rFonts w:ascii="Century" w:hAnsi="Century"/>
          <w:lang w:val="en-GB"/>
        </w:rPr>
        <w:t xml:space="preserve">, O., </w:t>
      </w:r>
      <w:proofErr w:type="spellStart"/>
      <w:r w:rsidRPr="003A6DFC">
        <w:rPr>
          <w:rFonts w:ascii="Century" w:hAnsi="Century"/>
          <w:lang w:val="en-GB"/>
        </w:rPr>
        <w:t>Vandenput</w:t>
      </w:r>
      <w:proofErr w:type="spellEnd"/>
      <w:r w:rsidRPr="003A6DFC">
        <w:rPr>
          <w:rFonts w:ascii="Century" w:hAnsi="Century"/>
          <w:lang w:val="en-GB"/>
        </w:rPr>
        <w:t xml:space="preserve">, L., </w:t>
      </w:r>
      <w:proofErr w:type="spellStart"/>
      <w:r w:rsidR="00825937" w:rsidRPr="003A6DFC">
        <w:rPr>
          <w:rFonts w:ascii="Century" w:hAnsi="Century"/>
          <w:lang w:val="en-GB"/>
        </w:rPr>
        <w:t>Mellström</w:t>
      </w:r>
      <w:proofErr w:type="spellEnd"/>
      <w:r w:rsidR="00825937" w:rsidRPr="003A6DFC">
        <w:rPr>
          <w:rFonts w:ascii="Century" w:hAnsi="Century"/>
          <w:lang w:val="en-GB"/>
        </w:rPr>
        <w:t xml:space="preserve">, D., </w:t>
      </w:r>
      <w:proofErr w:type="spellStart"/>
      <w:r w:rsidRPr="003A6DFC">
        <w:rPr>
          <w:rFonts w:ascii="Century" w:hAnsi="Century"/>
          <w:lang w:val="en-GB"/>
        </w:rPr>
        <w:t>Tivesten</w:t>
      </w:r>
      <w:proofErr w:type="spellEnd"/>
      <w:r w:rsidRPr="003A6DFC">
        <w:rPr>
          <w:rFonts w:ascii="Century" w:hAnsi="Century"/>
          <w:lang w:val="en-GB"/>
        </w:rPr>
        <w:t xml:space="preserve">, A. (2010). Low serum levels of dehydroepiandrosterone </w:t>
      </w:r>
      <w:proofErr w:type="spellStart"/>
      <w:r w:rsidRPr="003A6DFC">
        <w:rPr>
          <w:rFonts w:ascii="Century" w:hAnsi="Century"/>
          <w:lang w:val="en-GB"/>
        </w:rPr>
        <w:t>sulfate</w:t>
      </w:r>
      <w:proofErr w:type="spellEnd"/>
      <w:r w:rsidRPr="003A6DFC">
        <w:rPr>
          <w:rFonts w:ascii="Century" w:hAnsi="Century"/>
          <w:lang w:val="en-GB"/>
        </w:rPr>
        <w:t xml:space="preserve"> predict all-cause and cardiovascular mortality in elderly Swedish men. </w:t>
      </w:r>
      <w:r w:rsidRPr="003A6DFC">
        <w:rPr>
          <w:rFonts w:ascii="Century" w:hAnsi="Century"/>
          <w:i/>
          <w:iCs/>
          <w:lang w:val="en-GB"/>
        </w:rPr>
        <w:t>The Journal of Clinical Endocrinology &amp; Metabolism</w:t>
      </w:r>
      <w:r w:rsidRPr="003A6DFC">
        <w:rPr>
          <w:rFonts w:ascii="Century" w:hAnsi="Century"/>
          <w:lang w:val="en-GB"/>
        </w:rPr>
        <w:t>, 95(9), 4406-4414.</w:t>
      </w:r>
    </w:p>
    <w:p w14:paraId="1EE42C5E" w14:textId="7811CB25" w:rsidR="00115A3F" w:rsidRPr="003A6DFC" w:rsidRDefault="00115A3F" w:rsidP="00115A3F">
      <w:pPr>
        <w:jc w:val="both"/>
        <w:rPr>
          <w:rFonts w:ascii="Century" w:hAnsi="Century"/>
          <w:lang w:val="en-GB"/>
        </w:rPr>
      </w:pPr>
      <w:r w:rsidRPr="003A6DFC">
        <w:rPr>
          <w:rFonts w:ascii="Century" w:hAnsi="Century"/>
          <w:lang w:val="en-GB"/>
        </w:rPr>
        <w:lastRenderedPageBreak/>
        <w:t xml:space="preserve">Pearson, T. A., Mensah, G. A., Alexander, R. W., Anderson, J. L., Cannon III, R. O., </w:t>
      </w:r>
      <w:proofErr w:type="spellStart"/>
      <w:r w:rsidRPr="003A6DFC">
        <w:rPr>
          <w:rFonts w:ascii="Century" w:hAnsi="Century"/>
          <w:lang w:val="en-GB"/>
        </w:rPr>
        <w:t>Criqui</w:t>
      </w:r>
      <w:proofErr w:type="spellEnd"/>
      <w:r w:rsidRPr="003A6DFC">
        <w:rPr>
          <w:rFonts w:ascii="Century" w:hAnsi="Century"/>
          <w:lang w:val="en-GB"/>
        </w:rPr>
        <w:t xml:space="preserve">, M., </w:t>
      </w:r>
      <w:proofErr w:type="spellStart"/>
      <w:r w:rsidR="00825937" w:rsidRPr="003A6DFC">
        <w:rPr>
          <w:rFonts w:ascii="Century" w:hAnsi="Century"/>
          <w:lang w:val="en-GB"/>
        </w:rPr>
        <w:t>Fadl</w:t>
      </w:r>
      <w:proofErr w:type="spellEnd"/>
      <w:r w:rsidR="00825937" w:rsidRPr="003A6DFC">
        <w:rPr>
          <w:rFonts w:ascii="Century" w:hAnsi="Century"/>
          <w:lang w:val="en-GB"/>
        </w:rPr>
        <w:t xml:space="preserve">, Y., </w:t>
      </w:r>
      <w:proofErr w:type="spellStart"/>
      <w:r w:rsidR="00825937" w:rsidRPr="003A6DFC">
        <w:rPr>
          <w:rFonts w:ascii="Century" w:hAnsi="Century"/>
          <w:lang w:val="en-GB"/>
        </w:rPr>
        <w:t>Fortmann</w:t>
      </w:r>
      <w:proofErr w:type="spellEnd"/>
      <w:r w:rsidR="00825937" w:rsidRPr="003A6DFC">
        <w:rPr>
          <w:rFonts w:ascii="Century" w:hAnsi="Century"/>
          <w:lang w:val="en-GB"/>
        </w:rPr>
        <w:t xml:space="preserve">, S., Hong, Y., Myers, G., Rifai, N., Smith, S., </w:t>
      </w:r>
      <w:proofErr w:type="spellStart"/>
      <w:r w:rsidR="00825937" w:rsidRPr="003A6DFC">
        <w:rPr>
          <w:rFonts w:ascii="Century" w:hAnsi="Century"/>
          <w:lang w:val="en-GB"/>
        </w:rPr>
        <w:t>Taubert</w:t>
      </w:r>
      <w:proofErr w:type="spellEnd"/>
      <w:r w:rsidR="00825937" w:rsidRPr="003A6DFC">
        <w:rPr>
          <w:rFonts w:ascii="Century" w:hAnsi="Century"/>
          <w:lang w:val="en-GB"/>
        </w:rPr>
        <w:t xml:space="preserve">, K., Tracy, R., </w:t>
      </w:r>
      <w:proofErr w:type="spellStart"/>
      <w:r w:rsidRPr="003A6DFC">
        <w:rPr>
          <w:rFonts w:ascii="Century" w:hAnsi="Century"/>
          <w:lang w:val="en-GB"/>
        </w:rPr>
        <w:t>Vinicor</w:t>
      </w:r>
      <w:proofErr w:type="spellEnd"/>
      <w:r w:rsidRPr="003A6DFC">
        <w:rPr>
          <w:rFonts w:ascii="Century" w:hAnsi="Century"/>
          <w:lang w:val="en-GB"/>
        </w:rPr>
        <w:t xml:space="preserve">, F. (2003). Markers of inflammation and cardiovascular disease: application to clinical and public health practice: a statement for healthcare professionals from the </w:t>
      </w:r>
      <w:proofErr w:type="spellStart"/>
      <w:r w:rsidRPr="003A6DFC">
        <w:rPr>
          <w:rFonts w:ascii="Century" w:hAnsi="Century"/>
          <w:lang w:val="en-GB"/>
        </w:rPr>
        <w:t>Centers</w:t>
      </w:r>
      <w:proofErr w:type="spellEnd"/>
      <w:r w:rsidRPr="003A6DFC">
        <w:rPr>
          <w:rFonts w:ascii="Century" w:hAnsi="Century"/>
          <w:lang w:val="en-GB"/>
        </w:rPr>
        <w:t xml:space="preserve"> for Disease Control and Prevention and the American Heart Association. </w:t>
      </w:r>
      <w:r w:rsidRPr="003A6DFC">
        <w:rPr>
          <w:rFonts w:ascii="Century" w:hAnsi="Century"/>
          <w:i/>
          <w:iCs/>
          <w:lang w:val="en-GB"/>
        </w:rPr>
        <w:t>Circulation</w:t>
      </w:r>
      <w:r w:rsidRPr="003A6DFC">
        <w:rPr>
          <w:rFonts w:ascii="Century" w:hAnsi="Century"/>
          <w:lang w:val="en-GB"/>
        </w:rPr>
        <w:t>, 107(3), 499-511.</w:t>
      </w:r>
    </w:p>
    <w:p w14:paraId="5E58F324" w14:textId="455A8D24" w:rsidR="00691D4B" w:rsidRPr="003A6DFC" w:rsidRDefault="00691D4B"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van </w:t>
      </w:r>
      <w:proofErr w:type="spellStart"/>
      <w:r w:rsidRPr="003A6DFC">
        <w:rPr>
          <w:rFonts w:ascii="Century" w:hAnsi="Century" w:cs="Arial"/>
          <w:color w:val="000000"/>
          <w:lang w:val="en-GB"/>
        </w:rPr>
        <w:t>Doorslaer</w:t>
      </w:r>
      <w:proofErr w:type="spellEnd"/>
      <w:r w:rsidRPr="003A6DFC">
        <w:rPr>
          <w:rFonts w:ascii="Century" w:hAnsi="Century" w:cs="Arial"/>
          <w:color w:val="000000"/>
          <w:lang w:val="en-GB"/>
        </w:rPr>
        <w:t xml:space="preserve">, E., Wagstaff, A., van der Burg, H., Christiansen, T., De </w:t>
      </w:r>
      <w:proofErr w:type="spellStart"/>
      <w:r w:rsidRPr="003A6DFC">
        <w:rPr>
          <w:rFonts w:ascii="Century" w:hAnsi="Century" w:cs="Arial"/>
          <w:color w:val="000000"/>
          <w:lang w:val="en-GB"/>
        </w:rPr>
        <w:t>Graeve</w:t>
      </w:r>
      <w:proofErr w:type="spellEnd"/>
      <w:r w:rsidRPr="003A6DFC">
        <w:rPr>
          <w:rFonts w:ascii="Century" w:hAnsi="Century" w:cs="Arial"/>
          <w:color w:val="000000"/>
          <w:lang w:val="en-GB"/>
        </w:rPr>
        <w:t xml:space="preserve"> D., Duchesne I, </w:t>
      </w:r>
      <w:proofErr w:type="spellStart"/>
      <w:r w:rsidRPr="003A6DFC">
        <w:rPr>
          <w:rFonts w:ascii="Century" w:hAnsi="Century" w:cs="Arial"/>
          <w:color w:val="000000"/>
          <w:lang w:val="en-GB"/>
        </w:rPr>
        <w:t>Gerdtham</w:t>
      </w:r>
      <w:proofErr w:type="spellEnd"/>
      <w:r w:rsidRPr="003A6DFC">
        <w:rPr>
          <w:rFonts w:ascii="Century" w:hAnsi="Century" w:cs="Arial"/>
          <w:color w:val="000000"/>
          <w:lang w:val="en-GB"/>
        </w:rPr>
        <w:t xml:space="preserve">, U.G., </w:t>
      </w:r>
      <w:proofErr w:type="spellStart"/>
      <w:r w:rsidRPr="003A6DFC">
        <w:rPr>
          <w:rFonts w:ascii="Century" w:hAnsi="Century" w:cs="Arial"/>
          <w:color w:val="000000"/>
          <w:lang w:val="en-GB"/>
        </w:rPr>
        <w:t>Gerfin</w:t>
      </w:r>
      <w:proofErr w:type="spellEnd"/>
      <w:r w:rsidRPr="003A6DFC">
        <w:rPr>
          <w:rFonts w:ascii="Century" w:hAnsi="Century" w:cs="Arial"/>
          <w:color w:val="000000"/>
          <w:lang w:val="en-GB"/>
        </w:rPr>
        <w:t xml:space="preserve">, M., </w:t>
      </w:r>
      <w:proofErr w:type="spellStart"/>
      <w:r w:rsidRPr="003A6DFC">
        <w:rPr>
          <w:rFonts w:ascii="Century" w:hAnsi="Century" w:cs="Arial"/>
          <w:color w:val="000000"/>
          <w:lang w:val="en-GB"/>
        </w:rPr>
        <w:t>Geurts</w:t>
      </w:r>
      <w:proofErr w:type="spellEnd"/>
      <w:r w:rsidRPr="003A6DFC">
        <w:rPr>
          <w:rFonts w:ascii="Century" w:hAnsi="Century" w:cs="Arial"/>
          <w:color w:val="000000"/>
          <w:lang w:val="en-GB"/>
        </w:rPr>
        <w:t xml:space="preserve"> J, Gross L, </w:t>
      </w:r>
      <w:proofErr w:type="spellStart"/>
      <w:r w:rsidRPr="003A6DFC">
        <w:rPr>
          <w:rFonts w:ascii="Century" w:hAnsi="Century" w:cs="Arial"/>
          <w:color w:val="000000"/>
          <w:lang w:val="en-GB"/>
        </w:rPr>
        <w:t>Häkkinen</w:t>
      </w:r>
      <w:proofErr w:type="spellEnd"/>
      <w:r w:rsidRPr="003A6DFC">
        <w:rPr>
          <w:rFonts w:ascii="Century" w:hAnsi="Century" w:cs="Arial"/>
          <w:color w:val="000000"/>
          <w:lang w:val="en-GB"/>
        </w:rPr>
        <w:t xml:space="preserve"> U, John J, </w:t>
      </w:r>
      <w:proofErr w:type="spellStart"/>
      <w:r w:rsidRPr="003A6DFC">
        <w:rPr>
          <w:rFonts w:ascii="Century" w:hAnsi="Century" w:cs="Arial"/>
          <w:color w:val="000000"/>
          <w:lang w:val="en-GB"/>
        </w:rPr>
        <w:t>Klavus</w:t>
      </w:r>
      <w:proofErr w:type="spellEnd"/>
      <w:r w:rsidRPr="003A6DFC">
        <w:rPr>
          <w:rFonts w:ascii="Century" w:hAnsi="Century" w:cs="Arial"/>
          <w:color w:val="000000"/>
          <w:lang w:val="en-GB"/>
        </w:rPr>
        <w:t xml:space="preserve"> J, Leu RE, Nolan B, O'Donnell O, Propper C, Puffer, F., </w:t>
      </w:r>
      <w:proofErr w:type="spellStart"/>
      <w:r w:rsidRPr="003A6DFC">
        <w:rPr>
          <w:rFonts w:ascii="Century" w:hAnsi="Century" w:cs="Arial"/>
          <w:color w:val="000000"/>
          <w:lang w:val="en-GB"/>
        </w:rPr>
        <w:t>Schellhorn</w:t>
      </w:r>
      <w:proofErr w:type="spellEnd"/>
      <w:r w:rsidRPr="003A6DFC">
        <w:rPr>
          <w:rFonts w:ascii="Century" w:hAnsi="Century" w:cs="Arial"/>
          <w:color w:val="000000"/>
          <w:lang w:val="en-GB"/>
        </w:rPr>
        <w:t xml:space="preserve">, M., Sundberg, G., </w:t>
      </w:r>
      <w:proofErr w:type="spellStart"/>
      <w:r w:rsidRPr="003A6DFC">
        <w:rPr>
          <w:rFonts w:ascii="Century" w:hAnsi="Century" w:cs="Arial"/>
          <w:color w:val="000000"/>
          <w:lang w:val="en-GB"/>
        </w:rPr>
        <w:t>Winkelhake</w:t>
      </w:r>
      <w:proofErr w:type="spellEnd"/>
      <w:r w:rsidRPr="003A6DFC">
        <w:rPr>
          <w:rFonts w:ascii="Century" w:hAnsi="Century" w:cs="Arial"/>
          <w:color w:val="000000"/>
          <w:lang w:val="en-GB"/>
        </w:rPr>
        <w:t>, O.</w:t>
      </w:r>
      <w:r w:rsidR="008A1A51" w:rsidRPr="003A6DFC">
        <w:rPr>
          <w:rFonts w:ascii="Century" w:hAnsi="Century" w:cs="Arial"/>
          <w:color w:val="000000"/>
          <w:lang w:val="en-GB"/>
        </w:rPr>
        <w:t xml:space="preserve"> (2000).</w:t>
      </w:r>
      <w:r w:rsidRPr="003A6DFC">
        <w:rPr>
          <w:rFonts w:ascii="Century" w:hAnsi="Century" w:cs="Arial"/>
          <w:color w:val="000000"/>
          <w:lang w:val="en-GB"/>
        </w:rPr>
        <w:t xml:space="preserve"> Equity in the delivery of health care in Europe and the US. </w:t>
      </w:r>
      <w:r w:rsidRPr="003A6DFC">
        <w:rPr>
          <w:rFonts w:ascii="Century" w:hAnsi="Century" w:cs="Arial"/>
          <w:i/>
          <w:iCs/>
          <w:color w:val="000000"/>
          <w:lang w:val="en-GB"/>
        </w:rPr>
        <w:t>Journal of Health Economics</w:t>
      </w:r>
      <w:r w:rsidR="008A1A51" w:rsidRPr="003A6DFC">
        <w:rPr>
          <w:rFonts w:ascii="Century" w:hAnsi="Century" w:cs="Arial"/>
          <w:color w:val="000000"/>
          <w:lang w:val="en-GB"/>
        </w:rPr>
        <w:t>,</w:t>
      </w:r>
      <w:r w:rsidRPr="003A6DFC">
        <w:rPr>
          <w:rFonts w:ascii="Century" w:hAnsi="Century" w:cs="Arial"/>
          <w:color w:val="000000"/>
          <w:lang w:val="en-GB"/>
        </w:rPr>
        <w:t xml:space="preserve"> 19, 553-583. </w:t>
      </w:r>
    </w:p>
    <w:p w14:paraId="494D3310" w14:textId="4885330C" w:rsidR="004C0B5E" w:rsidRPr="003A6DFC" w:rsidRDefault="004C0B5E" w:rsidP="004C0B5E">
      <w:pPr>
        <w:autoSpaceDE w:val="0"/>
        <w:autoSpaceDN w:val="0"/>
        <w:adjustRightInd w:val="0"/>
        <w:spacing w:after="240" w:line="240" w:lineRule="auto"/>
        <w:jc w:val="both"/>
        <w:rPr>
          <w:rFonts w:ascii="Century" w:hAnsi="Century" w:cs="Arial"/>
          <w:color w:val="000000"/>
          <w:lang w:val="en-GB"/>
        </w:rPr>
      </w:pPr>
      <w:proofErr w:type="spellStart"/>
      <w:r w:rsidRPr="003A6DFC">
        <w:rPr>
          <w:rFonts w:ascii="Century" w:hAnsi="Century" w:cs="Arial"/>
          <w:color w:val="000000"/>
          <w:lang w:val="en-GB"/>
        </w:rPr>
        <w:t>Voicu</w:t>
      </w:r>
      <w:proofErr w:type="spellEnd"/>
      <w:r w:rsidRPr="003A6DFC">
        <w:rPr>
          <w:rFonts w:ascii="Century" w:hAnsi="Century" w:cs="Arial"/>
          <w:color w:val="000000"/>
          <w:lang w:val="en-GB"/>
        </w:rPr>
        <w:t>, B. (2015). Priming effects in measuring life satisfaction. Social Indicators Research, 124, 993-1013.</w:t>
      </w:r>
    </w:p>
    <w:p w14:paraId="21193E4A" w14:textId="75FA2909" w:rsidR="007058FD" w:rsidRPr="003A6DFC" w:rsidRDefault="007058FD"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Wooldridge, M. J.</w:t>
      </w:r>
      <w:r w:rsidR="008A1A51" w:rsidRPr="003A6DFC">
        <w:rPr>
          <w:rFonts w:ascii="Century" w:hAnsi="Century" w:cs="Arial"/>
          <w:color w:val="000000"/>
          <w:lang w:val="en-GB"/>
        </w:rPr>
        <w:t xml:space="preserve"> (2002).</w:t>
      </w:r>
      <w:r w:rsidRPr="003A6DFC">
        <w:rPr>
          <w:rFonts w:ascii="Century" w:hAnsi="Century" w:cs="Arial"/>
          <w:color w:val="000000"/>
          <w:lang w:val="en-GB"/>
        </w:rPr>
        <w:t xml:space="preserve"> Econometric analysis of cross section and panel data. The MIT Press, London.</w:t>
      </w:r>
    </w:p>
    <w:p w14:paraId="1027FE6F" w14:textId="55804C1B" w:rsidR="007058FD" w:rsidRPr="003A6DFC" w:rsidRDefault="007058FD" w:rsidP="00C83A67">
      <w:pPr>
        <w:autoSpaceDE w:val="0"/>
        <w:autoSpaceDN w:val="0"/>
        <w:adjustRightInd w:val="0"/>
        <w:spacing w:after="240" w:line="240" w:lineRule="auto"/>
        <w:jc w:val="both"/>
        <w:rPr>
          <w:rFonts w:ascii="Century" w:hAnsi="Century" w:cs="Arial"/>
          <w:color w:val="000000"/>
          <w:lang w:val="en-GB"/>
        </w:rPr>
      </w:pPr>
      <w:r w:rsidRPr="003A6DFC">
        <w:rPr>
          <w:rFonts w:ascii="Century" w:hAnsi="Century" w:cs="Arial"/>
          <w:color w:val="000000"/>
          <w:lang w:val="en-GB"/>
        </w:rPr>
        <w:t xml:space="preserve">Wooldridge, M. J. (2005). Simple solutions to the initial conditions problem in dynamic, nonlinear panel data models with unobserved heterogeneity. </w:t>
      </w:r>
      <w:r w:rsidRPr="003A6DFC">
        <w:rPr>
          <w:rFonts w:ascii="Century" w:hAnsi="Century" w:cs="Arial"/>
          <w:i/>
          <w:iCs/>
          <w:color w:val="000000"/>
          <w:lang w:val="en-GB"/>
        </w:rPr>
        <w:t>Journal of Applied Econometrics</w:t>
      </w:r>
      <w:r w:rsidRPr="003A6DFC">
        <w:rPr>
          <w:rFonts w:ascii="Century" w:hAnsi="Century" w:cs="Arial"/>
          <w:color w:val="000000"/>
          <w:lang w:val="en-GB"/>
        </w:rPr>
        <w:t>, 20(1), 39-54</w:t>
      </w:r>
      <w:r w:rsidR="008A1A51" w:rsidRPr="003A6DFC">
        <w:rPr>
          <w:rFonts w:ascii="Century" w:hAnsi="Century" w:cs="Arial"/>
          <w:color w:val="000000"/>
          <w:lang w:val="en-GB"/>
        </w:rPr>
        <w:t>.</w:t>
      </w:r>
    </w:p>
    <w:p w14:paraId="15DFA663" w14:textId="77777777" w:rsidR="00582482" w:rsidRPr="003A6DFC" w:rsidRDefault="00F97843" w:rsidP="00F97843">
      <w:pPr>
        <w:spacing w:after="0" w:line="240" w:lineRule="auto"/>
        <w:jc w:val="both"/>
        <w:rPr>
          <w:rFonts w:ascii="Century" w:hAnsi="Century" w:cs="Arial"/>
        </w:rPr>
      </w:pPr>
      <w:proofErr w:type="spellStart"/>
      <w:r w:rsidRPr="003A6DFC">
        <w:rPr>
          <w:rFonts w:ascii="Century" w:hAnsi="Century" w:cs="Arial"/>
        </w:rPr>
        <w:t>Zajacova</w:t>
      </w:r>
      <w:proofErr w:type="spellEnd"/>
      <w:r w:rsidRPr="003A6DFC">
        <w:rPr>
          <w:rFonts w:ascii="Century" w:hAnsi="Century" w:cs="Arial"/>
        </w:rPr>
        <w:t xml:space="preserve">, A., </w:t>
      </w:r>
      <w:proofErr w:type="spellStart"/>
      <w:r w:rsidRPr="003A6DFC">
        <w:rPr>
          <w:rFonts w:ascii="Century" w:hAnsi="Century" w:cs="Arial"/>
        </w:rPr>
        <w:t>Huzurbazar</w:t>
      </w:r>
      <w:proofErr w:type="spellEnd"/>
      <w:r w:rsidRPr="003A6DFC">
        <w:rPr>
          <w:rFonts w:ascii="Century" w:hAnsi="Century" w:cs="Arial"/>
        </w:rPr>
        <w:t xml:space="preserve">, S., Todd, M. (2017). Gender and the structure of self-rated health across the adult life span. </w:t>
      </w:r>
      <w:r w:rsidRPr="003A6DFC">
        <w:rPr>
          <w:rFonts w:ascii="Century" w:hAnsi="Century" w:cs="Arial"/>
          <w:i/>
          <w:iCs/>
          <w:color w:val="222222"/>
          <w:shd w:val="clear" w:color="auto" w:fill="FFFFFF"/>
        </w:rPr>
        <w:t>Social Science &amp; Medicine</w:t>
      </w:r>
      <w:r w:rsidRPr="003A6DFC">
        <w:rPr>
          <w:rFonts w:ascii="Century" w:hAnsi="Century" w:cs="Arial"/>
        </w:rPr>
        <w:t>, 187, 58-66.</w:t>
      </w:r>
    </w:p>
    <w:p w14:paraId="306D86C6" w14:textId="77777777" w:rsidR="00582482" w:rsidRPr="003A6DFC" w:rsidRDefault="00582482" w:rsidP="00F97843">
      <w:pPr>
        <w:spacing w:after="0" w:line="240" w:lineRule="auto"/>
        <w:jc w:val="both"/>
        <w:rPr>
          <w:rFonts w:ascii="Century" w:hAnsi="Century" w:cs="Arial"/>
        </w:rPr>
      </w:pPr>
    </w:p>
    <w:p w14:paraId="2D70F68E" w14:textId="3FFEE394" w:rsidR="006510A3" w:rsidRPr="003A6DFC" w:rsidRDefault="002C3067" w:rsidP="00F97843">
      <w:pPr>
        <w:spacing w:after="0" w:line="240" w:lineRule="auto"/>
        <w:jc w:val="both"/>
        <w:rPr>
          <w:rFonts w:ascii="Century" w:hAnsi="Century" w:cs="Arial"/>
        </w:rPr>
      </w:pPr>
      <w:proofErr w:type="spellStart"/>
      <w:r w:rsidRPr="003A6DFC">
        <w:rPr>
          <w:rFonts w:ascii="Century" w:hAnsi="Century" w:cs="Arial"/>
          <w:color w:val="000000"/>
          <w:lang w:val="en-GB"/>
        </w:rPr>
        <w:t>Ziebarth</w:t>
      </w:r>
      <w:proofErr w:type="spellEnd"/>
      <w:r w:rsidRPr="003A6DFC">
        <w:rPr>
          <w:rFonts w:ascii="Century" w:hAnsi="Century" w:cs="Arial"/>
          <w:color w:val="000000"/>
          <w:lang w:val="en-GB"/>
        </w:rPr>
        <w:t xml:space="preserve">, N. (2010). Measurement of health, health inequality, and reporting heterogeneity. </w:t>
      </w:r>
      <w:r w:rsidRPr="003A6DFC">
        <w:rPr>
          <w:rFonts w:ascii="Century" w:hAnsi="Century" w:cs="Arial"/>
          <w:i/>
          <w:iCs/>
          <w:color w:val="000000"/>
          <w:lang w:val="en-GB"/>
        </w:rPr>
        <w:t>Social Science &amp; Medicine</w:t>
      </w:r>
      <w:r w:rsidRPr="003A6DFC">
        <w:rPr>
          <w:rFonts w:ascii="Century" w:hAnsi="Century" w:cs="Arial"/>
          <w:color w:val="000000"/>
          <w:lang w:val="en-GB"/>
        </w:rPr>
        <w:t>, 71(1), 116-124.</w:t>
      </w:r>
    </w:p>
    <w:p w14:paraId="4A10F0E7" w14:textId="2D873E57" w:rsidR="00BB05A9" w:rsidRPr="003A6DFC" w:rsidRDefault="00BB05A9" w:rsidP="00836F23">
      <w:pPr>
        <w:spacing w:after="0" w:line="240" w:lineRule="auto"/>
        <w:rPr>
          <w:rFonts w:ascii="Century" w:hAnsi="Century" w:cs="Arial"/>
          <w:color w:val="000000"/>
          <w:lang w:val="en-GB"/>
        </w:rPr>
      </w:pPr>
    </w:p>
    <w:p w14:paraId="386F548A" w14:textId="5677D386" w:rsidR="00BB05A9" w:rsidRPr="003A6DFC" w:rsidRDefault="00BB05A9" w:rsidP="00836F23">
      <w:pPr>
        <w:spacing w:after="0" w:line="240" w:lineRule="auto"/>
        <w:rPr>
          <w:rFonts w:ascii="Century" w:hAnsi="Century" w:cs="Arial"/>
          <w:color w:val="000000"/>
          <w:lang w:val="en-GB"/>
        </w:rPr>
      </w:pPr>
      <w:r w:rsidRPr="003A6DFC">
        <w:rPr>
          <w:rFonts w:ascii="Century" w:hAnsi="Century" w:cs="Arial"/>
          <w:color w:val="000000"/>
          <w:lang w:val="en-GB"/>
        </w:rPr>
        <w:br w:type="page"/>
      </w:r>
    </w:p>
    <w:p w14:paraId="4DFAA8B3" w14:textId="4C0B629C" w:rsidR="00BB05A9" w:rsidRPr="003A6DFC" w:rsidRDefault="00BB05A9" w:rsidP="00836F23">
      <w:pPr>
        <w:spacing w:after="0" w:line="240" w:lineRule="auto"/>
        <w:rPr>
          <w:rFonts w:ascii="Century" w:hAnsi="Century" w:cs="Times New Roman"/>
          <w:b/>
          <w:sz w:val="36"/>
          <w:szCs w:val="36"/>
        </w:rPr>
      </w:pPr>
      <w:r w:rsidRPr="003A6DFC">
        <w:rPr>
          <w:rFonts w:ascii="Century" w:hAnsi="Century" w:cs="Times New Roman"/>
          <w:b/>
          <w:sz w:val="36"/>
          <w:szCs w:val="36"/>
        </w:rPr>
        <w:lastRenderedPageBreak/>
        <w:t>Online Appendix</w:t>
      </w:r>
    </w:p>
    <w:p w14:paraId="5E610712" w14:textId="77777777" w:rsidR="00A250ED" w:rsidRPr="003A6DFC" w:rsidRDefault="00A250ED" w:rsidP="00836F23">
      <w:pPr>
        <w:spacing w:after="0" w:line="240" w:lineRule="auto"/>
        <w:rPr>
          <w:rFonts w:ascii="Times New Roman" w:hAnsi="Times New Roman" w:cs="Times New Roman"/>
          <w:b/>
          <w:sz w:val="24"/>
          <w:szCs w:val="24"/>
        </w:rPr>
      </w:pPr>
    </w:p>
    <w:p w14:paraId="347B0F0F" w14:textId="77777777" w:rsidR="00A250ED" w:rsidRPr="003A6DFC" w:rsidRDefault="00A250ED" w:rsidP="00836F23">
      <w:pPr>
        <w:spacing w:after="0" w:line="240" w:lineRule="auto"/>
        <w:rPr>
          <w:rFonts w:ascii="Times New Roman" w:hAnsi="Times New Roman" w:cs="Times New Roman"/>
          <w:b/>
          <w:sz w:val="24"/>
          <w:szCs w:val="24"/>
        </w:rPr>
      </w:pPr>
    </w:p>
    <w:tbl>
      <w:tblPr>
        <w:tblW w:w="5000" w:type="pct"/>
        <w:jc w:val="center"/>
        <w:tblCellMar>
          <w:left w:w="70" w:type="dxa"/>
          <w:right w:w="70" w:type="dxa"/>
        </w:tblCellMar>
        <w:tblLook w:val="04A0" w:firstRow="1" w:lastRow="0" w:firstColumn="1" w:lastColumn="0" w:noHBand="0" w:noVBand="1"/>
      </w:tblPr>
      <w:tblGrid>
        <w:gridCol w:w="1215"/>
        <w:gridCol w:w="2228"/>
        <w:gridCol w:w="2019"/>
        <w:gridCol w:w="2018"/>
        <w:gridCol w:w="1546"/>
      </w:tblGrid>
      <w:tr w:rsidR="00A250ED" w:rsidRPr="003A6DFC" w14:paraId="05621446" w14:textId="77777777" w:rsidTr="00A250ED">
        <w:trPr>
          <w:trHeight w:val="70"/>
          <w:jc w:val="center"/>
        </w:trPr>
        <w:tc>
          <w:tcPr>
            <w:tcW w:w="5000" w:type="pct"/>
            <w:gridSpan w:val="5"/>
            <w:tcBorders>
              <w:bottom w:val="single" w:sz="4" w:space="0" w:color="auto"/>
            </w:tcBorders>
            <w:shd w:val="clear" w:color="auto" w:fill="auto"/>
            <w:noWrap/>
            <w:vAlign w:val="center"/>
          </w:tcPr>
          <w:p w14:paraId="4277B4DB" w14:textId="62235762" w:rsidR="00A250ED" w:rsidRPr="003A6DFC" w:rsidRDefault="00A250ED" w:rsidP="00A250ED">
            <w:pPr>
              <w:spacing w:after="0" w:line="240" w:lineRule="auto"/>
              <w:jc w:val="both"/>
              <w:rPr>
                <w:rFonts w:ascii="Century" w:eastAsia="Times New Roman" w:hAnsi="Century" w:cs="Calibri"/>
                <w:b/>
                <w:bCs/>
                <w:sz w:val="20"/>
                <w:szCs w:val="20"/>
                <w:lang w:eastAsia="pt-BR"/>
              </w:rPr>
            </w:pPr>
            <w:r w:rsidRPr="003A6DFC">
              <w:rPr>
                <w:rFonts w:ascii="Century" w:eastAsia="Times New Roman" w:hAnsi="Century" w:cs="Calibri"/>
                <w:b/>
                <w:bCs/>
                <w:color w:val="000000" w:themeColor="text1"/>
                <w:sz w:val="20"/>
                <w:szCs w:val="20"/>
                <w:lang w:eastAsia="pt-BR"/>
              </w:rPr>
              <w:t>Table A1 Distribution of (in)consistent responses to SAH open interview (SAH-OI) and self-completion (SAH-SC) mode</w:t>
            </w:r>
          </w:p>
        </w:tc>
      </w:tr>
      <w:tr w:rsidR="00A250ED" w:rsidRPr="003A6DFC" w14:paraId="55729D23" w14:textId="77777777" w:rsidTr="00A250ED">
        <w:trPr>
          <w:trHeight w:val="299"/>
          <w:jc w:val="center"/>
        </w:trPr>
        <w:tc>
          <w:tcPr>
            <w:tcW w:w="668" w:type="pct"/>
            <w:tcBorders>
              <w:top w:val="single" w:sz="4" w:space="0" w:color="auto"/>
              <w:bottom w:val="single" w:sz="4" w:space="0" w:color="auto"/>
            </w:tcBorders>
            <w:shd w:val="clear" w:color="auto" w:fill="auto"/>
            <w:noWrap/>
            <w:vAlign w:val="center"/>
            <w:hideMark/>
          </w:tcPr>
          <w:p w14:paraId="1EB06553"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Waves</w:t>
            </w:r>
          </w:p>
        </w:tc>
        <w:tc>
          <w:tcPr>
            <w:tcW w:w="1238" w:type="pct"/>
            <w:tcBorders>
              <w:top w:val="single" w:sz="4" w:space="0" w:color="auto"/>
              <w:bottom w:val="single" w:sz="4" w:space="0" w:color="auto"/>
            </w:tcBorders>
            <w:shd w:val="clear" w:color="auto" w:fill="auto"/>
            <w:noWrap/>
            <w:vAlign w:val="center"/>
            <w:hideMark/>
          </w:tcPr>
          <w:p w14:paraId="702BD4DA"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SAH-OI &gt; SAH-SC</w:t>
            </w:r>
          </w:p>
        </w:tc>
        <w:tc>
          <w:tcPr>
            <w:tcW w:w="1120" w:type="pct"/>
            <w:tcBorders>
              <w:top w:val="single" w:sz="4" w:space="0" w:color="auto"/>
              <w:bottom w:val="single" w:sz="4" w:space="0" w:color="auto"/>
            </w:tcBorders>
            <w:shd w:val="clear" w:color="auto" w:fill="auto"/>
            <w:noWrap/>
            <w:vAlign w:val="center"/>
            <w:hideMark/>
          </w:tcPr>
          <w:p w14:paraId="5C9195C5"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SAH-OI = SAH-SC</w:t>
            </w:r>
          </w:p>
        </w:tc>
        <w:tc>
          <w:tcPr>
            <w:tcW w:w="1120" w:type="pct"/>
            <w:tcBorders>
              <w:top w:val="single" w:sz="4" w:space="0" w:color="auto"/>
              <w:bottom w:val="single" w:sz="4" w:space="0" w:color="auto"/>
            </w:tcBorders>
            <w:shd w:val="clear" w:color="auto" w:fill="auto"/>
            <w:noWrap/>
            <w:vAlign w:val="center"/>
            <w:hideMark/>
          </w:tcPr>
          <w:p w14:paraId="582B9A08"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SAH-OI &lt; SAH-SC</w:t>
            </w:r>
          </w:p>
        </w:tc>
        <w:tc>
          <w:tcPr>
            <w:tcW w:w="855" w:type="pct"/>
            <w:tcBorders>
              <w:top w:val="single" w:sz="4" w:space="0" w:color="auto"/>
              <w:bottom w:val="single" w:sz="4" w:space="0" w:color="auto"/>
            </w:tcBorders>
            <w:shd w:val="clear" w:color="auto" w:fill="auto"/>
            <w:noWrap/>
            <w:vAlign w:val="center"/>
            <w:hideMark/>
          </w:tcPr>
          <w:p w14:paraId="1BC0FB3A"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Total</w:t>
            </w:r>
          </w:p>
        </w:tc>
      </w:tr>
      <w:tr w:rsidR="00A250ED" w:rsidRPr="003A6DFC" w14:paraId="5E0144B0" w14:textId="77777777" w:rsidTr="00A250ED">
        <w:trPr>
          <w:trHeight w:val="299"/>
          <w:jc w:val="center"/>
        </w:trPr>
        <w:tc>
          <w:tcPr>
            <w:tcW w:w="668" w:type="pct"/>
            <w:tcBorders>
              <w:top w:val="single" w:sz="4" w:space="0" w:color="auto"/>
            </w:tcBorders>
            <w:shd w:val="clear" w:color="auto" w:fill="auto"/>
            <w:noWrap/>
            <w:vAlign w:val="center"/>
            <w:hideMark/>
          </w:tcPr>
          <w:p w14:paraId="290322FB"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Wave 2</w:t>
            </w:r>
          </w:p>
        </w:tc>
        <w:tc>
          <w:tcPr>
            <w:tcW w:w="1238" w:type="pct"/>
            <w:tcBorders>
              <w:top w:val="single" w:sz="4" w:space="0" w:color="auto"/>
            </w:tcBorders>
            <w:shd w:val="clear" w:color="auto" w:fill="auto"/>
            <w:noWrap/>
            <w:vAlign w:val="center"/>
            <w:hideMark/>
          </w:tcPr>
          <w:p w14:paraId="7861B3CC"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2,297 (10.1%)</w:t>
            </w:r>
          </w:p>
        </w:tc>
        <w:tc>
          <w:tcPr>
            <w:tcW w:w="1120" w:type="pct"/>
            <w:tcBorders>
              <w:top w:val="single" w:sz="4" w:space="0" w:color="auto"/>
            </w:tcBorders>
            <w:shd w:val="clear" w:color="auto" w:fill="auto"/>
            <w:noWrap/>
            <w:vAlign w:val="center"/>
            <w:hideMark/>
          </w:tcPr>
          <w:p w14:paraId="573B974A"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17,307 (76.4%)</w:t>
            </w:r>
          </w:p>
        </w:tc>
        <w:tc>
          <w:tcPr>
            <w:tcW w:w="1120" w:type="pct"/>
            <w:tcBorders>
              <w:top w:val="single" w:sz="4" w:space="0" w:color="auto"/>
            </w:tcBorders>
            <w:shd w:val="clear" w:color="auto" w:fill="auto"/>
            <w:noWrap/>
            <w:vAlign w:val="center"/>
            <w:hideMark/>
          </w:tcPr>
          <w:p w14:paraId="2427C73A"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3,046 (13.5%)</w:t>
            </w:r>
          </w:p>
        </w:tc>
        <w:tc>
          <w:tcPr>
            <w:tcW w:w="855" w:type="pct"/>
            <w:tcBorders>
              <w:top w:val="single" w:sz="4" w:space="0" w:color="auto"/>
            </w:tcBorders>
            <w:shd w:val="clear" w:color="auto" w:fill="auto"/>
            <w:noWrap/>
            <w:vAlign w:val="center"/>
            <w:hideMark/>
          </w:tcPr>
          <w:p w14:paraId="2512D1A4"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22,650 (100%)</w:t>
            </w:r>
          </w:p>
        </w:tc>
      </w:tr>
      <w:tr w:rsidR="00A250ED" w:rsidRPr="003A6DFC" w14:paraId="46CD702E" w14:textId="77777777" w:rsidTr="00A250ED">
        <w:trPr>
          <w:trHeight w:val="299"/>
          <w:jc w:val="center"/>
        </w:trPr>
        <w:tc>
          <w:tcPr>
            <w:tcW w:w="668" w:type="pct"/>
            <w:shd w:val="clear" w:color="auto" w:fill="auto"/>
            <w:noWrap/>
            <w:vAlign w:val="center"/>
            <w:hideMark/>
          </w:tcPr>
          <w:p w14:paraId="71B4F20B"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Wave 3</w:t>
            </w:r>
          </w:p>
        </w:tc>
        <w:tc>
          <w:tcPr>
            <w:tcW w:w="1238" w:type="pct"/>
            <w:shd w:val="clear" w:color="auto" w:fill="auto"/>
            <w:noWrap/>
            <w:vAlign w:val="center"/>
            <w:hideMark/>
          </w:tcPr>
          <w:p w14:paraId="45B69598"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2,937 (13.0%)</w:t>
            </w:r>
          </w:p>
        </w:tc>
        <w:tc>
          <w:tcPr>
            <w:tcW w:w="1120" w:type="pct"/>
            <w:shd w:val="clear" w:color="auto" w:fill="auto"/>
            <w:noWrap/>
            <w:vAlign w:val="center"/>
            <w:hideMark/>
          </w:tcPr>
          <w:p w14:paraId="0895BCF7"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17,569 (77.6%)</w:t>
            </w:r>
          </w:p>
        </w:tc>
        <w:tc>
          <w:tcPr>
            <w:tcW w:w="1120" w:type="pct"/>
            <w:shd w:val="clear" w:color="auto" w:fill="auto"/>
            <w:noWrap/>
            <w:vAlign w:val="center"/>
            <w:hideMark/>
          </w:tcPr>
          <w:p w14:paraId="737F13EA"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2,144 (9.5%)</w:t>
            </w:r>
          </w:p>
        </w:tc>
        <w:tc>
          <w:tcPr>
            <w:tcW w:w="855" w:type="pct"/>
            <w:shd w:val="clear" w:color="auto" w:fill="auto"/>
            <w:noWrap/>
            <w:vAlign w:val="center"/>
            <w:hideMark/>
          </w:tcPr>
          <w:p w14:paraId="6D2BDD15"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22,650 (100%)</w:t>
            </w:r>
          </w:p>
        </w:tc>
      </w:tr>
      <w:tr w:rsidR="00A250ED" w:rsidRPr="003A6DFC" w14:paraId="4074B0BC" w14:textId="77777777" w:rsidTr="00A250ED">
        <w:trPr>
          <w:trHeight w:val="299"/>
          <w:jc w:val="center"/>
        </w:trPr>
        <w:tc>
          <w:tcPr>
            <w:tcW w:w="668" w:type="pct"/>
            <w:shd w:val="clear" w:color="auto" w:fill="auto"/>
            <w:noWrap/>
            <w:vAlign w:val="center"/>
            <w:hideMark/>
          </w:tcPr>
          <w:p w14:paraId="525570CC"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Wave 4</w:t>
            </w:r>
          </w:p>
        </w:tc>
        <w:tc>
          <w:tcPr>
            <w:tcW w:w="1238" w:type="pct"/>
            <w:shd w:val="clear" w:color="auto" w:fill="auto"/>
            <w:noWrap/>
            <w:vAlign w:val="center"/>
            <w:hideMark/>
          </w:tcPr>
          <w:p w14:paraId="32D52504"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3,101 (13.7%)</w:t>
            </w:r>
          </w:p>
        </w:tc>
        <w:tc>
          <w:tcPr>
            <w:tcW w:w="1120" w:type="pct"/>
            <w:shd w:val="clear" w:color="auto" w:fill="auto"/>
            <w:noWrap/>
            <w:vAlign w:val="center"/>
            <w:hideMark/>
          </w:tcPr>
          <w:p w14:paraId="35F9DB4D"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17,964 (79.3%)</w:t>
            </w:r>
          </w:p>
        </w:tc>
        <w:tc>
          <w:tcPr>
            <w:tcW w:w="1120" w:type="pct"/>
            <w:shd w:val="clear" w:color="auto" w:fill="auto"/>
            <w:noWrap/>
            <w:vAlign w:val="center"/>
            <w:hideMark/>
          </w:tcPr>
          <w:p w14:paraId="4D5EF270"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1,585 (7.0%)</w:t>
            </w:r>
          </w:p>
        </w:tc>
        <w:tc>
          <w:tcPr>
            <w:tcW w:w="855" w:type="pct"/>
            <w:shd w:val="clear" w:color="auto" w:fill="auto"/>
            <w:noWrap/>
            <w:vAlign w:val="center"/>
            <w:hideMark/>
          </w:tcPr>
          <w:p w14:paraId="4E8787E1"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22,650 (100%)</w:t>
            </w:r>
          </w:p>
        </w:tc>
      </w:tr>
      <w:tr w:rsidR="00A250ED" w:rsidRPr="003A6DFC" w14:paraId="54207C3F" w14:textId="77777777" w:rsidTr="00A250ED">
        <w:trPr>
          <w:trHeight w:val="299"/>
          <w:jc w:val="center"/>
        </w:trPr>
        <w:tc>
          <w:tcPr>
            <w:tcW w:w="668" w:type="pct"/>
            <w:tcBorders>
              <w:bottom w:val="single" w:sz="4" w:space="0" w:color="auto"/>
            </w:tcBorders>
            <w:shd w:val="clear" w:color="auto" w:fill="auto"/>
            <w:noWrap/>
            <w:vAlign w:val="center"/>
            <w:hideMark/>
          </w:tcPr>
          <w:p w14:paraId="57ACE8A6"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Wave 5</w:t>
            </w:r>
          </w:p>
        </w:tc>
        <w:tc>
          <w:tcPr>
            <w:tcW w:w="1238" w:type="pct"/>
            <w:tcBorders>
              <w:bottom w:val="single" w:sz="4" w:space="0" w:color="auto"/>
            </w:tcBorders>
            <w:shd w:val="clear" w:color="auto" w:fill="auto"/>
            <w:noWrap/>
            <w:vAlign w:val="center"/>
            <w:hideMark/>
          </w:tcPr>
          <w:p w14:paraId="1F6605AB"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2,128 (9.4%)</w:t>
            </w:r>
          </w:p>
        </w:tc>
        <w:tc>
          <w:tcPr>
            <w:tcW w:w="1120" w:type="pct"/>
            <w:tcBorders>
              <w:bottom w:val="single" w:sz="4" w:space="0" w:color="auto"/>
            </w:tcBorders>
            <w:shd w:val="clear" w:color="auto" w:fill="auto"/>
            <w:noWrap/>
            <w:vAlign w:val="center"/>
            <w:hideMark/>
          </w:tcPr>
          <w:p w14:paraId="27F43109"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18,344 (81.0%)</w:t>
            </w:r>
          </w:p>
        </w:tc>
        <w:tc>
          <w:tcPr>
            <w:tcW w:w="1120" w:type="pct"/>
            <w:tcBorders>
              <w:bottom w:val="single" w:sz="4" w:space="0" w:color="auto"/>
            </w:tcBorders>
            <w:shd w:val="clear" w:color="auto" w:fill="auto"/>
            <w:noWrap/>
            <w:vAlign w:val="center"/>
            <w:hideMark/>
          </w:tcPr>
          <w:p w14:paraId="5E09FDC9"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2,178 (9.6%)</w:t>
            </w:r>
          </w:p>
        </w:tc>
        <w:tc>
          <w:tcPr>
            <w:tcW w:w="855" w:type="pct"/>
            <w:tcBorders>
              <w:bottom w:val="single" w:sz="4" w:space="0" w:color="auto"/>
            </w:tcBorders>
            <w:shd w:val="clear" w:color="auto" w:fill="auto"/>
            <w:noWrap/>
            <w:vAlign w:val="center"/>
            <w:hideMark/>
          </w:tcPr>
          <w:p w14:paraId="4059E7DA" w14:textId="77777777" w:rsidR="00A250ED" w:rsidRPr="003A6DFC" w:rsidRDefault="00A250ED" w:rsidP="00C004FF">
            <w:pPr>
              <w:spacing w:after="0" w:line="240" w:lineRule="auto"/>
              <w:jc w:val="center"/>
              <w:rPr>
                <w:rFonts w:ascii="Century" w:eastAsia="Times New Roman" w:hAnsi="Century" w:cs="Calibri"/>
                <w:sz w:val="20"/>
                <w:szCs w:val="20"/>
                <w:lang w:eastAsia="pt-BR"/>
              </w:rPr>
            </w:pPr>
            <w:r w:rsidRPr="003A6DFC">
              <w:rPr>
                <w:rFonts w:ascii="Century" w:eastAsia="Times New Roman" w:hAnsi="Century" w:cs="Calibri"/>
                <w:sz w:val="20"/>
                <w:szCs w:val="20"/>
                <w:lang w:eastAsia="pt-BR"/>
              </w:rPr>
              <w:t>22,650 (100%)</w:t>
            </w:r>
          </w:p>
        </w:tc>
      </w:tr>
      <w:tr w:rsidR="00A250ED" w:rsidRPr="003A6DFC" w14:paraId="7CE8A25F" w14:textId="77777777" w:rsidTr="00A250ED">
        <w:trPr>
          <w:trHeight w:val="299"/>
          <w:jc w:val="center"/>
        </w:trPr>
        <w:tc>
          <w:tcPr>
            <w:tcW w:w="668" w:type="pct"/>
            <w:tcBorders>
              <w:top w:val="single" w:sz="4" w:space="0" w:color="auto"/>
              <w:bottom w:val="single" w:sz="4" w:space="0" w:color="auto"/>
            </w:tcBorders>
            <w:shd w:val="clear" w:color="auto" w:fill="auto"/>
            <w:noWrap/>
            <w:vAlign w:val="center"/>
            <w:hideMark/>
          </w:tcPr>
          <w:p w14:paraId="7D4B65DC"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Total</w:t>
            </w:r>
          </w:p>
        </w:tc>
        <w:tc>
          <w:tcPr>
            <w:tcW w:w="1238" w:type="pct"/>
            <w:tcBorders>
              <w:top w:val="single" w:sz="4" w:space="0" w:color="auto"/>
              <w:bottom w:val="single" w:sz="4" w:space="0" w:color="auto"/>
            </w:tcBorders>
            <w:shd w:val="clear" w:color="auto" w:fill="auto"/>
            <w:noWrap/>
            <w:vAlign w:val="center"/>
            <w:hideMark/>
          </w:tcPr>
          <w:p w14:paraId="508F951E"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10,463 (11.6%)</w:t>
            </w:r>
          </w:p>
        </w:tc>
        <w:tc>
          <w:tcPr>
            <w:tcW w:w="1120" w:type="pct"/>
            <w:tcBorders>
              <w:top w:val="single" w:sz="4" w:space="0" w:color="auto"/>
              <w:bottom w:val="single" w:sz="4" w:space="0" w:color="auto"/>
            </w:tcBorders>
            <w:shd w:val="clear" w:color="auto" w:fill="auto"/>
            <w:noWrap/>
            <w:vAlign w:val="center"/>
            <w:hideMark/>
          </w:tcPr>
          <w:p w14:paraId="2F5884D4"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71,184 (78.6%)</w:t>
            </w:r>
          </w:p>
        </w:tc>
        <w:tc>
          <w:tcPr>
            <w:tcW w:w="1120" w:type="pct"/>
            <w:tcBorders>
              <w:top w:val="single" w:sz="4" w:space="0" w:color="auto"/>
              <w:bottom w:val="single" w:sz="4" w:space="0" w:color="auto"/>
            </w:tcBorders>
            <w:shd w:val="clear" w:color="auto" w:fill="auto"/>
            <w:noWrap/>
            <w:vAlign w:val="center"/>
            <w:hideMark/>
          </w:tcPr>
          <w:p w14:paraId="71EC8630"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8,953 (9.9%)</w:t>
            </w:r>
          </w:p>
        </w:tc>
        <w:tc>
          <w:tcPr>
            <w:tcW w:w="855" w:type="pct"/>
            <w:tcBorders>
              <w:top w:val="single" w:sz="4" w:space="0" w:color="auto"/>
              <w:bottom w:val="single" w:sz="4" w:space="0" w:color="auto"/>
            </w:tcBorders>
            <w:shd w:val="clear" w:color="auto" w:fill="auto"/>
            <w:noWrap/>
            <w:vAlign w:val="center"/>
            <w:hideMark/>
          </w:tcPr>
          <w:p w14:paraId="19E4E317" w14:textId="77777777" w:rsidR="00A250ED" w:rsidRPr="003A6DFC" w:rsidRDefault="00A250ED" w:rsidP="00C004FF">
            <w:pPr>
              <w:spacing w:after="0" w:line="240" w:lineRule="auto"/>
              <w:jc w:val="center"/>
              <w:rPr>
                <w:rFonts w:ascii="Century" w:eastAsia="Times New Roman" w:hAnsi="Century" w:cs="Calibri"/>
                <w:b/>
                <w:bCs/>
                <w:sz w:val="20"/>
                <w:szCs w:val="20"/>
                <w:lang w:eastAsia="pt-BR"/>
              </w:rPr>
            </w:pPr>
            <w:r w:rsidRPr="003A6DFC">
              <w:rPr>
                <w:rFonts w:ascii="Century" w:eastAsia="Times New Roman" w:hAnsi="Century" w:cs="Calibri"/>
                <w:b/>
                <w:bCs/>
                <w:sz w:val="20"/>
                <w:szCs w:val="20"/>
                <w:lang w:eastAsia="pt-BR"/>
              </w:rPr>
              <w:t>90,600 (100%)</w:t>
            </w:r>
          </w:p>
        </w:tc>
      </w:tr>
    </w:tbl>
    <w:p w14:paraId="3FC9D094" w14:textId="77777777" w:rsidR="00A250ED" w:rsidRPr="003A6DFC" w:rsidRDefault="00A250ED" w:rsidP="00836F23">
      <w:pPr>
        <w:spacing w:after="0" w:line="240" w:lineRule="auto"/>
        <w:rPr>
          <w:rFonts w:ascii="Times New Roman" w:hAnsi="Times New Roman" w:cs="Times New Roman"/>
          <w:b/>
          <w:sz w:val="24"/>
          <w:szCs w:val="24"/>
        </w:rPr>
      </w:pPr>
    </w:p>
    <w:p w14:paraId="4461322D" w14:textId="14313BA4" w:rsidR="00A250ED" w:rsidRPr="003A6DFC" w:rsidRDefault="00A250ED" w:rsidP="00836F23">
      <w:pPr>
        <w:spacing w:after="0" w:line="240" w:lineRule="auto"/>
        <w:rPr>
          <w:rFonts w:ascii="Times New Roman" w:hAnsi="Times New Roman" w:cs="Times New Roman"/>
          <w:b/>
          <w:sz w:val="24"/>
          <w:szCs w:val="24"/>
        </w:rPr>
      </w:pPr>
      <w:r w:rsidRPr="003A6DFC">
        <w:rPr>
          <w:rFonts w:ascii="Times New Roman" w:hAnsi="Times New Roman" w:cs="Times New Roman"/>
          <w:b/>
          <w:sz w:val="24"/>
          <w:szCs w:val="24"/>
        </w:rPr>
        <w:br w:type="page"/>
      </w:r>
    </w:p>
    <w:p w14:paraId="2BC749F0" w14:textId="77777777" w:rsidR="00BB05A9" w:rsidRPr="003A6DFC" w:rsidRDefault="00BB05A9" w:rsidP="00836F23">
      <w:pPr>
        <w:spacing w:after="0" w:line="240" w:lineRule="auto"/>
        <w:rPr>
          <w:rFonts w:ascii="Times New Roman" w:hAnsi="Times New Roman" w:cs="Times New Roman"/>
          <w:b/>
          <w:sz w:val="24"/>
          <w:szCs w:val="24"/>
        </w:rPr>
      </w:pPr>
    </w:p>
    <w:tbl>
      <w:tblPr>
        <w:tblW w:w="4721" w:type="pct"/>
        <w:jc w:val="center"/>
        <w:tblLayout w:type="fixed"/>
        <w:tblLook w:val="04A0" w:firstRow="1" w:lastRow="0" w:firstColumn="1" w:lastColumn="0" w:noHBand="0" w:noVBand="1"/>
      </w:tblPr>
      <w:tblGrid>
        <w:gridCol w:w="3968"/>
        <w:gridCol w:w="1415"/>
        <w:gridCol w:w="908"/>
        <w:gridCol w:w="1362"/>
        <w:gridCol w:w="869"/>
      </w:tblGrid>
      <w:tr w:rsidR="00BB05A9" w:rsidRPr="003A6DFC" w14:paraId="096631E0" w14:textId="77777777" w:rsidTr="00DD7A95">
        <w:trPr>
          <w:trHeight w:val="163"/>
          <w:jc w:val="center"/>
        </w:trPr>
        <w:tc>
          <w:tcPr>
            <w:tcW w:w="5000" w:type="pct"/>
            <w:gridSpan w:val="5"/>
            <w:tcBorders>
              <w:left w:val="nil"/>
              <w:right w:val="nil"/>
            </w:tcBorders>
            <w:shd w:val="clear" w:color="auto" w:fill="auto"/>
            <w:noWrap/>
            <w:vAlign w:val="bottom"/>
          </w:tcPr>
          <w:p w14:paraId="2C1DAC42" w14:textId="3BFB9C43" w:rsidR="00BB05A9" w:rsidRPr="003A6DFC" w:rsidRDefault="00BB05A9" w:rsidP="00DD7A95">
            <w:pPr>
              <w:spacing w:after="0" w:line="240" w:lineRule="auto"/>
              <w:jc w:val="both"/>
              <w:rPr>
                <w:rFonts w:ascii="Century" w:eastAsia="Times New Roman" w:hAnsi="Century" w:cs="Times New Roman"/>
                <w:b/>
                <w:bCs/>
                <w:sz w:val="20"/>
                <w:szCs w:val="20"/>
                <w:lang w:val="en-GB" w:eastAsia="en-GB"/>
              </w:rPr>
            </w:pPr>
            <w:r w:rsidRPr="003A6DFC">
              <w:rPr>
                <w:rFonts w:ascii="Century" w:eastAsia="Times New Roman" w:hAnsi="Century" w:cs="Times New Roman"/>
                <w:b/>
                <w:bCs/>
                <w:sz w:val="20"/>
                <w:szCs w:val="20"/>
                <w:lang w:val="en-GB" w:eastAsia="en-GB"/>
              </w:rPr>
              <w:t>Table A</w:t>
            </w:r>
            <w:r w:rsidR="00F84C8D" w:rsidRPr="003A6DFC">
              <w:rPr>
                <w:rFonts w:ascii="Century" w:eastAsia="Times New Roman" w:hAnsi="Century" w:cs="Times New Roman"/>
                <w:b/>
                <w:bCs/>
                <w:sz w:val="20"/>
                <w:szCs w:val="20"/>
                <w:lang w:val="en-GB" w:eastAsia="en-GB"/>
              </w:rPr>
              <w:t>2</w:t>
            </w:r>
            <w:r w:rsidRPr="003A6DFC">
              <w:rPr>
                <w:rFonts w:ascii="Century" w:eastAsia="Times New Roman" w:hAnsi="Century" w:cs="Times New Roman"/>
                <w:b/>
                <w:bCs/>
                <w:sz w:val="20"/>
                <w:szCs w:val="20"/>
                <w:lang w:val="en-GB" w:eastAsia="en-GB"/>
              </w:rPr>
              <w:t xml:space="preserve">. Pooled </w:t>
            </w:r>
            <w:proofErr w:type="spellStart"/>
            <w:r w:rsidRPr="003A6DFC">
              <w:rPr>
                <w:rFonts w:ascii="Century" w:eastAsia="Times New Roman" w:hAnsi="Century" w:cs="Times New Roman"/>
                <w:b/>
                <w:bCs/>
                <w:sz w:val="20"/>
                <w:szCs w:val="20"/>
                <w:lang w:val="en-GB" w:eastAsia="en-GB"/>
              </w:rPr>
              <w:t>probit</w:t>
            </w:r>
            <w:proofErr w:type="spellEnd"/>
            <w:r w:rsidRPr="003A6DFC">
              <w:rPr>
                <w:rFonts w:ascii="Century" w:eastAsia="Times New Roman" w:hAnsi="Century" w:cs="Times New Roman"/>
                <w:b/>
                <w:bCs/>
                <w:sz w:val="20"/>
                <w:szCs w:val="20"/>
                <w:lang w:val="en-GB" w:eastAsia="en-GB"/>
              </w:rPr>
              <w:t xml:space="preserve"> model and random effects (RE) </w:t>
            </w:r>
            <w:proofErr w:type="spellStart"/>
            <w:r w:rsidRPr="003A6DFC">
              <w:rPr>
                <w:rFonts w:ascii="Century" w:eastAsia="Times New Roman" w:hAnsi="Century" w:cs="Times New Roman"/>
                <w:b/>
                <w:bCs/>
                <w:sz w:val="20"/>
                <w:szCs w:val="20"/>
                <w:lang w:val="en-GB" w:eastAsia="en-GB"/>
              </w:rPr>
              <w:t>probit</w:t>
            </w:r>
            <w:proofErr w:type="spellEnd"/>
            <w:r w:rsidRPr="003A6DFC">
              <w:rPr>
                <w:rFonts w:ascii="Century" w:eastAsia="Times New Roman" w:hAnsi="Century" w:cs="Times New Roman"/>
                <w:b/>
                <w:bCs/>
                <w:sz w:val="20"/>
                <w:szCs w:val="20"/>
                <w:lang w:val="en-GB" w:eastAsia="en-GB"/>
              </w:rPr>
              <w:t xml:space="preserve"> model for inconsistent responses to SAH questions.</w:t>
            </w:r>
          </w:p>
        </w:tc>
      </w:tr>
      <w:tr w:rsidR="00BB05A9" w:rsidRPr="003A6DFC" w14:paraId="6A136C36" w14:textId="77777777" w:rsidTr="00DD7A95">
        <w:trPr>
          <w:trHeight w:val="163"/>
          <w:jc w:val="center"/>
        </w:trPr>
        <w:tc>
          <w:tcPr>
            <w:tcW w:w="2328" w:type="pct"/>
            <w:vMerge w:val="restart"/>
            <w:tcBorders>
              <w:top w:val="single" w:sz="4" w:space="0" w:color="auto"/>
              <w:left w:val="nil"/>
              <w:right w:val="nil"/>
            </w:tcBorders>
            <w:shd w:val="clear" w:color="auto" w:fill="auto"/>
            <w:noWrap/>
            <w:vAlign w:val="bottom"/>
          </w:tcPr>
          <w:p w14:paraId="3094264F" w14:textId="77777777" w:rsidR="00BB05A9" w:rsidRPr="003A6DFC" w:rsidRDefault="00BB05A9" w:rsidP="00DD7A95">
            <w:pPr>
              <w:spacing w:after="0" w:line="240" w:lineRule="auto"/>
              <w:rPr>
                <w:rFonts w:ascii="Century" w:eastAsia="Times New Roman" w:hAnsi="Century" w:cs="Times New Roman"/>
                <w:sz w:val="18"/>
                <w:szCs w:val="18"/>
                <w:lang w:val="en-GB" w:eastAsia="en-GB"/>
              </w:rPr>
            </w:pPr>
            <w:r w:rsidRPr="003A6DFC">
              <w:rPr>
                <w:rFonts w:ascii="Century" w:eastAsia="Times New Roman" w:hAnsi="Century" w:cs="Times New Roman"/>
                <w:b/>
                <w:bCs/>
                <w:sz w:val="18"/>
                <w:szCs w:val="18"/>
                <w:lang w:val="en-GB" w:eastAsia="en-GB"/>
              </w:rPr>
              <w:t>Covariates</w:t>
            </w:r>
          </w:p>
        </w:tc>
        <w:tc>
          <w:tcPr>
            <w:tcW w:w="1363" w:type="pct"/>
            <w:gridSpan w:val="2"/>
            <w:tcBorders>
              <w:top w:val="single" w:sz="4" w:space="0" w:color="auto"/>
              <w:left w:val="nil"/>
              <w:bottom w:val="single" w:sz="4" w:space="0" w:color="auto"/>
              <w:right w:val="nil"/>
            </w:tcBorders>
            <w:shd w:val="clear" w:color="auto" w:fill="auto"/>
            <w:noWrap/>
            <w:vAlign w:val="bottom"/>
          </w:tcPr>
          <w:p w14:paraId="3E8E6690" w14:textId="77777777" w:rsidR="00BB05A9" w:rsidRPr="003A6DFC" w:rsidRDefault="00BB05A9" w:rsidP="00DD7A95">
            <w:pPr>
              <w:spacing w:after="0" w:line="240" w:lineRule="auto"/>
              <w:jc w:val="center"/>
              <w:rPr>
                <w:rFonts w:ascii="Century" w:eastAsia="Times New Roman" w:hAnsi="Century" w:cs="Times New Roman"/>
                <w:b/>
                <w:bCs/>
                <w:sz w:val="18"/>
                <w:szCs w:val="18"/>
                <w:lang w:val="en-GB" w:eastAsia="en-GB"/>
              </w:rPr>
            </w:pPr>
            <w:r w:rsidRPr="003A6DFC">
              <w:rPr>
                <w:rFonts w:ascii="Century" w:eastAsia="Times New Roman" w:hAnsi="Century" w:cs="Times New Roman"/>
                <w:b/>
                <w:bCs/>
                <w:sz w:val="18"/>
                <w:szCs w:val="18"/>
                <w:lang w:val="en-GB" w:eastAsia="en-GB"/>
              </w:rPr>
              <w:t xml:space="preserve">Pooled </w:t>
            </w:r>
            <w:proofErr w:type="spellStart"/>
            <w:r w:rsidRPr="003A6DFC">
              <w:rPr>
                <w:rFonts w:ascii="Century" w:eastAsia="Times New Roman" w:hAnsi="Century" w:cs="Times New Roman"/>
                <w:b/>
                <w:bCs/>
                <w:sz w:val="18"/>
                <w:szCs w:val="18"/>
                <w:lang w:val="en-GB" w:eastAsia="en-GB"/>
              </w:rPr>
              <w:t>probit</w:t>
            </w:r>
            <w:proofErr w:type="spellEnd"/>
          </w:p>
        </w:tc>
        <w:tc>
          <w:tcPr>
            <w:tcW w:w="1309" w:type="pct"/>
            <w:gridSpan w:val="2"/>
            <w:tcBorders>
              <w:top w:val="single" w:sz="4" w:space="0" w:color="auto"/>
              <w:left w:val="nil"/>
              <w:bottom w:val="single" w:sz="4" w:space="0" w:color="auto"/>
              <w:right w:val="nil"/>
            </w:tcBorders>
            <w:shd w:val="clear" w:color="auto" w:fill="auto"/>
            <w:noWrap/>
            <w:vAlign w:val="bottom"/>
          </w:tcPr>
          <w:p w14:paraId="78016F30" w14:textId="77777777" w:rsidR="00BB05A9" w:rsidRPr="003A6DFC" w:rsidRDefault="00BB05A9" w:rsidP="00DD7A95">
            <w:pPr>
              <w:spacing w:after="0" w:line="240" w:lineRule="auto"/>
              <w:jc w:val="center"/>
              <w:rPr>
                <w:rFonts w:ascii="Century" w:eastAsia="Times New Roman" w:hAnsi="Century" w:cs="Times New Roman"/>
                <w:b/>
                <w:bCs/>
                <w:sz w:val="18"/>
                <w:szCs w:val="18"/>
                <w:lang w:val="en-GB" w:eastAsia="en-GB"/>
              </w:rPr>
            </w:pPr>
            <w:r w:rsidRPr="003A6DFC">
              <w:rPr>
                <w:rFonts w:ascii="Century" w:eastAsia="Times New Roman" w:hAnsi="Century" w:cs="Times New Roman"/>
                <w:b/>
                <w:bCs/>
                <w:sz w:val="18"/>
                <w:szCs w:val="18"/>
                <w:lang w:val="en-GB" w:eastAsia="en-GB"/>
              </w:rPr>
              <w:t xml:space="preserve">Random Effects </w:t>
            </w:r>
            <w:proofErr w:type="spellStart"/>
            <w:r w:rsidRPr="003A6DFC">
              <w:rPr>
                <w:rFonts w:ascii="Century" w:eastAsia="Times New Roman" w:hAnsi="Century" w:cs="Times New Roman"/>
                <w:b/>
                <w:bCs/>
                <w:sz w:val="18"/>
                <w:szCs w:val="18"/>
                <w:lang w:val="en-GB" w:eastAsia="en-GB"/>
              </w:rPr>
              <w:t>probit</w:t>
            </w:r>
            <w:proofErr w:type="spellEnd"/>
          </w:p>
        </w:tc>
      </w:tr>
      <w:tr w:rsidR="00BB05A9" w:rsidRPr="003A6DFC" w14:paraId="08ADCCE5" w14:textId="77777777" w:rsidTr="00DD7A95">
        <w:trPr>
          <w:trHeight w:val="163"/>
          <w:jc w:val="center"/>
        </w:trPr>
        <w:tc>
          <w:tcPr>
            <w:tcW w:w="2328" w:type="pct"/>
            <w:vMerge/>
            <w:tcBorders>
              <w:left w:val="nil"/>
              <w:bottom w:val="single" w:sz="4" w:space="0" w:color="auto"/>
              <w:right w:val="nil"/>
            </w:tcBorders>
            <w:shd w:val="clear" w:color="auto" w:fill="auto"/>
            <w:noWrap/>
            <w:vAlign w:val="bottom"/>
            <w:hideMark/>
          </w:tcPr>
          <w:p w14:paraId="062B437D" w14:textId="77777777" w:rsidR="00BB05A9" w:rsidRPr="003A6DFC" w:rsidRDefault="00BB05A9" w:rsidP="00DD7A95">
            <w:pPr>
              <w:spacing w:after="0" w:line="240" w:lineRule="auto"/>
              <w:rPr>
                <w:rFonts w:ascii="Century" w:eastAsia="Times New Roman" w:hAnsi="Century" w:cs="Times New Roman"/>
                <w:b/>
                <w:bCs/>
                <w:sz w:val="18"/>
                <w:szCs w:val="18"/>
                <w:lang w:val="en-GB" w:eastAsia="en-GB"/>
              </w:rPr>
            </w:pPr>
          </w:p>
        </w:tc>
        <w:tc>
          <w:tcPr>
            <w:tcW w:w="830" w:type="pct"/>
            <w:tcBorders>
              <w:top w:val="single" w:sz="4" w:space="0" w:color="auto"/>
              <w:left w:val="nil"/>
              <w:bottom w:val="single" w:sz="4" w:space="0" w:color="auto"/>
              <w:right w:val="nil"/>
            </w:tcBorders>
            <w:shd w:val="clear" w:color="auto" w:fill="auto"/>
            <w:noWrap/>
            <w:vAlign w:val="bottom"/>
            <w:hideMark/>
          </w:tcPr>
          <w:p w14:paraId="44C8CD27" w14:textId="77777777" w:rsidR="00BB05A9" w:rsidRPr="003A6DFC" w:rsidRDefault="00BB05A9" w:rsidP="00DD7A95">
            <w:pPr>
              <w:spacing w:after="0" w:line="240" w:lineRule="auto"/>
              <w:jc w:val="center"/>
              <w:rPr>
                <w:rFonts w:ascii="Century" w:eastAsia="Times New Roman" w:hAnsi="Century" w:cs="Times New Roman"/>
                <w:b/>
                <w:bCs/>
                <w:sz w:val="18"/>
                <w:szCs w:val="18"/>
                <w:lang w:val="en-GB" w:eastAsia="en-GB"/>
              </w:rPr>
            </w:pPr>
            <w:r w:rsidRPr="003A6DFC">
              <w:rPr>
                <w:rFonts w:ascii="Century" w:eastAsia="Times New Roman" w:hAnsi="Century" w:cs="Times New Roman"/>
                <w:b/>
                <w:bCs/>
                <w:sz w:val="18"/>
                <w:szCs w:val="18"/>
                <w:lang w:val="en-GB" w:eastAsia="en-GB"/>
              </w:rPr>
              <w:t>Coeff.</w:t>
            </w:r>
          </w:p>
        </w:tc>
        <w:tc>
          <w:tcPr>
            <w:tcW w:w="533" w:type="pct"/>
            <w:tcBorders>
              <w:top w:val="single" w:sz="4" w:space="0" w:color="auto"/>
              <w:left w:val="nil"/>
              <w:bottom w:val="single" w:sz="4" w:space="0" w:color="auto"/>
              <w:right w:val="nil"/>
            </w:tcBorders>
            <w:shd w:val="clear" w:color="auto" w:fill="auto"/>
            <w:noWrap/>
            <w:vAlign w:val="bottom"/>
            <w:hideMark/>
          </w:tcPr>
          <w:p w14:paraId="66733A97" w14:textId="77777777" w:rsidR="00BB05A9" w:rsidRPr="003A6DFC" w:rsidRDefault="00BB05A9" w:rsidP="00DD7A95">
            <w:pPr>
              <w:spacing w:after="0" w:line="240" w:lineRule="auto"/>
              <w:jc w:val="center"/>
              <w:rPr>
                <w:rFonts w:ascii="Century" w:eastAsia="Times New Roman" w:hAnsi="Century" w:cs="Times New Roman"/>
                <w:b/>
                <w:bCs/>
                <w:sz w:val="18"/>
                <w:szCs w:val="18"/>
                <w:lang w:val="en-GB" w:eastAsia="en-GB"/>
              </w:rPr>
            </w:pPr>
            <w:r w:rsidRPr="003A6DFC">
              <w:rPr>
                <w:rFonts w:ascii="Century" w:eastAsia="Times New Roman" w:hAnsi="Century" w:cs="Times New Roman"/>
                <w:b/>
                <w:bCs/>
                <w:sz w:val="18"/>
                <w:szCs w:val="18"/>
                <w:lang w:val="en-GB" w:eastAsia="en-GB"/>
              </w:rPr>
              <w:t>SE</w:t>
            </w:r>
          </w:p>
        </w:tc>
        <w:tc>
          <w:tcPr>
            <w:tcW w:w="799" w:type="pct"/>
            <w:tcBorders>
              <w:top w:val="single" w:sz="4" w:space="0" w:color="auto"/>
              <w:left w:val="nil"/>
              <w:bottom w:val="single" w:sz="4" w:space="0" w:color="auto"/>
              <w:right w:val="nil"/>
            </w:tcBorders>
            <w:shd w:val="clear" w:color="auto" w:fill="auto"/>
            <w:noWrap/>
            <w:vAlign w:val="bottom"/>
            <w:hideMark/>
          </w:tcPr>
          <w:p w14:paraId="6D9BA27F" w14:textId="77777777" w:rsidR="00BB05A9" w:rsidRPr="003A6DFC" w:rsidRDefault="00BB05A9" w:rsidP="00DD7A95">
            <w:pPr>
              <w:spacing w:after="0" w:line="240" w:lineRule="auto"/>
              <w:jc w:val="center"/>
              <w:rPr>
                <w:rFonts w:ascii="Century" w:eastAsia="Times New Roman" w:hAnsi="Century" w:cs="Times New Roman"/>
                <w:b/>
                <w:bCs/>
                <w:sz w:val="18"/>
                <w:szCs w:val="18"/>
                <w:lang w:val="en-GB" w:eastAsia="en-GB"/>
              </w:rPr>
            </w:pPr>
            <w:r w:rsidRPr="003A6DFC">
              <w:rPr>
                <w:rFonts w:ascii="Century" w:eastAsia="Times New Roman" w:hAnsi="Century" w:cs="Times New Roman"/>
                <w:b/>
                <w:bCs/>
                <w:sz w:val="18"/>
                <w:szCs w:val="18"/>
                <w:lang w:val="en-GB" w:eastAsia="en-GB"/>
              </w:rPr>
              <w:t>Coeff.</w:t>
            </w:r>
          </w:p>
        </w:tc>
        <w:tc>
          <w:tcPr>
            <w:tcW w:w="510" w:type="pct"/>
            <w:tcBorders>
              <w:top w:val="single" w:sz="4" w:space="0" w:color="auto"/>
              <w:left w:val="nil"/>
              <w:bottom w:val="single" w:sz="4" w:space="0" w:color="auto"/>
              <w:right w:val="nil"/>
            </w:tcBorders>
            <w:shd w:val="clear" w:color="auto" w:fill="auto"/>
            <w:noWrap/>
            <w:vAlign w:val="bottom"/>
            <w:hideMark/>
          </w:tcPr>
          <w:p w14:paraId="06B5D4B5" w14:textId="77777777" w:rsidR="00BB05A9" w:rsidRPr="003A6DFC" w:rsidRDefault="00BB05A9" w:rsidP="00DD7A95">
            <w:pPr>
              <w:spacing w:after="0" w:line="240" w:lineRule="auto"/>
              <w:jc w:val="center"/>
              <w:rPr>
                <w:rFonts w:ascii="Century" w:eastAsia="Times New Roman" w:hAnsi="Century" w:cs="Times New Roman"/>
                <w:b/>
                <w:bCs/>
                <w:sz w:val="18"/>
                <w:szCs w:val="18"/>
                <w:lang w:val="en-GB" w:eastAsia="en-GB"/>
              </w:rPr>
            </w:pPr>
            <w:r w:rsidRPr="003A6DFC">
              <w:rPr>
                <w:rFonts w:ascii="Century" w:eastAsia="Times New Roman" w:hAnsi="Century" w:cs="Times New Roman"/>
                <w:b/>
                <w:bCs/>
                <w:sz w:val="18"/>
                <w:szCs w:val="18"/>
                <w:lang w:val="en-GB" w:eastAsia="en-GB"/>
              </w:rPr>
              <w:t>SE</w:t>
            </w:r>
          </w:p>
        </w:tc>
      </w:tr>
      <w:tr w:rsidR="00BB05A9" w:rsidRPr="003A6DFC" w14:paraId="402467B1" w14:textId="77777777" w:rsidTr="00DD7A95">
        <w:trPr>
          <w:trHeight w:val="163"/>
          <w:jc w:val="center"/>
        </w:trPr>
        <w:tc>
          <w:tcPr>
            <w:tcW w:w="2328" w:type="pct"/>
            <w:tcBorders>
              <w:top w:val="nil"/>
              <w:left w:val="nil"/>
              <w:bottom w:val="nil"/>
              <w:right w:val="nil"/>
            </w:tcBorders>
            <w:shd w:val="clear" w:color="auto" w:fill="auto"/>
            <w:noWrap/>
            <w:vAlign w:val="center"/>
          </w:tcPr>
          <w:p w14:paraId="0E9A15F5"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Male</w:t>
            </w:r>
          </w:p>
        </w:tc>
        <w:tc>
          <w:tcPr>
            <w:tcW w:w="830" w:type="pct"/>
            <w:tcBorders>
              <w:top w:val="nil"/>
              <w:left w:val="nil"/>
              <w:bottom w:val="nil"/>
              <w:right w:val="nil"/>
            </w:tcBorders>
            <w:shd w:val="clear" w:color="auto" w:fill="auto"/>
            <w:noWrap/>
            <w:vAlign w:val="center"/>
          </w:tcPr>
          <w:p w14:paraId="48490449"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0.088***</w:t>
            </w:r>
          </w:p>
        </w:tc>
        <w:tc>
          <w:tcPr>
            <w:tcW w:w="533" w:type="pct"/>
            <w:tcBorders>
              <w:top w:val="nil"/>
              <w:left w:val="nil"/>
              <w:bottom w:val="nil"/>
              <w:right w:val="nil"/>
            </w:tcBorders>
            <w:shd w:val="clear" w:color="auto" w:fill="auto"/>
            <w:noWrap/>
            <w:vAlign w:val="center"/>
          </w:tcPr>
          <w:p w14:paraId="34364BC6"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0.012</w:t>
            </w:r>
          </w:p>
        </w:tc>
        <w:tc>
          <w:tcPr>
            <w:tcW w:w="799" w:type="pct"/>
            <w:tcBorders>
              <w:top w:val="nil"/>
              <w:left w:val="nil"/>
              <w:bottom w:val="nil"/>
              <w:right w:val="nil"/>
            </w:tcBorders>
            <w:shd w:val="clear" w:color="auto" w:fill="auto"/>
            <w:noWrap/>
            <w:vAlign w:val="center"/>
          </w:tcPr>
          <w:p w14:paraId="2205A9F2"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0.095***</w:t>
            </w:r>
          </w:p>
        </w:tc>
        <w:tc>
          <w:tcPr>
            <w:tcW w:w="510" w:type="pct"/>
            <w:tcBorders>
              <w:top w:val="nil"/>
              <w:left w:val="nil"/>
              <w:bottom w:val="nil"/>
              <w:right w:val="nil"/>
            </w:tcBorders>
            <w:shd w:val="clear" w:color="auto" w:fill="auto"/>
            <w:noWrap/>
            <w:vAlign w:val="center"/>
          </w:tcPr>
          <w:p w14:paraId="4E557989"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0.012</w:t>
            </w:r>
          </w:p>
        </w:tc>
      </w:tr>
      <w:tr w:rsidR="00BB05A9" w:rsidRPr="003A6DFC" w14:paraId="634560B2" w14:textId="77777777" w:rsidTr="00DD7A95">
        <w:trPr>
          <w:trHeight w:val="163"/>
          <w:jc w:val="center"/>
        </w:trPr>
        <w:tc>
          <w:tcPr>
            <w:tcW w:w="2328" w:type="pct"/>
            <w:tcBorders>
              <w:top w:val="nil"/>
              <w:left w:val="nil"/>
              <w:bottom w:val="nil"/>
              <w:right w:val="nil"/>
            </w:tcBorders>
            <w:shd w:val="clear" w:color="auto" w:fill="auto"/>
            <w:noWrap/>
            <w:vAlign w:val="center"/>
          </w:tcPr>
          <w:p w14:paraId="4FAAD2DB"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Aged 26-35</w:t>
            </w:r>
          </w:p>
        </w:tc>
        <w:tc>
          <w:tcPr>
            <w:tcW w:w="830" w:type="pct"/>
            <w:tcBorders>
              <w:top w:val="nil"/>
              <w:left w:val="nil"/>
              <w:bottom w:val="nil"/>
              <w:right w:val="nil"/>
            </w:tcBorders>
            <w:shd w:val="clear" w:color="auto" w:fill="auto"/>
            <w:noWrap/>
            <w:vAlign w:val="center"/>
          </w:tcPr>
          <w:p w14:paraId="6768086D"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-0.074***</w:t>
            </w:r>
          </w:p>
        </w:tc>
        <w:tc>
          <w:tcPr>
            <w:tcW w:w="533" w:type="pct"/>
            <w:tcBorders>
              <w:top w:val="nil"/>
              <w:left w:val="nil"/>
              <w:bottom w:val="nil"/>
              <w:right w:val="nil"/>
            </w:tcBorders>
            <w:shd w:val="clear" w:color="auto" w:fill="auto"/>
            <w:noWrap/>
            <w:vAlign w:val="center"/>
          </w:tcPr>
          <w:p w14:paraId="1D183AE1"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0.024</w:t>
            </w:r>
          </w:p>
        </w:tc>
        <w:tc>
          <w:tcPr>
            <w:tcW w:w="799" w:type="pct"/>
            <w:tcBorders>
              <w:top w:val="nil"/>
              <w:left w:val="nil"/>
              <w:bottom w:val="nil"/>
              <w:right w:val="nil"/>
            </w:tcBorders>
            <w:shd w:val="clear" w:color="auto" w:fill="auto"/>
            <w:noWrap/>
            <w:vAlign w:val="center"/>
          </w:tcPr>
          <w:p w14:paraId="45979830"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-0.078***</w:t>
            </w:r>
          </w:p>
        </w:tc>
        <w:tc>
          <w:tcPr>
            <w:tcW w:w="510" w:type="pct"/>
            <w:tcBorders>
              <w:top w:val="nil"/>
              <w:left w:val="nil"/>
              <w:bottom w:val="nil"/>
              <w:right w:val="nil"/>
            </w:tcBorders>
            <w:shd w:val="clear" w:color="auto" w:fill="auto"/>
            <w:noWrap/>
            <w:vAlign w:val="center"/>
          </w:tcPr>
          <w:p w14:paraId="63B64A18"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0.026</w:t>
            </w:r>
          </w:p>
        </w:tc>
      </w:tr>
      <w:tr w:rsidR="00BB05A9" w:rsidRPr="003A6DFC" w14:paraId="7B0B232C" w14:textId="77777777" w:rsidTr="00DD7A95">
        <w:trPr>
          <w:trHeight w:val="163"/>
          <w:jc w:val="center"/>
        </w:trPr>
        <w:tc>
          <w:tcPr>
            <w:tcW w:w="2328" w:type="pct"/>
            <w:tcBorders>
              <w:top w:val="nil"/>
              <w:left w:val="nil"/>
              <w:bottom w:val="nil"/>
              <w:right w:val="nil"/>
            </w:tcBorders>
            <w:shd w:val="clear" w:color="auto" w:fill="auto"/>
            <w:noWrap/>
            <w:vAlign w:val="center"/>
          </w:tcPr>
          <w:p w14:paraId="779B6EAB"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Aged 36-45</w:t>
            </w:r>
          </w:p>
        </w:tc>
        <w:tc>
          <w:tcPr>
            <w:tcW w:w="830" w:type="pct"/>
            <w:tcBorders>
              <w:top w:val="nil"/>
              <w:left w:val="nil"/>
              <w:bottom w:val="nil"/>
              <w:right w:val="nil"/>
            </w:tcBorders>
            <w:shd w:val="clear" w:color="auto" w:fill="auto"/>
            <w:noWrap/>
            <w:vAlign w:val="center"/>
          </w:tcPr>
          <w:p w14:paraId="20F18671"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-0.061**</w:t>
            </w:r>
          </w:p>
        </w:tc>
        <w:tc>
          <w:tcPr>
            <w:tcW w:w="533" w:type="pct"/>
            <w:tcBorders>
              <w:top w:val="nil"/>
              <w:left w:val="nil"/>
              <w:bottom w:val="nil"/>
              <w:right w:val="nil"/>
            </w:tcBorders>
            <w:shd w:val="clear" w:color="auto" w:fill="auto"/>
            <w:noWrap/>
            <w:vAlign w:val="center"/>
          </w:tcPr>
          <w:p w14:paraId="6CBF5B50"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0.025</w:t>
            </w:r>
          </w:p>
        </w:tc>
        <w:tc>
          <w:tcPr>
            <w:tcW w:w="799" w:type="pct"/>
            <w:tcBorders>
              <w:top w:val="nil"/>
              <w:left w:val="nil"/>
              <w:bottom w:val="nil"/>
              <w:right w:val="nil"/>
            </w:tcBorders>
            <w:shd w:val="clear" w:color="auto" w:fill="auto"/>
            <w:noWrap/>
            <w:vAlign w:val="center"/>
          </w:tcPr>
          <w:p w14:paraId="041F0A19"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-0.065**</w:t>
            </w:r>
          </w:p>
        </w:tc>
        <w:tc>
          <w:tcPr>
            <w:tcW w:w="510" w:type="pct"/>
            <w:tcBorders>
              <w:top w:val="nil"/>
              <w:left w:val="nil"/>
              <w:bottom w:val="nil"/>
              <w:right w:val="nil"/>
            </w:tcBorders>
            <w:shd w:val="clear" w:color="auto" w:fill="auto"/>
            <w:noWrap/>
            <w:vAlign w:val="center"/>
          </w:tcPr>
          <w:p w14:paraId="35D30247"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0.026</w:t>
            </w:r>
          </w:p>
        </w:tc>
      </w:tr>
      <w:tr w:rsidR="00BB05A9" w:rsidRPr="003A6DFC" w14:paraId="15155479" w14:textId="77777777" w:rsidTr="00DD7A95">
        <w:trPr>
          <w:trHeight w:val="163"/>
          <w:jc w:val="center"/>
        </w:trPr>
        <w:tc>
          <w:tcPr>
            <w:tcW w:w="2328" w:type="pct"/>
            <w:tcBorders>
              <w:top w:val="nil"/>
              <w:left w:val="nil"/>
              <w:bottom w:val="nil"/>
              <w:right w:val="nil"/>
            </w:tcBorders>
            <w:shd w:val="clear" w:color="auto" w:fill="auto"/>
            <w:noWrap/>
            <w:vAlign w:val="center"/>
          </w:tcPr>
          <w:p w14:paraId="755156D4"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Aged 46-55</w:t>
            </w:r>
          </w:p>
        </w:tc>
        <w:tc>
          <w:tcPr>
            <w:tcW w:w="830" w:type="pct"/>
            <w:tcBorders>
              <w:top w:val="nil"/>
              <w:left w:val="nil"/>
              <w:bottom w:val="nil"/>
              <w:right w:val="nil"/>
            </w:tcBorders>
            <w:shd w:val="clear" w:color="auto" w:fill="auto"/>
            <w:noWrap/>
            <w:vAlign w:val="center"/>
          </w:tcPr>
          <w:p w14:paraId="4C7CE8FE"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-0.007</w:t>
            </w:r>
          </w:p>
        </w:tc>
        <w:tc>
          <w:tcPr>
            <w:tcW w:w="533" w:type="pct"/>
            <w:tcBorders>
              <w:top w:val="nil"/>
              <w:left w:val="nil"/>
              <w:bottom w:val="nil"/>
              <w:right w:val="nil"/>
            </w:tcBorders>
            <w:shd w:val="clear" w:color="auto" w:fill="auto"/>
            <w:noWrap/>
            <w:vAlign w:val="center"/>
          </w:tcPr>
          <w:p w14:paraId="6F033A5A"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0.025</w:t>
            </w:r>
          </w:p>
        </w:tc>
        <w:tc>
          <w:tcPr>
            <w:tcW w:w="799" w:type="pct"/>
            <w:tcBorders>
              <w:top w:val="nil"/>
              <w:left w:val="nil"/>
              <w:bottom w:val="nil"/>
              <w:right w:val="nil"/>
            </w:tcBorders>
            <w:shd w:val="clear" w:color="auto" w:fill="auto"/>
            <w:noWrap/>
            <w:vAlign w:val="center"/>
          </w:tcPr>
          <w:p w14:paraId="69E285FB"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-0.008</w:t>
            </w:r>
          </w:p>
        </w:tc>
        <w:tc>
          <w:tcPr>
            <w:tcW w:w="510" w:type="pct"/>
            <w:tcBorders>
              <w:top w:val="nil"/>
              <w:left w:val="nil"/>
              <w:bottom w:val="nil"/>
              <w:right w:val="nil"/>
            </w:tcBorders>
            <w:shd w:val="clear" w:color="auto" w:fill="auto"/>
            <w:noWrap/>
            <w:vAlign w:val="center"/>
          </w:tcPr>
          <w:p w14:paraId="323ACE9E"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0.026</w:t>
            </w:r>
          </w:p>
        </w:tc>
      </w:tr>
      <w:tr w:rsidR="00BB05A9" w:rsidRPr="003A6DFC" w14:paraId="62DFE121" w14:textId="77777777" w:rsidTr="00DD7A95">
        <w:trPr>
          <w:trHeight w:val="163"/>
          <w:jc w:val="center"/>
        </w:trPr>
        <w:tc>
          <w:tcPr>
            <w:tcW w:w="2328" w:type="pct"/>
            <w:tcBorders>
              <w:top w:val="nil"/>
              <w:left w:val="nil"/>
              <w:bottom w:val="nil"/>
              <w:right w:val="nil"/>
            </w:tcBorders>
            <w:shd w:val="clear" w:color="auto" w:fill="auto"/>
            <w:noWrap/>
            <w:vAlign w:val="center"/>
          </w:tcPr>
          <w:p w14:paraId="6E566DF6"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Aged 56-65</w:t>
            </w:r>
          </w:p>
        </w:tc>
        <w:tc>
          <w:tcPr>
            <w:tcW w:w="830" w:type="pct"/>
            <w:tcBorders>
              <w:top w:val="nil"/>
              <w:left w:val="nil"/>
              <w:bottom w:val="nil"/>
              <w:right w:val="nil"/>
            </w:tcBorders>
            <w:shd w:val="clear" w:color="auto" w:fill="auto"/>
            <w:noWrap/>
            <w:vAlign w:val="center"/>
          </w:tcPr>
          <w:p w14:paraId="04C56591"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-0.063**</w:t>
            </w:r>
          </w:p>
        </w:tc>
        <w:tc>
          <w:tcPr>
            <w:tcW w:w="533" w:type="pct"/>
            <w:tcBorders>
              <w:top w:val="nil"/>
              <w:left w:val="nil"/>
              <w:bottom w:val="nil"/>
              <w:right w:val="nil"/>
            </w:tcBorders>
            <w:shd w:val="clear" w:color="auto" w:fill="auto"/>
            <w:noWrap/>
            <w:vAlign w:val="center"/>
          </w:tcPr>
          <w:p w14:paraId="23D60E12"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0.027</w:t>
            </w:r>
          </w:p>
        </w:tc>
        <w:tc>
          <w:tcPr>
            <w:tcW w:w="799" w:type="pct"/>
            <w:tcBorders>
              <w:top w:val="nil"/>
              <w:left w:val="nil"/>
              <w:bottom w:val="nil"/>
              <w:right w:val="nil"/>
            </w:tcBorders>
            <w:shd w:val="clear" w:color="auto" w:fill="auto"/>
            <w:noWrap/>
            <w:vAlign w:val="center"/>
          </w:tcPr>
          <w:p w14:paraId="65E68A53"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-0.065**</w:t>
            </w:r>
          </w:p>
        </w:tc>
        <w:tc>
          <w:tcPr>
            <w:tcW w:w="510" w:type="pct"/>
            <w:tcBorders>
              <w:top w:val="nil"/>
              <w:left w:val="nil"/>
              <w:bottom w:val="nil"/>
              <w:right w:val="nil"/>
            </w:tcBorders>
            <w:shd w:val="clear" w:color="auto" w:fill="auto"/>
            <w:noWrap/>
            <w:vAlign w:val="center"/>
          </w:tcPr>
          <w:p w14:paraId="58557E6C"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0.028</w:t>
            </w:r>
          </w:p>
        </w:tc>
      </w:tr>
      <w:tr w:rsidR="00BB05A9" w:rsidRPr="003A6DFC" w14:paraId="43559653" w14:textId="77777777" w:rsidTr="00DD7A95">
        <w:trPr>
          <w:trHeight w:val="163"/>
          <w:jc w:val="center"/>
        </w:trPr>
        <w:tc>
          <w:tcPr>
            <w:tcW w:w="2328" w:type="pct"/>
            <w:tcBorders>
              <w:top w:val="nil"/>
              <w:left w:val="nil"/>
              <w:bottom w:val="nil"/>
              <w:right w:val="nil"/>
            </w:tcBorders>
            <w:shd w:val="clear" w:color="auto" w:fill="auto"/>
            <w:noWrap/>
            <w:vAlign w:val="center"/>
          </w:tcPr>
          <w:p w14:paraId="41CC9E68"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Aged 66-75</w:t>
            </w:r>
          </w:p>
        </w:tc>
        <w:tc>
          <w:tcPr>
            <w:tcW w:w="830" w:type="pct"/>
            <w:tcBorders>
              <w:top w:val="nil"/>
              <w:left w:val="nil"/>
              <w:bottom w:val="nil"/>
              <w:right w:val="nil"/>
            </w:tcBorders>
            <w:shd w:val="clear" w:color="auto" w:fill="auto"/>
            <w:noWrap/>
            <w:vAlign w:val="center"/>
          </w:tcPr>
          <w:p w14:paraId="61E5D971"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-0.019</w:t>
            </w:r>
          </w:p>
        </w:tc>
        <w:tc>
          <w:tcPr>
            <w:tcW w:w="533" w:type="pct"/>
            <w:tcBorders>
              <w:top w:val="nil"/>
              <w:left w:val="nil"/>
              <w:bottom w:val="nil"/>
              <w:right w:val="nil"/>
            </w:tcBorders>
            <w:shd w:val="clear" w:color="auto" w:fill="auto"/>
            <w:noWrap/>
            <w:vAlign w:val="center"/>
          </w:tcPr>
          <w:p w14:paraId="49D39FD6"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0.032</w:t>
            </w:r>
          </w:p>
        </w:tc>
        <w:tc>
          <w:tcPr>
            <w:tcW w:w="799" w:type="pct"/>
            <w:tcBorders>
              <w:top w:val="nil"/>
              <w:left w:val="nil"/>
              <w:bottom w:val="nil"/>
              <w:right w:val="nil"/>
            </w:tcBorders>
            <w:shd w:val="clear" w:color="auto" w:fill="auto"/>
            <w:noWrap/>
            <w:vAlign w:val="center"/>
          </w:tcPr>
          <w:p w14:paraId="56A7C223"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-0.023</w:t>
            </w:r>
          </w:p>
        </w:tc>
        <w:tc>
          <w:tcPr>
            <w:tcW w:w="510" w:type="pct"/>
            <w:tcBorders>
              <w:top w:val="nil"/>
              <w:left w:val="nil"/>
              <w:bottom w:val="nil"/>
              <w:right w:val="nil"/>
            </w:tcBorders>
            <w:shd w:val="clear" w:color="auto" w:fill="auto"/>
            <w:noWrap/>
            <w:vAlign w:val="center"/>
          </w:tcPr>
          <w:p w14:paraId="7CCF9A0B"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0.035</w:t>
            </w:r>
          </w:p>
        </w:tc>
      </w:tr>
      <w:tr w:rsidR="00BB05A9" w:rsidRPr="003A6DFC" w14:paraId="0D1D172E" w14:textId="77777777" w:rsidTr="00DD7A95">
        <w:trPr>
          <w:trHeight w:val="163"/>
          <w:jc w:val="center"/>
        </w:trPr>
        <w:tc>
          <w:tcPr>
            <w:tcW w:w="2328" w:type="pct"/>
            <w:tcBorders>
              <w:top w:val="nil"/>
              <w:left w:val="nil"/>
              <w:bottom w:val="nil"/>
              <w:right w:val="nil"/>
            </w:tcBorders>
            <w:shd w:val="clear" w:color="auto" w:fill="auto"/>
            <w:noWrap/>
            <w:vAlign w:val="center"/>
          </w:tcPr>
          <w:p w14:paraId="4574D195"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Aged 76-85</w:t>
            </w:r>
          </w:p>
        </w:tc>
        <w:tc>
          <w:tcPr>
            <w:tcW w:w="830" w:type="pct"/>
            <w:tcBorders>
              <w:top w:val="nil"/>
              <w:left w:val="nil"/>
              <w:bottom w:val="nil"/>
              <w:right w:val="nil"/>
            </w:tcBorders>
            <w:shd w:val="clear" w:color="auto" w:fill="auto"/>
            <w:noWrap/>
            <w:vAlign w:val="center"/>
          </w:tcPr>
          <w:p w14:paraId="2D991C65"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-0.019</w:t>
            </w:r>
          </w:p>
        </w:tc>
        <w:tc>
          <w:tcPr>
            <w:tcW w:w="533" w:type="pct"/>
            <w:tcBorders>
              <w:top w:val="nil"/>
              <w:left w:val="nil"/>
              <w:bottom w:val="nil"/>
              <w:right w:val="nil"/>
            </w:tcBorders>
            <w:shd w:val="clear" w:color="auto" w:fill="auto"/>
            <w:noWrap/>
            <w:vAlign w:val="center"/>
          </w:tcPr>
          <w:p w14:paraId="65E30B4E"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0.039</w:t>
            </w:r>
          </w:p>
        </w:tc>
        <w:tc>
          <w:tcPr>
            <w:tcW w:w="799" w:type="pct"/>
            <w:tcBorders>
              <w:top w:val="nil"/>
              <w:left w:val="nil"/>
              <w:bottom w:val="nil"/>
              <w:right w:val="nil"/>
            </w:tcBorders>
            <w:shd w:val="clear" w:color="auto" w:fill="auto"/>
            <w:noWrap/>
            <w:vAlign w:val="center"/>
          </w:tcPr>
          <w:p w14:paraId="5235AD84"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-0.022</w:t>
            </w:r>
          </w:p>
        </w:tc>
        <w:tc>
          <w:tcPr>
            <w:tcW w:w="510" w:type="pct"/>
            <w:tcBorders>
              <w:top w:val="nil"/>
              <w:left w:val="nil"/>
              <w:bottom w:val="nil"/>
              <w:right w:val="nil"/>
            </w:tcBorders>
            <w:shd w:val="clear" w:color="auto" w:fill="auto"/>
            <w:noWrap/>
            <w:vAlign w:val="center"/>
          </w:tcPr>
          <w:p w14:paraId="704E764B"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0.041</w:t>
            </w:r>
          </w:p>
        </w:tc>
      </w:tr>
      <w:tr w:rsidR="00BB05A9" w:rsidRPr="003A6DFC" w14:paraId="29E4E37D" w14:textId="77777777" w:rsidTr="00DD7A95">
        <w:trPr>
          <w:trHeight w:val="163"/>
          <w:jc w:val="center"/>
        </w:trPr>
        <w:tc>
          <w:tcPr>
            <w:tcW w:w="2328" w:type="pct"/>
            <w:tcBorders>
              <w:top w:val="nil"/>
              <w:left w:val="nil"/>
              <w:bottom w:val="nil"/>
              <w:right w:val="nil"/>
            </w:tcBorders>
            <w:shd w:val="clear" w:color="auto" w:fill="auto"/>
            <w:noWrap/>
            <w:vAlign w:val="center"/>
          </w:tcPr>
          <w:p w14:paraId="300F03F9"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Aged 86 and older</w:t>
            </w:r>
          </w:p>
        </w:tc>
        <w:tc>
          <w:tcPr>
            <w:tcW w:w="830" w:type="pct"/>
            <w:tcBorders>
              <w:top w:val="nil"/>
              <w:left w:val="nil"/>
              <w:bottom w:val="nil"/>
              <w:right w:val="nil"/>
            </w:tcBorders>
            <w:shd w:val="clear" w:color="auto" w:fill="auto"/>
            <w:noWrap/>
            <w:vAlign w:val="center"/>
          </w:tcPr>
          <w:p w14:paraId="4B182D24"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0.002</w:t>
            </w:r>
          </w:p>
        </w:tc>
        <w:tc>
          <w:tcPr>
            <w:tcW w:w="533" w:type="pct"/>
            <w:tcBorders>
              <w:top w:val="nil"/>
              <w:left w:val="nil"/>
              <w:bottom w:val="nil"/>
              <w:right w:val="nil"/>
            </w:tcBorders>
            <w:shd w:val="clear" w:color="auto" w:fill="auto"/>
            <w:noWrap/>
            <w:vAlign w:val="center"/>
          </w:tcPr>
          <w:p w14:paraId="79889511"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0.065</w:t>
            </w:r>
          </w:p>
        </w:tc>
        <w:tc>
          <w:tcPr>
            <w:tcW w:w="799" w:type="pct"/>
            <w:tcBorders>
              <w:top w:val="nil"/>
              <w:left w:val="nil"/>
              <w:bottom w:val="nil"/>
              <w:right w:val="nil"/>
            </w:tcBorders>
            <w:shd w:val="clear" w:color="auto" w:fill="auto"/>
            <w:noWrap/>
            <w:vAlign w:val="center"/>
          </w:tcPr>
          <w:p w14:paraId="07CBA8F6"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-0.008</w:t>
            </w:r>
          </w:p>
        </w:tc>
        <w:tc>
          <w:tcPr>
            <w:tcW w:w="510" w:type="pct"/>
            <w:tcBorders>
              <w:top w:val="nil"/>
              <w:left w:val="nil"/>
              <w:bottom w:val="nil"/>
              <w:right w:val="nil"/>
            </w:tcBorders>
            <w:shd w:val="clear" w:color="auto" w:fill="auto"/>
            <w:noWrap/>
            <w:vAlign w:val="center"/>
          </w:tcPr>
          <w:p w14:paraId="2B1D9B8B"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0.069</w:t>
            </w:r>
          </w:p>
        </w:tc>
      </w:tr>
      <w:tr w:rsidR="00BB05A9" w:rsidRPr="003A6DFC" w14:paraId="17C2702D" w14:textId="77777777" w:rsidTr="00DD7A95">
        <w:trPr>
          <w:trHeight w:val="163"/>
          <w:jc w:val="center"/>
        </w:trPr>
        <w:tc>
          <w:tcPr>
            <w:tcW w:w="2328" w:type="pct"/>
            <w:tcBorders>
              <w:top w:val="nil"/>
              <w:left w:val="nil"/>
              <w:bottom w:val="nil"/>
              <w:right w:val="nil"/>
            </w:tcBorders>
            <w:shd w:val="clear" w:color="auto" w:fill="auto"/>
            <w:noWrap/>
            <w:vAlign w:val="center"/>
          </w:tcPr>
          <w:p w14:paraId="4CF7EA88"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Other higher qualification</w:t>
            </w:r>
          </w:p>
        </w:tc>
        <w:tc>
          <w:tcPr>
            <w:tcW w:w="830" w:type="pct"/>
            <w:tcBorders>
              <w:top w:val="nil"/>
              <w:left w:val="nil"/>
              <w:bottom w:val="nil"/>
              <w:right w:val="nil"/>
            </w:tcBorders>
            <w:shd w:val="clear" w:color="auto" w:fill="auto"/>
            <w:noWrap/>
            <w:vAlign w:val="center"/>
          </w:tcPr>
          <w:p w14:paraId="5DED3F1E"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0.066***</w:t>
            </w:r>
          </w:p>
        </w:tc>
        <w:tc>
          <w:tcPr>
            <w:tcW w:w="533" w:type="pct"/>
            <w:tcBorders>
              <w:top w:val="nil"/>
              <w:left w:val="nil"/>
              <w:bottom w:val="nil"/>
              <w:right w:val="nil"/>
            </w:tcBorders>
            <w:shd w:val="clear" w:color="auto" w:fill="auto"/>
            <w:noWrap/>
            <w:vAlign w:val="center"/>
          </w:tcPr>
          <w:p w14:paraId="719B4853"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0.018</w:t>
            </w:r>
          </w:p>
        </w:tc>
        <w:tc>
          <w:tcPr>
            <w:tcW w:w="799" w:type="pct"/>
            <w:tcBorders>
              <w:top w:val="nil"/>
              <w:left w:val="nil"/>
              <w:bottom w:val="nil"/>
              <w:right w:val="nil"/>
            </w:tcBorders>
            <w:shd w:val="clear" w:color="auto" w:fill="auto"/>
            <w:noWrap/>
            <w:vAlign w:val="center"/>
          </w:tcPr>
          <w:p w14:paraId="6D327D9A"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0.072***</w:t>
            </w:r>
          </w:p>
        </w:tc>
        <w:tc>
          <w:tcPr>
            <w:tcW w:w="510" w:type="pct"/>
            <w:tcBorders>
              <w:top w:val="nil"/>
              <w:left w:val="nil"/>
              <w:bottom w:val="nil"/>
              <w:right w:val="nil"/>
            </w:tcBorders>
            <w:shd w:val="clear" w:color="auto" w:fill="auto"/>
            <w:noWrap/>
            <w:vAlign w:val="center"/>
          </w:tcPr>
          <w:p w14:paraId="45097B0D"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0.020</w:t>
            </w:r>
          </w:p>
        </w:tc>
      </w:tr>
      <w:tr w:rsidR="00BB05A9" w:rsidRPr="003A6DFC" w14:paraId="5FB401D4" w14:textId="77777777" w:rsidTr="00DD7A95">
        <w:trPr>
          <w:trHeight w:val="163"/>
          <w:jc w:val="center"/>
        </w:trPr>
        <w:tc>
          <w:tcPr>
            <w:tcW w:w="2328" w:type="pct"/>
            <w:tcBorders>
              <w:top w:val="nil"/>
              <w:left w:val="nil"/>
              <w:bottom w:val="nil"/>
              <w:right w:val="nil"/>
            </w:tcBorders>
            <w:shd w:val="clear" w:color="auto" w:fill="auto"/>
            <w:noWrap/>
            <w:vAlign w:val="center"/>
          </w:tcPr>
          <w:p w14:paraId="195628A5"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A-level</w:t>
            </w:r>
          </w:p>
        </w:tc>
        <w:tc>
          <w:tcPr>
            <w:tcW w:w="830" w:type="pct"/>
            <w:tcBorders>
              <w:top w:val="nil"/>
              <w:left w:val="nil"/>
              <w:bottom w:val="nil"/>
              <w:right w:val="nil"/>
            </w:tcBorders>
            <w:shd w:val="clear" w:color="auto" w:fill="auto"/>
            <w:noWrap/>
            <w:vAlign w:val="center"/>
          </w:tcPr>
          <w:p w14:paraId="1962018F"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0.083***</w:t>
            </w:r>
          </w:p>
        </w:tc>
        <w:tc>
          <w:tcPr>
            <w:tcW w:w="533" w:type="pct"/>
            <w:tcBorders>
              <w:top w:val="nil"/>
              <w:left w:val="nil"/>
              <w:bottom w:val="nil"/>
              <w:right w:val="nil"/>
            </w:tcBorders>
            <w:shd w:val="clear" w:color="auto" w:fill="auto"/>
            <w:noWrap/>
            <w:vAlign w:val="center"/>
          </w:tcPr>
          <w:p w14:paraId="5FE28697"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0.016</w:t>
            </w:r>
          </w:p>
        </w:tc>
        <w:tc>
          <w:tcPr>
            <w:tcW w:w="799" w:type="pct"/>
            <w:tcBorders>
              <w:top w:val="nil"/>
              <w:left w:val="nil"/>
              <w:bottom w:val="nil"/>
              <w:right w:val="nil"/>
            </w:tcBorders>
            <w:shd w:val="clear" w:color="auto" w:fill="auto"/>
            <w:noWrap/>
            <w:vAlign w:val="center"/>
          </w:tcPr>
          <w:p w14:paraId="10523F2D"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0.090***</w:t>
            </w:r>
          </w:p>
        </w:tc>
        <w:tc>
          <w:tcPr>
            <w:tcW w:w="510" w:type="pct"/>
            <w:tcBorders>
              <w:top w:val="nil"/>
              <w:left w:val="nil"/>
              <w:bottom w:val="nil"/>
              <w:right w:val="nil"/>
            </w:tcBorders>
            <w:shd w:val="clear" w:color="auto" w:fill="auto"/>
            <w:noWrap/>
            <w:vAlign w:val="center"/>
          </w:tcPr>
          <w:p w14:paraId="3E4E5F8A"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0.017</w:t>
            </w:r>
          </w:p>
        </w:tc>
      </w:tr>
      <w:tr w:rsidR="00BB05A9" w:rsidRPr="003A6DFC" w14:paraId="44CBEEB9" w14:textId="77777777" w:rsidTr="00DD7A95">
        <w:trPr>
          <w:trHeight w:val="163"/>
          <w:jc w:val="center"/>
        </w:trPr>
        <w:tc>
          <w:tcPr>
            <w:tcW w:w="2328" w:type="pct"/>
            <w:tcBorders>
              <w:top w:val="nil"/>
              <w:left w:val="nil"/>
              <w:bottom w:val="nil"/>
              <w:right w:val="nil"/>
            </w:tcBorders>
            <w:shd w:val="clear" w:color="auto" w:fill="auto"/>
            <w:noWrap/>
            <w:vAlign w:val="center"/>
          </w:tcPr>
          <w:p w14:paraId="17B713E9"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GCSE</w:t>
            </w:r>
          </w:p>
        </w:tc>
        <w:tc>
          <w:tcPr>
            <w:tcW w:w="830" w:type="pct"/>
            <w:tcBorders>
              <w:top w:val="nil"/>
              <w:left w:val="nil"/>
              <w:bottom w:val="nil"/>
              <w:right w:val="nil"/>
            </w:tcBorders>
            <w:shd w:val="clear" w:color="auto" w:fill="auto"/>
            <w:noWrap/>
            <w:vAlign w:val="center"/>
          </w:tcPr>
          <w:p w14:paraId="658388B7"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0.136***</w:t>
            </w:r>
          </w:p>
        </w:tc>
        <w:tc>
          <w:tcPr>
            <w:tcW w:w="533" w:type="pct"/>
            <w:tcBorders>
              <w:top w:val="nil"/>
              <w:left w:val="nil"/>
              <w:bottom w:val="nil"/>
              <w:right w:val="nil"/>
            </w:tcBorders>
            <w:shd w:val="clear" w:color="auto" w:fill="auto"/>
            <w:noWrap/>
            <w:vAlign w:val="center"/>
          </w:tcPr>
          <w:p w14:paraId="0220C1BB"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0.017</w:t>
            </w:r>
          </w:p>
        </w:tc>
        <w:tc>
          <w:tcPr>
            <w:tcW w:w="799" w:type="pct"/>
            <w:tcBorders>
              <w:top w:val="nil"/>
              <w:left w:val="nil"/>
              <w:bottom w:val="nil"/>
              <w:right w:val="nil"/>
            </w:tcBorders>
            <w:shd w:val="clear" w:color="auto" w:fill="auto"/>
            <w:noWrap/>
            <w:vAlign w:val="center"/>
          </w:tcPr>
          <w:p w14:paraId="3DB4CFF7"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0.148***</w:t>
            </w:r>
          </w:p>
        </w:tc>
        <w:tc>
          <w:tcPr>
            <w:tcW w:w="510" w:type="pct"/>
            <w:tcBorders>
              <w:top w:val="nil"/>
              <w:left w:val="nil"/>
              <w:bottom w:val="nil"/>
              <w:right w:val="nil"/>
            </w:tcBorders>
            <w:shd w:val="clear" w:color="auto" w:fill="auto"/>
            <w:noWrap/>
            <w:vAlign w:val="center"/>
          </w:tcPr>
          <w:p w14:paraId="5C9B16F0"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0.018</w:t>
            </w:r>
          </w:p>
        </w:tc>
      </w:tr>
      <w:tr w:rsidR="00BB05A9" w:rsidRPr="003A6DFC" w14:paraId="7DDC7143" w14:textId="77777777" w:rsidTr="00DD7A95">
        <w:trPr>
          <w:trHeight w:val="163"/>
          <w:jc w:val="center"/>
        </w:trPr>
        <w:tc>
          <w:tcPr>
            <w:tcW w:w="2328" w:type="pct"/>
            <w:tcBorders>
              <w:top w:val="nil"/>
              <w:left w:val="nil"/>
              <w:bottom w:val="nil"/>
              <w:right w:val="nil"/>
            </w:tcBorders>
            <w:shd w:val="clear" w:color="auto" w:fill="auto"/>
            <w:noWrap/>
            <w:vAlign w:val="center"/>
          </w:tcPr>
          <w:p w14:paraId="5E91FA82"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Other low qualification</w:t>
            </w:r>
          </w:p>
        </w:tc>
        <w:tc>
          <w:tcPr>
            <w:tcW w:w="830" w:type="pct"/>
            <w:tcBorders>
              <w:top w:val="nil"/>
              <w:left w:val="nil"/>
              <w:bottom w:val="nil"/>
              <w:right w:val="nil"/>
            </w:tcBorders>
            <w:shd w:val="clear" w:color="auto" w:fill="auto"/>
            <w:noWrap/>
            <w:vAlign w:val="center"/>
          </w:tcPr>
          <w:p w14:paraId="21443C1F"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0.123***</w:t>
            </w:r>
          </w:p>
        </w:tc>
        <w:tc>
          <w:tcPr>
            <w:tcW w:w="533" w:type="pct"/>
            <w:tcBorders>
              <w:top w:val="nil"/>
              <w:left w:val="nil"/>
              <w:bottom w:val="nil"/>
              <w:right w:val="nil"/>
            </w:tcBorders>
            <w:shd w:val="clear" w:color="auto" w:fill="auto"/>
            <w:noWrap/>
            <w:vAlign w:val="center"/>
          </w:tcPr>
          <w:p w14:paraId="51C34482"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0.021</w:t>
            </w:r>
          </w:p>
        </w:tc>
        <w:tc>
          <w:tcPr>
            <w:tcW w:w="799" w:type="pct"/>
            <w:tcBorders>
              <w:top w:val="nil"/>
              <w:left w:val="nil"/>
              <w:bottom w:val="nil"/>
              <w:right w:val="nil"/>
            </w:tcBorders>
            <w:shd w:val="clear" w:color="auto" w:fill="auto"/>
            <w:noWrap/>
            <w:vAlign w:val="center"/>
          </w:tcPr>
          <w:p w14:paraId="4B28017F"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0.135***</w:t>
            </w:r>
          </w:p>
        </w:tc>
        <w:tc>
          <w:tcPr>
            <w:tcW w:w="510" w:type="pct"/>
            <w:tcBorders>
              <w:top w:val="nil"/>
              <w:left w:val="nil"/>
              <w:bottom w:val="nil"/>
              <w:right w:val="nil"/>
            </w:tcBorders>
            <w:shd w:val="clear" w:color="auto" w:fill="auto"/>
            <w:noWrap/>
            <w:vAlign w:val="center"/>
          </w:tcPr>
          <w:p w14:paraId="58CE4FE9"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0.022</w:t>
            </w:r>
          </w:p>
        </w:tc>
      </w:tr>
      <w:tr w:rsidR="00BB05A9" w:rsidRPr="003A6DFC" w14:paraId="19C1FDE8" w14:textId="77777777" w:rsidTr="00DD7A95">
        <w:trPr>
          <w:trHeight w:val="163"/>
          <w:jc w:val="center"/>
        </w:trPr>
        <w:tc>
          <w:tcPr>
            <w:tcW w:w="2328" w:type="pct"/>
            <w:tcBorders>
              <w:top w:val="nil"/>
              <w:left w:val="nil"/>
              <w:right w:val="nil"/>
            </w:tcBorders>
            <w:shd w:val="clear" w:color="auto" w:fill="auto"/>
            <w:noWrap/>
            <w:vAlign w:val="center"/>
          </w:tcPr>
          <w:p w14:paraId="0CF20C75"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No qualification</w:t>
            </w:r>
          </w:p>
        </w:tc>
        <w:tc>
          <w:tcPr>
            <w:tcW w:w="830" w:type="pct"/>
            <w:tcBorders>
              <w:top w:val="nil"/>
              <w:left w:val="nil"/>
              <w:right w:val="nil"/>
            </w:tcBorders>
            <w:shd w:val="clear" w:color="auto" w:fill="auto"/>
            <w:noWrap/>
            <w:vAlign w:val="center"/>
          </w:tcPr>
          <w:p w14:paraId="3CD49462"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0.116***</w:t>
            </w:r>
          </w:p>
        </w:tc>
        <w:tc>
          <w:tcPr>
            <w:tcW w:w="533" w:type="pct"/>
            <w:tcBorders>
              <w:top w:val="nil"/>
              <w:left w:val="nil"/>
              <w:right w:val="nil"/>
            </w:tcBorders>
            <w:shd w:val="clear" w:color="auto" w:fill="auto"/>
            <w:noWrap/>
            <w:vAlign w:val="center"/>
          </w:tcPr>
          <w:p w14:paraId="424D5010"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0.023</w:t>
            </w:r>
          </w:p>
        </w:tc>
        <w:tc>
          <w:tcPr>
            <w:tcW w:w="799" w:type="pct"/>
            <w:tcBorders>
              <w:top w:val="nil"/>
              <w:left w:val="nil"/>
              <w:right w:val="nil"/>
            </w:tcBorders>
            <w:shd w:val="clear" w:color="auto" w:fill="auto"/>
            <w:noWrap/>
            <w:vAlign w:val="center"/>
          </w:tcPr>
          <w:p w14:paraId="2B055533"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0.125***</w:t>
            </w:r>
          </w:p>
        </w:tc>
        <w:tc>
          <w:tcPr>
            <w:tcW w:w="510" w:type="pct"/>
            <w:tcBorders>
              <w:top w:val="nil"/>
              <w:left w:val="nil"/>
              <w:right w:val="nil"/>
            </w:tcBorders>
            <w:shd w:val="clear" w:color="auto" w:fill="auto"/>
            <w:noWrap/>
            <w:vAlign w:val="center"/>
          </w:tcPr>
          <w:p w14:paraId="06A241C6"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0.024</w:t>
            </w:r>
          </w:p>
        </w:tc>
      </w:tr>
      <w:tr w:rsidR="00BB05A9" w:rsidRPr="003A6DFC" w14:paraId="6C80317D" w14:textId="77777777" w:rsidTr="00DD7A95">
        <w:trPr>
          <w:trHeight w:val="163"/>
          <w:jc w:val="center"/>
        </w:trPr>
        <w:tc>
          <w:tcPr>
            <w:tcW w:w="2328" w:type="pct"/>
            <w:tcBorders>
              <w:top w:val="nil"/>
              <w:left w:val="nil"/>
              <w:bottom w:val="nil"/>
              <w:right w:val="nil"/>
            </w:tcBorders>
            <w:shd w:val="clear" w:color="auto" w:fill="auto"/>
            <w:noWrap/>
            <w:vAlign w:val="center"/>
          </w:tcPr>
          <w:p w14:paraId="423670DE"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Log of the HH income</w:t>
            </w:r>
          </w:p>
        </w:tc>
        <w:tc>
          <w:tcPr>
            <w:tcW w:w="830" w:type="pct"/>
            <w:tcBorders>
              <w:top w:val="nil"/>
              <w:left w:val="nil"/>
              <w:bottom w:val="nil"/>
              <w:right w:val="nil"/>
            </w:tcBorders>
            <w:shd w:val="clear" w:color="auto" w:fill="auto"/>
            <w:noWrap/>
            <w:vAlign w:val="center"/>
          </w:tcPr>
          <w:p w14:paraId="3D94C858"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-0.047***</w:t>
            </w:r>
          </w:p>
        </w:tc>
        <w:tc>
          <w:tcPr>
            <w:tcW w:w="533" w:type="pct"/>
            <w:tcBorders>
              <w:top w:val="nil"/>
              <w:left w:val="nil"/>
              <w:bottom w:val="nil"/>
              <w:right w:val="nil"/>
            </w:tcBorders>
            <w:shd w:val="clear" w:color="auto" w:fill="auto"/>
            <w:noWrap/>
            <w:vAlign w:val="center"/>
          </w:tcPr>
          <w:p w14:paraId="0FD6ADB1"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0.012</w:t>
            </w:r>
          </w:p>
        </w:tc>
        <w:tc>
          <w:tcPr>
            <w:tcW w:w="799" w:type="pct"/>
            <w:tcBorders>
              <w:top w:val="nil"/>
              <w:left w:val="nil"/>
              <w:bottom w:val="nil"/>
              <w:right w:val="nil"/>
            </w:tcBorders>
            <w:shd w:val="clear" w:color="auto" w:fill="auto"/>
            <w:noWrap/>
            <w:vAlign w:val="center"/>
          </w:tcPr>
          <w:p w14:paraId="39D20AFC"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-0.045***</w:t>
            </w:r>
          </w:p>
        </w:tc>
        <w:tc>
          <w:tcPr>
            <w:tcW w:w="510" w:type="pct"/>
            <w:tcBorders>
              <w:top w:val="nil"/>
              <w:left w:val="nil"/>
              <w:bottom w:val="nil"/>
              <w:right w:val="nil"/>
            </w:tcBorders>
            <w:shd w:val="clear" w:color="auto" w:fill="auto"/>
            <w:noWrap/>
            <w:vAlign w:val="center"/>
          </w:tcPr>
          <w:p w14:paraId="49FC3B6A"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0.013</w:t>
            </w:r>
          </w:p>
        </w:tc>
      </w:tr>
      <w:tr w:rsidR="00BB05A9" w:rsidRPr="003A6DFC" w14:paraId="4572209A" w14:textId="77777777" w:rsidTr="00DD7A95">
        <w:trPr>
          <w:trHeight w:val="163"/>
          <w:jc w:val="center"/>
        </w:trPr>
        <w:tc>
          <w:tcPr>
            <w:tcW w:w="2328" w:type="pct"/>
            <w:tcBorders>
              <w:left w:val="nil"/>
              <w:bottom w:val="nil"/>
              <w:right w:val="nil"/>
            </w:tcBorders>
            <w:shd w:val="clear" w:color="auto" w:fill="auto"/>
            <w:noWrap/>
            <w:vAlign w:val="center"/>
          </w:tcPr>
          <w:p w14:paraId="0CF77C67"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Unemployed</w:t>
            </w:r>
          </w:p>
        </w:tc>
        <w:tc>
          <w:tcPr>
            <w:tcW w:w="830" w:type="pct"/>
            <w:tcBorders>
              <w:left w:val="nil"/>
              <w:bottom w:val="nil"/>
              <w:right w:val="nil"/>
            </w:tcBorders>
            <w:shd w:val="clear" w:color="auto" w:fill="auto"/>
            <w:noWrap/>
            <w:vAlign w:val="center"/>
          </w:tcPr>
          <w:p w14:paraId="0D6C35CA"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0.009</w:t>
            </w:r>
          </w:p>
        </w:tc>
        <w:tc>
          <w:tcPr>
            <w:tcW w:w="533" w:type="pct"/>
            <w:tcBorders>
              <w:left w:val="nil"/>
              <w:bottom w:val="nil"/>
              <w:right w:val="nil"/>
            </w:tcBorders>
            <w:shd w:val="clear" w:color="auto" w:fill="auto"/>
            <w:noWrap/>
            <w:vAlign w:val="center"/>
          </w:tcPr>
          <w:p w14:paraId="0B584CF8"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0.027</w:t>
            </w:r>
          </w:p>
        </w:tc>
        <w:tc>
          <w:tcPr>
            <w:tcW w:w="799" w:type="pct"/>
            <w:tcBorders>
              <w:left w:val="nil"/>
              <w:bottom w:val="nil"/>
              <w:right w:val="nil"/>
            </w:tcBorders>
            <w:shd w:val="clear" w:color="auto" w:fill="auto"/>
            <w:noWrap/>
            <w:vAlign w:val="center"/>
          </w:tcPr>
          <w:p w14:paraId="558D7D9D"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-0.000</w:t>
            </w:r>
          </w:p>
        </w:tc>
        <w:tc>
          <w:tcPr>
            <w:tcW w:w="510" w:type="pct"/>
            <w:tcBorders>
              <w:left w:val="nil"/>
              <w:bottom w:val="nil"/>
              <w:right w:val="nil"/>
            </w:tcBorders>
            <w:shd w:val="clear" w:color="auto" w:fill="auto"/>
            <w:noWrap/>
            <w:vAlign w:val="center"/>
          </w:tcPr>
          <w:p w14:paraId="3018E0BB"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0.028</w:t>
            </w:r>
          </w:p>
        </w:tc>
      </w:tr>
      <w:tr w:rsidR="00BB05A9" w:rsidRPr="003A6DFC" w14:paraId="2FF4C246" w14:textId="77777777" w:rsidTr="00DD7A95">
        <w:trPr>
          <w:trHeight w:val="163"/>
          <w:jc w:val="center"/>
        </w:trPr>
        <w:tc>
          <w:tcPr>
            <w:tcW w:w="2328" w:type="pct"/>
            <w:tcBorders>
              <w:top w:val="nil"/>
              <w:left w:val="nil"/>
              <w:bottom w:val="nil"/>
              <w:right w:val="nil"/>
            </w:tcBorders>
            <w:shd w:val="clear" w:color="auto" w:fill="auto"/>
            <w:noWrap/>
            <w:vAlign w:val="center"/>
          </w:tcPr>
          <w:p w14:paraId="46599667"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Retired</w:t>
            </w:r>
          </w:p>
        </w:tc>
        <w:tc>
          <w:tcPr>
            <w:tcW w:w="830" w:type="pct"/>
            <w:tcBorders>
              <w:top w:val="nil"/>
              <w:left w:val="nil"/>
              <w:bottom w:val="nil"/>
              <w:right w:val="nil"/>
            </w:tcBorders>
            <w:shd w:val="clear" w:color="auto" w:fill="auto"/>
            <w:noWrap/>
            <w:vAlign w:val="center"/>
          </w:tcPr>
          <w:p w14:paraId="75EBBAD1"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-0.097***</w:t>
            </w:r>
          </w:p>
        </w:tc>
        <w:tc>
          <w:tcPr>
            <w:tcW w:w="533" w:type="pct"/>
            <w:tcBorders>
              <w:top w:val="nil"/>
              <w:left w:val="nil"/>
              <w:bottom w:val="nil"/>
              <w:right w:val="nil"/>
            </w:tcBorders>
            <w:shd w:val="clear" w:color="auto" w:fill="auto"/>
            <w:noWrap/>
            <w:vAlign w:val="center"/>
          </w:tcPr>
          <w:p w14:paraId="6F6AD61D"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0.021</w:t>
            </w:r>
          </w:p>
        </w:tc>
        <w:tc>
          <w:tcPr>
            <w:tcW w:w="799" w:type="pct"/>
            <w:tcBorders>
              <w:top w:val="nil"/>
              <w:left w:val="nil"/>
              <w:bottom w:val="nil"/>
              <w:right w:val="nil"/>
            </w:tcBorders>
            <w:shd w:val="clear" w:color="auto" w:fill="auto"/>
            <w:noWrap/>
            <w:vAlign w:val="center"/>
          </w:tcPr>
          <w:p w14:paraId="70A50FD7"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-0.103***</w:t>
            </w:r>
          </w:p>
        </w:tc>
        <w:tc>
          <w:tcPr>
            <w:tcW w:w="510" w:type="pct"/>
            <w:tcBorders>
              <w:top w:val="nil"/>
              <w:left w:val="nil"/>
              <w:bottom w:val="nil"/>
              <w:right w:val="nil"/>
            </w:tcBorders>
            <w:shd w:val="clear" w:color="auto" w:fill="auto"/>
            <w:noWrap/>
            <w:vAlign w:val="center"/>
          </w:tcPr>
          <w:p w14:paraId="075DAE4F"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0.022</w:t>
            </w:r>
          </w:p>
        </w:tc>
      </w:tr>
      <w:tr w:rsidR="00BB05A9" w:rsidRPr="003A6DFC" w14:paraId="623C2D2D" w14:textId="77777777" w:rsidTr="00DD7A95">
        <w:trPr>
          <w:trHeight w:val="163"/>
          <w:jc w:val="center"/>
        </w:trPr>
        <w:tc>
          <w:tcPr>
            <w:tcW w:w="2328" w:type="pct"/>
            <w:tcBorders>
              <w:top w:val="nil"/>
              <w:left w:val="nil"/>
              <w:bottom w:val="nil"/>
              <w:right w:val="nil"/>
            </w:tcBorders>
            <w:shd w:val="clear" w:color="auto" w:fill="auto"/>
            <w:noWrap/>
            <w:vAlign w:val="center"/>
          </w:tcPr>
          <w:p w14:paraId="5BCDCC66"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Other job status</w:t>
            </w:r>
          </w:p>
        </w:tc>
        <w:tc>
          <w:tcPr>
            <w:tcW w:w="830" w:type="pct"/>
            <w:tcBorders>
              <w:top w:val="nil"/>
              <w:left w:val="nil"/>
              <w:bottom w:val="nil"/>
              <w:right w:val="nil"/>
            </w:tcBorders>
            <w:shd w:val="clear" w:color="auto" w:fill="auto"/>
            <w:noWrap/>
            <w:vAlign w:val="center"/>
          </w:tcPr>
          <w:p w14:paraId="01273E26"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-0.097***</w:t>
            </w:r>
          </w:p>
        </w:tc>
        <w:tc>
          <w:tcPr>
            <w:tcW w:w="533" w:type="pct"/>
            <w:tcBorders>
              <w:top w:val="nil"/>
              <w:left w:val="nil"/>
              <w:bottom w:val="nil"/>
              <w:right w:val="nil"/>
            </w:tcBorders>
            <w:shd w:val="clear" w:color="auto" w:fill="auto"/>
            <w:noWrap/>
            <w:vAlign w:val="center"/>
          </w:tcPr>
          <w:p w14:paraId="5987EA28"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0.017</w:t>
            </w:r>
          </w:p>
        </w:tc>
        <w:tc>
          <w:tcPr>
            <w:tcW w:w="799" w:type="pct"/>
            <w:tcBorders>
              <w:top w:val="nil"/>
              <w:left w:val="nil"/>
              <w:bottom w:val="nil"/>
              <w:right w:val="nil"/>
            </w:tcBorders>
            <w:shd w:val="clear" w:color="auto" w:fill="auto"/>
            <w:noWrap/>
            <w:vAlign w:val="center"/>
          </w:tcPr>
          <w:p w14:paraId="4E2EDCC5"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-0.096***</w:t>
            </w:r>
          </w:p>
        </w:tc>
        <w:tc>
          <w:tcPr>
            <w:tcW w:w="510" w:type="pct"/>
            <w:tcBorders>
              <w:top w:val="nil"/>
              <w:left w:val="nil"/>
              <w:bottom w:val="nil"/>
              <w:right w:val="nil"/>
            </w:tcBorders>
            <w:shd w:val="clear" w:color="auto" w:fill="auto"/>
            <w:noWrap/>
            <w:vAlign w:val="center"/>
          </w:tcPr>
          <w:p w14:paraId="76D84782"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0.018</w:t>
            </w:r>
          </w:p>
        </w:tc>
      </w:tr>
      <w:tr w:rsidR="00BB05A9" w:rsidRPr="003A6DFC" w14:paraId="74D744A3" w14:textId="77777777" w:rsidTr="00DD7A95">
        <w:trPr>
          <w:trHeight w:val="163"/>
          <w:jc w:val="center"/>
        </w:trPr>
        <w:tc>
          <w:tcPr>
            <w:tcW w:w="2328" w:type="pct"/>
            <w:tcBorders>
              <w:top w:val="nil"/>
              <w:left w:val="nil"/>
              <w:bottom w:val="nil"/>
              <w:right w:val="nil"/>
            </w:tcBorders>
            <w:shd w:val="clear" w:color="auto" w:fill="auto"/>
            <w:noWrap/>
            <w:vAlign w:val="center"/>
          </w:tcPr>
          <w:p w14:paraId="399E075E" w14:textId="77777777" w:rsidR="00BB05A9" w:rsidRPr="003A6DFC" w:rsidRDefault="00BB05A9" w:rsidP="00DD7A95">
            <w:pPr>
              <w:spacing w:after="0" w:line="240" w:lineRule="auto"/>
              <w:rPr>
                <w:rFonts w:ascii="Century" w:eastAsia="Times New Roman" w:hAnsi="Century" w:cs="Calibri"/>
                <w:sz w:val="18"/>
                <w:szCs w:val="18"/>
                <w:lang w:val="en-GB" w:eastAsia="en-GB"/>
              </w:rPr>
            </w:pPr>
            <w:r w:rsidRPr="003A6DFC">
              <w:rPr>
                <w:rFonts w:ascii="Century" w:hAnsi="Century"/>
                <w:sz w:val="18"/>
                <w:szCs w:val="18"/>
                <w:lang w:eastAsia="en-GB"/>
              </w:rPr>
              <w:t>Single</w:t>
            </w:r>
          </w:p>
        </w:tc>
        <w:tc>
          <w:tcPr>
            <w:tcW w:w="830" w:type="pct"/>
            <w:tcBorders>
              <w:top w:val="nil"/>
              <w:left w:val="nil"/>
              <w:bottom w:val="nil"/>
              <w:right w:val="nil"/>
            </w:tcBorders>
            <w:shd w:val="clear" w:color="auto" w:fill="auto"/>
            <w:noWrap/>
            <w:vAlign w:val="center"/>
          </w:tcPr>
          <w:p w14:paraId="7E8D69D3"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-0.003</w:t>
            </w:r>
          </w:p>
        </w:tc>
        <w:tc>
          <w:tcPr>
            <w:tcW w:w="533" w:type="pct"/>
            <w:tcBorders>
              <w:top w:val="nil"/>
              <w:left w:val="nil"/>
              <w:bottom w:val="nil"/>
              <w:right w:val="nil"/>
            </w:tcBorders>
            <w:shd w:val="clear" w:color="auto" w:fill="auto"/>
            <w:noWrap/>
            <w:vAlign w:val="center"/>
          </w:tcPr>
          <w:p w14:paraId="1221CB33"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0.018</w:t>
            </w:r>
          </w:p>
        </w:tc>
        <w:tc>
          <w:tcPr>
            <w:tcW w:w="799" w:type="pct"/>
            <w:tcBorders>
              <w:top w:val="nil"/>
              <w:left w:val="nil"/>
              <w:bottom w:val="nil"/>
              <w:right w:val="nil"/>
            </w:tcBorders>
            <w:shd w:val="clear" w:color="auto" w:fill="auto"/>
            <w:noWrap/>
            <w:vAlign w:val="center"/>
          </w:tcPr>
          <w:p w14:paraId="357D2DA2"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-0.004</w:t>
            </w:r>
          </w:p>
        </w:tc>
        <w:tc>
          <w:tcPr>
            <w:tcW w:w="510" w:type="pct"/>
            <w:tcBorders>
              <w:top w:val="nil"/>
              <w:left w:val="nil"/>
              <w:bottom w:val="nil"/>
              <w:right w:val="nil"/>
            </w:tcBorders>
            <w:shd w:val="clear" w:color="auto" w:fill="auto"/>
            <w:noWrap/>
            <w:vAlign w:val="center"/>
          </w:tcPr>
          <w:p w14:paraId="1E4C6BFB"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0.019</w:t>
            </w:r>
          </w:p>
        </w:tc>
      </w:tr>
      <w:tr w:rsidR="00BB05A9" w:rsidRPr="003A6DFC" w14:paraId="6E662301" w14:textId="77777777" w:rsidTr="00DD7A95">
        <w:trPr>
          <w:trHeight w:val="163"/>
          <w:jc w:val="center"/>
        </w:trPr>
        <w:tc>
          <w:tcPr>
            <w:tcW w:w="2328" w:type="pct"/>
            <w:tcBorders>
              <w:top w:val="nil"/>
              <w:left w:val="nil"/>
              <w:bottom w:val="nil"/>
              <w:right w:val="nil"/>
            </w:tcBorders>
            <w:shd w:val="clear" w:color="auto" w:fill="auto"/>
            <w:noWrap/>
            <w:vAlign w:val="center"/>
          </w:tcPr>
          <w:p w14:paraId="017113DC" w14:textId="77777777" w:rsidR="00BB05A9" w:rsidRPr="003A6DFC" w:rsidRDefault="00BB05A9" w:rsidP="00DD7A95">
            <w:pPr>
              <w:spacing w:after="0" w:line="240" w:lineRule="auto"/>
              <w:rPr>
                <w:rFonts w:ascii="Century" w:eastAsia="Times New Roman" w:hAnsi="Century" w:cs="Calibri"/>
                <w:sz w:val="18"/>
                <w:szCs w:val="18"/>
                <w:lang w:val="en-GB" w:eastAsia="en-GB"/>
              </w:rPr>
            </w:pPr>
            <w:r w:rsidRPr="003A6DFC">
              <w:rPr>
                <w:rFonts w:ascii="Century" w:hAnsi="Century"/>
                <w:sz w:val="18"/>
                <w:szCs w:val="18"/>
                <w:lang w:eastAsia="en-GB"/>
              </w:rPr>
              <w:t>Separated/divorced</w:t>
            </w:r>
          </w:p>
        </w:tc>
        <w:tc>
          <w:tcPr>
            <w:tcW w:w="830" w:type="pct"/>
            <w:tcBorders>
              <w:top w:val="nil"/>
              <w:left w:val="nil"/>
              <w:bottom w:val="nil"/>
              <w:right w:val="nil"/>
            </w:tcBorders>
            <w:shd w:val="clear" w:color="auto" w:fill="auto"/>
            <w:noWrap/>
            <w:vAlign w:val="center"/>
          </w:tcPr>
          <w:p w14:paraId="6A138F19"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-0.016</w:t>
            </w:r>
          </w:p>
        </w:tc>
        <w:tc>
          <w:tcPr>
            <w:tcW w:w="533" w:type="pct"/>
            <w:tcBorders>
              <w:top w:val="nil"/>
              <w:left w:val="nil"/>
              <w:bottom w:val="nil"/>
              <w:right w:val="nil"/>
            </w:tcBorders>
            <w:shd w:val="clear" w:color="auto" w:fill="auto"/>
            <w:noWrap/>
            <w:vAlign w:val="center"/>
          </w:tcPr>
          <w:p w14:paraId="0B65AA6C"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0.020</w:t>
            </w:r>
          </w:p>
        </w:tc>
        <w:tc>
          <w:tcPr>
            <w:tcW w:w="799" w:type="pct"/>
            <w:tcBorders>
              <w:top w:val="nil"/>
              <w:left w:val="nil"/>
              <w:bottom w:val="nil"/>
              <w:right w:val="nil"/>
            </w:tcBorders>
            <w:shd w:val="clear" w:color="auto" w:fill="auto"/>
            <w:noWrap/>
            <w:vAlign w:val="center"/>
          </w:tcPr>
          <w:p w14:paraId="5647A53C"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-0.017</w:t>
            </w:r>
          </w:p>
        </w:tc>
        <w:tc>
          <w:tcPr>
            <w:tcW w:w="510" w:type="pct"/>
            <w:tcBorders>
              <w:top w:val="nil"/>
              <w:left w:val="nil"/>
              <w:bottom w:val="nil"/>
              <w:right w:val="nil"/>
            </w:tcBorders>
            <w:shd w:val="clear" w:color="auto" w:fill="auto"/>
            <w:noWrap/>
            <w:vAlign w:val="center"/>
          </w:tcPr>
          <w:p w14:paraId="159ACAE3"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0.022</w:t>
            </w:r>
          </w:p>
        </w:tc>
      </w:tr>
      <w:tr w:rsidR="00BB05A9" w:rsidRPr="003A6DFC" w14:paraId="2286EAB6" w14:textId="77777777" w:rsidTr="00DD7A95">
        <w:trPr>
          <w:trHeight w:val="163"/>
          <w:jc w:val="center"/>
        </w:trPr>
        <w:tc>
          <w:tcPr>
            <w:tcW w:w="2328" w:type="pct"/>
            <w:tcBorders>
              <w:top w:val="nil"/>
              <w:left w:val="nil"/>
              <w:bottom w:val="nil"/>
              <w:right w:val="nil"/>
            </w:tcBorders>
            <w:shd w:val="clear" w:color="auto" w:fill="auto"/>
            <w:noWrap/>
            <w:vAlign w:val="center"/>
          </w:tcPr>
          <w:p w14:paraId="5F59D493" w14:textId="77777777" w:rsidR="00BB05A9" w:rsidRPr="003A6DFC" w:rsidRDefault="00BB05A9" w:rsidP="00DD7A95">
            <w:pPr>
              <w:spacing w:after="0" w:line="240" w:lineRule="auto"/>
              <w:rPr>
                <w:rFonts w:ascii="Century" w:eastAsia="Times New Roman" w:hAnsi="Century" w:cs="Calibri"/>
                <w:sz w:val="18"/>
                <w:szCs w:val="18"/>
                <w:lang w:val="en-GB" w:eastAsia="en-GB"/>
              </w:rPr>
            </w:pPr>
            <w:r w:rsidRPr="003A6DFC">
              <w:rPr>
                <w:rFonts w:ascii="Century" w:hAnsi="Century"/>
                <w:sz w:val="18"/>
                <w:szCs w:val="18"/>
                <w:lang w:eastAsia="en-GB"/>
              </w:rPr>
              <w:t>Widowed</w:t>
            </w:r>
          </w:p>
        </w:tc>
        <w:tc>
          <w:tcPr>
            <w:tcW w:w="830" w:type="pct"/>
            <w:tcBorders>
              <w:top w:val="nil"/>
              <w:left w:val="nil"/>
              <w:bottom w:val="nil"/>
              <w:right w:val="nil"/>
            </w:tcBorders>
            <w:shd w:val="clear" w:color="auto" w:fill="auto"/>
            <w:noWrap/>
            <w:vAlign w:val="center"/>
          </w:tcPr>
          <w:p w14:paraId="143CE4F2"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-0.000</w:t>
            </w:r>
          </w:p>
        </w:tc>
        <w:tc>
          <w:tcPr>
            <w:tcW w:w="533" w:type="pct"/>
            <w:tcBorders>
              <w:top w:val="nil"/>
              <w:left w:val="nil"/>
              <w:bottom w:val="nil"/>
              <w:right w:val="nil"/>
            </w:tcBorders>
            <w:shd w:val="clear" w:color="auto" w:fill="auto"/>
            <w:noWrap/>
            <w:vAlign w:val="center"/>
          </w:tcPr>
          <w:p w14:paraId="7F27CDB6"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0.026</w:t>
            </w:r>
          </w:p>
        </w:tc>
        <w:tc>
          <w:tcPr>
            <w:tcW w:w="799" w:type="pct"/>
            <w:tcBorders>
              <w:top w:val="nil"/>
              <w:left w:val="nil"/>
              <w:bottom w:val="nil"/>
              <w:right w:val="nil"/>
            </w:tcBorders>
            <w:shd w:val="clear" w:color="auto" w:fill="auto"/>
            <w:noWrap/>
            <w:vAlign w:val="center"/>
          </w:tcPr>
          <w:p w14:paraId="350BA8FE"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0.003</w:t>
            </w:r>
          </w:p>
        </w:tc>
        <w:tc>
          <w:tcPr>
            <w:tcW w:w="510" w:type="pct"/>
            <w:tcBorders>
              <w:top w:val="nil"/>
              <w:left w:val="nil"/>
              <w:bottom w:val="nil"/>
              <w:right w:val="nil"/>
            </w:tcBorders>
            <w:shd w:val="clear" w:color="auto" w:fill="auto"/>
            <w:noWrap/>
            <w:vAlign w:val="center"/>
          </w:tcPr>
          <w:p w14:paraId="1B5EE514"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0.028</w:t>
            </w:r>
          </w:p>
        </w:tc>
      </w:tr>
      <w:tr w:rsidR="00F73654" w:rsidRPr="003A6DFC" w14:paraId="1449742B" w14:textId="77777777" w:rsidTr="00582482">
        <w:trPr>
          <w:trHeight w:val="163"/>
          <w:jc w:val="center"/>
        </w:trPr>
        <w:tc>
          <w:tcPr>
            <w:tcW w:w="2328" w:type="pct"/>
            <w:tcBorders>
              <w:top w:val="nil"/>
              <w:left w:val="nil"/>
              <w:bottom w:val="nil"/>
              <w:right w:val="nil"/>
            </w:tcBorders>
            <w:shd w:val="clear" w:color="auto" w:fill="auto"/>
            <w:noWrap/>
            <w:vAlign w:val="center"/>
          </w:tcPr>
          <w:p w14:paraId="2CE715AB" w14:textId="4D5E813A"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Immediate word recall</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38371AE3"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-0.046***</w:t>
            </w:r>
          </w:p>
        </w:tc>
        <w:tc>
          <w:tcPr>
            <w:tcW w:w="533" w:type="pct"/>
            <w:tcBorders>
              <w:top w:val="nil"/>
              <w:left w:val="nil"/>
              <w:bottom w:val="nil"/>
              <w:right w:val="nil"/>
            </w:tcBorders>
            <w:shd w:val="clear" w:color="auto" w:fill="auto"/>
            <w:noWrap/>
            <w:vAlign w:val="bottom"/>
          </w:tcPr>
          <w:p w14:paraId="350F412B"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0.009</w:t>
            </w:r>
          </w:p>
        </w:tc>
        <w:tc>
          <w:tcPr>
            <w:tcW w:w="799" w:type="pct"/>
            <w:tcBorders>
              <w:top w:val="nil"/>
              <w:left w:val="nil"/>
              <w:bottom w:val="nil"/>
              <w:right w:val="nil"/>
            </w:tcBorders>
            <w:shd w:val="clear" w:color="auto" w:fill="auto"/>
            <w:noWrap/>
            <w:vAlign w:val="bottom"/>
          </w:tcPr>
          <w:p w14:paraId="2543EC22"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-0.049***</w:t>
            </w:r>
          </w:p>
        </w:tc>
        <w:tc>
          <w:tcPr>
            <w:tcW w:w="510" w:type="pct"/>
            <w:tcBorders>
              <w:top w:val="nil"/>
              <w:left w:val="nil"/>
              <w:bottom w:val="nil"/>
              <w:right w:val="nil"/>
            </w:tcBorders>
            <w:shd w:val="clear" w:color="auto" w:fill="auto"/>
            <w:noWrap/>
            <w:vAlign w:val="bottom"/>
          </w:tcPr>
          <w:p w14:paraId="39C6A234"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0.009</w:t>
            </w:r>
          </w:p>
        </w:tc>
      </w:tr>
      <w:tr w:rsidR="00F73654" w:rsidRPr="003A6DFC" w14:paraId="5CF7EC9E" w14:textId="77777777" w:rsidTr="00582482">
        <w:trPr>
          <w:trHeight w:val="163"/>
          <w:jc w:val="center"/>
        </w:trPr>
        <w:tc>
          <w:tcPr>
            <w:tcW w:w="2328" w:type="pct"/>
            <w:tcBorders>
              <w:top w:val="nil"/>
              <w:left w:val="nil"/>
              <w:bottom w:val="nil"/>
              <w:right w:val="nil"/>
            </w:tcBorders>
            <w:shd w:val="clear" w:color="auto" w:fill="auto"/>
            <w:noWrap/>
            <w:vAlign w:val="center"/>
          </w:tcPr>
          <w:p w14:paraId="60FA4FD7" w14:textId="67FAA6CC"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Delayed word recall</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7DD5CA1C"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-0.019**</w:t>
            </w:r>
          </w:p>
        </w:tc>
        <w:tc>
          <w:tcPr>
            <w:tcW w:w="533" w:type="pct"/>
            <w:tcBorders>
              <w:top w:val="nil"/>
              <w:left w:val="nil"/>
              <w:bottom w:val="nil"/>
              <w:right w:val="nil"/>
            </w:tcBorders>
            <w:shd w:val="clear" w:color="auto" w:fill="auto"/>
            <w:noWrap/>
            <w:vAlign w:val="bottom"/>
          </w:tcPr>
          <w:p w14:paraId="0DB7A0AA"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0.008</w:t>
            </w:r>
          </w:p>
        </w:tc>
        <w:tc>
          <w:tcPr>
            <w:tcW w:w="799" w:type="pct"/>
            <w:tcBorders>
              <w:top w:val="nil"/>
              <w:left w:val="nil"/>
              <w:bottom w:val="nil"/>
              <w:right w:val="nil"/>
            </w:tcBorders>
            <w:shd w:val="clear" w:color="auto" w:fill="auto"/>
            <w:noWrap/>
            <w:vAlign w:val="bottom"/>
          </w:tcPr>
          <w:p w14:paraId="589B6369"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-0.020**</w:t>
            </w:r>
          </w:p>
        </w:tc>
        <w:tc>
          <w:tcPr>
            <w:tcW w:w="510" w:type="pct"/>
            <w:tcBorders>
              <w:top w:val="nil"/>
              <w:left w:val="nil"/>
              <w:bottom w:val="nil"/>
              <w:right w:val="nil"/>
            </w:tcBorders>
            <w:shd w:val="clear" w:color="auto" w:fill="auto"/>
            <w:noWrap/>
            <w:vAlign w:val="bottom"/>
          </w:tcPr>
          <w:p w14:paraId="5C41A230"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0.009</w:t>
            </w:r>
          </w:p>
        </w:tc>
      </w:tr>
      <w:tr w:rsidR="00F73654" w:rsidRPr="003A6DFC" w14:paraId="7D99239C" w14:textId="77777777" w:rsidTr="00582482">
        <w:trPr>
          <w:trHeight w:val="163"/>
          <w:jc w:val="center"/>
        </w:trPr>
        <w:tc>
          <w:tcPr>
            <w:tcW w:w="2328" w:type="pct"/>
            <w:tcBorders>
              <w:top w:val="nil"/>
              <w:left w:val="nil"/>
              <w:bottom w:val="nil"/>
              <w:right w:val="nil"/>
            </w:tcBorders>
            <w:shd w:val="clear" w:color="auto" w:fill="auto"/>
            <w:noWrap/>
            <w:vAlign w:val="center"/>
          </w:tcPr>
          <w:p w14:paraId="2E3D59CB" w14:textId="79698BF5"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Number of correct subtractions</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02AA85E9"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-0.030***</w:t>
            </w:r>
          </w:p>
        </w:tc>
        <w:tc>
          <w:tcPr>
            <w:tcW w:w="533" w:type="pct"/>
            <w:tcBorders>
              <w:top w:val="nil"/>
              <w:left w:val="nil"/>
              <w:bottom w:val="nil"/>
              <w:right w:val="nil"/>
            </w:tcBorders>
            <w:shd w:val="clear" w:color="auto" w:fill="auto"/>
            <w:noWrap/>
            <w:vAlign w:val="bottom"/>
          </w:tcPr>
          <w:p w14:paraId="62DFE1DB"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c>
          <w:tcPr>
            <w:tcW w:w="799" w:type="pct"/>
            <w:tcBorders>
              <w:top w:val="nil"/>
              <w:left w:val="nil"/>
              <w:bottom w:val="nil"/>
              <w:right w:val="nil"/>
            </w:tcBorders>
            <w:shd w:val="clear" w:color="auto" w:fill="auto"/>
            <w:noWrap/>
            <w:vAlign w:val="bottom"/>
          </w:tcPr>
          <w:p w14:paraId="41E880D4"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-0.033***</w:t>
            </w:r>
          </w:p>
        </w:tc>
        <w:tc>
          <w:tcPr>
            <w:tcW w:w="510" w:type="pct"/>
            <w:tcBorders>
              <w:top w:val="nil"/>
              <w:left w:val="nil"/>
              <w:bottom w:val="nil"/>
              <w:right w:val="nil"/>
            </w:tcBorders>
            <w:shd w:val="clear" w:color="auto" w:fill="auto"/>
            <w:noWrap/>
            <w:vAlign w:val="bottom"/>
          </w:tcPr>
          <w:p w14:paraId="0FA30F93"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r>
      <w:tr w:rsidR="00F73654" w:rsidRPr="003A6DFC" w14:paraId="32C6A5B5" w14:textId="77777777" w:rsidTr="00582482">
        <w:trPr>
          <w:trHeight w:val="163"/>
          <w:jc w:val="center"/>
        </w:trPr>
        <w:tc>
          <w:tcPr>
            <w:tcW w:w="2328" w:type="pct"/>
            <w:tcBorders>
              <w:top w:val="nil"/>
              <w:left w:val="nil"/>
              <w:bottom w:val="nil"/>
              <w:right w:val="nil"/>
            </w:tcBorders>
            <w:shd w:val="clear" w:color="auto" w:fill="auto"/>
            <w:noWrap/>
            <w:vAlign w:val="center"/>
          </w:tcPr>
          <w:p w14:paraId="76F81420" w14:textId="53524F69"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Verbal fluency: correct words</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26290497"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-0.023***</w:t>
            </w:r>
          </w:p>
        </w:tc>
        <w:tc>
          <w:tcPr>
            <w:tcW w:w="533" w:type="pct"/>
            <w:tcBorders>
              <w:top w:val="nil"/>
              <w:left w:val="nil"/>
              <w:bottom w:val="nil"/>
              <w:right w:val="nil"/>
            </w:tcBorders>
            <w:shd w:val="clear" w:color="auto" w:fill="auto"/>
            <w:noWrap/>
            <w:vAlign w:val="bottom"/>
          </w:tcPr>
          <w:p w14:paraId="0EA1DD2A"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0.007</w:t>
            </w:r>
          </w:p>
        </w:tc>
        <w:tc>
          <w:tcPr>
            <w:tcW w:w="799" w:type="pct"/>
            <w:tcBorders>
              <w:top w:val="nil"/>
              <w:left w:val="nil"/>
              <w:bottom w:val="nil"/>
              <w:right w:val="nil"/>
            </w:tcBorders>
            <w:shd w:val="clear" w:color="auto" w:fill="auto"/>
            <w:noWrap/>
            <w:vAlign w:val="bottom"/>
          </w:tcPr>
          <w:p w14:paraId="72AE5298"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-0.026***</w:t>
            </w:r>
          </w:p>
        </w:tc>
        <w:tc>
          <w:tcPr>
            <w:tcW w:w="510" w:type="pct"/>
            <w:tcBorders>
              <w:top w:val="nil"/>
              <w:left w:val="nil"/>
              <w:bottom w:val="nil"/>
              <w:right w:val="nil"/>
            </w:tcBorders>
            <w:shd w:val="clear" w:color="auto" w:fill="auto"/>
            <w:noWrap/>
            <w:vAlign w:val="bottom"/>
          </w:tcPr>
          <w:p w14:paraId="24A39638"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0.007</w:t>
            </w:r>
          </w:p>
        </w:tc>
      </w:tr>
      <w:tr w:rsidR="00F73654" w:rsidRPr="003A6DFC" w14:paraId="163B6A80" w14:textId="77777777" w:rsidTr="00582482">
        <w:trPr>
          <w:trHeight w:val="163"/>
          <w:jc w:val="center"/>
        </w:trPr>
        <w:tc>
          <w:tcPr>
            <w:tcW w:w="2328" w:type="pct"/>
            <w:tcBorders>
              <w:top w:val="nil"/>
              <w:left w:val="nil"/>
              <w:bottom w:val="nil"/>
              <w:right w:val="nil"/>
            </w:tcBorders>
            <w:shd w:val="clear" w:color="auto" w:fill="auto"/>
            <w:noWrap/>
            <w:vAlign w:val="center"/>
          </w:tcPr>
          <w:p w14:paraId="09CFCF8C" w14:textId="56DEB81A"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Verbal fluency: incorrect words</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0459E995"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0.014***</w:t>
            </w:r>
          </w:p>
        </w:tc>
        <w:tc>
          <w:tcPr>
            <w:tcW w:w="533" w:type="pct"/>
            <w:tcBorders>
              <w:top w:val="nil"/>
              <w:left w:val="nil"/>
              <w:bottom w:val="nil"/>
              <w:right w:val="nil"/>
            </w:tcBorders>
            <w:shd w:val="clear" w:color="auto" w:fill="auto"/>
            <w:noWrap/>
            <w:vAlign w:val="bottom"/>
          </w:tcPr>
          <w:p w14:paraId="0862A3B1"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0.005</w:t>
            </w:r>
          </w:p>
        </w:tc>
        <w:tc>
          <w:tcPr>
            <w:tcW w:w="799" w:type="pct"/>
            <w:tcBorders>
              <w:top w:val="nil"/>
              <w:left w:val="nil"/>
              <w:bottom w:val="nil"/>
              <w:right w:val="nil"/>
            </w:tcBorders>
            <w:shd w:val="clear" w:color="auto" w:fill="auto"/>
            <w:noWrap/>
            <w:vAlign w:val="bottom"/>
          </w:tcPr>
          <w:p w14:paraId="4B2E775F"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0.015***</w:t>
            </w:r>
          </w:p>
        </w:tc>
        <w:tc>
          <w:tcPr>
            <w:tcW w:w="510" w:type="pct"/>
            <w:tcBorders>
              <w:top w:val="nil"/>
              <w:left w:val="nil"/>
              <w:bottom w:val="nil"/>
              <w:right w:val="nil"/>
            </w:tcBorders>
            <w:shd w:val="clear" w:color="auto" w:fill="auto"/>
            <w:noWrap/>
            <w:vAlign w:val="bottom"/>
          </w:tcPr>
          <w:p w14:paraId="50A64895"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0.005</w:t>
            </w:r>
          </w:p>
        </w:tc>
      </w:tr>
      <w:tr w:rsidR="00F73654" w:rsidRPr="003A6DFC" w14:paraId="32BE15F7" w14:textId="77777777" w:rsidTr="00582482">
        <w:trPr>
          <w:trHeight w:val="163"/>
          <w:jc w:val="center"/>
        </w:trPr>
        <w:tc>
          <w:tcPr>
            <w:tcW w:w="2328" w:type="pct"/>
            <w:tcBorders>
              <w:top w:val="nil"/>
              <w:left w:val="nil"/>
              <w:bottom w:val="nil"/>
              <w:right w:val="nil"/>
            </w:tcBorders>
            <w:shd w:val="clear" w:color="auto" w:fill="auto"/>
            <w:noWrap/>
            <w:vAlign w:val="center"/>
          </w:tcPr>
          <w:p w14:paraId="00717956" w14:textId="582672B7"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Numeric ability: correct answers</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1C487AA3"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-0.065***</w:t>
            </w:r>
          </w:p>
        </w:tc>
        <w:tc>
          <w:tcPr>
            <w:tcW w:w="533" w:type="pct"/>
            <w:tcBorders>
              <w:top w:val="nil"/>
              <w:left w:val="nil"/>
              <w:bottom w:val="nil"/>
              <w:right w:val="nil"/>
            </w:tcBorders>
            <w:shd w:val="clear" w:color="auto" w:fill="auto"/>
            <w:noWrap/>
            <w:vAlign w:val="bottom"/>
          </w:tcPr>
          <w:p w14:paraId="23958101"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0.007</w:t>
            </w:r>
          </w:p>
        </w:tc>
        <w:tc>
          <w:tcPr>
            <w:tcW w:w="799" w:type="pct"/>
            <w:tcBorders>
              <w:top w:val="nil"/>
              <w:left w:val="nil"/>
              <w:bottom w:val="nil"/>
              <w:right w:val="nil"/>
            </w:tcBorders>
            <w:shd w:val="clear" w:color="auto" w:fill="auto"/>
            <w:noWrap/>
            <w:vAlign w:val="bottom"/>
          </w:tcPr>
          <w:p w14:paraId="3982D4C6"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-0.070***</w:t>
            </w:r>
          </w:p>
        </w:tc>
        <w:tc>
          <w:tcPr>
            <w:tcW w:w="510" w:type="pct"/>
            <w:tcBorders>
              <w:top w:val="nil"/>
              <w:left w:val="nil"/>
              <w:bottom w:val="nil"/>
              <w:right w:val="nil"/>
            </w:tcBorders>
            <w:shd w:val="clear" w:color="auto" w:fill="auto"/>
            <w:noWrap/>
            <w:vAlign w:val="bottom"/>
          </w:tcPr>
          <w:p w14:paraId="6B29841C"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0.008</w:t>
            </w:r>
          </w:p>
        </w:tc>
      </w:tr>
      <w:tr w:rsidR="00F73654" w:rsidRPr="003A6DFC" w14:paraId="44B265CB" w14:textId="77777777" w:rsidTr="00582482">
        <w:trPr>
          <w:trHeight w:val="163"/>
          <w:jc w:val="center"/>
        </w:trPr>
        <w:tc>
          <w:tcPr>
            <w:tcW w:w="2328" w:type="pct"/>
            <w:tcBorders>
              <w:top w:val="nil"/>
              <w:left w:val="nil"/>
              <w:bottom w:val="nil"/>
              <w:right w:val="nil"/>
            </w:tcBorders>
            <w:shd w:val="clear" w:color="auto" w:fill="auto"/>
            <w:noWrap/>
            <w:vAlign w:val="center"/>
          </w:tcPr>
          <w:p w14:paraId="415D7EDF" w14:textId="1B1E9874"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Agreeableness</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3AD8F832"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-0.010*</w:t>
            </w:r>
          </w:p>
        </w:tc>
        <w:tc>
          <w:tcPr>
            <w:tcW w:w="533" w:type="pct"/>
            <w:tcBorders>
              <w:top w:val="nil"/>
              <w:left w:val="nil"/>
              <w:bottom w:val="nil"/>
              <w:right w:val="nil"/>
            </w:tcBorders>
            <w:shd w:val="clear" w:color="auto" w:fill="auto"/>
            <w:noWrap/>
            <w:vAlign w:val="bottom"/>
          </w:tcPr>
          <w:p w14:paraId="30B65F12"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c>
          <w:tcPr>
            <w:tcW w:w="799" w:type="pct"/>
            <w:tcBorders>
              <w:top w:val="nil"/>
              <w:left w:val="nil"/>
              <w:bottom w:val="nil"/>
              <w:right w:val="nil"/>
            </w:tcBorders>
            <w:shd w:val="clear" w:color="auto" w:fill="auto"/>
            <w:noWrap/>
            <w:vAlign w:val="bottom"/>
          </w:tcPr>
          <w:p w14:paraId="5F6A0543"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-0.010*</w:t>
            </w:r>
          </w:p>
        </w:tc>
        <w:tc>
          <w:tcPr>
            <w:tcW w:w="510" w:type="pct"/>
            <w:tcBorders>
              <w:top w:val="nil"/>
              <w:left w:val="nil"/>
              <w:bottom w:val="nil"/>
              <w:right w:val="nil"/>
            </w:tcBorders>
            <w:shd w:val="clear" w:color="auto" w:fill="auto"/>
            <w:noWrap/>
            <w:vAlign w:val="bottom"/>
          </w:tcPr>
          <w:p w14:paraId="0158BF60"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r>
      <w:tr w:rsidR="00F73654" w:rsidRPr="003A6DFC" w14:paraId="2197B120" w14:textId="77777777" w:rsidTr="00582482">
        <w:trPr>
          <w:trHeight w:val="163"/>
          <w:jc w:val="center"/>
        </w:trPr>
        <w:tc>
          <w:tcPr>
            <w:tcW w:w="2328" w:type="pct"/>
            <w:tcBorders>
              <w:top w:val="nil"/>
              <w:left w:val="nil"/>
              <w:bottom w:val="nil"/>
              <w:right w:val="nil"/>
            </w:tcBorders>
            <w:shd w:val="clear" w:color="auto" w:fill="auto"/>
            <w:noWrap/>
            <w:vAlign w:val="center"/>
          </w:tcPr>
          <w:p w14:paraId="0AF80520" w14:textId="368FCB02"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Conscientiousness</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67E95C89"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-0.013**</w:t>
            </w:r>
          </w:p>
        </w:tc>
        <w:tc>
          <w:tcPr>
            <w:tcW w:w="533" w:type="pct"/>
            <w:tcBorders>
              <w:top w:val="nil"/>
              <w:left w:val="nil"/>
              <w:bottom w:val="nil"/>
              <w:right w:val="nil"/>
            </w:tcBorders>
            <w:shd w:val="clear" w:color="auto" w:fill="auto"/>
            <w:noWrap/>
            <w:vAlign w:val="bottom"/>
          </w:tcPr>
          <w:p w14:paraId="7E8FF1A5"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c>
          <w:tcPr>
            <w:tcW w:w="799" w:type="pct"/>
            <w:tcBorders>
              <w:top w:val="nil"/>
              <w:left w:val="nil"/>
              <w:bottom w:val="nil"/>
              <w:right w:val="nil"/>
            </w:tcBorders>
            <w:shd w:val="clear" w:color="auto" w:fill="auto"/>
            <w:noWrap/>
            <w:vAlign w:val="bottom"/>
          </w:tcPr>
          <w:p w14:paraId="73364D23"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-0.014**</w:t>
            </w:r>
          </w:p>
        </w:tc>
        <w:tc>
          <w:tcPr>
            <w:tcW w:w="510" w:type="pct"/>
            <w:tcBorders>
              <w:top w:val="nil"/>
              <w:left w:val="nil"/>
              <w:bottom w:val="nil"/>
              <w:right w:val="nil"/>
            </w:tcBorders>
            <w:shd w:val="clear" w:color="auto" w:fill="auto"/>
            <w:noWrap/>
            <w:vAlign w:val="bottom"/>
          </w:tcPr>
          <w:p w14:paraId="053A1DD9"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r>
      <w:tr w:rsidR="00F73654" w:rsidRPr="003A6DFC" w14:paraId="493DF799" w14:textId="77777777" w:rsidTr="00582482">
        <w:trPr>
          <w:trHeight w:val="163"/>
          <w:jc w:val="center"/>
        </w:trPr>
        <w:tc>
          <w:tcPr>
            <w:tcW w:w="2328" w:type="pct"/>
            <w:tcBorders>
              <w:top w:val="nil"/>
              <w:left w:val="nil"/>
              <w:bottom w:val="nil"/>
              <w:right w:val="nil"/>
            </w:tcBorders>
            <w:shd w:val="clear" w:color="auto" w:fill="auto"/>
            <w:noWrap/>
            <w:vAlign w:val="center"/>
          </w:tcPr>
          <w:p w14:paraId="5372E14E" w14:textId="5821B409"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Extraversion</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793A4E84"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c>
          <w:tcPr>
            <w:tcW w:w="533" w:type="pct"/>
            <w:tcBorders>
              <w:top w:val="nil"/>
              <w:left w:val="nil"/>
              <w:bottom w:val="nil"/>
              <w:right w:val="nil"/>
            </w:tcBorders>
            <w:shd w:val="clear" w:color="auto" w:fill="auto"/>
            <w:noWrap/>
            <w:vAlign w:val="bottom"/>
          </w:tcPr>
          <w:p w14:paraId="4CE30E58"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c>
          <w:tcPr>
            <w:tcW w:w="799" w:type="pct"/>
            <w:tcBorders>
              <w:top w:val="nil"/>
              <w:left w:val="nil"/>
              <w:bottom w:val="nil"/>
              <w:right w:val="nil"/>
            </w:tcBorders>
            <w:shd w:val="clear" w:color="auto" w:fill="auto"/>
            <w:noWrap/>
            <w:vAlign w:val="bottom"/>
          </w:tcPr>
          <w:p w14:paraId="3DAA317E"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0.007</w:t>
            </w:r>
          </w:p>
        </w:tc>
        <w:tc>
          <w:tcPr>
            <w:tcW w:w="510" w:type="pct"/>
            <w:tcBorders>
              <w:top w:val="nil"/>
              <w:left w:val="nil"/>
              <w:bottom w:val="nil"/>
              <w:right w:val="nil"/>
            </w:tcBorders>
            <w:shd w:val="clear" w:color="auto" w:fill="auto"/>
            <w:noWrap/>
            <w:vAlign w:val="bottom"/>
          </w:tcPr>
          <w:p w14:paraId="45397B5A"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r>
      <w:tr w:rsidR="00F73654" w:rsidRPr="003A6DFC" w14:paraId="567A45E5" w14:textId="77777777" w:rsidTr="00582482">
        <w:trPr>
          <w:trHeight w:val="163"/>
          <w:jc w:val="center"/>
        </w:trPr>
        <w:tc>
          <w:tcPr>
            <w:tcW w:w="2328" w:type="pct"/>
            <w:tcBorders>
              <w:top w:val="nil"/>
              <w:left w:val="nil"/>
              <w:bottom w:val="nil"/>
              <w:right w:val="nil"/>
            </w:tcBorders>
            <w:shd w:val="clear" w:color="auto" w:fill="auto"/>
            <w:noWrap/>
            <w:vAlign w:val="center"/>
          </w:tcPr>
          <w:p w14:paraId="6950827E" w14:textId="6C9B8E07"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Neuroticism</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50AB1AC7"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-0.026***</w:t>
            </w:r>
          </w:p>
        </w:tc>
        <w:tc>
          <w:tcPr>
            <w:tcW w:w="533" w:type="pct"/>
            <w:tcBorders>
              <w:top w:val="nil"/>
              <w:left w:val="nil"/>
              <w:bottom w:val="nil"/>
              <w:right w:val="nil"/>
            </w:tcBorders>
            <w:shd w:val="clear" w:color="auto" w:fill="auto"/>
            <w:noWrap/>
            <w:vAlign w:val="bottom"/>
          </w:tcPr>
          <w:p w14:paraId="4F2F1990"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c>
          <w:tcPr>
            <w:tcW w:w="799" w:type="pct"/>
            <w:tcBorders>
              <w:top w:val="nil"/>
              <w:left w:val="nil"/>
              <w:bottom w:val="nil"/>
              <w:right w:val="nil"/>
            </w:tcBorders>
            <w:shd w:val="clear" w:color="auto" w:fill="auto"/>
            <w:noWrap/>
            <w:vAlign w:val="bottom"/>
          </w:tcPr>
          <w:p w14:paraId="5CF477E9"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-0.028***</w:t>
            </w:r>
          </w:p>
        </w:tc>
        <w:tc>
          <w:tcPr>
            <w:tcW w:w="510" w:type="pct"/>
            <w:tcBorders>
              <w:top w:val="nil"/>
              <w:left w:val="nil"/>
              <w:bottom w:val="nil"/>
              <w:right w:val="nil"/>
            </w:tcBorders>
            <w:shd w:val="clear" w:color="auto" w:fill="auto"/>
            <w:noWrap/>
            <w:vAlign w:val="bottom"/>
          </w:tcPr>
          <w:p w14:paraId="29A9143E"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r>
      <w:tr w:rsidR="00F73654" w:rsidRPr="003A6DFC" w14:paraId="3D9A8247" w14:textId="77777777" w:rsidTr="00582482">
        <w:trPr>
          <w:trHeight w:val="163"/>
          <w:jc w:val="center"/>
        </w:trPr>
        <w:tc>
          <w:tcPr>
            <w:tcW w:w="2328" w:type="pct"/>
            <w:tcBorders>
              <w:top w:val="nil"/>
              <w:left w:val="nil"/>
              <w:bottom w:val="nil"/>
              <w:right w:val="nil"/>
            </w:tcBorders>
            <w:shd w:val="clear" w:color="auto" w:fill="auto"/>
            <w:noWrap/>
            <w:vAlign w:val="center"/>
          </w:tcPr>
          <w:p w14:paraId="2BD844F3" w14:textId="1526C996" w:rsidR="00F73654" w:rsidRPr="003A6DFC" w:rsidRDefault="00F73654" w:rsidP="00F73654">
            <w:pPr>
              <w:spacing w:after="0" w:line="240" w:lineRule="auto"/>
              <w:rPr>
                <w:rFonts w:ascii="Century" w:hAnsi="Century"/>
                <w:sz w:val="18"/>
                <w:szCs w:val="18"/>
                <w:lang w:eastAsia="en-GB"/>
              </w:rPr>
            </w:pPr>
            <w:r w:rsidRPr="003A6DFC">
              <w:rPr>
                <w:rFonts w:ascii="Century" w:hAnsi="Century"/>
                <w:sz w:val="18"/>
                <w:szCs w:val="18"/>
                <w:lang w:eastAsia="en-GB"/>
              </w:rPr>
              <w:t>Openness to experience</w:t>
            </w:r>
            <w:r w:rsidRPr="003A6DFC">
              <w:rPr>
                <w:rFonts w:ascii="Century" w:hAnsi="Century"/>
                <w:sz w:val="18"/>
                <w:szCs w:val="18"/>
                <w:vertAlign w:val="superscript"/>
                <w:lang w:eastAsia="en-GB"/>
              </w:rPr>
              <w:t>†</w:t>
            </w:r>
          </w:p>
        </w:tc>
        <w:tc>
          <w:tcPr>
            <w:tcW w:w="830" w:type="pct"/>
            <w:tcBorders>
              <w:top w:val="nil"/>
              <w:left w:val="nil"/>
              <w:bottom w:val="nil"/>
              <w:right w:val="nil"/>
            </w:tcBorders>
            <w:shd w:val="clear" w:color="auto" w:fill="auto"/>
            <w:noWrap/>
            <w:vAlign w:val="bottom"/>
          </w:tcPr>
          <w:p w14:paraId="22D9E131"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0.020***</w:t>
            </w:r>
          </w:p>
        </w:tc>
        <w:tc>
          <w:tcPr>
            <w:tcW w:w="533" w:type="pct"/>
            <w:tcBorders>
              <w:top w:val="nil"/>
              <w:left w:val="nil"/>
              <w:bottom w:val="nil"/>
              <w:right w:val="nil"/>
            </w:tcBorders>
            <w:shd w:val="clear" w:color="auto" w:fill="auto"/>
            <w:noWrap/>
            <w:vAlign w:val="bottom"/>
          </w:tcPr>
          <w:p w14:paraId="1BA0D026"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c>
          <w:tcPr>
            <w:tcW w:w="799" w:type="pct"/>
            <w:tcBorders>
              <w:top w:val="nil"/>
              <w:left w:val="nil"/>
              <w:bottom w:val="nil"/>
              <w:right w:val="nil"/>
            </w:tcBorders>
            <w:shd w:val="clear" w:color="auto" w:fill="auto"/>
            <w:noWrap/>
            <w:vAlign w:val="bottom"/>
          </w:tcPr>
          <w:p w14:paraId="035DEFE4"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0.022***</w:t>
            </w:r>
          </w:p>
        </w:tc>
        <w:tc>
          <w:tcPr>
            <w:tcW w:w="510" w:type="pct"/>
            <w:tcBorders>
              <w:top w:val="nil"/>
              <w:left w:val="nil"/>
              <w:bottom w:val="nil"/>
              <w:right w:val="nil"/>
            </w:tcBorders>
            <w:shd w:val="clear" w:color="auto" w:fill="auto"/>
            <w:noWrap/>
            <w:vAlign w:val="bottom"/>
          </w:tcPr>
          <w:p w14:paraId="45C8A624" w14:textId="77777777" w:rsidR="00F73654" w:rsidRPr="003A6DFC" w:rsidRDefault="00F73654" w:rsidP="00F73654">
            <w:pPr>
              <w:spacing w:after="0" w:line="240" w:lineRule="auto"/>
              <w:jc w:val="center"/>
              <w:rPr>
                <w:rFonts w:ascii="Century" w:hAnsi="Century"/>
                <w:sz w:val="18"/>
                <w:szCs w:val="18"/>
                <w:lang w:eastAsia="en-GB"/>
              </w:rPr>
            </w:pPr>
            <w:r w:rsidRPr="003A6DFC">
              <w:rPr>
                <w:rFonts w:ascii="Century" w:hAnsi="Century"/>
                <w:sz w:val="18"/>
                <w:szCs w:val="18"/>
                <w:lang w:eastAsia="en-GB"/>
              </w:rPr>
              <w:t>0.006</w:t>
            </w:r>
          </w:p>
        </w:tc>
      </w:tr>
      <w:tr w:rsidR="00BB05A9" w:rsidRPr="003A6DFC" w14:paraId="7A4A7576" w14:textId="77777777" w:rsidTr="00DD7A95">
        <w:trPr>
          <w:trHeight w:val="163"/>
          <w:jc w:val="center"/>
        </w:trPr>
        <w:tc>
          <w:tcPr>
            <w:tcW w:w="2328" w:type="pct"/>
            <w:tcBorders>
              <w:top w:val="nil"/>
              <w:left w:val="nil"/>
              <w:right w:val="nil"/>
            </w:tcBorders>
            <w:shd w:val="clear" w:color="auto" w:fill="auto"/>
            <w:noWrap/>
            <w:vAlign w:val="center"/>
          </w:tcPr>
          <w:p w14:paraId="6B84B768" w14:textId="4E03FFED" w:rsidR="00BB05A9" w:rsidRPr="003A6DFC" w:rsidRDefault="00BB05A9" w:rsidP="00DD7A95">
            <w:pPr>
              <w:spacing w:after="0" w:line="240" w:lineRule="auto"/>
              <w:rPr>
                <w:rFonts w:ascii="Century" w:eastAsia="Times New Roman" w:hAnsi="Century" w:cs="Calibri"/>
                <w:sz w:val="18"/>
                <w:szCs w:val="18"/>
                <w:lang w:val="en-GB" w:eastAsia="en-GB"/>
              </w:rPr>
            </w:pPr>
            <w:r w:rsidRPr="003A6DFC">
              <w:rPr>
                <w:rFonts w:ascii="Century" w:hAnsi="Century"/>
                <w:sz w:val="18"/>
                <w:szCs w:val="18"/>
                <w:lang w:eastAsia="en-GB"/>
              </w:rPr>
              <w:t>Multiple adult interviews/HH</w:t>
            </w:r>
          </w:p>
        </w:tc>
        <w:tc>
          <w:tcPr>
            <w:tcW w:w="830" w:type="pct"/>
            <w:tcBorders>
              <w:top w:val="nil"/>
              <w:left w:val="nil"/>
              <w:right w:val="nil"/>
            </w:tcBorders>
            <w:shd w:val="clear" w:color="auto" w:fill="auto"/>
            <w:noWrap/>
            <w:vAlign w:val="center"/>
          </w:tcPr>
          <w:p w14:paraId="5D7CF3E9"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-0.012</w:t>
            </w:r>
          </w:p>
        </w:tc>
        <w:tc>
          <w:tcPr>
            <w:tcW w:w="533" w:type="pct"/>
            <w:tcBorders>
              <w:top w:val="nil"/>
              <w:left w:val="nil"/>
              <w:right w:val="nil"/>
            </w:tcBorders>
            <w:shd w:val="clear" w:color="auto" w:fill="auto"/>
            <w:noWrap/>
            <w:vAlign w:val="center"/>
          </w:tcPr>
          <w:p w14:paraId="1DA61779"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0.014</w:t>
            </w:r>
          </w:p>
        </w:tc>
        <w:tc>
          <w:tcPr>
            <w:tcW w:w="799" w:type="pct"/>
            <w:tcBorders>
              <w:top w:val="nil"/>
              <w:left w:val="nil"/>
              <w:right w:val="nil"/>
            </w:tcBorders>
            <w:shd w:val="clear" w:color="auto" w:fill="auto"/>
            <w:noWrap/>
            <w:vAlign w:val="center"/>
          </w:tcPr>
          <w:p w14:paraId="07DF5108"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-0.013</w:t>
            </w:r>
          </w:p>
        </w:tc>
        <w:tc>
          <w:tcPr>
            <w:tcW w:w="510" w:type="pct"/>
            <w:tcBorders>
              <w:top w:val="nil"/>
              <w:left w:val="nil"/>
              <w:right w:val="nil"/>
            </w:tcBorders>
            <w:shd w:val="clear" w:color="auto" w:fill="auto"/>
            <w:noWrap/>
            <w:vAlign w:val="center"/>
          </w:tcPr>
          <w:p w14:paraId="1D344BBE"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0.015</w:t>
            </w:r>
          </w:p>
        </w:tc>
      </w:tr>
      <w:tr w:rsidR="00BB05A9" w:rsidRPr="003A6DFC" w14:paraId="665833A8" w14:textId="77777777" w:rsidTr="00DD7A95">
        <w:trPr>
          <w:trHeight w:val="163"/>
          <w:jc w:val="center"/>
        </w:trPr>
        <w:tc>
          <w:tcPr>
            <w:tcW w:w="2328" w:type="pct"/>
            <w:tcBorders>
              <w:top w:val="nil"/>
              <w:left w:val="nil"/>
              <w:bottom w:val="nil"/>
              <w:right w:val="nil"/>
            </w:tcBorders>
            <w:shd w:val="clear" w:color="auto" w:fill="auto"/>
            <w:noWrap/>
            <w:vAlign w:val="center"/>
          </w:tcPr>
          <w:p w14:paraId="15892DF9" w14:textId="77777777" w:rsidR="00BB05A9" w:rsidRPr="003A6DFC" w:rsidRDefault="00BB05A9" w:rsidP="00DD7A95">
            <w:pPr>
              <w:spacing w:after="0" w:line="240" w:lineRule="auto"/>
              <w:rPr>
                <w:rFonts w:ascii="Century" w:eastAsia="Times New Roman" w:hAnsi="Century" w:cs="Calibri"/>
                <w:sz w:val="18"/>
                <w:szCs w:val="18"/>
                <w:lang w:val="en-GB" w:eastAsia="en-GB"/>
              </w:rPr>
            </w:pPr>
            <w:r w:rsidRPr="003A6DFC">
              <w:rPr>
                <w:rFonts w:ascii="Century" w:hAnsi="Century"/>
                <w:sz w:val="18"/>
                <w:szCs w:val="18"/>
                <w:lang w:eastAsia="en-GB"/>
              </w:rPr>
              <w:t>Children (aged 10-15) interviewed/HH</w:t>
            </w:r>
          </w:p>
        </w:tc>
        <w:tc>
          <w:tcPr>
            <w:tcW w:w="830" w:type="pct"/>
            <w:tcBorders>
              <w:top w:val="nil"/>
              <w:left w:val="nil"/>
              <w:bottom w:val="nil"/>
              <w:right w:val="nil"/>
            </w:tcBorders>
            <w:shd w:val="clear" w:color="auto" w:fill="auto"/>
            <w:noWrap/>
            <w:vAlign w:val="center"/>
          </w:tcPr>
          <w:p w14:paraId="4AB577E8"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0.032**</w:t>
            </w:r>
          </w:p>
        </w:tc>
        <w:tc>
          <w:tcPr>
            <w:tcW w:w="533" w:type="pct"/>
            <w:tcBorders>
              <w:top w:val="nil"/>
              <w:left w:val="nil"/>
              <w:bottom w:val="nil"/>
              <w:right w:val="nil"/>
            </w:tcBorders>
            <w:shd w:val="clear" w:color="auto" w:fill="auto"/>
            <w:noWrap/>
            <w:vAlign w:val="center"/>
          </w:tcPr>
          <w:p w14:paraId="2EC5DFF1"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0.015</w:t>
            </w:r>
          </w:p>
        </w:tc>
        <w:tc>
          <w:tcPr>
            <w:tcW w:w="799" w:type="pct"/>
            <w:tcBorders>
              <w:top w:val="nil"/>
              <w:left w:val="nil"/>
              <w:bottom w:val="nil"/>
              <w:right w:val="nil"/>
            </w:tcBorders>
            <w:shd w:val="clear" w:color="auto" w:fill="auto"/>
            <w:noWrap/>
            <w:vAlign w:val="center"/>
          </w:tcPr>
          <w:p w14:paraId="782CE029"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0.029*</w:t>
            </w:r>
          </w:p>
        </w:tc>
        <w:tc>
          <w:tcPr>
            <w:tcW w:w="510" w:type="pct"/>
            <w:tcBorders>
              <w:top w:val="nil"/>
              <w:left w:val="nil"/>
              <w:bottom w:val="nil"/>
              <w:right w:val="nil"/>
            </w:tcBorders>
            <w:shd w:val="clear" w:color="auto" w:fill="auto"/>
            <w:noWrap/>
            <w:vAlign w:val="center"/>
          </w:tcPr>
          <w:p w14:paraId="6CA08D43" w14:textId="77777777" w:rsidR="00BB05A9" w:rsidRPr="003A6DFC" w:rsidRDefault="00BB05A9" w:rsidP="00DD7A95">
            <w:pPr>
              <w:spacing w:after="0" w:line="240" w:lineRule="auto"/>
              <w:jc w:val="center"/>
              <w:rPr>
                <w:rFonts w:ascii="Century" w:eastAsia="Times New Roman" w:hAnsi="Century" w:cs="Calibri"/>
                <w:sz w:val="18"/>
                <w:szCs w:val="18"/>
                <w:lang w:val="en-GB" w:eastAsia="en-GB"/>
              </w:rPr>
            </w:pPr>
            <w:r w:rsidRPr="003A6DFC">
              <w:rPr>
                <w:rFonts w:ascii="Century" w:hAnsi="Century" w:cs="Calibri"/>
                <w:sz w:val="18"/>
                <w:szCs w:val="18"/>
              </w:rPr>
              <w:t>0.016</w:t>
            </w:r>
          </w:p>
        </w:tc>
      </w:tr>
      <w:tr w:rsidR="00BB05A9" w:rsidRPr="003A6DFC" w14:paraId="17C0B30F" w14:textId="77777777" w:rsidTr="00DD7A95">
        <w:trPr>
          <w:trHeight w:val="163"/>
          <w:jc w:val="center"/>
        </w:trPr>
        <w:tc>
          <w:tcPr>
            <w:tcW w:w="2328" w:type="pct"/>
            <w:tcBorders>
              <w:top w:val="nil"/>
              <w:left w:val="nil"/>
              <w:bottom w:val="nil"/>
              <w:right w:val="nil"/>
            </w:tcBorders>
            <w:shd w:val="clear" w:color="auto" w:fill="auto"/>
            <w:noWrap/>
            <w:vAlign w:val="center"/>
          </w:tcPr>
          <w:p w14:paraId="60C298A9" w14:textId="77777777" w:rsidR="00BB05A9" w:rsidRPr="003A6DFC" w:rsidRDefault="00BB05A9" w:rsidP="00DD7A95">
            <w:pPr>
              <w:spacing w:after="0" w:line="240" w:lineRule="auto"/>
              <w:rPr>
                <w:rFonts w:ascii="Century" w:hAnsi="Century"/>
                <w:sz w:val="18"/>
                <w:szCs w:val="18"/>
                <w:lang w:eastAsia="en-GB"/>
              </w:rPr>
            </w:pPr>
            <w:r w:rsidRPr="003A6DFC">
              <w:rPr>
                <w:rFonts w:ascii="Century" w:hAnsi="Century"/>
                <w:sz w:val="18"/>
                <w:szCs w:val="18"/>
                <w:lang w:eastAsia="en-GB"/>
              </w:rPr>
              <w:t>Wave 3</w:t>
            </w:r>
          </w:p>
        </w:tc>
        <w:tc>
          <w:tcPr>
            <w:tcW w:w="830" w:type="pct"/>
            <w:tcBorders>
              <w:top w:val="nil"/>
              <w:left w:val="nil"/>
              <w:bottom w:val="nil"/>
              <w:right w:val="nil"/>
            </w:tcBorders>
            <w:shd w:val="clear" w:color="auto" w:fill="auto"/>
            <w:noWrap/>
            <w:vAlign w:val="center"/>
          </w:tcPr>
          <w:p w14:paraId="24676310" w14:textId="77777777" w:rsidR="00BB05A9" w:rsidRPr="003A6DFC" w:rsidRDefault="00BB05A9" w:rsidP="00DD7A95">
            <w:pPr>
              <w:spacing w:after="0" w:line="240" w:lineRule="auto"/>
              <w:jc w:val="center"/>
              <w:rPr>
                <w:rFonts w:ascii="Century" w:hAnsi="Century" w:cs="Calibri"/>
                <w:sz w:val="18"/>
                <w:szCs w:val="18"/>
              </w:rPr>
            </w:pPr>
            <w:r w:rsidRPr="003A6DFC">
              <w:rPr>
                <w:rFonts w:ascii="Century" w:hAnsi="Century" w:cs="Calibri"/>
                <w:sz w:val="18"/>
                <w:szCs w:val="18"/>
              </w:rPr>
              <w:t>-0.037***</w:t>
            </w:r>
          </w:p>
        </w:tc>
        <w:tc>
          <w:tcPr>
            <w:tcW w:w="533" w:type="pct"/>
            <w:tcBorders>
              <w:top w:val="nil"/>
              <w:left w:val="nil"/>
              <w:bottom w:val="nil"/>
              <w:right w:val="nil"/>
            </w:tcBorders>
            <w:shd w:val="clear" w:color="auto" w:fill="auto"/>
            <w:noWrap/>
            <w:vAlign w:val="center"/>
          </w:tcPr>
          <w:p w14:paraId="2D502438" w14:textId="77777777" w:rsidR="00BB05A9" w:rsidRPr="003A6DFC" w:rsidRDefault="00BB05A9" w:rsidP="00DD7A95">
            <w:pPr>
              <w:spacing w:after="0" w:line="240" w:lineRule="auto"/>
              <w:jc w:val="center"/>
              <w:rPr>
                <w:rFonts w:ascii="Century" w:hAnsi="Century" w:cs="Calibri"/>
                <w:sz w:val="18"/>
                <w:szCs w:val="18"/>
              </w:rPr>
            </w:pPr>
            <w:r w:rsidRPr="003A6DFC">
              <w:rPr>
                <w:rFonts w:ascii="Century" w:hAnsi="Century" w:cs="Calibri"/>
                <w:sz w:val="18"/>
                <w:szCs w:val="18"/>
              </w:rPr>
              <w:t>0.013</w:t>
            </w:r>
          </w:p>
        </w:tc>
        <w:tc>
          <w:tcPr>
            <w:tcW w:w="799" w:type="pct"/>
            <w:tcBorders>
              <w:top w:val="nil"/>
              <w:left w:val="nil"/>
              <w:bottom w:val="nil"/>
              <w:right w:val="nil"/>
            </w:tcBorders>
            <w:shd w:val="clear" w:color="auto" w:fill="auto"/>
            <w:noWrap/>
            <w:vAlign w:val="center"/>
          </w:tcPr>
          <w:p w14:paraId="768A5627" w14:textId="77777777" w:rsidR="00BB05A9" w:rsidRPr="003A6DFC" w:rsidRDefault="00BB05A9" w:rsidP="00DD7A95">
            <w:pPr>
              <w:spacing w:after="0" w:line="240" w:lineRule="auto"/>
              <w:jc w:val="center"/>
              <w:rPr>
                <w:rFonts w:ascii="Century" w:hAnsi="Century" w:cs="Calibri"/>
                <w:sz w:val="18"/>
                <w:szCs w:val="18"/>
              </w:rPr>
            </w:pPr>
            <w:r w:rsidRPr="003A6DFC">
              <w:rPr>
                <w:rFonts w:ascii="Century" w:hAnsi="Century" w:cs="Calibri"/>
                <w:sz w:val="18"/>
                <w:szCs w:val="18"/>
              </w:rPr>
              <w:t>-0.040***</w:t>
            </w:r>
          </w:p>
        </w:tc>
        <w:tc>
          <w:tcPr>
            <w:tcW w:w="510" w:type="pct"/>
            <w:tcBorders>
              <w:top w:val="nil"/>
              <w:left w:val="nil"/>
              <w:bottom w:val="nil"/>
              <w:right w:val="nil"/>
            </w:tcBorders>
            <w:shd w:val="clear" w:color="auto" w:fill="auto"/>
            <w:noWrap/>
            <w:vAlign w:val="center"/>
          </w:tcPr>
          <w:p w14:paraId="3417FFE5" w14:textId="77777777" w:rsidR="00BB05A9" w:rsidRPr="003A6DFC" w:rsidRDefault="00BB05A9" w:rsidP="00DD7A95">
            <w:pPr>
              <w:spacing w:after="0" w:line="240" w:lineRule="auto"/>
              <w:jc w:val="center"/>
              <w:rPr>
                <w:rFonts w:ascii="Century" w:hAnsi="Century" w:cs="Calibri"/>
                <w:sz w:val="18"/>
                <w:szCs w:val="18"/>
              </w:rPr>
            </w:pPr>
            <w:r w:rsidRPr="003A6DFC">
              <w:rPr>
                <w:rFonts w:ascii="Century" w:hAnsi="Century" w:cs="Calibri"/>
                <w:sz w:val="18"/>
                <w:szCs w:val="18"/>
              </w:rPr>
              <w:t>0.014</w:t>
            </w:r>
          </w:p>
        </w:tc>
      </w:tr>
      <w:tr w:rsidR="00BB05A9" w:rsidRPr="003A6DFC" w14:paraId="7A0A4F4A" w14:textId="77777777" w:rsidTr="00DD7A95">
        <w:trPr>
          <w:trHeight w:val="163"/>
          <w:jc w:val="center"/>
        </w:trPr>
        <w:tc>
          <w:tcPr>
            <w:tcW w:w="2328" w:type="pct"/>
            <w:tcBorders>
              <w:top w:val="nil"/>
              <w:left w:val="nil"/>
              <w:bottom w:val="nil"/>
              <w:right w:val="nil"/>
            </w:tcBorders>
            <w:shd w:val="clear" w:color="auto" w:fill="auto"/>
            <w:noWrap/>
            <w:vAlign w:val="center"/>
          </w:tcPr>
          <w:p w14:paraId="56A20922" w14:textId="77777777" w:rsidR="00BB05A9" w:rsidRPr="003A6DFC" w:rsidRDefault="00BB05A9" w:rsidP="00DD7A95">
            <w:pPr>
              <w:spacing w:after="0" w:line="240" w:lineRule="auto"/>
              <w:rPr>
                <w:rFonts w:ascii="Century" w:hAnsi="Century"/>
                <w:sz w:val="18"/>
                <w:szCs w:val="18"/>
                <w:lang w:eastAsia="en-GB"/>
              </w:rPr>
            </w:pPr>
            <w:r w:rsidRPr="003A6DFC">
              <w:rPr>
                <w:rFonts w:ascii="Century" w:hAnsi="Century"/>
                <w:sz w:val="18"/>
                <w:szCs w:val="18"/>
                <w:lang w:eastAsia="en-GB"/>
              </w:rPr>
              <w:t>Wave 4</w:t>
            </w:r>
          </w:p>
        </w:tc>
        <w:tc>
          <w:tcPr>
            <w:tcW w:w="830" w:type="pct"/>
            <w:tcBorders>
              <w:top w:val="nil"/>
              <w:left w:val="nil"/>
              <w:bottom w:val="nil"/>
              <w:right w:val="nil"/>
            </w:tcBorders>
            <w:shd w:val="clear" w:color="auto" w:fill="auto"/>
            <w:noWrap/>
            <w:vAlign w:val="center"/>
          </w:tcPr>
          <w:p w14:paraId="21455085" w14:textId="77777777" w:rsidR="00BB05A9" w:rsidRPr="003A6DFC" w:rsidRDefault="00BB05A9" w:rsidP="00DD7A95">
            <w:pPr>
              <w:spacing w:after="0" w:line="240" w:lineRule="auto"/>
              <w:jc w:val="center"/>
              <w:rPr>
                <w:rFonts w:ascii="Century" w:hAnsi="Century" w:cs="Calibri"/>
                <w:color w:val="000000"/>
                <w:sz w:val="18"/>
                <w:szCs w:val="18"/>
              </w:rPr>
            </w:pPr>
            <w:r w:rsidRPr="003A6DFC">
              <w:rPr>
                <w:rFonts w:ascii="Century" w:hAnsi="Century" w:cs="Calibri"/>
                <w:color w:val="000000"/>
                <w:sz w:val="18"/>
                <w:szCs w:val="18"/>
              </w:rPr>
              <w:t>-0.097***</w:t>
            </w:r>
          </w:p>
        </w:tc>
        <w:tc>
          <w:tcPr>
            <w:tcW w:w="533" w:type="pct"/>
            <w:tcBorders>
              <w:top w:val="nil"/>
              <w:left w:val="nil"/>
              <w:bottom w:val="nil"/>
              <w:right w:val="nil"/>
            </w:tcBorders>
            <w:shd w:val="clear" w:color="auto" w:fill="auto"/>
            <w:noWrap/>
            <w:vAlign w:val="center"/>
          </w:tcPr>
          <w:p w14:paraId="7B2EB8C2" w14:textId="77777777" w:rsidR="00BB05A9" w:rsidRPr="003A6DFC" w:rsidRDefault="00BB05A9" w:rsidP="00DD7A95">
            <w:pPr>
              <w:spacing w:after="0" w:line="240" w:lineRule="auto"/>
              <w:jc w:val="center"/>
              <w:rPr>
                <w:rFonts w:ascii="Century" w:hAnsi="Century" w:cs="Calibri"/>
                <w:color w:val="000000"/>
                <w:sz w:val="18"/>
                <w:szCs w:val="18"/>
              </w:rPr>
            </w:pPr>
            <w:r w:rsidRPr="003A6DFC">
              <w:rPr>
                <w:rFonts w:ascii="Century" w:hAnsi="Century" w:cs="Calibri"/>
                <w:color w:val="000000"/>
                <w:sz w:val="18"/>
                <w:szCs w:val="18"/>
              </w:rPr>
              <w:t>0.013</w:t>
            </w:r>
          </w:p>
        </w:tc>
        <w:tc>
          <w:tcPr>
            <w:tcW w:w="799" w:type="pct"/>
            <w:tcBorders>
              <w:top w:val="nil"/>
              <w:left w:val="nil"/>
              <w:bottom w:val="nil"/>
              <w:right w:val="nil"/>
            </w:tcBorders>
            <w:shd w:val="clear" w:color="auto" w:fill="auto"/>
            <w:noWrap/>
            <w:vAlign w:val="center"/>
          </w:tcPr>
          <w:p w14:paraId="4A72DE64" w14:textId="77777777" w:rsidR="00BB05A9" w:rsidRPr="003A6DFC" w:rsidRDefault="00BB05A9" w:rsidP="00DD7A95">
            <w:pPr>
              <w:spacing w:after="0" w:line="240" w:lineRule="auto"/>
              <w:jc w:val="center"/>
              <w:rPr>
                <w:rFonts w:ascii="Century" w:hAnsi="Century" w:cs="Calibri"/>
                <w:color w:val="000000"/>
                <w:sz w:val="18"/>
                <w:szCs w:val="18"/>
              </w:rPr>
            </w:pPr>
            <w:r w:rsidRPr="003A6DFC">
              <w:rPr>
                <w:rFonts w:ascii="Century" w:hAnsi="Century" w:cs="Calibri"/>
                <w:color w:val="000000"/>
                <w:sz w:val="18"/>
                <w:szCs w:val="18"/>
              </w:rPr>
              <w:t>-0.105***</w:t>
            </w:r>
          </w:p>
        </w:tc>
        <w:tc>
          <w:tcPr>
            <w:tcW w:w="510" w:type="pct"/>
            <w:tcBorders>
              <w:top w:val="nil"/>
              <w:left w:val="nil"/>
              <w:bottom w:val="nil"/>
              <w:right w:val="nil"/>
            </w:tcBorders>
            <w:shd w:val="clear" w:color="auto" w:fill="auto"/>
            <w:noWrap/>
            <w:vAlign w:val="center"/>
          </w:tcPr>
          <w:p w14:paraId="33CA7C2B" w14:textId="77777777" w:rsidR="00BB05A9" w:rsidRPr="003A6DFC" w:rsidRDefault="00BB05A9" w:rsidP="00DD7A95">
            <w:pPr>
              <w:spacing w:after="0" w:line="240" w:lineRule="auto"/>
              <w:jc w:val="center"/>
              <w:rPr>
                <w:rFonts w:ascii="Century" w:hAnsi="Century" w:cs="Calibri"/>
                <w:color w:val="000000"/>
                <w:sz w:val="18"/>
                <w:szCs w:val="18"/>
              </w:rPr>
            </w:pPr>
            <w:r w:rsidRPr="003A6DFC">
              <w:rPr>
                <w:rFonts w:ascii="Century" w:hAnsi="Century" w:cs="Calibri"/>
                <w:color w:val="000000"/>
                <w:sz w:val="18"/>
                <w:szCs w:val="18"/>
              </w:rPr>
              <w:t>0.014</w:t>
            </w:r>
          </w:p>
        </w:tc>
      </w:tr>
      <w:tr w:rsidR="00BB05A9" w:rsidRPr="003A6DFC" w14:paraId="184AC982" w14:textId="77777777" w:rsidTr="00DD7A95">
        <w:trPr>
          <w:trHeight w:val="163"/>
          <w:jc w:val="center"/>
        </w:trPr>
        <w:tc>
          <w:tcPr>
            <w:tcW w:w="2328" w:type="pct"/>
            <w:tcBorders>
              <w:top w:val="nil"/>
              <w:left w:val="nil"/>
              <w:bottom w:val="nil"/>
              <w:right w:val="nil"/>
            </w:tcBorders>
            <w:shd w:val="clear" w:color="auto" w:fill="auto"/>
            <w:noWrap/>
            <w:vAlign w:val="center"/>
          </w:tcPr>
          <w:p w14:paraId="7890C9A2" w14:textId="77777777" w:rsidR="00BB05A9" w:rsidRPr="003A6DFC" w:rsidRDefault="00BB05A9" w:rsidP="00DD7A95">
            <w:pPr>
              <w:spacing w:after="0" w:line="240" w:lineRule="auto"/>
              <w:rPr>
                <w:rFonts w:ascii="Century" w:hAnsi="Century"/>
                <w:sz w:val="18"/>
                <w:szCs w:val="18"/>
                <w:lang w:eastAsia="en-GB"/>
              </w:rPr>
            </w:pPr>
            <w:r w:rsidRPr="003A6DFC">
              <w:rPr>
                <w:rFonts w:ascii="Century" w:hAnsi="Century"/>
                <w:sz w:val="18"/>
                <w:szCs w:val="18"/>
                <w:lang w:eastAsia="en-GB"/>
              </w:rPr>
              <w:t>Wave 5</w:t>
            </w:r>
          </w:p>
        </w:tc>
        <w:tc>
          <w:tcPr>
            <w:tcW w:w="830" w:type="pct"/>
            <w:tcBorders>
              <w:top w:val="nil"/>
              <w:left w:val="nil"/>
              <w:bottom w:val="nil"/>
              <w:right w:val="nil"/>
            </w:tcBorders>
            <w:shd w:val="clear" w:color="auto" w:fill="auto"/>
            <w:noWrap/>
            <w:vAlign w:val="center"/>
          </w:tcPr>
          <w:p w14:paraId="65944083" w14:textId="77777777" w:rsidR="00BB05A9" w:rsidRPr="003A6DFC" w:rsidRDefault="00BB05A9" w:rsidP="00DD7A95">
            <w:pPr>
              <w:spacing w:after="0" w:line="240" w:lineRule="auto"/>
              <w:jc w:val="center"/>
              <w:rPr>
                <w:rFonts w:ascii="Century" w:hAnsi="Century" w:cs="Calibri"/>
                <w:color w:val="000000"/>
                <w:sz w:val="18"/>
                <w:szCs w:val="18"/>
              </w:rPr>
            </w:pPr>
            <w:r w:rsidRPr="003A6DFC">
              <w:rPr>
                <w:rFonts w:ascii="Century" w:hAnsi="Century" w:cs="Calibri"/>
                <w:color w:val="000000"/>
                <w:sz w:val="18"/>
                <w:szCs w:val="18"/>
              </w:rPr>
              <w:t>-0.158***</w:t>
            </w:r>
          </w:p>
        </w:tc>
        <w:tc>
          <w:tcPr>
            <w:tcW w:w="533" w:type="pct"/>
            <w:tcBorders>
              <w:top w:val="nil"/>
              <w:left w:val="nil"/>
              <w:bottom w:val="nil"/>
              <w:right w:val="nil"/>
            </w:tcBorders>
            <w:shd w:val="clear" w:color="auto" w:fill="auto"/>
            <w:noWrap/>
            <w:vAlign w:val="center"/>
          </w:tcPr>
          <w:p w14:paraId="037BDAC1" w14:textId="77777777" w:rsidR="00BB05A9" w:rsidRPr="003A6DFC" w:rsidRDefault="00BB05A9" w:rsidP="00DD7A95">
            <w:pPr>
              <w:spacing w:after="0" w:line="240" w:lineRule="auto"/>
              <w:jc w:val="center"/>
              <w:rPr>
                <w:rFonts w:ascii="Century" w:hAnsi="Century" w:cs="Calibri"/>
                <w:color w:val="000000"/>
                <w:sz w:val="18"/>
                <w:szCs w:val="18"/>
              </w:rPr>
            </w:pPr>
            <w:r w:rsidRPr="003A6DFC">
              <w:rPr>
                <w:rFonts w:ascii="Century" w:hAnsi="Century" w:cs="Calibri"/>
                <w:color w:val="000000"/>
                <w:sz w:val="18"/>
                <w:szCs w:val="18"/>
              </w:rPr>
              <w:t>0.013</w:t>
            </w:r>
          </w:p>
        </w:tc>
        <w:tc>
          <w:tcPr>
            <w:tcW w:w="799" w:type="pct"/>
            <w:tcBorders>
              <w:top w:val="nil"/>
              <w:left w:val="nil"/>
              <w:bottom w:val="nil"/>
              <w:right w:val="nil"/>
            </w:tcBorders>
            <w:shd w:val="clear" w:color="auto" w:fill="auto"/>
            <w:noWrap/>
            <w:vAlign w:val="center"/>
          </w:tcPr>
          <w:p w14:paraId="4183C693" w14:textId="77777777" w:rsidR="00BB05A9" w:rsidRPr="003A6DFC" w:rsidRDefault="00BB05A9" w:rsidP="00DD7A95">
            <w:pPr>
              <w:spacing w:after="0" w:line="240" w:lineRule="auto"/>
              <w:jc w:val="center"/>
              <w:rPr>
                <w:rFonts w:ascii="Century" w:hAnsi="Century" w:cs="Calibri"/>
                <w:color w:val="000000"/>
                <w:sz w:val="18"/>
                <w:szCs w:val="18"/>
              </w:rPr>
            </w:pPr>
            <w:r w:rsidRPr="003A6DFC">
              <w:rPr>
                <w:rFonts w:ascii="Century" w:hAnsi="Century" w:cs="Calibri"/>
                <w:color w:val="000000"/>
                <w:sz w:val="18"/>
                <w:szCs w:val="18"/>
              </w:rPr>
              <w:t>-0.170***</w:t>
            </w:r>
          </w:p>
        </w:tc>
        <w:tc>
          <w:tcPr>
            <w:tcW w:w="510" w:type="pct"/>
            <w:tcBorders>
              <w:top w:val="nil"/>
              <w:left w:val="nil"/>
              <w:bottom w:val="nil"/>
              <w:right w:val="nil"/>
            </w:tcBorders>
            <w:shd w:val="clear" w:color="auto" w:fill="auto"/>
            <w:noWrap/>
            <w:vAlign w:val="center"/>
          </w:tcPr>
          <w:p w14:paraId="7765D289" w14:textId="77777777" w:rsidR="00BB05A9" w:rsidRPr="003A6DFC" w:rsidRDefault="00BB05A9" w:rsidP="00DD7A95">
            <w:pPr>
              <w:spacing w:after="0" w:line="240" w:lineRule="auto"/>
              <w:jc w:val="center"/>
              <w:rPr>
                <w:rFonts w:ascii="Century" w:hAnsi="Century" w:cs="Calibri"/>
                <w:color w:val="000000"/>
                <w:sz w:val="18"/>
                <w:szCs w:val="18"/>
              </w:rPr>
            </w:pPr>
            <w:r w:rsidRPr="003A6DFC">
              <w:rPr>
                <w:rFonts w:ascii="Century" w:hAnsi="Century" w:cs="Calibri"/>
                <w:color w:val="000000"/>
                <w:sz w:val="18"/>
                <w:szCs w:val="18"/>
              </w:rPr>
              <w:t>0.014</w:t>
            </w:r>
          </w:p>
        </w:tc>
      </w:tr>
      <w:tr w:rsidR="00BB05A9" w:rsidRPr="003A6DFC" w14:paraId="0302F7D1" w14:textId="77777777" w:rsidTr="00DD7A95">
        <w:trPr>
          <w:trHeight w:val="163"/>
          <w:jc w:val="center"/>
        </w:trPr>
        <w:tc>
          <w:tcPr>
            <w:tcW w:w="2328" w:type="pct"/>
            <w:tcBorders>
              <w:top w:val="nil"/>
              <w:left w:val="nil"/>
              <w:bottom w:val="single" w:sz="4" w:space="0" w:color="auto"/>
              <w:right w:val="nil"/>
            </w:tcBorders>
            <w:shd w:val="clear" w:color="auto" w:fill="auto"/>
            <w:noWrap/>
            <w:vAlign w:val="center"/>
          </w:tcPr>
          <w:p w14:paraId="08213DE5"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Constant</w:t>
            </w:r>
          </w:p>
        </w:tc>
        <w:tc>
          <w:tcPr>
            <w:tcW w:w="830" w:type="pct"/>
            <w:tcBorders>
              <w:top w:val="nil"/>
              <w:left w:val="nil"/>
              <w:bottom w:val="single" w:sz="4" w:space="0" w:color="auto"/>
              <w:right w:val="nil"/>
            </w:tcBorders>
            <w:shd w:val="clear" w:color="auto" w:fill="auto"/>
            <w:noWrap/>
            <w:vAlign w:val="center"/>
          </w:tcPr>
          <w:p w14:paraId="7E504078"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0.294***</w:t>
            </w:r>
          </w:p>
        </w:tc>
        <w:tc>
          <w:tcPr>
            <w:tcW w:w="533" w:type="pct"/>
            <w:tcBorders>
              <w:top w:val="nil"/>
              <w:left w:val="nil"/>
              <w:bottom w:val="single" w:sz="4" w:space="0" w:color="auto"/>
              <w:right w:val="nil"/>
            </w:tcBorders>
            <w:shd w:val="clear" w:color="auto" w:fill="auto"/>
            <w:noWrap/>
            <w:vAlign w:val="center"/>
          </w:tcPr>
          <w:p w14:paraId="67C64A54"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0.111</w:t>
            </w:r>
          </w:p>
        </w:tc>
        <w:tc>
          <w:tcPr>
            <w:tcW w:w="799" w:type="pct"/>
            <w:tcBorders>
              <w:top w:val="nil"/>
              <w:left w:val="nil"/>
              <w:bottom w:val="single" w:sz="4" w:space="0" w:color="auto"/>
              <w:right w:val="nil"/>
            </w:tcBorders>
            <w:shd w:val="clear" w:color="auto" w:fill="auto"/>
            <w:noWrap/>
            <w:vAlign w:val="center"/>
          </w:tcPr>
          <w:p w14:paraId="3D1E79C4"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0.282**</w:t>
            </w:r>
          </w:p>
        </w:tc>
        <w:tc>
          <w:tcPr>
            <w:tcW w:w="510" w:type="pct"/>
            <w:tcBorders>
              <w:top w:val="nil"/>
              <w:left w:val="nil"/>
              <w:bottom w:val="single" w:sz="4" w:space="0" w:color="auto"/>
              <w:right w:val="nil"/>
            </w:tcBorders>
            <w:shd w:val="clear" w:color="auto" w:fill="auto"/>
            <w:noWrap/>
            <w:vAlign w:val="center"/>
          </w:tcPr>
          <w:p w14:paraId="55323AB4"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0.117</w:t>
            </w:r>
          </w:p>
        </w:tc>
      </w:tr>
      <w:tr w:rsidR="00BB05A9" w:rsidRPr="003A6DFC" w14:paraId="1DA0AFA4" w14:textId="77777777" w:rsidTr="00DD7A95">
        <w:trPr>
          <w:trHeight w:val="163"/>
          <w:jc w:val="center"/>
        </w:trPr>
        <w:tc>
          <w:tcPr>
            <w:tcW w:w="2328" w:type="pct"/>
            <w:tcBorders>
              <w:top w:val="single" w:sz="4" w:space="0" w:color="auto"/>
              <w:left w:val="nil"/>
              <w:right w:val="nil"/>
            </w:tcBorders>
            <w:shd w:val="clear" w:color="auto" w:fill="auto"/>
            <w:noWrap/>
            <w:vAlign w:val="center"/>
          </w:tcPr>
          <w:p w14:paraId="23E9BA09"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Rho</w:t>
            </w:r>
          </w:p>
        </w:tc>
        <w:tc>
          <w:tcPr>
            <w:tcW w:w="830" w:type="pct"/>
            <w:tcBorders>
              <w:top w:val="single" w:sz="4" w:space="0" w:color="auto"/>
              <w:left w:val="nil"/>
              <w:right w:val="nil"/>
            </w:tcBorders>
            <w:shd w:val="clear" w:color="auto" w:fill="auto"/>
            <w:noWrap/>
            <w:vAlign w:val="bottom"/>
          </w:tcPr>
          <w:p w14:paraId="5892AC15"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p>
        </w:tc>
        <w:tc>
          <w:tcPr>
            <w:tcW w:w="533" w:type="pct"/>
            <w:tcBorders>
              <w:top w:val="single" w:sz="4" w:space="0" w:color="auto"/>
              <w:left w:val="nil"/>
              <w:right w:val="nil"/>
            </w:tcBorders>
            <w:shd w:val="clear" w:color="auto" w:fill="auto"/>
            <w:noWrap/>
            <w:vAlign w:val="bottom"/>
          </w:tcPr>
          <w:p w14:paraId="0DE0970B" w14:textId="77777777" w:rsidR="00BB05A9" w:rsidRPr="003A6DFC" w:rsidRDefault="00BB05A9" w:rsidP="00DD7A95">
            <w:pPr>
              <w:spacing w:after="0" w:line="240" w:lineRule="auto"/>
              <w:jc w:val="center"/>
              <w:rPr>
                <w:rFonts w:ascii="Century" w:eastAsia="Times New Roman" w:hAnsi="Century" w:cs="Times New Roman"/>
                <w:sz w:val="18"/>
                <w:szCs w:val="18"/>
                <w:lang w:val="en-GB" w:eastAsia="en-GB"/>
              </w:rPr>
            </w:pPr>
          </w:p>
        </w:tc>
        <w:tc>
          <w:tcPr>
            <w:tcW w:w="799" w:type="pct"/>
            <w:tcBorders>
              <w:top w:val="single" w:sz="4" w:space="0" w:color="auto"/>
              <w:left w:val="nil"/>
              <w:right w:val="nil"/>
            </w:tcBorders>
            <w:shd w:val="clear" w:color="auto" w:fill="auto"/>
            <w:noWrap/>
            <w:vAlign w:val="center"/>
          </w:tcPr>
          <w:p w14:paraId="7C0F4CAC"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0.121***</w:t>
            </w:r>
          </w:p>
        </w:tc>
        <w:tc>
          <w:tcPr>
            <w:tcW w:w="510" w:type="pct"/>
            <w:tcBorders>
              <w:top w:val="single" w:sz="4" w:space="0" w:color="auto"/>
              <w:left w:val="nil"/>
              <w:right w:val="nil"/>
            </w:tcBorders>
            <w:shd w:val="clear" w:color="auto" w:fill="auto"/>
            <w:noWrap/>
            <w:vAlign w:val="bottom"/>
          </w:tcPr>
          <w:p w14:paraId="71FD4DDB"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eastAsia="Times New Roman" w:hAnsi="Century" w:cs="Calibri"/>
                <w:color w:val="000000"/>
                <w:sz w:val="18"/>
                <w:szCs w:val="18"/>
                <w:lang w:val="en-GB" w:eastAsia="en-GB"/>
              </w:rPr>
              <w:t>0.006</w:t>
            </w:r>
          </w:p>
        </w:tc>
      </w:tr>
      <w:tr w:rsidR="00BB05A9" w:rsidRPr="003A6DFC" w14:paraId="1BE93A2D" w14:textId="77777777" w:rsidTr="00DD7A95">
        <w:trPr>
          <w:trHeight w:val="163"/>
          <w:jc w:val="center"/>
        </w:trPr>
        <w:tc>
          <w:tcPr>
            <w:tcW w:w="2328" w:type="pct"/>
            <w:tcBorders>
              <w:left w:val="nil"/>
              <w:bottom w:val="single" w:sz="4" w:space="0" w:color="auto"/>
              <w:right w:val="nil"/>
            </w:tcBorders>
            <w:shd w:val="clear" w:color="auto" w:fill="auto"/>
            <w:noWrap/>
            <w:vAlign w:val="center"/>
          </w:tcPr>
          <w:p w14:paraId="387EDB67"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Sigma(u)</w:t>
            </w:r>
          </w:p>
        </w:tc>
        <w:tc>
          <w:tcPr>
            <w:tcW w:w="830" w:type="pct"/>
            <w:tcBorders>
              <w:left w:val="nil"/>
              <w:bottom w:val="single" w:sz="4" w:space="0" w:color="auto"/>
              <w:right w:val="nil"/>
            </w:tcBorders>
            <w:shd w:val="clear" w:color="auto" w:fill="auto"/>
            <w:noWrap/>
            <w:vAlign w:val="bottom"/>
          </w:tcPr>
          <w:p w14:paraId="75B3DA6D"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p>
        </w:tc>
        <w:tc>
          <w:tcPr>
            <w:tcW w:w="533" w:type="pct"/>
            <w:tcBorders>
              <w:left w:val="nil"/>
              <w:bottom w:val="single" w:sz="4" w:space="0" w:color="auto"/>
              <w:right w:val="nil"/>
            </w:tcBorders>
            <w:shd w:val="clear" w:color="auto" w:fill="auto"/>
            <w:noWrap/>
            <w:vAlign w:val="bottom"/>
          </w:tcPr>
          <w:p w14:paraId="0FCF89E7" w14:textId="77777777" w:rsidR="00BB05A9" w:rsidRPr="003A6DFC" w:rsidRDefault="00BB05A9" w:rsidP="00DD7A95">
            <w:pPr>
              <w:spacing w:after="0" w:line="240" w:lineRule="auto"/>
              <w:jc w:val="center"/>
              <w:rPr>
                <w:rFonts w:ascii="Century" w:eastAsia="Times New Roman" w:hAnsi="Century" w:cs="Times New Roman"/>
                <w:sz w:val="18"/>
                <w:szCs w:val="18"/>
                <w:lang w:val="en-GB" w:eastAsia="en-GB"/>
              </w:rPr>
            </w:pPr>
          </w:p>
        </w:tc>
        <w:tc>
          <w:tcPr>
            <w:tcW w:w="799" w:type="pct"/>
            <w:tcBorders>
              <w:left w:val="nil"/>
              <w:bottom w:val="single" w:sz="4" w:space="0" w:color="auto"/>
              <w:right w:val="nil"/>
            </w:tcBorders>
            <w:shd w:val="clear" w:color="auto" w:fill="auto"/>
            <w:noWrap/>
            <w:vAlign w:val="center"/>
          </w:tcPr>
          <w:p w14:paraId="27EA119A"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0.371</w:t>
            </w:r>
            <w:r w:rsidRPr="003A6DFC">
              <w:rPr>
                <w:rFonts w:ascii="Century" w:eastAsia="Times New Roman" w:hAnsi="Century" w:cs="Calibri"/>
                <w:color w:val="000000"/>
                <w:sz w:val="18"/>
                <w:szCs w:val="18"/>
                <w:lang w:val="en-GB" w:eastAsia="en-GB"/>
              </w:rPr>
              <w:t>***</w:t>
            </w:r>
          </w:p>
        </w:tc>
        <w:tc>
          <w:tcPr>
            <w:tcW w:w="510" w:type="pct"/>
            <w:tcBorders>
              <w:left w:val="nil"/>
              <w:bottom w:val="single" w:sz="4" w:space="0" w:color="auto"/>
              <w:right w:val="nil"/>
            </w:tcBorders>
            <w:shd w:val="clear" w:color="auto" w:fill="auto"/>
            <w:noWrap/>
            <w:vAlign w:val="bottom"/>
          </w:tcPr>
          <w:p w14:paraId="59B1FAA4"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eastAsia="Times New Roman" w:hAnsi="Century" w:cs="Calibri"/>
                <w:color w:val="000000"/>
                <w:sz w:val="18"/>
                <w:szCs w:val="18"/>
                <w:lang w:val="en-GB" w:eastAsia="en-GB"/>
              </w:rPr>
              <w:t>0.010</w:t>
            </w:r>
          </w:p>
        </w:tc>
      </w:tr>
      <w:tr w:rsidR="00BB05A9" w:rsidRPr="003A6DFC" w14:paraId="780E7EC0" w14:textId="77777777" w:rsidTr="00DD7A95">
        <w:trPr>
          <w:trHeight w:val="163"/>
          <w:jc w:val="center"/>
        </w:trPr>
        <w:tc>
          <w:tcPr>
            <w:tcW w:w="2328" w:type="pct"/>
            <w:tcBorders>
              <w:top w:val="single" w:sz="4" w:space="0" w:color="auto"/>
              <w:left w:val="nil"/>
              <w:right w:val="nil"/>
            </w:tcBorders>
            <w:shd w:val="clear" w:color="auto" w:fill="auto"/>
            <w:noWrap/>
            <w:vAlign w:val="center"/>
            <w:hideMark/>
          </w:tcPr>
          <w:p w14:paraId="5D698698"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Log-likelihood</w:t>
            </w:r>
          </w:p>
        </w:tc>
        <w:tc>
          <w:tcPr>
            <w:tcW w:w="830" w:type="pct"/>
            <w:tcBorders>
              <w:top w:val="single" w:sz="4" w:space="0" w:color="auto"/>
              <w:left w:val="nil"/>
              <w:right w:val="nil"/>
            </w:tcBorders>
            <w:shd w:val="clear" w:color="auto" w:fill="auto"/>
            <w:noWrap/>
            <w:vAlign w:val="center"/>
            <w:hideMark/>
          </w:tcPr>
          <w:p w14:paraId="345D628A"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-46,301</w:t>
            </w:r>
          </w:p>
        </w:tc>
        <w:tc>
          <w:tcPr>
            <w:tcW w:w="533" w:type="pct"/>
            <w:tcBorders>
              <w:top w:val="single" w:sz="4" w:space="0" w:color="auto"/>
              <w:left w:val="nil"/>
              <w:right w:val="nil"/>
            </w:tcBorders>
            <w:shd w:val="clear" w:color="auto" w:fill="auto"/>
            <w:noWrap/>
            <w:vAlign w:val="bottom"/>
            <w:hideMark/>
          </w:tcPr>
          <w:p w14:paraId="7D9A227E"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p>
        </w:tc>
        <w:tc>
          <w:tcPr>
            <w:tcW w:w="799" w:type="pct"/>
            <w:tcBorders>
              <w:top w:val="single" w:sz="4" w:space="0" w:color="auto"/>
              <w:left w:val="nil"/>
              <w:right w:val="nil"/>
            </w:tcBorders>
            <w:shd w:val="clear" w:color="auto" w:fill="auto"/>
            <w:noWrap/>
            <w:vAlign w:val="center"/>
            <w:hideMark/>
          </w:tcPr>
          <w:p w14:paraId="1D2A3E3A"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-46,063</w:t>
            </w:r>
          </w:p>
        </w:tc>
        <w:tc>
          <w:tcPr>
            <w:tcW w:w="510" w:type="pct"/>
            <w:tcBorders>
              <w:top w:val="single" w:sz="4" w:space="0" w:color="auto"/>
              <w:left w:val="nil"/>
              <w:right w:val="nil"/>
            </w:tcBorders>
            <w:shd w:val="clear" w:color="auto" w:fill="auto"/>
            <w:noWrap/>
            <w:vAlign w:val="bottom"/>
            <w:hideMark/>
          </w:tcPr>
          <w:p w14:paraId="78A1F3AF"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p>
        </w:tc>
      </w:tr>
      <w:tr w:rsidR="00BB05A9" w:rsidRPr="003A6DFC" w14:paraId="34B2DEE1" w14:textId="77777777" w:rsidTr="00DD7A95">
        <w:trPr>
          <w:trHeight w:val="163"/>
          <w:jc w:val="center"/>
        </w:trPr>
        <w:tc>
          <w:tcPr>
            <w:tcW w:w="2328" w:type="pct"/>
            <w:tcBorders>
              <w:left w:val="nil"/>
              <w:bottom w:val="single" w:sz="4" w:space="0" w:color="auto"/>
              <w:right w:val="nil"/>
            </w:tcBorders>
            <w:shd w:val="clear" w:color="auto" w:fill="auto"/>
            <w:noWrap/>
            <w:vAlign w:val="center"/>
            <w:hideMark/>
          </w:tcPr>
          <w:p w14:paraId="5F218774" w14:textId="77777777" w:rsidR="00BB05A9" w:rsidRPr="003A6DFC" w:rsidRDefault="00BB05A9" w:rsidP="00DD7A95">
            <w:pPr>
              <w:spacing w:after="0" w:line="240" w:lineRule="auto"/>
              <w:rPr>
                <w:rFonts w:ascii="Century" w:eastAsia="Times New Roman" w:hAnsi="Century" w:cs="Calibri"/>
                <w:color w:val="000000"/>
                <w:sz w:val="18"/>
                <w:szCs w:val="18"/>
                <w:lang w:val="en-GB" w:eastAsia="en-GB"/>
              </w:rPr>
            </w:pPr>
            <w:r w:rsidRPr="003A6DFC">
              <w:rPr>
                <w:rFonts w:ascii="Century" w:hAnsi="Century"/>
                <w:sz w:val="18"/>
                <w:szCs w:val="18"/>
                <w:lang w:eastAsia="en-GB"/>
              </w:rPr>
              <w:t>Sample size</w:t>
            </w:r>
          </w:p>
        </w:tc>
        <w:tc>
          <w:tcPr>
            <w:tcW w:w="830" w:type="pct"/>
            <w:tcBorders>
              <w:left w:val="nil"/>
              <w:bottom w:val="single" w:sz="4" w:space="0" w:color="auto"/>
              <w:right w:val="nil"/>
            </w:tcBorders>
            <w:shd w:val="clear" w:color="auto" w:fill="auto"/>
            <w:noWrap/>
            <w:vAlign w:val="center"/>
            <w:hideMark/>
          </w:tcPr>
          <w:p w14:paraId="24566926"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90,600</w:t>
            </w:r>
          </w:p>
        </w:tc>
        <w:tc>
          <w:tcPr>
            <w:tcW w:w="533" w:type="pct"/>
            <w:tcBorders>
              <w:left w:val="nil"/>
              <w:bottom w:val="single" w:sz="4" w:space="0" w:color="auto"/>
              <w:right w:val="nil"/>
            </w:tcBorders>
            <w:shd w:val="clear" w:color="auto" w:fill="auto"/>
            <w:noWrap/>
            <w:vAlign w:val="bottom"/>
            <w:hideMark/>
          </w:tcPr>
          <w:p w14:paraId="220CA1E3"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p>
        </w:tc>
        <w:tc>
          <w:tcPr>
            <w:tcW w:w="799" w:type="pct"/>
            <w:tcBorders>
              <w:left w:val="nil"/>
              <w:bottom w:val="single" w:sz="4" w:space="0" w:color="auto"/>
              <w:right w:val="nil"/>
            </w:tcBorders>
            <w:shd w:val="clear" w:color="auto" w:fill="auto"/>
            <w:noWrap/>
            <w:vAlign w:val="center"/>
            <w:hideMark/>
          </w:tcPr>
          <w:p w14:paraId="59AB3517"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r w:rsidRPr="003A6DFC">
              <w:rPr>
                <w:rFonts w:ascii="Century" w:hAnsi="Century" w:cs="Calibri"/>
                <w:color w:val="000000"/>
                <w:sz w:val="18"/>
                <w:szCs w:val="18"/>
              </w:rPr>
              <w:t>90,600</w:t>
            </w:r>
          </w:p>
        </w:tc>
        <w:tc>
          <w:tcPr>
            <w:tcW w:w="510" w:type="pct"/>
            <w:tcBorders>
              <w:left w:val="nil"/>
              <w:bottom w:val="single" w:sz="4" w:space="0" w:color="auto"/>
              <w:right w:val="nil"/>
            </w:tcBorders>
            <w:shd w:val="clear" w:color="auto" w:fill="auto"/>
            <w:noWrap/>
            <w:vAlign w:val="bottom"/>
            <w:hideMark/>
          </w:tcPr>
          <w:p w14:paraId="182092F7" w14:textId="77777777" w:rsidR="00BB05A9" w:rsidRPr="003A6DFC" w:rsidRDefault="00BB05A9" w:rsidP="00DD7A95">
            <w:pPr>
              <w:spacing w:after="0" w:line="240" w:lineRule="auto"/>
              <w:jc w:val="center"/>
              <w:rPr>
                <w:rFonts w:ascii="Century" w:eastAsia="Times New Roman" w:hAnsi="Century" w:cs="Calibri"/>
                <w:color w:val="000000"/>
                <w:sz w:val="18"/>
                <w:szCs w:val="18"/>
                <w:lang w:val="en-GB" w:eastAsia="en-GB"/>
              </w:rPr>
            </w:pPr>
          </w:p>
        </w:tc>
      </w:tr>
      <w:tr w:rsidR="00BB05A9" w:rsidRPr="003A6DFC" w14:paraId="31F13E06" w14:textId="77777777" w:rsidTr="00DD7A95">
        <w:trPr>
          <w:trHeight w:val="163"/>
          <w:jc w:val="center"/>
        </w:trPr>
        <w:tc>
          <w:tcPr>
            <w:tcW w:w="5000" w:type="pct"/>
            <w:gridSpan w:val="5"/>
            <w:tcBorders>
              <w:top w:val="single" w:sz="4" w:space="0" w:color="auto"/>
              <w:left w:val="nil"/>
              <w:right w:val="nil"/>
            </w:tcBorders>
            <w:shd w:val="clear" w:color="auto" w:fill="auto"/>
            <w:noWrap/>
            <w:vAlign w:val="center"/>
          </w:tcPr>
          <w:p w14:paraId="4D1D2CB6" w14:textId="4EF3CB14" w:rsidR="00BB05A9" w:rsidRPr="003A6DFC" w:rsidRDefault="00BB05A9" w:rsidP="00DD7A95">
            <w:pPr>
              <w:spacing w:after="0" w:line="240" w:lineRule="auto"/>
              <w:jc w:val="both"/>
              <w:rPr>
                <w:rFonts w:ascii="Century" w:eastAsia="Times New Roman" w:hAnsi="Century" w:cs="Calibri"/>
                <w:color w:val="000000"/>
                <w:sz w:val="18"/>
                <w:szCs w:val="18"/>
                <w:lang w:val="en-GB" w:eastAsia="en-GB"/>
              </w:rPr>
            </w:pPr>
            <w:r w:rsidRPr="003A6DFC">
              <w:rPr>
                <w:rFonts w:ascii="Century" w:eastAsia="Times New Roman" w:hAnsi="Century" w:cs="Calibri"/>
                <w:color w:val="000000"/>
                <w:sz w:val="18"/>
                <w:szCs w:val="18"/>
                <w:lang w:val="en-GB" w:eastAsia="en-GB"/>
              </w:rPr>
              <w:t xml:space="preserve">Notes: The pooled </w:t>
            </w:r>
            <w:proofErr w:type="spellStart"/>
            <w:r w:rsidRPr="003A6DFC">
              <w:rPr>
                <w:rFonts w:ascii="Century" w:eastAsia="Times New Roman" w:hAnsi="Century" w:cs="Calibri"/>
                <w:color w:val="000000"/>
                <w:sz w:val="18"/>
                <w:szCs w:val="18"/>
                <w:lang w:val="en-GB" w:eastAsia="en-GB"/>
              </w:rPr>
              <w:t>probit</w:t>
            </w:r>
            <w:proofErr w:type="spellEnd"/>
            <w:r w:rsidRPr="003A6DFC">
              <w:rPr>
                <w:rFonts w:ascii="Century" w:eastAsia="Times New Roman" w:hAnsi="Century" w:cs="Calibri"/>
                <w:color w:val="000000"/>
                <w:sz w:val="18"/>
                <w:szCs w:val="18"/>
                <w:lang w:val="en-GB" w:eastAsia="en-GB"/>
              </w:rPr>
              <w:t xml:space="preserve"> and RE </w:t>
            </w:r>
            <w:proofErr w:type="spellStart"/>
            <w:r w:rsidRPr="003A6DFC">
              <w:rPr>
                <w:rFonts w:ascii="Century" w:eastAsia="Times New Roman" w:hAnsi="Century" w:cs="Calibri"/>
                <w:color w:val="000000"/>
                <w:sz w:val="18"/>
                <w:szCs w:val="18"/>
                <w:lang w:val="en-GB" w:eastAsia="en-GB"/>
              </w:rPr>
              <w:t>probit</w:t>
            </w:r>
            <w:proofErr w:type="spellEnd"/>
            <w:r w:rsidRPr="003A6DFC">
              <w:rPr>
                <w:rFonts w:ascii="Century" w:eastAsia="Times New Roman" w:hAnsi="Century" w:cs="Calibri"/>
                <w:color w:val="000000"/>
                <w:sz w:val="18"/>
                <w:szCs w:val="18"/>
                <w:lang w:val="en-GB" w:eastAsia="en-GB"/>
              </w:rPr>
              <w:t xml:space="preserve"> models account for region fixed effects. Reference categories: age groups (age 16-25), gender (female), education (Degree), marital status (married/cohabiting), job status (employed), presence of other adults in the household during the interview (none), presence of children in the household during the interview (none), wave fixed effects (Wave 2),</w:t>
            </w:r>
            <w:r w:rsidR="00516322" w:rsidRPr="003A6DFC">
              <w:rPr>
                <w:rFonts w:ascii="Century" w:eastAsia="Times New Roman" w:hAnsi="Century" w:cs="Calibri"/>
                <w:color w:val="000000"/>
                <w:sz w:val="18"/>
                <w:szCs w:val="18"/>
                <w:lang w:val="en-GB" w:eastAsia="en-GB"/>
              </w:rPr>
              <w:t xml:space="preserve"> and</w:t>
            </w:r>
            <w:r w:rsidRPr="003A6DFC">
              <w:rPr>
                <w:rFonts w:ascii="Century" w:eastAsia="Times New Roman" w:hAnsi="Century" w:cs="Calibri"/>
                <w:color w:val="000000"/>
                <w:sz w:val="18"/>
                <w:szCs w:val="18"/>
                <w:lang w:val="en-GB" w:eastAsia="en-GB"/>
              </w:rPr>
              <w:t xml:space="preserve"> region fixed effects (</w:t>
            </w:r>
            <w:proofErr w:type="gramStart"/>
            <w:r w:rsidRPr="003A6DFC">
              <w:rPr>
                <w:rFonts w:ascii="Century" w:eastAsia="Times New Roman" w:hAnsi="Century" w:cs="Calibri"/>
                <w:color w:val="000000"/>
                <w:sz w:val="18"/>
                <w:szCs w:val="18"/>
                <w:lang w:val="en-GB" w:eastAsia="en-GB"/>
              </w:rPr>
              <w:t>North East</w:t>
            </w:r>
            <w:proofErr w:type="gramEnd"/>
            <w:r w:rsidRPr="003A6DFC">
              <w:rPr>
                <w:rFonts w:ascii="Century" w:eastAsia="Times New Roman" w:hAnsi="Century" w:cs="Calibri"/>
                <w:color w:val="000000"/>
                <w:sz w:val="18"/>
                <w:szCs w:val="18"/>
                <w:lang w:val="en-GB" w:eastAsia="en-GB"/>
              </w:rPr>
              <w:t xml:space="preserve">). Standard errors (SE) are clustered at individual level. Balanced sample is used for these estimations. </w:t>
            </w:r>
          </w:p>
          <w:p w14:paraId="73492D30" w14:textId="77777777" w:rsidR="00BB05A9" w:rsidRPr="003A6DFC" w:rsidRDefault="00BB05A9" w:rsidP="00DD7A95">
            <w:pPr>
              <w:spacing w:after="0" w:line="240" w:lineRule="auto"/>
              <w:jc w:val="both"/>
              <w:rPr>
                <w:rFonts w:ascii="Century" w:eastAsia="Times New Roman" w:hAnsi="Century" w:cs="Calibri"/>
                <w:color w:val="000000"/>
                <w:sz w:val="18"/>
                <w:szCs w:val="18"/>
                <w:lang w:val="en-GB" w:eastAsia="en-GB"/>
              </w:rPr>
            </w:pPr>
            <w:r w:rsidRPr="003A6DFC">
              <w:rPr>
                <w:rFonts w:ascii="Century" w:hAnsi="Century"/>
                <w:sz w:val="18"/>
                <w:szCs w:val="18"/>
                <w:vertAlign w:val="superscript"/>
                <w:lang w:eastAsia="en-GB"/>
              </w:rPr>
              <w:t>†</w:t>
            </w:r>
            <w:r w:rsidRPr="003A6DFC">
              <w:rPr>
                <w:rFonts w:ascii="Century" w:hAnsi="Century"/>
                <w:sz w:val="18"/>
                <w:szCs w:val="18"/>
                <w:lang w:eastAsia="en-GB"/>
              </w:rPr>
              <w:t xml:space="preserve"> Expressed in terms of deviations from their standard deviation. </w:t>
            </w:r>
          </w:p>
          <w:p w14:paraId="595779EE" w14:textId="77777777" w:rsidR="00BB05A9" w:rsidRPr="003A6DFC" w:rsidRDefault="00BB05A9" w:rsidP="00DD7A95">
            <w:pPr>
              <w:spacing w:after="0" w:line="360" w:lineRule="auto"/>
              <w:rPr>
                <w:rFonts w:ascii="Century" w:hAnsi="Century" w:cs="Times New Roman"/>
                <w:b/>
                <w:sz w:val="18"/>
                <w:szCs w:val="18"/>
                <w:lang w:val="en-GB"/>
              </w:rPr>
            </w:pPr>
            <w:r w:rsidRPr="003A6DFC">
              <w:rPr>
                <w:rFonts w:ascii="Century" w:eastAsia="Times New Roman" w:hAnsi="Century" w:cs="Calibri"/>
                <w:color w:val="000000"/>
                <w:sz w:val="18"/>
                <w:szCs w:val="18"/>
                <w:lang w:val="en-GB" w:eastAsia="en-GB"/>
              </w:rPr>
              <w:t>* p&lt;0.10, ** p&lt;0.05, *** p&lt;0.01</w:t>
            </w:r>
          </w:p>
          <w:p w14:paraId="0BED8418" w14:textId="77777777" w:rsidR="00BB05A9" w:rsidRPr="003A6DFC" w:rsidRDefault="00BB05A9" w:rsidP="00DD7A95">
            <w:pPr>
              <w:spacing w:after="0" w:line="240" w:lineRule="auto"/>
              <w:jc w:val="right"/>
              <w:rPr>
                <w:rFonts w:ascii="Century" w:eastAsia="Times New Roman" w:hAnsi="Century" w:cs="Calibri"/>
                <w:color w:val="000000"/>
                <w:sz w:val="18"/>
                <w:szCs w:val="18"/>
                <w:lang w:val="en-GB" w:eastAsia="en-GB"/>
              </w:rPr>
            </w:pPr>
          </w:p>
        </w:tc>
      </w:tr>
    </w:tbl>
    <w:p w14:paraId="1B1FEC55" w14:textId="1586E586" w:rsidR="005507AA" w:rsidRPr="003A6DFC" w:rsidRDefault="005507AA" w:rsidP="00836F23">
      <w:pPr>
        <w:spacing w:after="0" w:line="240" w:lineRule="auto"/>
        <w:rPr>
          <w:rFonts w:ascii="Times New Roman" w:hAnsi="Times New Roman" w:cs="Times New Roman"/>
          <w:b/>
          <w:sz w:val="24"/>
          <w:szCs w:val="24"/>
        </w:rPr>
      </w:pPr>
      <w:r w:rsidRPr="003A6DFC">
        <w:rPr>
          <w:rFonts w:ascii="Times New Roman" w:hAnsi="Times New Roman" w:cs="Times New Roman"/>
          <w:b/>
          <w:sz w:val="24"/>
          <w:szCs w:val="24"/>
        </w:rPr>
        <w:br w:type="page"/>
      </w:r>
    </w:p>
    <w:p w14:paraId="59B6D696" w14:textId="77777777" w:rsidR="005507AA" w:rsidRPr="003A6DFC" w:rsidRDefault="005507AA" w:rsidP="00836F23">
      <w:pPr>
        <w:spacing w:after="0" w:line="240" w:lineRule="auto"/>
        <w:rPr>
          <w:rFonts w:ascii="Times New Roman" w:hAnsi="Times New Roman" w:cs="Times New Roman"/>
          <w:b/>
          <w:sz w:val="24"/>
          <w:szCs w:val="24"/>
        </w:rPr>
      </w:pPr>
    </w:p>
    <w:tbl>
      <w:tblPr>
        <w:tblW w:w="0" w:type="auto"/>
        <w:tblCellMar>
          <w:left w:w="70" w:type="dxa"/>
          <w:right w:w="70" w:type="dxa"/>
        </w:tblCellMar>
        <w:tblLook w:val="04A0" w:firstRow="1" w:lastRow="0" w:firstColumn="1" w:lastColumn="0" w:noHBand="0" w:noVBand="1"/>
      </w:tblPr>
      <w:tblGrid>
        <w:gridCol w:w="6100"/>
        <w:gridCol w:w="1760"/>
        <w:gridCol w:w="1166"/>
      </w:tblGrid>
      <w:tr w:rsidR="005507AA" w:rsidRPr="003A6DFC" w14:paraId="602E36C1" w14:textId="77777777" w:rsidTr="005507AA">
        <w:trPr>
          <w:trHeight w:val="290"/>
        </w:trPr>
        <w:tc>
          <w:tcPr>
            <w:tcW w:w="0" w:type="auto"/>
            <w:gridSpan w:val="3"/>
            <w:tcBorders>
              <w:bottom w:val="single" w:sz="4" w:space="0" w:color="auto"/>
            </w:tcBorders>
            <w:shd w:val="clear" w:color="auto" w:fill="auto"/>
            <w:noWrap/>
            <w:vAlign w:val="bottom"/>
          </w:tcPr>
          <w:p w14:paraId="526AA44E" w14:textId="60CAC37C" w:rsidR="005507AA" w:rsidRPr="003A6DFC" w:rsidRDefault="005507AA" w:rsidP="005507AA">
            <w:pPr>
              <w:spacing w:after="0" w:line="240" w:lineRule="auto"/>
              <w:rPr>
                <w:rFonts w:ascii="Century" w:eastAsia="Times New Roman" w:hAnsi="Century" w:cs="Times New Roman"/>
                <w:b/>
                <w:bCs/>
                <w:sz w:val="20"/>
                <w:szCs w:val="20"/>
                <w:lang w:eastAsia="pt-BR"/>
              </w:rPr>
            </w:pPr>
            <w:r w:rsidRPr="003A6DFC">
              <w:rPr>
                <w:rFonts w:ascii="Century" w:eastAsia="Times New Roman" w:hAnsi="Century" w:cs="Times New Roman"/>
                <w:b/>
                <w:bCs/>
                <w:sz w:val="20"/>
                <w:szCs w:val="20"/>
                <w:lang w:eastAsia="pt-BR"/>
              </w:rPr>
              <w:t>Table A</w:t>
            </w:r>
            <w:r w:rsidR="00F84C8D" w:rsidRPr="003A6DFC">
              <w:rPr>
                <w:rFonts w:ascii="Century" w:eastAsia="Times New Roman" w:hAnsi="Century" w:cs="Times New Roman"/>
                <w:b/>
                <w:bCs/>
                <w:sz w:val="20"/>
                <w:szCs w:val="20"/>
                <w:lang w:eastAsia="pt-BR"/>
              </w:rPr>
              <w:t>3</w:t>
            </w:r>
            <w:r w:rsidRPr="003A6DFC">
              <w:rPr>
                <w:rFonts w:ascii="Century" w:eastAsia="Times New Roman" w:hAnsi="Century" w:cs="Times New Roman"/>
                <w:b/>
                <w:bCs/>
                <w:sz w:val="20"/>
                <w:szCs w:val="20"/>
                <w:lang w:eastAsia="pt-BR"/>
              </w:rPr>
              <w:t>: Fractional response model for inconsistent responses to SAH questions.</w:t>
            </w:r>
          </w:p>
        </w:tc>
      </w:tr>
      <w:tr w:rsidR="005507AA" w:rsidRPr="003A6DFC" w14:paraId="1C5EB1C5" w14:textId="77777777" w:rsidTr="005507AA">
        <w:trPr>
          <w:trHeight w:val="290"/>
        </w:trPr>
        <w:tc>
          <w:tcPr>
            <w:tcW w:w="0" w:type="auto"/>
            <w:tcBorders>
              <w:top w:val="single" w:sz="4" w:space="0" w:color="auto"/>
              <w:bottom w:val="single" w:sz="4" w:space="0" w:color="auto"/>
            </w:tcBorders>
            <w:shd w:val="clear" w:color="auto" w:fill="auto"/>
            <w:noWrap/>
            <w:vAlign w:val="bottom"/>
            <w:hideMark/>
          </w:tcPr>
          <w:p w14:paraId="1D15CA24" w14:textId="77777777" w:rsidR="005507AA" w:rsidRPr="003A6DFC" w:rsidRDefault="005507AA" w:rsidP="005507AA">
            <w:pPr>
              <w:spacing w:after="0" w:line="240" w:lineRule="auto"/>
              <w:jc w:val="center"/>
              <w:rPr>
                <w:rFonts w:ascii="Century" w:eastAsia="Times New Roman" w:hAnsi="Century" w:cs="Times New Roman"/>
                <w:sz w:val="18"/>
                <w:szCs w:val="18"/>
                <w:lang w:eastAsia="pt-BR"/>
              </w:rPr>
            </w:pPr>
          </w:p>
        </w:tc>
        <w:tc>
          <w:tcPr>
            <w:tcW w:w="0" w:type="auto"/>
            <w:tcBorders>
              <w:top w:val="single" w:sz="4" w:space="0" w:color="auto"/>
              <w:bottom w:val="single" w:sz="4" w:space="0" w:color="auto"/>
            </w:tcBorders>
            <w:shd w:val="clear" w:color="auto" w:fill="auto"/>
            <w:noWrap/>
            <w:vAlign w:val="center"/>
            <w:hideMark/>
          </w:tcPr>
          <w:p w14:paraId="67F88E55" w14:textId="77777777" w:rsidR="005507AA" w:rsidRPr="003A6DFC" w:rsidRDefault="005507AA" w:rsidP="005507AA">
            <w:pPr>
              <w:spacing w:after="0" w:line="240" w:lineRule="auto"/>
              <w:jc w:val="center"/>
              <w:rPr>
                <w:rFonts w:ascii="Century" w:eastAsia="Times New Roman" w:hAnsi="Century" w:cs="Times New Roman"/>
                <w:b/>
                <w:bCs/>
                <w:sz w:val="18"/>
                <w:szCs w:val="18"/>
                <w:lang w:eastAsia="pt-BR"/>
              </w:rPr>
            </w:pPr>
            <w:r w:rsidRPr="003A6DFC">
              <w:rPr>
                <w:rFonts w:ascii="Century" w:eastAsia="Times New Roman" w:hAnsi="Century" w:cs="Times New Roman"/>
                <w:b/>
                <w:bCs/>
                <w:sz w:val="18"/>
                <w:szCs w:val="18"/>
                <w:lang w:eastAsia="pt-BR"/>
              </w:rPr>
              <w:t>Coeff.</w:t>
            </w:r>
          </w:p>
        </w:tc>
        <w:tc>
          <w:tcPr>
            <w:tcW w:w="0" w:type="auto"/>
            <w:tcBorders>
              <w:top w:val="single" w:sz="4" w:space="0" w:color="auto"/>
              <w:bottom w:val="single" w:sz="4" w:space="0" w:color="auto"/>
            </w:tcBorders>
            <w:shd w:val="clear" w:color="auto" w:fill="auto"/>
            <w:noWrap/>
            <w:vAlign w:val="center"/>
            <w:hideMark/>
          </w:tcPr>
          <w:p w14:paraId="4579491E" w14:textId="77777777" w:rsidR="005507AA" w:rsidRPr="003A6DFC" w:rsidRDefault="005507AA" w:rsidP="005507AA">
            <w:pPr>
              <w:spacing w:after="0" w:line="240" w:lineRule="auto"/>
              <w:jc w:val="center"/>
              <w:rPr>
                <w:rFonts w:ascii="Century" w:eastAsia="Times New Roman" w:hAnsi="Century" w:cs="Times New Roman"/>
                <w:b/>
                <w:bCs/>
                <w:sz w:val="18"/>
                <w:szCs w:val="18"/>
                <w:lang w:eastAsia="pt-BR"/>
              </w:rPr>
            </w:pPr>
            <w:r w:rsidRPr="003A6DFC">
              <w:rPr>
                <w:rFonts w:ascii="Century" w:eastAsia="Times New Roman" w:hAnsi="Century" w:cs="Times New Roman"/>
                <w:b/>
                <w:bCs/>
                <w:sz w:val="18"/>
                <w:szCs w:val="18"/>
                <w:lang w:eastAsia="pt-BR"/>
              </w:rPr>
              <w:t>SE</w:t>
            </w:r>
          </w:p>
        </w:tc>
      </w:tr>
      <w:tr w:rsidR="005507AA" w:rsidRPr="003A6DFC" w14:paraId="6D547985" w14:textId="77777777" w:rsidTr="005507AA">
        <w:trPr>
          <w:trHeight w:val="290"/>
        </w:trPr>
        <w:tc>
          <w:tcPr>
            <w:tcW w:w="0" w:type="auto"/>
            <w:tcBorders>
              <w:top w:val="single" w:sz="4" w:space="0" w:color="auto"/>
            </w:tcBorders>
            <w:shd w:val="clear" w:color="auto" w:fill="auto"/>
            <w:noWrap/>
            <w:vAlign w:val="center"/>
            <w:hideMark/>
          </w:tcPr>
          <w:p w14:paraId="77D688E3"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Male</w:t>
            </w:r>
          </w:p>
        </w:tc>
        <w:tc>
          <w:tcPr>
            <w:tcW w:w="0" w:type="auto"/>
            <w:tcBorders>
              <w:top w:val="single" w:sz="4" w:space="0" w:color="auto"/>
            </w:tcBorders>
            <w:shd w:val="clear" w:color="auto" w:fill="auto"/>
            <w:noWrap/>
            <w:vAlign w:val="center"/>
            <w:hideMark/>
          </w:tcPr>
          <w:p w14:paraId="7C4E60C0"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0.086***</w:t>
            </w:r>
          </w:p>
        </w:tc>
        <w:tc>
          <w:tcPr>
            <w:tcW w:w="0" w:type="auto"/>
            <w:tcBorders>
              <w:top w:val="single" w:sz="4" w:space="0" w:color="auto"/>
            </w:tcBorders>
            <w:shd w:val="clear" w:color="auto" w:fill="auto"/>
            <w:noWrap/>
            <w:vAlign w:val="center"/>
            <w:hideMark/>
          </w:tcPr>
          <w:p w14:paraId="65E2A25B"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0.012</w:t>
            </w:r>
          </w:p>
        </w:tc>
      </w:tr>
      <w:tr w:rsidR="005507AA" w:rsidRPr="003A6DFC" w14:paraId="4BF4CBCB" w14:textId="77777777" w:rsidTr="005507AA">
        <w:trPr>
          <w:trHeight w:val="290"/>
        </w:trPr>
        <w:tc>
          <w:tcPr>
            <w:tcW w:w="0" w:type="auto"/>
            <w:shd w:val="clear" w:color="auto" w:fill="auto"/>
            <w:noWrap/>
            <w:vAlign w:val="center"/>
            <w:hideMark/>
          </w:tcPr>
          <w:p w14:paraId="5CC6E564"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26-35</w:t>
            </w:r>
          </w:p>
        </w:tc>
        <w:tc>
          <w:tcPr>
            <w:tcW w:w="0" w:type="auto"/>
            <w:shd w:val="clear" w:color="auto" w:fill="auto"/>
            <w:noWrap/>
            <w:vAlign w:val="center"/>
            <w:hideMark/>
          </w:tcPr>
          <w:p w14:paraId="555B13C1"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-0.064***</w:t>
            </w:r>
          </w:p>
        </w:tc>
        <w:tc>
          <w:tcPr>
            <w:tcW w:w="0" w:type="auto"/>
            <w:shd w:val="clear" w:color="auto" w:fill="auto"/>
            <w:noWrap/>
            <w:vAlign w:val="center"/>
            <w:hideMark/>
          </w:tcPr>
          <w:p w14:paraId="2211B891"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0.024</w:t>
            </w:r>
          </w:p>
        </w:tc>
      </w:tr>
      <w:tr w:rsidR="005507AA" w:rsidRPr="003A6DFC" w14:paraId="7F017580" w14:textId="77777777" w:rsidTr="005507AA">
        <w:trPr>
          <w:trHeight w:val="290"/>
        </w:trPr>
        <w:tc>
          <w:tcPr>
            <w:tcW w:w="0" w:type="auto"/>
            <w:shd w:val="clear" w:color="auto" w:fill="auto"/>
            <w:noWrap/>
            <w:vAlign w:val="center"/>
            <w:hideMark/>
          </w:tcPr>
          <w:p w14:paraId="093B1419"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36-45</w:t>
            </w:r>
          </w:p>
        </w:tc>
        <w:tc>
          <w:tcPr>
            <w:tcW w:w="0" w:type="auto"/>
            <w:shd w:val="clear" w:color="auto" w:fill="auto"/>
            <w:noWrap/>
            <w:vAlign w:val="center"/>
            <w:hideMark/>
          </w:tcPr>
          <w:p w14:paraId="3A7EC565"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-0.031</w:t>
            </w:r>
          </w:p>
        </w:tc>
        <w:tc>
          <w:tcPr>
            <w:tcW w:w="0" w:type="auto"/>
            <w:shd w:val="clear" w:color="auto" w:fill="auto"/>
            <w:noWrap/>
            <w:vAlign w:val="center"/>
            <w:hideMark/>
          </w:tcPr>
          <w:p w14:paraId="2C678404"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0.024</w:t>
            </w:r>
          </w:p>
        </w:tc>
      </w:tr>
      <w:tr w:rsidR="005507AA" w:rsidRPr="003A6DFC" w14:paraId="14D6CFA7" w14:textId="77777777" w:rsidTr="005507AA">
        <w:trPr>
          <w:trHeight w:val="290"/>
        </w:trPr>
        <w:tc>
          <w:tcPr>
            <w:tcW w:w="0" w:type="auto"/>
            <w:shd w:val="clear" w:color="auto" w:fill="auto"/>
            <w:noWrap/>
            <w:vAlign w:val="center"/>
            <w:hideMark/>
          </w:tcPr>
          <w:p w14:paraId="7605BADD"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46-55</w:t>
            </w:r>
          </w:p>
        </w:tc>
        <w:tc>
          <w:tcPr>
            <w:tcW w:w="0" w:type="auto"/>
            <w:shd w:val="clear" w:color="auto" w:fill="auto"/>
            <w:noWrap/>
            <w:vAlign w:val="center"/>
            <w:hideMark/>
          </w:tcPr>
          <w:p w14:paraId="54DEAACB"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-0.018</w:t>
            </w:r>
          </w:p>
        </w:tc>
        <w:tc>
          <w:tcPr>
            <w:tcW w:w="0" w:type="auto"/>
            <w:shd w:val="clear" w:color="auto" w:fill="auto"/>
            <w:noWrap/>
            <w:vAlign w:val="center"/>
            <w:hideMark/>
          </w:tcPr>
          <w:p w14:paraId="7D4B06FB"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0.024</w:t>
            </w:r>
          </w:p>
        </w:tc>
      </w:tr>
      <w:tr w:rsidR="005507AA" w:rsidRPr="003A6DFC" w14:paraId="37BB78DA" w14:textId="77777777" w:rsidTr="005507AA">
        <w:trPr>
          <w:trHeight w:val="290"/>
        </w:trPr>
        <w:tc>
          <w:tcPr>
            <w:tcW w:w="0" w:type="auto"/>
            <w:shd w:val="clear" w:color="auto" w:fill="auto"/>
            <w:noWrap/>
            <w:vAlign w:val="center"/>
            <w:hideMark/>
          </w:tcPr>
          <w:p w14:paraId="0FE8F2FE"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56-65</w:t>
            </w:r>
          </w:p>
        </w:tc>
        <w:tc>
          <w:tcPr>
            <w:tcW w:w="0" w:type="auto"/>
            <w:shd w:val="clear" w:color="auto" w:fill="auto"/>
            <w:noWrap/>
            <w:vAlign w:val="center"/>
            <w:hideMark/>
          </w:tcPr>
          <w:p w14:paraId="76BEAC06"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-0.065**</w:t>
            </w:r>
          </w:p>
        </w:tc>
        <w:tc>
          <w:tcPr>
            <w:tcW w:w="0" w:type="auto"/>
            <w:shd w:val="clear" w:color="auto" w:fill="auto"/>
            <w:noWrap/>
            <w:vAlign w:val="center"/>
            <w:hideMark/>
          </w:tcPr>
          <w:p w14:paraId="0BDA5366"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0.026</w:t>
            </w:r>
          </w:p>
        </w:tc>
      </w:tr>
      <w:tr w:rsidR="005507AA" w:rsidRPr="003A6DFC" w14:paraId="6912892C" w14:textId="77777777" w:rsidTr="005507AA">
        <w:trPr>
          <w:trHeight w:val="290"/>
        </w:trPr>
        <w:tc>
          <w:tcPr>
            <w:tcW w:w="0" w:type="auto"/>
            <w:shd w:val="clear" w:color="auto" w:fill="auto"/>
            <w:noWrap/>
            <w:vAlign w:val="center"/>
            <w:hideMark/>
          </w:tcPr>
          <w:p w14:paraId="2E181D1C"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66-75</w:t>
            </w:r>
          </w:p>
        </w:tc>
        <w:tc>
          <w:tcPr>
            <w:tcW w:w="0" w:type="auto"/>
            <w:shd w:val="clear" w:color="auto" w:fill="auto"/>
            <w:noWrap/>
            <w:vAlign w:val="center"/>
            <w:hideMark/>
          </w:tcPr>
          <w:p w14:paraId="6E2193CF"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-0.040</w:t>
            </w:r>
          </w:p>
        </w:tc>
        <w:tc>
          <w:tcPr>
            <w:tcW w:w="0" w:type="auto"/>
            <w:shd w:val="clear" w:color="auto" w:fill="auto"/>
            <w:noWrap/>
            <w:vAlign w:val="center"/>
            <w:hideMark/>
          </w:tcPr>
          <w:p w14:paraId="193067D5"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0.033</w:t>
            </w:r>
          </w:p>
        </w:tc>
      </w:tr>
      <w:tr w:rsidR="005507AA" w:rsidRPr="003A6DFC" w14:paraId="03B740C9" w14:textId="77777777" w:rsidTr="005507AA">
        <w:trPr>
          <w:trHeight w:val="290"/>
        </w:trPr>
        <w:tc>
          <w:tcPr>
            <w:tcW w:w="0" w:type="auto"/>
            <w:shd w:val="clear" w:color="auto" w:fill="auto"/>
            <w:noWrap/>
            <w:vAlign w:val="center"/>
            <w:hideMark/>
          </w:tcPr>
          <w:p w14:paraId="07254E81"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76-85</w:t>
            </w:r>
          </w:p>
        </w:tc>
        <w:tc>
          <w:tcPr>
            <w:tcW w:w="0" w:type="auto"/>
            <w:shd w:val="clear" w:color="auto" w:fill="auto"/>
            <w:noWrap/>
            <w:vAlign w:val="center"/>
            <w:hideMark/>
          </w:tcPr>
          <w:p w14:paraId="3D416575"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-0.025</w:t>
            </w:r>
          </w:p>
        </w:tc>
        <w:tc>
          <w:tcPr>
            <w:tcW w:w="0" w:type="auto"/>
            <w:shd w:val="clear" w:color="auto" w:fill="auto"/>
            <w:noWrap/>
            <w:vAlign w:val="center"/>
            <w:hideMark/>
          </w:tcPr>
          <w:p w14:paraId="10DE14FF"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0.041</w:t>
            </w:r>
          </w:p>
        </w:tc>
      </w:tr>
      <w:tr w:rsidR="005507AA" w:rsidRPr="003A6DFC" w14:paraId="49B5B01B" w14:textId="77777777" w:rsidTr="005507AA">
        <w:trPr>
          <w:trHeight w:val="290"/>
        </w:trPr>
        <w:tc>
          <w:tcPr>
            <w:tcW w:w="0" w:type="auto"/>
            <w:shd w:val="clear" w:color="auto" w:fill="auto"/>
            <w:noWrap/>
            <w:vAlign w:val="center"/>
            <w:hideMark/>
          </w:tcPr>
          <w:p w14:paraId="283D03A9"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Aged 86-104</w:t>
            </w:r>
          </w:p>
        </w:tc>
        <w:tc>
          <w:tcPr>
            <w:tcW w:w="0" w:type="auto"/>
            <w:shd w:val="clear" w:color="auto" w:fill="auto"/>
            <w:noWrap/>
            <w:vAlign w:val="center"/>
            <w:hideMark/>
          </w:tcPr>
          <w:p w14:paraId="47C23D6A"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-0.022</w:t>
            </w:r>
          </w:p>
        </w:tc>
        <w:tc>
          <w:tcPr>
            <w:tcW w:w="0" w:type="auto"/>
            <w:shd w:val="clear" w:color="auto" w:fill="auto"/>
            <w:noWrap/>
            <w:vAlign w:val="center"/>
            <w:hideMark/>
          </w:tcPr>
          <w:p w14:paraId="01BAEF3E"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0.078</w:t>
            </w:r>
          </w:p>
        </w:tc>
      </w:tr>
      <w:tr w:rsidR="005507AA" w:rsidRPr="003A6DFC" w14:paraId="4458074E" w14:textId="77777777" w:rsidTr="005507AA">
        <w:trPr>
          <w:trHeight w:val="290"/>
        </w:trPr>
        <w:tc>
          <w:tcPr>
            <w:tcW w:w="0" w:type="auto"/>
            <w:shd w:val="clear" w:color="auto" w:fill="auto"/>
            <w:noWrap/>
            <w:vAlign w:val="center"/>
            <w:hideMark/>
          </w:tcPr>
          <w:p w14:paraId="5A31E05C"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Other higher qualification</w:t>
            </w:r>
          </w:p>
        </w:tc>
        <w:tc>
          <w:tcPr>
            <w:tcW w:w="0" w:type="auto"/>
            <w:shd w:val="clear" w:color="auto" w:fill="auto"/>
            <w:noWrap/>
            <w:vAlign w:val="center"/>
            <w:hideMark/>
          </w:tcPr>
          <w:p w14:paraId="4679207C"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0.060***</w:t>
            </w:r>
          </w:p>
        </w:tc>
        <w:tc>
          <w:tcPr>
            <w:tcW w:w="0" w:type="auto"/>
            <w:shd w:val="clear" w:color="auto" w:fill="auto"/>
            <w:noWrap/>
            <w:vAlign w:val="center"/>
            <w:hideMark/>
          </w:tcPr>
          <w:p w14:paraId="2FE00093"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0.019</w:t>
            </w:r>
          </w:p>
        </w:tc>
      </w:tr>
      <w:tr w:rsidR="005507AA" w:rsidRPr="003A6DFC" w14:paraId="642F3DB8" w14:textId="77777777" w:rsidTr="005507AA">
        <w:trPr>
          <w:trHeight w:val="290"/>
        </w:trPr>
        <w:tc>
          <w:tcPr>
            <w:tcW w:w="0" w:type="auto"/>
            <w:shd w:val="clear" w:color="auto" w:fill="auto"/>
            <w:noWrap/>
            <w:vAlign w:val="center"/>
            <w:hideMark/>
          </w:tcPr>
          <w:p w14:paraId="001D1B8C"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A-level</w:t>
            </w:r>
          </w:p>
        </w:tc>
        <w:tc>
          <w:tcPr>
            <w:tcW w:w="0" w:type="auto"/>
            <w:shd w:val="clear" w:color="auto" w:fill="auto"/>
            <w:noWrap/>
            <w:vAlign w:val="center"/>
            <w:hideMark/>
          </w:tcPr>
          <w:p w14:paraId="77B68606"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0.072***</w:t>
            </w:r>
          </w:p>
        </w:tc>
        <w:tc>
          <w:tcPr>
            <w:tcW w:w="0" w:type="auto"/>
            <w:shd w:val="clear" w:color="auto" w:fill="auto"/>
            <w:noWrap/>
            <w:vAlign w:val="center"/>
            <w:hideMark/>
          </w:tcPr>
          <w:p w14:paraId="30408EEA"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0.017</w:t>
            </w:r>
          </w:p>
        </w:tc>
      </w:tr>
      <w:tr w:rsidR="005507AA" w:rsidRPr="003A6DFC" w14:paraId="1D760302" w14:textId="77777777" w:rsidTr="005507AA">
        <w:trPr>
          <w:trHeight w:val="290"/>
        </w:trPr>
        <w:tc>
          <w:tcPr>
            <w:tcW w:w="0" w:type="auto"/>
            <w:shd w:val="clear" w:color="auto" w:fill="auto"/>
            <w:noWrap/>
            <w:vAlign w:val="center"/>
            <w:hideMark/>
          </w:tcPr>
          <w:p w14:paraId="035F9DB4"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GCSE</w:t>
            </w:r>
          </w:p>
        </w:tc>
        <w:tc>
          <w:tcPr>
            <w:tcW w:w="0" w:type="auto"/>
            <w:shd w:val="clear" w:color="auto" w:fill="auto"/>
            <w:noWrap/>
            <w:vAlign w:val="center"/>
            <w:hideMark/>
          </w:tcPr>
          <w:p w14:paraId="0631BE69"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0.130***</w:t>
            </w:r>
          </w:p>
        </w:tc>
        <w:tc>
          <w:tcPr>
            <w:tcW w:w="0" w:type="auto"/>
            <w:shd w:val="clear" w:color="auto" w:fill="auto"/>
            <w:noWrap/>
            <w:vAlign w:val="center"/>
            <w:hideMark/>
          </w:tcPr>
          <w:p w14:paraId="3D628894"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0.017</w:t>
            </w:r>
          </w:p>
        </w:tc>
      </w:tr>
      <w:tr w:rsidR="005507AA" w:rsidRPr="003A6DFC" w14:paraId="39563F98" w14:textId="77777777" w:rsidTr="005507AA">
        <w:trPr>
          <w:trHeight w:val="290"/>
        </w:trPr>
        <w:tc>
          <w:tcPr>
            <w:tcW w:w="0" w:type="auto"/>
            <w:shd w:val="clear" w:color="auto" w:fill="auto"/>
            <w:noWrap/>
            <w:vAlign w:val="center"/>
            <w:hideMark/>
          </w:tcPr>
          <w:p w14:paraId="535E26DD"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Other low qualification</w:t>
            </w:r>
          </w:p>
        </w:tc>
        <w:tc>
          <w:tcPr>
            <w:tcW w:w="0" w:type="auto"/>
            <w:shd w:val="clear" w:color="auto" w:fill="auto"/>
            <w:noWrap/>
            <w:vAlign w:val="center"/>
            <w:hideMark/>
          </w:tcPr>
          <w:p w14:paraId="5E05BC88"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0.122***</w:t>
            </w:r>
          </w:p>
        </w:tc>
        <w:tc>
          <w:tcPr>
            <w:tcW w:w="0" w:type="auto"/>
            <w:shd w:val="clear" w:color="auto" w:fill="auto"/>
            <w:noWrap/>
            <w:vAlign w:val="center"/>
            <w:hideMark/>
          </w:tcPr>
          <w:p w14:paraId="1D1E9BDA"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0.021</w:t>
            </w:r>
          </w:p>
        </w:tc>
      </w:tr>
      <w:tr w:rsidR="005507AA" w:rsidRPr="003A6DFC" w14:paraId="516578AC" w14:textId="77777777" w:rsidTr="005507AA">
        <w:trPr>
          <w:trHeight w:val="290"/>
        </w:trPr>
        <w:tc>
          <w:tcPr>
            <w:tcW w:w="0" w:type="auto"/>
            <w:shd w:val="clear" w:color="auto" w:fill="auto"/>
            <w:noWrap/>
            <w:vAlign w:val="center"/>
            <w:hideMark/>
          </w:tcPr>
          <w:p w14:paraId="3CD26C9B"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No qualification</w:t>
            </w:r>
          </w:p>
        </w:tc>
        <w:tc>
          <w:tcPr>
            <w:tcW w:w="0" w:type="auto"/>
            <w:shd w:val="clear" w:color="auto" w:fill="auto"/>
            <w:noWrap/>
            <w:vAlign w:val="center"/>
            <w:hideMark/>
          </w:tcPr>
          <w:p w14:paraId="6F9D4D99"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0.129***</w:t>
            </w:r>
          </w:p>
        </w:tc>
        <w:tc>
          <w:tcPr>
            <w:tcW w:w="0" w:type="auto"/>
            <w:shd w:val="clear" w:color="auto" w:fill="auto"/>
            <w:noWrap/>
            <w:vAlign w:val="center"/>
            <w:hideMark/>
          </w:tcPr>
          <w:p w14:paraId="00B6D7E1"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0.022</w:t>
            </w:r>
          </w:p>
        </w:tc>
      </w:tr>
      <w:tr w:rsidR="005507AA" w:rsidRPr="003A6DFC" w14:paraId="218346D8" w14:textId="77777777" w:rsidTr="005507AA">
        <w:trPr>
          <w:trHeight w:val="290"/>
        </w:trPr>
        <w:tc>
          <w:tcPr>
            <w:tcW w:w="0" w:type="auto"/>
            <w:shd w:val="clear" w:color="auto" w:fill="auto"/>
            <w:noWrap/>
            <w:vAlign w:val="center"/>
            <w:hideMark/>
          </w:tcPr>
          <w:p w14:paraId="3CD3528C"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Log of the HH income</w:t>
            </w:r>
          </w:p>
        </w:tc>
        <w:tc>
          <w:tcPr>
            <w:tcW w:w="0" w:type="auto"/>
            <w:shd w:val="clear" w:color="auto" w:fill="auto"/>
            <w:noWrap/>
            <w:vAlign w:val="center"/>
            <w:hideMark/>
          </w:tcPr>
          <w:p w14:paraId="1212AC90"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-0.063***</w:t>
            </w:r>
          </w:p>
        </w:tc>
        <w:tc>
          <w:tcPr>
            <w:tcW w:w="0" w:type="auto"/>
            <w:shd w:val="clear" w:color="auto" w:fill="auto"/>
            <w:noWrap/>
            <w:vAlign w:val="center"/>
            <w:hideMark/>
          </w:tcPr>
          <w:p w14:paraId="7172D2C5"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0.012</w:t>
            </w:r>
          </w:p>
        </w:tc>
      </w:tr>
      <w:tr w:rsidR="005507AA" w:rsidRPr="003A6DFC" w14:paraId="0C6CF73E" w14:textId="77777777" w:rsidTr="005507AA">
        <w:trPr>
          <w:trHeight w:val="290"/>
        </w:trPr>
        <w:tc>
          <w:tcPr>
            <w:tcW w:w="0" w:type="auto"/>
            <w:shd w:val="clear" w:color="auto" w:fill="auto"/>
            <w:noWrap/>
            <w:vAlign w:val="center"/>
            <w:hideMark/>
          </w:tcPr>
          <w:p w14:paraId="44418231"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Unemployed</w:t>
            </w:r>
          </w:p>
        </w:tc>
        <w:tc>
          <w:tcPr>
            <w:tcW w:w="0" w:type="auto"/>
            <w:shd w:val="clear" w:color="auto" w:fill="auto"/>
            <w:noWrap/>
            <w:vAlign w:val="center"/>
            <w:hideMark/>
          </w:tcPr>
          <w:p w14:paraId="202C74B5"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0.026</w:t>
            </w:r>
          </w:p>
        </w:tc>
        <w:tc>
          <w:tcPr>
            <w:tcW w:w="0" w:type="auto"/>
            <w:shd w:val="clear" w:color="auto" w:fill="auto"/>
            <w:noWrap/>
            <w:vAlign w:val="center"/>
            <w:hideMark/>
          </w:tcPr>
          <w:p w14:paraId="6486149A"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0.026</w:t>
            </w:r>
          </w:p>
        </w:tc>
      </w:tr>
      <w:tr w:rsidR="005507AA" w:rsidRPr="003A6DFC" w14:paraId="65AD2EEB" w14:textId="77777777" w:rsidTr="005507AA">
        <w:trPr>
          <w:trHeight w:val="290"/>
        </w:trPr>
        <w:tc>
          <w:tcPr>
            <w:tcW w:w="0" w:type="auto"/>
            <w:shd w:val="clear" w:color="auto" w:fill="auto"/>
            <w:noWrap/>
            <w:vAlign w:val="center"/>
            <w:hideMark/>
          </w:tcPr>
          <w:p w14:paraId="4B55AB83"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Retired</w:t>
            </w:r>
          </w:p>
        </w:tc>
        <w:tc>
          <w:tcPr>
            <w:tcW w:w="0" w:type="auto"/>
            <w:shd w:val="clear" w:color="auto" w:fill="auto"/>
            <w:noWrap/>
            <w:vAlign w:val="center"/>
            <w:hideMark/>
          </w:tcPr>
          <w:p w14:paraId="30A19DF4"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-0.078***</w:t>
            </w:r>
          </w:p>
        </w:tc>
        <w:tc>
          <w:tcPr>
            <w:tcW w:w="0" w:type="auto"/>
            <w:shd w:val="clear" w:color="auto" w:fill="auto"/>
            <w:noWrap/>
            <w:vAlign w:val="center"/>
            <w:hideMark/>
          </w:tcPr>
          <w:p w14:paraId="4335598E"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0.022</w:t>
            </w:r>
          </w:p>
        </w:tc>
      </w:tr>
      <w:tr w:rsidR="005507AA" w:rsidRPr="003A6DFC" w14:paraId="35542366" w14:textId="77777777" w:rsidTr="005507AA">
        <w:trPr>
          <w:trHeight w:val="290"/>
        </w:trPr>
        <w:tc>
          <w:tcPr>
            <w:tcW w:w="0" w:type="auto"/>
            <w:shd w:val="clear" w:color="auto" w:fill="auto"/>
            <w:noWrap/>
            <w:vAlign w:val="center"/>
            <w:hideMark/>
          </w:tcPr>
          <w:p w14:paraId="3FEDDD50"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Other job status</w:t>
            </w:r>
          </w:p>
        </w:tc>
        <w:tc>
          <w:tcPr>
            <w:tcW w:w="0" w:type="auto"/>
            <w:shd w:val="clear" w:color="auto" w:fill="auto"/>
            <w:noWrap/>
            <w:vAlign w:val="center"/>
            <w:hideMark/>
          </w:tcPr>
          <w:p w14:paraId="23502E24"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-0.099***</w:t>
            </w:r>
          </w:p>
        </w:tc>
        <w:tc>
          <w:tcPr>
            <w:tcW w:w="0" w:type="auto"/>
            <w:shd w:val="clear" w:color="auto" w:fill="auto"/>
            <w:noWrap/>
            <w:vAlign w:val="center"/>
            <w:hideMark/>
          </w:tcPr>
          <w:p w14:paraId="5606DA04"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0.017</w:t>
            </w:r>
          </w:p>
        </w:tc>
      </w:tr>
      <w:tr w:rsidR="005507AA" w:rsidRPr="003A6DFC" w14:paraId="145904F5" w14:textId="77777777" w:rsidTr="005507AA">
        <w:trPr>
          <w:trHeight w:val="290"/>
        </w:trPr>
        <w:tc>
          <w:tcPr>
            <w:tcW w:w="0" w:type="auto"/>
            <w:shd w:val="clear" w:color="auto" w:fill="auto"/>
            <w:noWrap/>
            <w:vAlign w:val="center"/>
            <w:hideMark/>
          </w:tcPr>
          <w:p w14:paraId="77DECA15"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Single</w:t>
            </w:r>
          </w:p>
        </w:tc>
        <w:tc>
          <w:tcPr>
            <w:tcW w:w="0" w:type="auto"/>
            <w:shd w:val="clear" w:color="auto" w:fill="auto"/>
            <w:noWrap/>
            <w:vAlign w:val="center"/>
            <w:hideMark/>
          </w:tcPr>
          <w:p w14:paraId="38FB7327"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c>
          <w:tcPr>
            <w:tcW w:w="0" w:type="auto"/>
            <w:shd w:val="clear" w:color="auto" w:fill="auto"/>
            <w:noWrap/>
            <w:vAlign w:val="center"/>
            <w:hideMark/>
          </w:tcPr>
          <w:p w14:paraId="217D6BD2"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0.018</w:t>
            </w:r>
          </w:p>
        </w:tc>
      </w:tr>
      <w:tr w:rsidR="005507AA" w:rsidRPr="003A6DFC" w14:paraId="35FB70DF" w14:textId="77777777" w:rsidTr="005507AA">
        <w:trPr>
          <w:trHeight w:val="290"/>
        </w:trPr>
        <w:tc>
          <w:tcPr>
            <w:tcW w:w="0" w:type="auto"/>
            <w:shd w:val="clear" w:color="auto" w:fill="auto"/>
            <w:noWrap/>
            <w:vAlign w:val="center"/>
            <w:hideMark/>
          </w:tcPr>
          <w:p w14:paraId="361FD663"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Separated/divorced</w:t>
            </w:r>
          </w:p>
        </w:tc>
        <w:tc>
          <w:tcPr>
            <w:tcW w:w="0" w:type="auto"/>
            <w:shd w:val="clear" w:color="auto" w:fill="auto"/>
            <w:noWrap/>
            <w:vAlign w:val="center"/>
            <w:hideMark/>
          </w:tcPr>
          <w:p w14:paraId="7E707452"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-0.008</w:t>
            </w:r>
          </w:p>
        </w:tc>
        <w:tc>
          <w:tcPr>
            <w:tcW w:w="0" w:type="auto"/>
            <w:shd w:val="clear" w:color="auto" w:fill="auto"/>
            <w:noWrap/>
            <w:vAlign w:val="center"/>
            <w:hideMark/>
          </w:tcPr>
          <w:p w14:paraId="3B2B5E42"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0.021</w:t>
            </w:r>
          </w:p>
        </w:tc>
      </w:tr>
      <w:tr w:rsidR="005507AA" w:rsidRPr="003A6DFC" w14:paraId="06C7B076" w14:textId="77777777" w:rsidTr="005507AA">
        <w:trPr>
          <w:trHeight w:val="290"/>
        </w:trPr>
        <w:tc>
          <w:tcPr>
            <w:tcW w:w="0" w:type="auto"/>
            <w:shd w:val="clear" w:color="auto" w:fill="auto"/>
            <w:noWrap/>
            <w:vAlign w:val="center"/>
            <w:hideMark/>
          </w:tcPr>
          <w:p w14:paraId="0A25F1DB"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Widowed</w:t>
            </w:r>
          </w:p>
        </w:tc>
        <w:tc>
          <w:tcPr>
            <w:tcW w:w="0" w:type="auto"/>
            <w:shd w:val="clear" w:color="auto" w:fill="auto"/>
            <w:noWrap/>
            <w:vAlign w:val="center"/>
            <w:hideMark/>
          </w:tcPr>
          <w:p w14:paraId="6CBC260A"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-0.010</w:t>
            </w:r>
          </w:p>
        </w:tc>
        <w:tc>
          <w:tcPr>
            <w:tcW w:w="0" w:type="auto"/>
            <w:shd w:val="clear" w:color="auto" w:fill="auto"/>
            <w:noWrap/>
            <w:vAlign w:val="center"/>
            <w:hideMark/>
          </w:tcPr>
          <w:p w14:paraId="090C326A"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0.027</w:t>
            </w:r>
          </w:p>
        </w:tc>
      </w:tr>
      <w:tr w:rsidR="00F73654" w:rsidRPr="003A6DFC" w14:paraId="1A27F5F8" w14:textId="77777777" w:rsidTr="005507AA">
        <w:trPr>
          <w:trHeight w:val="290"/>
        </w:trPr>
        <w:tc>
          <w:tcPr>
            <w:tcW w:w="0" w:type="auto"/>
            <w:shd w:val="clear" w:color="auto" w:fill="auto"/>
            <w:noWrap/>
            <w:vAlign w:val="center"/>
            <w:hideMark/>
          </w:tcPr>
          <w:p w14:paraId="35C95B8F" w14:textId="63414FC3"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Immediate word recall</w:t>
            </w:r>
            <w:r w:rsidRPr="003A6DFC">
              <w:rPr>
                <w:rFonts w:ascii="Century" w:hAnsi="Century"/>
                <w:sz w:val="18"/>
                <w:szCs w:val="18"/>
                <w:vertAlign w:val="superscript"/>
                <w:lang w:eastAsia="en-GB"/>
              </w:rPr>
              <w:t>†</w:t>
            </w:r>
          </w:p>
        </w:tc>
        <w:tc>
          <w:tcPr>
            <w:tcW w:w="0" w:type="auto"/>
            <w:shd w:val="clear" w:color="auto" w:fill="auto"/>
            <w:noWrap/>
            <w:vAlign w:val="center"/>
            <w:hideMark/>
          </w:tcPr>
          <w:p w14:paraId="08CA5BBD"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-0.048***</w:t>
            </w:r>
          </w:p>
        </w:tc>
        <w:tc>
          <w:tcPr>
            <w:tcW w:w="0" w:type="auto"/>
            <w:shd w:val="clear" w:color="auto" w:fill="auto"/>
            <w:noWrap/>
            <w:vAlign w:val="center"/>
            <w:hideMark/>
          </w:tcPr>
          <w:p w14:paraId="562E0C85"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0.009</w:t>
            </w:r>
          </w:p>
        </w:tc>
      </w:tr>
      <w:tr w:rsidR="00F73654" w:rsidRPr="003A6DFC" w14:paraId="5995D700" w14:textId="77777777" w:rsidTr="005507AA">
        <w:trPr>
          <w:trHeight w:val="290"/>
        </w:trPr>
        <w:tc>
          <w:tcPr>
            <w:tcW w:w="0" w:type="auto"/>
            <w:shd w:val="clear" w:color="auto" w:fill="auto"/>
            <w:noWrap/>
            <w:vAlign w:val="center"/>
            <w:hideMark/>
          </w:tcPr>
          <w:p w14:paraId="0A13E5EB" w14:textId="5407F895"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Delayed word recall</w:t>
            </w:r>
            <w:r w:rsidRPr="003A6DFC">
              <w:rPr>
                <w:rFonts w:ascii="Century" w:hAnsi="Century"/>
                <w:sz w:val="18"/>
                <w:szCs w:val="18"/>
                <w:vertAlign w:val="superscript"/>
                <w:lang w:eastAsia="en-GB"/>
              </w:rPr>
              <w:t>†</w:t>
            </w:r>
          </w:p>
        </w:tc>
        <w:tc>
          <w:tcPr>
            <w:tcW w:w="0" w:type="auto"/>
            <w:shd w:val="clear" w:color="auto" w:fill="auto"/>
            <w:noWrap/>
            <w:vAlign w:val="center"/>
            <w:hideMark/>
          </w:tcPr>
          <w:p w14:paraId="38680C0A"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-0.018**</w:t>
            </w:r>
          </w:p>
        </w:tc>
        <w:tc>
          <w:tcPr>
            <w:tcW w:w="0" w:type="auto"/>
            <w:shd w:val="clear" w:color="auto" w:fill="auto"/>
            <w:noWrap/>
            <w:vAlign w:val="center"/>
            <w:hideMark/>
          </w:tcPr>
          <w:p w14:paraId="0AA2A0CC"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0.008</w:t>
            </w:r>
          </w:p>
        </w:tc>
      </w:tr>
      <w:tr w:rsidR="00F73654" w:rsidRPr="003A6DFC" w14:paraId="2A4B558C" w14:textId="77777777" w:rsidTr="005507AA">
        <w:trPr>
          <w:trHeight w:val="290"/>
        </w:trPr>
        <w:tc>
          <w:tcPr>
            <w:tcW w:w="0" w:type="auto"/>
            <w:shd w:val="clear" w:color="auto" w:fill="auto"/>
            <w:noWrap/>
            <w:vAlign w:val="center"/>
            <w:hideMark/>
          </w:tcPr>
          <w:p w14:paraId="6465F3A3" w14:textId="1468881D"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Number of correct subtractions</w:t>
            </w:r>
            <w:r w:rsidRPr="003A6DFC">
              <w:rPr>
                <w:rFonts w:ascii="Century" w:hAnsi="Century"/>
                <w:sz w:val="18"/>
                <w:szCs w:val="18"/>
                <w:vertAlign w:val="superscript"/>
                <w:lang w:eastAsia="en-GB"/>
              </w:rPr>
              <w:t>†</w:t>
            </w:r>
          </w:p>
        </w:tc>
        <w:tc>
          <w:tcPr>
            <w:tcW w:w="0" w:type="auto"/>
            <w:shd w:val="clear" w:color="auto" w:fill="auto"/>
            <w:noWrap/>
            <w:vAlign w:val="center"/>
            <w:hideMark/>
          </w:tcPr>
          <w:p w14:paraId="3640AFD9"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-0.029***</w:t>
            </w:r>
          </w:p>
        </w:tc>
        <w:tc>
          <w:tcPr>
            <w:tcW w:w="0" w:type="auto"/>
            <w:shd w:val="clear" w:color="auto" w:fill="auto"/>
            <w:noWrap/>
            <w:vAlign w:val="center"/>
            <w:hideMark/>
          </w:tcPr>
          <w:p w14:paraId="6AA6E66E"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F73654" w:rsidRPr="003A6DFC" w14:paraId="4DBAA659" w14:textId="77777777" w:rsidTr="005507AA">
        <w:trPr>
          <w:trHeight w:val="290"/>
        </w:trPr>
        <w:tc>
          <w:tcPr>
            <w:tcW w:w="0" w:type="auto"/>
            <w:shd w:val="clear" w:color="auto" w:fill="auto"/>
            <w:noWrap/>
            <w:vAlign w:val="center"/>
            <w:hideMark/>
          </w:tcPr>
          <w:p w14:paraId="271D9EC6" w14:textId="2333A0BF"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Verbal fluency: correct words</w:t>
            </w:r>
            <w:r w:rsidRPr="003A6DFC">
              <w:rPr>
                <w:rFonts w:ascii="Century" w:hAnsi="Century"/>
                <w:sz w:val="18"/>
                <w:szCs w:val="18"/>
                <w:vertAlign w:val="superscript"/>
                <w:lang w:eastAsia="en-GB"/>
              </w:rPr>
              <w:t>†</w:t>
            </w:r>
          </w:p>
        </w:tc>
        <w:tc>
          <w:tcPr>
            <w:tcW w:w="0" w:type="auto"/>
            <w:shd w:val="clear" w:color="auto" w:fill="auto"/>
            <w:noWrap/>
            <w:vAlign w:val="center"/>
            <w:hideMark/>
          </w:tcPr>
          <w:p w14:paraId="3660CD46"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-0.025***</w:t>
            </w:r>
          </w:p>
        </w:tc>
        <w:tc>
          <w:tcPr>
            <w:tcW w:w="0" w:type="auto"/>
            <w:shd w:val="clear" w:color="auto" w:fill="auto"/>
            <w:noWrap/>
            <w:vAlign w:val="center"/>
            <w:hideMark/>
          </w:tcPr>
          <w:p w14:paraId="3AAFCAE0"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F73654" w:rsidRPr="003A6DFC" w14:paraId="27857C37" w14:textId="77777777" w:rsidTr="005507AA">
        <w:trPr>
          <w:trHeight w:val="290"/>
        </w:trPr>
        <w:tc>
          <w:tcPr>
            <w:tcW w:w="0" w:type="auto"/>
            <w:shd w:val="clear" w:color="auto" w:fill="auto"/>
            <w:noWrap/>
            <w:vAlign w:val="center"/>
            <w:hideMark/>
          </w:tcPr>
          <w:p w14:paraId="0C8C8777" w14:textId="128E6307"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Verbal fluency: incorrect words</w:t>
            </w:r>
            <w:r w:rsidRPr="003A6DFC">
              <w:rPr>
                <w:rFonts w:ascii="Century" w:hAnsi="Century"/>
                <w:sz w:val="18"/>
                <w:szCs w:val="18"/>
                <w:vertAlign w:val="superscript"/>
                <w:lang w:eastAsia="en-GB"/>
              </w:rPr>
              <w:t>†</w:t>
            </w:r>
          </w:p>
        </w:tc>
        <w:tc>
          <w:tcPr>
            <w:tcW w:w="0" w:type="auto"/>
            <w:shd w:val="clear" w:color="auto" w:fill="auto"/>
            <w:noWrap/>
            <w:vAlign w:val="center"/>
            <w:hideMark/>
          </w:tcPr>
          <w:p w14:paraId="06359FA0"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0.017***</w:t>
            </w:r>
          </w:p>
        </w:tc>
        <w:tc>
          <w:tcPr>
            <w:tcW w:w="0" w:type="auto"/>
            <w:shd w:val="clear" w:color="auto" w:fill="auto"/>
            <w:noWrap/>
            <w:vAlign w:val="center"/>
            <w:hideMark/>
          </w:tcPr>
          <w:p w14:paraId="523963DD"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0.005</w:t>
            </w:r>
          </w:p>
        </w:tc>
      </w:tr>
      <w:tr w:rsidR="00F73654" w:rsidRPr="003A6DFC" w14:paraId="2E42B75B" w14:textId="77777777" w:rsidTr="005507AA">
        <w:trPr>
          <w:trHeight w:val="290"/>
        </w:trPr>
        <w:tc>
          <w:tcPr>
            <w:tcW w:w="0" w:type="auto"/>
            <w:shd w:val="clear" w:color="auto" w:fill="auto"/>
            <w:noWrap/>
            <w:vAlign w:val="center"/>
            <w:hideMark/>
          </w:tcPr>
          <w:p w14:paraId="46FB0D91" w14:textId="0960561E"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Numeric ability: correct answers</w:t>
            </w:r>
            <w:r w:rsidRPr="003A6DFC">
              <w:rPr>
                <w:rFonts w:ascii="Century" w:hAnsi="Century"/>
                <w:sz w:val="18"/>
                <w:szCs w:val="18"/>
                <w:vertAlign w:val="superscript"/>
                <w:lang w:eastAsia="en-GB"/>
              </w:rPr>
              <w:t>†</w:t>
            </w:r>
          </w:p>
        </w:tc>
        <w:tc>
          <w:tcPr>
            <w:tcW w:w="0" w:type="auto"/>
            <w:shd w:val="clear" w:color="auto" w:fill="auto"/>
            <w:noWrap/>
            <w:vAlign w:val="center"/>
            <w:hideMark/>
          </w:tcPr>
          <w:p w14:paraId="2844475F"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-0.060***</w:t>
            </w:r>
          </w:p>
        </w:tc>
        <w:tc>
          <w:tcPr>
            <w:tcW w:w="0" w:type="auto"/>
            <w:shd w:val="clear" w:color="auto" w:fill="auto"/>
            <w:noWrap/>
            <w:vAlign w:val="center"/>
            <w:hideMark/>
          </w:tcPr>
          <w:p w14:paraId="5E72DD3A"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r>
      <w:tr w:rsidR="00F73654" w:rsidRPr="003A6DFC" w14:paraId="3B69AB06" w14:textId="77777777" w:rsidTr="005507AA">
        <w:trPr>
          <w:trHeight w:val="290"/>
        </w:trPr>
        <w:tc>
          <w:tcPr>
            <w:tcW w:w="0" w:type="auto"/>
            <w:shd w:val="clear" w:color="auto" w:fill="auto"/>
            <w:noWrap/>
            <w:vAlign w:val="center"/>
            <w:hideMark/>
          </w:tcPr>
          <w:p w14:paraId="5080F99F" w14:textId="263DC9A6"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Agreeableness</w:t>
            </w:r>
            <w:r w:rsidRPr="003A6DFC">
              <w:rPr>
                <w:rFonts w:ascii="Century" w:hAnsi="Century"/>
                <w:sz w:val="18"/>
                <w:szCs w:val="18"/>
                <w:vertAlign w:val="superscript"/>
                <w:lang w:eastAsia="en-GB"/>
              </w:rPr>
              <w:t>†</w:t>
            </w:r>
          </w:p>
        </w:tc>
        <w:tc>
          <w:tcPr>
            <w:tcW w:w="0" w:type="auto"/>
            <w:shd w:val="clear" w:color="auto" w:fill="auto"/>
            <w:noWrap/>
            <w:vAlign w:val="center"/>
            <w:hideMark/>
          </w:tcPr>
          <w:p w14:paraId="7EF52CC0"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-0.007</w:t>
            </w:r>
          </w:p>
        </w:tc>
        <w:tc>
          <w:tcPr>
            <w:tcW w:w="0" w:type="auto"/>
            <w:shd w:val="clear" w:color="auto" w:fill="auto"/>
            <w:noWrap/>
            <w:vAlign w:val="center"/>
            <w:hideMark/>
          </w:tcPr>
          <w:p w14:paraId="1EC2BE22"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F73654" w:rsidRPr="003A6DFC" w14:paraId="52122C92" w14:textId="77777777" w:rsidTr="005507AA">
        <w:trPr>
          <w:trHeight w:val="290"/>
        </w:trPr>
        <w:tc>
          <w:tcPr>
            <w:tcW w:w="0" w:type="auto"/>
            <w:shd w:val="clear" w:color="auto" w:fill="auto"/>
            <w:noWrap/>
            <w:vAlign w:val="center"/>
            <w:hideMark/>
          </w:tcPr>
          <w:p w14:paraId="5FD2EB15" w14:textId="2A3F97A7"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Conscientiousness</w:t>
            </w:r>
            <w:r w:rsidRPr="003A6DFC">
              <w:rPr>
                <w:rFonts w:ascii="Century" w:hAnsi="Century"/>
                <w:sz w:val="18"/>
                <w:szCs w:val="18"/>
                <w:vertAlign w:val="superscript"/>
                <w:lang w:eastAsia="en-GB"/>
              </w:rPr>
              <w:t>†</w:t>
            </w:r>
          </w:p>
        </w:tc>
        <w:tc>
          <w:tcPr>
            <w:tcW w:w="0" w:type="auto"/>
            <w:shd w:val="clear" w:color="auto" w:fill="auto"/>
            <w:noWrap/>
            <w:vAlign w:val="center"/>
            <w:hideMark/>
          </w:tcPr>
          <w:p w14:paraId="39915FAB"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-0.012**</w:t>
            </w:r>
          </w:p>
        </w:tc>
        <w:tc>
          <w:tcPr>
            <w:tcW w:w="0" w:type="auto"/>
            <w:shd w:val="clear" w:color="auto" w:fill="auto"/>
            <w:noWrap/>
            <w:vAlign w:val="center"/>
            <w:hideMark/>
          </w:tcPr>
          <w:p w14:paraId="190FF133"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F73654" w:rsidRPr="003A6DFC" w14:paraId="48648227" w14:textId="77777777" w:rsidTr="005507AA">
        <w:trPr>
          <w:trHeight w:val="290"/>
        </w:trPr>
        <w:tc>
          <w:tcPr>
            <w:tcW w:w="0" w:type="auto"/>
            <w:shd w:val="clear" w:color="auto" w:fill="auto"/>
            <w:noWrap/>
            <w:vAlign w:val="center"/>
            <w:hideMark/>
          </w:tcPr>
          <w:p w14:paraId="1E44B89B" w14:textId="5BE4DA6B"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Extraversion</w:t>
            </w:r>
            <w:r w:rsidRPr="003A6DFC">
              <w:rPr>
                <w:rFonts w:ascii="Century" w:hAnsi="Century"/>
                <w:sz w:val="18"/>
                <w:szCs w:val="18"/>
                <w:vertAlign w:val="superscript"/>
                <w:lang w:eastAsia="en-GB"/>
              </w:rPr>
              <w:t>†</w:t>
            </w:r>
          </w:p>
        </w:tc>
        <w:tc>
          <w:tcPr>
            <w:tcW w:w="0" w:type="auto"/>
            <w:shd w:val="clear" w:color="auto" w:fill="auto"/>
            <w:noWrap/>
            <w:vAlign w:val="center"/>
            <w:hideMark/>
          </w:tcPr>
          <w:p w14:paraId="4D6AC46F"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c>
          <w:tcPr>
            <w:tcW w:w="0" w:type="auto"/>
            <w:shd w:val="clear" w:color="auto" w:fill="auto"/>
            <w:noWrap/>
            <w:vAlign w:val="center"/>
            <w:hideMark/>
          </w:tcPr>
          <w:p w14:paraId="13FEC406"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F73654" w:rsidRPr="003A6DFC" w14:paraId="1C4E3614" w14:textId="77777777" w:rsidTr="005507AA">
        <w:trPr>
          <w:trHeight w:val="290"/>
        </w:trPr>
        <w:tc>
          <w:tcPr>
            <w:tcW w:w="0" w:type="auto"/>
            <w:shd w:val="clear" w:color="auto" w:fill="auto"/>
            <w:noWrap/>
            <w:vAlign w:val="center"/>
            <w:hideMark/>
          </w:tcPr>
          <w:p w14:paraId="52E1F7D8" w14:textId="01C7854A"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Neuroticism</w:t>
            </w:r>
            <w:r w:rsidRPr="003A6DFC">
              <w:rPr>
                <w:rFonts w:ascii="Century" w:hAnsi="Century"/>
                <w:sz w:val="18"/>
                <w:szCs w:val="18"/>
                <w:vertAlign w:val="superscript"/>
                <w:lang w:eastAsia="en-GB"/>
              </w:rPr>
              <w:t>†</w:t>
            </w:r>
          </w:p>
        </w:tc>
        <w:tc>
          <w:tcPr>
            <w:tcW w:w="0" w:type="auto"/>
            <w:shd w:val="clear" w:color="auto" w:fill="auto"/>
            <w:noWrap/>
            <w:vAlign w:val="center"/>
            <w:hideMark/>
          </w:tcPr>
          <w:p w14:paraId="41EE05F7"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-0.025***</w:t>
            </w:r>
          </w:p>
        </w:tc>
        <w:tc>
          <w:tcPr>
            <w:tcW w:w="0" w:type="auto"/>
            <w:shd w:val="clear" w:color="auto" w:fill="auto"/>
            <w:noWrap/>
            <w:vAlign w:val="center"/>
            <w:hideMark/>
          </w:tcPr>
          <w:p w14:paraId="6367AF2B"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F73654" w:rsidRPr="003A6DFC" w14:paraId="5CA251AB" w14:textId="77777777" w:rsidTr="005507AA">
        <w:trPr>
          <w:trHeight w:val="290"/>
        </w:trPr>
        <w:tc>
          <w:tcPr>
            <w:tcW w:w="0" w:type="auto"/>
            <w:shd w:val="clear" w:color="auto" w:fill="auto"/>
            <w:noWrap/>
            <w:vAlign w:val="center"/>
            <w:hideMark/>
          </w:tcPr>
          <w:p w14:paraId="7F7D4CD7" w14:textId="6A485670" w:rsidR="00F73654" w:rsidRPr="003A6DFC" w:rsidRDefault="00F73654" w:rsidP="00F73654">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Openness to experience</w:t>
            </w:r>
            <w:r w:rsidRPr="003A6DFC">
              <w:rPr>
                <w:rFonts w:ascii="Century" w:hAnsi="Century"/>
                <w:sz w:val="18"/>
                <w:szCs w:val="18"/>
                <w:vertAlign w:val="superscript"/>
                <w:lang w:eastAsia="en-GB"/>
              </w:rPr>
              <w:t>†</w:t>
            </w:r>
          </w:p>
        </w:tc>
        <w:tc>
          <w:tcPr>
            <w:tcW w:w="0" w:type="auto"/>
            <w:shd w:val="clear" w:color="auto" w:fill="auto"/>
            <w:noWrap/>
            <w:vAlign w:val="center"/>
            <w:hideMark/>
          </w:tcPr>
          <w:p w14:paraId="04F9E16D"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0.019***</w:t>
            </w:r>
          </w:p>
        </w:tc>
        <w:tc>
          <w:tcPr>
            <w:tcW w:w="0" w:type="auto"/>
            <w:shd w:val="clear" w:color="auto" w:fill="auto"/>
            <w:noWrap/>
            <w:vAlign w:val="center"/>
            <w:hideMark/>
          </w:tcPr>
          <w:p w14:paraId="0149B5E5" w14:textId="77777777" w:rsidR="00F73654" w:rsidRPr="003A6DFC" w:rsidRDefault="00F73654" w:rsidP="00F73654">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0.006</w:t>
            </w:r>
          </w:p>
        </w:tc>
      </w:tr>
      <w:tr w:rsidR="005507AA" w:rsidRPr="003A6DFC" w14:paraId="733BADDF" w14:textId="77777777" w:rsidTr="005507AA">
        <w:trPr>
          <w:trHeight w:val="290"/>
        </w:trPr>
        <w:tc>
          <w:tcPr>
            <w:tcW w:w="0" w:type="auto"/>
            <w:shd w:val="clear" w:color="auto" w:fill="auto"/>
            <w:noWrap/>
            <w:vAlign w:val="center"/>
            <w:hideMark/>
          </w:tcPr>
          <w:p w14:paraId="5A23FFAF" w14:textId="5C17AC9B"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Multiple adult interviews/HH</w:t>
            </w:r>
          </w:p>
        </w:tc>
        <w:tc>
          <w:tcPr>
            <w:tcW w:w="0" w:type="auto"/>
            <w:shd w:val="clear" w:color="auto" w:fill="auto"/>
            <w:noWrap/>
            <w:vAlign w:val="center"/>
            <w:hideMark/>
          </w:tcPr>
          <w:p w14:paraId="3214D25D"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-0.003</w:t>
            </w:r>
          </w:p>
        </w:tc>
        <w:tc>
          <w:tcPr>
            <w:tcW w:w="0" w:type="auto"/>
            <w:shd w:val="clear" w:color="auto" w:fill="auto"/>
            <w:noWrap/>
            <w:vAlign w:val="center"/>
            <w:hideMark/>
          </w:tcPr>
          <w:p w14:paraId="63D701F0"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0.015</w:t>
            </w:r>
          </w:p>
        </w:tc>
      </w:tr>
      <w:tr w:rsidR="005507AA" w:rsidRPr="003A6DFC" w14:paraId="263714C2" w14:textId="77777777" w:rsidTr="005507AA">
        <w:trPr>
          <w:trHeight w:val="290"/>
        </w:trPr>
        <w:tc>
          <w:tcPr>
            <w:tcW w:w="0" w:type="auto"/>
            <w:shd w:val="clear" w:color="auto" w:fill="auto"/>
            <w:noWrap/>
            <w:vAlign w:val="center"/>
            <w:hideMark/>
          </w:tcPr>
          <w:p w14:paraId="538A293D"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Children (aged 10-15) interviewed/HH</w:t>
            </w:r>
          </w:p>
        </w:tc>
        <w:tc>
          <w:tcPr>
            <w:tcW w:w="0" w:type="auto"/>
            <w:shd w:val="clear" w:color="auto" w:fill="auto"/>
            <w:noWrap/>
            <w:vAlign w:val="center"/>
            <w:hideMark/>
          </w:tcPr>
          <w:p w14:paraId="765CF248"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0.052***</w:t>
            </w:r>
          </w:p>
        </w:tc>
        <w:tc>
          <w:tcPr>
            <w:tcW w:w="0" w:type="auto"/>
            <w:shd w:val="clear" w:color="auto" w:fill="auto"/>
            <w:noWrap/>
            <w:vAlign w:val="center"/>
            <w:hideMark/>
          </w:tcPr>
          <w:p w14:paraId="66C7AE4A"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0.015</w:t>
            </w:r>
          </w:p>
        </w:tc>
      </w:tr>
      <w:tr w:rsidR="005507AA" w:rsidRPr="003A6DFC" w14:paraId="12406198" w14:textId="77777777" w:rsidTr="005507AA">
        <w:trPr>
          <w:trHeight w:val="290"/>
        </w:trPr>
        <w:tc>
          <w:tcPr>
            <w:tcW w:w="0" w:type="auto"/>
            <w:tcBorders>
              <w:bottom w:val="single" w:sz="4" w:space="0" w:color="auto"/>
            </w:tcBorders>
            <w:shd w:val="clear" w:color="auto" w:fill="auto"/>
            <w:noWrap/>
            <w:vAlign w:val="center"/>
            <w:hideMark/>
          </w:tcPr>
          <w:p w14:paraId="2A240D67" w14:textId="77777777"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Constant</w:t>
            </w:r>
          </w:p>
        </w:tc>
        <w:tc>
          <w:tcPr>
            <w:tcW w:w="0" w:type="auto"/>
            <w:tcBorders>
              <w:bottom w:val="single" w:sz="4" w:space="0" w:color="auto"/>
            </w:tcBorders>
            <w:shd w:val="clear" w:color="auto" w:fill="auto"/>
            <w:noWrap/>
            <w:vAlign w:val="center"/>
            <w:hideMark/>
          </w:tcPr>
          <w:p w14:paraId="4422E15D"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0.288***</w:t>
            </w:r>
          </w:p>
        </w:tc>
        <w:tc>
          <w:tcPr>
            <w:tcW w:w="0" w:type="auto"/>
            <w:tcBorders>
              <w:bottom w:val="single" w:sz="4" w:space="0" w:color="auto"/>
            </w:tcBorders>
            <w:shd w:val="clear" w:color="auto" w:fill="auto"/>
            <w:noWrap/>
            <w:vAlign w:val="center"/>
            <w:hideMark/>
          </w:tcPr>
          <w:p w14:paraId="092C886D"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0.109</w:t>
            </w:r>
          </w:p>
        </w:tc>
      </w:tr>
      <w:tr w:rsidR="005507AA" w:rsidRPr="003A6DFC" w14:paraId="448CA61A" w14:textId="77777777" w:rsidTr="005507AA">
        <w:trPr>
          <w:trHeight w:val="290"/>
        </w:trPr>
        <w:tc>
          <w:tcPr>
            <w:tcW w:w="0" w:type="auto"/>
            <w:tcBorders>
              <w:top w:val="single" w:sz="4" w:space="0" w:color="auto"/>
            </w:tcBorders>
            <w:shd w:val="clear" w:color="auto" w:fill="auto"/>
            <w:noWrap/>
            <w:vAlign w:val="center"/>
            <w:hideMark/>
          </w:tcPr>
          <w:p w14:paraId="4AECC82E" w14:textId="5EB4517F"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hAnsi="Century"/>
                <w:sz w:val="18"/>
                <w:szCs w:val="18"/>
                <w:lang w:eastAsia="en-GB"/>
              </w:rPr>
              <w:t>Log-likelihood</w:t>
            </w:r>
          </w:p>
        </w:tc>
        <w:tc>
          <w:tcPr>
            <w:tcW w:w="0" w:type="auto"/>
            <w:tcBorders>
              <w:top w:val="single" w:sz="4" w:space="0" w:color="auto"/>
            </w:tcBorders>
            <w:shd w:val="clear" w:color="auto" w:fill="auto"/>
            <w:noWrap/>
            <w:vAlign w:val="center"/>
            <w:hideMark/>
          </w:tcPr>
          <w:p w14:paraId="78C85CE2"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-11,629.0</w:t>
            </w:r>
          </w:p>
        </w:tc>
        <w:tc>
          <w:tcPr>
            <w:tcW w:w="0" w:type="auto"/>
            <w:tcBorders>
              <w:top w:val="single" w:sz="4" w:space="0" w:color="auto"/>
            </w:tcBorders>
            <w:shd w:val="clear" w:color="auto" w:fill="auto"/>
            <w:noWrap/>
            <w:vAlign w:val="center"/>
            <w:hideMark/>
          </w:tcPr>
          <w:p w14:paraId="39A03194"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p>
        </w:tc>
      </w:tr>
      <w:tr w:rsidR="005507AA" w:rsidRPr="003A6DFC" w14:paraId="26651D8C" w14:textId="77777777" w:rsidTr="005507AA">
        <w:trPr>
          <w:trHeight w:val="290"/>
        </w:trPr>
        <w:tc>
          <w:tcPr>
            <w:tcW w:w="0" w:type="auto"/>
            <w:tcBorders>
              <w:bottom w:val="single" w:sz="4" w:space="0" w:color="auto"/>
            </w:tcBorders>
            <w:shd w:val="clear" w:color="auto" w:fill="auto"/>
            <w:noWrap/>
            <w:vAlign w:val="center"/>
            <w:hideMark/>
          </w:tcPr>
          <w:p w14:paraId="62CD0ACF" w14:textId="5AE48CE3" w:rsidR="005507AA" w:rsidRPr="003A6DFC" w:rsidRDefault="005507AA" w:rsidP="005507AA">
            <w:pPr>
              <w:spacing w:after="0" w:line="240" w:lineRule="auto"/>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Sample size</w:t>
            </w:r>
          </w:p>
        </w:tc>
        <w:tc>
          <w:tcPr>
            <w:tcW w:w="0" w:type="auto"/>
            <w:tcBorders>
              <w:bottom w:val="single" w:sz="4" w:space="0" w:color="auto"/>
            </w:tcBorders>
            <w:shd w:val="clear" w:color="auto" w:fill="auto"/>
            <w:noWrap/>
            <w:vAlign w:val="center"/>
            <w:hideMark/>
          </w:tcPr>
          <w:p w14:paraId="6F249F75"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r w:rsidRPr="003A6DFC">
              <w:rPr>
                <w:rFonts w:ascii="Century" w:eastAsia="Times New Roman" w:hAnsi="Century" w:cs="Calibri"/>
                <w:color w:val="000000"/>
                <w:sz w:val="18"/>
                <w:szCs w:val="18"/>
                <w:lang w:eastAsia="pt-BR"/>
              </w:rPr>
              <w:t>22,650</w:t>
            </w:r>
          </w:p>
        </w:tc>
        <w:tc>
          <w:tcPr>
            <w:tcW w:w="0" w:type="auto"/>
            <w:tcBorders>
              <w:bottom w:val="single" w:sz="4" w:space="0" w:color="auto"/>
            </w:tcBorders>
            <w:shd w:val="clear" w:color="auto" w:fill="auto"/>
            <w:noWrap/>
            <w:vAlign w:val="center"/>
            <w:hideMark/>
          </w:tcPr>
          <w:p w14:paraId="6B0639CC" w14:textId="77777777" w:rsidR="005507AA" w:rsidRPr="003A6DFC" w:rsidRDefault="005507AA" w:rsidP="005507AA">
            <w:pPr>
              <w:spacing w:after="0" w:line="240" w:lineRule="auto"/>
              <w:jc w:val="center"/>
              <w:rPr>
                <w:rFonts w:ascii="Century" w:eastAsia="Times New Roman" w:hAnsi="Century" w:cs="Calibri"/>
                <w:color w:val="000000"/>
                <w:sz w:val="18"/>
                <w:szCs w:val="18"/>
                <w:lang w:eastAsia="pt-BR"/>
              </w:rPr>
            </w:pPr>
          </w:p>
        </w:tc>
      </w:tr>
      <w:tr w:rsidR="005507AA" w:rsidRPr="005507AA" w14:paraId="673B3F75" w14:textId="77777777" w:rsidTr="005507AA">
        <w:trPr>
          <w:trHeight w:val="290"/>
        </w:trPr>
        <w:tc>
          <w:tcPr>
            <w:tcW w:w="0" w:type="auto"/>
            <w:gridSpan w:val="3"/>
            <w:tcBorders>
              <w:top w:val="single" w:sz="4" w:space="0" w:color="auto"/>
            </w:tcBorders>
            <w:shd w:val="clear" w:color="auto" w:fill="auto"/>
            <w:noWrap/>
            <w:vAlign w:val="center"/>
          </w:tcPr>
          <w:p w14:paraId="6142EE91" w14:textId="77777777" w:rsidR="007F37DB" w:rsidRPr="003A6DFC" w:rsidRDefault="005507AA" w:rsidP="005507AA">
            <w:pPr>
              <w:spacing w:after="0" w:line="240" w:lineRule="auto"/>
              <w:jc w:val="both"/>
              <w:rPr>
                <w:rFonts w:ascii="Century" w:eastAsia="Times New Roman" w:hAnsi="Century" w:cs="Times New Roman"/>
                <w:sz w:val="18"/>
                <w:szCs w:val="18"/>
                <w:lang w:eastAsia="pt-BR"/>
              </w:rPr>
            </w:pPr>
            <w:r w:rsidRPr="003A6DFC">
              <w:rPr>
                <w:rFonts w:ascii="Century" w:eastAsia="Times New Roman" w:hAnsi="Century" w:cs="Times New Roman"/>
                <w:sz w:val="18"/>
                <w:szCs w:val="18"/>
                <w:lang w:eastAsia="pt-BR"/>
              </w:rPr>
              <w:t xml:space="preserve">Notes: The outcome is the ratio between the number of inconsistent responses (0 to 4) and the number of waves, varying from 0 to 1. </w:t>
            </w:r>
            <w:r w:rsidR="00516322" w:rsidRPr="003A6DFC">
              <w:rPr>
                <w:rFonts w:ascii="Century" w:eastAsia="Times New Roman" w:hAnsi="Century" w:cs="Calibri"/>
                <w:color w:val="000000"/>
                <w:sz w:val="18"/>
                <w:szCs w:val="18"/>
                <w:lang w:val="en-GB" w:eastAsia="en-GB"/>
              </w:rPr>
              <w:t>Reference categories: age groups (age 16-25), gender (female), education (Degree), marital status (married/cohabiting), job status (employed), presence of other adults in the household during the interview (none), presence of children in the household during the interview (none), and region fixed effects (</w:t>
            </w:r>
            <w:proofErr w:type="gramStart"/>
            <w:r w:rsidR="00516322" w:rsidRPr="003A6DFC">
              <w:rPr>
                <w:rFonts w:ascii="Century" w:eastAsia="Times New Roman" w:hAnsi="Century" w:cs="Calibri"/>
                <w:color w:val="000000"/>
                <w:sz w:val="18"/>
                <w:szCs w:val="18"/>
                <w:lang w:val="en-GB" w:eastAsia="en-GB"/>
              </w:rPr>
              <w:t>North East</w:t>
            </w:r>
            <w:proofErr w:type="gramEnd"/>
            <w:r w:rsidR="00516322" w:rsidRPr="003A6DFC">
              <w:rPr>
                <w:rFonts w:ascii="Century" w:eastAsia="Times New Roman" w:hAnsi="Century" w:cs="Calibri"/>
                <w:color w:val="000000"/>
                <w:sz w:val="18"/>
                <w:szCs w:val="18"/>
                <w:lang w:val="en-GB" w:eastAsia="en-GB"/>
              </w:rPr>
              <w:t xml:space="preserve">). Standard errors (SE) are clustered at individual level. </w:t>
            </w:r>
            <w:r w:rsidRPr="003A6DFC">
              <w:rPr>
                <w:rFonts w:ascii="Century" w:eastAsia="Times New Roman" w:hAnsi="Century" w:cs="Times New Roman"/>
                <w:sz w:val="18"/>
                <w:szCs w:val="18"/>
                <w:lang w:eastAsia="pt-BR"/>
              </w:rPr>
              <w:t xml:space="preserve">Standard errors (SE) are clustered at individual level. Balanced sample is used for these estimations. </w:t>
            </w:r>
          </w:p>
          <w:p w14:paraId="62048CEC" w14:textId="77777777" w:rsidR="007F37DB" w:rsidRPr="003A6DFC" w:rsidRDefault="007F37DB" w:rsidP="007F37DB">
            <w:pPr>
              <w:spacing w:after="0" w:line="240" w:lineRule="auto"/>
              <w:jc w:val="both"/>
              <w:rPr>
                <w:rFonts w:ascii="Century" w:eastAsia="Times New Roman" w:hAnsi="Century" w:cs="Calibri"/>
                <w:color w:val="000000"/>
                <w:sz w:val="18"/>
                <w:szCs w:val="18"/>
                <w:lang w:val="en-GB" w:eastAsia="en-GB"/>
              </w:rPr>
            </w:pPr>
            <w:r w:rsidRPr="003A6DFC">
              <w:rPr>
                <w:rFonts w:ascii="Century" w:hAnsi="Century"/>
                <w:sz w:val="18"/>
                <w:szCs w:val="18"/>
                <w:vertAlign w:val="superscript"/>
                <w:lang w:eastAsia="en-GB"/>
              </w:rPr>
              <w:t>†</w:t>
            </w:r>
            <w:r w:rsidRPr="003A6DFC">
              <w:rPr>
                <w:rFonts w:ascii="Century" w:hAnsi="Century"/>
                <w:sz w:val="18"/>
                <w:szCs w:val="18"/>
                <w:lang w:eastAsia="en-GB"/>
              </w:rPr>
              <w:t xml:space="preserve"> Expressed in terms of deviations from their standard deviation. </w:t>
            </w:r>
          </w:p>
          <w:p w14:paraId="639F2C73" w14:textId="77777777" w:rsidR="007F37DB" w:rsidRPr="008F5457" w:rsidRDefault="007F37DB" w:rsidP="007F37DB">
            <w:pPr>
              <w:spacing w:after="0" w:line="360" w:lineRule="auto"/>
              <w:rPr>
                <w:rFonts w:ascii="Century" w:hAnsi="Century" w:cs="Times New Roman"/>
                <w:b/>
                <w:sz w:val="18"/>
                <w:szCs w:val="18"/>
                <w:lang w:val="en-GB"/>
              </w:rPr>
            </w:pPr>
            <w:r w:rsidRPr="003A6DFC">
              <w:rPr>
                <w:rFonts w:ascii="Century" w:eastAsia="Times New Roman" w:hAnsi="Century" w:cs="Calibri"/>
                <w:color w:val="000000"/>
                <w:sz w:val="18"/>
                <w:szCs w:val="18"/>
                <w:lang w:val="en-GB" w:eastAsia="en-GB"/>
              </w:rPr>
              <w:t>* p&lt;0.10, ** p&lt;0.05, *** p&lt;0.01</w:t>
            </w:r>
          </w:p>
          <w:p w14:paraId="59A9EECE" w14:textId="085C8FC7" w:rsidR="005507AA" w:rsidRPr="005507AA" w:rsidRDefault="005507AA" w:rsidP="005507AA">
            <w:pPr>
              <w:spacing w:after="0" w:line="240" w:lineRule="auto"/>
              <w:jc w:val="both"/>
              <w:rPr>
                <w:rFonts w:ascii="Century" w:eastAsia="Times New Roman" w:hAnsi="Century" w:cs="Calibri"/>
                <w:b/>
                <w:bCs/>
                <w:color w:val="000000"/>
                <w:sz w:val="18"/>
                <w:szCs w:val="18"/>
                <w:lang w:eastAsia="pt-BR"/>
              </w:rPr>
            </w:pPr>
          </w:p>
        </w:tc>
      </w:tr>
    </w:tbl>
    <w:p w14:paraId="130A725F" w14:textId="77777777" w:rsidR="005507AA" w:rsidRPr="00884328" w:rsidRDefault="005507AA" w:rsidP="00836F23">
      <w:pPr>
        <w:spacing w:after="0" w:line="240" w:lineRule="auto"/>
        <w:rPr>
          <w:rFonts w:ascii="Times New Roman" w:hAnsi="Times New Roman" w:cs="Times New Roman"/>
          <w:b/>
          <w:sz w:val="24"/>
          <w:szCs w:val="24"/>
        </w:rPr>
      </w:pPr>
    </w:p>
    <w:sectPr w:rsidR="005507AA" w:rsidRPr="00884328" w:rsidSect="00F97504">
      <w:footerReference w:type="first" r:id="rId18"/>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D5AE33" w14:textId="77777777" w:rsidR="00110A82" w:rsidRDefault="00110A82" w:rsidP="00080AC1">
      <w:pPr>
        <w:spacing w:after="0" w:line="240" w:lineRule="auto"/>
      </w:pPr>
      <w:r>
        <w:separator/>
      </w:r>
    </w:p>
  </w:endnote>
  <w:endnote w:type="continuationSeparator" w:id="0">
    <w:p w14:paraId="2F975B3A" w14:textId="77777777" w:rsidR="00110A82" w:rsidRDefault="00110A82" w:rsidP="00080A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26754074"/>
      <w:docPartObj>
        <w:docPartGallery w:val="Page Numbers (Bottom of Page)"/>
        <w:docPartUnique/>
      </w:docPartObj>
    </w:sdtPr>
    <w:sdtContent>
      <w:p w14:paraId="30BA3480" w14:textId="3E414EBE" w:rsidR="0069069C" w:rsidRDefault="0069069C" w:rsidP="00BB4740">
        <w:pPr>
          <w:pStyle w:val="Rodap"/>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0DA3BB5A" w14:textId="362C94B2" w:rsidR="0069069C" w:rsidRPr="001B0139" w:rsidRDefault="0069069C">
    <w:pPr>
      <w:pStyle w:val="Rodap"/>
      <w:jc w:val="right"/>
      <w:rPr>
        <w:rFonts w:ascii="Century" w:hAnsi="Century"/>
      </w:rPr>
    </w:pPr>
  </w:p>
  <w:p w14:paraId="6163C2EB" w14:textId="77777777" w:rsidR="0069069C" w:rsidRDefault="0069069C">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430782916"/>
      <w:docPartObj>
        <w:docPartGallery w:val="Page Numbers (Bottom of Page)"/>
        <w:docPartUnique/>
      </w:docPartObj>
    </w:sdtPr>
    <w:sdtEndPr>
      <w:rPr>
        <w:rStyle w:val="Nmerodepgina"/>
        <w:rFonts w:ascii="Century" w:hAnsi="Century"/>
      </w:rPr>
    </w:sdtEndPr>
    <w:sdtContent>
      <w:p w14:paraId="4901E3D1" w14:textId="74629439" w:rsidR="0069069C" w:rsidRPr="00F97504" w:rsidRDefault="0069069C" w:rsidP="00BB4740">
        <w:pPr>
          <w:pStyle w:val="Rodap"/>
          <w:framePr w:wrap="none" w:vAnchor="text" w:hAnchor="margin" w:xAlign="center" w:y="1"/>
          <w:rPr>
            <w:rStyle w:val="Nmerodepgina"/>
            <w:rFonts w:ascii="Century" w:hAnsi="Century"/>
          </w:rPr>
        </w:pPr>
        <w:r w:rsidRPr="00F97504">
          <w:rPr>
            <w:rStyle w:val="Nmerodepgina"/>
            <w:rFonts w:ascii="Century" w:hAnsi="Century"/>
          </w:rPr>
          <w:fldChar w:fldCharType="begin"/>
        </w:r>
        <w:r w:rsidRPr="00F97504">
          <w:rPr>
            <w:rStyle w:val="Nmerodepgina"/>
            <w:rFonts w:ascii="Century" w:hAnsi="Century"/>
          </w:rPr>
          <w:instrText xml:space="preserve"> PAGE </w:instrText>
        </w:r>
        <w:r w:rsidRPr="00F97504">
          <w:rPr>
            <w:rStyle w:val="Nmerodepgina"/>
            <w:rFonts w:ascii="Century" w:hAnsi="Century"/>
          </w:rPr>
          <w:fldChar w:fldCharType="separate"/>
        </w:r>
        <w:r w:rsidRPr="00F97504">
          <w:rPr>
            <w:rStyle w:val="Nmerodepgina"/>
            <w:rFonts w:ascii="Century" w:hAnsi="Century"/>
            <w:noProof/>
          </w:rPr>
          <w:t>3</w:t>
        </w:r>
        <w:r w:rsidRPr="00F97504">
          <w:rPr>
            <w:rStyle w:val="Nmerodepgina"/>
            <w:rFonts w:ascii="Century" w:hAnsi="Century"/>
          </w:rPr>
          <w:fldChar w:fldCharType="end"/>
        </w:r>
      </w:p>
    </w:sdtContent>
  </w:sdt>
  <w:p w14:paraId="6F9408AE" w14:textId="64EBFD70" w:rsidR="0069069C" w:rsidRPr="008B1804" w:rsidRDefault="0069069C" w:rsidP="003C6EFE">
    <w:pPr>
      <w:pStyle w:val="Rodap"/>
      <w:rPr>
        <w:rFonts w:ascii="Century" w:hAnsi="Century"/>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7855587"/>
      <w:docPartObj>
        <w:docPartGallery w:val="Page Numbers (Bottom of Page)"/>
        <w:docPartUnique/>
      </w:docPartObj>
    </w:sdtPr>
    <w:sdtEndPr>
      <w:rPr>
        <w:noProof/>
        <w:color w:val="FFFFFF" w:themeColor="background1"/>
      </w:rPr>
    </w:sdtEndPr>
    <w:sdtContent>
      <w:p w14:paraId="3970F257" w14:textId="52E8FE9B" w:rsidR="0069069C" w:rsidRPr="00F97504" w:rsidRDefault="0069069C">
        <w:pPr>
          <w:pStyle w:val="Rodap"/>
          <w:jc w:val="center"/>
          <w:rPr>
            <w:color w:val="FFFFFF" w:themeColor="background1"/>
          </w:rPr>
        </w:pPr>
        <w:r w:rsidRPr="00F97504">
          <w:rPr>
            <w:color w:val="FFFFFF" w:themeColor="background1"/>
          </w:rPr>
          <w:fldChar w:fldCharType="begin"/>
        </w:r>
        <w:r w:rsidRPr="00F97504">
          <w:rPr>
            <w:color w:val="FFFFFF" w:themeColor="background1"/>
          </w:rPr>
          <w:instrText xml:space="preserve"> PAGE   \* MERGEFORMAT </w:instrText>
        </w:r>
        <w:r w:rsidRPr="00F97504">
          <w:rPr>
            <w:color w:val="FFFFFF" w:themeColor="background1"/>
          </w:rPr>
          <w:fldChar w:fldCharType="separate"/>
        </w:r>
        <w:r w:rsidRPr="00F97504">
          <w:rPr>
            <w:noProof/>
            <w:color w:val="FFFFFF" w:themeColor="background1"/>
          </w:rPr>
          <w:t>2</w:t>
        </w:r>
        <w:r w:rsidRPr="00F97504">
          <w:rPr>
            <w:noProof/>
            <w:color w:val="FFFFFF" w:themeColor="background1"/>
          </w:rPr>
          <w:fldChar w:fldCharType="end"/>
        </w:r>
      </w:p>
    </w:sdtContent>
  </w:sdt>
  <w:p w14:paraId="1EDEACAB" w14:textId="0AF0D42E" w:rsidR="0069069C" w:rsidRPr="00872F8E" w:rsidRDefault="0069069C">
    <w:pPr>
      <w:pStyle w:val="Rodap"/>
      <w:jc w:val="right"/>
      <w:rPr>
        <w:rFonts w:ascii="Century" w:hAnsi="Century"/>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5798269"/>
      <w:docPartObj>
        <w:docPartGallery w:val="Page Numbers (Bottom of Page)"/>
        <w:docPartUnique/>
      </w:docPartObj>
    </w:sdtPr>
    <w:sdtEndPr>
      <w:rPr>
        <w:rFonts w:ascii="Century" w:hAnsi="Century"/>
        <w:noProof/>
      </w:rPr>
    </w:sdtEndPr>
    <w:sdtContent>
      <w:p w14:paraId="2F7C991F" w14:textId="7559E343" w:rsidR="0069069C" w:rsidRPr="00F97504" w:rsidRDefault="0069069C">
        <w:pPr>
          <w:pStyle w:val="Rodap"/>
          <w:jc w:val="center"/>
          <w:rPr>
            <w:rFonts w:ascii="Century" w:hAnsi="Century"/>
          </w:rPr>
        </w:pPr>
        <w:r w:rsidRPr="00F97504">
          <w:rPr>
            <w:rFonts w:ascii="Century" w:hAnsi="Century"/>
          </w:rPr>
          <w:fldChar w:fldCharType="begin"/>
        </w:r>
        <w:r w:rsidRPr="00F97504">
          <w:rPr>
            <w:rFonts w:ascii="Century" w:hAnsi="Century"/>
          </w:rPr>
          <w:instrText xml:space="preserve"> PAGE   \* MERGEFORMAT </w:instrText>
        </w:r>
        <w:r w:rsidRPr="00F97504">
          <w:rPr>
            <w:rFonts w:ascii="Century" w:hAnsi="Century"/>
          </w:rPr>
          <w:fldChar w:fldCharType="separate"/>
        </w:r>
        <w:r w:rsidRPr="00F97504">
          <w:rPr>
            <w:rFonts w:ascii="Century" w:hAnsi="Century"/>
            <w:noProof/>
          </w:rPr>
          <w:t>2</w:t>
        </w:r>
        <w:r w:rsidRPr="00F97504">
          <w:rPr>
            <w:rFonts w:ascii="Century" w:hAnsi="Century"/>
            <w:noProof/>
          </w:rPr>
          <w:fldChar w:fldCharType="end"/>
        </w:r>
      </w:p>
    </w:sdtContent>
  </w:sdt>
  <w:p w14:paraId="48D33EBC" w14:textId="77777777" w:rsidR="0069069C" w:rsidRPr="00872F8E" w:rsidRDefault="0069069C">
    <w:pPr>
      <w:pStyle w:val="Rodap"/>
      <w:jc w:val="right"/>
      <w:rPr>
        <w:rFonts w:ascii="Century" w:hAnsi="Century"/>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2335129"/>
      <w:docPartObj>
        <w:docPartGallery w:val="Page Numbers (Bottom of Page)"/>
        <w:docPartUnique/>
      </w:docPartObj>
    </w:sdtPr>
    <w:sdtEndPr>
      <w:rPr>
        <w:rFonts w:ascii="Century" w:hAnsi="Century"/>
        <w:noProof/>
      </w:rPr>
    </w:sdtEndPr>
    <w:sdtContent>
      <w:p w14:paraId="2CB636A3" w14:textId="77777777" w:rsidR="0069069C" w:rsidRPr="001B0139" w:rsidRDefault="0069069C">
        <w:pPr>
          <w:pStyle w:val="Rodap"/>
          <w:jc w:val="right"/>
          <w:rPr>
            <w:rFonts w:ascii="Century" w:hAnsi="Century"/>
          </w:rPr>
        </w:pPr>
        <w:r w:rsidRPr="001B0139">
          <w:rPr>
            <w:rFonts w:ascii="Century" w:hAnsi="Century"/>
          </w:rPr>
          <w:fldChar w:fldCharType="begin"/>
        </w:r>
        <w:r w:rsidRPr="001B0139">
          <w:rPr>
            <w:rFonts w:ascii="Century" w:hAnsi="Century"/>
          </w:rPr>
          <w:instrText xml:space="preserve"> PAGE   \* MERGEFORMAT </w:instrText>
        </w:r>
        <w:r w:rsidRPr="001B0139">
          <w:rPr>
            <w:rFonts w:ascii="Century" w:hAnsi="Century"/>
          </w:rPr>
          <w:fldChar w:fldCharType="separate"/>
        </w:r>
        <w:r w:rsidRPr="001B0139">
          <w:rPr>
            <w:rFonts w:ascii="Century" w:hAnsi="Century"/>
            <w:noProof/>
          </w:rPr>
          <w:t>2</w:t>
        </w:r>
        <w:r w:rsidRPr="001B0139">
          <w:rPr>
            <w:rFonts w:ascii="Century" w:hAnsi="Century"/>
            <w:noProof/>
          </w:rPr>
          <w:fldChar w:fldCharType="end"/>
        </w:r>
      </w:p>
    </w:sdtContent>
  </w:sdt>
  <w:p w14:paraId="655AE6B3" w14:textId="77777777" w:rsidR="0069069C" w:rsidRPr="00872F8E" w:rsidRDefault="0069069C">
    <w:pPr>
      <w:pStyle w:val="Rodap"/>
      <w:jc w:val="right"/>
      <w:rPr>
        <w:rFonts w:ascii="Century" w:hAnsi="Century"/>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5A650B" w14:textId="77777777" w:rsidR="00110A82" w:rsidRDefault="00110A82" w:rsidP="00080AC1">
      <w:pPr>
        <w:spacing w:after="0" w:line="240" w:lineRule="auto"/>
      </w:pPr>
      <w:r>
        <w:separator/>
      </w:r>
    </w:p>
  </w:footnote>
  <w:footnote w:type="continuationSeparator" w:id="0">
    <w:p w14:paraId="5A30A13C" w14:textId="77777777" w:rsidR="00110A82" w:rsidRDefault="00110A82" w:rsidP="00080AC1">
      <w:pPr>
        <w:spacing w:after="0" w:line="240" w:lineRule="auto"/>
      </w:pPr>
      <w:r>
        <w:continuationSeparator/>
      </w:r>
    </w:p>
  </w:footnote>
  <w:footnote w:id="1">
    <w:p w14:paraId="09A08828" w14:textId="58A58193" w:rsidR="0069069C" w:rsidRPr="00622581" w:rsidRDefault="0069069C" w:rsidP="00622581">
      <w:pPr>
        <w:pStyle w:val="Textodenotaderodap"/>
        <w:jc w:val="both"/>
        <w:rPr>
          <w:lang w:val="en-GB"/>
        </w:rPr>
      </w:pPr>
      <w:r>
        <w:rPr>
          <w:rStyle w:val="Refdenotaderodap"/>
        </w:rPr>
        <w:footnoteRef/>
      </w:r>
      <w:r>
        <w:t xml:space="preserve"> </w:t>
      </w:r>
      <w:r w:rsidRPr="002C5762">
        <w:rPr>
          <w:rFonts w:ascii="Century" w:hAnsi="Century" w:cs="Times New Roman"/>
          <w:lang w:val="en-GB"/>
        </w:rPr>
        <w:t>Although the exact wording and response options of SAH vary across surveys, it is mainly based on individual ratings of current overall health, typically on a five-point ordinal scale (for example, from “excellent” to “poor”).</w:t>
      </w:r>
    </w:p>
  </w:footnote>
  <w:footnote w:id="2">
    <w:p w14:paraId="6B5A07FB" w14:textId="0885E5FE" w:rsidR="004C0B5E" w:rsidRPr="004C0B5E" w:rsidRDefault="004C0B5E" w:rsidP="004C0B5E">
      <w:pPr>
        <w:pStyle w:val="Textodenotaderodap"/>
        <w:jc w:val="both"/>
      </w:pPr>
      <w:r w:rsidRPr="003A6DFC">
        <w:rPr>
          <w:rStyle w:val="Refdenotaderodap"/>
        </w:rPr>
        <w:footnoteRef/>
      </w:r>
      <w:r w:rsidRPr="003A6DFC">
        <w:t xml:space="preserve"> </w:t>
      </w:r>
      <w:r w:rsidRPr="003A6DFC">
        <w:rPr>
          <w:rFonts w:ascii="Century" w:hAnsi="Century"/>
          <w:lang w:val="en-GB"/>
        </w:rPr>
        <w:t xml:space="preserve">Individual learning between the two SAH questions may be understood as a priming effect. The psychology literature defines priming effects as implicit memory effects in which prior exposure to a question determines, to some extent, the response to a later question (see </w:t>
      </w:r>
      <w:proofErr w:type="spellStart"/>
      <w:r w:rsidRPr="003A6DFC">
        <w:rPr>
          <w:rFonts w:ascii="Century" w:hAnsi="Century"/>
          <w:lang w:val="en-GB"/>
        </w:rPr>
        <w:t>Voicu</w:t>
      </w:r>
      <w:proofErr w:type="spellEnd"/>
      <w:r w:rsidRPr="003A6DFC">
        <w:rPr>
          <w:rFonts w:ascii="Century" w:hAnsi="Century"/>
          <w:lang w:val="en-GB"/>
        </w:rPr>
        <w:t>, 2015).</w:t>
      </w:r>
    </w:p>
  </w:footnote>
  <w:footnote w:id="3">
    <w:p w14:paraId="2736A945" w14:textId="3409710C" w:rsidR="0069069C" w:rsidRPr="003A6DFC" w:rsidRDefault="0069069C" w:rsidP="001554ED">
      <w:pPr>
        <w:pStyle w:val="Textodenotaderodap"/>
        <w:jc w:val="both"/>
        <w:rPr>
          <w:rFonts w:ascii="Century" w:hAnsi="Century"/>
        </w:rPr>
      </w:pPr>
      <w:r w:rsidRPr="001554ED">
        <w:rPr>
          <w:rStyle w:val="Refdenotaderodap"/>
          <w:rFonts w:ascii="Century" w:hAnsi="Century"/>
        </w:rPr>
        <w:footnoteRef/>
      </w:r>
      <w:r w:rsidRPr="001554ED">
        <w:rPr>
          <w:rFonts w:ascii="Century" w:hAnsi="Century"/>
        </w:rPr>
        <w:t xml:space="preserve"> </w:t>
      </w:r>
      <w:r>
        <w:rPr>
          <w:rFonts w:ascii="Century" w:hAnsi="Century"/>
        </w:rPr>
        <w:t>T</w:t>
      </w:r>
      <w:r w:rsidRPr="001554ED">
        <w:rPr>
          <w:rFonts w:ascii="Century" w:hAnsi="Century"/>
        </w:rPr>
        <w:t xml:space="preserve">he self-completion questionnaire, which also contains the relevant SAH question, </w:t>
      </w:r>
      <w:r w:rsidRPr="001554ED">
        <w:rPr>
          <w:rFonts w:ascii="Century" w:hAnsi="Century" w:cs="Arial"/>
        </w:rPr>
        <w:t xml:space="preserve">was available as a paper questionnaire for Wave 2 (while administered using the computer assisted self-interviewing (CASI) survey technique at Waves 3, 4 and 5, in which the respondent uses interviewer’s digital device to complete the SAH questionnaire without an interviewer administering it to the respondent). </w:t>
      </w:r>
      <w:r w:rsidRPr="001554ED">
        <w:rPr>
          <w:rFonts w:ascii="Century" w:hAnsi="Century"/>
        </w:rPr>
        <w:t>This may indicate that although both the self-completed and open-interview SAH questions are answered within an hour or so in Waves 3-5</w:t>
      </w:r>
      <w:r>
        <w:rPr>
          <w:rFonts w:ascii="Century" w:hAnsi="Century"/>
        </w:rPr>
        <w:t xml:space="preserve"> (the duration of the household interview)</w:t>
      </w:r>
      <w:r w:rsidRPr="001554ED">
        <w:rPr>
          <w:rFonts w:ascii="Century" w:hAnsi="Century"/>
        </w:rPr>
        <w:t xml:space="preserve">, there may be some delay in the completion of the self-reported paper questionnaire as opposed to open interview SAH at Wave 2; however, the instructions to the interviewers indicate that it is expected for the respondents to complete the self-completed Wave 2 interviews whilst the interviewer are in the household (and to give them back to the interviewer) rather than send it over later in </w:t>
      </w:r>
      <w:r w:rsidRPr="003A6DFC">
        <w:rPr>
          <w:rFonts w:ascii="Century" w:hAnsi="Century"/>
        </w:rPr>
        <w:t>time.</w:t>
      </w:r>
    </w:p>
  </w:footnote>
  <w:footnote w:id="4">
    <w:p w14:paraId="01108C67" w14:textId="23C44001" w:rsidR="002A6ECD" w:rsidRPr="002A6ECD" w:rsidRDefault="002A6ECD" w:rsidP="002A6ECD">
      <w:pPr>
        <w:pStyle w:val="Textodenotaderodap"/>
        <w:jc w:val="both"/>
      </w:pPr>
      <w:r w:rsidRPr="003A6DFC">
        <w:rPr>
          <w:rStyle w:val="Refdenotaderodap"/>
        </w:rPr>
        <w:footnoteRef/>
      </w:r>
      <w:r w:rsidRPr="003A6DFC">
        <w:t xml:space="preserve"> </w:t>
      </w:r>
      <w:r w:rsidRPr="003A6DFC">
        <w:rPr>
          <w:rFonts w:ascii="Century" w:hAnsi="Century"/>
        </w:rPr>
        <w:t xml:space="preserve">Systematic inconsistent reporting indicates that socioeconomic characteristics are statistically significant in predicting reporting inconsistencies in SAH between the open interview and the self-completion mode. Persistence in reporting inconsistency is defined broadly as </w:t>
      </w:r>
      <w:bookmarkStart w:id="1" w:name="_Hlk111815227"/>
      <w:r w:rsidRPr="003A6DFC">
        <w:rPr>
          <w:rFonts w:ascii="Century" w:hAnsi="Century"/>
        </w:rPr>
        <w:t xml:space="preserve">the continuity of this reporting inconsistency </w:t>
      </w:r>
      <w:bookmarkEnd w:id="1"/>
      <w:r w:rsidRPr="003A6DFC">
        <w:rPr>
          <w:rFonts w:ascii="Century" w:hAnsi="Century"/>
        </w:rPr>
        <w:t>for more than one wave for the same individual.</w:t>
      </w:r>
    </w:p>
  </w:footnote>
  <w:footnote w:id="5">
    <w:p w14:paraId="5E8C22A4" w14:textId="03AD9720" w:rsidR="00FE60C2" w:rsidRPr="00FE60C2" w:rsidRDefault="00FE60C2" w:rsidP="00FE60C2">
      <w:pPr>
        <w:pStyle w:val="Textodenotaderodap"/>
        <w:jc w:val="both"/>
      </w:pPr>
      <w:r>
        <w:rPr>
          <w:rStyle w:val="Refdenotaderodap"/>
        </w:rPr>
        <w:footnoteRef/>
      </w:r>
      <w:r>
        <w:t xml:space="preserve"> </w:t>
      </w:r>
      <w:r w:rsidRPr="003A6DFC">
        <w:rPr>
          <w:rFonts w:ascii="Century" w:hAnsi="Century"/>
          <w:lang w:val="en-GB"/>
        </w:rPr>
        <w:t xml:space="preserve">In the face-to-face interview, for instance, qualified individuals for a disability pension may exaggerate their poor health condition </w:t>
      </w:r>
      <w:proofErr w:type="gramStart"/>
      <w:r w:rsidRPr="003A6DFC">
        <w:rPr>
          <w:rFonts w:ascii="Century" w:hAnsi="Century"/>
          <w:lang w:val="en-GB"/>
        </w:rPr>
        <w:t>in order to</w:t>
      </w:r>
      <w:proofErr w:type="gramEnd"/>
      <w:r w:rsidRPr="003A6DFC">
        <w:rPr>
          <w:rFonts w:ascii="Century" w:hAnsi="Century"/>
          <w:lang w:val="en-GB"/>
        </w:rPr>
        <w:t xml:space="preserve"> justify their health-related work limitation (e.g., Black, Johnston and </w:t>
      </w:r>
      <w:proofErr w:type="spellStart"/>
      <w:r w:rsidRPr="003A6DFC">
        <w:rPr>
          <w:rFonts w:ascii="Century" w:hAnsi="Century"/>
          <w:lang w:val="en-GB"/>
        </w:rPr>
        <w:t>Suziedelyte</w:t>
      </w:r>
      <w:proofErr w:type="spellEnd"/>
      <w:r w:rsidRPr="003A6DFC">
        <w:rPr>
          <w:rFonts w:ascii="Century" w:hAnsi="Century"/>
          <w:lang w:val="en-GB"/>
        </w:rPr>
        <w:t>, 2017). In the self-completion mode, responses to SAH question from those individuals tend to be more reliable because the more confidential nature of this mode of interview induces more truthful responses about sensitive issues (see List et al., 2004). These may therefore lead to inconsistent responses to SAH questions for these individuals across the different interview modes within the short time interval of the same interview.</w:t>
      </w:r>
    </w:p>
  </w:footnote>
  <w:footnote w:id="6">
    <w:p w14:paraId="793011E1" w14:textId="2658EDA9" w:rsidR="00CA7695" w:rsidRPr="00C967FD" w:rsidRDefault="00CA7695" w:rsidP="00C967FD">
      <w:pPr>
        <w:spacing w:after="0" w:line="240" w:lineRule="auto"/>
        <w:jc w:val="both"/>
        <w:rPr>
          <w:rFonts w:ascii="Century" w:hAnsi="Century"/>
        </w:rPr>
      </w:pPr>
      <w:r w:rsidRPr="003A6DFC">
        <w:rPr>
          <w:rStyle w:val="Refdenotaderodap"/>
        </w:rPr>
        <w:footnoteRef/>
      </w:r>
      <w:r w:rsidRPr="003A6DFC">
        <w:t xml:space="preserve"> </w:t>
      </w:r>
      <w:r w:rsidRPr="003A6DFC">
        <w:rPr>
          <w:rFonts w:ascii="Century" w:hAnsi="Century" w:cs="Arial"/>
          <w:sz w:val="20"/>
          <w:szCs w:val="20"/>
        </w:rPr>
        <w:t xml:space="preserve">We should explicitly mention that in this study we cannot disentangle the mode interview effect from inconsistent </w:t>
      </w:r>
      <w:proofErr w:type="spellStart"/>
      <w:r w:rsidRPr="003A6DFC">
        <w:rPr>
          <w:rFonts w:ascii="Century" w:hAnsi="Century" w:cs="Arial"/>
          <w:sz w:val="20"/>
          <w:szCs w:val="20"/>
        </w:rPr>
        <w:t>behaviour</w:t>
      </w:r>
      <w:proofErr w:type="spellEnd"/>
      <w:r w:rsidRPr="003A6DFC">
        <w:rPr>
          <w:rFonts w:ascii="Century" w:hAnsi="Century" w:cs="Arial"/>
          <w:sz w:val="20"/>
          <w:szCs w:val="20"/>
        </w:rPr>
        <w:t xml:space="preserve"> of respondents when modelling inconsistent responses to SAH questions. The context of our </w:t>
      </w:r>
      <w:r w:rsidR="00C967FD" w:rsidRPr="003A6DFC">
        <w:rPr>
          <w:rFonts w:ascii="Century" w:hAnsi="Century" w:cs="Arial"/>
          <w:sz w:val="20"/>
          <w:szCs w:val="20"/>
        </w:rPr>
        <w:t>work</w:t>
      </w:r>
      <w:r w:rsidRPr="003A6DFC">
        <w:rPr>
          <w:rFonts w:ascii="Century" w:hAnsi="Century" w:cs="Arial"/>
          <w:sz w:val="20"/>
          <w:szCs w:val="20"/>
        </w:rPr>
        <w:t xml:space="preserve"> does not involve random assignment of survey participants to treatment groups receiving different versions of survey collection modes. However, it does not undermine our analysis as we are interested in investigating which individual’s personal characteristics, including cognitive and non-cognitive abilities, and household context predict the differences in responses to SAH questions.</w:t>
      </w:r>
    </w:p>
  </w:footnote>
  <w:footnote w:id="7">
    <w:p w14:paraId="317FD101" w14:textId="5BF924F2" w:rsidR="0069069C" w:rsidRPr="00387327" w:rsidRDefault="0069069C" w:rsidP="00387327">
      <w:pPr>
        <w:pStyle w:val="Textodenotaderodap"/>
        <w:jc w:val="both"/>
        <w:rPr>
          <w:rFonts w:ascii="Century" w:hAnsi="Century"/>
          <w:lang w:val="en-GB"/>
        </w:rPr>
      </w:pPr>
      <w:r w:rsidRPr="00387327">
        <w:rPr>
          <w:rStyle w:val="Refdenotaderodap"/>
          <w:rFonts w:ascii="Century" w:hAnsi="Century"/>
        </w:rPr>
        <w:footnoteRef/>
      </w:r>
      <w:r w:rsidRPr="00387327">
        <w:rPr>
          <w:rFonts w:ascii="Century" w:hAnsi="Century"/>
        </w:rPr>
        <w:t xml:space="preserve"> </w:t>
      </w:r>
      <w:r w:rsidRPr="00387327">
        <w:rPr>
          <w:rFonts w:ascii="Century" w:hAnsi="Century"/>
          <w:lang w:val="en-GB"/>
        </w:rPr>
        <w:t xml:space="preserve">To account for this difference in the survey design across waves, wave fixed effects are used in our </w:t>
      </w:r>
      <w:r>
        <w:rPr>
          <w:rFonts w:ascii="Century" w:hAnsi="Century"/>
          <w:lang w:val="en-GB"/>
        </w:rPr>
        <w:t xml:space="preserve">regression </w:t>
      </w:r>
      <w:r w:rsidRPr="00387327">
        <w:rPr>
          <w:rFonts w:ascii="Century" w:hAnsi="Century"/>
          <w:lang w:val="en-GB"/>
        </w:rPr>
        <w:t xml:space="preserve">models. </w:t>
      </w:r>
    </w:p>
  </w:footnote>
  <w:footnote w:id="8">
    <w:p w14:paraId="395EBF54" w14:textId="4225903C" w:rsidR="0069069C" w:rsidRPr="00537D81" w:rsidRDefault="0069069C" w:rsidP="00537D81">
      <w:pPr>
        <w:pStyle w:val="Textodenotaderodap"/>
        <w:jc w:val="both"/>
        <w:rPr>
          <w:rFonts w:ascii="Century" w:hAnsi="Century"/>
        </w:rPr>
      </w:pPr>
      <w:r w:rsidRPr="00537D81">
        <w:rPr>
          <w:rStyle w:val="Refdenotaderodap"/>
          <w:rFonts w:ascii="Century" w:hAnsi="Century"/>
        </w:rPr>
        <w:footnoteRef/>
      </w:r>
      <w:r w:rsidRPr="00537D81">
        <w:rPr>
          <w:rFonts w:ascii="Century" w:hAnsi="Century"/>
        </w:rPr>
        <w:t xml:space="preserve"> We follow the conventional practice and exclu</w:t>
      </w:r>
      <w:r>
        <w:rPr>
          <w:rFonts w:ascii="Century" w:hAnsi="Century"/>
        </w:rPr>
        <w:t>de</w:t>
      </w:r>
      <w:r w:rsidRPr="00537D81">
        <w:rPr>
          <w:rFonts w:ascii="Century" w:hAnsi="Century"/>
        </w:rPr>
        <w:t xml:space="preserve"> those with CRP over 10</w:t>
      </w:r>
      <w:r w:rsidRPr="00537D81">
        <w:rPr>
          <w:rFonts w:ascii="Times New Roman" w:hAnsi="Times New Roman" w:cs="Times New Roman"/>
        </w:rPr>
        <w:t> </w:t>
      </w:r>
      <w:r w:rsidRPr="00537D81">
        <w:rPr>
          <w:rFonts w:ascii="Century" w:hAnsi="Century"/>
        </w:rPr>
        <w:t>mg/L, as those values may reflect current transient infections and not chronic processes (</w:t>
      </w:r>
      <w:r>
        <w:rPr>
          <w:rFonts w:ascii="Century" w:hAnsi="Century"/>
        </w:rPr>
        <w:t xml:space="preserve">Davillas and Pudney, 2020; </w:t>
      </w:r>
      <w:r w:rsidRPr="00537D81">
        <w:rPr>
          <w:rFonts w:ascii="Century" w:hAnsi="Century"/>
        </w:rPr>
        <w:t>Pearson et al., 2003).</w:t>
      </w:r>
    </w:p>
  </w:footnote>
  <w:footnote w:id="9">
    <w:p w14:paraId="62DA356F" w14:textId="5E95F035" w:rsidR="0085139B" w:rsidRPr="003A6DFC" w:rsidRDefault="0085139B" w:rsidP="00E65F11">
      <w:pPr>
        <w:pStyle w:val="Textodenotaderodap"/>
        <w:jc w:val="both"/>
      </w:pPr>
      <w:r w:rsidRPr="003A6DFC">
        <w:rPr>
          <w:rStyle w:val="Refdenotaderodap"/>
        </w:rPr>
        <w:footnoteRef/>
      </w:r>
      <w:r w:rsidRPr="003A6DFC">
        <w:t xml:space="preserve"> </w:t>
      </w:r>
      <w:r w:rsidRPr="003A6DFC">
        <w:rPr>
          <w:rFonts w:ascii="Century" w:hAnsi="Century"/>
        </w:rPr>
        <w:t xml:space="preserve">The marginal effect for the random effect </w:t>
      </w:r>
      <w:proofErr w:type="spellStart"/>
      <w:r w:rsidRPr="003A6DFC">
        <w:rPr>
          <w:rFonts w:ascii="Century" w:hAnsi="Century"/>
        </w:rPr>
        <w:t>probit</w:t>
      </w:r>
      <w:proofErr w:type="spellEnd"/>
      <w:r w:rsidRPr="003A6DFC">
        <w:rPr>
          <w:rFonts w:ascii="Century" w:hAnsi="Century"/>
        </w:rPr>
        <w:t xml:space="preserve"> model </w:t>
      </w:r>
      <w:proofErr w:type="gramStart"/>
      <w:r w:rsidRPr="003A6DFC">
        <w:rPr>
          <w:rFonts w:ascii="Century" w:hAnsi="Century"/>
        </w:rPr>
        <w:t>takes into account</w:t>
      </w:r>
      <w:proofErr w:type="gramEnd"/>
      <w:r w:rsidRPr="003A6DFC">
        <w:rPr>
          <w:rFonts w:ascii="Century" w:hAnsi="Century"/>
        </w:rPr>
        <w:t xml:space="preserve"> the variance of unobserved heterogeneity, i.e., </w:t>
      </w:r>
      <m:oMath>
        <m:sSub>
          <m:sSubPr>
            <m:ctrlPr>
              <w:rPr>
                <w:rFonts w:ascii="Cambria Math" w:hAnsi="Cambria Math" w:cs="Times New Roman"/>
                <w:i/>
                <w:sz w:val="22"/>
                <w:szCs w:val="22"/>
                <w:lang w:val="en-GB"/>
              </w:rPr>
            </m:ctrlPr>
          </m:sSubPr>
          <m:e>
            <m:r>
              <w:rPr>
                <w:rFonts w:ascii="Cambria Math" w:hAnsi="Cambria Math" w:cs="Times New Roman"/>
                <w:lang w:val="en-GB"/>
              </w:rPr>
              <m:t>γ</m:t>
            </m:r>
          </m:e>
          <m:sub>
            <m:r>
              <w:rPr>
                <w:rFonts w:ascii="Cambria Math" w:hAnsi="Cambria Math" w:cs="Times New Roman"/>
                <w:lang w:val="en-GB"/>
              </w:rPr>
              <m:t>c</m:t>
            </m:r>
          </m:sub>
        </m:sSub>
        <m:r>
          <w:rPr>
            <w:rFonts w:ascii="Cambria Math" w:hAnsi="Cambria Math" w:cs="Times New Roman"/>
            <w:sz w:val="22"/>
            <w:szCs w:val="22"/>
            <w:lang w:val="en-GB"/>
          </w:rPr>
          <m:t>=γ/</m:t>
        </m:r>
        <m:sSup>
          <m:sSupPr>
            <m:ctrlPr>
              <w:rPr>
                <w:rFonts w:ascii="Cambria Math" w:hAnsi="Cambria Math" w:cs="Times New Roman"/>
                <w:i/>
                <w:sz w:val="22"/>
                <w:szCs w:val="22"/>
                <w:lang w:val="en-GB"/>
              </w:rPr>
            </m:ctrlPr>
          </m:sSupPr>
          <m:e>
            <m:d>
              <m:dPr>
                <m:ctrlPr>
                  <w:rPr>
                    <w:rFonts w:ascii="Cambria Math" w:hAnsi="Cambria Math" w:cs="Times New Roman"/>
                    <w:i/>
                    <w:sz w:val="22"/>
                    <w:szCs w:val="22"/>
                    <w:lang w:val="en-GB"/>
                  </w:rPr>
                </m:ctrlPr>
              </m:dPr>
              <m:e>
                <m:r>
                  <w:rPr>
                    <w:rFonts w:ascii="Cambria Math" w:hAnsi="Cambria Math" w:cs="Times New Roman"/>
                    <w:sz w:val="22"/>
                    <w:szCs w:val="22"/>
                    <w:lang w:val="en-GB"/>
                  </w:rPr>
                  <m:t>1+</m:t>
                </m:r>
                <m:sSubSup>
                  <m:sSubSupPr>
                    <m:ctrlPr>
                      <w:rPr>
                        <w:rFonts w:ascii="Cambria Math" w:hAnsi="Cambria Math" w:cs="Times New Roman"/>
                        <w:i/>
                        <w:sz w:val="22"/>
                        <w:szCs w:val="22"/>
                        <w:lang w:val="en-GB"/>
                      </w:rPr>
                    </m:ctrlPr>
                  </m:sSubSupPr>
                  <m:e>
                    <m:r>
                      <w:rPr>
                        <w:rFonts w:ascii="Cambria Math" w:hAnsi="Cambria Math" w:cs="Times New Roman"/>
                        <w:sz w:val="22"/>
                        <w:szCs w:val="22"/>
                        <w:lang w:val="en-GB"/>
                      </w:rPr>
                      <m:t>σ</m:t>
                    </m:r>
                  </m:e>
                  <m:sub>
                    <m:r>
                      <w:rPr>
                        <w:rFonts w:ascii="Cambria Math" w:hAnsi="Cambria Math" w:cs="Times New Roman"/>
                        <w:sz w:val="22"/>
                        <w:szCs w:val="22"/>
                        <w:lang w:val="en-GB"/>
                      </w:rPr>
                      <m:t>c</m:t>
                    </m:r>
                  </m:sub>
                  <m:sup>
                    <m:r>
                      <w:rPr>
                        <w:rFonts w:ascii="Cambria Math" w:hAnsi="Cambria Math" w:cs="Times New Roman"/>
                        <w:sz w:val="22"/>
                        <w:szCs w:val="22"/>
                        <w:lang w:val="en-GB"/>
                      </w:rPr>
                      <m:t>2</m:t>
                    </m:r>
                  </m:sup>
                </m:sSubSup>
              </m:e>
            </m:d>
          </m:e>
          <m:sup>
            <m:r>
              <w:rPr>
                <w:rFonts w:ascii="Cambria Math" w:hAnsi="Cambria Math" w:cs="Times New Roman"/>
                <w:sz w:val="22"/>
                <w:szCs w:val="22"/>
                <w:lang w:val="en-GB"/>
              </w:rPr>
              <m:t>1/2</m:t>
            </m:r>
          </m:sup>
        </m:sSup>
      </m:oMath>
      <w:r w:rsidRPr="003A6DFC">
        <w:rPr>
          <w:rFonts w:ascii="Century" w:hAnsi="Century"/>
        </w:rPr>
        <w:t xml:space="preserve"> (Wooldridge, 2002).</w:t>
      </w:r>
      <w:r w:rsidR="0077409B" w:rsidRPr="003A6DFC">
        <w:rPr>
          <w:rFonts w:ascii="Century" w:hAnsi="Century"/>
        </w:rPr>
        <w:t xml:space="preserve"> </w:t>
      </w:r>
    </w:p>
  </w:footnote>
  <w:footnote w:id="10">
    <w:p w14:paraId="3DB00B35" w14:textId="6094A9C5" w:rsidR="0077409B" w:rsidRPr="0077409B" w:rsidRDefault="0077409B" w:rsidP="00E65F11">
      <w:pPr>
        <w:pStyle w:val="Textodenotaderodap"/>
        <w:jc w:val="both"/>
      </w:pPr>
      <w:r w:rsidRPr="003A6DFC">
        <w:rPr>
          <w:rStyle w:val="Refdenotaderodap"/>
        </w:rPr>
        <w:footnoteRef/>
      </w:r>
      <w:r w:rsidRPr="003A6DFC">
        <w:t xml:space="preserve"> </w:t>
      </w:r>
      <w:r w:rsidRPr="003A6DFC">
        <w:rPr>
          <w:rFonts w:ascii="Century" w:hAnsi="Century"/>
          <w:lang w:val="en-GB"/>
        </w:rPr>
        <w:t>We have calculated the marginal effect for each explanatory variable keeping all other variables in their mean values.</w:t>
      </w:r>
    </w:p>
  </w:footnote>
  <w:footnote w:id="11">
    <w:p w14:paraId="28510247" w14:textId="77777777" w:rsidR="00AB1FB2" w:rsidRPr="00DD7A95" w:rsidRDefault="00AB1FB2" w:rsidP="00AB1FB2">
      <w:pPr>
        <w:spacing w:after="0" w:line="240" w:lineRule="auto"/>
        <w:jc w:val="both"/>
        <w:rPr>
          <w:rFonts w:ascii="Century" w:hAnsi="Century" w:cs="Times New Roman"/>
          <w:bCs/>
          <w:lang w:val="en-GB"/>
        </w:rPr>
      </w:pPr>
      <w:r>
        <w:rPr>
          <w:rStyle w:val="Refdenotaderodap"/>
        </w:rPr>
        <w:footnoteRef/>
      </w:r>
      <w:r w:rsidRPr="00841BD6">
        <w:rPr>
          <w:lang w:val="en-GB"/>
        </w:rPr>
        <w:t xml:space="preserve"> </w:t>
      </w:r>
      <w:r w:rsidRPr="00DD7A95">
        <w:rPr>
          <w:rFonts w:ascii="Century" w:hAnsi="Century" w:cs="Times New Roman"/>
          <w:bCs/>
          <w:lang w:val="en-GB"/>
        </w:rPr>
        <w:t xml:space="preserve">Marginal effects can be interpreted as percentage points change in the </w:t>
      </w:r>
      <w:r w:rsidRPr="006D6DAC">
        <w:rPr>
          <w:rFonts w:ascii="Century" w:hAnsi="Century" w:cs="Times New Roman"/>
          <w:bCs/>
          <w:lang w:val="en-GB"/>
        </w:rPr>
        <w:t xml:space="preserve">frequency of </w:t>
      </w:r>
      <w:r>
        <w:rPr>
          <w:rFonts w:ascii="Century" w:hAnsi="Century" w:cs="Times New Roman"/>
          <w:bCs/>
          <w:lang w:val="en-GB"/>
        </w:rPr>
        <w:t xml:space="preserve">within-wave </w:t>
      </w:r>
      <w:r w:rsidRPr="006D6DAC">
        <w:rPr>
          <w:rFonts w:ascii="Century" w:hAnsi="Century" w:cs="Times New Roman"/>
          <w:bCs/>
          <w:lang w:val="en-GB"/>
        </w:rPr>
        <w:t xml:space="preserve">inconsistent SAH reporting </w:t>
      </w:r>
      <w:r>
        <w:rPr>
          <w:rFonts w:ascii="Century" w:hAnsi="Century" w:cs="Times New Roman"/>
          <w:bCs/>
          <w:lang w:val="en-GB"/>
        </w:rPr>
        <w:t xml:space="preserve">across all four waves </w:t>
      </w:r>
      <w:r w:rsidRPr="00DD7A95">
        <w:rPr>
          <w:rFonts w:ascii="Century" w:hAnsi="Century" w:cs="Times New Roman"/>
          <w:bCs/>
          <w:lang w:val="en-GB"/>
        </w:rPr>
        <w:t>due to a unit variation in the explanatory variable of interest.</w:t>
      </w:r>
    </w:p>
  </w:footnote>
  <w:footnote w:id="12">
    <w:p w14:paraId="686515C4" w14:textId="1817BEEC" w:rsidR="00665FFB" w:rsidRPr="00665FFB" w:rsidRDefault="00665FFB" w:rsidP="00665FFB">
      <w:pPr>
        <w:pStyle w:val="Textodenotaderodap"/>
        <w:jc w:val="both"/>
      </w:pPr>
      <w:r>
        <w:rPr>
          <w:rStyle w:val="Refdenotaderodap"/>
        </w:rPr>
        <w:footnoteRef/>
      </w:r>
      <w:r>
        <w:t xml:space="preserve"> </w:t>
      </w:r>
      <w:r w:rsidRPr="003A6DFC">
        <w:rPr>
          <w:rFonts w:ascii="Century" w:hAnsi="Century" w:cs="Arial"/>
        </w:rPr>
        <w:t xml:space="preserve">A potential issue related to responses to SAH questions is the ceiling (or floor) effects, where individuals reporting the highest (or lowest) level of SRH cannot report subsequent improved (or worsened) health (see </w:t>
      </w:r>
      <w:proofErr w:type="spellStart"/>
      <w:r w:rsidRPr="003A6DFC">
        <w:rPr>
          <w:rFonts w:ascii="Century" w:hAnsi="Century" w:cs="Arial"/>
        </w:rPr>
        <w:t>Gunasekara</w:t>
      </w:r>
      <w:proofErr w:type="spellEnd"/>
      <w:r w:rsidRPr="003A6DFC">
        <w:rPr>
          <w:rFonts w:ascii="Century" w:hAnsi="Century" w:cs="Arial"/>
        </w:rPr>
        <w:t xml:space="preserve"> et al., 2012; </w:t>
      </w:r>
      <w:proofErr w:type="spellStart"/>
      <w:r w:rsidRPr="003A6DFC">
        <w:rPr>
          <w:rFonts w:ascii="Century" w:hAnsi="Century" w:cs="Arial"/>
        </w:rPr>
        <w:t>Lumsdaine</w:t>
      </w:r>
      <w:proofErr w:type="spellEnd"/>
      <w:r w:rsidRPr="003A6DFC">
        <w:rPr>
          <w:rFonts w:ascii="Century" w:hAnsi="Century" w:cs="Arial"/>
        </w:rPr>
        <w:t xml:space="preserve"> and </w:t>
      </w:r>
      <w:proofErr w:type="spellStart"/>
      <w:r w:rsidRPr="003A6DFC">
        <w:rPr>
          <w:rFonts w:ascii="Century" w:hAnsi="Century" w:cs="Arial"/>
        </w:rPr>
        <w:t>Exterkate</w:t>
      </w:r>
      <w:proofErr w:type="spellEnd"/>
      <w:r w:rsidRPr="003A6DFC">
        <w:rPr>
          <w:rFonts w:ascii="Century" w:hAnsi="Century" w:cs="Arial"/>
        </w:rPr>
        <w:t xml:space="preserve">, 2013). </w:t>
      </w:r>
      <w:proofErr w:type="gramStart"/>
      <w:r w:rsidRPr="003A6DFC">
        <w:rPr>
          <w:rFonts w:ascii="Century" w:hAnsi="Century" w:cs="Arial"/>
        </w:rPr>
        <w:t>As a way to</w:t>
      </w:r>
      <w:proofErr w:type="gramEnd"/>
      <w:r w:rsidRPr="003A6DFC">
        <w:rPr>
          <w:rFonts w:ascii="Century" w:hAnsi="Century" w:cs="Arial"/>
        </w:rPr>
        <w:t xml:space="preserve"> reduce sensitivity to ceiling or floor effects, we measure inconsistency by indicating those respondents that provide diverging answers in open and self-completing modes of interview.</w:t>
      </w:r>
    </w:p>
  </w:footnote>
  <w:footnote w:id="13">
    <w:p w14:paraId="27D6701A" w14:textId="77777777" w:rsidR="00C25A0E" w:rsidRPr="004C559B" w:rsidRDefault="00C25A0E" w:rsidP="00C25A0E">
      <w:pPr>
        <w:pStyle w:val="Textodenotaderodap"/>
        <w:jc w:val="both"/>
        <w:rPr>
          <w:rFonts w:ascii="Century" w:hAnsi="Century"/>
        </w:rPr>
      </w:pPr>
      <w:r w:rsidRPr="004C559B">
        <w:rPr>
          <w:rStyle w:val="Refdenotaderodap"/>
          <w:rFonts w:ascii="Century" w:hAnsi="Century"/>
        </w:rPr>
        <w:footnoteRef/>
      </w:r>
      <w:r w:rsidRPr="004C559B">
        <w:rPr>
          <w:rFonts w:ascii="Century" w:hAnsi="Century"/>
        </w:rPr>
        <w:t xml:space="preserve"> One may argue that the fact that only 0.75% of our sample members belongs to the always inconsistent (“1111”) category indicates that persistence is low for inconsistency responses. However, this is not true. Given that the mean probability of reporting inconsistently is 0.214, under independence, this means that we would expect that the proportion of our sample “always inconsistent” (“1111”) should be 0.2144=0.002 (or 0.21%). By contrast, in our sample, we observe 676 individuals (i.e., 0.75% of our sample) classified in the “always inconsistent” category. </w:t>
      </w:r>
    </w:p>
  </w:footnote>
  <w:footnote w:id="14">
    <w:p w14:paraId="0FC17ECF" w14:textId="2358AD55" w:rsidR="005438BE" w:rsidRPr="005438BE" w:rsidRDefault="005438BE" w:rsidP="005438BE">
      <w:pPr>
        <w:pStyle w:val="Textodenotaderodap"/>
        <w:jc w:val="both"/>
        <w:rPr>
          <w:lang w:val="en-GB"/>
        </w:rPr>
      </w:pPr>
      <w:r>
        <w:rPr>
          <w:rStyle w:val="Refdenotaderodap"/>
        </w:rPr>
        <w:footnoteRef/>
      </w:r>
      <w:r>
        <w:t xml:space="preserve"> </w:t>
      </w:r>
      <w:r>
        <w:rPr>
          <w:rFonts w:ascii="Century" w:hAnsi="Century" w:cs="Times New Roman"/>
          <w:lang w:val="en-GB"/>
        </w:rPr>
        <w:t>It should be noted here that t</w:t>
      </w:r>
      <w:r w:rsidRPr="00434D72">
        <w:rPr>
          <w:rFonts w:ascii="Century" w:hAnsi="Century"/>
          <w:lang w:val="en-GB"/>
        </w:rPr>
        <w:t xml:space="preserve">he scaling of coefficients in the pooled and </w:t>
      </w:r>
      <w:r>
        <w:rPr>
          <w:rFonts w:ascii="Century" w:hAnsi="Century"/>
          <w:lang w:val="en-GB"/>
        </w:rPr>
        <w:t xml:space="preserve">RE </w:t>
      </w:r>
      <w:r w:rsidRPr="00434D72">
        <w:rPr>
          <w:rFonts w:ascii="Century" w:hAnsi="Century"/>
          <w:lang w:val="en-GB"/>
        </w:rPr>
        <w:t xml:space="preserve">specifications </w:t>
      </w:r>
      <w:r>
        <w:rPr>
          <w:rFonts w:ascii="Century" w:hAnsi="Century"/>
          <w:lang w:val="en-GB"/>
        </w:rPr>
        <w:t>are</w:t>
      </w:r>
      <w:r w:rsidRPr="00434D72">
        <w:rPr>
          <w:rFonts w:ascii="Century" w:hAnsi="Century"/>
          <w:lang w:val="en-GB"/>
        </w:rPr>
        <w:t xml:space="preserve"> different and they should not be compared directly</w:t>
      </w:r>
      <w:r>
        <w:rPr>
          <w:rFonts w:ascii="Century" w:hAnsi="Century"/>
          <w:lang w:val="en-GB"/>
        </w:rPr>
        <w:t xml:space="preserve"> in Table </w:t>
      </w:r>
      <w:r w:rsidR="00F610FC">
        <w:rPr>
          <w:rFonts w:ascii="Century" w:hAnsi="Century"/>
          <w:lang w:val="en-GB"/>
        </w:rPr>
        <w:t>A2 (Appendix)</w:t>
      </w:r>
      <w:r>
        <w:rPr>
          <w:rFonts w:ascii="Century" w:hAnsi="Century"/>
          <w:lang w:val="en-GB"/>
        </w:rPr>
        <w:t xml:space="preserve">; this highlights the need to calculate the corresponding </w:t>
      </w:r>
      <w:r w:rsidRPr="00434D72">
        <w:rPr>
          <w:rFonts w:ascii="Century" w:hAnsi="Century"/>
          <w:lang w:val="en-GB"/>
        </w:rPr>
        <w:t>marginal effects which are on the same scale and can be compared.</w:t>
      </w:r>
    </w:p>
  </w:footnote>
  <w:footnote w:id="15">
    <w:p w14:paraId="127892C2" w14:textId="7547F4FB" w:rsidR="00FD6C3A" w:rsidRPr="00FD6C3A" w:rsidRDefault="00FD6C3A" w:rsidP="00FD6C3A">
      <w:pPr>
        <w:spacing w:after="0" w:line="240" w:lineRule="auto"/>
        <w:jc w:val="both"/>
        <w:rPr>
          <w:rFonts w:ascii="Century" w:hAnsi="Century" w:cs="Times New Roman"/>
          <w:bCs/>
        </w:rPr>
      </w:pPr>
      <w:r w:rsidRPr="003A6DFC">
        <w:rPr>
          <w:rStyle w:val="Refdenotaderodap"/>
        </w:rPr>
        <w:footnoteRef/>
      </w:r>
      <w:r w:rsidRPr="003A6DFC">
        <w:t xml:space="preserve"> </w:t>
      </w:r>
      <w:r w:rsidRPr="003A6DFC">
        <w:rPr>
          <w:rFonts w:ascii="Century" w:hAnsi="Century" w:cs="Times New Roman"/>
          <w:bCs/>
          <w:sz w:val="20"/>
          <w:szCs w:val="20"/>
          <w:lang w:val="en-GB"/>
        </w:rPr>
        <w:t>We need to highlight here that our scope is not to explore the implications of measurement error in SAH on the income-health gradient. Our focus is much narrower, and it simply limited to explore whether the two SAH measures (open interview versus the self-completion) result into different income coefficients. Although we draw some general argument for the measurement error literature (</w:t>
      </w:r>
      <w:proofErr w:type="gramStart"/>
      <w:r w:rsidRPr="003A6DFC">
        <w:rPr>
          <w:rFonts w:ascii="Century" w:hAnsi="Century" w:cs="Times New Roman"/>
          <w:bCs/>
          <w:sz w:val="20"/>
          <w:szCs w:val="20"/>
          <w:lang w:val="en-GB"/>
        </w:rPr>
        <w:t>especially</w:t>
      </w:r>
      <w:proofErr w:type="gramEnd"/>
      <w:r w:rsidRPr="003A6DFC">
        <w:rPr>
          <w:rFonts w:ascii="Century" w:hAnsi="Century" w:cs="Times New Roman"/>
          <w:bCs/>
          <w:sz w:val="20"/>
          <w:szCs w:val="20"/>
          <w:lang w:val="en-GB"/>
        </w:rPr>
        <w:t xml:space="preserve"> to interpret the reduction in the income coefficients as moving from Panel B to Panel E in Table 6), our aim here is not to assess the implications of any measurement error in SAH more generally but the implications of employing SAH measures that are based on different interview modes inconspicuously as it is done in existing studies. For example, even when multiple SAH measures are available in a dataset within the same wave, the authors, unconsciously, consider responses of one SAH measure for their analysis despite concerns regarding the consistency of these SAH measures (e.g., </w:t>
      </w:r>
      <w:proofErr w:type="spellStart"/>
      <w:r w:rsidRPr="003A6DFC">
        <w:rPr>
          <w:rFonts w:ascii="Century" w:hAnsi="Century" w:cs="Times New Roman"/>
          <w:bCs/>
          <w:sz w:val="20"/>
          <w:szCs w:val="20"/>
          <w:lang w:val="en-GB"/>
        </w:rPr>
        <w:t>Contoyannis</w:t>
      </w:r>
      <w:proofErr w:type="spellEnd"/>
      <w:r w:rsidRPr="003A6DFC">
        <w:rPr>
          <w:rFonts w:ascii="Century" w:hAnsi="Century" w:cs="Times New Roman"/>
          <w:bCs/>
          <w:sz w:val="20"/>
          <w:szCs w:val="20"/>
          <w:lang w:val="en-GB"/>
        </w:rPr>
        <w:t xml:space="preserve"> et al., 2004, </w:t>
      </w:r>
      <w:proofErr w:type="spellStart"/>
      <w:r w:rsidRPr="003A6DFC">
        <w:rPr>
          <w:rFonts w:ascii="Century" w:hAnsi="Century" w:cs="Times New Roman"/>
          <w:bCs/>
          <w:sz w:val="20"/>
          <w:szCs w:val="20"/>
          <w:lang w:val="en-GB"/>
        </w:rPr>
        <w:t>Fichera</w:t>
      </w:r>
      <w:proofErr w:type="spellEnd"/>
      <w:r w:rsidRPr="003A6DFC">
        <w:rPr>
          <w:rFonts w:ascii="Century" w:hAnsi="Century" w:cs="Times New Roman"/>
          <w:bCs/>
          <w:sz w:val="20"/>
          <w:szCs w:val="20"/>
          <w:lang w:val="en-GB"/>
        </w:rPr>
        <w:t xml:space="preserve"> and </w:t>
      </w:r>
      <w:proofErr w:type="spellStart"/>
      <w:r w:rsidRPr="003A6DFC">
        <w:rPr>
          <w:rFonts w:ascii="Century" w:hAnsi="Century" w:cs="Times New Roman"/>
          <w:bCs/>
          <w:sz w:val="20"/>
          <w:szCs w:val="20"/>
          <w:lang w:val="en-GB"/>
        </w:rPr>
        <w:t>Gathergood</w:t>
      </w:r>
      <w:proofErr w:type="spellEnd"/>
      <w:r w:rsidRPr="003A6DFC">
        <w:rPr>
          <w:rFonts w:ascii="Century" w:hAnsi="Century" w:cs="Times New Roman"/>
          <w:bCs/>
          <w:sz w:val="20"/>
          <w:szCs w:val="20"/>
          <w:lang w:val="en-GB"/>
        </w:rPr>
        <w:t>, 2016; Li Donni et al., 2014).</w:t>
      </w:r>
    </w:p>
  </w:footnote>
  <w:footnote w:id="16">
    <w:p w14:paraId="7FC843FB" w14:textId="0790CB1F" w:rsidR="00AD1540" w:rsidRPr="00AD1540" w:rsidRDefault="00AD1540">
      <w:pPr>
        <w:pStyle w:val="Textodenotaderodap"/>
      </w:pPr>
      <w:r w:rsidRPr="003A6DFC">
        <w:rPr>
          <w:rStyle w:val="Refdenotaderodap"/>
        </w:rPr>
        <w:footnoteRef/>
      </w:r>
      <w:r w:rsidRPr="003A6DFC">
        <w:t xml:space="preserve"> </w:t>
      </w:r>
      <w:r w:rsidRPr="003A6DFC">
        <w:rPr>
          <w:rFonts w:ascii="Century" w:hAnsi="Century"/>
        </w:rPr>
        <w:t xml:space="preserve">Crossley (2002) </w:t>
      </w:r>
      <w:r w:rsidRPr="003A6DFC">
        <w:rPr>
          <w:rFonts w:ascii="Century" w:hAnsi="Century" w:cs="Arial"/>
        </w:rPr>
        <w:t>uses linear regression approach to analyze the attenuation bias associated with SAH measures when explaining individual employment status.</w:t>
      </w:r>
    </w:p>
  </w:footnote>
  <w:footnote w:id="17">
    <w:p w14:paraId="018F8C7C" w14:textId="3F77561A" w:rsidR="00F62543" w:rsidRPr="00F62543" w:rsidRDefault="00F62543" w:rsidP="00F62543">
      <w:pPr>
        <w:pStyle w:val="Textodenotaderodap"/>
        <w:jc w:val="both"/>
      </w:pPr>
      <w:r w:rsidRPr="003A6DFC">
        <w:rPr>
          <w:rStyle w:val="Refdenotaderodap"/>
        </w:rPr>
        <w:footnoteRef/>
      </w:r>
      <w:r w:rsidRPr="003A6DFC">
        <w:t xml:space="preserve"> </w:t>
      </w:r>
      <w:r w:rsidRPr="003A6DFC">
        <w:rPr>
          <w:rFonts w:ascii="Century" w:hAnsi="Century"/>
          <w:lang w:val="en-GB"/>
        </w:rPr>
        <w:t>If inconsistent reporting behaviour is associated with socioeconomic status, measurement error in SAH will be correlated with explanatory variables in regression model leading to biased estimates (see Clarke and Ryan, 2006).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0188E" w14:textId="77777777" w:rsidR="0069069C" w:rsidRDefault="0069069C" w:rsidP="002C575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16385" w14:textId="4EE482D9" w:rsidR="0069069C" w:rsidRDefault="0069069C">
    <w:pPr>
      <w:pStyle w:val="Cabealho"/>
      <w:jc w:val="center"/>
    </w:pPr>
  </w:p>
  <w:p w14:paraId="6A21BFE2" w14:textId="77777777" w:rsidR="0069069C" w:rsidRDefault="0069069C">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881408"/>
    <w:multiLevelType w:val="hybridMultilevel"/>
    <w:tmpl w:val="46769E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217766"/>
    <w:multiLevelType w:val="hybridMultilevel"/>
    <w:tmpl w:val="FE18A9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EAF459E"/>
    <w:multiLevelType w:val="hybridMultilevel"/>
    <w:tmpl w:val="E49EF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3F6210"/>
    <w:multiLevelType w:val="hybridMultilevel"/>
    <w:tmpl w:val="46245014"/>
    <w:lvl w:ilvl="0" w:tplc="5EBE17D2">
      <w:numFmt w:val="bullet"/>
      <w:lvlText w:val=""/>
      <w:lvlJc w:val="left"/>
      <w:pPr>
        <w:ind w:left="720" w:hanging="360"/>
      </w:pPr>
      <w:rPr>
        <w:rFonts w:ascii="Symbol" w:eastAsiaTheme="minorEastAsia"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E12178C"/>
    <w:multiLevelType w:val="hybridMultilevel"/>
    <w:tmpl w:val="3C481592"/>
    <w:lvl w:ilvl="0" w:tplc="0408000F">
      <w:start w:val="4"/>
      <w:numFmt w:val="decimal"/>
      <w:lvlText w:val="%1."/>
      <w:lvlJc w:val="left"/>
      <w:pPr>
        <w:ind w:left="360" w:hanging="360"/>
      </w:pPr>
      <w:rPr>
        <w:rFonts w:hint="default"/>
      </w:rPr>
    </w:lvl>
    <w:lvl w:ilvl="1" w:tplc="04080019">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5" w15:restartNumberingAfterBreak="0">
    <w:nsid w:val="4D655E2E"/>
    <w:multiLevelType w:val="multilevel"/>
    <w:tmpl w:val="38F2EB00"/>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6011401B"/>
    <w:multiLevelType w:val="hybridMultilevel"/>
    <w:tmpl w:val="F79601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78150AFC"/>
    <w:multiLevelType w:val="hybridMultilevel"/>
    <w:tmpl w:val="9F54F17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30951870">
    <w:abstractNumId w:val="6"/>
  </w:num>
  <w:num w:numId="2" w16cid:durableId="1864393371">
    <w:abstractNumId w:val="3"/>
  </w:num>
  <w:num w:numId="3" w16cid:durableId="1747023960">
    <w:abstractNumId w:val="5"/>
  </w:num>
  <w:num w:numId="4" w16cid:durableId="1873878727">
    <w:abstractNumId w:val="7"/>
  </w:num>
  <w:num w:numId="5" w16cid:durableId="380180741">
    <w:abstractNumId w:val="2"/>
  </w:num>
  <w:num w:numId="6" w16cid:durableId="405302436">
    <w:abstractNumId w:val="0"/>
  </w:num>
  <w:num w:numId="7" w16cid:durableId="2110536817">
    <w:abstractNumId w:val="1"/>
  </w:num>
  <w:num w:numId="8" w16cid:durableId="128099099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Formatting/>
  <w:defaultTabStop w:val="708"/>
  <w:hyphenationZone w:val="283"/>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C15"/>
    <w:rsid w:val="0000017D"/>
    <w:rsid w:val="00000A91"/>
    <w:rsid w:val="00001365"/>
    <w:rsid w:val="0000161D"/>
    <w:rsid w:val="000035E4"/>
    <w:rsid w:val="00003794"/>
    <w:rsid w:val="00003795"/>
    <w:rsid w:val="00003939"/>
    <w:rsid w:val="00003DD6"/>
    <w:rsid w:val="00003EAF"/>
    <w:rsid w:val="000043B9"/>
    <w:rsid w:val="0000443E"/>
    <w:rsid w:val="00005195"/>
    <w:rsid w:val="00005532"/>
    <w:rsid w:val="000057EF"/>
    <w:rsid w:val="00005F96"/>
    <w:rsid w:val="00006383"/>
    <w:rsid w:val="000066CD"/>
    <w:rsid w:val="00006B94"/>
    <w:rsid w:val="00006B9E"/>
    <w:rsid w:val="0000767D"/>
    <w:rsid w:val="00007B5A"/>
    <w:rsid w:val="00007C48"/>
    <w:rsid w:val="00007EBD"/>
    <w:rsid w:val="000100D1"/>
    <w:rsid w:val="000101B6"/>
    <w:rsid w:val="0001040D"/>
    <w:rsid w:val="0001041D"/>
    <w:rsid w:val="00010829"/>
    <w:rsid w:val="000117EA"/>
    <w:rsid w:val="00011B0D"/>
    <w:rsid w:val="00011D09"/>
    <w:rsid w:val="00013DAE"/>
    <w:rsid w:val="00013E78"/>
    <w:rsid w:val="000140F2"/>
    <w:rsid w:val="000142EF"/>
    <w:rsid w:val="0001430B"/>
    <w:rsid w:val="000144F3"/>
    <w:rsid w:val="0001460D"/>
    <w:rsid w:val="00014641"/>
    <w:rsid w:val="00015105"/>
    <w:rsid w:val="000153BF"/>
    <w:rsid w:val="00015539"/>
    <w:rsid w:val="000160A9"/>
    <w:rsid w:val="000161D8"/>
    <w:rsid w:val="00016842"/>
    <w:rsid w:val="00016A70"/>
    <w:rsid w:val="00016C4E"/>
    <w:rsid w:val="00016D03"/>
    <w:rsid w:val="00017049"/>
    <w:rsid w:val="00017A18"/>
    <w:rsid w:val="00017D90"/>
    <w:rsid w:val="00017EB2"/>
    <w:rsid w:val="00017ED3"/>
    <w:rsid w:val="00017F6B"/>
    <w:rsid w:val="000204DF"/>
    <w:rsid w:val="000204E0"/>
    <w:rsid w:val="0002086D"/>
    <w:rsid w:val="00020A7B"/>
    <w:rsid w:val="00021712"/>
    <w:rsid w:val="00021785"/>
    <w:rsid w:val="000219BD"/>
    <w:rsid w:val="00021A3E"/>
    <w:rsid w:val="00022617"/>
    <w:rsid w:val="0002290F"/>
    <w:rsid w:val="00022CB8"/>
    <w:rsid w:val="00022ED1"/>
    <w:rsid w:val="000230F7"/>
    <w:rsid w:val="00023E80"/>
    <w:rsid w:val="000241DB"/>
    <w:rsid w:val="00024E38"/>
    <w:rsid w:val="0002519E"/>
    <w:rsid w:val="00025343"/>
    <w:rsid w:val="00025784"/>
    <w:rsid w:val="00025931"/>
    <w:rsid w:val="000260D0"/>
    <w:rsid w:val="00026656"/>
    <w:rsid w:val="00027261"/>
    <w:rsid w:val="00027293"/>
    <w:rsid w:val="0003023F"/>
    <w:rsid w:val="00030664"/>
    <w:rsid w:val="0003070F"/>
    <w:rsid w:val="0003088E"/>
    <w:rsid w:val="00030ED3"/>
    <w:rsid w:val="00030F35"/>
    <w:rsid w:val="000311C6"/>
    <w:rsid w:val="0003166C"/>
    <w:rsid w:val="000317E3"/>
    <w:rsid w:val="00031862"/>
    <w:rsid w:val="000321D0"/>
    <w:rsid w:val="00032816"/>
    <w:rsid w:val="00032C20"/>
    <w:rsid w:val="00032F40"/>
    <w:rsid w:val="000334F7"/>
    <w:rsid w:val="0003393E"/>
    <w:rsid w:val="00033E84"/>
    <w:rsid w:val="000340E1"/>
    <w:rsid w:val="0003410E"/>
    <w:rsid w:val="0003447A"/>
    <w:rsid w:val="00034761"/>
    <w:rsid w:val="00034897"/>
    <w:rsid w:val="00034B07"/>
    <w:rsid w:val="0003504C"/>
    <w:rsid w:val="000352AB"/>
    <w:rsid w:val="00035BDF"/>
    <w:rsid w:val="000361F7"/>
    <w:rsid w:val="000363C3"/>
    <w:rsid w:val="0003658F"/>
    <w:rsid w:val="00036705"/>
    <w:rsid w:val="0003684F"/>
    <w:rsid w:val="00036BD3"/>
    <w:rsid w:val="00036EB4"/>
    <w:rsid w:val="0003773B"/>
    <w:rsid w:val="00037EC2"/>
    <w:rsid w:val="00040009"/>
    <w:rsid w:val="000409E5"/>
    <w:rsid w:val="0004119F"/>
    <w:rsid w:val="00041615"/>
    <w:rsid w:val="00041767"/>
    <w:rsid w:val="000417AD"/>
    <w:rsid w:val="00041C47"/>
    <w:rsid w:val="0004218E"/>
    <w:rsid w:val="000422C0"/>
    <w:rsid w:val="00042467"/>
    <w:rsid w:val="0004246E"/>
    <w:rsid w:val="000426D6"/>
    <w:rsid w:val="00042885"/>
    <w:rsid w:val="00042B20"/>
    <w:rsid w:val="00042C84"/>
    <w:rsid w:val="00042FDE"/>
    <w:rsid w:val="00043600"/>
    <w:rsid w:val="000436E0"/>
    <w:rsid w:val="00043832"/>
    <w:rsid w:val="00043A66"/>
    <w:rsid w:val="00043AE1"/>
    <w:rsid w:val="00043CFE"/>
    <w:rsid w:val="00043D1A"/>
    <w:rsid w:val="00043D2A"/>
    <w:rsid w:val="0004403E"/>
    <w:rsid w:val="000440A7"/>
    <w:rsid w:val="000440D5"/>
    <w:rsid w:val="00044658"/>
    <w:rsid w:val="00044DF1"/>
    <w:rsid w:val="0004506A"/>
    <w:rsid w:val="00045141"/>
    <w:rsid w:val="000456DC"/>
    <w:rsid w:val="00045864"/>
    <w:rsid w:val="00045BFA"/>
    <w:rsid w:val="000463C0"/>
    <w:rsid w:val="00046724"/>
    <w:rsid w:val="00046AE9"/>
    <w:rsid w:val="00046B3E"/>
    <w:rsid w:val="00047924"/>
    <w:rsid w:val="0005036A"/>
    <w:rsid w:val="00050371"/>
    <w:rsid w:val="000506D3"/>
    <w:rsid w:val="00050FD9"/>
    <w:rsid w:val="000514AA"/>
    <w:rsid w:val="00051902"/>
    <w:rsid w:val="00051A6C"/>
    <w:rsid w:val="00051FCF"/>
    <w:rsid w:val="00052048"/>
    <w:rsid w:val="0005264F"/>
    <w:rsid w:val="00052684"/>
    <w:rsid w:val="00052E91"/>
    <w:rsid w:val="0005309F"/>
    <w:rsid w:val="0005314B"/>
    <w:rsid w:val="000532D1"/>
    <w:rsid w:val="00053348"/>
    <w:rsid w:val="00053351"/>
    <w:rsid w:val="0005335E"/>
    <w:rsid w:val="00053DE7"/>
    <w:rsid w:val="00054158"/>
    <w:rsid w:val="00054300"/>
    <w:rsid w:val="00054623"/>
    <w:rsid w:val="00054860"/>
    <w:rsid w:val="00054F8C"/>
    <w:rsid w:val="000553C0"/>
    <w:rsid w:val="0005545E"/>
    <w:rsid w:val="000558A9"/>
    <w:rsid w:val="00055BFE"/>
    <w:rsid w:val="00055C4D"/>
    <w:rsid w:val="000563AA"/>
    <w:rsid w:val="000568FF"/>
    <w:rsid w:val="00056EDA"/>
    <w:rsid w:val="00056EEB"/>
    <w:rsid w:val="00057194"/>
    <w:rsid w:val="00057E1A"/>
    <w:rsid w:val="000601D9"/>
    <w:rsid w:val="0006051A"/>
    <w:rsid w:val="00060ECE"/>
    <w:rsid w:val="00060F3D"/>
    <w:rsid w:val="00060FE0"/>
    <w:rsid w:val="00061039"/>
    <w:rsid w:val="00061106"/>
    <w:rsid w:val="00062074"/>
    <w:rsid w:val="00063469"/>
    <w:rsid w:val="00063BA1"/>
    <w:rsid w:val="00064068"/>
    <w:rsid w:val="00064754"/>
    <w:rsid w:val="00064ABF"/>
    <w:rsid w:val="00064D82"/>
    <w:rsid w:val="000650AF"/>
    <w:rsid w:val="000651C3"/>
    <w:rsid w:val="00065660"/>
    <w:rsid w:val="00065973"/>
    <w:rsid w:val="00065A77"/>
    <w:rsid w:val="0006625F"/>
    <w:rsid w:val="000665D2"/>
    <w:rsid w:val="0006692D"/>
    <w:rsid w:val="000674C7"/>
    <w:rsid w:val="00067ADD"/>
    <w:rsid w:val="00067AF3"/>
    <w:rsid w:val="00067B89"/>
    <w:rsid w:val="000700E2"/>
    <w:rsid w:val="0007032D"/>
    <w:rsid w:val="00070EE8"/>
    <w:rsid w:val="00071A92"/>
    <w:rsid w:val="00072017"/>
    <w:rsid w:val="000728EB"/>
    <w:rsid w:val="00072F7F"/>
    <w:rsid w:val="0007338C"/>
    <w:rsid w:val="0007393A"/>
    <w:rsid w:val="00073E55"/>
    <w:rsid w:val="0007456C"/>
    <w:rsid w:val="00074FF1"/>
    <w:rsid w:val="000750D5"/>
    <w:rsid w:val="000751A6"/>
    <w:rsid w:val="000759D9"/>
    <w:rsid w:val="0007695E"/>
    <w:rsid w:val="00077806"/>
    <w:rsid w:val="00077FBF"/>
    <w:rsid w:val="000805A9"/>
    <w:rsid w:val="000808E4"/>
    <w:rsid w:val="000808E6"/>
    <w:rsid w:val="00080AC1"/>
    <w:rsid w:val="00080B1A"/>
    <w:rsid w:val="00080B89"/>
    <w:rsid w:val="000817E0"/>
    <w:rsid w:val="00081938"/>
    <w:rsid w:val="00082C02"/>
    <w:rsid w:val="00083A8D"/>
    <w:rsid w:val="00084787"/>
    <w:rsid w:val="00084C6D"/>
    <w:rsid w:val="00084E40"/>
    <w:rsid w:val="00084EB5"/>
    <w:rsid w:val="00085107"/>
    <w:rsid w:val="0008541A"/>
    <w:rsid w:val="00085483"/>
    <w:rsid w:val="00085633"/>
    <w:rsid w:val="000857FA"/>
    <w:rsid w:val="000859CA"/>
    <w:rsid w:val="00085CFC"/>
    <w:rsid w:val="000860B5"/>
    <w:rsid w:val="000860D2"/>
    <w:rsid w:val="00086166"/>
    <w:rsid w:val="000864B9"/>
    <w:rsid w:val="00086DC6"/>
    <w:rsid w:val="000875E0"/>
    <w:rsid w:val="000875E7"/>
    <w:rsid w:val="00087B85"/>
    <w:rsid w:val="00087E95"/>
    <w:rsid w:val="00090729"/>
    <w:rsid w:val="00091568"/>
    <w:rsid w:val="000918FB"/>
    <w:rsid w:val="00092039"/>
    <w:rsid w:val="000923D7"/>
    <w:rsid w:val="0009288C"/>
    <w:rsid w:val="00092B6D"/>
    <w:rsid w:val="000932D8"/>
    <w:rsid w:val="00094009"/>
    <w:rsid w:val="000940A7"/>
    <w:rsid w:val="0009476E"/>
    <w:rsid w:val="00094F5D"/>
    <w:rsid w:val="000950AE"/>
    <w:rsid w:val="00095176"/>
    <w:rsid w:val="0009523B"/>
    <w:rsid w:val="000952E6"/>
    <w:rsid w:val="00095476"/>
    <w:rsid w:val="000964F8"/>
    <w:rsid w:val="00096611"/>
    <w:rsid w:val="00096760"/>
    <w:rsid w:val="0009686B"/>
    <w:rsid w:val="00096A05"/>
    <w:rsid w:val="00096A42"/>
    <w:rsid w:val="00096FE4"/>
    <w:rsid w:val="0009711D"/>
    <w:rsid w:val="0009711E"/>
    <w:rsid w:val="0009720A"/>
    <w:rsid w:val="000974F3"/>
    <w:rsid w:val="00097A42"/>
    <w:rsid w:val="00097A69"/>
    <w:rsid w:val="00097C12"/>
    <w:rsid w:val="00097CDA"/>
    <w:rsid w:val="00097D76"/>
    <w:rsid w:val="000A0BA5"/>
    <w:rsid w:val="000A11B3"/>
    <w:rsid w:val="000A12DC"/>
    <w:rsid w:val="000A1B87"/>
    <w:rsid w:val="000A245B"/>
    <w:rsid w:val="000A24C7"/>
    <w:rsid w:val="000A3247"/>
    <w:rsid w:val="000A3A24"/>
    <w:rsid w:val="000A43E2"/>
    <w:rsid w:val="000A4875"/>
    <w:rsid w:val="000A4B20"/>
    <w:rsid w:val="000A4ECA"/>
    <w:rsid w:val="000A5115"/>
    <w:rsid w:val="000A5135"/>
    <w:rsid w:val="000A56DF"/>
    <w:rsid w:val="000A5931"/>
    <w:rsid w:val="000A5B13"/>
    <w:rsid w:val="000A64BD"/>
    <w:rsid w:val="000A661A"/>
    <w:rsid w:val="000A6E96"/>
    <w:rsid w:val="000A7C65"/>
    <w:rsid w:val="000B0166"/>
    <w:rsid w:val="000B096D"/>
    <w:rsid w:val="000B0A7B"/>
    <w:rsid w:val="000B0E9D"/>
    <w:rsid w:val="000B10DC"/>
    <w:rsid w:val="000B10EF"/>
    <w:rsid w:val="000B12BC"/>
    <w:rsid w:val="000B130B"/>
    <w:rsid w:val="000B1A4C"/>
    <w:rsid w:val="000B2D15"/>
    <w:rsid w:val="000B3073"/>
    <w:rsid w:val="000B3362"/>
    <w:rsid w:val="000B3794"/>
    <w:rsid w:val="000B4600"/>
    <w:rsid w:val="000B48DC"/>
    <w:rsid w:val="000B518C"/>
    <w:rsid w:val="000B54EF"/>
    <w:rsid w:val="000B5716"/>
    <w:rsid w:val="000B591B"/>
    <w:rsid w:val="000B5C8B"/>
    <w:rsid w:val="000B66D2"/>
    <w:rsid w:val="000B6A94"/>
    <w:rsid w:val="000B6DE7"/>
    <w:rsid w:val="000B7B9F"/>
    <w:rsid w:val="000B7CB2"/>
    <w:rsid w:val="000B7CC6"/>
    <w:rsid w:val="000C016D"/>
    <w:rsid w:val="000C030E"/>
    <w:rsid w:val="000C04A0"/>
    <w:rsid w:val="000C08EC"/>
    <w:rsid w:val="000C0D55"/>
    <w:rsid w:val="000C10C8"/>
    <w:rsid w:val="000C11FF"/>
    <w:rsid w:val="000C154F"/>
    <w:rsid w:val="000C17D7"/>
    <w:rsid w:val="000C1905"/>
    <w:rsid w:val="000C1E74"/>
    <w:rsid w:val="000C2909"/>
    <w:rsid w:val="000C2974"/>
    <w:rsid w:val="000C2DEA"/>
    <w:rsid w:val="000C2FF0"/>
    <w:rsid w:val="000C3A77"/>
    <w:rsid w:val="000C3EE5"/>
    <w:rsid w:val="000C409C"/>
    <w:rsid w:val="000C4263"/>
    <w:rsid w:val="000C4278"/>
    <w:rsid w:val="000C4AB3"/>
    <w:rsid w:val="000C4B95"/>
    <w:rsid w:val="000C4C5B"/>
    <w:rsid w:val="000C4F7F"/>
    <w:rsid w:val="000C5AFE"/>
    <w:rsid w:val="000C62B1"/>
    <w:rsid w:val="000C6328"/>
    <w:rsid w:val="000C6DF4"/>
    <w:rsid w:val="000C72F0"/>
    <w:rsid w:val="000C7347"/>
    <w:rsid w:val="000C7404"/>
    <w:rsid w:val="000C78CC"/>
    <w:rsid w:val="000C7A67"/>
    <w:rsid w:val="000C7ED5"/>
    <w:rsid w:val="000D07F4"/>
    <w:rsid w:val="000D0D5C"/>
    <w:rsid w:val="000D0E33"/>
    <w:rsid w:val="000D0EAE"/>
    <w:rsid w:val="000D1466"/>
    <w:rsid w:val="000D1ADC"/>
    <w:rsid w:val="000D1D43"/>
    <w:rsid w:val="000D1F82"/>
    <w:rsid w:val="000D2AD6"/>
    <w:rsid w:val="000D2E69"/>
    <w:rsid w:val="000D30AA"/>
    <w:rsid w:val="000D3372"/>
    <w:rsid w:val="000D3490"/>
    <w:rsid w:val="000D36AA"/>
    <w:rsid w:val="000D3B52"/>
    <w:rsid w:val="000D3CD8"/>
    <w:rsid w:val="000D41BC"/>
    <w:rsid w:val="000D43F5"/>
    <w:rsid w:val="000D566D"/>
    <w:rsid w:val="000D5972"/>
    <w:rsid w:val="000D5E80"/>
    <w:rsid w:val="000D60ED"/>
    <w:rsid w:val="000D6735"/>
    <w:rsid w:val="000D68B8"/>
    <w:rsid w:val="000D6B12"/>
    <w:rsid w:val="000D714D"/>
    <w:rsid w:val="000D74D2"/>
    <w:rsid w:val="000D7D62"/>
    <w:rsid w:val="000E0574"/>
    <w:rsid w:val="000E0595"/>
    <w:rsid w:val="000E0824"/>
    <w:rsid w:val="000E0FEF"/>
    <w:rsid w:val="000E1CB7"/>
    <w:rsid w:val="000E22B9"/>
    <w:rsid w:val="000E2922"/>
    <w:rsid w:val="000E2BA3"/>
    <w:rsid w:val="000E326C"/>
    <w:rsid w:val="000E326D"/>
    <w:rsid w:val="000E34DA"/>
    <w:rsid w:val="000E3A8A"/>
    <w:rsid w:val="000E3B81"/>
    <w:rsid w:val="000E3BF6"/>
    <w:rsid w:val="000E460E"/>
    <w:rsid w:val="000E47FA"/>
    <w:rsid w:val="000E4D39"/>
    <w:rsid w:val="000E4EC2"/>
    <w:rsid w:val="000E512C"/>
    <w:rsid w:val="000E5DD0"/>
    <w:rsid w:val="000E5F22"/>
    <w:rsid w:val="000E62E5"/>
    <w:rsid w:val="000E6596"/>
    <w:rsid w:val="000E693B"/>
    <w:rsid w:val="000E69B1"/>
    <w:rsid w:val="000E7A8B"/>
    <w:rsid w:val="000F015E"/>
    <w:rsid w:val="000F0963"/>
    <w:rsid w:val="000F0975"/>
    <w:rsid w:val="000F0C75"/>
    <w:rsid w:val="000F0D18"/>
    <w:rsid w:val="000F0DD7"/>
    <w:rsid w:val="000F152A"/>
    <w:rsid w:val="000F1714"/>
    <w:rsid w:val="000F189F"/>
    <w:rsid w:val="000F1C60"/>
    <w:rsid w:val="000F225B"/>
    <w:rsid w:val="000F288A"/>
    <w:rsid w:val="000F2E84"/>
    <w:rsid w:val="000F3AA3"/>
    <w:rsid w:val="000F3D4B"/>
    <w:rsid w:val="000F3FA9"/>
    <w:rsid w:val="000F4799"/>
    <w:rsid w:val="000F51D9"/>
    <w:rsid w:val="000F5639"/>
    <w:rsid w:val="000F5F51"/>
    <w:rsid w:val="000F66AF"/>
    <w:rsid w:val="000F6BAD"/>
    <w:rsid w:val="000F6CE0"/>
    <w:rsid w:val="000F6D93"/>
    <w:rsid w:val="000F7777"/>
    <w:rsid w:val="000F7AC5"/>
    <w:rsid w:val="000F7E18"/>
    <w:rsid w:val="000F7F3B"/>
    <w:rsid w:val="001006C6"/>
    <w:rsid w:val="001006E3"/>
    <w:rsid w:val="001014C7"/>
    <w:rsid w:val="00101AE1"/>
    <w:rsid w:val="00101EC0"/>
    <w:rsid w:val="00102233"/>
    <w:rsid w:val="001024D4"/>
    <w:rsid w:val="00102622"/>
    <w:rsid w:val="00102A9F"/>
    <w:rsid w:val="00102C1E"/>
    <w:rsid w:val="0010315D"/>
    <w:rsid w:val="00103272"/>
    <w:rsid w:val="001037A7"/>
    <w:rsid w:val="00103821"/>
    <w:rsid w:val="00103D87"/>
    <w:rsid w:val="0010480D"/>
    <w:rsid w:val="00104824"/>
    <w:rsid w:val="00104AB8"/>
    <w:rsid w:val="00104CAB"/>
    <w:rsid w:val="00105319"/>
    <w:rsid w:val="00105C4F"/>
    <w:rsid w:val="00105DE7"/>
    <w:rsid w:val="00105E28"/>
    <w:rsid w:val="00105F27"/>
    <w:rsid w:val="001063CE"/>
    <w:rsid w:val="001065EA"/>
    <w:rsid w:val="001069A2"/>
    <w:rsid w:val="00106A15"/>
    <w:rsid w:val="00106AFF"/>
    <w:rsid w:val="00106C84"/>
    <w:rsid w:val="00106F58"/>
    <w:rsid w:val="001074C3"/>
    <w:rsid w:val="00107545"/>
    <w:rsid w:val="00107914"/>
    <w:rsid w:val="00107ECA"/>
    <w:rsid w:val="00107ED8"/>
    <w:rsid w:val="00107FA6"/>
    <w:rsid w:val="00110047"/>
    <w:rsid w:val="0011006A"/>
    <w:rsid w:val="001101E1"/>
    <w:rsid w:val="001105D6"/>
    <w:rsid w:val="00110657"/>
    <w:rsid w:val="001106F8"/>
    <w:rsid w:val="00110A82"/>
    <w:rsid w:val="001112D9"/>
    <w:rsid w:val="00111D29"/>
    <w:rsid w:val="00112070"/>
    <w:rsid w:val="00112259"/>
    <w:rsid w:val="001124BA"/>
    <w:rsid w:val="00112F48"/>
    <w:rsid w:val="00112FB5"/>
    <w:rsid w:val="001130C5"/>
    <w:rsid w:val="001140D4"/>
    <w:rsid w:val="00114C62"/>
    <w:rsid w:val="0011506C"/>
    <w:rsid w:val="001152A6"/>
    <w:rsid w:val="001152F9"/>
    <w:rsid w:val="001153A6"/>
    <w:rsid w:val="0011540C"/>
    <w:rsid w:val="00115A3F"/>
    <w:rsid w:val="00115BBD"/>
    <w:rsid w:val="00115C1A"/>
    <w:rsid w:val="00115C49"/>
    <w:rsid w:val="00115EF0"/>
    <w:rsid w:val="00115F7A"/>
    <w:rsid w:val="00116038"/>
    <w:rsid w:val="0011660C"/>
    <w:rsid w:val="00116D5A"/>
    <w:rsid w:val="001173AE"/>
    <w:rsid w:val="0011745C"/>
    <w:rsid w:val="001175D3"/>
    <w:rsid w:val="001176E5"/>
    <w:rsid w:val="00117AE4"/>
    <w:rsid w:val="00117C22"/>
    <w:rsid w:val="00120237"/>
    <w:rsid w:val="00120253"/>
    <w:rsid w:val="00120CFA"/>
    <w:rsid w:val="00121463"/>
    <w:rsid w:val="0012176C"/>
    <w:rsid w:val="0012181C"/>
    <w:rsid w:val="00121B00"/>
    <w:rsid w:val="0012239B"/>
    <w:rsid w:val="001228B0"/>
    <w:rsid w:val="00122BBB"/>
    <w:rsid w:val="00122D0C"/>
    <w:rsid w:val="00122DE2"/>
    <w:rsid w:val="001230A6"/>
    <w:rsid w:val="00123547"/>
    <w:rsid w:val="0012387C"/>
    <w:rsid w:val="00123994"/>
    <w:rsid w:val="00123A4A"/>
    <w:rsid w:val="00123B7A"/>
    <w:rsid w:val="00123BE1"/>
    <w:rsid w:val="00124362"/>
    <w:rsid w:val="00124F26"/>
    <w:rsid w:val="0012504A"/>
    <w:rsid w:val="001256FB"/>
    <w:rsid w:val="00125823"/>
    <w:rsid w:val="001259D9"/>
    <w:rsid w:val="001263A7"/>
    <w:rsid w:val="001264A8"/>
    <w:rsid w:val="00126C24"/>
    <w:rsid w:val="0012708B"/>
    <w:rsid w:val="0012722A"/>
    <w:rsid w:val="00127783"/>
    <w:rsid w:val="00127A8F"/>
    <w:rsid w:val="00127B52"/>
    <w:rsid w:val="00127F72"/>
    <w:rsid w:val="001301C1"/>
    <w:rsid w:val="0013062F"/>
    <w:rsid w:val="00130C54"/>
    <w:rsid w:val="00130DAC"/>
    <w:rsid w:val="00131080"/>
    <w:rsid w:val="0013175D"/>
    <w:rsid w:val="00131905"/>
    <w:rsid w:val="00131A92"/>
    <w:rsid w:val="001321A7"/>
    <w:rsid w:val="001323FE"/>
    <w:rsid w:val="00132591"/>
    <w:rsid w:val="00132762"/>
    <w:rsid w:val="00132C6F"/>
    <w:rsid w:val="00132D08"/>
    <w:rsid w:val="00132E13"/>
    <w:rsid w:val="00132F08"/>
    <w:rsid w:val="00133373"/>
    <w:rsid w:val="00133796"/>
    <w:rsid w:val="0013486A"/>
    <w:rsid w:val="00134D19"/>
    <w:rsid w:val="00134EE1"/>
    <w:rsid w:val="00136251"/>
    <w:rsid w:val="001365F3"/>
    <w:rsid w:val="00136698"/>
    <w:rsid w:val="00137207"/>
    <w:rsid w:val="001374D6"/>
    <w:rsid w:val="00137693"/>
    <w:rsid w:val="00137709"/>
    <w:rsid w:val="00137911"/>
    <w:rsid w:val="00137DB9"/>
    <w:rsid w:val="00137F8C"/>
    <w:rsid w:val="001400A4"/>
    <w:rsid w:val="00140428"/>
    <w:rsid w:val="001404E4"/>
    <w:rsid w:val="001413A0"/>
    <w:rsid w:val="001414DF"/>
    <w:rsid w:val="00141583"/>
    <w:rsid w:val="00141620"/>
    <w:rsid w:val="0014202A"/>
    <w:rsid w:val="001420A3"/>
    <w:rsid w:val="001421D3"/>
    <w:rsid w:val="001422D0"/>
    <w:rsid w:val="00142E92"/>
    <w:rsid w:val="001434F5"/>
    <w:rsid w:val="00143F14"/>
    <w:rsid w:val="0014441C"/>
    <w:rsid w:val="0014467B"/>
    <w:rsid w:val="00144D8C"/>
    <w:rsid w:val="00144DFF"/>
    <w:rsid w:val="00144F11"/>
    <w:rsid w:val="00144FE1"/>
    <w:rsid w:val="001452CD"/>
    <w:rsid w:val="00145786"/>
    <w:rsid w:val="00145B46"/>
    <w:rsid w:val="00145C4B"/>
    <w:rsid w:val="001466AC"/>
    <w:rsid w:val="00146781"/>
    <w:rsid w:val="00146A1F"/>
    <w:rsid w:val="00146E5B"/>
    <w:rsid w:val="001474B3"/>
    <w:rsid w:val="0014772B"/>
    <w:rsid w:val="00147D9A"/>
    <w:rsid w:val="00147E70"/>
    <w:rsid w:val="0015038C"/>
    <w:rsid w:val="00150392"/>
    <w:rsid w:val="001503D9"/>
    <w:rsid w:val="0015084B"/>
    <w:rsid w:val="00150986"/>
    <w:rsid w:val="00150E5D"/>
    <w:rsid w:val="00151004"/>
    <w:rsid w:val="001512E8"/>
    <w:rsid w:val="00151A7C"/>
    <w:rsid w:val="00151CB8"/>
    <w:rsid w:val="00151D0A"/>
    <w:rsid w:val="001527F8"/>
    <w:rsid w:val="00152A1D"/>
    <w:rsid w:val="00152C00"/>
    <w:rsid w:val="00152C82"/>
    <w:rsid w:val="00152EF7"/>
    <w:rsid w:val="00153007"/>
    <w:rsid w:val="001530E7"/>
    <w:rsid w:val="00153356"/>
    <w:rsid w:val="001533F8"/>
    <w:rsid w:val="00153484"/>
    <w:rsid w:val="001535B1"/>
    <w:rsid w:val="00153A64"/>
    <w:rsid w:val="00153DB6"/>
    <w:rsid w:val="00154AFE"/>
    <w:rsid w:val="00154E40"/>
    <w:rsid w:val="00155216"/>
    <w:rsid w:val="001554ED"/>
    <w:rsid w:val="0015550C"/>
    <w:rsid w:val="0015584D"/>
    <w:rsid w:val="00155CF4"/>
    <w:rsid w:val="00155D76"/>
    <w:rsid w:val="00156098"/>
    <w:rsid w:val="00156240"/>
    <w:rsid w:val="00156851"/>
    <w:rsid w:val="00156E98"/>
    <w:rsid w:val="00160401"/>
    <w:rsid w:val="00160DEE"/>
    <w:rsid w:val="00160FDA"/>
    <w:rsid w:val="00161779"/>
    <w:rsid w:val="00161A4E"/>
    <w:rsid w:val="00161A51"/>
    <w:rsid w:val="00161CE3"/>
    <w:rsid w:val="0016211A"/>
    <w:rsid w:val="0016270E"/>
    <w:rsid w:val="00162794"/>
    <w:rsid w:val="001627D8"/>
    <w:rsid w:val="00162960"/>
    <w:rsid w:val="00163264"/>
    <w:rsid w:val="00163690"/>
    <w:rsid w:val="00163C88"/>
    <w:rsid w:val="0016422A"/>
    <w:rsid w:val="00164346"/>
    <w:rsid w:val="0016450E"/>
    <w:rsid w:val="0016459E"/>
    <w:rsid w:val="00164613"/>
    <w:rsid w:val="001648FD"/>
    <w:rsid w:val="00164AA7"/>
    <w:rsid w:val="00164F04"/>
    <w:rsid w:val="001650B7"/>
    <w:rsid w:val="001652A7"/>
    <w:rsid w:val="00165C93"/>
    <w:rsid w:val="0016644B"/>
    <w:rsid w:val="001666C7"/>
    <w:rsid w:val="00166852"/>
    <w:rsid w:val="00166B4B"/>
    <w:rsid w:val="00166D33"/>
    <w:rsid w:val="00166F05"/>
    <w:rsid w:val="00167147"/>
    <w:rsid w:val="001671DE"/>
    <w:rsid w:val="00167232"/>
    <w:rsid w:val="0016729B"/>
    <w:rsid w:val="001672EA"/>
    <w:rsid w:val="00167416"/>
    <w:rsid w:val="00167ADF"/>
    <w:rsid w:val="00167B2D"/>
    <w:rsid w:val="00167C0B"/>
    <w:rsid w:val="0017019C"/>
    <w:rsid w:val="0017072F"/>
    <w:rsid w:val="00170C21"/>
    <w:rsid w:val="00170F4F"/>
    <w:rsid w:val="00171273"/>
    <w:rsid w:val="001712E3"/>
    <w:rsid w:val="001717DE"/>
    <w:rsid w:val="00171890"/>
    <w:rsid w:val="0017199E"/>
    <w:rsid w:val="00171C51"/>
    <w:rsid w:val="00172290"/>
    <w:rsid w:val="001728FA"/>
    <w:rsid w:val="00172B1C"/>
    <w:rsid w:val="00172C5D"/>
    <w:rsid w:val="00172CD9"/>
    <w:rsid w:val="00172D0C"/>
    <w:rsid w:val="00173409"/>
    <w:rsid w:val="001734AD"/>
    <w:rsid w:val="001737FF"/>
    <w:rsid w:val="00173938"/>
    <w:rsid w:val="001739C2"/>
    <w:rsid w:val="00173A49"/>
    <w:rsid w:val="00173C11"/>
    <w:rsid w:val="001743F4"/>
    <w:rsid w:val="001745C0"/>
    <w:rsid w:val="001747AC"/>
    <w:rsid w:val="00174C4D"/>
    <w:rsid w:val="00175338"/>
    <w:rsid w:val="00175346"/>
    <w:rsid w:val="00175A6E"/>
    <w:rsid w:val="001760DC"/>
    <w:rsid w:val="001762F5"/>
    <w:rsid w:val="0017690E"/>
    <w:rsid w:val="00176ABB"/>
    <w:rsid w:val="00176F7E"/>
    <w:rsid w:val="00177087"/>
    <w:rsid w:val="00177112"/>
    <w:rsid w:val="0017714A"/>
    <w:rsid w:val="001777DC"/>
    <w:rsid w:val="0018002F"/>
    <w:rsid w:val="0018066A"/>
    <w:rsid w:val="001806BD"/>
    <w:rsid w:val="00181F4E"/>
    <w:rsid w:val="00181F7F"/>
    <w:rsid w:val="001829D9"/>
    <w:rsid w:val="00182BA0"/>
    <w:rsid w:val="00182C4D"/>
    <w:rsid w:val="00183EA1"/>
    <w:rsid w:val="001840C4"/>
    <w:rsid w:val="00184786"/>
    <w:rsid w:val="0018499E"/>
    <w:rsid w:val="00185014"/>
    <w:rsid w:val="001868E1"/>
    <w:rsid w:val="00186BE3"/>
    <w:rsid w:val="00186D58"/>
    <w:rsid w:val="0018711D"/>
    <w:rsid w:val="00187494"/>
    <w:rsid w:val="001875B0"/>
    <w:rsid w:val="00187A49"/>
    <w:rsid w:val="0019048D"/>
    <w:rsid w:val="001904A9"/>
    <w:rsid w:val="00190A2A"/>
    <w:rsid w:val="0019135C"/>
    <w:rsid w:val="001915A2"/>
    <w:rsid w:val="0019160A"/>
    <w:rsid w:val="00191C38"/>
    <w:rsid w:val="001920FE"/>
    <w:rsid w:val="0019224F"/>
    <w:rsid w:val="00192434"/>
    <w:rsid w:val="001924CA"/>
    <w:rsid w:val="00192A2C"/>
    <w:rsid w:val="001931EC"/>
    <w:rsid w:val="001935D3"/>
    <w:rsid w:val="0019379D"/>
    <w:rsid w:val="0019401A"/>
    <w:rsid w:val="00194047"/>
    <w:rsid w:val="00194139"/>
    <w:rsid w:val="0019466E"/>
    <w:rsid w:val="001946A0"/>
    <w:rsid w:val="0019487C"/>
    <w:rsid w:val="00194CAD"/>
    <w:rsid w:val="00194DC4"/>
    <w:rsid w:val="00195A34"/>
    <w:rsid w:val="00195C31"/>
    <w:rsid w:val="00195EDD"/>
    <w:rsid w:val="0019620E"/>
    <w:rsid w:val="0019633E"/>
    <w:rsid w:val="00196D14"/>
    <w:rsid w:val="00197B2E"/>
    <w:rsid w:val="001A03C5"/>
    <w:rsid w:val="001A041E"/>
    <w:rsid w:val="001A052C"/>
    <w:rsid w:val="001A07F5"/>
    <w:rsid w:val="001A0C3B"/>
    <w:rsid w:val="001A0C4F"/>
    <w:rsid w:val="001A1128"/>
    <w:rsid w:val="001A1377"/>
    <w:rsid w:val="001A14BF"/>
    <w:rsid w:val="001A14DC"/>
    <w:rsid w:val="001A1B2F"/>
    <w:rsid w:val="001A1EDF"/>
    <w:rsid w:val="001A2713"/>
    <w:rsid w:val="001A2855"/>
    <w:rsid w:val="001A2B5E"/>
    <w:rsid w:val="001A316F"/>
    <w:rsid w:val="001A33A1"/>
    <w:rsid w:val="001A38E9"/>
    <w:rsid w:val="001A3B57"/>
    <w:rsid w:val="001A3F34"/>
    <w:rsid w:val="001A3F63"/>
    <w:rsid w:val="001A4051"/>
    <w:rsid w:val="001A41A3"/>
    <w:rsid w:val="001A4404"/>
    <w:rsid w:val="001A440D"/>
    <w:rsid w:val="001A4FD6"/>
    <w:rsid w:val="001A5033"/>
    <w:rsid w:val="001A51CE"/>
    <w:rsid w:val="001A525E"/>
    <w:rsid w:val="001A533D"/>
    <w:rsid w:val="001A5351"/>
    <w:rsid w:val="001A6116"/>
    <w:rsid w:val="001A66B2"/>
    <w:rsid w:val="001A6966"/>
    <w:rsid w:val="001A6DCB"/>
    <w:rsid w:val="001A6EAA"/>
    <w:rsid w:val="001A6FF6"/>
    <w:rsid w:val="001A7974"/>
    <w:rsid w:val="001A7B32"/>
    <w:rsid w:val="001A7B3E"/>
    <w:rsid w:val="001B0139"/>
    <w:rsid w:val="001B01AE"/>
    <w:rsid w:val="001B01E3"/>
    <w:rsid w:val="001B02AE"/>
    <w:rsid w:val="001B0660"/>
    <w:rsid w:val="001B0B4A"/>
    <w:rsid w:val="001B0EC5"/>
    <w:rsid w:val="001B0F3F"/>
    <w:rsid w:val="001B1406"/>
    <w:rsid w:val="001B15A6"/>
    <w:rsid w:val="001B1941"/>
    <w:rsid w:val="001B1E27"/>
    <w:rsid w:val="001B1E2E"/>
    <w:rsid w:val="001B2241"/>
    <w:rsid w:val="001B26F7"/>
    <w:rsid w:val="001B2E9A"/>
    <w:rsid w:val="001B2F9E"/>
    <w:rsid w:val="001B3423"/>
    <w:rsid w:val="001B3476"/>
    <w:rsid w:val="001B4BFB"/>
    <w:rsid w:val="001B508F"/>
    <w:rsid w:val="001B5301"/>
    <w:rsid w:val="001B540D"/>
    <w:rsid w:val="001B541E"/>
    <w:rsid w:val="001B5A2E"/>
    <w:rsid w:val="001B5D4F"/>
    <w:rsid w:val="001B5DB3"/>
    <w:rsid w:val="001B5E6E"/>
    <w:rsid w:val="001B660C"/>
    <w:rsid w:val="001B701A"/>
    <w:rsid w:val="001B7032"/>
    <w:rsid w:val="001B7495"/>
    <w:rsid w:val="001B7533"/>
    <w:rsid w:val="001B7672"/>
    <w:rsid w:val="001B781D"/>
    <w:rsid w:val="001B7B6C"/>
    <w:rsid w:val="001B7C78"/>
    <w:rsid w:val="001C03E0"/>
    <w:rsid w:val="001C0B00"/>
    <w:rsid w:val="001C1001"/>
    <w:rsid w:val="001C124E"/>
    <w:rsid w:val="001C1323"/>
    <w:rsid w:val="001C14EC"/>
    <w:rsid w:val="001C178B"/>
    <w:rsid w:val="001C18F2"/>
    <w:rsid w:val="001C2149"/>
    <w:rsid w:val="001C2C8C"/>
    <w:rsid w:val="001C302E"/>
    <w:rsid w:val="001C3298"/>
    <w:rsid w:val="001C3442"/>
    <w:rsid w:val="001C35B8"/>
    <w:rsid w:val="001C437D"/>
    <w:rsid w:val="001C4842"/>
    <w:rsid w:val="001C4A4C"/>
    <w:rsid w:val="001C4D62"/>
    <w:rsid w:val="001C4DB2"/>
    <w:rsid w:val="001C4DFD"/>
    <w:rsid w:val="001C5405"/>
    <w:rsid w:val="001C5467"/>
    <w:rsid w:val="001C5872"/>
    <w:rsid w:val="001C5A23"/>
    <w:rsid w:val="001C6C56"/>
    <w:rsid w:val="001C6C7C"/>
    <w:rsid w:val="001C74E8"/>
    <w:rsid w:val="001C7552"/>
    <w:rsid w:val="001C79C6"/>
    <w:rsid w:val="001D0489"/>
    <w:rsid w:val="001D0E8E"/>
    <w:rsid w:val="001D0F80"/>
    <w:rsid w:val="001D11AF"/>
    <w:rsid w:val="001D1261"/>
    <w:rsid w:val="001D1332"/>
    <w:rsid w:val="001D1FB1"/>
    <w:rsid w:val="001D220A"/>
    <w:rsid w:val="001D268D"/>
    <w:rsid w:val="001D2876"/>
    <w:rsid w:val="001D2C6E"/>
    <w:rsid w:val="001D2DE8"/>
    <w:rsid w:val="001D34F9"/>
    <w:rsid w:val="001D36D7"/>
    <w:rsid w:val="001D37DE"/>
    <w:rsid w:val="001D4075"/>
    <w:rsid w:val="001D43D1"/>
    <w:rsid w:val="001D4756"/>
    <w:rsid w:val="001D47C4"/>
    <w:rsid w:val="001D49E6"/>
    <w:rsid w:val="001D4F14"/>
    <w:rsid w:val="001D4F21"/>
    <w:rsid w:val="001D5010"/>
    <w:rsid w:val="001D5205"/>
    <w:rsid w:val="001D5469"/>
    <w:rsid w:val="001D5496"/>
    <w:rsid w:val="001D566D"/>
    <w:rsid w:val="001D5F04"/>
    <w:rsid w:val="001D66F5"/>
    <w:rsid w:val="001D7166"/>
    <w:rsid w:val="001D7513"/>
    <w:rsid w:val="001D7D7F"/>
    <w:rsid w:val="001D7EDC"/>
    <w:rsid w:val="001E049B"/>
    <w:rsid w:val="001E04E0"/>
    <w:rsid w:val="001E0B0F"/>
    <w:rsid w:val="001E0B5D"/>
    <w:rsid w:val="001E0C3A"/>
    <w:rsid w:val="001E0C86"/>
    <w:rsid w:val="001E1ACC"/>
    <w:rsid w:val="001E1B1D"/>
    <w:rsid w:val="001E1C4F"/>
    <w:rsid w:val="001E23A0"/>
    <w:rsid w:val="001E2718"/>
    <w:rsid w:val="001E2ABF"/>
    <w:rsid w:val="001E2F4C"/>
    <w:rsid w:val="001E3222"/>
    <w:rsid w:val="001E34FC"/>
    <w:rsid w:val="001E3772"/>
    <w:rsid w:val="001E38A1"/>
    <w:rsid w:val="001E3915"/>
    <w:rsid w:val="001E3B0C"/>
    <w:rsid w:val="001E3C49"/>
    <w:rsid w:val="001E47CB"/>
    <w:rsid w:val="001E486C"/>
    <w:rsid w:val="001E4948"/>
    <w:rsid w:val="001E59EB"/>
    <w:rsid w:val="001E5A8D"/>
    <w:rsid w:val="001E6496"/>
    <w:rsid w:val="001E6958"/>
    <w:rsid w:val="001E6C6B"/>
    <w:rsid w:val="001E6E18"/>
    <w:rsid w:val="001E6E33"/>
    <w:rsid w:val="001E707A"/>
    <w:rsid w:val="001E70E2"/>
    <w:rsid w:val="001E742E"/>
    <w:rsid w:val="001E760A"/>
    <w:rsid w:val="001E7E79"/>
    <w:rsid w:val="001E7FAB"/>
    <w:rsid w:val="001E7FAD"/>
    <w:rsid w:val="001F0352"/>
    <w:rsid w:val="001F0552"/>
    <w:rsid w:val="001F0F69"/>
    <w:rsid w:val="001F1B64"/>
    <w:rsid w:val="001F24CE"/>
    <w:rsid w:val="001F2874"/>
    <w:rsid w:val="001F287C"/>
    <w:rsid w:val="001F2FF9"/>
    <w:rsid w:val="001F3111"/>
    <w:rsid w:val="001F368A"/>
    <w:rsid w:val="001F3832"/>
    <w:rsid w:val="001F38E8"/>
    <w:rsid w:val="001F44E5"/>
    <w:rsid w:val="001F487F"/>
    <w:rsid w:val="001F48D3"/>
    <w:rsid w:val="001F5514"/>
    <w:rsid w:val="001F5A3C"/>
    <w:rsid w:val="001F5B68"/>
    <w:rsid w:val="001F613C"/>
    <w:rsid w:val="001F6981"/>
    <w:rsid w:val="001F6BED"/>
    <w:rsid w:val="001F70F3"/>
    <w:rsid w:val="001F7184"/>
    <w:rsid w:val="001F72B4"/>
    <w:rsid w:val="001F76A0"/>
    <w:rsid w:val="001F76D4"/>
    <w:rsid w:val="001F77B6"/>
    <w:rsid w:val="001F7B3C"/>
    <w:rsid w:val="001F7D3F"/>
    <w:rsid w:val="001F7E74"/>
    <w:rsid w:val="00200233"/>
    <w:rsid w:val="0020025F"/>
    <w:rsid w:val="00200381"/>
    <w:rsid w:val="00200A1E"/>
    <w:rsid w:val="00200DBA"/>
    <w:rsid w:val="00200F33"/>
    <w:rsid w:val="0020115B"/>
    <w:rsid w:val="0020119C"/>
    <w:rsid w:val="002017C3"/>
    <w:rsid w:val="00201FCC"/>
    <w:rsid w:val="00201FF7"/>
    <w:rsid w:val="00202123"/>
    <w:rsid w:val="002026A8"/>
    <w:rsid w:val="00202BF5"/>
    <w:rsid w:val="00202FE8"/>
    <w:rsid w:val="00203012"/>
    <w:rsid w:val="00203044"/>
    <w:rsid w:val="002031E8"/>
    <w:rsid w:val="002036A8"/>
    <w:rsid w:val="00203929"/>
    <w:rsid w:val="00204267"/>
    <w:rsid w:val="002042A0"/>
    <w:rsid w:val="002044B8"/>
    <w:rsid w:val="0020453E"/>
    <w:rsid w:val="00204851"/>
    <w:rsid w:val="00204981"/>
    <w:rsid w:val="002051B6"/>
    <w:rsid w:val="002053E7"/>
    <w:rsid w:val="002057F6"/>
    <w:rsid w:val="00205897"/>
    <w:rsid w:val="00205987"/>
    <w:rsid w:val="00206127"/>
    <w:rsid w:val="0020614D"/>
    <w:rsid w:val="00206222"/>
    <w:rsid w:val="00206263"/>
    <w:rsid w:val="0020634D"/>
    <w:rsid w:val="00206A75"/>
    <w:rsid w:val="00206AC6"/>
    <w:rsid w:val="002073F3"/>
    <w:rsid w:val="00207870"/>
    <w:rsid w:val="00207A7A"/>
    <w:rsid w:val="00207B2E"/>
    <w:rsid w:val="002103B3"/>
    <w:rsid w:val="00210BA4"/>
    <w:rsid w:val="00210C7E"/>
    <w:rsid w:val="00211332"/>
    <w:rsid w:val="00211E17"/>
    <w:rsid w:val="002127DB"/>
    <w:rsid w:val="00212A4F"/>
    <w:rsid w:val="00212BA8"/>
    <w:rsid w:val="00212E64"/>
    <w:rsid w:val="00213198"/>
    <w:rsid w:val="00213319"/>
    <w:rsid w:val="00213890"/>
    <w:rsid w:val="002139D5"/>
    <w:rsid w:val="00213E31"/>
    <w:rsid w:val="00213EAD"/>
    <w:rsid w:val="0021485A"/>
    <w:rsid w:val="002149FF"/>
    <w:rsid w:val="00214B39"/>
    <w:rsid w:val="00214ECC"/>
    <w:rsid w:val="00215158"/>
    <w:rsid w:val="00215419"/>
    <w:rsid w:val="00215721"/>
    <w:rsid w:val="0021576E"/>
    <w:rsid w:val="00215C4D"/>
    <w:rsid w:val="00215E24"/>
    <w:rsid w:val="00216D17"/>
    <w:rsid w:val="00216D64"/>
    <w:rsid w:val="00216DF7"/>
    <w:rsid w:val="002176BB"/>
    <w:rsid w:val="002179C1"/>
    <w:rsid w:val="00217BCD"/>
    <w:rsid w:val="00217C83"/>
    <w:rsid w:val="00217D62"/>
    <w:rsid w:val="00220594"/>
    <w:rsid w:val="00220689"/>
    <w:rsid w:val="002207EF"/>
    <w:rsid w:val="00220F0A"/>
    <w:rsid w:val="0022100A"/>
    <w:rsid w:val="0022102F"/>
    <w:rsid w:val="002213D1"/>
    <w:rsid w:val="0022158E"/>
    <w:rsid w:val="0022230D"/>
    <w:rsid w:val="002223C5"/>
    <w:rsid w:val="00222603"/>
    <w:rsid w:val="00222633"/>
    <w:rsid w:val="002230F2"/>
    <w:rsid w:val="002234CF"/>
    <w:rsid w:val="0022364B"/>
    <w:rsid w:val="00223A77"/>
    <w:rsid w:val="00223D07"/>
    <w:rsid w:val="0022463D"/>
    <w:rsid w:val="00224822"/>
    <w:rsid w:val="00224A4C"/>
    <w:rsid w:val="00224ABA"/>
    <w:rsid w:val="00224B42"/>
    <w:rsid w:val="00225147"/>
    <w:rsid w:val="00225162"/>
    <w:rsid w:val="002258F5"/>
    <w:rsid w:val="00225C15"/>
    <w:rsid w:val="00225DD7"/>
    <w:rsid w:val="00226818"/>
    <w:rsid w:val="00226AB8"/>
    <w:rsid w:val="00226ED0"/>
    <w:rsid w:val="00226F17"/>
    <w:rsid w:val="0022711B"/>
    <w:rsid w:val="002271B8"/>
    <w:rsid w:val="002273DD"/>
    <w:rsid w:val="00227DC3"/>
    <w:rsid w:val="00227ED4"/>
    <w:rsid w:val="00230578"/>
    <w:rsid w:val="0023071F"/>
    <w:rsid w:val="0023081E"/>
    <w:rsid w:val="002309B2"/>
    <w:rsid w:val="002309E0"/>
    <w:rsid w:val="00230A43"/>
    <w:rsid w:val="00230C63"/>
    <w:rsid w:val="00230CF3"/>
    <w:rsid w:val="00230EDE"/>
    <w:rsid w:val="00230FA7"/>
    <w:rsid w:val="002313FD"/>
    <w:rsid w:val="00231D9C"/>
    <w:rsid w:val="00231EEE"/>
    <w:rsid w:val="00232FE4"/>
    <w:rsid w:val="00233917"/>
    <w:rsid w:val="00233AF2"/>
    <w:rsid w:val="00233F99"/>
    <w:rsid w:val="002344C5"/>
    <w:rsid w:val="00234B66"/>
    <w:rsid w:val="00234D79"/>
    <w:rsid w:val="0023501A"/>
    <w:rsid w:val="0023534C"/>
    <w:rsid w:val="00235430"/>
    <w:rsid w:val="00235548"/>
    <w:rsid w:val="002360E3"/>
    <w:rsid w:val="00236172"/>
    <w:rsid w:val="00236502"/>
    <w:rsid w:val="00236A31"/>
    <w:rsid w:val="00236C54"/>
    <w:rsid w:val="00236DC6"/>
    <w:rsid w:val="00236FFA"/>
    <w:rsid w:val="00237571"/>
    <w:rsid w:val="002375A2"/>
    <w:rsid w:val="00237B5B"/>
    <w:rsid w:val="00237DCD"/>
    <w:rsid w:val="00237ED3"/>
    <w:rsid w:val="00237F88"/>
    <w:rsid w:val="002402F7"/>
    <w:rsid w:val="002404EB"/>
    <w:rsid w:val="0024081C"/>
    <w:rsid w:val="00240FDB"/>
    <w:rsid w:val="0024124A"/>
    <w:rsid w:val="00241DA5"/>
    <w:rsid w:val="002421AD"/>
    <w:rsid w:val="00242462"/>
    <w:rsid w:val="002436FD"/>
    <w:rsid w:val="00243901"/>
    <w:rsid w:val="00243D60"/>
    <w:rsid w:val="00243DB8"/>
    <w:rsid w:val="00243E30"/>
    <w:rsid w:val="00243EFC"/>
    <w:rsid w:val="0024403B"/>
    <w:rsid w:val="00244524"/>
    <w:rsid w:val="0024462F"/>
    <w:rsid w:val="0024476B"/>
    <w:rsid w:val="002448A7"/>
    <w:rsid w:val="00244FF6"/>
    <w:rsid w:val="002450B3"/>
    <w:rsid w:val="002451D8"/>
    <w:rsid w:val="0024532D"/>
    <w:rsid w:val="002457FE"/>
    <w:rsid w:val="00245853"/>
    <w:rsid w:val="002458AF"/>
    <w:rsid w:val="002459D2"/>
    <w:rsid w:val="00245A46"/>
    <w:rsid w:val="00245DA8"/>
    <w:rsid w:val="00245E93"/>
    <w:rsid w:val="00245E97"/>
    <w:rsid w:val="00245ED8"/>
    <w:rsid w:val="0024635B"/>
    <w:rsid w:val="00246454"/>
    <w:rsid w:val="00246C50"/>
    <w:rsid w:val="00247A03"/>
    <w:rsid w:val="0025026D"/>
    <w:rsid w:val="00250578"/>
    <w:rsid w:val="002507CC"/>
    <w:rsid w:val="002509F4"/>
    <w:rsid w:val="00250B5C"/>
    <w:rsid w:val="002511FB"/>
    <w:rsid w:val="00251DEF"/>
    <w:rsid w:val="00252068"/>
    <w:rsid w:val="00252628"/>
    <w:rsid w:val="00252C80"/>
    <w:rsid w:val="00252FED"/>
    <w:rsid w:val="00253166"/>
    <w:rsid w:val="0025370E"/>
    <w:rsid w:val="002538ED"/>
    <w:rsid w:val="00253949"/>
    <w:rsid w:val="00253A93"/>
    <w:rsid w:val="00253DA3"/>
    <w:rsid w:val="0025402C"/>
    <w:rsid w:val="00254108"/>
    <w:rsid w:val="002545F7"/>
    <w:rsid w:val="002551E5"/>
    <w:rsid w:val="002553DF"/>
    <w:rsid w:val="00255BD2"/>
    <w:rsid w:val="00256460"/>
    <w:rsid w:val="00256EF6"/>
    <w:rsid w:val="00256F78"/>
    <w:rsid w:val="00257274"/>
    <w:rsid w:val="0025749E"/>
    <w:rsid w:val="00257509"/>
    <w:rsid w:val="002575A7"/>
    <w:rsid w:val="002576C2"/>
    <w:rsid w:val="002576F1"/>
    <w:rsid w:val="00257737"/>
    <w:rsid w:val="00257EF0"/>
    <w:rsid w:val="002615C8"/>
    <w:rsid w:val="002616B6"/>
    <w:rsid w:val="002617C9"/>
    <w:rsid w:val="0026191E"/>
    <w:rsid w:val="00261D60"/>
    <w:rsid w:val="0026227E"/>
    <w:rsid w:val="00262337"/>
    <w:rsid w:val="002624B7"/>
    <w:rsid w:val="002632F2"/>
    <w:rsid w:val="002633DD"/>
    <w:rsid w:val="002634B7"/>
    <w:rsid w:val="002634D6"/>
    <w:rsid w:val="00263858"/>
    <w:rsid w:val="00263909"/>
    <w:rsid w:val="00264131"/>
    <w:rsid w:val="00264573"/>
    <w:rsid w:val="00264634"/>
    <w:rsid w:val="00264777"/>
    <w:rsid w:val="002648D5"/>
    <w:rsid w:val="002648D9"/>
    <w:rsid w:val="00264B58"/>
    <w:rsid w:val="00264DBB"/>
    <w:rsid w:val="00264FC8"/>
    <w:rsid w:val="00265376"/>
    <w:rsid w:val="0026571F"/>
    <w:rsid w:val="002659EF"/>
    <w:rsid w:val="00265D1C"/>
    <w:rsid w:val="00265F88"/>
    <w:rsid w:val="0026604F"/>
    <w:rsid w:val="0026623A"/>
    <w:rsid w:val="00266A6B"/>
    <w:rsid w:val="00266C66"/>
    <w:rsid w:val="00267454"/>
    <w:rsid w:val="002674E7"/>
    <w:rsid w:val="00267560"/>
    <w:rsid w:val="00267648"/>
    <w:rsid w:val="00267BC6"/>
    <w:rsid w:val="00267FEA"/>
    <w:rsid w:val="002702E5"/>
    <w:rsid w:val="00270836"/>
    <w:rsid w:val="00270CC5"/>
    <w:rsid w:val="00270D45"/>
    <w:rsid w:val="0027185C"/>
    <w:rsid w:val="00271B07"/>
    <w:rsid w:val="00272622"/>
    <w:rsid w:val="002727B7"/>
    <w:rsid w:val="002736F7"/>
    <w:rsid w:val="002743A4"/>
    <w:rsid w:val="002744F9"/>
    <w:rsid w:val="00274636"/>
    <w:rsid w:val="00274FB6"/>
    <w:rsid w:val="0027501C"/>
    <w:rsid w:val="002750B9"/>
    <w:rsid w:val="0027514F"/>
    <w:rsid w:val="0027528C"/>
    <w:rsid w:val="00275ABD"/>
    <w:rsid w:val="00275EA9"/>
    <w:rsid w:val="002762F8"/>
    <w:rsid w:val="002770EA"/>
    <w:rsid w:val="002770EB"/>
    <w:rsid w:val="00277561"/>
    <w:rsid w:val="002778E5"/>
    <w:rsid w:val="00277AF8"/>
    <w:rsid w:val="00277C28"/>
    <w:rsid w:val="00277DAA"/>
    <w:rsid w:val="00277F9C"/>
    <w:rsid w:val="002808A2"/>
    <w:rsid w:val="002808B9"/>
    <w:rsid w:val="00281065"/>
    <w:rsid w:val="00281217"/>
    <w:rsid w:val="002815B4"/>
    <w:rsid w:val="0028233E"/>
    <w:rsid w:val="002825B1"/>
    <w:rsid w:val="002826E0"/>
    <w:rsid w:val="002827D8"/>
    <w:rsid w:val="0028285C"/>
    <w:rsid w:val="00282B04"/>
    <w:rsid w:val="00282BD1"/>
    <w:rsid w:val="00282BFE"/>
    <w:rsid w:val="00282C15"/>
    <w:rsid w:val="00282CCC"/>
    <w:rsid w:val="00283632"/>
    <w:rsid w:val="0028383C"/>
    <w:rsid w:val="002839F8"/>
    <w:rsid w:val="00283A73"/>
    <w:rsid w:val="00283B19"/>
    <w:rsid w:val="00283B1A"/>
    <w:rsid w:val="00283C04"/>
    <w:rsid w:val="00283E2E"/>
    <w:rsid w:val="00283EB6"/>
    <w:rsid w:val="002840FC"/>
    <w:rsid w:val="002841D9"/>
    <w:rsid w:val="0028458E"/>
    <w:rsid w:val="0028487C"/>
    <w:rsid w:val="002848A0"/>
    <w:rsid w:val="00284A54"/>
    <w:rsid w:val="00284BBF"/>
    <w:rsid w:val="00284EDA"/>
    <w:rsid w:val="0028515E"/>
    <w:rsid w:val="002857FE"/>
    <w:rsid w:val="00285813"/>
    <w:rsid w:val="00285995"/>
    <w:rsid w:val="00285B5E"/>
    <w:rsid w:val="00285B70"/>
    <w:rsid w:val="00285EC6"/>
    <w:rsid w:val="002866E7"/>
    <w:rsid w:val="0028674C"/>
    <w:rsid w:val="00286B78"/>
    <w:rsid w:val="00286C17"/>
    <w:rsid w:val="00286ED0"/>
    <w:rsid w:val="00286FC1"/>
    <w:rsid w:val="00287126"/>
    <w:rsid w:val="00287230"/>
    <w:rsid w:val="0028746A"/>
    <w:rsid w:val="00287493"/>
    <w:rsid w:val="002904B4"/>
    <w:rsid w:val="002904E2"/>
    <w:rsid w:val="002905B7"/>
    <w:rsid w:val="00290856"/>
    <w:rsid w:val="00290D91"/>
    <w:rsid w:val="002913C5"/>
    <w:rsid w:val="00291A58"/>
    <w:rsid w:val="00291BE8"/>
    <w:rsid w:val="00291D1D"/>
    <w:rsid w:val="00291D87"/>
    <w:rsid w:val="00291E90"/>
    <w:rsid w:val="00291EA6"/>
    <w:rsid w:val="002924F6"/>
    <w:rsid w:val="00292857"/>
    <w:rsid w:val="002928BC"/>
    <w:rsid w:val="0029294E"/>
    <w:rsid w:val="00292BDE"/>
    <w:rsid w:val="00292CED"/>
    <w:rsid w:val="00293374"/>
    <w:rsid w:val="00293383"/>
    <w:rsid w:val="00293537"/>
    <w:rsid w:val="00293A1E"/>
    <w:rsid w:val="00293A69"/>
    <w:rsid w:val="00293AEC"/>
    <w:rsid w:val="00293C98"/>
    <w:rsid w:val="002940D3"/>
    <w:rsid w:val="00294D02"/>
    <w:rsid w:val="00294D39"/>
    <w:rsid w:val="00294ECD"/>
    <w:rsid w:val="00294FE0"/>
    <w:rsid w:val="00295B1C"/>
    <w:rsid w:val="00295D3C"/>
    <w:rsid w:val="00295ED6"/>
    <w:rsid w:val="0029601C"/>
    <w:rsid w:val="0029679C"/>
    <w:rsid w:val="00296862"/>
    <w:rsid w:val="0029693B"/>
    <w:rsid w:val="002969AE"/>
    <w:rsid w:val="00296D83"/>
    <w:rsid w:val="00296EB0"/>
    <w:rsid w:val="002971A0"/>
    <w:rsid w:val="00297746"/>
    <w:rsid w:val="002977EC"/>
    <w:rsid w:val="00297925"/>
    <w:rsid w:val="00297DC9"/>
    <w:rsid w:val="00297F59"/>
    <w:rsid w:val="002A04E9"/>
    <w:rsid w:val="002A0E53"/>
    <w:rsid w:val="002A1186"/>
    <w:rsid w:val="002A15F3"/>
    <w:rsid w:val="002A1973"/>
    <w:rsid w:val="002A19F8"/>
    <w:rsid w:val="002A1AFD"/>
    <w:rsid w:val="002A1B86"/>
    <w:rsid w:val="002A1EFB"/>
    <w:rsid w:val="002A243A"/>
    <w:rsid w:val="002A2D00"/>
    <w:rsid w:val="002A30A4"/>
    <w:rsid w:val="002A3138"/>
    <w:rsid w:val="002A3290"/>
    <w:rsid w:val="002A3307"/>
    <w:rsid w:val="002A34ED"/>
    <w:rsid w:val="002A36AF"/>
    <w:rsid w:val="002A3E5C"/>
    <w:rsid w:val="002A40A2"/>
    <w:rsid w:val="002A415B"/>
    <w:rsid w:val="002A45A7"/>
    <w:rsid w:val="002A47A4"/>
    <w:rsid w:val="002A5644"/>
    <w:rsid w:val="002A57E8"/>
    <w:rsid w:val="002A57FA"/>
    <w:rsid w:val="002A5A14"/>
    <w:rsid w:val="002A5B41"/>
    <w:rsid w:val="002A5F78"/>
    <w:rsid w:val="002A5FE9"/>
    <w:rsid w:val="002A61DD"/>
    <w:rsid w:val="002A640C"/>
    <w:rsid w:val="002A6540"/>
    <w:rsid w:val="002A68CE"/>
    <w:rsid w:val="002A6AD8"/>
    <w:rsid w:val="002A6B81"/>
    <w:rsid w:val="002A6ECD"/>
    <w:rsid w:val="002A74DD"/>
    <w:rsid w:val="002B001E"/>
    <w:rsid w:val="002B03B5"/>
    <w:rsid w:val="002B0752"/>
    <w:rsid w:val="002B07BA"/>
    <w:rsid w:val="002B09D9"/>
    <w:rsid w:val="002B0FDB"/>
    <w:rsid w:val="002B11B2"/>
    <w:rsid w:val="002B12F2"/>
    <w:rsid w:val="002B1344"/>
    <w:rsid w:val="002B142D"/>
    <w:rsid w:val="002B1557"/>
    <w:rsid w:val="002B15DD"/>
    <w:rsid w:val="002B166D"/>
    <w:rsid w:val="002B167D"/>
    <w:rsid w:val="002B1ADB"/>
    <w:rsid w:val="002B1DA5"/>
    <w:rsid w:val="002B1DDB"/>
    <w:rsid w:val="002B22AE"/>
    <w:rsid w:val="002B287E"/>
    <w:rsid w:val="002B2920"/>
    <w:rsid w:val="002B2C56"/>
    <w:rsid w:val="002B2CED"/>
    <w:rsid w:val="002B2D4D"/>
    <w:rsid w:val="002B30A8"/>
    <w:rsid w:val="002B3A33"/>
    <w:rsid w:val="002B3C67"/>
    <w:rsid w:val="002B3CB2"/>
    <w:rsid w:val="002B3D3A"/>
    <w:rsid w:val="002B3FAC"/>
    <w:rsid w:val="002B4287"/>
    <w:rsid w:val="002B44C1"/>
    <w:rsid w:val="002B4F19"/>
    <w:rsid w:val="002B5863"/>
    <w:rsid w:val="002B5C76"/>
    <w:rsid w:val="002B5CAE"/>
    <w:rsid w:val="002B5FF5"/>
    <w:rsid w:val="002B6225"/>
    <w:rsid w:val="002B62E5"/>
    <w:rsid w:val="002B6466"/>
    <w:rsid w:val="002B647B"/>
    <w:rsid w:val="002B6504"/>
    <w:rsid w:val="002B65B8"/>
    <w:rsid w:val="002B6BB1"/>
    <w:rsid w:val="002B6CA6"/>
    <w:rsid w:val="002B6DBF"/>
    <w:rsid w:val="002B6E46"/>
    <w:rsid w:val="002B71F2"/>
    <w:rsid w:val="002B7454"/>
    <w:rsid w:val="002C0505"/>
    <w:rsid w:val="002C074A"/>
    <w:rsid w:val="002C07BD"/>
    <w:rsid w:val="002C0844"/>
    <w:rsid w:val="002C0934"/>
    <w:rsid w:val="002C09F1"/>
    <w:rsid w:val="002C1521"/>
    <w:rsid w:val="002C27D8"/>
    <w:rsid w:val="002C2B0A"/>
    <w:rsid w:val="002C2EEC"/>
    <w:rsid w:val="002C3067"/>
    <w:rsid w:val="002C323D"/>
    <w:rsid w:val="002C3628"/>
    <w:rsid w:val="002C3AF4"/>
    <w:rsid w:val="002C3B5A"/>
    <w:rsid w:val="002C3BA2"/>
    <w:rsid w:val="002C425D"/>
    <w:rsid w:val="002C456E"/>
    <w:rsid w:val="002C4703"/>
    <w:rsid w:val="002C4862"/>
    <w:rsid w:val="002C4AD3"/>
    <w:rsid w:val="002C4BC7"/>
    <w:rsid w:val="002C5325"/>
    <w:rsid w:val="002C575B"/>
    <w:rsid w:val="002C5762"/>
    <w:rsid w:val="002C5C9C"/>
    <w:rsid w:val="002C5E5D"/>
    <w:rsid w:val="002C6227"/>
    <w:rsid w:val="002C6801"/>
    <w:rsid w:val="002C6AD9"/>
    <w:rsid w:val="002C6C68"/>
    <w:rsid w:val="002C6F92"/>
    <w:rsid w:val="002C711A"/>
    <w:rsid w:val="002C729C"/>
    <w:rsid w:val="002C751F"/>
    <w:rsid w:val="002C7733"/>
    <w:rsid w:val="002C7AD2"/>
    <w:rsid w:val="002C7C83"/>
    <w:rsid w:val="002C7DA5"/>
    <w:rsid w:val="002C7EA2"/>
    <w:rsid w:val="002C7FEE"/>
    <w:rsid w:val="002D00AC"/>
    <w:rsid w:val="002D02F9"/>
    <w:rsid w:val="002D040F"/>
    <w:rsid w:val="002D06B4"/>
    <w:rsid w:val="002D0A98"/>
    <w:rsid w:val="002D0F1B"/>
    <w:rsid w:val="002D1571"/>
    <w:rsid w:val="002D1828"/>
    <w:rsid w:val="002D191E"/>
    <w:rsid w:val="002D1E85"/>
    <w:rsid w:val="002D2131"/>
    <w:rsid w:val="002D21C1"/>
    <w:rsid w:val="002D244F"/>
    <w:rsid w:val="002D31D3"/>
    <w:rsid w:val="002D36DD"/>
    <w:rsid w:val="002D3B5D"/>
    <w:rsid w:val="002D4537"/>
    <w:rsid w:val="002D45B5"/>
    <w:rsid w:val="002D461F"/>
    <w:rsid w:val="002D4B0A"/>
    <w:rsid w:val="002D4ED9"/>
    <w:rsid w:val="002D5706"/>
    <w:rsid w:val="002D5DBA"/>
    <w:rsid w:val="002D5F77"/>
    <w:rsid w:val="002D6407"/>
    <w:rsid w:val="002D67DF"/>
    <w:rsid w:val="002D69BC"/>
    <w:rsid w:val="002D6B83"/>
    <w:rsid w:val="002D6F22"/>
    <w:rsid w:val="002D734C"/>
    <w:rsid w:val="002D75AB"/>
    <w:rsid w:val="002D7FCB"/>
    <w:rsid w:val="002E038E"/>
    <w:rsid w:val="002E03E1"/>
    <w:rsid w:val="002E0B84"/>
    <w:rsid w:val="002E0D9D"/>
    <w:rsid w:val="002E0E78"/>
    <w:rsid w:val="002E1386"/>
    <w:rsid w:val="002E1B79"/>
    <w:rsid w:val="002E1BB5"/>
    <w:rsid w:val="002E23BC"/>
    <w:rsid w:val="002E3060"/>
    <w:rsid w:val="002E39DE"/>
    <w:rsid w:val="002E3E50"/>
    <w:rsid w:val="002E4351"/>
    <w:rsid w:val="002E44BD"/>
    <w:rsid w:val="002E4CB1"/>
    <w:rsid w:val="002E5037"/>
    <w:rsid w:val="002E51A0"/>
    <w:rsid w:val="002E51A4"/>
    <w:rsid w:val="002E6506"/>
    <w:rsid w:val="002E6DA2"/>
    <w:rsid w:val="002E6E2F"/>
    <w:rsid w:val="002E7052"/>
    <w:rsid w:val="002E7237"/>
    <w:rsid w:val="002E7459"/>
    <w:rsid w:val="002E7FFE"/>
    <w:rsid w:val="002F0947"/>
    <w:rsid w:val="002F0B6E"/>
    <w:rsid w:val="002F0B7B"/>
    <w:rsid w:val="002F1126"/>
    <w:rsid w:val="002F1260"/>
    <w:rsid w:val="002F1839"/>
    <w:rsid w:val="002F1BF9"/>
    <w:rsid w:val="002F21DC"/>
    <w:rsid w:val="002F281A"/>
    <w:rsid w:val="002F2BB9"/>
    <w:rsid w:val="002F37B4"/>
    <w:rsid w:val="002F38C7"/>
    <w:rsid w:val="002F3C30"/>
    <w:rsid w:val="002F44C5"/>
    <w:rsid w:val="002F52C0"/>
    <w:rsid w:val="002F54D1"/>
    <w:rsid w:val="002F58B2"/>
    <w:rsid w:val="002F5A56"/>
    <w:rsid w:val="002F5BC4"/>
    <w:rsid w:val="002F5C02"/>
    <w:rsid w:val="002F5D4B"/>
    <w:rsid w:val="002F5FD6"/>
    <w:rsid w:val="002F6F9E"/>
    <w:rsid w:val="002F738F"/>
    <w:rsid w:val="002F75DB"/>
    <w:rsid w:val="002F7B7C"/>
    <w:rsid w:val="00300A3B"/>
    <w:rsid w:val="00300A52"/>
    <w:rsid w:val="00301758"/>
    <w:rsid w:val="00301AD1"/>
    <w:rsid w:val="00301B10"/>
    <w:rsid w:val="00301FD0"/>
    <w:rsid w:val="00302261"/>
    <w:rsid w:val="003027E0"/>
    <w:rsid w:val="00302B3A"/>
    <w:rsid w:val="00303022"/>
    <w:rsid w:val="00303056"/>
    <w:rsid w:val="003030CE"/>
    <w:rsid w:val="003032BD"/>
    <w:rsid w:val="00303509"/>
    <w:rsid w:val="003035E5"/>
    <w:rsid w:val="003035E7"/>
    <w:rsid w:val="003036A9"/>
    <w:rsid w:val="00303DD0"/>
    <w:rsid w:val="00304150"/>
    <w:rsid w:val="003043BC"/>
    <w:rsid w:val="00304B18"/>
    <w:rsid w:val="00305280"/>
    <w:rsid w:val="00305863"/>
    <w:rsid w:val="00305E1B"/>
    <w:rsid w:val="0030607E"/>
    <w:rsid w:val="00306156"/>
    <w:rsid w:val="00306437"/>
    <w:rsid w:val="00306D94"/>
    <w:rsid w:val="003073B9"/>
    <w:rsid w:val="00307599"/>
    <w:rsid w:val="003077E1"/>
    <w:rsid w:val="00307B31"/>
    <w:rsid w:val="00307E9A"/>
    <w:rsid w:val="00310367"/>
    <w:rsid w:val="003106A6"/>
    <w:rsid w:val="00311142"/>
    <w:rsid w:val="003113E5"/>
    <w:rsid w:val="0031189C"/>
    <w:rsid w:val="00311F69"/>
    <w:rsid w:val="00313316"/>
    <w:rsid w:val="0031337B"/>
    <w:rsid w:val="003133FC"/>
    <w:rsid w:val="00314382"/>
    <w:rsid w:val="003144BA"/>
    <w:rsid w:val="0031450B"/>
    <w:rsid w:val="00314C87"/>
    <w:rsid w:val="0031510A"/>
    <w:rsid w:val="003157CF"/>
    <w:rsid w:val="00315831"/>
    <w:rsid w:val="0031599D"/>
    <w:rsid w:val="00315BDC"/>
    <w:rsid w:val="00315BF9"/>
    <w:rsid w:val="00315FCF"/>
    <w:rsid w:val="00316764"/>
    <w:rsid w:val="003169A4"/>
    <w:rsid w:val="00316E9F"/>
    <w:rsid w:val="003171B9"/>
    <w:rsid w:val="003173C3"/>
    <w:rsid w:val="003174E5"/>
    <w:rsid w:val="00317586"/>
    <w:rsid w:val="0031764D"/>
    <w:rsid w:val="00317674"/>
    <w:rsid w:val="003176CA"/>
    <w:rsid w:val="003205B0"/>
    <w:rsid w:val="0032066E"/>
    <w:rsid w:val="00320FEE"/>
    <w:rsid w:val="00321961"/>
    <w:rsid w:val="00321B74"/>
    <w:rsid w:val="00321BEF"/>
    <w:rsid w:val="00321D30"/>
    <w:rsid w:val="00321ED4"/>
    <w:rsid w:val="0032228C"/>
    <w:rsid w:val="00322336"/>
    <w:rsid w:val="0032233F"/>
    <w:rsid w:val="00322A57"/>
    <w:rsid w:val="00322B50"/>
    <w:rsid w:val="00322E39"/>
    <w:rsid w:val="00322E40"/>
    <w:rsid w:val="00323126"/>
    <w:rsid w:val="003234F6"/>
    <w:rsid w:val="0032362D"/>
    <w:rsid w:val="00323899"/>
    <w:rsid w:val="00323962"/>
    <w:rsid w:val="00323EBD"/>
    <w:rsid w:val="0032415B"/>
    <w:rsid w:val="003246FB"/>
    <w:rsid w:val="00324B16"/>
    <w:rsid w:val="00324E19"/>
    <w:rsid w:val="00324EE2"/>
    <w:rsid w:val="00324F42"/>
    <w:rsid w:val="003252AB"/>
    <w:rsid w:val="0032558A"/>
    <w:rsid w:val="00325EA6"/>
    <w:rsid w:val="0032627E"/>
    <w:rsid w:val="0032646A"/>
    <w:rsid w:val="003265EB"/>
    <w:rsid w:val="00326940"/>
    <w:rsid w:val="00326EB7"/>
    <w:rsid w:val="003271B1"/>
    <w:rsid w:val="003276BF"/>
    <w:rsid w:val="00327EC1"/>
    <w:rsid w:val="00330126"/>
    <w:rsid w:val="003307C8"/>
    <w:rsid w:val="003308FC"/>
    <w:rsid w:val="0033094A"/>
    <w:rsid w:val="00330D22"/>
    <w:rsid w:val="00330FA0"/>
    <w:rsid w:val="003313C4"/>
    <w:rsid w:val="003317C0"/>
    <w:rsid w:val="00331A12"/>
    <w:rsid w:val="00332638"/>
    <w:rsid w:val="003326A1"/>
    <w:rsid w:val="00332846"/>
    <w:rsid w:val="00332E05"/>
    <w:rsid w:val="00332FAD"/>
    <w:rsid w:val="0033302D"/>
    <w:rsid w:val="00333308"/>
    <w:rsid w:val="003335C6"/>
    <w:rsid w:val="00333766"/>
    <w:rsid w:val="0033383D"/>
    <w:rsid w:val="0033396C"/>
    <w:rsid w:val="00334139"/>
    <w:rsid w:val="00334297"/>
    <w:rsid w:val="003346F1"/>
    <w:rsid w:val="00335299"/>
    <w:rsid w:val="00335330"/>
    <w:rsid w:val="003354BB"/>
    <w:rsid w:val="00335560"/>
    <w:rsid w:val="003355A8"/>
    <w:rsid w:val="00336539"/>
    <w:rsid w:val="003366A8"/>
    <w:rsid w:val="003401C7"/>
    <w:rsid w:val="003402D9"/>
    <w:rsid w:val="003403D6"/>
    <w:rsid w:val="00340749"/>
    <w:rsid w:val="003407E0"/>
    <w:rsid w:val="00340915"/>
    <w:rsid w:val="00340EDA"/>
    <w:rsid w:val="0034166C"/>
    <w:rsid w:val="00341889"/>
    <w:rsid w:val="00341956"/>
    <w:rsid w:val="0034273B"/>
    <w:rsid w:val="0034278F"/>
    <w:rsid w:val="00342FF9"/>
    <w:rsid w:val="00342FFA"/>
    <w:rsid w:val="00344C71"/>
    <w:rsid w:val="0034576E"/>
    <w:rsid w:val="00345CFE"/>
    <w:rsid w:val="00345D6E"/>
    <w:rsid w:val="00346810"/>
    <w:rsid w:val="00346AF0"/>
    <w:rsid w:val="00346C5A"/>
    <w:rsid w:val="00347455"/>
    <w:rsid w:val="00347C10"/>
    <w:rsid w:val="00351CE6"/>
    <w:rsid w:val="00352522"/>
    <w:rsid w:val="00352B3E"/>
    <w:rsid w:val="00352D69"/>
    <w:rsid w:val="00352E4F"/>
    <w:rsid w:val="003534B7"/>
    <w:rsid w:val="0035370D"/>
    <w:rsid w:val="0035386C"/>
    <w:rsid w:val="0035426D"/>
    <w:rsid w:val="00354AF3"/>
    <w:rsid w:val="00354BCD"/>
    <w:rsid w:val="00355528"/>
    <w:rsid w:val="00356013"/>
    <w:rsid w:val="00356078"/>
    <w:rsid w:val="00356B70"/>
    <w:rsid w:val="00356B9C"/>
    <w:rsid w:val="00356D39"/>
    <w:rsid w:val="00356F53"/>
    <w:rsid w:val="0035788F"/>
    <w:rsid w:val="00357C2E"/>
    <w:rsid w:val="00357CD9"/>
    <w:rsid w:val="00357D8B"/>
    <w:rsid w:val="00360159"/>
    <w:rsid w:val="003602B0"/>
    <w:rsid w:val="003609FB"/>
    <w:rsid w:val="00360D4E"/>
    <w:rsid w:val="00360D9C"/>
    <w:rsid w:val="00360FA3"/>
    <w:rsid w:val="0036115B"/>
    <w:rsid w:val="00361506"/>
    <w:rsid w:val="00361559"/>
    <w:rsid w:val="00361598"/>
    <w:rsid w:val="00361AED"/>
    <w:rsid w:val="00361F43"/>
    <w:rsid w:val="0036224E"/>
    <w:rsid w:val="00362594"/>
    <w:rsid w:val="00362C87"/>
    <w:rsid w:val="003638EE"/>
    <w:rsid w:val="00363AF9"/>
    <w:rsid w:val="00364450"/>
    <w:rsid w:val="0036447D"/>
    <w:rsid w:val="00364D8C"/>
    <w:rsid w:val="00364EC2"/>
    <w:rsid w:val="00365490"/>
    <w:rsid w:val="00365543"/>
    <w:rsid w:val="00365F95"/>
    <w:rsid w:val="003666EA"/>
    <w:rsid w:val="00366CC3"/>
    <w:rsid w:val="0036718D"/>
    <w:rsid w:val="00367500"/>
    <w:rsid w:val="00367851"/>
    <w:rsid w:val="003678E9"/>
    <w:rsid w:val="00367AFA"/>
    <w:rsid w:val="00367B76"/>
    <w:rsid w:val="00367C73"/>
    <w:rsid w:val="00367CD7"/>
    <w:rsid w:val="0037029E"/>
    <w:rsid w:val="003702AE"/>
    <w:rsid w:val="00370CD1"/>
    <w:rsid w:val="00370F9A"/>
    <w:rsid w:val="003713BD"/>
    <w:rsid w:val="003713DB"/>
    <w:rsid w:val="003718B5"/>
    <w:rsid w:val="00371DEA"/>
    <w:rsid w:val="003721B2"/>
    <w:rsid w:val="003722D2"/>
    <w:rsid w:val="00372392"/>
    <w:rsid w:val="00372BD2"/>
    <w:rsid w:val="00372EBF"/>
    <w:rsid w:val="00373106"/>
    <w:rsid w:val="003732BE"/>
    <w:rsid w:val="00374836"/>
    <w:rsid w:val="003748BF"/>
    <w:rsid w:val="00374B10"/>
    <w:rsid w:val="00374F3D"/>
    <w:rsid w:val="00375C11"/>
    <w:rsid w:val="00375E1B"/>
    <w:rsid w:val="00376164"/>
    <w:rsid w:val="0037622B"/>
    <w:rsid w:val="003762A1"/>
    <w:rsid w:val="0037682B"/>
    <w:rsid w:val="003770A8"/>
    <w:rsid w:val="003778DF"/>
    <w:rsid w:val="00377952"/>
    <w:rsid w:val="0037797C"/>
    <w:rsid w:val="00377D62"/>
    <w:rsid w:val="003800DD"/>
    <w:rsid w:val="00380969"/>
    <w:rsid w:val="003810FC"/>
    <w:rsid w:val="00381707"/>
    <w:rsid w:val="00381AA0"/>
    <w:rsid w:val="003821AB"/>
    <w:rsid w:val="00382735"/>
    <w:rsid w:val="00382A56"/>
    <w:rsid w:val="00382BA4"/>
    <w:rsid w:val="00382FD7"/>
    <w:rsid w:val="003835D4"/>
    <w:rsid w:val="00383600"/>
    <w:rsid w:val="00384250"/>
    <w:rsid w:val="00384337"/>
    <w:rsid w:val="003844F6"/>
    <w:rsid w:val="003847CA"/>
    <w:rsid w:val="003848D9"/>
    <w:rsid w:val="00384B23"/>
    <w:rsid w:val="00384C4F"/>
    <w:rsid w:val="00385105"/>
    <w:rsid w:val="0038563A"/>
    <w:rsid w:val="00385870"/>
    <w:rsid w:val="00385887"/>
    <w:rsid w:val="00385F07"/>
    <w:rsid w:val="00386001"/>
    <w:rsid w:val="0038606B"/>
    <w:rsid w:val="00386449"/>
    <w:rsid w:val="00387046"/>
    <w:rsid w:val="00387092"/>
    <w:rsid w:val="0038727C"/>
    <w:rsid w:val="00387327"/>
    <w:rsid w:val="003875F6"/>
    <w:rsid w:val="00387A1A"/>
    <w:rsid w:val="00387F07"/>
    <w:rsid w:val="00390010"/>
    <w:rsid w:val="0039035B"/>
    <w:rsid w:val="00390813"/>
    <w:rsid w:val="00390A2A"/>
    <w:rsid w:val="00390EFD"/>
    <w:rsid w:val="00391766"/>
    <w:rsid w:val="0039192E"/>
    <w:rsid w:val="00391C51"/>
    <w:rsid w:val="00391D03"/>
    <w:rsid w:val="00391EDE"/>
    <w:rsid w:val="00391F3E"/>
    <w:rsid w:val="0039203B"/>
    <w:rsid w:val="00392196"/>
    <w:rsid w:val="00392982"/>
    <w:rsid w:val="00392BA8"/>
    <w:rsid w:val="00393491"/>
    <w:rsid w:val="00393826"/>
    <w:rsid w:val="003942AE"/>
    <w:rsid w:val="003949EC"/>
    <w:rsid w:val="00394AF3"/>
    <w:rsid w:val="0039500D"/>
    <w:rsid w:val="003954DB"/>
    <w:rsid w:val="003954E6"/>
    <w:rsid w:val="003954EE"/>
    <w:rsid w:val="00395A40"/>
    <w:rsid w:val="00395A74"/>
    <w:rsid w:val="0039609D"/>
    <w:rsid w:val="00396925"/>
    <w:rsid w:val="00396A31"/>
    <w:rsid w:val="00396DF0"/>
    <w:rsid w:val="00396E96"/>
    <w:rsid w:val="00396F0F"/>
    <w:rsid w:val="00396FC4"/>
    <w:rsid w:val="00397162"/>
    <w:rsid w:val="003976F5"/>
    <w:rsid w:val="00397E12"/>
    <w:rsid w:val="00397FEF"/>
    <w:rsid w:val="003A050E"/>
    <w:rsid w:val="003A08F2"/>
    <w:rsid w:val="003A0D61"/>
    <w:rsid w:val="003A0D6C"/>
    <w:rsid w:val="003A0D83"/>
    <w:rsid w:val="003A112F"/>
    <w:rsid w:val="003A1287"/>
    <w:rsid w:val="003A128E"/>
    <w:rsid w:val="003A12B0"/>
    <w:rsid w:val="003A12DE"/>
    <w:rsid w:val="003A14D9"/>
    <w:rsid w:val="003A1AF5"/>
    <w:rsid w:val="003A1B31"/>
    <w:rsid w:val="003A1D9F"/>
    <w:rsid w:val="003A1ECD"/>
    <w:rsid w:val="003A2B14"/>
    <w:rsid w:val="003A2D69"/>
    <w:rsid w:val="003A332A"/>
    <w:rsid w:val="003A347D"/>
    <w:rsid w:val="003A3508"/>
    <w:rsid w:val="003A3618"/>
    <w:rsid w:val="003A4182"/>
    <w:rsid w:val="003A455F"/>
    <w:rsid w:val="003A4BEF"/>
    <w:rsid w:val="003A53FC"/>
    <w:rsid w:val="003A576B"/>
    <w:rsid w:val="003A61BF"/>
    <w:rsid w:val="003A67AC"/>
    <w:rsid w:val="003A6924"/>
    <w:rsid w:val="003A6BC5"/>
    <w:rsid w:val="003A6DFC"/>
    <w:rsid w:val="003A6F2A"/>
    <w:rsid w:val="003A71DC"/>
    <w:rsid w:val="003A7214"/>
    <w:rsid w:val="003A7885"/>
    <w:rsid w:val="003A7A04"/>
    <w:rsid w:val="003A7D48"/>
    <w:rsid w:val="003B0331"/>
    <w:rsid w:val="003B0FCE"/>
    <w:rsid w:val="003B12AB"/>
    <w:rsid w:val="003B1475"/>
    <w:rsid w:val="003B15A6"/>
    <w:rsid w:val="003B1601"/>
    <w:rsid w:val="003B184A"/>
    <w:rsid w:val="003B1D30"/>
    <w:rsid w:val="003B1EE2"/>
    <w:rsid w:val="003B2398"/>
    <w:rsid w:val="003B23B5"/>
    <w:rsid w:val="003B2817"/>
    <w:rsid w:val="003B2AE6"/>
    <w:rsid w:val="003B304A"/>
    <w:rsid w:val="003B3119"/>
    <w:rsid w:val="003B3155"/>
    <w:rsid w:val="003B318D"/>
    <w:rsid w:val="003B33DB"/>
    <w:rsid w:val="003B345C"/>
    <w:rsid w:val="003B3738"/>
    <w:rsid w:val="003B3CDD"/>
    <w:rsid w:val="003B413D"/>
    <w:rsid w:val="003B4149"/>
    <w:rsid w:val="003B4DA7"/>
    <w:rsid w:val="003B58D8"/>
    <w:rsid w:val="003B59CA"/>
    <w:rsid w:val="003B5DFB"/>
    <w:rsid w:val="003B6137"/>
    <w:rsid w:val="003B64E0"/>
    <w:rsid w:val="003B6644"/>
    <w:rsid w:val="003B788E"/>
    <w:rsid w:val="003B7A0D"/>
    <w:rsid w:val="003C00F0"/>
    <w:rsid w:val="003C01DD"/>
    <w:rsid w:val="003C0C4C"/>
    <w:rsid w:val="003C1DCC"/>
    <w:rsid w:val="003C1E6D"/>
    <w:rsid w:val="003C2188"/>
    <w:rsid w:val="003C2317"/>
    <w:rsid w:val="003C2886"/>
    <w:rsid w:val="003C2D47"/>
    <w:rsid w:val="003C3102"/>
    <w:rsid w:val="003C3257"/>
    <w:rsid w:val="003C3502"/>
    <w:rsid w:val="003C3EB7"/>
    <w:rsid w:val="003C4274"/>
    <w:rsid w:val="003C43D8"/>
    <w:rsid w:val="003C465E"/>
    <w:rsid w:val="003C4A2B"/>
    <w:rsid w:val="003C5A1A"/>
    <w:rsid w:val="003C5BFA"/>
    <w:rsid w:val="003C680C"/>
    <w:rsid w:val="003C6A41"/>
    <w:rsid w:val="003C6A6C"/>
    <w:rsid w:val="003C6EFE"/>
    <w:rsid w:val="003C7062"/>
    <w:rsid w:val="003C743F"/>
    <w:rsid w:val="003C7679"/>
    <w:rsid w:val="003C78EE"/>
    <w:rsid w:val="003C7B76"/>
    <w:rsid w:val="003C7DF4"/>
    <w:rsid w:val="003D0323"/>
    <w:rsid w:val="003D09AA"/>
    <w:rsid w:val="003D0ACC"/>
    <w:rsid w:val="003D0D7D"/>
    <w:rsid w:val="003D0F5C"/>
    <w:rsid w:val="003D10F1"/>
    <w:rsid w:val="003D1335"/>
    <w:rsid w:val="003D172E"/>
    <w:rsid w:val="003D1B16"/>
    <w:rsid w:val="003D1C30"/>
    <w:rsid w:val="003D259C"/>
    <w:rsid w:val="003D3622"/>
    <w:rsid w:val="003D38F1"/>
    <w:rsid w:val="003D4513"/>
    <w:rsid w:val="003D460B"/>
    <w:rsid w:val="003D46C1"/>
    <w:rsid w:val="003D4A0D"/>
    <w:rsid w:val="003D4A8F"/>
    <w:rsid w:val="003D551B"/>
    <w:rsid w:val="003D5695"/>
    <w:rsid w:val="003D58B5"/>
    <w:rsid w:val="003D5924"/>
    <w:rsid w:val="003D5B6D"/>
    <w:rsid w:val="003D5C6C"/>
    <w:rsid w:val="003D5EBA"/>
    <w:rsid w:val="003D5F88"/>
    <w:rsid w:val="003D66F0"/>
    <w:rsid w:val="003D6B9B"/>
    <w:rsid w:val="003D7303"/>
    <w:rsid w:val="003D7980"/>
    <w:rsid w:val="003D7B60"/>
    <w:rsid w:val="003E000B"/>
    <w:rsid w:val="003E02CB"/>
    <w:rsid w:val="003E037F"/>
    <w:rsid w:val="003E06C9"/>
    <w:rsid w:val="003E0F9B"/>
    <w:rsid w:val="003E19AE"/>
    <w:rsid w:val="003E1C87"/>
    <w:rsid w:val="003E1DAD"/>
    <w:rsid w:val="003E23B0"/>
    <w:rsid w:val="003E25E5"/>
    <w:rsid w:val="003E2641"/>
    <w:rsid w:val="003E2F6C"/>
    <w:rsid w:val="003E2FC6"/>
    <w:rsid w:val="003E316A"/>
    <w:rsid w:val="003E330B"/>
    <w:rsid w:val="003E39CD"/>
    <w:rsid w:val="003E3A40"/>
    <w:rsid w:val="003E405F"/>
    <w:rsid w:val="003E44BF"/>
    <w:rsid w:val="003E462E"/>
    <w:rsid w:val="003E46E3"/>
    <w:rsid w:val="003E4AF4"/>
    <w:rsid w:val="003E4CD5"/>
    <w:rsid w:val="003E4D59"/>
    <w:rsid w:val="003E58C6"/>
    <w:rsid w:val="003E5FB3"/>
    <w:rsid w:val="003E6EBA"/>
    <w:rsid w:val="003E6EFA"/>
    <w:rsid w:val="003E73C9"/>
    <w:rsid w:val="003E7603"/>
    <w:rsid w:val="003E7963"/>
    <w:rsid w:val="003E7973"/>
    <w:rsid w:val="003F0341"/>
    <w:rsid w:val="003F061E"/>
    <w:rsid w:val="003F0ACE"/>
    <w:rsid w:val="003F11D6"/>
    <w:rsid w:val="003F12F5"/>
    <w:rsid w:val="003F17EB"/>
    <w:rsid w:val="003F1B9A"/>
    <w:rsid w:val="003F224D"/>
    <w:rsid w:val="003F2DFC"/>
    <w:rsid w:val="003F2E75"/>
    <w:rsid w:val="003F2EAA"/>
    <w:rsid w:val="003F325E"/>
    <w:rsid w:val="003F355A"/>
    <w:rsid w:val="003F3A3F"/>
    <w:rsid w:val="003F3D1E"/>
    <w:rsid w:val="003F44A2"/>
    <w:rsid w:val="003F47C2"/>
    <w:rsid w:val="003F4A5C"/>
    <w:rsid w:val="003F4A6B"/>
    <w:rsid w:val="003F4DAE"/>
    <w:rsid w:val="003F4E19"/>
    <w:rsid w:val="003F5553"/>
    <w:rsid w:val="003F55A7"/>
    <w:rsid w:val="003F5788"/>
    <w:rsid w:val="003F6007"/>
    <w:rsid w:val="003F614A"/>
    <w:rsid w:val="003F66B5"/>
    <w:rsid w:val="003F6728"/>
    <w:rsid w:val="003F7534"/>
    <w:rsid w:val="003F7F9A"/>
    <w:rsid w:val="003F7FD7"/>
    <w:rsid w:val="00400575"/>
    <w:rsid w:val="0040097B"/>
    <w:rsid w:val="00400C94"/>
    <w:rsid w:val="00400E43"/>
    <w:rsid w:val="004013E0"/>
    <w:rsid w:val="0040192D"/>
    <w:rsid w:val="00401970"/>
    <w:rsid w:val="00401F09"/>
    <w:rsid w:val="00402072"/>
    <w:rsid w:val="0040222B"/>
    <w:rsid w:val="004024B8"/>
    <w:rsid w:val="0040279A"/>
    <w:rsid w:val="004027F1"/>
    <w:rsid w:val="0040289F"/>
    <w:rsid w:val="00402CF9"/>
    <w:rsid w:val="00402D08"/>
    <w:rsid w:val="004030CB"/>
    <w:rsid w:val="00403343"/>
    <w:rsid w:val="004033DD"/>
    <w:rsid w:val="004033FE"/>
    <w:rsid w:val="00403576"/>
    <w:rsid w:val="0040357E"/>
    <w:rsid w:val="00403651"/>
    <w:rsid w:val="00403ADD"/>
    <w:rsid w:val="00403D6B"/>
    <w:rsid w:val="00403D9B"/>
    <w:rsid w:val="00405385"/>
    <w:rsid w:val="00405625"/>
    <w:rsid w:val="004056FA"/>
    <w:rsid w:val="00405814"/>
    <w:rsid w:val="00405C4A"/>
    <w:rsid w:val="00405CA9"/>
    <w:rsid w:val="00406BCB"/>
    <w:rsid w:val="004071CD"/>
    <w:rsid w:val="0040762C"/>
    <w:rsid w:val="004077AC"/>
    <w:rsid w:val="00407B70"/>
    <w:rsid w:val="00407E15"/>
    <w:rsid w:val="00407F64"/>
    <w:rsid w:val="004101FF"/>
    <w:rsid w:val="004102F9"/>
    <w:rsid w:val="00410BE4"/>
    <w:rsid w:val="00410D91"/>
    <w:rsid w:val="00411623"/>
    <w:rsid w:val="00412490"/>
    <w:rsid w:val="004126E7"/>
    <w:rsid w:val="00412768"/>
    <w:rsid w:val="00412A09"/>
    <w:rsid w:val="0041303B"/>
    <w:rsid w:val="0041312A"/>
    <w:rsid w:val="00413A3D"/>
    <w:rsid w:val="00413D1B"/>
    <w:rsid w:val="00413E0D"/>
    <w:rsid w:val="00413E84"/>
    <w:rsid w:val="00413F2E"/>
    <w:rsid w:val="00413FB8"/>
    <w:rsid w:val="00414068"/>
    <w:rsid w:val="004142C4"/>
    <w:rsid w:val="004142C9"/>
    <w:rsid w:val="00414374"/>
    <w:rsid w:val="00414814"/>
    <w:rsid w:val="00415BCE"/>
    <w:rsid w:val="00415F69"/>
    <w:rsid w:val="00415FE0"/>
    <w:rsid w:val="00415FFB"/>
    <w:rsid w:val="00416235"/>
    <w:rsid w:val="004164C3"/>
    <w:rsid w:val="004164E4"/>
    <w:rsid w:val="0041683C"/>
    <w:rsid w:val="00416A5D"/>
    <w:rsid w:val="00417035"/>
    <w:rsid w:val="0041714D"/>
    <w:rsid w:val="004174A1"/>
    <w:rsid w:val="0041753B"/>
    <w:rsid w:val="004175BA"/>
    <w:rsid w:val="00417640"/>
    <w:rsid w:val="00417BB3"/>
    <w:rsid w:val="004203A7"/>
    <w:rsid w:val="00420840"/>
    <w:rsid w:val="00420C59"/>
    <w:rsid w:val="00420DD8"/>
    <w:rsid w:val="00420E6A"/>
    <w:rsid w:val="00420F63"/>
    <w:rsid w:val="0042145D"/>
    <w:rsid w:val="0042191C"/>
    <w:rsid w:val="00421DDE"/>
    <w:rsid w:val="00421F39"/>
    <w:rsid w:val="004220E4"/>
    <w:rsid w:val="00422570"/>
    <w:rsid w:val="00422773"/>
    <w:rsid w:val="00422D19"/>
    <w:rsid w:val="0042353F"/>
    <w:rsid w:val="004236C8"/>
    <w:rsid w:val="00423870"/>
    <w:rsid w:val="0042389D"/>
    <w:rsid w:val="00424253"/>
    <w:rsid w:val="004249ED"/>
    <w:rsid w:val="00424D7D"/>
    <w:rsid w:val="004251ED"/>
    <w:rsid w:val="004253D4"/>
    <w:rsid w:val="00425D06"/>
    <w:rsid w:val="00426CE0"/>
    <w:rsid w:val="00426D59"/>
    <w:rsid w:val="00426EB2"/>
    <w:rsid w:val="00426F6B"/>
    <w:rsid w:val="004274B4"/>
    <w:rsid w:val="004276F6"/>
    <w:rsid w:val="00427869"/>
    <w:rsid w:val="00427B9C"/>
    <w:rsid w:val="00427C4E"/>
    <w:rsid w:val="00427CFE"/>
    <w:rsid w:val="00427EA1"/>
    <w:rsid w:val="00430AB4"/>
    <w:rsid w:val="00431156"/>
    <w:rsid w:val="00431337"/>
    <w:rsid w:val="00431890"/>
    <w:rsid w:val="004322E2"/>
    <w:rsid w:val="00432463"/>
    <w:rsid w:val="004325F4"/>
    <w:rsid w:val="00432A27"/>
    <w:rsid w:val="00432FBF"/>
    <w:rsid w:val="0043323E"/>
    <w:rsid w:val="004334DD"/>
    <w:rsid w:val="00433546"/>
    <w:rsid w:val="004337EF"/>
    <w:rsid w:val="0043414E"/>
    <w:rsid w:val="00434261"/>
    <w:rsid w:val="00434745"/>
    <w:rsid w:val="00434D72"/>
    <w:rsid w:val="00435228"/>
    <w:rsid w:val="00435750"/>
    <w:rsid w:val="00435944"/>
    <w:rsid w:val="00435950"/>
    <w:rsid w:val="00435BEB"/>
    <w:rsid w:val="00435C96"/>
    <w:rsid w:val="00435D7F"/>
    <w:rsid w:val="00436969"/>
    <w:rsid w:val="00436B03"/>
    <w:rsid w:val="00436B9B"/>
    <w:rsid w:val="00436FC4"/>
    <w:rsid w:val="004377DA"/>
    <w:rsid w:val="00437849"/>
    <w:rsid w:val="00440057"/>
    <w:rsid w:val="004402E7"/>
    <w:rsid w:val="00440D23"/>
    <w:rsid w:val="00440D84"/>
    <w:rsid w:val="00441D89"/>
    <w:rsid w:val="00441E15"/>
    <w:rsid w:val="004423B5"/>
    <w:rsid w:val="00442FAA"/>
    <w:rsid w:val="00443455"/>
    <w:rsid w:val="00443599"/>
    <w:rsid w:val="004438A5"/>
    <w:rsid w:val="0044409F"/>
    <w:rsid w:val="00444605"/>
    <w:rsid w:val="0044486F"/>
    <w:rsid w:val="00444AC4"/>
    <w:rsid w:val="004454B2"/>
    <w:rsid w:val="004457FD"/>
    <w:rsid w:val="0044584E"/>
    <w:rsid w:val="00445872"/>
    <w:rsid w:val="00445CD9"/>
    <w:rsid w:val="00445D93"/>
    <w:rsid w:val="004460A3"/>
    <w:rsid w:val="00446302"/>
    <w:rsid w:val="00446310"/>
    <w:rsid w:val="004464FA"/>
    <w:rsid w:val="004465CE"/>
    <w:rsid w:val="004465EE"/>
    <w:rsid w:val="00446796"/>
    <w:rsid w:val="00446C4E"/>
    <w:rsid w:val="00446DBB"/>
    <w:rsid w:val="00447526"/>
    <w:rsid w:val="00447570"/>
    <w:rsid w:val="00447695"/>
    <w:rsid w:val="004506FC"/>
    <w:rsid w:val="00451309"/>
    <w:rsid w:val="00451317"/>
    <w:rsid w:val="004516E5"/>
    <w:rsid w:val="00451993"/>
    <w:rsid w:val="004519B0"/>
    <w:rsid w:val="00451F4D"/>
    <w:rsid w:val="004525EF"/>
    <w:rsid w:val="00452B40"/>
    <w:rsid w:val="004534A1"/>
    <w:rsid w:val="0045398B"/>
    <w:rsid w:val="00453E21"/>
    <w:rsid w:val="00453F9D"/>
    <w:rsid w:val="00454475"/>
    <w:rsid w:val="004549CB"/>
    <w:rsid w:val="00455655"/>
    <w:rsid w:val="004557BB"/>
    <w:rsid w:val="00455EFB"/>
    <w:rsid w:val="004561B4"/>
    <w:rsid w:val="00456287"/>
    <w:rsid w:val="004578ED"/>
    <w:rsid w:val="0045799B"/>
    <w:rsid w:val="00457BF5"/>
    <w:rsid w:val="00457C3F"/>
    <w:rsid w:val="00457D38"/>
    <w:rsid w:val="004600EB"/>
    <w:rsid w:val="004603AD"/>
    <w:rsid w:val="004605A2"/>
    <w:rsid w:val="00460AC8"/>
    <w:rsid w:val="00461A8B"/>
    <w:rsid w:val="00461D12"/>
    <w:rsid w:val="004620C8"/>
    <w:rsid w:val="0046254C"/>
    <w:rsid w:val="00462702"/>
    <w:rsid w:val="00462AC9"/>
    <w:rsid w:val="00462CF1"/>
    <w:rsid w:val="00462DA1"/>
    <w:rsid w:val="004631AE"/>
    <w:rsid w:val="004631D1"/>
    <w:rsid w:val="004631EC"/>
    <w:rsid w:val="00463618"/>
    <w:rsid w:val="0046365E"/>
    <w:rsid w:val="004636E4"/>
    <w:rsid w:val="0046375E"/>
    <w:rsid w:val="0046394D"/>
    <w:rsid w:val="00463B0E"/>
    <w:rsid w:val="00463C00"/>
    <w:rsid w:val="00465558"/>
    <w:rsid w:val="004659E0"/>
    <w:rsid w:val="00465B2D"/>
    <w:rsid w:val="00465E3D"/>
    <w:rsid w:val="0046659E"/>
    <w:rsid w:val="00466A4F"/>
    <w:rsid w:val="00466B78"/>
    <w:rsid w:val="00466E5F"/>
    <w:rsid w:val="004673D0"/>
    <w:rsid w:val="00467BE5"/>
    <w:rsid w:val="00467D17"/>
    <w:rsid w:val="00467E3A"/>
    <w:rsid w:val="00467E5C"/>
    <w:rsid w:val="004700B7"/>
    <w:rsid w:val="00470766"/>
    <w:rsid w:val="00470EFC"/>
    <w:rsid w:val="00471019"/>
    <w:rsid w:val="00471321"/>
    <w:rsid w:val="00471A49"/>
    <w:rsid w:val="00471B83"/>
    <w:rsid w:val="00471EC4"/>
    <w:rsid w:val="004729C6"/>
    <w:rsid w:val="00472B4B"/>
    <w:rsid w:val="00472D07"/>
    <w:rsid w:val="00472F25"/>
    <w:rsid w:val="00473458"/>
    <w:rsid w:val="00473D8F"/>
    <w:rsid w:val="004740C5"/>
    <w:rsid w:val="004741C8"/>
    <w:rsid w:val="00474222"/>
    <w:rsid w:val="004751FE"/>
    <w:rsid w:val="004752AA"/>
    <w:rsid w:val="004755E1"/>
    <w:rsid w:val="00475667"/>
    <w:rsid w:val="0047586F"/>
    <w:rsid w:val="00475898"/>
    <w:rsid w:val="004758D7"/>
    <w:rsid w:val="0047605C"/>
    <w:rsid w:val="004764F7"/>
    <w:rsid w:val="00476686"/>
    <w:rsid w:val="00476BD8"/>
    <w:rsid w:val="00476E3A"/>
    <w:rsid w:val="00477033"/>
    <w:rsid w:val="004771B0"/>
    <w:rsid w:val="00477363"/>
    <w:rsid w:val="004774C5"/>
    <w:rsid w:val="004776B9"/>
    <w:rsid w:val="00477709"/>
    <w:rsid w:val="00477D50"/>
    <w:rsid w:val="0048024D"/>
    <w:rsid w:val="00480AF0"/>
    <w:rsid w:val="00482397"/>
    <w:rsid w:val="004823C1"/>
    <w:rsid w:val="004827A2"/>
    <w:rsid w:val="004829D2"/>
    <w:rsid w:val="00482DDF"/>
    <w:rsid w:val="00483C0F"/>
    <w:rsid w:val="00483FA5"/>
    <w:rsid w:val="004847E1"/>
    <w:rsid w:val="00484C59"/>
    <w:rsid w:val="004854FC"/>
    <w:rsid w:val="0048563C"/>
    <w:rsid w:val="004856FE"/>
    <w:rsid w:val="00485846"/>
    <w:rsid w:val="00485996"/>
    <w:rsid w:val="00485B50"/>
    <w:rsid w:val="00485DD3"/>
    <w:rsid w:val="004866BA"/>
    <w:rsid w:val="004867AB"/>
    <w:rsid w:val="00487038"/>
    <w:rsid w:val="00487383"/>
    <w:rsid w:val="00487443"/>
    <w:rsid w:val="004875B0"/>
    <w:rsid w:val="00487D7D"/>
    <w:rsid w:val="004901B1"/>
    <w:rsid w:val="00490A0F"/>
    <w:rsid w:val="00491385"/>
    <w:rsid w:val="00491868"/>
    <w:rsid w:val="00492012"/>
    <w:rsid w:val="00492FD2"/>
    <w:rsid w:val="00493238"/>
    <w:rsid w:val="00493505"/>
    <w:rsid w:val="004935B0"/>
    <w:rsid w:val="0049377F"/>
    <w:rsid w:val="00493BCA"/>
    <w:rsid w:val="00494BF2"/>
    <w:rsid w:val="00494CA2"/>
    <w:rsid w:val="00495081"/>
    <w:rsid w:val="00495807"/>
    <w:rsid w:val="00495A78"/>
    <w:rsid w:val="00495AC2"/>
    <w:rsid w:val="00496B68"/>
    <w:rsid w:val="00496D62"/>
    <w:rsid w:val="00496E59"/>
    <w:rsid w:val="00496E72"/>
    <w:rsid w:val="004970B1"/>
    <w:rsid w:val="00497D0F"/>
    <w:rsid w:val="00497F4C"/>
    <w:rsid w:val="004A0040"/>
    <w:rsid w:val="004A04C5"/>
    <w:rsid w:val="004A0CFA"/>
    <w:rsid w:val="004A1268"/>
    <w:rsid w:val="004A14D7"/>
    <w:rsid w:val="004A1565"/>
    <w:rsid w:val="004A1CC5"/>
    <w:rsid w:val="004A1F12"/>
    <w:rsid w:val="004A25D5"/>
    <w:rsid w:val="004A2A73"/>
    <w:rsid w:val="004A3900"/>
    <w:rsid w:val="004A3911"/>
    <w:rsid w:val="004A3B40"/>
    <w:rsid w:val="004A3BED"/>
    <w:rsid w:val="004A4A83"/>
    <w:rsid w:val="004A4E31"/>
    <w:rsid w:val="004A4E41"/>
    <w:rsid w:val="004A4EC4"/>
    <w:rsid w:val="004A5065"/>
    <w:rsid w:val="004A54D1"/>
    <w:rsid w:val="004A563E"/>
    <w:rsid w:val="004A57B6"/>
    <w:rsid w:val="004A58BF"/>
    <w:rsid w:val="004A5ADE"/>
    <w:rsid w:val="004A5B1F"/>
    <w:rsid w:val="004A5B7B"/>
    <w:rsid w:val="004A5F9E"/>
    <w:rsid w:val="004A6017"/>
    <w:rsid w:val="004A61B6"/>
    <w:rsid w:val="004A61D0"/>
    <w:rsid w:val="004A62DE"/>
    <w:rsid w:val="004A635E"/>
    <w:rsid w:val="004A64FD"/>
    <w:rsid w:val="004A67B0"/>
    <w:rsid w:val="004A6D6C"/>
    <w:rsid w:val="004A7271"/>
    <w:rsid w:val="004A7581"/>
    <w:rsid w:val="004A76BA"/>
    <w:rsid w:val="004A7757"/>
    <w:rsid w:val="004A7E8C"/>
    <w:rsid w:val="004B07C9"/>
    <w:rsid w:val="004B0973"/>
    <w:rsid w:val="004B1069"/>
    <w:rsid w:val="004B1689"/>
    <w:rsid w:val="004B17C2"/>
    <w:rsid w:val="004B1BD1"/>
    <w:rsid w:val="004B2109"/>
    <w:rsid w:val="004B21FD"/>
    <w:rsid w:val="004B22A7"/>
    <w:rsid w:val="004B2BB1"/>
    <w:rsid w:val="004B2E8C"/>
    <w:rsid w:val="004B313D"/>
    <w:rsid w:val="004B34A5"/>
    <w:rsid w:val="004B3DAA"/>
    <w:rsid w:val="004B5031"/>
    <w:rsid w:val="004B52A3"/>
    <w:rsid w:val="004B536C"/>
    <w:rsid w:val="004B549F"/>
    <w:rsid w:val="004B59DD"/>
    <w:rsid w:val="004B5D5B"/>
    <w:rsid w:val="004B5DFD"/>
    <w:rsid w:val="004B5E00"/>
    <w:rsid w:val="004B5F8B"/>
    <w:rsid w:val="004B6010"/>
    <w:rsid w:val="004B6022"/>
    <w:rsid w:val="004B6089"/>
    <w:rsid w:val="004B6622"/>
    <w:rsid w:val="004B693B"/>
    <w:rsid w:val="004B6993"/>
    <w:rsid w:val="004B79FC"/>
    <w:rsid w:val="004C0837"/>
    <w:rsid w:val="004C0A83"/>
    <w:rsid w:val="004C0B5E"/>
    <w:rsid w:val="004C0D09"/>
    <w:rsid w:val="004C0F47"/>
    <w:rsid w:val="004C121B"/>
    <w:rsid w:val="004C1A79"/>
    <w:rsid w:val="004C1CCF"/>
    <w:rsid w:val="004C1F5A"/>
    <w:rsid w:val="004C2134"/>
    <w:rsid w:val="004C263D"/>
    <w:rsid w:val="004C2C49"/>
    <w:rsid w:val="004C2CB9"/>
    <w:rsid w:val="004C3055"/>
    <w:rsid w:val="004C33B6"/>
    <w:rsid w:val="004C35B1"/>
    <w:rsid w:val="004C3E41"/>
    <w:rsid w:val="004C3E70"/>
    <w:rsid w:val="004C42B5"/>
    <w:rsid w:val="004C47CC"/>
    <w:rsid w:val="004C5085"/>
    <w:rsid w:val="004C559B"/>
    <w:rsid w:val="004C5940"/>
    <w:rsid w:val="004C5E0D"/>
    <w:rsid w:val="004C61B6"/>
    <w:rsid w:val="004C637D"/>
    <w:rsid w:val="004C646D"/>
    <w:rsid w:val="004C697C"/>
    <w:rsid w:val="004C69FD"/>
    <w:rsid w:val="004C707A"/>
    <w:rsid w:val="004C70F4"/>
    <w:rsid w:val="004C73F2"/>
    <w:rsid w:val="004C769E"/>
    <w:rsid w:val="004C7A02"/>
    <w:rsid w:val="004C7B68"/>
    <w:rsid w:val="004C7F95"/>
    <w:rsid w:val="004D02DD"/>
    <w:rsid w:val="004D03B8"/>
    <w:rsid w:val="004D0736"/>
    <w:rsid w:val="004D11DD"/>
    <w:rsid w:val="004D1213"/>
    <w:rsid w:val="004D1284"/>
    <w:rsid w:val="004D15F6"/>
    <w:rsid w:val="004D175B"/>
    <w:rsid w:val="004D196E"/>
    <w:rsid w:val="004D1A05"/>
    <w:rsid w:val="004D1C62"/>
    <w:rsid w:val="004D1D6A"/>
    <w:rsid w:val="004D2066"/>
    <w:rsid w:val="004D257F"/>
    <w:rsid w:val="004D261D"/>
    <w:rsid w:val="004D28B8"/>
    <w:rsid w:val="004D2D2D"/>
    <w:rsid w:val="004D3548"/>
    <w:rsid w:val="004D40FB"/>
    <w:rsid w:val="004D41C9"/>
    <w:rsid w:val="004D4676"/>
    <w:rsid w:val="004D545C"/>
    <w:rsid w:val="004D59A6"/>
    <w:rsid w:val="004D59C1"/>
    <w:rsid w:val="004D5BE7"/>
    <w:rsid w:val="004D5FA5"/>
    <w:rsid w:val="004D6009"/>
    <w:rsid w:val="004D6831"/>
    <w:rsid w:val="004D6AEB"/>
    <w:rsid w:val="004D6B64"/>
    <w:rsid w:val="004D6CDA"/>
    <w:rsid w:val="004D702A"/>
    <w:rsid w:val="004D70CB"/>
    <w:rsid w:val="004D7A36"/>
    <w:rsid w:val="004E0865"/>
    <w:rsid w:val="004E1215"/>
    <w:rsid w:val="004E1433"/>
    <w:rsid w:val="004E1CC3"/>
    <w:rsid w:val="004E203D"/>
    <w:rsid w:val="004E20F5"/>
    <w:rsid w:val="004E21CC"/>
    <w:rsid w:val="004E2638"/>
    <w:rsid w:val="004E3132"/>
    <w:rsid w:val="004E3439"/>
    <w:rsid w:val="004E365C"/>
    <w:rsid w:val="004E3B27"/>
    <w:rsid w:val="004E40B2"/>
    <w:rsid w:val="004E451D"/>
    <w:rsid w:val="004E4734"/>
    <w:rsid w:val="004E4FC5"/>
    <w:rsid w:val="004E55B8"/>
    <w:rsid w:val="004E5797"/>
    <w:rsid w:val="004E5A49"/>
    <w:rsid w:val="004E5B03"/>
    <w:rsid w:val="004E5BC4"/>
    <w:rsid w:val="004E5CC2"/>
    <w:rsid w:val="004E5E6C"/>
    <w:rsid w:val="004E64B5"/>
    <w:rsid w:val="004E739E"/>
    <w:rsid w:val="004F02AA"/>
    <w:rsid w:val="004F05A3"/>
    <w:rsid w:val="004F0898"/>
    <w:rsid w:val="004F09C8"/>
    <w:rsid w:val="004F0B0B"/>
    <w:rsid w:val="004F0B83"/>
    <w:rsid w:val="004F0BA0"/>
    <w:rsid w:val="004F0E64"/>
    <w:rsid w:val="004F0E74"/>
    <w:rsid w:val="004F17D8"/>
    <w:rsid w:val="004F1A42"/>
    <w:rsid w:val="004F2074"/>
    <w:rsid w:val="004F20CB"/>
    <w:rsid w:val="004F21C7"/>
    <w:rsid w:val="004F2229"/>
    <w:rsid w:val="004F245B"/>
    <w:rsid w:val="004F2805"/>
    <w:rsid w:val="004F2E00"/>
    <w:rsid w:val="004F3123"/>
    <w:rsid w:val="004F38A1"/>
    <w:rsid w:val="004F39D2"/>
    <w:rsid w:val="004F3A4E"/>
    <w:rsid w:val="004F3BE5"/>
    <w:rsid w:val="004F3FAD"/>
    <w:rsid w:val="004F3FF2"/>
    <w:rsid w:val="004F41C7"/>
    <w:rsid w:val="004F4D93"/>
    <w:rsid w:val="004F5015"/>
    <w:rsid w:val="004F52F4"/>
    <w:rsid w:val="004F537B"/>
    <w:rsid w:val="004F5798"/>
    <w:rsid w:val="004F6049"/>
    <w:rsid w:val="004F68AA"/>
    <w:rsid w:val="004F6BA1"/>
    <w:rsid w:val="004F6F92"/>
    <w:rsid w:val="004F77EC"/>
    <w:rsid w:val="005002AF"/>
    <w:rsid w:val="0050088A"/>
    <w:rsid w:val="005009C8"/>
    <w:rsid w:val="00500D41"/>
    <w:rsid w:val="00501851"/>
    <w:rsid w:val="00502114"/>
    <w:rsid w:val="005024D7"/>
    <w:rsid w:val="00502B6D"/>
    <w:rsid w:val="005035A0"/>
    <w:rsid w:val="005038C1"/>
    <w:rsid w:val="0050395C"/>
    <w:rsid w:val="00503D36"/>
    <w:rsid w:val="005042AA"/>
    <w:rsid w:val="00504969"/>
    <w:rsid w:val="0050513B"/>
    <w:rsid w:val="00505350"/>
    <w:rsid w:val="00505687"/>
    <w:rsid w:val="00505782"/>
    <w:rsid w:val="005058CF"/>
    <w:rsid w:val="00505BAA"/>
    <w:rsid w:val="00505BAB"/>
    <w:rsid w:val="00505C8F"/>
    <w:rsid w:val="00506196"/>
    <w:rsid w:val="00506545"/>
    <w:rsid w:val="005066FF"/>
    <w:rsid w:val="005068A6"/>
    <w:rsid w:val="00507400"/>
    <w:rsid w:val="005078DD"/>
    <w:rsid w:val="00507C95"/>
    <w:rsid w:val="00507D47"/>
    <w:rsid w:val="00510509"/>
    <w:rsid w:val="005107A0"/>
    <w:rsid w:val="00510ABF"/>
    <w:rsid w:val="00510BAA"/>
    <w:rsid w:val="00510BF1"/>
    <w:rsid w:val="005114F1"/>
    <w:rsid w:val="00511D8F"/>
    <w:rsid w:val="0051201A"/>
    <w:rsid w:val="00512660"/>
    <w:rsid w:val="00512D6A"/>
    <w:rsid w:val="00513523"/>
    <w:rsid w:val="005136F8"/>
    <w:rsid w:val="005137AD"/>
    <w:rsid w:val="00513FB5"/>
    <w:rsid w:val="0051424C"/>
    <w:rsid w:val="005147CC"/>
    <w:rsid w:val="00514935"/>
    <w:rsid w:val="00514AF4"/>
    <w:rsid w:val="00514D33"/>
    <w:rsid w:val="00514D6B"/>
    <w:rsid w:val="00515053"/>
    <w:rsid w:val="00515194"/>
    <w:rsid w:val="00515707"/>
    <w:rsid w:val="005159C6"/>
    <w:rsid w:val="00515B54"/>
    <w:rsid w:val="005162C4"/>
    <w:rsid w:val="00516322"/>
    <w:rsid w:val="005167AF"/>
    <w:rsid w:val="0051687A"/>
    <w:rsid w:val="005168BE"/>
    <w:rsid w:val="00516DCF"/>
    <w:rsid w:val="00516DD0"/>
    <w:rsid w:val="00517007"/>
    <w:rsid w:val="00517059"/>
    <w:rsid w:val="005170EE"/>
    <w:rsid w:val="0051710F"/>
    <w:rsid w:val="00517161"/>
    <w:rsid w:val="00517578"/>
    <w:rsid w:val="00517642"/>
    <w:rsid w:val="0052036D"/>
    <w:rsid w:val="0052039A"/>
    <w:rsid w:val="00520537"/>
    <w:rsid w:val="00520B1F"/>
    <w:rsid w:val="00520EB2"/>
    <w:rsid w:val="00521049"/>
    <w:rsid w:val="005220F6"/>
    <w:rsid w:val="0052230F"/>
    <w:rsid w:val="0052267B"/>
    <w:rsid w:val="00522823"/>
    <w:rsid w:val="00522AB8"/>
    <w:rsid w:val="0052301B"/>
    <w:rsid w:val="00523022"/>
    <w:rsid w:val="0052317C"/>
    <w:rsid w:val="0052364B"/>
    <w:rsid w:val="00523650"/>
    <w:rsid w:val="005236EA"/>
    <w:rsid w:val="00523776"/>
    <w:rsid w:val="005244FC"/>
    <w:rsid w:val="00524A7A"/>
    <w:rsid w:val="0052507B"/>
    <w:rsid w:val="00525251"/>
    <w:rsid w:val="00525937"/>
    <w:rsid w:val="00526517"/>
    <w:rsid w:val="00527632"/>
    <w:rsid w:val="00527BEA"/>
    <w:rsid w:val="00527E7C"/>
    <w:rsid w:val="00530152"/>
    <w:rsid w:val="005308B7"/>
    <w:rsid w:val="00530E90"/>
    <w:rsid w:val="00531B7D"/>
    <w:rsid w:val="00531D86"/>
    <w:rsid w:val="00531DC9"/>
    <w:rsid w:val="005320DB"/>
    <w:rsid w:val="0053211E"/>
    <w:rsid w:val="00532A3B"/>
    <w:rsid w:val="00532F8B"/>
    <w:rsid w:val="005335D4"/>
    <w:rsid w:val="0053374B"/>
    <w:rsid w:val="00533809"/>
    <w:rsid w:val="00533B3D"/>
    <w:rsid w:val="00533C1F"/>
    <w:rsid w:val="00533CE1"/>
    <w:rsid w:val="00534642"/>
    <w:rsid w:val="00534662"/>
    <w:rsid w:val="005348FA"/>
    <w:rsid w:val="00534B6D"/>
    <w:rsid w:val="00534B74"/>
    <w:rsid w:val="00534FBE"/>
    <w:rsid w:val="0053562E"/>
    <w:rsid w:val="005356A6"/>
    <w:rsid w:val="005357D1"/>
    <w:rsid w:val="00535F80"/>
    <w:rsid w:val="00536515"/>
    <w:rsid w:val="005368CB"/>
    <w:rsid w:val="00536D9B"/>
    <w:rsid w:val="0053703C"/>
    <w:rsid w:val="005373AD"/>
    <w:rsid w:val="00537423"/>
    <w:rsid w:val="00537832"/>
    <w:rsid w:val="0053785F"/>
    <w:rsid w:val="005378EF"/>
    <w:rsid w:val="00537D81"/>
    <w:rsid w:val="00537F50"/>
    <w:rsid w:val="00540A8F"/>
    <w:rsid w:val="00540DAF"/>
    <w:rsid w:val="00541543"/>
    <w:rsid w:val="005415AF"/>
    <w:rsid w:val="005419F8"/>
    <w:rsid w:val="00541A89"/>
    <w:rsid w:val="00542113"/>
    <w:rsid w:val="0054229B"/>
    <w:rsid w:val="0054270F"/>
    <w:rsid w:val="005429FD"/>
    <w:rsid w:val="00542BE2"/>
    <w:rsid w:val="00542D24"/>
    <w:rsid w:val="00542DB7"/>
    <w:rsid w:val="00542F1D"/>
    <w:rsid w:val="0054335D"/>
    <w:rsid w:val="0054340C"/>
    <w:rsid w:val="005436D5"/>
    <w:rsid w:val="005438BE"/>
    <w:rsid w:val="00543BA4"/>
    <w:rsid w:val="00543C23"/>
    <w:rsid w:val="00544125"/>
    <w:rsid w:val="00544679"/>
    <w:rsid w:val="00544EA4"/>
    <w:rsid w:val="00544EFC"/>
    <w:rsid w:val="005451AC"/>
    <w:rsid w:val="005453C3"/>
    <w:rsid w:val="005454E5"/>
    <w:rsid w:val="005455FD"/>
    <w:rsid w:val="005459EA"/>
    <w:rsid w:val="0054644F"/>
    <w:rsid w:val="005465BC"/>
    <w:rsid w:val="00546800"/>
    <w:rsid w:val="00546943"/>
    <w:rsid w:val="00546AF3"/>
    <w:rsid w:val="00546FC6"/>
    <w:rsid w:val="005472F1"/>
    <w:rsid w:val="005475FA"/>
    <w:rsid w:val="00547943"/>
    <w:rsid w:val="00550787"/>
    <w:rsid w:val="005507AA"/>
    <w:rsid w:val="0055085A"/>
    <w:rsid w:val="00550B70"/>
    <w:rsid w:val="00550D2A"/>
    <w:rsid w:val="00550DDA"/>
    <w:rsid w:val="005511EA"/>
    <w:rsid w:val="00551239"/>
    <w:rsid w:val="005515CF"/>
    <w:rsid w:val="0055172D"/>
    <w:rsid w:val="00551D39"/>
    <w:rsid w:val="00551DBD"/>
    <w:rsid w:val="00552B7F"/>
    <w:rsid w:val="00552C0D"/>
    <w:rsid w:val="00552D87"/>
    <w:rsid w:val="00553AD8"/>
    <w:rsid w:val="00553EE7"/>
    <w:rsid w:val="005546A1"/>
    <w:rsid w:val="00554908"/>
    <w:rsid w:val="00554EE5"/>
    <w:rsid w:val="00554F23"/>
    <w:rsid w:val="005556C0"/>
    <w:rsid w:val="00555D47"/>
    <w:rsid w:val="00556073"/>
    <w:rsid w:val="00556356"/>
    <w:rsid w:val="0055638E"/>
    <w:rsid w:val="005568B0"/>
    <w:rsid w:val="00556977"/>
    <w:rsid w:val="00556AFA"/>
    <w:rsid w:val="005570B3"/>
    <w:rsid w:val="005572B0"/>
    <w:rsid w:val="005575DA"/>
    <w:rsid w:val="00557EAE"/>
    <w:rsid w:val="005600FE"/>
    <w:rsid w:val="005602BD"/>
    <w:rsid w:val="00560417"/>
    <w:rsid w:val="0056064D"/>
    <w:rsid w:val="00560C1E"/>
    <w:rsid w:val="0056138F"/>
    <w:rsid w:val="00561669"/>
    <w:rsid w:val="00561701"/>
    <w:rsid w:val="005619A2"/>
    <w:rsid w:val="00561A53"/>
    <w:rsid w:val="00561F44"/>
    <w:rsid w:val="005625EA"/>
    <w:rsid w:val="00562B0D"/>
    <w:rsid w:val="00563131"/>
    <w:rsid w:val="00563276"/>
    <w:rsid w:val="0056352C"/>
    <w:rsid w:val="005635EC"/>
    <w:rsid w:val="005639EE"/>
    <w:rsid w:val="00563CAB"/>
    <w:rsid w:val="00563EB6"/>
    <w:rsid w:val="00563EF8"/>
    <w:rsid w:val="00563FA2"/>
    <w:rsid w:val="00564091"/>
    <w:rsid w:val="00564DF8"/>
    <w:rsid w:val="00564F0D"/>
    <w:rsid w:val="00564F31"/>
    <w:rsid w:val="00564F3F"/>
    <w:rsid w:val="005650EC"/>
    <w:rsid w:val="00565162"/>
    <w:rsid w:val="00565305"/>
    <w:rsid w:val="005656F4"/>
    <w:rsid w:val="0056578B"/>
    <w:rsid w:val="00565A99"/>
    <w:rsid w:val="00565B4D"/>
    <w:rsid w:val="005665E6"/>
    <w:rsid w:val="005666A8"/>
    <w:rsid w:val="0056676B"/>
    <w:rsid w:val="00566821"/>
    <w:rsid w:val="005669A3"/>
    <w:rsid w:val="00566F5C"/>
    <w:rsid w:val="0056702D"/>
    <w:rsid w:val="00567DCE"/>
    <w:rsid w:val="00567F77"/>
    <w:rsid w:val="0057089C"/>
    <w:rsid w:val="00570A20"/>
    <w:rsid w:val="00571038"/>
    <w:rsid w:val="00571401"/>
    <w:rsid w:val="00571674"/>
    <w:rsid w:val="005717EC"/>
    <w:rsid w:val="00571ACF"/>
    <w:rsid w:val="005726E6"/>
    <w:rsid w:val="00572974"/>
    <w:rsid w:val="00572C5A"/>
    <w:rsid w:val="00573537"/>
    <w:rsid w:val="0057369D"/>
    <w:rsid w:val="005737BC"/>
    <w:rsid w:val="0057440F"/>
    <w:rsid w:val="0057453C"/>
    <w:rsid w:val="0057492B"/>
    <w:rsid w:val="00574934"/>
    <w:rsid w:val="00574A22"/>
    <w:rsid w:val="00574C1C"/>
    <w:rsid w:val="00574D07"/>
    <w:rsid w:val="00575086"/>
    <w:rsid w:val="00575727"/>
    <w:rsid w:val="00575A88"/>
    <w:rsid w:val="00575AFA"/>
    <w:rsid w:val="005763CE"/>
    <w:rsid w:val="00576478"/>
    <w:rsid w:val="00576686"/>
    <w:rsid w:val="00576864"/>
    <w:rsid w:val="005768E2"/>
    <w:rsid w:val="00576E06"/>
    <w:rsid w:val="00576EA1"/>
    <w:rsid w:val="00577466"/>
    <w:rsid w:val="0057798E"/>
    <w:rsid w:val="00577E52"/>
    <w:rsid w:val="00580754"/>
    <w:rsid w:val="0058079A"/>
    <w:rsid w:val="00580AFF"/>
    <w:rsid w:val="00580ECE"/>
    <w:rsid w:val="00581630"/>
    <w:rsid w:val="00582482"/>
    <w:rsid w:val="00582A02"/>
    <w:rsid w:val="00582A15"/>
    <w:rsid w:val="005836FF"/>
    <w:rsid w:val="00583AF9"/>
    <w:rsid w:val="00583F06"/>
    <w:rsid w:val="005848AE"/>
    <w:rsid w:val="00584A80"/>
    <w:rsid w:val="00584FE4"/>
    <w:rsid w:val="005851FA"/>
    <w:rsid w:val="00585D40"/>
    <w:rsid w:val="00585E4F"/>
    <w:rsid w:val="00585F39"/>
    <w:rsid w:val="00586DD7"/>
    <w:rsid w:val="00586F86"/>
    <w:rsid w:val="00587258"/>
    <w:rsid w:val="00587584"/>
    <w:rsid w:val="00587A32"/>
    <w:rsid w:val="00590123"/>
    <w:rsid w:val="0059039D"/>
    <w:rsid w:val="005908D2"/>
    <w:rsid w:val="00591478"/>
    <w:rsid w:val="0059156F"/>
    <w:rsid w:val="00591883"/>
    <w:rsid w:val="00591941"/>
    <w:rsid w:val="005928D5"/>
    <w:rsid w:val="00592A31"/>
    <w:rsid w:val="00592D4D"/>
    <w:rsid w:val="00592D78"/>
    <w:rsid w:val="00592ED1"/>
    <w:rsid w:val="00593E18"/>
    <w:rsid w:val="00594753"/>
    <w:rsid w:val="005947F6"/>
    <w:rsid w:val="00594ABA"/>
    <w:rsid w:val="00594B5D"/>
    <w:rsid w:val="00594C5C"/>
    <w:rsid w:val="00594CF9"/>
    <w:rsid w:val="005951A6"/>
    <w:rsid w:val="00595680"/>
    <w:rsid w:val="005960FD"/>
    <w:rsid w:val="00596297"/>
    <w:rsid w:val="005966A6"/>
    <w:rsid w:val="005979A1"/>
    <w:rsid w:val="00597D4C"/>
    <w:rsid w:val="005A01CC"/>
    <w:rsid w:val="005A058F"/>
    <w:rsid w:val="005A06C2"/>
    <w:rsid w:val="005A06E2"/>
    <w:rsid w:val="005A129D"/>
    <w:rsid w:val="005A14F5"/>
    <w:rsid w:val="005A15E4"/>
    <w:rsid w:val="005A16C4"/>
    <w:rsid w:val="005A22D7"/>
    <w:rsid w:val="005A254F"/>
    <w:rsid w:val="005A2DAB"/>
    <w:rsid w:val="005A2F83"/>
    <w:rsid w:val="005A2FD7"/>
    <w:rsid w:val="005A34DB"/>
    <w:rsid w:val="005A3650"/>
    <w:rsid w:val="005A3C0B"/>
    <w:rsid w:val="005A3C55"/>
    <w:rsid w:val="005A3D76"/>
    <w:rsid w:val="005A4638"/>
    <w:rsid w:val="005A47C4"/>
    <w:rsid w:val="005A4C34"/>
    <w:rsid w:val="005A54A4"/>
    <w:rsid w:val="005A58D4"/>
    <w:rsid w:val="005A5B32"/>
    <w:rsid w:val="005A5F86"/>
    <w:rsid w:val="005A626E"/>
    <w:rsid w:val="005A6C0F"/>
    <w:rsid w:val="005A6D76"/>
    <w:rsid w:val="005A7355"/>
    <w:rsid w:val="005A744B"/>
    <w:rsid w:val="005A76D6"/>
    <w:rsid w:val="005A7701"/>
    <w:rsid w:val="005A79E0"/>
    <w:rsid w:val="005B09FD"/>
    <w:rsid w:val="005B0E0D"/>
    <w:rsid w:val="005B0EC5"/>
    <w:rsid w:val="005B0ED6"/>
    <w:rsid w:val="005B13E6"/>
    <w:rsid w:val="005B1606"/>
    <w:rsid w:val="005B1744"/>
    <w:rsid w:val="005B1916"/>
    <w:rsid w:val="005B1BDC"/>
    <w:rsid w:val="005B22C4"/>
    <w:rsid w:val="005B2449"/>
    <w:rsid w:val="005B2B7F"/>
    <w:rsid w:val="005B2E39"/>
    <w:rsid w:val="005B35E4"/>
    <w:rsid w:val="005B3D67"/>
    <w:rsid w:val="005B3EDF"/>
    <w:rsid w:val="005B401B"/>
    <w:rsid w:val="005B40D7"/>
    <w:rsid w:val="005B4786"/>
    <w:rsid w:val="005B4A8A"/>
    <w:rsid w:val="005B4CA5"/>
    <w:rsid w:val="005B5DFF"/>
    <w:rsid w:val="005B674E"/>
    <w:rsid w:val="005B6BEE"/>
    <w:rsid w:val="005B71A3"/>
    <w:rsid w:val="005B7567"/>
    <w:rsid w:val="005B7646"/>
    <w:rsid w:val="005B771A"/>
    <w:rsid w:val="005B78C4"/>
    <w:rsid w:val="005B79D8"/>
    <w:rsid w:val="005B7B89"/>
    <w:rsid w:val="005B7F3C"/>
    <w:rsid w:val="005C069D"/>
    <w:rsid w:val="005C0936"/>
    <w:rsid w:val="005C0AEB"/>
    <w:rsid w:val="005C0B90"/>
    <w:rsid w:val="005C12AB"/>
    <w:rsid w:val="005C1BD8"/>
    <w:rsid w:val="005C1CB3"/>
    <w:rsid w:val="005C1EE4"/>
    <w:rsid w:val="005C226B"/>
    <w:rsid w:val="005C2590"/>
    <w:rsid w:val="005C2E81"/>
    <w:rsid w:val="005C3056"/>
    <w:rsid w:val="005C336F"/>
    <w:rsid w:val="005C395F"/>
    <w:rsid w:val="005C39E1"/>
    <w:rsid w:val="005C3BC2"/>
    <w:rsid w:val="005C41C8"/>
    <w:rsid w:val="005C4AAE"/>
    <w:rsid w:val="005C4CFF"/>
    <w:rsid w:val="005C4E77"/>
    <w:rsid w:val="005C523E"/>
    <w:rsid w:val="005C530B"/>
    <w:rsid w:val="005C58A0"/>
    <w:rsid w:val="005C59B2"/>
    <w:rsid w:val="005C5B8F"/>
    <w:rsid w:val="005C603E"/>
    <w:rsid w:val="005C6112"/>
    <w:rsid w:val="005C63AE"/>
    <w:rsid w:val="005C6415"/>
    <w:rsid w:val="005C67E5"/>
    <w:rsid w:val="005C7420"/>
    <w:rsid w:val="005C7BBE"/>
    <w:rsid w:val="005D0024"/>
    <w:rsid w:val="005D0798"/>
    <w:rsid w:val="005D0883"/>
    <w:rsid w:val="005D0958"/>
    <w:rsid w:val="005D0E1A"/>
    <w:rsid w:val="005D0F68"/>
    <w:rsid w:val="005D0F73"/>
    <w:rsid w:val="005D136E"/>
    <w:rsid w:val="005D189E"/>
    <w:rsid w:val="005D190E"/>
    <w:rsid w:val="005D1C45"/>
    <w:rsid w:val="005D1D36"/>
    <w:rsid w:val="005D227A"/>
    <w:rsid w:val="005D289E"/>
    <w:rsid w:val="005D2B95"/>
    <w:rsid w:val="005D2BA3"/>
    <w:rsid w:val="005D2DE1"/>
    <w:rsid w:val="005D2F0B"/>
    <w:rsid w:val="005D3120"/>
    <w:rsid w:val="005D3B44"/>
    <w:rsid w:val="005D41BB"/>
    <w:rsid w:val="005D42A3"/>
    <w:rsid w:val="005D48DD"/>
    <w:rsid w:val="005D4D76"/>
    <w:rsid w:val="005D5102"/>
    <w:rsid w:val="005D571A"/>
    <w:rsid w:val="005D59ED"/>
    <w:rsid w:val="005D5A49"/>
    <w:rsid w:val="005D5CAE"/>
    <w:rsid w:val="005D5E9E"/>
    <w:rsid w:val="005D6463"/>
    <w:rsid w:val="005D668E"/>
    <w:rsid w:val="005D6B7C"/>
    <w:rsid w:val="005D7330"/>
    <w:rsid w:val="005D735F"/>
    <w:rsid w:val="005D736B"/>
    <w:rsid w:val="005D757B"/>
    <w:rsid w:val="005E00C2"/>
    <w:rsid w:val="005E01B0"/>
    <w:rsid w:val="005E0252"/>
    <w:rsid w:val="005E0707"/>
    <w:rsid w:val="005E09EC"/>
    <w:rsid w:val="005E0C7A"/>
    <w:rsid w:val="005E1325"/>
    <w:rsid w:val="005E1D12"/>
    <w:rsid w:val="005E23CB"/>
    <w:rsid w:val="005E27D2"/>
    <w:rsid w:val="005E295F"/>
    <w:rsid w:val="005E2BD4"/>
    <w:rsid w:val="005E2CEE"/>
    <w:rsid w:val="005E2D3F"/>
    <w:rsid w:val="005E2EC1"/>
    <w:rsid w:val="005E2F5B"/>
    <w:rsid w:val="005E336A"/>
    <w:rsid w:val="005E38DF"/>
    <w:rsid w:val="005E3A8B"/>
    <w:rsid w:val="005E409B"/>
    <w:rsid w:val="005E44BC"/>
    <w:rsid w:val="005E476D"/>
    <w:rsid w:val="005E4BD8"/>
    <w:rsid w:val="005E4E52"/>
    <w:rsid w:val="005E55D2"/>
    <w:rsid w:val="005E5959"/>
    <w:rsid w:val="005E5FD1"/>
    <w:rsid w:val="005E604F"/>
    <w:rsid w:val="005E6315"/>
    <w:rsid w:val="005E63A2"/>
    <w:rsid w:val="005E63A7"/>
    <w:rsid w:val="005E6572"/>
    <w:rsid w:val="005E6647"/>
    <w:rsid w:val="005E6954"/>
    <w:rsid w:val="005E6ADF"/>
    <w:rsid w:val="005E6B5E"/>
    <w:rsid w:val="005E6DB2"/>
    <w:rsid w:val="005E6F87"/>
    <w:rsid w:val="005E70D8"/>
    <w:rsid w:val="005E72BB"/>
    <w:rsid w:val="005E73A3"/>
    <w:rsid w:val="005E767B"/>
    <w:rsid w:val="005E79A1"/>
    <w:rsid w:val="005F0B62"/>
    <w:rsid w:val="005F0EA6"/>
    <w:rsid w:val="005F1385"/>
    <w:rsid w:val="005F1C6F"/>
    <w:rsid w:val="005F2752"/>
    <w:rsid w:val="005F294A"/>
    <w:rsid w:val="005F2E94"/>
    <w:rsid w:val="005F3027"/>
    <w:rsid w:val="005F3147"/>
    <w:rsid w:val="005F3769"/>
    <w:rsid w:val="005F4066"/>
    <w:rsid w:val="005F4A34"/>
    <w:rsid w:val="005F4BDC"/>
    <w:rsid w:val="005F4DE7"/>
    <w:rsid w:val="005F526E"/>
    <w:rsid w:val="005F52E3"/>
    <w:rsid w:val="005F55F8"/>
    <w:rsid w:val="005F5A97"/>
    <w:rsid w:val="005F5C4D"/>
    <w:rsid w:val="005F5D81"/>
    <w:rsid w:val="005F6273"/>
    <w:rsid w:val="005F63F2"/>
    <w:rsid w:val="005F6564"/>
    <w:rsid w:val="005F65B8"/>
    <w:rsid w:val="005F6F4A"/>
    <w:rsid w:val="005F6FAA"/>
    <w:rsid w:val="005F761C"/>
    <w:rsid w:val="005F7894"/>
    <w:rsid w:val="005F7A02"/>
    <w:rsid w:val="005F7BB4"/>
    <w:rsid w:val="005F7CD1"/>
    <w:rsid w:val="005F7CFB"/>
    <w:rsid w:val="005F7D97"/>
    <w:rsid w:val="00600246"/>
    <w:rsid w:val="0060024B"/>
    <w:rsid w:val="006002CF"/>
    <w:rsid w:val="00600A0D"/>
    <w:rsid w:val="00600B58"/>
    <w:rsid w:val="00600D76"/>
    <w:rsid w:val="006018B1"/>
    <w:rsid w:val="0060195E"/>
    <w:rsid w:val="00602147"/>
    <w:rsid w:val="00602404"/>
    <w:rsid w:val="00602575"/>
    <w:rsid w:val="00602660"/>
    <w:rsid w:val="00602797"/>
    <w:rsid w:val="00602AC3"/>
    <w:rsid w:val="00602D5A"/>
    <w:rsid w:val="00602E82"/>
    <w:rsid w:val="00602EF0"/>
    <w:rsid w:val="00602F2C"/>
    <w:rsid w:val="00603501"/>
    <w:rsid w:val="0060360F"/>
    <w:rsid w:val="00603654"/>
    <w:rsid w:val="006038ED"/>
    <w:rsid w:val="00603907"/>
    <w:rsid w:val="00603E9D"/>
    <w:rsid w:val="00603F44"/>
    <w:rsid w:val="00605817"/>
    <w:rsid w:val="006066F1"/>
    <w:rsid w:val="00606B2C"/>
    <w:rsid w:val="00606D6A"/>
    <w:rsid w:val="006070E6"/>
    <w:rsid w:val="00607159"/>
    <w:rsid w:val="00607679"/>
    <w:rsid w:val="00607DFB"/>
    <w:rsid w:val="0061003F"/>
    <w:rsid w:val="006104AB"/>
    <w:rsid w:val="00610D2C"/>
    <w:rsid w:val="00610EFB"/>
    <w:rsid w:val="006111EC"/>
    <w:rsid w:val="006112F0"/>
    <w:rsid w:val="00611E5E"/>
    <w:rsid w:val="006127EC"/>
    <w:rsid w:val="00612A04"/>
    <w:rsid w:val="006137BC"/>
    <w:rsid w:val="00613991"/>
    <w:rsid w:val="00614266"/>
    <w:rsid w:val="00614861"/>
    <w:rsid w:val="0061570E"/>
    <w:rsid w:val="00615BB5"/>
    <w:rsid w:val="00615C7D"/>
    <w:rsid w:val="00615ED9"/>
    <w:rsid w:val="006163A8"/>
    <w:rsid w:val="006167CF"/>
    <w:rsid w:val="006169B6"/>
    <w:rsid w:val="00616D41"/>
    <w:rsid w:val="00616E70"/>
    <w:rsid w:val="00617267"/>
    <w:rsid w:val="00617C84"/>
    <w:rsid w:val="00617E95"/>
    <w:rsid w:val="006204F0"/>
    <w:rsid w:val="00620831"/>
    <w:rsid w:val="00620A00"/>
    <w:rsid w:val="00620A3F"/>
    <w:rsid w:val="00620E12"/>
    <w:rsid w:val="0062113B"/>
    <w:rsid w:val="00621593"/>
    <w:rsid w:val="006216B0"/>
    <w:rsid w:val="00621C50"/>
    <w:rsid w:val="00622256"/>
    <w:rsid w:val="00622405"/>
    <w:rsid w:val="00622412"/>
    <w:rsid w:val="00622581"/>
    <w:rsid w:val="006229CB"/>
    <w:rsid w:val="00622E43"/>
    <w:rsid w:val="00623281"/>
    <w:rsid w:val="00623433"/>
    <w:rsid w:val="00623578"/>
    <w:rsid w:val="0062415D"/>
    <w:rsid w:val="0062420F"/>
    <w:rsid w:val="0062453D"/>
    <w:rsid w:val="006246DB"/>
    <w:rsid w:val="00624D3E"/>
    <w:rsid w:val="00624E34"/>
    <w:rsid w:val="006257A6"/>
    <w:rsid w:val="00625BD6"/>
    <w:rsid w:val="00625BE6"/>
    <w:rsid w:val="0062654D"/>
    <w:rsid w:val="00626700"/>
    <w:rsid w:val="00626A03"/>
    <w:rsid w:val="00626F64"/>
    <w:rsid w:val="0062757F"/>
    <w:rsid w:val="00627C22"/>
    <w:rsid w:val="00627C5D"/>
    <w:rsid w:val="00627E74"/>
    <w:rsid w:val="0063000A"/>
    <w:rsid w:val="00630323"/>
    <w:rsid w:val="00630356"/>
    <w:rsid w:val="006306B0"/>
    <w:rsid w:val="006306C2"/>
    <w:rsid w:val="00630AD6"/>
    <w:rsid w:val="006314D3"/>
    <w:rsid w:val="006315A0"/>
    <w:rsid w:val="006323D9"/>
    <w:rsid w:val="0063245C"/>
    <w:rsid w:val="006324FD"/>
    <w:rsid w:val="00632650"/>
    <w:rsid w:val="006328F1"/>
    <w:rsid w:val="0063296A"/>
    <w:rsid w:val="00632AD1"/>
    <w:rsid w:val="00632B29"/>
    <w:rsid w:val="006330A4"/>
    <w:rsid w:val="00633BCA"/>
    <w:rsid w:val="00633E6E"/>
    <w:rsid w:val="00634102"/>
    <w:rsid w:val="00634DBB"/>
    <w:rsid w:val="00634DDC"/>
    <w:rsid w:val="006353DC"/>
    <w:rsid w:val="0063556E"/>
    <w:rsid w:val="006358B2"/>
    <w:rsid w:val="00635F58"/>
    <w:rsid w:val="0063602D"/>
    <w:rsid w:val="006369AD"/>
    <w:rsid w:val="00636B76"/>
    <w:rsid w:val="006371F4"/>
    <w:rsid w:val="00637342"/>
    <w:rsid w:val="006374D7"/>
    <w:rsid w:val="006375C7"/>
    <w:rsid w:val="00637C97"/>
    <w:rsid w:val="00637DD3"/>
    <w:rsid w:val="00637EDE"/>
    <w:rsid w:val="006402D7"/>
    <w:rsid w:val="006407F4"/>
    <w:rsid w:val="00640903"/>
    <w:rsid w:val="00640EE9"/>
    <w:rsid w:val="006413B5"/>
    <w:rsid w:val="00641CED"/>
    <w:rsid w:val="00641DA2"/>
    <w:rsid w:val="00641E05"/>
    <w:rsid w:val="006420E5"/>
    <w:rsid w:val="006425EA"/>
    <w:rsid w:val="0064264B"/>
    <w:rsid w:val="00642717"/>
    <w:rsid w:val="006428A4"/>
    <w:rsid w:val="006434A3"/>
    <w:rsid w:val="00643681"/>
    <w:rsid w:val="006438A6"/>
    <w:rsid w:val="006446E4"/>
    <w:rsid w:val="00644A46"/>
    <w:rsid w:val="006457D9"/>
    <w:rsid w:val="00645DA8"/>
    <w:rsid w:val="0064610B"/>
    <w:rsid w:val="00646192"/>
    <w:rsid w:val="0064670E"/>
    <w:rsid w:val="006468B8"/>
    <w:rsid w:val="00646938"/>
    <w:rsid w:val="00646F36"/>
    <w:rsid w:val="0064710E"/>
    <w:rsid w:val="00647786"/>
    <w:rsid w:val="00647AF7"/>
    <w:rsid w:val="00650673"/>
    <w:rsid w:val="00650769"/>
    <w:rsid w:val="0065077E"/>
    <w:rsid w:val="006507B0"/>
    <w:rsid w:val="006507B5"/>
    <w:rsid w:val="00650D55"/>
    <w:rsid w:val="00650EDC"/>
    <w:rsid w:val="006510A3"/>
    <w:rsid w:val="006513AC"/>
    <w:rsid w:val="00651570"/>
    <w:rsid w:val="006515A2"/>
    <w:rsid w:val="00651EE1"/>
    <w:rsid w:val="00651F3A"/>
    <w:rsid w:val="006523E6"/>
    <w:rsid w:val="00652415"/>
    <w:rsid w:val="006526BC"/>
    <w:rsid w:val="0065287C"/>
    <w:rsid w:val="00652DF9"/>
    <w:rsid w:val="00652E1C"/>
    <w:rsid w:val="00652FA2"/>
    <w:rsid w:val="00653273"/>
    <w:rsid w:val="0065327F"/>
    <w:rsid w:val="006535E7"/>
    <w:rsid w:val="006536D3"/>
    <w:rsid w:val="006546BD"/>
    <w:rsid w:val="00654ACE"/>
    <w:rsid w:val="006550FF"/>
    <w:rsid w:val="00655300"/>
    <w:rsid w:val="0065568E"/>
    <w:rsid w:val="00656CFF"/>
    <w:rsid w:val="00656DE1"/>
    <w:rsid w:val="00657158"/>
    <w:rsid w:val="00657BFB"/>
    <w:rsid w:val="00657E8D"/>
    <w:rsid w:val="00657F51"/>
    <w:rsid w:val="006604C2"/>
    <w:rsid w:val="00660835"/>
    <w:rsid w:val="00660DC5"/>
    <w:rsid w:val="0066175D"/>
    <w:rsid w:val="00661BBB"/>
    <w:rsid w:val="00661D7A"/>
    <w:rsid w:val="00661DBD"/>
    <w:rsid w:val="0066225D"/>
    <w:rsid w:val="00662689"/>
    <w:rsid w:val="00662BA1"/>
    <w:rsid w:val="00662D45"/>
    <w:rsid w:val="00662E4B"/>
    <w:rsid w:val="00663250"/>
    <w:rsid w:val="006638C2"/>
    <w:rsid w:val="006638D8"/>
    <w:rsid w:val="00663912"/>
    <w:rsid w:val="00663960"/>
    <w:rsid w:val="00663A2B"/>
    <w:rsid w:val="00663B85"/>
    <w:rsid w:val="00663BB8"/>
    <w:rsid w:val="006654CD"/>
    <w:rsid w:val="00665A59"/>
    <w:rsid w:val="00665FFB"/>
    <w:rsid w:val="00666023"/>
    <w:rsid w:val="0066652D"/>
    <w:rsid w:val="00666902"/>
    <w:rsid w:val="0066697F"/>
    <w:rsid w:val="006673E1"/>
    <w:rsid w:val="006674B3"/>
    <w:rsid w:val="00667791"/>
    <w:rsid w:val="0066788B"/>
    <w:rsid w:val="00667C7F"/>
    <w:rsid w:val="00667DE5"/>
    <w:rsid w:val="00670097"/>
    <w:rsid w:val="006700F2"/>
    <w:rsid w:val="00670407"/>
    <w:rsid w:val="006704BB"/>
    <w:rsid w:val="00670AE9"/>
    <w:rsid w:val="006710FA"/>
    <w:rsid w:val="00671101"/>
    <w:rsid w:val="00671485"/>
    <w:rsid w:val="00671539"/>
    <w:rsid w:val="00671825"/>
    <w:rsid w:val="00671C9C"/>
    <w:rsid w:val="00671EA8"/>
    <w:rsid w:val="00671ED4"/>
    <w:rsid w:val="00671F68"/>
    <w:rsid w:val="006721FF"/>
    <w:rsid w:val="00672275"/>
    <w:rsid w:val="006724B3"/>
    <w:rsid w:val="00672552"/>
    <w:rsid w:val="00672619"/>
    <w:rsid w:val="0067292E"/>
    <w:rsid w:val="00673793"/>
    <w:rsid w:val="00673993"/>
    <w:rsid w:val="00674406"/>
    <w:rsid w:val="00674877"/>
    <w:rsid w:val="006748BC"/>
    <w:rsid w:val="00674BD3"/>
    <w:rsid w:val="00675939"/>
    <w:rsid w:val="006760DF"/>
    <w:rsid w:val="006763A2"/>
    <w:rsid w:val="006764D9"/>
    <w:rsid w:val="0067686B"/>
    <w:rsid w:val="00676BB6"/>
    <w:rsid w:val="00676D94"/>
    <w:rsid w:val="006773BF"/>
    <w:rsid w:val="006773F9"/>
    <w:rsid w:val="00677A8E"/>
    <w:rsid w:val="00677CBC"/>
    <w:rsid w:val="00677E5E"/>
    <w:rsid w:val="006800A9"/>
    <w:rsid w:val="00680195"/>
    <w:rsid w:val="006801F5"/>
    <w:rsid w:val="006809CB"/>
    <w:rsid w:val="00680D1A"/>
    <w:rsid w:val="00680D79"/>
    <w:rsid w:val="006821D9"/>
    <w:rsid w:val="00682CA5"/>
    <w:rsid w:val="006837B9"/>
    <w:rsid w:val="00683A01"/>
    <w:rsid w:val="00683B09"/>
    <w:rsid w:val="00683CEA"/>
    <w:rsid w:val="00683FAD"/>
    <w:rsid w:val="00684486"/>
    <w:rsid w:val="0068474A"/>
    <w:rsid w:val="00684873"/>
    <w:rsid w:val="006848B2"/>
    <w:rsid w:val="00684BCD"/>
    <w:rsid w:val="00684EB7"/>
    <w:rsid w:val="00685535"/>
    <w:rsid w:val="00685633"/>
    <w:rsid w:val="006858C3"/>
    <w:rsid w:val="00686125"/>
    <w:rsid w:val="00686575"/>
    <w:rsid w:val="00686CE8"/>
    <w:rsid w:val="00686FE8"/>
    <w:rsid w:val="006871E4"/>
    <w:rsid w:val="00687F54"/>
    <w:rsid w:val="0069044A"/>
    <w:rsid w:val="0069069C"/>
    <w:rsid w:val="006907A5"/>
    <w:rsid w:val="00690928"/>
    <w:rsid w:val="00691006"/>
    <w:rsid w:val="00691283"/>
    <w:rsid w:val="00691D4B"/>
    <w:rsid w:val="00692286"/>
    <w:rsid w:val="006924F5"/>
    <w:rsid w:val="0069257C"/>
    <w:rsid w:val="00692A21"/>
    <w:rsid w:val="00692D05"/>
    <w:rsid w:val="00692D60"/>
    <w:rsid w:val="0069306F"/>
    <w:rsid w:val="00693089"/>
    <w:rsid w:val="00693672"/>
    <w:rsid w:val="0069402F"/>
    <w:rsid w:val="0069457E"/>
    <w:rsid w:val="00694B50"/>
    <w:rsid w:val="00694B9E"/>
    <w:rsid w:val="00695106"/>
    <w:rsid w:val="006957BB"/>
    <w:rsid w:val="00695A30"/>
    <w:rsid w:val="00695BB4"/>
    <w:rsid w:val="00695FF8"/>
    <w:rsid w:val="006960C5"/>
    <w:rsid w:val="006961A7"/>
    <w:rsid w:val="0069645E"/>
    <w:rsid w:val="0069666A"/>
    <w:rsid w:val="00696BE7"/>
    <w:rsid w:val="0069740F"/>
    <w:rsid w:val="00697736"/>
    <w:rsid w:val="006A08DD"/>
    <w:rsid w:val="006A0C5E"/>
    <w:rsid w:val="006A0D3B"/>
    <w:rsid w:val="006A1792"/>
    <w:rsid w:val="006A1ACB"/>
    <w:rsid w:val="006A1C93"/>
    <w:rsid w:val="006A1DF6"/>
    <w:rsid w:val="006A26DC"/>
    <w:rsid w:val="006A2D4F"/>
    <w:rsid w:val="006A3B23"/>
    <w:rsid w:val="006A43CA"/>
    <w:rsid w:val="006A48C1"/>
    <w:rsid w:val="006A4A1A"/>
    <w:rsid w:val="006A4C7D"/>
    <w:rsid w:val="006A52CE"/>
    <w:rsid w:val="006A5DD0"/>
    <w:rsid w:val="006A60EC"/>
    <w:rsid w:val="006A6191"/>
    <w:rsid w:val="006A631C"/>
    <w:rsid w:val="006A63AE"/>
    <w:rsid w:val="006A6816"/>
    <w:rsid w:val="006A6C18"/>
    <w:rsid w:val="006A6E3C"/>
    <w:rsid w:val="006A70FA"/>
    <w:rsid w:val="006A7796"/>
    <w:rsid w:val="006A7C9B"/>
    <w:rsid w:val="006B0031"/>
    <w:rsid w:val="006B062E"/>
    <w:rsid w:val="006B080C"/>
    <w:rsid w:val="006B0B74"/>
    <w:rsid w:val="006B179F"/>
    <w:rsid w:val="006B1845"/>
    <w:rsid w:val="006B1AD7"/>
    <w:rsid w:val="006B1B8B"/>
    <w:rsid w:val="006B1D18"/>
    <w:rsid w:val="006B2175"/>
    <w:rsid w:val="006B219B"/>
    <w:rsid w:val="006B239B"/>
    <w:rsid w:val="006B29CA"/>
    <w:rsid w:val="006B2CC5"/>
    <w:rsid w:val="006B2FC9"/>
    <w:rsid w:val="006B32C9"/>
    <w:rsid w:val="006B340F"/>
    <w:rsid w:val="006B3C24"/>
    <w:rsid w:val="006B3DF6"/>
    <w:rsid w:val="006B429E"/>
    <w:rsid w:val="006B42AA"/>
    <w:rsid w:val="006B4B34"/>
    <w:rsid w:val="006B4C80"/>
    <w:rsid w:val="006B5046"/>
    <w:rsid w:val="006B5526"/>
    <w:rsid w:val="006B553E"/>
    <w:rsid w:val="006B5833"/>
    <w:rsid w:val="006B5AA4"/>
    <w:rsid w:val="006B5DC2"/>
    <w:rsid w:val="006B5DC3"/>
    <w:rsid w:val="006B63B1"/>
    <w:rsid w:val="006B6B74"/>
    <w:rsid w:val="006B7803"/>
    <w:rsid w:val="006C0356"/>
    <w:rsid w:val="006C048C"/>
    <w:rsid w:val="006C05B3"/>
    <w:rsid w:val="006C075C"/>
    <w:rsid w:val="006C099C"/>
    <w:rsid w:val="006C0AF2"/>
    <w:rsid w:val="006C0D9C"/>
    <w:rsid w:val="006C0DC7"/>
    <w:rsid w:val="006C0DD1"/>
    <w:rsid w:val="006C0E1E"/>
    <w:rsid w:val="006C170F"/>
    <w:rsid w:val="006C1847"/>
    <w:rsid w:val="006C1898"/>
    <w:rsid w:val="006C1BED"/>
    <w:rsid w:val="006C256B"/>
    <w:rsid w:val="006C2829"/>
    <w:rsid w:val="006C2BEB"/>
    <w:rsid w:val="006C2C58"/>
    <w:rsid w:val="006C2EF7"/>
    <w:rsid w:val="006C30E5"/>
    <w:rsid w:val="006C3851"/>
    <w:rsid w:val="006C3CF4"/>
    <w:rsid w:val="006C3FAB"/>
    <w:rsid w:val="006C4062"/>
    <w:rsid w:val="006C426B"/>
    <w:rsid w:val="006C43F4"/>
    <w:rsid w:val="006C4522"/>
    <w:rsid w:val="006C4D46"/>
    <w:rsid w:val="006C4E1D"/>
    <w:rsid w:val="006C4F80"/>
    <w:rsid w:val="006C4F88"/>
    <w:rsid w:val="006C5328"/>
    <w:rsid w:val="006C5835"/>
    <w:rsid w:val="006C5B3F"/>
    <w:rsid w:val="006C5DC3"/>
    <w:rsid w:val="006C61B7"/>
    <w:rsid w:val="006C6544"/>
    <w:rsid w:val="006C675A"/>
    <w:rsid w:val="006C6A45"/>
    <w:rsid w:val="006C6FFE"/>
    <w:rsid w:val="006C75E2"/>
    <w:rsid w:val="006C77B3"/>
    <w:rsid w:val="006D054D"/>
    <w:rsid w:val="006D0750"/>
    <w:rsid w:val="006D08CB"/>
    <w:rsid w:val="006D098E"/>
    <w:rsid w:val="006D0A47"/>
    <w:rsid w:val="006D0AB1"/>
    <w:rsid w:val="006D0C24"/>
    <w:rsid w:val="006D0FC8"/>
    <w:rsid w:val="006D125E"/>
    <w:rsid w:val="006D161D"/>
    <w:rsid w:val="006D17AD"/>
    <w:rsid w:val="006D197F"/>
    <w:rsid w:val="006D1B54"/>
    <w:rsid w:val="006D2339"/>
    <w:rsid w:val="006D2415"/>
    <w:rsid w:val="006D252A"/>
    <w:rsid w:val="006D2707"/>
    <w:rsid w:val="006D27FC"/>
    <w:rsid w:val="006D2F62"/>
    <w:rsid w:val="006D2F65"/>
    <w:rsid w:val="006D3021"/>
    <w:rsid w:val="006D32C7"/>
    <w:rsid w:val="006D32D9"/>
    <w:rsid w:val="006D3301"/>
    <w:rsid w:val="006D37D5"/>
    <w:rsid w:val="006D3800"/>
    <w:rsid w:val="006D3F27"/>
    <w:rsid w:val="006D3FFD"/>
    <w:rsid w:val="006D41DE"/>
    <w:rsid w:val="006D4A2D"/>
    <w:rsid w:val="006D4D04"/>
    <w:rsid w:val="006D53D3"/>
    <w:rsid w:val="006D565B"/>
    <w:rsid w:val="006D5AF1"/>
    <w:rsid w:val="006D5C84"/>
    <w:rsid w:val="006D5FAB"/>
    <w:rsid w:val="006D6641"/>
    <w:rsid w:val="006D667C"/>
    <w:rsid w:val="006D66FE"/>
    <w:rsid w:val="006D6F86"/>
    <w:rsid w:val="006D746B"/>
    <w:rsid w:val="006D749B"/>
    <w:rsid w:val="006D767F"/>
    <w:rsid w:val="006D790B"/>
    <w:rsid w:val="006D795B"/>
    <w:rsid w:val="006D7C10"/>
    <w:rsid w:val="006E00DE"/>
    <w:rsid w:val="006E01B4"/>
    <w:rsid w:val="006E0AD6"/>
    <w:rsid w:val="006E0F46"/>
    <w:rsid w:val="006E1624"/>
    <w:rsid w:val="006E1EE4"/>
    <w:rsid w:val="006E2871"/>
    <w:rsid w:val="006E2EBD"/>
    <w:rsid w:val="006E3548"/>
    <w:rsid w:val="006E398E"/>
    <w:rsid w:val="006E3A89"/>
    <w:rsid w:val="006E4044"/>
    <w:rsid w:val="006E41F5"/>
    <w:rsid w:val="006E452C"/>
    <w:rsid w:val="006E45DC"/>
    <w:rsid w:val="006E4FCD"/>
    <w:rsid w:val="006E51C9"/>
    <w:rsid w:val="006E54F6"/>
    <w:rsid w:val="006E57BF"/>
    <w:rsid w:val="006E6794"/>
    <w:rsid w:val="006E6B63"/>
    <w:rsid w:val="006E6D65"/>
    <w:rsid w:val="006E6DA6"/>
    <w:rsid w:val="006E6DA9"/>
    <w:rsid w:val="006E6F14"/>
    <w:rsid w:val="006E7118"/>
    <w:rsid w:val="006E7B30"/>
    <w:rsid w:val="006F051C"/>
    <w:rsid w:val="006F05B3"/>
    <w:rsid w:val="006F0605"/>
    <w:rsid w:val="006F078A"/>
    <w:rsid w:val="006F0861"/>
    <w:rsid w:val="006F16B5"/>
    <w:rsid w:val="006F1810"/>
    <w:rsid w:val="006F1993"/>
    <w:rsid w:val="006F19E7"/>
    <w:rsid w:val="006F1AD9"/>
    <w:rsid w:val="006F1CD0"/>
    <w:rsid w:val="006F1CE4"/>
    <w:rsid w:val="006F205D"/>
    <w:rsid w:val="006F2068"/>
    <w:rsid w:val="006F2441"/>
    <w:rsid w:val="006F2739"/>
    <w:rsid w:val="006F2757"/>
    <w:rsid w:val="006F2839"/>
    <w:rsid w:val="006F3233"/>
    <w:rsid w:val="006F33A1"/>
    <w:rsid w:val="006F33B9"/>
    <w:rsid w:val="006F3972"/>
    <w:rsid w:val="006F3B36"/>
    <w:rsid w:val="006F4671"/>
    <w:rsid w:val="006F4FDC"/>
    <w:rsid w:val="006F53A6"/>
    <w:rsid w:val="006F5DCF"/>
    <w:rsid w:val="006F6FD6"/>
    <w:rsid w:val="006F7609"/>
    <w:rsid w:val="006F760D"/>
    <w:rsid w:val="006F7636"/>
    <w:rsid w:val="006F7BB1"/>
    <w:rsid w:val="007005D7"/>
    <w:rsid w:val="007007CC"/>
    <w:rsid w:val="0070096E"/>
    <w:rsid w:val="00700A25"/>
    <w:rsid w:val="00700B88"/>
    <w:rsid w:val="00700BB7"/>
    <w:rsid w:val="00700E89"/>
    <w:rsid w:val="007015D8"/>
    <w:rsid w:val="00701641"/>
    <w:rsid w:val="00701ED9"/>
    <w:rsid w:val="0070235C"/>
    <w:rsid w:val="007023F6"/>
    <w:rsid w:val="007028A0"/>
    <w:rsid w:val="00702D87"/>
    <w:rsid w:val="00702DF8"/>
    <w:rsid w:val="00703377"/>
    <w:rsid w:val="0070337F"/>
    <w:rsid w:val="007034F3"/>
    <w:rsid w:val="007036F2"/>
    <w:rsid w:val="00704460"/>
    <w:rsid w:val="00704B80"/>
    <w:rsid w:val="00704CBE"/>
    <w:rsid w:val="00704DBF"/>
    <w:rsid w:val="00705029"/>
    <w:rsid w:val="007050B1"/>
    <w:rsid w:val="007050E9"/>
    <w:rsid w:val="007058FD"/>
    <w:rsid w:val="00705A85"/>
    <w:rsid w:val="00705BC8"/>
    <w:rsid w:val="00705FE3"/>
    <w:rsid w:val="00706566"/>
    <w:rsid w:val="007066D6"/>
    <w:rsid w:val="007067E9"/>
    <w:rsid w:val="0070699E"/>
    <w:rsid w:val="007070B8"/>
    <w:rsid w:val="007078AC"/>
    <w:rsid w:val="007100D1"/>
    <w:rsid w:val="00710BB2"/>
    <w:rsid w:val="007113DF"/>
    <w:rsid w:val="00711900"/>
    <w:rsid w:val="0071199F"/>
    <w:rsid w:val="00711ADA"/>
    <w:rsid w:val="00711B17"/>
    <w:rsid w:val="00711EC1"/>
    <w:rsid w:val="0071238C"/>
    <w:rsid w:val="007125E2"/>
    <w:rsid w:val="00712999"/>
    <w:rsid w:val="00712B7B"/>
    <w:rsid w:val="00712CB2"/>
    <w:rsid w:val="00712E1F"/>
    <w:rsid w:val="00713412"/>
    <w:rsid w:val="00713994"/>
    <w:rsid w:val="00713D20"/>
    <w:rsid w:val="007142F0"/>
    <w:rsid w:val="0071461B"/>
    <w:rsid w:val="0071489C"/>
    <w:rsid w:val="00714A2E"/>
    <w:rsid w:val="00714B6C"/>
    <w:rsid w:val="00714DE7"/>
    <w:rsid w:val="00715042"/>
    <w:rsid w:val="00715906"/>
    <w:rsid w:val="00715A60"/>
    <w:rsid w:val="007161F0"/>
    <w:rsid w:val="00716CA4"/>
    <w:rsid w:val="00717E2E"/>
    <w:rsid w:val="00720AD5"/>
    <w:rsid w:val="00720F1F"/>
    <w:rsid w:val="007218C6"/>
    <w:rsid w:val="00721C60"/>
    <w:rsid w:val="00721CF7"/>
    <w:rsid w:val="00721E84"/>
    <w:rsid w:val="00722005"/>
    <w:rsid w:val="0072252D"/>
    <w:rsid w:val="00722F5B"/>
    <w:rsid w:val="0072350E"/>
    <w:rsid w:val="0072359A"/>
    <w:rsid w:val="0072371A"/>
    <w:rsid w:val="00725174"/>
    <w:rsid w:val="00725755"/>
    <w:rsid w:val="00725E24"/>
    <w:rsid w:val="00725E61"/>
    <w:rsid w:val="0072600F"/>
    <w:rsid w:val="0072622E"/>
    <w:rsid w:val="00726BDE"/>
    <w:rsid w:val="00726D7F"/>
    <w:rsid w:val="00726EAB"/>
    <w:rsid w:val="00726FDA"/>
    <w:rsid w:val="007270C9"/>
    <w:rsid w:val="007270E9"/>
    <w:rsid w:val="007276F7"/>
    <w:rsid w:val="0072781D"/>
    <w:rsid w:val="00727C05"/>
    <w:rsid w:val="00727CDA"/>
    <w:rsid w:val="00727D73"/>
    <w:rsid w:val="00730756"/>
    <w:rsid w:val="00730944"/>
    <w:rsid w:val="00730E77"/>
    <w:rsid w:val="007310BD"/>
    <w:rsid w:val="007313A9"/>
    <w:rsid w:val="00731857"/>
    <w:rsid w:val="00731D6D"/>
    <w:rsid w:val="00731EC6"/>
    <w:rsid w:val="00731EF2"/>
    <w:rsid w:val="0073226B"/>
    <w:rsid w:val="0073229C"/>
    <w:rsid w:val="00732540"/>
    <w:rsid w:val="00732660"/>
    <w:rsid w:val="0073283D"/>
    <w:rsid w:val="00732B66"/>
    <w:rsid w:val="00732F35"/>
    <w:rsid w:val="007331B2"/>
    <w:rsid w:val="00733291"/>
    <w:rsid w:val="007334CB"/>
    <w:rsid w:val="00733568"/>
    <w:rsid w:val="00733B66"/>
    <w:rsid w:val="00734273"/>
    <w:rsid w:val="00734295"/>
    <w:rsid w:val="00734FC1"/>
    <w:rsid w:val="007357A1"/>
    <w:rsid w:val="00735B3D"/>
    <w:rsid w:val="007361CA"/>
    <w:rsid w:val="0073622B"/>
    <w:rsid w:val="007366C3"/>
    <w:rsid w:val="007369C1"/>
    <w:rsid w:val="00736CA3"/>
    <w:rsid w:val="00737156"/>
    <w:rsid w:val="0073718E"/>
    <w:rsid w:val="0073729A"/>
    <w:rsid w:val="0073753E"/>
    <w:rsid w:val="0073756A"/>
    <w:rsid w:val="00737856"/>
    <w:rsid w:val="00737FE6"/>
    <w:rsid w:val="00740A95"/>
    <w:rsid w:val="00740C74"/>
    <w:rsid w:val="00740ED0"/>
    <w:rsid w:val="00740FCD"/>
    <w:rsid w:val="00741FBA"/>
    <w:rsid w:val="00741FD0"/>
    <w:rsid w:val="00742081"/>
    <w:rsid w:val="0074224E"/>
    <w:rsid w:val="007427ED"/>
    <w:rsid w:val="00742A04"/>
    <w:rsid w:val="00742B9A"/>
    <w:rsid w:val="00742F00"/>
    <w:rsid w:val="0074362C"/>
    <w:rsid w:val="00743672"/>
    <w:rsid w:val="007437F8"/>
    <w:rsid w:val="007439A6"/>
    <w:rsid w:val="00743A5C"/>
    <w:rsid w:val="00743D6C"/>
    <w:rsid w:val="00743D78"/>
    <w:rsid w:val="00744000"/>
    <w:rsid w:val="00744428"/>
    <w:rsid w:val="0074458F"/>
    <w:rsid w:val="0074473A"/>
    <w:rsid w:val="00744846"/>
    <w:rsid w:val="00744857"/>
    <w:rsid w:val="0074489A"/>
    <w:rsid w:val="00744C4F"/>
    <w:rsid w:val="007454DA"/>
    <w:rsid w:val="00745F89"/>
    <w:rsid w:val="0074625A"/>
    <w:rsid w:val="00746423"/>
    <w:rsid w:val="00746907"/>
    <w:rsid w:val="00746CFE"/>
    <w:rsid w:val="007472EA"/>
    <w:rsid w:val="00747AAD"/>
    <w:rsid w:val="00747BCA"/>
    <w:rsid w:val="00747D8C"/>
    <w:rsid w:val="00747EDB"/>
    <w:rsid w:val="0075043A"/>
    <w:rsid w:val="007506EE"/>
    <w:rsid w:val="0075075C"/>
    <w:rsid w:val="007507FC"/>
    <w:rsid w:val="00750932"/>
    <w:rsid w:val="00750F18"/>
    <w:rsid w:val="00751074"/>
    <w:rsid w:val="007519FF"/>
    <w:rsid w:val="00751C25"/>
    <w:rsid w:val="00752151"/>
    <w:rsid w:val="00752334"/>
    <w:rsid w:val="007526A0"/>
    <w:rsid w:val="00752890"/>
    <w:rsid w:val="00752B68"/>
    <w:rsid w:val="00752EC1"/>
    <w:rsid w:val="00753140"/>
    <w:rsid w:val="0075362C"/>
    <w:rsid w:val="007536FF"/>
    <w:rsid w:val="0075375A"/>
    <w:rsid w:val="0075397B"/>
    <w:rsid w:val="007539CD"/>
    <w:rsid w:val="00753AA3"/>
    <w:rsid w:val="00753C2A"/>
    <w:rsid w:val="00754615"/>
    <w:rsid w:val="00754676"/>
    <w:rsid w:val="00754B6F"/>
    <w:rsid w:val="00754FC7"/>
    <w:rsid w:val="00755745"/>
    <w:rsid w:val="00755F9B"/>
    <w:rsid w:val="007560FB"/>
    <w:rsid w:val="007561A6"/>
    <w:rsid w:val="007568EB"/>
    <w:rsid w:val="00757243"/>
    <w:rsid w:val="00757331"/>
    <w:rsid w:val="00757AB7"/>
    <w:rsid w:val="00760769"/>
    <w:rsid w:val="007609F9"/>
    <w:rsid w:val="00760F72"/>
    <w:rsid w:val="007612A9"/>
    <w:rsid w:val="007613DD"/>
    <w:rsid w:val="007614D2"/>
    <w:rsid w:val="007617DD"/>
    <w:rsid w:val="00761CFE"/>
    <w:rsid w:val="00762124"/>
    <w:rsid w:val="00762292"/>
    <w:rsid w:val="007623B3"/>
    <w:rsid w:val="007625EA"/>
    <w:rsid w:val="0076282C"/>
    <w:rsid w:val="00762947"/>
    <w:rsid w:val="00763800"/>
    <w:rsid w:val="0076383A"/>
    <w:rsid w:val="00763DC3"/>
    <w:rsid w:val="0076400F"/>
    <w:rsid w:val="00764293"/>
    <w:rsid w:val="007642FC"/>
    <w:rsid w:val="00764402"/>
    <w:rsid w:val="0076486D"/>
    <w:rsid w:val="00764D1A"/>
    <w:rsid w:val="0076533C"/>
    <w:rsid w:val="007659BA"/>
    <w:rsid w:val="007662F0"/>
    <w:rsid w:val="007663A9"/>
    <w:rsid w:val="007665C9"/>
    <w:rsid w:val="00766CF0"/>
    <w:rsid w:val="00766FAA"/>
    <w:rsid w:val="007676F7"/>
    <w:rsid w:val="00767751"/>
    <w:rsid w:val="00767A17"/>
    <w:rsid w:val="00767D73"/>
    <w:rsid w:val="00767D87"/>
    <w:rsid w:val="00770016"/>
    <w:rsid w:val="007700B6"/>
    <w:rsid w:val="00770982"/>
    <w:rsid w:val="00770C9D"/>
    <w:rsid w:val="00770EA9"/>
    <w:rsid w:val="0077180D"/>
    <w:rsid w:val="007718DC"/>
    <w:rsid w:val="0077194D"/>
    <w:rsid w:val="00772303"/>
    <w:rsid w:val="0077242B"/>
    <w:rsid w:val="00772AE5"/>
    <w:rsid w:val="00772B46"/>
    <w:rsid w:val="00773A5B"/>
    <w:rsid w:val="00773F76"/>
    <w:rsid w:val="0077409B"/>
    <w:rsid w:val="007742D6"/>
    <w:rsid w:val="00774436"/>
    <w:rsid w:val="00774BEA"/>
    <w:rsid w:val="0077537D"/>
    <w:rsid w:val="007754DE"/>
    <w:rsid w:val="00775798"/>
    <w:rsid w:val="00776048"/>
    <w:rsid w:val="007762C4"/>
    <w:rsid w:val="0077660C"/>
    <w:rsid w:val="00776E43"/>
    <w:rsid w:val="0077712C"/>
    <w:rsid w:val="00777BF9"/>
    <w:rsid w:val="007800B5"/>
    <w:rsid w:val="00780197"/>
    <w:rsid w:val="00780262"/>
    <w:rsid w:val="0078075E"/>
    <w:rsid w:val="00780A51"/>
    <w:rsid w:val="007810AC"/>
    <w:rsid w:val="00781138"/>
    <w:rsid w:val="00781366"/>
    <w:rsid w:val="00781C56"/>
    <w:rsid w:val="0078220D"/>
    <w:rsid w:val="0078297A"/>
    <w:rsid w:val="0078298F"/>
    <w:rsid w:val="00782B62"/>
    <w:rsid w:val="00782C52"/>
    <w:rsid w:val="00782D4D"/>
    <w:rsid w:val="00782DE5"/>
    <w:rsid w:val="007832DF"/>
    <w:rsid w:val="007835CA"/>
    <w:rsid w:val="00783D22"/>
    <w:rsid w:val="0078516C"/>
    <w:rsid w:val="0078522C"/>
    <w:rsid w:val="007856B1"/>
    <w:rsid w:val="007856B4"/>
    <w:rsid w:val="007859A7"/>
    <w:rsid w:val="00785ADD"/>
    <w:rsid w:val="0078671E"/>
    <w:rsid w:val="007877DD"/>
    <w:rsid w:val="007902EB"/>
    <w:rsid w:val="00790859"/>
    <w:rsid w:val="00790A2B"/>
    <w:rsid w:val="00790C5C"/>
    <w:rsid w:val="00790CD1"/>
    <w:rsid w:val="007912E2"/>
    <w:rsid w:val="00791336"/>
    <w:rsid w:val="00791695"/>
    <w:rsid w:val="00791989"/>
    <w:rsid w:val="00792449"/>
    <w:rsid w:val="0079265B"/>
    <w:rsid w:val="00792668"/>
    <w:rsid w:val="00793299"/>
    <w:rsid w:val="00793777"/>
    <w:rsid w:val="0079379F"/>
    <w:rsid w:val="007937D1"/>
    <w:rsid w:val="0079435A"/>
    <w:rsid w:val="00794F4B"/>
    <w:rsid w:val="007954D1"/>
    <w:rsid w:val="007956C1"/>
    <w:rsid w:val="00795E57"/>
    <w:rsid w:val="007963B6"/>
    <w:rsid w:val="00796621"/>
    <w:rsid w:val="007968DB"/>
    <w:rsid w:val="00796A75"/>
    <w:rsid w:val="00796FEC"/>
    <w:rsid w:val="007970B5"/>
    <w:rsid w:val="00797674"/>
    <w:rsid w:val="007976A1"/>
    <w:rsid w:val="0079784F"/>
    <w:rsid w:val="007978F0"/>
    <w:rsid w:val="007A04CB"/>
    <w:rsid w:val="007A08D9"/>
    <w:rsid w:val="007A092B"/>
    <w:rsid w:val="007A14EB"/>
    <w:rsid w:val="007A1865"/>
    <w:rsid w:val="007A193F"/>
    <w:rsid w:val="007A1CE5"/>
    <w:rsid w:val="007A2180"/>
    <w:rsid w:val="007A25E6"/>
    <w:rsid w:val="007A2807"/>
    <w:rsid w:val="007A294B"/>
    <w:rsid w:val="007A362B"/>
    <w:rsid w:val="007A3818"/>
    <w:rsid w:val="007A38B4"/>
    <w:rsid w:val="007A3D35"/>
    <w:rsid w:val="007A3EA8"/>
    <w:rsid w:val="007A3F80"/>
    <w:rsid w:val="007A4004"/>
    <w:rsid w:val="007A4520"/>
    <w:rsid w:val="007A49FA"/>
    <w:rsid w:val="007A5611"/>
    <w:rsid w:val="007A56DE"/>
    <w:rsid w:val="007A570E"/>
    <w:rsid w:val="007A586D"/>
    <w:rsid w:val="007A59D7"/>
    <w:rsid w:val="007A5BB3"/>
    <w:rsid w:val="007A5EF1"/>
    <w:rsid w:val="007A5F86"/>
    <w:rsid w:val="007A60D2"/>
    <w:rsid w:val="007A63DC"/>
    <w:rsid w:val="007A65DD"/>
    <w:rsid w:val="007A6622"/>
    <w:rsid w:val="007A676A"/>
    <w:rsid w:val="007A69A2"/>
    <w:rsid w:val="007A6F66"/>
    <w:rsid w:val="007A70FF"/>
    <w:rsid w:val="007A7813"/>
    <w:rsid w:val="007A7A08"/>
    <w:rsid w:val="007B07C6"/>
    <w:rsid w:val="007B08AA"/>
    <w:rsid w:val="007B0956"/>
    <w:rsid w:val="007B0DA7"/>
    <w:rsid w:val="007B0DC3"/>
    <w:rsid w:val="007B11FC"/>
    <w:rsid w:val="007B12E6"/>
    <w:rsid w:val="007B1312"/>
    <w:rsid w:val="007B1CDA"/>
    <w:rsid w:val="007B244A"/>
    <w:rsid w:val="007B30C2"/>
    <w:rsid w:val="007B3509"/>
    <w:rsid w:val="007B41E6"/>
    <w:rsid w:val="007B445C"/>
    <w:rsid w:val="007B46AA"/>
    <w:rsid w:val="007B47D5"/>
    <w:rsid w:val="007B4D9C"/>
    <w:rsid w:val="007B4E75"/>
    <w:rsid w:val="007B5427"/>
    <w:rsid w:val="007B554C"/>
    <w:rsid w:val="007B5586"/>
    <w:rsid w:val="007B56CE"/>
    <w:rsid w:val="007B5748"/>
    <w:rsid w:val="007B5793"/>
    <w:rsid w:val="007B5BAC"/>
    <w:rsid w:val="007B5BF2"/>
    <w:rsid w:val="007B6322"/>
    <w:rsid w:val="007B643C"/>
    <w:rsid w:val="007B697D"/>
    <w:rsid w:val="007B6BAB"/>
    <w:rsid w:val="007B6C42"/>
    <w:rsid w:val="007B6E5E"/>
    <w:rsid w:val="007B70DE"/>
    <w:rsid w:val="007B7227"/>
    <w:rsid w:val="007B72A5"/>
    <w:rsid w:val="007B732F"/>
    <w:rsid w:val="007B7981"/>
    <w:rsid w:val="007B7A44"/>
    <w:rsid w:val="007B7DD0"/>
    <w:rsid w:val="007B7E01"/>
    <w:rsid w:val="007B7EF7"/>
    <w:rsid w:val="007C013E"/>
    <w:rsid w:val="007C01EF"/>
    <w:rsid w:val="007C052E"/>
    <w:rsid w:val="007C1097"/>
    <w:rsid w:val="007C1681"/>
    <w:rsid w:val="007C1697"/>
    <w:rsid w:val="007C1878"/>
    <w:rsid w:val="007C223A"/>
    <w:rsid w:val="007C225F"/>
    <w:rsid w:val="007C25C6"/>
    <w:rsid w:val="007C2659"/>
    <w:rsid w:val="007C294C"/>
    <w:rsid w:val="007C2E9C"/>
    <w:rsid w:val="007C30D7"/>
    <w:rsid w:val="007C325B"/>
    <w:rsid w:val="007C329A"/>
    <w:rsid w:val="007C37D5"/>
    <w:rsid w:val="007C3BA1"/>
    <w:rsid w:val="007C3DA3"/>
    <w:rsid w:val="007C44B3"/>
    <w:rsid w:val="007C4541"/>
    <w:rsid w:val="007C48DA"/>
    <w:rsid w:val="007C4A50"/>
    <w:rsid w:val="007C55FF"/>
    <w:rsid w:val="007C589E"/>
    <w:rsid w:val="007C58F4"/>
    <w:rsid w:val="007C5B5F"/>
    <w:rsid w:val="007C5B9A"/>
    <w:rsid w:val="007C5BD0"/>
    <w:rsid w:val="007C5EAC"/>
    <w:rsid w:val="007C5EBD"/>
    <w:rsid w:val="007C604F"/>
    <w:rsid w:val="007C6254"/>
    <w:rsid w:val="007C64C2"/>
    <w:rsid w:val="007C65C9"/>
    <w:rsid w:val="007C68E3"/>
    <w:rsid w:val="007C6949"/>
    <w:rsid w:val="007C6A89"/>
    <w:rsid w:val="007C6C5A"/>
    <w:rsid w:val="007C6CC8"/>
    <w:rsid w:val="007C6FFC"/>
    <w:rsid w:val="007C7209"/>
    <w:rsid w:val="007C72CE"/>
    <w:rsid w:val="007C738F"/>
    <w:rsid w:val="007C7A77"/>
    <w:rsid w:val="007C7DDF"/>
    <w:rsid w:val="007D0186"/>
    <w:rsid w:val="007D0456"/>
    <w:rsid w:val="007D04A9"/>
    <w:rsid w:val="007D0D6C"/>
    <w:rsid w:val="007D0E88"/>
    <w:rsid w:val="007D0E8C"/>
    <w:rsid w:val="007D143F"/>
    <w:rsid w:val="007D16A6"/>
    <w:rsid w:val="007D1CC8"/>
    <w:rsid w:val="007D1E0F"/>
    <w:rsid w:val="007D1EAF"/>
    <w:rsid w:val="007D24B2"/>
    <w:rsid w:val="007D2581"/>
    <w:rsid w:val="007D2E24"/>
    <w:rsid w:val="007D2EF9"/>
    <w:rsid w:val="007D2FCB"/>
    <w:rsid w:val="007D34F9"/>
    <w:rsid w:val="007D3522"/>
    <w:rsid w:val="007D35B9"/>
    <w:rsid w:val="007D38F5"/>
    <w:rsid w:val="007D3F9D"/>
    <w:rsid w:val="007D3FCF"/>
    <w:rsid w:val="007D43C1"/>
    <w:rsid w:val="007D4664"/>
    <w:rsid w:val="007D529A"/>
    <w:rsid w:val="007D52E1"/>
    <w:rsid w:val="007D5BD6"/>
    <w:rsid w:val="007D5DE8"/>
    <w:rsid w:val="007D6064"/>
    <w:rsid w:val="007D6106"/>
    <w:rsid w:val="007D616A"/>
    <w:rsid w:val="007D6537"/>
    <w:rsid w:val="007D6554"/>
    <w:rsid w:val="007D655C"/>
    <w:rsid w:val="007D68E2"/>
    <w:rsid w:val="007D6B7E"/>
    <w:rsid w:val="007D6C83"/>
    <w:rsid w:val="007D6EF3"/>
    <w:rsid w:val="007D73C2"/>
    <w:rsid w:val="007D7544"/>
    <w:rsid w:val="007E000F"/>
    <w:rsid w:val="007E10F3"/>
    <w:rsid w:val="007E11FE"/>
    <w:rsid w:val="007E12EA"/>
    <w:rsid w:val="007E15A9"/>
    <w:rsid w:val="007E18CD"/>
    <w:rsid w:val="007E1930"/>
    <w:rsid w:val="007E1DF3"/>
    <w:rsid w:val="007E29D0"/>
    <w:rsid w:val="007E2A4F"/>
    <w:rsid w:val="007E2ECA"/>
    <w:rsid w:val="007E3017"/>
    <w:rsid w:val="007E302A"/>
    <w:rsid w:val="007E311B"/>
    <w:rsid w:val="007E3BDE"/>
    <w:rsid w:val="007E4896"/>
    <w:rsid w:val="007E5050"/>
    <w:rsid w:val="007E5184"/>
    <w:rsid w:val="007E54A2"/>
    <w:rsid w:val="007E5B3D"/>
    <w:rsid w:val="007E5BA2"/>
    <w:rsid w:val="007E5D94"/>
    <w:rsid w:val="007E5E62"/>
    <w:rsid w:val="007E626F"/>
    <w:rsid w:val="007E6413"/>
    <w:rsid w:val="007E6487"/>
    <w:rsid w:val="007E6534"/>
    <w:rsid w:val="007E6903"/>
    <w:rsid w:val="007E6BF5"/>
    <w:rsid w:val="007E72BC"/>
    <w:rsid w:val="007E73CC"/>
    <w:rsid w:val="007E7638"/>
    <w:rsid w:val="007E7E25"/>
    <w:rsid w:val="007E7FA5"/>
    <w:rsid w:val="007F05D8"/>
    <w:rsid w:val="007F0899"/>
    <w:rsid w:val="007F09BB"/>
    <w:rsid w:val="007F129C"/>
    <w:rsid w:val="007F1352"/>
    <w:rsid w:val="007F15BC"/>
    <w:rsid w:val="007F1D56"/>
    <w:rsid w:val="007F21D6"/>
    <w:rsid w:val="007F228C"/>
    <w:rsid w:val="007F2DEA"/>
    <w:rsid w:val="007F2FBE"/>
    <w:rsid w:val="007F35E8"/>
    <w:rsid w:val="007F37DB"/>
    <w:rsid w:val="007F3FBD"/>
    <w:rsid w:val="007F42E4"/>
    <w:rsid w:val="007F45EA"/>
    <w:rsid w:val="007F4678"/>
    <w:rsid w:val="007F4B62"/>
    <w:rsid w:val="007F4DA5"/>
    <w:rsid w:val="007F4F87"/>
    <w:rsid w:val="007F512D"/>
    <w:rsid w:val="007F523F"/>
    <w:rsid w:val="007F52C7"/>
    <w:rsid w:val="007F58E1"/>
    <w:rsid w:val="007F591F"/>
    <w:rsid w:val="007F5A0B"/>
    <w:rsid w:val="007F5C2E"/>
    <w:rsid w:val="007F5C6D"/>
    <w:rsid w:val="007F5F25"/>
    <w:rsid w:val="007F621B"/>
    <w:rsid w:val="007F641E"/>
    <w:rsid w:val="007F68AD"/>
    <w:rsid w:val="007F6E0F"/>
    <w:rsid w:val="007F6E61"/>
    <w:rsid w:val="007F7438"/>
    <w:rsid w:val="007F7C49"/>
    <w:rsid w:val="007F7D60"/>
    <w:rsid w:val="007F7EBC"/>
    <w:rsid w:val="00800778"/>
    <w:rsid w:val="00800813"/>
    <w:rsid w:val="00800D5F"/>
    <w:rsid w:val="00800F78"/>
    <w:rsid w:val="008016CB"/>
    <w:rsid w:val="008017C0"/>
    <w:rsid w:val="00802616"/>
    <w:rsid w:val="0080306F"/>
    <w:rsid w:val="00803250"/>
    <w:rsid w:val="008033B0"/>
    <w:rsid w:val="00803432"/>
    <w:rsid w:val="00804074"/>
    <w:rsid w:val="008040DB"/>
    <w:rsid w:val="00804268"/>
    <w:rsid w:val="008046EC"/>
    <w:rsid w:val="0080474B"/>
    <w:rsid w:val="00804C2A"/>
    <w:rsid w:val="008051EB"/>
    <w:rsid w:val="0080522A"/>
    <w:rsid w:val="00805687"/>
    <w:rsid w:val="00805AD1"/>
    <w:rsid w:val="00805BB0"/>
    <w:rsid w:val="00805C5C"/>
    <w:rsid w:val="00805D67"/>
    <w:rsid w:val="0080666C"/>
    <w:rsid w:val="008069C9"/>
    <w:rsid w:val="00806A9F"/>
    <w:rsid w:val="00806FEF"/>
    <w:rsid w:val="00807204"/>
    <w:rsid w:val="00807264"/>
    <w:rsid w:val="008079EB"/>
    <w:rsid w:val="00807C15"/>
    <w:rsid w:val="00807C3E"/>
    <w:rsid w:val="00807F89"/>
    <w:rsid w:val="00810024"/>
    <w:rsid w:val="008102E6"/>
    <w:rsid w:val="00810384"/>
    <w:rsid w:val="0081069C"/>
    <w:rsid w:val="00810C3C"/>
    <w:rsid w:val="00810D7C"/>
    <w:rsid w:val="00811529"/>
    <w:rsid w:val="00811BD1"/>
    <w:rsid w:val="00811D63"/>
    <w:rsid w:val="00811E2E"/>
    <w:rsid w:val="00811F94"/>
    <w:rsid w:val="00812048"/>
    <w:rsid w:val="008122E1"/>
    <w:rsid w:val="008126B6"/>
    <w:rsid w:val="00812F1D"/>
    <w:rsid w:val="00813ADB"/>
    <w:rsid w:val="00813BAB"/>
    <w:rsid w:val="00814533"/>
    <w:rsid w:val="00814914"/>
    <w:rsid w:val="00814A9D"/>
    <w:rsid w:val="00815D0B"/>
    <w:rsid w:val="0081656B"/>
    <w:rsid w:val="00816789"/>
    <w:rsid w:val="00816D97"/>
    <w:rsid w:val="00816DDA"/>
    <w:rsid w:val="00816F35"/>
    <w:rsid w:val="008174A2"/>
    <w:rsid w:val="0081757D"/>
    <w:rsid w:val="00817833"/>
    <w:rsid w:val="00817D81"/>
    <w:rsid w:val="00820792"/>
    <w:rsid w:val="008208B2"/>
    <w:rsid w:val="00820A6C"/>
    <w:rsid w:val="00820D3A"/>
    <w:rsid w:val="00821597"/>
    <w:rsid w:val="00821866"/>
    <w:rsid w:val="00821892"/>
    <w:rsid w:val="00821EDD"/>
    <w:rsid w:val="00821F00"/>
    <w:rsid w:val="008221F3"/>
    <w:rsid w:val="008224E5"/>
    <w:rsid w:val="00822690"/>
    <w:rsid w:val="00822764"/>
    <w:rsid w:val="008227E8"/>
    <w:rsid w:val="008229E2"/>
    <w:rsid w:val="00822B16"/>
    <w:rsid w:val="00822FE2"/>
    <w:rsid w:val="008230DF"/>
    <w:rsid w:val="008234CA"/>
    <w:rsid w:val="0082360B"/>
    <w:rsid w:val="00823BD4"/>
    <w:rsid w:val="0082421E"/>
    <w:rsid w:val="00824344"/>
    <w:rsid w:val="008243F3"/>
    <w:rsid w:val="008245E4"/>
    <w:rsid w:val="008247FA"/>
    <w:rsid w:val="00824B53"/>
    <w:rsid w:val="00825069"/>
    <w:rsid w:val="0082542F"/>
    <w:rsid w:val="00825638"/>
    <w:rsid w:val="0082575C"/>
    <w:rsid w:val="00825937"/>
    <w:rsid w:val="00825C82"/>
    <w:rsid w:val="00825D14"/>
    <w:rsid w:val="00826413"/>
    <w:rsid w:val="00827602"/>
    <w:rsid w:val="0082764F"/>
    <w:rsid w:val="00827FE1"/>
    <w:rsid w:val="00830206"/>
    <w:rsid w:val="00830295"/>
    <w:rsid w:val="0083087C"/>
    <w:rsid w:val="00830BA5"/>
    <w:rsid w:val="00830BC7"/>
    <w:rsid w:val="00830C5C"/>
    <w:rsid w:val="00830F17"/>
    <w:rsid w:val="0083115E"/>
    <w:rsid w:val="008311E3"/>
    <w:rsid w:val="008313AE"/>
    <w:rsid w:val="0083181E"/>
    <w:rsid w:val="008328AB"/>
    <w:rsid w:val="00832EC5"/>
    <w:rsid w:val="0083323F"/>
    <w:rsid w:val="0083326A"/>
    <w:rsid w:val="00833282"/>
    <w:rsid w:val="00833779"/>
    <w:rsid w:val="00833790"/>
    <w:rsid w:val="00833DCE"/>
    <w:rsid w:val="0083422F"/>
    <w:rsid w:val="008343A0"/>
    <w:rsid w:val="00834738"/>
    <w:rsid w:val="00834A7A"/>
    <w:rsid w:val="00834F0B"/>
    <w:rsid w:val="008355CD"/>
    <w:rsid w:val="008355DB"/>
    <w:rsid w:val="008356D7"/>
    <w:rsid w:val="00835A02"/>
    <w:rsid w:val="00835BA1"/>
    <w:rsid w:val="0083624D"/>
    <w:rsid w:val="008363CB"/>
    <w:rsid w:val="00836516"/>
    <w:rsid w:val="00836734"/>
    <w:rsid w:val="0083685F"/>
    <w:rsid w:val="00836BD7"/>
    <w:rsid w:val="00836C5A"/>
    <w:rsid w:val="00836F23"/>
    <w:rsid w:val="0083721F"/>
    <w:rsid w:val="0084083B"/>
    <w:rsid w:val="00840CC1"/>
    <w:rsid w:val="00841846"/>
    <w:rsid w:val="008418CE"/>
    <w:rsid w:val="008424BC"/>
    <w:rsid w:val="00842DD8"/>
    <w:rsid w:val="00842FC0"/>
    <w:rsid w:val="00843874"/>
    <w:rsid w:val="00843BBC"/>
    <w:rsid w:val="00844616"/>
    <w:rsid w:val="0084497B"/>
    <w:rsid w:val="00844F99"/>
    <w:rsid w:val="008453BD"/>
    <w:rsid w:val="00845ADB"/>
    <w:rsid w:val="00845C18"/>
    <w:rsid w:val="008460F4"/>
    <w:rsid w:val="00846598"/>
    <w:rsid w:val="00846CFC"/>
    <w:rsid w:val="00847028"/>
    <w:rsid w:val="0084719D"/>
    <w:rsid w:val="00847528"/>
    <w:rsid w:val="0084781F"/>
    <w:rsid w:val="00847935"/>
    <w:rsid w:val="00850376"/>
    <w:rsid w:val="00850503"/>
    <w:rsid w:val="008505AC"/>
    <w:rsid w:val="0085060A"/>
    <w:rsid w:val="008508DA"/>
    <w:rsid w:val="00850C6E"/>
    <w:rsid w:val="00850F28"/>
    <w:rsid w:val="00851250"/>
    <w:rsid w:val="0085139B"/>
    <w:rsid w:val="00851819"/>
    <w:rsid w:val="00852028"/>
    <w:rsid w:val="0085213B"/>
    <w:rsid w:val="00852148"/>
    <w:rsid w:val="008524F0"/>
    <w:rsid w:val="00852A34"/>
    <w:rsid w:val="00853008"/>
    <w:rsid w:val="00853351"/>
    <w:rsid w:val="00853846"/>
    <w:rsid w:val="00853D1B"/>
    <w:rsid w:val="0085442E"/>
    <w:rsid w:val="00854703"/>
    <w:rsid w:val="0085479B"/>
    <w:rsid w:val="0085514D"/>
    <w:rsid w:val="00855800"/>
    <w:rsid w:val="00855B4D"/>
    <w:rsid w:val="0085646F"/>
    <w:rsid w:val="0085649D"/>
    <w:rsid w:val="0085655F"/>
    <w:rsid w:val="008565B3"/>
    <w:rsid w:val="0085676A"/>
    <w:rsid w:val="00856797"/>
    <w:rsid w:val="00856871"/>
    <w:rsid w:val="008570A8"/>
    <w:rsid w:val="00857690"/>
    <w:rsid w:val="00857A9E"/>
    <w:rsid w:val="00857BB2"/>
    <w:rsid w:val="00860398"/>
    <w:rsid w:val="00860456"/>
    <w:rsid w:val="00860485"/>
    <w:rsid w:val="00860558"/>
    <w:rsid w:val="00860CF1"/>
    <w:rsid w:val="008611E1"/>
    <w:rsid w:val="00861335"/>
    <w:rsid w:val="00861B4C"/>
    <w:rsid w:val="00861CAF"/>
    <w:rsid w:val="00861D00"/>
    <w:rsid w:val="008627B2"/>
    <w:rsid w:val="00863316"/>
    <w:rsid w:val="00863324"/>
    <w:rsid w:val="008634A6"/>
    <w:rsid w:val="008635DA"/>
    <w:rsid w:val="00863877"/>
    <w:rsid w:val="00863EF1"/>
    <w:rsid w:val="00864501"/>
    <w:rsid w:val="00864F61"/>
    <w:rsid w:val="008650C3"/>
    <w:rsid w:val="008652C7"/>
    <w:rsid w:val="00865E5B"/>
    <w:rsid w:val="008665B8"/>
    <w:rsid w:val="00866B5D"/>
    <w:rsid w:val="00867218"/>
    <w:rsid w:val="008676A8"/>
    <w:rsid w:val="00867BD6"/>
    <w:rsid w:val="00867F89"/>
    <w:rsid w:val="0087023C"/>
    <w:rsid w:val="00870780"/>
    <w:rsid w:val="008708C4"/>
    <w:rsid w:val="008713AC"/>
    <w:rsid w:val="00871438"/>
    <w:rsid w:val="00871CF1"/>
    <w:rsid w:val="00872118"/>
    <w:rsid w:val="0087252B"/>
    <w:rsid w:val="008726ED"/>
    <w:rsid w:val="00872A50"/>
    <w:rsid w:val="00872D51"/>
    <w:rsid w:val="00872ED8"/>
    <w:rsid w:val="00872F8E"/>
    <w:rsid w:val="00873022"/>
    <w:rsid w:val="00873622"/>
    <w:rsid w:val="00873C0A"/>
    <w:rsid w:val="008741B4"/>
    <w:rsid w:val="00874911"/>
    <w:rsid w:val="00874A78"/>
    <w:rsid w:val="00874EB9"/>
    <w:rsid w:val="00874F33"/>
    <w:rsid w:val="00874FE8"/>
    <w:rsid w:val="0087528E"/>
    <w:rsid w:val="00875789"/>
    <w:rsid w:val="00875958"/>
    <w:rsid w:val="00875EDA"/>
    <w:rsid w:val="008765B7"/>
    <w:rsid w:val="00876E8A"/>
    <w:rsid w:val="0087714A"/>
    <w:rsid w:val="008773F0"/>
    <w:rsid w:val="00880B39"/>
    <w:rsid w:val="00880C55"/>
    <w:rsid w:val="00881E93"/>
    <w:rsid w:val="00882538"/>
    <w:rsid w:val="00882A6E"/>
    <w:rsid w:val="00882FA0"/>
    <w:rsid w:val="008830BC"/>
    <w:rsid w:val="00883172"/>
    <w:rsid w:val="00883391"/>
    <w:rsid w:val="0088344C"/>
    <w:rsid w:val="00883A72"/>
    <w:rsid w:val="00883ED2"/>
    <w:rsid w:val="008840B9"/>
    <w:rsid w:val="00884328"/>
    <w:rsid w:val="008847F8"/>
    <w:rsid w:val="00884AA4"/>
    <w:rsid w:val="00884AE0"/>
    <w:rsid w:val="00884CDC"/>
    <w:rsid w:val="00884F5F"/>
    <w:rsid w:val="00885286"/>
    <w:rsid w:val="0088560F"/>
    <w:rsid w:val="008858AD"/>
    <w:rsid w:val="0088593C"/>
    <w:rsid w:val="0088611B"/>
    <w:rsid w:val="00886411"/>
    <w:rsid w:val="00886662"/>
    <w:rsid w:val="00886B88"/>
    <w:rsid w:val="00887180"/>
    <w:rsid w:val="00887328"/>
    <w:rsid w:val="00887573"/>
    <w:rsid w:val="008876C9"/>
    <w:rsid w:val="00887B73"/>
    <w:rsid w:val="00890541"/>
    <w:rsid w:val="008909AD"/>
    <w:rsid w:val="00890DDC"/>
    <w:rsid w:val="00890F77"/>
    <w:rsid w:val="0089196A"/>
    <w:rsid w:val="00891BF9"/>
    <w:rsid w:val="00892490"/>
    <w:rsid w:val="00892C25"/>
    <w:rsid w:val="0089308A"/>
    <w:rsid w:val="0089329B"/>
    <w:rsid w:val="00893C20"/>
    <w:rsid w:val="00893CC1"/>
    <w:rsid w:val="00893D45"/>
    <w:rsid w:val="00893F8C"/>
    <w:rsid w:val="00894081"/>
    <w:rsid w:val="0089420F"/>
    <w:rsid w:val="00894AA3"/>
    <w:rsid w:val="00894D03"/>
    <w:rsid w:val="008954AC"/>
    <w:rsid w:val="00895AA2"/>
    <w:rsid w:val="00895AC4"/>
    <w:rsid w:val="00895BB3"/>
    <w:rsid w:val="00895CC9"/>
    <w:rsid w:val="00895DBE"/>
    <w:rsid w:val="00896381"/>
    <w:rsid w:val="00896631"/>
    <w:rsid w:val="00896779"/>
    <w:rsid w:val="00896B16"/>
    <w:rsid w:val="00896CDD"/>
    <w:rsid w:val="008970DF"/>
    <w:rsid w:val="0089742E"/>
    <w:rsid w:val="00897D57"/>
    <w:rsid w:val="008A0231"/>
    <w:rsid w:val="008A02F6"/>
    <w:rsid w:val="008A03CD"/>
    <w:rsid w:val="008A0776"/>
    <w:rsid w:val="008A0A45"/>
    <w:rsid w:val="008A0AC9"/>
    <w:rsid w:val="008A1132"/>
    <w:rsid w:val="008A156C"/>
    <w:rsid w:val="008A15A2"/>
    <w:rsid w:val="008A164F"/>
    <w:rsid w:val="008A19EC"/>
    <w:rsid w:val="008A1A51"/>
    <w:rsid w:val="008A1D35"/>
    <w:rsid w:val="008A1E0E"/>
    <w:rsid w:val="008A2083"/>
    <w:rsid w:val="008A2391"/>
    <w:rsid w:val="008A2578"/>
    <w:rsid w:val="008A26D3"/>
    <w:rsid w:val="008A2C69"/>
    <w:rsid w:val="008A308D"/>
    <w:rsid w:val="008A3367"/>
    <w:rsid w:val="008A3B8E"/>
    <w:rsid w:val="008A3B9F"/>
    <w:rsid w:val="008A48D1"/>
    <w:rsid w:val="008A4C25"/>
    <w:rsid w:val="008A58B6"/>
    <w:rsid w:val="008A614C"/>
    <w:rsid w:val="008A637C"/>
    <w:rsid w:val="008A69A1"/>
    <w:rsid w:val="008A6C18"/>
    <w:rsid w:val="008A6CAA"/>
    <w:rsid w:val="008A6F03"/>
    <w:rsid w:val="008A71FD"/>
    <w:rsid w:val="008A7751"/>
    <w:rsid w:val="008A78FF"/>
    <w:rsid w:val="008A7DB3"/>
    <w:rsid w:val="008A7DF2"/>
    <w:rsid w:val="008B0365"/>
    <w:rsid w:val="008B0C60"/>
    <w:rsid w:val="008B1216"/>
    <w:rsid w:val="008B1804"/>
    <w:rsid w:val="008B1904"/>
    <w:rsid w:val="008B1AB3"/>
    <w:rsid w:val="008B1BAD"/>
    <w:rsid w:val="008B1CC0"/>
    <w:rsid w:val="008B1CFB"/>
    <w:rsid w:val="008B2519"/>
    <w:rsid w:val="008B26A7"/>
    <w:rsid w:val="008B273C"/>
    <w:rsid w:val="008B2A42"/>
    <w:rsid w:val="008B2BBC"/>
    <w:rsid w:val="008B2C5C"/>
    <w:rsid w:val="008B38AB"/>
    <w:rsid w:val="008B3D22"/>
    <w:rsid w:val="008B428F"/>
    <w:rsid w:val="008B43AB"/>
    <w:rsid w:val="008B4491"/>
    <w:rsid w:val="008B44E0"/>
    <w:rsid w:val="008B465E"/>
    <w:rsid w:val="008B46FC"/>
    <w:rsid w:val="008B475B"/>
    <w:rsid w:val="008B48E8"/>
    <w:rsid w:val="008B4A89"/>
    <w:rsid w:val="008B4C82"/>
    <w:rsid w:val="008B4F5D"/>
    <w:rsid w:val="008B553B"/>
    <w:rsid w:val="008B561D"/>
    <w:rsid w:val="008B5887"/>
    <w:rsid w:val="008B59EE"/>
    <w:rsid w:val="008B5B19"/>
    <w:rsid w:val="008B5FF6"/>
    <w:rsid w:val="008B6108"/>
    <w:rsid w:val="008B6150"/>
    <w:rsid w:val="008B62AF"/>
    <w:rsid w:val="008B6B9E"/>
    <w:rsid w:val="008B6DF1"/>
    <w:rsid w:val="008B6E3E"/>
    <w:rsid w:val="008B6E52"/>
    <w:rsid w:val="008B6EF1"/>
    <w:rsid w:val="008B6F7E"/>
    <w:rsid w:val="008B6FB8"/>
    <w:rsid w:val="008B759C"/>
    <w:rsid w:val="008B75A9"/>
    <w:rsid w:val="008B7641"/>
    <w:rsid w:val="008B77C1"/>
    <w:rsid w:val="008B7B3C"/>
    <w:rsid w:val="008B7F9F"/>
    <w:rsid w:val="008C013B"/>
    <w:rsid w:val="008C013C"/>
    <w:rsid w:val="008C0507"/>
    <w:rsid w:val="008C0BDF"/>
    <w:rsid w:val="008C0CF9"/>
    <w:rsid w:val="008C0D65"/>
    <w:rsid w:val="008C124A"/>
    <w:rsid w:val="008C1322"/>
    <w:rsid w:val="008C1ACE"/>
    <w:rsid w:val="008C1EC8"/>
    <w:rsid w:val="008C2183"/>
    <w:rsid w:val="008C2CAE"/>
    <w:rsid w:val="008C2DF3"/>
    <w:rsid w:val="008C2E4B"/>
    <w:rsid w:val="008C3A6F"/>
    <w:rsid w:val="008C3E60"/>
    <w:rsid w:val="008C45FB"/>
    <w:rsid w:val="008C47A8"/>
    <w:rsid w:val="008C4AEE"/>
    <w:rsid w:val="008C55DD"/>
    <w:rsid w:val="008C6710"/>
    <w:rsid w:val="008C6AD8"/>
    <w:rsid w:val="008C6F14"/>
    <w:rsid w:val="008C7476"/>
    <w:rsid w:val="008C76CE"/>
    <w:rsid w:val="008C783B"/>
    <w:rsid w:val="008D0669"/>
    <w:rsid w:val="008D0B06"/>
    <w:rsid w:val="008D0B28"/>
    <w:rsid w:val="008D0C3B"/>
    <w:rsid w:val="008D0D6D"/>
    <w:rsid w:val="008D0DD9"/>
    <w:rsid w:val="008D0E09"/>
    <w:rsid w:val="008D128C"/>
    <w:rsid w:val="008D12D0"/>
    <w:rsid w:val="008D15B5"/>
    <w:rsid w:val="008D19BE"/>
    <w:rsid w:val="008D19CE"/>
    <w:rsid w:val="008D1C1A"/>
    <w:rsid w:val="008D1C5C"/>
    <w:rsid w:val="008D1CFB"/>
    <w:rsid w:val="008D2E70"/>
    <w:rsid w:val="008D3486"/>
    <w:rsid w:val="008D382E"/>
    <w:rsid w:val="008D38FF"/>
    <w:rsid w:val="008D432F"/>
    <w:rsid w:val="008D49B7"/>
    <w:rsid w:val="008D49F6"/>
    <w:rsid w:val="008D4AD8"/>
    <w:rsid w:val="008D4F74"/>
    <w:rsid w:val="008D52EC"/>
    <w:rsid w:val="008D60AC"/>
    <w:rsid w:val="008D61F4"/>
    <w:rsid w:val="008D6225"/>
    <w:rsid w:val="008D6589"/>
    <w:rsid w:val="008D67E2"/>
    <w:rsid w:val="008D6945"/>
    <w:rsid w:val="008D6A5F"/>
    <w:rsid w:val="008D6B33"/>
    <w:rsid w:val="008D6F5C"/>
    <w:rsid w:val="008D70E2"/>
    <w:rsid w:val="008D75B8"/>
    <w:rsid w:val="008D7C2F"/>
    <w:rsid w:val="008E0427"/>
    <w:rsid w:val="008E05A4"/>
    <w:rsid w:val="008E0D4E"/>
    <w:rsid w:val="008E0F30"/>
    <w:rsid w:val="008E1015"/>
    <w:rsid w:val="008E14BB"/>
    <w:rsid w:val="008E18E2"/>
    <w:rsid w:val="008E20D4"/>
    <w:rsid w:val="008E2274"/>
    <w:rsid w:val="008E2951"/>
    <w:rsid w:val="008E302D"/>
    <w:rsid w:val="008E338B"/>
    <w:rsid w:val="008E33C2"/>
    <w:rsid w:val="008E3DB8"/>
    <w:rsid w:val="008E3EC0"/>
    <w:rsid w:val="008E4163"/>
    <w:rsid w:val="008E44E2"/>
    <w:rsid w:val="008E4C88"/>
    <w:rsid w:val="008E4FE1"/>
    <w:rsid w:val="008E50CB"/>
    <w:rsid w:val="008E5342"/>
    <w:rsid w:val="008E55AB"/>
    <w:rsid w:val="008E577A"/>
    <w:rsid w:val="008E5BE4"/>
    <w:rsid w:val="008E64EC"/>
    <w:rsid w:val="008E6D2D"/>
    <w:rsid w:val="008E6E36"/>
    <w:rsid w:val="008E6F88"/>
    <w:rsid w:val="008E6FCC"/>
    <w:rsid w:val="008E713F"/>
    <w:rsid w:val="008E7FAF"/>
    <w:rsid w:val="008F035C"/>
    <w:rsid w:val="008F0449"/>
    <w:rsid w:val="008F094F"/>
    <w:rsid w:val="008F0BE6"/>
    <w:rsid w:val="008F0CDE"/>
    <w:rsid w:val="008F18C2"/>
    <w:rsid w:val="008F1CE3"/>
    <w:rsid w:val="008F1FC0"/>
    <w:rsid w:val="008F289E"/>
    <w:rsid w:val="008F2A31"/>
    <w:rsid w:val="008F2DC9"/>
    <w:rsid w:val="008F2E9A"/>
    <w:rsid w:val="008F32A0"/>
    <w:rsid w:val="008F35AB"/>
    <w:rsid w:val="008F3A1F"/>
    <w:rsid w:val="008F3FF7"/>
    <w:rsid w:val="008F4201"/>
    <w:rsid w:val="008F47A7"/>
    <w:rsid w:val="008F4AAD"/>
    <w:rsid w:val="008F4BA0"/>
    <w:rsid w:val="008F4F7B"/>
    <w:rsid w:val="008F5457"/>
    <w:rsid w:val="008F5657"/>
    <w:rsid w:val="008F5820"/>
    <w:rsid w:val="008F6440"/>
    <w:rsid w:val="008F670B"/>
    <w:rsid w:val="008F6A18"/>
    <w:rsid w:val="008F6B6A"/>
    <w:rsid w:val="008F6FF0"/>
    <w:rsid w:val="008F7070"/>
    <w:rsid w:val="008F7881"/>
    <w:rsid w:val="008F789A"/>
    <w:rsid w:val="008F7BC1"/>
    <w:rsid w:val="008F7FEC"/>
    <w:rsid w:val="009000D4"/>
    <w:rsid w:val="0090040B"/>
    <w:rsid w:val="009004E3"/>
    <w:rsid w:val="009006D5"/>
    <w:rsid w:val="009008CA"/>
    <w:rsid w:val="0090096E"/>
    <w:rsid w:val="00900B82"/>
    <w:rsid w:val="00900BE9"/>
    <w:rsid w:val="009012BC"/>
    <w:rsid w:val="009014AD"/>
    <w:rsid w:val="00902761"/>
    <w:rsid w:val="00902F68"/>
    <w:rsid w:val="009032EC"/>
    <w:rsid w:val="00903779"/>
    <w:rsid w:val="00903BE0"/>
    <w:rsid w:val="00903D74"/>
    <w:rsid w:val="00903DB1"/>
    <w:rsid w:val="00904089"/>
    <w:rsid w:val="009045EE"/>
    <w:rsid w:val="0090508D"/>
    <w:rsid w:val="00905090"/>
    <w:rsid w:val="009051F1"/>
    <w:rsid w:val="009058CD"/>
    <w:rsid w:val="00905A06"/>
    <w:rsid w:val="00905D1F"/>
    <w:rsid w:val="00905D48"/>
    <w:rsid w:val="0090604A"/>
    <w:rsid w:val="00906594"/>
    <w:rsid w:val="00906E71"/>
    <w:rsid w:val="0090736A"/>
    <w:rsid w:val="009077A8"/>
    <w:rsid w:val="009079C3"/>
    <w:rsid w:val="00907B00"/>
    <w:rsid w:val="00907EFE"/>
    <w:rsid w:val="00910650"/>
    <w:rsid w:val="00910A07"/>
    <w:rsid w:val="00910F39"/>
    <w:rsid w:val="00910FF9"/>
    <w:rsid w:val="0091105F"/>
    <w:rsid w:val="009116E2"/>
    <w:rsid w:val="00911D37"/>
    <w:rsid w:val="00911E2C"/>
    <w:rsid w:val="00911FB1"/>
    <w:rsid w:val="009120F3"/>
    <w:rsid w:val="00912363"/>
    <w:rsid w:val="0091261B"/>
    <w:rsid w:val="00912A54"/>
    <w:rsid w:val="00912C3E"/>
    <w:rsid w:val="00912E8D"/>
    <w:rsid w:val="00912ED2"/>
    <w:rsid w:val="0091368F"/>
    <w:rsid w:val="00914082"/>
    <w:rsid w:val="00914123"/>
    <w:rsid w:val="009141B5"/>
    <w:rsid w:val="00914538"/>
    <w:rsid w:val="00914AE4"/>
    <w:rsid w:val="00914D1D"/>
    <w:rsid w:val="009150E6"/>
    <w:rsid w:val="009151BA"/>
    <w:rsid w:val="0091543E"/>
    <w:rsid w:val="00915479"/>
    <w:rsid w:val="009155B5"/>
    <w:rsid w:val="00915959"/>
    <w:rsid w:val="00915F87"/>
    <w:rsid w:val="00915FAF"/>
    <w:rsid w:val="0091659A"/>
    <w:rsid w:val="00916617"/>
    <w:rsid w:val="0091686D"/>
    <w:rsid w:val="009169ED"/>
    <w:rsid w:val="00916A6A"/>
    <w:rsid w:val="00916F2D"/>
    <w:rsid w:val="00916FDE"/>
    <w:rsid w:val="009178B9"/>
    <w:rsid w:val="00917909"/>
    <w:rsid w:val="00917A09"/>
    <w:rsid w:val="009202DA"/>
    <w:rsid w:val="0092033B"/>
    <w:rsid w:val="00920C71"/>
    <w:rsid w:val="00920DAA"/>
    <w:rsid w:val="00920F11"/>
    <w:rsid w:val="00920F24"/>
    <w:rsid w:val="00921182"/>
    <w:rsid w:val="00921441"/>
    <w:rsid w:val="009218DB"/>
    <w:rsid w:val="009218E5"/>
    <w:rsid w:val="009219EE"/>
    <w:rsid w:val="00922261"/>
    <w:rsid w:val="009224C6"/>
    <w:rsid w:val="0092288A"/>
    <w:rsid w:val="00922AC6"/>
    <w:rsid w:val="00922C13"/>
    <w:rsid w:val="00922E0D"/>
    <w:rsid w:val="00923135"/>
    <w:rsid w:val="009231D0"/>
    <w:rsid w:val="0092399F"/>
    <w:rsid w:val="00923F6E"/>
    <w:rsid w:val="00924526"/>
    <w:rsid w:val="00924664"/>
    <w:rsid w:val="009249DE"/>
    <w:rsid w:val="00924C87"/>
    <w:rsid w:val="00924DFA"/>
    <w:rsid w:val="00925158"/>
    <w:rsid w:val="009251EF"/>
    <w:rsid w:val="0092560B"/>
    <w:rsid w:val="00925661"/>
    <w:rsid w:val="00925D96"/>
    <w:rsid w:val="00926588"/>
    <w:rsid w:val="0092678E"/>
    <w:rsid w:val="009268AD"/>
    <w:rsid w:val="00926E89"/>
    <w:rsid w:val="00927A2D"/>
    <w:rsid w:val="00927AC1"/>
    <w:rsid w:val="00927C07"/>
    <w:rsid w:val="00927F01"/>
    <w:rsid w:val="00927F5D"/>
    <w:rsid w:val="00927FCD"/>
    <w:rsid w:val="00930020"/>
    <w:rsid w:val="0093014D"/>
    <w:rsid w:val="00930173"/>
    <w:rsid w:val="0093021B"/>
    <w:rsid w:val="00930B93"/>
    <w:rsid w:val="00930E70"/>
    <w:rsid w:val="0093149D"/>
    <w:rsid w:val="0093162C"/>
    <w:rsid w:val="009318DF"/>
    <w:rsid w:val="00931A99"/>
    <w:rsid w:val="00931E3F"/>
    <w:rsid w:val="00931F32"/>
    <w:rsid w:val="009320A3"/>
    <w:rsid w:val="0093270C"/>
    <w:rsid w:val="00932852"/>
    <w:rsid w:val="009328F7"/>
    <w:rsid w:val="00932BD5"/>
    <w:rsid w:val="00932E37"/>
    <w:rsid w:val="00933170"/>
    <w:rsid w:val="00933402"/>
    <w:rsid w:val="00933583"/>
    <w:rsid w:val="0093360E"/>
    <w:rsid w:val="00934374"/>
    <w:rsid w:val="0093437D"/>
    <w:rsid w:val="009352D3"/>
    <w:rsid w:val="0093534E"/>
    <w:rsid w:val="009355F6"/>
    <w:rsid w:val="00935B0C"/>
    <w:rsid w:val="00936539"/>
    <w:rsid w:val="00936659"/>
    <w:rsid w:val="00936F3E"/>
    <w:rsid w:val="009370E7"/>
    <w:rsid w:val="009377CD"/>
    <w:rsid w:val="00937A40"/>
    <w:rsid w:val="00937B10"/>
    <w:rsid w:val="00937D3E"/>
    <w:rsid w:val="00937E8B"/>
    <w:rsid w:val="00937EC2"/>
    <w:rsid w:val="0094019C"/>
    <w:rsid w:val="0094039B"/>
    <w:rsid w:val="00940B13"/>
    <w:rsid w:val="00940DD4"/>
    <w:rsid w:val="00941435"/>
    <w:rsid w:val="00941F69"/>
    <w:rsid w:val="00941F78"/>
    <w:rsid w:val="00942304"/>
    <w:rsid w:val="00942358"/>
    <w:rsid w:val="009423FA"/>
    <w:rsid w:val="00942429"/>
    <w:rsid w:val="00942A83"/>
    <w:rsid w:val="00944DA9"/>
    <w:rsid w:val="009450E3"/>
    <w:rsid w:val="009450F8"/>
    <w:rsid w:val="00945900"/>
    <w:rsid w:val="009459CF"/>
    <w:rsid w:val="00945AC7"/>
    <w:rsid w:val="00945C15"/>
    <w:rsid w:val="00945F2B"/>
    <w:rsid w:val="00946057"/>
    <w:rsid w:val="00946062"/>
    <w:rsid w:val="0094623D"/>
    <w:rsid w:val="009462E0"/>
    <w:rsid w:val="009465C4"/>
    <w:rsid w:val="00946EA2"/>
    <w:rsid w:val="009470B4"/>
    <w:rsid w:val="0094741E"/>
    <w:rsid w:val="00947AF3"/>
    <w:rsid w:val="00950259"/>
    <w:rsid w:val="00950D0E"/>
    <w:rsid w:val="00950D78"/>
    <w:rsid w:val="00950DC1"/>
    <w:rsid w:val="00950E82"/>
    <w:rsid w:val="00951904"/>
    <w:rsid w:val="0095229C"/>
    <w:rsid w:val="0095284B"/>
    <w:rsid w:val="00953C8B"/>
    <w:rsid w:val="00953F82"/>
    <w:rsid w:val="009541F1"/>
    <w:rsid w:val="0095449F"/>
    <w:rsid w:val="009544D2"/>
    <w:rsid w:val="0095477F"/>
    <w:rsid w:val="009548AD"/>
    <w:rsid w:val="00954DB5"/>
    <w:rsid w:val="00954E6A"/>
    <w:rsid w:val="00954EF3"/>
    <w:rsid w:val="0095529A"/>
    <w:rsid w:val="00955314"/>
    <w:rsid w:val="0095541A"/>
    <w:rsid w:val="0095570E"/>
    <w:rsid w:val="009558EB"/>
    <w:rsid w:val="00955B12"/>
    <w:rsid w:val="00955B3B"/>
    <w:rsid w:val="00956A47"/>
    <w:rsid w:val="00956C24"/>
    <w:rsid w:val="00956EC8"/>
    <w:rsid w:val="00956EF4"/>
    <w:rsid w:val="00956F41"/>
    <w:rsid w:val="0095737A"/>
    <w:rsid w:val="00957519"/>
    <w:rsid w:val="009576A8"/>
    <w:rsid w:val="00957CFD"/>
    <w:rsid w:val="00957F00"/>
    <w:rsid w:val="00960067"/>
    <w:rsid w:val="009601D3"/>
    <w:rsid w:val="00961152"/>
    <w:rsid w:val="009613FA"/>
    <w:rsid w:val="00961454"/>
    <w:rsid w:val="00961EEA"/>
    <w:rsid w:val="00962645"/>
    <w:rsid w:val="00962999"/>
    <w:rsid w:val="00963546"/>
    <w:rsid w:val="0096370D"/>
    <w:rsid w:val="009639A5"/>
    <w:rsid w:val="00963CA9"/>
    <w:rsid w:val="00963DAB"/>
    <w:rsid w:val="00963F2E"/>
    <w:rsid w:val="009641B1"/>
    <w:rsid w:val="00964CB8"/>
    <w:rsid w:val="00964DC0"/>
    <w:rsid w:val="00964E6B"/>
    <w:rsid w:val="0096590D"/>
    <w:rsid w:val="00965966"/>
    <w:rsid w:val="00965AFD"/>
    <w:rsid w:val="00966B7E"/>
    <w:rsid w:val="009671D2"/>
    <w:rsid w:val="00967F1B"/>
    <w:rsid w:val="009701BA"/>
    <w:rsid w:val="009702D9"/>
    <w:rsid w:val="00970526"/>
    <w:rsid w:val="00970EEE"/>
    <w:rsid w:val="00971316"/>
    <w:rsid w:val="00971E34"/>
    <w:rsid w:val="00972474"/>
    <w:rsid w:val="0097260B"/>
    <w:rsid w:val="00972975"/>
    <w:rsid w:val="00972A52"/>
    <w:rsid w:val="00972CBE"/>
    <w:rsid w:val="00972D51"/>
    <w:rsid w:val="00972EC4"/>
    <w:rsid w:val="009736A5"/>
    <w:rsid w:val="00973917"/>
    <w:rsid w:val="00973C32"/>
    <w:rsid w:val="00973F48"/>
    <w:rsid w:val="00974E21"/>
    <w:rsid w:val="00975165"/>
    <w:rsid w:val="00975A37"/>
    <w:rsid w:val="00975BA8"/>
    <w:rsid w:val="00975CA5"/>
    <w:rsid w:val="00975F7B"/>
    <w:rsid w:val="009767B6"/>
    <w:rsid w:val="00976C68"/>
    <w:rsid w:val="00977277"/>
    <w:rsid w:val="009778D5"/>
    <w:rsid w:val="00977918"/>
    <w:rsid w:val="0097792C"/>
    <w:rsid w:val="00977939"/>
    <w:rsid w:val="00977B42"/>
    <w:rsid w:val="00977B54"/>
    <w:rsid w:val="00977FF3"/>
    <w:rsid w:val="009802E6"/>
    <w:rsid w:val="00980681"/>
    <w:rsid w:val="0098092D"/>
    <w:rsid w:val="00980E50"/>
    <w:rsid w:val="00980EAA"/>
    <w:rsid w:val="009813A1"/>
    <w:rsid w:val="009825BE"/>
    <w:rsid w:val="00982743"/>
    <w:rsid w:val="00982756"/>
    <w:rsid w:val="00982A19"/>
    <w:rsid w:val="00982AF2"/>
    <w:rsid w:val="00982B6D"/>
    <w:rsid w:val="00982B9B"/>
    <w:rsid w:val="00982E8F"/>
    <w:rsid w:val="009839DC"/>
    <w:rsid w:val="00983AE5"/>
    <w:rsid w:val="00983B7B"/>
    <w:rsid w:val="00983CD9"/>
    <w:rsid w:val="00983FC5"/>
    <w:rsid w:val="009840A9"/>
    <w:rsid w:val="0098436A"/>
    <w:rsid w:val="009843D8"/>
    <w:rsid w:val="0098490A"/>
    <w:rsid w:val="00984D40"/>
    <w:rsid w:val="009851D4"/>
    <w:rsid w:val="009858B4"/>
    <w:rsid w:val="00985D44"/>
    <w:rsid w:val="00985FF7"/>
    <w:rsid w:val="00986357"/>
    <w:rsid w:val="00986FAA"/>
    <w:rsid w:val="009872FD"/>
    <w:rsid w:val="009876E8"/>
    <w:rsid w:val="0098796A"/>
    <w:rsid w:val="00987A88"/>
    <w:rsid w:val="00987ADA"/>
    <w:rsid w:val="00987D31"/>
    <w:rsid w:val="00987D60"/>
    <w:rsid w:val="00987FCB"/>
    <w:rsid w:val="0099013F"/>
    <w:rsid w:val="0099024E"/>
    <w:rsid w:val="00990424"/>
    <w:rsid w:val="00990434"/>
    <w:rsid w:val="00990576"/>
    <w:rsid w:val="00990835"/>
    <w:rsid w:val="00990F4D"/>
    <w:rsid w:val="009912DD"/>
    <w:rsid w:val="00991A3E"/>
    <w:rsid w:val="00991E24"/>
    <w:rsid w:val="00992376"/>
    <w:rsid w:val="009923F0"/>
    <w:rsid w:val="009929FA"/>
    <w:rsid w:val="0099362C"/>
    <w:rsid w:val="00993AE2"/>
    <w:rsid w:val="00993B35"/>
    <w:rsid w:val="00994287"/>
    <w:rsid w:val="00994640"/>
    <w:rsid w:val="0099550E"/>
    <w:rsid w:val="00995B6F"/>
    <w:rsid w:val="00995C56"/>
    <w:rsid w:val="00995F46"/>
    <w:rsid w:val="00995FFF"/>
    <w:rsid w:val="009962E6"/>
    <w:rsid w:val="00996444"/>
    <w:rsid w:val="009964C7"/>
    <w:rsid w:val="00996A54"/>
    <w:rsid w:val="00996EFA"/>
    <w:rsid w:val="00996FE6"/>
    <w:rsid w:val="0099709B"/>
    <w:rsid w:val="0099788B"/>
    <w:rsid w:val="00997DB6"/>
    <w:rsid w:val="00997E07"/>
    <w:rsid w:val="009A03FA"/>
    <w:rsid w:val="009A08D5"/>
    <w:rsid w:val="009A08D8"/>
    <w:rsid w:val="009A0B70"/>
    <w:rsid w:val="009A144F"/>
    <w:rsid w:val="009A1CE5"/>
    <w:rsid w:val="009A1D7E"/>
    <w:rsid w:val="009A1EEA"/>
    <w:rsid w:val="009A2173"/>
    <w:rsid w:val="009A218E"/>
    <w:rsid w:val="009A2329"/>
    <w:rsid w:val="009A2503"/>
    <w:rsid w:val="009A2576"/>
    <w:rsid w:val="009A2A25"/>
    <w:rsid w:val="009A2D52"/>
    <w:rsid w:val="009A2DBD"/>
    <w:rsid w:val="009A33B3"/>
    <w:rsid w:val="009A3AE4"/>
    <w:rsid w:val="009A3BAD"/>
    <w:rsid w:val="009A3C6C"/>
    <w:rsid w:val="009A3D9D"/>
    <w:rsid w:val="009A550B"/>
    <w:rsid w:val="009A560C"/>
    <w:rsid w:val="009A56E5"/>
    <w:rsid w:val="009A5DCE"/>
    <w:rsid w:val="009A6247"/>
    <w:rsid w:val="009A63D0"/>
    <w:rsid w:val="009A671A"/>
    <w:rsid w:val="009A6BD7"/>
    <w:rsid w:val="009A6EE3"/>
    <w:rsid w:val="009A6F02"/>
    <w:rsid w:val="009A7146"/>
    <w:rsid w:val="009A732F"/>
    <w:rsid w:val="009A7CF3"/>
    <w:rsid w:val="009B0155"/>
    <w:rsid w:val="009B04C9"/>
    <w:rsid w:val="009B0917"/>
    <w:rsid w:val="009B0EC5"/>
    <w:rsid w:val="009B10A8"/>
    <w:rsid w:val="009B133D"/>
    <w:rsid w:val="009B1569"/>
    <w:rsid w:val="009B1E9A"/>
    <w:rsid w:val="009B220E"/>
    <w:rsid w:val="009B23DA"/>
    <w:rsid w:val="009B2438"/>
    <w:rsid w:val="009B26D0"/>
    <w:rsid w:val="009B298C"/>
    <w:rsid w:val="009B29B6"/>
    <w:rsid w:val="009B2D44"/>
    <w:rsid w:val="009B2DA2"/>
    <w:rsid w:val="009B335F"/>
    <w:rsid w:val="009B35AC"/>
    <w:rsid w:val="009B385C"/>
    <w:rsid w:val="009B3C00"/>
    <w:rsid w:val="009B47F3"/>
    <w:rsid w:val="009B509A"/>
    <w:rsid w:val="009B521F"/>
    <w:rsid w:val="009B5346"/>
    <w:rsid w:val="009B537C"/>
    <w:rsid w:val="009B5482"/>
    <w:rsid w:val="009B593D"/>
    <w:rsid w:val="009B5AEF"/>
    <w:rsid w:val="009B5BE0"/>
    <w:rsid w:val="009B6023"/>
    <w:rsid w:val="009B63E7"/>
    <w:rsid w:val="009B6990"/>
    <w:rsid w:val="009B6D2D"/>
    <w:rsid w:val="009B6E6A"/>
    <w:rsid w:val="009B6F3B"/>
    <w:rsid w:val="009B7142"/>
    <w:rsid w:val="009B79AF"/>
    <w:rsid w:val="009B7D93"/>
    <w:rsid w:val="009B7E04"/>
    <w:rsid w:val="009C0188"/>
    <w:rsid w:val="009C0B0B"/>
    <w:rsid w:val="009C0DB5"/>
    <w:rsid w:val="009C0F1E"/>
    <w:rsid w:val="009C127B"/>
    <w:rsid w:val="009C26CE"/>
    <w:rsid w:val="009C2B8A"/>
    <w:rsid w:val="009C2E31"/>
    <w:rsid w:val="009C2E86"/>
    <w:rsid w:val="009C2F79"/>
    <w:rsid w:val="009C30C3"/>
    <w:rsid w:val="009C319C"/>
    <w:rsid w:val="009C36C4"/>
    <w:rsid w:val="009C3931"/>
    <w:rsid w:val="009C39FA"/>
    <w:rsid w:val="009C4262"/>
    <w:rsid w:val="009C4A7A"/>
    <w:rsid w:val="009C557D"/>
    <w:rsid w:val="009C56CB"/>
    <w:rsid w:val="009C5900"/>
    <w:rsid w:val="009C61D4"/>
    <w:rsid w:val="009C682D"/>
    <w:rsid w:val="009C6FC8"/>
    <w:rsid w:val="009C71E1"/>
    <w:rsid w:val="009C739B"/>
    <w:rsid w:val="009C79C3"/>
    <w:rsid w:val="009C7D96"/>
    <w:rsid w:val="009C7D9C"/>
    <w:rsid w:val="009C7E3A"/>
    <w:rsid w:val="009C7E79"/>
    <w:rsid w:val="009D05B5"/>
    <w:rsid w:val="009D07D4"/>
    <w:rsid w:val="009D09D2"/>
    <w:rsid w:val="009D0B3D"/>
    <w:rsid w:val="009D1541"/>
    <w:rsid w:val="009D1718"/>
    <w:rsid w:val="009D1ED0"/>
    <w:rsid w:val="009D201A"/>
    <w:rsid w:val="009D2042"/>
    <w:rsid w:val="009D221E"/>
    <w:rsid w:val="009D22F9"/>
    <w:rsid w:val="009D2341"/>
    <w:rsid w:val="009D2BCF"/>
    <w:rsid w:val="009D2F50"/>
    <w:rsid w:val="009D373D"/>
    <w:rsid w:val="009D37A9"/>
    <w:rsid w:val="009D3922"/>
    <w:rsid w:val="009D3C03"/>
    <w:rsid w:val="009D3F86"/>
    <w:rsid w:val="009D4A4D"/>
    <w:rsid w:val="009D503F"/>
    <w:rsid w:val="009D51AD"/>
    <w:rsid w:val="009D52E5"/>
    <w:rsid w:val="009D580D"/>
    <w:rsid w:val="009D5D30"/>
    <w:rsid w:val="009D6044"/>
    <w:rsid w:val="009D6177"/>
    <w:rsid w:val="009D6E10"/>
    <w:rsid w:val="009D6ED7"/>
    <w:rsid w:val="009D7D01"/>
    <w:rsid w:val="009E01DF"/>
    <w:rsid w:val="009E0969"/>
    <w:rsid w:val="009E0A8E"/>
    <w:rsid w:val="009E0D89"/>
    <w:rsid w:val="009E0E0A"/>
    <w:rsid w:val="009E0ED0"/>
    <w:rsid w:val="009E1490"/>
    <w:rsid w:val="009E15EF"/>
    <w:rsid w:val="009E16C1"/>
    <w:rsid w:val="009E180D"/>
    <w:rsid w:val="009E1EF2"/>
    <w:rsid w:val="009E1FCB"/>
    <w:rsid w:val="009E2094"/>
    <w:rsid w:val="009E235D"/>
    <w:rsid w:val="009E2D95"/>
    <w:rsid w:val="009E3237"/>
    <w:rsid w:val="009E37B3"/>
    <w:rsid w:val="009E3813"/>
    <w:rsid w:val="009E4437"/>
    <w:rsid w:val="009E4786"/>
    <w:rsid w:val="009E4DE3"/>
    <w:rsid w:val="009E4FE3"/>
    <w:rsid w:val="009E5783"/>
    <w:rsid w:val="009E67AF"/>
    <w:rsid w:val="009E6F5C"/>
    <w:rsid w:val="009E7475"/>
    <w:rsid w:val="009E752D"/>
    <w:rsid w:val="009E76ED"/>
    <w:rsid w:val="009E78B6"/>
    <w:rsid w:val="009E7AF0"/>
    <w:rsid w:val="009E7B24"/>
    <w:rsid w:val="009E7D23"/>
    <w:rsid w:val="009E7D24"/>
    <w:rsid w:val="009F023F"/>
    <w:rsid w:val="009F02D1"/>
    <w:rsid w:val="009F03AD"/>
    <w:rsid w:val="009F08F3"/>
    <w:rsid w:val="009F0C4B"/>
    <w:rsid w:val="009F0DC1"/>
    <w:rsid w:val="009F0F9C"/>
    <w:rsid w:val="009F1660"/>
    <w:rsid w:val="009F16DD"/>
    <w:rsid w:val="009F172A"/>
    <w:rsid w:val="009F17D6"/>
    <w:rsid w:val="009F1E6D"/>
    <w:rsid w:val="009F20D4"/>
    <w:rsid w:val="009F2591"/>
    <w:rsid w:val="009F2746"/>
    <w:rsid w:val="009F2A5D"/>
    <w:rsid w:val="009F2BD4"/>
    <w:rsid w:val="009F3593"/>
    <w:rsid w:val="009F35EB"/>
    <w:rsid w:val="009F3FD8"/>
    <w:rsid w:val="009F40E8"/>
    <w:rsid w:val="009F4409"/>
    <w:rsid w:val="009F461B"/>
    <w:rsid w:val="009F4FED"/>
    <w:rsid w:val="009F5484"/>
    <w:rsid w:val="009F5812"/>
    <w:rsid w:val="009F59CD"/>
    <w:rsid w:val="009F5E77"/>
    <w:rsid w:val="009F5F4F"/>
    <w:rsid w:val="009F64D8"/>
    <w:rsid w:val="009F693B"/>
    <w:rsid w:val="009F6999"/>
    <w:rsid w:val="009F6A8E"/>
    <w:rsid w:val="009F6BF5"/>
    <w:rsid w:val="009F6CBE"/>
    <w:rsid w:val="009F6E8D"/>
    <w:rsid w:val="009F6FED"/>
    <w:rsid w:val="009F7253"/>
    <w:rsid w:val="009F72E7"/>
    <w:rsid w:val="009F7347"/>
    <w:rsid w:val="009F7589"/>
    <w:rsid w:val="009F78AE"/>
    <w:rsid w:val="009F7A19"/>
    <w:rsid w:val="00A00536"/>
    <w:rsid w:val="00A00C6E"/>
    <w:rsid w:val="00A01111"/>
    <w:rsid w:val="00A01213"/>
    <w:rsid w:val="00A01717"/>
    <w:rsid w:val="00A0187D"/>
    <w:rsid w:val="00A01AD9"/>
    <w:rsid w:val="00A02020"/>
    <w:rsid w:val="00A02025"/>
    <w:rsid w:val="00A020D4"/>
    <w:rsid w:val="00A025BD"/>
    <w:rsid w:val="00A02D82"/>
    <w:rsid w:val="00A0320D"/>
    <w:rsid w:val="00A03932"/>
    <w:rsid w:val="00A03A5B"/>
    <w:rsid w:val="00A03E79"/>
    <w:rsid w:val="00A0414D"/>
    <w:rsid w:val="00A04356"/>
    <w:rsid w:val="00A04415"/>
    <w:rsid w:val="00A04B51"/>
    <w:rsid w:val="00A04E33"/>
    <w:rsid w:val="00A04E5B"/>
    <w:rsid w:val="00A05002"/>
    <w:rsid w:val="00A05317"/>
    <w:rsid w:val="00A05627"/>
    <w:rsid w:val="00A05668"/>
    <w:rsid w:val="00A057F4"/>
    <w:rsid w:val="00A05B22"/>
    <w:rsid w:val="00A05FC8"/>
    <w:rsid w:val="00A0613F"/>
    <w:rsid w:val="00A068E0"/>
    <w:rsid w:val="00A06B6D"/>
    <w:rsid w:val="00A06E51"/>
    <w:rsid w:val="00A06FC7"/>
    <w:rsid w:val="00A06FE0"/>
    <w:rsid w:val="00A07420"/>
    <w:rsid w:val="00A07852"/>
    <w:rsid w:val="00A07876"/>
    <w:rsid w:val="00A07C59"/>
    <w:rsid w:val="00A07E59"/>
    <w:rsid w:val="00A1002E"/>
    <w:rsid w:val="00A108F3"/>
    <w:rsid w:val="00A10C82"/>
    <w:rsid w:val="00A1174D"/>
    <w:rsid w:val="00A11B63"/>
    <w:rsid w:val="00A120D8"/>
    <w:rsid w:val="00A13B9C"/>
    <w:rsid w:val="00A13DC4"/>
    <w:rsid w:val="00A13F6C"/>
    <w:rsid w:val="00A142CE"/>
    <w:rsid w:val="00A143BB"/>
    <w:rsid w:val="00A143DB"/>
    <w:rsid w:val="00A14BBD"/>
    <w:rsid w:val="00A154D6"/>
    <w:rsid w:val="00A15DDF"/>
    <w:rsid w:val="00A15F36"/>
    <w:rsid w:val="00A1611F"/>
    <w:rsid w:val="00A1640C"/>
    <w:rsid w:val="00A16428"/>
    <w:rsid w:val="00A164EC"/>
    <w:rsid w:val="00A16586"/>
    <w:rsid w:val="00A165AA"/>
    <w:rsid w:val="00A165F8"/>
    <w:rsid w:val="00A168EB"/>
    <w:rsid w:val="00A168F6"/>
    <w:rsid w:val="00A16A8D"/>
    <w:rsid w:val="00A17411"/>
    <w:rsid w:val="00A17447"/>
    <w:rsid w:val="00A174EB"/>
    <w:rsid w:val="00A1771E"/>
    <w:rsid w:val="00A17739"/>
    <w:rsid w:val="00A1781A"/>
    <w:rsid w:val="00A17A08"/>
    <w:rsid w:val="00A17EA9"/>
    <w:rsid w:val="00A17F19"/>
    <w:rsid w:val="00A17F6D"/>
    <w:rsid w:val="00A203AF"/>
    <w:rsid w:val="00A203F4"/>
    <w:rsid w:val="00A2081B"/>
    <w:rsid w:val="00A20BA1"/>
    <w:rsid w:val="00A20F15"/>
    <w:rsid w:val="00A211E0"/>
    <w:rsid w:val="00A214AA"/>
    <w:rsid w:val="00A218C6"/>
    <w:rsid w:val="00A21A2C"/>
    <w:rsid w:val="00A21B46"/>
    <w:rsid w:val="00A21C33"/>
    <w:rsid w:val="00A21CA4"/>
    <w:rsid w:val="00A21E8A"/>
    <w:rsid w:val="00A2232C"/>
    <w:rsid w:val="00A22395"/>
    <w:rsid w:val="00A224D0"/>
    <w:rsid w:val="00A2259A"/>
    <w:rsid w:val="00A2259B"/>
    <w:rsid w:val="00A226EF"/>
    <w:rsid w:val="00A2275F"/>
    <w:rsid w:val="00A22FBC"/>
    <w:rsid w:val="00A23347"/>
    <w:rsid w:val="00A23813"/>
    <w:rsid w:val="00A23996"/>
    <w:rsid w:val="00A23EBA"/>
    <w:rsid w:val="00A24156"/>
    <w:rsid w:val="00A247AA"/>
    <w:rsid w:val="00A24A9A"/>
    <w:rsid w:val="00A250ED"/>
    <w:rsid w:val="00A25BEC"/>
    <w:rsid w:val="00A25D43"/>
    <w:rsid w:val="00A25F26"/>
    <w:rsid w:val="00A26149"/>
    <w:rsid w:val="00A263F5"/>
    <w:rsid w:val="00A26715"/>
    <w:rsid w:val="00A267C9"/>
    <w:rsid w:val="00A26AF3"/>
    <w:rsid w:val="00A2712B"/>
    <w:rsid w:val="00A271A9"/>
    <w:rsid w:val="00A27435"/>
    <w:rsid w:val="00A27A9C"/>
    <w:rsid w:val="00A27D22"/>
    <w:rsid w:val="00A302F9"/>
    <w:rsid w:val="00A3056D"/>
    <w:rsid w:val="00A30AFA"/>
    <w:rsid w:val="00A30DD7"/>
    <w:rsid w:val="00A31076"/>
    <w:rsid w:val="00A3130F"/>
    <w:rsid w:val="00A31479"/>
    <w:rsid w:val="00A316B1"/>
    <w:rsid w:val="00A3180F"/>
    <w:rsid w:val="00A31D76"/>
    <w:rsid w:val="00A31EA9"/>
    <w:rsid w:val="00A31F26"/>
    <w:rsid w:val="00A3211F"/>
    <w:rsid w:val="00A3270A"/>
    <w:rsid w:val="00A333DB"/>
    <w:rsid w:val="00A33466"/>
    <w:rsid w:val="00A33660"/>
    <w:rsid w:val="00A3379D"/>
    <w:rsid w:val="00A3398E"/>
    <w:rsid w:val="00A33DC3"/>
    <w:rsid w:val="00A33DD0"/>
    <w:rsid w:val="00A33E46"/>
    <w:rsid w:val="00A344C2"/>
    <w:rsid w:val="00A34543"/>
    <w:rsid w:val="00A345A5"/>
    <w:rsid w:val="00A34716"/>
    <w:rsid w:val="00A34973"/>
    <w:rsid w:val="00A3497E"/>
    <w:rsid w:val="00A349A7"/>
    <w:rsid w:val="00A34B58"/>
    <w:rsid w:val="00A34CC1"/>
    <w:rsid w:val="00A34D7A"/>
    <w:rsid w:val="00A34DFA"/>
    <w:rsid w:val="00A34F1C"/>
    <w:rsid w:val="00A35071"/>
    <w:rsid w:val="00A3514C"/>
    <w:rsid w:val="00A352CE"/>
    <w:rsid w:val="00A35541"/>
    <w:rsid w:val="00A360A9"/>
    <w:rsid w:val="00A36C31"/>
    <w:rsid w:val="00A379F0"/>
    <w:rsid w:val="00A37AF2"/>
    <w:rsid w:val="00A408DE"/>
    <w:rsid w:val="00A40EF6"/>
    <w:rsid w:val="00A41022"/>
    <w:rsid w:val="00A411CE"/>
    <w:rsid w:val="00A411FD"/>
    <w:rsid w:val="00A41387"/>
    <w:rsid w:val="00A41708"/>
    <w:rsid w:val="00A422FB"/>
    <w:rsid w:val="00A42873"/>
    <w:rsid w:val="00A4297C"/>
    <w:rsid w:val="00A42C54"/>
    <w:rsid w:val="00A42FC4"/>
    <w:rsid w:val="00A4305A"/>
    <w:rsid w:val="00A4351B"/>
    <w:rsid w:val="00A43634"/>
    <w:rsid w:val="00A438C8"/>
    <w:rsid w:val="00A43B9A"/>
    <w:rsid w:val="00A444A3"/>
    <w:rsid w:val="00A44B38"/>
    <w:rsid w:val="00A44D07"/>
    <w:rsid w:val="00A45050"/>
    <w:rsid w:val="00A45BB1"/>
    <w:rsid w:val="00A45E32"/>
    <w:rsid w:val="00A460D9"/>
    <w:rsid w:val="00A463A7"/>
    <w:rsid w:val="00A46E83"/>
    <w:rsid w:val="00A47091"/>
    <w:rsid w:val="00A470B3"/>
    <w:rsid w:val="00A47727"/>
    <w:rsid w:val="00A478A4"/>
    <w:rsid w:val="00A479CC"/>
    <w:rsid w:val="00A47ACF"/>
    <w:rsid w:val="00A47CDF"/>
    <w:rsid w:val="00A47D78"/>
    <w:rsid w:val="00A505B8"/>
    <w:rsid w:val="00A51124"/>
    <w:rsid w:val="00A5122A"/>
    <w:rsid w:val="00A51BEE"/>
    <w:rsid w:val="00A52DAC"/>
    <w:rsid w:val="00A52F49"/>
    <w:rsid w:val="00A532B5"/>
    <w:rsid w:val="00A53983"/>
    <w:rsid w:val="00A53AB9"/>
    <w:rsid w:val="00A53E42"/>
    <w:rsid w:val="00A53E9A"/>
    <w:rsid w:val="00A54696"/>
    <w:rsid w:val="00A5484C"/>
    <w:rsid w:val="00A5513E"/>
    <w:rsid w:val="00A556A0"/>
    <w:rsid w:val="00A557D2"/>
    <w:rsid w:val="00A55A08"/>
    <w:rsid w:val="00A55B44"/>
    <w:rsid w:val="00A56259"/>
    <w:rsid w:val="00A567BB"/>
    <w:rsid w:val="00A56809"/>
    <w:rsid w:val="00A568CC"/>
    <w:rsid w:val="00A569F1"/>
    <w:rsid w:val="00A56A7E"/>
    <w:rsid w:val="00A56C51"/>
    <w:rsid w:val="00A56D71"/>
    <w:rsid w:val="00A56DAC"/>
    <w:rsid w:val="00A56F53"/>
    <w:rsid w:val="00A57198"/>
    <w:rsid w:val="00A572C6"/>
    <w:rsid w:val="00A57441"/>
    <w:rsid w:val="00A57B48"/>
    <w:rsid w:val="00A6029D"/>
    <w:rsid w:val="00A60B4D"/>
    <w:rsid w:val="00A60D46"/>
    <w:rsid w:val="00A60D65"/>
    <w:rsid w:val="00A60E27"/>
    <w:rsid w:val="00A60F77"/>
    <w:rsid w:val="00A6103E"/>
    <w:rsid w:val="00A61B98"/>
    <w:rsid w:val="00A61E7C"/>
    <w:rsid w:val="00A61E88"/>
    <w:rsid w:val="00A61EFF"/>
    <w:rsid w:val="00A62042"/>
    <w:rsid w:val="00A62060"/>
    <w:rsid w:val="00A620C8"/>
    <w:rsid w:val="00A628E6"/>
    <w:rsid w:val="00A62D38"/>
    <w:rsid w:val="00A6330C"/>
    <w:rsid w:val="00A635FD"/>
    <w:rsid w:val="00A63734"/>
    <w:rsid w:val="00A63A18"/>
    <w:rsid w:val="00A63B0F"/>
    <w:rsid w:val="00A63E39"/>
    <w:rsid w:val="00A63F05"/>
    <w:rsid w:val="00A647E3"/>
    <w:rsid w:val="00A64DC5"/>
    <w:rsid w:val="00A652A0"/>
    <w:rsid w:val="00A6558C"/>
    <w:rsid w:val="00A6563F"/>
    <w:rsid w:val="00A657CF"/>
    <w:rsid w:val="00A65AA3"/>
    <w:rsid w:val="00A65B81"/>
    <w:rsid w:val="00A65C5A"/>
    <w:rsid w:val="00A66133"/>
    <w:rsid w:val="00A6643B"/>
    <w:rsid w:val="00A664D7"/>
    <w:rsid w:val="00A66806"/>
    <w:rsid w:val="00A669A1"/>
    <w:rsid w:val="00A66A6F"/>
    <w:rsid w:val="00A66C0E"/>
    <w:rsid w:val="00A66D31"/>
    <w:rsid w:val="00A670A3"/>
    <w:rsid w:val="00A6746D"/>
    <w:rsid w:val="00A674C5"/>
    <w:rsid w:val="00A67ACF"/>
    <w:rsid w:val="00A67B4F"/>
    <w:rsid w:val="00A67B9F"/>
    <w:rsid w:val="00A70C25"/>
    <w:rsid w:val="00A70FB6"/>
    <w:rsid w:val="00A7114D"/>
    <w:rsid w:val="00A712FB"/>
    <w:rsid w:val="00A71D4A"/>
    <w:rsid w:val="00A72166"/>
    <w:rsid w:val="00A72927"/>
    <w:rsid w:val="00A73D92"/>
    <w:rsid w:val="00A73E8F"/>
    <w:rsid w:val="00A73ECB"/>
    <w:rsid w:val="00A742F6"/>
    <w:rsid w:val="00A74AD2"/>
    <w:rsid w:val="00A74C13"/>
    <w:rsid w:val="00A74F0B"/>
    <w:rsid w:val="00A74F88"/>
    <w:rsid w:val="00A75322"/>
    <w:rsid w:val="00A754B4"/>
    <w:rsid w:val="00A75783"/>
    <w:rsid w:val="00A757E8"/>
    <w:rsid w:val="00A75C11"/>
    <w:rsid w:val="00A7618E"/>
    <w:rsid w:val="00A7644E"/>
    <w:rsid w:val="00A765D7"/>
    <w:rsid w:val="00A767A2"/>
    <w:rsid w:val="00A77513"/>
    <w:rsid w:val="00A77ADE"/>
    <w:rsid w:val="00A80BAC"/>
    <w:rsid w:val="00A814B4"/>
    <w:rsid w:val="00A8199F"/>
    <w:rsid w:val="00A81A12"/>
    <w:rsid w:val="00A81AAE"/>
    <w:rsid w:val="00A81F34"/>
    <w:rsid w:val="00A82592"/>
    <w:rsid w:val="00A82894"/>
    <w:rsid w:val="00A835E2"/>
    <w:rsid w:val="00A836CC"/>
    <w:rsid w:val="00A83BF5"/>
    <w:rsid w:val="00A849E4"/>
    <w:rsid w:val="00A84A75"/>
    <w:rsid w:val="00A84D9A"/>
    <w:rsid w:val="00A85046"/>
    <w:rsid w:val="00A85791"/>
    <w:rsid w:val="00A85D32"/>
    <w:rsid w:val="00A86543"/>
    <w:rsid w:val="00A867A5"/>
    <w:rsid w:val="00A86899"/>
    <w:rsid w:val="00A86B4E"/>
    <w:rsid w:val="00A86EB0"/>
    <w:rsid w:val="00A8709A"/>
    <w:rsid w:val="00A8755F"/>
    <w:rsid w:val="00A8779E"/>
    <w:rsid w:val="00A87A43"/>
    <w:rsid w:val="00A87C27"/>
    <w:rsid w:val="00A901B1"/>
    <w:rsid w:val="00A90BA6"/>
    <w:rsid w:val="00A910A4"/>
    <w:rsid w:val="00A91C91"/>
    <w:rsid w:val="00A91CFC"/>
    <w:rsid w:val="00A92010"/>
    <w:rsid w:val="00A920D3"/>
    <w:rsid w:val="00A920D8"/>
    <w:rsid w:val="00A92133"/>
    <w:rsid w:val="00A923D4"/>
    <w:rsid w:val="00A92B37"/>
    <w:rsid w:val="00A92E75"/>
    <w:rsid w:val="00A9326F"/>
    <w:rsid w:val="00A93653"/>
    <w:rsid w:val="00A9379D"/>
    <w:rsid w:val="00A93AAC"/>
    <w:rsid w:val="00A93C87"/>
    <w:rsid w:val="00A94953"/>
    <w:rsid w:val="00A94FB7"/>
    <w:rsid w:val="00A950DC"/>
    <w:rsid w:val="00A95195"/>
    <w:rsid w:val="00A959D5"/>
    <w:rsid w:val="00A96012"/>
    <w:rsid w:val="00A96207"/>
    <w:rsid w:val="00A9630A"/>
    <w:rsid w:val="00A96834"/>
    <w:rsid w:val="00A96CF9"/>
    <w:rsid w:val="00A96F8E"/>
    <w:rsid w:val="00AA0590"/>
    <w:rsid w:val="00AA0F02"/>
    <w:rsid w:val="00AA1236"/>
    <w:rsid w:val="00AA1AF3"/>
    <w:rsid w:val="00AA228B"/>
    <w:rsid w:val="00AA2497"/>
    <w:rsid w:val="00AA2723"/>
    <w:rsid w:val="00AA275F"/>
    <w:rsid w:val="00AA2A93"/>
    <w:rsid w:val="00AA2C4C"/>
    <w:rsid w:val="00AA3660"/>
    <w:rsid w:val="00AA3AEB"/>
    <w:rsid w:val="00AA3C6C"/>
    <w:rsid w:val="00AA3F60"/>
    <w:rsid w:val="00AA4066"/>
    <w:rsid w:val="00AA4214"/>
    <w:rsid w:val="00AA45DC"/>
    <w:rsid w:val="00AA4983"/>
    <w:rsid w:val="00AA4B4B"/>
    <w:rsid w:val="00AA4FCC"/>
    <w:rsid w:val="00AA5048"/>
    <w:rsid w:val="00AA5254"/>
    <w:rsid w:val="00AA55B9"/>
    <w:rsid w:val="00AA584F"/>
    <w:rsid w:val="00AA59FC"/>
    <w:rsid w:val="00AA6255"/>
    <w:rsid w:val="00AA6502"/>
    <w:rsid w:val="00AA6689"/>
    <w:rsid w:val="00AA7425"/>
    <w:rsid w:val="00AB02CD"/>
    <w:rsid w:val="00AB06DC"/>
    <w:rsid w:val="00AB0748"/>
    <w:rsid w:val="00AB0896"/>
    <w:rsid w:val="00AB0C35"/>
    <w:rsid w:val="00AB112D"/>
    <w:rsid w:val="00AB12D9"/>
    <w:rsid w:val="00AB14F5"/>
    <w:rsid w:val="00AB15DD"/>
    <w:rsid w:val="00AB16D1"/>
    <w:rsid w:val="00AB19E3"/>
    <w:rsid w:val="00AB1D5A"/>
    <w:rsid w:val="00AB1FB2"/>
    <w:rsid w:val="00AB2457"/>
    <w:rsid w:val="00AB25FE"/>
    <w:rsid w:val="00AB2714"/>
    <w:rsid w:val="00AB274A"/>
    <w:rsid w:val="00AB28D3"/>
    <w:rsid w:val="00AB2D1C"/>
    <w:rsid w:val="00AB3EF9"/>
    <w:rsid w:val="00AB4A45"/>
    <w:rsid w:val="00AB4BD3"/>
    <w:rsid w:val="00AB5263"/>
    <w:rsid w:val="00AB5902"/>
    <w:rsid w:val="00AB592D"/>
    <w:rsid w:val="00AB5976"/>
    <w:rsid w:val="00AB5F86"/>
    <w:rsid w:val="00AB661E"/>
    <w:rsid w:val="00AB695C"/>
    <w:rsid w:val="00AB6995"/>
    <w:rsid w:val="00AB6BDA"/>
    <w:rsid w:val="00AB70F3"/>
    <w:rsid w:val="00AB74BF"/>
    <w:rsid w:val="00AB7945"/>
    <w:rsid w:val="00AB7ABF"/>
    <w:rsid w:val="00AB7CEE"/>
    <w:rsid w:val="00AC01B1"/>
    <w:rsid w:val="00AC08AE"/>
    <w:rsid w:val="00AC092B"/>
    <w:rsid w:val="00AC0F9B"/>
    <w:rsid w:val="00AC0FC5"/>
    <w:rsid w:val="00AC10D3"/>
    <w:rsid w:val="00AC171C"/>
    <w:rsid w:val="00AC186D"/>
    <w:rsid w:val="00AC1CE6"/>
    <w:rsid w:val="00AC1D96"/>
    <w:rsid w:val="00AC1F25"/>
    <w:rsid w:val="00AC20B0"/>
    <w:rsid w:val="00AC24DE"/>
    <w:rsid w:val="00AC268C"/>
    <w:rsid w:val="00AC2928"/>
    <w:rsid w:val="00AC2DAB"/>
    <w:rsid w:val="00AC311D"/>
    <w:rsid w:val="00AC312D"/>
    <w:rsid w:val="00AC3A34"/>
    <w:rsid w:val="00AC3BAE"/>
    <w:rsid w:val="00AC401C"/>
    <w:rsid w:val="00AC4D3D"/>
    <w:rsid w:val="00AC53FC"/>
    <w:rsid w:val="00AC54F2"/>
    <w:rsid w:val="00AC56E7"/>
    <w:rsid w:val="00AC60F7"/>
    <w:rsid w:val="00AC60FE"/>
    <w:rsid w:val="00AC62C3"/>
    <w:rsid w:val="00AC66BF"/>
    <w:rsid w:val="00AC6ADE"/>
    <w:rsid w:val="00AC7482"/>
    <w:rsid w:val="00AC7520"/>
    <w:rsid w:val="00AC77FE"/>
    <w:rsid w:val="00AC79F7"/>
    <w:rsid w:val="00AC7B4C"/>
    <w:rsid w:val="00AC7C37"/>
    <w:rsid w:val="00AD0043"/>
    <w:rsid w:val="00AD01C8"/>
    <w:rsid w:val="00AD0573"/>
    <w:rsid w:val="00AD07D2"/>
    <w:rsid w:val="00AD0ACE"/>
    <w:rsid w:val="00AD0BF7"/>
    <w:rsid w:val="00AD0EEE"/>
    <w:rsid w:val="00AD1201"/>
    <w:rsid w:val="00AD1540"/>
    <w:rsid w:val="00AD176C"/>
    <w:rsid w:val="00AD1770"/>
    <w:rsid w:val="00AD1A39"/>
    <w:rsid w:val="00AD1ED9"/>
    <w:rsid w:val="00AD2269"/>
    <w:rsid w:val="00AD2C8A"/>
    <w:rsid w:val="00AD2E99"/>
    <w:rsid w:val="00AD3097"/>
    <w:rsid w:val="00AD36DF"/>
    <w:rsid w:val="00AD3960"/>
    <w:rsid w:val="00AD3E70"/>
    <w:rsid w:val="00AD43A3"/>
    <w:rsid w:val="00AD4600"/>
    <w:rsid w:val="00AD4A8B"/>
    <w:rsid w:val="00AD53BF"/>
    <w:rsid w:val="00AD584F"/>
    <w:rsid w:val="00AD5929"/>
    <w:rsid w:val="00AD6464"/>
    <w:rsid w:val="00AD705A"/>
    <w:rsid w:val="00AD7085"/>
    <w:rsid w:val="00AD7845"/>
    <w:rsid w:val="00AD7C69"/>
    <w:rsid w:val="00AD7EE6"/>
    <w:rsid w:val="00AE027C"/>
    <w:rsid w:val="00AE0690"/>
    <w:rsid w:val="00AE0A03"/>
    <w:rsid w:val="00AE0E20"/>
    <w:rsid w:val="00AE12E9"/>
    <w:rsid w:val="00AE1AEF"/>
    <w:rsid w:val="00AE226A"/>
    <w:rsid w:val="00AE2ACA"/>
    <w:rsid w:val="00AE2D8E"/>
    <w:rsid w:val="00AE30B4"/>
    <w:rsid w:val="00AE34CF"/>
    <w:rsid w:val="00AE42C7"/>
    <w:rsid w:val="00AE437C"/>
    <w:rsid w:val="00AE4C38"/>
    <w:rsid w:val="00AE52DE"/>
    <w:rsid w:val="00AE5360"/>
    <w:rsid w:val="00AE5DA9"/>
    <w:rsid w:val="00AE5F19"/>
    <w:rsid w:val="00AE6144"/>
    <w:rsid w:val="00AE634B"/>
    <w:rsid w:val="00AE6925"/>
    <w:rsid w:val="00AE6A70"/>
    <w:rsid w:val="00AE7866"/>
    <w:rsid w:val="00AE7966"/>
    <w:rsid w:val="00AF0642"/>
    <w:rsid w:val="00AF0E08"/>
    <w:rsid w:val="00AF164C"/>
    <w:rsid w:val="00AF2168"/>
    <w:rsid w:val="00AF219D"/>
    <w:rsid w:val="00AF230F"/>
    <w:rsid w:val="00AF29ED"/>
    <w:rsid w:val="00AF2B27"/>
    <w:rsid w:val="00AF3357"/>
    <w:rsid w:val="00AF37CE"/>
    <w:rsid w:val="00AF396D"/>
    <w:rsid w:val="00AF4C8D"/>
    <w:rsid w:val="00AF6B59"/>
    <w:rsid w:val="00AF7002"/>
    <w:rsid w:val="00AF7192"/>
    <w:rsid w:val="00AF726C"/>
    <w:rsid w:val="00AF750A"/>
    <w:rsid w:val="00AF7629"/>
    <w:rsid w:val="00AF790F"/>
    <w:rsid w:val="00AF7B90"/>
    <w:rsid w:val="00AF7EC5"/>
    <w:rsid w:val="00AF7F3A"/>
    <w:rsid w:val="00B00584"/>
    <w:rsid w:val="00B00CB0"/>
    <w:rsid w:val="00B00CCF"/>
    <w:rsid w:val="00B00D5A"/>
    <w:rsid w:val="00B00D6C"/>
    <w:rsid w:val="00B00FC2"/>
    <w:rsid w:val="00B011C7"/>
    <w:rsid w:val="00B012AE"/>
    <w:rsid w:val="00B01377"/>
    <w:rsid w:val="00B017C6"/>
    <w:rsid w:val="00B018F6"/>
    <w:rsid w:val="00B01B64"/>
    <w:rsid w:val="00B01DE1"/>
    <w:rsid w:val="00B01E30"/>
    <w:rsid w:val="00B0229B"/>
    <w:rsid w:val="00B025A7"/>
    <w:rsid w:val="00B025B4"/>
    <w:rsid w:val="00B02ACB"/>
    <w:rsid w:val="00B02B91"/>
    <w:rsid w:val="00B03050"/>
    <w:rsid w:val="00B03575"/>
    <w:rsid w:val="00B03650"/>
    <w:rsid w:val="00B03704"/>
    <w:rsid w:val="00B03E12"/>
    <w:rsid w:val="00B04216"/>
    <w:rsid w:val="00B048CD"/>
    <w:rsid w:val="00B0507A"/>
    <w:rsid w:val="00B05326"/>
    <w:rsid w:val="00B05370"/>
    <w:rsid w:val="00B05563"/>
    <w:rsid w:val="00B057DA"/>
    <w:rsid w:val="00B05CD8"/>
    <w:rsid w:val="00B05D20"/>
    <w:rsid w:val="00B06244"/>
    <w:rsid w:val="00B0694F"/>
    <w:rsid w:val="00B1052C"/>
    <w:rsid w:val="00B10821"/>
    <w:rsid w:val="00B10F1C"/>
    <w:rsid w:val="00B115BD"/>
    <w:rsid w:val="00B11800"/>
    <w:rsid w:val="00B1205F"/>
    <w:rsid w:val="00B12208"/>
    <w:rsid w:val="00B122D6"/>
    <w:rsid w:val="00B123CA"/>
    <w:rsid w:val="00B124DC"/>
    <w:rsid w:val="00B12620"/>
    <w:rsid w:val="00B134F6"/>
    <w:rsid w:val="00B13599"/>
    <w:rsid w:val="00B1439A"/>
    <w:rsid w:val="00B1457A"/>
    <w:rsid w:val="00B14777"/>
    <w:rsid w:val="00B14BB4"/>
    <w:rsid w:val="00B14E5F"/>
    <w:rsid w:val="00B14ED3"/>
    <w:rsid w:val="00B1522E"/>
    <w:rsid w:val="00B155DC"/>
    <w:rsid w:val="00B15796"/>
    <w:rsid w:val="00B162C3"/>
    <w:rsid w:val="00B16A6A"/>
    <w:rsid w:val="00B17392"/>
    <w:rsid w:val="00B17412"/>
    <w:rsid w:val="00B1771A"/>
    <w:rsid w:val="00B178EF"/>
    <w:rsid w:val="00B17B1C"/>
    <w:rsid w:val="00B17E55"/>
    <w:rsid w:val="00B17F75"/>
    <w:rsid w:val="00B200EB"/>
    <w:rsid w:val="00B20113"/>
    <w:rsid w:val="00B20288"/>
    <w:rsid w:val="00B204FD"/>
    <w:rsid w:val="00B206AF"/>
    <w:rsid w:val="00B20A93"/>
    <w:rsid w:val="00B20B2B"/>
    <w:rsid w:val="00B20F45"/>
    <w:rsid w:val="00B21079"/>
    <w:rsid w:val="00B212FB"/>
    <w:rsid w:val="00B2139F"/>
    <w:rsid w:val="00B214DF"/>
    <w:rsid w:val="00B2167F"/>
    <w:rsid w:val="00B216C1"/>
    <w:rsid w:val="00B21B1D"/>
    <w:rsid w:val="00B21C04"/>
    <w:rsid w:val="00B21F2D"/>
    <w:rsid w:val="00B2269B"/>
    <w:rsid w:val="00B22D81"/>
    <w:rsid w:val="00B22E79"/>
    <w:rsid w:val="00B22F6E"/>
    <w:rsid w:val="00B2309C"/>
    <w:rsid w:val="00B23693"/>
    <w:rsid w:val="00B23EF5"/>
    <w:rsid w:val="00B24392"/>
    <w:rsid w:val="00B24415"/>
    <w:rsid w:val="00B24595"/>
    <w:rsid w:val="00B245E7"/>
    <w:rsid w:val="00B24A5F"/>
    <w:rsid w:val="00B24D0C"/>
    <w:rsid w:val="00B24D8D"/>
    <w:rsid w:val="00B24E07"/>
    <w:rsid w:val="00B24E9C"/>
    <w:rsid w:val="00B24EC2"/>
    <w:rsid w:val="00B250E9"/>
    <w:rsid w:val="00B25453"/>
    <w:rsid w:val="00B255A5"/>
    <w:rsid w:val="00B2575A"/>
    <w:rsid w:val="00B257D8"/>
    <w:rsid w:val="00B25A55"/>
    <w:rsid w:val="00B25AFD"/>
    <w:rsid w:val="00B26328"/>
    <w:rsid w:val="00B26392"/>
    <w:rsid w:val="00B26B9F"/>
    <w:rsid w:val="00B26EAE"/>
    <w:rsid w:val="00B27052"/>
    <w:rsid w:val="00B27132"/>
    <w:rsid w:val="00B27B3F"/>
    <w:rsid w:val="00B27D22"/>
    <w:rsid w:val="00B300AA"/>
    <w:rsid w:val="00B30734"/>
    <w:rsid w:val="00B30BCD"/>
    <w:rsid w:val="00B31215"/>
    <w:rsid w:val="00B31AC4"/>
    <w:rsid w:val="00B31D7C"/>
    <w:rsid w:val="00B3270C"/>
    <w:rsid w:val="00B3297F"/>
    <w:rsid w:val="00B3353A"/>
    <w:rsid w:val="00B3391B"/>
    <w:rsid w:val="00B33B38"/>
    <w:rsid w:val="00B33BDB"/>
    <w:rsid w:val="00B33EBA"/>
    <w:rsid w:val="00B346A9"/>
    <w:rsid w:val="00B34C3E"/>
    <w:rsid w:val="00B34C67"/>
    <w:rsid w:val="00B34C7E"/>
    <w:rsid w:val="00B34EB3"/>
    <w:rsid w:val="00B34F60"/>
    <w:rsid w:val="00B354B0"/>
    <w:rsid w:val="00B357F0"/>
    <w:rsid w:val="00B358A4"/>
    <w:rsid w:val="00B35CCC"/>
    <w:rsid w:val="00B35F06"/>
    <w:rsid w:val="00B36386"/>
    <w:rsid w:val="00B3671B"/>
    <w:rsid w:val="00B369E5"/>
    <w:rsid w:val="00B36F3E"/>
    <w:rsid w:val="00B37329"/>
    <w:rsid w:val="00B37960"/>
    <w:rsid w:val="00B37B92"/>
    <w:rsid w:val="00B40A11"/>
    <w:rsid w:val="00B40C1B"/>
    <w:rsid w:val="00B40F02"/>
    <w:rsid w:val="00B41285"/>
    <w:rsid w:val="00B412EF"/>
    <w:rsid w:val="00B41486"/>
    <w:rsid w:val="00B41E70"/>
    <w:rsid w:val="00B41E8D"/>
    <w:rsid w:val="00B4227A"/>
    <w:rsid w:val="00B42509"/>
    <w:rsid w:val="00B437E1"/>
    <w:rsid w:val="00B4389A"/>
    <w:rsid w:val="00B43912"/>
    <w:rsid w:val="00B43B3A"/>
    <w:rsid w:val="00B44756"/>
    <w:rsid w:val="00B44975"/>
    <w:rsid w:val="00B45289"/>
    <w:rsid w:val="00B45304"/>
    <w:rsid w:val="00B455B6"/>
    <w:rsid w:val="00B45793"/>
    <w:rsid w:val="00B458A2"/>
    <w:rsid w:val="00B45C1A"/>
    <w:rsid w:val="00B45CC4"/>
    <w:rsid w:val="00B460F7"/>
    <w:rsid w:val="00B4663D"/>
    <w:rsid w:val="00B46881"/>
    <w:rsid w:val="00B46896"/>
    <w:rsid w:val="00B47260"/>
    <w:rsid w:val="00B477CB"/>
    <w:rsid w:val="00B47DE5"/>
    <w:rsid w:val="00B47F66"/>
    <w:rsid w:val="00B5022C"/>
    <w:rsid w:val="00B5064E"/>
    <w:rsid w:val="00B50BA4"/>
    <w:rsid w:val="00B51254"/>
    <w:rsid w:val="00B516B5"/>
    <w:rsid w:val="00B51784"/>
    <w:rsid w:val="00B5186A"/>
    <w:rsid w:val="00B51BB9"/>
    <w:rsid w:val="00B52294"/>
    <w:rsid w:val="00B5285B"/>
    <w:rsid w:val="00B529AD"/>
    <w:rsid w:val="00B52F16"/>
    <w:rsid w:val="00B5326E"/>
    <w:rsid w:val="00B532E0"/>
    <w:rsid w:val="00B534F4"/>
    <w:rsid w:val="00B53578"/>
    <w:rsid w:val="00B53B19"/>
    <w:rsid w:val="00B53DEA"/>
    <w:rsid w:val="00B54208"/>
    <w:rsid w:val="00B54284"/>
    <w:rsid w:val="00B54A0D"/>
    <w:rsid w:val="00B5510F"/>
    <w:rsid w:val="00B5596E"/>
    <w:rsid w:val="00B55DCE"/>
    <w:rsid w:val="00B56550"/>
    <w:rsid w:val="00B565BB"/>
    <w:rsid w:val="00B56898"/>
    <w:rsid w:val="00B56F60"/>
    <w:rsid w:val="00B57330"/>
    <w:rsid w:val="00B576EB"/>
    <w:rsid w:val="00B577C9"/>
    <w:rsid w:val="00B5790D"/>
    <w:rsid w:val="00B5798D"/>
    <w:rsid w:val="00B57F6E"/>
    <w:rsid w:val="00B6065F"/>
    <w:rsid w:val="00B608B9"/>
    <w:rsid w:val="00B608E3"/>
    <w:rsid w:val="00B60C28"/>
    <w:rsid w:val="00B6170C"/>
    <w:rsid w:val="00B61DFA"/>
    <w:rsid w:val="00B62123"/>
    <w:rsid w:val="00B62A48"/>
    <w:rsid w:val="00B6319E"/>
    <w:rsid w:val="00B6321B"/>
    <w:rsid w:val="00B63939"/>
    <w:rsid w:val="00B63AF8"/>
    <w:rsid w:val="00B6435C"/>
    <w:rsid w:val="00B644A3"/>
    <w:rsid w:val="00B6465B"/>
    <w:rsid w:val="00B647CB"/>
    <w:rsid w:val="00B64F20"/>
    <w:rsid w:val="00B655D5"/>
    <w:rsid w:val="00B65AAF"/>
    <w:rsid w:val="00B65B86"/>
    <w:rsid w:val="00B65F74"/>
    <w:rsid w:val="00B665F1"/>
    <w:rsid w:val="00B6690F"/>
    <w:rsid w:val="00B6711F"/>
    <w:rsid w:val="00B67165"/>
    <w:rsid w:val="00B6797B"/>
    <w:rsid w:val="00B679FD"/>
    <w:rsid w:val="00B67A42"/>
    <w:rsid w:val="00B708D5"/>
    <w:rsid w:val="00B70A1C"/>
    <w:rsid w:val="00B70C20"/>
    <w:rsid w:val="00B70CA3"/>
    <w:rsid w:val="00B70E95"/>
    <w:rsid w:val="00B712CD"/>
    <w:rsid w:val="00B713F1"/>
    <w:rsid w:val="00B716F2"/>
    <w:rsid w:val="00B717D9"/>
    <w:rsid w:val="00B7245B"/>
    <w:rsid w:val="00B72574"/>
    <w:rsid w:val="00B72726"/>
    <w:rsid w:val="00B72785"/>
    <w:rsid w:val="00B72F9D"/>
    <w:rsid w:val="00B72FD0"/>
    <w:rsid w:val="00B731EB"/>
    <w:rsid w:val="00B738FC"/>
    <w:rsid w:val="00B74E9A"/>
    <w:rsid w:val="00B751EE"/>
    <w:rsid w:val="00B75827"/>
    <w:rsid w:val="00B75A78"/>
    <w:rsid w:val="00B75C73"/>
    <w:rsid w:val="00B7601B"/>
    <w:rsid w:val="00B768AA"/>
    <w:rsid w:val="00B76B1B"/>
    <w:rsid w:val="00B76CF2"/>
    <w:rsid w:val="00B76DCA"/>
    <w:rsid w:val="00B76EFA"/>
    <w:rsid w:val="00B77247"/>
    <w:rsid w:val="00B77284"/>
    <w:rsid w:val="00B772CF"/>
    <w:rsid w:val="00B776C3"/>
    <w:rsid w:val="00B77A5D"/>
    <w:rsid w:val="00B77AEF"/>
    <w:rsid w:val="00B77FF8"/>
    <w:rsid w:val="00B80D2E"/>
    <w:rsid w:val="00B80FE6"/>
    <w:rsid w:val="00B811FA"/>
    <w:rsid w:val="00B812C1"/>
    <w:rsid w:val="00B82368"/>
    <w:rsid w:val="00B8262D"/>
    <w:rsid w:val="00B82764"/>
    <w:rsid w:val="00B828A9"/>
    <w:rsid w:val="00B83054"/>
    <w:rsid w:val="00B8324A"/>
    <w:rsid w:val="00B83330"/>
    <w:rsid w:val="00B833FA"/>
    <w:rsid w:val="00B83559"/>
    <w:rsid w:val="00B83587"/>
    <w:rsid w:val="00B83853"/>
    <w:rsid w:val="00B839FD"/>
    <w:rsid w:val="00B83B92"/>
    <w:rsid w:val="00B83F2B"/>
    <w:rsid w:val="00B84040"/>
    <w:rsid w:val="00B8410F"/>
    <w:rsid w:val="00B8437D"/>
    <w:rsid w:val="00B85AAF"/>
    <w:rsid w:val="00B85D27"/>
    <w:rsid w:val="00B866D5"/>
    <w:rsid w:val="00B869ED"/>
    <w:rsid w:val="00B86DC4"/>
    <w:rsid w:val="00B86DE5"/>
    <w:rsid w:val="00B87363"/>
    <w:rsid w:val="00B87AD8"/>
    <w:rsid w:val="00B87E3E"/>
    <w:rsid w:val="00B9008F"/>
    <w:rsid w:val="00B901FC"/>
    <w:rsid w:val="00B90916"/>
    <w:rsid w:val="00B909B2"/>
    <w:rsid w:val="00B90B5E"/>
    <w:rsid w:val="00B90CEA"/>
    <w:rsid w:val="00B91914"/>
    <w:rsid w:val="00B92ABE"/>
    <w:rsid w:val="00B9333C"/>
    <w:rsid w:val="00B93B70"/>
    <w:rsid w:val="00B93C98"/>
    <w:rsid w:val="00B94395"/>
    <w:rsid w:val="00B94FD6"/>
    <w:rsid w:val="00B9568C"/>
    <w:rsid w:val="00B95D7C"/>
    <w:rsid w:val="00B95E47"/>
    <w:rsid w:val="00B9716A"/>
    <w:rsid w:val="00B97222"/>
    <w:rsid w:val="00B97297"/>
    <w:rsid w:val="00BA0732"/>
    <w:rsid w:val="00BA0AA6"/>
    <w:rsid w:val="00BA10E4"/>
    <w:rsid w:val="00BA12C8"/>
    <w:rsid w:val="00BA1665"/>
    <w:rsid w:val="00BA1E32"/>
    <w:rsid w:val="00BA1FA6"/>
    <w:rsid w:val="00BA2044"/>
    <w:rsid w:val="00BA2317"/>
    <w:rsid w:val="00BA248E"/>
    <w:rsid w:val="00BA2793"/>
    <w:rsid w:val="00BA2A55"/>
    <w:rsid w:val="00BA2A7B"/>
    <w:rsid w:val="00BA3897"/>
    <w:rsid w:val="00BA398A"/>
    <w:rsid w:val="00BA41AC"/>
    <w:rsid w:val="00BA454A"/>
    <w:rsid w:val="00BA49E3"/>
    <w:rsid w:val="00BA4C3A"/>
    <w:rsid w:val="00BA4D52"/>
    <w:rsid w:val="00BA4EED"/>
    <w:rsid w:val="00BA4FC2"/>
    <w:rsid w:val="00BA51EF"/>
    <w:rsid w:val="00BA53D9"/>
    <w:rsid w:val="00BA5523"/>
    <w:rsid w:val="00BA582A"/>
    <w:rsid w:val="00BA58DE"/>
    <w:rsid w:val="00BA5B75"/>
    <w:rsid w:val="00BA5B87"/>
    <w:rsid w:val="00BA5E2F"/>
    <w:rsid w:val="00BA6589"/>
    <w:rsid w:val="00BA6672"/>
    <w:rsid w:val="00BA6E39"/>
    <w:rsid w:val="00BA7192"/>
    <w:rsid w:val="00BA74C1"/>
    <w:rsid w:val="00BA7969"/>
    <w:rsid w:val="00BA7F65"/>
    <w:rsid w:val="00BA7FDD"/>
    <w:rsid w:val="00BB01BC"/>
    <w:rsid w:val="00BB0548"/>
    <w:rsid w:val="00BB05A9"/>
    <w:rsid w:val="00BB05C9"/>
    <w:rsid w:val="00BB0695"/>
    <w:rsid w:val="00BB08A0"/>
    <w:rsid w:val="00BB0955"/>
    <w:rsid w:val="00BB09CD"/>
    <w:rsid w:val="00BB0D10"/>
    <w:rsid w:val="00BB117A"/>
    <w:rsid w:val="00BB12A4"/>
    <w:rsid w:val="00BB12F8"/>
    <w:rsid w:val="00BB1549"/>
    <w:rsid w:val="00BB1B7C"/>
    <w:rsid w:val="00BB1CB7"/>
    <w:rsid w:val="00BB2A38"/>
    <w:rsid w:val="00BB2AA0"/>
    <w:rsid w:val="00BB2B67"/>
    <w:rsid w:val="00BB2BF5"/>
    <w:rsid w:val="00BB3D3A"/>
    <w:rsid w:val="00BB3E71"/>
    <w:rsid w:val="00BB3F36"/>
    <w:rsid w:val="00BB403C"/>
    <w:rsid w:val="00BB43A5"/>
    <w:rsid w:val="00BB461C"/>
    <w:rsid w:val="00BB4740"/>
    <w:rsid w:val="00BB487E"/>
    <w:rsid w:val="00BB4A1C"/>
    <w:rsid w:val="00BB4F00"/>
    <w:rsid w:val="00BB56C3"/>
    <w:rsid w:val="00BB5DF8"/>
    <w:rsid w:val="00BB6D0D"/>
    <w:rsid w:val="00BB6E53"/>
    <w:rsid w:val="00BB704C"/>
    <w:rsid w:val="00BC038D"/>
    <w:rsid w:val="00BC0481"/>
    <w:rsid w:val="00BC04E3"/>
    <w:rsid w:val="00BC08E1"/>
    <w:rsid w:val="00BC0917"/>
    <w:rsid w:val="00BC0A9A"/>
    <w:rsid w:val="00BC0B30"/>
    <w:rsid w:val="00BC0C7A"/>
    <w:rsid w:val="00BC1095"/>
    <w:rsid w:val="00BC1828"/>
    <w:rsid w:val="00BC1CA1"/>
    <w:rsid w:val="00BC22E8"/>
    <w:rsid w:val="00BC240B"/>
    <w:rsid w:val="00BC2D5A"/>
    <w:rsid w:val="00BC2F32"/>
    <w:rsid w:val="00BC2F81"/>
    <w:rsid w:val="00BC3034"/>
    <w:rsid w:val="00BC3A4C"/>
    <w:rsid w:val="00BC3ABA"/>
    <w:rsid w:val="00BC3B1C"/>
    <w:rsid w:val="00BC40FA"/>
    <w:rsid w:val="00BC4189"/>
    <w:rsid w:val="00BC42A7"/>
    <w:rsid w:val="00BC4480"/>
    <w:rsid w:val="00BC45EF"/>
    <w:rsid w:val="00BC476B"/>
    <w:rsid w:val="00BC5055"/>
    <w:rsid w:val="00BC51E4"/>
    <w:rsid w:val="00BC5239"/>
    <w:rsid w:val="00BC5250"/>
    <w:rsid w:val="00BC54B2"/>
    <w:rsid w:val="00BC56DD"/>
    <w:rsid w:val="00BC58FD"/>
    <w:rsid w:val="00BC6AFF"/>
    <w:rsid w:val="00BC6EED"/>
    <w:rsid w:val="00BC7B2D"/>
    <w:rsid w:val="00BC7BEF"/>
    <w:rsid w:val="00BD0451"/>
    <w:rsid w:val="00BD1128"/>
    <w:rsid w:val="00BD1A30"/>
    <w:rsid w:val="00BD1A50"/>
    <w:rsid w:val="00BD1A9D"/>
    <w:rsid w:val="00BD1B74"/>
    <w:rsid w:val="00BD1D77"/>
    <w:rsid w:val="00BD27CC"/>
    <w:rsid w:val="00BD2C15"/>
    <w:rsid w:val="00BD314C"/>
    <w:rsid w:val="00BD369D"/>
    <w:rsid w:val="00BD3995"/>
    <w:rsid w:val="00BD3BFB"/>
    <w:rsid w:val="00BD3EAD"/>
    <w:rsid w:val="00BD4291"/>
    <w:rsid w:val="00BD461F"/>
    <w:rsid w:val="00BD4E92"/>
    <w:rsid w:val="00BD512C"/>
    <w:rsid w:val="00BD5343"/>
    <w:rsid w:val="00BD5917"/>
    <w:rsid w:val="00BD5DAD"/>
    <w:rsid w:val="00BD6343"/>
    <w:rsid w:val="00BD6776"/>
    <w:rsid w:val="00BD6E8A"/>
    <w:rsid w:val="00BD7535"/>
    <w:rsid w:val="00BD772C"/>
    <w:rsid w:val="00BD7A16"/>
    <w:rsid w:val="00BD7F7C"/>
    <w:rsid w:val="00BE031C"/>
    <w:rsid w:val="00BE03EE"/>
    <w:rsid w:val="00BE0427"/>
    <w:rsid w:val="00BE0998"/>
    <w:rsid w:val="00BE0AAA"/>
    <w:rsid w:val="00BE1346"/>
    <w:rsid w:val="00BE1764"/>
    <w:rsid w:val="00BE1F3E"/>
    <w:rsid w:val="00BE2049"/>
    <w:rsid w:val="00BE2476"/>
    <w:rsid w:val="00BE29C1"/>
    <w:rsid w:val="00BE2AFC"/>
    <w:rsid w:val="00BE2D8F"/>
    <w:rsid w:val="00BE2FCE"/>
    <w:rsid w:val="00BE316D"/>
    <w:rsid w:val="00BE3250"/>
    <w:rsid w:val="00BE3839"/>
    <w:rsid w:val="00BE384F"/>
    <w:rsid w:val="00BE390C"/>
    <w:rsid w:val="00BE3BFC"/>
    <w:rsid w:val="00BE4012"/>
    <w:rsid w:val="00BE4139"/>
    <w:rsid w:val="00BE43C6"/>
    <w:rsid w:val="00BE4959"/>
    <w:rsid w:val="00BE4A8B"/>
    <w:rsid w:val="00BE5D65"/>
    <w:rsid w:val="00BE6137"/>
    <w:rsid w:val="00BE6800"/>
    <w:rsid w:val="00BE6906"/>
    <w:rsid w:val="00BE6A4C"/>
    <w:rsid w:val="00BE6BA9"/>
    <w:rsid w:val="00BE6D93"/>
    <w:rsid w:val="00BE740B"/>
    <w:rsid w:val="00BE746E"/>
    <w:rsid w:val="00BE7872"/>
    <w:rsid w:val="00BE7C2D"/>
    <w:rsid w:val="00BE7C67"/>
    <w:rsid w:val="00BE7EC7"/>
    <w:rsid w:val="00BF007F"/>
    <w:rsid w:val="00BF0299"/>
    <w:rsid w:val="00BF0597"/>
    <w:rsid w:val="00BF1041"/>
    <w:rsid w:val="00BF107D"/>
    <w:rsid w:val="00BF10BC"/>
    <w:rsid w:val="00BF15BE"/>
    <w:rsid w:val="00BF1706"/>
    <w:rsid w:val="00BF1993"/>
    <w:rsid w:val="00BF1C8A"/>
    <w:rsid w:val="00BF1D4D"/>
    <w:rsid w:val="00BF20C3"/>
    <w:rsid w:val="00BF224E"/>
    <w:rsid w:val="00BF22F0"/>
    <w:rsid w:val="00BF232C"/>
    <w:rsid w:val="00BF25F6"/>
    <w:rsid w:val="00BF272C"/>
    <w:rsid w:val="00BF2AA7"/>
    <w:rsid w:val="00BF2C88"/>
    <w:rsid w:val="00BF32B6"/>
    <w:rsid w:val="00BF35B3"/>
    <w:rsid w:val="00BF35CB"/>
    <w:rsid w:val="00BF3893"/>
    <w:rsid w:val="00BF38D4"/>
    <w:rsid w:val="00BF3FFB"/>
    <w:rsid w:val="00BF4841"/>
    <w:rsid w:val="00BF4CAB"/>
    <w:rsid w:val="00BF5060"/>
    <w:rsid w:val="00BF5551"/>
    <w:rsid w:val="00BF5652"/>
    <w:rsid w:val="00BF6129"/>
    <w:rsid w:val="00BF72D5"/>
    <w:rsid w:val="00BF72F8"/>
    <w:rsid w:val="00BF7756"/>
    <w:rsid w:val="00BF7FC6"/>
    <w:rsid w:val="00C0083D"/>
    <w:rsid w:val="00C00ABE"/>
    <w:rsid w:val="00C00D41"/>
    <w:rsid w:val="00C01140"/>
    <w:rsid w:val="00C01363"/>
    <w:rsid w:val="00C01548"/>
    <w:rsid w:val="00C01926"/>
    <w:rsid w:val="00C019D6"/>
    <w:rsid w:val="00C01AE3"/>
    <w:rsid w:val="00C021B9"/>
    <w:rsid w:val="00C0254B"/>
    <w:rsid w:val="00C025ED"/>
    <w:rsid w:val="00C02759"/>
    <w:rsid w:val="00C0281E"/>
    <w:rsid w:val="00C029FC"/>
    <w:rsid w:val="00C035CD"/>
    <w:rsid w:val="00C0379B"/>
    <w:rsid w:val="00C0388D"/>
    <w:rsid w:val="00C040D9"/>
    <w:rsid w:val="00C050EE"/>
    <w:rsid w:val="00C0526B"/>
    <w:rsid w:val="00C05F09"/>
    <w:rsid w:val="00C0631C"/>
    <w:rsid w:val="00C06422"/>
    <w:rsid w:val="00C06591"/>
    <w:rsid w:val="00C069E2"/>
    <w:rsid w:val="00C06CE9"/>
    <w:rsid w:val="00C06EC5"/>
    <w:rsid w:val="00C06EF7"/>
    <w:rsid w:val="00C0702C"/>
    <w:rsid w:val="00C0751B"/>
    <w:rsid w:val="00C078B1"/>
    <w:rsid w:val="00C07926"/>
    <w:rsid w:val="00C07A21"/>
    <w:rsid w:val="00C07CB1"/>
    <w:rsid w:val="00C07EE3"/>
    <w:rsid w:val="00C10535"/>
    <w:rsid w:val="00C10571"/>
    <w:rsid w:val="00C10A7A"/>
    <w:rsid w:val="00C10C33"/>
    <w:rsid w:val="00C11130"/>
    <w:rsid w:val="00C118F0"/>
    <w:rsid w:val="00C11AE5"/>
    <w:rsid w:val="00C1205B"/>
    <w:rsid w:val="00C12456"/>
    <w:rsid w:val="00C129E2"/>
    <w:rsid w:val="00C1378C"/>
    <w:rsid w:val="00C139DE"/>
    <w:rsid w:val="00C13E79"/>
    <w:rsid w:val="00C14063"/>
    <w:rsid w:val="00C140D6"/>
    <w:rsid w:val="00C1430F"/>
    <w:rsid w:val="00C147B7"/>
    <w:rsid w:val="00C1483B"/>
    <w:rsid w:val="00C149E4"/>
    <w:rsid w:val="00C14F9C"/>
    <w:rsid w:val="00C150B8"/>
    <w:rsid w:val="00C150E8"/>
    <w:rsid w:val="00C15117"/>
    <w:rsid w:val="00C153A3"/>
    <w:rsid w:val="00C15740"/>
    <w:rsid w:val="00C15800"/>
    <w:rsid w:val="00C15895"/>
    <w:rsid w:val="00C15B5B"/>
    <w:rsid w:val="00C15C30"/>
    <w:rsid w:val="00C15D76"/>
    <w:rsid w:val="00C15FFF"/>
    <w:rsid w:val="00C160AD"/>
    <w:rsid w:val="00C16125"/>
    <w:rsid w:val="00C166CF"/>
    <w:rsid w:val="00C16807"/>
    <w:rsid w:val="00C16C45"/>
    <w:rsid w:val="00C170D2"/>
    <w:rsid w:val="00C172ED"/>
    <w:rsid w:val="00C1733A"/>
    <w:rsid w:val="00C17980"/>
    <w:rsid w:val="00C17A35"/>
    <w:rsid w:val="00C17FE3"/>
    <w:rsid w:val="00C20028"/>
    <w:rsid w:val="00C2016C"/>
    <w:rsid w:val="00C20309"/>
    <w:rsid w:val="00C20784"/>
    <w:rsid w:val="00C208DD"/>
    <w:rsid w:val="00C20B83"/>
    <w:rsid w:val="00C20F39"/>
    <w:rsid w:val="00C21B5D"/>
    <w:rsid w:val="00C21DD5"/>
    <w:rsid w:val="00C22254"/>
    <w:rsid w:val="00C2296D"/>
    <w:rsid w:val="00C22D34"/>
    <w:rsid w:val="00C22E1D"/>
    <w:rsid w:val="00C230CF"/>
    <w:rsid w:val="00C23260"/>
    <w:rsid w:val="00C23E3E"/>
    <w:rsid w:val="00C24103"/>
    <w:rsid w:val="00C24905"/>
    <w:rsid w:val="00C24EDF"/>
    <w:rsid w:val="00C24EF7"/>
    <w:rsid w:val="00C25A0E"/>
    <w:rsid w:val="00C25FD8"/>
    <w:rsid w:val="00C262AC"/>
    <w:rsid w:val="00C265FD"/>
    <w:rsid w:val="00C26632"/>
    <w:rsid w:val="00C2679E"/>
    <w:rsid w:val="00C26807"/>
    <w:rsid w:val="00C268CD"/>
    <w:rsid w:val="00C269A4"/>
    <w:rsid w:val="00C269A5"/>
    <w:rsid w:val="00C26D87"/>
    <w:rsid w:val="00C272B6"/>
    <w:rsid w:val="00C27491"/>
    <w:rsid w:val="00C27906"/>
    <w:rsid w:val="00C27C0C"/>
    <w:rsid w:val="00C27C82"/>
    <w:rsid w:val="00C3054A"/>
    <w:rsid w:val="00C30B66"/>
    <w:rsid w:val="00C30EA7"/>
    <w:rsid w:val="00C318DC"/>
    <w:rsid w:val="00C31D68"/>
    <w:rsid w:val="00C32115"/>
    <w:rsid w:val="00C32232"/>
    <w:rsid w:val="00C32688"/>
    <w:rsid w:val="00C32BCD"/>
    <w:rsid w:val="00C33377"/>
    <w:rsid w:val="00C33D3C"/>
    <w:rsid w:val="00C34058"/>
    <w:rsid w:val="00C341BA"/>
    <w:rsid w:val="00C34661"/>
    <w:rsid w:val="00C34A9B"/>
    <w:rsid w:val="00C34B02"/>
    <w:rsid w:val="00C36277"/>
    <w:rsid w:val="00C364F9"/>
    <w:rsid w:val="00C368E6"/>
    <w:rsid w:val="00C36BFE"/>
    <w:rsid w:val="00C36C32"/>
    <w:rsid w:val="00C36E70"/>
    <w:rsid w:val="00C37627"/>
    <w:rsid w:val="00C379F9"/>
    <w:rsid w:val="00C37D85"/>
    <w:rsid w:val="00C37EC8"/>
    <w:rsid w:val="00C401C6"/>
    <w:rsid w:val="00C4030C"/>
    <w:rsid w:val="00C403B5"/>
    <w:rsid w:val="00C405F8"/>
    <w:rsid w:val="00C406A5"/>
    <w:rsid w:val="00C41930"/>
    <w:rsid w:val="00C419B2"/>
    <w:rsid w:val="00C41B19"/>
    <w:rsid w:val="00C41C33"/>
    <w:rsid w:val="00C4204E"/>
    <w:rsid w:val="00C42142"/>
    <w:rsid w:val="00C42FB6"/>
    <w:rsid w:val="00C43AB0"/>
    <w:rsid w:val="00C43D03"/>
    <w:rsid w:val="00C43E3B"/>
    <w:rsid w:val="00C443DB"/>
    <w:rsid w:val="00C44614"/>
    <w:rsid w:val="00C44A91"/>
    <w:rsid w:val="00C4526C"/>
    <w:rsid w:val="00C453B5"/>
    <w:rsid w:val="00C45769"/>
    <w:rsid w:val="00C457F5"/>
    <w:rsid w:val="00C459C6"/>
    <w:rsid w:val="00C45A79"/>
    <w:rsid w:val="00C45BA5"/>
    <w:rsid w:val="00C45EE4"/>
    <w:rsid w:val="00C46012"/>
    <w:rsid w:val="00C46C54"/>
    <w:rsid w:val="00C46CE8"/>
    <w:rsid w:val="00C47114"/>
    <w:rsid w:val="00C4775F"/>
    <w:rsid w:val="00C4781E"/>
    <w:rsid w:val="00C47882"/>
    <w:rsid w:val="00C478AA"/>
    <w:rsid w:val="00C47B7B"/>
    <w:rsid w:val="00C47D1F"/>
    <w:rsid w:val="00C50140"/>
    <w:rsid w:val="00C50538"/>
    <w:rsid w:val="00C507E1"/>
    <w:rsid w:val="00C50B0D"/>
    <w:rsid w:val="00C50D3B"/>
    <w:rsid w:val="00C5106D"/>
    <w:rsid w:val="00C513E4"/>
    <w:rsid w:val="00C51729"/>
    <w:rsid w:val="00C526FC"/>
    <w:rsid w:val="00C52742"/>
    <w:rsid w:val="00C52AF8"/>
    <w:rsid w:val="00C52BBA"/>
    <w:rsid w:val="00C53189"/>
    <w:rsid w:val="00C534AB"/>
    <w:rsid w:val="00C5362E"/>
    <w:rsid w:val="00C53658"/>
    <w:rsid w:val="00C53690"/>
    <w:rsid w:val="00C537F2"/>
    <w:rsid w:val="00C53DD0"/>
    <w:rsid w:val="00C5402F"/>
    <w:rsid w:val="00C54384"/>
    <w:rsid w:val="00C5488B"/>
    <w:rsid w:val="00C5499A"/>
    <w:rsid w:val="00C54BD2"/>
    <w:rsid w:val="00C54EBA"/>
    <w:rsid w:val="00C55322"/>
    <w:rsid w:val="00C55522"/>
    <w:rsid w:val="00C55837"/>
    <w:rsid w:val="00C5594E"/>
    <w:rsid w:val="00C55E02"/>
    <w:rsid w:val="00C55FD0"/>
    <w:rsid w:val="00C5621B"/>
    <w:rsid w:val="00C56D31"/>
    <w:rsid w:val="00C574C0"/>
    <w:rsid w:val="00C5760F"/>
    <w:rsid w:val="00C577F1"/>
    <w:rsid w:val="00C57AFD"/>
    <w:rsid w:val="00C603BF"/>
    <w:rsid w:val="00C604BB"/>
    <w:rsid w:val="00C60975"/>
    <w:rsid w:val="00C609CB"/>
    <w:rsid w:val="00C611D2"/>
    <w:rsid w:val="00C6181E"/>
    <w:rsid w:val="00C61872"/>
    <w:rsid w:val="00C61A3D"/>
    <w:rsid w:val="00C62A8C"/>
    <w:rsid w:val="00C62DEA"/>
    <w:rsid w:val="00C6304D"/>
    <w:rsid w:val="00C630B5"/>
    <w:rsid w:val="00C631D1"/>
    <w:rsid w:val="00C633B2"/>
    <w:rsid w:val="00C6364B"/>
    <w:rsid w:val="00C63D28"/>
    <w:rsid w:val="00C63FF1"/>
    <w:rsid w:val="00C641D0"/>
    <w:rsid w:val="00C643D0"/>
    <w:rsid w:val="00C64F0E"/>
    <w:rsid w:val="00C64FE3"/>
    <w:rsid w:val="00C65054"/>
    <w:rsid w:val="00C6536C"/>
    <w:rsid w:val="00C6564C"/>
    <w:rsid w:val="00C657CE"/>
    <w:rsid w:val="00C65952"/>
    <w:rsid w:val="00C65AE8"/>
    <w:rsid w:val="00C65C39"/>
    <w:rsid w:val="00C65DDF"/>
    <w:rsid w:val="00C667DD"/>
    <w:rsid w:val="00C6711F"/>
    <w:rsid w:val="00C705CA"/>
    <w:rsid w:val="00C706FA"/>
    <w:rsid w:val="00C7080A"/>
    <w:rsid w:val="00C70FC9"/>
    <w:rsid w:val="00C71046"/>
    <w:rsid w:val="00C71199"/>
    <w:rsid w:val="00C71DE3"/>
    <w:rsid w:val="00C71E41"/>
    <w:rsid w:val="00C71FF5"/>
    <w:rsid w:val="00C7204E"/>
    <w:rsid w:val="00C72FDE"/>
    <w:rsid w:val="00C74287"/>
    <w:rsid w:val="00C745ED"/>
    <w:rsid w:val="00C746AC"/>
    <w:rsid w:val="00C74A3F"/>
    <w:rsid w:val="00C74D9D"/>
    <w:rsid w:val="00C754DA"/>
    <w:rsid w:val="00C7555E"/>
    <w:rsid w:val="00C756EF"/>
    <w:rsid w:val="00C758FD"/>
    <w:rsid w:val="00C75AF9"/>
    <w:rsid w:val="00C75E38"/>
    <w:rsid w:val="00C75F7C"/>
    <w:rsid w:val="00C76F9D"/>
    <w:rsid w:val="00C80DA0"/>
    <w:rsid w:val="00C815AC"/>
    <w:rsid w:val="00C817AA"/>
    <w:rsid w:val="00C819D7"/>
    <w:rsid w:val="00C824B9"/>
    <w:rsid w:val="00C828FC"/>
    <w:rsid w:val="00C8295D"/>
    <w:rsid w:val="00C82B9C"/>
    <w:rsid w:val="00C83027"/>
    <w:rsid w:val="00C8334F"/>
    <w:rsid w:val="00C83710"/>
    <w:rsid w:val="00C83A67"/>
    <w:rsid w:val="00C83E92"/>
    <w:rsid w:val="00C84B6A"/>
    <w:rsid w:val="00C84B73"/>
    <w:rsid w:val="00C84DBF"/>
    <w:rsid w:val="00C84F28"/>
    <w:rsid w:val="00C85200"/>
    <w:rsid w:val="00C8529E"/>
    <w:rsid w:val="00C852A5"/>
    <w:rsid w:val="00C853DC"/>
    <w:rsid w:val="00C85943"/>
    <w:rsid w:val="00C8602D"/>
    <w:rsid w:val="00C86112"/>
    <w:rsid w:val="00C863A3"/>
    <w:rsid w:val="00C86464"/>
    <w:rsid w:val="00C86783"/>
    <w:rsid w:val="00C86CA9"/>
    <w:rsid w:val="00C86F8E"/>
    <w:rsid w:val="00C872B3"/>
    <w:rsid w:val="00C873C5"/>
    <w:rsid w:val="00C875A8"/>
    <w:rsid w:val="00C875C5"/>
    <w:rsid w:val="00C87697"/>
    <w:rsid w:val="00C87B84"/>
    <w:rsid w:val="00C906C4"/>
    <w:rsid w:val="00C90DB4"/>
    <w:rsid w:val="00C90F81"/>
    <w:rsid w:val="00C91124"/>
    <w:rsid w:val="00C91443"/>
    <w:rsid w:val="00C92234"/>
    <w:rsid w:val="00C92404"/>
    <w:rsid w:val="00C92548"/>
    <w:rsid w:val="00C92E91"/>
    <w:rsid w:val="00C933A2"/>
    <w:rsid w:val="00C93729"/>
    <w:rsid w:val="00C93896"/>
    <w:rsid w:val="00C93B5A"/>
    <w:rsid w:val="00C93F84"/>
    <w:rsid w:val="00C94594"/>
    <w:rsid w:val="00C94F03"/>
    <w:rsid w:val="00C94F31"/>
    <w:rsid w:val="00C95015"/>
    <w:rsid w:val="00C952B7"/>
    <w:rsid w:val="00C95641"/>
    <w:rsid w:val="00C95827"/>
    <w:rsid w:val="00C95E27"/>
    <w:rsid w:val="00C95F77"/>
    <w:rsid w:val="00C96010"/>
    <w:rsid w:val="00C967FD"/>
    <w:rsid w:val="00C9681D"/>
    <w:rsid w:val="00C96C44"/>
    <w:rsid w:val="00C9727F"/>
    <w:rsid w:val="00C9736E"/>
    <w:rsid w:val="00C975D4"/>
    <w:rsid w:val="00C9772C"/>
    <w:rsid w:val="00C9799D"/>
    <w:rsid w:val="00C97E29"/>
    <w:rsid w:val="00CA0108"/>
    <w:rsid w:val="00CA0228"/>
    <w:rsid w:val="00CA03B9"/>
    <w:rsid w:val="00CA10C7"/>
    <w:rsid w:val="00CA1927"/>
    <w:rsid w:val="00CA1F9D"/>
    <w:rsid w:val="00CA24BD"/>
    <w:rsid w:val="00CA2B93"/>
    <w:rsid w:val="00CA2BA7"/>
    <w:rsid w:val="00CA355A"/>
    <w:rsid w:val="00CA3697"/>
    <w:rsid w:val="00CA3840"/>
    <w:rsid w:val="00CA3AB8"/>
    <w:rsid w:val="00CA3AF9"/>
    <w:rsid w:val="00CA3E08"/>
    <w:rsid w:val="00CA4212"/>
    <w:rsid w:val="00CA438A"/>
    <w:rsid w:val="00CA44A7"/>
    <w:rsid w:val="00CA456A"/>
    <w:rsid w:val="00CA472A"/>
    <w:rsid w:val="00CA4861"/>
    <w:rsid w:val="00CA5314"/>
    <w:rsid w:val="00CA5369"/>
    <w:rsid w:val="00CA5C4A"/>
    <w:rsid w:val="00CA6689"/>
    <w:rsid w:val="00CA6CEA"/>
    <w:rsid w:val="00CA6E89"/>
    <w:rsid w:val="00CA7068"/>
    <w:rsid w:val="00CA7138"/>
    <w:rsid w:val="00CA7695"/>
    <w:rsid w:val="00CA79D3"/>
    <w:rsid w:val="00CA7CC1"/>
    <w:rsid w:val="00CB0069"/>
    <w:rsid w:val="00CB0267"/>
    <w:rsid w:val="00CB0D6E"/>
    <w:rsid w:val="00CB1875"/>
    <w:rsid w:val="00CB1AF9"/>
    <w:rsid w:val="00CB2063"/>
    <w:rsid w:val="00CB2E90"/>
    <w:rsid w:val="00CB3EE8"/>
    <w:rsid w:val="00CB42E6"/>
    <w:rsid w:val="00CB4610"/>
    <w:rsid w:val="00CB47DF"/>
    <w:rsid w:val="00CB4FA0"/>
    <w:rsid w:val="00CB524B"/>
    <w:rsid w:val="00CB52F5"/>
    <w:rsid w:val="00CB544D"/>
    <w:rsid w:val="00CB563D"/>
    <w:rsid w:val="00CB56FE"/>
    <w:rsid w:val="00CB637C"/>
    <w:rsid w:val="00CB6F5A"/>
    <w:rsid w:val="00CB7037"/>
    <w:rsid w:val="00CB74EC"/>
    <w:rsid w:val="00CC0C7D"/>
    <w:rsid w:val="00CC1153"/>
    <w:rsid w:val="00CC15B2"/>
    <w:rsid w:val="00CC173D"/>
    <w:rsid w:val="00CC1890"/>
    <w:rsid w:val="00CC197A"/>
    <w:rsid w:val="00CC1A64"/>
    <w:rsid w:val="00CC1B4E"/>
    <w:rsid w:val="00CC1E3A"/>
    <w:rsid w:val="00CC238D"/>
    <w:rsid w:val="00CC2B7D"/>
    <w:rsid w:val="00CC2C6F"/>
    <w:rsid w:val="00CC2F19"/>
    <w:rsid w:val="00CC311F"/>
    <w:rsid w:val="00CC313C"/>
    <w:rsid w:val="00CC3164"/>
    <w:rsid w:val="00CC3419"/>
    <w:rsid w:val="00CC3705"/>
    <w:rsid w:val="00CC3AF5"/>
    <w:rsid w:val="00CC3EB8"/>
    <w:rsid w:val="00CC4295"/>
    <w:rsid w:val="00CC4802"/>
    <w:rsid w:val="00CC4936"/>
    <w:rsid w:val="00CC4AC9"/>
    <w:rsid w:val="00CC4AE6"/>
    <w:rsid w:val="00CC4F3A"/>
    <w:rsid w:val="00CC5577"/>
    <w:rsid w:val="00CC589C"/>
    <w:rsid w:val="00CC5D55"/>
    <w:rsid w:val="00CC6094"/>
    <w:rsid w:val="00CC60AF"/>
    <w:rsid w:val="00CC60D6"/>
    <w:rsid w:val="00CC6210"/>
    <w:rsid w:val="00CC6448"/>
    <w:rsid w:val="00CC696E"/>
    <w:rsid w:val="00CC6F0C"/>
    <w:rsid w:val="00CC718E"/>
    <w:rsid w:val="00CC7254"/>
    <w:rsid w:val="00CC7594"/>
    <w:rsid w:val="00CC75C9"/>
    <w:rsid w:val="00CC7D99"/>
    <w:rsid w:val="00CD04A1"/>
    <w:rsid w:val="00CD0CCB"/>
    <w:rsid w:val="00CD0F10"/>
    <w:rsid w:val="00CD15A3"/>
    <w:rsid w:val="00CD180A"/>
    <w:rsid w:val="00CD2079"/>
    <w:rsid w:val="00CD2729"/>
    <w:rsid w:val="00CD2738"/>
    <w:rsid w:val="00CD28DE"/>
    <w:rsid w:val="00CD2AD5"/>
    <w:rsid w:val="00CD340F"/>
    <w:rsid w:val="00CD378E"/>
    <w:rsid w:val="00CD3E12"/>
    <w:rsid w:val="00CD3EFB"/>
    <w:rsid w:val="00CD4470"/>
    <w:rsid w:val="00CD48C2"/>
    <w:rsid w:val="00CD4947"/>
    <w:rsid w:val="00CD4A94"/>
    <w:rsid w:val="00CD4BE4"/>
    <w:rsid w:val="00CD4F9A"/>
    <w:rsid w:val="00CD5128"/>
    <w:rsid w:val="00CD54F4"/>
    <w:rsid w:val="00CD5B1D"/>
    <w:rsid w:val="00CD60BD"/>
    <w:rsid w:val="00CD61FA"/>
    <w:rsid w:val="00CD631F"/>
    <w:rsid w:val="00CD6E14"/>
    <w:rsid w:val="00CD71D2"/>
    <w:rsid w:val="00CD72F1"/>
    <w:rsid w:val="00CD751C"/>
    <w:rsid w:val="00CD7BB9"/>
    <w:rsid w:val="00CD7EEB"/>
    <w:rsid w:val="00CE00BB"/>
    <w:rsid w:val="00CE0564"/>
    <w:rsid w:val="00CE0882"/>
    <w:rsid w:val="00CE1194"/>
    <w:rsid w:val="00CE157E"/>
    <w:rsid w:val="00CE183A"/>
    <w:rsid w:val="00CE1B13"/>
    <w:rsid w:val="00CE2A2A"/>
    <w:rsid w:val="00CE2CE1"/>
    <w:rsid w:val="00CE2D09"/>
    <w:rsid w:val="00CE34C2"/>
    <w:rsid w:val="00CE3D0C"/>
    <w:rsid w:val="00CE3DEB"/>
    <w:rsid w:val="00CE41D8"/>
    <w:rsid w:val="00CE4806"/>
    <w:rsid w:val="00CE481C"/>
    <w:rsid w:val="00CE4902"/>
    <w:rsid w:val="00CE49BF"/>
    <w:rsid w:val="00CE4E43"/>
    <w:rsid w:val="00CE56D1"/>
    <w:rsid w:val="00CE571C"/>
    <w:rsid w:val="00CE5820"/>
    <w:rsid w:val="00CE5BB2"/>
    <w:rsid w:val="00CE608A"/>
    <w:rsid w:val="00CE6508"/>
    <w:rsid w:val="00CE6CB4"/>
    <w:rsid w:val="00CE6DC8"/>
    <w:rsid w:val="00CF0176"/>
    <w:rsid w:val="00CF0725"/>
    <w:rsid w:val="00CF111F"/>
    <w:rsid w:val="00CF1B22"/>
    <w:rsid w:val="00CF2BAE"/>
    <w:rsid w:val="00CF340F"/>
    <w:rsid w:val="00CF3554"/>
    <w:rsid w:val="00CF3B30"/>
    <w:rsid w:val="00CF3DDE"/>
    <w:rsid w:val="00CF4452"/>
    <w:rsid w:val="00CF451A"/>
    <w:rsid w:val="00CF4A4F"/>
    <w:rsid w:val="00CF4D1F"/>
    <w:rsid w:val="00CF4DA8"/>
    <w:rsid w:val="00CF5C22"/>
    <w:rsid w:val="00CF623E"/>
    <w:rsid w:val="00CF6346"/>
    <w:rsid w:val="00CF6555"/>
    <w:rsid w:val="00CF66D1"/>
    <w:rsid w:val="00CF68DC"/>
    <w:rsid w:val="00CF68E0"/>
    <w:rsid w:val="00CF6C10"/>
    <w:rsid w:val="00CF6EAB"/>
    <w:rsid w:val="00CF70E2"/>
    <w:rsid w:val="00CF72D2"/>
    <w:rsid w:val="00CF73A7"/>
    <w:rsid w:val="00CF7536"/>
    <w:rsid w:val="00CF7700"/>
    <w:rsid w:val="00CF7EFC"/>
    <w:rsid w:val="00D00121"/>
    <w:rsid w:val="00D005E0"/>
    <w:rsid w:val="00D00A0B"/>
    <w:rsid w:val="00D00AC8"/>
    <w:rsid w:val="00D00CA9"/>
    <w:rsid w:val="00D00CB9"/>
    <w:rsid w:val="00D00D12"/>
    <w:rsid w:val="00D00D36"/>
    <w:rsid w:val="00D00D3A"/>
    <w:rsid w:val="00D00EEC"/>
    <w:rsid w:val="00D00F87"/>
    <w:rsid w:val="00D01289"/>
    <w:rsid w:val="00D0140D"/>
    <w:rsid w:val="00D016B1"/>
    <w:rsid w:val="00D01A43"/>
    <w:rsid w:val="00D01C06"/>
    <w:rsid w:val="00D01D63"/>
    <w:rsid w:val="00D02776"/>
    <w:rsid w:val="00D0295A"/>
    <w:rsid w:val="00D030EE"/>
    <w:rsid w:val="00D031AC"/>
    <w:rsid w:val="00D0334A"/>
    <w:rsid w:val="00D0398F"/>
    <w:rsid w:val="00D039FD"/>
    <w:rsid w:val="00D03B83"/>
    <w:rsid w:val="00D03D92"/>
    <w:rsid w:val="00D042DD"/>
    <w:rsid w:val="00D04A39"/>
    <w:rsid w:val="00D0558E"/>
    <w:rsid w:val="00D0576D"/>
    <w:rsid w:val="00D0583A"/>
    <w:rsid w:val="00D05C7B"/>
    <w:rsid w:val="00D05DE4"/>
    <w:rsid w:val="00D05E52"/>
    <w:rsid w:val="00D05E8C"/>
    <w:rsid w:val="00D05F7B"/>
    <w:rsid w:val="00D0664E"/>
    <w:rsid w:val="00D06674"/>
    <w:rsid w:val="00D070B1"/>
    <w:rsid w:val="00D07441"/>
    <w:rsid w:val="00D07669"/>
    <w:rsid w:val="00D07EDD"/>
    <w:rsid w:val="00D100E0"/>
    <w:rsid w:val="00D107AA"/>
    <w:rsid w:val="00D10A37"/>
    <w:rsid w:val="00D10FC0"/>
    <w:rsid w:val="00D118CF"/>
    <w:rsid w:val="00D11F37"/>
    <w:rsid w:val="00D12627"/>
    <w:rsid w:val="00D127BE"/>
    <w:rsid w:val="00D12A54"/>
    <w:rsid w:val="00D13406"/>
    <w:rsid w:val="00D134C8"/>
    <w:rsid w:val="00D1380C"/>
    <w:rsid w:val="00D13850"/>
    <w:rsid w:val="00D13902"/>
    <w:rsid w:val="00D13929"/>
    <w:rsid w:val="00D14638"/>
    <w:rsid w:val="00D14E55"/>
    <w:rsid w:val="00D14F44"/>
    <w:rsid w:val="00D152C1"/>
    <w:rsid w:val="00D1547F"/>
    <w:rsid w:val="00D15A8F"/>
    <w:rsid w:val="00D164F7"/>
    <w:rsid w:val="00D16F12"/>
    <w:rsid w:val="00D16F1A"/>
    <w:rsid w:val="00D16F23"/>
    <w:rsid w:val="00D1797A"/>
    <w:rsid w:val="00D20786"/>
    <w:rsid w:val="00D208E7"/>
    <w:rsid w:val="00D20980"/>
    <w:rsid w:val="00D20DFF"/>
    <w:rsid w:val="00D21065"/>
    <w:rsid w:val="00D21E6B"/>
    <w:rsid w:val="00D21ED2"/>
    <w:rsid w:val="00D21FE0"/>
    <w:rsid w:val="00D22561"/>
    <w:rsid w:val="00D2263F"/>
    <w:rsid w:val="00D2278C"/>
    <w:rsid w:val="00D229E7"/>
    <w:rsid w:val="00D231EA"/>
    <w:rsid w:val="00D231EE"/>
    <w:rsid w:val="00D2340A"/>
    <w:rsid w:val="00D23DC4"/>
    <w:rsid w:val="00D255AC"/>
    <w:rsid w:val="00D258C4"/>
    <w:rsid w:val="00D25948"/>
    <w:rsid w:val="00D25DBC"/>
    <w:rsid w:val="00D26510"/>
    <w:rsid w:val="00D26BB7"/>
    <w:rsid w:val="00D273A0"/>
    <w:rsid w:val="00D273F3"/>
    <w:rsid w:val="00D27575"/>
    <w:rsid w:val="00D27C03"/>
    <w:rsid w:val="00D27D0A"/>
    <w:rsid w:val="00D27D94"/>
    <w:rsid w:val="00D30C85"/>
    <w:rsid w:val="00D30CB4"/>
    <w:rsid w:val="00D317E0"/>
    <w:rsid w:val="00D31EED"/>
    <w:rsid w:val="00D32698"/>
    <w:rsid w:val="00D32926"/>
    <w:rsid w:val="00D32BAE"/>
    <w:rsid w:val="00D32FB1"/>
    <w:rsid w:val="00D330E0"/>
    <w:rsid w:val="00D330F7"/>
    <w:rsid w:val="00D33645"/>
    <w:rsid w:val="00D33AD1"/>
    <w:rsid w:val="00D33F9A"/>
    <w:rsid w:val="00D33FF8"/>
    <w:rsid w:val="00D34465"/>
    <w:rsid w:val="00D348C5"/>
    <w:rsid w:val="00D348FC"/>
    <w:rsid w:val="00D34C8A"/>
    <w:rsid w:val="00D35003"/>
    <w:rsid w:val="00D3512A"/>
    <w:rsid w:val="00D35422"/>
    <w:rsid w:val="00D354E4"/>
    <w:rsid w:val="00D35854"/>
    <w:rsid w:val="00D359A1"/>
    <w:rsid w:val="00D35AF8"/>
    <w:rsid w:val="00D35B30"/>
    <w:rsid w:val="00D35C65"/>
    <w:rsid w:val="00D35D2B"/>
    <w:rsid w:val="00D365A7"/>
    <w:rsid w:val="00D36782"/>
    <w:rsid w:val="00D368A9"/>
    <w:rsid w:val="00D36954"/>
    <w:rsid w:val="00D36A65"/>
    <w:rsid w:val="00D36CAB"/>
    <w:rsid w:val="00D37602"/>
    <w:rsid w:val="00D3763D"/>
    <w:rsid w:val="00D37751"/>
    <w:rsid w:val="00D37755"/>
    <w:rsid w:val="00D37809"/>
    <w:rsid w:val="00D40376"/>
    <w:rsid w:val="00D404C1"/>
    <w:rsid w:val="00D4050B"/>
    <w:rsid w:val="00D40619"/>
    <w:rsid w:val="00D40BA4"/>
    <w:rsid w:val="00D40BAC"/>
    <w:rsid w:val="00D40BBC"/>
    <w:rsid w:val="00D40F70"/>
    <w:rsid w:val="00D41CFB"/>
    <w:rsid w:val="00D41FD8"/>
    <w:rsid w:val="00D428FB"/>
    <w:rsid w:val="00D42DE6"/>
    <w:rsid w:val="00D431B1"/>
    <w:rsid w:val="00D43406"/>
    <w:rsid w:val="00D43516"/>
    <w:rsid w:val="00D439EA"/>
    <w:rsid w:val="00D43A87"/>
    <w:rsid w:val="00D43EAE"/>
    <w:rsid w:val="00D443A5"/>
    <w:rsid w:val="00D44A3F"/>
    <w:rsid w:val="00D44D70"/>
    <w:rsid w:val="00D46168"/>
    <w:rsid w:val="00D46AA4"/>
    <w:rsid w:val="00D46B2B"/>
    <w:rsid w:val="00D46BC1"/>
    <w:rsid w:val="00D46D94"/>
    <w:rsid w:val="00D470CC"/>
    <w:rsid w:val="00D4733F"/>
    <w:rsid w:val="00D474A9"/>
    <w:rsid w:val="00D4782E"/>
    <w:rsid w:val="00D47977"/>
    <w:rsid w:val="00D479EF"/>
    <w:rsid w:val="00D509BF"/>
    <w:rsid w:val="00D50A5B"/>
    <w:rsid w:val="00D50CE9"/>
    <w:rsid w:val="00D50E32"/>
    <w:rsid w:val="00D50ECB"/>
    <w:rsid w:val="00D51F7C"/>
    <w:rsid w:val="00D521B5"/>
    <w:rsid w:val="00D521F3"/>
    <w:rsid w:val="00D5220A"/>
    <w:rsid w:val="00D52706"/>
    <w:rsid w:val="00D52854"/>
    <w:rsid w:val="00D52990"/>
    <w:rsid w:val="00D52B06"/>
    <w:rsid w:val="00D52BC2"/>
    <w:rsid w:val="00D52E30"/>
    <w:rsid w:val="00D536A2"/>
    <w:rsid w:val="00D5376B"/>
    <w:rsid w:val="00D53981"/>
    <w:rsid w:val="00D53C1B"/>
    <w:rsid w:val="00D540C2"/>
    <w:rsid w:val="00D5415D"/>
    <w:rsid w:val="00D54435"/>
    <w:rsid w:val="00D5449A"/>
    <w:rsid w:val="00D54F0C"/>
    <w:rsid w:val="00D55065"/>
    <w:rsid w:val="00D551B4"/>
    <w:rsid w:val="00D5537D"/>
    <w:rsid w:val="00D55766"/>
    <w:rsid w:val="00D55AF6"/>
    <w:rsid w:val="00D56168"/>
    <w:rsid w:val="00D5658B"/>
    <w:rsid w:val="00D565E5"/>
    <w:rsid w:val="00D5747E"/>
    <w:rsid w:val="00D57536"/>
    <w:rsid w:val="00D575B0"/>
    <w:rsid w:val="00D575F3"/>
    <w:rsid w:val="00D57695"/>
    <w:rsid w:val="00D577B6"/>
    <w:rsid w:val="00D6001C"/>
    <w:rsid w:val="00D6034F"/>
    <w:rsid w:val="00D60818"/>
    <w:rsid w:val="00D60BAC"/>
    <w:rsid w:val="00D60D0D"/>
    <w:rsid w:val="00D60FC0"/>
    <w:rsid w:val="00D61AB3"/>
    <w:rsid w:val="00D61F06"/>
    <w:rsid w:val="00D621AE"/>
    <w:rsid w:val="00D62381"/>
    <w:rsid w:val="00D62545"/>
    <w:rsid w:val="00D63040"/>
    <w:rsid w:val="00D633CB"/>
    <w:rsid w:val="00D63D6A"/>
    <w:rsid w:val="00D644CB"/>
    <w:rsid w:val="00D64973"/>
    <w:rsid w:val="00D656CA"/>
    <w:rsid w:val="00D66134"/>
    <w:rsid w:val="00D66290"/>
    <w:rsid w:val="00D665AD"/>
    <w:rsid w:val="00D667EC"/>
    <w:rsid w:val="00D6681B"/>
    <w:rsid w:val="00D668BA"/>
    <w:rsid w:val="00D66A79"/>
    <w:rsid w:val="00D702F1"/>
    <w:rsid w:val="00D70D8C"/>
    <w:rsid w:val="00D71012"/>
    <w:rsid w:val="00D711D6"/>
    <w:rsid w:val="00D713C4"/>
    <w:rsid w:val="00D71491"/>
    <w:rsid w:val="00D715E7"/>
    <w:rsid w:val="00D71C81"/>
    <w:rsid w:val="00D72681"/>
    <w:rsid w:val="00D726D9"/>
    <w:rsid w:val="00D72838"/>
    <w:rsid w:val="00D72D40"/>
    <w:rsid w:val="00D73006"/>
    <w:rsid w:val="00D7330A"/>
    <w:rsid w:val="00D73433"/>
    <w:rsid w:val="00D7371E"/>
    <w:rsid w:val="00D739C3"/>
    <w:rsid w:val="00D73BA1"/>
    <w:rsid w:val="00D74326"/>
    <w:rsid w:val="00D74B44"/>
    <w:rsid w:val="00D74FFD"/>
    <w:rsid w:val="00D75183"/>
    <w:rsid w:val="00D7536B"/>
    <w:rsid w:val="00D7575A"/>
    <w:rsid w:val="00D758FE"/>
    <w:rsid w:val="00D75CA2"/>
    <w:rsid w:val="00D75E3C"/>
    <w:rsid w:val="00D76543"/>
    <w:rsid w:val="00D76E28"/>
    <w:rsid w:val="00D771DA"/>
    <w:rsid w:val="00D7727F"/>
    <w:rsid w:val="00D77353"/>
    <w:rsid w:val="00D7749A"/>
    <w:rsid w:val="00D7778F"/>
    <w:rsid w:val="00D778C2"/>
    <w:rsid w:val="00D80556"/>
    <w:rsid w:val="00D80574"/>
    <w:rsid w:val="00D80A0D"/>
    <w:rsid w:val="00D80E0E"/>
    <w:rsid w:val="00D8151D"/>
    <w:rsid w:val="00D81835"/>
    <w:rsid w:val="00D81A27"/>
    <w:rsid w:val="00D824C4"/>
    <w:rsid w:val="00D825F5"/>
    <w:rsid w:val="00D82D53"/>
    <w:rsid w:val="00D831AC"/>
    <w:rsid w:val="00D8367C"/>
    <w:rsid w:val="00D836DD"/>
    <w:rsid w:val="00D83B8B"/>
    <w:rsid w:val="00D83E2B"/>
    <w:rsid w:val="00D84492"/>
    <w:rsid w:val="00D8468E"/>
    <w:rsid w:val="00D8469E"/>
    <w:rsid w:val="00D84A31"/>
    <w:rsid w:val="00D84D6F"/>
    <w:rsid w:val="00D85236"/>
    <w:rsid w:val="00D852AC"/>
    <w:rsid w:val="00D854C3"/>
    <w:rsid w:val="00D863A7"/>
    <w:rsid w:val="00D86BA7"/>
    <w:rsid w:val="00D86C6D"/>
    <w:rsid w:val="00D86F92"/>
    <w:rsid w:val="00D86FD3"/>
    <w:rsid w:val="00D87049"/>
    <w:rsid w:val="00D870CE"/>
    <w:rsid w:val="00D872F5"/>
    <w:rsid w:val="00D8749E"/>
    <w:rsid w:val="00D8766F"/>
    <w:rsid w:val="00D876DF"/>
    <w:rsid w:val="00D8785B"/>
    <w:rsid w:val="00D9037A"/>
    <w:rsid w:val="00D904F1"/>
    <w:rsid w:val="00D90693"/>
    <w:rsid w:val="00D90A9E"/>
    <w:rsid w:val="00D90DBC"/>
    <w:rsid w:val="00D9120E"/>
    <w:rsid w:val="00D91270"/>
    <w:rsid w:val="00D912BB"/>
    <w:rsid w:val="00D9131E"/>
    <w:rsid w:val="00D918AA"/>
    <w:rsid w:val="00D91975"/>
    <w:rsid w:val="00D927CF"/>
    <w:rsid w:val="00D92A87"/>
    <w:rsid w:val="00D92C7D"/>
    <w:rsid w:val="00D92F20"/>
    <w:rsid w:val="00D92F71"/>
    <w:rsid w:val="00D9329E"/>
    <w:rsid w:val="00D937A2"/>
    <w:rsid w:val="00D9380A"/>
    <w:rsid w:val="00D9388E"/>
    <w:rsid w:val="00D9392D"/>
    <w:rsid w:val="00D93B98"/>
    <w:rsid w:val="00D94071"/>
    <w:rsid w:val="00D94B6F"/>
    <w:rsid w:val="00D94FE5"/>
    <w:rsid w:val="00D9525B"/>
    <w:rsid w:val="00D9533E"/>
    <w:rsid w:val="00D956A5"/>
    <w:rsid w:val="00D959DD"/>
    <w:rsid w:val="00D95A0B"/>
    <w:rsid w:val="00D95B81"/>
    <w:rsid w:val="00D96098"/>
    <w:rsid w:val="00D96C5D"/>
    <w:rsid w:val="00D96E6E"/>
    <w:rsid w:val="00D9753B"/>
    <w:rsid w:val="00D9791C"/>
    <w:rsid w:val="00DA0360"/>
    <w:rsid w:val="00DA03A9"/>
    <w:rsid w:val="00DA04F5"/>
    <w:rsid w:val="00DA0DAB"/>
    <w:rsid w:val="00DA0E7A"/>
    <w:rsid w:val="00DA10C1"/>
    <w:rsid w:val="00DA118D"/>
    <w:rsid w:val="00DA1366"/>
    <w:rsid w:val="00DA14B1"/>
    <w:rsid w:val="00DA157D"/>
    <w:rsid w:val="00DA18D5"/>
    <w:rsid w:val="00DA198F"/>
    <w:rsid w:val="00DA1AB0"/>
    <w:rsid w:val="00DA216D"/>
    <w:rsid w:val="00DA2536"/>
    <w:rsid w:val="00DA28AD"/>
    <w:rsid w:val="00DA2951"/>
    <w:rsid w:val="00DA4493"/>
    <w:rsid w:val="00DA4F3C"/>
    <w:rsid w:val="00DA52CF"/>
    <w:rsid w:val="00DA5FF0"/>
    <w:rsid w:val="00DA65D8"/>
    <w:rsid w:val="00DA7063"/>
    <w:rsid w:val="00DA73BA"/>
    <w:rsid w:val="00DA7401"/>
    <w:rsid w:val="00DA7C36"/>
    <w:rsid w:val="00DA7E28"/>
    <w:rsid w:val="00DA7FA9"/>
    <w:rsid w:val="00DB0084"/>
    <w:rsid w:val="00DB049A"/>
    <w:rsid w:val="00DB0557"/>
    <w:rsid w:val="00DB0745"/>
    <w:rsid w:val="00DB0A88"/>
    <w:rsid w:val="00DB0C24"/>
    <w:rsid w:val="00DB0F68"/>
    <w:rsid w:val="00DB12D3"/>
    <w:rsid w:val="00DB12E3"/>
    <w:rsid w:val="00DB1345"/>
    <w:rsid w:val="00DB2963"/>
    <w:rsid w:val="00DB29CB"/>
    <w:rsid w:val="00DB35DD"/>
    <w:rsid w:val="00DB4351"/>
    <w:rsid w:val="00DB48CC"/>
    <w:rsid w:val="00DB4AD6"/>
    <w:rsid w:val="00DB4C29"/>
    <w:rsid w:val="00DB4C5F"/>
    <w:rsid w:val="00DB52BF"/>
    <w:rsid w:val="00DB559F"/>
    <w:rsid w:val="00DB55A3"/>
    <w:rsid w:val="00DB55F0"/>
    <w:rsid w:val="00DB5719"/>
    <w:rsid w:val="00DB57C7"/>
    <w:rsid w:val="00DB62DB"/>
    <w:rsid w:val="00DB651E"/>
    <w:rsid w:val="00DB6B11"/>
    <w:rsid w:val="00DB75AF"/>
    <w:rsid w:val="00DB76EA"/>
    <w:rsid w:val="00DB79C9"/>
    <w:rsid w:val="00DB7D8C"/>
    <w:rsid w:val="00DC0235"/>
    <w:rsid w:val="00DC045B"/>
    <w:rsid w:val="00DC0468"/>
    <w:rsid w:val="00DC069C"/>
    <w:rsid w:val="00DC1823"/>
    <w:rsid w:val="00DC1ABD"/>
    <w:rsid w:val="00DC1E0A"/>
    <w:rsid w:val="00DC2127"/>
    <w:rsid w:val="00DC2189"/>
    <w:rsid w:val="00DC2277"/>
    <w:rsid w:val="00DC2718"/>
    <w:rsid w:val="00DC28C9"/>
    <w:rsid w:val="00DC2BFF"/>
    <w:rsid w:val="00DC2E1C"/>
    <w:rsid w:val="00DC2F5A"/>
    <w:rsid w:val="00DC34D0"/>
    <w:rsid w:val="00DC4065"/>
    <w:rsid w:val="00DC4087"/>
    <w:rsid w:val="00DC4115"/>
    <w:rsid w:val="00DC4480"/>
    <w:rsid w:val="00DC463A"/>
    <w:rsid w:val="00DC4B7A"/>
    <w:rsid w:val="00DC5850"/>
    <w:rsid w:val="00DC5C78"/>
    <w:rsid w:val="00DC5FD0"/>
    <w:rsid w:val="00DC60EA"/>
    <w:rsid w:val="00DC640F"/>
    <w:rsid w:val="00DC65AA"/>
    <w:rsid w:val="00DC693E"/>
    <w:rsid w:val="00DC6B24"/>
    <w:rsid w:val="00DC6B44"/>
    <w:rsid w:val="00DC6F41"/>
    <w:rsid w:val="00DC6F47"/>
    <w:rsid w:val="00DC7933"/>
    <w:rsid w:val="00DC7D2B"/>
    <w:rsid w:val="00DC7F82"/>
    <w:rsid w:val="00DD01B0"/>
    <w:rsid w:val="00DD01D4"/>
    <w:rsid w:val="00DD0310"/>
    <w:rsid w:val="00DD0316"/>
    <w:rsid w:val="00DD07CA"/>
    <w:rsid w:val="00DD0C03"/>
    <w:rsid w:val="00DD0CF8"/>
    <w:rsid w:val="00DD0D85"/>
    <w:rsid w:val="00DD15D6"/>
    <w:rsid w:val="00DD1668"/>
    <w:rsid w:val="00DD1DF7"/>
    <w:rsid w:val="00DD2211"/>
    <w:rsid w:val="00DD2330"/>
    <w:rsid w:val="00DD2C0B"/>
    <w:rsid w:val="00DD2D42"/>
    <w:rsid w:val="00DD2EDB"/>
    <w:rsid w:val="00DD37B8"/>
    <w:rsid w:val="00DD3919"/>
    <w:rsid w:val="00DD3A09"/>
    <w:rsid w:val="00DD45A5"/>
    <w:rsid w:val="00DD4F03"/>
    <w:rsid w:val="00DD517A"/>
    <w:rsid w:val="00DD5656"/>
    <w:rsid w:val="00DD5793"/>
    <w:rsid w:val="00DD58C7"/>
    <w:rsid w:val="00DD5A93"/>
    <w:rsid w:val="00DD60DA"/>
    <w:rsid w:val="00DD6449"/>
    <w:rsid w:val="00DD6C57"/>
    <w:rsid w:val="00DD6C7D"/>
    <w:rsid w:val="00DD712F"/>
    <w:rsid w:val="00DD733C"/>
    <w:rsid w:val="00DD7539"/>
    <w:rsid w:val="00DD7780"/>
    <w:rsid w:val="00DE0959"/>
    <w:rsid w:val="00DE0B20"/>
    <w:rsid w:val="00DE0C5C"/>
    <w:rsid w:val="00DE14B8"/>
    <w:rsid w:val="00DE1B5B"/>
    <w:rsid w:val="00DE25BB"/>
    <w:rsid w:val="00DE2707"/>
    <w:rsid w:val="00DE2812"/>
    <w:rsid w:val="00DE2983"/>
    <w:rsid w:val="00DE2BE7"/>
    <w:rsid w:val="00DE30C6"/>
    <w:rsid w:val="00DE329E"/>
    <w:rsid w:val="00DE38EF"/>
    <w:rsid w:val="00DE3AD6"/>
    <w:rsid w:val="00DE3B1F"/>
    <w:rsid w:val="00DE44B8"/>
    <w:rsid w:val="00DE4599"/>
    <w:rsid w:val="00DE4962"/>
    <w:rsid w:val="00DE4E6C"/>
    <w:rsid w:val="00DE4F55"/>
    <w:rsid w:val="00DE51E7"/>
    <w:rsid w:val="00DE5246"/>
    <w:rsid w:val="00DE54C5"/>
    <w:rsid w:val="00DE5716"/>
    <w:rsid w:val="00DE5B42"/>
    <w:rsid w:val="00DE5E92"/>
    <w:rsid w:val="00DE6C53"/>
    <w:rsid w:val="00DE6DA4"/>
    <w:rsid w:val="00DE6DF0"/>
    <w:rsid w:val="00DE6E5D"/>
    <w:rsid w:val="00DE705C"/>
    <w:rsid w:val="00DE75E3"/>
    <w:rsid w:val="00DE7BB7"/>
    <w:rsid w:val="00DE7EE9"/>
    <w:rsid w:val="00DF012E"/>
    <w:rsid w:val="00DF0434"/>
    <w:rsid w:val="00DF04B7"/>
    <w:rsid w:val="00DF0774"/>
    <w:rsid w:val="00DF0CF9"/>
    <w:rsid w:val="00DF1078"/>
    <w:rsid w:val="00DF1346"/>
    <w:rsid w:val="00DF155A"/>
    <w:rsid w:val="00DF1730"/>
    <w:rsid w:val="00DF190A"/>
    <w:rsid w:val="00DF1AD4"/>
    <w:rsid w:val="00DF1FAA"/>
    <w:rsid w:val="00DF208E"/>
    <w:rsid w:val="00DF26AC"/>
    <w:rsid w:val="00DF26D8"/>
    <w:rsid w:val="00DF26E1"/>
    <w:rsid w:val="00DF2CE5"/>
    <w:rsid w:val="00DF321E"/>
    <w:rsid w:val="00DF37C6"/>
    <w:rsid w:val="00DF3919"/>
    <w:rsid w:val="00DF3C4D"/>
    <w:rsid w:val="00DF3C9E"/>
    <w:rsid w:val="00DF3CF3"/>
    <w:rsid w:val="00DF3EB1"/>
    <w:rsid w:val="00DF40BA"/>
    <w:rsid w:val="00DF49D5"/>
    <w:rsid w:val="00DF5248"/>
    <w:rsid w:val="00DF5312"/>
    <w:rsid w:val="00DF5AA3"/>
    <w:rsid w:val="00DF5ECB"/>
    <w:rsid w:val="00DF5F26"/>
    <w:rsid w:val="00DF6112"/>
    <w:rsid w:val="00DF6173"/>
    <w:rsid w:val="00DF63B4"/>
    <w:rsid w:val="00DF65F0"/>
    <w:rsid w:val="00DF66DB"/>
    <w:rsid w:val="00DF674B"/>
    <w:rsid w:val="00DF6849"/>
    <w:rsid w:val="00DF693B"/>
    <w:rsid w:val="00DF6990"/>
    <w:rsid w:val="00DF722D"/>
    <w:rsid w:val="00DF72DC"/>
    <w:rsid w:val="00DF7A85"/>
    <w:rsid w:val="00DF7B29"/>
    <w:rsid w:val="00DF7F3C"/>
    <w:rsid w:val="00E00B95"/>
    <w:rsid w:val="00E010A8"/>
    <w:rsid w:val="00E01406"/>
    <w:rsid w:val="00E0171A"/>
    <w:rsid w:val="00E01D54"/>
    <w:rsid w:val="00E02202"/>
    <w:rsid w:val="00E02734"/>
    <w:rsid w:val="00E02AE8"/>
    <w:rsid w:val="00E032DC"/>
    <w:rsid w:val="00E036E9"/>
    <w:rsid w:val="00E03755"/>
    <w:rsid w:val="00E038D1"/>
    <w:rsid w:val="00E03D10"/>
    <w:rsid w:val="00E03F48"/>
    <w:rsid w:val="00E0407D"/>
    <w:rsid w:val="00E040B6"/>
    <w:rsid w:val="00E040B8"/>
    <w:rsid w:val="00E04139"/>
    <w:rsid w:val="00E044D2"/>
    <w:rsid w:val="00E045EC"/>
    <w:rsid w:val="00E045EE"/>
    <w:rsid w:val="00E04653"/>
    <w:rsid w:val="00E048F7"/>
    <w:rsid w:val="00E04A34"/>
    <w:rsid w:val="00E04CD3"/>
    <w:rsid w:val="00E04E34"/>
    <w:rsid w:val="00E04E3E"/>
    <w:rsid w:val="00E0512F"/>
    <w:rsid w:val="00E05868"/>
    <w:rsid w:val="00E05AFF"/>
    <w:rsid w:val="00E05C00"/>
    <w:rsid w:val="00E06126"/>
    <w:rsid w:val="00E063A7"/>
    <w:rsid w:val="00E068B0"/>
    <w:rsid w:val="00E06D4F"/>
    <w:rsid w:val="00E07893"/>
    <w:rsid w:val="00E07944"/>
    <w:rsid w:val="00E07DC9"/>
    <w:rsid w:val="00E07E6A"/>
    <w:rsid w:val="00E103AA"/>
    <w:rsid w:val="00E103E2"/>
    <w:rsid w:val="00E10528"/>
    <w:rsid w:val="00E10685"/>
    <w:rsid w:val="00E106EE"/>
    <w:rsid w:val="00E1099E"/>
    <w:rsid w:val="00E10AB8"/>
    <w:rsid w:val="00E10DB5"/>
    <w:rsid w:val="00E10F5C"/>
    <w:rsid w:val="00E1104F"/>
    <w:rsid w:val="00E112D4"/>
    <w:rsid w:val="00E1198E"/>
    <w:rsid w:val="00E119B2"/>
    <w:rsid w:val="00E11F8C"/>
    <w:rsid w:val="00E120D0"/>
    <w:rsid w:val="00E123F9"/>
    <w:rsid w:val="00E12419"/>
    <w:rsid w:val="00E1259A"/>
    <w:rsid w:val="00E12B9F"/>
    <w:rsid w:val="00E12F47"/>
    <w:rsid w:val="00E131FB"/>
    <w:rsid w:val="00E13520"/>
    <w:rsid w:val="00E13C4D"/>
    <w:rsid w:val="00E1436F"/>
    <w:rsid w:val="00E14892"/>
    <w:rsid w:val="00E14979"/>
    <w:rsid w:val="00E15200"/>
    <w:rsid w:val="00E152A6"/>
    <w:rsid w:val="00E1570D"/>
    <w:rsid w:val="00E15713"/>
    <w:rsid w:val="00E15EB0"/>
    <w:rsid w:val="00E160C7"/>
    <w:rsid w:val="00E1628C"/>
    <w:rsid w:val="00E162A7"/>
    <w:rsid w:val="00E162C7"/>
    <w:rsid w:val="00E16708"/>
    <w:rsid w:val="00E16794"/>
    <w:rsid w:val="00E1724A"/>
    <w:rsid w:val="00E17422"/>
    <w:rsid w:val="00E17824"/>
    <w:rsid w:val="00E20079"/>
    <w:rsid w:val="00E20241"/>
    <w:rsid w:val="00E20542"/>
    <w:rsid w:val="00E208F9"/>
    <w:rsid w:val="00E20B87"/>
    <w:rsid w:val="00E21065"/>
    <w:rsid w:val="00E21136"/>
    <w:rsid w:val="00E21210"/>
    <w:rsid w:val="00E21428"/>
    <w:rsid w:val="00E220E8"/>
    <w:rsid w:val="00E2282E"/>
    <w:rsid w:val="00E22F7C"/>
    <w:rsid w:val="00E23651"/>
    <w:rsid w:val="00E23851"/>
    <w:rsid w:val="00E23F18"/>
    <w:rsid w:val="00E24306"/>
    <w:rsid w:val="00E246A4"/>
    <w:rsid w:val="00E24718"/>
    <w:rsid w:val="00E2494D"/>
    <w:rsid w:val="00E24ADB"/>
    <w:rsid w:val="00E24BB8"/>
    <w:rsid w:val="00E250DA"/>
    <w:rsid w:val="00E25721"/>
    <w:rsid w:val="00E25C73"/>
    <w:rsid w:val="00E262F2"/>
    <w:rsid w:val="00E26619"/>
    <w:rsid w:val="00E26BEC"/>
    <w:rsid w:val="00E26DD5"/>
    <w:rsid w:val="00E26E63"/>
    <w:rsid w:val="00E270A9"/>
    <w:rsid w:val="00E27544"/>
    <w:rsid w:val="00E277E9"/>
    <w:rsid w:val="00E27925"/>
    <w:rsid w:val="00E2797E"/>
    <w:rsid w:val="00E279D6"/>
    <w:rsid w:val="00E27B1C"/>
    <w:rsid w:val="00E27FC7"/>
    <w:rsid w:val="00E304E7"/>
    <w:rsid w:val="00E304E8"/>
    <w:rsid w:val="00E30521"/>
    <w:rsid w:val="00E305AB"/>
    <w:rsid w:val="00E305E4"/>
    <w:rsid w:val="00E30790"/>
    <w:rsid w:val="00E30DE1"/>
    <w:rsid w:val="00E30FF1"/>
    <w:rsid w:val="00E31106"/>
    <w:rsid w:val="00E31141"/>
    <w:rsid w:val="00E3119C"/>
    <w:rsid w:val="00E3144A"/>
    <w:rsid w:val="00E31656"/>
    <w:rsid w:val="00E31667"/>
    <w:rsid w:val="00E31E51"/>
    <w:rsid w:val="00E32854"/>
    <w:rsid w:val="00E32C52"/>
    <w:rsid w:val="00E32F07"/>
    <w:rsid w:val="00E32F51"/>
    <w:rsid w:val="00E3322C"/>
    <w:rsid w:val="00E33401"/>
    <w:rsid w:val="00E33DB5"/>
    <w:rsid w:val="00E348A8"/>
    <w:rsid w:val="00E3511C"/>
    <w:rsid w:val="00E3518D"/>
    <w:rsid w:val="00E3525E"/>
    <w:rsid w:val="00E364F3"/>
    <w:rsid w:val="00E36FA8"/>
    <w:rsid w:val="00E377A7"/>
    <w:rsid w:val="00E3792B"/>
    <w:rsid w:val="00E37AC9"/>
    <w:rsid w:val="00E37B3A"/>
    <w:rsid w:val="00E37DA9"/>
    <w:rsid w:val="00E37EF3"/>
    <w:rsid w:val="00E405D3"/>
    <w:rsid w:val="00E40824"/>
    <w:rsid w:val="00E4091D"/>
    <w:rsid w:val="00E409FB"/>
    <w:rsid w:val="00E40A25"/>
    <w:rsid w:val="00E41060"/>
    <w:rsid w:val="00E413F1"/>
    <w:rsid w:val="00E41597"/>
    <w:rsid w:val="00E41869"/>
    <w:rsid w:val="00E41F60"/>
    <w:rsid w:val="00E421D6"/>
    <w:rsid w:val="00E42475"/>
    <w:rsid w:val="00E4283D"/>
    <w:rsid w:val="00E42B5C"/>
    <w:rsid w:val="00E43044"/>
    <w:rsid w:val="00E43059"/>
    <w:rsid w:val="00E4373E"/>
    <w:rsid w:val="00E43893"/>
    <w:rsid w:val="00E439A5"/>
    <w:rsid w:val="00E43C51"/>
    <w:rsid w:val="00E441BA"/>
    <w:rsid w:val="00E44337"/>
    <w:rsid w:val="00E443A0"/>
    <w:rsid w:val="00E446CD"/>
    <w:rsid w:val="00E44952"/>
    <w:rsid w:val="00E45A8F"/>
    <w:rsid w:val="00E45B64"/>
    <w:rsid w:val="00E461C2"/>
    <w:rsid w:val="00E461F2"/>
    <w:rsid w:val="00E4635F"/>
    <w:rsid w:val="00E465AE"/>
    <w:rsid w:val="00E4720D"/>
    <w:rsid w:val="00E47A4C"/>
    <w:rsid w:val="00E47AA7"/>
    <w:rsid w:val="00E47D89"/>
    <w:rsid w:val="00E47E55"/>
    <w:rsid w:val="00E5025C"/>
    <w:rsid w:val="00E503D4"/>
    <w:rsid w:val="00E50480"/>
    <w:rsid w:val="00E506A6"/>
    <w:rsid w:val="00E50A99"/>
    <w:rsid w:val="00E50C92"/>
    <w:rsid w:val="00E50E35"/>
    <w:rsid w:val="00E5113B"/>
    <w:rsid w:val="00E51484"/>
    <w:rsid w:val="00E5161F"/>
    <w:rsid w:val="00E51B96"/>
    <w:rsid w:val="00E52791"/>
    <w:rsid w:val="00E52F5C"/>
    <w:rsid w:val="00E5326D"/>
    <w:rsid w:val="00E536A1"/>
    <w:rsid w:val="00E537B5"/>
    <w:rsid w:val="00E53842"/>
    <w:rsid w:val="00E53A09"/>
    <w:rsid w:val="00E53C47"/>
    <w:rsid w:val="00E53EEC"/>
    <w:rsid w:val="00E5509D"/>
    <w:rsid w:val="00E552CF"/>
    <w:rsid w:val="00E558C4"/>
    <w:rsid w:val="00E55B36"/>
    <w:rsid w:val="00E55B85"/>
    <w:rsid w:val="00E55C79"/>
    <w:rsid w:val="00E56A76"/>
    <w:rsid w:val="00E57389"/>
    <w:rsid w:val="00E57803"/>
    <w:rsid w:val="00E578A8"/>
    <w:rsid w:val="00E57DB2"/>
    <w:rsid w:val="00E60105"/>
    <w:rsid w:val="00E606BB"/>
    <w:rsid w:val="00E60C71"/>
    <w:rsid w:val="00E618AF"/>
    <w:rsid w:val="00E6197B"/>
    <w:rsid w:val="00E61AEE"/>
    <w:rsid w:val="00E61D4D"/>
    <w:rsid w:val="00E61DB4"/>
    <w:rsid w:val="00E61E44"/>
    <w:rsid w:val="00E61F8F"/>
    <w:rsid w:val="00E62126"/>
    <w:rsid w:val="00E62248"/>
    <w:rsid w:val="00E6230D"/>
    <w:rsid w:val="00E62AA4"/>
    <w:rsid w:val="00E62B6B"/>
    <w:rsid w:val="00E634AA"/>
    <w:rsid w:val="00E63897"/>
    <w:rsid w:val="00E63982"/>
    <w:rsid w:val="00E64707"/>
    <w:rsid w:val="00E64BEA"/>
    <w:rsid w:val="00E65953"/>
    <w:rsid w:val="00E65963"/>
    <w:rsid w:val="00E65A37"/>
    <w:rsid w:val="00E65F11"/>
    <w:rsid w:val="00E662DA"/>
    <w:rsid w:val="00E665D8"/>
    <w:rsid w:val="00E670AB"/>
    <w:rsid w:val="00E67454"/>
    <w:rsid w:val="00E67A69"/>
    <w:rsid w:val="00E67ECA"/>
    <w:rsid w:val="00E7016B"/>
    <w:rsid w:val="00E709DB"/>
    <w:rsid w:val="00E716BD"/>
    <w:rsid w:val="00E71914"/>
    <w:rsid w:val="00E71984"/>
    <w:rsid w:val="00E71C2F"/>
    <w:rsid w:val="00E72489"/>
    <w:rsid w:val="00E72620"/>
    <w:rsid w:val="00E7280E"/>
    <w:rsid w:val="00E728E4"/>
    <w:rsid w:val="00E72ECD"/>
    <w:rsid w:val="00E737D4"/>
    <w:rsid w:val="00E73AD8"/>
    <w:rsid w:val="00E740AA"/>
    <w:rsid w:val="00E744FA"/>
    <w:rsid w:val="00E74BFB"/>
    <w:rsid w:val="00E74CFC"/>
    <w:rsid w:val="00E752A3"/>
    <w:rsid w:val="00E7570B"/>
    <w:rsid w:val="00E7573A"/>
    <w:rsid w:val="00E75900"/>
    <w:rsid w:val="00E76344"/>
    <w:rsid w:val="00E763E1"/>
    <w:rsid w:val="00E76D8A"/>
    <w:rsid w:val="00E76E55"/>
    <w:rsid w:val="00E76F9C"/>
    <w:rsid w:val="00E77117"/>
    <w:rsid w:val="00E77611"/>
    <w:rsid w:val="00E777D7"/>
    <w:rsid w:val="00E77AEA"/>
    <w:rsid w:val="00E77F00"/>
    <w:rsid w:val="00E800F0"/>
    <w:rsid w:val="00E80300"/>
    <w:rsid w:val="00E806E7"/>
    <w:rsid w:val="00E80860"/>
    <w:rsid w:val="00E8096C"/>
    <w:rsid w:val="00E80E63"/>
    <w:rsid w:val="00E81808"/>
    <w:rsid w:val="00E81DD4"/>
    <w:rsid w:val="00E821F1"/>
    <w:rsid w:val="00E8263C"/>
    <w:rsid w:val="00E82E1F"/>
    <w:rsid w:val="00E82E9F"/>
    <w:rsid w:val="00E831BA"/>
    <w:rsid w:val="00E83478"/>
    <w:rsid w:val="00E8354E"/>
    <w:rsid w:val="00E83D89"/>
    <w:rsid w:val="00E83ED7"/>
    <w:rsid w:val="00E845C6"/>
    <w:rsid w:val="00E84D26"/>
    <w:rsid w:val="00E85433"/>
    <w:rsid w:val="00E85C09"/>
    <w:rsid w:val="00E8609F"/>
    <w:rsid w:val="00E865E4"/>
    <w:rsid w:val="00E8661D"/>
    <w:rsid w:val="00E8676F"/>
    <w:rsid w:val="00E8685F"/>
    <w:rsid w:val="00E87957"/>
    <w:rsid w:val="00E87B76"/>
    <w:rsid w:val="00E87D5C"/>
    <w:rsid w:val="00E90381"/>
    <w:rsid w:val="00E90570"/>
    <w:rsid w:val="00E9057A"/>
    <w:rsid w:val="00E906A9"/>
    <w:rsid w:val="00E90707"/>
    <w:rsid w:val="00E90CFC"/>
    <w:rsid w:val="00E913E3"/>
    <w:rsid w:val="00E9162D"/>
    <w:rsid w:val="00E91C1C"/>
    <w:rsid w:val="00E91C8F"/>
    <w:rsid w:val="00E91F41"/>
    <w:rsid w:val="00E924C5"/>
    <w:rsid w:val="00E92B1B"/>
    <w:rsid w:val="00E92E4A"/>
    <w:rsid w:val="00E9359B"/>
    <w:rsid w:val="00E93935"/>
    <w:rsid w:val="00E94263"/>
    <w:rsid w:val="00E94722"/>
    <w:rsid w:val="00E948DE"/>
    <w:rsid w:val="00E949FE"/>
    <w:rsid w:val="00E95052"/>
    <w:rsid w:val="00E95D46"/>
    <w:rsid w:val="00E95E18"/>
    <w:rsid w:val="00E95F0C"/>
    <w:rsid w:val="00E961F2"/>
    <w:rsid w:val="00E9624C"/>
    <w:rsid w:val="00E9630E"/>
    <w:rsid w:val="00E966C3"/>
    <w:rsid w:val="00E96901"/>
    <w:rsid w:val="00E97813"/>
    <w:rsid w:val="00E97E32"/>
    <w:rsid w:val="00EA01FB"/>
    <w:rsid w:val="00EA046A"/>
    <w:rsid w:val="00EA0B0B"/>
    <w:rsid w:val="00EA0CF4"/>
    <w:rsid w:val="00EA2363"/>
    <w:rsid w:val="00EA23AB"/>
    <w:rsid w:val="00EA247A"/>
    <w:rsid w:val="00EA2973"/>
    <w:rsid w:val="00EA2CA8"/>
    <w:rsid w:val="00EA2CBB"/>
    <w:rsid w:val="00EA2FBF"/>
    <w:rsid w:val="00EA372A"/>
    <w:rsid w:val="00EA3886"/>
    <w:rsid w:val="00EA38B3"/>
    <w:rsid w:val="00EA4B01"/>
    <w:rsid w:val="00EA4BB1"/>
    <w:rsid w:val="00EA4DF0"/>
    <w:rsid w:val="00EA5229"/>
    <w:rsid w:val="00EA5517"/>
    <w:rsid w:val="00EA572A"/>
    <w:rsid w:val="00EA5782"/>
    <w:rsid w:val="00EA5B6B"/>
    <w:rsid w:val="00EA5CAF"/>
    <w:rsid w:val="00EA5D30"/>
    <w:rsid w:val="00EA6117"/>
    <w:rsid w:val="00EA626E"/>
    <w:rsid w:val="00EA63F3"/>
    <w:rsid w:val="00EA672E"/>
    <w:rsid w:val="00EA6C23"/>
    <w:rsid w:val="00EA6CFA"/>
    <w:rsid w:val="00EA6E04"/>
    <w:rsid w:val="00EA7118"/>
    <w:rsid w:val="00EA7728"/>
    <w:rsid w:val="00EA79F9"/>
    <w:rsid w:val="00EA7F11"/>
    <w:rsid w:val="00EB0735"/>
    <w:rsid w:val="00EB09E1"/>
    <w:rsid w:val="00EB0F68"/>
    <w:rsid w:val="00EB10A3"/>
    <w:rsid w:val="00EB12FC"/>
    <w:rsid w:val="00EB142A"/>
    <w:rsid w:val="00EB18E4"/>
    <w:rsid w:val="00EB1984"/>
    <w:rsid w:val="00EB1A6D"/>
    <w:rsid w:val="00EB1AAC"/>
    <w:rsid w:val="00EB23A5"/>
    <w:rsid w:val="00EB25BD"/>
    <w:rsid w:val="00EB262A"/>
    <w:rsid w:val="00EB27AA"/>
    <w:rsid w:val="00EB28B3"/>
    <w:rsid w:val="00EB2A24"/>
    <w:rsid w:val="00EB2C88"/>
    <w:rsid w:val="00EB33B0"/>
    <w:rsid w:val="00EB36C0"/>
    <w:rsid w:val="00EB40D3"/>
    <w:rsid w:val="00EB475D"/>
    <w:rsid w:val="00EB4C8F"/>
    <w:rsid w:val="00EB5567"/>
    <w:rsid w:val="00EB581A"/>
    <w:rsid w:val="00EB5A40"/>
    <w:rsid w:val="00EB5CBA"/>
    <w:rsid w:val="00EB5D9A"/>
    <w:rsid w:val="00EB6740"/>
    <w:rsid w:val="00EB6D36"/>
    <w:rsid w:val="00EB6DA2"/>
    <w:rsid w:val="00EB6E2A"/>
    <w:rsid w:val="00EB719C"/>
    <w:rsid w:val="00EB71F6"/>
    <w:rsid w:val="00EB72A1"/>
    <w:rsid w:val="00EB7302"/>
    <w:rsid w:val="00EB741B"/>
    <w:rsid w:val="00EB7446"/>
    <w:rsid w:val="00EB763A"/>
    <w:rsid w:val="00EB77C1"/>
    <w:rsid w:val="00EB79BC"/>
    <w:rsid w:val="00EB7B21"/>
    <w:rsid w:val="00EB7C2F"/>
    <w:rsid w:val="00EC0125"/>
    <w:rsid w:val="00EC060E"/>
    <w:rsid w:val="00EC07B2"/>
    <w:rsid w:val="00EC08EA"/>
    <w:rsid w:val="00EC0AE4"/>
    <w:rsid w:val="00EC0CA0"/>
    <w:rsid w:val="00EC0CBB"/>
    <w:rsid w:val="00EC0E7F"/>
    <w:rsid w:val="00EC14EF"/>
    <w:rsid w:val="00EC1CFB"/>
    <w:rsid w:val="00EC1D05"/>
    <w:rsid w:val="00EC1D9A"/>
    <w:rsid w:val="00EC2032"/>
    <w:rsid w:val="00EC235D"/>
    <w:rsid w:val="00EC287D"/>
    <w:rsid w:val="00EC31C8"/>
    <w:rsid w:val="00EC34FE"/>
    <w:rsid w:val="00EC38E6"/>
    <w:rsid w:val="00EC3B25"/>
    <w:rsid w:val="00EC434C"/>
    <w:rsid w:val="00EC4CCD"/>
    <w:rsid w:val="00EC4D79"/>
    <w:rsid w:val="00EC51D9"/>
    <w:rsid w:val="00EC51E3"/>
    <w:rsid w:val="00EC5244"/>
    <w:rsid w:val="00EC5296"/>
    <w:rsid w:val="00EC5A09"/>
    <w:rsid w:val="00EC5AD0"/>
    <w:rsid w:val="00EC5C9D"/>
    <w:rsid w:val="00EC5E10"/>
    <w:rsid w:val="00EC64A4"/>
    <w:rsid w:val="00EC64C4"/>
    <w:rsid w:val="00EC659C"/>
    <w:rsid w:val="00EC6A8D"/>
    <w:rsid w:val="00EC6EAC"/>
    <w:rsid w:val="00EC7989"/>
    <w:rsid w:val="00EC7C35"/>
    <w:rsid w:val="00ED0035"/>
    <w:rsid w:val="00ED041F"/>
    <w:rsid w:val="00ED05ED"/>
    <w:rsid w:val="00ED09B0"/>
    <w:rsid w:val="00ED0BBA"/>
    <w:rsid w:val="00ED0CCC"/>
    <w:rsid w:val="00ED0EF5"/>
    <w:rsid w:val="00ED15F1"/>
    <w:rsid w:val="00ED1679"/>
    <w:rsid w:val="00ED189D"/>
    <w:rsid w:val="00ED195F"/>
    <w:rsid w:val="00ED19A9"/>
    <w:rsid w:val="00ED1B96"/>
    <w:rsid w:val="00ED1BA0"/>
    <w:rsid w:val="00ED217B"/>
    <w:rsid w:val="00ED24F7"/>
    <w:rsid w:val="00ED27AD"/>
    <w:rsid w:val="00ED28D0"/>
    <w:rsid w:val="00ED2EC5"/>
    <w:rsid w:val="00ED347A"/>
    <w:rsid w:val="00ED34C0"/>
    <w:rsid w:val="00ED3B83"/>
    <w:rsid w:val="00ED46E4"/>
    <w:rsid w:val="00ED51B0"/>
    <w:rsid w:val="00ED5648"/>
    <w:rsid w:val="00ED5A8B"/>
    <w:rsid w:val="00ED5AFC"/>
    <w:rsid w:val="00ED6341"/>
    <w:rsid w:val="00ED7107"/>
    <w:rsid w:val="00ED7237"/>
    <w:rsid w:val="00ED75B5"/>
    <w:rsid w:val="00ED7AA4"/>
    <w:rsid w:val="00ED7B19"/>
    <w:rsid w:val="00EE0399"/>
    <w:rsid w:val="00EE064D"/>
    <w:rsid w:val="00EE0CAB"/>
    <w:rsid w:val="00EE0CF5"/>
    <w:rsid w:val="00EE0D26"/>
    <w:rsid w:val="00EE1042"/>
    <w:rsid w:val="00EE1177"/>
    <w:rsid w:val="00EE24BF"/>
    <w:rsid w:val="00EE2CFE"/>
    <w:rsid w:val="00EE2E2B"/>
    <w:rsid w:val="00EE2F1E"/>
    <w:rsid w:val="00EE375A"/>
    <w:rsid w:val="00EE3861"/>
    <w:rsid w:val="00EE45CF"/>
    <w:rsid w:val="00EE4A1E"/>
    <w:rsid w:val="00EE4EC9"/>
    <w:rsid w:val="00EE5107"/>
    <w:rsid w:val="00EE51A7"/>
    <w:rsid w:val="00EE5B4E"/>
    <w:rsid w:val="00EE637C"/>
    <w:rsid w:val="00EE6538"/>
    <w:rsid w:val="00EE67AA"/>
    <w:rsid w:val="00EE6A2B"/>
    <w:rsid w:val="00EE6E5D"/>
    <w:rsid w:val="00EE7024"/>
    <w:rsid w:val="00EE729F"/>
    <w:rsid w:val="00EE75C4"/>
    <w:rsid w:val="00EE7A23"/>
    <w:rsid w:val="00EF07AE"/>
    <w:rsid w:val="00EF0B73"/>
    <w:rsid w:val="00EF138F"/>
    <w:rsid w:val="00EF19CF"/>
    <w:rsid w:val="00EF1AA2"/>
    <w:rsid w:val="00EF1D2F"/>
    <w:rsid w:val="00EF2078"/>
    <w:rsid w:val="00EF209E"/>
    <w:rsid w:val="00EF2141"/>
    <w:rsid w:val="00EF2179"/>
    <w:rsid w:val="00EF2382"/>
    <w:rsid w:val="00EF2BEC"/>
    <w:rsid w:val="00EF2F45"/>
    <w:rsid w:val="00EF422E"/>
    <w:rsid w:val="00EF4361"/>
    <w:rsid w:val="00EF4734"/>
    <w:rsid w:val="00EF4750"/>
    <w:rsid w:val="00EF48DE"/>
    <w:rsid w:val="00EF4993"/>
    <w:rsid w:val="00EF4EAE"/>
    <w:rsid w:val="00EF549F"/>
    <w:rsid w:val="00EF55FC"/>
    <w:rsid w:val="00EF5F8A"/>
    <w:rsid w:val="00EF5FEC"/>
    <w:rsid w:val="00EF624F"/>
    <w:rsid w:val="00EF761A"/>
    <w:rsid w:val="00F0014D"/>
    <w:rsid w:val="00F005C2"/>
    <w:rsid w:val="00F0062D"/>
    <w:rsid w:val="00F00728"/>
    <w:rsid w:val="00F007BC"/>
    <w:rsid w:val="00F00820"/>
    <w:rsid w:val="00F00CDD"/>
    <w:rsid w:val="00F00DDA"/>
    <w:rsid w:val="00F00EFB"/>
    <w:rsid w:val="00F011FC"/>
    <w:rsid w:val="00F01236"/>
    <w:rsid w:val="00F0228F"/>
    <w:rsid w:val="00F0230F"/>
    <w:rsid w:val="00F0258F"/>
    <w:rsid w:val="00F036C8"/>
    <w:rsid w:val="00F03900"/>
    <w:rsid w:val="00F03E21"/>
    <w:rsid w:val="00F03F6D"/>
    <w:rsid w:val="00F043FA"/>
    <w:rsid w:val="00F0489F"/>
    <w:rsid w:val="00F04AD0"/>
    <w:rsid w:val="00F04BAE"/>
    <w:rsid w:val="00F0515A"/>
    <w:rsid w:val="00F054A6"/>
    <w:rsid w:val="00F05B6A"/>
    <w:rsid w:val="00F05BEE"/>
    <w:rsid w:val="00F060CF"/>
    <w:rsid w:val="00F068C9"/>
    <w:rsid w:val="00F06A6C"/>
    <w:rsid w:val="00F0755C"/>
    <w:rsid w:val="00F076C0"/>
    <w:rsid w:val="00F07CD1"/>
    <w:rsid w:val="00F07EA4"/>
    <w:rsid w:val="00F100D6"/>
    <w:rsid w:val="00F102C5"/>
    <w:rsid w:val="00F10762"/>
    <w:rsid w:val="00F108CD"/>
    <w:rsid w:val="00F10D61"/>
    <w:rsid w:val="00F11758"/>
    <w:rsid w:val="00F11A58"/>
    <w:rsid w:val="00F11ED9"/>
    <w:rsid w:val="00F12B02"/>
    <w:rsid w:val="00F12B23"/>
    <w:rsid w:val="00F12EC0"/>
    <w:rsid w:val="00F12F64"/>
    <w:rsid w:val="00F13040"/>
    <w:rsid w:val="00F131FF"/>
    <w:rsid w:val="00F13508"/>
    <w:rsid w:val="00F14200"/>
    <w:rsid w:val="00F14664"/>
    <w:rsid w:val="00F146EC"/>
    <w:rsid w:val="00F14727"/>
    <w:rsid w:val="00F147FB"/>
    <w:rsid w:val="00F14E9F"/>
    <w:rsid w:val="00F150E9"/>
    <w:rsid w:val="00F15353"/>
    <w:rsid w:val="00F15511"/>
    <w:rsid w:val="00F155F0"/>
    <w:rsid w:val="00F15C65"/>
    <w:rsid w:val="00F15FD3"/>
    <w:rsid w:val="00F16208"/>
    <w:rsid w:val="00F16D44"/>
    <w:rsid w:val="00F16DE5"/>
    <w:rsid w:val="00F17229"/>
    <w:rsid w:val="00F17B35"/>
    <w:rsid w:val="00F17B68"/>
    <w:rsid w:val="00F17DE6"/>
    <w:rsid w:val="00F20057"/>
    <w:rsid w:val="00F2025D"/>
    <w:rsid w:val="00F202A8"/>
    <w:rsid w:val="00F204B5"/>
    <w:rsid w:val="00F20686"/>
    <w:rsid w:val="00F20834"/>
    <w:rsid w:val="00F21641"/>
    <w:rsid w:val="00F2179E"/>
    <w:rsid w:val="00F21899"/>
    <w:rsid w:val="00F21DC2"/>
    <w:rsid w:val="00F21E3F"/>
    <w:rsid w:val="00F22178"/>
    <w:rsid w:val="00F22316"/>
    <w:rsid w:val="00F225F8"/>
    <w:rsid w:val="00F22AD8"/>
    <w:rsid w:val="00F22BD1"/>
    <w:rsid w:val="00F22E80"/>
    <w:rsid w:val="00F22E9F"/>
    <w:rsid w:val="00F231B7"/>
    <w:rsid w:val="00F23310"/>
    <w:rsid w:val="00F23887"/>
    <w:rsid w:val="00F24843"/>
    <w:rsid w:val="00F253CC"/>
    <w:rsid w:val="00F257D5"/>
    <w:rsid w:val="00F25BB7"/>
    <w:rsid w:val="00F25ED9"/>
    <w:rsid w:val="00F26250"/>
    <w:rsid w:val="00F2665D"/>
    <w:rsid w:val="00F2682C"/>
    <w:rsid w:val="00F269B7"/>
    <w:rsid w:val="00F27078"/>
    <w:rsid w:val="00F272DD"/>
    <w:rsid w:val="00F27737"/>
    <w:rsid w:val="00F27A34"/>
    <w:rsid w:val="00F27E0A"/>
    <w:rsid w:val="00F27E14"/>
    <w:rsid w:val="00F30290"/>
    <w:rsid w:val="00F30561"/>
    <w:rsid w:val="00F30BED"/>
    <w:rsid w:val="00F30DF3"/>
    <w:rsid w:val="00F30FB1"/>
    <w:rsid w:val="00F31366"/>
    <w:rsid w:val="00F314F9"/>
    <w:rsid w:val="00F31DFF"/>
    <w:rsid w:val="00F32129"/>
    <w:rsid w:val="00F3238A"/>
    <w:rsid w:val="00F327AD"/>
    <w:rsid w:val="00F32A8A"/>
    <w:rsid w:val="00F32F02"/>
    <w:rsid w:val="00F32F86"/>
    <w:rsid w:val="00F33086"/>
    <w:rsid w:val="00F3319E"/>
    <w:rsid w:val="00F33418"/>
    <w:rsid w:val="00F3345D"/>
    <w:rsid w:val="00F337EA"/>
    <w:rsid w:val="00F33DFE"/>
    <w:rsid w:val="00F33EDC"/>
    <w:rsid w:val="00F344BC"/>
    <w:rsid w:val="00F3463F"/>
    <w:rsid w:val="00F3487B"/>
    <w:rsid w:val="00F34A27"/>
    <w:rsid w:val="00F34B12"/>
    <w:rsid w:val="00F34B47"/>
    <w:rsid w:val="00F351AE"/>
    <w:rsid w:val="00F353E6"/>
    <w:rsid w:val="00F355D5"/>
    <w:rsid w:val="00F3588F"/>
    <w:rsid w:val="00F359CD"/>
    <w:rsid w:val="00F35A21"/>
    <w:rsid w:val="00F35A32"/>
    <w:rsid w:val="00F35A39"/>
    <w:rsid w:val="00F35BCE"/>
    <w:rsid w:val="00F3603B"/>
    <w:rsid w:val="00F36350"/>
    <w:rsid w:val="00F364B5"/>
    <w:rsid w:val="00F36939"/>
    <w:rsid w:val="00F36A93"/>
    <w:rsid w:val="00F36C02"/>
    <w:rsid w:val="00F36C21"/>
    <w:rsid w:val="00F36F25"/>
    <w:rsid w:val="00F37095"/>
    <w:rsid w:val="00F373EE"/>
    <w:rsid w:val="00F378DC"/>
    <w:rsid w:val="00F37A2F"/>
    <w:rsid w:val="00F37AE9"/>
    <w:rsid w:val="00F37D4E"/>
    <w:rsid w:val="00F40CE5"/>
    <w:rsid w:val="00F40F1E"/>
    <w:rsid w:val="00F411C1"/>
    <w:rsid w:val="00F42427"/>
    <w:rsid w:val="00F4336C"/>
    <w:rsid w:val="00F434FF"/>
    <w:rsid w:val="00F43637"/>
    <w:rsid w:val="00F43A7E"/>
    <w:rsid w:val="00F44008"/>
    <w:rsid w:val="00F441DC"/>
    <w:rsid w:val="00F447A2"/>
    <w:rsid w:val="00F44AAB"/>
    <w:rsid w:val="00F45055"/>
    <w:rsid w:val="00F457FA"/>
    <w:rsid w:val="00F45910"/>
    <w:rsid w:val="00F46AFE"/>
    <w:rsid w:val="00F46B5B"/>
    <w:rsid w:val="00F46C25"/>
    <w:rsid w:val="00F46D98"/>
    <w:rsid w:val="00F4736F"/>
    <w:rsid w:val="00F4739B"/>
    <w:rsid w:val="00F47570"/>
    <w:rsid w:val="00F50518"/>
    <w:rsid w:val="00F509FB"/>
    <w:rsid w:val="00F50AE0"/>
    <w:rsid w:val="00F50D49"/>
    <w:rsid w:val="00F510F8"/>
    <w:rsid w:val="00F511ED"/>
    <w:rsid w:val="00F51342"/>
    <w:rsid w:val="00F520E8"/>
    <w:rsid w:val="00F52596"/>
    <w:rsid w:val="00F528FD"/>
    <w:rsid w:val="00F52E6C"/>
    <w:rsid w:val="00F53079"/>
    <w:rsid w:val="00F53500"/>
    <w:rsid w:val="00F53757"/>
    <w:rsid w:val="00F53A82"/>
    <w:rsid w:val="00F53BDD"/>
    <w:rsid w:val="00F53D6A"/>
    <w:rsid w:val="00F53DCA"/>
    <w:rsid w:val="00F54587"/>
    <w:rsid w:val="00F54634"/>
    <w:rsid w:val="00F54BD9"/>
    <w:rsid w:val="00F55C2E"/>
    <w:rsid w:val="00F55C33"/>
    <w:rsid w:val="00F56394"/>
    <w:rsid w:val="00F56843"/>
    <w:rsid w:val="00F56A89"/>
    <w:rsid w:val="00F56DAF"/>
    <w:rsid w:val="00F57265"/>
    <w:rsid w:val="00F5727A"/>
    <w:rsid w:val="00F573EE"/>
    <w:rsid w:val="00F606C7"/>
    <w:rsid w:val="00F60B7A"/>
    <w:rsid w:val="00F610FC"/>
    <w:rsid w:val="00F611F3"/>
    <w:rsid w:val="00F612AB"/>
    <w:rsid w:val="00F61ACA"/>
    <w:rsid w:val="00F61C6A"/>
    <w:rsid w:val="00F61F39"/>
    <w:rsid w:val="00F62543"/>
    <w:rsid w:val="00F62828"/>
    <w:rsid w:val="00F62C78"/>
    <w:rsid w:val="00F62C99"/>
    <w:rsid w:val="00F62DF2"/>
    <w:rsid w:val="00F63099"/>
    <w:rsid w:val="00F63229"/>
    <w:rsid w:val="00F64227"/>
    <w:rsid w:val="00F643A9"/>
    <w:rsid w:val="00F64619"/>
    <w:rsid w:val="00F64BA0"/>
    <w:rsid w:val="00F65148"/>
    <w:rsid w:val="00F65C70"/>
    <w:rsid w:val="00F65CD4"/>
    <w:rsid w:val="00F66322"/>
    <w:rsid w:val="00F66889"/>
    <w:rsid w:val="00F671F9"/>
    <w:rsid w:val="00F70313"/>
    <w:rsid w:val="00F704BC"/>
    <w:rsid w:val="00F7147E"/>
    <w:rsid w:val="00F714C0"/>
    <w:rsid w:val="00F716A7"/>
    <w:rsid w:val="00F71BAF"/>
    <w:rsid w:val="00F71BDD"/>
    <w:rsid w:val="00F72062"/>
    <w:rsid w:val="00F73654"/>
    <w:rsid w:val="00F73738"/>
    <w:rsid w:val="00F73B18"/>
    <w:rsid w:val="00F74258"/>
    <w:rsid w:val="00F74780"/>
    <w:rsid w:val="00F74913"/>
    <w:rsid w:val="00F74C87"/>
    <w:rsid w:val="00F751F0"/>
    <w:rsid w:val="00F752EF"/>
    <w:rsid w:val="00F7564B"/>
    <w:rsid w:val="00F75702"/>
    <w:rsid w:val="00F75C7E"/>
    <w:rsid w:val="00F75E82"/>
    <w:rsid w:val="00F762E9"/>
    <w:rsid w:val="00F76338"/>
    <w:rsid w:val="00F76817"/>
    <w:rsid w:val="00F76A31"/>
    <w:rsid w:val="00F770E2"/>
    <w:rsid w:val="00F77561"/>
    <w:rsid w:val="00F7798A"/>
    <w:rsid w:val="00F808DA"/>
    <w:rsid w:val="00F80CED"/>
    <w:rsid w:val="00F80F77"/>
    <w:rsid w:val="00F81105"/>
    <w:rsid w:val="00F815AC"/>
    <w:rsid w:val="00F81650"/>
    <w:rsid w:val="00F81901"/>
    <w:rsid w:val="00F81E05"/>
    <w:rsid w:val="00F82547"/>
    <w:rsid w:val="00F82889"/>
    <w:rsid w:val="00F82ADC"/>
    <w:rsid w:val="00F82F0D"/>
    <w:rsid w:val="00F83057"/>
    <w:rsid w:val="00F83761"/>
    <w:rsid w:val="00F83996"/>
    <w:rsid w:val="00F83BFA"/>
    <w:rsid w:val="00F8488D"/>
    <w:rsid w:val="00F84C8D"/>
    <w:rsid w:val="00F853E7"/>
    <w:rsid w:val="00F855E3"/>
    <w:rsid w:val="00F85B9E"/>
    <w:rsid w:val="00F8604B"/>
    <w:rsid w:val="00F86180"/>
    <w:rsid w:val="00F86206"/>
    <w:rsid w:val="00F8679C"/>
    <w:rsid w:val="00F8727C"/>
    <w:rsid w:val="00F878FB"/>
    <w:rsid w:val="00F87D8E"/>
    <w:rsid w:val="00F87F97"/>
    <w:rsid w:val="00F90A22"/>
    <w:rsid w:val="00F90A57"/>
    <w:rsid w:val="00F90B75"/>
    <w:rsid w:val="00F90E13"/>
    <w:rsid w:val="00F90E9F"/>
    <w:rsid w:val="00F90FF0"/>
    <w:rsid w:val="00F91100"/>
    <w:rsid w:val="00F9152B"/>
    <w:rsid w:val="00F91CB4"/>
    <w:rsid w:val="00F91D45"/>
    <w:rsid w:val="00F91FD5"/>
    <w:rsid w:val="00F91FDB"/>
    <w:rsid w:val="00F9268C"/>
    <w:rsid w:val="00F9284F"/>
    <w:rsid w:val="00F92A55"/>
    <w:rsid w:val="00F92A64"/>
    <w:rsid w:val="00F92F18"/>
    <w:rsid w:val="00F93523"/>
    <w:rsid w:val="00F93562"/>
    <w:rsid w:val="00F936D8"/>
    <w:rsid w:val="00F938D2"/>
    <w:rsid w:val="00F93AE7"/>
    <w:rsid w:val="00F93CFD"/>
    <w:rsid w:val="00F93DBA"/>
    <w:rsid w:val="00F942D7"/>
    <w:rsid w:val="00F94553"/>
    <w:rsid w:val="00F9478B"/>
    <w:rsid w:val="00F948A2"/>
    <w:rsid w:val="00F94DDA"/>
    <w:rsid w:val="00F96135"/>
    <w:rsid w:val="00F962B7"/>
    <w:rsid w:val="00F96560"/>
    <w:rsid w:val="00F96A50"/>
    <w:rsid w:val="00F96BE2"/>
    <w:rsid w:val="00F97504"/>
    <w:rsid w:val="00F97783"/>
    <w:rsid w:val="00F97843"/>
    <w:rsid w:val="00F97BCC"/>
    <w:rsid w:val="00F97C22"/>
    <w:rsid w:val="00FA003F"/>
    <w:rsid w:val="00FA05E8"/>
    <w:rsid w:val="00FA05FC"/>
    <w:rsid w:val="00FA07A7"/>
    <w:rsid w:val="00FA0A6F"/>
    <w:rsid w:val="00FA0F0A"/>
    <w:rsid w:val="00FA1164"/>
    <w:rsid w:val="00FA1191"/>
    <w:rsid w:val="00FA16C2"/>
    <w:rsid w:val="00FA199B"/>
    <w:rsid w:val="00FA19BF"/>
    <w:rsid w:val="00FA1A32"/>
    <w:rsid w:val="00FA24A6"/>
    <w:rsid w:val="00FA2B7A"/>
    <w:rsid w:val="00FA2FC9"/>
    <w:rsid w:val="00FA341D"/>
    <w:rsid w:val="00FA3E3F"/>
    <w:rsid w:val="00FA40BC"/>
    <w:rsid w:val="00FA441D"/>
    <w:rsid w:val="00FA46E6"/>
    <w:rsid w:val="00FA47F3"/>
    <w:rsid w:val="00FA4829"/>
    <w:rsid w:val="00FA49CF"/>
    <w:rsid w:val="00FA4DA0"/>
    <w:rsid w:val="00FA5028"/>
    <w:rsid w:val="00FA53D8"/>
    <w:rsid w:val="00FA53FF"/>
    <w:rsid w:val="00FA587C"/>
    <w:rsid w:val="00FA67AD"/>
    <w:rsid w:val="00FA6AF5"/>
    <w:rsid w:val="00FA6EE2"/>
    <w:rsid w:val="00FA701E"/>
    <w:rsid w:val="00FA7873"/>
    <w:rsid w:val="00FA7BBD"/>
    <w:rsid w:val="00FB0037"/>
    <w:rsid w:val="00FB010F"/>
    <w:rsid w:val="00FB086F"/>
    <w:rsid w:val="00FB0A21"/>
    <w:rsid w:val="00FB0C01"/>
    <w:rsid w:val="00FB0C98"/>
    <w:rsid w:val="00FB14A3"/>
    <w:rsid w:val="00FB21BB"/>
    <w:rsid w:val="00FB2566"/>
    <w:rsid w:val="00FB2677"/>
    <w:rsid w:val="00FB27EB"/>
    <w:rsid w:val="00FB2902"/>
    <w:rsid w:val="00FB2B84"/>
    <w:rsid w:val="00FB365C"/>
    <w:rsid w:val="00FB3716"/>
    <w:rsid w:val="00FB3987"/>
    <w:rsid w:val="00FB3A67"/>
    <w:rsid w:val="00FB3B6E"/>
    <w:rsid w:val="00FB46D8"/>
    <w:rsid w:val="00FB4844"/>
    <w:rsid w:val="00FB4E40"/>
    <w:rsid w:val="00FB50C5"/>
    <w:rsid w:val="00FB53BE"/>
    <w:rsid w:val="00FB5A4A"/>
    <w:rsid w:val="00FB6189"/>
    <w:rsid w:val="00FB6477"/>
    <w:rsid w:val="00FB6B73"/>
    <w:rsid w:val="00FB6B98"/>
    <w:rsid w:val="00FB6E4C"/>
    <w:rsid w:val="00FB7381"/>
    <w:rsid w:val="00FB774E"/>
    <w:rsid w:val="00FB7814"/>
    <w:rsid w:val="00FB78A8"/>
    <w:rsid w:val="00FB7EDA"/>
    <w:rsid w:val="00FB7F6D"/>
    <w:rsid w:val="00FC03F2"/>
    <w:rsid w:val="00FC0C2A"/>
    <w:rsid w:val="00FC0E23"/>
    <w:rsid w:val="00FC1765"/>
    <w:rsid w:val="00FC1AA9"/>
    <w:rsid w:val="00FC1ED3"/>
    <w:rsid w:val="00FC2150"/>
    <w:rsid w:val="00FC2B64"/>
    <w:rsid w:val="00FC311E"/>
    <w:rsid w:val="00FC32B4"/>
    <w:rsid w:val="00FC3329"/>
    <w:rsid w:val="00FC352F"/>
    <w:rsid w:val="00FC38B9"/>
    <w:rsid w:val="00FC39EE"/>
    <w:rsid w:val="00FC49E7"/>
    <w:rsid w:val="00FC4DAE"/>
    <w:rsid w:val="00FC500C"/>
    <w:rsid w:val="00FC526F"/>
    <w:rsid w:val="00FC5398"/>
    <w:rsid w:val="00FC60AB"/>
    <w:rsid w:val="00FC6208"/>
    <w:rsid w:val="00FC65F0"/>
    <w:rsid w:val="00FC6AA2"/>
    <w:rsid w:val="00FC7415"/>
    <w:rsid w:val="00FC76E1"/>
    <w:rsid w:val="00FC7786"/>
    <w:rsid w:val="00FC7D22"/>
    <w:rsid w:val="00FC7F68"/>
    <w:rsid w:val="00FD0067"/>
    <w:rsid w:val="00FD01D6"/>
    <w:rsid w:val="00FD03D3"/>
    <w:rsid w:val="00FD043A"/>
    <w:rsid w:val="00FD0B0E"/>
    <w:rsid w:val="00FD0C12"/>
    <w:rsid w:val="00FD0D38"/>
    <w:rsid w:val="00FD1075"/>
    <w:rsid w:val="00FD19DD"/>
    <w:rsid w:val="00FD1B1C"/>
    <w:rsid w:val="00FD1E71"/>
    <w:rsid w:val="00FD2026"/>
    <w:rsid w:val="00FD23EC"/>
    <w:rsid w:val="00FD25E3"/>
    <w:rsid w:val="00FD27FA"/>
    <w:rsid w:val="00FD2B92"/>
    <w:rsid w:val="00FD2BC0"/>
    <w:rsid w:val="00FD2C24"/>
    <w:rsid w:val="00FD345E"/>
    <w:rsid w:val="00FD3CDF"/>
    <w:rsid w:val="00FD3DF6"/>
    <w:rsid w:val="00FD41D9"/>
    <w:rsid w:val="00FD45C4"/>
    <w:rsid w:val="00FD470A"/>
    <w:rsid w:val="00FD4CC8"/>
    <w:rsid w:val="00FD4D7D"/>
    <w:rsid w:val="00FD4FCA"/>
    <w:rsid w:val="00FD528F"/>
    <w:rsid w:val="00FD5B05"/>
    <w:rsid w:val="00FD5C42"/>
    <w:rsid w:val="00FD5CC7"/>
    <w:rsid w:val="00FD5FE7"/>
    <w:rsid w:val="00FD6270"/>
    <w:rsid w:val="00FD64BC"/>
    <w:rsid w:val="00FD6AEF"/>
    <w:rsid w:val="00FD6C3A"/>
    <w:rsid w:val="00FD6EF8"/>
    <w:rsid w:val="00FD75D3"/>
    <w:rsid w:val="00FD783C"/>
    <w:rsid w:val="00FD7A53"/>
    <w:rsid w:val="00FD7FB1"/>
    <w:rsid w:val="00FE090D"/>
    <w:rsid w:val="00FE0C2B"/>
    <w:rsid w:val="00FE105D"/>
    <w:rsid w:val="00FE1131"/>
    <w:rsid w:val="00FE1194"/>
    <w:rsid w:val="00FE1571"/>
    <w:rsid w:val="00FE171E"/>
    <w:rsid w:val="00FE1DB1"/>
    <w:rsid w:val="00FE1E3B"/>
    <w:rsid w:val="00FE1FAC"/>
    <w:rsid w:val="00FE28BF"/>
    <w:rsid w:val="00FE2991"/>
    <w:rsid w:val="00FE38FD"/>
    <w:rsid w:val="00FE3B34"/>
    <w:rsid w:val="00FE40C8"/>
    <w:rsid w:val="00FE47C3"/>
    <w:rsid w:val="00FE4AF6"/>
    <w:rsid w:val="00FE4B83"/>
    <w:rsid w:val="00FE4EE1"/>
    <w:rsid w:val="00FE5237"/>
    <w:rsid w:val="00FE52EF"/>
    <w:rsid w:val="00FE54EB"/>
    <w:rsid w:val="00FE56C3"/>
    <w:rsid w:val="00FE572F"/>
    <w:rsid w:val="00FE60C2"/>
    <w:rsid w:val="00FE6154"/>
    <w:rsid w:val="00FE62A6"/>
    <w:rsid w:val="00FE62F7"/>
    <w:rsid w:val="00FE6B8F"/>
    <w:rsid w:val="00FE6BE0"/>
    <w:rsid w:val="00FE6E3C"/>
    <w:rsid w:val="00FE6E9C"/>
    <w:rsid w:val="00FE6F19"/>
    <w:rsid w:val="00FE6FED"/>
    <w:rsid w:val="00FE766F"/>
    <w:rsid w:val="00FE7835"/>
    <w:rsid w:val="00FE7C74"/>
    <w:rsid w:val="00FF030B"/>
    <w:rsid w:val="00FF03FB"/>
    <w:rsid w:val="00FF10F2"/>
    <w:rsid w:val="00FF119F"/>
    <w:rsid w:val="00FF1745"/>
    <w:rsid w:val="00FF1A4F"/>
    <w:rsid w:val="00FF1B0E"/>
    <w:rsid w:val="00FF24A9"/>
    <w:rsid w:val="00FF2516"/>
    <w:rsid w:val="00FF2EA3"/>
    <w:rsid w:val="00FF31D6"/>
    <w:rsid w:val="00FF3478"/>
    <w:rsid w:val="00FF3804"/>
    <w:rsid w:val="00FF4281"/>
    <w:rsid w:val="00FF4332"/>
    <w:rsid w:val="00FF4392"/>
    <w:rsid w:val="00FF49D8"/>
    <w:rsid w:val="00FF512B"/>
    <w:rsid w:val="00FF599F"/>
    <w:rsid w:val="00FF5CEE"/>
    <w:rsid w:val="00FF6052"/>
    <w:rsid w:val="00FF6456"/>
    <w:rsid w:val="00FF66D5"/>
    <w:rsid w:val="00FF675F"/>
    <w:rsid w:val="00FF6ACB"/>
    <w:rsid w:val="00FF6CBB"/>
    <w:rsid w:val="00FF6D2F"/>
    <w:rsid w:val="00FF74AF"/>
    <w:rsid w:val="00FF7824"/>
    <w:rsid w:val="00FF78E9"/>
    <w:rsid w:val="00FF7EDC"/>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80A794B"/>
  <w15:docId w15:val="{FC5F8929-2E36-4102-8ACF-12A188E99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389"/>
  </w:style>
  <w:style w:type="paragraph" w:styleId="Ttulo1">
    <w:name w:val="heading 1"/>
    <w:basedOn w:val="Normal"/>
    <w:next w:val="Normal"/>
    <w:link w:val="Ttulo1Char"/>
    <w:uiPriority w:val="9"/>
    <w:qFormat/>
    <w:rsid w:val="000859C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09517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0859CA"/>
    <w:rPr>
      <w:rFonts w:asciiTheme="majorHAnsi" w:eastAsiaTheme="majorEastAsia" w:hAnsiTheme="majorHAnsi" w:cstheme="majorBidi"/>
      <w:b/>
      <w:bCs/>
      <w:color w:val="365F91" w:themeColor="accent1" w:themeShade="BF"/>
      <w:sz w:val="28"/>
      <w:szCs w:val="28"/>
    </w:rPr>
  </w:style>
  <w:style w:type="character" w:customStyle="1" w:styleId="apple-style-span">
    <w:name w:val="apple-style-span"/>
    <w:basedOn w:val="Fontepargpadro"/>
    <w:rsid w:val="003C7062"/>
  </w:style>
  <w:style w:type="character" w:customStyle="1" w:styleId="apple-converted-space">
    <w:name w:val="apple-converted-space"/>
    <w:basedOn w:val="Fontepargpadro"/>
    <w:rsid w:val="003C7062"/>
  </w:style>
  <w:style w:type="character" w:styleId="Hyperlink">
    <w:name w:val="Hyperlink"/>
    <w:basedOn w:val="Fontepargpadro"/>
    <w:uiPriority w:val="99"/>
    <w:unhideWhenUsed/>
    <w:rsid w:val="003C7062"/>
    <w:rPr>
      <w:color w:val="0000FF"/>
      <w:u w:val="single"/>
    </w:rPr>
  </w:style>
  <w:style w:type="paragraph" w:styleId="NormalWeb">
    <w:name w:val="Normal (Web)"/>
    <w:basedOn w:val="Normal"/>
    <w:uiPriority w:val="99"/>
    <w:unhideWhenUsed/>
    <w:rsid w:val="00BA2044"/>
    <w:pPr>
      <w:spacing w:before="100" w:beforeAutospacing="1" w:after="100" w:afterAutospacing="1" w:line="240" w:lineRule="auto"/>
    </w:pPr>
    <w:rPr>
      <w:rFonts w:ascii="Times New Roman" w:hAnsi="Times New Roman" w:cs="Times New Roman"/>
      <w:sz w:val="24"/>
      <w:szCs w:val="24"/>
      <w:lang w:eastAsia="it-IT"/>
    </w:rPr>
  </w:style>
  <w:style w:type="character" w:styleId="TextodoEspaoReservado">
    <w:name w:val="Placeholder Text"/>
    <w:basedOn w:val="Fontepargpadro"/>
    <w:uiPriority w:val="99"/>
    <w:semiHidden/>
    <w:rsid w:val="00863316"/>
    <w:rPr>
      <w:color w:val="808080"/>
    </w:rPr>
  </w:style>
  <w:style w:type="paragraph" w:styleId="Textodebalo">
    <w:name w:val="Balloon Text"/>
    <w:basedOn w:val="Normal"/>
    <w:link w:val="TextodebaloChar"/>
    <w:uiPriority w:val="99"/>
    <w:semiHidden/>
    <w:unhideWhenUsed/>
    <w:rsid w:val="0086331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63316"/>
    <w:rPr>
      <w:rFonts w:ascii="Tahoma" w:hAnsi="Tahoma" w:cs="Tahoma"/>
      <w:sz w:val="16"/>
      <w:szCs w:val="16"/>
    </w:rPr>
  </w:style>
  <w:style w:type="table" w:styleId="Tabelacomgrade">
    <w:name w:val="Table Grid"/>
    <w:basedOn w:val="Tabelanormal"/>
    <w:uiPriority w:val="59"/>
    <w:rsid w:val="00B528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notaderodap">
    <w:name w:val="footnote text"/>
    <w:basedOn w:val="Normal"/>
    <w:link w:val="TextodenotaderodapChar"/>
    <w:uiPriority w:val="99"/>
    <w:unhideWhenUsed/>
    <w:rsid w:val="00080AC1"/>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080AC1"/>
    <w:rPr>
      <w:sz w:val="20"/>
      <w:szCs w:val="20"/>
    </w:rPr>
  </w:style>
  <w:style w:type="character" w:styleId="Refdenotaderodap">
    <w:name w:val="footnote reference"/>
    <w:basedOn w:val="Fontepargpadro"/>
    <w:uiPriority w:val="99"/>
    <w:semiHidden/>
    <w:unhideWhenUsed/>
    <w:rsid w:val="00080AC1"/>
    <w:rPr>
      <w:vertAlign w:val="superscript"/>
    </w:rPr>
  </w:style>
  <w:style w:type="paragraph" w:styleId="Cabealho">
    <w:name w:val="header"/>
    <w:basedOn w:val="Normal"/>
    <w:link w:val="CabealhoChar"/>
    <w:uiPriority w:val="99"/>
    <w:unhideWhenUsed/>
    <w:rsid w:val="008B1BAD"/>
    <w:pPr>
      <w:tabs>
        <w:tab w:val="center" w:pos="4819"/>
        <w:tab w:val="right" w:pos="9638"/>
      </w:tabs>
      <w:spacing w:after="0" w:line="240" w:lineRule="auto"/>
    </w:pPr>
  </w:style>
  <w:style w:type="character" w:customStyle="1" w:styleId="CabealhoChar">
    <w:name w:val="Cabeçalho Char"/>
    <w:basedOn w:val="Fontepargpadro"/>
    <w:link w:val="Cabealho"/>
    <w:uiPriority w:val="99"/>
    <w:rsid w:val="008B1BAD"/>
  </w:style>
  <w:style w:type="paragraph" w:styleId="Rodap">
    <w:name w:val="footer"/>
    <w:basedOn w:val="Normal"/>
    <w:link w:val="RodapChar"/>
    <w:uiPriority w:val="99"/>
    <w:unhideWhenUsed/>
    <w:rsid w:val="008B1BAD"/>
    <w:pPr>
      <w:tabs>
        <w:tab w:val="center" w:pos="4819"/>
        <w:tab w:val="right" w:pos="9638"/>
      </w:tabs>
      <w:spacing w:after="0" w:line="240" w:lineRule="auto"/>
    </w:pPr>
  </w:style>
  <w:style w:type="character" w:customStyle="1" w:styleId="RodapChar">
    <w:name w:val="Rodapé Char"/>
    <w:basedOn w:val="Fontepargpadro"/>
    <w:link w:val="Rodap"/>
    <w:uiPriority w:val="99"/>
    <w:rsid w:val="008B1BAD"/>
  </w:style>
  <w:style w:type="character" w:styleId="Refdecomentrio">
    <w:name w:val="annotation reference"/>
    <w:basedOn w:val="Fontepargpadro"/>
    <w:uiPriority w:val="99"/>
    <w:semiHidden/>
    <w:unhideWhenUsed/>
    <w:rsid w:val="003B33DB"/>
    <w:rPr>
      <w:sz w:val="16"/>
      <w:szCs w:val="16"/>
    </w:rPr>
  </w:style>
  <w:style w:type="paragraph" w:styleId="Textodecomentrio">
    <w:name w:val="annotation text"/>
    <w:basedOn w:val="Normal"/>
    <w:link w:val="TextodecomentrioChar"/>
    <w:uiPriority w:val="99"/>
    <w:unhideWhenUsed/>
    <w:rsid w:val="003B33DB"/>
    <w:pPr>
      <w:spacing w:line="240" w:lineRule="auto"/>
    </w:pPr>
    <w:rPr>
      <w:sz w:val="20"/>
      <w:szCs w:val="20"/>
    </w:rPr>
  </w:style>
  <w:style w:type="character" w:customStyle="1" w:styleId="TextodecomentrioChar">
    <w:name w:val="Texto de comentário Char"/>
    <w:basedOn w:val="Fontepargpadro"/>
    <w:link w:val="Textodecomentrio"/>
    <w:uiPriority w:val="99"/>
    <w:rsid w:val="003B33DB"/>
    <w:rPr>
      <w:sz w:val="20"/>
      <w:szCs w:val="20"/>
    </w:rPr>
  </w:style>
  <w:style w:type="paragraph" w:styleId="Assuntodocomentrio">
    <w:name w:val="annotation subject"/>
    <w:basedOn w:val="Textodecomentrio"/>
    <w:next w:val="Textodecomentrio"/>
    <w:link w:val="AssuntodocomentrioChar"/>
    <w:uiPriority w:val="99"/>
    <w:semiHidden/>
    <w:unhideWhenUsed/>
    <w:rsid w:val="003B33DB"/>
    <w:rPr>
      <w:b/>
      <w:bCs/>
    </w:rPr>
  </w:style>
  <w:style w:type="character" w:customStyle="1" w:styleId="AssuntodocomentrioChar">
    <w:name w:val="Assunto do comentário Char"/>
    <w:basedOn w:val="TextodecomentrioChar"/>
    <w:link w:val="Assuntodocomentrio"/>
    <w:uiPriority w:val="99"/>
    <w:semiHidden/>
    <w:rsid w:val="003B33DB"/>
    <w:rPr>
      <w:b/>
      <w:bCs/>
      <w:sz w:val="20"/>
      <w:szCs w:val="20"/>
    </w:rPr>
  </w:style>
  <w:style w:type="paragraph" w:styleId="Reviso">
    <w:name w:val="Revision"/>
    <w:hidden/>
    <w:uiPriority w:val="99"/>
    <w:semiHidden/>
    <w:rsid w:val="00813BAB"/>
    <w:pPr>
      <w:spacing w:after="0" w:line="240" w:lineRule="auto"/>
    </w:pPr>
  </w:style>
  <w:style w:type="paragraph" w:customStyle="1" w:styleId="Default">
    <w:name w:val="Default"/>
    <w:rsid w:val="00A920D3"/>
    <w:pPr>
      <w:autoSpaceDE w:val="0"/>
      <w:autoSpaceDN w:val="0"/>
      <w:adjustRightInd w:val="0"/>
      <w:spacing w:after="0" w:line="240" w:lineRule="auto"/>
    </w:pPr>
    <w:rPr>
      <w:rFonts w:ascii="Arial" w:hAnsi="Arial" w:cs="Arial"/>
      <w:color w:val="000000"/>
      <w:sz w:val="24"/>
      <w:szCs w:val="24"/>
      <w:lang w:val="it-IT"/>
    </w:rPr>
  </w:style>
  <w:style w:type="character" w:customStyle="1" w:styleId="FooterChar">
    <w:name w:val="Footer Char"/>
    <w:basedOn w:val="Fontepargpadro"/>
    <w:uiPriority w:val="99"/>
    <w:rsid w:val="001A6FF6"/>
    <w:rPr>
      <w:rFonts w:eastAsiaTheme="minorHAnsi"/>
      <w:sz w:val="21"/>
    </w:rPr>
  </w:style>
  <w:style w:type="paragraph" w:styleId="PargrafodaLista">
    <w:name w:val="List Paragraph"/>
    <w:basedOn w:val="Normal"/>
    <w:uiPriority w:val="34"/>
    <w:qFormat/>
    <w:rsid w:val="00811F94"/>
    <w:pPr>
      <w:ind w:left="720"/>
      <w:contextualSpacing/>
    </w:pPr>
  </w:style>
  <w:style w:type="paragraph" w:customStyle="1" w:styleId="para1">
    <w:name w:val="para 1"/>
    <w:rsid w:val="008D60AC"/>
    <w:pPr>
      <w:spacing w:before="240" w:after="0" w:line="240" w:lineRule="auto"/>
      <w:ind w:firstLine="720"/>
      <w:jc w:val="both"/>
    </w:pPr>
    <w:rPr>
      <w:rFonts w:ascii="Times New Roman" w:eastAsia="Times New Roman" w:hAnsi="Times New Roman" w:cs="Times New Roman"/>
      <w:sz w:val="24"/>
      <w:szCs w:val="20"/>
      <w:lang w:val="en-GB"/>
    </w:rPr>
  </w:style>
  <w:style w:type="paragraph" w:styleId="SemEspaamento">
    <w:name w:val="No Spacing"/>
    <w:uiPriority w:val="1"/>
    <w:qFormat/>
    <w:rsid w:val="007D6B7E"/>
    <w:pPr>
      <w:spacing w:after="0" w:line="240" w:lineRule="auto"/>
    </w:pPr>
    <w:rPr>
      <w:rFonts w:eastAsiaTheme="minorHAnsi"/>
      <w:lang w:val="en-GB"/>
    </w:rPr>
  </w:style>
  <w:style w:type="character" w:customStyle="1" w:styleId="Ttulo2Char">
    <w:name w:val="Título 2 Char"/>
    <w:basedOn w:val="Fontepargpadro"/>
    <w:link w:val="Ttulo2"/>
    <w:uiPriority w:val="9"/>
    <w:rsid w:val="00095176"/>
    <w:rPr>
      <w:rFonts w:asciiTheme="majorHAnsi" w:eastAsiaTheme="majorEastAsia" w:hAnsiTheme="majorHAnsi" w:cstheme="majorBidi"/>
      <w:color w:val="365F91" w:themeColor="accent1" w:themeShade="BF"/>
      <w:sz w:val="26"/>
      <w:szCs w:val="26"/>
    </w:rPr>
  </w:style>
  <w:style w:type="character" w:customStyle="1" w:styleId="year">
    <w:name w:val="year"/>
    <w:basedOn w:val="Fontepargpadro"/>
    <w:rsid w:val="00C00ABE"/>
  </w:style>
  <w:style w:type="character" w:customStyle="1" w:styleId="Title1">
    <w:name w:val="Title1"/>
    <w:basedOn w:val="Fontepargpadro"/>
    <w:rsid w:val="00C00ABE"/>
  </w:style>
  <w:style w:type="character" w:customStyle="1" w:styleId="journal">
    <w:name w:val="journal"/>
    <w:basedOn w:val="Fontepargpadro"/>
    <w:rsid w:val="00C00ABE"/>
  </w:style>
  <w:style w:type="character" w:customStyle="1" w:styleId="vol">
    <w:name w:val="vol"/>
    <w:basedOn w:val="Fontepargpadro"/>
    <w:rsid w:val="00C00ABE"/>
  </w:style>
  <w:style w:type="character" w:customStyle="1" w:styleId="pages">
    <w:name w:val="pages"/>
    <w:basedOn w:val="Fontepargpadro"/>
    <w:rsid w:val="00C00ABE"/>
  </w:style>
  <w:style w:type="character" w:customStyle="1" w:styleId="highwire-cite-metadata-year">
    <w:name w:val="highwire-cite-metadata-year"/>
    <w:basedOn w:val="Fontepargpadro"/>
    <w:rsid w:val="00A03E79"/>
  </w:style>
  <w:style w:type="character" w:customStyle="1" w:styleId="highwire-cite-metadata-volume">
    <w:name w:val="highwire-cite-metadata-volume"/>
    <w:basedOn w:val="Fontepargpadro"/>
    <w:rsid w:val="00A03E79"/>
  </w:style>
  <w:style w:type="character" w:customStyle="1" w:styleId="highwire-cite-metadata-pages">
    <w:name w:val="highwire-cite-metadata-pages"/>
    <w:basedOn w:val="Fontepargpadro"/>
    <w:rsid w:val="00A03E79"/>
  </w:style>
  <w:style w:type="character" w:styleId="Nmerodepgina">
    <w:name w:val="page number"/>
    <w:basedOn w:val="Fontepargpadro"/>
    <w:uiPriority w:val="99"/>
    <w:semiHidden/>
    <w:unhideWhenUsed/>
    <w:rsid w:val="005625EA"/>
  </w:style>
  <w:style w:type="character" w:styleId="nfase">
    <w:name w:val="Emphasis"/>
    <w:basedOn w:val="Fontepargpadro"/>
    <w:uiPriority w:val="20"/>
    <w:qFormat/>
    <w:rsid w:val="000B130B"/>
    <w:rPr>
      <w:i/>
      <w:iCs/>
    </w:rPr>
  </w:style>
  <w:style w:type="character" w:styleId="MenoPendente">
    <w:name w:val="Unresolved Mention"/>
    <w:basedOn w:val="Fontepargpadro"/>
    <w:uiPriority w:val="99"/>
    <w:semiHidden/>
    <w:unhideWhenUsed/>
    <w:rsid w:val="002859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530491">
      <w:bodyDiv w:val="1"/>
      <w:marLeft w:val="0"/>
      <w:marRight w:val="0"/>
      <w:marTop w:val="0"/>
      <w:marBottom w:val="0"/>
      <w:divBdr>
        <w:top w:val="none" w:sz="0" w:space="0" w:color="auto"/>
        <w:left w:val="none" w:sz="0" w:space="0" w:color="auto"/>
        <w:bottom w:val="none" w:sz="0" w:space="0" w:color="auto"/>
        <w:right w:val="none" w:sz="0" w:space="0" w:color="auto"/>
      </w:divBdr>
    </w:div>
    <w:div w:id="161046165">
      <w:bodyDiv w:val="1"/>
      <w:marLeft w:val="0"/>
      <w:marRight w:val="0"/>
      <w:marTop w:val="0"/>
      <w:marBottom w:val="0"/>
      <w:divBdr>
        <w:top w:val="none" w:sz="0" w:space="0" w:color="auto"/>
        <w:left w:val="none" w:sz="0" w:space="0" w:color="auto"/>
        <w:bottom w:val="none" w:sz="0" w:space="0" w:color="auto"/>
        <w:right w:val="none" w:sz="0" w:space="0" w:color="auto"/>
      </w:divBdr>
    </w:div>
    <w:div w:id="168066930">
      <w:bodyDiv w:val="1"/>
      <w:marLeft w:val="0"/>
      <w:marRight w:val="0"/>
      <w:marTop w:val="0"/>
      <w:marBottom w:val="0"/>
      <w:divBdr>
        <w:top w:val="none" w:sz="0" w:space="0" w:color="auto"/>
        <w:left w:val="none" w:sz="0" w:space="0" w:color="auto"/>
        <w:bottom w:val="none" w:sz="0" w:space="0" w:color="auto"/>
        <w:right w:val="none" w:sz="0" w:space="0" w:color="auto"/>
      </w:divBdr>
    </w:div>
    <w:div w:id="205531296">
      <w:bodyDiv w:val="1"/>
      <w:marLeft w:val="0"/>
      <w:marRight w:val="0"/>
      <w:marTop w:val="0"/>
      <w:marBottom w:val="0"/>
      <w:divBdr>
        <w:top w:val="none" w:sz="0" w:space="0" w:color="auto"/>
        <w:left w:val="none" w:sz="0" w:space="0" w:color="auto"/>
        <w:bottom w:val="none" w:sz="0" w:space="0" w:color="auto"/>
        <w:right w:val="none" w:sz="0" w:space="0" w:color="auto"/>
      </w:divBdr>
    </w:div>
    <w:div w:id="244383755">
      <w:bodyDiv w:val="1"/>
      <w:marLeft w:val="0"/>
      <w:marRight w:val="0"/>
      <w:marTop w:val="0"/>
      <w:marBottom w:val="0"/>
      <w:divBdr>
        <w:top w:val="none" w:sz="0" w:space="0" w:color="auto"/>
        <w:left w:val="none" w:sz="0" w:space="0" w:color="auto"/>
        <w:bottom w:val="none" w:sz="0" w:space="0" w:color="auto"/>
        <w:right w:val="none" w:sz="0" w:space="0" w:color="auto"/>
      </w:divBdr>
    </w:div>
    <w:div w:id="273220103">
      <w:bodyDiv w:val="1"/>
      <w:marLeft w:val="0"/>
      <w:marRight w:val="0"/>
      <w:marTop w:val="0"/>
      <w:marBottom w:val="0"/>
      <w:divBdr>
        <w:top w:val="none" w:sz="0" w:space="0" w:color="auto"/>
        <w:left w:val="none" w:sz="0" w:space="0" w:color="auto"/>
        <w:bottom w:val="none" w:sz="0" w:space="0" w:color="auto"/>
        <w:right w:val="none" w:sz="0" w:space="0" w:color="auto"/>
      </w:divBdr>
    </w:div>
    <w:div w:id="292637037">
      <w:bodyDiv w:val="1"/>
      <w:marLeft w:val="0"/>
      <w:marRight w:val="0"/>
      <w:marTop w:val="0"/>
      <w:marBottom w:val="0"/>
      <w:divBdr>
        <w:top w:val="none" w:sz="0" w:space="0" w:color="auto"/>
        <w:left w:val="none" w:sz="0" w:space="0" w:color="auto"/>
        <w:bottom w:val="none" w:sz="0" w:space="0" w:color="auto"/>
        <w:right w:val="none" w:sz="0" w:space="0" w:color="auto"/>
      </w:divBdr>
    </w:div>
    <w:div w:id="305747286">
      <w:bodyDiv w:val="1"/>
      <w:marLeft w:val="0"/>
      <w:marRight w:val="0"/>
      <w:marTop w:val="0"/>
      <w:marBottom w:val="0"/>
      <w:divBdr>
        <w:top w:val="none" w:sz="0" w:space="0" w:color="auto"/>
        <w:left w:val="none" w:sz="0" w:space="0" w:color="auto"/>
        <w:bottom w:val="none" w:sz="0" w:space="0" w:color="auto"/>
        <w:right w:val="none" w:sz="0" w:space="0" w:color="auto"/>
      </w:divBdr>
    </w:div>
    <w:div w:id="337120322">
      <w:bodyDiv w:val="1"/>
      <w:marLeft w:val="0"/>
      <w:marRight w:val="0"/>
      <w:marTop w:val="0"/>
      <w:marBottom w:val="0"/>
      <w:divBdr>
        <w:top w:val="none" w:sz="0" w:space="0" w:color="auto"/>
        <w:left w:val="none" w:sz="0" w:space="0" w:color="auto"/>
        <w:bottom w:val="none" w:sz="0" w:space="0" w:color="auto"/>
        <w:right w:val="none" w:sz="0" w:space="0" w:color="auto"/>
      </w:divBdr>
    </w:div>
    <w:div w:id="351878953">
      <w:bodyDiv w:val="1"/>
      <w:marLeft w:val="0"/>
      <w:marRight w:val="0"/>
      <w:marTop w:val="0"/>
      <w:marBottom w:val="0"/>
      <w:divBdr>
        <w:top w:val="none" w:sz="0" w:space="0" w:color="auto"/>
        <w:left w:val="none" w:sz="0" w:space="0" w:color="auto"/>
        <w:bottom w:val="none" w:sz="0" w:space="0" w:color="auto"/>
        <w:right w:val="none" w:sz="0" w:space="0" w:color="auto"/>
      </w:divBdr>
    </w:div>
    <w:div w:id="353969039">
      <w:bodyDiv w:val="1"/>
      <w:marLeft w:val="0"/>
      <w:marRight w:val="0"/>
      <w:marTop w:val="0"/>
      <w:marBottom w:val="0"/>
      <w:divBdr>
        <w:top w:val="none" w:sz="0" w:space="0" w:color="auto"/>
        <w:left w:val="none" w:sz="0" w:space="0" w:color="auto"/>
        <w:bottom w:val="none" w:sz="0" w:space="0" w:color="auto"/>
        <w:right w:val="none" w:sz="0" w:space="0" w:color="auto"/>
      </w:divBdr>
    </w:div>
    <w:div w:id="377703757">
      <w:bodyDiv w:val="1"/>
      <w:marLeft w:val="0"/>
      <w:marRight w:val="0"/>
      <w:marTop w:val="0"/>
      <w:marBottom w:val="0"/>
      <w:divBdr>
        <w:top w:val="none" w:sz="0" w:space="0" w:color="auto"/>
        <w:left w:val="none" w:sz="0" w:space="0" w:color="auto"/>
        <w:bottom w:val="none" w:sz="0" w:space="0" w:color="auto"/>
        <w:right w:val="none" w:sz="0" w:space="0" w:color="auto"/>
      </w:divBdr>
    </w:div>
    <w:div w:id="382339125">
      <w:bodyDiv w:val="1"/>
      <w:marLeft w:val="0"/>
      <w:marRight w:val="0"/>
      <w:marTop w:val="0"/>
      <w:marBottom w:val="0"/>
      <w:divBdr>
        <w:top w:val="none" w:sz="0" w:space="0" w:color="auto"/>
        <w:left w:val="none" w:sz="0" w:space="0" w:color="auto"/>
        <w:bottom w:val="none" w:sz="0" w:space="0" w:color="auto"/>
        <w:right w:val="none" w:sz="0" w:space="0" w:color="auto"/>
      </w:divBdr>
    </w:div>
    <w:div w:id="402459682">
      <w:bodyDiv w:val="1"/>
      <w:marLeft w:val="0"/>
      <w:marRight w:val="0"/>
      <w:marTop w:val="0"/>
      <w:marBottom w:val="0"/>
      <w:divBdr>
        <w:top w:val="none" w:sz="0" w:space="0" w:color="auto"/>
        <w:left w:val="none" w:sz="0" w:space="0" w:color="auto"/>
        <w:bottom w:val="none" w:sz="0" w:space="0" w:color="auto"/>
        <w:right w:val="none" w:sz="0" w:space="0" w:color="auto"/>
      </w:divBdr>
    </w:div>
    <w:div w:id="414743647">
      <w:bodyDiv w:val="1"/>
      <w:marLeft w:val="0"/>
      <w:marRight w:val="0"/>
      <w:marTop w:val="0"/>
      <w:marBottom w:val="0"/>
      <w:divBdr>
        <w:top w:val="none" w:sz="0" w:space="0" w:color="auto"/>
        <w:left w:val="none" w:sz="0" w:space="0" w:color="auto"/>
        <w:bottom w:val="none" w:sz="0" w:space="0" w:color="auto"/>
        <w:right w:val="none" w:sz="0" w:space="0" w:color="auto"/>
      </w:divBdr>
    </w:div>
    <w:div w:id="449276598">
      <w:bodyDiv w:val="1"/>
      <w:marLeft w:val="0"/>
      <w:marRight w:val="0"/>
      <w:marTop w:val="0"/>
      <w:marBottom w:val="0"/>
      <w:divBdr>
        <w:top w:val="none" w:sz="0" w:space="0" w:color="auto"/>
        <w:left w:val="none" w:sz="0" w:space="0" w:color="auto"/>
        <w:bottom w:val="none" w:sz="0" w:space="0" w:color="auto"/>
        <w:right w:val="none" w:sz="0" w:space="0" w:color="auto"/>
      </w:divBdr>
    </w:div>
    <w:div w:id="456993841">
      <w:bodyDiv w:val="1"/>
      <w:marLeft w:val="0"/>
      <w:marRight w:val="0"/>
      <w:marTop w:val="0"/>
      <w:marBottom w:val="0"/>
      <w:divBdr>
        <w:top w:val="none" w:sz="0" w:space="0" w:color="auto"/>
        <w:left w:val="none" w:sz="0" w:space="0" w:color="auto"/>
        <w:bottom w:val="none" w:sz="0" w:space="0" w:color="auto"/>
        <w:right w:val="none" w:sz="0" w:space="0" w:color="auto"/>
      </w:divBdr>
    </w:div>
    <w:div w:id="457529245">
      <w:bodyDiv w:val="1"/>
      <w:marLeft w:val="0"/>
      <w:marRight w:val="0"/>
      <w:marTop w:val="0"/>
      <w:marBottom w:val="0"/>
      <w:divBdr>
        <w:top w:val="none" w:sz="0" w:space="0" w:color="auto"/>
        <w:left w:val="none" w:sz="0" w:space="0" w:color="auto"/>
        <w:bottom w:val="none" w:sz="0" w:space="0" w:color="auto"/>
        <w:right w:val="none" w:sz="0" w:space="0" w:color="auto"/>
      </w:divBdr>
    </w:div>
    <w:div w:id="459343392">
      <w:bodyDiv w:val="1"/>
      <w:marLeft w:val="0"/>
      <w:marRight w:val="0"/>
      <w:marTop w:val="0"/>
      <w:marBottom w:val="0"/>
      <w:divBdr>
        <w:top w:val="none" w:sz="0" w:space="0" w:color="auto"/>
        <w:left w:val="none" w:sz="0" w:space="0" w:color="auto"/>
        <w:bottom w:val="none" w:sz="0" w:space="0" w:color="auto"/>
        <w:right w:val="none" w:sz="0" w:space="0" w:color="auto"/>
      </w:divBdr>
    </w:div>
    <w:div w:id="487676198">
      <w:bodyDiv w:val="1"/>
      <w:marLeft w:val="0"/>
      <w:marRight w:val="0"/>
      <w:marTop w:val="0"/>
      <w:marBottom w:val="0"/>
      <w:divBdr>
        <w:top w:val="none" w:sz="0" w:space="0" w:color="auto"/>
        <w:left w:val="none" w:sz="0" w:space="0" w:color="auto"/>
        <w:bottom w:val="none" w:sz="0" w:space="0" w:color="auto"/>
        <w:right w:val="none" w:sz="0" w:space="0" w:color="auto"/>
      </w:divBdr>
    </w:div>
    <w:div w:id="503665815">
      <w:bodyDiv w:val="1"/>
      <w:marLeft w:val="0"/>
      <w:marRight w:val="0"/>
      <w:marTop w:val="0"/>
      <w:marBottom w:val="0"/>
      <w:divBdr>
        <w:top w:val="none" w:sz="0" w:space="0" w:color="auto"/>
        <w:left w:val="none" w:sz="0" w:space="0" w:color="auto"/>
        <w:bottom w:val="none" w:sz="0" w:space="0" w:color="auto"/>
        <w:right w:val="none" w:sz="0" w:space="0" w:color="auto"/>
      </w:divBdr>
    </w:div>
    <w:div w:id="519130351">
      <w:bodyDiv w:val="1"/>
      <w:marLeft w:val="0"/>
      <w:marRight w:val="0"/>
      <w:marTop w:val="0"/>
      <w:marBottom w:val="0"/>
      <w:divBdr>
        <w:top w:val="none" w:sz="0" w:space="0" w:color="auto"/>
        <w:left w:val="none" w:sz="0" w:space="0" w:color="auto"/>
        <w:bottom w:val="none" w:sz="0" w:space="0" w:color="auto"/>
        <w:right w:val="none" w:sz="0" w:space="0" w:color="auto"/>
      </w:divBdr>
    </w:div>
    <w:div w:id="533730320">
      <w:bodyDiv w:val="1"/>
      <w:marLeft w:val="0"/>
      <w:marRight w:val="0"/>
      <w:marTop w:val="0"/>
      <w:marBottom w:val="0"/>
      <w:divBdr>
        <w:top w:val="none" w:sz="0" w:space="0" w:color="auto"/>
        <w:left w:val="none" w:sz="0" w:space="0" w:color="auto"/>
        <w:bottom w:val="none" w:sz="0" w:space="0" w:color="auto"/>
        <w:right w:val="none" w:sz="0" w:space="0" w:color="auto"/>
      </w:divBdr>
    </w:div>
    <w:div w:id="537544533">
      <w:bodyDiv w:val="1"/>
      <w:marLeft w:val="0"/>
      <w:marRight w:val="0"/>
      <w:marTop w:val="0"/>
      <w:marBottom w:val="0"/>
      <w:divBdr>
        <w:top w:val="none" w:sz="0" w:space="0" w:color="auto"/>
        <w:left w:val="none" w:sz="0" w:space="0" w:color="auto"/>
        <w:bottom w:val="none" w:sz="0" w:space="0" w:color="auto"/>
        <w:right w:val="none" w:sz="0" w:space="0" w:color="auto"/>
      </w:divBdr>
    </w:div>
    <w:div w:id="540552452">
      <w:bodyDiv w:val="1"/>
      <w:marLeft w:val="0"/>
      <w:marRight w:val="0"/>
      <w:marTop w:val="0"/>
      <w:marBottom w:val="0"/>
      <w:divBdr>
        <w:top w:val="none" w:sz="0" w:space="0" w:color="auto"/>
        <w:left w:val="none" w:sz="0" w:space="0" w:color="auto"/>
        <w:bottom w:val="none" w:sz="0" w:space="0" w:color="auto"/>
        <w:right w:val="none" w:sz="0" w:space="0" w:color="auto"/>
      </w:divBdr>
    </w:div>
    <w:div w:id="568658048">
      <w:bodyDiv w:val="1"/>
      <w:marLeft w:val="0"/>
      <w:marRight w:val="0"/>
      <w:marTop w:val="0"/>
      <w:marBottom w:val="0"/>
      <w:divBdr>
        <w:top w:val="none" w:sz="0" w:space="0" w:color="auto"/>
        <w:left w:val="none" w:sz="0" w:space="0" w:color="auto"/>
        <w:bottom w:val="none" w:sz="0" w:space="0" w:color="auto"/>
        <w:right w:val="none" w:sz="0" w:space="0" w:color="auto"/>
      </w:divBdr>
    </w:div>
    <w:div w:id="599803729">
      <w:bodyDiv w:val="1"/>
      <w:marLeft w:val="0"/>
      <w:marRight w:val="0"/>
      <w:marTop w:val="0"/>
      <w:marBottom w:val="0"/>
      <w:divBdr>
        <w:top w:val="none" w:sz="0" w:space="0" w:color="auto"/>
        <w:left w:val="none" w:sz="0" w:space="0" w:color="auto"/>
        <w:bottom w:val="none" w:sz="0" w:space="0" w:color="auto"/>
        <w:right w:val="none" w:sz="0" w:space="0" w:color="auto"/>
      </w:divBdr>
    </w:div>
    <w:div w:id="614411486">
      <w:bodyDiv w:val="1"/>
      <w:marLeft w:val="0"/>
      <w:marRight w:val="0"/>
      <w:marTop w:val="0"/>
      <w:marBottom w:val="0"/>
      <w:divBdr>
        <w:top w:val="none" w:sz="0" w:space="0" w:color="auto"/>
        <w:left w:val="none" w:sz="0" w:space="0" w:color="auto"/>
        <w:bottom w:val="none" w:sz="0" w:space="0" w:color="auto"/>
        <w:right w:val="none" w:sz="0" w:space="0" w:color="auto"/>
      </w:divBdr>
    </w:div>
    <w:div w:id="680470979">
      <w:bodyDiv w:val="1"/>
      <w:marLeft w:val="0"/>
      <w:marRight w:val="0"/>
      <w:marTop w:val="0"/>
      <w:marBottom w:val="0"/>
      <w:divBdr>
        <w:top w:val="none" w:sz="0" w:space="0" w:color="auto"/>
        <w:left w:val="none" w:sz="0" w:space="0" w:color="auto"/>
        <w:bottom w:val="none" w:sz="0" w:space="0" w:color="auto"/>
        <w:right w:val="none" w:sz="0" w:space="0" w:color="auto"/>
      </w:divBdr>
    </w:div>
    <w:div w:id="680820654">
      <w:bodyDiv w:val="1"/>
      <w:marLeft w:val="0"/>
      <w:marRight w:val="0"/>
      <w:marTop w:val="0"/>
      <w:marBottom w:val="0"/>
      <w:divBdr>
        <w:top w:val="none" w:sz="0" w:space="0" w:color="auto"/>
        <w:left w:val="none" w:sz="0" w:space="0" w:color="auto"/>
        <w:bottom w:val="none" w:sz="0" w:space="0" w:color="auto"/>
        <w:right w:val="none" w:sz="0" w:space="0" w:color="auto"/>
      </w:divBdr>
    </w:div>
    <w:div w:id="710418717">
      <w:bodyDiv w:val="1"/>
      <w:marLeft w:val="0"/>
      <w:marRight w:val="0"/>
      <w:marTop w:val="0"/>
      <w:marBottom w:val="0"/>
      <w:divBdr>
        <w:top w:val="none" w:sz="0" w:space="0" w:color="auto"/>
        <w:left w:val="none" w:sz="0" w:space="0" w:color="auto"/>
        <w:bottom w:val="none" w:sz="0" w:space="0" w:color="auto"/>
        <w:right w:val="none" w:sz="0" w:space="0" w:color="auto"/>
      </w:divBdr>
    </w:div>
    <w:div w:id="712121075">
      <w:bodyDiv w:val="1"/>
      <w:marLeft w:val="0"/>
      <w:marRight w:val="0"/>
      <w:marTop w:val="0"/>
      <w:marBottom w:val="0"/>
      <w:divBdr>
        <w:top w:val="none" w:sz="0" w:space="0" w:color="auto"/>
        <w:left w:val="none" w:sz="0" w:space="0" w:color="auto"/>
        <w:bottom w:val="none" w:sz="0" w:space="0" w:color="auto"/>
        <w:right w:val="none" w:sz="0" w:space="0" w:color="auto"/>
      </w:divBdr>
    </w:div>
    <w:div w:id="720831033">
      <w:bodyDiv w:val="1"/>
      <w:marLeft w:val="0"/>
      <w:marRight w:val="0"/>
      <w:marTop w:val="0"/>
      <w:marBottom w:val="0"/>
      <w:divBdr>
        <w:top w:val="none" w:sz="0" w:space="0" w:color="auto"/>
        <w:left w:val="none" w:sz="0" w:space="0" w:color="auto"/>
        <w:bottom w:val="none" w:sz="0" w:space="0" w:color="auto"/>
        <w:right w:val="none" w:sz="0" w:space="0" w:color="auto"/>
      </w:divBdr>
    </w:div>
    <w:div w:id="726881054">
      <w:bodyDiv w:val="1"/>
      <w:marLeft w:val="0"/>
      <w:marRight w:val="0"/>
      <w:marTop w:val="0"/>
      <w:marBottom w:val="0"/>
      <w:divBdr>
        <w:top w:val="none" w:sz="0" w:space="0" w:color="auto"/>
        <w:left w:val="none" w:sz="0" w:space="0" w:color="auto"/>
        <w:bottom w:val="none" w:sz="0" w:space="0" w:color="auto"/>
        <w:right w:val="none" w:sz="0" w:space="0" w:color="auto"/>
      </w:divBdr>
    </w:div>
    <w:div w:id="728918333">
      <w:bodyDiv w:val="1"/>
      <w:marLeft w:val="0"/>
      <w:marRight w:val="0"/>
      <w:marTop w:val="0"/>
      <w:marBottom w:val="0"/>
      <w:divBdr>
        <w:top w:val="none" w:sz="0" w:space="0" w:color="auto"/>
        <w:left w:val="none" w:sz="0" w:space="0" w:color="auto"/>
        <w:bottom w:val="none" w:sz="0" w:space="0" w:color="auto"/>
        <w:right w:val="none" w:sz="0" w:space="0" w:color="auto"/>
      </w:divBdr>
    </w:div>
    <w:div w:id="740757510">
      <w:bodyDiv w:val="1"/>
      <w:marLeft w:val="0"/>
      <w:marRight w:val="0"/>
      <w:marTop w:val="0"/>
      <w:marBottom w:val="0"/>
      <w:divBdr>
        <w:top w:val="none" w:sz="0" w:space="0" w:color="auto"/>
        <w:left w:val="none" w:sz="0" w:space="0" w:color="auto"/>
        <w:bottom w:val="none" w:sz="0" w:space="0" w:color="auto"/>
        <w:right w:val="none" w:sz="0" w:space="0" w:color="auto"/>
      </w:divBdr>
    </w:div>
    <w:div w:id="760956674">
      <w:bodyDiv w:val="1"/>
      <w:marLeft w:val="0"/>
      <w:marRight w:val="0"/>
      <w:marTop w:val="0"/>
      <w:marBottom w:val="0"/>
      <w:divBdr>
        <w:top w:val="none" w:sz="0" w:space="0" w:color="auto"/>
        <w:left w:val="none" w:sz="0" w:space="0" w:color="auto"/>
        <w:bottom w:val="none" w:sz="0" w:space="0" w:color="auto"/>
        <w:right w:val="none" w:sz="0" w:space="0" w:color="auto"/>
      </w:divBdr>
    </w:div>
    <w:div w:id="790319351">
      <w:bodyDiv w:val="1"/>
      <w:marLeft w:val="0"/>
      <w:marRight w:val="0"/>
      <w:marTop w:val="0"/>
      <w:marBottom w:val="0"/>
      <w:divBdr>
        <w:top w:val="none" w:sz="0" w:space="0" w:color="auto"/>
        <w:left w:val="none" w:sz="0" w:space="0" w:color="auto"/>
        <w:bottom w:val="none" w:sz="0" w:space="0" w:color="auto"/>
        <w:right w:val="none" w:sz="0" w:space="0" w:color="auto"/>
      </w:divBdr>
    </w:div>
    <w:div w:id="791706406">
      <w:bodyDiv w:val="1"/>
      <w:marLeft w:val="0"/>
      <w:marRight w:val="0"/>
      <w:marTop w:val="0"/>
      <w:marBottom w:val="0"/>
      <w:divBdr>
        <w:top w:val="none" w:sz="0" w:space="0" w:color="auto"/>
        <w:left w:val="none" w:sz="0" w:space="0" w:color="auto"/>
        <w:bottom w:val="none" w:sz="0" w:space="0" w:color="auto"/>
        <w:right w:val="none" w:sz="0" w:space="0" w:color="auto"/>
      </w:divBdr>
    </w:div>
    <w:div w:id="864827058">
      <w:bodyDiv w:val="1"/>
      <w:marLeft w:val="0"/>
      <w:marRight w:val="0"/>
      <w:marTop w:val="0"/>
      <w:marBottom w:val="0"/>
      <w:divBdr>
        <w:top w:val="none" w:sz="0" w:space="0" w:color="auto"/>
        <w:left w:val="none" w:sz="0" w:space="0" w:color="auto"/>
        <w:bottom w:val="none" w:sz="0" w:space="0" w:color="auto"/>
        <w:right w:val="none" w:sz="0" w:space="0" w:color="auto"/>
      </w:divBdr>
    </w:div>
    <w:div w:id="907114537">
      <w:bodyDiv w:val="1"/>
      <w:marLeft w:val="0"/>
      <w:marRight w:val="0"/>
      <w:marTop w:val="0"/>
      <w:marBottom w:val="0"/>
      <w:divBdr>
        <w:top w:val="none" w:sz="0" w:space="0" w:color="auto"/>
        <w:left w:val="none" w:sz="0" w:space="0" w:color="auto"/>
        <w:bottom w:val="none" w:sz="0" w:space="0" w:color="auto"/>
        <w:right w:val="none" w:sz="0" w:space="0" w:color="auto"/>
      </w:divBdr>
    </w:div>
    <w:div w:id="925453361">
      <w:bodyDiv w:val="1"/>
      <w:marLeft w:val="0"/>
      <w:marRight w:val="0"/>
      <w:marTop w:val="0"/>
      <w:marBottom w:val="0"/>
      <w:divBdr>
        <w:top w:val="none" w:sz="0" w:space="0" w:color="auto"/>
        <w:left w:val="none" w:sz="0" w:space="0" w:color="auto"/>
        <w:bottom w:val="none" w:sz="0" w:space="0" w:color="auto"/>
        <w:right w:val="none" w:sz="0" w:space="0" w:color="auto"/>
      </w:divBdr>
    </w:div>
    <w:div w:id="963341766">
      <w:bodyDiv w:val="1"/>
      <w:marLeft w:val="0"/>
      <w:marRight w:val="0"/>
      <w:marTop w:val="0"/>
      <w:marBottom w:val="0"/>
      <w:divBdr>
        <w:top w:val="none" w:sz="0" w:space="0" w:color="auto"/>
        <w:left w:val="none" w:sz="0" w:space="0" w:color="auto"/>
        <w:bottom w:val="none" w:sz="0" w:space="0" w:color="auto"/>
        <w:right w:val="none" w:sz="0" w:space="0" w:color="auto"/>
      </w:divBdr>
    </w:div>
    <w:div w:id="979651496">
      <w:bodyDiv w:val="1"/>
      <w:marLeft w:val="0"/>
      <w:marRight w:val="0"/>
      <w:marTop w:val="0"/>
      <w:marBottom w:val="0"/>
      <w:divBdr>
        <w:top w:val="none" w:sz="0" w:space="0" w:color="auto"/>
        <w:left w:val="none" w:sz="0" w:space="0" w:color="auto"/>
        <w:bottom w:val="none" w:sz="0" w:space="0" w:color="auto"/>
        <w:right w:val="none" w:sz="0" w:space="0" w:color="auto"/>
      </w:divBdr>
    </w:div>
    <w:div w:id="988509746">
      <w:bodyDiv w:val="1"/>
      <w:marLeft w:val="0"/>
      <w:marRight w:val="0"/>
      <w:marTop w:val="0"/>
      <w:marBottom w:val="0"/>
      <w:divBdr>
        <w:top w:val="none" w:sz="0" w:space="0" w:color="auto"/>
        <w:left w:val="none" w:sz="0" w:space="0" w:color="auto"/>
        <w:bottom w:val="none" w:sz="0" w:space="0" w:color="auto"/>
        <w:right w:val="none" w:sz="0" w:space="0" w:color="auto"/>
      </w:divBdr>
    </w:div>
    <w:div w:id="1005477616">
      <w:bodyDiv w:val="1"/>
      <w:marLeft w:val="0"/>
      <w:marRight w:val="0"/>
      <w:marTop w:val="0"/>
      <w:marBottom w:val="0"/>
      <w:divBdr>
        <w:top w:val="none" w:sz="0" w:space="0" w:color="auto"/>
        <w:left w:val="none" w:sz="0" w:space="0" w:color="auto"/>
        <w:bottom w:val="none" w:sz="0" w:space="0" w:color="auto"/>
        <w:right w:val="none" w:sz="0" w:space="0" w:color="auto"/>
      </w:divBdr>
    </w:div>
    <w:div w:id="1013800612">
      <w:bodyDiv w:val="1"/>
      <w:marLeft w:val="0"/>
      <w:marRight w:val="0"/>
      <w:marTop w:val="0"/>
      <w:marBottom w:val="0"/>
      <w:divBdr>
        <w:top w:val="none" w:sz="0" w:space="0" w:color="auto"/>
        <w:left w:val="none" w:sz="0" w:space="0" w:color="auto"/>
        <w:bottom w:val="none" w:sz="0" w:space="0" w:color="auto"/>
        <w:right w:val="none" w:sz="0" w:space="0" w:color="auto"/>
      </w:divBdr>
    </w:div>
    <w:div w:id="1031149341">
      <w:bodyDiv w:val="1"/>
      <w:marLeft w:val="0"/>
      <w:marRight w:val="0"/>
      <w:marTop w:val="0"/>
      <w:marBottom w:val="0"/>
      <w:divBdr>
        <w:top w:val="none" w:sz="0" w:space="0" w:color="auto"/>
        <w:left w:val="none" w:sz="0" w:space="0" w:color="auto"/>
        <w:bottom w:val="none" w:sz="0" w:space="0" w:color="auto"/>
        <w:right w:val="none" w:sz="0" w:space="0" w:color="auto"/>
      </w:divBdr>
    </w:div>
    <w:div w:id="1105542340">
      <w:bodyDiv w:val="1"/>
      <w:marLeft w:val="0"/>
      <w:marRight w:val="0"/>
      <w:marTop w:val="0"/>
      <w:marBottom w:val="0"/>
      <w:divBdr>
        <w:top w:val="none" w:sz="0" w:space="0" w:color="auto"/>
        <w:left w:val="none" w:sz="0" w:space="0" w:color="auto"/>
        <w:bottom w:val="none" w:sz="0" w:space="0" w:color="auto"/>
        <w:right w:val="none" w:sz="0" w:space="0" w:color="auto"/>
      </w:divBdr>
    </w:div>
    <w:div w:id="1106265664">
      <w:bodyDiv w:val="1"/>
      <w:marLeft w:val="0"/>
      <w:marRight w:val="0"/>
      <w:marTop w:val="0"/>
      <w:marBottom w:val="0"/>
      <w:divBdr>
        <w:top w:val="none" w:sz="0" w:space="0" w:color="auto"/>
        <w:left w:val="none" w:sz="0" w:space="0" w:color="auto"/>
        <w:bottom w:val="none" w:sz="0" w:space="0" w:color="auto"/>
        <w:right w:val="none" w:sz="0" w:space="0" w:color="auto"/>
      </w:divBdr>
    </w:div>
    <w:div w:id="1106658476">
      <w:bodyDiv w:val="1"/>
      <w:marLeft w:val="0"/>
      <w:marRight w:val="0"/>
      <w:marTop w:val="0"/>
      <w:marBottom w:val="0"/>
      <w:divBdr>
        <w:top w:val="none" w:sz="0" w:space="0" w:color="auto"/>
        <w:left w:val="none" w:sz="0" w:space="0" w:color="auto"/>
        <w:bottom w:val="none" w:sz="0" w:space="0" w:color="auto"/>
        <w:right w:val="none" w:sz="0" w:space="0" w:color="auto"/>
      </w:divBdr>
    </w:div>
    <w:div w:id="1113745539">
      <w:bodyDiv w:val="1"/>
      <w:marLeft w:val="0"/>
      <w:marRight w:val="0"/>
      <w:marTop w:val="0"/>
      <w:marBottom w:val="0"/>
      <w:divBdr>
        <w:top w:val="none" w:sz="0" w:space="0" w:color="auto"/>
        <w:left w:val="none" w:sz="0" w:space="0" w:color="auto"/>
        <w:bottom w:val="none" w:sz="0" w:space="0" w:color="auto"/>
        <w:right w:val="none" w:sz="0" w:space="0" w:color="auto"/>
      </w:divBdr>
    </w:div>
    <w:div w:id="1128816309">
      <w:bodyDiv w:val="1"/>
      <w:marLeft w:val="0"/>
      <w:marRight w:val="0"/>
      <w:marTop w:val="0"/>
      <w:marBottom w:val="0"/>
      <w:divBdr>
        <w:top w:val="none" w:sz="0" w:space="0" w:color="auto"/>
        <w:left w:val="none" w:sz="0" w:space="0" w:color="auto"/>
        <w:bottom w:val="none" w:sz="0" w:space="0" w:color="auto"/>
        <w:right w:val="none" w:sz="0" w:space="0" w:color="auto"/>
      </w:divBdr>
    </w:div>
    <w:div w:id="1139566212">
      <w:bodyDiv w:val="1"/>
      <w:marLeft w:val="0"/>
      <w:marRight w:val="0"/>
      <w:marTop w:val="0"/>
      <w:marBottom w:val="0"/>
      <w:divBdr>
        <w:top w:val="none" w:sz="0" w:space="0" w:color="auto"/>
        <w:left w:val="none" w:sz="0" w:space="0" w:color="auto"/>
        <w:bottom w:val="none" w:sz="0" w:space="0" w:color="auto"/>
        <w:right w:val="none" w:sz="0" w:space="0" w:color="auto"/>
      </w:divBdr>
    </w:div>
    <w:div w:id="1212038472">
      <w:bodyDiv w:val="1"/>
      <w:marLeft w:val="0"/>
      <w:marRight w:val="0"/>
      <w:marTop w:val="0"/>
      <w:marBottom w:val="0"/>
      <w:divBdr>
        <w:top w:val="none" w:sz="0" w:space="0" w:color="auto"/>
        <w:left w:val="none" w:sz="0" w:space="0" w:color="auto"/>
        <w:bottom w:val="none" w:sz="0" w:space="0" w:color="auto"/>
        <w:right w:val="none" w:sz="0" w:space="0" w:color="auto"/>
      </w:divBdr>
    </w:div>
    <w:div w:id="1227688075">
      <w:bodyDiv w:val="1"/>
      <w:marLeft w:val="0"/>
      <w:marRight w:val="0"/>
      <w:marTop w:val="0"/>
      <w:marBottom w:val="0"/>
      <w:divBdr>
        <w:top w:val="none" w:sz="0" w:space="0" w:color="auto"/>
        <w:left w:val="none" w:sz="0" w:space="0" w:color="auto"/>
        <w:bottom w:val="none" w:sz="0" w:space="0" w:color="auto"/>
        <w:right w:val="none" w:sz="0" w:space="0" w:color="auto"/>
      </w:divBdr>
    </w:div>
    <w:div w:id="1248804531">
      <w:bodyDiv w:val="1"/>
      <w:marLeft w:val="0"/>
      <w:marRight w:val="0"/>
      <w:marTop w:val="0"/>
      <w:marBottom w:val="0"/>
      <w:divBdr>
        <w:top w:val="none" w:sz="0" w:space="0" w:color="auto"/>
        <w:left w:val="none" w:sz="0" w:space="0" w:color="auto"/>
        <w:bottom w:val="none" w:sz="0" w:space="0" w:color="auto"/>
        <w:right w:val="none" w:sz="0" w:space="0" w:color="auto"/>
      </w:divBdr>
    </w:div>
    <w:div w:id="1280990547">
      <w:bodyDiv w:val="1"/>
      <w:marLeft w:val="0"/>
      <w:marRight w:val="0"/>
      <w:marTop w:val="0"/>
      <w:marBottom w:val="0"/>
      <w:divBdr>
        <w:top w:val="none" w:sz="0" w:space="0" w:color="auto"/>
        <w:left w:val="none" w:sz="0" w:space="0" w:color="auto"/>
        <w:bottom w:val="none" w:sz="0" w:space="0" w:color="auto"/>
        <w:right w:val="none" w:sz="0" w:space="0" w:color="auto"/>
      </w:divBdr>
      <w:divsChild>
        <w:div w:id="1035042813">
          <w:marLeft w:val="0"/>
          <w:marRight w:val="0"/>
          <w:marTop w:val="0"/>
          <w:marBottom w:val="0"/>
          <w:divBdr>
            <w:top w:val="none" w:sz="0" w:space="0" w:color="auto"/>
            <w:left w:val="none" w:sz="0" w:space="0" w:color="auto"/>
            <w:bottom w:val="none" w:sz="0" w:space="0" w:color="auto"/>
            <w:right w:val="none" w:sz="0" w:space="0" w:color="auto"/>
          </w:divBdr>
          <w:divsChild>
            <w:div w:id="1434592497">
              <w:marLeft w:val="0"/>
              <w:marRight w:val="0"/>
              <w:marTop w:val="0"/>
              <w:marBottom w:val="0"/>
              <w:divBdr>
                <w:top w:val="none" w:sz="0" w:space="0" w:color="auto"/>
                <w:left w:val="none" w:sz="0" w:space="0" w:color="auto"/>
                <w:bottom w:val="none" w:sz="0" w:space="0" w:color="auto"/>
                <w:right w:val="none" w:sz="0" w:space="0" w:color="auto"/>
              </w:divBdr>
              <w:divsChild>
                <w:div w:id="46840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359515">
      <w:bodyDiv w:val="1"/>
      <w:marLeft w:val="0"/>
      <w:marRight w:val="0"/>
      <w:marTop w:val="0"/>
      <w:marBottom w:val="0"/>
      <w:divBdr>
        <w:top w:val="none" w:sz="0" w:space="0" w:color="auto"/>
        <w:left w:val="none" w:sz="0" w:space="0" w:color="auto"/>
        <w:bottom w:val="none" w:sz="0" w:space="0" w:color="auto"/>
        <w:right w:val="none" w:sz="0" w:space="0" w:color="auto"/>
      </w:divBdr>
    </w:div>
    <w:div w:id="1306272973">
      <w:bodyDiv w:val="1"/>
      <w:marLeft w:val="0"/>
      <w:marRight w:val="0"/>
      <w:marTop w:val="0"/>
      <w:marBottom w:val="0"/>
      <w:divBdr>
        <w:top w:val="none" w:sz="0" w:space="0" w:color="auto"/>
        <w:left w:val="none" w:sz="0" w:space="0" w:color="auto"/>
        <w:bottom w:val="none" w:sz="0" w:space="0" w:color="auto"/>
        <w:right w:val="none" w:sz="0" w:space="0" w:color="auto"/>
      </w:divBdr>
    </w:div>
    <w:div w:id="1339193746">
      <w:bodyDiv w:val="1"/>
      <w:marLeft w:val="0"/>
      <w:marRight w:val="0"/>
      <w:marTop w:val="0"/>
      <w:marBottom w:val="0"/>
      <w:divBdr>
        <w:top w:val="none" w:sz="0" w:space="0" w:color="auto"/>
        <w:left w:val="none" w:sz="0" w:space="0" w:color="auto"/>
        <w:bottom w:val="none" w:sz="0" w:space="0" w:color="auto"/>
        <w:right w:val="none" w:sz="0" w:space="0" w:color="auto"/>
      </w:divBdr>
    </w:div>
    <w:div w:id="1391881184">
      <w:bodyDiv w:val="1"/>
      <w:marLeft w:val="0"/>
      <w:marRight w:val="0"/>
      <w:marTop w:val="0"/>
      <w:marBottom w:val="0"/>
      <w:divBdr>
        <w:top w:val="none" w:sz="0" w:space="0" w:color="auto"/>
        <w:left w:val="none" w:sz="0" w:space="0" w:color="auto"/>
        <w:bottom w:val="none" w:sz="0" w:space="0" w:color="auto"/>
        <w:right w:val="none" w:sz="0" w:space="0" w:color="auto"/>
      </w:divBdr>
    </w:div>
    <w:div w:id="1405300307">
      <w:bodyDiv w:val="1"/>
      <w:marLeft w:val="0"/>
      <w:marRight w:val="0"/>
      <w:marTop w:val="0"/>
      <w:marBottom w:val="0"/>
      <w:divBdr>
        <w:top w:val="none" w:sz="0" w:space="0" w:color="auto"/>
        <w:left w:val="none" w:sz="0" w:space="0" w:color="auto"/>
        <w:bottom w:val="none" w:sz="0" w:space="0" w:color="auto"/>
        <w:right w:val="none" w:sz="0" w:space="0" w:color="auto"/>
      </w:divBdr>
    </w:div>
    <w:div w:id="1431007550">
      <w:bodyDiv w:val="1"/>
      <w:marLeft w:val="0"/>
      <w:marRight w:val="0"/>
      <w:marTop w:val="0"/>
      <w:marBottom w:val="0"/>
      <w:divBdr>
        <w:top w:val="none" w:sz="0" w:space="0" w:color="auto"/>
        <w:left w:val="none" w:sz="0" w:space="0" w:color="auto"/>
        <w:bottom w:val="none" w:sz="0" w:space="0" w:color="auto"/>
        <w:right w:val="none" w:sz="0" w:space="0" w:color="auto"/>
      </w:divBdr>
    </w:div>
    <w:div w:id="1462189603">
      <w:bodyDiv w:val="1"/>
      <w:marLeft w:val="0"/>
      <w:marRight w:val="0"/>
      <w:marTop w:val="0"/>
      <w:marBottom w:val="0"/>
      <w:divBdr>
        <w:top w:val="none" w:sz="0" w:space="0" w:color="auto"/>
        <w:left w:val="none" w:sz="0" w:space="0" w:color="auto"/>
        <w:bottom w:val="none" w:sz="0" w:space="0" w:color="auto"/>
        <w:right w:val="none" w:sz="0" w:space="0" w:color="auto"/>
      </w:divBdr>
    </w:div>
    <w:div w:id="1465074254">
      <w:bodyDiv w:val="1"/>
      <w:marLeft w:val="0"/>
      <w:marRight w:val="0"/>
      <w:marTop w:val="0"/>
      <w:marBottom w:val="0"/>
      <w:divBdr>
        <w:top w:val="none" w:sz="0" w:space="0" w:color="auto"/>
        <w:left w:val="none" w:sz="0" w:space="0" w:color="auto"/>
        <w:bottom w:val="none" w:sz="0" w:space="0" w:color="auto"/>
        <w:right w:val="none" w:sz="0" w:space="0" w:color="auto"/>
      </w:divBdr>
    </w:div>
    <w:div w:id="1482775699">
      <w:bodyDiv w:val="1"/>
      <w:marLeft w:val="0"/>
      <w:marRight w:val="0"/>
      <w:marTop w:val="0"/>
      <w:marBottom w:val="0"/>
      <w:divBdr>
        <w:top w:val="none" w:sz="0" w:space="0" w:color="auto"/>
        <w:left w:val="none" w:sz="0" w:space="0" w:color="auto"/>
        <w:bottom w:val="none" w:sz="0" w:space="0" w:color="auto"/>
        <w:right w:val="none" w:sz="0" w:space="0" w:color="auto"/>
      </w:divBdr>
    </w:div>
    <w:div w:id="1495102398">
      <w:bodyDiv w:val="1"/>
      <w:marLeft w:val="0"/>
      <w:marRight w:val="0"/>
      <w:marTop w:val="0"/>
      <w:marBottom w:val="0"/>
      <w:divBdr>
        <w:top w:val="none" w:sz="0" w:space="0" w:color="auto"/>
        <w:left w:val="none" w:sz="0" w:space="0" w:color="auto"/>
        <w:bottom w:val="none" w:sz="0" w:space="0" w:color="auto"/>
        <w:right w:val="none" w:sz="0" w:space="0" w:color="auto"/>
      </w:divBdr>
      <w:divsChild>
        <w:div w:id="638918070">
          <w:marLeft w:val="547"/>
          <w:marRight w:val="0"/>
          <w:marTop w:val="0"/>
          <w:marBottom w:val="0"/>
          <w:divBdr>
            <w:top w:val="none" w:sz="0" w:space="0" w:color="auto"/>
            <w:left w:val="none" w:sz="0" w:space="0" w:color="auto"/>
            <w:bottom w:val="none" w:sz="0" w:space="0" w:color="auto"/>
            <w:right w:val="none" w:sz="0" w:space="0" w:color="auto"/>
          </w:divBdr>
        </w:div>
      </w:divsChild>
    </w:div>
    <w:div w:id="1523975693">
      <w:bodyDiv w:val="1"/>
      <w:marLeft w:val="0"/>
      <w:marRight w:val="0"/>
      <w:marTop w:val="0"/>
      <w:marBottom w:val="0"/>
      <w:divBdr>
        <w:top w:val="none" w:sz="0" w:space="0" w:color="auto"/>
        <w:left w:val="none" w:sz="0" w:space="0" w:color="auto"/>
        <w:bottom w:val="none" w:sz="0" w:space="0" w:color="auto"/>
        <w:right w:val="none" w:sz="0" w:space="0" w:color="auto"/>
      </w:divBdr>
    </w:div>
    <w:div w:id="1528636129">
      <w:bodyDiv w:val="1"/>
      <w:marLeft w:val="0"/>
      <w:marRight w:val="0"/>
      <w:marTop w:val="0"/>
      <w:marBottom w:val="0"/>
      <w:divBdr>
        <w:top w:val="none" w:sz="0" w:space="0" w:color="auto"/>
        <w:left w:val="none" w:sz="0" w:space="0" w:color="auto"/>
        <w:bottom w:val="none" w:sz="0" w:space="0" w:color="auto"/>
        <w:right w:val="none" w:sz="0" w:space="0" w:color="auto"/>
      </w:divBdr>
    </w:div>
    <w:div w:id="1557012232">
      <w:bodyDiv w:val="1"/>
      <w:marLeft w:val="0"/>
      <w:marRight w:val="0"/>
      <w:marTop w:val="0"/>
      <w:marBottom w:val="0"/>
      <w:divBdr>
        <w:top w:val="none" w:sz="0" w:space="0" w:color="auto"/>
        <w:left w:val="none" w:sz="0" w:space="0" w:color="auto"/>
        <w:bottom w:val="none" w:sz="0" w:space="0" w:color="auto"/>
        <w:right w:val="none" w:sz="0" w:space="0" w:color="auto"/>
      </w:divBdr>
    </w:div>
    <w:div w:id="1579094418">
      <w:bodyDiv w:val="1"/>
      <w:marLeft w:val="0"/>
      <w:marRight w:val="0"/>
      <w:marTop w:val="0"/>
      <w:marBottom w:val="0"/>
      <w:divBdr>
        <w:top w:val="none" w:sz="0" w:space="0" w:color="auto"/>
        <w:left w:val="none" w:sz="0" w:space="0" w:color="auto"/>
        <w:bottom w:val="none" w:sz="0" w:space="0" w:color="auto"/>
        <w:right w:val="none" w:sz="0" w:space="0" w:color="auto"/>
      </w:divBdr>
    </w:div>
    <w:div w:id="1597254582">
      <w:bodyDiv w:val="1"/>
      <w:marLeft w:val="0"/>
      <w:marRight w:val="0"/>
      <w:marTop w:val="0"/>
      <w:marBottom w:val="0"/>
      <w:divBdr>
        <w:top w:val="none" w:sz="0" w:space="0" w:color="auto"/>
        <w:left w:val="none" w:sz="0" w:space="0" w:color="auto"/>
        <w:bottom w:val="none" w:sz="0" w:space="0" w:color="auto"/>
        <w:right w:val="none" w:sz="0" w:space="0" w:color="auto"/>
      </w:divBdr>
    </w:div>
    <w:div w:id="1606885452">
      <w:bodyDiv w:val="1"/>
      <w:marLeft w:val="0"/>
      <w:marRight w:val="0"/>
      <w:marTop w:val="0"/>
      <w:marBottom w:val="0"/>
      <w:divBdr>
        <w:top w:val="none" w:sz="0" w:space="0" w:color="auto"/>
        <w:left w:val="none" w:sz="0" w:space="0" w:color="auto"/>
        <w:bottom w:val="none" w:sz="0" w:space="0" w:color="auto"/>
        <w:right w:val="none" w:sz="0" w:space="0" w:color="auto"/>
      </w:divBdr>
    </w:div>
    <w:div w:id="1619604952">
      <w:bodyDiv w:val="1"/>
      <w:marLeft w:val="0"/>
      <w:marRight w:val="0"/>
      <w:marTop w:val="0"/>
      <w:marBottom w:val="0"/>
      <w:divBdr>
        <w:top w:val="none" w:sz="0" w:space="0" w:color="auto"/>
        <w:left w:val="none" w:sz="0" w:space="0" w:color="auto"/>
        <w:bottom w:val="none" w:sz="0" w:space="0" w:color="auto"/>
        <w:right w:val="none" w:sz="0" w:space="0" w:color="auto"/>
      </w:divBdr>
    </w:div>
    <w:div w:id="1622299660">
      <w:bodyDiv w:val="1"/>
      <w:marLeft w:val="0"/>
      <w:marRight w:val="0"/>
      <w:marTop w:val="0"/>
      <w:marBottom w:val="0"/>
      <w:divBdr>
        <w:top w:val="none" w:sz="0" w:space="0" w:color="auto"/>
        <w:left w:val="none" w:sz="0" w:space="0" w:color="auto"/>
        <w:bottom w:val="none" w:sz="0" w:space="0" w:color="auto"/>
        <w:right w:val="none" w:sz="0" w:space="0" w:color="auto"/>
      </w:divBdr>
    </w:div>
    <w:div w:id="1624994711">
      <w:bodyDiv w:val="1"/>
      <w:marLeft w:val="0"/>
      <w:marRight w:val="0"/>
      <w:marTop w:val="0"/>
      <w:marBottom w:val="0"/>
      <w:divBdr>
        <w:top w:val="none" w:sz="0" w:space="0" w:color="auto"/>
        <w:left w:val="none" w:sz="0" w:space="0" w:color="auto"/>
        <w:bottom w:val="none" w:sz="0" w:space="0" w:color="auto"/>
        <w:right w:val="none" w:sz="0" w:space="0" w:color="auto"/>
      </w:divBdr>
    </w:div>
    <w:div w:id="1630622084">
      <w:bodyDiv w:val="1"/>
      <w:marLeft w:val="0"/>
      <w:marRight w:val="0"/>
      <w:marTop w:val="0"/>
      <w:marBottom w:val="0"/>
      <w:divBdr>
        <w:top w:val="none" w:sz="0" w:space="0" w:color="auto"/>
        <w:left w:val="none" w:sz="0" w:space="0" w:color="auto"/>
        <w:bottom w:val="none" w:sz="0" w:space="0" w:color="auto"/>
        <w:right w:val="none" w:sz="0" w:space="0" w:color="auto"/>
      </w:divBdr>
    </w:div>
    <w:div w:id="1680766060">
      <w:bodyDiv w:val="1"/>
      <w:marLeft w:val="0"/>
      <w:marRight w:val="0"/>
      <w:marTop w:val="0"/>
      <w:marBottom w:val="0"/>
      <w:divBdr>
        <w:top w:val="none" w:sz="0" w:space="0" w:color="auto"/>
        <w:left w:val="none" w:sz="0" w:space="0" w:color="auto"/>
        <w:bottom w:val="none" w:sz="0" w:space="0" w:color="auto"/>
        <w:right w:val="none" w:sz="0" w:space="0" w:color="auto"/>
      </w:divBdr>
    </w:div>
    <w:div w:id="1716731783">
      <w:bodyDiv w:val="1"/>
      <w:marLeft w:val="0"/>
      <w:marRight w:val="0"/>
      <w:marTop w:val="0"/>
      <w:marBottom w:val="0"/>
      <w:divBdr>
        <w:top w:val="none" w:sz="0" w:space="0" w:color="auto"/>
        <w:left w:val="none" w:sz="0" w:space="0" w:color="auto"/>
        <w:bottom w:val="none" w:sz="0" w:space="0" w:color="auto"/>
        <w:right w:val="none" w:sz="0" w:space="0" w:color="auto"/>
      </w:divBdr>
    </w:div>
    <w:div w:id="1719936337">
      <w:bodyDiv w:val="1"/>
      <w:marLeft w:val="0"/>
      <w:marRight w:val="0"/>
      <w:marTop w:val="0"/>
      <w:marBottom w:val="0"/>
      <w:divBdr>
        <w:top w:val="none" w:sz="0" w:space="0" w:color="auto"/>
        <w:left w:val="none" w:sz="0" w:space="0" w:color="auto"/>
        <w:bottom w:val="none" w:sz="0" w:space="0" w:color="auto"/>
        <w:right w:val="none" w:sz="0" w:space="0" w:color="auto"/>
      </w:divBdr>
    </w:div>
    <w:div w:id="1769429596">
      <w:bodyDiv w:val="1"/>
      <w:marLeft w:val="0"/>
      <w:marRight w:val="0"/>
      <w:marTop w:val="0"/>
      <w:marBottom w:val="0"/>
      <w:divBdr>
        <w:top w:val="none" w:sz="0" w:space="0" w:color="auto"/>
        <w:left w:val="none" w:sz="0" w:space="0" w:color="auto"/>
        <w:bottom w:val="none" w:sz="0" w:space="0" w:color="auto"/>
        <w:right w:val="none" w:sz="0" w:space="0" w:color="auto"/>
      </w:divBdr>
    </w:div>
    <w:div w:id="1778914633">
      <w:bodyDiv w:val="1"/>
      <w:marLeft w:val="0"/>
      <w:marRight w:val="0"/>
      <w:marTop w:val="0"/>
      <w:marBottom w:val="0"/>
      <w:divBdr>
        <w:top w:val="none" w:sz="0" w:space="0" w:color="auto"/>
        <w:left w:val="none" w:sz="0" w:space="0" w:color="auto"/>
        <w:bottom w:val="none" w:sz="0" w:space="0" w:color="auto"/>
        <w:right w:val="none" w:sz="0" w:space="0" w:color="auto"/>
      </w:divBdr>
    </w:div>
    <w:div w:id="1780831004">
      <w:bodyDiv w:val="1"/>
      <w:marLeft w:val="0"/>
      <w:marRight w:val="0"/>
      <w:marTop w:val="0"/>
      <w:marBottom w:val="0"/>
      <w:divBdr>
        <w:top w:val="none" w:sz="0" w:space="0" w:color="auto"/>
        <w:left w:val="none" w:sz="0" w:space="0" w:color="auto"/>
        <w:bottom w:val="none" w:sz="0" w:space="0" w:color="auto"/>
        <w:right w:val="none" w:sz="0" w:space="0" w:color="auto"/>
      </w:divBdr>
    </w:div>
    <w:div w:id="1834028124">
      <w:bodyDiv w:val="1"/>
      <w:marLeft w:val="0"/>
      <w:marRight w:val="0"/>
      <w:marTop w:val="0"/>
      <w:marBottom w:val="0"/>
      <w:divBdr>
        <w:top w:val="none" w:sz="0" w:space="0" w:color="auto"/>
        <w:left w:val="none" w:sz="0" w:space="0" w:color="auto"/>
        <w:bottom w:val="none" w:sz="0" w:space="0" w:color="auto"/>
        <w:right w:val="none" w:sz="0" w:space="0" w:color="auto"/>
      </w:divBdr>
    </w:div>
    <w:div w:id="1838571087">
      <w:bodyDiv w:val="1"/>
      <w:marLeft w:val="0"/>
      <w:marRight w:val="0"/>
      <w:marTop w:val="0"/>
      <w:marBottom w:val="0"/>
      <w:divBdr>
        <w:top w:val="none" w:sz="0" w:space="0" w:color="auto"/>
        <w:left w:val="none" w:sz="0" w:space="0" w:color="auto"/>
        <w:bottom w:val="none" w:sz="0" w:space="0" w:color="auto"/>
        <w:right w:val="none" w:sz="0" w:space="0" w:color="auto"/>
      </w:divBdr>
    </w:div>
    <w:div w:id="1843010688">
      <w:bodyDiv w:val="1"/>
      <w:marLeft w:val="0"/>
      <w:marRight w:val="0"/>
      <w:marTop w:val="0"/>
      <w:marBottom w:val="0"/>
      <w:divBdr>
        <w:top w:val="none" w:sz="0" w:space="0" w:color="auto"/>
        <w:left w:val="none" w:sz="0" w:space="0" w:color="auto"/>
        <w:bottom w:val="none" w:sz="0" w:space="0" w:color="auto"/>
        <w:right w:val="none" w:sz="0" w:space="0" w:color="auto"/>
      </w:divBdr>
    </w:div>
    <w:div w:id="1860467329">
      <w:bodyDiv w:val="1"/>
      <w:marLeft w:val="0"/>
      <w:marRight w:val="0"/>
      <w:marTop w:val="0"/>
      <w:marBottom w:val="0"/>
      <w:divBdr>
        <w:top w:val="none" w:sz="0" w:space="0" w:color="auto"/>
        <w:left w:val="none" w:sz="0" w:space="0" w:color="auto"/>
        <w:bottom w:val="none" w:sz="0" w:space="0" w:color="auto"/>
        <w:right w:val="none" w:sz="0" w:space="0" w:color="auto"/>
      </w:divBdr>
    </w:div>
    <w:div w:id="1864979432">
      <w:bodyDiv w:val="1"/>
      <w:marLeft w:val="0"/>
      <w:marRight w:val="0"/>
      <w:marTop w:val="0"/>
      <w:marBottom w:val="0"/>
      <w:divBdr>
        <w:top w:val="none" w:sz="0" w:space="0" w:color="auto"/>
        <w:left w:val="none" w:sz="0" w:space="0" w:color="auto"/>
        <w:bottom w:val="none" w:sz="0" w:space="0" w:color="auto"/>
        <w:right w:val="none" w:sz="0" w:space="0" w:color="auto"/>
      </w:divBdr>
    </w:div>
    <w:div w:id="1948267350">
      <w:bodyDiv w:val="1"/>
      <w:marLeft w:val="0"/>
      <w:marRight w:val="0"/>
      <w:marTop w:val="0"/>
      <w:marBottom w:val="0"/>
      <w:divBdr>
        <w:top w:val="none" w:sz="0" w:space="0" w:color="auto"/>
        <w:left w:val="none" w:sz="0" w:space="0" w:color="auto"/>
        <w:bottom w:val="none" w:sz="0" w:space="0" w:color="auto"/>
        <w:right w:val="none" w:sz="0" w:space="0" w:color="auto"/>
      </w:divBdr>
    </w:div>
    <w:div w:id="1971089860">
      <w:bodyDiv w:val="1"/>
      <w:marLeft w:val="0"/>
      <w:marRight w:val="0"/>
      <w:marTop w:val="0"/>
      <w:marBottom w:val="0"/>
      <w:divBdr>
        <w:top w:val="none" w:sz="0" w:space="0" w:color="auto"/>
        <w:left w:val="none" w:sz="0" w:space="0" w:color="auto"/>
        <w:bottom w:val="none" w:sz="0" w:space="0" w:color="auto"/>
        <w:right w:val="none" w:sz="0" w:space="0" w:color="auto"/>
      </w:divBdr>
    </w:div>
    <w:div w:id="1978684865">
      <w:bodyDiv w:val="1"/>
      <w:marLeft w:val="0"/>
      <w:marRight w:val="0"/>
      <w:marTop w:val="0"/>
      <w:marBottom w:val="0"/>
      <w:divBdr>
        <w:top w:val="none" w:sz="0" w:space="0" w:color="auto"/>
        <w:left w:val="none" w:sz="0" w:space="0" w:color="auto"/>
        <w:bottom w:val="none" w:sz="0" w:space="0" w:color="auto"/>
        <w:right w:val="none" w:sz="0" w:space="0" w:color="auto"/>
      </w:divBdr>
    </w:div>
    <w:div w:id="1997755057">
      <w:bodyDiv w:val="1"/>
      <w:marLeft w:val="0"/>
      <w:marRight w:val="0"/>
      <w:marTop w:val="0"/>
      <w:marBottom w:val="0"/>
      <w:divBdr>
        <w:top w:val="none" w:sz="0" w:space="0" w:color="auto"/>
        <w:left w:val="none" w:sz="0" w:space="0" w:color="auto"/>
        <w:bottom w:val="none" w:sz="0" w:space="0" w:color="auto"/>
        <w:right w:val="none" w:sz="0" w:space="0" w:color="auto"/>
      </w:divBdr>
    </w:div>
    <w:div w:id="2076010446">
      <w:bodyDiv w:val="1"/>
      <w:marLeft w:val="0"/>
      <w:marRight w:val="0"/>
      <w:marTop w:val="0"/>
      <w:marBottom w:val="0"/>
      <w:divBdr>
        <w:top w:val="none" w:sz="0" w:space="0" w:color="auto"/>
        <w:left w:val="none" w:sz="0" w:space="0" w:color="auto"/>
        <w:bottom w:val="none" w:sz="0" w:space="0" w:color="auto"/>
        <w:right w:val="none" w:sz="0" w:space="0" w:color="auto"/>
      </w:divBdr>
    </w:div>
    <w:div w:id="2082825031">
      <w:bodyDiv w:val="1"/>
      <w:marLeft w:val="0"/>
      <w:marRight w:val="0"/>
      <w:marTop w:val="0"/>
      <w:marBottom w:val="0"/>
      <w:divBdr>
        <w:top w:val="none" w:sz="0" w:space="0" w:color="auto"/>
        <w:left w:val="none" w:sz="0" w:space="0" w:color="auto"/>
        <w:bottom w:val="none" w:sz="0" w:space="0" w:color="auto"/>
        <w:right w:val="none" w:sz="0" w:space="0" w:color="auto"/>
      </w:divBdr>
    </w:div>
    <w:div w:id="2095515364">
      <w:bodyDiv w:val="1"/>
      <w:marLeft w:val="0"/>
      <w:marRight w:val="0"/>
      <w:marTop w:val="0"/>
      <w:marBottom w:val="0"/>
      <w:divBdr>
        <w:top w:val="none" w:sz="0" w:space="0" w:color="auto"/>
        <w:left w:val="none" w:sz="0" w:space="0" w:color="auto"/>
        <w:bottom w:val="none" w:sz="0" w:space="0" w:color="auto"/>
        <w:right w:val="none" w:sz="0" w:space="0" w:color="auto"/>
      </w:divBdr>
    </w:div>
    <w:div w:id="2131975324">
      <w:bodyDiv w:val="1"/>
      <w:marLeft w:val="0"/>
      <w:marRight w:val="0"/>
      <w:marTop w:val="0"/>
      <w:marBottom w:val="0"/>
      <w:divBdr>
        <w:top w:val="none" w:sz="0" w:space="0" w:color="auto"/>
        <w:left w:val="none" w:sz="0" w:space="0" w:color="auto"/>
        <w:bottom w:val="none" w:sz="0" w:space="0" w:color="auto"/>
        <w:right w:val="none" w:sz="0" w:space="0" w:color="auto"/>
      </w:divBdr>
    </w:div>
    <w:div w:id="2140489427">
      <w:bodyDiv w:val="1"/>
      <w:marLeft w:val="0"/>
      <w:marRight w:val="0"/>
      <w:marTop w:val="0"/>
      <w:marBottom w:val="0"/>
      <w:divBdr>
        <w:top w:val="none" w:sz="0" w:space="0" w:color="auto"/>
        <w:left w:val="none" w:sz="0" w:space="0" w:color="auto"/>
        <w:bottom w:val="none" w:sz="0" w:space="0" w:color="auto"/>
        <w:right w:val="none" w:sz="0" w:space="0" w:color="auto"/>
      </w:divBdr>
    </w:div>
    <w:div w:id="2145661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Relationship Id="rId18" Type="http://schemas.openxmlformats.org/officeDocument/2006/relationships/footer" Target="footer5.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3.tiff"/><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ti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87A3400-5D20-CE49-B91C-45FA1725E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14601</Words>
  <Characters>78851</Characters>
  <Application>Microsoft Office Word</Application>
  <DocSecurity>0</DocSecurity>
  <Lines>657</Lines>
  <Paragraphs>186</Paragraphs>
  <ScaleCrop>false</ScaleCrop>
  <HeadingPairs>
    <vt:vector size="10" baseType="variant">
      <vt:variant>
        <vt:lpstr>Title</vt:lpstr>
      </vt:variant>
      <vt:variant>
        <vt:i4>1</vt:i4>
      </vt:variant>
      <vt:variant>
        <vt:lpstr>Título</vt:lpstr>
      </vt:variant>
      <vt:variant>
        <vt:i4>1</vt:i4>
      </vt:variant>
      <vt:variant>
        <vt:lpstr>Τίτλος</vt:lpstr>
      </vt:variant>
      <vt:variant>
        <vt:i4>1</vt:i4>
      </vt:variant>
      <vt:variant>
        <vt:lpstr>Titolo</vt:lpstr>
      </vt:variant>
      <vt:variant>
        <vt:i4>1</vt:i4>
      </vt:variant>
      <vt:variant>
        <vt:lpstr>Titel</vt:lpstr>
      </vt:variant>
      <vt:variant>
        <vt:i4>1</vt:i4>
      </vt:variant>
    </vt:vector>
  </HeadingPairs>
  <TitlesOfParts>
    <vt:vector size="5" baseType="lpstr">
      <vt:lpstr/>
      <vt:lpstr/>
      <vt:lpstr/>
      <vt:lpstr/>
      <vt:lpstr/>
    </vt:vector>
  </TitlesOfParts>
  <Company>RWI Essen</Company>
  <LinksUpToDate>false</LinksUpToDate>
  <CharactersWithSpaces>93266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vincenzo</dc:creator>
  <cp:keywords/>
  <dc:description/>
  <cp:lastModifiedBy>Victor Hugo de Oliveira</cp:lastModifiedBy>
  <cp:revision>3</cp:revision>
  <cp:lastPrinted>2022-09-28T13:52:00Z</cp:lastPrinted>
  <dcterms:created xsi:type="dcterms:W3CDTF">2022-09-28T15:11:00Z</dcterms:created>
  <dcterms:modified xsi:type="dcterms:W3CDTF">2022-12-27T12:28:00Z</dcterms:modified>
</cp:coreProperties>
</file>