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60231" w14:textId="7FBD8789" w:rsidR="00212BC4" w:rsidRDefault="00212BC4" w:rsidP="00212BC4">
      <w:pPr>
        <w:pStyle w:val="CHAPTERTITLE"/>
      </w:pPr>
      <w:r>
        <w:t xml:space="preserve">Doctoral Education as if People Matter -  </w:t>
      </w:r>
    </w:p>
    <w:p w14:paraId="250593DF" w14:textId="15EFA9F5" w:rsidR="00212BC4" w:rsidRPr="00212BC4" w:rsidRDefault="00212BC4" w:rsidP="00212BC4">
      <w:pPr>
        <w:pStyle w:val="CHAPTERTITLE"/>
        <w:rPr>
          <w:i/>
          <w:iCs/>
        </w:rPr>
      </w:pPr>
      <w:r w:rsidRPr="00212BC4">
        <w:rPr>
          <w:i/>
          <w:iCs/>
        </w:rPr>
        <w:t>Critical Issues for the Future</w:t>
      </w:r>
    </w:p>
    <w:p w14:paraId="34C4FB28" w14:textId="77777777" w:rsidR="00212BC4" w:rsidRDefault="00212BC4" w:rsidP="00793155">
      <w:pPr>
        <w:pStyle w:val="CHAPTERTITLE"/>
        <w:jc w:val="center"/>
      </w:pPr>
    </w:p>
    <w:p w14:paraId="40C54A6D" w14:textId="77777777" w:rsidR="00212BC4" w:rsidRDefault="00212BC4" w:rsidP="00212BC4">
      <w:pPr>
        <w:pStyle w:val="CHAPTERTITLE"/>
        <w:spacing w:after="0"/>
        <w:rPr>
          <w:rStyle w:val="CSSMALLCAPS"/>
          <w:b w:val="0"/>
          <w:bCs/>
          <w:smallCaps w:val="0"/>
          <w:szCs w:val="32"/>
          <w:lang w:val="en-GB"/>
        </w:rPr>
      </w:pPr>
      <w:r w:rsidRPr="00212BC4">
        <w:rPr>
          <w:rStyle w:val="CSSMALLCAPS"/>
          <w:b w:val="0"/>
          <w:bCs/>
          <w:smallCaps w:val="0"/>
          <w:szCs w:val="32"/>
          <w:lang w:val="en-GB"/>
        </w:rPr>
        <w:t xml:space="preserve">Marie-Louise Österlind, Pam Denicolo and </w:t>
      </w:r>
    </w:p>
    <w:p w14:paraId="3C7EA624" w14:textId="2EE71D21" w:rsidR="00212BC4" w:rsidRPr="00212BC4" w:rsidRDefault="00212BC4" w:rsidP="00212BC4">
      <w:pPr>
        <w:pStyle w:val="CHAPTERTITLE"/>
        <w:spacing w:after="0"/>
        <w:rPr>
          <w:rStyle w:val="CSSMALLCAPS"/>
          <w:b w:val="0"/>
          <w:bCs/>
          <w:smallCaps w:val="0"/>
          <w:szCs w:val="32"/>
          <w:lang w:val="en-GB"/>
        </w:rPr>
      </w:pPr>
      <w:r w:rsidRPr="00212BC4">
        <w:rPr>
          <w:rStyle w:val="CSSMALLCAPS"/>
          <w:b w:val="0"/>
          <w:bCs/>
          <w:smallCaps w:val="0"/>
          <w:szCs w:val="32"/>
          <w:lang w:val="en-GB"/>
        </w:rPr>
        <w:t>Britt-Marie Apelgren</w:t>
      </w:r>
      <w:r>
        <w:rPr>
          <w:rStyle w:val="CSSMALLCAPS"/>
          <w:b w:val="0"/>
          <w:bCs/>
          <w:smallCaps w:val="0"/>
          <w:szCs w:val="32"/>
          <w:lang w:val="en-GB"/>
        </w:rPr>
        <w:t xml:space="preserve"> (Eds.)</w:t>
      </w:r>
    </w:p>
    <w:p w14:paraId="7F13830A" w14:textId="568C1B02" w:rsidR="00212BC4" w:rsidRDefault="00212BC4" w:rsidP="00793155">
      <w:pPr>
        <w:pStyle w:val="CHAPTERTITLE"/>
        <w:jc w:val="center"/>
        <w:rPr>
          <w:lang w:val="en-GB"/>
        </w:rPr>
      </w:pPr>
    </w:p>
    <w:p w14:paraId="13530800" w14:textId="445B6C17" w:rsidR="00120539" w:rsidRPr="00F533A1" w:rsidRDefault="00120539" w:rsidP="00120539">
      <w:pPr>
        <w:pStyle w:val="BIBLIOGRAPHIC"/>
        <w:rPr>
          <w:lang w:val="en-GB"/>
        </w:rPr>
      </w:pPr>
    </w:p>
    <w:p w14:paraId="28683251" w14:textId="405F2850" w:rsidR="00892FB8" w:rsidRDefault="00892FB8" w:rsidP="00573172">
      <w:pPr>
        <w:rPr>
          <w:rFonts w:ascii="Brill" w:hAnsi="Brill"/>
        </w:rPr>
      </w:pPr>
    </w:p>
    <w:p w14:paraId="1B5865FE" w14:textId="1C764790" w:rsidR="00892FB8" w:rsidRDefault="00892FB8" w:rsidP="00573172">
      <w:pPr>
        <w:rPr>
          <w:rFonts w:ascii="Brill" w:hAnsi="Brill"/>
        </w:rPr>
      </w:pPr>
    </w:p>
    <w:p w14:paraId="29EE82C5" w14:textId="3E1B8061" w:rsidR="00892FB8" w:rsidRDefault="00892FB8" w:rsidP="00573172">
      <w:pPr>
        <w:rPr>
          <w:rFonts w:ascii="Brill" w:hAnsi="Brill"/>
        </w:rPr>
      </w:pPr>
    </w:p>
    <w:p w14:paraId="3D809F6A" w14:textId="0A708199" w:rsidR="00892FB8" w:rsidRDefault="00892FB8" w:rsidP="00573172">
      <w:pPr>
        <w:rPr>
          <w:rFonts w:ascii="Brill" w:hAnsi="Brill"/>
        </w:rPr>
      </w:pPr>
    </w:p>
    <w:p w14:paraId="19288720" w14:textId="42D4A779" w:rsidR="00892FB8" w:rsidRDefault="00892FB8" w:rsidP="00573172">
      <w:pPr>
        <w:rPr>
          <w:rFonts w:ascii="Brill" w:hAnsi="Brill"/>
        </w:rPr>
      </w:pPr>
    </w:p>
    <w:p w14:paraId="35A1D0D1" w14:textId="77777777" w:rsidR="006147B0" w:rsidRDefault="006147B0">
      <w:pPr>
        <w:rPr>
          <w:rFonts w:ascii="Brill" w:eastAsia="Times New Roman" w:hAnsi="Brill" w:cs="Times New Roman"/>
          <w:b/>
          <w:sz w:val="32"/>
          <w:szCs w:val="20"/>
          <w:lang w:val="en-US"/>
        </w:rPr>
      </w:pPr>
      <w:r>
        <w:br w:type="page"/>
      </w:r>
    </w:p>
    <w:p w14:paraId="2C44DC7B" w14:textId="00A42EBE" w:rsidR="00E010F1" w:rsidRPr="00547EC7" w:rsidRDefault="00E010F1" w:rsidP="00013069">
      <w:pPr>
        <w:pStyle w:val="CHAPTERTITLE"/>
        <w:jc w:val="center"/>
      </w:pPr>
      <w:r w:rsidRPr="00547EC7">
        <w:lastRenderedPageBreak/>
        <w:t xml:space="preserve">CHAPTER </w:t>
      </w:r>
      <w:r w:rsidR="00E04C86">
        <w:t>8</w:t>
      </w:r>
    </w:p>
    <w:p w14:paraId="68CB1A98" w14:textId="77777777" w:rsidR="00E010F1" w:rsidRPr="00547EC7" w:rsidRDefault="00E010F1" w:rsidP="00E010F1">
      <w:pPr>
        <w:pStyle w:val="TEXTINDENT"/>
        <w:rPr>
          <w:lang w:val="en-GB"/>
        </w:rPr>
      </w:pPr>
    </w:p>
    <w:p w14:paraId="52C83719" w14:textId="77777777" w:rsidR="00E010F1" w:rsidRPr="00547EC7" w:rsidRDefault="00E010F1" w:rsidP="001F713B">
      <w:pPr>
        <w:pStyle w:val="CHAPTERTITLE"/>
      </w:pPr>
      <w:r w:rsidRPr="00547EC7">
        <w:t>Towards a Person-</w:t>
      </w:r>
      <w:proofErr w:type="spellStart"/>
      <w:r w:rsidRPr="00547EC7">
        <w:t>Centred</w:t>
      </w:r>
      <w:proofErr w:type="spellEnd"/>
      <w:r w:rsidRPr="00547EC7">
        <w:t xml:space="preserve"> Discourse in Doctoral Supervisor Development</w:t>
      </w:r>
    </w:p>
    <w:p w14:paraId="65F699EA" w14:textId="77777777" w:rsidR="00E010F1" w:rsidRPr="00547EC7" w:rsidRDefault="00E010F1" w:rsidP="00013069">
      <w:pPr>
        <w:pStyle w:val="CHAPTERAUTHOR"/>
        <w:jc w:val="center"/>
      </w:pPr>
      <w:r w:rsidRPr="00547EC7">
        <w:t>Matthew Sillence</w:t>
      </w:r>
    </w:p>
    <w:p w14:paraId="407B8C0F" w14:textId="77777777" w:rsidR="00E010F1" w:rsidRPr="00547EC7" w:rsidRDefault="00E010F1" w:rsidP="00E010F1">
      <w:pPr>
        <w:pStyle w:val="HEADING1Unnumbered"/>
      </w:pPr>
      <w:r w:rsidRPr="00547EC7">
        <w:t>Abstract</w:t>
      </w:r>
    </w:p>
    <w:p w14:paraId="5EB9046C" w14:textId="77777777" w:rsidR="00E010F1" w:rsidRPr="00547EC7" w:rsidRDefault="00E010F1" w:rsidP="00E010F1">
      <w:pPr>
        <w:pStyle w:val="TEXTINDENT"/>
      </w:pPr>
      <w:r w:rsidRPr="00547EC7">
        <w:t xml:space="preserve">This chapter employs critical discourse analysis to examine the language of national and institutional policy and practice documents. These texts inform the design of doctoral supervisor continuing professional development at one UK </w:t>
      </w:r>
      <w:proofErr w:type="gramStart"/>
      <w:r w:rsidRPr="00547EC7">
        <w:t>university, and</w:t>
      </w:r>
      <w:proofErr w:type="gramEnd"/>
      <w:r w:rsidRPr="00547EC7">
        <w:t xml:space="preserve"> appear to reflect a bias </w:t>
      </w:r>
      <w:proofErr w:type="spellStart"/>
      <w:r w:rsidRPr="00547EC7">
        <w:t>favouring</w:t>
      </w:r>
      <w:proofErr w:type="spellEnd"/>
      <w:r w:rsidRPr="00547EC7">
        <w:t xml:space="preserve"> regulatory processes over people. Although rhetoric </w:t>
      </w:r>
      <w:proofErr w:type="spellStart"/>
      <w:r w:rsidRPr="00547EC7">
        <w:t>emphasises</w:t>
      </w:r>
      <w:proofErr w:type="spellEnd"/>
      <w:r w:rsidRPr="00547EC7">
        <w:t xml:space="preserve"> systems and functional interactions between supervisors and doctoral researchers, this study identifies themes that frequently relate to personhood. It proposes a model of supervisor development that engages with disciplinary knowledge, the workplace and institution through person-</w:t>
      </w:r>
      <w:proofErr w:type="spellStart"/>
      <w:r w:rsidRPr="00547EC7">
        <w:t>centred</w:t>
      </w:r>
      <w:proofErr w:type="spellEnd"/>
      <w:r w:rsidRPr="00547EC7">
        <w:t xml:space="preserve"> pedagogy.</w:t>
      </w:r>
    </w:p>
    <w:p w14:paraId="7AEB8F6D" w14:textId="77777777" w:rsidR="00E010F1" w:rsidRPr="00547EC7" w:rsidRDefault="00E010F1" w:rsidP="00E010F1">
      <w:pPr>
        <w:pStyle w:val="HEADING1Unnumbered"/>
      </w:pPr>
      <w:r w:rsidRPr="00547EC7">
        <w:t>Keywords</w:t>
      </w:r>
    </w:p>
    <w:p w14:paraId="39EA53E4" w14:textId="77777777" w:rsidR="00E010F1" w:rsidRPr="00547EC7" w:rsidRDefault="00E010F1" w:rsidP="00E010F1">
      <w:pPr>
        <w:pStyle w:val="TEXTFLUSH"/>
      </w:pPr>
      <w:r w:rsidRPr="00547EC7">
        <w:t>Supervisors –Discourse – Pedagogy</w:t>
      </w:r>
    </w:p>
    <w:p w14:paraId="59322685" w14:textId="77777777" w:rsidR="00E010F1" w:rsidRPr="00547EC7" w:rsidRDefault="00E010F1" w:rsidP="00E010F1">
      <w:pPr>
        <w:pStyle w:val="HEADING1Numbered"/>
        <w:rPr>
          <w:lang w:val="en-GB"/>
        </w:rPr>
      </w:pPr>
      <w:bookmarkStart w:id="0" w:name="Introduction"/>
      <w:r w:rsidRPr="00547EC7">
        <w:rPr>
          <w:lang w:val="en-GB"/>
        </w:rPr>
        <w:t>Introduction</w:t>
      </w:r>
      <w:bookmarkEnd w:id="0"/>
    </w:p>
    <w:p w14:paraId="73FC97A7" w14:textId="4188F3E4" w:rsidR="00E010F1" w:rsidRPr="00547EC7" w:rsidRDefault="00E010F1" w:rsidP="00E010F1">
      <w:pPr>
        <w:pStyle w:val="TEXTINDENT"/>
        <w:rPr>
          <w:lang w:val="en-GB"/>
        </w:rPr>
      </w:pPr>
      <w:r w:rsidRPr="00547EC7">
        <w:rPr>
          <w:lang w:val="en-GB"/>
        </w:rPr>
        <w:t>In the United Kingdom, supervisor development is influenced by both national and institutional policy and practice documentation, with most professional development programmes focusing on regulatory and pedagogical matters rather than doctoral researcher support and development (Taylor 2021, 186)</w:t>
      </w:r>
      <w:r w:rsidR="00F0144A">
        <w:rPr>
          <w:lang w:val="en-GB"/>
        </w:rPr>
        <w:t>, reflecting observations</w:t>
      </w:r>
      <w:r w:rsidR="00322EBC">
        <w:rPr>
          <w:lang w:val="en-GB"/>
        </w:rPr>
        <w:t xml:space="preserve"> from the literature review</w:t>
      </w:r>
      <w:r w:rsidR="00F0144A">
        <w:rPr>
          <w:lang w:val="en-GB"/>
        </w:rPr>
        <w:t xml:space="preserve"> by</w:t>
      </w:r>
      <w:r w:rsidR="009731BE">
        <w:rPr>
          <w:lang w:val="en-GB"/>
        </w:rPr>
        <w:t xml:space="preserve"> Huet, Casanova and Garcia in </w:t>
      </w:r>
      <w:r w:rsidR="00306306">
        <w:rPr>
          <w:lang w:val="en-GB"/>
        </w:rPr>
        <w:t>the previous chapter</w:t>
      </w:r>
      <w:r w:rsidRPr="00547EC7">
        <w:rPr>
          <w:lang w:val="en-GB"/>
        </w:rPr>
        <w:t xml:space="preserve">. The increasing scholarship around supervisor continuing professional development (CPD) emerges in tandem with concerns about the working conditions of doctoral researchers before and during the Covid-19 </w:t>
      </w:r>
      <w:r w:rsidRPr="00547EC7">
        <w:rPr>
          <w:lang w:val="en-GB"/>
        </w:rPr>
        <w:lastRenderedPageBreak/>
        <w:t xml:space="preserve">pandemic (Metcalfe, Wilson, and </w:t>
      </w:r>
      <w:proofErr w:type="spellStart"/>
      <w:r w:rsidRPr="00547EC7">
        <w:rPr>
          <w:lang w:val="en-GB"/>
        </w:rPr>
        <w:t>Levecque</w:t>
      </w:r>
      <w:proofErr w:type="spellEnd"/>
      <w:r w:rsidRPr="00547EC7">
        <w:rPr>
          <w:lang w:val="en-GB"/>
        </w:rPr>
        <w:t xml:space="preserve"> 2018; Office for Students 2020)</w:t>
      </w:r>
      <w:r w:rsidR="008719D5">
        <w:rPr>
          <w:lang w:val="en-GB"/>
        </w:rPr>
        <w:t>, which is explored</w:t>
      </w:r>
      <w:r w:rsidR="007923AC">
        <w:rPr>
          <w:lang w:val="en-GB"/>
        </w:rPr>
        <w:t xml:space="preserve"> by Reeves in chapter 10</w:t>
      </w:r>
      <w:r w:rsidRPr="00547EC7">
        <w:rPr>
          <w:lang w:val="en-GB"/>
        </w:rPr>
        <w:t>.</w:t>
      </w:r>
    </w:p>
    <w:p w14:paraId="3C52CB9E" w14:textId="77777777" w:rsidR="00E010F1" w:rsidRPr="00547EC7" w:rsidRDefault="00E010F1" w:rsidP="00E010F1">
      <w:pPr>
        <w:pStyle w:val="HEADING1Numbered"/>
        <w:rPr>
          <w:lang w:val="en-GB"/>
        </w:rPr>
      </w:pPr>
      <w:bookmarkStart w:id="1" w:name="Research_Aims"/>
      <w:r w:rsidRPr="00547EC7">
        <w:rPr>
          <w:lang w:val="en-GB"/>
        </w:rPr>
        <w:t>Research Aims</w:t>
      </w:r>
      <w:bookmarkEnd w:id="1"/>
    </w:p>
    <w:p w14:paraId="4F5A403E" w14:textId="210C43F5" w:rsidR="00E010F1" w:rsidRPr="00547EC7" w:rsidRDefault="00E010F1" w:rsidP="00E010F1">
      <w:pPr>
        <w:pStyle w:val="TEXTINDENT"/>
        <w:rPr>
          <w:lang w:val="en-GB"/>
        </w:rPr>
      </w:pPr>
      <w:r w:rsidRPr="00547EC7">
        <w:rPr>
          <w:lang w:val="en-GB"/>
        </w:rPr>
        <w:t xml:space="preserve">The premise of this chapter is that texts play a key role in CPD. They can be examined not simply for </w:t>
      </w:r>
      <w:proofErr w:type="gramStart"/>
      <w:r w:rsidRPr="00547EC7">
        <w:rPr>
          <w:lang w:val="en-GB"/>
        </w:rPr>
        <w:t>factual information</w:t>
      </w:r>
      <w:proofErr w:type="gramEnd"/>
      <w:r w:rsidRPr="00547EC7">
        <w:rPr>
          <w:lang w:val="en-GB"/>
        </w:rPr>
        <w:t>, but for rhetoric</w:t>
      </w:r>
      <w:r w:rsidR="00933254">
        <w:rPr>
          <w:lang w:val="en-GB"/>
        </w:rPr>
        <w:t xml:space="preserve">, </w:t>
      </w:r>
      <w:r w:rsidR="0097581D">
        <w:rPr>
          <w:lang w:val="en-GB"/>
        </w:rPr>
        <w:t xml:space="preserve">reflecting </w:t>
      </w:r>
      <w:r w:rsidR="00933254">
        <w:rPr>
          <w:lang w:val="en-GB"/>
        </w:rPr>
        <w:t>t</w:t>
      </w:r>
      <w:r w:rsidR="001D5217">
        <w:rPr>
          <w:lang w:val="en-GB"/>
        </w:rPr>
        <w:t>he</w:t>
      </w:r>
      <w:r w:rsidR="00933254">
        <w:rPr>
          <w:lang w:val="en-GB"/>
        </w:rPr>
        <w:t xml:space="preserve"> views of McCulloch in chapter 2 and</w:t>
      </w:r>
      <w:r w:rsidR="00B4559B">
        <w:rPr>
          <w:lang w:val="en-GB"/>
        </w:rPr>
        <w:t xml:space="preserve"> Lu in chapter 4 that the language used to describe </w:t>
      </w:r>
      <w:r w:rsidR="0097581D">
        <w:rPr>
          <w:lang w:val="en-GB"/>
        </w:rPr>
        <w:t xml:space="preserve">higher education policies and practices </w:t>
      </w:r>
      <w:r w:rsidR="00041F38">
        <w:rPr>
          <w:lang w:val="en-GB"/>
        </w:rPr>
        <w:t xml:space="preserve">affect how individuals </w:t>
      </w:r>
      <w:r w:rsidR="00267456">
        <w:rPr>
          <w:lang w:val="en-GB"/>
        </w:rPr>
        <w:t>experience the university</w:t>
      </w:r>
      <w:r w:rsidR="004866F7">
        <w:rPr>
          <w:lang w:val="en-GB"/>
        </w:rPr>
        <w:t>.</w:t>
      </w:r>
      <w:r w:rsidRPr="00547EC7">
        <w:rPr>
          <w:lang w:val="en-GB"/>
        </w:rPr>
        <w:t xml:space="preserve"> Adopting criteria from critical discourse analysis (hereafter, CDA), it aims to:</w:t>
      </w:r>
    </w:p>
    <w:p w14:paraId="545F6E2D" w14:textId="77777777" w:rsidR="00E010F1" w:rsidRPr="00547EC7" w:rsidRDefault="00E010F1" w:rsidP="00E010F1">
      <w:pPr>
        <w:pStyle w:val="ITEM"/>
      </w:pPr>
      <w:r w:rsidRPr="00547EC7">
        <w:t>Demonstrate how the language of national and institutional policy documents and reports construct ideas of the doctoral process and the researcher</w:t>
      </w:r>
    </w:p>
    <w:p w14:paraId="6C12A483" w14:textId="77777777" w:rsidR="00E010F1" w:rsidRPr="00547EC7" w:rsidRDefault="00E010F1" w:rsidP="00E010F1">
      <w:pPr>
        <w:pStyle w:val="ITEM"/>
      </w:pPr>
      <w:r w:rsidRPr="00547EC7">
        <w:t>Demonstrate how the language of materials for supervisor CPD within the Faculty of Arts and Humanities constructs the doctoral process and researcher</w:t>
      </w:r>
    </w:p>
    <w:p w14:paraId="223E3293" w14:textId="77777777" w:rsidR="00E010F1" w:rsidRPr="00547EC7" w:rsidRDefault="00E010F1" w:rsidP="00E010F1">
      <w:pPr>
        <w:pStyle w:val="ITEM"/>
      </w:pPr>
      <w:r w:rsidRPr="00547EC7">
        <w:rPr>
          <w:lang w:eastAsia="sv-SE"/>
        </w:rPr>
        <w:t>Identify the pedagogical affordances and constraints of these ideas of doctoral education</w:t>
      </w:r>
      <w:r w:rsidRPr="00547EC7" w:rsidDel="00097B7E">
        <w:t xml:space="preserve"> </w:t>
      </w:r>
    </w:p>
    <w:p w14:paraId="4726E3FB" w14:textId="77777777" w:rsidR="00E010F1" w:rsidRPr="00547EC7" w:rsidRDefault="00E010F1" w:rsidP="00E010F1">
      <w:pPr>
        <w:pStyle w:val="ITEM"/>
      </w:pPr>
      <w:r w:rsidRPr="00547EC7">
        <w:t>Propose a realignment of policy, procedure and pedagogy in supervisor CPD to address these constraints</w:t>
      </w:r>
    </w:p>
    <w:p w14:paraId="3A04DEF6" w14:textId="77777777" w:rsidR="00E010F1" w:rsidRPr="00547EC7" w:rsidRDefault="00E010F1" w:rsidP="00E010F1">
      <w:pPr>
        <w:pStyle w:val="HEADING1Numbered"/>
        <w:rPr>
          <w:lang w:val="en-GB"/>
        </w:rPr>
      </w:pPr>
      <w:bookmarkStart w:id="2" w:name="Managerialism_in_Doctoral_Educ"/>
      <w:r w:rsidRPr="00547EC7">
        <w:rPr>
          <w:lang w:val="en-GB"/>
        </w:rPr>
        <w:t>Managerialism in Doctoral Education</w:t>
      </w:r>
      <w:bookmarkEnd w:id="2"/>
    </w:p>
    <w:p w14:paraId="67EA67D8" w14:textId="25E53D11" w:rsidR="00E010F1" w:rsidRPr="00547EC7" w:rsidRDefault="00E010F1" w:rsidP="00E010F1">
      <w:pPr>
        <w:pStyle w:val="TEXTINDENT"/>
        <w:rPr>
          <w:lang w:val="en-GB"/>
        </w:rPr>
      </w:pPr>
      <w:r w:rsidRPr="00547EC7">
        <w:rPr>
          <w:lang w:val="en-GB"/>
        </w:rPr>
        <w:t>A focus on regulation in higher education has been associated with the wider ideological and organisational trends of ‘New Management’ and ‘New Public Management’ (Deem, Hillyard and Reed 2007). Ronald Barnett has also identified the growing complexity of administrative procedures within the UK university (2011, 46)</w:t>
      </w:r>
      <w:r w:rsidR="002A1346">
        <w:rPr>
          <w:lang w:val="en-GB"/>
        </w:rPr>
        <w:t xml:space="preserve">, </w:t>
      </w:r>
      <w:r w:rsidR="00D976B0">
        <w:rPr>
          <w:lang w:val="en-GB"/>
        </w:rPr>
        <w:t xml:space="preserve">which is leading to the kind of ‘super-complexity’ </w:t>
      </w:r>
      <w:r w:rsidR="00036D11">
        <w:rPr>
          <w:lang w:val="en-GB"/>
        </w:rPr>
        <w:t xml:space="preserve">that Denicolo, Reeves and Duke </w:t>
      </w:r>
      <w:r w:rsidR="00F566C4">
        <w:rPr>
          <w:lang w:val="en-GB"/>
        </w:rPr>
        <w:t xml:space="preserve">note in chapter </w:t>
      </w:r>
      <w:proofErr w:type="gramStart"/>
      <w:r w:rsidR="00F566C4">
        <w:rPr>
          <w:lang w:val="en-GB"/>
        </w:rPr>
        <w:t xml:space="preserve">6 </w:t>
      </w:r>
      <w:r w:rsidRPr="00547EC7">
        <w:rPr>
          <w:lang w:val="en-GB"/>
        </w:rPr>
        <w:t>.</w:t>
      </w:r>
      <w:proofErr w:type="gramEnd"/>
      <w:r w:rsidRPr="00547EC7">
        <w:rPr>
          <w:lang w:val="en-GB"/>
        </w:rPr>
        <w:t xml:space="preserve"> Within a doctoral context, ‘managerialism’ encourages researchers to organise their personal and professional lives to obviate problems (Kelly, 2017, 49-51). This discourse interprets events, such as the non-completion of a thesis, as a form of ‘</w:t>
      </w:r>
      <w:proofErr w:type="gramStart"/>
      <w:r w:rsidRPr="00547EC7">
        <w:rPr>
          <w:lang w:val="en-GB"/>
        </w:rPr>
        <w:t>mis-management</w:t>
      </w:r>
      <w:proofErr w:type="gramEnd"/>
      <w:r w:rsidRPr="00547EC7">
        <w:rPr>
          <w:lang w:val="en-GB"/>
        </w:rPr>
        <w:t>’ (Owler, 2010). From an institutional perspective, the doctorate itself can appear distinctly and inherently entropic.</w:t>
      </w:r>
    </w:p>
    <w:p w14:paraId="269EB990" w14:textId="77777777" w:rsidR="00E010F1" w:rsidRPr="00547EC7" w:rsidRDefault="00E010F1" w:rsidP="00E010F1">
      <w:pPr>
        <w:pStyle w:val="HEADING1Numbered"/>
        <w:rPr>
          <w:lang w:val="en-GB"/>
        </w:rPr>
      </w:pPr>
      <w:bookmarkStart w:id="3" w:name="Modelling_Doctoral_Education"/>
      <w:r w:rsidRPr="00547EC7">
        <w:rPr>
          <w:lang w:val="en-GB"/>
        </w:rPr>
        <w:lastRenderedPageBreak/>
        <w:t>Modelling Doctoral Education</w:t>
      </w:r>
      <w:bookmarkEnd w:id="3"/>
    </w:p>
    <w:p w14:paraId="324198F6" w14:textId="77777777" w:rsidR="00E010F1" w:rsidRPr="00547EC7" w:rsidRDefault="00E010F1" w:rsidP="00E010F1">
      <w:pPr>
        <w:pStyle w:val="TEXTINDENT"/>
        <w:rPr>
          <w:lang w:val="en-GB"/>
        </w:rPr>
      </w:pPr>
      <w:r w:rsidRPr="00547EC7">
        <w:rPr>
          <w:lang w:val="en-GB"/>
        </w:rPr>
        <w:t>Doctoral education, however, is not a system of self-managing individuals. Elliott et al. (2020), building on Barnett (2016, 135-6), have drawn attention to a complex ecosystem of academic, emotional, social and psychological support. The ‘Doctoral Learning Ecology Model’ (hereafter, DLEM) outlines four domains: discipline, institution, workplace, and person. Together these form a holistic, and potentially more realistic, view of doctoral education as it is experienced by doctoral researchers.</w:t>
      </w:r>
    </w:p>
    <w:p w14:paraId="1995F26E" w14:textId="77777777" w:rsidR="00E010F1" w:rsidRPr="00547EC7" w:rsidRDefault="00E010F1" w:rsidP="00E010F1">
      <w:pPr>
        <w:pStyle w:val="TEXTINDENT"/>
        <w:rPr>
          <w:lang w:val="en-GB"/>
        </w:rPr>
      </w:pPr>
      <w:r w:rsidRPr="00547EC7">
        <w:rPr>
          <w:noProof/>
          <w:lang w:val="en-GB" w:eastAsia="en-GB"/>
        </w:rPr>
        <w:drawing>
          <wp:anchor distT="0" distB="0" distL="114300" distR="114300" simplePos="0" relativeHeight="251664384" behindDoc="1" locked="0" layoutInCell="1" allowOverlap="1" wp14:anchorId="2A0DCB44" wp14:editId="6E3BB682">
            <wp:simplePos x="0" y="0"/>
            <wp:positionH relativeFrom="margin">
              <wp:align>right</wp:align>
            </wp:positionH>
            <wp:positionV relativeFrom="paragraph">
              <wp:posOffset>297180</wp:posOffset>
            </wp:positionV>
            <wp:extent cx="4002405" cy="2645410"/>
            <wp:effectExtent l="0" t="0" r="0" b="2540"/>
            <wp:wrapTight wrapText="bothSides">
              <wp:wrapPolygon edited="0">
                <wp:start x="103" y="0"/>
                <wp:lineTo x="0" y="467"/>
                <wp:lineTo x="0" y="6688"/>
                <wp:lineTo x="1337" y="7466"/>
                <wp:lineTo x="4524" y="7466"/>
                <wp:lineTo x="4215" y="9955"/>
                <wp:lineTo x="4318" y="12444"/>
                <wp:lineTo x="0" y="14621"/>
                <wp:lineTo x="0" y="20532"/>
                <wp:lineTo x="103" y="21465"/>
                <wp:lineTo x="206" y="21465"/>
                <wp:lineTo x="21076" y="21465"/>
                <wp:lineTo x="21178" y="21465"/>
                <wp:lineTo x="21384" y="19910"/>
                <wp:lineTo x="21384" y="14777"/>
                <wp:lineTo x="17169" y="12444"/>
                <wp:lineTo x="17272" y="9955"/>
                <wp:lineTo x="16963" y="7466"/>
                <wp:lineTo x="19945" y="7466"/>
                <wp:lineTo x="21384" y="6688"/>
                <wp:lineTo x="21178" y="311"/>
                <wp:lineTo x="21076" y="0"/>
                <wp:lineTo x="103" y="0"/>
              </wp:wrapPolygon>
            </wp:wrapTight>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2405" cy="2645410"/>
                    </a:xfrm>
                    <a:prstGeom prst="rect">
                      <a:avLst/>
                    </a:prstGeom>
                    <a:noFill/>
                  </pic:spPr>
                </pic:pic>
              </a:graphicData>
            </a:graphic>
            <wp14:sizeRelH relativeFrom="margin">
              <wp14:pctWidth>0</wp14:pctWidth>
            </wp14:sizeRelH>
            <wp14:sizeRelV relativeFrom="margin">
              <wp14:pctHeight>0</wp14:pctHeight>
            </wp14:sizeRelV>
          </wp:anchor>
        </w:drawing>
      </w:r>
    </w:p>
    <w:p w14:paraId="2882305E" w14:textId="77777777" w:rsidR="00E010F1" w:rsidRPr="00547EC7" w:rsidRDefault="00E010F1" w:rsidP="00E010F1">
      <w:pPr>
        <w:pStyle w:val="TEXTINDENT"/>
        <w:rPr>
          <w:lang w:val="en-GB"/>
        </w:rPr>
      </w:pPr>
    </w:p>
    <w:p w14:paraId="258647CA" w14:textId="77777777" w:rsidR="00E010F1" w:rsidRPr="00547EC7" w:rsidRDefault="00E010F1" w:rsidP="00E010F1">
      <w:pPr>
        <w:pStyle w:val="TEXTINDENT"/>
        <w:rPr>
          <w:lang w:val="en-GB"/>
        </w:rPr>
      </w:pPr>
    </w:p>
    <w:p w14:paraId="2B7CC85B" w14:textId="77777777" w:rsidR="00E010F1" w:rsidRPr="00547EC7" w:rsidRDefault="00E010F1" w:rsidP="00E010F1">
      <w:pPr>
        <w:pStyle w:val="TEXTINDENT"/>
        <w:rPr>
          <w:lang w:val="en-GB"/>
        </w:rPr>
      </w:pPr>
    </w:p>
    <w:p w14:paraId="6D1F18D5" w14:textId="77777777" w:rsidR="00E010F1" w:rsidRPr="00547EC7" w:rsidRDefault="00E010F1" w:rsidP="00E010F1">
      <w:pPr>
        <w:pStyle w:val="TEXTINDENT"/>
        <w:rPr>
          <w:lang w:val="en-GB"/>
        </w:rPr>
      </w:pPr>
    </w:p>
    <w:p w14:paraId="5D08920C" w14:textId="77777777" w:rsidR="00E010F1" w:rsidRPr="00547EC7" w:rsidRDefault="00E010F1" w:rsidP="00E010F1">
      <w:pPr>
        <w:pStyle w:val="TEXTINDENT"/>
        <w:ind w:firstLine="0"/>
        <w:rPr>
          <w:rStyle w:val="CSSMALLCAPS"/>
          <w:smallCaps w:val="0"/>
          <w:lang w:val="en-GB"/>
        </w:rPr>
      </w:pPr>
    </w:p>
    <w:p w14:paraId="2CD7BB24" w14:textId="77777777" w:rsidR="00E010F1" w:rsidRPr="00547EC7" w:rsidRDefault="00E010F1" w:rsidP="00E010F1">
      <w:pPr>
        <w:pStyle w:val="CAPTIONTEXT"/>
      </w:pPr>
      <w:r w:rsidRPr="00547EC7">
        <w:rPr>
          <w:rStyle w:val="CSSMALLCAPS"/>
        </w:rPr>
        <w:t>figure 1</w:t>
      </w:r>
      <w:r w:rsidRPr="00547EC7">
        <w:tab/>
        <w:t xml:space="preserve">Doctoral Learning Ecology Model. Copyright Elliot, Bengtsen, Guccione &amp; Kobayashi (2020).  Reproduced with permission of the authors. </w:t>
      </w:r>
    </w:p>
    <w:p w14:paraId="6B331351" w14:textId="77777777" w:rsidR="00E010F1" w:rsidRPr="00547EC7" w:rsidRDefault="00E010F1" w:rsidP="00E010F1">
      <w:pPr>
        <w:pStyle w:val="HEADING1Numbered"/>
        <w:rPr>
          <w:lang w:val="en-GB"/>
        </w:rPr>
      </w:pPr>
      <w:bookmarkStart w:id="4" w:name="Doctoral_Pedagogy"/>
      <w:r w:rsidRPr="00547EC7">
        <w:rPr>
          <w:lang w:val="en-GB"/>
        </w:rPr>
        <w:t>Doctoral Pedagogy</w:t>
      </w:r>
      <w:bookmarkEnd w:id="4"/>
    </w:p>
    <w:p w14:paraId="2178EFF5" w14:textId="7D691DBA" w:rsidR="00E010F1" w:rsidRPr="00547EC7" w:rsidRDefault="00E010F1" w:rsidP="00E010F1">
      <w:pPr>
        <w:pStyle w:val="TEXTINDENT"/>
        <w:rPr>
          <w:lang w:val="en-GB"/>
        </w:rPr>
      </w:pPr>
      <w:r w:rsidRPr="00547EC7">
        <w:rPr>
          <w:lang w:val="en-GB"/>
        </w:rPr>
        <w:t xml:space="preserve">Over the last two decades, educationalists have explored ways of facilitating doctoral learning. For example, supervisors may employ active listening techniques, which involve attending to </w:t>
      </w:r>
      <w:proofErr w:type="gramStart"/>
      <w:r w:rsidRPr="00547EC7">
        <w:rPr>
          <w:lang w:val="en-GB"/>
        </w:rPr>
        <w:t>the  words</w:t>
      </w:r>
      <w:proofErr w:type="gramEnd"/>
      <w:r w:rsidRPr="00547EC7">
        <w:rPr>
          <w:lang w:val="en-GB"/>
        </w:rPr>
        <w:t xml:space="preserve"> and behaviour of the student, seeking clarification and adopting a non-judgemental attitude (</w:t>
      </w:r>
      <w:r w:rsidR="00701680" w:rsidRPr="00547EC7">
        <w:rPr>
          <w:lang w:val="en-GB"/>
        </w:rPr>
        <w:t>Bengtsen, 2016</w:t>
      </w:r>
      <w:r w:rsidR="00701680">
        <w:rPr>
          <w:lang w:val="en-GB"/>
        </w:rPr>
        <w:t xml:space="preserve">; </w:t>
      </w:r>
      <w:r w:rsidRPr="00547EC7">
        <w:rPr>
          <w:lang w:val="en-GB"/>
        </w:rPr>
        <w:t xml:space="preserve">Godskesen &amp; Wichmann-Hansen, 2013). Psychologist and educationalist, Carl Rogers, outlined the benefit of active </w:t>
      </w:r>
      <w:r w:rsidRPr="00547EC7">
        <w:rPr>
          <w:lang w:val="en-GB"/>
        </w:rPr>
        <w:lastRenderedPageBreak/>
        <w:t>listening for both learning and wellbeing (Rogers, 1980, pp. 116, 155). Even when disciplinary knowledge is discussed, an individual may feel valued, or ‘prized’ by being heard (</w:t>
      </w:r>
      <w:r w:rsidR="00701680" w:rsidRPr="00547EC7">
        <w:rPr>
          <w:lang w:val="en-GB"/>
        </w:rPr>
        <w:t>Bengtsen, 2016, pp. 115-121</w:t>
      </w:r>
      <w:r w:rsidR="00701680">
        <w:rPr>
          <w:lang w:val="en-GB"/>
        </w:rPr>
        <w:t xml:space="preserve">; </w:t>
      </w:r>
      <w:r w:rsidRPr="00547EC7">
        <w:rPr>
          <w:lang w:val="en-GB"/>
        </w:rPr>
        <w:t>Rogers, 1980, pp. 151, 271-272).</w:t>
      </w:r>
    </w:p>
    <w:p w14:paraId="379A4247" w14:textId="44A66853" w:rsidR="00E010F1" w:rsidRPr="00547EC7" w:rsidRDefault="00E010F1" w:rsidP="00E010F1">
      <w:pPr>
        <w:pStyle w:val="TEXTINDENT"/>
        <w:rPr>
          <w:lang w:val="en-GB"/>
        </w:rPr>
      </w:pPr>
      <w:r w:rsidRPr="00547EC7">
        <w:rPr>
          <w:lang w:val="en-GB"/>
        </w:rPr>
        <w:t xml:space="preserve">Doctoral researchers can also develop ‘academic </w:t>
      </w:r>
      <w:proofErr w:type="gramStart"/>
      <w:r w:rsidRPr="00547EC7">
        <w:rPr>
          <w:lang w:val="en-GB"/>
        </w:rPr>
        <w:t>literacies’</w:t>
      </w:r>
      <w:proofErr w:type="gramEnd"/>
      <w:r w:rsidRPr="00547EC7">
        <w:rPr>
          <w:lang w:val="en-GB"/>
        </w:rPr>
        <w:t>. This involves examining what counts as knowledge, the identity and position of the researcher. It may also address uncomfortable ‘truths’, namely the power relations involved in research activity, or the reason for different approaches in different fields (</w:t>
      </w:r>
      <w:proofErr w:type="spellStart"/>
      <w:r w:rsidR="00701680" w:rsidRPr="00547EC7">
        <w:rPr>
          <w:lang w:val="en-GB"/>
        </w:rPr>
        <w:t>Bastalich</w:t>
      </w:r>
      <w:proofErr w:type="spellEnd"/>
      <w:r w:rsidR="00701680" w:rsidRPr="00547EC7">
        <w:rPr>
          <w:lang w:val="en-GB"/>
        </w:rPr>
        <w:t xml:space="preserve"> et al., 2014</w:t>
      </w:r>
      <w:r w:rsidR="00701680">
        <w:rPr>
          <w:lang w:val="en-GB"/>
        </w:rPr>
        <w:t xml:space="preserve">; </w:t>
      </w:r>
      <w:r w:rsidRPr="00547EC7">
        <w:rPr>
          <w:lang w:val="en-GB"/>
        </w:rPr>
        <w:t>Magyar &amp; Robinson-Pant, 2011).</w:t>
      </w:r>
    </w:p>
    <w:p w14:paraId="33ED6114" w14:textId="2CF68025" w:rsidR="00E010F1" w:rsidRPr="00547EC7" w:rsidRDefault="00E010F1" w:rsidP="00E010F1">
      <w:pPr>
        <w:pStyle w:val="TEXTINDENT"/>
        <w:rPr>
          <w:lang w:val="en-GB"/>
        </w:rPr>
      </w:pPr>
      <w:r w:rsidRPr="00547EC7">
        <w:rPr>
          <w:lang w:val="en-GB"/>
        </w:rPr>
        <w:t xml:space="preserve">There is also a value of modelling academic behaviours and thought processes explicitly through ‘cognitive apprenticeship’. This approach makes tacit knowledge </w:t>
      </w:r>
      <w:proofErr w:type="gramStart"/>
      <w:r w:rsidRPr="00547EC7">
        <w:rPr>
          <w:lang w:val="en-GB"/>
        </w:rPr>
        <w:t>explicit, and</w:t>
      </w:r>
      <w:proofErr w:type="gramEnd"/>
      <w:r w:rsidRPr="00547EC7">
        <w:rPr>
          <w:lang w:val="en-GB"/>
        </w:rPr>
        <w:t xml:space="preserve"> helps doctoral researchers manage this quantitatively and qualitatively (</w:t>
      </w:r>
      <w:r w:rsidR="004866F7" w:rsidRPr="00547EC7">
        <w:rPr>
          <w:lang w:val="en-GB"/>
        </w:rPr>
        <w:t>Austin, 2009</w:t>
      </w:r>
      <w:r w:rsidR="004866F7">
        <w:rPr>
          <w:lang w:val="en-GB"/>
        </w:rPr>
        <w:t xml:space="preserve">; </w:t>
      </w:r>
      <w:r w:rsidRPr="00547EC7">
        <w:rPr>
          <w:lang w:val="en-GB"/>
        </w:rPr>
        <w:t xml:space="preserve">Collins &amp; Kapur, 2006; Posselt, 2018). Affective and cognitive experiences can be channelled through reflective writing to enhance doctoral researchers’ annual progress reviews (Brew &amp; Peseta, 2004; </w:t>
      </w:r>
      <w:proofErr w:type="spellStart"/>
      <w:r w:rsidR="004866F7" w:rsidRPr="00547EC7">
        <w:rPr>
          <w:lang w:val="en-GB"/>
        </w:rPr>
        <w:t>Cahusac</w:t>
      </w:r>
      <w:proofErr w:type="spellEnd"/>
      <w:r w:rsidR="004866F7" w:rsidRPr="00547EC7">
        <w:rPr>
          <w:lang w:val="en-GB"/>
        </w:rPr>
        <w:t xml:space="preserve"> de </w:t>
      </w:r>
      <w:proofErr w:type="spellStart"/>
      <w:r w:rsidR="004866F7" w:rsidRPr="00547EC7">
        <w:rPr>
          <w:lang w:val="en-GB"/>
        </w:rPr>
        <w:t>Caux</w:t>
      </w:r>
      <w:proofErr w:type="spellEnd"/>
      <w:r w:rsidR="004866F7" w:rsidRPr="00547EC7">
        <w:rPr>
          <w:lang w:val="en-GB"/>
        </w:rPr>
        <w:t xml:space="preserve"> et al. 2017</w:t>
      </w:r>
      <w:r w:rsidR="004866F7">
        <w:rPr>
          <w:lang w:val="en-GB"/>
        </w:rPr>
        <w:t xml:space="preserve">; </w:t>
      </w:r>
      <w:proofErr w:type="spellStart"/>
      <w:r w:rsidRPr="00547EC7">
        <w:rPr>
          <w:lang w:val="en-GB"/>
        </w:rPr>
        <w:t>Manathunga</w:t>
      </w:r>
      <w:proofErr w:type="spellEnd"/>
      <w:r w:rsidRPr="00547EC7">
        <w:rPr>
          <w:lang w:val="en-GB"/>
        </w:rPr>
        <w:t xml:space="preserve"> et al., 2010), whilst at the same time supporting supervisors.</w:t>
      </w:r>
      <w:r w:rsidRPr="00547EC7">
        <w:rPr>
          <w:rStyle w:val="EndnoteReference"/>
          <w:lang w:val="en-GB"/>
        </w:rPr>
        <w:endnoteReference w:id="1"/>
      </w:r>
    </w:p>
    <w:p w14:paraId="34B21A74" w14:textId="32223DC1" w:rsidR="00E010F1" w:rsidRPr="00547EC7" w:rsidRDefault="00E010F1" w:rsidP="00E010F1">
      <w:pPr>
        <w:pStyle w:val="TEXTINDENT"/>
        <w:rPr>
          <w:lang w:val="en-GB"/>
        </w:rPr>
      </w:pPr>
      <w:r w:rsidRPr="00547EC7">
        <w:rPr>
          <w:lang w:val="en-GB"/>
        </w:rPr>
        <w:t xml:space="preserve">Each of these aspects of doctoral learning stress student support and development and are essentially person-centred. Researcher developers have advocated person-centred models for doctoral students (Elliott et al., 2020, pp. 45-59), but it appears that discourse in supervisor CPD in UK universities has yet </w:t>
      </w:r>
      <w:r w:rsidR="0095766E">
        <w:rPr>
          <w:lang w:val="en-GB"/>
        </w:rPr>
        <w:t xml:space="preserve">to </w:t>
      </w:r>
      <w:r w:rsidRPr="00547EC7">
        <w:rPr>
          <w:lang w:val="en-GB"/>
        </w:rPr>
        <w:t>follow the same path.</w:t>
      </w:r>
      <w:bookmarkStart w:id="5" w:name="Methodology"/>
    </w:p>
    <w:p w14:paraId="2FAD93FB" w14:textId="77777777" w:rsidR="00E010F1" w:rsidRPr="00547EC7" w:rsidRDefault="00E010F1" w:rsidP="00E010F1">
      <w:pPr>
        <w:pStyle w:val="HEADING1Numbered"/>
        <w:rPr>
          <w:lang w:val="en-GB"/>
        </w:rPr>
      </w:pPr>
      <w:r w:rsidRPr="00547EC7">
        <w:rPr>
          <w:lang w:val="en-GB"/>
        </w:rPr>
        <w:t>Methodology</w:t>
      </w:r>
      <w:bookmarkEnd w:id="5"/>
    </w:p>
    <w:p w14:paraId="3112D4BC" w14:textId="77777777" w:rsidR="00E010F1" w:rsidRPr="00547EC7" w:rsidRDefault="00E010F1" w:rsidP="00E010F1">
      <w:pPr>
        <w:pStyle w:val="HEADING2Numbered"/>
        <w:rPr>
          <w:lang w:val="en-GB"/>
        </w:rPr>
      </w:pPr>
      <w:bookmarkStart w:id="6" w:name="Dataset"/>
      <w:r w:rsidRPr="00547EC7">
        <w:rPr>
          <w:lang w:val="en-GB"/>
        </w:rPr>
        <w:t>Dataset</w:t>
      </w:r>
      <w:bookmarkEnd w:id="6"/>
    </w:p>
    <w:p w14:paraId="3A77EDE3" w14:textId="77777777" w:rsidR="00E010F1" w:rsidRPr="00547EC7" w:rsidRDefault="00E010F1" w:rsidP="00E010F1">
      <w:pPr>
        <w:pStyle w:val="TEXTINDENT"/>
        <w:rPr>
          <w:lang w:val="en-GB"/>
        </w:rPr>
      </w:pPr>
      <w:r w:rsidRPr="00547EC7">
        <w:rPr>
          <w:lang w:val="en-GB"/>
        </w:rPr>
        <w:t xml:space="preserve">Between 2010 and 2012, in the Faculty of Arts and Humanities at the University of East Anglia, supervisors were briefed on key institutional policies and procedures, including monthly reporting mechanisms, annual progress reviews, probationary requirements and interruptions to study. From 2013, the </w:t>
      </w:r>
      <w:proofErr w:type="gramStart"/>
      <w:r w:rsidRPr="00547EC7">
        <w:rPr>
          <w:lang w:val="en-GB"/>
        </w:rPr>
        <w:t>Faculty</w:t>
      </w:r>
      <w:proofErr w:type="gramEnd"/>
      <w:r w:rsidRPr="00547EC7">
        <w:rPr>
          <w:lang w:val="en-GB"/>
        </w:rPr>
        <w:t xml:space="preserve"> created fictional scenarios to exemplify problems that can emerge during a doctorate (Eley &amp; Jennings, 2005). </w:t>
      </w:r>
    </w:p>
    <w:p w14:paraId="25EE0325" w14:textId="77777777" w:rsidR="00E010F1" w:rsidRPr="00547EC7" w:rsidRDefault="00E010F1" w:rsidP="00E010F1">
      <w:pPr>
        <w:pStyle w:val="TEXTINDENT"/>
        <w:rPr>
          <w:lang w:val="en-GB"/>
        </w:rPr>
      </w:pPr>
      <w:r w:rsidRPr="00547EC7">
        <w:rPr>
          <w:lang w:val="en-GB"/>
        </w:rPr>
        <w:t xml:space="preserve">The dataset comprised 30 documents, produced by 5 different organisations: the Quality Assurance Agency for Higher Education (QAA), Research Councils UK (RCUK, now UK Research and Innovation), the University of East Anglia (UEA), the UK Council for Graduate Education (UKCGE), and Vitae. The form of each document varied, and included those in PDF, Microsoft Word and PowerPoint. All national policy </w:t>
      </w:r>
      <w:r w:rsidRPr="00547EC7">
        <w:rPr>
          <w:lang w:val="en-GB"/>
        </w:rPr>
        <w:lastRenderedPageBreak/>
        <w:t>documents considered in this study are in the public domain, accessible as current documents, or archived through the Web Archive. The training materials are not publicly available and were produced by the researcher as scripts for screencasts, worksheets and guidance documents. The research protocol was reviewed and approved in 2020 by the Faculty Research Ethics Sub-Committee.</w:t>
      </w:r>
    </w:p>
    <w:p w14:paraId="36FB6893" w14:textId="77777777" w:rsidR="00E010F1" w:rsidRPr="00547EC7" w:rsidRDefault="00E010F1" w:rsidP="00E010F1">
      <w:pPr>
        <w:pStyle w:val="TEXTINDENT"/>
        <w:rPr>
          <w:lang w:val="en-GB"/>
        </w:rPr>
      </w:pPr>
      <w:r w:rsidRPr="00547EC7">
        <w:rPr>
          <w:lang w:val="en-GB"/>
        </w:rPr>
        <w:t>As this study is concerned with the analysis of language, each document format required conversion to raw text and was imported into qualitative data analysis software (NVivo).</w:t>
      </w:r>
      <w:r w:rsidRPr="00547EC7">
        <w:rPr>
          <w:rStyle w:val="EndnoteReference"/>
          <w:lang w:val="en-GB"/>
        </w:rPr>
        <w:endnoteReference w:id="2"/>
      </w:r>
      <w:r w:rsidRPr="00547EC7">
        <w:rPr>
          <w:lang w:val="en-GB"/>
        </w:rPr>
        <w:t xml:space="preserve"> Due to the relatively small number of documents, conversion errors (such as character encoding, leading or trailing white space, or split words) were amended manually.</w:t>
      </w:r>
    </w:p>
    <w:p w14:paraId="65E7A9D7" w14:textId="77777777" w:rsidR="00E010F1" w:rsidRPr="00547EC7" w:rsidRDefault="00E010F1" w:rsidP="00E010F1">
      <w:pPr>
        <w:pStyle w:val="TEXTINDENT"/>
        <w:rPr>
          <w:lang w:val="en-GB"/>
        </w:rPr>
      </w:pPr>
    </w:p>
    <w:p w14:paraId="036B802A" w14:textId="77777777" w:rsidR="00E010F1" w:rsidRPr="00547EC7" w:rsidRDefault="00E010F1" w:rsidP="00E010F1">
      <w:pPr>
        <w:pStyle w:val="HEADING2Numbered"/>
        <w:rPr>
          <w:lang w:val="en-GB"/>
        </w:rPr>
      </w:pPr>
      <w:bookmarkStart w:id="7" w:name="Word_Frequency_Analysis"/>
      <w:r w:rsidRPr="00547EC7">
        <w:rPr>
          <w:lang w:val="en-GB"/>
        </w:rPr>
        <w:t>Word Frequency Analysis</w:t>
      </w:r>
      <w:bookmarkEnd w:id="7"/>
    </w:p>
    <w:p w14:paraId="4E2083AE" w14:textId="77777777" w:rsidR="00E010F1" w:rsidRPr="00547EC7" w:rsidRDefault="00E010F1" w:rsidP="00E010F1">
      <w:pPr>
        <w:pStyle w:val="TEXTINDENT"/>
        <w:rPr>
          <w:lang w:val="en-GB"/>
        </w:rPr>
      </w:pPr>
      <w:r w:rsidRPr="00547EC7">
        <w:rPr>
          <w:lang w:val="en-GB"/>
        </w:rPr>
        <w:t xml:space="preserve">Word frequency analysis was performed in NVivo for the 1,000 most frequent words in the source texts. This performed a count of each word and generated a weighted percentage based on all words in each document. Stop words were applied by default, with some manually added that were common but not necessarily meaningful in this context, such as ‘education’ or ‘research’. </w:t>
      </w:r>
    </w:p>
    <w:p w14:paraId="50687B6F" w14:textId="77777777" w:rsidR="00E010F1" w:rsidRPr="00547EC7" w:rsidRDefault="00E010F1" w:rsidP="00E010F1">
      <w:pPr>
        <w:pStyle w:val="TEXTINDENT"/>
        <w:rPr>
          <w:lang w:val="en-GB"/>
        </w:rPr>
      </w:pPr>
      <w:r w:rsidRPr="00547EC7">
        <w:rPr>
          <w:lang w:val="en-GB"/>
        </w:rPr>
        <w:t>The second stage involved thematic coding of words with a count of &gt;=100 (0.18%-3.63% weighted values). Words with a count of &lt;100 were also coded and, where appropriate, merged (as in the case of synonyms) or created as sub-codes. The code book was revised fourteen times and reviewed by another colleague, who categorised these independently to form higher-level themes.</w:t>
      </w:r>
    </w:p>
    <w:p w14:paraId="53542744" w14:textId="77777777" w:rsidR="00E010F1" w:rsidRPr="00547EC7" w:rsidRDefault="00E010F1" w:rsidP="00E010F1">
      <w:pPr>
        <w:pStyle w:val="TEXTINDENT"/>
        <w:rPr>
          <w:lang w:val="en-GB"/>
        </w:rPr>
      </w:pPr>
    </w:p>
    <w:p w14:paraId="5E7342A7" w14:textId="77777777" w:rsidR="00E010F1" w:rsidRPr="00547EC7" w:rsidRDefault="00E010F1" w:rsidP="00E010F1">
      <w:pPr>
        <w:pStyle w:val="HEADING2Numbered"/>
        <w:rPr>
          <w:lang w:val="en-GB"/>
        </w:rPr>
      </w:pPr>
      <w:bookmarkStart w:id="8" w:name="Critical_Discourse_Analysis"/>
      <w:r w:rsidRPr="00547EC7">
        <w:rPr>
          <w:lang w:val="en-GB"/>
        </w:rPr>
        <w:t>Critical Discourse Analysis</w:t>
      </w:r>
      <w:bookmarkEnd w:id="8"/>
    </w:p>
    <w:p w14:paraId="06D0F08A" w14:textId="77777777" w:rsidR="00E010F1" w:rsidRPr="00547EC7" w:rsidRDefault="00E010F1" w:rsidP="00E010F1">
      <w:pPr>
        <w:pStyle w:val="TEXTINDENT"/>
        <w:rPr>
          <w:lang w:val="en-GB"/>
        </w:rPr>
      </w:pPr>
      <w:r w:rsidRPr="00547EC7">
        <w:rPr>
          <w:lang w:val="en-GB"/>
        </w:rPr>
        <w:t xml:space="preserve">The purpose of CDA is the identification of rhetorical features in texts to demonstrate 1) how social issues are constructed/reflected; 2) how institutional power relations are negotiated and performed; and 3) how certain ideologies are produced and reinforced. Paltridge and Hyland’s (2012, p. 186-203) CDA framework is a systematic search for features that signal the genre of a text, namely the framing of a particular domain and relevance for a particular audience. It explores the connotations of key words and phrases to establish related topics and higher-level themes. </w:t>
      </w:r>
    </w:p>
    <w:p w14:paraId="18A898E1" w14:textId="77777777" w:rsidR="00E010F1" w:rsidRPr="00547EC7" w:rsidRDefault="00E010F1" w:rsidP="00E010F1">
      <w:pPr>
        <w:pStyle w:val="TEXTINDENT"/>
        <w:rPr>
          <w:lang w:val="en-GB"/>
        </w:rPr>
      </w:pPr>
      <w:r w:rsidRPr="00547EC7">
        <w:rPr>
          <w:lang w:val="en-GB"/>
        </w:rPr>
        <w:t xml:space="preserve">CDA highlights how certain topics are addressed more frequently and prominently (foregrounding), and others less so (backgrounding). It considers the ways in which these topics are introduced across each genre, and how individuals who act or are subject to action (agents and </w:t>
      </w:r>
      <w:r w:rsidRPr="00547EC7">
        <w:rPr>
          <w:lang w:val="en-GB"/>
        </w:rPr>
        <w:lastRenderedPageBreak/>
        <w:t>patients) are addressed and discussed. CDA is also concerned with linguistic elements, such as modal verbs, that convey not simply action but intention, such as ‘should’ or ‘must’. Certain words can be indicators of formality and certainty, such as ‘obligation’ or ‘possibility’. Phrases that signify increased specificity or definition such as roles, groups or categories.</w:t>
      </w:r>
    </w:p>
    <w:p w14:paraId="16FDB2CD" w14:textId="77777777" w:rsidR="00E010F1" w:rsidRPr="00547EC7" w:rsidRDefault="00E010F1" w:rsidP="00E010F1">
      <w:pPr>
        <w:pStyle w:val="TEXTINDENT"/>
        <w:rPr>
          <w:lang w:val="en-GB"/>
        </w:rPr>
      </w:pPr>
      <w:r w:rsidRPr="00547EC7">
        <w:rPr>
          <w:lang w:val="en-GB"/>
        </w:rPr>
        <w:t>The following section introduces the findings from the dataset for each rhetorical feature: genre, connotation, foregrounding, backgrounding, topicalization, agent-patient relations, levels of formality, degrees of certainty, levels of technicality. The final part of this chapter provides a discussion of these findings in relation to the four research aims outlined in the introduction.</w:t>
      </w:r>
      <w:bookmarkStart w:id="9" w:name="Findings"/>
      <w:r w:rsidRPr="00547EC7">
        <w:rPr>
          <w:lang w:val="en-GB"/>
        </w:rPr>
        <w:t xml:space="preserve"> </w:t>
      </w:r>
    </w:p>
    <w:p w14:paraId="1DC12BC1" w14:textId="77777777" w:rsidR="00E010F1" w:rsidRPr="00547EC7" w:rsidRDefault="00E010F1" w:rsidP="00E010F1">
      <w:pPr>
        <w:pStyle w:val="HEADING1Numbered"/>
        <w:rPr>
          <w:lang w:val="en-GB"/>
        </w:rPr>
      </w:pPr>
      <w:r w:rsidRPr="00547EC7">
        <w:rPr>
          <w:lang w:val="en-GB"/>
        </w:rPr>
        <w:t>Findings</w:t>
      </w:r>
      <w:bookmarkEnd w:id="9"/>
    </w:p>
    <w:p w14:paraId="16B85751" w14:textId="77777777" w:rsidR="00E010F1" w:rsidRPr="00547EC7" w:rsidRDefault="00E010F1" w:rsidP="00E010F1">
      <w:pPr>
        <w:pStyle w:val="HEADING2Numbered"/>
        <w:rPr>
          <w:lang w:val="en-GB"/>
        </w:rPr>
      </w:pPr>
      <w:bookmarkStart w:id="10" w:name="Genre"/>
      <w:r w:rsidRPr="00547EC7">
        <w:rPr>
          <w:lang w:val="en-GB"/>
        </w:rPr>
        <w:t>Genre</w:t>
      </w:r>
      <w:bookmarkEnd w:id="10"/>
    </w:p>
    <w:p w14:paraId="38FA8DDA" w14:textId="77777777" w:rsidR="00E010F1" w:rsidRPr="00547EC7" w:rsidRDefault="00E010F1" w:rsidP="00E010F1">
      <w:pPr>
        <w:pStyle w:val="TEXTINDENT"/>
        <w:rPr>
          <w:rStyle w:val="CSSMALLCAPS"/>
        </w:rPr>
      </w:pPr>
      <w:r w:rsidRPr="00547EC7">
        <w:rPr>
          <w:lang w:val="en-GB"/>
        </w:rPr>
        <w:t>Genres of texts are crucial to CDA and can be determined by both domain and audience. Document domain can be either explicit, such as the word ‘policy’ in the title of the document, or implicit, conveyed elsewhere in the body of the document. The documents in this study fall into two domains: policy and practice. The context of use also allows these domains to be sub-divided into national and institutional levels. An example of the types of documents assembled for this study have been mapped to the matrix below, with the number of documents in parentheses.</w:t>
      </w:r>
    </w:p>
    <w:p w14:paraId="7F20AC59" w14:textId="77777777" w:rsidR="00E010F1" w:rsidRPr="00547EC7" w:rsidRDefault="00E010F1" w:rsidP="00E010F1">
      <w:pPr>
        <w:pStyle w:val="CAPTIONTEXT"/>
        <w:rPr>
          <w:rStyle w:val="CSSMALLCAPS"/>
        </w:rPr>
      </w:pPr>
    </w:p>
    <w:p w14:paraId="2380CF77" w14:textId="77777777" w:rsidR="00E010F1" w:rsidRPr="00547EC7" w:rsidRDefault="00E010F1" w:rsidP="00E010F1">
      <w:pPr>
        <w:pStyle w:val="CAPTIONTEXT"/>
      </w:pPr>
      <w:r w:rsidRPr="00547EC7">
        <w:rPr>
          <w:rStyle w:val="CSSMALLCAPS"/>
        </w:rPr>
        <w:t>table 1</w:t>
      </w:r>
      <w:r w:rsidRPr="00547EC7">
        <w:tab/>
        <w:t xml:space="preserve">Documents mapped to genre sub-domains, and examples of readers. </w:t>
      </w:r>
    </w:p>
    <w:tbl>
      <w:tblPr>
        <w:tblW w:w="0" w:type="auto"/>
        <w:tblLook w:val="04A0" w:firstRow="1" w:lastRow="0" w:firstColumn="1" w:lastColumn="0" w:noHBand="0" w:noVBand="1"/>
      </w:tblPr>
      <w:tblGrid>
        <w:gridCol w:w="1134"/>
        <w:gridCol w:w="2127"/>
        <w:gridCol w:w="2976"/>
      </w:tblGrid>
      <w:tr w:rsidR="00E010F1" w:rsidRPr="00547EC7" w14:paraId="55AB71D2" w14:textId="77777777" w:rsidTr="00E010F1">
        <w:tc>
          <w:tcPr>
            <w:tcW w:w="1134" w:type="dxa"/>
            <w:tcBorders>
              <w:left w:val="nil"/>
              <w:bottom w:val="single" w:sz="4" w:space="0" w:color="auto"/>
              <w:right w:val="nil"/>
            </w:tcBorders>
          </w:tcPr>
          <w:p w14:paraId="1FA3C8E5" w14:textId="77777777" w:rsidR="00E010F1" w:rsidRPr="00547EC7" w:rsidRDefault="00E010F1" w:rsidP="00E010F1">
            <w:pPr>
              <w:pStyle w:val="TABLECOLUMNHEAD"/>
              <w:framePr w:wrap="auto" w:vAnchor="margin" w:yAlign="inline"/>
              <w:suppressOverlap w:val="0"/>
              <w:rPr>
                <w:sz w:val="20"/>
                <w:szCs w:val="20"/>
              </w:rPr>
            </w:pPr>
          </w:p>
        </w:tc>
        <w:tc>
          <w:tcPr>
            <w:tcW w:w="2127" w:type="dxa"/>
            <w:tcBorders>
              <w:left w:val="nil"/>
              <w:bottom w:val="single" w:sz="4" w:space="0" w:color="auto"/>
              <w:right w:val="nil"/>
            </w:tcBorders>
          </w:tcPr>
          <w:p w14:paraId="695EC9AA" w14:textId="77777777" w:rsidR="00E010F1" w:rsidRPr="00547EC7" w:rsidRDefault="00E010F1" w:rsidP="00E010F1">
            <w:pPr>
              <w:pStyle w:val="TABLECOLUMNHEAD"/>
              <w:framePr w:wrap="auto" w:vAnchor="margin" w:yAlign="inline"/>
              <w:suppressOverlap w:val="0"/>
              <w:rPr>
                <w:sz w:val="20"/>
                <w:szCs w:val="20"/>
                <w:vertAlign w:val="superscript"/>
              </w:rPr>
            </w:pPr>
            <w:r w:rsidRPr="00547EC7">
              <w:rPr>
                <w:sz w:val="20"/>
                <w:szCs w:val="20"/>
              </w:rPr>
              <w:t>National</w:t>
            </w:r>
          </w:p>
        </w:tc>
        <w:tc>
          <w:tcPr>
            <w:tcW w:w="2976" w:type="dxa"/>
            <w:tcBorders>
              <w:left w:val="nil"/>
              <w:bottom w:val="single" w:sz="4" w:space="0" w:color="auto"/>
              <w:right w:val="nil"/>
            </w:tcBorders>
          </w:tcPr>
          <w:p w14:paraId="746B5BBE" w14:textId="77777777" w:rsidR="00E010F1" w:rsidRPr="00547EC7" w:rsidRDefault="00E010F1" w:rsidP="00E010F1">
            <w:pPr>
              <w:pStyle w:val="TABLECOLUMNHEAD"/>
              <w:framePr w:wrap="auto" w:vAnchor="margin" w:yAlign="inline"/>
              <w:suppressOverlap w:val="0"/>
              <w:rPr>
                <w:sz w:val="20"/>
                <w:szCs w:val="20"/>
              </w:rPr>
            </w:pPr>
            <w:r w:rsidRPr="00547EC7">
              <w:rPr>
                <w:sz w:val="20"/>
                <w:szCs w:val="20"/>
              </w:rPr>
              <w:t>Institutional</w:t>
            </w:r>
          </w:p>
        </w:tc>
      </w:tr>
      <w:tr w:rsidR="00E010F1" w:rsidRPr="00547EC7" w14:paraId="6B9250B8" w14:textId="77777777" w:rsidTr="00E010F1">
        <w:tc>
          <w:tcPr>
            <w:tcW w:w="1134" w:type="dxa"/>
            <w:tcBorders>
              <w:left w:val="nil"/>
              <w:bottom w:val="nil"/>
              <w:right w:val="nil"/>
            </w:tcBorders>
          </w:tcPr>
          <w:p w14:paraId="2D3A7169" w14:textId="77777777" w:rsidR="00E010F1" w:rsidRPr="00547EC7" w:rsidRDefault="00E010F1" w:rsidP="00E010F1">
            <w:pPr>
              <w:pStyle w:val="TABLEBODY"/>
              <w:rPr>
                <w:sz w:val="20"/>
                <w:szCs w:val="20"/>
              </w:rPr>
            </w:pPr>
            <w:r w:rsidRPr="00547EC7">
              <w:rPr>
                <w:sz w:val="20"/>
                <w:szCs w:val="20"/>
              </w:rPr>
              <w:t>Policy</w:t>
            </w:r>
          </w:p>
        </w:tc>
        <w:tc>
          <w:tcPr>
            <w:tcW w:w="2127" w:type="dxa"/>
            <w:tcBorders>
              <w:left w:val="nil"/>
              <w:bottom w:val="nil"/>
              <w:right w:val="nil"/>
            </w:tcBorders>
          </w:tcPr>
          <w:p w14:paraId="361DA71B" w14:textId="77777777" w:rsidR="00E010F1" w:rsidRPr="00547EC7" w:rsidRDefault="00E010F1" w:rsidP="00E010F1">
            <w:pPr>
              <w:pStyle w:val="TABLEBODY"/>
              <w:rPr>
                <w:sz w:val="20"/>
                <w:szCs w:val="20"/>
              </w:rPr>
            </w:pPr>
            <w:r w:rsidRPr="00547EC7">
              <w:rPr>
                <w:sz w:val="20"/>
                <w:szCs w:val="20"/>
              </w:rPr>
              <w:t>Quality assurance (6)</w:t>
            </w:r>
          </w:p>
        </w:tc>
        <w:tc>
          <w:tcPr>
            <w:tcW w:w="2976" w:type="dxa"/>
            <w:tcBorders>
              <w:left w:val="nil"/>
              <w:bottom w:val="nil"/>
              <w:right w:val="nil"/>
            </w:tcBorders>
          </w:tcPr>
          <w:p w14:paraId="2AA0881B" w14:textId="77777777" w:rsidR="00E010F1" w:rsidRPr="00547EC7" w:rsidRDefault="00E010F1" w:rsidP="00E010F1">
            <w:pPr>
              <w:pStyle w:val="TABLEBODY"/>
              <w:rPr>
                <w:sz w:val="20"/>
                <w:szCs w:val="20"/>
              </w:rPr>
            </w:pPr>
            <w:r w:rsidRPr="00547EC7">
              <w:rPr>
                <w:sz w:val="20"/>
                <w:szCs w:val="20"/>
              </w:rPr>
              <w:t>Research Degree Policies (13)</w:t>
            </w:r>
          </w:p>
        </w:tc>
      </w:tr>
      <w:tr w:rsidR="00E010F1" w:rsidRPr="00547EC7" w14:paraId="01401790" w14:textId="77777777" w:rsidTr="00E010F1">
        <w:tc>
          <w:tcPr>
            <w:tcW w:w="1134" w:type="dxa"/>
            <w:tcBorders>
              <w:top w:val="nil"/>
              <w:left w:val="nil"/>
              <w:bottom w:val="nil"/>
              <w:right w:val="nil"/>
            </w:tcBorders>
          </w:tcPr>
          <w:p w14:paraId="672F85AC" w14:textId="77777777" w:rsidR="00E010F1" w:rsidRPr="00547EC7" w:rsidRDefault="00E010F1" w:rsidP="00E010F1">
            <w:pPr>
              <w:pStyle w:val="TABLEBODY"/>
              <w:rPr>
                <w:sz w:val="20"/>
                <w:szCs w:val="20"/>
              </w:rPr>
            </w:pPr>
          </w:p>
        </w:tc>
        <w:tc>
          <w:tcPr>
            <w:tcW w:w="2127" w:type="dxa"/>
            <w:tcBorders>
              <w:top w:val="nil"/>
              <w:left w:val="nil"/>
              <w:bottom w:val="nil"/>
              <w:right w:val="nil"/>
            </w:tcBorders>
          </w:tcPr>
          <w:p w14:paraId="252807CE" w14:textId="77777777" w:rsidR="00E010F1" w:rsidRPr="00547EC7" w:rsidRDefault="00E010F1" w:rsidP="00E010F1">
            <w:pPr>
              <w:pStyle w:val="TABLEBODY"/>
              <w:rPr>
                <w:i/>
                <w:sz w:val="20"/>
                <w:szCs w:val="20"/>
              </w:rPr>
            </w:pPr>
            <w:r w:rsidRPr="00547EC7">
              <w:rPr>
                <w:i/>
                <w:sz w:val="20"/>
                <w:szCs w:val="20"/>
              </w:rPr>
              <w:t>Managers</w:t>
            </w:r>
          </w:p>
          <w:p w14:paraId="0BC02808" w14:textId="77777777" w:rsidR="00E010F1" w:rsidRPr="00547EC7" w:rsidRDefault="00E010F1" w:rsidP="00E010F1">
            <w:pPr>
              <w:pStyle w:val="TABLEBODY"/>
              <w:rPr>
                <w:i/>
                <w:sz w:val="20"/>
                <w:szCs w:val="20"/>
              </w:rPr>
            </w:pPr>
            <w:r w:rsidRPr="00547EC7">
              <w:rPr>
                <w:i/>
                <w:sz w:val="20"/>
                <w:szCs w:val="20"/>
              </w:rPr>
              <w:t>Directors</w:t>
            </w:r>
          </w:p>
        </w:tc>
        <w:tc>
          <w:tcPr>
            <w:tcW w:w="2976" w:type="dxa"/>
            <w:tcBorders>
              <w:top w:val="nil"/>
              <w:left w:val="nil"/>
              <w:bottom w:val="nil"/>
              <w:right w:val="nil"/>
            </w:tcBorders>
          </w:tcPr>
          <w:p w14:paraId="65CC653D" w14:textId="77777777" w:rsidR="00E010F1" w:rsidRPr="00547EC7" w:rsidRDefault="00E010F1" w:rsidP="00E010F1">
            <w:pPr>
              <w:pStyle w:val="TABLEBODY"/>
              <w:rPr>
                <w:i/>
                <w:sz w:val="20"/>
                <w:szCs w:val="20"/>
              </w:rPr>
            </w:pPr>
            <w:r w:rsidRPr="00547EC7">
              <w:rPr>
                <w:i/>
                <w:sz w:val="20"/>
                <w:szCs w:val="20"/>
              </w:rPr>
              <w:t>Supervisors</w:t>
            </w:r>
          </w:p>
          <w:p w14:paraId="6D54C70C" w14:textId="77777777" w:rsidR="00E010F1" w:rsidRPr="00547EC7" w:rsidRDefault="00E010F1" w:rsidP="00E010F1">
            <w:pPr>
              <w:pStyle w:val="TABLEBODY"/>
              <w:rPr>
                <w:i/>
                <w:sz w:val="20"/>
                <w:szCs w:val="20"/>
              </w:rPr>
            </w:pPr>
            <w:r w:rsidRPr="00547EC7">
              <w:rPr>
                <w:i/>
                <w:sz w:val="20"/>
                <w:szCs w:val="20"/>
              </w:rPr>
              <w:t>Managers</w:t>
            </w:r>
          </w:p>
          <w:p w14:paraId="68651B28" w14:textId="77777777" w:rsidR="00E010F1" w:rsidRPr="00547EC7" w:rsidRDefault="00E010F1" w:rsidP="00E010F1">
            <w:pPr>
              <w:pStyle w:val="TABLEBODY"/>
              <w:rPr>
                <w:i/>
                <w:sz w:val="20"/>
                <w:szCs w:val="20"/>
              </w:rPr>
            </w:pPr>
            <w:r w:rsidRPr="00547EC7">
              <w:rPr>
                <w:i/>
                <w:sz w:val="20"/>
                <w:szCs w:val="20"/>
              </w:rPr>
              <w:t>Directors</w:t>
            </w:r>
          </w:p>
          <w:p w14:paraId="09CFBADB" w14:textId="77777777" w:rsidR="00E010F1" w:rsidRPr="00547EC7" w:rsidRDefault="00E010F1" w:rsidP="00E010F1">
            <w:pPr>
              <w:pStyle w:val="TABLEBODY"/>
              <w:rPr>
                <w:i/>
                <w:sz w:val="20"/>
                <w:szCs w:val="20"/>
              </w:rPr>
            </w:pPr>
            <w:r w:rsidRPr="00547EC7">
              <w:rPr>
                <w:i/>
                <w:sz w:val="20"/>
                <w:szCs w:val="20"/>
              </w:rPr>
              <w:t>Students</w:t>
            </w:r>
          </w:p>
        </w:tc>
      </w:tr>
      <w:tr w:rsidR="00E010F1" w:rsidRPr="00547EC7" w14:paraId="5CAADBC7" w14:textId="77777777" w:rsidTr="00E010F1">
        <w:trPr>
          <w:trHeight w:val="121"/>
        </w:trPr>
        <w:tc>
          <w:tcPr>
            <w:tcW w:w="1134" w:type="dxa"/>
            <w:tcBorders>
              <w:top w:val="nil"/>
              <w:left w:val="nil"/>
              <w:bottom w:val="single" w:sz="4" w:space="0" w:color="auto"/>
              <w:right w:val="nil"/>
            </w:tcBorders>
          </w:tcPr>
          <w:p w14:paraId="12D4A50A" w14:textId="77777777" w:rsidR="00E010F1" w:rsidRPr="00547EC7" w:rsidRDefault="00E010F1" w:rsidP="00E010F1">
            <w:pPr>
              <w:pStyle w:val="TABLEBODY"/>
              <w:rPr>
                <w:sz w:val="20"/>
                <w:szCs w:val="20"/>
              </w:rPr>
            </w:pPr>
          </w:p>
        </w:tc>
        <w:tc>
          <w:tcPr>
            <w:tcW w:w="2127" w:type="dxa"/>
            <w:tcBorders>
              <w:top w:val="nil"/>
              <w:left w:val="nil"/>
              <w:bottom w:val="single" w:sz="4" w:space="0" w:color="auto"/>
              <w:right w:val="nil"/>
            </w:tcBorders>
          </w:tcPr>
          <w:p w14:paraId="02CC2D2E" w14:textId="77777777" w:rsidR="00E010F1" w:rsidRPr="00547EC7" w:rsidRDefault="00E010F1" w:rsidP="00E010F1">
            <w:pPr>
              <w:pStyle w:val="TABLEBODY"/>
              <w:rPr>
                <w:sz w:val="20"/>
                <w:szCs w:val="20"/>
              </w:rPr>
            </w:pPr>
          </w:p>
        </w:tc>
        <w:tc>
          <w:tcPr>
            <w:tcW w:w="2976" w:type="dxa"/>
            <w:tcBorders>
              <w:top w:val="nil"/>
              <w:left w:val="nil"/>
              <w:bottom w:val="single" w:sz="4" w:space="0" w:color="auto"/>
              <w:right w:val="nil"/>
            </w:tcBorders>
          </w:tcPr>
          <w:p w14:paraId="6DEDF3B2" w14:textId="77777777" w:rsidR="00E010F1" w:rsidRPr="00547EC7" w:rsidRDefault="00E010F1" w:rsidP="00E010F1">
            <w:pPr>
              <w:pStyle w:val="TABLEBODY"/>
              <w:rPr>
                <w:sz w:val="20"/>
                <w:szCs w:val="20"/>
              </w:rPr>
            </w:pPr>
          </w:p>
        </w:tc>
      </w:tr>
      <w:tr w:rsidR="00E010F1" w:rsidRPr="00547EC7" w14:paraId="167F1A7E" w14:textId="77777777" w:rsidTr="00E010F1">
        <w:tc>
          <w:tcPr>
            <w:tcW w:w="1134" w:type="dxa"/>
            <w:tcBorders>
              <w:top w:val="single" w:sz="4" w:space="0" w:color="auto"/>
              <w:left w:val="nil"/>
              <w:bottom w:val="nil"/>
              <w:right w:val="nil"/>
            </w:tcBorders>
          </w:tcPr>
          <w:p w14:paraId="21BE4E04" w14:textId="77777777" w:rsidR="00E010F1" w:rsidRPr="00547EC7" w:rsidRDefault="00E010F1" w:rsidP="00E010F1">
            <w:pPr>
              <w:pStyle w:val="TABLEBODY"/>
              <w:rPr>
                <w:sz w:val="20"/>
                <w:szCs w:val="20"/>
              </w:rPr>
            </w:pPr>
            <w:r w:rsidRPr="00547EC7">
              <w:rPr>
                <w:sz w:val="20"/>
                <w:szCs w:val="20"/>
              </w:rPr>
              <w:t>Practice</w:t>
            </w:r>
          </w:p>
        </w:tc>
        <w:tc>
          <w:tcPr>
            <w:tcW w:w="2127" w:type="dxa"/>
            <w:tcBorders>
              <w:top w:val="single" w:sz="4" w:space="0" w:color="auto"/>
              <w:left w:val="nil"/>
              <w:bottom w:val="nil"/>
              <w:right w:val="nil"/>
            </w:tcBorders>
          </w:tcPr>
          <w:p w14:paraId="1CC3B870" w14:textId="77777777" w:rsidR="00E010F1" w:rsidRPr="00547EC7" w:rsidRDefault="00E010F1" w:rsidP="00E010F1">
            <w:pPr>
              <w:pStyle w:val="TABLEBODY"/>
              <w:rPr>
                <w:sz w:val="20"/>
                <w:szCs w:val="20"/>
              </w:rPr>
            </w:pPr>
            <w:r w:rsidRPr="00547EC7">
              <w:rPr>
                <w:sz w:val="20"/>
                <w:szCs w:val="20"/>
              </w:rPr>
              <w:t>Supervisor CPD (2)</w:t>
            </w:r>
          </w:p>
          <w:p w14:paraId="1B875105" w14:textId="77777777" w:rsidR="00E010F1" w:rsidRPr="00547EC7" w:rsidRDefault="00E010F1" w:rsidP="00E010F1">
            <w:pPr>
              <w:pStyle w:val="TABLEBODY"/>
              <w:rPr>
                <w:i/>
                <w:sz w:val="20"/>
                <w:szCs w:val="20"/>
              </w:rPr>
            </w:pPr>
            <w:r w:rsidRPr="00547EC7">
              <w:rPr>
                <w:i/>
                <w:sz w:val="20"/>
                <w:szCs w:val="20"/>
              </w:rPr>
              <w:t>Supervisors</w:t>
            </w:r>
          </w:p>
          <w:p w14:paraId="313BE65D" w14:textId="77777777" w:rsidR="00E010F1" w:rsidRPr="00547EC7" w:rsidRDefault="00E010F1" w:rsidP="00E010F1">
            <w:pPr>
              <w:pStyle w:val="TABLEBODY"/>
              <w:rPr>
                <w:i/>
                <w:sz w:val="20"/>
                <w:szCs w:val="20"/>
              </w:rPr>
            </w:pPr>
            <w:r w:rsidRPr="00547EC7">
              <w:rPr>
                <w:i/>
                <w:sz w:val="20"/>
                <w:szCs w:val="20"/>
              </w:rPr>
              <w:t>Managers</w:t>
            </w:r>
          </w:p>
          <w:p w14:paraId="62014471" w14:textId="77777777" w:rsidR="00E010F1" w:rsidRPr="00547EC7" w:rsidRDefault="00E010F1" w:rsidP="00E010F1">
            <w:pPr>
              <w:pStyle w:val="TABLEBODY"/>
              <w:rPr>
                <w:sz w:val="20"/>
                <w:szCs w:val="20"/>
              </w:rPr>
            </w:pPr>
            <w:r w:rsidRPr="00547EC7">
              <w:rPr>
                <w:i/>
                <w:sz w:val="20"/>
                <w:szCs w:val="20"/>
              </w:rPr>
              <w:t>Directors</w:t>
            </w:r>
          </w:p>
        </w:tc>
        <w:tc>
          <w:tcPr>
            <w:tcW w:w="2976" w:type="dxa"/>
            <w:tcBorders>
              <w:top w:val="single" w:sz="4" w:space="0" w:color="auto"/>
              <w:left w:val="nil"/>
              <w:bottom w:val="nil"/>
              <w:right w:val="nil"/>
            </w:tcBorders>
          </w:tcPr>
          <w:p w14:paraId="65AB87E7" w14:textId="77777777" w:rsidR="00E010F1" w:rsidRPr="00547EC7" w:rsidRDefault="00E010F1" w:rsidP="00E010F1">
            <w:pPr>
              <w:pStyle w:val="TABLEBODY"/>
              <w:rPr>
                <w:sz w:val="20"/>
                <w:szCs w:val="20"/>
              </w:rPr>
            </w:pPr>
            <w:r w:rsidRPr="00547EC7">
              <w:rPr>
                <w:sz w:val="20"/>
                <w:szCs w:val="20"/>
              </w:rPr>
              <w:t>Code of Practice (1)</w:t>
            </w:r>
          </w:p>
          <w:p w14:paraId="0089957E" w14:textId="77777777" w:rsidR="00E010F1" w:rsidRPr="00547EC7" w:rsidRDefault="00E010F1" w:rsidP="00E010F1">
            <w:pPr>
              <w:pStyle w:val="TABLEBODY"/>
              <w:rPr>
                <w:i/>
                <w:sz w:val="20"/>
                <w:szCs w:val="20"/>
              </w:rPr>
            </w:pPr>
            <w:r w:rsidRPr="00547EC7">
              <w:rPr>
                <w:i/>
                <w:sz w:val="20"/>
                <w:szCs w:val="20"/>
              </w:rPr>
              <w:t>Supervisors</w:t>
            </w:r>
          </w:p>
          <w:p w14:paraId="3938BDD1" w14:textId="77777777" w:rsidR="00E010F1" w:rsidRPr="00547EC7" w:rsidRDefault="00E010F1" w:rsidP="00E010F1">
            <w:pPr>
              <w:pStyle w:val="TABLEBODY"/>
              <w:rPr>
                <w:i/>
                <w:sz w:val="20"/>
                <w:szCs w:val="20"/>
              </w:rPr>
            </w:pPr>
            <w:r w:rsidRPr="00547EC7">
              <w:rPr>
                <w:i/>
                <w:sz w:val="20"/>
                <w:szCs w:val="20"/>
              </w:rPr>
              <w:t>Students</w:t>
            </w:r>
          </w:p>
          <w:p w14:paraId="50D6D9DC" w14:textId="77777777" w:rsidR="00E010F1" w:rsidRPr="00547EC7" w:rsidRDefault="00E010F1" w:rsidP="00E010F1">
            <w:pPr>
              <w:pStyle w:val="TABLEBODY"/>
              <w:rPr>
                <w:sz w:val="20"/>
                <w:szCs w:val="20"/>
              </w:rPr>
            </w:pPr>
          </w:p>
          <w:p w14:paraId="5D70B78B" w14:textId="77777777" w:rsidR="00E010F1" w:rsidRPr="00547EC7" w:rsidRDefault="00E010F1" w:rsidP="00E010F1">
            <w:pPr>
              <w:pStyle w:val="TABLEBODY"/>
              <w:rPr>
                <w:sz w:val="20"/>
                <w:szCs w:val="20"/>
              </w:rPr>
            </w:pPr>
            <w:r w:rsidRPr="00547EC7">
              <w:rPr>
                <w:sz w:val="20"/>
                <w:szCs w:val="20"/>
              </w:rPr>
              <w:t>Supervisor CPD (8)</w:t>
            </w:r>
          </w:p>
          <w:p w14:paraId="483E3B8B" w14:textId="77777777" w:rsidR="00E010F1" w:rsidRPr="00547EC7" w:rsidRDefault="00E010F1" w:rsidP="00E010F1">
            <w:pPr>
              <w:pStyle w:val="TABLEBODY"/>
              <w:rPr>
                <w:i/>
                <w:sz w:val="20"/>
                <w:szCs w:val="20"/>
              </w:rPr>
            </w:pPr>
            <w:r w:rsidRPr="00547EC7">
              <w:rPr>
                <w:i/>
                <w:sz w:val="20"/>
                <w:szCs w:val="20"/>
              </w:rPr>
              <w:lastRenderedPageBreak/>
              <w:t>Supervisors</w:t>
            </w:r>
          </w:p>
        </w:tc>
      </w:tr>
      <w:tr w:rsidR="00E010F1" w:rsidRPr="00547EC7" w14:paraId="0CC8E3E4" w14:textId="77777777" w:rsidTr="00E010F1">
        <w:trPr>
          <w:trHeight w:val="74"/>
        </w:trPr>
        <w:tc>
          <w:tcPr>
            <w:tcW w:w="1134" w:type="dxa"/>
            <w:tcBorders>
              <w:top w:val="nil"/>
              <w:left w:val="nil"/>
              <w:bottom w:val="single" w:sz="4" w:space="0" w:color="auto"/>
              <w:right w:val="nil"/>
            </w:tcBorders>
          </w:tcPr>
          <w:p w14:paraId="252802D5" w14:textId="77777777" w:rsidR="00E010F1" w:rsidRPr="00547EC7" w:rsidRDefault="00E010F1" w:rsidP="00E010F1">
            <w:pPr>
              <w:pStyle w:val="TABLEBODY"/>
              <w:rPr>
                <w:sz w:val="20"/>
                <w:szCs w:val="20"/>
              </w:rPr>
            </w:pPr>
          </w:p>
        </w:tc>
        <w:tc>
          <w:tcPr>
            <w:tcW w:w="2127" w:type="dxa"/>
            <w:tcBorders>
              <w:top w:val="nil"/>
              <w:left w:val="nil"/>
              <w:bottom w:val="single" w:sz="4" w:space="0" w:color="auto"/>
              <w:right w:val="nil"/>
            </w:tcBorders>
          </w:tcPr>
          <w:p w14:paraId="0B015B8E" w14:textId="77777777" w:rsidR="00E010F1" w:rsidRPr="00547EC7" w:rsidRDefault="00E010F1" w:rsidP="00E010F1">
            <w:pPr>
              <w:pStyle w:val="TABLEBODY"/>
              <w:rPr>
                <w:sz w:val="20"/>
                <w:szCs w:val="20"/>
              </w:rPr>
            </w:pPr>
          </w:p>
        </w:tc>
        <w:tc>
          <w:tcPr>
            <w:tcW w:w="2976" w:type="dxa"/>
            <w:tcBorders>
              <w:top w:val="nil"/>
              <w:left w:val="nil"/>
              <w:bottom w:val="single" w:sz="4" w:space="0" w:color="auto"/>
              <w:right w:val="nil"/>
            </w:tcBorders>
          </w:tcPr>
          <w:p w14:paraId="4E221693" w14:textId="77777777" w:rsidR="00E010F1" w:rsidRPr="00547EC7" w:rsidRDefault="00E010F1" w:rsidP="00E010F1">
            <w:pPr>
              <w:pStyle w:val="TABLEBODY"/>
              <w:rPr>
                <w:sz w:val="20"/>
                <w:szCs w:val="20"/>
              </w:rPr>
            </w:pPr>
          </w:p>
        </w:tc>
      </w:tr>
    </w:tbl>
    <w:p w14:paraId="11DB572E" w14:textId="77777777" w:rsidR="00E010F1" w:rsidRPr="00547EC7" w:rsidRDefault="00E010F1" w:rsidP="00E010F1">
      <w:pPr>
        <w:pStyle w:val="TEXTINDENT"/>
        <w:ind w:firstLine="0"/>
        <w:rPr>
          <w:lang w:val="en-GB"/>
        </w:rPr>
      </w:pPr>
      <w:r w:rsidRPr="00547EC7">
        <w:rPr>
          <w:lang w:val="en-GB"/>
        </w:rPr>
        <w:t xml:space="preserve">  </w:t>
      </w:r>
    </w:p>
    <w:p w14:paraId="26AC3FC7" w14:textId="77777777" w:rsidR="00E010F1" w:rsidRPr="00547EC7" w:rsidRDefault="00E010F1" w:rsidP="00E010F1">
      <w:pPr>
        <w:pStyle w:val="TEXTINDENT"/>
        <w:rPr>
          <w:lang w:val="en-GB"/>
        </w:rPr>
      </w:pPr>
      <w:r w:rsidRPr="00547EC7">
        <w:rPr>
          <w:lang w:val="en-GB"/>
        </w:rPr>
        <w:t>Documents are produced by national regulatory bodies and the university, but they are designed for different readers, shown here in italics. Institutional supervisor CPD, for example, is very specifically aimed at academic staff within that institution, but supervisor CPD at a national level may be read by supervisors, managers or directors of departments or Graduate Schools or Colleges. Whereas some readers may move between sub-domains, postgraduate researchers - who are not employees of the university in the UK - may be more concerned with certain sub-domains and not others.</w:t>
      </w:r>
    </w:p>
    <w:p w14:paraId="39177462" w14:textId="77777777" w:rsidR="00E010F1" w:rsidRPr="00547EC7" w:rsidRDefault="00E010F1" w:rsidP="00E010F1">
      <w:pPr>
        <w:pStyle w:val="TEXTINDENT"/>
        <w:rPr>
          <w:lang w:val="en-GB"/>
        </w:rPr>
      </w:pPr>
    </w:p>
    <w:p w14:paraId="53D8AB31" w14:textId="77777777" w:rsidR="00E010F1" w:rsidRPr="00547EC7" w:rsidRDefault="00E010F1" w:rsidP="00E010F1">
      <w:pPr>
        <w:pStyle w:val="HEADING2Numbered"/>
        <w:rPr>
          <w:lang w:val="en-GB"/>
        </w:rPr>
      </w:pPr>
      <w:bookmarkStart w:id="11" w:name="Connotation"/>
      <w:r w:rsidRPr="00547EC7">
        <w:rPr>
          <w:lang w:val="en-GB"/>
        </w:rPr>
        <w:t>Connotation</w:t>
      </w:r>
      <w:bookmarkEnd w:id="11"/>
    </w:p>
    <w:p w14:paraId="3A2C5D9A" w14:textId="77777777" w:rsidR="00E010F1" w:rsidRPr="00547EC7" w:rsidRDefault="00E010F1" w:rsidP="00E010F1">
      <w:pPr>
        <w:pStyle w:val="TEXTINDENT"/>
        <w:rPr>
          <w:lang w:val="en-GB"/>
        </w:rPr>
      </w:pPr>
      <w:r w:rsidRPr="00547EC7">
        <w:rPr>
          <w:lang w:val="en-GB"/>
        </w:rPr>
        <w:t xml:space="preserve">The possible meanings of words are interpreted based on </w:t>
      </w:r>
      <w:proofErr w:type="gramStart"/>
      <w:r w:rsidRPr="00547EC7">
        <w:rPr>
          <w:lang w:val="en-GB"/>
        </w:rPr>
        <w:t>context, and</w:t>
      </w:r>
      <w:proofErr w:type="gramEnd"/>
      <w:r w:rsidRPr="00547EC7">
        <w:rPr>
          <w:lang w:val="en-GB"/>
        </w:rPr>
        <w:t xml:space="preserve"> coded accordingly. For example, ‘experience’ may be discussed in relation to level of academic development rather than as a broader existential category. The table below lists the higher-level codes created in NVivo. These have been separated into key themes and rhetorical features from CDA.</w:t>
      </w:r>
    </w:p>
    <w:p w14:paraId="530FBEE0" w14:textId="77777777" w:rsidR="00E010F1" w:rsidRPr="00547EC7" w:rsidRDefault="00E010F1" w:rsidP="00E010F1">
      <w:pPr>
        <w:pStyle w:val="TEXTINDENT"/>
        <w:rPr>
          <w:lang w:val="en-GB"/>
        </w:rPr>
      </w:pPr>
    </w:p>
    <w:p w14:paraId="1E1A80BA" w14:textId="77777777" w:rsidR="00E010F1" w:rsidRPr="00547EC7" w:rsidRDefault="00E010F1" w:rsidP="00E010F1">
      <w:pPr>
        <w:pStyle w:val="CAPTIONTEXT"/>
      </w:pPr>
      <w:r w:rsidRPr="00547EC7">
        <w:rPr>
          <w:rStyle w:val="CSSMALLCAPS"/>
        </w:rPr>
        <w:t>table 2</w:t>
      </w:r>
      <w:r w:rsidRPr="00547EC7">
        <w:tab/>
        <w:t xml:space="preserve">Themes and rhetorical features of the CDA framework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14"/>
        <w:gridCol w:w="2268"/>
      </w:tblGrid>
      <w:tr w:rsidR="00E010F1" w:rsidRPr="00547EC7" w14:paraId="242E43A6" w14:textId="77777777" w:rsidTr="00E010F1">
        <w:tc>
          <w:tcPr>
            <w:tcW w:w="2414" w:type="dxa"/>
          </w:tcPr>
          <w:p w14:paraId="79C921E1" w14:textId="77777777" w:rsidR="00E010F1" w:rsidRPr="00547EC7" w:rsidRDefault="00E010F1" w:rsidP="00E010F1">
            <w:pPr>
              <w:pStyle w:val="TABLECOLUMNHEAD"/>
              <w:framePr w:wrap="auto" w:vAnchor="margin" w:yAlign="inline"/>
              <w:suppressOverlap w:val="0"/>
              <w:rPr>
                <w:sz w:val="20"/>
                <w:szCs w:val="20"/>
                <w:vertAlign w:val="superscript"/>
              </w:rPr>
            </w:pPr>
            <w:r w:rsidRPr="00547EC7">
              <w:rPr>
                <w:sz w:val="20"/>
                <w:szCs w:val="20"/>
              </w:rPr>
              <w:t>Code</w:t>
            </w:r>
          </w:p>
        </w:tc>
        <w:tc>
          <w:tcPr>
            <w:tcW w:w="2268" w:type="dxa"/>
          </w:tcPr>
          <w:p w14:paraId="3425AB6D" w14:textId="77777777" w:rsidR="00E010F1" w:rsidRPr="00547EC7" w:rsidRDefault="00E010F1" w:rsidP="00E010F1">
            <w:pPr>
              <w:pStyle w:val="TABLECOLUMNHEAD"/>
              <w:framePr w:wrap="auto" w:vAnchor="margin" w:yAlign="inline"/>
              <w:suppressOverlap w:val="0"/>
              <w:rPr>
                <w:sz w:val="20"/>
                <w:szCs w:val="20"/>
              </w:rPr>
            </w:pPr>
            <w:r w:rsidRPr="00547EC7">
              <w:rPr>
                <w:sz w:val="20"/>
                <w:szCs w:val="20"/>
              </w:rPr>
              <w:t>CDA Features</w:t>
            </w:r>
          </w:p>
        </w:tc>
      </w:tr>
      <w:tr w:rsidR="00E010F1" w:rsidRPr="00547EC7" w14:paraId="277CBEE5" w14:textId="77777777" w:rsidTr="00E010F1">
        <w:trPr>
          <w:trHeight w:val="121"/>
        </w:trPr>
        <w:tc>
          <w:tcPr>
            <w:tcW w:w="2414" w:type="dxa"/>
          </w:tcPr>
          <w:p w14:paraId="1DE602FC" w14:textId="77777777" w:rsidR="00E010F1" w:rsidRPr="00547EC7" w:rsidRDefault="00E010F1" w:rsidP="00E010F1">
            <w:pPr>
              <w:pStyle w:val="TABLEBODY"/>
              <w:rPr>
                <w:sz w:val="20"/>
                <w:szCs w:val="20"/>
              </w:rPr>
            </w:pPr>
            <w:r w:rsidRPr="00547EC7">
              <w:rPr>
                <w:sz w:val="20"/>
                <w:szCs w:val="20"/>
              </w:rPr>
              <w:t>Activities</w:t>
            </w:r>
          </w:p>
          <w:p w14:paraId="1C0D428F" w14:textId="77777777" w:rsidR="00E010F1" w:rsidRPr="00547EC7" w:rsidRDefault="00E010F1" w:rsidP="00E010F1">
            <w:pPr>
              <w:pStyle w:val="TABLEBODY"/>
              <w:rPr>
                <w:sz w:val="20"/>
                <w:szCs w:val="20"/>
              </w:rPr>
            </w:pPr>
            <w:r w:rsidRPr="00547EC7">
              <w:rPr>
                <w:sz w:val="20"/>
                <w:szCs w:val="20"/>
              </w:rPr>
              <w:t>Collaborative</w:t>
            </w:r>
          </w:p>
          <w:p w14:paraId="43BF2697" w14:textId="77777777" w:rsidR="00E010F1" w:rsidRPr="00547EC7" w:rsidRDefault="00E010F1" w:rsidP="00E010F1">
            <w:pPr>
              <w:pStyle w:val="TABLEBODY"/>
              <w:rPr>
                <w:sz w:val="20"/>
                <w:szCs w:val="20"/>
              </w:rPr>
            </w:pPr>
            <w:r w:rsidRPr="00547EC7">
              <w:rPr>
                <w:sz w:val="20"/>
                <w:szCs w:val="20"/>
              </w:rPr>
              <w:t>Course</w:t>
            </w:r>
          </w:p>
          <w:p w14:paraId="17384301" w14:textId="77777777" w:rsidR="00E010F1" w:rsidRPr="00547EC7" w:rsidRDefault="00E010F1" w:rsidP="00E010F1">
            <w:pPr>
              <w:pStyle w:val="TABLEBODY"/>
              <w:rPr>
                <w:sz w:val="20"/>
                <w:szCs w:val="20"/>
              </w:rPr>
            </w:pPr>
            <w:r w:rsidRPr="00547EC7">
              <w:rPr>
                <w:sz w:val="20"/>
                <w:szCs w:val="20"/>
              </w:rPr>
              <w:t>Epistemological</w:t>
            </w:r>
          </w:p>
          <w:p w14:paraId="646F302A" w14:textId="77777777" w:rsidR="00E010F1" w:rsidRPr="00547EC7" w:rsidRDefault="00E010F1" w:rsidP="00E010F1">
            <w:pPr>
              <w:pStyle w:val="TABLEBODY"/>
              <w:rPr>
                <w:sz w:val="20"/>
                <w:szCs w:val="20"/>
              </w:rPr>
            </w:pPr>
            <w:r w:rsidRPr="00547EC7">
              <w:rPr>
                <w:sz w:val="20"/>
                <w:szCs w:val="20"/>
              </w:rPr>
              <w:t>Experiential</w:t>
            </w:r>
          </w:p>
          <w:p w14:paraId="18979AF2" w14:textId="77777777" w:rsidR="00E010F1" w:rsidRPr="00547EC7" w:rsidRDefault="00E010F1" w:rsidP="00E010F1">
            <w:pPr>
              <w:pStyle w:val="TABLEBODY"/>
              <w:rPr>
                <w:sz w:val="20"/>
                <w:szCs w:val="20"/>
              </w:rPr>
            </w:pPr>
            <w:r w:rsidRPr="00547EC7">
              <w:rPr>
                <w:sz w:val="20"/>
                <w:szCs w:val="20"/>
              </w:rPr>
              <w:t>Interpersonal</w:t>
            </w:r>
          </w:p>
          <w:p w14:paraId="0B1FE7AC" w14:textId="77777777" w:rsidR="00E010F1" w:rsidRPr="00547EC7" w:rsidRDefault="00E010F1" w:rsidP="00E010F1">
            <w:pPr>
              <w:pStyle w:val="TABLEBODY"/>
              <w:rPr>
                <w:sz w:val="20"/>
                <w:szCs w:val="20"/>
              </w:rPr>
            </w:pPr>
            <w:r w:rsidRPr="00547EC7">
              <w:rPr>
                <w:sz w:val="20"/>
                <w:szCs w:val="20"/>
              </w:rPr>
              <w:t>Labour</w:t>
            </w:r>
          </w:p>
          <w:p w14:paraId="620755F9" w14:textId="77777777" w:rsidR="00E010F1" w:rsidRPr="00547EC7" w:rsidRDefault="00E010F1" w:rsidP="00E010F1">
            <w:pPr>
              <w:pStyle w:val="TABLEBODY"/>
              <w:rPr>
                <w:sz w:val="20"/>
                <w:szCs w:val="20"/>
              </w:rPr>
            </w:pPr>
            <w:r w:rsidRPr="00547EC7">
              <w:rPr>
                <w:sz w:val="20"/>
                <w:szCs w:val="20"/>
              </w:rPr>
              <w:t>Metrics</w:t>
            </w:r>
          </w:p>
          <w:p w14:paraId="4E7A1CE7" w14:textId="77777777" w:rsidR="00E010F1" w:rsidRPr="00547EC7" w:rsidRDefault="00E010F1" w:rsidP="00E010F1">
            <w:pPr>
              <w:pStyle w:val="TABLEBODY"/>
              <w:rPr>
                <w:sz w:val="20"/>
                <w:szCs w:val="20"/>
              </w:rPr>
            </w:pPr>
            <w:r w:rsidRPr="00547EC7">
              <w:rPr>
                <w:sz w:val="20"/>
                <w:szCs w:val="20"/>
              </w:rPr>
              <w:t>Obstacles</w:t>
            </w:r>
          </w:p>
          <w:p w14:paraId="3DB3B5E4" w14:textId="77777777" w:rsidR="00E010F1" w:rsidRPr="00547EC7" w:rsidRDefault="00E010F1" w:rsidP="00E010F1">
            <w:pPr>
              <w:pStyle w:val="TABLEBODY"/>
              <w:rPr>
                <w:sz w:val="20"/>
                <w:szCs w:val="20"/>
              </w:rPr>
            </w:pPr>
            <w:r w:rsidRPr="00547EC7">
              <w:rPr>
                <w:sz w:val="20"/>
                <w:szCs w:val="20"/>
              </w:rPr>
              <w:t>Ontological</w:t>
            </w:r>
          </w:p>
          <w:p w14:paraId="3255BBDA" w14:textId="77777777" w:rsidR="00E010F1" w:rsidRPr="00547EC7" w:rsidRDefault="00E010F1" w:rsidP="00E010F1">
            <w:pPr>
              <w:pStyle w:val="TABLEBODY"/>
              <w:rPr>
                <w:sz w:val="20"/>
                <w:szCs w:val="20"/>
              </w:rPr>
            </w:pPr>
            <w:r w:rsidRPr="00547EC7">
              <w:rPr>
                <w:sz w:val="20"/>
                <w:szCs w:val="20"/>
              </w:rPr>
              <w:t>Processual</w:t>
            </w:r>
          </w:p>
          <w:p w14:paraId="1E1473BD" w14:textId="77777777" w:rsidR="00E010F1" w:rsidRPr="00547EC7" w:rsidRDefault="00E010F1" w:rsidP="00E010F1">
            <w:pPr>
              <w:pStyle w:val="TABLEBODY"/>
              <w:rPr>
                <w:sz w:val="20"/>
                <w:szCs w:val="20"/>
              </w:rPr>
            </w:pPr>
            <w:r w:rsidRPr="00547EC7">
              <w:rPr>
                <w:sz w:val="20"/>
                <w:szCs w:val="20"/>
              </w:rPr>
              <w:t>Psychological</w:t>
            </w:r>
          </w:p>
          <w:p w14:paraId="11A8CF76" w14:textId="77777777" w:rsidR="00E010F1" w:rsidRPr="00547EC7" w:rsidRDefault="00E010F1" w:rsidP="00E010F1">
            <w:pPr>
              <w:pStyle w:val="TABLEBODY"/>
              <w:rPr>
                <w:sz w:val="20"/>
                <w:szCs w:val="20"/>
              </w:rPr>
            </w:pPr>
            <w:r w:rsidRPr="00547EC7">
              <w:rPr>
                <w:sz w:val="20"/>
                <w:szCs w:val="20"/>
              </w:rPr>
              <w:t xml:space="preserve">Relational </w:t>
            </w:r>
          </w:p>
          <w:p w14:paraId="142BA561" w14:textId="77777777" w:rsidR="00E010F1" w:rsidRPr="00547EC7" w:rsidRDefault="00E010F1" w:rsidP="00E010F1">
            <w:pPr>
              <w:pStyle w:val="TABLEBODY"/>
              <w:rPr>
                <w:sz w:val="20"/>
                <w:szCs w:val="20"/>
              </w:rPr>
            </w:pPr>
            <w:r w:rsidRPr="00547EC7">
              <w:rPr>
                <w:sz w:val="20"/>
                <w:szCs w:val="20"/>
              </w:rPr>
              <w:t>Subjectivity</w:t>
            </w:r>
          </w:p>
          <w:p w14:paraId="697446F6" w14:textId="77777777" w:rsidR="00E010F1" w:rsidRPr="00547EC7" w:rsidRDefault="00E010F1" w:rsidP="00E010F1">
            <w:pPr>
              <w:pStyle w:val="TABLEBODY"/>
              <w:rPr>
                <w:sz w:val="20"/>
                <w:szCs w:val="20"/>
              </w:rPr>
            </w:pPr>
          </w:p>
        </w:tc>
        <w:tc>
          <w:tcPr>
            <w:tcW w:w="2268" w:type="dxa"/>
          </w:tcPr>
          <w:p w14:paraId="2CD34B92" w14:textId="77777777" w:rsidR="00E010F1" w:rsidRPr="00547EC7" w:rsidRDefault="00E010F1" w:rsidP="00E010F1">
            <w:pPr>
              <w:pStyle w:val="TABLEBODY"/>
              <w:rPr>
                <w:sz w:val="20"/>
                <w:szCs w:val="20"/>
              </w:rPr>
            </w:pPr>
            <w:r w:rsidRPr="00547EC7">
              <w:rPr>
                <w:sz w:val="20"/>
                <w:szCs w:val="20"/>
              </w:rPr>
              <w:t>Agent-patient relations</w:t>
            </w:r>
          </w:p>
          <w:p w14:paraId="4106F1B6" w14:textId="77777777" w:rsidR="00E010F1" w:rsidRPr="00547EC7" w:rsidRDefault="00E010F1" w:rsidP="00E010F1">
            <w:pPr>
              <w:pStyle w:val="TABLEBODY"/>
              <w:rPr>
                <w:sz w:val="20"/>
                <w:szCs w:val="20"/>
              </w:rPr>
            </w:pPr>
            <w:r w:rsidRPr="00547EC7">
              <w:rPr>
                <w:sz w:val="20"/>
                <w:szCs w:val="20"/>
              </w:rPr>
              <w:t>Degrees of certainty</w:t>
            </w:r>
          </w:p>
          <w:p w14:paraId="4273AC82" w14:textId="77777777" w:rsidR="00E010F1" w:rsidRPr="00547EC7" w:rsidRDefault="00E010F1" w:rsidP="00E010F1">
            <w:pPr>
              <w:pStyle w:val="TABLEBODY"/>
              <w:rPr>
                <w:sz w:val="20"/>
                <w:szCs w:val="20"/>
              </w:rPr>
            </w:pPr>
            <w:r w:rsidRPr="00547EC7">
              <w:rPr>
                <w:sz w:val="20"/>
                <w:szCs w:val="20"/>
              </w:rPr>
              <w:t>Levels of formality</w:t>
            </w:r>
          </w:p>
          <w:p w14:paraId="6AADC573" w14:textId="77777777" w:rsidR="00E010F1" w:rsidRPr="00547EC7" w:rsidRDefault="00E010F1" w:rsidP="00E010F1">
            <w:pPr>
              <w:pStyle w:val="TABLEBODY"/>
              <w:rPr>
                <w:sz w:val="20"/>
                <w:szCs w:val="20"/>
              </w:rPr>
            </w:pPr>
            <w:r w:rsidRPr="00547EC7">
              <w:rPr>
                <w:sz w:val="20"/>
                <w:szCs w:val="20"/>
              </w:rPr>
              <w:t>Levels of technicality</w:t>
            </w:r>
          </w:p>
        </w:tc>
      </w:tr>
    </w:tbl>
    <w:p w14:paraId="77B4232A" w14:textId="77777777" w:rsidR="00E010F1" w:rsidRPr="00547EC7" w:rsidRDefault="00E010F1" w:rsidP="00E010F1">
      <w:pPr>
        <w:pStyle w:val="TEXTINDENT"/>
        <w:ind w:firstLine="0"/>
        <w:rPr>
          <w:lang w:val="en-GB"/>
        </w:rPr>
      </w:pPr>
      <w:r w:rsidRPr="00547EC7">
        <w:rPr>
          <w:lang w:val="en-GB"/>
        </w:rPr>
        <w:t xml:space="preserve"> </w:t>
      </w:r>
    </w:p>
    <w:p w14:paraId="54B60981" w14:textId="77777777" w:rsidR="00E010F1" w:rsidRPr="00547EC7" w:rsidRDefault="00E010F1" w:rsidP="00E010F1">
      <w:pPr>
        <w:pStyle w:val="TEXTINDENT"/>
        <w:rPr>
          <w:lang w:val="en-GB"/>
        </w:rPr>
      </w:pPr>
      <w:r w:rsidRPr="00547EC7">
        <w:rPr>
          <w:lang w:val="en-GB"/>
        </w:rPr>
        <w:lastRenderedPageBreak/>
        <w:t>The coding distribution across the 30 texts varies. ‘Activities’ covers all 30 documents, as do references to ‘degree courses’ (30), followed by ‘labour’ (28) and more abstract themes, namely ‘ontological’ (28), ‘processual’, ‘relational’ (27), ‘collaborative’, ‘epistemological’, ‘experiential’ (26). The codes that cover fewer texts (=&lt;25) comprise ‘pedagogical’ (25), ‘metrics’ (22), ‘interpersonal’ (21), ‘obstacles’ (20), ‘subjectivity’ (16) and ‘psychology’ (14).</w:t>
      </w:r>
    </w:p>
    <w:p w14:paraId="66976E75" w14:textId="77777777" w:rsidR="00E010F1" w:rsidRPr="00547EC7" w:rsidRDefault="00E010F1" w:rsidP="00E010F1">
      <w:pPr>
        <w:pStyle w:val="TEXTINDENT"/>
        <w:rPr>
          <w:rStyle w:val="CSSMALLCAPS"/>
        </w:rPr>
      </w:pPr>
    </w:p>
    <w:p w14:paraId="5A755B1D" w14:textId="77777777" w:rsidR="00E010F1" w:rsidRPr="00547EC7" w:rsidRDefault="00E010F1" w:rsidP="00E010F1">
      <w:pPr>
        <w:pStyle w:val="CAPTIONTEXT"/>
        <w:rPr>
          <w:rStyle w:val="CSSMALLCAPS"/>
        </w:rPr>
      </w:pPr>
      <w:r w:rsidRPr="00547EC7">
        <w:rPr>
          <w:rStyle w:val="CSSMALLCAPS"/>
          <w:noProof/>
          <w:lang w:val="en-GB" w:eastAsia="en-GB"/>
        </w:rPr>
        <w:drawing>
          <wp:anchor distT="0" distB="0" distL="114300" distR="114300" simplePos="0" relativeHeight="251665408" behindDoc="0" locked="0" layoutInCell="1" allowOverlap="1" wp14:anchorId="03D58C05" wp14:editId="326959C9">
            <wp:simplePos x="0" y="0"/>
            <wp:positionH relativeFrom="margin">
              <wp:align>left</wp:align>
            </wp:positionH>
            <wp:positionV relativeFrom="paragraph">
              <wp:posOffset>10843</wp:posOffset>
            </wp:positionV>
            <wp:extent cx="3214619" cy="2682815"/>
            <wp:effectExtent l="0" t="0" r="508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4619" cy="2682815"/>
                    </a:xfrm>
                    <a:prstGeom prst="rect">
                      <a:avLst/>
                    </a:prstGeom>
                    <a:noFill/>
                  </pic:spPr>
                </pic:pic>
              </a:graphicData>
            </a:graphic>
            <wp14:sizeRelH relativeFrom="margin">
              <wp14:pctWidth>0</wp14:pctWidth>
            </wp14:sizeRelH>
            <wp14:sizeRelV relativeFrom="margin">
              <wp14:pctHeight>0</wp14:pctHeight>
            </wp14:sizeRelV>
          </wp:anchor>
        </w:drawing>
      </w:r>
    </w:p>
    <w:p w14:paraId="633554DB" w14:textId="77777777" w:rsidR="00E010F1" w:rsidRPr="00547EC7" w:rsidRDefault="00E010F1" w:rsidP="00E010F1">
      <w:pPr>
        <w:pStyle w:val="CAPTIONTEXT"/>
        <w:rPr>
          <w:rStyle w:val="CSSMALLCAPS"/>
        </w:rPr>
      </w:pPr>
    </w:p>
    <w:p w14:paraId="10052FED" w14:textId="77777777" w:rsidR="00E010F1" w:rsidRPr="00547EC7" w:rsidRDefault="00E010F1" w:rsidP="00E010F1">
      <w:pPr>
        <w:pStyle w:val="CAPTIONTEXT"/>
        <w:rPr>
          <w:rStyle w:val="CSSMALLCAPS"/>
        </w:rPr>
      </w:pPr>
    </w:p>
    <w:p w14:paraId="320C4CD3" w14:textId="77777777" w:rsidR="00E010F1" w:rsidRPr="00547EC7" w:rsidRDefault="00E010F1" w:rsidP="00E010F1">
      <w:pPr>
        <w:pStyle w:val="CAPTIONTEXT"/>
        <w:rPr>
          <w:rStyle w:val="CSSMALLCAPS"/>
        </w:rPr>
      </w:pPr>
    </w:p>
    <w:p w14:paraId="1CEBF732" w14:textId="77777777" w:rsidR="00E010F1" w:rsidRPr="00547EC7" w:rsidRDefault="00E010F1" w:rsidP="00E010F1">
      <w:pPr>
        <w:pStyle w:val="CAPTIONTEXT"/>
        <w:rPr>
          <w:rStyle w:val="CSSMALLCAPS"/>
        </w:rPr>
      </w:pPr>
    </w:p>
    <w:p w14:paraId="23770A04" w14:textId="77777777" w:rsidR="00E010F1" w:rsidRPr="00547EC7" w:rsidRDefault="00E010F1" w:rsidP="00E010F1">
      <w:pPr>
        <w:pStyle w:val="CAPTIONTEXT"/>
        <w:rPr>
          <w:rStyle w:val="CSSMALLCAPS"/>
        </w:rPr>
      </w:pPr>
    </w:p>
    <w:p w14:paraId="28C7EE8E" w14:textId="77777777" w:rsidR="00E010F1" w:rsidRPr="00547EC7" w:rsidRDefault="00E010F1" w:rsidP="00E010F1">
      <w:pPr>
        <w:pStyle w:val="CAPTIONTEXT"/>
        <w:rPr>
          <w:rStyle w:val="CSSMALLCAPS"/>
        </w:rPr>
      </w:pPr>
    </w:p>
    <w:p w14:paraId="191792C8" w14:textId="77777777" w:rsidR="00E010F1" w:rsidRPr="00547EC7" w:rsidRDefault="00E010F1" w:rsidP="00E010F1">
      <w:pPr>
        <w:pStyle w:val="CAPTIONTEXT"/>
        <w:rPr>
          <w:rStyle w:val="CSSMALLCAPS"/>
        </w:rPr>
      </w:pPr>
    </w:p>
    <w:p w14:paraId="3866CA4A" w14:textId="77777777" w:rsidR="00E010F1" w:rsidRPr="00547EC7" w:rsidRDefault="00E010F1" w:rsidP="00E010F1">
      <w:pPr>
        <w:pStyle w:val="CAPTIONTEXT"/>
        <w:rPr>
          <w:rStyle w:val="CSSMALLCAPS"/>
        </w:rPr>
      </w:pPr>
    </w:p>
    <w:p w14:paraId="5A6B453C" w14:textId="77777777" w:rsidR="00E010F1" w:rsidRPr="00547EC7" w:rsidRDefault="00E010F1" w:rsidP="00E010F1">
      <w:pPr>
        <w:pStyle w:val="CAPTIONTEXT"/>
        <w:rPr>
          <w:rStyle w:val="CSSMALLCAPS"/>
        </w:rPr>
      </w:pPr>
    </w:p>
    <w:p w14:paraId="604BEC28" w14:textId="77777777" w:rsidR="00E010F1" w:rsidRPr="00547EC7" w:rsidRDefault="00E010F1" w:rsidP="00E010F1">
      <w:pPr>
        <w:pStyle w:val="CAPTIONTEXT"/>
        <w:rPr>
          <w:rStyle w:val="CSSMALLCAPS"/>
        </w:rPr>
      </w:pPr>
    </w:p>
    <w:p w14:paraId="5BAFA0CF" w14:textId="77777777" w:rsidR="00E010F1" w:rsidRPr="00547EC7" w:rsidRDefault="00E010F1" w:rsidP="00E010F1">
      <w:pPr>
        <w:pStyle w:val="CAPTIONTEXT"/>
        <w:rPr>
          <w:rStyle w:val="CSSMALLCAPS"/>
        </w:rPr>
      </w:pPr>
    </w:p>
    <w:p w14:paraId="7BB8FCB6" w14:textId="77777777" w:rsidR="00E010F1" w:rsidRPr="00547EC7" w:rsidRDefault="00E010F1" w:rsidP="00E010F1">
      <w:pPr>
        <w:pStyle w:val="CAPTIONTEXT"/>
        <w:rPr>
          <w:rStyle w:val="CSSMALLCAPS"/>
        </w:rPr>
      </w:pPr>
    </w:p>
    <w:p w14:paraId="02C3D851" w14:textId="77777777" w:rsidR="00E010F1" w:rsidRPr="00547EC7" w:rsidRDefault="00E010F1" w:rsidP="00E010F1">
      <w:pPr>
        <w:pStyle w:val="CAPTIONTEXT"/>
      </w:pPr>
      <w:r w:rsidRPr="00547EC7">
        <w:rPr>
          <w:rStyle w:val="CSSMALLCAPS"/>
        </w:rPr>
        <w:t>figure 2</w:t>
      </w:r>
      <w:r w:rsidRPr="00547EC7">
        <w:tab/>
        <w:t xml:space="preserve">Number of documents per theme in the dataset. </w:t>
      </w:r>
    </w:p>
    <w:p w14:paraId="7849154D" w14:textId="5BAB2944" w:rsidR="003D5226" w:rsidRDefault="00E010F1" w:rsidP="00391D56">
      <w:pPr>
        <w:pStyle w:val="TEXTINDENT"/>
        <w:rPr>
          <w:lang w:val="en-GB"/>
        </w:rPr>
      </w:pPr>
      <w:r w:rsidRPr="00547EC7">
        <w:rPr>
          <w:lang w:val="en-GB"/>
        </w:rPr>
        <w:t xml:space="preserve">Word frequency analysis is the method used to determine </w:t>
      </w:r>
      <w:proofErr w:type="gramStart"/>
      <w:r w:rsidRPr="00547EC7">
        <w:rPr>
          <w:lang w:val="en-GB"/>
        </w:rPr>
        <w:t>whether or not</w:t>
      </w:r>
      <w:proofErr w:type="gramEnd"/>
      <w:r w:rsidRPr="00547EC7">
        <w:rPr>
          <w:lang w:val="en-GB"/>
        </w:rPr>
        <w:t xml:space="preserve"> certain themes are foregrounded or backgrounded. The reordering of the themes by total number of references </w:t>
      </w:r>
      <w:proofErr w:type="gramStart"/>
      <w:r w:rsidRPr="00547EC7">
        <w:rPr>
          <w:lang w:val="en-GB"/>
        </w:rPr>
        <w:t>reveal</w:t>
      </w:r>
      <w:proofErr w:type="gramEnd"/>
      <w:r w:rsidRPr="00547EC7">
        <w:rPr>
          <w:lang w:val="en-GB"/>
        </w:rPr>
        <w:t xml:space="preserve"> a split between those above 500 and those below 400. </w:t>
      </w:r>
    </w:p>
    <w:p w14:paraId="5833BA71" w14:textId="77777777" w:rsidR="003D5226" w:rsidRPr="00547EC7" w:rsidRDefault="003D5226" w:rsidP="00E010F1">
      <w:pPr>
        <w:pStyle w:val="TEXTINDENT"/>
        <w:rPr>
          <w:lang w:val="en-GB"/>
        </w:rPr>
      </w:pPr>
    </w:p>
    <w:p w14:paraId="526498D7" w14:textId="77777777" w:rsidR="00E010F1" w:rsidRPr="00547EC7" w:rsidRDefault="00E010F1" w:rsidP="00E010F1">
      <w:pPr>
        <w:pStyle w:val="TEXTINDENT"/>
        <w:rPr>
          <w:lang w:val="en-GB"/>
        </w:rPr>
      </w:pPr>
      <w:r w:rsidRPr="00547EC7">
        <w:rPr>
          <w:noProof/>
          <w:lang w:val="en-GB" w:eastAsia="en-GB"/>
        </w:rPr>
        <w:drawing>
          <wp:anchor distT="0" distB="0" distL="114300" distR="114300" simplePos="0" relativeHeight="251666432" behindDoc="0" locked="0" layoutInCell="1" allowOverlap="1" wp14:anchorId="0EA62FD1" wp14:editId="18851675">
            <wp:simplePos x="0" y="0"/>
            <wp:positionH relativeFrom="margin">
              <wp:align>left</wp:align>
            </wp:positionH>
            <wp:positionV relativeFrom="paragraph">
              <wp:posOffset>4756</wp:posOffset>
            </wp:positionV>
            <wp:extent cx="3200400" cy="267072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0400" cy="2670721"/>
                    </a:xfrm>
                    <a:prstGeom prst="rect">
                      <a:avLst/>
                    </a:prstGeom>
                    <a:noFill/>
                  </pic:spPr>
                </pic:pic>
              </a:graphicData>
            </a:graphic>
            <wp14:sizeRelH relativeFrom="margin">
              <wp14:pctWidth>0</wp14:pctWidth>
            </wp14:sizeRelH>
            <wp14:sizeRelV relativeFrom="margin">
              <wp14:pctHeight>0</wp14:pctHeight>
            </wp14:sizeRelV>
          </wp:anchor>
        </w:drawing>
      </w:r>
    </w:p>
    <w:p w14:paraId="78484A04" w14:textId="77777777" w:rsidR="00E010F1" w:rsidRPr="00547EC7" w:rsidRDefault="00E010F1" w:rsidP="00E010F1">
      <w:pPr>
        <w:pStyle w:val="TEXTINDENT"/>
        <w:rPr>
          <w:lang w:val="en-GB"/>
        </w:rPr>
      </w:pPr>
    </w:p>
    <w:p w14:paraId="084C7A76" w14:textId="77777777" w:rsidR="00E010F1" w:rsidRPr="00547EC7" w:rsidRDefault="00E010F1" w:rsidP="00E010F1">
      <w:pPr>
        <w:pStyle w:val="TEXTINDENT"/>
        <w:rPr>
          <w:lang w:val="en-GB"/>
        </w:rPr>
      </w:pPr>
    </w:p>
    <w:p w14:paraId="7902AFD8" w14:textId="77777777" w:rsidR="00E010F1" w:rsidRPr="00547EC7" w:rsidRDefault="00E010F1" w:rsidP="00E010F1">
      <w:pPr>
        <w:pStyle w:val="TEXTINDENT"/>
        <w:rPr>
          <w:lang w:val="en-GB"/>
        </w:rPr>
      </w:pPr>
    </w:p>
    <w:p w14:paraId="7720ED66" w14:textId="77777777" w:rsidR="00E010F1" w:rsidRPr="00547EC7" w:rsidRDefault="00E010F1" w:rsidP="00E010F1">
      <w:pPr>
        <w:pStyle w:val="TEXTINDENT"/>
        <w:rPr>
          <w:lang w:val="en-GB"/>
        </w:rPr>
      </w:pPr>
    </w:p>
    <w:p w14:paraId="45404CAD" w14:textId="77777777" w:rsidR="00E010F1" w:rsidRPr="00547EC7" w:rsidRDefault="00E010F1" w:rsidP="00E010F1">
      <w:pPr>
        <w:pStyle w:val="TEXTINDENT"/>
        <w:rPr>
          <w:lang w:val="en-GB"/>
        </w:rPr>
      </w:pPr>
    </w:p>
    <w:p w14:paraId="4ECA74F8" w14:textId="77777777" w:rsidR="00E010F1" w:rsidRPr="00547EC7" w:rsidRDefault="00E010F1" w:rsidP="00E010F1">
      <w:pPr>
        <w:pStyle w:val="TEXTINDENT"/>
        <w:rPr>
          <w:lang w:val="en-GB"/>
        </w:rPr>
      </w:pPr>
    </w:p>
    <w:p w14:paraId="47F62C0E" w14:textId="77777777" w:rsidR="00E010F1" w:rsidRPr="00547EC7" w:rsidRDefault="00E010F1" w:rsidP="00E010F1">
      <w:pPr>
        <w:pStyle w:val="TEXTINDENT"/>
        <w:rPr>
          <w:lang w:val="en-GB"/>
        </w:rPr>
      </w:pPr>
    </w:p>
    <w:p w14:paraId="4A04E662" w14:textId="77777777" w:rsidR="00E010F1" w:rsidRPr="00547EC7" w:rsidRDefault="00E010F1" w:rsidP="00E010F1">
      <w:pPr>
        <w:pStyle w:val="TEXTINDENT"/>
        <w:rPr>
          <w:lang w:val="en-GB"/>
        </w:rPr>
      </w:pPr>
    </w:p>
    <w:p w14:paraId="39071A83" w14:textId="77777777" w:rsidR="00E010F1" w:rsidRPr="00547EC7" w:rsidRDefault="00E010F1" w:rsidP="00E010F1">
      <w:pPr>
        <w:pStyle w:val="CAPTIONTEXT"/>
        <w:rPr>
          <w:rStyle w:val="CSSMALLCAPS"/>
        </w:rPr>
      </w:pPr>
    </w:p>
    <w:p w14:paraId="6090F66B" w14:textId="77777777" w:rsidR="00E010F1" w:rsidRPr="00547EC7" w:rsidRDefault="00E010F1" w:rsidP="00E010F1">
      <w:pPr>
        <w:pStyle w:val="CAPTIONTEXT"/>
        <w:rPr>
          <w:rStyle w:val="CSSMALLCAPS"/>
        </w:rPr>
      </w:pPr>
    </w:p>
    <w:p w14:paraId="344A571D" w14:textId="77777777" w:rsidR="00E010F1" w:rsidRPr="00547EC7" w:rsidRDefault="00E010F1" w:rsidP="00E010F1">
      <w:pPr>
        <w:pStyle w:val="CAPTIONTEXT"/>
        <w:rPr>
          <w:rStyle w:val="CSSMALLCAPS"/>
        </w:rPr>
      </w:pPr>
    </w:p>
    <w:p w14:paraId="22FCD11F" w14:textId="77777777" w:rsidR="00E010F1" w:rsidRPr="00547EC7" w:rsidRDefault="00E010F1" w:rsidP="00E010F1">
      <w:pPr>
        <w:pStyle w:val="CAPTIONTEXT"/>
        <w:rPr>
          <w:rStyle w:val="CSSMALLCAPS"/>
        </w:rPr>
      </w:pPr>
    </w:p>
    <w:p w14:paraId="57EF6714" w14:textId="77777777" w:rsidR="00E010F1" w:rsidRPr="00547EC7" w:rsidRDefault="00E010F1" w:rsidP="00E010F1">
      <w:pPr>
        <w:pStyle w:val="CAPTIONTEXT"/>
        <w:rPr>
          <w:rStyle w:val="CSSMALLCAPS"/>
        </w:rPr>
      </w:pPr>
    </w:p>
    <w:p w14:paraId="16525BC9" w14:textId="77777777" w:rsidR="00E010F1" w:rsidRPr="00547EC7" w:rsidRDefault="00E010F1" w:rsidP="00E010F1">
      <w:pPr>
        <w:pStyle w:val="CAPTIONTEXT"/>
        <w:rPr>
          <w:rStyle w:val="CSSMALLCAPS"/>
        </w:rPr>
      </w:pPr>
    </w:p>
    <w:p w14:paraId="7097E89C" w14:textId="77777777" w:rsidR="00E010F1" w:rsidRPr="00547EC7" w:rsidRDefault="00E010F1" w:rsidP="00E010F1">
      <w:pPr>
        <w:pStyle w:val="CAPTIONTEXT"/>
        <w:rPr>
          <w:smallCaps/>
        </w:rPr>
      </w:pPr>
      <w:r w:rsidRPr="00547EC7">
        <w:rPr>
          <w:rStyle w:val="CSSMALLCAPS"/>
        </w:rPr>
        <w:t>figure 3</w:t>
      </w:r>
      <w:r w:rsidRPr="00547EC7">
        <w:tab/>
        <w:t xml:space="preserve">Number of references per theme in the dataset. </w:t>
      </w:r>
    </w:p>
    <w:p w14:paraId="0EC3AA87" w14:textId="77777777" w:rsidR="00E010F1" w:rsidRPr="00547EC7" w:rsidRDefault="00E010F1" w:rsidP="00E010F1">
      <w:pPr>
        <w:pStyle w:val="HEADING2Numbered"/>
        <w:rPr>
          <w:lang w:val="en-GB"/>
        </w:rPr>
      </w:pPr>
      <w:bookmarkStart w:id="12" w:name="Foregrounding"/>
      <w:r w:rsidRPr="00547EC7">
        <w:rPr>
          <w:lang w:val="en-GB"/>
        </w:rPr>
        <w:t>Foregrounding</w:t>
      </w:r>
      <w:bookmarkEnd w:id="12"/>
    </w:p>
    <w:p w14:paraId="0371A848" w14:textId="77777777" w:rsidR="00E010F1" w:rsidRPr="00547EC7" w:rsidRDefault="00E010F1" w:rsidP="00E010F1">
      <w:pPr>
        <w:pStyle w:val="TEXTINDENT"/>
        <w:rPr>
          <w:lang w:val="en-GB"/>
        </w:rPr>
      </w:pPr>
      <w:r w:rsidRPr="00547EC7">
        <w:rPr>
          <w:lang w:val="en-GB"/>
        </w:rPr>
        <w:t>The most frequent codes (&gt;500) are categorised as foregrounded themes. The most frequent are ‘collaborative’ (717), ‘pedagogical’ (653), ‘course’ (617), ‘activities’ (556), ‘experiential’ (537), ‘labour’ (524), and ‘processual’ (514). Although each of these themes encompasses a variety of sub-codes, they all appear to focus on the educational system.</w:t>
      </w:r>
    </w:p>
    <w:p w14:paraId="3A517E37" w14:textId="77777777" w:rsidR="00E010F1" w:rsidRPr="00547EC7" w:rsidRDefault="00E010F1" w:rsidP="00E010F1">
      <w:pPr>
        <w:pStyle w:val="TEXTINDENT"/>
        <w:rPr>
          <w:lang w:val="en-GB"/>
        </w:rPr>
      </w:pPr>
    </w:p>
    <w:p w14:paraId="6363D653" w14:textId="77777777" w:rsidR="00E010F1" w:rsidRPr="00547EC7" w:rsidRDefault="00E010F1" w:rsidP="00E010F1">
      <w:pPr>
        <w:pStyle w:val="HEADING2Numbered"/>
        <w:rPr>
          <w:lang w:val="en-GB"/>
        </w:rPr>
      </w:pPr>
      <w:bookmarkStart w:id="13" w:name="Backgrounding"/>
      <w:r w:rsidRPr="00547EC7">
        <w:rPr>
          <w:lang w:val="en-GB"/>
        </w:rPr>
        <w:t>Backgrounding</w:t>
      </w:r>
      <w:bookmarkEnd w:id="13"/>
    </w:p>
    <w:p w14:paraId="08221FE6" w14:textId="77777777" w:rsidR="00E010F1" w:rsidRPr="00547EC7" w:rsidRDefault="00E010F1" w:rsidP="00E010F1">
      <w:pPr>
        <w:pStyle w:val="TEXTINDENT"/>
        <w:rPr>
          <w:lang w:val="en-GB"/>
        </w:rPr>
      </w:pPr>
      <w:r w:rsidRPr="00547EC7">
        <w:rPr>
          <w:lang w:val="en-GB"/>
        </w:rPr>
        <w:t xml:space="preserve">The themes that appear less frequently in the dataset (&lt;400) are ‘relational’ (395), ‘ontological’ (381), ‘obstacles’ (309), ‘interpersonal’ (255), ‘epistemological’ (254), ‘psychological’ (234), ‘metrics’ (179), and ‘subjectivity’ (121). Unlike the foregrounded themes, these are primarily existential, concerned more with lived experience. There are two significant features of the backgrounded themes. The first is that of </w:t>
      </w:r>
      <w:proofErr w:type="gramStart"/>
      <w:r w:rsidRPr="00547EC7">
        <w:rPr>
          <w:lang w:val="en-GB"/>
        </w:rPr>
        <w:t>all of</w:t>
      </w:r>
      <w:proofErr w:type="gramEnd"/>
      <w:r w:rsidRPr="00547EC7">
        <w:rPr>
          <w:lang w:val="en-GB"/>
        </w:rPr>
        <w:t xml:space="preserve"> the ‘relational’ sub-codes that connote communication, the most significant omission is ‘listening’. Secondly, under the theme ‘obstacles’ the sub-code ‘problem’ is mentioned only 36 times, with the more generic term ‘issues’ appearing much more frequently (116), followed by ‘concerns’ (38), ‘difficulty’ (30), ‘stress’ (28) and ‘conflict’ (23). This is much lower relative to other themes than anticipated.</w:t>
      </w:r>
    </w:p>
    <w:p w14:paraId="202E63B1" w14:textId="77777777" w:rsidR="00E010F1" w:rsidRPr="00547EC7" w:rsidRDefault="00E010F1" w:rsidP="00E010F1">
      <w:pPr>
        <w:pStyle w:val="HEADING2Numbered"/>
        <w:rPr>
          <w:lang w:val="en-GB"/>
        </w:rPr>
      </w:pPr>
      <w:bookmarkStart w:id="14" w:name="Topicalization"/>
      <w:r w:rsidRPr="00547EC7">
        <w:rPr>
          <w:lang w:val="en-GB"/>
        </w:rPr>
        <w:t>Topicalization</w:t>
      </w:r>
      <w:bookmarkEnd w:id="14"/>
    </w:p>
    <w:p w14:paraId="2EB34C6D" w14:textId="77777777" w:rsidR="00E010F1" w:rsidRPr="00547EC7" w:rsidRDefault="00E010F1" w:rsidP="00E010F1">
      <w:pPr>
        <w:pStyle w:val="TEXTINDENT"/>
        <w:rPr>
          <w:lang w:val="en-GB"/>
        </w:rPr>
      </w:pPr>
      <w:r w:rsidRPr="00547EC7">
        <w:rPr>
          <w:lang w:val="en-GB"/>
        </w:rPr>
        <w:t xml:space="preserve">The thematic overview above provides a picture of word frequency across the dataset. It does not, however, demonstrate how topics are addressed in different genres. This section demonstrates the percentage of references for foregrounded themes </w:t>
      </w:r>
      <w:proofErr w:type="gramStart"/>
      <w:r w:rsidRPr="00547EC7">
        <w:rPr>
          <w:lang w:val="en-GB"/>
        </w:rPr>
        <w:t>according</w:t>
      </w:r>
      <w:proofErr w:type="gramEnd"/>
      <w:r w:rsidRPr="00547EC7">
        <w:rPr>
          <w:lang w:val="en-GB"/>
        </w:rPr>
        <w:t xml:space="preserve"> the genre matrix above: national policy, institutional policy, national practice and institutional practice.</w:t>
      </w:r>
    </w:p>
    <w:p w14:paraId="2F87C43F" w14:textId="77777777" w:rsidR="00E010F1" w:rsidRPr="00547EC7" w:rsidRDefault="00E010F1" w:rsidP="00E010F1">
      <w:pPr>
        <w:pStyle w:val="TEXTINDENT"/>
        <w:rPr>
          <w:lang w:val="en-GB"/>
        </w:rPr>
      </w:pPr>
    </w:p>
    <w:p w14:paraId="068065C7" w14:textId="77777777" w:rsidR="00E010F1" w:rsidRPr="00547EC7" w:rsidRDefault="00E010F1" w:rsidP="00E010F1">
      <w:pPr>
        <w:pStyle w:val="CAPTIONTEXT"/>
      </w:pPr>
      <w:r w:rsidRPr="00547EC7">
        <w:rPr>
          <w:rStyle w:val="CSSMALLCAPS"/>
        </w:rPr>
        <w:t>table 3</w:t>
      </w:r>
      <w:r w:rsidRPr="00547EC7">
        <w:tab/>
        <w:t>Foregrounded themes coverage in genre sub-domains.</w:t>
      </w:r>
    </w:p>
    <w:tbl>
      <w:tblPr>
        <w:tblW w:w="0" w:type="auto"/>
        <w:tblLook w:val="04A0" w:firstRow="1" w:lastRow="0" w:firstColumn="1" w:lastColumn="0" w:noHBand="0" w:noVBand="1"/>
      </w:tblPr>
      <w:tblGrid>
        <w:gridCol w:w="1418"/>
        <w:gridCol w:w="1252"/>
        <w:gridCol w:w="1304"/>
        <w:gridCol w:w="1275"/>
        <w:gridCol w:w="1275"/>
      </w:tblGrid>
      <w:tr w:rsidR="00E010F1" w:rsidRPr="00547EC7" w14:paraId="29FA94FA" w14:textId="77777777" w:rsidTr="00E010F1">
        <w:tc>
          <w:tcPr>
            <w:tcW w:w="1418" w:type="dxa"/>
            <w:tcBorders>
              <w:top w:val="nil"/>
              <w:left w:val="nil"/>
              <w:bottom w:val="single" w:sz="4" w:space="0" w:color="auto"/>
              <w:right w:val="nil"/>
            </w:tcBorders>
          </w:tcPr>
          <w:p w14:paraId="06CD4250" w14:textId="77777777" w:rsidR="00E010F1" w:rsidRPr="00547EC7" w:rsidRDefault="00E010F1" w:rsidP="00E010F1">
            <w:pPr>
              <w:pStyle w:val="TABLEBODY"/>
            </w:pPr>
          </w:p>
        </w:tc>
        <w:tc>
          <w:tcPr>
            <w:tcW w:w="1252" w:type="dxa"/>
            <w:tcBorders>
              <w:left w:val="nil"/>
              <w:bottom w:val="single" w:sz="4" w:space="0" w:color="auto"/>
              <w:right w:val="nil"/>
            </w:tcBorders>
          </w:tcPr>
          <w:p w14:paraId="0B75A153" w14:textId="77777777" w:rsidR="00E010F1" w:rsidRPr="00547EC7" w:rsidRDefault="00E010F1" w:rsidP="00E010F1">
            <w:pPr>
              <w:pStyle w:val="TABLECOLUMNHEAD"/>
              <w:framePr w:wrap="auto" w:vAnchor="margin" w:yAlign="inline"/>
              <w:suppressOverlap w:val="0"/>
              <w:rPr>
                <w:sz w:val="20"/>
                <w:szCs w:val="20"/>
                <w:vertAlign w:val="superscript"/>
              </w:rPr>
            </w:pPr>
            <w:r w:rsidRPr="00547EC7">
              <w:rPr>
                <w:sz w:val="20"/>
                <w:szCs w:val="20"/>
              </w:rPr>
              <w:t xml:space="preserve">National </w:t>
            </w:r>
            <w:r w:rsidRPr="00547EC7">
              <w:rPr>
                <w:sz w:val="20"/>
                <w:szCs w:val="20"/>
              </w:rPr>
              <w:lastRenderedPageBreak/>
              <w:t>policy</w:t>
            </w:r>
          </w:p>
        </w:tc>
        <w:tc>
          <w:tcPr>
            <w:tcW w:w="1304" w:type="dxa"/>
            <w:tcBorders>
              <w:left w:val="nil"/>
              <w:bottom w:val="single" w:sz="4" w:space="0" w:color="auto"/>
              <w:right w:val="nil"/>
            </w:tcBorders>
          </w:tcPr>
          <w:p w14:paraId="3ABAB1B6" w14:textId="77777777" w:rsidR="00E010F1" w:rsidRPr="00547EC7" w:rsidRDefault="00E010F1" w:rsidP="00E010F1">
            <w:pPr>
              <w:pStyle w:val="TABLECOLUMNHEAD"/>
              <w:framePr w:wrap="auto" w:vAnchor="margin" w:yAlign="inline"/>
              <w:suppressOverlap w:val="0"/>
              <w:rPr>
                <w:sz w:val="20"/>
                <w:szCs w:val="20"/>
              </w:rPr>
            </w:pPr>
            <w:r w:rsidRPr="00547EC7">
              <w:rPr>
                <w:sz w:val="20"/>
                <w:szCs w:val="20"/>
              </w:rPr>
              <w:lastRenderedPageBreak/>
              <w:t xml:space="preserve">National </w:t>
            </w:r>
            <w:r w:rsidRPr="00547EC7">
              <w:rPr>
                <w:sz w:val="20"/>
                <w:szCs w:val="20"/>
              </w:rPr>
              <w:lastRenderedPageBreak/>
              <w:t>practice</w:t>
            </w:r>
          </w:p>
        </w:tc>
        <w:tc>
          <w:tcPr>
            <w:tcW w:w="1275" w:type="dxa"/>
            <w:tcBorders>
              <w:left w:val="nil"/>
              <w:bottom w:val="single" w:sz="4" w:space="0" w:color="auto"/>
              <w:right w:val="nil"/>
            </w:tcBorders>
          </w:tcPr>
          <w:p w14:paraId="274074AD" w14:textId="77777777" w:rsidR="00E010F1" w:rsidRPr="00547EC7" w:rsidRDefault="00E010F1" w:rsidP="00E010F1">
            <w:pPr>
              <w:pStyle w:val="TABLECOLUMNHEAD"/>
              <w:framePr w:wrap="auto" w:vAnchor="margin" w:yAlign="inline"/>
              <w:suppressOverlap w:val="0"/>
              <w:rPr>
                <w:sz w:val="20"/>
                <w:szCs w:val="20"/>
              </w:rPr>
            </w:pPr>
            <w:r w:rsidRPr="00547EC7">
              <w:rPr>
                <w:sz w:val="20"/>
                <w:szCs w:val="20"/>
              </w:rPr>
              <w:lastRenderedPageBreak/>
              <w:t xml:space="preserve">Institutional </w:t>
            </w:r>
            <w:r w:rsidRPr="00547EC7">
              <w:rPr>
                <w:sz w:val="20"/>
                <w:szCs w:val="20"/>
              </w:rPr>
              <w:lastRenderedPageBreak/>
              <w:t>Policy</w:t>
            </w:r>
          </w:p>
        </w:tc>
        <w:tc>
          <w:tcPr>
            <w:tcW w:w="1275" w:type="dxa"/>
            <w:tcBorders>
              <w:left w:val="nil"/>
              <w:bottom w:val="single" w:sz="4" w:space="0" w:color="auto"/>
              <w:right w:val="nil"/>
            </w:tcBorders>
          </w:tcPr>
          <w:p w14:paraId="6EC8D75A" w14:textId="77777777" w:rsidR="00E010F1" w:rsidRPr="00547EC7" w:rsidRDefault="00E010F1" w:rsidP="00E010F1">
            <w:pPr>
              <w:pStyle w:val="TABLECOLUMNHEAD"/>
              <w:framePr w:wrap="auto" w:vAnchor="margin" w:yAlign="inline"/>
              <w:suppressOverlap w:val="0"/>
              <w:rPr>
                <w:sz w:val="20"/>
                <w:szCs w:val="20"/>
              </w:rPr>
            </w:pPr>
            <w:r w:rsidRPr="00547EC7">
              <w:rPr>
                <w:sz w:val="20"/>
                <w:szCs w:val="20"/>
              </w:rPr>
              <w:lastRenderedPageBreak/>
              <w:t xml:space="preserve">Institutional </w:t>
            </w:r>
            <w:r w:rsidRPr="00547EC7">
              <w:rPr>
                <w:sz w:val="20"/>
                <w:szCs w:val="20"/>
              </w:rPr>
              <w:lastRenderedPageBreak/>
              <w:t>Practice</w:t>
            </w:r>
          </w:p>
        </w:tc>
      </w:tr>
      <w:tr w:rsidR="00E010F1" w:rsidRPr="00547EC7" w14:paraId="530B77AF" w14:textId="77777777" w:rsidTr="00E010F1">
        <w:tc>
          <w:tcPr>
            <w:tcW w:w="1418" w:type="dxa"/>
            <w:tcBorders>
              <w:left w:val="nil"/>
              <w:bottom w:val="single" w:sz="4" w:space="0" w:color="auto"/>
              <w:right w:val="single" w:sz="4" w:space="0" w:color="auto"/>
            </w:tcBorders>
          </w:tcPr>
          <w:p w14:paraId="0D320946" w14:textId="77777777" w:rsidR="00E010F1" w:rsidRPr="00547EC7" w:rsidRDefault="00E010F1" w:rsidP="00E010F1">
            <w:pPr>
              <w:pStyle w:val="TABLEBODY"/>
              <w:rPr>
                <w:sz w:val="20"/>
              </w:rPr>
            </w:pPr>
            <w:r w:rsidRPr="00547EC7">
              <w:rPr>
                <w:sz w:val="20"/>
              </w:rPr>
              <w:lastRenderedPageBreak/>
              <w:t>Collaborative</w:t>
            </w:r>
          </w:p>
        </w:tc>
        <w:tc>
          <w:tcPr>
            <w:tcW w:w="1252" w:type="dxa"/>
            <w:tcBorders>
              <w:left w:val="single" w:sz="4" w:space="0" w:color="auto"/>
              <w:bottom w:val="single" w:sz="4" w:space="0" w:color="auto"/>
              <w:right w:val="single" w:sz="4" w:space="0" w:color="auto"/>
            </w:tcBorders>
          </w:tcPr>
          <w:p w14:paraId="539A7CB9" w14:textId="77777777" w:rsidR="00E010F1" w:rsidRPr="00547EC7" w:rsidRDefault="00E010F1" w:rsidP="00E010F1">
            <w:pPr>
              <w:pStyle w:val="TABLEBODY"/>
              <w:rPr>
                <w:sz w:val="20"/>
                <w:szCs w:val="20"/>
              </w:rPr>
            </w:pPr>
            <w:r w:rsidRPr="00547EC7">
              <w:rPr>
                <w:sz w:val="20"/>
                <w:szCs w:val="20"/>
              </w:rPr>
              <w:t>7.3%</w:t>
            </w:r>
          </w:p>
        </w:tc>
        <w:tc>
          <w:tcPr>
            <w:tcW w:w="1304" w:type="dxa"/>
            <w:tcBorders>
              <w:left w:val="single" w:sz="4" w:space="0" w:color="auto"/>
              <w:bottom w:val="single" w:sz="4" w:space="0" w:color="auto"/>
              <w:right w:val="single" w:sz="4" w:space="0" w:color="auto"/>
            </w:tcBorders>
          </w:tcPr>
          <w:p w14:paraId="68AFAB2F" w14:textId="77777777" w:rsidR="00E010F1" w:rsidRPr="00547EC7" w:rsidRDefault="00E010F1" w:rsidP="00E010F1">
            <w:pPr>
              <w:pStyle w:val="TABLEBODY"/>
              <w:rPr>
                <w:sz w:val="20"/>
                <w:szCs w:val="20"/>
              </w:rPr>
            </w:pPr>
            <w:r w:rsidRPr="00547EC7">
              <w:rPr>
                <w:sz w:val="20"/>
                <w:szCs w:val="20"/>
              </w:rPr>
              <w:t>9.3%</w:t>
            </w:r>
          </w:p>
        </w:tc>
        <w:tc>
          <w:tcPr>
            <w:tcW w:w="1275" w:type="dxa"/>
            <w:tcBorders>
              <w:left w:val="single" w:sz="4" w:space="0" w:color="auto"/>
              <w:bottom w:val="single" w:sz="4" w:space="0" w:color="auto"/>
              <w:right w:val="single" w:sz="4" w:space="0" w:color="auto"/>
            </w:tcBorders>
          </w:tcPr>
          <w:p w14:paraId="36470C15" w14:textId="77777777" w:rsidR="00E010F1" w:rsidRPr="00547EC7" w:rsidRDefault="00E010F1" w:rsidP="00E010F1">
            <w:pPr>
              <w:pStyle w:val="TABLEBODY"/>
              <w:rPr>
                <w:sz w:val="20"/>
                <w:szCs w:val="20"/>
              </w:rPr>
            </w:pPr>
            <w:r w:rsidRPr="00547EC7">
              <w:rPr>
                <w:sz w:val="20"/>
                <w:szCs w:val="20"/>
              </w:rPr>
              <w:t>3.3%</w:t>
            </w:r>
          </w:p>
        </w:tc>
        <w:tc>
          <w:tcPr>
            <w:tcW w:w="1275" w:type="dxa"/>
            <w:tcBorders>
              <w:left w:val="single" w:sz="4" w:space="0" w:color="auto"/>
              <w:bottom w:val="single" w:sz="4" w:space="0" w:color="auto"/>
              <w:right w:val="nil"/>
            </w:tcBorders>
          </w:tcPr>
          <w:p w14:paraId="5EA74B95" w14:textId="77777777" w:rsidR="00E010F1" w:rsidRPr="00547EC7" w:rsidRDefault="00E010F1" w:rsidP="00E010F1">
            <w:pPr>
              <w:pStyle w:val="TABLEBODY"/>
              <w:rPr>
                <w:sz w:val="20"/>
                <w:szCs w:val="20"/>
              </w:rPr>
            </w:pPr>
            <w:r w:rsidRPr="00547EC7">
              <w:rPr>
                <w:sz w:val="20"/>
                <w:szCs w:val="20"/>
              </w:rPr>
              <w:t>1.76%</w:t>
            </w:r>
          </w:p>
        </w:tc>
      </w:tr>
      <w:tr w:rsidR="00E010F1" w:rsidRPr="00547EC7" w14:paraId="0DE9828E" w14:textId="77777777" w:rsidTr="00E010F1">
        <w:tc>
          <w:tcPr>
            <w:tcW w:w="1418" w:type="dxa"/>
            <w:tcBorders>
              <w:left w:val="nil"/>
              <w:bottom w:val="single" w:sz="4" w:space="0" w:color="auto"/>
              <w:right w:val="single" w:sz="4" w:space="0" w:color="auto"/>
            </w:tcBorders>
          </w:tcPr>
          <w:p w14:paraId="79FB4545" w14:textId="77777777" w:rsidR="00E010F1" w:rsidRPr="00547EC7" w:rsidRDefault="00E010F1" w:rsidP="00E010F1">
            <w:pPr>
              <w:pStyle w:val="TABLEBODY"/>
              <w:rPr>
                <w:sz w:val="20"/>
              </w:rPr>
            </w:pPr>
            <w:r w:rsidRPr="00547EC7">
              <w:rPr>
                <w:sz w:val="20"/>
              </w:rPr>
              <w:t>Pedagogical</w:t>
            </w:r>
          </w:p>
        </w:tc>
        <w:tc>
          <w:tcPr>
            <w:tcW w:w="1252" w:type="dxa"/>
            <w:tcBorders>
              <w:left w:val="single" w:sz="4" w:space="0" w:color="auto"/>
              <w:bottom w:val="single" w:sz="4" w:space="0" w:color="auto"/>
              <w:right w:val="single" w:sz="4" w:space="0" w:color="auto"/>
            </w:tcBorders>
          </w:tcPr>
          <w:p w14:paraId="379D59F5" w14:textId="77777777" w:rsidR="00E010F1" w:rsidRPr="00547EC7" w:rsidRDefault="00E010F1" w:rsidP="00E010F1">
            <w:pPr>
              <w:pStyle w:val="TABLEBODY"/>
              <w:rPr>
                <w:sz w:val="20"/>
                <w:szCs w:val="20"/>
              </w:rPr>
            </w:pPr>
            <w:r w:rsidRPr="00547EC7">
              <w:rPr>
                <w:sz w:val="20"/>
                <w:szCs w:val="20"/>
              </w:rPr>
              <w:t>6.03%</w:t>
            </w:r>
          </w:p>
        </w:tc>
        <w:tc>
          <w:tcPr>
            <w:tcW w:w="1304" w:type="dxa"/>
            <w:tcBorders>
              <w:left w:val="single" w:sz="4" w:space="0" w:color="auto"/>
              <w:bottom w:val="single" w:sz="4" w:space="0" w:color="auto"/>
              <w:right w:val="single" w:sz="4" w:space="0" w:color="auto"/>
            </w:tcBorders>
          </w:tcPr>
          <w:p w14:paraId="2A90E971" w14:textId="77777777" w:rsidR="00E010F1" w:rsidRPr="00547EC7" w:rsidRDefault="00E010F1" w:rsidP="00E010F1">
            <w:pPr>
              <w:pStyle w:val="TABLEBODY"/>
              <w:rPr>
                <w:sz w:val="20"/>
                <w:szCs w:val="20"/>
              </w:rPr>
            </w:pPr>
            <w:r w:rsidRPr="00547EC7">
              <w:rPr>
                <w:sz w:val="20"/>
                <w:szCs w:val="20"/>
              </w:rPr>
              <w:t>3.18%</w:t>
            </w:r>
          </w:p>
        </w:tc>
        <w:tc>
          <w:tcPr>
            <w:tcW w:w="1275" w:type="dxa"/>
            <w:tcBorders>
              <w:left w:val="single" w:sz="4" w:space="0" w:color="auto"/>
              <w:bottom w:val="single" w:sz="4" w:space="0" w:color="auto"/>
              <w:right w:val="single" w:sz="4" w:space="0" w:color="auto"/>
            </w:tcBorders>
          </w:tcPr>
          <w:p w14:paraId="14585AF0" w14:textId="77777777" w:rsidR="00E010F1" w:rsidRPr="00547EC7" w:rsidRDefault="00E010F1" w:rsidP="00E010F1">
            <w:pPr>
              <w:pStyle w:val="TABLEBODY"/>
              <w:rPr>
                <w:sz w:val="20"/>
                <w:szCs w:val="20"/>
              </w:rPr>
            </w:pPr>
            <w:r w:rsidRPr="00547EC7">
              <w:rPr>
                <w:sz w:val="20"/>
                <w:szCs w:val="20"/>
              </w:rPr>
              <w:t>2.61%</w:t>
            </w:r>
          </w:p>
        </w:tc>
        <w:tc>
          <w:tcPr>
            <w:tcW w:w="1275" w:type="dxa"/>
            <w:tcBorders>
              <w:left w:val="single" w:sz="4" w:space="0" w:color="auto"/>
              <w:bottom w:val="single" w:sz="4" w:space="0" w:color="auto"/>
              <w:right w:val="nil"/>
            </w:tcBorders>
          </w:tcPr>
          <w:p w14:paraId="1CA55639" w14:textId="77777777" w:rsidR="00E010F1" w:rsidRPr="00547EC7" w:rsidRDefault="00E010F1" w:rsidP="00E010F1">
            <w:pPr>
              <w:pStyle w:val="TABLEBODY"/>
              <w:rPr>
                <w:sz w:val="20"/>
                <w:szCs w:val="20"/>
              </w:rPr>
            </w:pPr>
            <w:r w:rsidRPr="00547EC7">
              <w:rPr>
                <w:sz w:val="20"/>
                <w:szCs w:val="20"/>
              </w:rPr>
              <w:t>3.65%</w:t>
            </w:r>
          </w:p>
        </w:tc>
      </w:tr>
      <w:tr w:rsidR="00E010F1" w:rsidRPr="00547EC7" w14:paraId="12D525F8" w14:textId="77777777" w:rsidTr="00E010F1">
        <w:tc>
          <w:tcPr>
            <w:tcW w:w="1418" w:type="dxa"/>
            <w:tcBorders>
              <w:left w:val="nil"/>
              <w:bottom w:val="single" w:sz="4" w:space="0" w:color="auto"/>
              <w:right w:val="single" w:sz="4" w:space="0" w:color="auto"/>
            </w:tcBorders>
          </w:tcPr>
          <w:p w14:paraId="52423DC1" w14:textId="77777777" w:rsidR="00E010F1" w:rsidRPr="00547EC7" w:rsidRDefault="00E010F1" w:rsidP="00E010F1">
            <w:pPr>
              <w:pStyle w:val="TABLEBODY"/>
              <w:rPr>
                <w:sz w:val="20"/>
              </w:rPr>
            </w:pPr>
            <w:r w:rsidRPr="00547EC7">
              <w:rPr>
                <w:sz w:val="20"/>
              </w:rPr>
              <w:t>Course</w:t>
            </w:r>
          </w:p>
        </w:tc>
        <w:tc>
          <w:tcPr>
            <w:tcW w:w="1252" w:type="dxa"/>
            <w:tcBorders>
              <w:left w:val="single" w:sz="4" w:space="0" w:color="auto"/>
              <w:bottom w:val="single" w:sz="4" w:space="0" w:color="auto"/>
              <w:right w:val="single" w:sz="4" w:space="0" w:color="auto"/>
            </w:tcBorders>
          </w:tcPr>
          <w:p w14:paraId="5247E97B" w14:textId="77777777" w:rsidR="00E010F1" w:rsidRPr="00547EC7" w:rsidRDefault="00E010F1" w:rsidP="00E010F1">
            <w:pPr>
              <w:pStyle w:val="TABLEBODY"/>
              <w:rPr>
                <w:sz w:val="20"/>
                <w:szCs w:val="20"/>
              </w:rPr>
            </w:pPr>
            <w:r w:rsidRPr="00547EC7">
              <w:rPr>
                <w:sz w:val="20"/>
                <w:szCs w:val="20"/>
              </w:rPr>
              <w:t>1.52%</w:t>
            </w:r>
          </w:p>
        </w:tc>
        <w:tc>
          <w:tcPr>
            <w:tcW w:w="1304" w:type="dxa"/>
            <w:tcBorders>
              <w:left w:val="single" w:sz="4" w:space="0" w:color="auto"/>
              <w:bottom w:val="single" w:sz="4" w:space="0" w:color="auto"/>
              <w:right w:val="single" w:sz="4" w:space="0" w:color="auto"/>
            </w:tcBorders>
          </w:tcPr>
          <w:p w14:paraId="2BD501C1" w14:textId="77777777" w:rsidR="00E010F1" w:rsidRPr="00547EC7" w:rsidRDefault="00E010F1" w:rsidP="00E010F1">
            <w:pPr>
              <w:pStyle w:val="TABLEBODY"/>
              <w:rPr>
                <w:sz w:val="20"/>
                <w:szCs w:val="20"/>
              </w:rPr>
            </w:pPr>
            <w:r w:rsidRPr="00547EC7">
              <w:rPr>
                <w:sz w:val="20"/>
                <w:szCs w:val="20"/>
              </w:rPr>
              <w:t>3.9%</w:t>
            </w:r>
          </w:p>
        </w:tc>
        <w:tc>
          <w:tcPr>
            <w:tcW w:w="1275" w:type="dxa"/>
            <w:tcBorders>
              <w:left w:val="single" w:sz="4" w:space="0" w:color="auto"/>
              <w:bottom w:val="single" w:sz="4" w:space="0" w:color="auto"/>
              <w:right w:val="single" w:sz="4" w:space="0" w:color="auto"/>
            </w:tcBorders>
          </w:tcPr>
          <w:p w14:paraId="25B11C6F" w14:textId="77777777" w:rsidR="00E010F1" w:rsidRPr="00547EC7" w:rsidRDefault="00E010F1" w:rsidP="00E010F1">
            <w:pPr>
              <w:pStyle w:val="TABLEBODY"/>
              <w:rPr>
                <w:sz w:val="20"/>
                <w:szCs w:val="20"/>
              </w:rPr>
            </w:pPr>
            <w:r w:rsidRPr="00547EC7">
              <w:rPr>
                <w:sz w:val="20"/>
                <w:szCs w:val="20"/>
              </w:rPr>
              <w:t>4.09%</w:t>
            </w:r>
          </w:p>
        </w:tc>
        <w:tc>
          <w:tcPr>
            <w:tcW w:w="1275" w:type="dxa"/>
            <w:tcBorders>
              <w:left w:val="single" w:sz="4" w:space="0" w:color="auto"/>
              <w:bottom w:val="single" w:sz="4" w:space="0" w:color="auto"/>
              <w:right w:val="nil"/>
            </w:tcBorders>
          </w:tcPr>
          <w:p w14:paraId="169CA791" w14:textId="77777777" w:rsidR="00E010F1" w:rsidRPr="00547EC7" w:rsidRDefault="00E010F1" w:rsidP="00E010F1">
            <w:pPr>
              <w:pStyle w:val="TABLEBODY"/>
              <w:rPr>
                <w:sz w:val="20"/>
                <w:szCs w:val="20"/>
              </w:rPr>
            </w:pPr>
            <w:r w:rsidRPr="00547EC7">
              <w:rPr>
                <w:sz w:val="20"/>
                <w:szCs w:val="20"/>
              </w:rPr>
              <w:t>2.88%</w:t>
            </w:r>
          </w:p>
        </w:tc>
      </w:tr>
      <w:tr w:rsidR="00E010F1" w:rsidRPr="00547EC7" w14:paraId="03374736" w14:textId="77777777" w:rsidTr="00E010F1">
        <w:tc>
          <w:tcPr>
            <w:tcW w:w="1418" w:type="dxa"/>
            <w:tcBorders>
              <w:top w:val="single" w:sz="4" w:space="0" w:color="auto"/>
              <w:left w:val="nil"/>
              <w:bottom w:val="single" w:sz="4" w:space="0" w:color="auto"/>
              <w:right w:val="single" w:sz="4" w:space="0" w:color="auto"/>
            </w:tcBorders>
          </w:tcPr>
          <w:p w14:paraId="161E48BA" w14:textId="77777777" w:rsidR="00E010F1" w:rsidRPr="00547EC7" w:rsidRDefault="00E010F1" w:rsidP="00E010F1">
            <w:pPr>
              <w:pStyle w:val="TABLEBODY"/>
              <w:rPr>
                <w:sz w:val="20"/>
              </w:rPr>
            </w:pPr>
            <w:r w:rsidRPr="00547EC7">
              <w:rPr>
                <w:sz w:val="20"/>
              </w:rPr>
              <w:t>Activities</w:t>
            </w:r>
          </w:p>
        </w:tc>
        <w:tc>
          <w:tcPr>
            <w:tcW w:w="1252" w:type="dxa"/>
            <w:tcBorders>
              <w:top w:val="single" w:sz="4" w:space="0" w:color="auto"/>
              <w:left w:val="single" w:sz="4" w:space="0" w:color="auto"/>
              <w:bottom w:val="single" w:sz="4" w:space="0" w:color="auto"/>
              <w:right w:val="single" w:sz="4" w:space="0" w:color="auto"/>
            </w:tcBorders>
          </w:tcPr>
          <w:p w14:paraId="22D8D2CD" w14:textId="77777777" w:rsidR="00E010F1" w:rsidRPr="00547EC7" w:rsidRDefault="00E010F1" w:rsidP="00E010F1">
            <w:pPr>
              <w:pStyle w:val="TABLEBODY"/>
              <w:rPr>
                <w:i/>
                <w:sz w:val="20"/>
                <w:szCs w:val="20"/>
              </w:rPr>
            </w:pPr>
            <w:r w:rsidRPr="00547EC7">
              <w:rPr>
                <w:sz w:val="20"/>
                <w:szCs w:val="20"/>
              </w:rPr>
              <w:t>3.13%</w:t>
            </w:r>
          </w:p>
        </w:tc>
        <w:tc>
          <w:tcPr>
            <w:tcW w:w="1304" w:type="dxa"/>
            <w:tcBorders>
              <w:top w:val="single" w:sz="4" w:space="0" w:color="auto"/>
              <w:left w:val="single" w:sz="4" w:space="0" w:color="auto"/>
              <w:bottom w:val="single" w:sz="4" w:space="0" w:color="auto"/>
              <w:right w:val="single" w:sz="4" w:space="0" w:color="auto"/>
            </w:tcBorders>
          </w:tcPr>
          <w:p w14:paraId="731BC408" w14:textId="77777777" w:rsidR="00E010F1" w:rsidRPr="00547EC7" w:rsidRDefault="00E010F1" w:rsidP="00E010F1">
            <w:pPr>
              <w:pStyle w:val="TABLEBODY"/>
              <w:rPr>
                <w:i/>
                <w:sz w:val="20"/>
                <w:szCs w:val="20"/>
              </w:rPr>
            </w:pPr>
            <w:r w:rsidRPr="00547EC7">
              <w:rPr>
                <w:sz w:val="20"/>
                <w:szCs w:val="20"/>
              </w:rPr>
              <w:t>4.38%</w:t>
            </w:r>
          </w:p>
        </w:tc>
        <w:tc>
          <w:tcPr>
            <w:tcW w:w="1275" w:type="dxa"/>
            <w:tcBorders>
              <w:top w:val="single" w:sz="4" w:space="0" w:color="auto"/>
              <w:left w:val="single" w:sz="4" w:space="0" w:color="auto"/>
              <w:bottom w:val="single" w:sz="4" w:space="0" w:color="auto"/>
              <w:right w:val="single" w:sz="4" w:space="0" w:color="auto"/>
            </w:tcBorders>
          </w:tcPr>
          <w:p w14:paraId="0B3C64A4" w14:textId="77777777" w:rsidR="00E010F1" w:rsidRPr="00547EC7" w:rsidRDefault="00E010F1" w:rsidP="00E010F1">
            <w:pPr>
              <w:pStyle w:val="TABLEBODY"/>
              <w:rPr>
                <w:i/>
                <w:sz w:val="20"/>
                <w:szCs w:val="20"/>
              </w:rPr>
            </w:pPr>
            <w:r w:rsidRPr="00547EC7">
              <w:rPr>
                <w:sz w:val="20"/>
                <w:szCs w:val="20"/>
              </w:rPr>
              <w:t>3.4%</w:t>
            </w:r>
          </w:p>
        </w:tc>
        <w:tc>
          <w:tcPr>
            <w:tcW w:w="1275" w:type="dxa"/>
            <w:tcBorders>
              <w:top w:val="single" w:sz="4" w:space="0" w:color="auto"/>
              <w:left w:val="single" w:sz="4" w:space="0" w:color="auto"/>
              <w:bottom w:val="single" w:sz="4" w:space="0" w:color="auto"/>
              <w:right w:val="nil"/>
            </w:tcBorders>
          </w:tcPr>
          <w:p w14:paraId="26ED9343" w14:textId="77777777" w:rsidR="00E010F1" w:rsidRPr="00547EC7" w:rsidRDefault="00E010F1" w:rsidP="00E010F1">
            <w:pPr>
              <w:pStyle w:val="TABLEBODY"/>
              <w:rPr>
                <w:i/>
                <w:sz w:val="20"/>
                <w:szCs w:val="20"/>
              </w:rPr>
            </w:pPr>
            <w:r w:rsidRPr="00547EC7">
              <w:rPr>
                <w:sz w:val="20"/>
                <w:szCs w:val="20"/>
              </w:rPr>
              <w:t>0.78%</w:t>
            </w:r>
          </w:p>
        </w:tc>
      </w:tr>
      <w:tr w:rsidR="00E010F1" w:rsidRPr="00547EC7" w14:paraId="1CB97615" w14:textId="77777777" w:rsidTr="00E010F1">
        <w:tc>
          <w:tcPr>
            <w:tcW w:w="1418" w:type="dxa"/>
            <w:tcBorders>
              <w:top w:val="single" w:sz="4" w:space="0" w:color="auto"/>
              <w:left w:val="nil"/>
              <w:bottom w:val="single" w:sz="4" w:space="0" w:color="auto"/>
              <w:right w:val="single" w:sz="4" w:space="0" w:color="auto"/>
            </w:tcBorders>
          </w:tcPr>
          <w:p w14:paraId="7AB39C3C" w14:textId="77777777" w:rsidR="00E010F1" w:rsidRPr="00547EC7" w:rsidRDefault="00E010F1" w:rsidP="00E010F1">
            <w:pPr>
              <w:pStyle w:val="TABLEBODY"/>
              <w:rPr>
                <w:sz w:val="20"/>
              </w:rPr>
            </w:pPr>
            <w:r w:rsidRPr="00547EC7">
              <w:rPr>
                <w:sz w:val="20"/>
              </w:rPr>
              <w:t>Experiential</w:t>
            </w:r>
          </w:p>
        </w:tc>
        <w:tc>
          <w:tcPr>
            <w:tcW w:w="1252" w:type="dxa"/>
            <w:tcBorders>
              <w:top w:val="single" w:sz="4" w:space="0" w:color="auto"/>
              <w:left w:val="single" w:sz="4" w:space="0" w:color="auto"/>
              <w:bottom w:val="single" w:sz="4" w:space="0" w:color="auto"/>
              <w:right w:val="single" w:sz="4" w:space="0" w:color="auto"/>
            </w:tcBorders>
          </w:tcPr>
          <w:p w14:paraId="577D9DCA" w14:textId="77777777" w:rsidR="00E010F1" w:rsidRPr="00547EC7" w:rsidRDefault="00E010F1" w:rsidP="00E010F1">
            <w:pPr>
              <w:pStyle w:val="TABLEBODY"/>
              <w:rPr>
                <w:i/>
                <w:sz w:val="20"/>
                <w:szCs w:val="20"/>
              </w:rPr>
            </w:pPr>
            <w:r w:rsidRPr="00547EC7">
              <w:rPr>
                <w:sz w:val="20"/>
                <w:szCs w:val="20"/>
              </w:rPr>
              <w:t>3.53%</w:t>
            </w:r>
          </w:p>
        </w:tc>
        <w:tc>
          <w:tcPr>
            <w:tcW w:w="1304" w:type="dxa"/>
            <w:tcBorders>
              <w:top w:val="single" w:sz="4" w:space="0" w:color="auto"/>
              <w:left w:val="single" w:sz="4" w:space="0" w:color="auto"/>
              <w:bottom w:val="single" w:sz="4" w:space="0" w:color="auto"/>
              <w:right w:val="single" w:sz="4" w:space="0" w:color="auto"/>
            </w:tcBorders>
          </w:tcPr>
          <w:p w14:paraId="091B1FD5" w14:textId="77777777" w:rsidR="00E010F1" w:rsidRPr="00547EC7" w:rsidRDefault="00E010F1" w:rsidP="00E010F1">
            <w:pPr>
              <w:pStyle w:val="TABLEBODY"/>
              <w:rPr>
                <w:i/>
                <w:sz w:val="20"/>
                <w:szCs w:val="20"/>
              </w:rPr>
            </w:pPr>
            <w:r w:rsidRPr="00547EC7">
              <w:rPr>
                <w:sz w:val="20"/>
                <w:szCs w:val="20"/>
              </w:rPr>
              <w:t>3.13%</w:t>
            </w:r>
          </w:p>
        </w:tc>
        <w:tc>
          <w:tcPr>
            <w:tcW w:w="1275" w:type="dxa"/>
            <w:tcBorders>
              <w:top w:val="single" w:sz="4" w:space="0" w:color="auto"/>
              <w:left w:val="single" w:sz="4" w:space="0" w:color="auto"/>
              <w:bottom w:val="single" w:sz="4" w:space="0" w:color="auto"/>
              <w:right w:val="single" w:sz="4" w:space="0" w:color="auto"/>
            </w:tcBorders>
          </w:tcPr>
          <w:p w14:paraId="70A0F2DC" w14:textId="77777777" w:rsidR="00E010F1" w:rsidRPr="00547EC7" w:rsidRDefault="00E010F1" w:rsidP="00E010F1">
            <w:pPr>
              <w:pStyle w:val="TABLEBODY"/>
              <w:rPr>
                <w:i/>
                <w:sz w:val="20"/>
                <w:szCs w:val="20"/>
              </w:rPr>
            </w:pPr>
            <w:r w:rsidRPr="00547EC7">
              <w:rPr>
                <w:sz w:val="20"/>
                <w:szCs w:val="20"/>
              </w:rPr>
              <w:t>1.18%</w:t>
            </w:r>
          </w:p>
        </w:tc>
        <w:tc>
          <w:tcPr>
            <w:tcW w:w="1275" w:type="dxa"/>
            <w:tcBorders>
              <w:top w:val="single" w:sz="4" w:space="0" w:color="auto"/>
              <w:left w:val="single" w:sz="4" w:space="0" w:color="auto"/>
              <w:bottom w:val="single" w:sz="4" w:space="0" w:color="auto"/>
              <w:right w:val="nil"/>
            </w:tcBorders>
          </w:tcPr>
          <w:p w14:paraId="6991E2DF" w14:textId="77777777" w:rsidR="00E010F1" w:rsidRPr="00547EC7" w:rsidRDefault="00E010F1" w:rsidP="00E010F1">
            <w:pPr>
              <w:pStyle w:val="TABLEBODY"/>
              <w:rPr>
                <w:i/>
                <w:sz w:val="20"/>
                <w:szCs w:val="20"/>
              </w:rPr>
            </w:pPr>
            <w:r w:rsidRPr="00547EC7">
              <w:rPr>
                <w:sz w:val="20"/>
                <w:szCs w:val="20"/>
              </w:rPr>
              <w:t>1.71%</w:t>
            </w:r>
          </w:p>
        </w:tc>
      </w:tr>
      <w:tr w:rsidR="00E010F1" w:rsidRPr="00547EC7" w14:paraId="21611B6B" w14:textId="77777777" w:rsidTr="00E010F1">
        <w:tc>
          <w:tcPr>
            <w:tcW w:w="1418" w:type="dxa"/>
            <w:tcBorders>
              <w:top w:val="single" w:sz="4" w:space="0" w:color="auto"/>
              <w:left w:val="nil"/>
              <w:bottom w:val="single" w:sz="4" w:space="0" w:color="auto"/>
              <w:right w:val="single" w:sz="4" w:space="0" w:color="auto"/>
            </w:tcBorders>
          </w:tcPr>
          <w:p w14:paraId="11F3BAC7" w14:textId="77777777" w:rsidR="00E010F1" w:rsidRPr="00547EC7" w:rsidRDefault="00E010F1" w:rsidP="00E010F1">
            <w:pPr>
              <w:pStyle w:val="TABLEBODY"/>
              <w:rPr>
                <w:sz w:val="20"/>
              </w:rPr>
            </w:pPr>
            <w:r w:rsidRPr="00547EC7">
              <w:rPr>
                <w:sz w:val="20"/>
              </w:rPr>
              <w:t>Labour</w:t>
            </w:r>
          </w:p>
        </w:tc>
        <w:tc>
          <w:tcPr>
            <w:tcW w:w="1252" w:type="dxa"/>
            <w:tcBorders>
              <w:top w:val="single" w:sz="4" w:space="0" w:color="auto"/>
              <w:left w:val="single" w:sz="4" w:space="0" w:color="auto"/>
              <w:bottom w:val="single" w:sz="4" w:space="0" w:color="auto"/>
              <w:right w:val="single" w:sz="4" w:space="0" w:color="auto"/>
            </w:tcBorders>
          </w:tcPr>
          <w:p w14:paraId="4E513225" w14:textId="77777777" w:rsidR="00E010F1" w:rsidRPr="00547EC7" w:rsidRDefault="00E010F1" w:rsidP="00E010F1">
            <w:pPr>
              <w:pStyle w:val="TABLEBODY"/>
              <w:rPr>
                <w:sz w:val="20"/>
                <w:szCs w:val="20"/>
              </w:rPr>
            </w:pPr>
            <w:r w:rsidRPr="00547EC7">
              <w:rPr>
                <w:sz w:val="20"/>
                <w:szCs w:val="20"/>
              </w:rPr>
              <w:t>2.51%</w:t>
            </w:r>
          </w:p>
        </w:tc>
        <w:tc>
          <w:tcPr>
            <w:tcW w:w="1304" w:type="dxa"/>
            <w:tcBorders>
              <w:top w:val="single" w:sz="4" w:space="0" w:color="auto"/>
              <w:left w:val="single" w:sz="4" w:space="0" w:color="auto"/>
              <w:bottom w:val="single" w:sz="4" w:space="0" w:color="auto"/>
              <w:right w:val="single" w:sz="4" w:space="0" w:color="auto"/>
            </w:tcBorders>
          </w:tcPr>
          <w:p w14:paraId="1BFD84B8" w14:textId="77777777" w:rsidR="00E010F1" w:rsidRPr="00547EC7" w:rsidRDefault="00E010F1" w:rsidP="00E010F1">
            <w:pPr>
              <w:pStyle w:val="TABLEBODY"/>
              <w:rPr>
                <w:sz w:val="20"/>
                <w:szCs w:val="20"/>
              </w:rPr>
            </w:pPr>
            <w:r w:rsidRPr="00547EC7">
              <w:rPr>
                <w:sz w:val="20"/>
                <w:szCs w:val="20"/>
              </w:rPr>
              <w:t>2.82%</w:t>
            </w:r>
          </w:p>
        </w:tc>
        <w:tc>
          <w:tcPr>
            <w:tcW w:w="1275" w:type="dxa"/>
            <w:tcBorders>
              <w:top w:val="single" w:sz="4" w:space="0" w:color="auto"/>
              <w:left w:val="single" w:sz="4" w:space="0" w:color="auto"/>
              <w:bottom w:val="single" w:sz="4" w:space="0" w:color="auto"/>
              <w:right w:val="single" w:sz="4" w:space="0" w:color="auto"/>
            </w:tcBorders>
          </w:tcPr>
          <w:p w14:paraId="67D94110" w14:textId="77777777" w:rsidR="00E010F1" w:rsidRPr="00547EC7" w:rsidRDefault="00E010F1" w:rsidP="00E010F1">
            <w:pPr>
              <w:pStyle w:val="TABLEBODY"/>
              <w:rPr>
                <w:sz w:val="20"/>
                <w:szCs w:val="20"/>
              </w:rPr>
            </w:pPr>
            <w:r w:rsidRPr="00547EC7">
              <w:rPr>
                <w:sz w:val="20"/>
                <w:szCs w:val="20"/>
              </w:rPr>
              <w:t>0.98%</w:t>
            </w:r>
          </w:p>
        </w:tc>
        <w:tc>
          <w:tcPr>
            <w:tcW w:w="1275" w:type="dxa"/>
            <w:tcBorders>
              <w:top w:val="single" w:sz="4" w:space="0" w:color="auto"/>
              <w:left w:val="single" w:sz="4" w:space="0" w:color="auto"/>
              <w:bottom w:val="single" w:sz="4" w:space="0" w:color="auto"/>
              <w:right w:val="nil"/>
            </w:tcBorders>
          </w:tcPr>
          <w:p w14:paraId="14A1E1D3" w14:textId="77777777" w:rsidR="00E010F1" w:rsidRPr="00547EC7" w:rsidRDefault="00E010F1" w:rsidP="00E010F1">
            <w:pPr>
              <w:pStyle w:val="TABLEBODY"/>
              <w:rPr>
                <w:sz w:val="20"/>
                <w:szCs w:val="20"/>
              </w:rPr>
            </w:pPr>
            <w:r w:rsidRPr="00547EC7">
              <w:rPr>
                <w:sz w:val="20"/>
                <w:szCs w:val="20"/>
              </w:rPr>
              <w:t>0.59%</w:t>
            </w:r>
          </w:p>
        </w:tc>
      </w:tr>
      <w:tr w:rsidR="00E010F1" w:rsidRPr="00547EC7" w14:paraId="4C0B4BAB" w14:textId="77777777" w:rsidTr="00E010F1">
        <w:tc>
          <w:tcPr>
            <w:tcW w:w="1418" w:type="dxa"/>
            <w:tcBorders>
              <w:top w:val="single" w:sz="4" w:space="0" w:color="auto"/>
              <w:left w:val="nil"/>
              <w:bottom w:val="single" w:sz="4" w:space="0" w:color="auto"/>
              <w:right w:val="single" w:sz="4" w:space="0" w:color="auto"/>
            </w:tcBorders>
          </w:tcPr>
          <w:p w14:paraId="2565A174" w14:textId="77777777" w:rsidR="00E010F1" w:rsidRPr="00547EC7" w:rsidRDefault="00E010F1" w:rsidP="00E010F1">
            <w:pPr>
              <w:pStyle w:val="TABLEBODY"/>
              <w:rPr>
                <w:sz w:val="20"/>
              </w:rPr>
            </w:pPr>
            <w:r w:rsidRPr="00547EC7">
              <w:rPr>
                <w:sz w:val="20"/>
              </w:rPr>
              <w:t>Processual</w:t>
            </w:r>
          </w:p>
        </w:tc>
        <w:tc>
          <w:tcPr>
            <w:tcW w:w="1252" w:type="dxa"/>
            <w:tcBorders>
              <w:top w:val="single" w:sz="4" w:space="0" w:color="auto"/>
              <w:left w:val="single" w:sz="4" w:space="0" w:color="auto"/>
              <w:bottom w:val="single" w:sz="4" w:space="0" w:color="auto"/>
              <w:right w:val="single" w:sz="4" w:space="0" w:color="auto"/>
            </w:tcBorders>
          </w:tcPr>
          <w:p w14:paraId="46EFA0DA" w14:textId="77777777" w:rsidR="00E010F1" w:rsidRPr="00547EC7" w:rsidRDefault="00E010F1" w:rsidP="00E010F1">
            <w:pPr>
              <w:pStyle w:val="TABLEBODY"/>
              <w:rPr>
                <w:sz w:val="20"/>
                <w:szCs w:val="20"/>
              </w:rPr>
            </w:pPr>
            <w:r w:rsidRPr="00547EC7">
              <w:rPr>
                <w:sz w:val="20"/>
                <w:szCs w:val="20"/>
              </w:rPr>
              <w:t>3.56%</w:t>
            </w:r>
          </w:p>
        </w:tc>
        <w:tc>
          <w:tcPr>
            <w:tcW w:w="1304" w:type="dxa"/>
            <w:tcBorders>
              <w:top w:val="single" w:sz="4" w:space="0" w:color="auto"/>
              <w:left w:val="single" w:sz="4" w:space="0" w:color="auto"/>
              <w:bottom w:val="single" w:sz="4" w:space="0" w:color="auto"/>
              <w:right w:val="single" w:sz="4" w:space="0" w:color="auto"/>
            </w:tcBorders>
          </w:tcPr>
          <w:p w14:paraId="71FAB07F" w14:textId="77777777" w:rsidR="00E010F1" w:rsidRPr="00547EC7" w:rsidRDefault="00E010F1" w:rsidP="00E010F1">
            <w:pPr>
              <w:pStyle w:val="TABLEBODY"/>
              <w:rPr>
                <w:i/>
                <w:sz w:val="20"/>
                <w:szCs w:val="20"/>
              </w:rPr>
            </w:pPr>
            <w:r w:rsidRPr="00547EC7">
              <w:rPr>
                <w:sz w:val="20"/>
                <w:szCs w:val="20"/>
              </w:rPr>
              <w:t>2.23%</w:t>
            </w:r>
          </w:p>
        </w:tc>
        <w:tc>
          <w:tcPr>
            <w:tcW w:w="1275" w:type="dxa"/>
            <w:tcBorders>
              <w:top w:val="single" w:sz="4" w:space="0" w:color="auto"/>
              <w:left w:val="single" w:sz="4" w:space="0" w:color="auto"/>
              <w:bottom w:val="single" w:sz="4" w:space="0" w:color="auto"/>
              <w:right w:val="single" w:sz="4" w:space="0" w:color="auto"/>
            </w:tcBorders>
          </w:tcPr>
          <w:p w14:paraId="3951E828" w14:textId="77777777" w:rsidR="00E010F1" w:rsidRPr="00547EC7" w:rsidRDefault="00E010F1" w:rsidP="00E010F1">
            <w:pPr>
              <w:pStyle w:val="TABLEBODY"/>
              <w:rPr>
                <w:i/>
                <w:sz w:val="20"/>
                <w:szCs w:val="20"/>
              </w:rPr>
            </w:pPr>
            <w:r w:rsidRPr="00547EC7">
              <w:rPr>
                <w:sz w:val="20"/>
                <w:szCs w:val="20"/>
              </w:rPr>
              <w:t>0.63%</w:t>
            </w:r>
          </w:p>
        </w:tc>
        <w:tc>
          <w:tcPr>
            <w:tcW w:w="1275" w:type="dxa"/>
            <w:tcBorders>
              <w:top w:val="single" w:sz="4" w:space="0" w:color="auto"/>
              <w:left w:val="single" w:sz="4" w:space="0" w:color="auto"/>
              <w:bottom w:val="single" w:sz="4" w:space="0" w:color="auto"/>
              <w:right w:val="nil"/>
            </w:tcBorders>
          </w:tcPr>
          <w:p w14:paraId="16440F4A" w14:textId="77777777" w:rsidR="00E010F1" w:rsidRPr="00547EC7" w:rsidRDefault="00E010F1" w:rsidP="00E010F1">
            <w:pPr>
              <w:pStyle w:val="TABLEBODY"/>
              <w:rPr>
                <w:i/>
                <w:sz w:val="20"/>
                <w:szCs w:val="20"/>
              </w:rPr>
            </w:pPr>
            <w:r w:rsidRPr="00547EC7">
              <w:rPr>
                <w:sz w:val="20"/>
                <w:szCs w:val="20"/>
              </w:rPr>
              <w:t>0.88%</w:t>
            </w:r>
          </w:p>
        </w:tc>
      </w:tr>
    </w:tbl>
    <w:p w14:paraId="6862CB64" w14:textId="77777777" w:rsidR="00E010F1" w:rsidRPr="00547EC7" w:rsidRDefault="00E010F1" w:rsidP="00E010F1">
      <w:pPr>
        <w:pStyle w:val="TEXTINDENT"/>
        <w:ind w:firstLine="0"/>
        <w:rPr>
          <w:lang w:val="en-GB"/>
        </w:rPr>
      </w:pPr>
      <w:r w:rsidRPr="00547EC7">
        <w:rPr>
          <w:lang w:val="en-GB"/>
        </w:rPr>
        <w:t xml:space="preserve">  </w:t>
      </w:r>
    </w:p>
    <w:p w14:paraId="3121A73A" w14:textId="77777777" w:rsidR="00E010F1" w:rsidRPr="00547EC7" w:rsidRDefault="00E010F1" w:rsidP="00E010F1">
      <w:pPr>
        <w:pStyle w:val="TEXTINDENT"/>
        <w:rPr>
          <w:lang w:val="en-GB"/>
        </w:rPr>
      </w:pPr>
      <w:r w:rsidRPr="00547EC7">
        <w:rPr>
          <w:lang w:val="en-GB"/>
        </w:rPr>
        <w:t xml:space="preserve">The table above reveals </w:t>
      </w:r>
      <w:proofErr w:type="gramStart"/>
      <w:r w:rsidRPr="00547EC7">
        <w:rPr>
          <w:lang w:val="en-GB"/>
        </w:rPr>
        <w:t>a number of</w:t>
      </w:r>
      <w:proofErr w:type="gramEnd"/>
      <w:r w:rsidRPr="00547EC7">
        <w:rPr>
          <w:lang w:val="en-GB"/>
        </w:rPr>
        <w:t xml:space="preserve"> significant points. Firstly, ‘collaborative’ sub-codes that address how individuals work together are more prominent at a national level than within institutional documents. ‘Pedagogical’ sub-codes also feature more prominently at national policy level than in other sub-domains. There is also a marked distinction between national and institutional levels for three themes: ‘experiential’, ‘labour’ and ‘processual’. This suggests that national policy and practice texts address the educational system to a greater degree than institutional texts.</w:t>
      </w:r>
    </w:p>
    <w:p w14:paraId="7319251F" w14:textId="77777777" w:rsidR="00E010F1" w:rsidRPr="00547EC7" w:rsidRDefault="00E010F1" w:rsidP="00E010F1">
      <w:pPr>
        <w:pStyle w:val="TEXTINDENT"/>
        <w:rPr>
          <w:lang w:val="en-GB"/>
        </w:rPr>
      </w:pPr>
    </w:p>
    <w:p w14:paraId="26B21A4A" w14:textId="77777777" w:rsidR="00E010F1" w:rsidRPr="00547EC7" w:rsidRDefault="00E010F1" w:rsidP="00E010F1">
      <w:pPr>
        <w:pStyle w:val="HEADING2Numbered"/>
        <w:rPr>
          <w:lang w:val="en-GB"/>
        </w:rPr>
      </w:pPr>
      <w:bookmarkStart w:id="15" w:name="Agentpatient_relations"/>
      <w:r w:rsidRPr="00547EC7">
        <w:rPr>
          <w:lang w:val="en-GB"/>
        </w:rPr>
        <w:t>Agent-patient relations</w:t>
      </w:r>
      <w:bookmarkEnd w:id="15"/>
    </w:p>
    <w:p w14:paraId="19A73E76" w14:textId="0FC468DD" w:rsidR="00E010F1" w:rsidRPr="00547EC7" w:rsidRDefault="00E010F1" w:rsidP="00E010F1">
      <w:pPr>
        <w:pStyle w:val="TEXTINDENT"/>
        <w:rPr>
          <w:lang w:val="en-GB"/>
        </w:rPr>
      </w:pPr>
      <w:r w:rsidRPr="00547EC7">
        <w:rPr>
          <w:lang w:val="en-GB"/>
        </w:rPr>
        <w:t>The subjects of the policy and practice texts are namely those who act (agents) and receive, respond or are subject to actions (patients). Both feature prominently in the texts across the genres, averaging 23.95% of all references coded. The terms which feature most prominently are ‘students’ (757), ‘institutions’ (479), and ‘supervisors’ (451). Related terms include ‘postgraduate researchers’ (309) and ‘candidates’ (267),</w:t>
      </w:r>
      <w:r w:rsidR="00013069">
        <w:rPr>
          <w:lang w:val="en-GB"/>
        </w:rPr>
        <w:t xml:space="preserve"> </w:t>
      </w:r>
      <w:r w:rsidRPr="00547EC7">
        <w:rPr>
          <w:lang w:val="en-GB"/>
        </w:rPr>
        <w:t>which have been disaggregated from ‘student’ as they hold different connotations, which are treated in the discussion below. The following table summarises the percentage coverage of these references across the four genres.</w:t>
      </w:r>
    </w:p>
    <w:p w14:paraId="4013E379" w14:textId="77777777" w:rsidR="00E010F1" w:rsidRPr="00547EC7" w:rsidRDefault="00E010F1" w:rsidP="00E010F1">
      <w:pPr>
        <w:pStyle w:val="CAPTIONTEXT"/>
        <w:rPr>
          <w:rStyle w:val="CSSMALLCAPS"/>
        </w:rPr>
      </w:pPr>
    </w:p>
    <w:p w14:paraId="560A720C" w14:textId="77777777" w:rsidR="00E010F1" w:rsidRPr="00547EC7" w:rsidRDefault="00E010F1" w:rsidP="00E010F1">
      <w:pPr>
        <w:pStyle w:val="CAPTIONTEXT"/>
      </w:pPr>
      <w:r w:rsidRPr="00547EC7">
        <w:rPr>
          <w:rStyle w:val="CSSMALLCAPS"/>
        </w:rPr>
        <w:t>table 4</w:t>
      </w:r>
      <w:r w:rsidRPr="00547EC7">
        <w:tab/>
        <w:t>Coverage of agents/patients across the genre sub-domains.</w:t>
      </w:r>
    </w:p>
    <w:tbl>
      <w:tblPr>
        <w:tblW w:w="0" w:type="auto"/>
        <w:tblLook w:val="04A0" w:firstRow="1" w:lastRow="0" w:firstColumn="1" w:lastColumn="0" w:noHBand="0" w:noVBand="1"/>
      </w:tblPr>
      <w:tblGrid>
        <w:gridCol w:w="1418"/>
        <w:gridCol w:w="1252"/>
        <w:gridCol w:w="1304"/>
        <w:gridCol w:w="1275"/>
        <w:gridCol w:w="1275"/>
      </w:tblGrid>
      <w:tr w:rsidR="00E010F1" w:rsidRPr="00547EC7" w14:paraId="51D75067" w14:textId="77777777" w:rsidTr="00E010F1">
        <w:tc>
          <w:tcPr>
            <w:tcW w:w="1418" w:type="dxa"/>
            <w:tcBorders>
              <w:top w:val="nil"/>
              <w:left w:val="nil"/>
              <w:bottom w:val="single" w:sz="4" w:space="0" w:color="auto"/>
              <w:right w:val="nil"/>
            </w:tcBorders>
          </w:tcPr>
          <w:p w14:paraId="69C60F12" w14:textId="77777777" w:rsidR="00E010F1" w:rsidRPr="00547EC7" w:rsidRDefault="00E010F1" w:rsidP="00E010F1">
            <w:pPr>
              <w:pStyle w:val="TABLEBODY"/>
            </w:pPr>
          </w:p>
        </w:tc>
        <w:tc>
          <w:tcPr>
            <w:tcW w:w="1252" w:type="dxa"/>
            <w:tcBorders>
              <w:left w:val="nil"/>
              <w:bottom w:val="single" w:sz="4" w:space="0" w:color="auto"/>
              <w:right w:val="nil"/>
            </w:tcBorders>
          </w:tcPr>
          <w:p w14:paraId="6E3D2823" w14:textId="77777777" w:rsidR="00E010F1" w:rsidRPr="00547EC7" w:rsidRDefault="00E010F1" w:rsidP="00E010F1">
            <w:pPr>
              <w:pStyle w:val="TABLECOLUMNHEAD"/>
              <w:framePr w:wrap="auto" w:vAnchor="margin" w:yAlign="inline"/>
              <w:suppressOverlap w:val="0"/>
              <w:rPr>
                <w:sz w:val="20"/>
                <w:szCs w:val="20"/>
                <w:vertAlign w:val="superscript"/>
              </w:rPr>
            </w:pPr>
            <w:r w:rsidRPr="00547EC7">
              <w:rPr>
                <w:sz w:val="20"/>
                <w:szCs w:val="20"/>
              </w:rPr>
              <w:t>National policy</w:t>
            </w:r>
          </w:p>
        </w:tc>
        <w:tc>
          <w:tcPr>
            <w:tcW w:w="1304" w:type="dxa"/>
            <w:tcBorders>
              <w:left w:val="nil"/>
              <w:bottom w:val="single" w:sz="4" w:space="0" w:color="auto"/>
              <w:right w:val="nil"/>
            </w:tcBorders>
          </w:tcPr>
          <w:p w14:paraId="3B39B78F" w14:textId="77777777" w:rsidR="00E010F1" w:rsidRPr="00547EC7" w:rsidRDefault="00E010F1" w:rsidP="00E010F1">
            <w:pPr>
              <w:pStyle w:val="TABLECOLUMNHEAD"/>
              <w:framePr w:wrap="auto" w:vAnchor="margin" w:yAlign="inline"/>
              <w:suppressOverlap w:val="0"/>
              <w:rPr>
                <w:sz w:val="20"/>
                <w:szCs w:val="20"/>
              </w:rPr>
            </w:pPr>
            <w:r w:rsidRPr="00547EC7">
              <w:rPr>
                <w:sz w:val="20"/>
                <w:szCs w:val="20"/>
              </w:rPr>
              <w:t>National practice</w:t>
            </w:r>
          </w:p>
        </w:tc>
        <w:tc>
          <w:tcPr>
            <w:tcW w:w="1275" w:type="dxa"/>
            <w:tcBorders>
              <w:left w:val="nil"/>
              <w:bottom w:val="single" w:sz="4" w:space="0" w:color="auto"/>
              <w:right w:val="nil"/>
            </w:tcBorders>
          </w:tcPr>
          <w:p w14:paraId="3043B1B5" w14:textId="77777777" w:rsidR="00E010F1" w:rsidRPr="00547EC7" w:rsidRDefault="00E010F1" w:rsidP="00E010F1">
            <w:pPr>
              <w:pStyle w:val="TABLECOLUMNHEAD"/>
              <w:framePr w:wrap="auto" w:vAnchor="margin" w:yAlign="inline"/>
              <w:suppressOverlap w:val="0"/>
              <w:rPr>
                <w:sz w:val="20"/>
                <w:szCs w:val="20"/>
              </w:rPr>
            </w:pPr>
            <w:r w:rsidRPr="00547EC7">
              <w:rPr>
                <w:sz w:val="20"/>
                <w:szCs w:val="20"/>
              </w:rPr>
              <w:t>Institutional Policy</w:t>
            </w:r>
          </w:p>
        </w:tc>
        <w:tc>
          <w:tcPr>
            <w:tcW w:w="1275" w:type="dxa"/>
            <w:tcBorders>
              <w:left w:val="nil"/>
              <w:bottom w:val="single" w:sz="4" w:space="0" w:color="auto"/>
              <w:right w:val="nil"/>
            </w:tcBorders>
          </w:tcPr>
          <w:p w14:paraId="30052E8B" w14:textId="77777777" w:rsidR="00E010F1" w:rsidRPr="00547EC7" w:rsidRDefault="00E010F1" w:rsidP="00E010F1">
            <w:pPr>
              <w:pStyle w:val="TABLECOLUMNHEAD"/>
              <w:framePr w:wrap="auto" w:vAnchor="margin" w:yAlign="inline"/>
              <w:suppressOverlap w:val="0"/>
              <w:rPr>
                <w:sz w:val="20"/>
                <w:szCs w:val="20"/>
              </w:rPr>
            </w:pPr>
            <w:r w:rsidRPr="00547EC7">
              <w:rPr>
                <w:sz w:val="20"/>
                <w:szCs w:val="20"/>
              </w:rPr>
              <w:t>Institutional Practice</w:t>
            </w:r>
          </w:p>
        </w:tc>
      </w:tr>
      <w:tr w:rsidR="00E010F1" w:rsidRPr="00547EC7" w14:paraId="70800B8E" w14:textId="77777777" w:rsidTr="00E010F1">
        <w:tc>
          <w:tcPr>
            <w:tcW w:w="1418" w:type="dxa"/>
            <w:tcBorders>
              <w:left w:val="nil"/>
              <w:bottom w:val="single" w:sz="4" w:space="0" w:color="auto"/>
              <w:right w:val="single" w:sz="4" w:space="0" w:color="auto"/>
            </w:tcBorders>
          </w:tcPr>
          <w:p w14:paraId="4C346B50" w14:textId="77777777" w:rsidR="00E010F1" w:rsidRPr="00547EC7" w:rsidRDefault="00E010F1" w:rsidP="00E010F1">
            <w:pPr>
              <w:pStyle w:val="TABLEBODY"/>
              <w:rPr>
                <w:sz w:val="20"/>
              </w:rPr>
            </w:pPr>
            <w:r w:rsidRPr="00547EC7">
              <w:rPr>
                <w:sz w:val="20"/>
              </w:rPr>
              <w:t>Student</w:t>
            </w:r>
          </w:p>
        </w:tc>
        <w:tc>
          <w:tcPr>
            <w:tcW w:w="1252" w:type="dxa"/>
            <w:tcBorders>
              <w:left w:val="single" w:sz="4" w:space="0" w:color="auto"/>
              <w:bottom w:val="single" w:sz="4" w:space="0" w:color="auto"/>
              <w:right w:val="single" w:sz="4" w:space="0" w:color="auto"/>
            </w:tcBorders>
          </w:tcPr>
          <w:p w14:paraId="1205CB7C" w14:textId="77777777" w:rsidR="00E010F1" w:rsidRPr="00547EC7" w:rsidRDefault="00E010F1" w:rsidP="00E010F1">
            <w:pPr>
              <w:pStyle w:val="TABLEBODY"/>
              <w:rPr>
                <w:sz w:val="20"/>
                <w:szCs w:val="20"/>
              </w:rPr>
            </w:pPr>
            <w:r w:rsidRPr="00547EC7">
              <w:rPr>
                <w:sz w:val="20"/>
                <w:szCs w:val="20"/>
              </w:rPr>
              <w:t>17.2%</w:t>
            </w:r>
          </w:p>
        </w:tc>
        <w:tc>
          <w:tcPr>
            <w:tcW w:w="1304" w:type="dxa"/>
            <w:tcBorders>
              <w:left w:val="single" w:sz="4" w:space="0" w:color="auto"/>
              <w:bottom w:val="single" w:sz="4" w:space="0" w:color="auto"/>
              <w:right w:val="single" w:sz="4" w:space="0" w:color="auto"/>
            </w:tcBorders>
          </w:tcPr>
          <w:p w14:paraId="035C0B59" w14:textId="77777777" w:rsidR="00E010F1" w:rsidRPr="00547EC7" w:rsidRDefault="00E010F1" w:rsidP="00E010F1">
            <w:pPr>
              <w:pStyle w:val="TABLEBODY"/>
              <w:rPr>
                <w:sz w:val="20"/>
                <w:szCs w:val="20"/>
              </w:rPr>
            </w:pPr>
            <w:r w:rsidRPr="00547EC7">
              <w:rPr>
                <w:sz w:val="20"/>
                <w:szCs w:val="20"/>
              </w:rPr>
              <w:t>7.4%</w:t>
            </w:r>
          </w:p>
        </w:tc>
        <w:tc>
          <w:tcPr>
            <w:tcW w:w="1275" w:type="dxa"/>
            <w:tcBorders>
              <w:left w:val="single" w:sz="4" w:space="0" w:color="auto"/>
              <w:bottom w:val="single" w:sz="4" w:space="0" w:color="auto"/>
              <w:right w:val="single" w:sz="4" w:space="0" w:color="auto"/>
            </w:tcBorders>
          </w:tcPr>
          <w:p w14:paraId="7D2C0AC1" w14:textId="77777777" w:rsidR="00E010F1" w:rsidRPr="00547EC7" w:rsidRDefault="00E010F1" w:rsidP="00E010F1">
            <w:pPr>
              <w:pStyle w:val="TABLEBODY"/>
              <w:rPr>
                <w:sz w:val="20"/>
                <w:szCs w:val="20"/>
              </w:rPr>
            </w:pPr>
            <w:r w:rsidRPr="00547EC7">
              <w:rPr>
                <w:sz w:val="20"/>
                <w:szCs w:val="20"/>
              </w:rPr>
              <w:t>4.61%</w:t>
            </w:r>
          </w:p>
        </w:tc>
        <w:tc>
          <w:tcPr>
            <w:tcW w:w="1275" w:type="dxa"/>
            <w:tcBorders>
              <w:left w:val="single" w:sz="4" w:space="0" w:color="auto"/>
              <w:bottom w:val="single" w:sz="4" w:space="0" w:color="auto"/>
              <w:right w:val="nil"/>
            </w:tcBorders>
          </w:tcPr>
          <w:p w14:paraId="1DA57B83" w14:textId="77777777" w:rsidR="00E010F1" w:rsidRPr="00547EC7" w:rsidRDefault="00E010F1" w:rsidP="00E010F1">
            <w:pPr>
              <w:pStyle w:val="TABLEBODY"/>
              <w:rPr>
                <w:sz w:val="20"/>
                <w:szCs w:val="20"/>
              </w:rPr>
            </w:pPr>
            <w:r w:rsidRPr="00547EC7">
              <w:rPr>
                <w:sz w:val="20"/>
                <w:szCs w:val="20"/>
              </w:rPr>
              <w:t>11.64%</w:t>
            </w:r>
          </w:p>
        </w:tc>
      </w:tr>
      <w:tr w:rsidR="00E010F1" w:rsidRPr="00547EC7" w14:paraId="79250C08" w14:textId="77777777" w:rsidTr="00E010F1">
        <w:tc>
          <w:tcPr>
            <w:tcW w:w="1418" w:type="dxa"/>
            <w:tcBorders>
              <w:left w:val="nil"/>
              <w:bottom w:val="single" w:sz="4" w:space="0" w:color="auto"/>
              <w:right w:val="single" w:sz="4" w:space="0" w:color="auto"/>
            </w:tcBorders>
          </w:tcPr>
          <w:p w14:paraId="7B4844E9" w14:textId="77777777" w:rsidR="00E010F1" w:rsidRPr="00547EC7" w:rsidRDefault="00E010F1" w:rsidP="00E010F1">
            <w:pPr>
              <w:pStyle w:val="TABLEBODY"/>
              <w:rPr>
                <w:sz w:val="20"/>
              </w:rPr>
            </w:pPr>
            <w:r w:rsidRPr="00547EC7">
              <w:rPr>
                <w:sz w:val="20"/>
              </w:rPr>
              <w:t>Institution</w:t>
            </w:r>
          </w:p>
        </w:tc>
        <w:tc>
          <w:tcPr>
            <w:tcW w:w="1252" w:type="dxa"/>
            <w:tcBorders>
              <w:left w:val="single" w:sz="4" w:space="0" w:color="auto"/>
              <w:bottom w:val="single" w:sz="4" w:space="0" w:color="auto"/>
              <w:right w:val="single" w:sz="4" w:space="0" w:color="auto"/>
            </w:tcBorders>
          </w:tcPr>
          <w:p w14:paraId="1E88A871" w14:textId="77777777" w:rsidR="00E010F1" w:rsidRPr="00547EC7" w:rsidRDefault="00E010F1" w:rsidP="00E010F1">
            <w:pPr>
              <w:pStyle w:val="TABLEBODY"/>
              <w:rPr>
                <w:sz w:val="20"/>
                <w:szCs w:val="20"/>
              </w:rPr>
            </w:pPr>
            <w:r w:rsidRPr="00547EC7">
              <w:rPr>
                <w:sz w:val="20"/>
                <w:szCs w:val="20"/>
              </w:rPr>
              <w:t>0.84%</w:t>
            </w:r>
          </w:p>
        </w:tc>
        <w:tc>
          <w:tcPr>
            <w:tcW w:w="1304" w:type="dxa"/>
            <w:tcBorders>
              <w:left w:val="single" w:sz="4" w:space="0" w:color="auto"/>
              <w:bottom w:val="single" w:sz="4" w:space="0" w:color="auto"/>
              <w:right w:val="single" w:sz="4" w:space="0" w:color="auto"/>
            </w:tcBorders>
          </w:tcPr>
          <w:p w14:paraId="7BB2AC06" w14:textId="77777777" w:rsidR="00E010F1" w:rsidRPr="00547EC7" w:rsidRDefault="00E010F1" w:rsidP="00E010F1">
            <w:pPr>
              <w:pStyle w:val="TABLEBODY"/>
              <w:rPr>
                <w:sz w:val="20"/>
                <w:szCs w:val="20"/>
              </w:rPr>
            </w:pPr>
            <w:r w:rsidRPr="00547EC7">
              <w:rPr>
                <w:sz w:val="20"/>
                <w:szCs w:val="20"/>
              </w:rPr>
              <w:t>0.91%</w:t>
            </w:r>
          </w:p>
        </w:tc>
        <w:tc>
          <w:tcPr>
            <w:tcW w:w="1275" w:type="dxa"/>
            <w:tcBorders>
              <w:left w:val="single" w:sz="4" w:space="0" w:color="auto"/>
              <w:bottom w:val="single" w:sz="4" w:space="0" w:color="auto"/>
              <w:right w:val="single" w:sz="4" w:space="0" w:color="auto"/>
            </w:tcBorders>
          </w:tcPr>
          <w:p w14:paraId="107E4C22" w14:textId="77777777" w:rsidR="00E010F1" w:rsidRPr="00547EC7" w:rsidRDefault="00E010F1" w:rsidP="00E010F1">
            <w:pPr>
              <w:pStyle w:val="TABLEBODY"/>
              <w:rPr>
                <w:sz w:val="20"/>
                <w:szCs w:val="20"/>
              </w:rPr>
            </w:pPr>
            <w:r w:rsidRPr="00547EC7">
              <w:rPr>
                <w:sz w:val="20"/>
                <w:szCs w:val="20"/>
              </w:rPr>
              <w:t>2.42%</w:t>
            </w:r>
          </w:p>
        </w:tc>
        <w:tc>
          <w:tcPr>
            <w:tcW w:w="1275" w:type="dxa"/>
            <w:tcBorders>
              <w:left w:val="single" w:sz="4" w:space="0" w:color="auto"/>
              <w:bottom w:val="single" w:sz="4" w:space="0" w:color="auto"/>
              <w:right w:val="nil"/>
            </w:tcBorders>
          </w:tcPr>
          <w:p w14:paraId="583B61D5" w14:textId="77777777" w:rsidR="00E010F1" w:rsidRPr="00547EC7" w:rsidRDefault="00E010F1" w:rsidP="00E010F1">
            <w:pPr>
              <w:pStyle w:val="TABLEBODY"/>
              <w:rPr>
                <w:sz w:val="20"/>
                <w:szCs w:val="20"/>
              </w:rPr>
            </w:pPr>
            <w:r w:rsidRPr="00547EC7">
              <w:rPr>
                <w:sz w:val="20"/>
                <w:szCs w:val="20"/>
              </w:rPr>
              <w:t>0.75%</w:t>
            </w:r>
          </w:p>
        </w:tc>
      </w:tr>
      <w:tr w:rsidR="00E010F1" w:rsidRPr="00547EC7" w14:paraId="5B94EB51" w14:textId="77777777" w:rsidTr="00E010F1">
        <w:tc>
          <w:tcPr>
            <w:tcW w:w="1418" w:type="dxa"/>
            <w:tcBorders>
              <w:left w:val="nil"/>
              <w:bottom w:val="single" w:sz="4" w:space="0" w:color="auto"/>
              <w:right w:val="single" w:sz="4" w:space="0" w:color="auto"/>
            </w:tcBorders>
          </w:tcPr>
          <w:p w14:paraId="1D4B7F14" w14:textId="77777777" w:rsidR="00E010F1" w:rsidRPr="00547EC7" w:rsidRDefault="00E010F1" w:rsidP="00E010F1">
            <w:pPr>
              <w:pStyle w:val="TABLEBODY"/>
              <w:rPr>
                <w:sz w:val="20"/>
              </w:rPr>
            </w:pPr>
            <w:r w:rsidRPr="00547EC7">
              <w:rPr>
                <w:sz w:val="20"/>
              </w:rPr>
              <w:t>Supervisor</w:t>
            </w:r>
          </w:p>
        </w:tc>
        <w:tc>
          <w:tcPr>
            <w:tcW w:w="1252" w:type="dxa"/>
            <w:tcBorders>
              <w:left w:val="single" w:sz="4" w:space="0" w:color="auto"/>
              <w:bottom w:val="single" w:sz="4" w:space="0" w:color="auto"/>
              <w:right w:val="single" w:sz="4" w:space="0" w:color="auto"/>
            </w:tcBorders>
          </w:tcPr>
          <w:p w14:paraId="7456D297" w14:textId="77777777" w:rsidR="00E010F1" w:rsidRPr="00547EC7" w:rsidRDefault="00E010F1" w:rsidP="00E010F1">
            <w:pPr>
              <w:pStyle w:val="TABLEBODY"/>
              <w:rPr>
                <w:sz w:val="20"/>
                <w:szCs w:val="20"/>
              </w:rPr>
            </w:pPr>
            <w:r w:rsidRPr="00547EC7">
              <w:rPr>
                <w:sz w:val="20"/>
                <w:szCs w:val="20"/>
              </w:rPr>
              <w:t>3.73%</w:t>
            </w:r>
          </w:p>
        </w:tc>
        <w:tc>
          <w:tcPr>
            <w:tcW w:w="1304" w:type="dxa"/>
            <w:tcBorders>
              <w:left w:val="single" w:sz="4" w:space="0" w:color="auto"/>
              <w:bottom w:val="single" w:sz="4" w:space="0" w:color="auto"/>
              <w:right w:val="single" w:sz="4" w:space="0" w:color="auto"/>
            </w:tcBorders>
          </w:tcPr>
          <w:p w14:paraId="41D9F121" w14:textId="77777777" w:rsidR="00E010F1" w:rsidRPr="00547EC7" w:rsidRDefault="00E010F1" w:rsidP="00E010F1">
            <w:pPr>
              <w:pStyle w:val="TABLEBODY"/>
              <w:rPr>
                <w:sz w:val="20"/>
                <w:szCs w:val="20"/>
              </w:rPr>
            </w:pPr>
            <w:r w:rsidRPr="00547EC7">
              <w:rPr>
                <w:sz w:val="20"/>
                <w:szCs w:val="20"/>
              </w:rPr>
              <w:t>13.15%</w:t>
            </w:r>
          </w:p>
        </w:tc>
        <w:tc>
          <w:tcPr>
            <w:tcW w:w="1275" w:type="dxa"/>
            <w:tcBorders>
              <w:left w:val="single" w:sz="4" w:space="0" w:color="auto"/>
              <w:bottom w:val="single" w:sz="4" w:space="0" w:color="auto"/>
              <w:right w:val="single" w:sz="4" w:space="0" w:color="auto"/>
            </w:tcBorders>
          </w:tcPr>
          <w:p w14:paraId="610445A5" w14:textId="77777777" w:rsidR="00E010F1" w:rsidRPr="00547EC7" w:rsidRDefault="00E010F1" w:rsidP="00E010F1">
            <w:pPr>
              <w:pStyle w:val="TABLEBODY"/>
              <w:rPr>
                <w:sz w:val="20"/>
                <w:szCs w:val="20"/>
              </w:rPr>
            </w:pPr>
            <w:r w:rsidRPr="00547EC7">
              <w:rPr>
                <w:sz w:val="20"/>
                <w:szCs w:val="20"/>
              </w:rPr>
              <w:t>1.99%</w:t>
            </w:r>
          </w:p>
        </w:tc>
        <w:tc>
          <w:tcPr>
            <w:tcW w:w="1275" w:type="dxa"/>
            <w:tcBorders>
              <w:left w:val="single" w:sz="4" w:space="0" w:color="auto"/>
              <w:bottom w:val="single" w:sz="4" w:space="0" w:color="auto"/>
              <w:right w:val="nil"/>
            </w:tcBorders>
          </w:tcPr>
          <w:p w14:paraId="7BF0AFCB" w14:textId="77777777" w:rsidR="00E010F1" w:rsidRPr="00547EC7" w:rsidRDefault="00E010F1" w:rsidP="00E010F1">
            <w:pPr>
              <w:pStyle w:val="TABLEBODY"/>
              <w:rPr>
                <w:sz w:val="20"/>
                <w:szCs w:val="20"/>
              </w:rPr>
            </w:pPr>
            <w:r w:rsidRPr="00547EC7">
              <w:rPr>
                <w:sz w:val="20"/>
                <w:szCs w:val="20"/>
              </w:rPr>
              <w:t>5.53%</w:t>
            </w:r>
          </w:p>
        </w:tc>
      </w:tr>
      <w:tr w:rsidR="00E010F1" w:rsidRPr="00547EC7" w14:paraId="15EDF86B" w14:textId="77777777" w:rsidTr="00E010F1">
        <w:tc>
          <w:tcPr>
            <w:tcW w:w="1418" w:type="dxa"/>
            <w:tcBorders>
              <w:top w:val="single" w:sz="4" w:space="0" w:color="auto"/>
              <w:left w:val="nil"/>
              <w:bottom w:val="single" w:sz="4" w:space="0" w:color="auto"/>
              <w:right w:val="single" w:sz="4" w:space="0" w:color="auto"/>
            </w:tcBorders>
          </w:tcPr>
          <w:p w14:paraId="7B1463E7" w14:textId="77777777" w:rsidR="00E010F1" w:rsidRPr="00547EC7" w:rsidRDefault="00E010F1" w:rsidP="00E010F1">
            <w:pPr>
              <w:pStyle w:val="TABLEBODY"/>
              <w:rPr>
                <w:sz w:val="20"/>
              </w:rPr>
            </w:pPr>
            <w:r w:rsidRPr="00547EC7">
              <w:rPr>
                <w:sz w:val="20"/>
              </w:rPr>
              <w:t xml:space="preserve">Postgraduate </w:t>
            </w:r>
            <w:r w:rsidRPr="00547EC7">
              <w:rPr>
                <w:sz w:val="20"/>
              </w:rPr>
              <w:lastRenderedPageBreak/>
              <w:t>researchers</w:t>
            </w:r>
          </w:p>
        </w:tc>
        <w:tc>
          <w:tcPr>
            <w:tcW w:w="1252" w:type="dxa"/>
            <w:tcBorders>
              <w:top w:val="single" w:sz="4" w:space="0" w:color="auto"/>
              <w:left w:val="single" w:sz="4" w:space="0" w:color="auto"/>
              <w:bottom w:val="single" w:sz="4" w:space="0" w:color="auto"/>
              <w:right w:val="single" w:sz="4" w:space="0" w:color="auto"/>
            </w:tcBorders>
          </w:tcPr>
          <w:p w14:paraId="5849A12F" w14:textId="77777777" w:rsidR="00E010F1" w:rsidRPr="00547EC7" w:rsidRDefault="00E010F1" w:rsidP="00E010F1">
            <w:pPr>
              <w:pStyle w:val="TABLEBODY"/>
              <w:rPr>
                <w:i/>
                <w:sz w:val="20"/>
                <w:szCs w:val="20"/>
              </w:rPr>
            </w:pPr>
            <w:r w:rsidRPr="00547EC7">
              <w:rPr>
                <w:sz w:val="20"/>
                <w:szCs w:val="20"/>
              </w:rPr>
              <w:lastRenderedPageBreak/>
              <w:t>2.78%</w:t>
            </w:r>
          </w:p>
        </w:tc>
        <w:tc>
          <w:tcPr>
            <w:tcW w:w="1304" w:type="dxa"/>
            <w:tcBorders>
              <w:top w:val="single" w:sz="4" w:space="0" w:color="auto"/>
              <w:left w:val="single" w:sz="4" w:space="0" w:color="auto"/>
              <w:bottom w:val="single" w:sz="4" w:space="0" w:color="auto"/>
              <w:right w:val="single" w:sz="4" w:space="0" w:color="auto"/>
            </w:tcBorders>
          </w:tcPr>
          <w:p w14:paraId="1BB9631D" w14:textId="77777777" w:rsidR="00E010F1" w:rsidRPr="00547EC7" w:rsidRDefault="00E010F1" w:rsidP="00E010F1">
            <w:pPr>
              <w:pStyle w:val="TABLEBODY"/>
              <w:rPr>
                <w:i/>
                <w:sz w:val="20"/>
                <w:szCs w:val="20"/>
              </w:rPr>
            </w:pPr>
            <w:r w:rsidRPr="00547EC7">
              <w:rPr>
                <w:sz w:val="20"/>
                <w:szCs w:val="20"/>
              </w:rPr>
              <w:t>0.43%</w:t>
            </w:r>
          </w:p>
        </w:tc>
        <w:tc>
          <w:tcPr>
            <w:tcW w:w="1275" w:type="dxa"/>
            <w:tcBorders>
              <w:top w:val="single" w:sz="4" w:space="0" w:color="auto"/>
              <w:left w:val="single" w:sz="4" w:space="0" w:color="auto"/>
              <w:bottom w:val="single" w:sz="4" w:space="0" w:color="auto"/>
              <w:right w:val="single" w:sz="4" w:space="0" w:color="auto"/>
            </w:tcBorders>
          </w:tcPr>
          <w:p w14:paraId="321C1D9D" w14:textId="77777777" w:rsidR="00E010F1" w:rsidRPr="00547EC7" w:rsidRDefault="00E010F1" w:rsidP="00E010F1">
            <w:pPr>
              <w:pStyle w:val="TABLEBODY"/>
              <w:rPr>
                <w:i/>
                <w:sz w:val="20"/>
                <w:szCs w:val="20"/>
              </w:rPr>
            </w:pPr>
            <w:r w:rsidRPr="00547EC7">
              <w:rPr>
                <w:sz w:val="20"/>
                <w:szCs w:val="20"/>
              </w:rPr>
              <w:t>0%</w:t>
            </w:r>
          </w:p>
        </w:tc>
        <w:tc>
          <w:tcPr>
            <w:tcW w:w="1275" w:type="dxa"/>
            <w:tcBorders>
              <w:top w:val="single" w:sz="4" w:space="0" w:color="auto"/>
              <w:left w:val="single" w:sz="4" w:space="0" w:color="auto"/>
              <w:bottom w:val="single" w:sz="4" w:space="0" w:color="auto"/>
              <w:right w:val="nil"/>
            </w:tcBorders>
          </w:tcPr>
          <w:p w14:paraId="7BA8CDD9" w14:textId="77777777" w:rsidR="00E010F1" w:rsidRPr="00547EC7" w:rsidRDefault="00E010F1" w:rsidP="00E010F1">
            <w:pPr>
              <w:pStyle w:val="TABLEBODY"/>
              <w:rPr>
                <w:i/>
                <w:sz w:val="20"/>
                <w:szCs w:val="20"/>
              </w:rPr>
            </w:pPr>
            <w:r w:rsidRPr="00547EC7">
              <w:rPr>
                <w:sz w:val="20"/>
                <w:szCs w:val="20"/>
              </w:rPr>
              <w:t>0%</w:t>
            </w:r>
          </w:p>
        </w:tc>
      </w:tr>
      <w:tr w:rsidR="00E010F1" w:rsidRPr="00547EC7" w14:paraId="4610DB9D" w14:textId="77777777" w:rsidTr="00E010F1">
        <w:tc>
          <w:tcPr>
            <w:tcW w:w="1418" w:type="dxa"/>
            <w:tcBorders>
              <w:top w:val="single" w:sz="4" w:space="0" w:color="auto"/>
              <w:left w:val="nil"/>
              <w:bottom w:val="single" w:sz="4" w:space="0" w:color="auto"/>
              <w:right w:val="single" w:sz="4" w:space="0" w:color="auto"/>
            </w:tcBorders>
          </w:tcPr>
          <w:p w14:paraId="655FDAA4" w14:textId="77777777" w:rsidR="00E010F1" w:rsidRPr="00547EC7" w:rsidRDefault="00E010F1" w:rsidP="00E010F1">
            <w:pPr>
              <w:pStyle w:val="TABLEBODY"/>
              <w:rPr>
                <w:sz w:val="20"/>
              </w:rPr>
            </w:pPr>
            <w:r w:rsidRPr="00547EC7">
              <w:rPr>
                <w:sz w:val="20"/>
              </w:rPr>
              <w:t>Candidate</w:t>
            </w:r>
          </w:p>
        </w:tc>
        <w:tc>
          <w:tcPr>
            <w:tcW w:w="1252" w:type="dxa"/>
            <w:tcBorders>
              <w:top w:val="single" w:sz="4" w:space="0" w:color="auto"/>
              <w:left w:val="single" w:sz="4" w:space="0" w:color="auto"/>
              <w:bottom w:val="single" w:sz="4" w:space="0" w:color="auto"/>
              <w:right w:val="single" w:sz="4" w:space="0" w:color="auto"/>
            </w:tcBorders>
          </w:tcPr>
          <w:p w14:paraId="2953A124" w14:textId="77777777" w:rsidR="00E010F1" w:rsidRPr="00547EC7" w:rsidRDefault="00E010F1" w:rsidP="00E010F1">
            <w:pPr>
              <w:pStyle w:val="TABLEBODY"/>
              <w:rPr>
                <w:i/>
                <w:sz w:val="20"/>
                <w:szCs w:val="20"/>
              </w:rPr>
            </w:pPr>
            <w:r w:rsidRPr="00547EC7">
              <w:rPr>
                <w:sz w:val="20"/>
                <w:szCs w:val="20"/>
              </w:rPr>
              <w:t>0.53%</w:t>
            </w:r>
          </w:p>
        </w:tc>
        <w:tc>
          <w:tcPr>
            <w:tcW w:w="1304" w:type="dxa"/>
            <w:tcBorders>
              <w:top w:val="single" w:sz="4" w:space="0" w:color="auto"/>
              <w:left w:val="single" w:sz="4" w:space="0" w:color="auto"/>
              <w:bottom w:val="single" w:sz="4" w:space="0" w:color="auto"/>
              <w:right w:val="single" w:sz="4" w:space="0" w:color="auto"/>
            </w:tcBorders>
          </w:tcPr>
          <w:p w14:paraId="0859BA92" w14:textId="77777777" w:rsidR="00E010F1" w:rsidRPr="00547EC7" w:rsidRDefault="00E010F1" w:rsidP="00E010F1">
            <w:pPr>
              <w:pStyle w:val="TABLEBODY"/>
              <w:rPr>
                <w:i/>
                <w:sz w:val="20"/>
                <w:szCs w:val="20"/>
              </w:rPr>
            </w:pPr>
            <w:r w:rsidRPr="00547EC7">
              <w:rPr>
                <w:sz w:val="20"/>
                <w:szCs w:val="20"/>
              </w:rPr>
              <w:t>8.61%</w:t>
            </w:r>
          </w:p>
        </w:tc>
        <w:tc>
          <w:tcPr>
            <w:tcW w:w="1275" w:type="dxa"/>
            <w:tcBorders>
              <w:top w:val="single" w:sz="4" w:space="0" w:color="auto"/>
              <w:left w:val="single" w:sz="4" w:space="0" w:color="auto"/>
              <w:bottom w:val="single" w:sz="4" w:space="0" w:color="auto"/>
              <w:right w:val="single" w:sz="4" w:space="0" w:color="auto"/>
            </w:tcBorders>
          </w:tcPr>
          <w:p w14:paraId="75573A5E" w14:textId="77777777" w:rsidR="00E010F1" w:rsidRPr="00547EC7" w:rsidRDefault="00E010F1" w:rsidP="00E010F1">
            <w:pPr>
              <w:pStyle w:val="TABLEBODY"/>
              <w:rPr>
                <w:i/>
                <w:sz w:val="20"/>
                <w:szCs w:val="20"/>
              </w:rPr>
            </w:pPr>
            <w:r w:rsidRPr="00547EC7">
              <w:rPr>
                <w:sz w:val="20"/>
                <w:szCs w:val="20"/>
              </w:rPr>
              <w:t>5.21%</w:t>
            </w:r>
          </w:p>
        </w:tc>
        <w:tc>
          <w:tcPr>
            <w:tcW w:w="1275" w:type="dxa"/>
            <w:tcBorders>
              <w:top w:val="single" w:sz="4" w:space="0" w:color="auto"/>
              <w:left w:val="single" w:sz="4" w:space="0" w:color="auto"/>
              <w:bottom w:val="single" w:sz="4" w:space="0" w:color="auto"/>
              <w:right w:val="nil"/>
            </w:tcBorders>
          </w:tcPr>
          <w:p w14:paraId="2E67255B" w14:textId="77777777" w:rsidR="00E010F1" w:rsidRPr="00547EC7" w:rsidRDefault="00E010F1" w:rsidP="00E010F1">
            <w:pPr>
              <w:pStyle w:val="TABLEBODY"/>
              <w:rPr>
                <w:i/>
                <w:sz w:val="20"/>
                <w:szCs w:val="20"/>
              </w:rPr>
            </w:pPr>
            <w:r w:rsidRPr="00547EC7">
              <w:rPr>
                <w:sz w:val="20"/>
                <w:szCs w:val="20"/>
              </w:rPr>
              <w:t>1.39%</w:t>
            </w:r>
          </w:p>
        </w:tc>
      </w:tr>
    </w:tbl>
    <w:p w14:paraId="0FC601C9" w14:textId="77777777" w:rsidR="00E010F1" w:rsidRPr="00547EC7" w:rsidRDefault="00E010F1" w:rsidP="00E010F1">
      <w:pPr>
        <w:pStyle w:val="TEXTINDENT"/>
        <w:ind w:firstLine="0"/>
        <w:rPr>
          <w:lang w:val="en-GB"/>
        </w:rPr>
      </w:pPr>
      <w:r w:rsidRPr="00547EC7">
        <w:rPr>
          <w:lang w:val="en-GB"/>
        </w:rPr>
        <w:t xml:space="preserve"> </w:t>
      </w:r>
    </w:p>
    <w:p w14:paraId="3A3F3723" w14:textId="7CF7AE5D" w:rsidR="00E010F1" w:rsidRDefault="00E010F1" w:rsidP="00E010F1">
      <w:pPr>
        <w:pStyle w:val="TEXTINDENT"/>
        <w:rPr>
          <w:lang w:val="en-GB"/>
        </w:rPr>
      </w:pPr>
      <w:r w:rsidRPr="00547EC7">
        <w:rPr>
          <w:lang w:val="en-GB"/>
        </w:rPr>
        <w:t xml:space="preserve">The coincidence of each of these entities can also be revealed through matrix coding, with ‘student’/’candidate’/’postgraduate researcher’ forming one axis, and ‘institution’/’supervisor’ the other. The following table shows the number of intersecting references between each entity. </w:t>
      </w:r>
    </w:p>
    <w:p w14:paraId="21D99C0B" w14:textId="34441043" w:rsidR="00013069" w:rsidRDefault="00013069" w:rsidP="00E010F1">
      <w:pPr>
        <w:pStyle w:val="TEXTINDENT"/>
        <w:rPr>
          <w:lang w:val="en-GB"/>
        </w:rPr>
      </w:pPr>
    </w:p>
    <w:p w14:paraId="1250CB70" w14:textId="77777777" w:rsidR="00E010F1" w:rsidRPr="00547EC7" w:rsidRDefault="00E010F1" w:rsidP="00E010F1">
      <w:pPr>
        <w:pStyle w:val="CAPTIONTEXT"/>
      </w:pPr>
      <w:r w:rsidRPr="00547EC7">
        <w:rPr>
          <w:rStyle w:val="CSSMALLCAPS"/>
        </w:rPr>
        <w:t>table 5</w:t>
      </w:r>
      <w:r w:rsidRPr="00547EC7">
        <w:tab/>
        <w:t>Matrix query of references for doctoral researchers, supervisors and the institution.</w:t>
      </w:r>
    </w:p>
    <w:tbl>
      <w:tblPr>
        <w:tblW w:w="0" w:type="auto"/>
        <w:tblLook w:val="04A0" w:firstRow="1" w:lastRow="0" w:firstColumn="1" w:lastColumn="0" w:noHBand="0" w:noVBand="1"/>
      </w:tblPr>
      <w:tblGrid>
        <w:gridCol w:w="2835"/>
        <w:gridCol w:w="1560"/>
        <w:gridCol w:w="1701"/>
      </w:tblGrid>
      <w:tr w:rsidR="00E010F1" w:rsidRPr="00547EC7" w14:paraId="1DD56B68" w14:textId="77777777" w:rsidTr="00E010F1">
        <w:tc>
          <w:tcPr>
            <w:tcW w:w="2835" w:type="dxa"/>
            <w:tcBorders>
              <w:top w:val="nil"/>
              <w:left w:val="nil"/>
              <w:bottom w:val="single" w:sz="4" w:space="0" w:color="auto"/>
              <w:right w:val="nil"/>
            </w:tcBorders>
          </w:tcPr>
          <w:p w14:paraId="409955C3" w14:textId="77777777" w:rsidR="00E010F1" w:rsidRPr="00547EC7" w:rsidRDefault="00E010F1" w:rsidP="00E010F1">
            <w:pPr>
              <w:pStyle w:val="TABLEBODY"/>
            </w:pPr>
          </w:p>
        </w:tc>
        <w:tc>
          <w:tcPr>
            <w:tcW w:w="1560" w:type="dxa"/>
            <w:tcBorders>
              <w:left w:val="nil"/>
              <w:bottom w:val="single" w:sz="4" w:space="0" w:color="auto"/>
              <w:right w:val="nil"/>
            </w:tcBorders>
          </w:tcPr>
          <w:p w14:paraId="557BFE05" w14:textId="77777777" w:rsidR="00E010F1" w:rsidRPr="00547EC7" w:rsidRDefault="00E010F1" w:rsidP="00E010F1">
            <w:pPr>
              <w:pStyle w:val="TABLECOLUMNHEAD"/>
              <w:framePr w:wrap="auto" w:vAnchor="margin" w:yAlign="inline"/>
              <w:suppressOverlap w:val="0"/>
              <w:rPr>
                <w:sz w:val="20"/>
                <w:szCs w:val="20"/>
                <w:vertAlign w:val="superscript"/>
              </w:rPr>
            </w:pPr>
            <w:r w:rsidRPr="00547EC7">
              <w:rPr>
                <w:sz w:val="20"/>
                <w:szCs w:val="20"/>
              </w:rPr>
              <w:t>Supervisor</w:t>
            </w:r>
          </w:p>
        </w:tc>
        <w:tc>
          <w:tcPr>
            <w:tcW w:w="1701" w:type="dxa"/>
            <w:tcBorders>
              <w:left w:val="nil"/>
              <w:bottom w:val="single" w:sz="4" w:space="0" w:color="auto"/>
              <w:right w:val="nil"/>
            </w:tcBorders>
          </w:tcPr>
          <w:p w14:paraId="10CCDA0A" w14:textId="77777777" w:rsidR="00E010F1" w:rsidRPr="00547EC7" w:rsidRDefault="00E010F1" w:rsidP="00E010F1">
            <w:pPr>
              <w:pStyle w:val="TABLECOLUMNHEAD"/>
              <w:framePr w:wrap="auto" w:vAnchor="margin" w:yAlign="inline"/>
              <w:suppressOverlap w:val="0"/>
              <w:rPr>
                <w:sz w:val="20"/>
                <w:szCs w:val="20"/>
              </w:rPr>
            </w:pPr>
            <w:r w:rsidRPr="00547EC7">
              <w:rPr>
                <w:sz w:val="20"/>
                <w:szCs w:val="20"/>
              </w:rPr>
              <w:t>Institution</w:t>
            </w:r>
          </w:p>
        </w:tc>
      </w:tr>
      <w:tr w:rsidR="00E010F1" w:rsidRPr="00547EC7" w14:paraId="5580C98D" w14:textId="77777777" w:rsidTr="00E010F1">
        <w:tc>
          <w:tcPr>
            <w:tcW w:w="2835" w:type="dxa"/>
            <w:tcBorders>
              <w:left w:val="nil"/>
              <w:bottom w:val="single" w:sz="4" w:space="0" w:color="auto"/>
              <w:right w:val="single" w:sz="4" w:space="0" w:color="auto"/>
            </w:tcBorders>
          </w:tcPr>
          <w:p w14:paraId="1F8629FC" w14:textId="77777777" w:rsidR="00E010F1" w:rsidRPr="00547EC7" w:rsidRDefault="00E010F1" w:rsidP="00E010F1">
            <w:pPr>
              <w:pStyle w:val="TABLEBODY"/>
              <w:rPr>
                <w:sz w:val="20"/>
              </w:rPr>
            </w:pPr>
            <w:r w:rsidRPr="00547EC7">
              <w:rPr>
                <w:sz w:val="20"/>
              </w:rPr>
              <w:t>Student</w:t>
            </w:r>
          </w:p>
        </w:tc>
        <w:tc>
          <w:tcPr>
            <w:tcW w:w="1560" w:type="dxa"/>
            <w:tcBorders>
              <w:left w:val="single" w:sz="4" w:space="0" w:color="auto"/>
              <w:bottom w:val="single" w:sz="4" w:space="0" w:color="auto"/>
              <w:right w:val="single" w:sz="4" w:space="0" w:color="auto"/>
            </w:tcBorders>
          </w:tcPr>
          <w:p w14:paraId="79055AAC" w14:textId="77777777" w:rsidR="00E010F1" w:rsidRPr="00547EC7" w:rsidRDefault="00E010F1" w:rsidP="00E010F1">
            <w:pPr>
              <w:pStyle w:val="TABLEBODY"/>
              <w:rPr>
                <w:sz w:val="20"/>
                <w:szCs w:val="20"/>
              </w:rPr>
            </w:pPr>
            <w:r w:rsidRPr="00547EC7">
              <w:rPr>
                <w:sz w:val="20"/>
                <w:szCs w:val="20"/>
              </w:rPr>
              <w:t>108</w:t>
            </w:r>
          </w:p>
        </w:tc>
        <w:tc>
          <w:tcPr>
            <w:tcW w:w="1701" w:type="dxa"/>
            <w:tcBorders>
              <w:left w:val="single" w:sz="4" w:space="0" w:color="auto"/>
              <w:bottom w:val="single" w:sz="4" w:space="0" w:color="auto"/>
              <w:right w:val="nil"/>
            </w:tcBorders>
          </w:tcPr>
          <w:p w14:paraId="5D74662E" w14:textId="77777777" w:rsidR="00E010F1" w:rsidRPr="00547EC7" w:rsidRDefault="00E010F1" w:rsidP="00E010F1">
            <w:pPr>
              <w:pStyle w:val="TABLEBODY"/>
              <w:rPr>
                <w:sz w:val="20"/>
                <w:szCs w:val="20"/>
              </w:rPr>
            </w:pPr>
            <w:r w:rsidRPr="00547EC7">
              <w:rPr>
                <w:sz w:val="20"/>
                <w:szCs w:val="20"/>
              </w:rPr>
              <w:t>34</w:t>
            </w:r>
          </w:p>
        </w:tc>
      </w:tr>
      <w:tr w:rsidR="00E010F1" w:rsidRPr="00547EC7" w14:paraId="47C6620D" w14:textId="77777777" w:rsidTr="00E010F1">
        <w:tc>
          <w:tcPr>
            <w:tcW w:w="2835" w:type="dxa"/>
            <w:tcBorders>
              <w:left w:val="nil"/>
              <w:bottom w:val="single" w:sz="4" w:space="0" w:color="auto"/>
              <w:right w:val="single" w:sz="4" w:space="0" w:color="auto"/>
            </w:tcBorders>
          </w:tcPr>
          <w:p w14:paraId="48C11411" w14:textId="77777777" w:rsidR="00E010F1" w:rsidRPr="00547EC7" w:rsidRDefault="00E010F1" w:rsidP="00E010F1">
            <w:pPr>
              <w:pStyle w:val="TABLEBODY"/>
              <w:rPr>
                <w:sz w:val="20"/>
              </w:rPr>
            </w:pPr>
            <w:r w:rsidRPr="00547EC7">
              <w:rPr>
                <w:sz w:val="20"/>
              </w:rPr>
              <w:t>Candidate</w:t>
            </w:r>
          </w:p>
        </w:tc>
        <w:tc>
          <w:tcPr>
            <w:tcW w:w="1560" w:type="dxa"/>
            <w:tcBorders>
              <w:left w:val="single" w:sz="4" w:space="0" w:color="auto"/>
              <w:bottom w:val="single" w:sz="4" w:space="0" w:color="auto"/>
              <w:right w:val="single" w:sz="4" w:space="0" w:color="auto"/>
            </w:tcBorders>
          </w:tcPr>
          <w:p w14:paraId="322BB4F5" w14:textId="77777777" w:rsidR="00E010F1" w:rsidRPr="00547EC7" w:rsidRDefault="00E010F1" w:rsidP="00E010F1">
            <w:pPr>
              <w:pStyle w:val="TABLEBODY"/>
              <w:rPr>
                <w:sz w:val="20"/>
                <w:szCs w:val="20"/>
              </w:rPr>
            </w:pPr>
            <w:r w:rsidRPr="00547EC7">
              <w:rPr>
                <w:sz w:val="20"/>
                <w:szCs w:val="20"/>
              </w:rPr>
              <w:t>27</w:t>
            </w:r>
          </w:p>
        </w:tc>
        <w:tc>
          <w:tcPr>
            <w:tcW w:w="1701" w:type="dxa"/>
            <w:tcBorders>
              <w:left w:val="single" w:sz="4" w:space="0" w:color="auto"/>
              <w:bottom w:val="single" w:sz="4" w:space="0" w:color="auto"/>
              <w:right w:val="nil"/>
            </w:tcBorders>
          </w:tcPr>
          <w:p w14:paraId="51C9DA3E" w14:textId="77777777" w:rsidR="00E010F1" w:rsidRPr="00547EC7" w:rsidRDefault="00E010F1" w:rsidP="00E010F1">
            <w:pPr>
              <w:pStyle w:val="TABLEBODY"/>
              <w:rPr>
                <w:sz w:val="20"/>
                <w:szCs w:val="20"/>
              </w:rPr>
            </w:pPr>
            <w:r w:rsidRPr="00547EC7">
              <w:rPr>
                <w:sz w:val="20"/>
                <w:szCs w:val="20"/>
              </w:rPr>
              <w:t>9</w:t>
            </w:r>
          </w:p>
        </w:tc>
      </w:tr>
      <w:tr w:rsidR="00E010F1" w:rsidRPr="00547EC7" w14:paraId="42237930" w14:textId="77777777" w:rsidTr="00E010F1">
        <w:tc>
          <w:tcPr>
            <w:tcW w:w="2835" w:type="dxa"/>
            <w:tcBorders>
              <w:left w:val="nil"/>
              <w:bottom w:val="single" w:sz="4" w:space="0" w:color="auto"/>
              <w:right w:val="single" w:sz="4" w:space="0" w:color="auto"/>
            </w:tcBorders>
          </w:tcPr>
          <w:p w14:paraId="20AC6B49" w14:textId="77777777" w:rsidR="00E010F1" w:rsidRPr="00547EC7" w:rsidRDefault="00E010F1" w:rsidP="00E010F1">
            <w:pPr>
              <w:pStyle w:val="TABLEBODY"/>
              <w:rPr>
                <w:sz w:val="20"/>
              </w:rPr>
            </w:pPr>
            <w:r w:rsidRPr="00547EC7">
              <w:rPr>
                <w:sz w:val="20"/>
              </w:rPr>
              <w:t>Postgraduate researchers</w:t>
            </w:r>
          </w:p>
        </w:tc>
        <w:tc>
          <w:tcPr>
            <w:tcW w:w="1560" w:type="dxa"/>
            <w:tcBorders>
              <w:left w:val="single" w:sz="4" w:space="0" w:color="auto"/>
              <w:bottom w:val="single" w:sz="4" w:space="0" w:color="auto"/>
              <w:right w:val="single" w:sz="4" w:space="0" w:color="auto"/>
            </w:tcBorders>
          </w:tcPr>
          <w:p w14:paraId="119C8BD7" w14:textId="77777777" w:rsidR="00E010F1" w:rsidRPr="00547EC7" w:rsidRDefault="00E010F1" w:rsidP="00E010F1">
            <w:pPr>
              <w:pStyle w:val="TABLEBODY"/>
              <w:rPr>
                <w:sz w:val="20"/>
                <w:szCs w:val="20"/>
              </w:rPr>
            </w:pPr>
            <w:r w:rsidRPr="00547EC7">
              <w:rPr>
                <w:sz w:val="20"/>
                <w:szCs w:val="20"/>
              </w:rPr>
              <w:t>41</w:t>
            </w:r>
          </w:p>
        </w:tc>
        <w:tc>
          <w:tcPr>
            <w:tcW w:w="1701" w:type="dxa"/>
            <w:tcBorders>
              <w:left w:val="single" w:sz="4" w:space="0" w:color="auto"/>
              <w:bottom w:val="single" w:sz="4" w:space="0" w:color="auto"/>
              <w:right w:val="nil"/>
            </w:tcBorders>
          </w:tcPr>
          <w:p w14:paraId="3DAD730C" w14:textId="77777777" w:rsidR="00E010F1" w:rsidRPr="00547EC7" w:rsidRDefault="00E010F1" w:rsidP="00E010F1">
            <w:pPr>
              <w:pStyle w:val="TABLEBODY"/>
              <w:rPr>
                <w:sz w:val="20"/>
                <w:szCs w:val="20"/>
              </w:rPr>
            </w:pPr>
            <w:r w:rsidRPr="00547EC7">
              <w:rPr>
                <w:sz w:val="20"/>
                <w:szCs w:val="20"/>
              </w:rPr>
              <w:t>33</w:t>
            </w:r>
          </w:p>
        </w:tc>
      </w:tr>
    </w:tbl>
    <w:p w14:paraId="65ECFA81" w14:textId="77777777" w:rsidR="00E010F1" w:rsidRPr="00547EC7" w:rsidRDefault="00E010F1" w:rsidP="00E010F1">
      <w:pPr>
        <w:pStyle w:val="TEXTINDENT"/>
        <w:ind w:firstLine="0"/>
        <w:rPr>
          <w:lang w:val="en-GB"/>
        </w:rPr>
      </w:pPr>
      <w:r w:rsidRPr="00547EC7">
        <w:rPr>
          <w:lang w:val="en-GB"/>
        </w:rPr>
        <w:t xml:space="preserve">  </w:t>
      </w:r>
    </w:p>
    <w:p w14:paraId="4F531F6C" w14:textId="77777777" w:rsidR="00E010F1" w:rsidRPr="00547EC7" w:rsidRDefault="00E010F1" w:rsidP="00E010F1">
      <w:pPr>
        <w:pStyle w:val="TEXTINDENT"/>
        <w:rPr>
          <w:lang w:val="en-GB"/>
        </w:rPr>
      </w:pPr>
      <w:r w:rsidRPr="00547EC7">
        <w:rPr>
          <w:lang w:val="en-GB"/>
        </w:rPr>
        <w:t>The highest co-occurrence is between the terms ‘student’ and ‘supervisor’, which is of particular importance for this study for the supervisor CPD. Excerpts from the dataset suggest that students and supervisors are presented in five ways:</w:t>
      </w:r>
    </w:p>
    <w:p w14:paraId="42E9560A" w14:textId="77777777" w:rsidR="00E010F1" w:rsidRPr="00547EC7" w:rsidRDefault="00E010F1" w:rsidP="00E010F1">
      <w:pPr>
        <w:pStyle w:val="TEXTINDENT"/>
        <w:rPr>
          <w:lang w:val="en-GB"/>
        </w:rPr>
      </w:pPr>
    </w:p>
    <w:tbl>
      <w:tblPr>
        <w:tblW w:w="6521" w:type="dxa"/>
        <w:tblCellMar>
          <w:left w:w="100" w:type="dxa"/>
          <w:right w:w="100" w:type="dxa"/>
        </w:tblCellMar>
        <w:tblLook w:val="04A0" w:firstRow="1" w:lastRow="0" w:firstColumn="1" w:lastColumn="0" w:noHBand="0" w:noVBand="1"/>
      </w:tblPr>
      <w:tblGrid>
        <w:gridCol w:w="2051"/>
        <w:gridCol w:w="4470"/>
      </w:tblGrid>
      <w:tr w:rsidR="00E010F1" w:rsidRPr="00547EC7" w14:paraId="63D6F349" w14:textId="77777777" w:rsidTr="00E010F1">
        <w:trPr>
          <w:trHeight w:val="506"/>
        </w:trPr>
        <w:tc>
          <w:tcPr>
            <w:tcW w:w="1985" w:type="dxa"/>
          </w:tcPr>
          <w:p w14:paraId="0C969561" w14:textId="77777777" w:rsidR="00E010F1" w:rsidRPr="00547EC7" w:rsidRDefault="00E010F1" w:rsidP="00E010F1">
            <w:pPr>
              <w:pStyle w:val="BLOCKQUOTE"/>
              <w:rPr>
                <w:lang w:val="en-GB"/>
              </w:rPr>
            </w:pPr>
            <w:r w:rsidRPr="00547EC7">
              <w:rPr>
                <w:lang w:val="en-GB"/>
              </w:rPr>
              <w:t>Contact</w:t>
            </w:r>
          </w:p>
        </w:tc>
        <w:tc>
          <w:tcPr>
            <w:tcW w:w="4536" w:type="dxa"/>
          </w:tcPr>
          <w:p w14:paraId="07ED5241" w14:textId="77777777" w:rsidR="00E010F1" w:rsidRPr="00547EC7" w:rsidRDefault="00E010F1" w:rsidP="00E010F1">
            <w:pPr>
              <w:pStyle w:val="BLOCKQUOTE"/>
              <w:rPr>
                <w:lang w:val="en-GB"/>
              </w:rPr>
            </w:pPr>
          </w:p>
          <w:p w14:paraId="36793AF1" w14:textId="77777777" w:rsidR="00E010F1" w:rsidRPr="00547EC7" w:rsidRDefault="00E010F1" w:rsidP="00E010F1">
            <w:pPr>
              <w:pStyle w:val="BLOCKQUOTE"/>
              <w:rPr>
                <w:lang w:val="en-GB"/>
              </w:rPr>
            </w:pPr>
            <w:r w:rsidRPr="00547EC7">
              <w:rPr>
                <w:lang w:val="en-GB"/>
              </w:rPr>
              <w:t>…contact between research student and supervisor varies depending on… (ed_21)</w:t>
            </w:r>
          </w:p>
        </w:tc>
      </w:tr>
      <w:tr w:rsidR="00E010F1" w:rsidRPr="00547EC7" w14:paraId="42D2077C" w14:textId="77777777" w:rsidTr="00E010F1">
        <w:trPr>
          <w:trHeight w:val="506"/>
        </w:trPr>
        <w:tc>
          <w:tcPr>
            <w:tcW w:w="1985" w:type="dxa"/>
          </w:tcPr>
          <w:p w14:paraId="48401927" w14:textId="77777777" w:rsidR="00E010F1" w:rsidRPr="00547EC7" w:rsidRDefault="00E010F1" w:rsidP="00E010F1">
            <w:pPr>
              <w:pStyle w:val="BLOCKQUOTE"/>
              <w:rPr>
                <w:lang w:val="en-GB"/>
              </w:rPr>
            </w:pPr>
            <w:r w:rsidRPr="00547EC7">
              <w:rPr>
                <w:lang w:val="en-GB"/>
              </w:rPr>
              <w:t>Relationship</w:t>
            </w:r>
          </w:p>
        </w:tc>
        <w:tc>
          <w:tcPr>
            <w:tcW w:w="4536" w:type="dxa"/>
          </w:tcPr>
          <w:p w14:paraId="5E11BAA4" w14:textId="77777777" w:rsidR="00E010F1" w:rsidRPr="00547EC7" w:rsidRDefault="00E010F1" w:rsidP="00E010F1">
            <w:pPr>
              <w:pStyle w:val="BLOCKQUOTE"/>
              <w:rPr>
                <w:lang w:val="en-GB"/>
              </w:rPr>
            </w:pPr>
          </w:p>
          <w:p w14:paraId="69321EBC" w14:textId="77777777" w:rsidR="00E010F1" w:rsidRPr="00547EC7" w:rsidRDefault="00E010F1" w:rsidP="00E010F1">
            <w:pPr>
              <w:pStyle w:val="BLOCKQUOTE"/>
              <w:rPr>
                <w:lang w:val="en-GB"/>
              </w:rPr>
            </w:pPr>
            <w:r w:rsidRPr="00547EC7">
              <w:rPr>
                <w:lang w:val="en-GB"/>
              </w:rPr>
              <w:t>If a research student-supervisor relationship is not working well… (ed_01)</w:t>
            </w:r>
          </w:p>
        </w:tc>
      </w:tr>
      <w:tr w:rsidR="00E010F1" w:rsidRPr="00547EC7" w14:paraId="74EB3DF4" w14:textId="77777777" w:rsidTr="00E010F1">
        <w:trPr>
          <w:trHeight w:val="248"/>
        </w:trPr>
        <w:tc>
          <w:tcPr>
            <w:tcW w:w="1985" w:type="dxa"/>
          </w:tcPr>
          <w:p w14:paraId="0E75FD30" w14:textId="77777777" w:rsidR="00E010F1" w:rsidRPr="00547EC7" w:rsidRDefault="00E010F1" w:rsidP="00E010F1">
            <w:pPr>
              <w:pStyle w:val="BLOCKQUOTE"/>
              <w:rPr>
                <w:lang w:val="en-GB"/>
              </w:rPr>
            </w:pPr>
            <w:r w:rsidRPr="00547EC7">
              <w:rPr>
                <w:lang w:val="en-GB"/>
              </w:rPr>
              <w:t>Agreement</w:t>
            </w:r>
          </w:p>
        </w:tc>
        <w:tc>
          <w:tcPr>
            <w:tcW w:w="4536" w:type="dxa"/>
          </w:tcPr>
          <w:p w14:paraId="5F7EC572" w14:textId="77777777" w:rsidR="00E010F1" w:rsidRPr="00547EC7" w:rsidRDefault="00E010F1" w:rsidP="00E010F1">
            <w:pPr>
              <w:pStyle w:val="BLOCKQUOTE"/>
              <w:rPr>
                <w:lang w:val="en-GB"/>
              </w:rPr>
            </w:pPr>
          </w:p>
          <w:p w14:paraId="1D698A4C" w14:textId="77777777" w:rsidR="00E010F1" w:rsidRPr="00547EC7" w:rsidRDefault="00E010F1" w:rsidP="00E010F1">
            <w:pPr>
              <w:pStyle w:val="BLOCKQUOTE"/>
              <w:rPr>
                <w:lang w:val="en-GB"/>
              </w:rPr>
            </w:pPr>
            <w:r w:rsidRPr="00547EC7">
              <w:rPr>
                <w:lang w:val="en-GB"/>
              </w:rPr>
              <w:t>Supervisors and research students agree between… (ed_21)</w:t>
            </w:r>
          </w:p>
        </w:tc>
      </w:tr>
      <w:tr w:rsidR="00E010F1" w:rsidRPr="00547EC7" w14:paraId="1335BC68" w14:textId="77777777" w:rsidTr="00E010F1">
        <w:trPr>
          <w:trHeight w:val="506"/>
        </w:trPr>
        <w:tc>
          <w:tcPr>
            <w:tcW w:w="1985" w:type="dxa"/>
          </w:tcPr>
          <w:p w14:paraId="7FB4AA41" w14:textId="77777777" w:rsidR="00E010F1" w:rsidRPr="00547EC7" w:rsidRDefault="00E010F1" w:rsidP="00E010F1">
            <w:pPr>
              <w:pStyle w:val="BLOCKQUOTE"/>
              <w:rPr>
                <w:lang w:val="en-GB"/>
              </w:rPr>
            </w:pPr>
            <w:r w:rsidRPr="00547EC7">
              <w:rPr>
                <w:lang w:val="en-GB"/>
              </w:rPr>
              <w:t>Responsibility</w:t>
            </w:r>
          </w:p>
        </w:tc>
        <w:tc>
          <w:tcPr>
            <w:tcW w:w="4536" w:type="dxa"/>
          </w:tcPr>
          <w:p w14:paraId="50F4801D" w14:textId="77777777" w:rsidR="00E010F1" w:rsidRPr="00547EC7" w:rsidRDefault="00E010F1" w:rsidP="00E010F1">
            <w:pPr>
              <w:pStyle w:val="BLOCKQUOTE"/>
              <w:rPr>
                <w:lang w:val="en-GB"/>
              </w:rPr>
            </w:pPr>
          </w:p>
          <w:p w14:paraId="4EE3C628" w14:textId="77777777" w:rsidR="00E010F1" w:rsidRPr="00547EC7" w:rsidRDefault="00E010F1" w:rsidP="00E010F1">
            <w:pPr>
              <w:pStyle w:val="BLOCKQUOTE"/>
              <w:rPr>
                <w:lang w:val="en-GB"/>
              </w:rPr>
            </w:pPr>
            <w:r w:rsidRPr="00547EC7">
              <w:rPr>
                <w:lang w:val="en-GB"/>
              </w:rPr>
              <w:t>Research students and supervisors are jointly responsible… (ed_21)</w:t>
            </w:r>
          </w:p>
        </w:tc>
      </w:tr>
      <w:tr w:rsidR="00E010F1" w:rsidRPr="00547EC7" w14:paraId="63DB972E" w14:textId="77777777" w:rsidTr="00E010F1">
        <w:trPr>
          <w:trHeight w:val="506"/>
        </w:trPr>
        <w:tc>
          <w:tcPr>
            <w:tcW w:w="1985" w:type="dxa"/>
          </w:tcPr>
          <w:p w14:paraId="0F89AD63" w14:textId="77777777" w:rsidR="00E010F1" w:rsidRPr="00547EC7" w:rsidRDefault="00E010F1" w:rsidP="00E010F1">
            <w:pPr>
              <w:pStyle w:val="BLOCKQUOTE"/>
              <w:rPr>
                <w:lang w:val="en-GB"/>
              </w:rPr>
            </w:pPr>
            <w:r w:rsidRPr="00547EC7">
              <w:rPr>
                <w:lang w:val="en-GB"/>
              </w:rPr>
              <w:t>Awareness and communication</w:t>
            </w:r>
          </w:p>
        </w:tc>
        <w:tc>
          <w:tcPr>
            <w:tcW w:w="4536" w:type="dxa"/>
          </w:tcPr>
          <w:p w14:paraId="2FCD6D02" w14:textId="77777777" w:rsidR="00E010F1" w:rsidRPr="00547EC7" w:rsidRDefault="00E010F1" w:rsidP="00E010F1">
            <w:pPr>
              <w:pStyle w:val="BLOCKQUOTE"/>
              <w:rPr>
                <w:lang w:val="en-GB"/>
              </w:rPr>
            </w:pPr>
          </w:p>
          <w:p w14:paraId="76DBA87C" w14:textId="77777777" w:rsidR="00E010F1" w:rsidRPr="00547EC7" w:rsidRDefault="00E010F1" w:rsidP="00E010F1">
            <w:pPr>
              <w:pStyle w:val="BLOCKQUOTE"/>
              <w:rPr>
                <w:lang w:val="en-GB"/>
              </w:rPr>
            </w:pPr>
            <w:r w:rsidRPr="00547EC7">
              <w:rPr>
                <w:lang w:val="en-GB"/>
              </w:rPr>
              <w:t>…for ensuring that students and supervisors are aware of… (ed_06)</w:t>
            </w:r>
          </w:p>
        </w:tc>
      </w:tr>
    </w:tbl>
    <w:p w14:paraId="7A439C8B" w14:textId="77777777" w:rsidR="00E010F1" w:rsidRPr="00547EC7" w:rsidRDefault="00E010F1" w:rsidP="00E010F1">
      <w:pPr>
        <w:pStyle w:val="TEXTINDENT"/>
        <w:rPr>
          <w:lang w:val="en-GB"/>
        </w:rPr>
      </w:pPr>
    </w:p>
    <w:p w14:paraId="0ED982BA" w14:textId="77777777" w:rsidR="00E010F1" w:rsidRPr="00547EC7" w:rsidRDefault="00E010F1" w:rsidP="00E010F1">
      <w:pPr>
        <w:pStyle w:val="TEXTINDENT"/>
        <w:rPr>
          <w:lang w:val="en-GB"/>
        </w:rPr>
      </w:pPr>
      <w:r w:rsidRPr="00547EC7">
        <w:rPr>
          <w:lang w:val="en-GB"/>
        </w:rPr>
        <w:t xml:space="preserve">When these figures are mapped to the genre matrix, the highest coincidence of doctoral researcher and supervisor is within national policy (94), followed by institutional practice (8), national practice (3), and institutional policy (3). The term ‘candidate’ does not co-occur with ‘supervisor’ at all within national policy </w:t>
      </w:r>
      <w:proofErr w:type="gramStart"/>
      <w:r w:rsidRPr="00547EC7">
        <w:rPr>
          <w:lang w:val="en-GB"/>
        </w:rPr>
        <w:t>texts, but</w:t>
      </w:r>
      <w:proofErr w:type="gramEnd"/>
      <w:r w:rsidRPr="00547EC7">
        <w:rPr>
          <w:lang w:val="en-GB"/>
        </w:rPr>
        <w:t xml:space="preserve"> does appear in national practice documents (14), followed by institutional practice (12) and only rarely in institutional policy (1). Significantly, ‘postgraduate researcher’ and ‘supervisor’ co-occurrences are completely absent in institutional policy and practice documents, and for national practice, but they feature more prominently in national policy (41).</w:t>
      </w:r>
    </w:p>
    <w:p w14:paraId="4978C15B" w14:textId="77777777" w:rsidR="00E010F1" w:rsidRPr="00547EC7" w:rsidRDefault="00E010F1" w:rsidP="00E010F1">
      <w:pPr>
        <w:pStyle w:val="TEXTINDENT"/>
        <w:rPr>
          <w:lang w:val="en-GB"/>
        </w:rPr>
      </w:pPr>
    </w:p>
    <w:p w14:paraId="389EAB35" w14:textId="77777777" w:rsidR="00E010F1" w:rsidRPr="00547EC7" w:rsidRDefault="00E010F1" w:rsidP="00E010F1">
      <w:pPr>
        <w:pStyle w:val="HEADING2Numbered"/>
        <w:rPr>
          <w:lang w:val="en-GB"/>
        </w:rPr>
      </w:pPr>
      <w:bookmarkStart w:id="16" w:name="Levels_of_formality"/>
      <w:r w:rsidRPr="00547EC7">
        <w:rPr>
          <w:lang w:val="en-GB"/>
        </w:rPr>
        <w:t>Levels of formality</w:t>
      </w:r>
      <w:bookmarkEnd w:id="16"/>
    </w:p>
    <w:p w14:paraId="3A1AE05A" w14:textId="77777777" w:rsidR="00E010F1" w:rsidRPr="00547EC7" w:rsidRDefault="00E010F1" w:rsidP="00E010F1">
      <w:pPr>
        <w:pStyle w:val="TEXTINDENT"/>
        <w:rPr>
          <w:lang w:val="en-GB"/>
        </w:rPr>
      </w:pPr>
      <w:r w:rsidRPr="00547EC7">
        <w:rPr>
          <w:lang w:val="en-GB"/>
        </w:rPr>
        <w:t>Formal language averages 9.85% across the four genres of the dataset. The most frequent are terms related to ‘regulation’ (992), ‘health’ (298), ‘permission’ (192), ‘appropriateness’ (171), and ‘obligation’ (128).</w:t>
      </w:r>
    </w:p>
    <w:p w14:paraId="341DBD34" w14:textId="77777777" w:rsidR="00E010F1" w:rsidRPr="00547EC7" w:rsidRDefault="00E010F1" w:rsidP="00E010F1">
      <w:pPr>
        <w:pStyle w:val="TEXTINDENT"/>
        <w:rPr>
          <w:lang w:val="en-GB"/>
        </w:rPr>
      </w:pPr>
    </w:p>
    <w:p w14:paraId="78687F6B" w14:textId="77777777" w:rsidR="00E010F1" w:rsidRPr="00547EC7" w:rsidRDefault="00E010F1" w:rsidP="00E010F1">
      <w:pPr>
        <w:pStyle w:val="CAPTIONTEXT"/>
      </w:pPr>
      <w:r w:rsidRPr="00547EC7">
        <w:rPr>
          <w:rStyle w:val="CSSMALLCAPS"/>
        </w:rPr>
        <w:t>table 6</w:t>
      </w:r>
      <w:r w:rsidRPr="00547EC7">
        <w:tab/>
        <w:t>Levels of formality coverage in genre sub-domains.</w:t>
      </w:r>
    </w:p>
    <w:tbl>
      <w:tblPr>
        <w:tblW w:w="0" w:type="auto"/>
        <w:tblLook w:val="04A0" w:firstRow="1" w:lastRow="0" w:firstColumn="1" w:lastColumn="0" w:noHBand="0" w:noVBand="1"/>
      </w:tblPr>
      <w:tblGrid>
        <w:gridCol w:w="1563"/>
        <w:gridCol w:w="1192"/>
        <w:gridCol w:w="1235"/>
        <w:gridCol w:w="1267"/>
        <w:gridCol w:w="1267"/>
      </w:tblGrid>
      <w:tr w:rsidR="00E010F1" w:rsidRPr="00547EC7" w14:paraId="17B7DFD0" w14:textId="77777777" w:rsidTr="00E010F1">
        <w:tc>
          <w:tcPr>
            <w:tcW w:w="1418" w:type="dxa"/>
            <w:tcBorders>
              <w:top w:val="nil"/>
              <w:left w:val="nil"/>
              <w:bottom w:val="single" w:sz="4" w:space="0" w:color="auto"/>
              <w:right w:val="nil"/>
            </w:tcBorders>
          </w:tcPr>
          <w:p w14:paraId="5BED20FC" w14:textId="77777777" w:rsidR="00E010F1" w:rsidRPr="00547EC7" w:rsidRDefault="00E010F1" w:rsidP="00E010F1">
            <w:pPr>
              <w:pStyle w:val="TABLEBODY"/>
            </w:pPr>
          </w:p>
        </w:tc>
        <w:tc>
          <w:tcPr>
            <w:tcW w:w="1252" w:type="dxa"/>
            <w:tcBorders>
              <w:left w:val="nil"/>
              <w:bottom w:val="single" w:sz="4" w:space="0" w:color="auto"/>
              <w:right w:val="nil"/>
            </w:tcBorders>
          </w:tcPr>
          <w:p w14:paraId="331739CA" w14:textId="77777777" w:rsidR="00E010F1" w:rsidRPr="00547EC7" w:rsidRDefault="00E010F1" w:rsidP="00E010F1">
            <w:pPr>
              <w:pStyle w:val="TABLECOLUMNHEAD"/>
              <w:framePr w:wrap="auto" w:vAnchor="margin" w:yAlign="inline"/>
              <w:suppressOverlap w:val="0"/>
              <w:rPr>
                <w:sz w:val="20"/>
                <w:szCs w:val="20"/>
                <w:vertAlign w:val="superscript"/>
              </w:rPr>
            </w:pPr>
            <w:r w:rsidRPr="00547EC7">
              <w:rPr>
                <w:sz w:val="20"/>
                <w:szCs w:val="20"/>
              </w:rPr>
              <w:t>National policy</w:t>
            </w:r>
          </w:p>
        </w:tc>
        <w:tc>
          <w:tcPr>
            <w:tcW w:w="1304" w:type="dxa"/>
            <w:tcBorders>
              <w:left w:val="nil"/>
              <w:bottom w:val="single" w:sz="4" w:space="0" w:color="auto"/>
              <w:right w:val="nil"/>
            </w:tcBorders>
          </w:tcPr>
          <w:p w14:paraId="1D10D6D9" w14:textId="77777777" w:rsidR="00E010F1" w:rsidRPr="00547EC7" w:rsidRDefault="00E010F1" w:rsidP="00E010F1">
            <w:pPr>
              <w:pStyle w:val="TABLECOLUMNHEAD"/>
              <w:framePr w:wrap="auto" w:vAnchor="margin" w:yAlign="inline"/>
              <w:suppressOverlap w:val="0"/>
              <w:rPr>
                <w:sz w:val="20"/>
                <w:szCs w:val="20"/>
              </w:rPr>
            </w:pPr>
            <w:r w:rsidRPr="00547EC7">
              <w:rPr>
                <w:sz w:val="20"/>
                <w:szCs w:val="20"/>
              </w:rPr>
              <w:t>National practice</w:t>
            </w:r>
          </w:p>
        </w:tc>
        <w:tc>
          <w:tcPr>
            <w:tcW w:w="1275" w:type="dxa"/>
            <w:tcBorders>
              <w:left w:val="nil"/>
              <w:bottom w:val="single" w:sz="4" w:space="0" w:color="auto"/>
              <w:right w:val="nil"/>
            </w:tcBorders>
          </w:tcPr>
          <w:p w14:paraId="2A0EFBDB" w14:textId="77777777" w:rsidR="00E010F1" w:rsidRPr="00547EC7" w:rsidRDefault="00E010F1" w:rsidP="00E010F1">
            <w:pPr>
              <w:pStyle w:val="TABLECOLUMNHEAD"/>
              <w:framePr w:wrap="auto" w:vAnchor="margin" w:yAlign="inline"/>
              <w:suppressOverlap w:val="0"/>
              <w:rPr>
                <w:sz w:val="20"/>
                <w:szCs w:val="20"/>
              </w:rPr>
            </w:pPr>
            <w:r w:rsidRPr="00547EC7">
              <w:rPr>
                <w:sz w:val="20"/>
                <w:szCs w:val="20"/>
              </w:rPr>
              <w:t>Institutional Policy</w:t>
            </w:r>
          </w:p>
        </w:tc>
        <w:tc>
          <w:tcPr>
            <w:tcW w:w="1275" w:type="dxa"/>
            <w:tcBorders>
              <w:left w:val="nil"/>
              <w:bottom w:val="single" w:sz="4" w:space="0" w:color="auto"/>
              <w:right w:val="nil"/>
            </w:tcBorders>
          </w:tcPr>
          <w:p w14:paraId="1BE0BCCE" w14:textId="77777777" w:rsidR="00E010F1" w:rsidRPr="00547EC7" w:rsidRDefault="00E010F1" w:rsidP="00E010F1">
            <w:pPr>
              <w:pStyle w:val="TABLECOLUMNHEAD"/>
              <w:framePr w:wrap="auto" w:vAnchor="margin" w:yAlign="inline"/>
              <w:suppressOverlap w:val="0"/>
              <w:rPr>
                <w:sz w:val="20"/>
                <w:szCs w:val="20"/>
              </w:rPr>
            </w:pPr>
            <w:r w:rsidRPr="00547EC7">
              <w:rPr>
                <w:sz w:val="20"/>
                <w:szCs w:val="20"/>
              </w:rPr>
              <w:t>Institutional Practice</w:t>
            </w:r>
          </w:p>
        </w:tc>
      </w:tr>
      <w:tr w:rsidR="00E010F1" w:rsidRPr="00547EC7" w14:paraId="3E97C14C" w14:textId="77777777" w:rsidTr="00E010F1">
        <w:tc>
          <w:tcPr>
            <w:tcW w:w="1418" w:type="dxa"/>
            <w:tcBorders>
              <w:left w:val="nil"/>
              <w:bottom w:val="single" w:sz="4" w:space="0" w:color="auto"/>
              <w:right w:val="single" w:sz="4" w:space="0" w:color="auto"/>
            </w:tcBorders>
          </w:tcPr>
          <w:p w14:paraId="0411F227" w14:textId="77777777" w:rsidR="00E010F1" w:rsidRPr="00547EC7" w:rsidRDefault="00E010F1" w:rsidP="00E010F1">
            <w:pPr>
              <w:pStyle w:val="TABLEBODY"/>
              <w:rPr>
                <w:sz w:val="20"/>
                <w:szCs w:val="20"/>
              </w:rPr>
            </w:pPr>
            <w:r w:rsidRPr="00547EC7">
              <w:rPr>
                <w:sz w:val="20"/>
                <w:szCs w:val="20"/>
              </w:rPr>
              <w:t>Regulation</w:t>
            </w:r>
          </w:p>
        </w:tc>
        <w:tc>
          <w:tcPr>
            <w:tcW w:w="1252" w:type="dxa"/>
            <w:tcBorders>
              <w:left w:val="single" w:sz="4" w:space="0" w:color="auto"/>
              <w:bottom w:val="single" w:sz="4" w:space="0" w:color="auto"/>
              <w:right w:val="single" w:sz="4" w:space="0" w:color="auto"/>
            </w:tcBorders>
          </w:tcPr>
          <w:p w14:paraId="3F836F80" w14:textId="77777777" w:rsidR="00E010F1" w:rsidRPr="00547EC7" w:rsidRDefault="00E010F1" w:rsidP="00E010F1">
            <w:pPr>
              <w:pStyle w:val="TABLEBODY"/>
              <w:rPr>
                <w:sz w:val="20"/>
                <w:szCs w:val="20"/>
              </w:rPr>
            </w:pPr>
            <w:r w:rsidRPr="00547EC7">
              <w:rPr>
                <w:sz w:val="20"/>
                <w:szCs w:val="20"/>
              </w:rPr>
              <w:t>3.38%</w:t>
            </w:r>
          </w:p>
        </w:tc>
        <w:tc>
          <w:tcPr>
            <w:tcW w:w="1304" w:type="dxa"/>
            <w:tcBorders>
              <w:left w:val="single" w:sz="4" w:space="0" w:color="auto"/>
              <w:bottom w:val="single" w:sz="4" w:space="0" w:color="auto"/>
              <w:right w:val="single" w:sz="4" w:space="0" w:color="auto"/>
            </w:tcBorders>
          </w:tcPr>
          <w:p w14:paraId="30595738" w14:textId="77777777" w:rsidR="00E010F1" w:rsidRPr="00547EC7" w:rsidRDefault="00E010F1" w:rsidP="00E010F1">
            <w:pPr>
              <w:pStyle w:val="TABLEBODY"/>
              <w:rPr>
                <w:sz w:val="20"/>
                <w:szCs w:val="20"/>
              </w:rPr>
            </w:pPr>
            <w:r w:rsidRPr="00547EC7">
              <w:rPr>
                <w:sz w:val="20"/>
                <w:szCs w:val="20"/>
              </w:rPr>
              <w:t>2.82%</w:t>
            </w:r>
          </w:p>
        </w:tc>
        <w:tc>
          <w:tcPr>
            <w:tcW w:w="1275" w:type="dxa"/>
            <w:tcBorders>
              <w:left w:val="single" w:sz="4" w:space="0" w:color="auto"/>
              <w:bottom w:val="single" w:sz="4" w:space="0" w:color="auto"/>
              <w:right w:val="single" w:sz="4" w:space="0" w:color="auto"/>
            </w:tcBorders>
          </w:tcPr>
          <w:p w14:paraId="6E73D163" w14:textId="77777777" w:rsidR="00E010F1" w:rsidRPr="00547EC7" w:rsidRDefault="00E010F1" w:rsidP="00E010F1">
            <w:pPr>
              <w:pStyle w:val="TABLEBODY"/>
              <w:rPr>
                <w:sz w:val="20"/>
                <w:szCs w:val="20"/>
              </w:rPr>
            </w:pPr>
            <w:r w:rsidRPr="00547EC7">
              <w:rPr>
                <w:sz w:val="20"/>
                <w:szCs w:val="20"/>
              </w:rPr>
              <w:t>3.11%</w:t>
            </w:r>
          </w:p>
        </w:tc>
        <w:tc>
          <w:tcPr>
            <w:tcW w:w="1275" w:type="dxa"/>
            <w:tcBorders>
              <w:left w:val="single" w:sz="4" w:space="0" w:color="auto"/>
              <w:bottom w:val="single" w:sz="4" w:space="0" w:color="auto"/>
              <w:right w:val="nil"/>
            </w:tcBorders>
          </w:tcPr>
          <w:p w14:paraId="6C34BF32" w14:textId="77777777" w:rsidR="00E010F1" w:rsidRPr="00547EC7" w:rsidRDefault="00E010F1" w:rsidP="00E010F1">
            <w:pPr>
              <w:pStyle w:val="TABLEBODY"/>
              <w:rPr>
                <w:sz w:val="20"/>
                <w:szCs w:val="20"/>
              </w:rPr>
            </w:pPr>
            <w:r w:rsidRPr="00547EC7">
              <w:rPr>
                <w:sz w:val="20"/>
                <w:szCs w:val="20"/>
              </w:rPr>
              <w:t>2.88%</w:t>
            </w:r>
          </w:p>
        </w:tc>
      </w:tr>
      <w:tr w:rsidR="00E010F1" w:rsidRPr="00547EC7" w14:paraId="2F4F6B4D" w14:textId="77777777" w:rsidTr="00E010F1">
        <w:tc>
          <w:tcPr>
            <w:tcW w:w="1418" w:type="dxa"/>
            <w:tcBorders>
              <w:left w:val="nil"/>
              <w:bottom w:val="single" w:sz="4" w:space="0" w:color="auto"/>
              <w:right w:val="single" w:sz="4" w:space="0" w:color="auto"/>
            </w:tcBorders>
          </w:tcPr>
          <w:p w14:paraId="5EDF5C3F" w14:textId="77777777" w:rsidR="00E010F1" w:rsidRPr="00547EC7" w:rsidRDefault="00E010F1" w:rsidP="00E010F1">
            <w:pPr>
              <w:pStyle w:val="TABLEBODY"/>
              <w:rPr>
                <w:sz w:val="20"/>
                <w:szCs w:val="20"/>
              </w:rPr>
            </w:pPr>
            <w:r w:rsidRPr="00547EC7">
              <w:rPr>
                <w:sz w:val="20"/>
                <w:szCs w:val="20"/>
              </w:rPr>
              <w:t>Health</w:t>
            </w:r>
          </w:p>
        </w:tc>
        <w:tc>
          <w:tcPr>
            <w:tcW w:w="1252" w:type="dxa"/>
            <w:tcBorders>
              <w:left w:val="single" w:sz="4" w:space="0" w:color="auto"/>
              <w:bottom w:val="single" w:sz="4" w:space="0" w:color="auto"/>
              <w:right w:val="single" w:sz="4" w:space="0" w:color="auto"/>
            </w:tcBorders>
          </w:tcPr>
          <w:p w14:paraId="39E2BC59" w14:textId="77777777" w:rsidR="00E010F1" w:rsidRPr="00547EC7" w:rsidRDefault="00E010F1" w:rsidP="00E010F1">
            <w:pPr>
              <w:pStyle w:val="TABLEBODY"/>
              <w:rPr>
                <w:sz w:val="20"/>
                <w:szCs w:val="20"/>
              </w:rPr>
            </w:pPr>
            <w:r w:rsidRPr="00547EC7">
              <w:rPr>
                <w:sz w:val="20"/>
                <w:szCs w:val="20"/>
              </w:rPr>
              <w:t>2.49%</w:t>
            </w:r>
          </w:p>
        </w:tc>
        <w:tc>
          <w:tcPr>
            <w:tcW w:w="1304" w:type="dxa"/>
            <w:tcBorders>
              <w:left w:val="single" w:sz="4" w:space="0" w:color="auto"/>
              <w:bottom w:val="single" w:sz="4" w:space="0" w:color="auto"/>
              <w:right w:val="single" w:sz="4" w:space="0" w:color="auto"/>
            </w:tcBorders>
          </w:tcPr>
          <w:p w14:paraId="4A60658B" w14:textId="77777777" w:rsidR="00E010F1" w:rsidRPr="00547EC7" w:rsidRDefault="00E010F1" w:rsidP="00E010F1">
            <w:pPr>
              <w:pStyle w:val="TABLEBODY"/>
              <w:rPr>
                <w:sz w:val="20"/>
                <w:szCs w:val="20"/>
              </w:rPr>
            </w:pPr>
            <w:r w:rsidRPr="00547EC7">
              <w:rPr>
                <w:sz w:val="20"/>
                <w:szCs w:val="20"/>
              </w:rPr>
              <w:t>1.33%</w:t>
            </w:r>
          </w:p>
        </w:tc>
        <w:tc>
          <w:tcPr>
            <w:tcW w:w="1275" w:type="dxa"/>
            <w:tcBorders>
              <w:left w:val="single" w:sz="4" w:space="0" w:color="auto"/>
              <w:bottom w:val="single" w:sz="4" w:space="0" w:color="auto"/>
              <w:right w:val="single" w:sz="4" w:space="0" w:color="auto"/>
            </w:tcBorders>
          </w:tcPr>
          <w:p w14:paraId="6F245CB6" w14:textId="77777777" w:rsidR="00E010F1" w:rsidRPr="00547EC7" w:rsidRDefault="00E010F1" w:rsidP="00E010F1">
            <w:pPr>
              <w:pStyle w:val="TABLEBODY"/>
              <w:rPr>
                <w:sz w:val="20"/>
                <w:szCs w:val="20"/>
              </w:rPr>
            </w:pPr>
            <w:r w:rsidRPr="00547EC7">
              <w:rPr>
                <w:sz w:val="20"/>
                <w:szCs w:val="20"/>
              </w:rPr>
              <w:t>0.2%</w:t>
            </w:r>
          </w:p>
        </w:tc>
        <w:tc>
          <w:tcPr>
            <w:tcW w:w="1275" w:type="dxa"/>
            <w:tcBorders>
              <w:left w:val="single" w:sz="4" w:space="0" w:color="auto"/>
              <w:bottom w:val="single" w:sz="4" w:space="0" w:color="auto"/>
              <w:right w:val="nil"/>
            </w:tcBorders>
          </w:tcPr>
          <w:p w14:paraId="61059C70" w14:textId="77777777" w:rsidR="00E010F1" w:rsidRPr="00547EC7" w:rsidRDefault="00E010F1" w:rsidP="00E010F1">
            <w:pPr>
              <w:pStyle w:val="TABLEBODY"/>
              <w:rPr>
                <w:sz w:val="20"/>
                <w:szCs w:val="20"/>
              </w:rPr>
            </w:pPr>
            <w:r w:rsidRPr="00547EC7">
              <w:rPr>
                <w:sz w:val="20"/>
                <w:szCs w:val="20"/>
              </w:rPr>
              <w:t>0.2%</w:t>
            </w:r>
          </w:p>
        </w:tc>
      </w:tr>
      <w:tr w:rsidR="00E010F1" w:rsidRPr="00547EC7" w14:paraId="39A29EBE" w14:textId="77777777" w:rsidTr="00E010F1">
        <w:tc>
          <w:tcPr>
            <w:tcW w:w="1418" w:type="dxa"/>
            <w:tcBorders>
              <w:left w:val="nil"/>
              <w:bottom w:val="single" w:sz="4" w:space="0" w:color="auto"/>
              <w:right w:val="single" w:sz="4" w:space="0" w:color="auto"/>
            </w:tcBorders>
          </w:tcPr>
          <w:p w14:paraId="14D4310E" w14:textId="77777777" w:rsidR="00E010F1" w:rsidRPr="00547EC7" w:rsidRDefault="00E010F1" w:rsidP="00E010F1">
            <w:pPr>
              <w:pStyle w:val="TABLEBODY"/>
              <w:rPr>
                <w:sz w:val="20"/>
                <w:szCs w:val="20"/>
              </w:rPr>
            </w:pPr>
            <w:r w:rsidRPr="00547EC7">
              <w:rPr>
                <w:sz w:val="20"/>
                <w:szCs w:val="20"/>
              </w:rPr>
              <w:t>Permission</w:t>
            </w:r>
          </w:p>
        </w:tc>
        <w:tc>
          <w:tcPr>
            <w:tcW w:w="1252" w:type="dxa"/>
            <w:tcBorders>
              <w:left w:val="single" w:sz="4" w:space="0" w:color="auto"/>
              <w:bottom w:val="single" w:sz="4" w:space="0" w:color="auto"/>
              <w:right w:val="single" w:sz="4" w:space="0" w:color="auto"/>
            </w:tcBorders>
          </w:tcPr>
          <w:p w14:paraId="2B6AB5E3" w14:textId="77777777" w:rsidR="00E010F1" w:rsidRPr="00547EC7" w:rsidRDefault="00E010F1" w:rsidP="00E010F1">
            <w:pPr>
              <w:pStyle w:val="TABLEBODY"/>
              <w:rPr>
                <w:sz w:val="20"/>
                <w:szCs w:val="20"/>
              </w:rPr>
            </w:pPr>
            <w:r w:rsidRPr="00547EC7">
              <w:rPr>
                <w:sz w:val="20"/>
                <w:szCs w:val="20"/>
              </w:rPr>
              <w:t>1.69%</w:t>
            </w:r>
          </w:p>
        </w:tc>
        <w:tc>
          <w:tcPr>
            <w:tcW w:w="1304" w:type="dxa"/>
            <w:tcBorders>
              <w:left w:val="single" w:sz="4" w:space="0" w:color="auto"/>
              <w:bottom w:val="single" w:sz="4" w:space="0" w:color="auto"/>
              <w:right w:val="single" w:sz="4" w:space="0" w:color="auto"/>
            </w:tcBorders>
          </w:tcPr>
          <w:p w14:paraId="37D08A1A" w14:textId="77777777" w:rsidR="00E010F1" w:rsidRPr="00547EC7" w:rsidRDefault="00E010F1" w:rsidP="00E010F1">
            <w:pPr>
              <w:pStyle w:val="TABLEBODY"/>
              <w:rPr>
                <w:sz w:val="20"/>
                <w:szCs w:val="20"/>
              </w:rPr>
            </w:pPr>
            <w:r w:rsidRPr="00547EC7">
              <w:rPr>
                <w:sz w:val="20"/>
                <w:szCs w:val="20"/>
              </w:rPr>
              <w:t>0.8%</w:t>
            </w:r>
          </w:p>
        </w:tc>
        <w:tc>
          <w:tcPr>
            <w:tcW w:w="1275" w:type="dxa"/>
            <w:tcBorders>
              <w:left w:val="single" w:sz="4" w:space="0" w:color="auto"/>
              <w:bottom w:val="single" w:sz="4" w:space="0" w:color="auto"/>
              <w:right w:val="single" w:sz="4" w:space="0" w:color="auto"/>
            </w:tcBorders>
          </w:tcPr>
          <w:p w14:paraId="564EC99B" w14:textId="77777777" w:rsidR="00E010F1" w:rsidRPr="00547EC7" w:rsidRDefault="00E010F1" w:rsidP="00E010F1">
            <w:pPr>
              <w:pStyle w:val="TABLEBODY"/>
              <w:rPr>
                <w:sz w:val="20"/>
                <w:szCs w:val="20"/>
              </w:rPr>
            </w:pPr>
            <w:r w:rsidRPr="00547EC7">
              <w:rPr>
                <w:sz w:val="20"/>
                <w:szCs w:val="20"/>
              </w:rPr>
              <w:t>2.56%</w:t>
            </w:r>
          </w:p>
        </w:tc>
        <w:tc>
          <w:tcPr>
            <w:tcW w:w="1275" w:type="dxa"/>
            <w:tcBorders>
              <w:left w:val="single" w:sz="4" w:space="0" w:color="auto"/>
              <w:bottom w:val="single" w:sz="4" w:space="0" w:color="auto"/>
              <w:right w:val="nil"/>
            </w:tcBorders>
          </w:tcPr>
          <w:p w14:paraId="2799280F" w14:textId="77777777" w:rsidR="00E010F1" w:rsidRPr="00547EC7" w:rsidRDefault="00E010F1" w:rsidP="00E010F1">
            <w:pPr>
              <w:pStyle w:val="TABLEBODY"/>
              <w:rPr>
                <w:sz w:val="20"/>
                <w:szCs w:val="20"/>
              </w:rPr>
            </w:pPr>
            <w:r w:rsidRPr="00547EC7">
              <w:rPr>
                <w:sz w:val="20"/>
                <w:szCs w:val="20"/>
              </w:rPr>
              <w:t>1.31%</w:t>
            </w:r>
          </w:p>
        </w:tc>
      </w:tr>
      <w:tr w:rsidR="00E010F1" w:rsidRPr="00547EC7" w14:paraId="5A74432A" w14:textId="77777777" w:rsidTr="00E010F1">
        <w:tc>
          <w:tcPr>
            <w:tcW w:w="1418" w:type="dxa"/>
            <w:tcBorders>
              <w:top w:val="single" w:sz="4" w:space="0" w:color="auto"/>
              <w:left w:val="nil"/>
              <w:bottom w:val="single" w:sz="4" w:space="0" w:color="auto"/>
              <w:right w:val="single" w:sz="4" w:space="0" w:color="auto"/>
            </w:tcBorders>
          </w:tcPr>
          <w:p w14:paraId="2EB0A9F4" w14:textId="77777777" w:rsidR="00E010F1" w:rsidRPr="00547EC7" w:rsidRDefault="00E010F1" w:rsidP="00E010F1">
            <w:pPr>
              <w:pStyle w:val="TABLEBODY"/>
              <w:rPr>
                <w:sz w:val="20"/>
                <w:szCs w:val="20"/>
              </w:rPr>
            </w:pPr>
            <w:r w:rsidRPr="00547EC7">
              <w:rPr>
                <w:sz w:val="20"/>
                <w:szCs w:val="20"/>
              </w:rPr>
              <w:t>Appropriateness</w:t>
            </w:r>
          </w:p>
        </w:tc>
        <w:tc>
          <w:tcPr>
            <w:tcW w:w="1252" w:type="dxa"/>
            <w:tcBorders>
              <w:top w:val="single" w:sz="4" w:space="0" w:color="auto"/>
              <w:left w:val="single" w:sz="4" w:space="0" w:color="auto"/>
              <w:bottom w:val="single" w:sz="4" w:space="0" w:color="auto"/>
              <w:right w:val="single" w:sz="4" w:space="0" w:color="auto"/>
            </w:tcBorders>
          </w:tcPr>
          <w:p w14:paraId="4A74C1B1" w14:textId="77777777" w:rsidR="00E010F1" w:rsidRPr="00547EC7" w:rsidRDefault="00E010F1" w:rsidP="00E010F1">
            <w:pPr>
              <w:pStyle w:val="TABLEBODY"/>
              <w:rPr>
                <w:i/>
                <w:sz w:val="20"/>
                <w:szCs w:val="20"/>
              </w:rPr>
            </w:pPr>
            <w:r w:rsidRPr="00547EC7">
              <w:rPr>
                <w:sz w:val="20"/>
                <w:szCs w:val="20"/>
              </w:rPr>
              <w:t>1.02%</w:t>
            </w:r>
          </w:p>
        </w:tc>
        <w:tc>
          <w:tcPr>
            <w:tcW w:w="1304" w:type="dxa"/>
            <w:tcBorders>
              <w:top w:val="single" w:sz="4" w:space="0" w:color="auto"/>
              <w:left w:val="single" w:sz="4" w:space="0" w:color="auto"/>
              <w:bottom w:val="single" w:sz="4" w:space="0" w:color="auto"/>
              <w:right w:val="single" w:sz="4" w:space="0" w:color="auto"/>
            </w:tcBorders>
          </w:tcPr>
          <w:p w14:paraId="7C378B26" w14:textId="77777777" w:rsidR="00E010F1" w:rsidRPr="00547EC7" w:rsidRDefault="00E010F1" w:rsidP="00E010F1">
            <w:pPr>
              <w:pStyle w:val="TABLEBODY"/>
              <w:rPr>
                <w:i/>
                <w:sz w:val="20"/>
                <w:szCs w:val="20"/>
              </w:rPr>
            </w:pPr>
            <w:r w:rsidRPr="00547EC7">
              <w:rPr>
                <w:sz w:val="20"/>
                <w:szCs w:val="20"/>
              </w:rPr>
              <w:t>0.32%</w:t>
            </w:r>
          </w:p>
        </w:tc>
        <w:tc>
          <w:tcPr>
            <w:tcW w:w="1275" w:type="dxa"/>
            <w:tcBorders>
              <w:top w:val="single" w:sz="4" w:space="0" w:color="auto"/>
              <w:left w:val="single" w:sz="4" w:space="0" w:color="auto"/>
              <w:bottom w:val="single" w:sz="4" w:space="0" w:color="auto"/>
              <w:right w:val="single" w:sz="4" w:space="0" w:color="auto"/>
            </w:tcBorders>
          </w:tcPr>
          <w:p w14:paraId="79E22790" w14:textId="77777777" w:rsidR="00E010F1" w:rsidRPr="00547EC7" w:rsidRDefault="00E010F1" w:rsidP="00E010F1">
            <w:pPr>
              <w:pStyle w:val="TABLEBODY"/>
              <w:rPr>
                <w:i/>
                <w:sz w:val="20"/>
                <w:szCs w:val="20"/>
              </w:rPr>
            </w:pPr>
            <w:r w:rsidRPr="00547EC7">
              <w:rPr>
                <w:sz w:val="20"/>
                <w:szCs w:val="20"/>
              </w:rPr>
              <w:t>0.72%</w:t>
            </w:r>
          </w:p>
        </w:tc>
        <w:tc>
          <w:tcPr>
            <w:tcW w:w="1275" w:type="dxa"/>
            <w:tcBorders>
              <w:top w:val="single" w:sz="4" w:space="0" w:color="auto"/>
              <w:left w:val="single" w:sz="4" w:space="0" w:color="auto"/>
              <w:bottom w:val="single" w:sz="4" w:space="0" w:color="auto"/>
              <w:right w:val="nil"/>
            </w:tcBorders>
          </w:tcPr>
          <w:p w14:paraId="7414BBC4" w14:textId="77777777" w:rsidR="00E010F1" w:rsidRPr="00547EC7" w:rsidRDefault="00E010F1" w:rsidP="00E010F1">
            <w:pPr>
              <w:pStyle w:val="TABLEBODY"/>
              <w:rPr>
                <w:i/>
                <w:sz w:val="20"/>
                <w:szCs w:val="20"/>
              </w:rPr>
            </w:pPr>
            <w:r w:rsidRPr="00547EC7">
              <w:rPr>
                <w:sz w:val="20"/>
                <w:szCs w:val="20"/>
              </w:rPr>
              <w:t>0.18%</w:t>
            </w:r>
          </w:p>
        </w:tc>
      </w:tr>
      <w:tr w:rsidR="00E010F1" w:rsidRPr="00547EC7" w14:paraId="472E9BE2" w14:textId="77777777" w:rsidTr="00E010F1">
        <w:tc>
          <w:tcPr>
            <w:tcW w:w="1418" w:type="dxa"/>
            <w:tcBorders>
              <w:top w:val="single" w:sz="4" w:space="0" w:color="auto"/>
              <w:left w:val="nil"/>
              <w:bottom w:val="single" w:sz="4" w:space="0" w:color="auto"/>
              <w:right w:val="single" w:sz="4" w:space="0" w:color="auto"/>
            </w:tcBorders>
          </w:tcPr>
          <w:p w14:paraId="394190ED" w14:textId="77777777" w:rsidR="00E010F1" w:rsidRPr="00547EC7" w:rsidRDefault="00E010F1" w:rsidP="00E010F1">
            <w:pPr>
              <w:pStyle w:val="TABLEBODY"/>
              <w:rPr>
                <w:sz w:val="20"/>
                <w:szCs w:val="20"/>
              </w:rPr>
            </w:pPr>
            <w:r w:rsidRPr="00547EC7">
              <w:rPr>
                <w:sz w:val="20"/>
                <w:szCs w:val="20"/>
              </w:rPr>
              <w:t>Obligation</w:t>
            </w:r>
          </w:p>
        </w:tc>
        <w:tc>
          <w:tcPr>
            <w:tcW w:w="1252" w:type="dxa"/>
            <w:tcBorders>
              <w:top w:val="single" w:sz="4" w:space="0" w:color="auto"/>
              <w:left w:val="single" w:sz="4" w:space="0" w:color="auto"/>
              <w:bottom w:val="single" w:sz="4" w:space="0" w:color="auto"/>
              <w:right w:val="single" w:sz="4" w:space="0" w:color="auto"/>
            </w:tcBorders>
          </w:tcPr>
          <w:p w14:paraId="2361B8CE" w14:textId="77777777" w:rsidR="00E010F1" w:rsidRPr="00547EC7" w:rsidRDefault="00E010F1" w:rsidP="00E010F1">
            <w:pPr>
              <w:pStyle w:val="TABLEBODY"/>
              <w:rPr>
                <w:i/>
                <w:sz w:val="20"/>
                <w:szCs w:val="20"/>
              </w:rPr>
            </w:pPr>
            <w:r w:rsidRPr="00547EC7">
              <w:rPr>
                <w:sz w:val="20"/>
                <w:szCs w:val="20"/>
              </w:rPr>
              <w:t>0.15%</w:t>
            </w:r>
          </w:p>
        </w:tc>
        <w:tc>
          <w:tcPr>
            <w:tcW w:w="1304" w:type="dxa"/>
            <w:tcBorders>
              <w:top w:val="single" w:sz="4" w:space="0" w:color="auto"/>
              <w:left w:val="single" w:sz="4" w:space="0" w:color="auto"/>
              <w:bottom w:val="single" w:sz="4" w:space="0" w:color="auto"/>
              <w:right w:val="single" w:sz="4" w:space="0" w:color="auto"/>
            </w:tcBorders>
          </w:tcPr>
          <w:p w14:paraId="76FB6F1B" w14:textId="77777777" w:rsidR="00E010F1" w:rsidRPr="00547EC7" w:rsidRDefault="00E010F1" w:rsidP="00E010F1">
            <w:pPr>
              <w:pStyle w:val="TABLEBODY"/>
              <w:rPr>
                <w:i/>
                <w:sz w:val="20"/>
                <w:szCs w:val="20"/>
              </w:rPr>
            </w:pPr>
            <w:r w:rsidRPr="00547EC7">
              <w:rPr>
                <w:sz w:val="20"/>
                <w:szCs w:val="20"/>
              </w:rPr>
              <w:t>0%</w:t>
            </w:r>
          </w:p>
        </w:tc>
        <w:tc>
          <w:tcPr>
            <w:tcW w:w="1275" w:type="dxa"/>
            <w:tcBorders>
              <w:top w:val="single" w:sz="4" w:space="0" w:color="auto"/>
              <w:left w:val="single" w:sz="4" w:space="0" w:color="auto"/>
              <w:bottom w:val="single" w:sz="4" w:space="0" w:color="auto"/>
              <w:right w:val="single" w:sz="4" w:space="0" w:color="auto"/>
            </w:tcBorders>
          </w:tcPr>
          <w:p w14:paraId="26E24876" w14:textId="77777777" w:rsidR="00E010F1" w:rsidRPr="00547EC7" w:rsidRDefault="00E010F1" w:rsidP="00E010F1">
            <w:pPr>
              <w:pStyle w:val="TABLEBODY"/>
              <w:rPr>
                <w:i/>
                <w:sz w:val="20"/>
                <w:szCs w:val="20"/>
              </w:rPr>
            </w:pPr>
            <w:r w:rsidRPr="00547EC7">
              <w:rPr>
                <w:sz w:val="20"/>
                <w:szCs w:val="20"/>
              </w:rPr>
              <w:t>0.18%</w:t>
            </w:r>
          </w:p>
        </w:tc>
        <w:tc>
          <w:tcPr>
            <w:tcW w:w="1275" w:type="dxa"/>
            <w:tcBorders>
              <w:top w:val="single" w:sz="4" w:space="0" w:color="auto"/>
              <w:left w:val="single" w:sz="4" w:space="0" w:color="auto"/>
              <w:bottom w:val="single" w:sz="4" w:space="0" w:color="auto"/>
              <w:right w:val="nil"/>
            </w:tcBorders>
          </w:tcPr>
          <w:p w14:paraId="52028ED6" w14:textId="77777777" w:rsidR="00E010F1" w:rsidRPr="00547EC7" w:rsidRDefault="00E010F1" w:rsidP="00E010F1">
            <w:pPr>
              <w:pStyle w:val="TABLEBODY"/>
              <w:rPr>
                <w:i/>
                <w:sz w:val="20"/>
                <w:szCs w:val="20"/>
              </w:rPr>
            </w:pPr>
            <w:r w:rsidRPr="00547EC7">
              <w:rPr>
                <w:sz w:val="20"/>
                <w:szCs w:val="20"/>
              </w:rPr>
              <w:t>0.25%</w:t>
            </w:r>
          </w:p>
        </w:tc>
      </w:tr>
    </w:tbl>
    <w:p w14:paraId="621EF568" w14:textId="77777777" w:rsidR="00E010F1" w:rsidRPr="00547EC7" w:rsidRDefault="00E010F1" w:rsidP="00E010F1">
      <w:pPr>
        <w:pStyle w:val="TEXTINDENT"/>
        <w:ind w:firstLine="0"/>
        <w:rPr>
          <w:lang w:val="en-GB"/>
        </w:rPr>
      </w:pPr>
      <w:r w:rsidRPr="00547EC7">
        <w:rPr>
          <w:lang w:val="en-GB"/>
        </w:rPr>
        <w:t xml:space="preserve"> </w:t>
      </w:r>
    </w:p>
    <w:p w14:paraId="58B97B7C" w14:textId="77777777" w:rsidR="00E010F1" w:rsidRPr="00547EC7" w:rsidRDefault="00E010F1" w:rsidP="00E010F1">
      <w:pPr>
        <w:pStyle w:val="TEXTINDENT"/>
        <w:rPr>
          <w:lang w:val="en-GB"/>
        </w:rPr>
      </w:pPr>
      <w:r w:rsidRPr="00547EC7">
        <w:rPr>
          <w:lang w:val="en-GB"/>
        </w:rPr>
        <w:t>How each of these formal themes apply to the different agents in the dataset is summarised below.</w:t>
      </w:r>
    </w:p>
    <w:p w14:paraId="5EC322AE" w14:textId="77777777" w:rsidR="00E010F1" w:rsidRPr="00547EC7" w:rsidRDefault="00E010F1" w:rsidP="00E010F1">
      <w:pPr>
        <w:pStyle w:val="TEXTINDENT"/>
        <w:rPr>
          <w:lang w:val="en-GB"/>
        </w:rPr>
      </w:pPr>
    </w:p>
    <w:p w14:paraId="7F1656DB" w14:textId="77777777" w:rsidR="00E010F1" w:rsidRPr="00547EC7" w:rsidRDefault="00E010F1" w:rsidP="00E010F1">
      <w:pPr>
        <w:pStyle w:val="TEXTINDENT"/>
        <w:rPr>
          <w:lang w:val="en-GB"/>
        </w:rPr>
      </w:pPr>
    </w:p>
    <w:p w14:paraId="3D558442" w14:textId="77777777" w:rsidR="00E010F1" w:rsidRPr="00547EC7" w:rsidRDefault="00E010F1" w:rsidP="00E010F1">
      <w:pPr>
        <w:pStyle w:val="CAPTIONTEXT"/>
      </w:pPr>
      <w:r w:rsidRPr="00547EC7">
        <w:rPr>
          <w:rStyle w:val="CSSMALLCAPS"/>
        </w:rPr>
        <w:t>table 7</w:t>
      </w:r>
      <w:r w:rsidRPr="00547EC7">
        <w:tab/>
        <w:t>Matrix query of levels of formality and agent/patient.</w:t>
      </w:r>
    </w:p>
    <w:tbl>
      <w:tblPr>
        <w:tblW w:w="0" w:type="auto"/>
        <w:tblLayout w:type="fixed"/>
        <w:tblLook w:val="04A0" w:firstRow="1" w:lastRow="0" w:firstColumn="1" w:lastColumn="0" w:noHBand="0" w:noVBand="1"/>
      </w:tblPr>
      <w:tblGrid>
        <w:gridCol w:w="709"/>
        <w:gridCol w:w="1134"/>
        <w:gridCol w:w="1134"/>
        <w:gridCol w:w="1276"/>
        <w:gridCol w:w="992"/>
        <w:gridCol w:w="1279"/>
      </w:tblGrid>
      <w:tr w:rsidR="00E010F1" w:rsidRPr="00547EC7" w14:paraId="1B78CFC3" w14:textId="77777777" w:rsidTr="00E010F1">
        <w:trPr>
          <w:cantSplit/>
          <w:trHeight w:val="637"/>
        </w:trPr>
        <w:tc>
          <w:tcPr>
            <w:tcW w:w="709" w:type="dxa"/>
            <w:tcBorders>
              <w:top w:val="nil"/>
              <w:left w:val="nil"/>
              <w:bottom w:val="single" w:sz="4" w:space="0" w:color="auto"/>
              <w:right w:val="nil"/>
            </w:tcBorders>
            <w:textDirection w:val="btLr"/>
          </w:tcPr>
          <w:p w14:paraId="14BF9C64" w14:textId="77777777" w:rsidR="00E010F1" w:rsidRPr="00547EC7" w:rsidRDefault="00E010F1" w:rsidP="00E010F1">
            <w:pPr>
              <w:pStyle w:val="TABLEBODY"/>
              <w:ind w:left="113" w:right="113"/>
              <w:rPr>
                <w:sz w:val="18"/>
                <w:szCs w:val="18"/>
              </w:rPr>
            </w:pPr>
          </w:p>
        </w:tc>
        <w:tc>
          <w:tcPr>
            <w:tcW w:w="1134" w:type="dxa"/>
            <w:tcBorders>
              <w:left w:val="nil"/>
              <w:bottom w:val="single" w:sz="4" w:space="0" w:color="auto"/>
              <w:right w:val="nil"/>
            </w:tcBorders>
          </w:tcPr>
          <w:p w14:paraId="15DF5596" w14:textId="77777777" w:rsidR="00E010F1" w:rsidRPr="00547EC7" w:rsidRDefault="00E010F1" w:rsidP="00E010F1">
            <w:pPr>
              <w:pStyle w:val="TABLECOLUMNHEAD"/>
              <w:framePr w:wrap="auto" w:vAnchor="margin" w:yAlign="inline"/>
              <w:suppressOverlap w:val="0"/>
              <w:rPr>
                <w:sz w:val="18"/>
                <w:szCs w:val="18"/>
              </w:rPr>
            </w:pPr>
            <w:r w:rsidRPr="00547EC7">
              <w:rPr>
                <w:sz w:val="18"/>
                <w:szCs w:val="18"/>
              </w:rPr>
              <w:t>Candidate</w:t>
            </w:r>
          </w:p>
        </w:tc>
        <w:tc>
          <w:tcPr>
            <w:tcW w:w="1134" w:type="dxa"/>
            <w:tcBorders>
              <w:left w:val="nil"/>
              <w:bottom w:val="single" w:sz="4" w:space="0" w:color="auto"/>
              <w:right w:val="nil"/>
            </w:tcBorders>
          </w:tcPr>
          <w:p w14:paraId="33E32A3E" w14:textId="77777777" w:rsidR="00E010F1" w:rsidRPr="00547EC7" w:rsidRDefault="00E010F1" w:rsidP="00E010F1">
            <w:pPr>
              <w:pStyle w:val="TABLECOLUMNHEAD"/>
              <w:framePr w:wrap="auto" w:vAnchor="margin" w:yAlign="inline"/>
              <w:suppressOverlap w:val="0"/>
              <w:rPr>
                <w:sz w:val="18"/>
                <w:szCs w:val="18"/>
              </w:rPr>
            </w:pPr>
            <w:r w:rsidRPr="00547EC7">
              <w:rPr>
                <w:sz w:val="18"/>
                <w:szCs w:val="18"/>
              </w:rPr>
              <w:t>Institution</w:t>
            </w:r>
          </w:p>
          <w:p w14:paraId="2CD862B1" w14:textId="77777777" w:rsidR="00E010F1" w:rsidRPr="00547EC7" w:rsidRDefault="00E010F1" w:rsidP="00E010F1">
            <w:pPr>
              <w:pStyle w:val="TABLEBODY"/>
            </w:pPr>
          </w:p>
        </w:tc>
        <w:tc>
          <w:tcPr>
            <w:tcW w:w="1276" w:type="dxa"/>
            <w:tcBorders>
              <w:left w:val="nil"/>
              <w:bottom w:val="single" w:sz="4" w:space="0" w:color="auto"/>
              <w:right w:val="nil"/>
            </w:tcBorders>
          </w:tcPr>
          <w:p w14:paraId="044EF5CC" w14:textId="77777777" w:rsidR="00E010F1" w:rsidRPr="00547EC7" w:rsidRDefault="00E010F1" w:rsidP="00E010F1">
            <w:pPr>
              <w:pStyle w:val="TABLECOLUMNHEAD"/>
              <w:framePr w:wrap="auto" w:vAnchor="margin" w:yAlign="inline"/>
              <w:suppressOverlap w:val="0"/>
              <w:rPr>
                <w:sz w:val="18"/>
                <w:szCs w:val="18"/>
              </w:rPr>
            </w:pPr>
            <w:r w:rsidRPr="00547EC7">
              <w:rPr>
                <w:sz w:val="18"/>
                <w:szCs w:val="18"/>
              </w:rPr>
              <w:t>Postgraduate researchers</w:t>
            </w:r>
          </w:p>
        </w:tc>
        <w:tc>
          <w:tcPr>
            <w:tcW w:w="992" w:type="dxa"/>
            <w:tcBorders>
              <w:left w:val="nil"/>
              <w:bottom w:val="single" w:sz="4" w:space="0" w:color="auto"/>
              <w:right w:val="nil"/>
            </w:tcBorders>
          </w:tcPr>
          <w:p w14:paraId="64385040" w14:textId="77777777" w:rsidR="00E010F1" w:rsidRPr="00547EC7" w:rsidRDefault="00E010F1" w:rsidP="00E010F1">
            <w:pPr>
              <w:pStyle w:val="TABLECOLUMNHEAD"/>
              <w:framePr w:wrap="auto" w:vAnchor="margin" w:yAlign="inline"/>
              <w:suppressOverlap w:val="0"/>
              <w:rPr>
                <w:sz w:val="18"/>
                <w:szCs w:val="18"/>
              </w:rPr>
            </w:pPr>
            <w:r w:rsidRPr="00547EC7">
              <w:rPr>
                <w:sz w:val="18"/>
                <w:szCs w:val="18"/>
              </w:rPr>
              <w:t>Student</w:t>
            </w:r>
          </w:p>
          <w:p w14:paraId="5F6B897B" w14:textId="77777777" w:rsidR="00E010F1" w:rsidRPr="00547EC7" w:rsidRDefault="00E010F1" w:rsidP="00E010F1">
            <w:pPr>
              <w:pStyle w:val="TABLEBODY"/>
            </w:pPr>
          </w:p>
        </w:tc>
        <w:tc>
          <w:tcPr>
            <w:tcW w:w="1279" w:type="dxa"/>
            <w:tcBorders>
              <w:left w:val="nil"/>
              <w:bottom w:val="single" w:sz="4" w:space="0" w:color="auto"/>
              <w:right w:val="nil"/>
            </w:tcBorders>
          </w:tcPr>
          <w:p w14:paraId="3B86128B" w14:textId="77777777" w:rsidR="00E010F1" w:rsidRPr="00547EC7" w:rsidRDefault="00E010F1" w:rsidP="00E010F1">
            <w:pPr>
              <w:pStyle w:val="TABLECOLUMNHEAD"/>
              <w:framePr w:wrap="auto" w:vAnchor="margin" w:yAlign="inline"/>
              <w:suppressOverlap w:val="0"/>
              <w:rPr>
                <w:sz w:val="18"/>
                <w:szCs w:val="18"/>
              </w:rPr>
            </w:pPr>
            <w:r w:rsidRPr="00547EC7">
              <w:rPr>
                <w:sz w:val="18"/>
                <w:szCs w:val="18"/>
              </w:rPr>
              <w:t>Supervisor</w:t>
            </w:r>
          </w:p>
          <w:p w14:paraId="218236B0" w14:textId="77777777" w:rsidR="00E010F1" w:rsidRPr="00547EC7" w:rsidRDefault="00E010F1" w:rsidP="00E010F1">
            <w:pPr>
              <w:pStyle w:val="TABLEBODY"/>
            </w:pPr>
          </w:p>
        </w:tc>
      </w:tr>
      <w:tr w:rsidR="00E010F1" w:rsidRPr="00547EC7" w14:paraId="4865E2E7" w14:textId="77777777" w:rsidTr="00E010F1">
        <w:trPr>
          <w:cantSplit/>
          <w:trHeight w:val="1521"/>
        </w:trPr>
        <w:tc>
          <w:tcPr>
            <w:tcW w:w="709" w:type="dxa"/>
            <w:tcBorders>
              <w:left w:val="nil"/>
              <w:bottom w:val="single" w:sz="4" w:space="0" w:color="auto"/>
              <w:right w:val="single" w:sz="4" w:space="0" w:color="auto"/>
            </w:tcBorders>
            <w:textDirection w:val="btLr"/>
          </w:tcPr>
          <w:p w14:paraId="04C72CCE" w14:textId="77777777" w:rsidR="00E010F1" w:rsidRPr="00547EC7" w:rsidRDefault="00E010F1" w:rsidP="00E010F1">
            <w:pPr>
              <w:pStyle w:val="TABLEBODY"/>
              <w:ind w:left="113" w:right="113"/>
              <w:rPr>
                <w:sz w:val="18"/>
                <w:szCs w:val="18"/>
              </w:rPr>
            </w:pPr>
            <w:r w:rsidRPr="00547EC7">
              <w:rPr>
                <w:sz w:val="18"/>
                <w:szCs w:val="18"/>
              </w:rPr>
              <w:lastRenderedPageBreak/>
              <w:t>Appropriateness</w:t>
            </w:r>
          </w:p>
        </w:tc>
        <w:tc>
          <w:tcPr>
            <w:tcW w:w="1134" w:type="dxa"/>
            <w:tcBorders>
              <w:left w:val="single" w:sz="4" w:space="0" w:color="auto"/>
              <w:bottom w:val="single" w:sz="4" w:space="0" w:color="auto"/>
              <w:right w:val="single" w:sz="4" w:space="0" w:color="auto"/>
            </w:tcBorders>
          </w:tcPr>
          <w:p w14:paraId="680EA0D1" w14:textId="77777777" w:rsidR="00E010F1" w:rsidRPr="00547EC7" w:rsidRDefault="00E010F1" w:rsidP="00E010F1">
            <w:pPr>
              <w:pStyle w:val="TABLEBODY"/>
              <w:rPr>
                <w:sz w:val="18"/>
                <w:szCs w:val="18"/>
              </w:rPr>
            </w:pPr>
            <w:r w:rsidRPr="00547EC7">
              <w:rPr>
                <w:sz w:val="18"/>
                <w:szCs w:val="18"/>
              </w:rPr>
              <w:t>7</w:t>
            </w:r>
          </w:p>
        </w:tc>
        <w:tc>
          <w:tcPr>
            <w:tcW w:w="1134" w:type="dxa"/>
            <w:tcBorders>
              <w:left w:val="single" w:sz="4" w:space="0" w:color="auto"/>
              <w:bottom w:val="single" w:sz="4" w:space="0" w:color="auto"/>
              <w:right w:val="single" w:sz="4" w:space="0" w:color="auto"/>
            </w:tcBorders>
          </w:tcPr>
          <w:p w14:paraId="143C64CB" w14:textId="77777777" w:rsidR="00E010F1" w:rsidRPr="00547EC7" w:rsidRDefault="00E010F1" w:rsidP="00E010F1">
            <w:pPr>
              <w:pStyle w:val="TABLEBODY"/>
              <w:rPr>
                <w:sz w:val="18"/>
                <w:szCs w:val="18"/>
              </w:rPr>
            </w:pPr>
            <w:r w:rsidRPr="00547EC7">
              <w:rPr>
                <w:sz w:val="18"/>
                <w:szCs w:val="18"/>
              </w:rPr>
              <w:t>0</w:t>
            </w:r>
          </w:p>
        </w:tc>
        <w:tc>
          <w:tcPr>
            <w:tcW w:w="1276" w:type="dxa"/>
            <w:tcBorders>
              <w:left w:val="single" w:sz="4" w:space="0" w:color="auto"/>
              <w:bottom w:val="single" w:sz="4" w:space="0" w:color="auto"/>
              <w:right w:val="single" w:sz="4" w:space="0" w:color="auto"/>
            </w:tcBorders>
          </w:tcPr>
          <w:p w14:paraId="6BF384AE" w14:textId="77777777" w:rsidR="00E010F1" w:rsidRPr="00547EC7" w:rsidRDefault="00E010F1" w:rsidP="00E010F1">
            <w:pPr>
              <w:pStyle w:val="TABLEBODY"/>
              <w:rPr>
                <w:sz w:val="18"/>
                <w:szCs w:val="18"/>
              </w:rPr>
            </w:pPr>
            <w:r w:rsidRPr="00547EC7">
              <w:rPr>
                <w:sz w:val="18"/>
                <w:szCs w:val="18"/>
              </w:rPr>
              <w:t>2</w:t>
            </w:r>
          </w:p>
        </w:tc>
        <w:tc>
          <w:tcPr>
            <w:tcW w:w="992" w:type="dxa"/>
            <w:tcBorders>
              <w:left w:val="single" w:sz="4" w:space="0" w:color="auto"/>
              <w:bottom w:val="single" w:sz="4" w:space="0" w:color="auto"/>
              <w:right w:val="nil"/>
            </w:tcBorders>
          </w:tcPr>
          <w:p w14:paraId="7835E53E" w14:textId="77777777" w:rsidR="00E010F1" w:rsidRPr="00547EC7" w:rsidRDefault="00E010F1" w:rsidP="00E010F1">
            <w:pPr>
              <w:pStyle w:val="TABLEBODY"/>
              <w:rPr>
                <w:sz w:val="18"/>
                <w:szCs w:val="18"/>
              </w:rPr>
            </w:pPr>
            <w:r w:rsidRPr="00547EC7">
              <w:rPr>
                <w:sz w:val="18"/>
                <w:szCs w:val="18"/>
              </w:rPr>
              <w:t>30</w:t>
            </w:r>
          </w:p>
        </w:tc>
        <w:tc>
          <w:tcPr>
            <w:tcW w:w="1279" w:type="dxa"/>
            <w:tcBorders>
              <w:left w:val="single" w:sz="4" w:space="0" w:color="auto"/>
              <w:bottom w:val="single" w:sz="4" w:space="0" w:color="auto"/>
              <w:right w:val="nil"/>
            </w:tcBorders>
          </w:tcPr>
          <w:p w14:paraId="46A87A3A" w14:textId="77777777" w:rsidR="00E010F1" w:rsidRPr="00547EC7" w:rsidRDefault="00E010F1" w:rsidP="00E010F1">
            <w:pPr>
              <w:pStyle w:val="TABLEBODY"/>
              <w:rPr>
                <w:sz w:val="18"/>
                <w:szCs w:val="18"/>
              </w:rPr>
            </w:pPr>
            <w:r w:rsidRPr="00547EC7">
              <w:rPr>
                <w:sz w:val="18"/>
                <w:szCs w:val="18"/>
              </w:rPr>
              <w:t>15</w:t>
            </w:r>
          </w:p>
        </w:tc>
      </w:tr>
      <w:tr w:rsidR="00E010F1" w:rsidRPr="00547EC7" w14:paraId="73DD3D5D" w14:textId="77777777" w:rsidTr="00E010F1">
        <w:trPr>
          <w:cantSplit/>
          <w:trHeight w:val="738"/>
        </w:trPr>
        <w:tc>
          <w:tcPr>
            <w:tcW w:w="709" w:type="dxa"/>
            <w:tcBorders>
              <w:left w:val="nil"/>
              <w:bottom w:val="single" w:sz="4" w:space="0" w:color="auto"/>
              <w:right w:val="single" w:sz="4" w:space="0" w:color="auto"/>
            </w:tcBorders>
            <w:textDirection w:val="btLr"/>
          </w:tcPr>
          <w:p w14:paraId="07BE9DF9" w14:textId="77777777" w:rsidR="00E010F1" w:rsidRPr="00547EC7" w:rsidRDefault="00E010F1" w:rsidP="00E010F1">
            <w:pPr>
              <w:pStyle w:val="TABLEBODY"/>
              <w:ind w:left="113" w:right="113"/>
              <w:rPr>
                <w:sz w:val="18"/>
                <w:szCs w:val="18"/>
              </w:rPr>
            </w:pPr>
            <w:r w:rsidRPr="00547EC7">
              <w:rPr>
                <w:sz w:val="18"/>
                <w:szCs w:val="18"/>
              </w:rPr>
              <w:t>health</w:t>
            </w:r>
          </w:p>
        </w:tc>
        <w:tc>
          <w:tcPr>
            <w:tcW w:w="1134" w:type="dxa"/>
            <w:tcBorders>
              <w:left w:val="single" w:sz="4" w:space="0" w:color="auto"/>
              <w:bottom w:val="single" w:sz="4" w:space="0" w:color="auto"/>
              <w:right w:val="single" w:sz="4" w:space="0" w:color="auto"/>
            </w:tcBorders>
          </w:tcPr>
          <w:p w14:paraId="36BF1C12" w14:textId="77777777" w:rsidR="00E010F1" w:rsidRPr="00547EC7" w:rsidRDefault="00E010F1" w:rsidP="00E010F1">
            <w:pPr>
              <w:pStyle w:val="TABLEBODY"/>
              <w:rPr>
                <w:sz w:val="18"/>
                <w:szCs w:val="18"/>
              </w:rPr>
            </w:pPr>
            <w:r w:rsidRPr="00547EC7">
              <w:rPr>
                <w:sz w:val="18"/>
                <w:szCs w:val="18"/>
              </w:rPr>
              <w:t>0</w:t>
            </w:r>
          </w:p>
        </w:tc>
        <w:tc>
          <w:tcPr>
            <w:tcW w:w="1134" w:type="dxa"/>
            <w:tcBorders>
              <w:left w:val="single" w:sz="4" w:space="0" w:color="auto"/>
              <w:bottom w:val="single" w:sz="4" w:space="0" w:color="auto"/>
              <w:right w:val="single" w:sz="4" w:space="0" w:color="auto"/>
            </w:tcBorders>
          </w:tcPr>
          <w:p w14:paraId="5CA4A45F" w14:textId="77777777" w:rsidR="00E010F1" w:rsidRPr="00547EC7" w:rsidRDefault="00E010F1" w:rsidP="00E010F1">
            <w:pPr>
              <w:pStyle w:val="TABLEBODY"/>
              <w:rPr>
                <w:sz w:val="18"/>
                <w:szCs w:val="18"/>
              </w:rPr>
            </w:pPr>
            <w:r w:rsidRPr="00547EC7">
              <w:rPr>
                <w:sz w:val="18"/>
                <w:szCs w:val="18"/>
              </w:rPr>
              <w:t>28</w:t>
            </w:r>
          </w:p>
        </w:tc>
        <w:tc>
          <w:tcPr>
            <w:tcW w:w="1276" w:type="dxa"/>
            <w:tcBorders>
              <w:left w:val="single" w:sz="4" w:space="0" w:color="auto"/>
              <w:bottom w:val="single" w:sz="4" w:space="0" w:color="auto"/>
              <w:right w:val="single" w:sz="4" w:space="0" w:color="auto"/>
            </w:tcBorders>
          </w:tcPr>
          <w:p w14:paraId="3342B571" w14:textId="77777777" w:rsidR="00E010F1" w:rsidRPr="00547EC7" w:rsidRDefault="00E010F1" w:rsidP="00E010F1">
            <w:pPr>
              <w:pStyle w:val="TABLEBODY"/>
              <w:rPr>
                <w:sz w:val="18"/>
                <w:szCs w:val="18"/>
              </w:rPr>
            </w:pPr>
            <w:r w:rsidRPr="00547EC7">
              <w:rPr>
                <w:sz w:val="18"/>
                <w:szCs w:val="18"/>
              </w:rPr>
              <w:t>90</w:t>
            </w:r>
          </w:p>
        </w:tc>
        <w:tc>
          <w:tcPr>
            <w:tcW w:w="992" w:type="dxa"/>
            <w:tcBorders>
              <w:left w:val="single" w:sz="4" w:space="0" w:color="auto"/>
              <w:bottom w:val="single" w:sz="4" w:space="0" w:color="auto"/>
              <w:right w:val="nil"/>
            </w:tcBorders>
          </w:tcPr>
          <w:p w14:paraId="21377D3B" w14:textId="77777777" w:rsidR="00E010F1" w:rsidRPr="00547EC7" w:rsidRDefault="00E010F1" w:rsidP="00E010F1">
            <w:pPr>
              <w:pStyle w:val="TABLEBODY"/>
              <w:rPr>
                <w:sz w:val="18"/>
                <w:szCs w:val="18"/>
              </w:rPr>
            </w:pPr>
            <w:r w:rsidRPr="00547EC7">
              <w:rPr>
                <w:sz w:val="18"/>
                <w:szCs w:val="18"/>
              </w:rPr>
              <w:t>32</w:t>
            </w:r>
          </w:p>
        </w:tc>
        <w:tc>
          <w:tcPr>
            <w:tcW w:w="1279" w:type="dxa"/>
            <w:tcBorders>
              <w:left w:val="single" w:sz="4" w:space="0" w:color="auto"/>
              <w:bottom w:val="single" w:sz="4" w:space="0" w:color="auto"/>
              <w:right w:val="nil"/>
            </w:tcBorders>
          </w:tcPr>
          <w:p w14:paraId="68CBF75B" w14:textId="77777777" w:rsidR="00E010F1" w:rsidRPr="00547EC7" w:rsidRDefault="00E010F1" w:rsidP="00E010F1">
            <w:pPr>
              <w:pStyle w:val="TABLEBODY"/>
              <w:rPr>
                <w:sz w:val="18"/>
                <w:szCs w:val="18"/>
              </w:rPr>
            </w:pPr>
            <w:r w:rsidRPr="00547EC7">
              <w:rPr>
                <w:sz w:val="18"/>
                <w:szCs w:val="18"/>
              </w:rPr>
              <w:t>25</w:t>
            </w:r>
          </w:p>
        </w:tc>
      </w:tr>
      <w:tr w:rsidR="00E010F1" w:rsidRPr="00547EC7" w14:paraId="18344F92" w14:textId="77777777" w:rsidTr="00E010F1">
        <w:trPr>
          <w:cantSplit/>
          <w:trHeight w:val="1118"/>
        </w:trPr>
        <w:tc>
          <w:tcPr>
            <w:tcW w:w="709" w:type="dxa"/>
            <w:tcBorders>
              <w:left w:val="nil"/>
              <w:bottom w:val="single" w:sz="4" w:space="0" w:color="auto"/>
              <w:right w:val="single" w:sz="4" w:space="0" w:color="auto"/>
            </w:tcBorders>
            <w:textDirection w:val="btLr"/>
          </w:tcPr>
          <w:p w14:paraId="09881ACA" w14:textId="77777777" w:rsidR="00E010F1" w:rsidRPr="00547EC7" w:rsidRDefault="00E010F1" w:rsidP="00E010F1">
            <w:pPr>
              <w:pStyle w:val="TABLEBODY"/>
              <w:ind w:left="113" w:right="113"/>
              <w:rPr>
                <w:sz w:val="18"/>
                <w:szCs w:val="18"/>
              </w:rPr>
            </w:pPr>
            <w:r w:rsidRPr="00547EC7">
              <w:rPr>
                <w:sz w:val="18"/>
                <w:szCs w:val="18"/>
              </w:rPr>
              <w:t>obligation</w:t>
            </w:r>
          </w:p>
        </w:tc>
        <w:tc>
          <w:tcPr>
            <w:tcW w:w="1134" w:type="dxa"/>
            <w:tcBorders>
              <w:left w:val="single" w:sz="4" w:space="0" w:color="auto"/>
              <w:bottom w:val="single" w:sz="4" w:space="0" w:color="auto"/>
              <w:right w:val="single" w:sz="4" w:space="0" w:color="auto"/>
            </w:tcBorders>
          </w:tcPr>
          <w:p w14:paraId="4578708E" w14:textId="77777777" w:rsidR="00E010F1" w:rsidRPr="00547EC7" w:rsidRDefault="00E010F1" w:rsidP="00E010F1">
            <w:pPr>
              <w:pStyle w:val="TABLEBODY"/>
              <w:rPr>
                <w:sz w:val="18"/>
                <w:szCs w:val="18"/>
              </w:rPr>
            </w:pPr>
            <w:r w:rsidRPr="00547EC7">
              <w:rPr>
                <w:sz w:val="18"/>
                <w:szCs w:val="18"/>
              </w:rPr>
              <w:t>6</w:t>
            </w:r>
          </w:p>
        </w:tc>
        <w:tc>
          <w:tcPr>
            <w:tcW w:w="1134" w:type="dxa"/>
            <w:tcBorders>
              <w:left w:val="single" w:sz="4" w:space="0" w:color="auto"/>
              <w:bottom w:val="single" w:sz="4" w:space="0" w:color="auto"/>
              <w:right w:val="single" w:sz="4" w:space="0" w:color="auto"/>
            </w:tcBorders>
          </w:tcPr>
          <w:p w14:paraId="3882C1C4" w14:textId="77777777" w:rsidR="00E010F1" w:rsidRPr="00547EC7" w:rsidRDefault="00E010F1" w:rsidP="00E010F1">
            <w:pPr>
              <w:pStyle w:val="TABLEBODY"/>
              <w:rPr>
                <w:sz w:val="18"/>
                <w:szCs w:val="18"/>
              </w:rPr>
            </w:pPr>
            <w:r w:rsidRPr="00547EC7">
              <w:rPr>
                <w:sz w:val="18"/>
                <w:szCs w:val="18"/>
              </w:rPr>
              <w:t>3</w:t>
            </w:r>
          </w:p>
        </w:tc>
        <w:tc>
          <w:tcPr>
            <w:tcW w:w="1276" w:type="dxa"/>
            <w:tcBorders>
              <w:left w:val="single" w:sz="4" w:space="0" w:color="auto"/>
              <w:bottom w:val="single" w:sz="4" w:space="0" w:color="auto"/>
              <w:right w:val="single" w:sz="4" w:space="0" w:color="auto"/>
            </w:tcBorders>
          </w:tcPr>
          <w:p w14:paraId="0B504F4D" w14:textId="77777777" w:rsidR="00E010F1" w:rsidRPr="00547EC7" w:rsidRDefault="00E010F1" w:rsidP="00E010F1">
            <w:pPr>
              <w:pStyle w:val="TABLEBODY"/>
              <w:rPr>
                <w:sz w:val="18"/>
                <w:szCs w:val="18"/>
              </w:rPr>
            </w:pPr>
            <w:r w:rsidRPr="00547EC7">
              <w:rPr>
                <w:sz w:val="18"/>
                <w:szCs w:val="18"/>
              </w:rPr>
              <w:t>0</w:t>
            </w:r>
          </w:p>
        </w:tc>
        <w:tc>
          <w:tcPr>
            <w:tcW w:w="992" w:type="dxa"/>
            <w:tcBorders>
              <w:left w:val="single" w:sz="4" w:space="0" w:color="auto"/>
              <w:bottom w:val="single" w:sz="4" w:space="0" w:color="auto"/>
              <w:right w:val="nil"/>
            </w:tcBorders>
          </w:tcPr>
          <w:p w14:paraId="22FF014F" w14:textId="77777777" w:rsidR="00E010F1" w:rsidRPr="00547EC7" w:rsidRDefault="00E010F1" w:rsidP="00E010F1">
            <w:pPr>
              <w:pStyle w:val="TABLEBODY"/>
              <w:rPr>
                <w:sz w:val="18"/>
                <w:szCs w:val="18"/>
              </w:rPr>
            </w:pPr>
            <w:r w:rsidRPr="00547EC7">
              <w:rPr>
                <w:sz w:val="18"/>
                <w:szCs w:val="18"/>
              </w:rPr>
              <w:t>12</w:t>
            </w:r>
          </w:p>
        </w:tc>
        <w:tc>
          <w:tcPr>
            <w:tcW w:w="1279" w:type="dxa"/>
            <w:tcBorders>
              <w:left w:val="single" w:sz="4" w:space="0" w:color="auto"/>
              <w:bottom w:val="single" w:sz="4" w:space="0" w:color="auto"/>
              <w:right w:val="nil"/>
            </w:tcBorders>
          </w:tcPr>
          <w:p w14:paraId="2BE2005A" w14:textId="77777777" w:rsidR="00E010F1" w:rsidRPr="00547EC7" w:rsidRDefault="00E010F1" w:rsidP="00E010F1">
            <w:pPr>
              <w:pStyle w:val="TABLEBODY"/>
              <w:rPr>
                <w:sz w:val="18"/>
                <w:szCs w:val="18"/>
              </w:rPr>
            </w:pPr>
            <w:r w:rsidRPr="00547EC7">
              <w:rPr>
                <w:sz w:val="18"/>
                <w:szCs w:val="18"/>
              </w:rPr>
              <w:t>4</w:t>
            </w:r>
          </w:p>
        </w:tc>
      </w:tr>
      <w:tr w:rsidR="00E010F1" w:rsidRPr="00547EC7" w14:paraId="6DC09BAB" w14:textId="77777777" w:rsidTr="00E010F1">
        <w:trPr>
          <w:cantSplit/>
          <w:trHeight w:val="1134"/>
        </w:trPr>
        <w:tc>
          <w:tcPr>
            <w:tcW w:w="709" w:type="dxa"/>
            <w:tcBorders>
              <w:top w:val="single" w:sz="4" w:space="0" w:color="auto"/>
              <w:left w:val="nil"/>
              <w:bottom w:val="single" w:sz="4" w:space="0" w:color="auto"/>
              <w:right w:val="single" w:sz="4" w:space="0" w:color="auto"/>
            </w:tcBorders>
            <w:textDirection w:val="btLr"/>
          </w:tcPr>
          <w:p w14:paraId="29DD4378" w14:textId="77777777" w:rsidR="00E010F1" w:rsidRPr="00547EC7" w:rsidRDefault="00E010F1" w:rsidP="00E010F1">
            <w:pPr>
              <w:pStyle w:val="TABLEBODY"/>
              <w:ind w:left="113" w:right="113"/>
              <w:rPr>
                <w:sz w:val="18"/>
                <w:szCs w:val="18"/>
              </w:rPr>
            </w:pPr>
            <w:r w:rsidRPr="00547EC7">
              <w:rPr>
                <w:sz w:val="18"/>
                <w:szCs w:val="18"/>
              </w:rPr>
              <w:t>permission</w:t>
            </w:r>
          </w:p>
        </w:tc>
        <w:tc>
          <w:tcPr>
            <w:tcW w:w="1134" w:type="dxa"/>
            <w:tcBorders>
              <w:top w:val="single" w:sz="4" w:space="0" w:color="auto"/>
              <w:left w:val="single" w:sz="4" w:space="0" w:color="auto"/>
              <w:bottom w:val="single" w:sz="4" w:space="0" w:color="auto"/>
              <w:right w:val="single" w:sz="4" w:space="0" w:color="auto"/>
            </w:tcBorders>
          </w:tcPr>
          <w:p w14:paraId="28722B9C" w14:textId="77777777" w:rsidR="00E010F1" w:rsidRPr="00547EC7" w:rsidRDefault="00E010F1" w:rsidP="00E010F1">
            <w:pPr>
              <w:pStyle w:val="TABLEBODY"/>
              <w:rPr>
                <w:i/>
                <w:sz w:val="18"/>
                <w:szCs w:val="18"/>
              </w:rPr>
            </w:pPr>
            <w:r w:rsidRPr="00547EC7">
              <w:rPr>
                <w:sz w:val="18"/>
                <w:szCs w:val="18"/>
              </w:rPr>
              <w:t>10</w:t>
            </w:r>
          </w:p>
        </w:tc>
        <w:tc>
          <w:tcPr>
            <w:tcW w:w="1134" w:type="dxa"/>
            <w:tcBorders>
              <w:top w:val="single" w:sz="4" w:space="0" w:color="auto"/>
              <w:left w:val="single" w:sz="4" w:space="0" w:color="auto"/>
              <w:bottom w:val="single" w:sz="4" w:space="0" w:color="auto"/>
              <w:right w:val="single" w:sz="4" w:space="0" w:color="auto"/>
            </w:tcBorders>
          </w:tcPr>
          <w:p w14:paraId="3EFFD16B" w14:textId="77777777" w:rsidR="00E010F1" w:rsidRPr="00547EC7" w:rsidRDefault="00E010F1" w:rsidP="00E010F1">
            <w:pPr>
              <w:pStyle w:val="TABLEBODY"/>
              <w:rPr>
                <w:i/>
                <w:sz w:val="18"/>
                <w:szCs w:val="18"/>
              </w:rPr>
            </w:pPr>
            <w:r w:rsidRPr="00547EC7">
              <w:rPr>
                <w:sz w:val="18"/>
                <w:szCs w:val="18"/>
              </w:rPr>
              <w:t>7</w:t>
            </w:r>
          </w:p>
        </w:tc>
        <w:tc>
          <w:tcPr>
            <w:tcW w:w="1276" w:type="dxa"/>
            <w:tcBorders>
              <w:top w:val="single" w:sz="4" w:space="0" w:color="auto"/>
              <w:left w:val="single" w:sz="4" w:space="0" w:color="auto"/>
              <w:bottom w:val="single" w:sz="4" w:space="0" w:color="auto"/>
              <w:right w:val="single" w:sz="4" w:space="0" w:color="auto"/>
            </w:tcBorders>
          </w:tcPr>
          <w:p w14:paraId="7711D63A" w14:textId="77777777" w:rsidR="00E010F1" w:rsidRPr="00547EC7" w:rsidRDefault="00E010F1" w:rsidP="00E010F1">
            <w:pPr>
              <w:pStyle w:val="TABLEBODY"/>
              <w:rPr>
                <w:i/>
                <w:sz w:val="18"/>
                <w:szCs w:val="18"/>
              </w:rPr>
            </w:pPr>
            <w:r w:rsidRPr="00547EC7">
              <w:rPr>
                <w:sz w:val="18"/>
                <w:szCs w:val="18"/>
              </w:rPr>
              <w:t>2</w:t>
            </w:r>
          </w:p>
        </w:tc>
        <w:tc>
          <w:tcPr>
            <w:tcW w:w="992" w:type="dxa"/>
            <w:tcBorders>
              <w:top w:val="single" w:sz="4" w:space="0" w:color="auto"/>
              <w:left w:val="single" w:sz="4" w:space="0" w:color="auto"/>
              <w:bottom w:val="single" w:sz="4" w:space="0" w:color="auto"/>
              <w:right w:val="nil"/>
            </w:tcBorders>
          </w:tcPr>
          <w:p w14:paraId="02545F8B" w14:textId="77777777" w:rsidR="00E010F1" w:rsidRPr="00547EC7" w:rsidRDefault="00E010F1" w:rsidP="00E010F1">
            <w:pPr>
              <w:pStyle w:val="TABLEBODY"/>
              <w:rPr>
                <w:i/>
                <w:sz w:val="18"/>
                <w:szCs w:val="18"/>
              </w:rPr>
            </w:pPr>
            <w:r w:rsidRPr="00547EC7">
              <w:rPr>
                <w:sz w:val="18"/>
                <w:szCs w:val="18"/>
              </w:rPr>
              <w:t>36</w:t>
            </w:r>
          </w:p>
        </w:tc>
        <w:tc>
          <w:tcPr>
            <w:tcW w:w="1279" w:type="dxa"/>
            <w:tcBorders>
              <w:top w:val="single" w:sz="4" w:space="0" w:color="auto"/>
              <w:left w:val="single" w:sz="4" w:space="0" w:color="auto"/>
              <w:bottom w:val="single" w:sz="4" w:space="0" w:color="auto"/>
              <w:right w:val="nil"/>
            </w:tcBorders>
          </w:tcPr>
          <w:p w14:paraId="79E1FD55" w14:textId="77777777" w:rsidR="00E010F1" w:rsidRPr="00547EC7" w:rsidRDefault="00E010F1" w:rsidP="00E010F1">
            <w:pPr>
              <w:pStyle w:val="TABLEBODY"/>
              <w:rPr>
                <w:sz w:val="18"/>
                <w:szCs w:val="18"/>
              </w:rPr>
            </w:pPr>
            <w:r w:rsidRPr="00547EC7">
              <w:rPr>
                <w:sz w:val="18"/>
                <w:szCs w:val="18"/>
              </w:rPr>
              <w:t>29</w:t>
            </w:r>
          </w:p>
        </w:tc>
      </w:tr>
      <w:tr w:rsidR="00E010F1" w:rsidRPr="00547EC7" w14:paraId="5158D64C" w14:textId="77777777" w:rsidTr="00E010F1">
        <w:trPr>
          <w:cantSplit/>
          <w:trHeight w:val="1134"/>
        </w:trPr>
        <w:tc>
          <w:tcPr>
            <w:tcW w:w="709" w:type="dxa"/>
            <w:tcBorders>
              <w:top w:val="single" w:sz="4" w:space="0" w:color="auto"/>
              <w:left w:val="nil"/>
              <w:bottom w:val="single" w:sz="4" w:space="0" w:color="auto"/>
              <w:right w:val="single" w:sz="4" w:space="0" w:color="auto"/>
            </w:tcBorders>
            <w:textDirection w:val="btLr"/>
          </w:tcPr>
          <w:p w14:paraId="1120CE5C" w14:textId="77777777" w:rsidR="00E010F1" w:rsidRPr="00547EC7" w:rsidRDefault="00E010F1" w:rsidP="00E010F1">
            <w:pPr>
              <w:pStyle w:val="TABLEBODY"/>
              <w:ind w:left="113" w:right="113"/>
              <w:rPr>
                <w:sz w:val="18"/>
                <w:szCs w:val="18"/>
              </w:rPr>
            </w:pPr>
            <w:r w:rsidRPr="00547EC7">
              <w:rPr>
                <w:sz w:val="18"/>
                <w:szCs w:val="18"/>
              </w:rPr>
              <w:t>regulation</w:t>
            </w:r>
          </w:p>
        </w:tc>
        <w:tc>
          <w:tcPr>
            <w:tcW w:w="1134" w:type="dxa"/>
            <w:tcBorders>
              <w:top w:val="single" w:sz="4" w:space="0" w:color="auto"/>
              <w:left w:val="single" w:sz="4" w:space="0" w:color="auto"/>
              <w:bottom w:val="single" w:sz="4" w:space="0" w:color="auto"/>
              <w:right w:val="single" w:sz="4" w:space="0" w:color="auto"/>
            </w:tcBorders>
          </w:tcPr>
          <w:p w14:paraId="32994DCE" w14:textId="77777777" w:rsidR="00E010F1" w:rsidRPr="00547EC7" w:rsidRDefault="00E010F1" w:rsidP="00E010F1">
            <w:pPr>
              <w:pStyle w:val="TABLEBODY"/>
              <w:rPr>
                <w:i/>
                <w:sz w:val="18"/>
                <w:szCs w:val="18"/>
              </w:rPr>
            </w:pPr>
            <w:r w:rsidRPr="00547EC7">
              <w:rPr>
                <w:sz w:val="18"/>
                <w:szCs w:val="18"/>
              </w:rPr>
              <w:t>45</w:t>
            </w:r>
          </w:p>
        </w:tc>
        <w:tc>
          <w:tcPr>
            <w:tcW w:w="1134" w:type="dxa"/>
            <w:tcBorders>
              <w:top w:val="single" w:sz="4" w:space="0" w:color="auto"/>
              <w:left w:val="single" w:sz="4" w:space="0" w:color="auto"/>
              <w:bottom w:val="single" w:sz="4" w:space="0" w:color="auto"/>
              <w:right w:val="single" w:sz="4" w:space="0" w:color="auto"/>
            </w:tcBorders>
          </w:tcPr>
          <w:p w14:paraId="3E4A9C05" w14:textId="77777777" w:rsidR="00E010F1" w:rsidRPr="00547EC7" w:rsidRDefault="00E010F1" w:rsidP="00E010F1">
            <w:pPr>
              <w:pStyle w:val="TABLEBODY"/>
              <w:rPr>
                <w:i/>
                <w:sz w:val="18"/>
                <w:szCs w:val="18"/>
              </w:rPr>
            </w:pPr>
            <w:r w:rsidRPr="00547EC7">
              <w:rPr>
                <w:sz w:val="18"/>
                <w:szCs w:val="18"/>
              </w:rPr>
              <w:t>12</w:t>
            </w:r>
          </w:p>
        </w:tc>
        <w:tc>
          <w:tcPr>
            <w:tcW w:w="1276" w:type="dxa"/>
            <w:tcBorders>
              <w:top w:val="single" w:sz="4" w:space="0" w:color="auto"/>
              <w:left w:val="single" w:sz="4" w:space="0" w:color="auto"/>
              <w:bottom w:val="single" w:sz="4" w:space="0" w:color="auto"/>
              <w:right w:val="single" w:sz="4" w:space="0" w:color="auto"/>
            </w:tcBorders>
          </w:tcPr>
          <w:p w14:paraId="4F5050E5" w14:textId="77777777" w:rsidR="00E010F1" w:rsidRPr="00547EC7" w:rsidRDefault="00E010F1" w:rsidP="00E010F1">
            <w:pPr>
              <w:pStyle w:val="TABLEBODY"/>
              <w:rPr>
                <w:i/>
                <w:sz w:val="18"/>
                <w:szCs w:val="18"/>
              </w:rPr>
            </w:pPr>
            <w:r w:rsidRPr="00547EC7">
              <w:rPr>
                <w:sz w:val="18"/>
                <w:szCs w:val="18"/>
              </w:rPr>
              <w:t>9</w:t>
            </w:r>
          </w:p>
        </w:tc>
        <w:tc>
          <w:tcPr>
            <w:tcW w:w="992" w:type="dxa"/>
            <w:tcBorders>
              <w:top w:val="single" w:sz="4" w:space="0" w:color="auto"/>
              <w:left w:val="single" w:sz="4" w:space="0" w:color="auto"/>
              <w:bottom w:val="single" w:sz="4" w:space="0" w:color="auto"/>
              <w:right w:val="nil"/>
            </w:tcBorders>
          </w:tcPr>
          <w:p w14:paraId="573C3C4E" w14:textId="77777777" w:rsidR="00E010F1" w:rsidRPr="00547EC7" w:rsidRDefault="00E010F1" w:rsidP="00E010F1">
            <w:pPr>
              <w:pStyle w:val="TABLEBODY"/>
              <w:rPr>
                <w:i/>
                <w:sz w:val="18"/>
                <w:szCs w:val="18"/>
              </w:rPr>
            </w:pPr>
            <w:r w:rsidRPr="00547EC7">
              <w:rPr>
                <w:sz w:val="18"/>
                <w:szCs w:val="18"/>
              </w:rPr>
              <w:t>112</w:t>
            </w:r>
          </w:p>
        </w:tc>
        <w:tc>
          <w:tcPr>
            <w:tcW w:w="1279" w:type="dxa"/>
            <w:tcBorders>
              <w:top w:val="single" w:sz="4" w:space="0" w:color="auto"/>
              <w:left w:val="single" w:sz="4" w:space="0" w:color="auto"/>
              <w:bottom w:val="single" w:sz="4" w:space="0" w:color="auto"/>
              <w:right w:val="nil"/>
            </w:tcBorders>
          </w:tcPr>
          <w:p w14:paraId="3CE25161" w14:textId="77777777" w:rsidR="00E010F1" w:rsidRPr="00547EC7" w:rsidRDefault="00E010F1" w:rsidP="00E010F1">
            <w:pPr>
              <w:pStyle w:val="TABLEBODY"/>
              <w:rPr>
                <w:sz w:val="18"/>
                <w:szCs w:val="18"/>
              </w:rPr>
            </w:pPr>
            <w:r w:rsidRPr="00547EC7">
              <w:rPr>
                <w:sz w:val="18"/>
                <w:szCs w:val="18"/>
              </w:rPr>
              <w:t>29</w:t>
            </w:r>
          </w:p>
        </w:tc>
      </w:tr>
    </w:tbl>
    <w:p w14:paraId="5821F634" w14:textId="77777777" w:rsidR="00E010F1" w:rsidRPr="00547EC7" w:rsidRDefault="00E010F1" w:rsidP="00E010F1">
      <w:pPr>
        <w:pStyle w:val="TEXTINDENT"/>
        <w:ind w:firstLine="0"/>
        <w:rPr>
          <w:sz w:val="18"/>
          <w:szCs w:val="18"/>
          <w:lang w:val="en-GB"/>
        </w:rPr>
      </w:pPr>
      <w:r w:rsidRPr="00547EC7">
        <w:rPr>
          <w:sz w:val="18"/>
          <w:szCs w:val="18"/>
          <w:lang w:val="en-GB"/>
        </w:rPr>
        <w:t xml:space="preserve"> </w:t>
      </w:r>
    </w:p>
    <w:p w14:paraId="29EF0581" w14:textId="77777777" w:rsidR="00E010F1" w:rsidRPr="00547EC7" w:rsidRDefault="00E010F1" w:rsidP="00E010F1">
      <w:pPr>
        <w:pStyle w:val="TEXTINDENT"/>
        <w:rPr>
          <w:lang w:val="en-GB"/>
        </w:rPr>
      </w:pPr>
      <w:r w:rsidRPr="00547EC7">
        <w:rPr>
          <w:lang w:val="en-GB"/>
        </w:rPr>
        <w:t xml:space="preserve">The highest coincidences of themes for each agent are ‘regulation’/’student’ (112), ‘health’/’postgraduate researchers’ (90), ‘regulation’/’candidate’ (45), ‘permission’/’student’ (36), ‘health’/’student’ (32), and ‘appropriateness’/’student’ (30). </w:t>
      </w:r>
    </w:p>
    <w:p w14:paraId="51B2ECD2" w14:textId="77777777" w:rsidR="00E010F1" w:rsidRPr="00547EC7" w:rsidRDefault="00E010F1" w:rsidP="00E010F1">
      <w:pPr>
        <w:pStyle w:val="TEXTINDENT"/>
        <w:rPr>
          <w:lang w:val="en-GB"/>
        </w:rPr>
      </w:pPr>
      <w:r w:rsidRPr="00547EC7">
        <w:rPr>
          <w:lang w:val="en-GB"/>
        </w:rPr>
        <w:t>Regulatory language covers a range of phenomena relating to ‘student’ or ‘candidate’, including ‘appeal’, ‘complaints’, ‘examination’, ‘probation’, ‘progress’, ‘registration’, ‘review’, ‘rules’, ‘submission’, ‘supervision’ and ‘suspension’.</w:t>
      </w:r>
    </w:p>
    <w:p w14:paraId="58340EA7" w14:textId="0A2ADD4C" w:rsidR="00E010F1" w:rsidRPr="00547EC7" w:rsidRDefault="00E010F1" w:rsidP="00E010F1">
      <w:pPr>
        <w:pStyle w:val="TEXTINDENT"/>
        <w:rPr>
          <w:lang w:val="en-GB"/>
        </w:rPr>
      </w:pPr>
      <w:r w:rsidRPr="00547EC7">
        <w:rPr>
          <w:lang w:val="en-GB"/>
        </w:rPr>
        <w:t xml:space="preserve">Most references within the ‘health’/’postgraduate researchers’ or ‘student’ categories mention mental health and </w:t>
      </w:r>
      <w:proofErr w:type="gramStart"/>
      <w:r w:rsidRPr="00547EC7">
        <w:rPr>
          <w:lang w:val="en-GB"/>
        </w:rPr>
        <w:t>wellbeing, and</w:t>
      </w:r>
      <w:proofErr w:type="gramEnd"/>
      <w:r w:rsidRPr="00547EC7">
        <w:rPr>
          <w:lang w:val="en-GB"/>
        </w:rPr>
        <w:t xml:space="preserve"> are limited to 5 out of the 30 documents in the dataset.</w:t>
      </w:r>
    </w:p>
    <w:p w14:paraId="6022F8C1" w14:textId="77777777" w:rsidR="00E010F1" w:rsidRPr="00547EC7" w:rsidRDefault="00E010F1" w:rsidP="00E010F1">
      <w:pPr>
        <w:pStyle w:val="TEXTINDENT"/>
        <w:rPr>
          <w:lang w:val="en-GB"/>
        </w:rPr>
      </w:pPr>
      <w:r w:rsidRPr="00547EC7">
        <w:rPr>
          <w:lang w:val="en-GB"/>
        </w:rPr>
        <w:t>Permissive language relates to situations in which doctoral researchers can exercise choice or initiate a process:</w:t>
      </w:r>
    </w:p>
    <w:p w14:paraId="38ADE705" w14:textId="77777777" w:rsidR="00E010F1" w:rsidRPr="00547EC7" w:rsidRDefault="00E010F1" w:rsidP="00E010F1">
      <w:pPr>
        <w:pStyle w:val="BLOCKQUOTE"/>
        <w:rPr>
          <w:lang w:val="en-GB"/>
        </w:rPr>
      </w:pPr>
      <w:r w:rsidRPr="00547EC7">
        <w:rPr>
          <w:lang w:val="en-GB"/>
        </w:rPr>
        <w:t>Students may choose to register for… (ed_21)</w:t>
      </w:r>
    </w:p>
    <w:p w14:paraId="02847BAB" w14:textId="77777777" w:rsidR="00E010F1" w:rsidRPr="00547EC7" w:rsidRDefault="00E010F1" w:rsidP="00E010F1">
      <w:pPr>
        <w:pStyle w:val="BLOCKQUOTE"/>
        <w:rPr>
          <w:lang w:val="en-GB"/>
        </w:rPr>
      </w:pPr>
      <w:r w:rsidRPr="00547EC7">
        <w:rPr>
          <w:lang w:val="en-GB"/>
        </w:rPr>
        <w:t>Full-time students may undertake paid employment… (td_01)</w:t>
      </w:r>
    </w:p>
    <w:p w14:paraId="2F890239" w14:textId="77777777" w:rsidR="00E010F1" w:rsidRPr="00547EC7" w:rsidRDefault="00E010F1" w:rsidP="00E010F1">
      <w:pPr>
        <w:pStyle w:val="TEXTINDENT"/>
        <w:rPr>
          <w:lang w:val="en-GB"/>
        </w:rPr>
      </w:pPr>
      <w:r w:rsidRPr="00547EC7">
        <w:rPr>
          <w:lang w:val="en-GB"/>
        </w:rPr>
        <w:lastRenderedPageBreak/>
        <w:t xml:space="preserve">Language addressing ‘appropriateness’ involving doctoral researchers casts the latter in the role of patient (receiving or subject to action), with the agent being the higher education provider, supervisors or </w:t>
      </w:r>
      <w:proofErr w:type="gramStart"/>
      <w:r w:rsidRPr="00547EC7">
        <w:rPr>
          <w:lang w:val="en-GB"/>
        </w:rPr>
        <w:t>particular processes</w:t>
      </w:r>
      <w:proofErr w:type="gramEnd"/>
      <w:r w:rsidRPr="00547EC7">
        <w:rPr>
          <w:lang w:val="en-GB"/>
        </w:rPr>
        <w:t>:</w:t>
      </w:r>
    </w:p>
    <w:p w14:paraId="362719E7" w14:textId="77777777" w:rsidR="00E010F1" w:rsidRPr="00547EC7" w:rsidRDefault="00E010F1" w:rsidP="00E010F1">
      <w:pPr>
        <w:pStyle w:val="BLOCKQUOTE"/>
        <w:rPr>
          <w:lang w:val="en-GB"/>
        </w:rPr>
      </w:pPr>
      <w:r w:rsidRPr="00547EC7">
        <w:rPr>
          <w:lang w:val="en-GB"/>
        </w:rPr>
        <w:t>‘Providers ensure that each student has an appropriately skilled and knowledgeable supervisory team…’ (ed_01)</w:t>
      </w:r>
    </w:p>
    <w:p w14:paraId="1519918E" w14:textId="77777777" w:rsidR="00E010F1" w:rsidRPr="00547EC7" w:rsidRDefault="00E010F1" w:rsidP="00E010F1">
      <w:pPr>
        <w:pStyle w:val="BLOCKQUOTE"/>
        <w:rPr>
          <w:lang w:val="en-GB"/>
        </w:rPr>
      </w:pPr>
      <w:r w:rsidRPr="00547EC7">
        <w:rPr>
          <w:lang w:val="en-GB"/>
        </w:rPr>
        <w:t>‘Research students have appropriate opportunities for developing research, personal and professional skill…’ (ed_21)</w:t>
      </w:r>
    </w:p>
    <w:p w14:paraId="10F1B7E0" w14:textId="77777777" w:rsidR="00E010F1" w:rsidRPr="00547EC7" w:rsidRDefault="00E010F1" w:rsidP="00E010F1">
      <w:pPr>
        <w:pStyle w:val="TEXTINDENT"/>
        <w:ind w:firstLine="0"/>
        <w:rPr>
          <w:lang w:val="en-GB"/>
        </w:rPr>
      </w:pPr>
    </w:p>
    <w:p w14:paraId="2427C433" w14:textId="77777777" w:rsidR="00E010F1" w:rsidRPr="00547EC7" w:rsidRDefault="00E010F1" w:rsidP="00E010F1">
      <w:pPr>
        <w:pStyle w:val="HEADING2Numbered"/>
        <w:rPr>
          <w:lang w:val="en-GB"/>
        </w:rPr>
      </w:pPr>
      <w:bookmarkStart w:id="17" w:name="Degrees_of_certainty"/>
      <w:r w:rsidRPr="00547EC7">
        <w:rPr>
          <w:lang w:val="en-GB"/>
        </w:rPr>
        <w:t>Degrees of certainty</w:t>
      </w:r>
      <w:bookmarkEnd w:id="17"/>
    </w:p>
    <w:p w14:paraId="249E985E" w14:textId="77777777" w:rsidR="00E010F1" w:rsidRPr="00547EC7" w:rsidRDefault="00E010F1" w:rsidP="00E010F1">
      <w:pPr>
        <w:pStyle w:val="TEXTINDENT"/>
        <w:rPr>
          <w:lang w:val="en-GB"/>
        </w:rPr>
      </w:pPr>
      <w:r w:rsidRPr="00547EC7">
        <w:rPr>
          <w:lang w:val="en-GB"/>
        </w:rPr>
        <w:t>The language of policy and practice not only exhibits formality, but necessarily addresses uncertainty, which has a role in decision making. The average coverage of this theme is 2.36% across the dataset. This is sub-coded into three categories: ‘possibility’ (255), ‘unlikelihood’ (11) and ‘impossibility’ (6). Taking ‘possibility’ as the foregrounded sub-code, the highest coverage can be found in institutional policy (2.97%), closely followed by national practice (2.56%) and national policy (2.31%), with institutional practice least frequent (1.1%). Language of possibility occurs across the dataset (22 documents). It concerns four phenomena:</w:t>
      </w:r>
    </w:p>
    <w:tbl>
      <w:tblPr>
        <w:tblW w:w="6244" w:type="dxa"/>
        <w:tblCellMar>
          <w:left w:w="100" w:type="dxa"/>
          <w:right w:w="100" w:type="dxa"/>
        </w:tblCellMar>
        <w:tblLook w:val="04A0" w:firstRow="1" w:lastRow="0" w:firstColumn="1" w:lastColumn="0" w:noHBand="0" w:noVBand="1"/>
      </w:tblPr>
      <w:tblGrid>
        <w:gridCol w:w="1628"/>
        <w:gridCol w:w="4616"/>
      </w:tblGrid>
      <w:tr w:rsidR="00E010F1" w:rsidRPr="00547EC7" w14:paraId="2318416D" w14:textId="77777777" w:rsidTr="003D5226">
        <w:trPr>
          <w:trHeight w:val="311"/>
        </w:trPr>
        <w:tc>
          <w:tcPr>
            <w:tcW w:w="1565" w:type="dxa"/>
          </w:tcPr>
          <w:p w14:paraId="30CE769F" w14:textId="77777777" w:rsidR="00E010F1" w:rsidRPr="00547EC7" w:rsidRDefault="00E010F1" w:rsidP="00E010F1">
            <w:pPr>
              <w:pStyle w:val="BLOCKQUOTE"/>
            </w:pPr>
            <w:r w:rsidRPr="00547EC7">
              <w:t>External influence</w:t>
            </w:r>
          </w:p>
        </w:tc>
        <w:tc>
          <w:tcPr>
            <w:tcW w:w="4679" w:type="dxa"/>
          </w:tcPr>
          <w:p w14:paraId="7BA97139" w14:textId="77777777" w:rsidR="00E010F1" w:rsidRPr="00547EC7" w:rsidRDefault="00E010F1" w:rsidP="00E010F1">
            <w:pPr>
              <w:pStyle w:val="BLOCKQUOTE"/>
            </w:pPr>
          </w:p>
          <w:p w14:paraId="2E699224" w14:textId="77777777" w:rsidR="00E010F1" w:rsidRPr="00547EC7" w:rsidRDefault="00E010F1" w:rsidP="00E010F1">
            <w:pPr>
              <w:pStyle w:val="BLOCKQUOTE"/>
            </w:pPr>
            <w:r w:rsidRPr="00547EC7">
              <w:t>…of circumstances or concerns that may affect their work… (ed_01)</w:t>
            </w:r>
          </w:p>
        </w:tc>
      </w:tr>
      <w:tr w:rsidR="00E010F1" w:rsidRPr="00547EC7" w14:paraId="108D2287" w14:textId="77777777" w:rsidTr="003D5226">
        <w:trPr>
          <w:trHeight w:val="325"/>
        </w:trPr>
        <w:tc>
          <w:tcPr>
            <w:tcW w:w="1565" w:type="dxa"/>
          </w:tcPr>
          <w:p w14:paraId="7492BDF9" w14:textId="77777777" w:rsidR="00E010F1" w:rsidRPr="00547EC7" w:rsidRDefault="00E010F1" w:rsidP="00E010F1">
            <w:pPr>
              <w:pStyle w:val="BLOCKQUOTE"/>
            </w:pPr>
            <w:r w:rsidRPr="00547EC7">
              <w:t>Sanctions</w:t>
            </w:r>
          </w:p>
        </w:tc>
        <w:tc>
          <w:tcPr>
            <w:tcW w:w="4679" w:type="dxa"/>
          </w:tcPr>
          <w:p w14:paraId="3C8EEF52" w14:textId="77777777" w:rsidR="00E010F1" w:rsidRPr="00547EC7" w:rsidRDefault="00E010F1" w:rsidP="00E010F1">
            <w:pPr>
              <w:pStyle w:val="BLOCKQUOTE"/>
            </w:pPr>
          </w:p>
          <w:p w14:paraId="527FEBFD" w14:textId="77777777" w:rsidR="00E010F1" w:rsidRPr="00547EC7" w:rsidRDefault="00E010F1" w:rsidP="00E010F1">
            <w:pPr>
              <w:pStyle w:val="BLOCKQUOTE"/>
            </w:pPr>
            <w:r w:rsidRPr="00547EC7">
              <w:t>The student may be required to intercalate/withdraw… (td_02)</w:t>
            </w:r>
          </w:p>
        </w:tc>
      </w:tr>
      <w:tr w:rsidR="00E010F1" w:rsidRPr="00547EC7" w14:paraId="12592C89" w14:textId="77777777" w:rsidTr="003D5226">
        <w:trPr>
          <w:trHeight w:val="311"/>
        </w:trPr>
        <w:tc>
          <w:tcPr>
            <w:tcW w:w="1565" w:type="dxa"/>
            <w:vAlign w:val="center"/>
          </w:tcPr>
          <w:p w14:paraId="117251D0" w14:textId="77777777" w:rsidR="00E010F1" w:rsidRPr="00547EC7" w:rsidRDefault="00E010F1" w:rsidP="00E010F1">
            <w:pPr>
              <w:pStyle w:val="BLOCKQUOTE"/>
            </w:pPr>
            <w:r w:rsidRPr="00547EC7">
              <w:t>Awareness</w:t>
            </w:r>
          </w:p>
        </w:tc>
        <w:tc>
          <w:tcPr>
            <w:tcW w:w="4679" w:type="dxa"/>
            <w:vAlign w:val="center"/>
          </w:tcPr>
          <w:p w14:paraId="69B957F3" w14:textId="77777777" w:rsidR="00E010F1" w:rsidRPr="00547EC7" w:rsidRDefault="00E010F1" w:rsidP="00E010F1">
            <w:pPr>
              <w:pStyle w:val="BLOCKQUOTE"/>
            </w:pPr>
          </w:p>
          <w:p w14:paraId="066FF8BF" w14:textId="77777777" w:rsidR="00E010F1" w:rsidRPr="00547EC7" w:rsidRDefault="00E010F1" w:rsidP="00E010F1">
            <w:pPr>
              <w:pStyle w:val="BLOCKQUOTE"/>
            </w:pPr>
          </w:p>
          <w:p w14:paraId="10A66758" w14:textId="77777777" w:rsidR="00E010F1" w:rsidRPr="00547EC7" w:rsidRDefault="00E010F1" w:rsidP="00E010F1">
            <w:pPr>
              <w:pStyle w:val="BLOCKQUOTE"/>
            </w:pPr>
          </w:p>
          <w:p w14:paraId="5AD75809" w14:textId="77777777" w:rsidR="00E010F1" w:rsidRPr="00547EC7" w:rsidRDefault="00E010F1" w:rsidP="00E010F1">
            <w:pPr>
              <w:pStyle w:val="BLOCKQUOTE"/>
            </w:pPr>
            <w:r w:rsidRPr="00547EC7">
              <w:t>Candidates may be unfamiliar with oral examinations… (ed_04)</w:t>
            </w:r>
          </w:p>
        </w:tc>
      </w:tr>
      <w:tr w:rsidR="00E010F1" w:rsidRPr="00547EC7" w14:paraId="00191D39" w14:textId="77777777" w:rsidTr="003D5226">
        <w:trPr>
          <w:trHeight w:val="637"/>
        </w:trPr>
        <w:tc>
          <w:tcPr>
            <w:tcW w:w="1565" w:type="dxa"/>
            <w:vAlign w:val="center"/>
          </w:tcPr>
          <w:p w14:paraId="020E4064" w14:textId="77777777" w:rsidR="00E010F1" w:rsidRPr="00547EC7" w:rsidRDefault="00E010F1" w:rsidP="00E010F1">
            <w:pPr>
              <w:pStyle w:val="BLOCKQUOTE"/>
            </w:pPr>
            <w:r w:rsidRPr="00547EC7">
              <w:t>Solutions</w:t>
            </w:r>
          </w:p>
        </w:tc>
        <w:tc>
          <w:tcPr>
            <w:tcW w:w="4679" w:type="dxa"/>
            <w:vAlign w:val="center"/>
          </w:tcPr>
          <w:p w14:paraId="77C8EDC7" w14:textId="77777777" w:rsidR="00E010F1" w:rsidRPr="00547EC7" w:rsidRDefault="00E010F1" w:rsidP="00E010F1">
            <w:pPr>
              <w:pStyle w:val="BLOCKQUOTE"/>
              <w:ind w:left="0"/>
            </w:pPr>
          </w:p>
          <w:p w14:paraId="7256E700" w14:textId="77777777" w:rsidR="00E010F1" w:rsidRPr="00547EC7" w:rsidRDefault="00E010F1" w:rsidP="00E010F1">
            <w:pPr>
              <w:pStyle w:val="BLOCKQUOTE"/>
            </w:pPr>
          </w:p>
          <w:p w14:paraId="0AE8D793" w14:textId="77777777" w:rsidR="00E010F1" w:rsidRPr="00547EC7" w:rsidRDefault="00E010F1" w:rsidP="00E010F1">
            <w:pPr>
              <w:pStyle w:val="BLOCKQUOTE"/>
            </w:pPr>
          </w:p>
          <w:p w14:paraId="21A2DD86" w14:textId="77777777" w:rsidR="00E010F1" w:rsidRPr="00547EC7" w:rsidRDefault="00E010F1" w:rsidP="00E010F1">
            <w:pPr>
              <w:pStyle w:val="BLOCKQUOTE"/>
            </w:pPr>
            <w:r w:rsidRPr="00547EC7">
              <w:lastRenderedPageBreak/>
              <w:t xml:space="preserve">…to enhance their practice, which may include workshops and </w:t>
            </w:r>
            <w:proofErr w:type="spellStart"/>
            <w:r w:rsidRPr="00547EC7">
              <w:t>programmes</w:t>
            </w:r>
            <w:proofErr w:type="spellEnd"/>
            <w:r w:rsidRPr="00547EC7">
              <w:t>… (ed_03)</w:t>
            </w:r>
          </w:p>
        </w:tc>
      </w:tr>
    </w:tbl>
    <w:p w14:paraId="5E82C861" w14:textId="77777777" w:rsidR="00E010F1" w:rsidRPr="00547EC7" w:rsidRDefault="00E010F1" w:rsidP="00E010F1">
      <w:pPr>
        <w:pStyle w:val="TEXTINDENT"/>
        <w:rPr>
          <w:lang w:val="en-GB"/>
        </w:rPr>
      </w:pPr>
    </w:p>
    <w:p w14:paraId="5A4E25AD" w14:textId="77777777" w:rsidR="00E010F1" w:rsidRPr="00547EC7" w:rsidRDefault="00E010F1" w:rsidP="00E010F1">
      <w:pPr>
        <w:pStyle w:val="HEADING2Numbered"/>
        <w:rPr>
          <w:lang w:val="en-GB"/>
        </w:rPr>
      </w:pPr>
      <w:bookmarkStart w:id="18" w:name="Levels_of_technicality"/>
      <w:r w:rsidRPr="00547EC7">
        <w:rPr>
          <w:lang w:val="en-GB"/>
        </w:rPr>
        <w:t>Levels of technicality</w:t>
      </w:r>
      <w:bookmarkEnd w:id="18"/>
    </w:p>
    <w:p w14:paraId="03084FAB" w14:textId="77777777" w:rsidR="00E010F1" w:rsidRPr="00547EC7" w:rsidRDefault="00E010F1" w:rsidP="00E010F1">
      <w:pPr>
        <w:pStyle w:val="TEXTINDENT"/>
        <w:rPr>
          <w:lang w:val="en-GB"/>
        </w:rPr>
      </w:pPr>
      <w:r w:rsidRPr="00547EC7">
        <w:rPr>
          <w:lang w:val="en-GB"/>
        </w:rPr>
        <w:t xml:space="preserve">Related to the formal language of the documents in the dataset, are terms that describe and define entities and processes within the higher education context. Although this averages 4.32% across the dataset, the level of precision is most pronounced in national practice (6.76%) and policy (6.57%), with institutional policy (2.77%) and practice (1.18%) respectively. A matrix query between the sub-codes of levels of technicality and the </w:t>
      </w:r>
      <w:proofErr w:type="gramStart"/>
      <w:r w:rsidRPr="00547EC7">
        <w:rPr>
          <w:lang w:val="en-GB"/>
        </w:rPr>
        <w:t>agents</w:t>
      </w:r>
      <w:proofErr w:type="gramEnd"/>
      <w:r w:rsidRPr="00547EC7">
        <w:rPr>
          <w:lang w:val="en-GB"/>
        </w:rPr>
        <w:t xml:space="preserve"> in the documents reveals several patterns.</w:t>
      </w:r>
    </w:p>
    <w:p w14:paraId="3B991DDD" w14:textId="77777777" w:rsidR="00E010F1" w:rsidRPr="00547EC7" w:rsidRDefault="00E010F1" w:rsidP="00E010F1">
      <w:pPr>
        <w:pStyle w:val="CAPTIONTEXT"/>
        <w:rPr>
          <w:rStyle w:val="CSSMALLCAPS"/>
        </w:rPr>
      </w:pPr>
    </w:p>
    <w:p w14:paraId="7C1B73A2" w14:textId="77777777" w:rsidR="00E010F1" w:rsidRPr="00547EC7" w:rsidRDefault="00E010F1" w:rsidP="00E010F1">
      <w:pPr>
        <w:pStyle w:val="CAPTIONTEXT"/>
        <w:rPr>
          <w:rStyle w:val="CSSMALLCAPS"/>
        </w:rPr>
      </w:pPr>
    </w:p>
    <w:p w14:paraId="44301193" w14:textId="77777777" w:rsidR="00E010F1" w:rsidRPr="00547EC7" w:rsidRDefault="00E010F1" w:rsidP="00E010F1">
      <w:pPr>
        <w:pStyle w:val="CAPTIONTEXT"/>
        <w:rPr>
          <w:rStyle w:val="CSSMALLCAPS"/>
        </w:rPr>
      </w:pPr>
    </w:p>
    <w:p w14:paraId="67AB3B4C" w14:textId="77777777" w:rsidR="00E010F1" w:rsidRPr="00547EC7" w:rsidRDefault="00E010F1" w:rsidP="00E010F1">
      <w:pPr>
        <w:pStyle w:val="CAPTIONTEXT"/>
      </w:pPr>
      <w:r w:rsidRPr="00547EC7">
        <w:rPr>
          <w:rStyle w:val="CSSMALLCAPS"/>
        </w:rPr>
        <w:t>table 8</w:t>
      </w:r>
      <w:r w:rsidRPr="00547EC7">
        <w:tab/>
        <w:t>Matrix query of levels of levels of technicality and agent/patient.</w:t>
      </w:r>
    </w:p>
    <w:tbl>
      <w:tblPr>
        <w:tblW w:w="0" w:type="auto"/>
        <w:tblLayout w:type="fixed"/>
        <w:tblLook w:val="04A0" w:firstRow="1" w:lastRow="0" w:firstColumn="1" w:lastColumn="0" w:noHBand="0" w:noVBand="1"/>
      </w:tblPr>
      <w:tblGrid>
        <w:gridCol w:w="567"/>
        <w:gridCol w:w="993"/>
        <w:gridCol w:w="1134"/>
        <w:gridCol w:w="1417"/>
        <w:gridCol w:w="1276"/>
        <w:gridCol w:w="1137"/>
      </w:tblGrid>
      <w:tr w:rsidR="00E010F1" w:rsidRPr="00547EC7" w14:paraId="294B9DF1" w14:textId="77777777" w:rsidTr="00E010F1">
        <w:trPr>
          <w:cantSplit/>
          <w:trHeight w:val="640"/>
        </w:trPr>
        <w:tc>
          <w:tcPr>
            <w:tcW w:w="567" w:type="dxa"/>
            <w:tcBorders>
              <w:top w:val="nil"/>
              <w:left w:val="nil"/>
              <w:bottom w:val="single" w:sz="4" w:space="0" w:color="auto"/>
              <w:right w:val="nil"/>
            </w:tcBorders>
            <w:textDirection w:val="btLr"/>
          </w:tcPr>
          <w:p w14:paraId="2F0ED283" w14:textId="77777777" w:rsidR="00E010F1" w:rsidRPr="00547EC7" w:rsidRDefault="00E010F1" w:rsidP="00E010F1">
            <w:pPr>
              <w:pStyle w:val="TABLEBODY"/>
              <w:ind w:left="113" w:right="113"/>
              <w:rPr>
                <w:sz w:val="18"/>
                <w:szCs w:val="18"/>
              </w:rPr>
            </w:pPr>
          </w:p>
        </w:tc>
        <w:tc>
          <w:tcPr>
            <w:tcW w:w="993" w:type="dxa"/>
            <w:tcBorders>
              <w:left w:val="nil"/>
              <w:bottom w:val="single" w:sz="4" w:space="0" w:color="auto"/>
              <w:right w:val="nil"/>
            </w:tcBorders>
          </w:tcPr>
          <w:p w14:paraId="66AEC7C0" w14:textId="77777777" w:rsidR="00E010F1" w:rsidRPr="00547EC7" w:rsidRDefault="00E010F1" w:rsidP="00E010F1">
            <w:pPr>
              <w:pStyle w:val="TABLECOLUMNHEAD"/>
              <w:framePr w:wrap="auto" w:vAnchor="margin" w:yAlign="inline"/>
              <w:suppressOverlap w:val="0"/>
              <w:rPr>
                <w:sz w:val="18"/>
                <w:szCs w:val="18"/>
                <w:vertAlign w:val="superscript"/>
              </w:rPr>
            </w:pPr>
            <w:r w:rsidRPr="00547EC7">
              <w:rPr>
                <w:sz w:val="18"/>
                <w:szCs w:val="18"/>
              </w:rPr>
              <w:t xml:space="preserve">Candidate </w:t>
            </w:r>
          </w:p>
        </w:tc>
        <w:tc>
          <w:tcPr>
            <w:tcW w:w="1134" w:type="dxa"/>
            <w:tcBorders>
              <w:left w:val="nil"/>
              <w:bottom w:val="single" w:sz="4" w:space="0" w:color="auto"/>
              <w:right w:val="nil"/>
            </w:tcBorders>
          </w:tcPr>
          <w:p w14:paraId="5A31FA9F" w14:textId="77777777" w:rsidR="00E010F1" w:rsidRPr="00547EC7" w:rsidRDefault="00E010F1" w:rsidP="00E010F1">
            <w:pPr>
              <w:pStyle w:val="TABLECOLUMNHEAD"/>
              <w:framePr w:wrap="auto" w:vAnchor="margin" w:yAlign="inline"/>
              <w:suppressOverlap w:val="0"/>
              <w:rPr>
                <w:sz w:val="18"/>
                <w:szCs w:val="18"/>
              </w:rPr>
            </w:pPr>
            <w:r w:rsidRPr="00547EC7">
              <w:rPr>
                <w:sz w:val="18"/>
                <w:szCs w:val="18"/>
              </w:rPr>
              <w:t>Institution</w:t>
            </w:r>
          </w:p>
        </w:tc>
        <w:tc>
          <w:tcPr>
            <w:tcW w:w="1417" w:type="dxa"/>
            <w:tcBorders>
              <w:left w:val="nil"/>
              <w:bottom w:val="single" w:sz="4" w:space="0" w:color="auto"/>
              <w:right w:val="nil"/>
            </w:tcBorders>
          </w:tcPr>
          <w:p w14:paraId="4A6898DA" w14:textId="77777777" w:rsidR="00E010F1" w:rsidRPr="00547EC7" w:rsidRDefault="00E010F1" w:rsidP="00E010F1">
            <w:pPr>
              <w:pStyle w:val="TABLECOLUMNHEAD"/>
              <w:framePr w:wrap="auto" w:vAnchor="margin" w:yAlign="inline"/>
              <w:suppressOverlap w:val="0"/>
              <w:rPr>
                <w:sz w:val="18"/>
                <w:szCs w:val="18"/>
              </w:rPr>
            </w:pPr>
            <w:r w:rsidRPr="00547EC7">
              <w:rPr>
                <w:sz w:val="18"/>
                <w:szCs w:val="18"/>
              </w:rPr>
              <w:t>Postgraduate researchers</w:t>
            </w:r>
          </w:p>
        </w:tc>
        <w:tc>
          <w:tcPr>
            <w:tcW w:w="1276" w:type="dxa"/>
            <w:tcBorders>
              <w:left w:val="nil"/>
              <w:bottom w:val="single" w:sz="4" w:space="0" w:color="auto"/>
              <w:right w:val="nil"/>
            </w:tcBorders>
          </w:tcPr>
          <w:p w14:paraId="29BCBD09" w14:textId="77777777" w:rsidR="00E010F1" w:rsidRPr="00547EC7" w:rsidRDefault="00E010F1" w:rsidP="00E010F1">
            <w:pPr>
              <w:pStyle w:val="TABLECOLUMNHEAD"/>
              <w:framePr w:wrap="auto" w:vAnchor="margin" w:yAlign="inline"/>
              <w:suppressOverlap w:val="0"/>
              <w:rPr>
                <w:sz w:val="18"/>
                <w:szCs w:val="18"/>
              </w:rPr>
            </w:pPr>
            <w:r w:rsidRPr="00547EC7">
              <w:rPr>
                <w:sz w:val="18"/>
                <w:szCs w:val="18"/>
              </w:rPr>
              <w:t>Student</w:t>
            </w:r>
          </w:p>
        </w:tc>
        <w:tc>
          <w:tcPr>
            <w:tcW w:w="1137" w:type="dxa"/>
            <w:tcBorders>
              <w:left w:val="nil"/>
              <w:bottom w:val="single" w:sz="4" w:space="0" w:color="auto"/>
              <w:right w:val="nil"/>
            </w:tcBorders>
          </w:tcPr>
          <w:p w14:paraId="48ACD3F1" w14:textId="77777777" w:rsidR="00E010F1" w:rsidRPr="00547EC7" w:rsidRDefault="00E010F1" w:rsidP="00E010F1">
            <w:pPr>
              <w:pStyle w:val="TABLECOLUMNHEAD"/>
              <w:framePr w:wrap="auto" w:vAnchor="margin" w:yAlign="inline"/>
              <w:suppressOverlap w:val="0"/>
              <w:rPr>
                <w:sz w:val="18"/>
                <w:szCs w:val="18"/>
              </w:rPr>
            </w:pPr>
            <w:r w:rsidRPr="00547EC7">
              <w:rPr>
                <w:sz w:val="18"/>
                <w:szCs w:val="18"/>
              </w:rPr>
              <w:t>Supervisor</w:t>
            </w:r>
          </w:p>
        </w:tc>
      </w:tr>
      <w:tr w:rsidR="00E010F1" w:rsidRPr="00547EC7" w14:paraId="06A6FA26" w14:textId="77777777" w:rsidTr="00E010F1">
        <w:trPr>
          <w:cantSplit/>
          <w:trHeight w:val="1134"/>
        </w:trPr>
        <w:tc>
          <w:tcPr>
            <w:tcW w:w="567" w:type="dxa"/>
            <w:tcBorders>
              <w:left w:val="nil"/>
              <w:bottom w:val="single" w:sz="4" w:space="0" w:color="auto"/>
              <w:right w:val="single" w:sz="4" w:space="0" w:color="auto"/>
            </w:tcBorders>
            <w:textDirection w:val="btLr"/>
          </w:tcPr>
          <w:p w14:paraId="54F6F4C6" w14:textId="77777777" w:rsidR="00E010F1" w:rsidRPr="00547EC7" w:rsidRDefault="00E010F1" w:rsidP="00E010F1">
            <w:pPr>
              <w:pStyle w:val="TABLEBODY"/>
              <w:ind w:left="113" w:right="113"/>
              <w:rPr>
                <w:sz w:val="18"/>
                <w:szCs w:val="18"/>
              </w:rPr>
            </w:pPr>
            <w:r w:rsidRPr="00547EC7">
              <w:rPr>
                <w:sz w:val="18"/>
                <w:szCs w:val="18"/>
              </w:rPr>
              <w:t>ensuring</w:t>
            </w:r>
          </w:p>
        </w:tc>
        <w:tc>
          <w:tcPr>
            <w:tcW w:w="993" w:type="dxa"/>
            <w:tcBorders>
              <w:left w:val="single" w:sz="4" w:space="0" w:color="auto"/>
              <w:bottom w:val="single" w:sz="4" w:space="0" w:color="auto"/>
              <w:right w:val="single" w:sz="4" w:space="0" w:color="auto"/>
            </w:tcBorders>
          </w:tcPr>
          <w:p w14:paraId="2119420C" w14:textId="77777777" w:rsidR="00E010F1" w:rsidRPr="00547EC7" w:rsidRDefault="00E010F1" w:rsidP="00E010F1">
            <w:pPr>
              <w:pStyle w:val="TABLEBODY"/>
              <w:rPr>
                <w:sz w:val="18"/>
                <w:szCs w:val="18"/>
              </w:rPr>
            </w:pPr>
            <w:r w:rsidRPr="00547EC7">
              <w:rPr>
                <w:sz w:val="18"/>
                <w:szCs w:val="18"/>
              </w:rPr>
              <w:t>10</w:t>
            </w:r>
          </w:p>
        </w:tc>
        <w:tc>
          <w:tcPr>
            <w:tcW w:w="1134" w:type="dxa"/>
            <w:tcBorders>
              <w:left w:val="single" w:sz="4" w:space="0" w:color="auto"/>
              <w:bottom w:val="single" w:sz="4" w:space="0" w:color="auto"/>
              <w:right w:val="single" w:sz="4" w:space="0" w:color="auto"/>
            </w:tcBorders>
          </w:tcPr>
          <w:p w14:paraId="61079256" w14:textId="77777777" w:rsidR="00E010F1" w:rsidRPr="00547EC7" w:rsidRDefault="00E010F1" w:rsidP="00E010F1">
            <w:pPr>
              <w:pStyle w:val="TABLEBODY"/>
              <w:rPr>
                <w:sz w:val="18"/>
                <w:szCs w:val="18"/>
              </w:rPr>
            </w:pPr>
            <w:r w:rsidRPr="00547EC7">
              <w:rPr>
                <w:sz w:val="18"/>
                <w:szCs w:val="18"/>
              </w:rPr>
              <w:t>6</w:t>
            </w:r>
          </w:p>
        </w:tc>
        <w:tc>
          <w:tcPr>
            <w:tcW w:w="1417" w:type="dxa"/>
            <w:tcBorders>
              <w:left w:val="single" w:sz="4" w:space="0" w:color="auto"/>
              <w:bottom w:val="single" w:sz="4" w:space="0" w:color="auto"/>
              <w:right w:val="single" w:sz="4" w:space="0" w:color="auto"/>
            </w:tcBorders>
          </w:tcPr>
          <w:p w14:paraId="7A85CE1F" w14:textId="77777777" w:rsidR="00E010F1" w:rsidRPr="00547EC7" w:rsidRDefault="00E010F1" w:rsidP="00E010F1">
            <w:pPr>
              <w:pStyle w:val="TABLEBODY"/>
              <w:rPr>
                <w:sz w:val="18"/>
                <w:szCs w:val="18"/>
              </w:rPr>
            </w:pPr>
            <w:r w:rsidRPr="00547EC7">
              <w:rPr>
                <w:sz w:val="18"/>
                <w:szCs w:val="18"/>
              </w:rPr>
              <w:t>1</w:t>
            </w:r>
          </w:p>
        </w:tc>
        <w:tc>
          <w:tcPr>
            <w:tcW w:w="1276" w:type="dxa"/>
            <w:tcBorders>
              <w:left w:val="single" w:sz="4" w:space="0" w:color="auto"/>
              <w:bottom w:val="single" w:sz="4" w:space="0" w:color="auto"/>
              <w:right w:val="nil"/>
            </w:tcBorders>
          </w:tcPr>
          <w:p w14:paraId="7A417624" w14:textId="77777777" w:rsidR="00E010F1" w:rsidRPr="00547EC7" w:rsidRDefault="00E010F1" w:rsidP="00E010F1">
            <w:pPr>
              <w:pStyle w:val="TABLEBODY"/>
              <w:rPr>
                <w:sz w:val="18"/>
                <w:szCs w:val="18"/>
              </w:rPr>
            </w:pPr>
            <w:r w:rsidRPr="00547EC7">
              <w:rPr>
                <w:sz w:val="18"/>
                <w:szCs w:val="18"/>
              </w:rPr>
              <w:t>24</w:t>
            </w:r>
          </w:p>
        </w:tc>
        <w:tc>
          <w:tcPr>
            <w:tcW w:w="1137" w:type="dxa"/>
            <w:tcBorders>
              <w:left w:val="single" w:sz="4" w:space="0" w:color="auto"/>
              <w:bottom w:val="single" w:sz="4" w:space="0" w:color="auto"/>
              <w:right w:val="nil"/>
            </w:tcBorders>
          </w:tcPr>
          <w:p w14:paraId="3C5E3F16" w14:textId="77777777" w:rsidR="00E010F1" w:rsidRPr="00547EC7" w:rsidRDefault="00E010F1" w:rsidP="00E010F1">
            <w:pPr>
              <w:pStyle w:val="TABLEBODY"/>
              <w:rPr>
                <w:sz w:val="18"/>
                <w:szCs w:val="18"/>
              </w:rPr>
            </w:pPr>
            <w:r w:rsidRPr="00547EC7">
              <w:rPr>
                <w:sz w:val="18"/>
                <w:szCs w:val="18"/>
              </w:rPr>
              <w:t>14</w:t>
            </w:r>
          </w:p>
        </w:tc>
      </w:tr>
      <w:tr w:rsidR="00E010F1" w:rsidRPr="00547EC7" w14:paraId="00DD3CF4" w14:textId="77777777" w:rsidTr="00E010F1">
        <w:trPr>
          <w:cantSplit/>
          <w:trHeight w:val="1134"/>
        </w:trPr>
        <w:tc>
          <w:tcPr>
            <w:tcW w:w="567" w:type="dxa"/>
            <w:tcBorders>
              <w:left w:val="nil"/>
              <w:bottom w:val="single" w:sz="4" w:space="0" w:color="auto"/>
              <w:right w:val="single" w:sz="4" w:space="0" w:color="auto"/>
            </w:tcBorders>
            <w:textDirection w:val="btLr"/>
          </w:tcPr>
          <w:p w14:paraId="4ED73E66" w14:textId="77777777" w:rsidR="00E010F1" w:rsidRPr="00547EC7" w:rsidRDefault="00E010F1" w:rsidP="00E010F1">
            <w:pPr>
              <w:pStyle w:val="TABLEBODY"/>
              <w:ind w:left="113" w:right="113"/>
              <w:rPr>
                <w:sz w:val="18"/>
                <w:szCs w:val="18"/>
              </w:rPr>
            </w:pPr>
            <w:r w:rsidRPr="00547EC7">
              <w:rPr>
                <w:sz w:val="18"/>
                <w:szCs w:val="18"/>
              </w:rPr>
              <w:t>inclusion</w:t>
            </w:r>
          </w:p>
        </w:tc>
        <w:tc>
          <w:tcPr>
            <w:tcW w:w="993" w:type="dxa"/>
            <w:tcBorders>
              <w:left w:val="single" w:sz="4" w:space="0" w:color="auto"/>
              <w:bottom w:val="single" w:sz="4" w:space="0" w:color="auto"/>
              <w:right w:val="single" w:sz="4" w:space="0" w:color="auto"/>
            </w:tcBorders>
          </w:tcPr>
          <w:p w14:paraId="3281AA8B" w14:textId="77777777" w:rsidR="00E010F1" w:rsidRPr="00547EC7" w:rsidRDefault="00E010F1" w:rsidP="00E010F1">
            <w:pPr>
              <w:pStyle w:val="TABLEBODY"/>
              <w:rPr>
                <w:sz w:val="18"/>
                <w:szCs w:val="18"/>
              </w:rPr>
            </w:pPr>
            <w:r w:rsidRPr="00547EC7">
              <w:rPr>
                <w:sz w:val="18"/>
                <w:szCs w:val="18"/>
              </w:rPr>
              <w:t>9</w:t>
            </w:r>
          </w:p>
        </w:tc>
        <w:tc>
          <w:tcPr>
            <w:tcW w:w="1134" w:type="dxa"/>
            <w:tcBorders>
              <w:left w:val="single" w:sz="4" w:space="0" w:color="auto"/>
              <w:bottom w:val="single" w:sz="4" w:space="0" w:color="auto"/>
              <w:right w:val="single" w:sz="4" w:space="0" w:color="auto"/>
            </w:tcBorders>
          </w:tcPr>
          <w:p w14:paraId="33786805" w14:textId="77777777" w:rsidR="00E010F1" w:rsidRPr="00547EC7" w:rsidRDefault="00E010F1" w:rsidP="00E010F1">
            <w:pPr>
              <w:pStyle w:val="TABLEBODY"/>
              <w:rPr>
                <w:sz w:val="18"/>
                <w:szCs w:val="18"/>
              </w:rPr>
            </w:pPr>
            <w:r w:rsidRPr="00547EC7">
              <w:rPr>
                <w:sz w:val="18"/>
                <w:szCs w:val="18"/>
              </w:rPr>
              <w:t>6</w:t>
            </w:r>
          </w:p>
        </w:tc>
        <w:tc>
          <w:tcPr>
            <w:tcW w:w="1417" w:type="dxa"/>
            <w:tcBorders>
              <w:left w:val="single" w:sz="4" w:space="0" w:color="auto"/>
              <w:bottom w:val="single" w:sz="4" w:space="0" w:color="auto"/>
              <w:right w:val="single" w:sz="4" w:space="0" w:color="auto"/>
            </w:tcBorders>
          </w:tcPr>
          <w:p w14:paraId="2D3B5345" w14:textId="77777777" w:rsidR="00E010F1" w:rsidRPr="00547EC7" w:rsidRDefault="00E010F1" w:rsidP="00E010F1">
            <w:pPr>
              <w:pStyle w:val="TABLEBODY"/>
              <w:rPr>
                <w:sz w:val="18"/>
                <w:szCs w:val="18"/>
              </w:rPr>
            </w:pPr>
            <w:r w:rsidRPr="00547EC7">
              <w:rPr>
                <w:sz w:val="18"/>
                <w:szCs w:val="18"/>
              </w:rPr>
              <w:t>14</w:t>
            </w:r>
          </w:p>
        </w:tc>
        <w:tc>
          <w:tcPr>
            <w:tcW w:w="1276" w:type="dxa"/>
            <w:tcBorders>
              <w:left w:val="single" w:sz="4" w:space="0" w:color="auto"/>
              <w:bottom w:val="single" w:sz="4" w:space="0" w:color="auto"/>
              <w:right w:val="nil"/>
            </w:tcBorders>
          </w:tcPr>
          <w:p w14:paraId="57F65488" w14:textId="77777777" w:rsidR="00E010F1" w:rsidRPr="00547EC7" w:rsidRDefault="00E010F1" w:rsidP="00E010F1">
            <w:pPr>
              <w:pStyle w:val="TABLEBODY"/>
              <w:rPr>
                <w:sz w:val="18"/>
                <w:szCs w:val="18"/>
              </w:rPr>
            </w:pPr>
            <w:r w:rsidRPr="00547EC7">
              <w:rPr>
                <w:sz w:val="18"/>
                <w:szCs w:val="18"/>
              </w:rPr>
              <w:t>60</w:t>
            </w:r>
          </w:p>
        </w:tc>
        <w:tc>
          <w:tcPr>
            <w:tcW w:w="1137" w:type="dxa"/>
            <w:tcBorders>
              <w:left w:val="single" w:sz="4" w:space="0" w:color="auto"/>
              <w:bottom w:val="single" w:sz="4" w:space="0" w:color="auto"/>
              <w:right w:val="nil"/>
            </w:tcBorders>
          </w:tcPr>
          <w:p w14:paraId="2015D6C6" w14:textId="77777777" w:rsidR="00E010F1" w:rsidRPr="00547EC7" w:rsidRDefault="00E010F1" w:rsidP="00E010F1">
            <w:pPr>
              <w:pStyle w:val="TABLEBODY"/>
              <w:rPr>
                <w:sz w:val="18"/>
                <w:szCs w:val="18"/>
              </w:rPr>
            </w:pPr>
            <w:r w:rsidRPr="00547EC7">
              <w:rPr>
                <w:sz w:val="18"/>
                <w:szCs w:val="18"/>
              </w:rPr>
              <w:t>31</w:t>
            </w:r>
          </w:p>
        </w:tc>
      </w:tr>
      <w:tr w:rsidR="00E010F1" w:rsidRPr="00547EC7" w14:paraId="6B0EC705" w14:textId="77777777" w:rsidTr="00E010F1">
        <w:trPr>
          <w:cantSplit/>
          <w:trHeight w:val="1260"/>
        </w:trPr>
        <w:tc>
          <w:tcPr>
            <w:tcW w:w="567" w:type="dxa"/>
            <w:tcBorders>
              <w:left w:val="nil"/>
              <w:bottom w:val="single" w:sz="4" w:space="0" w:color="auto"/>
              <w:right w:val="single" w:sz="4" w:space="0" w:color="auto"/>
            </w:tcBorders>
            <w:textDirection w:val="btLr"/>
          </w:tcPr>
          <w:p w14:paraId="42781A02" w14:textId="77777777" w:rsidR="00E010F1" w:rsidRPr="00547EC7" w:rsidRDefault="00E010F1" w:rsidP="00E010F1">
            <w:pPr>
              <w:pStyle w:val="TABLEBODY"/>
              <w:ind w:left="113" w:right="113"/>
              <w:rPr>
                <w:sz w:val="18"/>
                <w:szCs w:val="18"/>
              </w:rPr>
            </w:pPr>
            <w:r w:rsidRPr="00547EC7">
              <w:rPr>
                <w:sz w:val="18"/>
                <w:szCs w:val="18"/>
              </w:rPr>
              <w:t>information</w:t>
            </w:r>
          </w:p>
        </w:tc>
        <w:tc>
          <w:tcPr>
            <w:tcW w:w="993" w:type="dxa"/>
            <w:tcBorders>
              <w:left w:val="single" w:sz="4" w:space="0" w:color="auto"/>
              <w:bottom w:val="single" w:sz="4" w:space="0" w:color="auto"/>
              <w:right w:val="single" w:sz="4" w:space="0" w:color="auto"/>
            </w:tcBorders>
          </w:tcPr>
          <w:p w14:paraId="148A8F81" w14:textId="77777777" w:rsidR="00E010F1" w:rsidRPr="00547EC7" w:rsidRDefault="00E010F1" w:rsidP="00E010F1">
            <w:pPr>
              <w:pStyle w:val="TABLEBODY"/>
              <w:rPr>
                <w:sz w:val="18"/>
                <w:szCs w:val="18"/>
              </w:rPr>
            </w:pPr>
            <w:r w:rsidRPr="00547EC7">
              <w:rPr>
                <w:sz w:val="18"/>
                <w:szCs w:val="18"/>
              </w:rPr>
              <w:t>2</w:t>
            </w:r>
          </w:p>
        </w:tc>
        <w:tc>
          <w:tcPr>
            <w:tcW w:w="1134" w:type="dxa"/>
            <w:tcBorders>
              <w:left w:val="single" w:sz="4" w:space="0" w:color="auto"/>
              <w:bottom w:val="single" w:sz="4" w:space="0" w:color="auto"/>
              <w:right w:val="single" w:sz="4" w:space="0" w:color="auto"/>
            </w:tcBorders>
          </w:tcPr>
          <w:p w14:paraId="22AFFF76" w14:textId="77777777" w:rsidR="00E010F1" w:rsidRPr="00547EC7" w:rsidRDefault="00E010F1" w:rsidP="00E010F1">
            <w:pPr>
              <w:pStyle w:val="TABLEBODY"/>
              <w:rPr>
                <w:sz w:val="18"/>
                <w:szCs w:val="18"/>
              </w:rPr>
            </w:pPr>
            <w:r w:rsidRPr="00547EC7">
              <w:rPr>
                <w:sz w:val="18"/>
                <w:szCs w:val="18"/>
              </w:rPr>
              <w:t>1</w:t>
            </w:r>
          </w:p>
        </w:tc>
        <w:tc>
          <w:tcPr>
            <w:tcW w:w="1417" w:type="dxa"/>
            <w:tcBorders>
              <w:left w:val="single" w:sz="4" w:space="0" w:color="auto"/>
              <w:bottom w:val="single" w:sz="4" w:space="0" w:color="auto"/>
              <w:right w:val="single" w:sz="4" w:space="0" w:color="auto"/>
            </w:tcBorders>
          </w:tcPr>
          <w:p w14:paraId="54E8232A" w14:textId="77777777" w:rsidR="00E010F1" w:rsidRPr="00547EC7" w:rsidRDefault="00E010F1" w:rsidP="00E010F1">
            <w:pPr>
              <w:pStyle w:val="TABLEBODY"/>
              <w:rPr>
                <w:sz w:val="18"/>
                <w:szCs w:val="18"/>
              </w:rPr>
            </w:pPr>
            <w:r w:rsidRPr="00547EC7">
              <w:rPr>
                <w:sz w:val="18"/>
                <w:szCs w:val="18"/>
              </w:rPr>
              <w:t>1</w:t>
            </w:r>
          </w:p>
        </w:tc>
        <w:tc>
          <w:tcPr>
            <w:tcW w:w="1276" w:type="dxa"/>
            <w:tcBorders>
              <w:left w:val="single" w:sz="4" w:space="0" w:color="auto"/>
              <w:bottom w:val="single" w:sz="4" w:space="0" w:color="auto"/>
              <w:right w:val="nil"/>
            </w:tcBorders>
          </w:tcPr>
          <w:p w14:paraId="6899DF2B" w14:textId="77777777" w:rsidR="00E010F1" w:rsidRPr="00547EC7" w:rsidRDefault="00E010F1" w:rsidP="00E010F1">
            <w:pPr>
              <w:pStyle w:val="TABLEBODY"/>
              <w:rPr>
                <w:sz w:val="18"/>
                <w:szCs w:val="18"/>
              </w:rPr>
            </w:pPr>
            <w:r w:rsidRPr="00547EC7">
              <w:rPr>
                <w:sz w:val="18"/>
                <w:szCs w:val="18"/>
              </w:rPr>
              <w:t>21</w:t>
            </w:r>
          </w:p>
        </w:tc>
        <w:tc>
          <w:tcPr>
            <w:tcW w:w="1137" w:type="dxa"/>
            <w:tcBorders>
              <w:left w:val="single" w:sz="4" w:space="0" w:color="auto"/>
              <w:bottom w:val="single" w:sz="4" w:space="0" w:color="auto"/>
              <w:right w:val="nil"/>
            </w:tcBorders>
          </w:tcPr>
          <w:p w14:paraId="72135773" w14:textId="77777777" w:rsidR="00E010F1" w:rsidRPr="00547EC7" w:rsidRDefault="00E010F1" w:rsidP="00E010F1">
            <w:pPr>
              <w:pStyle w:val="TABLEBODY"/>
              <w:rPr>
                <w:sz w:val="18"/>
                <w:szCs w:val="18"/>
              </w:rPr>
            </w:pPr>
            <w:r w:rsidRPr="00547EC7">
              <w:rPr>
                <w:sz w:val="18"/>
                <w:szCs w:val="18"/>
              </w:rPr>
              <w:t>1</w:t>
            </w:r>
          </w:p>
        </w:tc>
      </w:tr>
      <w:tr w:rsidR="00E010F1" w:rsidRPr="00547EC7" w14:paraId="31842797" w14:textId="77777777" w:rsidTr="00E010F1">
        <w:trPr>
          <w:cantSplit/>
          <w:trHeight w:val="839"/>
        </w:trPr>
        <w:tc>
          <w:tcPr>
            <w:tcW w:w="567" w:type="dxa"/>
            <w:tcBorders>
              <w:top w:val="single" w:sz="4" w:space="0" w:color="auto"/>
              <w:left w:val="nil"/>
              <w:bottom w:val="single" w:sz="4" w:space="0" w:color="auto"/>
              <w:right w:val="single" w:sz="4" w:space="0" w:color="auto"/>
            </w:tcBorders>
            <w:textDirection w:val="btLr"/>
          </w:tcPr>
          <w:p w14:paraId="30F5E88E" w14:textId="77777777" w:rsidR="00E010F1" w:rsidRPr="00547EC7" w:rsidRDefault="00E010F1" w:rsidP="00E010F1">
            <w:pPr>
              <w:pStyle w:val="TABLEBODY"/>
              <w:ind w:left="113" w:right="113"/>
              <w:rPr>
                <w:sz w:val="18"/>
                <w:szCs w:val="18"/>
              </w:rPr>
            </w:pPr>
            <w:r w:rsidRPr="00547EC7">
              <w:rPr>
                <w:sz w:val="18"/>
                <w:szCs w:val="18"/>
              </w:rPr>
              <w:t>need</w:t>
            </w:r>
          </w:p>
        </w:tc>
        <w:tc>
          <w:tcPr>
            <w:tcW w:w="993" w:type="dxa"/>
            <w:tcBorders>
              <w:top w:val="single" w:sz="4" w:space="0" w:color="auto"/>
              <w:left w:val="single" w:sz="4" w:space="0" w:color="auto"/>
              <w:bottom w:val="single" w:sz="4" w:space="0" w:color="auto"/>
              <w:right w:val="single" w:sz="4" w:space="0" w:color="auto"/>
            </w:tcBorders>
          </w:tcPr>
          <w:p w14:paraId="64E74C0D" w14:textId="77777777" w:rsidR="00E010F1" w:rsidRPr="00547EC7" w:rsidRDefault="00E010F1" w:rsidP="00E010F1">
            <w:pPr>
              <w:pStyle w:val="TABLEBODY"/>
              <w:rPr>
                <w:i/>
                <w:sz w:val="18"/>
                <w:szCs w:val="18"/>
              </w:rPr>
            </w:pPr>
            <w:r w:rsidRPr="00547EC7">
              <w:rPr>
                <w:sz w:val="18"/>
                <w:szCs w:val="18"/>
              </w:rPr>
              <w:t>3</w:t>
            </w:r>
          </w:p>
        </w:tc>
        <w:tc>
          <w:tcPr>
            <w:tcW w:w="1134" w:type="dxa"/>
            <w:tcBorders>
              <w:top w:val="single" w:sz="4" w:space="0" w:color="auto"/>
              <w:left w:val="single" w:sz="4" w:space="0" w:color="auto"/>
              <w:bottom w:val="single" w:sz="4" w:space="0" w:color="auto"/>
              <w:right w:val="single" w:sz="4" w:space="0" w:color="auto"/>
            </w:tcBorders>
          </w:tcPr>
          <w:p w14:paraId="185D7EF8" w14:textId="77777777" w:rsidR="00E010F1" w:rsidRPr="00547EC7" w:rsidRDefault="00E010F1" w:rsidP="00E010F1">
            <w:pPr>
              <w:pStyle w:val="TABLEBODY"/>
              <w:rPr>
                <w:i/>
                <w:sz w:val="18"/>
                <w:szCs w:val="18"/>
              </w:rPr>
            </w:pPr>
            <w:r w:rsidRPr="00547EC7">
              <w:rPr>
                <w:sz w:val="18"/>
                <w:szCs w:val="18"/>
              </w:rPr>
              <w:t>2</w:t>
            </w:r>
          </w:p>
        </w:tc>
        <w:tc>
          <w:tcPr>
            <w:tcW w:w="1417" w:type="dxa"/>
            <w:tcBorders>
              <w:top w:val="single" w:sz="4" w:space="0" w:color="auto"/>
              <w:left w:val="single" w:sz="4" w:space="0" w:color="auto"/>
              <w:bottom w:val="single" w:sz="4" w:space="0" w:color="auto"/>
              <w:right w:val="single" w:sz="4" w:space="0" w:color="auto"/>
            </w:tcBorders>
          </w:tcPr>
          <w:p w14:paraId="55DCA751" w14:textId="77777777" w:rsidR="00E010F1" w:rsidRPr="00547EC7" w:rsidRDefault="00E010F1" w:rsidP="00E010F1">
            <w:pPr>
              <w:pStyle w:val="TABLEBODY"/>
              <w:rPr>
                <w:i/>
                <w:sz w:val="18"/>
                <w:szCs w:val="18"/>
              </w:rPr>
            </w:pPr>
            <w:r w:rsidRPr="00547EC7">
              <w:rPr>
                <w:sz w:val="18"/>
                <w:szCs w:val="18"/>
              </w:rPr>
              <w:t>10</w:t>
            </w:r>
          </w:p>
        </w:tc>
        <w:tc>
          <w:tcPr>
            <w:tcW w:w="1276" w:type="dxa"/>
            <w:tcBorders>
              <w:top w:val="single" w:sz="4" w:space="0" w:color="auto"/>
              <w:left w:val="single" w:sz="4" w:space="0" w:color="auto"/>
              <w:bottom w:val="single" w:sz="4" w:space="0" w:color="auto"/>
              <w:right w:val="nil"/>
            </w:tcBorders>
          </w:tcPr>
          <w:p w14:paraId="0D0BA33F" w14:textId="77777777" w:rsidR="00E010F1" w:rsidRPr="00547EC7" w:rsidRDefault="00E010F1" w:rsidP="00E010F1">
            <w:pPr>
              <w:pStyle w:val="TABLEBODY"/>
              <w:rPr>
                <w:i/>
                <w:sz w:val="18"/>
                <w:szCs w:val="18"/>
              </w:rPr>
            </w:pPr>
            <w:r w:rsidRPr="00547EC7">
              <w:rPr>
                <w:sz w:val="18"/>
                <w:szCs w:val="18"/>
              </w:rPr>
              <w:t>25</w:t>
            </w:r>
          </w:p>
        </w:tc>
        <w:tc>
          <w:tcPr>
            <w:tcW w:w="1137" w:type="dxa"/>
            <w:tcBorders>
              <w:top w:val="single" w:sz="4" w:space="0" w:color="auto"/>
              <w:left w:val="single" w:sz="4" w:space="0" w:color="auto"/>
              <w:bottom w:val="single" w:sz="4" w:space="0" w:color="auto"/>
              <w:right w:val="nil"/>
            </w:tcBorders>
          </w:tcPr>
          <w:p w14:paraId="1282730B" w14:textId="77777777" w:rsidR="00E010F1" w:rsidRPr="00547EC7" w:rsidRDefault="00E010F1" w:rsidP="00E010F1">
            <w:pPr>
              <w:pStyle w:val="TABLEBODY"/>
              <w:rPr>
                <w:sz w:val="18"/>
                <w:szCs w:val="18"/>
              </w:rPr>
            </w:pPr>
            <w:r w:rsidRPr="00547EC7">
              <w:rPr>
                <w:sz w:val="18"/>
                <w:szCs w:val="18"/>
              </w:rPr>
              <w:t>17</w:t>
            </w:r>
          </w:p>
        </w:tc>
      </w:tr>
      <w:tr w:rsidR="00E010F1" w:rsidRPr="00547EC7" w14:paraId="281D5A07" w14:textId="77777777" w:rsidTr="00E010F1">
        <w:trPr>
          <w:cantSplit/>
          <w:trHeight w:val="978"/>
        </w:trPr>
        <w:tc>
          <w:tcPr>
            <w:tcW w:w="567" w:type="dxa"/>
            <w:tcBorders>
              <w:top w:val="single" w:sz="4" w:space="0" w:color="auto"/>
              <w:left w:val="nil"/>
              <w:bottom w:val="single" w:sz="4" w:space="0" w:color="auto"/>
              <w:right w:val="single" w:sz="4" w:space="0" w:color="auto"/>
            </w:tcBorders>
            <w:textDirection w:val="btLr"/>
          </w:tcPr>
          <w:p w14:paraId="35EFA758" w14:textId="77777777" w:rsidR="00E010F1" w:rsidRPr="00547EC7" w:rsidRDefault="00E010F1" w:rsidP="00E010F1">
            <w:pPr>
              <w:pStyle w:val="TABLEBODY"/>
              <w:ind w:left="113" w:right="113"/>
              <w:rPr>
                <w:sz w:val="18"/>
                <w:szCs w:val="18"/>
              </w:rPr>
            </w:pPr>
            <w:r w:rsidRPr="00547EC7">
              <w:rPr>
                <w:sz w:val="18"/>
                <w:szCs w:val="18"/>
              </w:rPr>
              <w:lastRenderedPageBreak/>
              <w:t>quality</w:t>
            </w:r>
          </w:p>
        </w:tc>
        <w:tc>
          <w:tcPr>
            <w:tcW w:w="993" w:type="dxa"/>
            <w:tcBorders>
              <w:top w:val="single" w:sz="4" w:space="0" w:color="auto"/>
              <w:left w:val="single" w:sz="4" w:space="0" w:color="auto"/>
              <w:bottom w:val="single" w:sz="4" w:space="0" w:color="auto"/>
              <w:right w:val="single" w:sz="4" w:space="0" w:color="auto"/>
            </w:tcBorders>
          </w:tcPr>
          <w:p w14:paraId="45F3AC7E" w14:textId="77777777" w:rsidR="00E010F1" w:rsidRPr="00547EC7" w:rsidRDefault="00E010F1" w:rsidP="00E010F1">
            <w:pPr>
              <w:pStyle w:val="TABLEBODY"/>
              <w:rPr>
                <w:i/>
                <w:sz w:val="18"/>
                <w:szCs w:val="18"/>
              </w:rPr>
            </w:pPr>
            <w:r w:rsidRPr="00547EC7">
              <w:rPr>
                <w:sz w:val="18"/>
                <w:szCs w:val="18"/>
              </w:rPr>
              <w:t>1</w:t>
            </w:r>
          </w:p>
        </w:tc>
        <w:tc>
          <w:tcPr>
            <w:tcW w:w="1134" w:type="dxa"/>
            <w:tcBorders>
              <w:top w:val="single" w:sz="4" w:space="0" w:color="auto"/>
              <w:left w:val="single" w:sz="4" w:space="0" w:color="auto"/>
              <w:bottom w:val="single" w:sz="4" w:space="0" w:color="auto"/>
              <w:right w:val="single" w:sz="4" w:space="0" w:color="auto"/>
            </w:tcBorders>
          </w:tcPr>
          <w:p w14:paraId="302D293A" w14:textId="77777777" w:rsidR="00E010F1" w:rsidRPr="00547EC7" w:rsidRDefault="00E010F1" w:rsidP="00E010F1">
            <w:pPr>
              <w:pStyle w:val="TABLEBODY"/>
              <w:rPr>
                <w:i/>
                <w:sz w:val="18"/>
                <w:szCs w:val="18"/>
              </w:rPr>
            </w:pPr>
            <w:r w:rsidRPr="00547EC7">
              <w:rPr>
                <w:sz w:val="18"/>
                <w:szCs w:val="18"/>
              </w:rPr>
              <w:t>0</w:t>
            </w:r>
          </w:p>
        </w:tc>
        <w:tc>
          <w:tcPr>
            <w:tcW w:w="1417" w:type="dxa"/>
            <w:tcBorders>
              <w:top w:val="single" w:sz="4" w:space="0" w:color="auto"/>
              <w:left w:val="single" w:sz="4" w:space="0" w:color="auto"/>
              <w:bottom w:val="single" w:sz="4" w:space="0" w:color="auto"/>
              <w:right w:val="single" w:sz="4" w:space="0" w:color="auto"/>
            </w:tcBorders>
          </w:tcPr>
          <w:p w14:paraId="4F936C89" w14:textId="77777777" w:rsidR="00E010F1" w:rsidRPr="00547EC7" w:rsidRDefault="00E010F1" w:rsidP="00E010F1">
            <w:pPr>
              <w:pStyle w:val="TABLEBODY"/>
              <w:rPr>
                <w:i/>
                <w:sz w:val="18"/>
                <w:szCs w:val="18"/>
              </w:rPr>
            </w:pPr>
            <w:r w:rsidRPr="00547EC7">
              <w:rPr>
                <w:sz w:val="18"/>
                <w:szCs w:val="18"/>
              </w:rPr>
              <w:t>0</w:t>
            </w:r>
          </w:p>
        </w:tc>
        <w:tc>
          <w:tcPr>
            <w:tcW w:w="1276" w:type="dxa"/>
            <w:tcBorders>
              <w:top w:val="single" w:sz="4" w:space="0" w:color="auto"/>
              <w:left w:val="single" w:sz="4" w:space="0" w:color="auto"/>
              <w:bottom w:val="single" w:sz="4" w:space="0" w:color="auto"/>
              <w:right w:val="nil"/>
            </w:tcBorders>
          </w:tcPr>
          <w:p w14:paraId="65B7B522" w14:textId="77777777" w:rsidR="00E010F1" w:rsidRPr="00547EC7" w:rsidRDefault="00E010F1" w:rsidP="00E010F1">
            <w:pPr>
              <w:pStyle w:val="TABLEBODY"/>
              <w:rPr>
                <w:i/>
                <w:sz w:val="18"/>
                <w:szCs w:val="18"/>
              </w:rPr>
            </w:pPr>
            <w:r w:rsidRPr="00547EC7">
              <w:rPr>
                <w:sz w:val="18"/>
                <w:szCs w:val="18"/>
              </w:rPr>
              <w:t>7</w:t>
            </w:r>
          </w:p>
        </w:tc>
        <w:tc>
          <w:tcPr>
            <w:tcW w:w="1137" w:type="dxa"/>
            <w:tcBorders>
              <w:top w:val="single" w:sz="4" w:space="0" w:color="auto"/>
              <w:left w:val="single" w:sz="4" w:space="0" w:color="auto"/>
              <w:bottom w:val="single" w:sz="4" w:space="0" w:color="auto"/>
              <w:right w:val="nil"/>
            </w:tcBorders>
          </w:tcPr>
          <w:p w14:paraId="53ACD2BC" w14:textId="77777777" w:rsidR="00E010F1" w:rsidRPr="00547EC7" w:rsidRDefault="00E010F1" w:rsidP="00E010F1">
            <w:pPr>
              <w:pStyle w:val="TABLEBODY"/>
              <w:rPr>
                <w:sz w:val="18"/>
                <w:szCs w:val="18"/>
              </w:rPr>
            </w:pPr>
            <w:r w:rsidRPr="00547EC7">
              <w:rPr>
                <w:sz w:val="18"/>
                <w:szCs w:val="18"/>
              </w:rPr>
              <w:t>2</w:t>
            </w:r>
          </w:p>
        </w:tc>
      </w:tr>
      <w:tr w:rsidR="00E010F1" w:rsidRPr="00547EC7" w14:paraId="10AD76DF" w14:textId="77777777" w:rsidTr="00E010F1">
        <w:trPr>
          <w:cantSplit/>
          <w:trHeight w:val="1134"/>
        </w:trPr>
        <w:tc>
          <w:tcPr>
            <w:tcW w:w="567" w:type="dxa"/>
            <w:tcBorders>
              <w:top w:val="single" w:sz="4" w:space="0" w:color="auto"/>
              <w:left w:val="nil"/>
              <w:bottom w:val="single" w:sz="4" w:space="0" w:color="auto"/>
              <w:right w:val="single" w:sz="4" w:space="0" w:color="auto"/>
            </w:tcBorders>
            <w:textDirection w:val="btLr"/>
          </w:tcPr>
          <w:p w14:paraId="09138F52" w14:textId="77777777" w:rsidR="00E010F1" w:rsidRPr="00547EC7" w:rsidRDefault="00E010F1" w:rsidP="00E010F1">
            <w:pPr>
              <w:pStyle w:val="TABLEBODY"/>
              <w:ind w:left="113" w:right="113"/>
              <w:rPr>
                <w:sz w:val="18"/>
                <w:szCs w:val="18"/>
              </w:rPr>
            </w:pPr>
            <w:r w:rsidRPr="00547EC7">
              <w:rPr>
                <w:sz w:val="18"/>
                <w:szCs w:val="18"/>
              </w:rPr>
              <w:t>relevance</w:t>
            </w:r>
          </w:p>
        </w:tc>
        <w:tc>
          <w:tcPr>
            <w:tcW w:w="993" w:type="dxa"/>
            <w:tcBorders>
              <w:top w:val="single" w:sz="4" w:space="0" w:color="auto"/>
              <w:left w:val="single" w:sz="4" w:space="0" w:color="auto"/>
              <w:bottom w:val="single" w:sz="4" w:space="0" w:color="auto"/>
              <w:right w:val="single" w:sz="4" w:space="0" w:color="auto"/>
            </w:tcBorders>
          </w:tcPr>
          <w:p w14:paraId="4E6DE8EC" w14:textId="77777777" w:rsidR="00E010F1" w:rsidRPr="00547EC7" w:rsidRDefault="00E010F1" w:rsidP="00E010F1">
            <w:pPr>
              <w:pStyle w:val="TABLEBODY"/>
              <w:rPr>
                <w:sz w:val="18"/>
                <w:szCs w:val="18"/>
              </w:rPr>
            </w:pPr>
            <w:r w:rsidRPr="00547EC7">
              <w:rPr>
                <w:sz w:val="18"/>
                <w:szCs w:val="18"/>
              </w:rPr>
              <w:t>0</w:t>
            </w:r>
          </w:p>
        </w:tc>
        <w:tc>
          <w:tcPr>
            <w:tcW w:w="1134" w:type="dxa"/>
            <w:tcBorders>
              <w:top w:val="single" w:sz="4" w:space="0" w:color="auto"/>
              <w:left w:val="single" w:sz="4" w:space="0" w:color="auto"/>
              <w:bottom w:val="single" w:sz="4" w:space="0" w:color="auto"/>
              <w:right w:val="single" w:sz="4" w:space="0" w:color="auto"/>
            </w:tcBorders>
          </w:tcPr>
          <w:p w14:paraId="698D7F0C" w14:textId="77777777" w:rsidR="00E010F1" w:rsidRPr="00547EC7" w:rsidRDefault="00E010F1" w:rsidP="00E010F1">
            <w:pPr>
              <w:pStyle w:val="TABLEBODY"/>
              <w:rPr>
                <w:sz w:val="18"/>
                <w:szCs w:val="18"/>
              </w:rPr>
            </w:pPr>
            <w:r w:rsidRPr="00547EC7">
              <w:rPr>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744FDCFA" w14:textId="77777777" w:rsidR="00E010F1" w:rsidRPr="00547EC7" w:rsidRDefault="00E010F1" w:rsidP="00E010F1">
            <w:pPr>
              <w:pStyle w:val="TABLEBODY"/>
              <w:rPr>
                <w:sz w:val="18"/>
                <w:szCs w:val="18"/>
              </w:rPr>
            </w:pPr>
            <w:r w:rsidRPr="00547EC7">
              <w:rPr>
                <w:sz w:val="18"/>
                <w:szCs w:val="18"/>
              </w:rPr>
              <w:t>1</w:t>
            </w:r>
          </w:p>
        </w:tc>
        <w:tc>
          <w:tcPr>
            <w:tcW w:w="1276" w:type="dxa"/>
            <w:tcBorders>
              <w:top w:val="single" w:sz="4" w:space="0" w:color="auto"/>
              <w:left w:val="single" w:sz="4" w:space="0" w:color="auto"/>
              <w:bottom w:val="single" w:sz="4" w:space="0" w:color="auto"/>
              <w:right w:val="nil"/>
            </w:tcBorders>
          </w:tcPr>
          <w:p w14:paraId="36DD590F" w14:textId="77777777" w:rsidR="00E010F1" w:rsidRPr="00547EC7" w:rsidRDefault="00E010F1" w:rsidP="00E010F1">
            <w:pPr>
              <w:pStyle w:val="TABLEBODY"/>
              <w:rPr>
                <w:sz w:val="18"/>
                <w:szCs w:val="18"/>
              </w:rPr>
            </w:pPr>
            <w:r w:rsidRPr="00547EC7">
              <w:rPr>
                <w:sz w:val="18"/>
                <w:szCs w:val="18"/>
              </w:rPr>
              <w:t>12</w:t>
            </w:r>
          </w:p>
        </w:tc>
        <w:tc>
          <w:tcPr>
            <w:tcW w:w="1137" w:type="dxa"/>
            <w:tcBorders>
              <w:top w:val="single" w:sz="4" w:space="0" w:color="auto"/>
              <w:left w:val="single" w:sz="4" w:space="0" w:color="auto"/>
              <w:bottom w:val="single" w:sz="4" w:space="0" w:color="auto"/>
              <w:right w:val="nil"/>
            </w:tcBorders>
          </w:tcPr>
          <w:p w14:paraId="64AE6033" w14:textId="77777777" w:rsidR="00E010F1" w:rsidRPr="00547EC7" w:rsidRDefault="00E010F1" w:rsidP="00E010F1">
            <w:pPr>
              <w:pStyle w:val="TABLEBODY"/>
              <w:rPr>
                <w:sz w:val="18"/>
                <w:szCs w:val="18"/>
              </w:rPr>
            </w:pPr>
            <w:r w:rsidRPr="00547EC7">
              <w:rPr>
                <w:sz w:val="18"/>
                <w:szCs w:val="18"/>
              </w:rPr>
              <w:t>5</w:t>
            </w:r>
          </w:p>
        </w:tc>
      </w:tr>
      <w:tr w:rsidR="00E010F1" w:rsidRPr="00547EC7" w14:paraId="58059B2F" w14:textId="77777777" w:rsidTr="00E010F1">
        <w:trPr>
          <w:cantSplit/>
          <w:trHeight w:val="697"/>
        </w:trPr>
        <w:tc>
          <w:tcPr>
            <w:tcW w:w="567" w:type="dxa"/>
            <w:tcBorders>
              <w:top w:val="single" w:sz="4" w:space="0" w:color="auto"/>
              <w:left w:val="nil"/>
              <w:bottom w:val="single" w:sz="4" w:space="0" w:color="auto"/>
              <w:right w:val="single" w:sz="4" w:space="0" w:color="auto"/>
            </w:tcBorders>
            <w:textDirection w:val="btLr"/>
          </w:tcPr>
          <w:p w14:paraId="69B60387" w14:textId="77777777" w:rsidR="00E010F1" w:rsidRPr="00547EC7" w:rsidRDefault="00E010F1" w:rsidP="00E010F1">
            <w:pPr>
              <w:pStyle w:val="TABLEBODY"/>
              <w:ind w:left="113" w:right="113"/>
              <w:rPr>
                <w:sz w:val="18"/>
                <w:szCs w:val="18"/>
              </w:rPr>
            </w:pPr>
            <w:r w:rsidRPr="00547EC7">
              <w:rPr>
                <w:sz w:val="18"/>
                <w:szCs w:val="18"/>
              </w:rPr>
              <w:t>role</w:t>
            </w:r>
          </w:p>
        </w:tc>
        <w:tc>
          <w:tcPr>
            <w:tcW w:w="993" w:type="dxa"/>
            <w:tcBorders>
              <w:top w:val="single" w:sz="4" w:space="0" w:color="auto"/>
              <w:left w:val="single" w:sz="4" w:space="0" w:color="auto"/>
              <w:bottom w:val="single" w:sz="4" w:space="0" w:color="auto"/>
              <w:right w:val="single" w:sz="4" w:space="0" w:color="auto"/>
            </w:tcBorders>
          </w:tcPr>
          <w:p w14:paraId="06B24CEE" w14:textId="77777777" w:rsidR="00E010F1" w:rsidRPr="00547EC7" w:rsidRDefault="00E010F1" w:rsidP="00E010F1">
            <w:pPr>
              <w:pStyle w:val="TABLEBODY"/>
              <w:rPr>
                <w:sz w:val="18"/>
                <w:szCs w:val="18"/>
              </w:rPr>
            </w:pPr>
            <w:r w:rsidRPr="00547EC7">
              <w:rPr>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013DF5BF" w14:textId="77777777" w:rsidR="00E010F1" w:rsidRPr="00547EC7" w:rsidRDefault="00E010F1" w:rsidP="00E010F1">
            <w:pPr>
              <w:pStyle w:val="TABLEBODY"/>
              <w:rPr>
                <w:sz w:val="18"/>
                <w:szCs w:val="18"/>
              </w:rPr>
            </w:pPr>
            <w:r w:rsidRPr="00547EC7">
              <w:rPr>
                <w:sz w:val="18"/>
                <w:szCs w:val="18"/>
              </w:rPr>
              <w:t>2</w:t>
            </w:r>
          </w:p>
        </w:tc>
        <w:tc>
          <w:tcPr>
            <w:tcW w:w="1417" w:type="dxa"/>
            <w:tcBorders>
              <w:top w:val="single" w:sz="4" w:space="0" w:color="auto"/>
              <w:left w:val="single" w:sz="4" w:space="0" w:color="auto"/>
              <w:bottom w:val="single" w:sz="4" w:space="0" w:color="auto"/>
              <w:right w:val="single" w:sz="4" w:space="0" w:color="auto"/>
            </w:tcBorders>
          </w:tcPr>
          <w:p w14:paraId="4109451A" w14:textId="77777777" w:rsidR="00E010F1" w:rsidRPr="00547EC7" w:rsidRDefault="00E010F1" w:rsidP="00E010F1">
            <w:pPr>
              <w:pStyle w:val="TABLEBODY"/>
              <w:rPr>
                <w:sz w:val="18"/>
                <w:szCs w:val="18"/>
              </w:rPr>
            </w:pPr>
            <w:r w:rsidRPr="00547EC7">
              <w:rPr>
                <w:sz w:val="18"/>
                <w:szCs w:val="18"/>
              </w:rPr>
              <w:t>7</w:t>
            </w:r>
          </w:p>
        </w:tc>
        <w:tc>
          <w:tcPr>
            <w:tcW w:w="1276" w:type="dxa"/>
            <w:tcBorders>
              <w:top w:val="single" w:sz="4" w:space="0" w:color="auto"/>
              <w:left w:val="single" w:sz="4" w:space="0" w:color="auto"/>
              <w:bottom w:val="single" w:sz="4" w:space="0" w:color="auto"/>
              <w:right w:val="nil"/>
            </w:tcBorders>
          </w:tcPr>
          <w:p w14:paraId="1BACD070" w14:textId="77777777" w:rsidR="00E010F1" w:rsidRPr="00547EC7" w:rsidRDefault="00E010F1" w:rsidP="00E010F1">
            <w:pPr>
              <w:pStyle w:val="TABLEBODY"/>
              <w:rPr>
                <w:sz w:val="18"/>
                <w:szCs w:val="18"/>
              </w:rPr>
            </w:pPr>
            <w:r w:rsidRPr="00547EC7">
              <w:rPr>
                <w:sz w:val="18"/>
                <w:szCs w:val="18"/>
              </w:rPr>
              <w:t>6</w:t>
            </w:r>
          </w:p>
        </w:tc>
        <w:tc>
          <w:tcPr>
            <w:tcW w:w="1137" w:type="dxa"/>
            <w:tcBorders>
              <w:top w:val="single" w:sz="4" w:space="0" w:color="auto"/>
              <w:left w:val="single" w:sz="4" w:space="0" w:color="auto"/>
              <w:bottom w:val="single" w:sz="4" w:space="0" w:color="auto"/>
              <w:right w:val="nil"/>
            </w:tcBorders>
          </w:tcPr>
          <w:p w14:paraId="4FC51D65" w14:textId="77777777" w:rsidR="00E010F1" w:rsidRPr="00547EC7" w:rsidRDefault="00E010F1" w:rsidP="00E010F1">
            <w:pPr>
              <w:pStyle w:val="TABLEBODY"/>
              <w:rPr>
                <w:sz w:val="18"/>
                <w:szCs w:val="18"/>
              </w:rPr>
            </w:pPr>
            <w:r w:rsidRPr="00547EC7">
              <w:rPr>
                <w:sz w:val="18"/>
                <w:szCs w:val="18"/>
              </w:rPr>
              <w:t>29</w:t>
            </w:r>
          </w:p>
        </w:tc>
      </w:tr>
      <w:tr w:rsidR="00E010F1" w:rsidRPr="00547EC7" w14:paraId="0F4B507E" w14:textId="77777777" w:rsidTr="00E010F1">
        <w:trPr>
          <w:cantSplit/>
          <w:trHeight w:val="706"/>
        </w:trPr>
        <w:tc>
          <w:tcPr>
            <w:tcW w:w="567" w:type="dxa"/>
            <w:tcBorders>
              <w:top w:val="single" w:sz="4" w:space="0" w:color="auto"/>
              <w:left w:val="nil"/>
              <w:bottom w:val="single" w:sz="4" w:space="0" w:color="auto"/>
              <w:right w:val="single" w:sz="4" w:space="0" w:color="auto"/>
            </w:tcBorders>
            <w:textDirection w:val="btLr"/>
          </w:tcPr>
          <w:p w14:paraId="6A1F3EB3" w14:textId="77777777" w:rsidR="00E010F1" w:rsidRPr="00547EC7" w:rsidRDefault="00E010F1" w:rsidP="00E010F1">
            <w:pPr>
              <w:pStyle w:val="TABLEBODY"/>
              <w:ind w:left="113" w:right="113"/>
              <w:rPr>
                <w:sz w:val="18"/>
                <w:szCs w:val="18"/>
              </w:rPr>
            </w:pPr>
            <w:r w:rsidRPr="00547EC7">
              <w:rPr>
                <w:sz w:val="18"/>
                <w:szCs w:val="18"/>
              </w:rPr>
              <w:t>skills</w:t>
            </w:r>
          </w:p>
        </w:tc>
        <w:tc>
          <w:tcPr>
            <w:tcW w:w="993" w:type="dxa"/>
            <w:tcBorders>
              <w:top w:val="single" w:sz="4" w:space="0" w:color="auto"/>
              <w:left w:val="single" w:sz="4" w:space="0" w:color="auto"/>
              <w:bottom w:val="single" w:sz="4" w:space="0" w:color="auto"/>
              <w:right w:val="single" w:sz="4" w:space="0" w:color="auto"/>
            </w:tcBorders>
          </w:tcPr>
          <w:p w14:paraId="4BB5570E" w14:textId="77777777" w:rsidR="00E010F1" w:rsidRPr="00547EC7" w:rsidRDefault="00E010F1" w:rsidP="00E010F1">
            <w:pPr>
              <w:pStyle w:val="TABLEBODY"/>
              <w:rPr>
                <w:sz w:val="18"/>
                <w:szCs w:val="18"/>
              </w:rPr>
            </w:pPr>
            <w:r w:rsidRPr="00547EC7">
              <w:rPr>
                <w:sz w:val="18"/>
                <w:szCs w:val="18"/>
              </w:rPr>
              <w:t>1</w:t>
            </w:r>
          </w:p>
        </w:tc>
        <w:tc>
          <w:tcPr>
            <w:tcW w:w="1134" w:type="dxa"/>
            <w:tcBorders>
              <w:top w:val="single" w:sz="4" w:space="0" w:color="auto"/>
              <w:left w:val="single" w:sz="4" w:space="0" w:color="auto"/>
              <w:bottom w:val="single" w:sz="4" w:space="0" w:color="auto"/>
              <w:right w:val="single" w:sz="4" w:space="0" w:color="auto"/>
            </w:tcBorders>
          </w:tcPr>
          <w:p w14:paraId="06D9A1DC" w14:textId="77777777" w:rsidR="00E010F1" w:rsidRPr="00547EC7" w:rsidRDefault="00E010F1" w:rsidP="00E010F1">
            <w:pPr>
              <w:pStyle w:val="TABLEBODY"/>
              <w:rPr>
                <w:sz w:val="18"/>
                <w:szCs w:val="18"/>
              </w:rPr>
            </w:pPr>
            <w:r w:rsidRPr="00547EC7">
              <w:rPr>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66232C5E" w14:textId="77777777" w:rsidR="00E010F1" w:rsidRPr="00547EC7" w:rsidRDefault="00E010F1" w:rsidP="00E010F1">
            <w:pPr>
              <w:pStyle w:val="TABLEBODY"/>
              <w:rPr>
                <w:sz w:val="18"/>
                <w:szCs w:val="18"/>
              </w:rPr>
            </w:pPr>
            <w:r w:rsidRPr="00547EC7">
              <w:rPr>
                <w:sz w:val="18"/>
                <w:szCs w:val="18"/>
              </w:rPr>
              <w:t>0</w:t>
            </w:r>
          </w:p>
        </w:tc>
        <w:tc>
          <w:tcPr>
            <w:tcW w:w="1276" w:type="dxa"/>
            <w:tcBorders>
              <w:top w:val="single" w:sz="4" w:space="0" w:color="auto"/>
              <w:left w:val="single" w:sz="4" w:space="0" w:color="auto"/>
              <w:bottom w:val="single" w:sz="4" w:space="0" w:color="auto"/>
              <w:right w:val="nil"/>
            </w:tcBorders>
          </w:tcPr>
          <w:p w14:paraId="6E69FBDF" w14:textId="77777777" w:rsidR="00E010F1" w:rsidRPr="00547EC7" w:rsidRDefault="00E010F1" w:rsidP="00E010F1">
            <w:pPr>
              <w:pStyle w:val="TABLEBODY"/>
              <w:rPr>
                <w:sz w:val="18"/>
                <w:szCs w:val="18"/>
              </w:rPr>
            </w:pPr>
            <w:r w:rsidRPr="00547EC7">
              <w:rPr>
                <w:sz w:val="18"/>
                <w:szCs w:val="18"/>
              </w:rPr>
              <w:t>6</w:t>
            </w:r>
          </w:p>
        </w:tc>
        <w:tc>
          <w:tcPr>
            <w:tcW w:w="1137" w:type="dxa"/>
            <w:tcBorders>
              <w:top w:val="single" w:sz="4" w:space="0" w:color="auto"/>
              <w:left w:val="single" w:sz="4" w:space="0" w:color="auto"/>
              <w:bottom w:val="single" w:sz="4" w:space="0" w:color="auto"/>
              <w:right w:val="nil"/>
            </w:tcBorders>
          </w:tcPr>
          <w:p w14:paraId="72F07F2A" w14:textId="77777777" w:rsidR="00E010F1" w:rsidRPr="00547EC7" w:rsidRDefault="00E010F1" w:rsidP="00E010F1">
            <w:pPr>
              <w:pStyle w:val="TABLEBODY"/>
              <w:rPr>
                <w:sz w:val="18"/>
                <w:szCs w:val="18"/>
              </w:rPr>
            </w:pPr>
            <w:r w:rsidRPr="00547EC7">
              <w:rPr>
                <w:sz w:val="18"/>
                <w:szCs w:val="18"/>
              </w:rPr>
              <w:t>4</w:t>
            </w:r>
          </w:p>
        </w:tc>
      </w:tr>
      <w:tr w:rsidR="00E010F1" w:rsidRPr="00547EC7" w14:paraId="275FF018" w14:textId="77777777" w:rsidTr="00E010F1">
        <w:trPr>
          <w:cantSplit/>
          <w:trHeight w:val="1134"/>
        </w:trPr>
        <w:tc>
          <w:tcPr>
            <w:tcW w:w="567" w:type="dxa"/>
            <w:tcBorders>
              <w:top w:val="single" w:sz="4" w:space="0" w:color="auto"/>
              <w:left w:val="nil"/>
              <w:bottom w:val="single" w:sz="4" w:space="0" w:color="auto"/>
              <w:right w:val="single" w:sz="4" w:space="0" w:color="auto"/>
            </w:tcBorders>
            <w:textDirection w:val="btLr"/>
          </w:tcPr>
          <w:p w14:paraId="575BAA58" w14:textId="77777777" w:rsidR="00E010F1" w:rsidRPr="00547EC7" w:rsidRDefault="00E010F1" w:rsidP="00E010F1">
            <w:pPr>
              <w:pStyle w:val="TABLEBODY"/>
              <w:ind w:left="113" w:right="113"/>
              <w:rPr>
                <w:sz w:val="18"/>
                <w:szCs w:val="18"/>
              </w:rPr>
            </w:pPr>
            <w:r w:rsidRPr="00547EC7">
              <w:rPr>
                <w:sz w:val="18"/>
                <w:szCs w:val="18"/>
              </w:rPr>
              <w:t>specificity</w:t>
            </w:r>
          </w:p>
        </w:tc>
        <w:tc>
          <w:tcPr>
            <w:tcW w:w="993" w:type="dxa"/>
            <w:tcBorders>
              <w:top w:val="single" w:sz="4" w:space="0" w:color="auto"/>
              <w:left w:val="single" w:sz="4" w:space="0" w:color="auto"/>
              <w:bottom w:val="single" w:sz="4" w:space="0" w:color="auto"/>
              <w:right w:val="single" w:sz="4" w:space="0" w:color="auto"/>
            </w:tcBorders>
          </w:tcPr>
          <w:p w14:paraId="72A2D120" w14:textId="77777777" w:rsidR="00E010F1" w:rsidRPr="00547EC7" w:rsidRDefault="00E010F1" w:rsidP="00E010F1">
            <w:pPr>
              <w:pStyle w:val="TABLEBODY"/>
              <w:rPr>
                <w:sz w:val="18"/>
                <w:szCs w:val="18"/>
              </w:rPr>
            </w:pPr>
            <w:r w:rsidRPr="00547EC7">
              <w:rPr>
                <w:sz w:val="18"/>
                <w:szCs w:val="18"/>
              </w:rPr>
              <w:t>2</w:t>
            </w:r>
          </w:p>
        </w:tc>
        <w:tc>
          <w:tcPr>
            <w:tcW w:w="1134" w:type="dxa"/>
            <w:tcBorders>
              <w:top w:val="single" w:sz="4" w:space="0" w:color="auto"/>
              <w:left w:val="single" w:sz="4" w:space="0" w:color="auto"/>
              <w:bottom w:val="single" w:sz="4" w:space="0" w:color="auto"/>
              <w:right w:val="single" w:sz="4" w:space="0" w:color="auto"/>
            </w:tcBorders>
          </w:tcPr>
          <w:p w14:paraId="6B3DACB0" w14:textId="77777777" w:rsidR="00E010F1" w:rsidRPr="00547EC7" w:rsidRDefault="00E010F1" w:rsidP="00E010F1">
            <w:pPr>
              <w:pStyle w:val="TABLEBODY"/>
              <w:rPr>
                <w:sz w:val="18"/>
                <w:szCs w:val="18"/>
              </w:rPr>
            </w:pPr>
            <w:r w:rsidRPr="00547EC7">
              <w:rPr>
                <w:sz w:val="18"/>
                <w:szCs w:val="18"/>
              </w:rPr>
              <w:t>4</w:t>
            </w:r>
          </w:p>
        </w:tc>
        <w:tc>
          <w:tcPr>
            <w:tcW w:w="1417" w:type="dxa"/>
            <w:tcBorders>
              <w:top w:val="single" w:sz="4" w:space="0" w:color="auto"/>
              <w:left w:val="single" w:sz="4" w:space="0" w:color="auto"/>
              <w:bottom w:val="single" w:sz="4" w:space="0" w:color="auto"/>
              <w:right w:val="single" w:sz="4" w:space="0" w:color="auto"/>
            </w:tcBorders>
          </w:tcPr>
          <w:p w14:paraId="3816C3B7" w14:textId="77777777" w:rsidR="00E010F1" w:rsidRPr="00547EC7" w:rsidRDefault="00E010F1" w:rsidP="00E010F1">
            <w:pPr>
              <w:pStyle w:val="TABLEBODY"/>
              <w:rPr>
                <w:sz w:val="18"/>
                <w:szCs w:val="18"/>
              </w:rPr>
            </w:pPr>
            <w:r w:rsidRPr="00547EC7">
              <w:rPr>
                <w:sz w:val="18"/>
                <w:szCs w:val="18"/>
              </w:rPr>
              <w:t>10</w:t>
            </w:r>
          </w:p>
        </w:tc>
        <w:tc>
          <w:tcPr>
            <w:tcW w:w="1276" w:type="dxa"/>
            <w:tcBorders>
              <w:top w:val="single" w:sz="4" w:space="0" w:color="auto"/>
              <w:left w:val="single" w:sz="4" w:space="0" w:color="auto"/>
              <w:bottom w:val="single" w:sz="4" w:space="0" w:color="auto"/>
              <w:right w:val="nil"/>
            </w:tcBorders>
          </w:tcPr>
          <w:p w14:paraId="5C5F0CFC" w14:textId="77777777" w:rsidR="00E010F1" w:rsidRPr="00547EC7" w:rsidRDefault="00E010F1" w:rsidP="00E010F1">
            <w:pPr>
              <w:pStyle w:val="TABLEBODY"/>
              <w:rPr>
                <w:sz w:val="18"/>
                <w:szCs w:val="18"/>
              </w:rPr>
            </w:pPr>
            <w:r w:rsidRPr="00547EC7">
              <w:rPr>
                <w:sz w:val="18"/>
                <w:szCs w:val="18"/>
              </w:rPr>
              <w:t>10</w:t>
            </w:r>
          </w:p>
        </w:tc>
        <w:tc>
          <w:tcPr>
            <w:tcW w:w="1137" w:type="dxa"/>
            <w:tcBorders>
              <w:top w:val="single" w:sz="4" w:space="0" w:color="auto"/>
              <w:left w:val="single" w:sz="4" w:space="0" w:color="auto"/>
              <w:bottom w:val="single" w:sz="4" w:space="0" w:color="auto"/>
              <w:right w:val="nil"/>
            </w:tcBorders>
          </w:tcPr>
          <w:p w14:paraId="458200A7" w14:textId="77777777" w:rsidR="00E010F1" w:rsidRPr="00547EC7" w:rsidRDefault="00E010F1" w:rsidP="00E010F1">
            <w:pPr>
              <w:pStyle w:val="TABLEBODY"/>
              <w:rPr>
                <w:sz w:val="18"/>
                <w:szCs w:val="18"/>
              </w:rPr>
            </w:pPr>
            <w:r w:rsidRPr="00547EC7">
              <w:rPr>
                <w:sz w:val="18"/>
                <w:szCs w:val="18"/>
              </w:rPr>
              <w:t>7</w:t>
            </w:r>
          </w:p>
        </w:tc>
      </w:tr>
    </w:tbl>
    <w:p w14:paraId="53995850" w14:textId="2978554C" w:rsidR="00E010F1" w:rsidRPr="00547EC7" w:rsidRDefault="00E010F1" w:rsidP="00013069">
      <w:pPr>
        <w:pStyle w:val="TEXTINDENT"/>
        <w:ind w:firstLine="0"/>
        <w:rPr>
          <w:lang w:val="en-GB"/>
        </w:rPr>
      </w:pPr>
      <w:r w:rsidRPr="00547EC7">
        <w:rPr>
          <w:sz w:val="18"/>
          <w:szCs w:val="18"/>
          <w:lang w:val="en-GB"/>
        </w:rPr>
        <w:t xml:space="preserve"> </w:t>
      </w:r>
      <w:r w:rsidRPr="00547EC7">
        <w:rPr>
          <w:lang w:val="en-GB"/>
        </w:rPr>
        <w:t>The first is that language relating to responsibility (‘ensuring’) is weighted towards the doctoral researcher and supervisor:</w:t>
      </w:r>
    </w:p>
    <w:p w14:paraId="3CDDE395" w14:textId="77777777" w:rsidR="00E010F1" w:rsidRPr="00547EC7" w:rsidRDefault="00E010F1" w:rsidP="00E010F1">
      <w:pPr>
        <w:pStyle w:val="BLOCKQUOTE"/>
        <w:rPr>
          <w:lang w:val="en-GB"/>
        </w:rPr>
      </w:pPr>
      <w:r w:rsidRPr="00547EC7">
        <w:rPr>
          <w:lang w:val="en-GB"/>
        </w:rPr>
        <w:t>…the supervisors and other relevant staff members ensure that research students receive sufficient support… (ed_01)</w:t>
      </w:r>
    </w:p>
    <w:p w14:paraId="2770A1E6" w14:textId="77777777" w:rsidR="00E010F1" w:rsidRPr="00547EC7" w:rsidRDefault="00E010F1" w:rsidP="00E010F1">
      <w:pPr>
        <w:pStyle w:val="BLOCKQUOTE"/>
        <w:rPr>
          <w:lang w:val="en-GB"/>
        </w:rPr>
      </w:pPr>
      <w:r w:rsidRPr="00547EC7">
        <w:rPr>
          <w:lang w:val="en-GB"/>
        </w:rPr>
        <w:t>To ensure consistency of supervision, supervisors working in industry or professional practice are made aware of and enabled to… (ed_21)</w:t>
      </w:r>
    </w:p>
    <w:p w14:paraId="26FFB512" w14:textId="77777777" w:rsidR="00E010F1" w:rsidRPr="00547EC7" w:rsidRDefault="00E010F1" w:rsidP="00E010F1">
      <w:pPr>
        <w:pStyle w:val="TEXTINDENT"/>
        <w:rPr>
          <w:lang w:val="en-GB"/>
        </w:rPr>
      </w:pPr>
      <w:r w:rsidRPr="00547EC7">
        <w:rPr>
          <w:lang w:val="en-GB"/>
        </w:rPr>
        <w:t xml:space="preserve">The same is true of terms of ‘inclusion’ or ‘within’, namely, when entities are grouped together and subject to </w:t>
      </w:r>
      <w:proofErr w:type="gramStart"/>
      <w:r w:rsidRPr="00547EC7">
        <w:rPr>
          <w:lang w:val="en-GB"/>
        </w:rPr>
        <w:t>particular processes</w:t>
      </w:r>
      <w:proofErr w:type="gramEnd"/>
      <w:r w:rsidRPr="00547EC7">
        <w:rPr>
          <w:lang w:val="en-GB"/>
        </w:rPr>
        <w:t>:</w:t>
      </w:r>
    </w:p>
    <w:p w14:paraId="3AD23613" w14:textId="77777777" w:rsidR="00E010F1" w:rsidRPr="00547EC7" w:rsidRDefault="00E010F1" w:rsidP="00E010F1">
      <w:pPr>
        <w:pStyle w:val="BLOCKQUOTE"/>
        <w:rPr>
          <w:lang w:val="en-GB"/>
        </w:rPr>
      </w:pPr>
      <w:r w:rsidRPr="00547EC7">
        <w:rPr>
          <w:lang w:val="en-GB"/>
        </w:rPr>
        <w:t>Effective induction programme, including for international students (ed_05)</w:t>
      </w:r>
    </w:p>
    <w:p w14:paraId="2D715C22" w14:textId="77777777" w:rsidR="00E010F1" w:rsidRPr="00547EC7" w:rsidRDefault="00E010F1" w:rsidP="00E010F1">
      <w:pPr>
        <w:pStyle w:val="TEXTINDENT"/>
        <w:rPr>
          <w:lang w:val="en-GB"/>
        </w:rPr>
      </w:pPr>
      <w:r w:rsidRPr="00547EC7">
        <w:rPr>
          <w:lang w:val="en-GB"/>
        </w:rPr>
        <w:t>Information requirements are connected to students, and needs relate mostly to postgraduate researchers, students and supervisors. Significantly, language related to defined roles occurs more frequently for supervisors:</w:t>
      </w:r>
    </w:p>
    <w:p w14:paraId="70E84709" w14:textId="77777777" w:rsidR="00E010F1" w:rsidRPr="00547EC7" w:rsidRDefault="00E010F1" w:rsidP="00E010F1">
      <w:pPr>
        <w:pStyle w:val="BLOCKQUOTE"/>
        <w:rPr>
          <w:lang w:val="en-GB"/>
        </w:rPr>
      </w:pPr>
      <w:r w:rsidRPr="00547EC7">
        <w:rPr>
          <w:lang w:val="en-GB"/>
        </w:rPr>
        <w:t>How and where are the roles and responsibilities of research students and supervisors made clear and accessible? (ed_01)</w:t>
      </w:r>
    </w:p>
    <w:p w14:paraId="19FA1770" w14:textId="77777777" w:rsidR="00E010F1" w:rsidRPr="00547EC7" w:rsidRDefault="00E010F1" w:rsidP="00E010F1">
      <w:pPr>
        <w:pStyle w:val="BLOCKQUOTE"/>
        <w:rPr>
          <w:lang w:val="en-GB"/>
        </w:rPr>
      </w:pPr>
      <w:r w:rsidRPr="00547EC7">
        <w:rPr>
          <w:lang w:val="en-GB"/>
        </w:rPr>
        <w:t>…set of roles involved in modern research supervisors. (ed_03)</w:t>
      </w:r>
    </w:p>
    <w:p w14:paraId="2A61DE35" w14:textId="77777777" w:rsidR="00E010F1" w:rsidRPr="00547EC7" w:rsidRDefault="00E010F1" w:rsidP="00E010F1">
      <w:pPr>
        <w:pStyle w:val="TEXTINDENT"/>
        <w:rPr>
          <w:lang w:val="en-GB"/>
        </w:rPr>
      </w:pPr>
      <w:r w:rsidRPr="00547EC7">
        <w:rPr>
          <w:lang w:val="en-GB"/>
        </w:rPr>
        <w:lastRenderedPageBreak/>
        <w:t>Supervisors also tend to mediate the institution’s responsibilities, rather than hold them in full, notably if the term ‘provider’ is included in this matrix query.</w:t>
      </w:r>
    </w:p>
    <w:p w14:paraId="07966BC7" w14:textId="77777777" w:rsidR="00E010F1" w:rsidRPr="00547EC7" w:rsidRDefault="00E010F1" w:rsidP="00E010F1">
      <w:pPr>
        <w:pStyle w:val="HEADING1Numbered"/>
        <w:rPr>
          <w:lang w:val="en-GB"/>
        </w:rPr>
      </w:pPr>
      <w:bookmarkStart w:id="19" w:name="Discussion"/>
      <w:r w:rsidRPr="00547EC7">
        <w:rPr>
          <w:lang w:val="en-GB"/>
        </w:rPr>
        <w:t>Discussion</w:t>
      </w:r>
      <w:bookmarkEnd w:id="19"/>
    </w:p>
    <w:p w14:paraId="30B16093" w14:textId="77777777" w:rsidR="00E010F1" w:rsidRPr="00547EC7" w:rsidRDefault="00E010F1" w:rsidP="00E010F1">
      <w:pPr>
        <w:pStyle w:val="HEADING2Numbered"/>
        <w:rPr>
          <w:lang w:val="en-GB"/>
        </w:rPr>
      </w:pPr>
      <w:bookmarkStart w:id="20" w:name="Constructions_Of_The_Doctoral_"/>
      <w:r w:rsidRPr="00547EC7">
        <w:rPr>
          <w:lang w:val="en-GB"/>
        </w:rPr>
        <w:t xml:space="preserve">Constructions Of </w:t>
      </w:r>
      <w:proofErr w:type="gramStart"/>
      <w:r w:rsidRPr="00547EC7">
        <w:rPr>
          <w:lang w:val="en-GB"/>
        </w:rPr>
        <w:t>The</w:t>
      </w:r>
      <w:proofErr w:type="gramEnd"/>
      <w:r w:rsidRPr="00547EC7">
        <w:rPr>
          <w:lang w:val="en-GB"/>
        </w:rPr>
        <w:t xml:space="preserve"> Doctoral Process </w:t>
      </w:r>
      <w:bookmarkEnd w:id="20"/>
      <w:r w:rsidRPr="00547EC7">
        <w:rPr>
          <w:lang w:val="en-GB"/>
        </w:rPr>
        <w:t>and Researcher</w:t>
      </w:r>
    </w:p>
    <w:p w14:paraId="1FD2B27C" w14:textId="77777777" w:rsidR="00E010F1" w:rsidRPr="00547EC7" w:rsidRDefault="00E010F1" w:rsidP="00E010F1">
      <w:pPr>
        <w:pStyle w:val="TEXTINDENT"/>
        <w:rPr>
          <w:lang w:val="en-GB"/>
        </w:rPr>
      </w:pPr>
      <w:r w:rsidRPr="00547EC7">
        <w:rPr>
          <w:lang w:eastAsia="sv-SE"/>
        </w:rPr>
        <w:t>The language of national and institutional policy documents and reports construct the doctoral process and doctoral candidate in ways that foreground the educational system and background themes that are existential</w:t>
      </w:r>
      <w:r w:rsidRPr="00547EC7">
        <w:rPr>
          <w:lang w:val="en-GB"/>
        </w:rPr>
        <w:t>. National policy and practice texts are concerned with the workplace context, working conditions, career trajectory, and processes of the doctorate itself. The genre matrix shows that doctoral researchers and supervisors are typically presented in the third person, rather than being addressed directly in the second person or providing insights in the first person. This suggests a discourse of agents and patients as entities interacting within a system, rather than communicative subjects.</w:t>
      </w:r>
    </w:p>
    <w:p w14:paraId="7115F2AB" w14:textId="77777777" w:rsidR="00E010F1" w:rsidRPr="00547EC7" w:rsidRDefault="00E010F1" w:rsidP="00E010F1">
      <w:pPr>
        <w:pStyle w:val="TEXTINDENT"/>
        <w:rPr>
          <w:lang w:val="en-GB"/>
        </w:rPr>
      </w:pPr>
      <w:r w:rsidRPr="00547EC7">
        <w:rPr>
          <w:lang w:val="en-GB"/>
        </w:rPr>
        <w:t xml:space="preserve">There are also three distinct terms in operation: ‘candidate’, ‘student’ and ‘postgraduate researcher’. Whereas ‘student’ and to a lesser degree, ‘candidate’ are more prominent across all policy and practice texts, the designation ‘postgraduate researcher’ is used comparatively </w:t>
      </w:r>
      <w:proofErr w:type="gramStart"/>
      <w:r w:rsidRPr="00547EC7">
        <w:rPr>
          <w:lang w:val="en-GB"/>
        </w:rPr>
        <w:t>rarely, and</w:t>
      </w:r>
      <w:proofErr w:type="gramEnd"/>
      <w:r w:rsidRPr="00547EC7">
        <w:rPr>
          <w:lang w:val="en-GB"/>
        </w:rPr>
        <w:t xml:space="preserve"> is omitted completely at institutional level. This may be intended to reinforce a distinction between staff and students as two different entities.</w:t>
      </w:r>
    </w:p>
    <w:p w14:paraId="720B9017" w14:textId="77777777" w:rsidR="00E010F1" w:rsidRPr="00547EC7" w:rsidRDefault="00E010F1" w:rsidP="00E010F1">
      <w:pPr>
        <w:pStyle w:val="TEXTINDENT"/>
        <w:rPr>
          <w:lang w:val="en-GB"/>
        </w:rPr>
      </w:pPr>
      <w:r w:rsidRPr="00547EC7">
        <w:rPr>
          <w:lang w:val="en-GB"/>
        </w:rPr>
        <w:t>Although regulatory language is common across the dataset, it is significant that ‘obligations’ are less prominent than might be expected given the concerns surrounding managerialism. Language concerning ‘permission’ features more frequently, which suggests that both supervisors and students can exercise choice, but subject to protocol.</w:t>
      </w:r>
    </w:p>
    <w:p w14:paraId="40A3B9DE" w14:textId="77777777" w:rsidR="00E010F1" w:rsidRPr="00547EC7" w:rsidRDefault="00E010F1" w:rsidP="00E010F1">
      <w:pPr>
        <w:pStyle w:val="TEXTINDENT"/>
        <w:rPr>
          <w:lang w:val="en-GB"/>
        </w:rPr>
      </w:pPr>
      <w:r w:rsidRPr="00547EC7">
        <w:rPr>
          <w:lang w:val="en-GB"/>
        </w:rPr>
        <w:t xml:space="preserve">The discussion of ‘health’ - primarily in the form of mental health </w:t>
      </w:r>
      <w:proofErr w:type="gramStart"/>
      <w:r w:rsidRPr="00547EC7">
        <w:rPr>
          <w:lang w:val="en-GB"/>
        </w:rPr>
        <w:t>-  is</w:t>
      </w:r>
      <w:proofErr w:type="gramEnd"/>
      <w:r w:rsidRPr="00547EC7">
        <w:rPr>
          <w:lang w:val="en-GB"/>
        </w:rPr>
        <w:t xml:space="preserve"> less frequent within institutional documentation. Overall, most documents in the dataset address uncertainty to some extent. They focus on external influences on the doctoral project or researcher, sanctions applied to the individual, speculation on the level of awareness that the researcher might possess, and solutions to address their perceived deficit. Each of these cases can be seen as </w:t>
      </w:r>
      <w:proofErr w:type="gramStart"/>
      <w:r w:rsidRPr="00547EC7">
        <w:rPr>
          <w:lang w:val="en-GB"/>
        </w:rPr>
        <w:t>problem-oriented</w:t>
      </w:r>
      <w:proofErr w:type="gramEnd"/>
      <w:r w:rsidRPr="00547EC7">
        <w:rPr>
          <w:lang w:val="en-GB"/>
        </w:rPr>
        <w:t>.</w:t>
      </w:r>
    </w:p>
    <w:p w14:paraId="78D7C6B4" w14:textId="77777777" w:rsidR="00E010F1" w:rsidRPr="00547EC7" w:rsidRDefault="00E010F1" w:rsidP="00E010F1">
      <w:pPr>
        <w:pStyle w:val="HEADING2Numbered"/>
        <w:rPr>
          <w:lang w:val="en-GB"/>
        </w:rPr>
      </w:pPr>
      <w:bookmarkStart w:id="21" w:name="Doctoral_Constructs_In_Continu"/>
      <w:r w:rsidRPr="00547EC7">
        <w:rPr>
          <w:lang w:val="en-GB"/>
        </w:rPr>
        <w:t xml:space="preserve">Doctoral Constructs </w:t>
      </w:r>
      <w:proofErr w:type="gramStart"/>
      <w:r w:rsidRPr="00547EC7">
        <w:rPr>
          <w:lang w:val="en-GB"/>
        </w:rPr>
        <w:t>In</w:t>
      </w:r>
      <w:proofErr w:type="gramEnd"/>
      <w:r w:rsidRPr="00547EC7">
        <w:rPr>
          <w:lang w:val="en-GB"/>
        </w:rPr>
        <w:t xml:space="preserve"> Continuing Professional Development</w:t>
      </w:r>
      <w:bookmarkEnd w:id="21"/>
    </w:p>
    <w:p w14:paraId="08EED2C4" w14:textId="079EC657" w:rsidR="00E010F1" w:rsidRPr="00547EC7" w:rsidRDefault="00E010F1" w:rsidP="00E010F1">
      <w:pPr>
        <w:pStyle w:val="TEXTINDENT"/>
        <w:rPr>
          <w:lang w:val="en-GB"/>
        </w:rPr>
      </w:pPr>
      <w:r w:rsidRPr="00547EC7">
        <w:rPr>
          <w:lang w:val="en-GB"/>
        </w:rPr>
        <w:t xml:space="preserve">How these doctoral constructs operate within the context of supervisor CPD demonstrates that pedagogy in national practice and institutional </w:t>
      </w:r>
      <w:r w:rsidRPr="00547EC7">
        <w:rPr>
          <w:lang w:val="en-GB"/>
        </w:rPr>
        <w:lastRenderedPageBreak/>
        <w:t xml:space="preserve">practice </w:t>
      </w:r>
      <w:proofErr w:type="gramStart"/>
      <w:r w:rsidRPr="00547EC7">
        <w:rPr>
          <w:lang w:val="en-GB"/>
        </w:rPr>
        <w:t>are</w:t>
      </w:r>
      <w:proofErr w:type="gramEnd"/>
      <w:r w:rsidRPr="00547EC7">
        <w:rPr>
          <w:lang w:val="en-GB"/>
        </w:rPr>
        <w:t xml:space="preserve"> closely aligned in terms of coverage, although both at a lower level than national policy. Across the dataset, however, the interaction of doctoral </w:t>
      </w:r>
      <w:r w:rsidR="000B54F4" w:rsidRPr="00547EC7">
        <w:rPr>
          <w:lang w:val="en-GB"/>
        </w:rPr>
        <w:t>researchers</w:t>
      </w:r>
      <w:r w:rsidRPr="00547EC7">
        <w:rPr>
          <w:lang w:val="en-GB"/>
        </w:rPr>
        <w:t xml:space="preserve"> and supervisors is generally functional, comprising contact, relationship, agreement, responsibility, awareness and communication. Significantly, this is characterised by transmission rather than dialogue. When considering the degree of specificity in discussing the different agents/patients within the university, there is more attention surrounding role definition for supervisors than for doctoral researchers. Supervisors also tend to mediate the institution’s responsibilities rather than hold them outright.</w:t>
      </w:r>
    </w:p>
    <w:p w14:paraId="3C577D7C" w14:textId="77777777" w:rsidR="00E010F1" w:rsidRPr="00547EC7" w:rsidRDefault="00E010F1" w:rsidP="00E010F1">
      <w:pPr>
        <w:pStyle w:val="HEADING2Numbered"/>
        <w:rPr>
          <w:lang w:val="en-GB"/>
        </w:rPr>
      </w:pPr>
      <w:bookmarkStart w:id="22" w:name="Pedagogical_Affordances_And_Co"/>
      <w:r w:rsidRPr="00547EC7">
        <w:rPr>
          <w:lang w:val="en-GB"/>
        </w:rPr>
        <w:t xml:space="preserve">Pedagogical Affordances </w:t>
      </w:r>
      <w:proofErr w:type="gramStart"/>
      <w:r w:rsidRPr="00547EC7">
        <w:rPr>
          <w:lang w:val="en-GB"/>
        </w:rPr>
        <w:t>And</w:t>
      </w:r>
      <w:proofErr w:type="gramEnd"/>
      <w:r w:rsidRPr="00547EC7">
        <w:rPr>
          <w:lang w:val="en-GB"/>
        </w:rPr>
        <w:t xml:space="preserve"> Constraints</w:t>
      </w:r>
      <w:bookmarkEnd w:id="22"/>
    </w:p>
    <w:p w14:paraId="0375D318" w14:textId="77777777" w:rsidR="00E010F1" w:rsidRPr="00547EC7" w:rsidRDefault="00E010F1" w:rsidP="00E010F1">
      <w:pPr>
        <w:pStyle w:val="TEXTINDENT"/>
        <w:rPr>
          <w:lang w:val="en-GB"/>
        </w:rPr>
      </w:pPr>
      <w:r w:rsidRPr="00547EC7">
        <w:rPr>
          <w:lang w:val="en-GB"/>
        </w:rPr>
        <w:t>Although the texts in this dataset belong to different genres, perhaps the most significant indicator from CDA concerns those themes that are foregrounded at the expense of others. This may help academic development teams to understand why CPD is designed in certain ways.</w:t>
      </w:r>
    </w:p>
    <w:p w14:paraId="5A2FF96A" w14:textId="77777777" w:rsidR="00E010F1" w:rsidRPr="00547EC7" w:rsidRDefault="00E010F1" w:rsidP="00E010F1">
      <w:pPr>
        <w:pStyle w:val="TEXTINDENT"/>
        <w:rPr>
          <w:lang w:val="en-GB"/>
        </w:rPr>
      </w:pPr>
      <w:r w:rsidRPr="00547EC7">
        <w:rPr>
          <w:lang w:val="en-GB"/>
        </w:rPr>
        <w:t xml:space="preserve">The last decade of national and institutional policy and practice documentation remains focused on systemic issues and procedures, and these have also clearly influenced the scenario-based activities used in workshops with supervisors at the University of East Anglia. Although these concern people, they do so within a framework that foregrounds and exemplifies </w:t>
      </w:r>
      <w:proofErr w:type="gramStart"/>
      <w:r w:rsidRPr="00547EC7">
        <w:rPr>
          <w:lang w:val="en-GB"/>
        </w:rPr>
        <w:t>particular procedures</w:t>
      </w:r>
      <w:proofErr w:type="gramEnd"/>
      <w:r w:rsidRPr="00547EC7">
        <w:rPr>
          <w:lang w:val="en-GB"/>
        </w:rPr>
        <w:t>, such as failing to prepare probationary documentation, addressing problems of student progress in the event of serious illness, social isolation, frustrated access to resources, and a lack of academic support and guidance.</w:t>
      </w:r>
    </w:p>
    <w:p w14:paraId="7D802C19" w14:textId="77777777" w:rsidR="00E010F1" w:rsidRPr="00547EC7" w:rsidRDefault="00E010F1" w:rsidP="00E010F1">
      <w:pPr>
        <w:pStyle w:val="TEXTINDENT"/>
        <w:rPr>
          <w:lang w:val="en-GB"/>
        </w:rPr>
      </w:pPr>
      <w:r w:rsidRPr="00547EC7">
        <w:rPr>
          <w:lang w:val="en-GB"/>
        </w:rPr>
        <w:t>These scenarios develop supervisors’ attention to the ‘facts’ of a reported case to encourage experiential learning. However, they do not reflect accurately the underlying themes highlighted by this study. For example, ‘obstacles’ across the dataset are less prominent in the policy and practice texts than might be assumed.</w:t>
      </w:r>
    </w:p>
    <w:p w14:paraId="6B100C67" w14:textId="77777777" w:rsidR="00E010F1" w:rsidRPr="00547EC7" w:rsidRDefault="00E010F1" w:rsidP="00E010F1">
      <w:pPr>
        <w:pStyle w:val="HEADING2Numbered"/>
        <w:rPr>
          <w:lang w:val="en-GB"/>
        </w:rPr>
      </w:pPr>
      <w:bookmarkStart w:id="23" w:name="A_PersonCentred_Discourse"/>
      <w:r w:rsidRPr="00547EC7">
        <w:rPr>
          <w:lang w:val="en-GB"/>
        </w:rPr>
        <w:t>A Person-Centred Discourse</w:t>
      </w:r>
      <w:bookmarkEnd w:id="23"/>
    </w:p>
    <w:p w14:paraId="61B8CC25" w14:textId="77777777" w:rsidR="00E010F1" w:rsidRDefault="00E010F1" w:rsidP="00E010F1">
      <w:pPr>
        <w:pStyle w:val="TEXTINDENT"/>
        <w:rPr>
          <w:lang w:val="en-GB"/>
        </w:rPr>
      </w:pPr>
      <w:r w:rsidRPr="00547EC7">
        <w:rPr>
          <w:lang w:val="en-GB"/>
        </w:rPr>
        <w:t>The language of policy and practice changes the perception of what is important in doctoral education. By removing the CDA coding of rhetoric and focusing on the remaining themes, the findings of this study can be mapped to the DLEM quadrants proportionally based on their coding frequency.</w:t>
      </w:r>
    </w:p>
    <w:p w14:paraId="676E7762" w14:textId="77777777" w:rsidR="006147B0" w:rsidRDefault="006147B0" w:rsidP="00E010F1">
      <w:pPr>
        <w:pStyle w:val="TEXTINDENT"/>
        <w:rPr>
          <w:lang w:val="en-GB"/>
        </w:rPr>
      </w:pPr>
    </w:p>
    <w:p w14:paraId="1C29D0C1" w14:textId="77777777" w:rsidR="006147B0" w:rsidRDefault="006147B0" w:rsidP="00E010F1">
      <w:pPr>
        <w:pStyle w:val="TEXTINDENT"/>
        <w:rPr>
          <w:lang w:val="en-GB"/>
        </w:rPr>
      </w:pPr>
    </w:p>
    <w:p w14:paraId="611A413C" w14:textId="77777777" w:rsidR="006147B0" w:rsidRPr="00547EC7" w:rsidRDefault="006147B0" w:rsidP="00E010F1">
      <w:pPr>
        <w:pStyle w:val="TEXTINDENT"/>
        <w:rPr>
          <w:lang w:val="en-GB"/>
        </w:rPr>
      </w:pPr>
    </w:p>
    <w:p w14:paraId="08D474B1" w14:textId="77777777" w:rsidR="00E010F1" w:rsidRPr="00547EC7" w:rsidRDefault="00E010F1" w:rsidP="00E010F1">
      <w:pPr>
        <w:pStyle w:val="TEXTINDENT"/>
        <w:rPr>
          <w:lang w:val="en-GB"/>
        </w:rPr>
      </w:pPr>
    </w:p>
    <w:p w14:paraId="45AC336B" w14:textId="086D104A" w:rsidR="00E010F1" w:rsidRPr="00547EC7" w:rsidRDefault="00E010F1" w:rsidP="00E010F1">
      <w:pPr>
        <w:pStyle w:val="TEXTINDENT"/>
        <w:rPr>
          <w:lang w:val="en-GB"/>
        </w:rPr>
      </w:pPr>
      <w:r w:rsidRPr="00547EC7">
        <w:rPr>
          <w:noProof/>
          <w:lang w:val="en-GB" w:eastAsia="en-GB"/>
        </w:rPr>
        <w:lastRenderedPageBreak/>
        <w:drawing>
          <wp:anchor distT="0" distB="0" distL="114300" distR="114300" simplePos="0" relativeHeight="251667456" behindDoc="0" locked="0" layoutInCell="1" allowOverlap="1" wp14:anchorId="44BB3C74" wp14:editId="0B7A5AB2">
            <wp:simplePos x="0" y="0"/>
            <wp:positionH relativeFrom="column">
              <wp:posOffset>7621</wp:posOffset>
            </wp:positionH>
            <wp:positionV relativeFrom="paragraph">
              <wp:posOffset>173356</wp:posOffset>
            </wp:positionV>
            <wp:extent cx="3575050" cy="2367368"/>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941" cy="2384513"/>
                    </a:xfrm>
                    <a:prstGeom prst="rect">
                      <a:avLst/>
                    </a:prstGeom>
                    <a:noFill/>
                  </pic:spPr>
                </pic:pic>
              </a:graphicData>
            </a:graphic>
            <wp14:sizeRelH relativeFrom="margin">
              <wp14:pctWidth>0</wp14:pctWidth>
            </wp14:sizeRelH>
            <wp14:sizeRelV relativeFrom="margin">
              <wp14:pctHeight>0</wp14:pctHeight>
            </wp14:sizeRelV>
          </wp:anchor>
        </w:drawing>
      </w:r>
    </w:p>
    <w:p w14:paraId="7A3D64FD" w14:textId="77777777" w:rsidR="00E010F1" w:rsidRPr="00547EC7" w:rsidRDefault="00E010F1" w:rsidP="00E010F1">
      <w:pPr>
        <w:pStyle w:val="TEXTINDENT"/>
        <w:rPr>
          <w:lang w:val="en-GB"/>
        </w:rPr>
      </w:pPr>
    </w:p>
    <w:p w14:paraId="205824F0" w14:textId="77777777" w:rsidR="00E010F1" w:rsidRPr="00547EC7" w:rsidRDefault="00E010F1" w:rsidP="00E010F1">
      <w:pPr>
        <w:pStyle w:val="TEXTINDENT"/>
        <w:rPr>
          <w:lang w:val="en-GB"/>
        </w:rPr>
      </w:pPr>
    </w:p>
    <w:p w14:paraId="708DDBBC" w14:textId="77777777" w:rsidR="00E010F1" w:rsidRPr="00547EC7" w:rsidRDefault="00E010F1" w:rsidP="00E010F1">
      <w:pPr>
        <w:pStyle w:val="TEXTINDENT"/>
        <w:rPr>
          <w:lang w:val="en-GB"/>
        </w:rPr>
      </w:pPr>
    </w:p>
    <w:p w14:paraId="0D339F41" w14:textId="77777777" w:rsidR="00E010F1" w:rsidRPr="00547EC7" w:rsidRDefault="00E010F1" w:rsidP="00E010F1">
      <w:pPr>
        <w:pStyle w:val="TEXTINDENT"/>
        <w:rPr>
          <w:lang w:val="en-GB"/>
        </w:rPr>
      </w:pPr>
    </w:p>
    <w:p w14:paraId="10714015" w14:textId="77777777" w:rsidR="00E010F1" w:rsidRPr="00547EC7" w:rsidRDefault="00E010F1" w:rsidP="00E010F1">
      <w:pPr>
        <w:pStyle w:val="TEXTINDENT"/>
        <w:rPr>
          <w:lang w:val="en-GB"/>
        </w:rPr>
      </w:pPr>
    </w:p>
    <w:p w14:paraId="63B41355" w14:textId="77777777" w:rsidR="00E010F1" w:rsidRPr="00547EC7" w:rsidRDefault="00E010F1" w:rsidP="00E010F1">
      <w:pPr>
        <w:pStyle w:val="TEXTINDENT"/>
        <w:rPr>
          <w:lang w:val="en-GB"/>
        </w:rPr>
      </w:pPr>
    </w:p>
    <w:p w14:paraId="0E569C71" w14:textId="77777777" w:rsidR="00E010F1" w:rsidRPr="00547EC7" w:rsidRDefault="00E010F1" w:rsidP="00E010F1">
      <w:pPr>
        <w:pStyle w:val="TEXTINDENT"/>
        <w:rPr>
          <w:lang w:val="en-GB"/>
        </w:rPr>
      </w:pPr>
    </w:p>
    <w:p w14:paraId="2BBC587E" w14:textId="77777777" w:rsidR="00E010F1" w:rsidRPr="00547EC7" w:rsidRDefault="00E010F1" w:rsidP="00E010F1">
      <w:pPr>
        <w:pStyle w:val="TEXTINDENT"/>
        <w:rPr>
          <w:lang w:val="en-GB"/>
        </w:rPr>
      </w:pPr>
    </w:p>
    <w:p w14:paraId="739BB183" w14:textId="77777777" w:rsidR="00E010F1" w:rsidRPr="00547EC7" w:rsidRDefault="00E010F1" w:rsidP="00E010F1">
      <w:pPr>
        <w:pStyle w:val="TEXTINDENT"/>
        <w:rPr>
          <w:lang w:val="en-GB"/>
        </w:rPr>
      </w:pPr>
    </w:p>
    <w:p w14:paraId="36F5E354" w14:textId="77777777" w:rsidR="00E010F1" w:rsidRPr="00547EC7" w:rsidRDefault="00E010F1" w:rsidP="00E010F1">
      <w:pPr>
        <w:pStyle w:val="TEXTINDENT"/>
        <w:rPr>
          <w:lang w:val="en-GB"/>
        </w:rPr>
      </w:pPr>
    </w:p>
    <w:p w14:paraId="121EE75C" w14:textId="77777777" w:rsidR="00E010F1" w:rsidRPr="00547EC7" w:rsidRDefault="00E010F1" w:rsidP="00E010F1">
      <w:pPr>
        <w:pStyle w:val="TEXTINDENT"/>
        <w:rPr>
          <w:lang w:val="en-GB"/>
        </w:rPr>
      </w:pPr>
    </w:p>
    <w:p w14:paraId="469E5FBB" w14:textId="77777777" w:rsidR="00E010F1" w:rsidRPr="00547EC7" w:rsidRDefault="00E010F1" w:rsidP="00E010F1">
      <w:pPr>
        <w:pStyle w:val="TEXTINDENT"/>
        <w:rPr>
          <w:lang w:val="en-GB"/>
        </w:rPr>
      </w:pPr>
    </w:p>
    <w:p w14:paraId="44CB6253" w14:textId="77777777" w:rsidR="00E010F1" w:rsidRPr="00547EC7" w:rsidRDefault="00E010F1" w:rsidP="00E010F1">
      <w:pPr>
        <w:pStyle w:val="TEXTINDENT"/>
        <w:rPr>
          <w:lang w:val="en-GB"/>
        </w:rPr>
      </w:pPr>
    </w:p>
    <w:p w14:paraId="4987D861" w14:textId="77777777" w:rsidR="00E010F1" w:rsidRPr="00547EC7" w:rsidRDefault="00E010F1" w:rsidP="00E010F1">
      <w:pPr>
        <w:pStyle w:val="CAPTIONTEXT"/>
        <w:rPr>
          <w:rStyle w:val="CSSMALLCAPS"/>
        </w:rPr>
      </w:pPr>
    </w:p>
    <w:p w14:paraId="30B8F841" w14:textId="77777777" w:rsidR="00E010F1" w:rsidRPr="00547EC7" w:rsidRDefault="00E010F1" w:rsidP="00E010F1">
      <w:pPr>
        <w:pStyle w:val="CAPTIONTEXT"/>
      </w:pPr>
      <w:r w:rsidRPr="00547EC7">
        <w:rPr>
          <w:rStyle w:val="CSSMALLCAPS"/>
        </w:rPr>
        <w:t>figure 4</w:t>
      </w:r>
      <w:r w:rsidRPr="00547EC7">
        <w:tab/>
        <w:t>Modified Doctoral Learning Ecology Model.</w:t>
      </w:r>
    </w:p>
    <w:p w14:paraId="2063FC9D" w14:textId="77777777" w:rsidR="00E010F1" w:rsidRPr="00547EC7" w:rsidRDefault="00E010F1" w:rsidP="00E010F1">
      <w:pPr>
        <w:pStyle w:val="TEXTINDENT"/>
        <w:rPr>
          <w:lang w:val="en-GB"/>
        </w:rPr>
      </w:pPr>
      <w:r w:rsidRPr="00547EC7">
        <w:rPr>
          <w:lang w:val="en-GB"/>
        </w:rPr>
        <w:t>The modified DLEM shows that focus on the person is much more prominent (29% of all coded references). The largest remains the workplace (35%) - the educational environment - with disciplinary themes afforded least attention (13%). The implications of this analysis are twofold. Firstly, although the two domains most closely associated with managerialism (institution, workplace) account for over half of doctoral education discourse within the dataset, they do not preclude references to the person. Secondly, the disciplinary domain is discussed least frequently, which suggests that there is scope for supervisors to develop this area because of their role in the intellectual development of doctoral researchers.</w:t>
      </w:r>
    </w:p>
    <w:p w14:paraId="36DEE070" w14:textId="77777777" w:rsidR="00E010F1" w:rsidRPr="00547EC7" w:rsidRDefault="00E010F1" w:rsidP="00E010F1">
      <w:pPr>
        <w:pStyle w:val="TEXTINDENT"/>
        <w:rPr>
          <w:lang w:val="en-GB"/>
        </w:rPr>
      </w:pPr>
    </w:p>
    <w:p w14:paraId="1F54F484" w14:textId="77777777" w:rsidR="00E010F1" w:rsidRPr="00547EC7" w:rsidRDefault="00E010F1" w:rsidP="00E010F1">
      <w:pPr>
        <w:pStyle w:val="HEADING2Numbered"/>
        <w:rPr>
          <w:lang w:val="en-GB"/>
        </w:rPr>
      </w:pPr>
      <w:bookmarkStart w:id="24" w:name="Implications_for_Supervisor_CP"/>
      <w:r w:rsidRPr="00547EC7">
        <w:rPr>
          <w:lang w:val="en-GB"/>
        </w:rPr>
        <w:t>Implications for Supervisor CPD</w:t>
      </w:r>
      <w:bookmarkEnd w:id="24"/>
    </w:p>
    <w:p w14:paraId="19353EE7" w14:textId="77777777" w:rsidR="00E010F1" w:rsidRPr="00547EC7" w:rsidRDefault="00E010F1" w:rsidP="00E010F1">
      <w:pPr>
        <w:pStyle w:val="TEXTINDENT"/>
        <w:rPr>
          <w:lang w:val="en-GB"/>
        </w:rPr>
      </w:pPr>
      <w:r w:rsidRPr="00547EC7">
        <w:rPr>
          <w:lang w:val="en-GB"/>
        </w:rPr>
        <w:t xml:space="preserve">In the final part of this discussion, I consider some of the implications of placing the person at the centre of doctoral supervisor development discourse. Rather than focus on briefing supervisors on policy and </w:t>
      </w:r>
      <w:proofErr w:type="gramStart"/>
      <w:r w:rsidRPr="00547EC7">
        <w:rPr>
          <w:lang w:val="en-GB"/>
        </w:rPr>
        <w:t>procedures, and</w:t>
      </w:r>
      <w:proofErr w:type="gramEnd"/>
      <w:r w:rsidRPr="00547EC7">
        <w:rPr>
          <w:lang w:val="en-GB"/>
        </w:rPr>
        <w:t xml:space="preserve"> delivering workshop scenarios that are essentially problem-oriented, supervisor CPD can draw on five pedagogical practices to facilitate both alignment and deeper engagement with the disciplinary, workplace and institutional domains of the DLEM.</w:t>
      </w:r>
    </w:p>
    <w:p w14:paraId="2ABADA51" w14:textId="77777777" w:rsidR="00E010F1" w:rsidRDefault="00E010F1" w:rsidP="00E010F1">
      <w:pPr>
        <w:pStyle w:val="TEXTINDENT"/>
        <w:rPr>
          <w:lang w:val="en-GB"/>
        </w:rPr>
      </w:pPr>
    </w:p>
    <w:p w14:paraId="4ABE50A4" w14:textId="77777777" w:rsidR="006147B0" w:rsidRDefault="006147B0" w:rsidP="00E010F1">
      <w:pPr>
        <w:pStyle w:val="TEXTINDENT"/>
        <w:rPr>
          <w:lang w:val="en-GB"/>
        </w:rPr>
      </w:pPr>
    </w:p>
    <w:p w14:paraId="51CB9E07" w14:textId="77777777" w:rsidR="006147B0" w:rsidRPr="00547EC7" w:rsidRDefault="006147B0" w:rsidP="00E010F1">
      <w:pPr>
        <w:pStyle w:val="TEXTINDENT"/>
        <w:rPr>
          <w:lang w:val="en-GB"/>
        </w:rPr>
      </w:pPr>
    </w:p>
    <w:p w14:paraId="5D562A51" w14:textId="77777777" w:rsidR="00E010F1" w:rsidRPr="00547EC7" w:rsidRDefault="00E010F1" w:rsidP="00E010F1">
      <w:pPr>
        <w:pStyle w:val="TEXTINDENT"/>
        <w:ind w:firstLine="0"/>
        <w:rPr>
          <w:lang w:val="en-GB"/>
        </w:rPr>
      </w:pPr>
      <w:r w:rsidRPr="00547EC7">
        <w:rPr>
          <w:noProof/>
          <w:lang w:val="en-GB" w:eastAsia="en-GB"/>
        </w:rPr>
        <w:lastRenderedPageBreak/>
        <w:drawing>
          <wp:anchor distT="0" distB="0" distL="114300" distR="114300" simplePos="0" relativeHeight="251668480" behindDoc="0" locked="0" layoutInCell="1" allowOverlap="1" wp14:anchorId="66FC0856" wp14:editId="6DD8CC31">
            <wp:simplePos x="0" y="0"/>
            <wp:positionH relativeFrom="margin">
              <wp:align>right</wp:align>
            </wp:positionH>
            <wp:positionV relativeFrom="paragraph">
              <wp:posOffset>86995</wp:posOffset>
            </wp:positionV>
            <wp:extent cx="4114800" cy="2427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0" cy="2427000"/>
                    </a:xfrm>
                    <a:prstGeom prst="rect">
                      <a:avLst/>
                    </a:prstGeom>
                    <a:noFill/>
                  </pic:spPr>
                </pic:pic>
              </a:graphicData>
            </a:graphic>
            <wp14:sizeRelH relativeFrom="margin">
              <wp14:pctWidth>0</wp14:pctWidth>
            </wp14:sizeRelH>
            <wp14:sizeRelV relativeFrom="margin">
              <wp14:pctHeight>0</wp14:pctHeight>
            </wp14:sizeRelV>
          </wp:anchor>
        </w:drawing>
      </w:r>
    </w:p>
    <w:p w14:paraId="4DA25DE9" w14:textId="77777777" w:rsidR="00E010F1" w:rsidRPr="00547EC7" w:rsidRDefault="00E010F1" w:rsidP="00E010F1">
      <w:pPr>
        <w:pStyle w:val="TEXTINDENT"/>
        <w:ind w:firstLine="0"/>
        <w:rPr>
          <w:lang w:val="en-GB"/>
        </w:rPr>
      </w:pPr>
    </w:p>
    <w:p w14:paraId="68F9907A" w14:textId="77777777" w:rsidR="00E010F1" w:rsidRPr="00547EC7" w:rsidRDefault="00E010F1" w:rsidP="00E010F1">
      <w:pPr>
        <w:pStyle w:val="TEXTINDENT"/>
        <w:ind w:firstLine="0"/>
        <w:rPr>
          <w:lang w:val="en-GB"/>
        </w:rPr>
      </w:pPr>
    </w:p>
    <w:p w14:paraId="49289A8C" w14:textId="77777777" w:rsidR="00E010F1" w:rsidRPr="00547EC7" w:rsidRDefault="00E010F1" w:rsidP="00E010F1">
      <w:pPr>
        <w:pStyle w:val="TEXTINDENT"/>
        <w:ind w:firstLine="0"/>
        <w:rPr>
          <w:lang w:val="en-GB"/>
        </w:rPr>
      </w:pPr>
    </w:p>
    <w:p w14:paraId="35BDBADC" w14:textId="77777777" w:rsidR="00E010F1" w:rsidRPr="00547EC7" w:rsidRDefault="00E010F1" w:rsidP="00E010F1">
      <w:pPr>
        <w:pStyle w:val="TEXTINDENT"/>
        <w:ind w:firstLine="0"/>
        <w:rPr>
          <w:lang w:val="en-GB"/>
        </w:rPr>
      </w:pPr>
    </w:p>
    <w:p w14:paraId="4AB66722" w14:textId="77777777" w:rsidR="00E010F1" w:rsidRPr="00547EC7" w:rsidRDefault="00E010F1" w:rsidP="00E010F1">
      <w:pPr>
        <w:pStyle w:val="TEXTINDENT"/>
        <w:ind w:firstLine="0"/>
        <w:rPr>
          <w:lang w:val="en-GB"/>
        </w:rPr>
      </w:pPr>
    </w:p>
    <w:p w14:paraId="529F5BB1" w14:textId="77777777" w:rsidR="00E010F1" w:rsidRPr="00547EC7" w:rsidRDefault="00E010F1" w:rsidP="00E010F1">
      <w:pPr>
        <w:pStyle w:val="TEXTINDENT"/>
        <w:ind w:firstLine="0"/>
        <w:rPr>
          <w:lang w:val="en-GB"/>
        </w:rPr>
      </w:pPr>
    </w:p>
    <w:p w14:paraId="468D750F" w14:textId="77777777" w:rsidR="00E010F1" w:rsidRPr="00547EC7" w:rsidRDefault="00E010F1" w:rsidP="00E010F1">
      <w:pPr>
        <w:pStyle w:val="TEXTINDENT"/>
        <w:ind w:firstLine="0"/>
        <w:rPr>
          <w:lang w:val="en-GB"/>
        </w:rPr>
      </w:pPr>
    </w:p>
    <w:p w14:paraId="3BD09F89" w14:textId="77777777" w:rsidR="00E010F1" w:rsidRPr="00547EC7" w:rsidRDefault="00E010F1" w:rsidP="00E010F1">
      <w:pPr>
        <w:pStyle w:val="TEXTINDENT"/>
        <w:ind w:firstLine="0"/>
        <w:rPr>
          <w:lang w:val="en-GB"/>
        </w:rPr>
      </w:pPr>
    </w:p>
    <w:p w14:paraId="4D851180" w14:textId="77777777" w:rsidR="00E010F1" w:rsidRPr="00547EC7" w:rsidRDefault="00E010F1" w:rsidP="00E010F1">
      <w:pPr>
        <w:pStyle w:val="TEXTINDENT"/>
        <w:ind w:firstLine="0"/>
        <w:rPr>
          <w:lang w:val="en-GB"/>
        </w:rPr>
      </w:pPr>
    </w:p>
    <w:p w14:paraId="04FD4753" w14:textId="77777777" w:rsidR="00E010F1" w:rsidRPr="00547EC7" w:rsidRDefault="00E010F1" w:rsidP="00E010F1">
      <w:pPr>
        <w:pStyle w:val="TEXTINDENT"/>
        <w:ind w:firstLine="0"/>
        <w:rPr>
          <w:lang w:val="en-GB"/>
        </w:rPr>
      </w:pPr>
    </w:p>
    <w:p w14:paraId="03A5FD3E" w14:textId="77777777" w:rsidR="00E010F1" w:rsidRPr="00547EC7" w:rsidRDefault="00E010F1" w:rsidP="00E010F1">
      <w:pPr>
        <w:pStyle w:val="TEXTINDENT"/>
        <w:ind w:firstLine="0"/>
        <w:rPr>
          <w:lang w:val="en-GB"/>
        </w:rPr>
      </w:pPr>
    </w:p>
    <w:p w14:paraId="11F0EEF2" w14:textId="77777777" w:rsidR="00E010F1" w:rsidRPr="00547EC7" w:rsidRDefault="00E010F1" w:rsidP="00E010F1">
      <w:pPr>
        <w:pStyle w:val="TEXTINDENT"/>
        <w:ind w:firstLine="0"/>
        <w:rPr>
          <w:lang w:val="en-GB"/>
        </w:rPr>
      </w:pPr>
    </w:p>
    <w:p w14:paraId="630B6EF6" w14:textId="77777777" w:rsidR="00E010F1" w:rsidRPr="00547EC7" w:rsidRDefault="00E010F1" w:rsidP="00E010F1">
      <w:pPr>
        <w:pStyle w:val="CAPTIONTEXT"/>
        <w:rPr>
          <w:rStyle w:val="CSSMALLCAPS"/>
        </w:rPr>
      </w:pPr>
    </w:p>
    <w:p w14:paraId="48ACC449" w14:textId="77777777" w:rsidR="00E010F1" w:rsidRPr="00547EC7" w:rsidRDefault="00E010F1" w:rsidP="00E010F1">
      <w:pPr>
        <w:pStyle w:val="CAPTIONTEXT"/>
        <w:rPr>
          <w:rStyle w:val="CSSMALLCAPS"/>
        </w:rPr>
      </w:pPr>
    </w:p>
    <w:p w14:paraId="26F2F418" w14:textId="77777777" w:rsidR="00E010F1" w:rsidRPr="00547EC7" w:rsidRDefault="00E010F1" w:rsidP="00E010F1">
      <w:pPr>
        <w:pStyle w:val="CAPTIONTEXT"/>
      </w:pPr>
      <w:r w:rsidRPr="00547EC7">
        <w:rPr>
          <w:rStyle w:val="CSSMALLCAPS"/>
        </w:rPr>
        <w:t>figure 5</w:t>
      </w:r>
      <w:r w:rsidRPr="00547EC7">
        <w:tab/>
        <w:t>Person-</w:t>
      </w:r>
      <w:proofErr w:type="spellStart"/>
      <w:r w:rsidRPr="00547EC7">
        <w:t>centred</w:t>
      </w:r>
      <w:proofErr w:type="spellEnd"/>
      <w:r w:rsidRPr="00547EC7">
        <w:t xml:space="preserve"> CPD model.</w:t>
      </w:r>
    </w:p>
    <w:p w14:paraId="5F5D8416" w14:textId="712BA23D" w:rsidR="00E010F1" w:rsidRPr="00547EC7" w:rsidRDefault="00E010F1" w:rsidP="00E010F1">
      <w:pPr>
        <w:pStyle w:val="TEXTINDENT"/>
        <w:rPr>
          <w:lang w:val="en-GB"/>
        </w:rPr>
      </w:pPr>
      <w:r w:rsidRPr="00547EC7">
        <w:rPr>
          <w:lang w:val="en-GB"/>
        </w:rPr>
        <w:t>A person-centred approach begins with active listening to address the communicative oversight in policy and practice documentation. It better reflects the dialogic approach to learning observed in supervisory practice.  Furthermore, as the entropic model of doctoral researchers and the doctorate appears to be rhetorical rather than factual, supervisors could benefit from adopting a ‘prizing’ attitude, viewing students’ experiences as formative and contributing to their identity rather than as problems to be solved.</w:t>
      </w:r>
    </w:p>
    <w:p w14:paraId="21A1279F" w14:textId="77777777" w:rsidR="00E010F1" w:rsidRPr="00547EC7" w:rsidRDefault="00E010F1" w:rsidP="00E010F1">
      <w:pPr>
        <w:pStyle w:val="TEXTINDENT"/>
        <w:rPr>
          <w:lang w:val="en-GB"/>
        </w:rPr>
      </w:pPr>
      <w:proofErr w:type="gramStart"/>
      <w:r w:rsidRPr="00547EC7">
        <w:rPr>
          <w:lang w:val="en-GB"/>
        </w:rPr>
        <w:t>In order to</w:t>
      </w:r>
      <w:proofErr w:type="gramEnd"/>
      <w:r w:rsidRPr="00547EC7">
        <w:rPr>
          <w:lang w:val="en-GB"/>
        </w:rPr>
        <w:t xml:space="preserve"> facilitate a disciplinary dialogue, supervisors can introduce the concept of academic literacies to explore the ways that knowledge is enacted in the academy, and cultural practices operate in disciplines. They can also support doctoral researchers by slowing down the thinking process and making behaviours and tasks within the academic workplace much more explicit through the process of ‘cognitive apprenticeship’. </w:t>
      </w:r>
    </w:p>
    <w:p w14:paraId="3E79BA41" w14:textId="626DDB43" w:rsidR="00E010F1" w:rsidRPr="00547EC7" w:rsidRDefault="00E010F1" w:rsidP="00E010F1">
      <w:pPr>
        <w:pStyle w:val="TEXTINDENT"/>
        <w:rPr>
          <w:lang w:val="en-GB"/>
        </w:rPr>
      </w:pPr>
      <w:r w:rsidRPr="00547EC7">
        <w:rPr>
          <w:lang w:val="en-GB"/>
        </w:rPr>
        <w:t xml:space="preserve">Finally, both supervisor and doctoral researcher can use reflective writing in their interactions to better understand their place within the institution. Encouraging the latter to write in this way provides a clearer professional trajectory for both </w:t>
      </w:r>
      <w:proofErr w:type="gramStart"/>
      <w:r w:rsidRPr="00547EC7">
        <w:rPr>
          <w:lang w:val="en-GB"/>
        </w:rPr>
        <w:t>parties</w:t>
      </w:r>
      <w:r w:rsidR="00D1634C">
        <w:rPr>
          <w:lang w:val="en-GB"/>
        </w:rPr>
        <w:t>,</w:t>
      </w:r>
      <w:r w:rsidR="004866F7">
        <w:rPr>
          <w:lang w:val="en-GB"/>
        </w:rPr>
        <w:t xml:space="preserve"> </w:t>
      </w:r>
      <w:r w:rsidR="00D1634C">
        <w:rPr>
          <w:lang w:val="en-GB"/>
        </w:rPr>
        <w:t>and</w:t>
      </w:r>
      <w:proofErr w:type="gramEnd"/>
      <w:r w:rsidR="00D1634C">
        <w:rPr>
          <w:lang w:val="en-GB"/>
        </w:rPr>
        <w:t xml:space="preserve"> </w:t>
      </w:r>
      <w:r w:rsidR="00547902">
        <w:rPr>
          <w:lang w:val="en-GB"/>
        </w:rPr>
        <w:t>may serve as</w:t>
      </w:r>
      <w:r w:rsidR="004866F7">
        <w:rPr>
          <w:lang w:val="en-GB"/>
        </w:rPr>
        <w:t xml:space="preserve"> a</w:t>
      </w:r>
      <w:r w:rsidR="00547902">
        <w:rPr>
          <w:lang w:val="en-GB"/>
        </w:rPr>
        <w:t xml:space="preserve"> first step</w:t>
      </w:r>
      <w:r w:rsidR="00D1634C">
        <w:rPr>
          <w:lang w:val="en-GB"/>
        </w:rPr>
        <w:t xml:space="preserve"> to</w:t>
      </w:r>
      <w:r w:rsidR="00547902">
        <w:rPr>
          <w:lang w:val="en-GB"/>
        </w:rPr>
        <w:t xml:space="preserve">wards greater </w:t>
      </w:r>
      <w:r w:rsidR="00D1634C">
        <w:rPr>
          <w:lang w:val="en-GB"/>
        </w:rPr>
        <w:t xml:space="preserve">reflexivity, </w:t>
      </w:r>
      <w:r w:rsidR="00547902">
        <w:rPr>
          <w:lang w:val="en-GB"/>
        </w:rPr>
        <w:t>a concept</w:t>
      </w:r>
      <w:r w:rsidR="00D1634C">
        <w:rPr>
          <w:lang w:val="en-GB"/>
        </w:rPr>
        <w:t xml:space="preserve"> discussed </w:t>
      </w:r>
      <w:r w:rsidR="00547902">
        <w:rPr>
          <w:lang w:val="en-GB"/>
        </w:rPr>
        <w:t xml:space="preserve">in greater detail </w:t>
      </w:r>
      <w:r w:rsidR="00D1634C">
        <w:rPr>
          <w:lang w:val="en-GB"/>
        </w:rPr>
        <w:t>by Dowle in chapter 13</w:t>
      </w:r>
      <w:r w:rsidRPr="00547EC7">
        <w:rPr>
          <w:lang w:val="en-GB"/>
        </w:rPr>
        <w:t xml:space="preserve">.   </w:t>
      </w:r>
    </w:p>
    <w:p w14:paraId="5EEB31FE" w14:textId="77777777" w:rsidR="00E010F1" w:rsidRPr="00547EC7" w:rsidRDefault="00E010F1" w:rsidP="00E010F1">
      <w:pPr>
        <w:pStyle w:val="HEADING1Numbered"/>
        <w:rPr>
          <w:lang w:val="en-GB"/>
        </w:rPr>
      </w:pPr>
      <w:bookmarkStart w:id="25" w:name="Conclusion"/>
      <w:r w:rsidRPr="00547EC7">
        <w:rPr>
          <w:lang w:val="en-GB"/>
        </w:rPr>
        <w:lastRenderedPageBreak/>
        <w:t>Conclusion</w:t>
      </w:r>
      <w:bookmarkEnd w:id="25"/>
    </w:p>
    <w:p w14:paraId="7FE9CA11" w14:textId="77777777" w:rsidR="00E010F1" w:rsidRPr="00547EC7" w:rsidRDefault="00E010F1" w:rsidP="00E010F1">
      <w:pPr>
        <w:pStyle w:val="TEXTINDENT"/>
        <w:rPr>
          <w:lang w:val="en-GB"/>
        </w:rPr>
      </w:pPr>
      <w:r w:rsidRPr="00547EC7">
        <w:rPr>
          <w:lang w:val="en-GB"/>
        </w:rPr>
        <w:t>Placing the person at the core of supervisor development introduces a syntropic discourse, which highlights growth, complexity and fulfilment rather than one that is characterised by functional and transmissive interactions. The national and institutional documentation used by supervisors in their professional development employ a rhetoric that can appear managerial, but in fact incorporates important issues of personhood. Academic developers in the UK may benefit from reading between the lines of discourse to strengthen this theme in CPD. In doing so, doctoral supervisors and researchers become valued and empowered individuals within the doctoral ecosystem rather than simply subject to it.</w:t>
      </w:r>
    </w:p>
    <w:p w14:paraId="46F9E47D" w14:textId="77777777" w:rsidR="00E010F1" w:rsidRPr="00547EC7" w:rsidRDefault="00E010F1" w:rsidP="00E010F1">
      <w:pPr>
        <w:pStyle w:val="HEADING1Unnumbered"/>
        <w:keepNext/>
      </w:pPr>
      <w:r w:rsidRPr="00547EC7">
        <w:t>References</w:t>
      </w:r>
    </w:p>
    <w:p w14:paraId="78219A56" w14:textId="77777777" w:rsidR="00E010F1" w:rsidRPr="00547EC7" w:rsidRDefault="00E010F1" w:rsidP="00E010F1">
      <w:pPr>
        <w:pStyle w:val="BIBLIOGRAPHIC"/>
        <w:rPr>
          <w:lang w:val="en-GB"/>
        </w:rPr>
      </w:pPr>
      <w:r w:rsidRPr="00547EC7">
        <w:rPr>
          <w:lang w:val="en-GB"/>
        </w:rPr>
        <w:t xml:space="preserve">Austin, A. E. (2009). Cognitive Apprenticeship Theory and Its Implications for Doctoral Education: A Case Example from a Doctoral Program in Higher and Adult Education. </w:t>
      </w:r>
      <w:r w:rsidRPr="00547EC7">
        <w:rPr>
          <w:i/>
          <w:iCs/>
          <w:lang w:val="en-GB"/>
        </w:rPr>
        <w:t>International Journal for Academic Development 14</w:t>
      </w:r>
      <w:r w:rsidRPr="00547EC7">
        <w:rPr>
          <w:lang w:val="en-GB"/>
        </w:rPr>
        <w:t>, 173-183.​</w:t>
      </w:r>
    </w:p>
    <w:p w14:paraId="3C2ABAC5" w14:textId="77777777" w:rsidR="00E010F1" w:rsidRPr="00547EC7" w:rsidRDefault="00E010F1" w:rsidP="00E010F1">
      <w:pPr>
        <w:pStyle w:val="BIBLIOGRAPHIC"/>
        <w:ind w:left="0" w:firstLine="0"/>
        <w:rPr>
          <w:lang w:val="en-GB"/>
        </w:rPr>
      </w:pPr>
      <w:r w:rsidRPr="00547EC7">
        <w:rPr>
          <w:lang w:val="en-GB"/>
        </w:rPr>
        <w:t>Barnett, R. (2011). </w:t>
      </w:r>
      <w:r w:rsidRPr="00547EC7">
        <w:rPr>
          <w:i/>
          <w:iCs/>
          <w:lang w:val="en-GB"/>
        </w:rPr>
        <w:t xml:space="preserve">Being a </w:t>
      </w:r>
      <w:proofErr w:type="gramStart"/>
      <w:r w:rsidRPr="00547EC7">
        <w:rPr>
          <w:i/>
          <w:iCs/>
          <w:lang w:val="en-GB"/>
        </w:rPr>
        <w:t>University</w:t>
      </w:r>
      <w:proofErr w:type="gramEnd"/>
      <w:r w:rsidRPr="00547EC7">
        <w:rPr>
          <w:i/>
          <w:iCs/>
          <w:lang w:val="en-GB"/>
        </w:rPr>
        <w:t xml:space="preserve">. </w:t>
      </w:r>
      <w:r w:rsidRPr="00547EC7">
        <w:rPr>
          <w:lang w:val="en-GB"/>
        </w:rPr>
        <w:t>Abingdon, Routledge.</w:t>
      </w:r>
    </w:p>
    <w:p w14:paraId="4E4BF633" w14:textId="77777777" w:rsidR="00E010F1" w:rsidRPr="00547EC7" w:rsidRDefault="00E010F1" w:rsidP="00E010F1">
      <w:pPr>
        <w:pStyle w:val="BIBLIOGRAPHIC"/>
        <w:rPr>
          <w:lang w:val="en-GB"/>
        </w:rPr>
      </w:pPr>
      <w:r w:rsidRPr="00547EC7">
        <w:rPr>
          <w:lang w:val="en-GB"/>
        </w:rPr>
        <w:t xml:space="preserve">Barnett, R. (2016). </w:t>
      </w:r>
      <w:r w:rsidRPr="00547EC7">
        <w:rPr>
          <w:i/>
          <w:iCs/>
          <w:lang w:val="en-GB"/>
        </w:rPr>
        <w:t>Understanding the University: Institution, idea, possibilities</w:t>
      </w:r>
      <w:r w:rsidRPr="00547EC7">
        <w:rPr>
          <w:lang w:val="en-GB"/>
        </w:rPr>
        <w:t>. Abingdon, Routledge.</w:t>
      </w:r>
    </w:p>
    <w:p w14:paraId="5330EC2D" w14:textId="77777777" w:rsidR="00E010F1" w:rsidRPr="00547EC7" w:rsidRDefault="00E010F1" w:rsidP="00E010F1">
      <w:pPr>
        <w:pStyle w:val="BIBLIOGRAPHIC"/>
        <w:rPr>
          <w:lang w:val="en-GB"/>
        </w:rPr>
      </w:pPr>
      <w:proofErr w:type="spellStart"/>
      <w:r w:rsidRPr="00547EC7">
        <w:rPr>
          <w:lang w:val="en-GB"/>
        </w:rPr>
        <w:t>Bastalich</w:t>
      </w:r>
      <w:proofErr w:type="spellEnd"/>
      <w:r w:rsidRPr="00547EC7">
        <w:rPr>
          <w:lang w:val="en-GB"/>
        </w:rPr>
        <w:t xml:space="preserve">, W., Behrend, M. &amp; Bloomfield, R. (2014). Is non-subject based research training a ‘waste of time’, good only for the development of professional skills? An academic literacies perspective. </w:t>
      </w:r>
      <w:r w:rsidRPr="00547EC7">
        <w:rPr>
          <w:i/>
          <w:iCs/>
          <w:lang w:val="en-GB"/>
        </w:rPr>
        <w:t>Teaching in Higher Education, 19</w:t>
      </w:r>
      <w:r w:rsidRPr="00547EC7">
        <w:rPr>
          <w:lang w:val="en-GB"/>
        </w:rPr>
        <w:t>(4), 373-384.</w:t>
      </w:r>
    </w:p>
    <w:p w14:paraId="16E15889" w14:textId="77777777" w:rsidR="00E010F1" w:rsidRPr="00547EC7" w:rsidRDefault="00E010F1" w:rsidP="00E010F1">
      <w:pPr>
        <w:pStyle w:val="BIBLIOGRAPHIC"/>
        <w:rPr>
          <w:lang w:val="en-GB"/>
        </w:rPr>
      </w:pPr>
      <w:r w:rsidRPr="00547EC7">
        <w:rPr>
          <w:lang w:val="en-GB"/>
        </w:rPr>
        <w:t xml:space="preserve">Bengtsen, S.E. (2016). </w:t>
      </w:r>
      <w:r w:rsidRPr="00547EC7">
        <w:rPr>
          <w:i/>
          <w:iCs/>
          <w:lang w:val="en-GB"/>
        </w:rPr>
        <w:t>Doctoral Supervision: Organization and Dialogue</w:t>
      </w:r>
      <w:r w:rsidRPr="00547EC7">
        <w:rPr>
          <w:lang w:val="en-GB"/>
        </w:rPr>
        <w:t xml:space="preserve">. Aarhus, Aarhus </w:t>
      </w:r>
      <w:proofErr w:type="spellStart"/>
      <w:r w:rsidRPr="00547EC7">
        <w:rPr>
          <w:lang w:val="en-GB"/>
        </w:rPr>
        <w:t>Universitetsforlag</w:t>
      </w:r>
      <w:proofErr w:type="spellEnd"/>
      <w:r w:rsidRPr="00547EC7">
        <w:rPr>
          <w:lang w:val="en-GB"/>
        </w:rPr>
        <w:t>.​</w:t>
      </w:r>
    </w:p>
    <w:p w14:paraId="5E0E3F9B" w14:textId="77777777" w:rsidR="00E010F1" w:rsidRPr="00547EC7" w:rsidRDefault="00E010F1" w:rsidP="00E010F1">
      <w:pPr>
        <w:pStyle w:val="BIBLIOGRAPHIC"/>
        <w:rPr>
          <w:lang w:val="en-GB"/>
        </w:rPr>
      </w:pPr>
      <w:r w:rsidRPr="00547EC7">
        <w:rPr>
          <w:lang w:val="en-GB"/>
        </w:rPr>
        <w:t xml:space="preserve">Brew, A. &amp; Peseta, T. (2004). Changing postgraduate supervision practice: a programme to encourage learning though reflection and feedback. </w:t>
      </w:r>
      <w:r w:rsidRPr="00547EC7">
        <w:rPr>
          <w:i/>
          <w:iCs/>
          <w:lang w:val="en-GB"/>
        </w:rPr>
        <w:t>Innovations In Education &amp; Teaching International 41</w:t>
      </w:r>
      <w:r w:rsidRPr="00547EC7">
        <w:rPr>
          <w:lang w:val="en-GB"/>
        </w:rPr>
        <w:t xml:space="preserve">(1), 5-22. </w:t>
      </w:r>
    </w:p>
    <w:p w14:paraId="63AB1438" w14:textId="77777777" w:rsidR="00E010F1" w:rsidRPr="00547EC7" w:rsidRDefault="00E010F1" w:rsidP="00E010F1">
      <w:pPr>
        <w:pStyle w:val="BIBLIOGRAPHIC"/>
        <w:rPr>
          <w:lang w:val="en-GB"/>
        </w:rPr>
      </w:pPr>
      <w:proofErr w:type="spellStart"/>
      <w:r w:rsidRPr="00547EC7">
        <w:rPr>
          <w:lang w:val="en-GB"/>
        </w:rPr>
        <w:t>Cahusac</w:t>
      </w:r>
      <w:proofErr w:type="spellEnd"/>
      <w:r w:rsidRPr="00547EC7">
        <w:rPr>
          <w:lang w:val="en-GB"/>
        </w:rPr>
        <w:t xml:space="preserve"> de </w:t>
      </w:r>
      <w:proofErr w:type="spellStart"/>
      <w:r w:rsidRPr="00547EC7">
        <w:rPr>
          <w:lang w:val="en-GB"/>
        </w:rPr>
        <w:t>Caux</w:t>
      </w:r>
      <w:proofErr w:type="spellEnd"/>
      <w:r w:rsidRPr="00547EC7">
        <w:rPr>
          <w:lang w:val="en-GB"/>
        </w:rPr>
        <w:t xml:space="preserve">, B. K. C. D., Lam, C. K. C., Lau, R., Hoang, C. H., &amp; Pretorius, L. (2017). Reflection for learning in doctoral training: Writing groups, academic writing proficiency and reflective practice. </w:t>
      </w:r>
      <w:r w:rsidRPr="00547EC7">
        <w:rPr>
          <w:i/>
          <w:iCs/>
          <w:lang w:val="en-GB"/>
        </w:rPr>
        <w:t>Reflective Practice</w:t>
      </w:r>
      <w:r w:rsidRPr="00547EC7">
        <w:rPr>
          <w:lang w:val="en-GB"/>
        </w:rPr>
        <w:t xml:space="preserve">, </w:t>
      </w:r>
      <w:r w:rsidRPr="00547EC7">
        <w:rPr>
          <w:i/>
          <w:iCs/>
          <w:lang w:val="en-GB"/>
        </w:rPr>
        <w:t>18</w:t>
      </w:r>
      <w:r w:rsidRPr="00547EC7">
        <w:rPr>
          <w:lang w:val="en-GB"/>
        </w:rPr>
        <w:t xml:space="preserve">(4), 463–473. </w:t>
      </w:r>
    </w:p>
    <w:p w14:paraId="35338C4D" w14:textId="77777777" w:rsidR="00E010F1" w:rsidRPr="00547EC7" w:rsidRDefault="00E010F1" w:rsidP="00E010F1">
      <w:pPr>
        <w:pStyle w:val="BIBLIOGRAPHIC"/>
        <w:rPr>
          <w:lang w:val="en-GB"/>
        </w:rPr>
      </w:pPr>
      <w:r w:rsidRPr="00547EC7">
        <w:rPr>
          <w:lang w:val="en-GB"/>
        </w:rPr>
        <w:t xml:space="preserve">Collins, A., &amp; Kapur, M. (2014). Cognitive Apprenticeship. In R. K. Sawyer (Ed.), </w:t>
      </w:r>
      <w:r w:rsidRPr="00547EC7">
        <w:rPr>
          <w:i/>
          <w:iCs/>
          <w:lang w:val="en-GB"/>
        </w:rPr>
        <w:t>The Cambridge Handbook of the Learning Sciences</w:t>
      </w:r>
      <w:r w:rsidRPr="00547EC7">
        <w:rPr>
          <w:lang w:val="en-GB"/>
        </w:rPr>
        <w:t xml:space="preserve"> (2nd ed., pp. 109–127). Cambridge University Press.</w:t>
      </w:r>
    </w:p>
    <w:p w14:paraId="159A254A" w14:textId="77777777" w:rsidR="00E010F1" w:rsidRPr="00547EC7" w:rsidRDefault="00E010F1" w:rsidP="00E010F1">
      <w:pPr>
        <w:pStyle w:val="BIBLIOGRAPHIC"/>
        <w:rPr>
          <w:lang w:val="en-GB"/>
        </w:rPr>
      </w:pPr>
      <w:r w:rsidRPr="00547EC7">
        <w:rPr>
          <w:lang w:val="en-GB"/>
        </w:rPr>
        <w:t xml:space="preserve">Deem, R., Hillyard, S. &amp; Reed, M. (2007). </w:t>
      </w:r>
      <w:r w:rsidRPr="00547EC7">
        <w:rPr>
          <w:i/>
          <w:iCs/>
          <w:lang w:val="en-GB"/>
        </w:rPr>
        <w:t>Knowledge, higher education, and the new managerialism. the changing management of UK universities</w:t>
      </w:r>
      <w:r w:rsidRPr="00547EC7">
        <w:rPr>
          <w:lang w:val="en-GB"/>
        </w:rPr>
        <w:t>. Oxford, Oxford University Press.</w:t>
      </w:r>
    </w:p>
    <w:p w14:paraId="55954E04" w14:textId="77777777" w:rsidR="00E010F1" w:rsidRPr="00547EC7" w:rsidRDefault="00E010F1" w:rsidP="00E010F1">
      <w:pPr>
        <w:pStyle w:val="BIBLIOGRAPHIC"/>
        <w:rPr>
          <w:lang w:val="en-GB"/>
        </w:rPr>
      </w:pPr>
      <w:r w:rsidRPr="00547EC7">
        <w:rPr>
          <w:lang w:val="en-GB"/>
        </w:rPr>
        <w:lastRenderedPageBreak/>
        <w:t xml:space="preserve">Eley, A. R. &amp; Jennings, R. (2005). </w:t>
      </w:r>
      <w:r w:rsidRPr="00547EC7">
        <w:rPr>
          <w:i/>
          <w:iCs/>
          <w:lang w:val="en-GB"/>
        </w:rPr>
        <w:t>Effective Postgraduate Supervision: Improving the Student-Supervisor Relationship</w:t>
      </w:r>
      <w:r w:rsidRPr="00547EC7">
        <w:rPr>
          <w:lang w:val="en-GB"/>
        </w:rPr>
        <w:t>. Maidenhead, Open University Press.​</w:t>
      </w:r>
    </w:p>
    <w:p w14:paraId="5BDEC9E4" w14:textId="77777777" w:rsidR="00E010F1" w:rsidRPr="00547EC7" w:rsidRDefault="00E010F1" w:rsidP="00E010F1">
      <w:pPr>
        <w:pStyle w:val="BIBLIOGRAPHIC"/>
        <w:rPr>
          <w:lang w:val="en-GB"/>
        </w:rPr>
      </w:pPr>
      <w:r w:rsidRPr="00547EC7">
        <w:rPr>
          <w:lang w:val="en-GB"/>
        </w:rPr>
        <w:t xml:space="preserve">Elliot, D. L., Bengtsen, S. S., Guccione, K., &amp; Kobayashi, S. (2020). </w:t>
      </w:r>
      <w:r w:rsidRPr="00547EC7">
        <w:rPr>
          <w:i/>
          <w:iCs/>
          <w:lang w:val="en-GB"/>
        </w:rPr>
        <w:t>The Hidden Curriculum in Doctoral Education</w:t>
      </w:r>
      <w:r w:rsidRPr="00547EC7">
        <w:rPr>
          <w:lang w:val="en-GB"/>
        </w:rPr>
        <w:t>. Palgrave Pivot.</w:t>
      </w:r>
    </w:p>
    <w:p w14:paraId="0CF412E3" w14:textId="77777777" w:rsidR="00E010F1" w:rsidRPr="00547EC7" w:rsidRDefault="00E010F1" w:rsidP="00E010F1">
      <w:pPr>
        <w:pStyle w:val="BIBLIOGRAPHIC"/>
        <w:rPr>
          <w:lang w:val="en-GB"/>
        </w:rPr>
      </w:pPr>
      <w:r w:rsidRPr="00547EC7">
        <w:rPr>
          <w:lang w:val="en-GB"/>
        </w:rPr>
        <w:t xml:space="preserve">Godskesen, M. &amp; Wichmann-Hansen, G. (2013). </w:t>
      </w:r>
      <w:r w:rsidRPr="00547EC7">
        <w:rPr>
          <w:lang w:val="sv-SE"/>
        </w:rPr>
        <w:t xml:space="preserve">Aktiv </w:t>
      </w:r>
      <w:proofErr w:type="spellStart"/>
      <w:r w:rsidRPr="00547EC7">
        <w:rPr>
          <w:lang w:val="sv-SE"/>
        </w:rPr>
        <w:t>lytning</w:t>
      </w:r>
      <w:proofErr w:type="spellEnd"/>
      <w:r w:rsidRPr="00547EC7">
        <w:rPr>
          <w:lang w:val="sv-SE"/>
        </w:rPr>
        <w:t xml:space="preserve"> i ph.d.-</w:t>
      </w:r>
      <w:proofErr w:type="spellStart"/>
      <w:r w:rsidRPr="00547EC7">
        <w:rPr>
          <w:lang w:val="sv-SE"/>
        </w:rPr>
        <w:t>vejledning</w:t>
      </w:r>
      <w:proofErr w:type="spellEnd"/>
      <w:r w:rsidRPr="00547EC7">
        <w:rPr>
          <w:lang w:val="sv-SE"/>
        </w:rPr>
        <w:t xml:space="preserve"> - et </w:t>
      </w:r>
      <w:proofErr w:type="spellStart"/>
      <w:r w:rsidRPr="00547EC7">
        <w:rPr>
          <w:lang w:val="sv-SE"/>
        </w:rPr>
        <w:t>værktøj</w:t>
      </w:r>
      <w:proofErr w:type="spellEnd"/>
      <w:r w:rsidRPr="00547EC7">
        <w:rPr>
          <w:lang w:val="sv-SE"/>
        </w:rPr>
        <w:t xml:space="preserve"> </w:t>
      </w:r>
      <w:proofErr w:type="spellStart"/>
      <w:r w:rsidRPr="00547EC7">
        <w:rPr>
          <w:lang w:val="sv-SE"/>
        </w:rPr>
        <w:t>til</w:t>
      </w:r>
      <w:proofErr w:type="spellEnd"/>
      <w:r w:rsidRPr="00547EC7">
        <w:rPr>
          <w:lang w:val="sv-SE"/>
        </w:rPr>
        <w:t xml:space="preserve"> </w:t>
      </w:r>
      <w:proofErr w:type="spellStart"/>
      <w:r w:rsidRPr="00547EC7">
        <w:rPr>
          <w:lang w:val="sv-SE"/>
        </w:rPr>
        <w:t>udvikling</w:t>
      </w:r>
      <w:proofErr w:type="spellEnd"/>
      <w:r w:rsidRPr="00547EC7">
        <w:rPr>
          <w:lang w:val="sv-SE"/>
        </w:rPr>
        <w:t xml:space="preserve"> </w:t>
      </w:r>
      <w:proofErr w:type="spellStart"/>
      <w:r w:rsidRPr="00547EC7">
        <w:rPr>
          <w:lang w:val="sv-SE"/>
        </w:rPr>
        <w:t>af</w:t>
      </w:r>
      <w:proofErr w:type="spellEnd"/>
      <w:r w:rsidRPr="00547EC7">
        <w:rPr>
          <w:lang w:val="sv-SE"/>
        </w:rPr>
        <w:t xml:space="preserve"> dialogiske </w:t>
      </w:r>
      <w:proofErr w:type="spellStart"/>
      <w:r w:rsidRPr="00547EC7">
        <w:rPr>
          <w:lang w:val="sv-SE"/>
        </w:rPr>
        <w:t>kompetencer</w:t>
      </w:r>
      <w:proofErr w:type="spellEnd"/>
      <w:r w:rsidRPr="00547EC7">
        <w:rPr>
          <w:lang w:val="sv-SE"/>
        </w:rPr>
        <w:t xml:space="preserve">. </w:t>
      </w:r>
      <w:r w:rsidRPr="00547EC7">
        <w:rPr>
          <w:i/>
          <w:iCs/>
          <w:lang w:val="en-GB"/>
        </w:rPr>
        <w:t xml:space="preserve">Dansk </w:t>
      </w:r>
      <w:proofErr w:type="spellStart"/>
      <w:r w:rsidRPr="00547EC7">
        <w:rPr>
          <w:i/>
          <w:iCs/>
          <w:lang w:val="en-GB"/>
        </w:rPr>
        <w:t>Universitetspædagogisk</w:t>
      </w:r>
      <w:proofErr w:type="spellEnd"/>
      <w:r w:rsidRPr="00547EC7">
        <w:rPr>
          <w:i/>
          <w:iCs/>
          <w:lang w:val="en-GB"/>
        </w:rPr>
        <w:t xml:space="preserve"> </w:t>
      </w:r>
      <w:proofErr w:type="spellStart"/>
      <w:r w:rsidRPr="00547EC7">
        <w:rPr>
          <w:i/>
          <w:iCs/>
          <w:lang w:val="en-GB"/>
        </w:rPr>
        <w:t>Tidsskrift</w:t>
      </w:r>
      <w:proofErr w:type="spellEnd"/>
      <w:r w:rsidRPr="00547EC7">
        <w:rPr>
          <w:i/>
          <w:iCs/>
          <w:lang w:val="en-GB"/>
        </w:rPr>
        <w:t xml:space="preserve"> 8</w:t>
      </w:r>
      <w:r w:rsidRPr="00547EC7">
        <w:rPr>
          <w:lang w:val="en-GB"/>
        </w:rPr>
        <w:t>(15), 145-157.</w:t>
      </w:r>
    </w:p>
    <w:p w14:paraId="0A8546E4" w14:textId="77777777" w:rsidR="00E010F1" w:rsidRPr="00547EC7" w:rsidRDefault="00E010F1" w:rsidP="00E010F1">
      <w:pPr>
        <w:pStyle w:val="BIBLIOGRAPHIC"/>
        <w:rPr>
          <w:lang w:val="en-GB"/>
        </w:rPr>
      </w:pPr>
      <w:r w:rsidRPr="00547EC7">
        <w:rPr>
          <w:lang w:val="en-GB"/>
        </w:rPr>
        <w:t xml:space="preserve">Hill, G. &amp; Vaughan, S. (2018). Conversations about research supervision – Enabling and accrediting a community of practice model for research degree supervisor development. </w:t>
      </w:r>
      <w:r w:rsidRPr="00547EC7">
        <w:rPr>
          <w:i/>
          <w:iCs/>
          <w:lang w:val="en-GB"/>
        </w:rPr>
        <w:t>Innovations in Education and Teaching International 55</w:t>
      </w:r>
      <w:r w:rsidRPr="00547EC7">
        <w:rPr>
          <w:lang w:val="en-GB"/>
        </w:rPr>
        <w:t>(2), 153-163.</w:t>
      </w:r>
    </w:p>
    <w:p w14:paraId="35FD43B0" w14:textId="77777777" w:rsidR="00E010F1" w:rsidRPr="00547EC7" w:rsidRDefault="00E010F1" w:rsidP="00E010F1">
      <w:pPr>
        <w:pStyle w:val="BIBLIOGRAPHIC"/>
        <w:rPr>
          <w:lang w:val="en-GB"/>
        </w:rPr>
      </w:pPr>
      <w:r w:rsidRPr="00547EC7">
        <w:rPr>
          <w:lang w:val="en-GB"/>
        </w:rPr>
        <w:t xml:space="preserve">Kelly, F. (2017). </w:t>
      </w:r>
      <w:r w:rsidRPr="00547EC7">
        <w:rPr>
          <w:i/>
          <w:iCs/>
          <w:lang w:val="en-GB"/>
        </w:rPr>
        <w:t>The Idea of the PhD: The Doctorate in the Twenty-First Century Imagination</w:t>
      </w:r>
      <w:r w:rsidRPr="00547EC7">
        <w:rPr>
          <w:lang w:val="en-GB"/>
        </w:rPr>
        <w:t>. London, Routledge.</w:t>
      </w:r>
    </w:p>
    <w:p w14:paraId="501A8CE1" w14:textId="77777777" w:rsidR="00E010F1" w:rsidRPr="00547EC7" w:rsidRDefault="00E010F1" w:rsidP="00E010F1">
      <w:pPr>
        <w:pStyle w:val="BIBLIOGRAPHIC"/>
        <w:rPr>
          <w:lang w:val="en-GB"/>
        </w:rPr>
      </w:pPr>
      <w:r w:rsidRPr="00547EC7">
        <w:rPr>
          <w:lang w:val="en-GB"/>
        </w:rPr>
        <w:t xml:space="preserve">Kumar, V. &amp; Stracke, E. (2017). Reframing doctoral examination as teaching. </w:t>
      </w:r>
      <w:r w:rsidRPr="00547EC7">
        <w:rPr>
          <w:i/>
          <w:iCs/>
          <w:lang w:val="en-GB"/>
        </w:rPr>
        <w:t>Innovations in Education and Teaching International</w:t>
      </w:r>
      <w:r w:rsidRPr="00547EC7">
        <w:rPr>
          <w:lang w:val="en-GB"/>
        </w:rPr>
        <w:t>: 1-9.​</w:t>
      </w:r>
    </w:p>
    <w:p w14:paraId="259B7AB1" w14:textId="77777777" w:rsidR="00E010F1" w:rsidRPr="00547EC7" w:rsidRDefault="00E010F1" w:rsidP="00E010F1">
      <w:pPr>
        <w:pStyle w:val="BIBLIOGRAPHIC"/>
        <w:rPr>
          <w:lang w:val="en-GB"/>
        </w:rPr>
      </w:pPr>
      <w:r w:rsidRPr="00547EC7">
        <w:rPr>
          <w:lang w:val="en-GB"/>
        </w:rPr>
        <w:t xml:space="preserve">Magyar, A. &amp; Robinson-Pant, A. (2011). Special Issue on University Internationalisation--Towards Transformative Change in Higher Education. Internationalising Doctoral Research: Developing Theoretical Perspectives on Practice. </w:t>
      </w:r>
      <w:r w:rsidRPr="00547EC7">
        <w:rPr>
          <w:i/>
          <w:iCs/>
          <w:lang w:val="en-GB"/>
        </w:rPr>
        <w:t>Teachers and Teaching: Theory and Practice 17</w:t>
      </w:r>
      <w:r w:rsidRPr="00547EC7">
        <w:rPr>
          <w:lang w:val="en-GB"/>
        </w:rPr>
        <w:t>(6), 663-676.</w:t>
      </w:r>
    </w:p>
    <w:p w14:paraId="58BEA1CE" w14:textId="77777777" w:rsidR="00E010F1" w:rsidRPr="00547EC7" w:rsidRDefault="00E010F1" w:rsidP="00E010F1">
      <w:pPr>
        <w:pStyle w:val="BIBLIOGRAPHIC"/>
        <w:rPr>
          <w:lang w:val="en-GB"/>
        </w:rPr>
      </w:pPr>
      <w:proofErr w:type="spellStart"/>
      <w:r w:rsidRPr="006147B0">
        <w:rPr>
          <w:lang w:val="en-GB"/>
        </w:rPr>
        <w:t>Manathunga</w:t>
      </w:r>
      <w:proofErr w:type="spellEnd"/>
      <w:r w:rsidRPr="006147B0">
        <w:rPr>
          <w:lang w:val="en-GB"/>
        </w:rPr>
        <w:t xml:space="preserve">, C., Peseta, T. &amp; McCormack, C. (2010). </w:t>
      </w:r>
      <w:r w:rsidRPr="00547EC7">
        <w:rPr>
          <w:lang w:val="en-GB"/>
        </w:rPr>
        <w:t xml:space="preserve">Supervisor development through creative approaches to writing. </w:t>
      </w:r>
      <w:r w:rsidRPr="00547EC7">
        <w:rPr>
          <w:i/>
          <w:iCs/>
          <w:lang w:val="en-GB"/>
        </w:rPr>
        <w:t xml:space="preserve">International Journal </w:t>
      </w:r>
      <w:proofErr w:type="gramStart"/>
      <w:r w:rsidRPr="00547EC7">
        <w:rPr>
          <w:i/>
          <w:iCs/>
          <w:lang w:val="en-GB"/>
        </w:rPr>
        <w:t>For</w:t>
      </w:r>
      <w:proofErr w:type="gramEnd"/>
      <w:r w:rsidRPr="00547EC7">
        <w:rPr>
          <w:i/>
          <w:iCs/>
          <w:lang w:val="en-GB"/>
        </w:rPr>
        <w:t xml:space="preserve"> Academic Development 15</w:t>
      </w:r>
      <w:r w:rsidRPr="00547EC7">
        <w:rPr>
          <w:lang w:val="en-GB"/>
        </w:rPr>
        <w:t>(1), 33-46.</w:t>
      </w:r>
    </w:p>
    <w:p w14:paraId="24523CF2" w14:textId="77777777" w:rsidR="00E010F1" w:rsidRPr="00547EC7" w:rsidRDefault="00E010F1" w:rsidP="00E010F1">
      <w:pPr>
        <w:pStyle w:val="BIBLIOGRAPHIC"/>
        <w:rPr>
          <w:lang w:val="en-GB"/>
        </w:rPr>
      </w:pPr>
      <w:r w:rsidRPr="00547EC7">
        <w:rPr>
          <w:lang w:val="en-GB"/>
        </w:rPr>
        <w:t xml:space="preserve">Metcalfe, J., Wilson, S. &amp; </w:t>
      </w:r>
      <w:proofErr w:type="spellStart"/>
      <w:r w:rsidRPr="00547EC7">
        <w:rPr>
          <w:lang w:val="en-GB"/>
        </w:rPr>
        <w:t>Levecque</w:t>
      </w:r>
      <w:proofErr w:type="spellEnd"/>
      <w:r w:rsidRPr="00547EC7">
        <w:rPr>
          <w:lang w:val="en-GB"/>
        </w:rPr>
        <w:t xml:space="preserve">, K. (2018). </w:t>
      </w:r>
      <w:r w:rsidRPr="00547EC7">
        <w:rPr>
          <w:i/>
          <w:iCs/>
          <w:lang w:val="en-GB"/>
        </w:rPr>
        <w:t>Exploring wellbeing and mental health and associated support services for postgraduate researchers. Ghent University and the Institute for Employment Studies</w:t>
      </w:r>
      <w:r w:rsidRPr="00547EC7">
        <w:rPr>
          <w:lang w:val="en-GB"/>
        </w:rPr>
        <w:t>. Cambridge, Vitae (CRAC).​</w:t>
      </w:r>
    </w:p>
    <w:p w14:paraId="01F8D2FB" w14:textId="77777777" w:rsidR="00E010F1" w:rsidRPr="00547EC7" w:rsidRDefault="00E010F1" w:rsidP="00E010F1">
      <w:pPr>
        <w:pStyle w:val="BIBLIOGRAPHIC"/>
        <w:rPr>
          <w:lang w:val="en-GB"/>
        </w:rPr>
      </w:pPr>
      <w:r w:rsidRPr="00547EC7">
        <w:rPr>
          <w:lang w:val="en-GB"/>
        </w:rPr>
        <w:t xml:space="preserve">Office for Students. (2020). </w:t>
      </w:r>
      <w:r w:rsidRPr="00547EC7">
        <w:rPr>
          <w:i/>
          <w:iCs/>
          <w:lang w:val="en-GB"/>
        </w:rPr>
        <w:t>Coronavirus Briefing Note</w:t>
      </w:r>
      <w:r w:rsidRPr="00547EC7">
        <w:rPr>
          <w:lang w:val="en-GB"/>
        </w:rPr>
        <w:t xml:space="preserve"> (No. 6). </w:t>
      </w:r>
      <w:hyperlink r:id="rId13" w:history="1">
        <w:r w:rsidRPr="00547EC7">
          <w:rPr>
            <w:rStyle w:val="Hyperlink"/>
            <w:lang w:val="en-GB"/>
          </w:rPr>
          <w:t>https://www.officeforstudents.org.uk/media/989e5582-cb4b-442e-944b-9cc6c1327d92/coronavirus-briefing-note-postgraduate-research-students.pdf</w:t>
        </w:r>
      </w:hyperlink>
    </w:p>
    <w:p w14:paraId="41C28A1A" w14:textId="77777777" w:rsidR="00E010F1" w:rsidRPr="00547EC7" w:rsidRDefault="00E010F1" w:rsidP="00E010F1">
      <w:pPr>
        <w:pStyle w:val="BIBLIOGRAPHIC"/>
        <w:rPr>
          <w:lang w:val="en-GB"/>
        </w:rPr>
      </w:pPr>
      <w:r w:rsidRPr="00547EC7">
        <w:rPr>
          <w:lang w:val="en-GB"/>
        </w:rPr>
        <w:t xml:space="preserve">Owler, K. (2010). A ‘Problem’ to Be Managed? Completing a PhD in the Arts and Humanities. </w:t>
      </w:r>
      <w:r w:rsidRPr="00547EC7">
        <w:rPr>
          <w:i/>
          <w:iCs/>
          <w:lang w:val="en-GB"/>
        </w:rPr>
        <w:t xml:space="preserve">Arts and Humanities </w:t>
      </w:r>
      <w:proofErr w:type="gramStart"/>
      <w:r w:rsidRPr="00547EC7">
        <w:rPr>
          <w:i/>
          <w:iCs/>
          <w:lang w:val="en-GB"/>
        </w:rPr>
        <w:t>In</w:t>
      </w:r>
      <w:proofErr w:type="gramEnd"/>
      <w:r w:rsidRPr="00547EC7">
        <w:rPr>
          <w:i/>
          <w:iCs/>
          <w:lang w:val="en-GB"/>
        </w:rPr>
        <w:t xml:space="preserve"> Higher Education 9(</w:t>
      </w:r>
      <w:r w:rsidRPr="00547EC7">
        <w:rPr>
          <w:lang w:val="en-GB"/>
        </w:rPr>
        <w:t>3), 289-304.</w:t>
      </w:r>
    </w:p>
    <w:p w14:paraId="5F38D3A6" w14:textId="77777777" w:rsidR="00E010F1" w:rsidRPr="00547EC7" w:rsidRDefault="00E010F1" w:rsidP="00E010F1">
      <w:pPr>
        <w:pStyle w:val="BIBLIOGRAPHIC"/>
        <w:rPr>
          <w:lang w:val="en-GB"/>
        </w:rPr>
      </w:pPr>
      <w:r w:rsidRPr="00547EC7">
        <w:rPr>
          <w:lang w:val="en-GB"/>
        </w:rPr>
        <w:t xml:space="preserve">Paltridge, B. (2012). </w:t>
      </w:r>
      <w:r w:rsidRPr="00547EC7">
        <w:rPr>
          <w:i/>
          <w:iCs/>
          <w:lang w:val="en-GB"/>
        </w:rPr>
        <w:t>Discourse Analysis: An introduction</w:t>
      </w:r>
      <w:r w:rsidRPr="00547EC7">
        <w:rPr>
          <w:lang w:val="en-GB"/>
        </w:rPr>
        <w:t xml:space="preserve"> (2nd ed.). London, Bloomsbury Publishing.</w:t>
      </w:r>
    </w:p>
    <w:p w14:paraId="221C6DBC" w14:textId="77777777" w:rsidR="00E010F1" w:rsidRPr="00547EC7" w:rsidRDefault="00E010F1" w:rsidP="00E010F1">
      <w:pPr>
        <w:pStyle w:val="BIBLIOGRAPHIC"/>
        <w:rPr>
          <w:lang w:val="en-GB"/>
        </w:rPr>
      </w:pPr>
      <w:r w:rsidRPr="00547EC7">
        <w:rPr>
          <w:lang w:val="en-GB"/>
        </w:rPr>
        <w:t xml:space="preserve">Posselt, J. (2018). Normalizing Struggle: Dimensions of Faculty Support for Doctoral Students and Implications for Persistence and Well-Being. </w:t>
      </w:r>
      <w:r w:rsidRPr="00547EC7">
        <w:rPr>
          <w:i/>
          <w:iCs/>
          <w:lang w:val="en-GB"/>
        </w:rPr>
        <w:t>The Journal of Higher Education</w:t>
      </w:r>
      <w:r w:rsidRPr="00547EC7">
        <w:rPr>
          <w:lang w:val="en-GB"/>
        </w:rPr>
        <w:t>, 1-26.</w:t>
      </w:r>
    </w:p>
    <w:p w14:paraId="37AA8463" w14:textId="77777777" w:rsidR="00E010F1" w:rsidRPr="00547EC7" w:rsidRDefault="00E010F1" w:rsidP="00E010F1">
      <w:pPr>
        <w:pStyle w:val="BIBLIOGRAPHIC"/>
        <w:rPr>
          <w:lang w:val="en-GB"/>
        </w:rPr>
      </w:pPr>
      <w:r w:rsidRPr="00547EC7">
        <w:rPr>
          <w:lang w:val="en-GB"/>
        </w:rPr>
        <w:t xml:space="preserve">Rogers, C. (1980). </w:t>
      </w:r>
      <w:r w:rsidRPr="00547EC7">
        <w:rPr>
          <w:i/>
          <w:iCs/>
          <w:lang w:val="en-GB"/>
        </w:rPr>
        <w:t>A Way of Being</w:t>
      </w:r>
      <w:r w:rsidRPr="00547EC7">
        <w:rPr>
          <w:lang w:val="en-GB"/>
        </w:rPr>
        <w:t>. Boston, Houghton Mifflin Company.</w:t>
      </w:r>
    </w:p>
    <w:p w14:paraId="23A5A18F" w14:textId="77777777" w:rsidR="00E010F1" w:rsidRPr="00547EC7" w:rsidRDefault="00E010F1" w:rsidP="00E010F1">
      <w:pPr>
        <w:pStyle w:val="BIBLIOGRAPHIC"/>
        <w:rPr>
          <w:lang w:val="en-GB"/>
        </w:rPr>
      </w:pPr>
      <w:r w:rsidRPr="00547EC7">
        <w:rPr>
          <w:lang w:val="en-GB"/>
        </w:rPr>
        <w:t xml:space="preserve">Taylor, S. (2016). </w:t>
      </w:r>
      <w:r w:rsidRPr="00547EC7">
        <w:rPr>
          <w:i/>
          <w:iCs/>
          <w:lang w:val="en-GB"/>
        </w:rPr>
        <w:t>UK Professional Standards Framework (UKPSF) Dimensions of the Framework for Doctoral Supervisors</w:t>
      </w:r>
      <w:r w:rsidRPr="00547EC7">
        <w:rPr>
          <w:lang w:val="en-GB"/>
        </w:rPr>
        <w:t>. Higher Education Academy.​</w:t>
      </w:r>
    </w:p>
    <w:p w14:paraId="2433AB64" w14:textId="77777777" w:rsidR="00E010F1" w:rsidRPr="00547EC7" w:rsidRDefault="00E010F1" w:rsidP="00E010F1">
      <w:pPr>
        <w:pStyle w:val="BIBLIOGRAPHIC"/>
        <w:rPr>
          <w:lang w:val="en-GB"/>
        </w:rPr>
      </w:pPr>
      <w:r w:rsidRPr="00547EC7">
        <w:rPr>
          <w:lang w:val="en-GB"/>
        </w:rPr>
        <w:t xml:space="preserve">Taylor, S., Kiley, M., &amp; Humphrey, R. (2018). </w:t>
      </w:r>
      <w:r w:rsidRPr="00547EC7">
        <w:rPr>
          <w:i/>
          <w:iCs/>
          <w:lang w:val="en-GB"/>
        </w:rPr>
        <w:t>A Handbook for Doctoral Supervisors</w:t>
      </w:r>
      <w:r w:rsidRPr="00547EC7">
        <w:rPr>
          <w:lang w:val="en-GB"/>
        </w:rPr>
        <w:t xml:space="preserve"> (2nd ed.). Routledge.</w:t>
      </w:r>
    </w:p>
    <w:p w14:paraId="6D42D6E5" w14:textId="77777777" w:rsidR="00E010F1" w:rsidRPr="00547EC7" w:rsidRDefault="00E010F1" w:rsidP="00E010F1">
      <w:pPr>
        <w:pStyle w:val="BIBLIOGRAPHIC"/>
        <w:rPr>
          <w:lang w:val="en-GB"/>
        </w:rPr>
      </w:pPr>
      <w:r w:rsidRPr="00547EC7">
        <w:rPr>
          <w:lang w:val="en-GB"/>
        </w:rPr>
        <w:lastRenderedPageBreak/>
        <w:t xml:space="preserve">Taylor, S. &amp; McCulloch, A. (2017). Mapping the landscape of awards for research supervision: A comparison of Australia and the UK. </w:t>
      </w:r>
      <w:r w:rsidRPr="00547EC7">
        <w:rPr>
          <w:i/>
          <w:iCs/>
          <w:lang w:val="en-GB"/>
        </w:rPr>
        <w:t>Innovations in Education and Teaching International</w:t>
      </w:r>
      <w:r w:rsidRPr="00547EC7">
        <w:rPr>
          <w:lang w:val="en-GB"/>
        </w:rPr>
        <w:t>, 1-14.​</w:t>
      </w:r>
    </w:p>
    <w:p w14:paraId="383AF88B" w14:textId="77777777" w:rsidR="00E010F1" w:rsidRPr="00997D3E" w:rsidRDefault="00E010F1" w:rsidP="00E010F1">
      <w:pPr>
        <w:pStyle w:val="BIBLIOGRAPHIC"/>
        <w:rPr>
          <w:lang w:val="en-GB"/>
        </w:rPr>
      </w:pPr>
      <w:r w:rsidRPr="00547EC7">
        <w:rPr>
          <w:lang w:val="en-GB"/>
        </w:rPr>
        <w:t xml:space="preserve">Taylor, S., Kiley, M., &amp; Holley, K. A. (Eds.). (2020). </w:t>
      </w:r>
      <w:r w:rsidRPr="00547EC7">
        <w:rPr>
          <w:i/>
          <w:iCs/>
          <w:lang w:val="en-GB"/>
        </w:rPr>
        <w:t>The Making of Doctoral Supervisors: International Case Studies of Practice</w:t>
      </w:r>
      <w:r w:rsidRPr="00547EC7">
        <w:rPr>
          <w:lang w:val="en-GB"/>
        </w:rPr>
        <w:t xml:space="preserve"> (1st ed.). Routledge.</w:t>
      </w:r>
    </w:p>
    <w:p w14:paraId="1E008373" w14:textId="14BFA174" w:rsidR="003D5230" w:rsidRDefault="003D5230" w:rsidP="00573172">
      <w:pPr>
        <w:rPr>
          <w:rFonts w:ascii="Brill" w:hAnsi="Brill"/>
        </w:rPr>
      </w:pPr>
    </w:p>
    <w:sectPr w:rsidR="003D5230" w:rsidSect="000C653D">
      <w:footerReference w:type="default" r:id="rId14"/>
      <w:endnotePr>
        <w:numFmt w:val="decimal"/>
        <w:numRestart w:val="eachSect"/>
      </w:endnotePr>
      <w:pgSz w:w="12240" w:h="15840" w:code="1"/>
      <w:pgMar w:top="2398" w:right="2858" w:bottom="2398" w:left="2858"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B5291" w14:textId="77777777" w:rsidR="0002302F" w:rsidRDefault="0002302F" w:rsidP="001874DE">
      <w:pPr>
        <w:spacing w:after="0" w:line="240" w:lineRule="auto"/>
      </w:pPr>
      <w:r>
        <w:separator/>
      </w:r>
    </w:p>
  </w:endnote>
  <w:endnote w:type="continuationSeparator" w:id="0">
    <w:p w14:paraId="2A063C01" w14:textId="77777777" w:rsidR="0002302F" w:rsidRDefault="0002302F" w:rsidP="001874DE">
      <w:pPr>
        <w:spacing w:after="0" w:line="240" w:lineRule="auto"/>
      </w:pPr>
      <w:r>
        <w:continuationSeparator/>
      </w:r>
    </w:p>
  </w:endnote>
  <w:endnote w:id="1">
    <w:p w14:paraId="311E64CB" w14:textId="77777777" w:rsidR="000E2863" w:rsidRPr="00A26396" w:rsidRDefault="000E2863" w:rsidP="00E010F1">
      <w:pPr>
        <w:pStyle w:val="ENDNOTE"/>
        <w:jc w:val="both"/>
        <w:rPr>
          <w:rStyle w:val="EndnoteReference"/>
        </w:rPr>
      </w:pPr>
      <w:r w:rsidRPr="00A26396">
        <w:rPr>
          <w:rStyle w:val="TEXTINDENTChar"/>
          <w:szCs w:val="18"/>
        </w:rPr>
        <w:endnoteRef/>
      </w:r>
      <w:r>
        <w:rPr>
          <w:rStyle w:val="TEXTINDENTChar"/>
          <w:szCs w:val="18"/>
        </w:rPr>
        <w:t xml:space="preserve">      </w:t>
      </w:r>
      <w:r>
        <w:rPr>
          <w:rStyle w:val="TEXTINDENTChar"/>
          <w:szCs w:val="18"/>
        </w:rPr>
        <w:tab/>
      </w:r>
      <w:r w:rsidRPr="00A26396">
        <w:rPr>
          <w:rStyle w:val="TEXTINDENTChar"/>
          <w:szCs w:val="18"/>
        </w:rPr>
        <w:t>Structured self-reflection is key to the national recognition process for supervisors</w:t>
      </w:r>
      <w:r>
        <w:t xml:space="preserve"> through the UKCGE: </w:t>
      </w:r>
      <w:hyperlink r:id="rId1" w:history="1">
        <w:r w:rsidRPr="006C6504">
          <w:rPr>
            <w:rStyle w:val="Hyperlink"/>
          </w:rPr>
          <w:t>https://supervision.ukcge.ac.uk/</w:t>
        </w:r>
      </w:hyperlink>
      <w:r>
        <w:t xml:space="preserve"> </w:t>
      </w:r>
    </w:p>
  </w:endnote>
  <w:endnote w:id="2">
    <w:p w14:paraId="760D9649" w14:textId="77777777" w:rsidR="000E2863" w:rsidRDefault="000E2863" w:rsidP="00E010F1">
      <w:pPr>
        <w:pStyle w:val="ENDNOTE"/>
        <w:jc w:val="both"/>
      </w:pPr>
      <w:r w:rsidRPr="00E65A73">
        <w:rPr>
          <w:rStyle w:val="EndnoteReference"/>
        </w:rPr>
        <w:endnoteRef/>
      </w:r>
      <w:r w:rsidRPr="00E65A73">
        <w:t xml:space="preserve"> </w:t>
      </w:r>
      <w:r>
        <w:tab/>
      </w:r>
      <w:r>
        <w:rPr>
          <w:rStyle w:val="TEXTINDENTChar"/>
          <w:szCs w:val="18"/>
        </w:rPr>
        <w:t xml:space="preserve">The </w:t>
      </w:r>
      <w:r w:rsidRPr="00974E06">
        <w:rPr>
          <w:rStyle w:val="TEXTINDENTChar"/>
          <w:szCs w:val="18"/>
        </w:rPr>
        <w:t>text</w:t>
      </w:r>
      <w:r>
        <w:rPr>
          <w:rStyle w:val="TEXTINDENTChar"/>
          <w:szCs w:val="18"/>
        </w:rPr>
        <w:t xml:space="preserve"> files (named ‘ed’/’td’) and code books</w:t>
      </w:r>
      <w:r w:rsidRPr="00974E06">
        <w:rPr>
          <w:rStyle w:val="TEXTINDENTChar"/>
          <w:szCs w:val="18"/>
        </w:rPr>
        <w:t xml:space="preserve"> can be found at: </w:t>
      </w:r>
      <w:hyperlink r:id="rId2" w:history="1">
        <w:r w:rsidRPr="00974E06">
          <w:rPr>
            <w:rStyle w:val="TEXTINDENTChar"/>
            <w:szCs w:val="18"/>
          </w:rPr>
          <w:t>https://github.com/matthewsillence/educational_discourse</w:t>
        </w:r>
      </w:hyperlink>
      <w:r>
        <w:rPr>
          <w:rStyle w:val="TEXTINDENTChar"/>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ill">
    <w:altName w:val="Calibri"/>
    <w:panose1 w:val="020B0604020202020204"/>
    <w:charset w:val="00"/>
    <w:family w:val="swiss"/>
    <w:pitch w:val="variable"/>
    <w:sig w:usb0="E00002FF" w:usb1="4000E4FB"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1137" w14:textId="77777777" w:rsidR="000E2863" w:rsidRDefault="000E2863">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sv-SE"/>
      </w:rPr>
      <w:t>2</w:t>
    </w:r>
    <w:r>
      <w:rPr>
        <w:caps/>
        <w:color w:val="4472C4" w:themeColor="accent1"/>
      </w:rPr>
      <w:fldChar w:fldCharType="end"/>
    </w:r>
  </w:p>
  <w:p w14:paraId="0886189B" w14:textId="77777777" w:rsidR="000E2863" w:rsidRDefault="000E2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6DCC5" w14:textId="77777777" w:rsidR="0002302F" w:rsidRDefault="0002302F" w:rsidP="001874DE">
      <w:pPr>
        <w:spacing w:after="0" w:line="240" w:lineRule="auto"/>
      </w:pPr>
      <w:r>
        <w:separator/>
      </w:r>
    </w:p>
  </w:footnote>
  <w:footnote w:type="continuationSeparator" w:id="0">
    <w:p w14:paraId="68E6BC2D" w14:textId="77777777" w:rsidR="0002302F" w:rsidRDefault="0002302F" w:rsidP="00187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16F0"/>
    <w:multiLevelType w:val="multilevel"/>
    <w:tmpl w:val="7A56CC90"/>
    <w:lvl w:ilvl="0">
      <w:start w:val="8"/>
      <w:numFmt w:val="bullet"/>
      <w:lvlText w:val="-"/>
      <w:lvlJc w:val="left"/>
      <w:pPr>
        <w:ind w:left="1174" w:hanging="360"/>
      </w:pPr>
      <w:rPr>
        <w:rFonts w:ascii="Brill" w:eastAsia="Brill" w:hAnsi="Brill" w:cs="Brill"/>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1" w15:restartNumberingAfterBreak="0">
    <w:nsid w:val="0AFE740E"/>
    <w:multiLevelType w:val="hybridMultilevel"/>
    <w:tmpl w:val="1F2C2DCE"/>
    <w:lvl w:ilvl="0" w:tplc="8B189E72">
      <w:start w:val="3"/>
      <w:numFmt w:val="decimal"/>
      <w:lvlText w:val="%1"/>
      <w:lvlJc w:val="left"/>
      <w:pPr>
        <w:ind w:left="587" w:hanging="360"/>
      </w:pPr>
      <w:rPr>
        <w:rFonts w:hint="default"/>
      </w:rPr>
    </w:lvl>
    <w:lvl w:ilvl="1" w:tplc="041D0019">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2" w15:restartNumberingAfterBreak="0">
    <w:nsid w:val="0E644782"/>
    <w:multiLevelType w:val="hybridMultilevel"/>
    <w:tmpl w:val="03D45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167B2E"/>
    <w:multiLevelType w:val="hybridMultilevel"/>
    <w:tmpl w:val="AC7241D0"/>
    <w:lvl w:ilvl="0" w:tplc="1A14BBBA">
      <w:start w:val="1"/>
      <w:numFmt w:val="bullet"/>
      <w:lvlText w:val=""/>
      <w:lvlJc w:val="left"/>
      <w:pPr>
        <w:ind w:left="720" w:hanging="500"/>
      </w:pPr>
      <w:rPr>
        <w:rFonts w:ascii="Symbol" w:hAnsi="Symbol" w:hint="default"/>
      </w:rPr>
    </w:lvl>
    <w:lvl w:ilvl="1" w:tplc="658074CA">
      <w:start w:val="1"/>
      <w:numFmt w:val="bullet"/>
      <w:lvlText w:val=""/>
      <w:lvlJc w:val="left"/>
      <w:pPr>
        <w:ind w:left="1220" w:hanging="500"/>
      </w:pPr>
      <w:rPr>
        <w:rFonts w:ascii="Symbol" w:hAnsi="Symbol" w:hint="default"/>
      </w:rPr>
    </w:lvl>
    <w:lvl w:ilvl="2" w:tplc="E180760C">
      <w:start w:val="1"/>
      <w:numFmt w:val="bullet"/>
      <w:lvlText w:val=""/>
      <w:lvlJc w:val="left"/>
      <w:pPr>
        <w:ind w:left="1720" w:hanging="500"/>
      </w:pPr>
      <w:rPr>
        <w:rFonts w:ascii="Symbol" w:hAnsi="Symbol" w:hint="default"/>
      </w:rPr>
    </w:lvl>
    <w:lvl w:ilvl="3" w:tplc="3AD09DA4">
      <w:start w:val="1"/>
      <w:numFmt w:val="bullet"/>
      <w:lvlText w:val=""/>
      <w:lvlJc w:val="left"/>
      <w:pPr>
        <w:ind w:left="2220" w:hanging="500"/>
      </w:pPr>
      <w:rPr>
        <w:rFonts w:ascii="Symbol" w:hAnsi="Symbol" w:hint="default"/>
      </w:rPr>
    </w:lvl>
    <w:lvl w:ilvl="4" w:tplc="3514C330">
      <w:start w:val="1"/>
      <w:numFmt w:val="bullet"/>
      <w:lvlText w:val=""/>
      <w:lvlJc w:val="left"/>
      <w:pPr>
        <w:ind w:left="2720" w:hanging="500"/>
      </w:pPr>
      <w:rPr>
        <w:rFonts w:ascii="Symbol" w:hAnsi="Symbol" w:hint="default"/>
      </w:rPr>
    </w:lvl>
    <w:lvl w:ilvl="5" w:tplc="AF96B558">
      <w:start w:val="1"/>
      <w:numFmt w:val="bullet"/>
      <w:lvlText w:val=""/>
      <w:lvlJc w:val="left"/>
      <w:pPr>
        <w:ind w:left="3220" w:hanging="500"/>
      </w:pPr>
      <w:rPr>
        <w:rFonts w:ascii="Symbol" w:hAnsi="Symbol" w:hint="default"/>
      </w:rPr>
    </w:lvl>
    <w:lvl w:ilvl="6" w:tplc="7F6CD5B2">
      <w:start w:val="1"/>
      <w:numFmt w:val="bullet"/>
      <w:lvlText w:val=""/>
      <w:lvlJc w:val="left"/>
      <w:pPr>
        <w:ind w:left="3720" w:hanging="500"/>
      </w:pPr>
      <w:rPr>
        <w:rFonts w:ascii="Symbol" w:hAnsi="Symbol" w:hint="default"/>
      </w:rPr>
    </w:lvl>
    <w:lvl w:ilvl="7" w:tplc="BDDA0BA0">
      <w:start w:val="1"/>
      <w:numFmt w:val="bullet"/>
      <w:lvlText w:val=""/>
      <w:lvlJc w:val="left"/>
      <w:pPr>
        <w:ind w:left="4220" w:hanging="500"/>
      </w:pPr>
      <w:rPr>
        <w:rFonts w:ascii="Symbol" w:hAnsi="Symbol" w:hint="default"/>
      </w:rPr>
    </w:lvl>
    <w:lvl w:ilvl="8" w:tplc="4828B6D0">
      <w:start w:val="1"/>
      <w:numFmt w:val="bullet"/>
      <w:lvlText w:val=""/>
      <w:lvlJc w:val="left"/>
      <w:pPr>
        <w:ind w:left="4720" w:hanging="500"/>
      </w:pPr>
      <w:rPr>
        <w:rFonts w:ascii="Symbol" w:hAnsi="Symbol" w:hint="default"/>
      </w:rPr>
    </w:lvl>
  </w:abstractNum>
  <w:abstractNum w:abstractNumId="4" w15:restartNumberingAfterBreak="0">
    <w:nsid w:val="1079128D"/>
    <w:multiLevelType w:val="hybridMultilevel"/>
    <w:tmpl w:val="6F3E3238"/>
    <w:lvl w:ilvl="0" w:tplc="749A9E02">
      <w:start w:val="1"/>
      <w:numFmt w:val="decimal"/>
      <w:lvlText w:val="%1"/>
      <w:lvlJc w:val="left"/>
      <w:pPr>
        <w:ind w:left="722" w:hanging="495"/>
      </w:pPr>
      <w:rPr>
        <w:rFonts w:hint="default"/>
        <w:i w:val="0"/>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5" w15:restartNumberingAfterBreak="0">
    <w:nsid w:val="149C4B29"/>
    <w:multiLevelType w:val="hybridMultilevel"/>
    <w:tmpl w:val="6EC606C4"/>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6" w15:restartNumberingAfterBreak="0">
    <w:nsid w:val="182907C0"/>
    <w:multiLevelType w:val="hybridMultilevel"/>
    <w:tmpl w:val="12221560"/>
    <w:lvl w:ilvl="0" w:tplc="40881342">
      <w:start w:val="1"/>
      <w:numFmt w:val="bullet"/>
      <w:lvlText w:val=""/>
      <w:lvlJc w:val="left"/>
      <w:pPr>
        <w:ind w:left="720" w:hanging="500"/>
      </w:pPr>
      <w:rPr>
        <w:rFonts w:ascii="Symbol" w:hAnsi="Symbol" w:hint="default"/>
      </w:rPr>
    </w:lvl>
    <w:lvl w:ilvl="1" w:tplc="46C8EA0E">
      <w:start w:val="1"/>
      <w:numFmt w:val="bullet"/>
      <w:lvlText w:val=""/>
      <w:lvlJc w:val="left"/>
      <w:pPr>
        <w:ind w:left="1220" w:hanging="500"/>
      </w:pPr>
      <w:rPr>
        <w:rFonts w:ascii="Symbol" w:hAnsi="Symbol" w:hint="default"/>
      </w:rPr>
    </w:lvl>
    <w:lvl w:ilvl="2" w:tplc="A142DF1A">
      <w:start w:val="1"/>
      <w:numFmt w:val="bullet"/>
      <w:lvlText w:val=""/>
      <w:lvlJc w:val="left"/>
      <w:pPr>
        <w:ind w:left="1720" w:hanging="500"/>
      </w:pPr>
      <w:rPr>
        <w:rFonts w:ascii="Symbol" w:hAnsi="Symbol" w:hint="default"/>
      </w:rPr>
    </w:lvl>
    <w:lvl w:ilvl="3" w:tplc="92EA8E0A">
      <w:start w:val="1"/>
      <w:numFmt w:val="bullet"/>
      <w:lvlText w:val=""/>
      <w:lvlJc w:val="left"/>
      <w:pPr>
        <w:ind w:left="2220" w:hanging="500"/>
      </w:pPr>
      <w:rPr>
        <w:rFonts w:ascii="Symbol" w:hAnsi="Symbol" w:hint="default"/>
      </w:rPr>
    </w:lvl>
    <w:lvl w:ilvl="4" w:tplc="9212652E">
      <w:start w:val="1"/>
      <w:numFmt w:val="bullet"/>
      <w:lvlText w:val=""/>
      <w:lvlJc w:val="left"/>
      <w:pPr>
        <w:ind w:left="2720" w:hanging="500"/>
      </w:pPr>
      <w:rPr>
        <w:rFonts w:ascii="Symbol" w:hAnsi="Symbol" w:hint="default"/>
      </w:rPr>
    </w:lvl>
    <w:lvl w:ilvl="5" w:tplc="1A7A0596">
      <w:start w:val="1"/>
      <w:numFmt w:val="bullet"/>
      <w:lvlText w:val=""/>
      <w:lvlJc w:val="left"/>
      <w:pPr>
        <w:ind w:left="3220" w:hanging="500"/>
      </w:pPr>
      <w:rPr>
        <w:rFonts w:ascii="Symbol" w:hAnsi="Symbol" w:hint="default"/>
      </w:rPr>
    </w:lvl>
    <w:lvl w:ilvl="6" w:tplc="CB9CB3DC">
      <w:start w:val="1"/>
      <w:numFmt w:val="bullet"/>
      <w:lvlText w:val=""/>
      <w:lvlJc w:val="left"/>
      <w:pPr>
        <w:ind w:left="3720" w:hanging="500"/>
      </w:pPr>
      <w:rPr>
        <w:rFonts w:ascii="Symbol" w:hAnsi="Symbol" w:hint="default"/>
      </w:rPr>
    </w:lvl>
    <w:lvl w:ilvl="7" w:tplc="84EE4724">
      <w:start w:val="1"/>
      <w:numFmt w:val="bullet"/>
      <w:lvlText w:val=""/>
      <w:lvlJc w:val="left"/>
      <w:pPr>
        <w:ind w:left="4220" w:hanging="500"/>
      </w:pPr>
      <w:rPr>
        <w:rFonts w:ascii="Symbol" w:hAnsi="Symbol" w:hint="default"/>
      </w:rPr>
    </w:lvl>
    <w:lvl w:ilvl="8" w:tplc="90C671E2">
      <w:start w:val="1"/>
      <w:numFmt w:val="bullet"/>
      <w:lvlText w:val=""/>
      <w:lvlJc w:val="left"/>
      <w:pPr>
        <w:ind w:left="4720" w:hanging="500"/>
      </w:pPr>
      <w:rPr>
        <w:rFonts w:ascii="Symbol" w:hAnsi="Symbol" w:hint="default"/>
      </w:rPr>
    </w:lvl>
  </w:abstractNum>
  <w:abstractNum w:abstractNumId="7" w15:restartNumberingAfterBreak="0">
    <w:nsid w:val="1A1A1DA1"/>
    <w:multiLevelType w:val="multilevel"/>
    <w:tmpl w:val="C032B238"/>
    <w:lvl w:ilvl="0">
      <w:start w:val="8"/>
      <w:numFmt w:val="bullet"/>
      <w:lvlText w:val="-"/>
      <w:lvlJc w:val="left"/>
      <w:pPr>
        <w:ind w:left="1174" w:hanging="360"/>
      </w:pPr>
      <w:rPr>
        <w:rFonts w:ascii="Brill" w:eastAsia="Brill" w:hAnsi="Brill" w:cs="Brill"/>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8" w15:restartNumberingAfterBreak="0">
    <w:nsid w:val="1AA03462"/>
    <w:multiLevelType w:val="multilevel"/>
    <w:tmpl w:val="C1D0BABC"/>
    <w:lvl w:ilvl="0">
      <w:start w:val="8"/>
      <w:numFmt w:val="bullet"/>
      <w:lvlText w:val="-"/>
      <w:lvlJc w:val="left"/>
      <w:pPr>
        <w:ind w:left="1080" w:hanging="360"/>
      </w:pPr>
      <w:rPr>
        <w:rFonts w:ascii="Brill" w:eastAsia="Brill" w:hAnsi="Brill" w:cs="Bril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FAE7BC5"/>
    <w:multiLevelType w:val="hybridMultilevel"/>
    <w:tmpl w:val="1632F744"/>
    <w:lvl w:ilvl="0" w:tplc="9A2023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743262"/>
    <w:multiLevelType w:val="singleLevel"/>
    <w:tmpl w:val="096A7D68"/>
    <w:lvl w:ilvl="0">
      <w:numFmt w:val="bullet"/>
      <w:lvlText w:val="–"/>
      <w:lvlJc w:val="left"/>
      <w:pPr>
        <w:tabs>
          <w:tab w:val="num" w:pos="360"/>
        </w:tabs>
        <w:ind w:left="227" w:hanging="227"/>
      </w:pPr>
      <w:rPr>
        <w:rFonts w:ascii="Times New Roman" w:hAnsi="Times New Roman" w:hint="default"/>
      </w:rPr>
    </w:lvl>
  </w:abstractNum>
  <w:abstractNum w:abstractNumId="11" w15:restartNumberingAfterBreak="0">
    <w:nsid w:val="27581F7F"/>
    <w:multiLevelType w:val="multilevel"/>
    <w:tmpl w:val="068A33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8806B4F"/>
    <w:multiLevelType w:val="hybridMultilevel"/>
    <w:tmpl w:val="21BA2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95476"/>
    <w:multiLevelType w:val="hybridMultilevel"/>
    <w:tmpl w:val="C2DE6676"/>
    <w:lvl w:ilvl="0" w:tplc="BEB84B86">
      <w:start w:val="4"/>
      <w:numFmt w:val="bullet"/>
      <w:lvlText w:val="-"/>
      <w:lvlJc w:val="left"/>
      <w:pPr>
        <w:ind w:left="580" w:hanging="360"/>
      </w:pPr>
      <w:rPr>
        <w:rFonts w:ascii="Brill" w:eastAsiaTheme="minorHAnsi" w:hAnsi="Brill" w:cstheme="minorBidi"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14" w15:restartNumberingAfterBreak="0">
    <w:nsid w:val="2CE50B8F"/>
    <w:multiLevelType w:val="hybridMultilevel"/>
    <w:tmpl w:val="EEDE5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4946C1"/>
    <w:multiLevelType w:val="hybridMultilevel"/>
    <w:tmpl w:val="19424B54"/>
    <w:lvl w:ilvl="0" w:tplc="65A28EE6">
      <w:start w:val="1"/>
      <w:numFmt w:val="bullet"/>
      <w:lvlText w:val=""/>
      <w:lvlJc w:val="left"/>
      <w:pPr>
        <w:ind w:left="720" w:hanging="500"/>
      </w:pPr>
      <w:rPr>
        <w:rFonts w:ascii="Symbol" w:hAnsi="Symbol" w:hint="default"/>
      </w:rPr>
    </w:lvl>
    <w:lvl w:ilvl="1" w:tplc="B7CC7CB0">
      <w:start w:val="1"/>
      <w:numFmt w:val="bullet"/>
      <w:lvlText w:val=""/>
      <w:lvlJc w:val="left"/>
      <w:pPr>
        <w:ind w:left="1220" w:hanging="500"/>
      </w:pPr>
      <w:rPr>
        <w:rFonts w:ascii="Symbol" w:hAnsi="Symbol" w:hint="default"/>
      </w:rPr>
    </w:lvl>
    <w:lvl w:ilvl="2" w:tplc="0F3E1110">
      <w:start w:val="1"/>
      <w:numFmt w:val="bullet"/>
      <w:lvlText w:val=""/>
      <w:lvlJc w:val="left"/>
      <w:pPr>
        <w:ind w:left="1720" w:hanging="500"/>
      </w:pPr>
      <w:rPr>
        <w:rFonts w:ascii="Symbol" w:hAnsi="Symbol" w:hint="default"/>
      </w:rPr>
    </w:lvl>
    <w:lvl w:ilvl="3" w:tplc="EE5A9000">
      <w:start w:val="1"/>
      <w:numFmt w:val="bullet"/>
      <w:lvlText w:val=""/>
      <w:lvlJc w:val="left"/>
      <w:pPr>
        <w:ind w:left="2220" w:hanging="500"/>
      </w:pPr>
      <w:rPr>
        <w:rFonts w:ascii="Symbol" w:hAnsi="Symbol" w:hint="default"/>
      </w:rPr>
    </w:lvl>
    <w:lvl w:ilvl="4" w:tplc="B1F46860">
      <w:start w:val="1"/>
      <w:numFmt w:val="bullet"/>
      <w:lvlText w:val=""/>
      <w:lvlJc w:val="left"/>
      <w:pPr>
        <w:ind w:left="2720" w:hanging="500"/>
      </w:pPr>
      <w:rPr>
        <w:rFonts w:ascii="Symbol" w:hAnsi="Symbol" w:hint="default"/>
      </w:rPr>
    </w:lvl>
    <w:lvl w:ilvl="5" w:tplc="9676C8CC">
      <w:start w:val="1"/>
      <w:numFmt w:val="bullet"/>
      <w:lvlText w:val=""/>
      <w:lvlJc w:val="left"/>
      <w:pPr>
        <w:ind w:left="3220" w:hanging="500"/>
      </w:pPr>
      <w:rPr>
        <w:rFonts w:ascii="Symbol" w:hAnsi="Symbol" w:hint="default"/>
      </w:rPr>
    </w:lvl>
    <w:lvl w:ilvl="6" w:tplc="B5E21264">
      <w:start w:val="1"/>
      <w:numFmt w:val="bullet"/>
      <w:lvlText w:val=""/>
      <w:lvlJc w:val="left"/>
      <w:pPr>
        <w:ind w:left="3720" w:hanging="500"/>
      </w:pPr>
      <w:rPr>
        <w:rFonts w:ascii="Symbol" w:hAnsi="Symbol" w:hint="default"/>
      </w:rPr>
    </w:lvl>
    <w:lvl w:ilvl="7" w:tplc="D438FB10">
      <w:start w:val="1"/>
      <w:numFmt w:val="bullet"/>
      <w:lvlText w:val=""/>
      <w:lvlJc w:val="left"/>
      <w:pPr>
        <w:ind w:left="4220" w:hanging="500"/>
      </w:pPr>
      <w:rPr>
        <w:rFonts w:ascii="Symbol" w:hAnsi="Symbol" w:hint="default"/>
      </w:rPr>
    </w:lvl>
    <w:lvl w:ilvl="8" w:tplc="211CA858">
      <w:start w:val="1"/>
      <w:numFmt w:val="bullet"/>
      <w:lvlText w:val=""/>
      <w:lvlJc w:val="left"/>
      <w:pPr>
        <w:ind w:left="4720" w:hanging="500"/>
      </w:pPr>
      <w:rPr>
        <w:rFonts w:ascii="Symbol" w:hAnsi="Symbol" w:hint="default"/>
      </w:rPr>
    </w:lvl>
  </w:abstractNum>
  <w:abstractNum w:abstractNumId="16" w15:restartNumberingAfterBreak="0">
    <w:nsid w:val="2FB74040"/>
    <w:multiLevelType w:val="hybridMultilevel"/>
    <w:tmpl w:val="11E6F532"/>
    <w:lvl w:ilvl="0" w:tplc="1AE2C900">
      <w:start w:val="1"/>
      <w:numFmt w:val="bullet"/>
      <w:pStyle w:val="ITEM"/>
      <w:lvlText w:val="–"/>
      <w:lvlJc w:val="left"/>
      <w:pPr>
        <w:ind w:left="720" w:hanging="360"/>
      </w:pPr>
      <w:rPr>
        <w:rFonts w:ascii="Brill" w:hAnsi="Bri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F01E5"/>
    <w:multiLevelType w:val="hybridMultilevel"/>
    <w:tmpl w:val="93C6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7D4B60"/>
    <w:multiLevelType w:val="hybridMultilevel"/>
    <w:tmpl w:val="CB064CBA"/>
    <w:lvl w:ilvl="0" w:tplc="05A28B06">
      <w:start w:val="1"/>
      <w:numFmt w:val="bullet"/>
      <w:lvlText w:val="•"/>
      <w:lvlJc w:val="left"/>
      <w:pPr>
        <w:tabs>
          <w:tab w:val="num" w:pos="720"/>
        </w:tabs>
        <w:ind w:left="720" w:hanging="360"/>
      </w:pPr>
      <w:rPr>
        <w:rFonts w:ascii="Times New Roman" w:hAnsi="Times New Roman" w:hint="default"/>
      </w:rPr>
    </w:lvl>
    <w:lvl w:ilvl="1" w:tplc="DBE68D80" w:tentative="1">
      <w:start w:val="1"/>
      <w:numFmt w:val="bullet"/>
      <w:lvlText w:val="•"/>
      <w:lvlJc w:val="left"/>
      <w:pPr>
        <w:tabs>
          <w:tab w:val="num" w:pos="1440"/>
        </w:tabs>
        <w:ind w:left="1440" w:hanging="360"/>
      </w:pPr>
      <w:rPr>
        <w:rFonts w:ascii="Times New Roman" w:hAnsi="Times New Roman" w:hint="default"/>
      </w:rPr>
    </w:lvl>
    <w:lvl w:ilvl="2" w:tplc="DB1C4458" w:tentative="1">
      <w:start w:val="1"/>
      <w:numFmt w:val="bullet"/>
      <w:lvlText w:val="•"/>
      <w:lvlJc w:val="left"/>
      <w:pPr>
        <w:tabs>
          <w:tab w:val="num" w:pos="2160"/>
        </w:tabs>
        <w:ind w:left="2160" w:hanging="360"/>
      </w:pPr>
      <w:rPr>
        <w:rFonts w:ascii="Times New Roman" w:hAnsi="Times New Roman" w:hint="default"/>
      </w:rPr>
    </w:lvl>
    <w:lvl w:ilvl="3" w:tplc="497A3B48" w:tentative="1">
      <w:start w:val="1"/>
      <w:numFmt w:val="bullet"/>
      <w:lvlText w:val="•"/>
      <w:lvlJc w:val="left"/>
      <w:pPr>
        <w:tabs>
          <w:tab w:val="num" w:pos="2880"/>
        </w:tabs>
        <w:ind w:left="2880" w:hanging="360"/>
      </w:pPr>
      <w:rPr>
        <w:rFonts w:ascii="Times New Roman" w:hAnsi="Times New Roman" w:hint="default"/>
      </w:rPr>
    </w:lvl>
    <w:lvl w:ilvl="4" w:tplc="BD3EA5AC" w:tentative="1">
      <w:start w:val="1"/>
      <w:numFmt w:val="bullet"/>
      <w:lvlText w:val="•"/>
      <w:lvlJc w:val="left"/>
      <w:pPr>
        <w:tabs>
          <w:tab w:val="num" w:pos="3600"/>
        </w:tabs>
        <w:ind w:left="3600" w:hanging="360"/>
      </w:pPr>
      <w:rPr>
        <w:rFonts w:ascii="Times New Roman" w:hAnsi="Times New Roman" w:hint="default"/>
      </w:rPr>
    </w:lvl>
    <w:lvl w:ilvl="5" w:tplc="224C161C" w:tentative="1">
      <w:start w:val="1"/>
      <w:numFmt w:val="bullet"/>
      <w:lvlText w:val="•"/>
      <w:lvlJc w:val="left"/>
      <w:pPr>
        <w:tabs>
          <w:tab w:val="num" w:pos="4320"/>
        </w:tabs>
        <w:ind w:left="4320" w:hanging="360"/>
      </w:pPr>
      <w:rPr>
        <w:rFonts w:ascii="Times New Roman" w:hAnsi="Times New Roman" w:hint="default"/>
      </w:rPr>
    </w:lvl>
    <w:lvl w:ilvl="6" w:tplc="B6B60364" w:tentative="1">
      <w:start w:val="1"/>
      <w:numFmt w:val="bullet"/>
      <w:lvlText w:val="•"/>
      <w:lvlJc w:val="left"/>
      <w:pPr>
        <w:tabs>
          <w:tab w:val="num" w:pos="5040"/>
        </w:tabs>
        <w:ind w:left="5040" w:hanging="360"/>
      </w:pPr>
      <w:rPr>
        <w:rFonts w:ascii="Times New Roman" w:hAnsi="Times New Roman" w:hint="default"/>
      </w:rPr>
    </w:lvl>
    <w:lvl w:ilvl="7" w:tplc="7B3AE450" w:tentative="1">
      <w:start w:val="1"/>
      <w:numFmt w:val="bullet"/>
      <w:lvlText w:val="•"/>
      <w:lvlJc w:val="left"/>
      <w:pPr>
        <w:tabs>
          <w:tab w:val="num" w:pos="5760"/>
        </w:tabs>
        <w:ind w:left="5760" w:hanging="360"/>
      </w:pPr>
      <w:rPr>
        <w:rFonts w:ascii="Times New Roman" w:hAnsi="Times New Roman" w:hint="default"/>
      </w:rPr>
    </w:lvl>
    <w:lvl w:ilvl="8" w:tplc="6F90497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83202ED"/>
    <w:multiLevelType w:val="multilevel"/>
    <w:tmpl w:val="B84CE02E"/>
    <w:lvl w:ilvl="0">
      <w:start w:val="8"/>
      <w:numFmt w:val="bullet"/>
      <w:lvlText w:val="-"/>
      <w:lvlJc w:val="left"/>
      <w:pPr>
        <w:ind w:left="1080" w:hanging="360"/>
      </w:pPr>
      <w:rPr>
        <w:rFonts w:ascii="Brill" w:eastAsia="Brill" w:hAnsi="Brill" w:cs="Bril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3AF92423"/>
    <w:multiLevelType w:val="multilevel"/>
    <w:tmpl w:val="3BD61330"/>
    <w:lvl w:ilvl="0">
      <w:start w:val="8"/>
      <w:numFmt w:val="bullet"/>
      <w:lvlText w:val="-"/>
      <w:lvlJc w:val="left"/>
      <w:pPr>
        <w:ind w:left="1174" w:hanging="360"/>
      </w:pPr>
      <w:rPr>
        <w:rFonts w:ascii="Brill" w:eastAsia="Brill" w:hAnsi="Brill" w:cs="Brill"/>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21" w15:restartNumberingAfterBreak="0">
    <w:nsid w:val="3D38471B"/>
    <w:multiLevelType w:val="multilevel"/>
    <w:tmpl w:val="0F5217DA"/>
    <w:lvl w:ilvl="0">
      <w:start w:val="8"/>
      <w:numFmt w:val="bullet"/>
      <w:lvlText w:val="-"/>
      <w:lvlJc w:val="left"/>
      <w:pPr>
        <w:ind w:left="814" w:hanging="359"/>
      </w:pPr>
      <w:rPr>
        <w:rFonts w:ascii="Brill" w:eastAsia="Brill" w:hAnsi="Brill" w:cs="Brill"/>
      </w:rPr>
    </w:lvl>
    <w:lvl w:ilvl="1">
      <w:start w:val="1"/>
      <w:numFmt w:val="bullet"/>
      <w:lvlText w:val="o"/>
      <w:lvlJc w:val="left"/>
      <w:pPr>
        <w:ind w:left="1534" w:hanging="360"/>
      </w:pPr>
      <w:rPr>
        <w:rFonts w:ascii="Courier New" w:eastAsia="Courier New" w:hAnsi="Courier New" w:cs="Courier New"/>
      </w:rPr>
    </w:lvl>
    <w:lvl w:ilvl="2">
      <w:start w:val="1"/>
      <w:numFmt w:val="bullet"/>
      <w:lvlText w:val="▪"/>
      <w:lvlJc w:val="left"/>
      <w:pPr>
        <w:ind w:left="2254" w:hanging="360"/>
      </w:pPr>
      <w:rPr>
        <w:rFonts w:ascii="Noto Sans Symbols" w:eastAsia="Noto Sans Symbols" w:hAnsi="Noto Sans Symbols" w:cs="Noto Sans Symbols"/>
      </w:rPr>
    </w:lvl>
    <w:lvl w:ilvl="3">
      <w:start w:val="1"/>
      <w:numFmt w:val="bullet"/>
      <w:lvlText w:val="●"/>
      <w:lvlJc w:val="left"/>
      <w:pPr>
        <w:ind w:left="2974" w:hanging="360"/>
      </w:pPr>
      <w:rPr>
        <w:rFonts w:ascii="Noto Sans Symbols" w:eastAsia="Noto Sans Symbols" w:hAnsi="Noto Sans Symbols" w:cs="Noto Sans Symbols"/>
      </w:rPr>
    </w:lvl>
    <w:lvl w:ilvl="4">
      <w:start w:val="1"/>
      <w:numFmt w:val="bullet"/>
      <w:lvlText w:val="o"/>
      <w:lvlJc w:val="left"/>
      <w:pPr>
        <w:ind w:left="3694" w:hanging="360"/>
      </w:pPr>
      <w:rPr>
        <w:rFonts w:ascii="Courier New" w:eastAsia="Courier New" w:hAnsi="Courier New" w:cs="Courier New"/>
      </w:rPr>
    </w:lvl>
    <w:lvl w:ilvl="5">
      <w:start w:val="1"/>
      <w:numFmt w:val="bullet"/>
      <w:lvlText w:val="▪"/>
      <w:lvlJc w:val="left"/>
      <w:pPr>
        <w:ind w:left="4414" w:hanging="360"/>
      </w:pPr>
      <w:rPr>
        <w:rFonts w:ascii="Noto Sans Symbols" w:eastAsia="Noto Sans Symbols" w:hAnsi="Noto Sans Symbols" w:cs="Noto Sans Symbols"/>
      </w:rPr>
    </w:lvl>
    <w:lvl w:ilvl="6">
      <w:start w:val="1"/>
      <w:numFmt w:val="bullet"/>
      <w:lvlText w:val="●"/>
      <w:lvlJc w:val="left"/>
      <w:pPr>
        <w:ind w:left="5134" w:hanging="360"/>
      </w:pPr>
      <w:rPr>
        <w:rFonts w:ascii="Noto Sans Symbols" w:eastAsia="Noto Sans Symbols" w:hAnsi="Noto Sans Symbols" w:cs="Noto Sans Symbols"/>
      </w:rPr>
    </w:lvl>
    <w:lvl w:ilvl="7">
      <w:start w:val="1"/>
      <w:numFmt w:val="bullet"/>
      <w:lvlText w:val="o"/>
      <w:lvlJc w:val="left"/>
      <w:pPr>
        <w:ind w:left="5854" w:hanging="360"/>
      </w:pPr>
      <w:rPr>
        <w:rFonts w:ascii="Courier New" w:eastAsia="Courier New" w:hAnsi="Courier New" w:cs="Courier New"/>
      </w:rPr>
    </w:lvl>
    <w:lvl w:ilvl="8">
      <w:start w:val="1"/>
      <w:numFmt w:val="bullet"/>
      <w:lvlText w:val="▪"/>
      <w:lvlJc w:val="left"/>
      <w:pPr>
        <w:ind w:left="6574" w:hanging="360"/>
      </w:pPr>
      <w:rPr>
        <w:rFonts w:ascii="Noto Sans Symbols" w:eastAsia="Noto Sans Symbols" w:hAnsi="Noto Sans Symbols" w:cs="Noto Sans Symbols"/>
      </w:rPr>
    </w:lvl>
  </w:abstractNum>
  <w:abstractNum w:abstractNumId="22" w15:restartNumberingAfterBreak="0">
    <w:nsid w:val="44D432EA"/>
    <w:multiLevelType w:val="hybridMultilevel"/>
    <w:tmpl w:val="C66A4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196A02"/>
    <w:multiLevelType w:val="multilevel"/>
    <w:tmpl w:val="39DAC4B8"/>
    <w:lvl w:ilvl="0">
      <w:start w:val="8"/>
      <w:numFmt w:val="bullet"/>
      <w:lvlText w:val="-"/>
      <w:lvlJc w:val="left"/>
      <w:pPr>
        <w:ind w:left="1174" w:hanging="360"/>
      </w:pPr>
      <w:rPr>
        <w:rFonts w:ascii="Brill" w:eastAsia="Brill" w:hAnsi="Brill" w:cs="Brill"/>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24" w15:restartNumberingAfterBreak="0">
    <w:nsid w:val="4F52486E"/>
    <w:multiLevelType w:val="hybridMultilevel"/>
    <w:tmpl w:val="14E01CE6"/>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5" w15:restartNumberingAfterBreak="0">
    <w:nsid w:val="54771DA0"/>
    <w:multiLevelType w:val="hybridMultilevel"/>
    <w:tmpl w:val="790AD5F0"/>
    <w:lvl w:ilvl="0" w:tplc="041D000F">
      <w:start w:val="1"/>
      <w:numFmt w:val="decimal"/>
      <w:lvlText w:val="%1."/>
      <w:lvlJc w:val="left"/>
      <w:pPr>
        <w:ind w:left="947" w:hanging="360"/>
      </w:pPr>
    </w:lvl>
    <w:lvl w:ilvl="1" w:tplc="041D0019" w:tentative="1">
      <w:start w:val="1"/>
      <w:numFmt w:val="lowerLetter"/>
      <w:lvlText w:val="%2."/>
      <w:lvlJc w:val="left"/>
      <w:pPr>
        <w:ind w:left="1667" w:hanging="360"/>
      </w:pPr>
    </w:lvl>
    <w:lvl w:ilvl="2" w:tplc="041D001B" w:tentative="1">
      <w:start w:val="1"/>
      <w:numFmt w:val="lowerRoman"/>
      <w:lvlText w:val="%3."/>
      <w:lvlJc w:val="right"/>
      <w:pPr>
        <w:ind w:left="2387" w:hanging="180"/>
      </w:pPr>
    </w:lvl>
    <w:lvl w:ilvl="3" w:tplc="041D000F" w:tentative="1">
      <w:start w:val="1"/>
      <w:numFmt w:val="decimal"/>
      <w:lvlText w:val="%4."/>
      <w:lvlJc w:val="left"/>
      <w:pPr>
        <w:ind w:left="3107" w:hanging="360"/>
      </w:pPr>
    </w:lvl>
    <w:lvl w:ilvl="4" w:tplc="041D0019" w:tentative="1">
      <w:start w:val="1"/>
      <w:numFmt w:val="lowerLetter"/>
      <w:lvlText w:val="%5."/>
      <w:lvlJc w:val="left"/>
      <w:pPr>
        <w:ind w:left="3827" w:hanging="360"/>
      </w:pPr>
    </w:lvl>
    <w:lvl w:ilvl="5" w:tplc="041D001B" w:tentative="1">
      <w:start w:val="1"/>
      <w:numFmt w:val="lowerRoman"/>
      <w:lvlText w:val="%6."/>
      <w:lvlJc w:val="right"/>
      <w:pPr>
        <w:ind w:left="4547" w:hanging="180"/>
      </w:pPr>
    </w:lvl>
    <w:lvl w:ilvl="6" w:tplc="041D000F" w:tentative="1">
      <w:start w:val="1"/>
      <w:numFmt w:val="decimal"/>
      <w:lvlText w:val="%7."/>
      <w:lvlJc w:val="left"/>
      <w:pPr>
        <w:ind w:left="5267" w:hanging="360"/>
      </w:pPr>
    </w:lvl>
    <w:lvl w:ilvl="7" w:tplc="041D0019" w:tentative="1">
      <w:start w:val="1"/>
      <w:numFmt w:val="lowerLetter"/>
      <w:lvlText w:val="%8."/>
      <w:lvlJc w:val="left"/>
      <w:pPr>
        <w:ind w:left="5987" w:hanging="360"/>
      </w:pPr>
    </w:lvl>
    <w:lvl w:ilvl="8" w:tplc="041D001B" w:tentative="1">
      <w:start w:val="1"/>
      <w:numFmt w:val="lowerRoman"/>
      <w:lvlText w:val="%9."/>
      <w:lvlJc w:val="right"/>
      <w:pPr>
        <w:ind w:left="6707" w:hanging="180"/>
      </w:pPr>
    </w:lvl>
  </w:abstractNum>
  <w:abstractNum w:abstractNumId="26" w15:restartNumberingAfterBreak="0">
    <w:nsid w:val="54F0356E"/>
    <w:multiLevelType w:val="multilevel"/>
    <w:tmpl w:val="18887ACC"/>
    <w:lvl w:ilvl="0">
      <w:start w:val="8"/>
      <w:numFmt w:val="bullet"/>
      <w:lvlText w:val="-"/>
      <w:lvlJc w:val="left"/>
      <w:pPr>
        <w:ind w:left="720" w:hanging="360"/>
      </w:pPr>
      <w:rPr>
        <w:rFonts w:ascii="Brill" w:eastAsia="Brill" w:hAnsi="Brill" w:cs="Bril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B8D04F7"/>
    <w:multiLevelType w:val="singleLevel"/>
    <w:tmpl w:val="74EE4282"/>
    <w:lvl w:ilvl="0">
      <w:start w:val="1"/>
      <w:numFmt w:val="bullet"/>
      <w:pStyle w:val="Heading3"/>
      <w:lvlText w:val="•"/>
      <w:lvlJc w:val="left"/>
      <w:pPr>
        <w:tabs>
          <w:tab w:val="num" w:pos="360"/>
        </w:tabs>
        <w:ind w:left="360" w:hanging="360"/>
      </w:pPr>
      <w:rPr>
        <w:rFonts w:ascii="Times New Roman" w:hAnsi="Times New Roman" w:cs="Times New Roman" w:hint="default"/>
        <w:color w:val="auto"/>
      </w:rPr>
    </w:lvl>
  </w:abstractNum>
  <w:abstractNum w:abstractNumId="28" w15:restartNumberingAfterBreak="0">
    <w:nsid w:val="64FC675D"/>
    <w:multiLevelType w:val="hybridMultilevel"/>
    <w:tmpl w:val="5D48F466"/>
    <w:lvl w:ilvl="0" w:tplc="770A2C8C">
      <w:start w:val="1"/>
      <w:numFmt w:val="bullet"/>
      <w:lvlText w:val=""/>
      <w:lvlJc w:val="left"/>
      <w:pPr>
        <w:ind w:left="720" w:hanging="500"/>
      </w:pPr>
      <w:rPr>
        <w:rFonts w:ascii="Symbol" w:hAnsi="Symbol" w:hint="default"/>
      </w:rPr>
    </w:lvl>
    <w:lvl w:ilvl="1" w:tplc="708E96F2">
      <w:start w:val="1"/>
      <w:numFmt w:val="bullet"/>
      <w:lvlText w:val=""/>
      <w:lvlJc w:val="left"/>
      <w:pPr>
        <w:ind w:left="1220" w:hanging="500"/>
      </w:pPr>
      <w:rPr>
        <w:rFonts w:ascii="Symbol" w:hAnsi="Symbol" w:hint="default"/>
      </w:rPr>
    </w:lvl>
    <w:lvl w:ilvl="2" w:tplc="4938553C">
      <w:start w:val="1"/>
      <w:numFmt w:val="bullet"/>
      <w:lvlText w:val=""/>
      <w:lvlJc w:val="left"/>
      <w:pPr>
        <w:ind w:left="1720" w:hanging="500"/>
      </w:pPr>
      <w:rPr>
        <w:rFonts w:ascii="Symbol" w:hAnsi="Symbol" w:hint="default"/>
      </w:rPr>
    </w:lvl>
    <w:lvl w:ilvl="3" w:tplc="774881FA">
      <w:start w:val="1"/>
      <w:numFmt w:val="bullet"/>
      <w:lvlText w:val=""/>
      <w:lvlJc w:val="left"/>
      <w:pPr>
        <w:ind w:left="2220" w:hanging="500"/>
      </w:pPr>
      <w:rPr>
        <w:rFonts w:ascii="Symbol" w:hAnsi="Symbol" w:hint="default"/>
      </w:rPr>
    </w:lvl>
    <w:lvl w:ilvl="4" w:tplc="E50CAE74">
      <w:start w:val="1"/>
      <w:numFmt w:val="bullet"/>
      <w:lvlText w:val=""/>
      <w:lvlJc w:val="left"/>
      <w:pPr>
        <w:ind w:left="2720" w:hanging="500"/>
      </w:pPr>
      <w:rPr>
        <w:rFonts w:ascii="Symbol" w:hAnsi="Symbol" w:hint="default"/>
      </w:rPr>
    </w:lvl>
    <w:lvl w:ilvl="5" w:tplc="2B328744">
      <w:start w:val="1"/>
      <w:numFmt w:val="bullet"/>
      <w:lvlText w:val=""/>
      <w:lvlJc w:val="left"/>
      <w:pPr>
        <w:ind w:left="3220" w:hanging="500"/>
      </w:pPr>
      <w:rPr>
        <w:rFonts w:ascii="Symbol" w:hAnsi="Symbol" w:hint="default"/>
      </w:rPr>
    </w:lvl>
    <w:lvl w:ilvl="6" w:tplc="9C0E4CB4">
      <w:start w:val="1"/>
      <w:numFmt w:val="bullet"/>
      <w:lvlText w:val=""/>
      <w:lvlJc w:val="left"/>
      <w:pPr>
        <w:ind w:left="3720" w:hanging="500"/>
      </w:pPr>
      <w:rPr>
        <w:rFonts w:ascii="Symbol" w:hAnsi="Symbol" w:hint="default"/>
      </w:rPr>
    </w:lvl>
    <w:lvl w:ilvl="7" w:tplc="E61091DC">
      <w:start w:val="1"/>
      <w:numFmt w:val="bullet"/>
      <w:lvlText w:val=""/>
      <w:lvlJc w:val="left"/>
      <w:pPr>
        <w:ind w:left="4220" w:hanging="500"/>
      </w:pPr>
      <w:rPr>
        <w:rFonts w:ascii="Symbol" w:hAnsi="Symbol" w:hint="default"/>
      </w:rPr>
    </w:lvl>
    <w:lvl w:ilvl="8" w:tplc="0E005D48">
      <w:start w:val="1"/>
      <w:numFmt w:val="bullet"/>
      <w:lvlText w:val=""/>
      <w:lvlJc w:val="left"/>
      <w:pPr>
        <w:ind w:left="4720" w:hanging="500"/>
      </w:pPr>
      <w:rPr>
        <w:rFonts w:ascii="Symbol" w:hAnsi="Symbol" w:hint="default"/>
      </w:rPr>
    </w:lvl>
  </w:abstractNum>
  <w:abstractNum w:abstractNumId="29" w15:restartNumberingAfterBreak="0">
    <w:nsid w:val="6B600EA6"/>
    <w:multiLevelType w:val="hybridMultilevel"/>
    <w:tmpl w:val="5E705A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BA8541F"/>
    <w:multiLevelType w:val="hybridMultilevel"/>
    <w:tmpl w:val="1B1451EE"/>
    <w:lvl w:ilvl="0" w:tplc="9D1A5FE4">
      <w:start w:val="5"/>
      <w:numFmt w:val="bullet"/>
      <w:lvlText w:val="-"/>
      <w:lvlJc w:val="left"/>
      <w:pPr>
        <w:ind w:left="720" w:hanging="360"/>
      </w:pPr>
      <w:rPr>
        <w:rFonts w:ascii="Brill" w:eastAsiaTheme="minorHAnsi" w:hAnsi="Bril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8475C"/>
    <w:multiLevelType w:val="hybridMultilevel"/>
    <w:tmpl w:val="B94AF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AE1D83"/>
    <w:multiLevelType w:val="multilevel"/>
    <w:tmpl w:val="E4B809AC"/>
    <w:lvl w:ilvl="0">
      <w:start w:val="8"/>
      <w:numFmt w:val="bullet"/>
      <w:lvlText w:val="-"/>
      <w:lvlJc w:val="left"/>
      <w:pPr>
        <w:ind w:left="1174" w:hanging="360"/>
      </w:pPr>
      <w:rPr>
        <w:rFonts w:ascii="Brill" w:eastAsia="Brill" w:hAnsi="Brill" w:cs="Brill"/>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33" w15:restartNumberingAfterBreak="0">
    <w:nsid w:val="6FC8162C"/>
    <w:multiLevelType w:val="multilevel"/>
    <w:tmpl w:val="BB9E217C"/>
    <w:lvl w:ilvl="0">
      <w:start w:val="8"/>
      <w:numFmt w:val="bullet"/>
      <w:lvlText w:val="-"/>
      <w:lvlJc w:val="left"/>
      <w:pPr>
        <w:ind w:left="1174" w:hanging="360"/>
      </w:pPr>
      <w:rPr>
        <w:rFonts w:ascii="Brill" w:eastAsia="Brill" w:hAnsi="Brill" w:cs="Brill"/>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34" w15:restartNumberingAfterBreak="0">
    <w:nsid w:val="70007025"/>
    <w:multiLevelType w:val="hybridMultilevel"/>
    <w:tmpl w:val="B3EAB48A"/>
    <w:lvl w:ilvl="0" w:tplc="C068CFC4">
      <w:start w:val="1"/>
      <w:numFmt w:val="decimal"/>
      <w:lvlText w:val="%1."/>
      <w:lvlJc w:val="left"/>
      <w:pPr>
        <w:ind w:left="2231" w:hanging="360"/>
      </w:pPr>
      <w:rPr>
        <w:rFonts w:hint="default"/>
      </w:rPr>
    </w:lvl>
    <w:lvl w:ilvl="1" w:tplc="041D0019" w:tentative="1">
      <w:start w:val="1"/>
      <w:numFmt w:val="lowerLetter"/>
      <w:lvlText w:val="%2."/>
      <w:lvlJc w:val="left"/>
      <w:pPr>
        <w:ind w:left="2951" w:hanging="360"/>
      </w:pPr>
    </w:lvl>
    <w:lvl w:ilvl="2" w:tplc="041D001B" w:tentative="1">
      <w:start w:val="1"/>
      <w:numFmt w:val="lowerRoman"/>
      <w:lvlText w:val="%3."/>
      <w:lvlJc w:val="right"/>
      <w:pPr>
        <w:ind w:left="3671" w:hanging="180"/>
      </w:pPr>
    </w:lvl>
    <w:lvl w:ilvl="3" w:tplc="041D000F" w:tentative="1">
      <w:start w:val="1"/>
      <w:numFmt w:val="decimal"/>
      <w:lvlText w:val="%4."/>
      <w:lvlJc w:val="left"/>
      <w:pPr>
        <w:ind w:left="4391" w:hanging="360"/>
      </w:pPr>
    </w:lvl>
    <w:lvl w:ilvl="4" w:tplc="041D0019" w:tentative="1">
      <w:start w:val="1"/>
      <w:numFmt w:val="lowerLetter"/>
      <w:lvlText w:val="%5."/>
      <w:lvlJc w:val="left"/>
      <w:pPr>
        <w:ind w:left="5111" w:hanging="360"/>
      </w:pPr>
    </w:lvl>
    <w:lvl w:ilvl="5" w:tplc="041D001B" w:tentative="1">
      <w:start w:val="1"/>
      <w:numFmt w:val="lowerRoman"/>
      <w:lvlText w:val="%6."/>
      <w:lvlJc w:val="right"/>
      <w:pPr>
        <w:ind w:left="5831" w:hanging="180"/>
      </w:pPr>
    </w:lvl>
    <w:lvl w:ilvl="6" w:tplc="041D000F" w:tentative="1">
      <w:start w:val="1"/>
      <w:numFmt w:val="decimal"/>
      <w:lvlText w:val="%7."/>
      <w:lvlJc w:val="left"/>
      <w:pPr>
        <w:ind w:left="6551" w:hanging="360"/>
      </w:pPr>
    </w:lvl>
    <w:lvl w:ilvl="7" w:tplc="041D0019" w:tentative="1">
      <w:start w:val="1"/>
      <w:numFmt w:val="lowerLetter"/>
      <w:lvlText w:val="%8."/>
      <w:lvlJc w:val="left"/>
      <w:pPr>
        <w:ind w:left="7271" w:hanging="360"/>
      </w:pPr>
    </w:lvl>
    <w:lvl w:ilvl="8" w:tplc="041D001B" w:tentative="1">
      <w:start w:val="1"/>
      <w:numFmt w:val="lowerRoman"/>
      <w:lvlText w:val="%9."/>
      <w:lvlJc w:val="right"/>
      <w:pPr>
        <w:ind w:left="7991" w:hanging="180"/>
      </w:pPr>
    </w:lvl>
  </w:abstractNum>
  <w:abstractNum w:abstractNumId="35" w15:restartNumberingAfterBreak="0">
    <w:nsid w:val="70670121"/>
    <w:multiLevelType w:val="multilevel"/>
    <w:tmpl w:val="9D94B478"/>
    <w:lvl w:ilvl="0">
      <w:start w:val="1"/>
      <w:numFmt w:val="decimal"/>
      <w:pStyle w:val="HEADING1Numbered"/>
      <w:lvlText w:val="%1"/>
      <w:lvlJc w:val="left"/>
      <w:pPr>
        <w:tabs>
          <w:tab w:val="num" w:pos="680"/>
        </w:tabs>
        <w:ind w:left="680" w:hanging="680"/>
      </w:pPr>
      <w:rPr>
        <w:rFonts w:ascii="Brill" w:hAnsi="Brill" w:hint="default"/>
        <w:b w:val="0"/>
        <w:i w:val="0"/>
        <w:color w:val="auto"/>
        <w:sz w:val="22"/>
      </w:rPr>
    </w:lvl>
    <w:lvl w:ilvl="1">
      <w:start w:val="1"/>
      <w:numFmt w:val="decimal"/>
      <w:pStyle w:val="HEADING2Numbered"/>
      <w:lvlText w:val="%1.%2"/>
      <w:lvlJc w:val="left"/>
      <w:pPr>
        <w:tabs>
          <w:tab w:val="num" w:pos="2239"/>
        </w:tabs>
        <w:ind w:left="2239" w:hanging="680"/>
      </w:pPr>
      <w:rPr>
        <w:rFonts w:ascii="Brill" w:hAnsi="Brill" w:hint="default"/>
        <w:b w:val="0"/>
        <w:i/>
        <w:sz w:val="22"/>
      </w:rPr>
    </w:lvl>
    <w:lvl w:ilvl="2">
      <w:start w:val="1"/>
      <w:numFmt w:val="decimal"/>
      <w:lvlRestart w:val="1"/>
      <w:pStyle w:val="HEADING3Numbered"/>
      <w:lvlText w:val="%1.%2.%3"/>
      <w:lvlJc w:val="left"/>
      <w:pPr>
        <w:tabs>
          <w:tab w:val="num" w:pos="907"/>
        </w:tabs>
        <w:ind w:left="907" w:hanging="907"/>
      </w:pPr>
      <w:rPr>
        <w:rFonts w:ascii="Brill" w:hAnsi="Brill" w:hint="default"/>
        <w:b w:val="0"/>
        <w:i w:val="0"/>
        <w:sz w:val="22"/>
      </w:rPr>
    </w:lvl>
    <w:lvl w:ilvl="3">
      <w:start w:val="1"/>
      <w:numFmt w:val="decimal"/>
      <w:lvlRestart w:val="1"/>
      <w:lvlText w:val="%1.%2.%3.%4"/>
      <w:lvlJc w:val="left"/>
      <w:pPr>
        <w:tabs>
          <w:tab w:val="num" w:pos="907"/>
        </w:tabs>
        <w:ind w:left="907" w:hanging="907"/>
      </w:pPr>
      <w:rPr>
        <w:rFonts w:ascii="Brill" w:hAnsi="Brill" w:hint="default"/>
        <w:b w:val="0"/>
        <w:i/>
        <w:sz w:val="22"/>
      </w:rPr>
    </w:lvl>
    <w:lvl w:ilvl="4">
      <w:start w:val="1"/>
      <w:numFmt w:val="decimal"/>
      <w:lvlRestart w:val="1"/>
      <w:lvlText w:val="%1.%2.%3.%4.%5"/>
      <w:lvlJc w:val="left"/>
      <w:pPr>
        <w:tabs>
          <w:tab w:val="num" w:pos="1134"/>
        </w:tabs>
        <w:ind w:left="1134" w:hanging="1134"/>
      </w:pPr>
      <w:rPr>
        <w:rFonts w:ascii="Brill" w:hAnsi="Brill" w:hint="default"/>
        <w:b w:val="0"/>
        <w:i w:val="0"/>
        <w:sz w:val="20"/>
      </w:rPr>
    </w:lvl>
    <w:lvl w:ilvl="5">
      <w:start w:val="1"/>
      <w:numFmt w:val="decimal"/>
      <w:lvlRestart w:val="1"/>
      <w:lvlText w:val="%1.%2.%3.%4.%5.%6"/>
      <w:lvlJc w:val="left"/>
      <w:pPr>
        <w:tabs>
          <w:tab w:val="num" w:pos="1134"/>
        </w:tabs>
        <w:ind w:left="1134" w:hanging="1134"/>
      </w:pPr>
      <w:rPr>
        <w:rFonts w:ascii="Brill" w:hAnsi="Brill" w:hint="default"/>
        <w:b w:val="0"/>
        <w:i/>
        <w:sz w:val="20"/>
      </w:rPr>
    </w:lvl>
    <w:lvl w:ilvl="6">
      <w:start w:val="1"/>
      <w:numFmt w:val="decimal"/>
      <w:lvlRestart w:val="1"/>
      <w:lvlText w:val="%1.%2.%3.%4.%5.%6.%7"/>
      <w:lvlJc w:val="left"/>
      <w:pPr>
        <w:tabs>
          <w:tab w:val="num" w:pos="1361"/>
        </w:tabs>
        <w:ind w:left="1361" w:hanging="1361"/>
      </w:pPr>
      <w:rPr>
        <w:rFonts w:ascii="Brill" w:hAnsi="Brill" w:hint="default"/>
        <w:b w:val="0"/>
        <w:i w:val="0"/>
        <w:sz w:val="20"/>
      </w:rPr>
    </w:lvl>
    <w:lvl w:ilvl="7">
      <w:start w:val="1"/>
      <w:numFmt w:val="decimal"/>
      <w:lvlRestart w:val="1"/>
      <w:lvlText w:val="%1.%2.%3.%4.%5.%6.%7.%8"/>
      <w:lvlJc w:val="left"/>
      <w:pPr>
        <w:tabs>
          <w:tab w:val="num" w:pos="1361"/>
        </w:tabs>
        <w:ind w:left="1361" w:hanging="1361"/>
      </w:pPr>
      <w:rPr>
        <w:rFonts w:ascii="Brill" w:hAnsi="Brill" w:hint="default"/>
        <w:b w:val="0"/>
        <w:i/>
        <w:sz w:val="20"/>
      </w:rPr>
    </w:lvl>
    <w:lvl w:ilvl="8">
      <w:start w:val="1"/>
      <w:numFmt w:val="lowerRoman"/>
      <w:lvlText w:val="%9."/>
      <w:lvlJc w:val="right"/>
      <w:pPr>
        <w:ind w:left="6480" w:hanging="180"/>
      </w:pPr>
      <w:rPr>
        <w:rFonts w:hint="default"/>
      </w:rPr>
    </w:lvl>
  </w:abstractNum>
  <w:abstractNum w:abstractNumId="36" w15:restartNumberingAfterBreak="0">
    <w:nsid w:val="74A82362"/>
    <w:multiLevelType w:val="hybridMultilevel"/>
    <w:tmpl w:val="C25E1798"/>
    <w:lvl w:ilvl="0" w:tplc="8362BC70">
      <w:start w:val="1"/>
      <w:numFmt w:val="lowerLetter"/>
      <w:lvlText w:val="%1)"/>
      <w:lvlJc w:val="left"/>
      <w:pPr>
        <w:ind w:left="720" w:hanging="360"/>
      </w:pPr>
      <w:rPr>
        <w:rFonts w:hint="default"/>
        <w:b w:val="0"/>
        <w:sz w:val="18"/>
        <w:szCs w:val="18"/>
        <w:vertAlign w:val="superscrip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A985ED2"/>
    <w:multiLevelType w:val="hybridMultilevel"/>
    <w:tmpl w:val="E7DA3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3162674">
    <w:abstractNumId w:val="35"/>
  </w:num>
  <w:num w:numId="2" w16cid:durableId="958804228">
    <w:abstractNumId w:val="16"/>
  </w:num>
  <w:num w:numId="3" w16cid:durableId="931669293">
    <w:abstractNumId w:val="11"/>
  </w:num>
  <w:num w:numId="4" w16cid:durableId="1372338483">
    <w:abstractNumId w:val="17"/>
  </w:num>
  <w:num w:numId="5" w16cid:durableId="239559546">
    <w:abstractNumId w:val="32"/>
  </w:num>
  <w:num w:numId="6" w16cid:durableId="1274747779">
    <w:abstractNumId w:val="23"/>
  </w:num>
  <w:num w:numId="7" w16cid:durableId="1622179563">
    <w:abstractNumId w:val="21"/>
  </w:num>
  <w:num w:numId="8" w16cid:durableId="25378381">
    <w:abstractNumId w:val="20"/>
  </w:num>
  <w:num w:numId="9" w16cid:durableId="761075635">
    <w:abstractNumId w:val="19"/>
  </w:num>
  <w:num w:numId="10" w16cid:durableId="1004169276">
    <w:abstractNumId w:val="33"/>
  </w:num>
  <w:num w:numId="11" w16cid:durableId="1345352871">
    <w:abstractNumId w:val="0"/>
  </w:num>
  <w:num w:numId="12" w16cid:durableId="2124886522">
    <w:abstractNumId w:val="8"/>
  </w:num>
  <w:num w:numId="13" w16cid:durableId="255526606">
    <w:abstractNumId w:val="7"/>
  </w:num>
  <w:num w:numId="14" w16cid:durableId="1024090391">
    <w:abstractNumId w:val="26"/>
  </w:num>
  <w:num w:numId="15" w16cid:durableId="1264151187">
    <w:abstractNumId w:val="27"/>
  </w:num>
  <w:num w:numId="16" w16cid:durableId="1212158704">
    <w:abstractNumId w:val="10"/>
  </w:num>
  <w:num w:numId="17" w16cid:durableId="1721394617">
    <w:abstractNumId w:val="6"/>
  </w:num>
  <w:num w:numId="18" w16cid:durableId="1830170886">
    <w:abstractNumId w:val="15"/>
  </w:num>
  <w:num w:numId="19" w16cid:durableId="1846168176">
    <w:abstractNumId w:val="28"/>
  </w:num>
  <w:num w:numId="20" w16cid:durableId="1706245647">
    <w:abstractNumId w:val="3"/>
  </w:num>
  <w:num w:numId="21" w16cid:durableId="338236917">
    <w:abstractNumId w:val="12"/>
  </w:num>
  <w:num w:numId="22" w16cid:durableId="1894463883">
    <w:abstractNumId w:val="18"/>
  </w:num>
  <w:num w:numId="23" w16cid:durableId="101388310">
    <w:abstractNumId w:val="13"/>
  </w:num>
  <w:num w:numId="24" w16cid:durableId="272324121">
    <w:abstractNumId w:val="2"/>
  </w:num>
  <w:num w:numId="25" w16cid:durableId="1940020043">
    <w:abstractNumId w:val="14"/>
  </w:num>
  <w:num w:numId="26" w16cid:durableId="196702278">
    <w:abstractNumId w:val="37"/>
  </w:num>
  <w:num w:numId="27" w16cid:durableId="703941416">
    <w:abstractNumId w:val="22"/>
  </w:num>
  <w:num w:numId="28" w16cid:durableId="508494833">
    <w:abstractNumId w:val="9"/>
  </w:num>
  <w:num w:numId="29" w16cid:durableId="1826432518">
    <w:abstractNumId w:val="29"/>
  </w:num>
  <w:num w:numId="30" w16cid:durableId="1169173903">
    <w:abstractNumId w:val="34"/>
  </w:num>
  <w:num w:numId="31" w16cid:durableId="366564958">
    <w:abstractNumId w:val="24"/>
  </w:num>
  <w:num w:numId="32" w16cid:durableId="1442065733">
    <w:abstractNumId w:val="36"/>
  </w:num>
  <w:num w:numId="33" w16cid:durableId="1095982366">
    <w:abstractNumId w:val="30"/>
  </w:num>
  <w:num w:numId="34" w16cid:durableId="523322197">
    <w:abstractNumId w:val="31"/>
  </w:num>
  <w:num w:numId="35" w16cid:durableId="724446634">
    <w:abstractNumId w:val="5"/>
  </w:num>
  <w:num w:numId="36" w16cid:durableId="751583044">
    <w:abstractNumId w:val="25"/>
  </w:num>
  <w:num w:numId="37" w16cid:durableId="1353920140">
    <w:abstractNumId w:val="4"/>
  </w:num>
  <w:num w:numId="38" w16cid:durableId="1527016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8D"/>
    <w:rsid w:val="00013069"/>
    <w:rsid w:val="000134C5"/>
    <w:rsid w:val="0002302F"/>
    <w:rsid w:val="00023376"/>
    <w:rsid w:val="00036D11"/>
    <w:rsid w:val="00041EBB"/>
    <w:rsid w:val="00041F38"/>
    <w:rsid w:val="00046010"/>
    <w:rsid w:val="000756F6"/>
    <w:rsid w:val="000818E8"/>
    <w:rsid w:val="00083743"/>
    <w:rsid w:val="00087EDF"/>
    <w:rsid w:val="000B54F4"/>
    <w:rsid w:val="000C653D"/>
    <w:rsid w:val="000E2863"/>
    <w:rsid w:val="000E6672"/>
    <w:rsid w:val="000F2B59"/>
    <w:rsid w:val="00100987"/>
    <w:rsid w:val="00111B20"/>
    <w:rsid w:val="00120539"/>
    <w:rsid w:val="00124B7E"/>
    <w:rsid w:val="001325EA"/>
    <w:rsid w:val="00143F3B"/>
    <w:rsid w:val="00153F10"/>
    <w:rsid w:val="00157D05"/>
    <w:rsid w:val="0016606E"/>
    <w:rsid w:val="0017000D"/>
    <w:rsid w:val="0018031E"/>
    <w:rsid w:val="001854A6"/>
    <w:rsid w:val="001874DE"/>
    <w:rsid w:val="0019398D"/>
    <w:rsid w:val="001A12F6"/>
    <w:rsid w:val="001D5217"/>
    <w:rsid w:val="001F0605"/>
    <w:rsid w:val="001F120E"/>
    <w:rsid w:val="001F4421"/>
    <w:rsid w:val="001F713B"/>
    <w:rsid w:val="00201B22"/>
    <w:rsid w:val="002115E9"/>
    <w:rsid w:val="00212BC4"/>
    <w:rsid w:val="00217849"/>
    <w:rsid w:val="00221FEE"/>
    <w:rsid w:val="00225AA2"/>
    <w:rsid w:val="0023728E"/>
    <w:rsid w:val="002413CB"/>
    <w:rsid w:val="002526D9"/>
    <w:rsid w:val="002631F0"/>
    <w:rsid w:val="00263465"/>
    <w:rsid w:val="00267456"/>
    <w:rsid w:val="00272D44"/>
    <w:rsid w:val="00277716"/>
    <w:rsid w:val="00292D8C"/>
    <w:rsid w:val="0029756E"/>
    <w:rsid w:val="002A1346"/>
    <w:rsid w:val="002A5166"/>
    <w:rsid w:val="002A69F5"/>
    <w:rsid w:val="002B16B3"/>
    <w:rsid w:val="002C66C2"/>
    <w:rsid w:val="002D2D29"/>
    <w:rsid w:val="002D3A89"/>
    <w:rsid w:val="002D3E1C"/>
    <w:rsid w:val="002F5518"/>
    <w:rsid w:val="002F60CA"/>
    <w:rsid w:val="002F76F3"/>
    <w:rsid w:val="003042C4"/>
    <w:rsid w:val="00306306"/>
    <w:rsid w:val="00307ABE"/>
    <w:rsid w:val="00322EBC"/>
    <w:rsid w:val="00341AC3"/>
    <w:rsid w:val="00345A29"/>
    <w:rsid w:val="00345D3C"/>
    <w:rsid w:val="00357E0A"/>
    <w:rsid w:val="00360C46"/>
    <w:rsid w:val="00360CBD"/>
    <w:rsid w:val="0037045D"/>
    <w:rsid w:val="00391D56"/>
    <w:rsid w:val="00392FA4"/>
    <w:rsid w:val="00395C25"/>
    <w:rsid w:val="003A0931"/>
    <w:rsid w:val="003B30A3"/>
    <w:rsid w:val="003B4DE0"/>
    <w:rsid w:val="003B5227"/>
    <w:rsid w:val="003C7D95"/>
    <w:rsid w:val="003D1C30"/>
    <w:rsid w:val="003D20E6"/>
    <w:rsid w:val="003D5226"/>
    <w:rsid w:val="003D5230"/>
    <w:rsid w:val="003F4B44"/>
    <w:rsid w:val="00426BE5"/>
    <w:rsid w:val="00433EC4"/>
    <w:rsid w:val="004405A8"/>
    <w:rsid w:val="00471963"/>
    <w:rsid w:val="004866F7"/>
    <w:rsid w:val="004971F4"/>
    <w:rsid w:val="004A3034"/>
    <w:rsid w:val="004B1595"/>
    <w:rsid w:val="004B3CE6"/>
    <w:rsid w:val="004C3662"/>
    <w:rsid w:val="004C3C37"/>
    <w:rsid w:val="004D635A"/>
    <w:rsid w:val="004D75A6"/>
    <w:rsid w:val="004E3823"/>
    <w:rsid w:val="004F2196"/>
    <w:rsid w:val="004F4313"/>
    <w:rsid w:val="004F4F96"/>
    <w:rsid w:val="0050477C"/>
    <w:rsid w:val="0051129A"/>
    <w:rsid w:val="005233BE"/>
    <w:rsid w:val="00523753"/>
    <w:rsid w:val="00524868"/>
    <w:rsid w:val="00537149"/>
    <w:rsid w:val="005437E4"/>
    <w:rsid w:val="00543E1B"/>
    <w:rsid w:val="00547902"/>
    <w:rsid w:val="00573172"/>
    <w:rsid w:val="00574DB1"/>
    <w:rsid w:val="005760E6"/>
    <w:rsid w:val="00581573"/>
    <w:rsid w:val="00586011"/>
    <w:rsid w:val="00592F8A"/>
    <w:rsid w:val="005957FA"/>
    <w:rsid w:val="00595857"/>
    <w:rsid w:val="00597594"/>
    <w:rsid w:val="005A16DA"/>
    <w:rsid w:val="005C39B8"/>
    <w:rsid w:val="005C7222"/>
    <w:rsid w:val="005D41BF"/>
    <w:rsid w:val="005E3A54"/>
    <w:rsid w:val="005E5AFC"/>
    <w:rsid w:val="0060019F"/>
    <w:rsid w:val="0060026B"/>
    <w:rsid w:val="006145E6"/>
    <w:rsid w:val="006147B0"/>
    <w:rsid w:val="00614DD6"/>
    <w:rsid w:val="00631F2A"/>
    <w:rsid w:val="00644AE0"/>
    <w:rsid w:val="00651527"/>
    <w:rsid w:val="00660DCB"/>
    <w:rsid w:val="00664495"/>
    <w:rsid w:val="00672E30"/>
    <w:rsid w:val="00680CF9"/>
    <w:rsid w:val="00693639"/>
    <w:rsid w:val="00696003"/>
    <w:rsid w:val="006A45D7"/>
    <w:rsid w:val="006D5348"/>
    <w:rsid w:val="006D6090"/>
    <w:rsid w:val="00701680"/>
    <w:rsid w:val="00720A73"/>
    <w:rsid w:val="0072343E"/>
    <w:rsid w:val="00732641"/>
    <w:rsid w:val="0075581E"/>
    <w:rsid w:val="00776F84"/>
    <w:rsid w:val="00780610"/>
    <w:rsid w:val="0078349B"/>
    <w:rsid w:val="007923AC"/>
    <w:rsid w:val="00793155"/>
    <w:rsid w:val="00794D0C"/>
    <w:rsid w:val="00795790"/>
    <w:rsid w:val="007D2DAA"/>
    <w:rsid w:val="007E2783"/>
    <w:rsid w:val="007E50A4"/>
    <w:rsid w:val="00812587"/>
    <w:rsid w:val="00812739"/>
    <w:rsid w:val="00827BD6"/>
    <w:rsid w:val="00831362"/>
    <w:rsid w:val="0083768E"/>
    <w:rsid w:val="00841563"/>
    <w:rsid w:val="00866761"/>
    <w:rsid w:val="00870FAB"/>
    <w:rsid w:val="008719D5"/>
    <w:rsid w:val="0088412F"/>
    <w:rsid w:val="00892FB8"/>
    <w:rsid w:val="00893F83"/>
    <w:rsid w:val="00894845"/>
    <w:rsid w:val="00897349"/>
    <w:rsid w:val="008A3186"/>
    <w:rsid w:val="008D1951"/>
    <w:rsid w:val="008D2F05"/>
    <w:rsid w:val="008E5036"/>
    <w:rsid w:val="00901C15"/>
    <w:rsid w:val="00907592"/>
    <w:rsid w:val="00912381"/>
    <w:rsid w:val="00915D07"/>
    <w:rsid w:val="00921BF1"/>
    <w:rsid w:val="009226E3"/>
    <w:rsid w:val="0092419E"/>
    <w:rsid w:val="00925E99"/>
    <w:rsid w:val="00933254"/>
    <w:rsid w:val="009438EC"/>
    <w:rsid w:val="009447F0"/>
    <w:rsid w:val="009500E3"/>
    <w:rsid w:val="0095766E"/>
    <w:rsid w:val="009731BE"/>
    <w:rsid w:val="00974FC3"/>
    <w:rsid w:val="0097581D"/>
    <w:rsid w:val="009759AA"/>
    <w:rsid w:val="0098559F"/>
    <w:rsid w:val="009919CB"/>
    <w:rsid w:val="0099279B"/>
    <w:rsid w:val="00997F09"/>
    <w:rsid w:val="009A243D"/>
    <w:rsid w:val="009A4738"/>
    <w:rsid w:val="009C3D04"/>
    <w:rsid w:val="009D23F3"/>
    <w:rsid w:val="00A06055"/>
    <w:rsid w:val="00A0744B"/>
    <w:rsid w:val="00A07F4B"/>
    <w:rsid w:val="00A1035A"/>
    <w:rsid w:val="00A20C98"/>
    <w:rsid w:val="00A32F29"/>
    <w:rsid w:val="00A35A69"/>
    <w:rsid w:val="00A401E6"/>
    <w:rsid w:val="00A43DA1"/>
    <w:rsid w:val="00A54741"/>
    <w:rsid w:val="00A569E9"/>
    <w:rsid w:val="00A76A07"/>
    <w:rsid w:val="00A77C71"/>
    <w:rsid w:val="00A80EF6"/>
    <w:rsid w:val="00A828E3"/>
    <w:rsid w:val="00A8623A"/>
    <w:rsid w:val="00AA6635"/>
    <w:rsid w:val="00AC5928"/>
    <w:rsid w:val="00AE7386"/>
    <w:rsid w:val="00AF24C5"/>
    <w:rsid w:val="00B06C44"/>
    <w:rsid w:val="00B24C8F"/>
    <w:rsid w:val="00B344DA"/>
    <w:rsid w:val="00B42186"/>
    <w:rsid w:val="00B4559B"/>
    <w:rsid w:val="00B47CB6"/>
    <w:rsid w:val="00B5622D"/>
    <w:rsid w:val="00B740E1"/>
    <w:rsid w:val="00B75042"/>
    <w:rsid w:val="00B77A6D"/>
    <w:rsid w:val="00B915E2"/>
    <w:rsid w:val="00BA245F"/>
    <w:rsid w:val="00BA7497"/>
    <w:rsid w:val="00BB45AD"/>
    <w:rsid w:val="00BC02E9"/>
    <w:rsid w:val="00BC6972"/>
    <w:rsid w:val="00C02696"/>
    <w:rsid w:val="00C0277C"/>
    <w:rsid w:val="00C027A8"/>
    <w:rsid w:val="00C02F5C"/>
    <w:rsid w:val="00C1096C"/>
    <w:rsid w:val="00C17269"/>
    <w:rsid w:val="00C23AF1"/>
    <w:rsid w:val="00C24B9E"/>
    <w:rsid w:val="00C25E11"/>
    <w:rsid w:val="00C2621B"/>
    <w:rsid w:val="00C33DEF"/>
    <w:rsid w:val="00C35B99"/>
    <w:rsid w:val="00C434ED"/>
    <w:rsid w:val="00C51A80"/>
    <w:rsid w:val="00C61CB6"/>
    <w:rsid w:val="00C63DD5"/>
    <w:rsid w:val="00C74C47"/>
    <w:rsid w:val="00C82DB6"/>
    <w:rsid w:val="00C864B7"/>
    <w:rsid w:val="00C93658"/>
    <w:rsid w:val="00CA7ED7"/>
    <w:rsid w:val="00CB552D"/>
    <w:rsid w:val="00CD602B"/>
    <w:rsid w:val="00D10FE5"/>
    <w:rsid w:val="00D11BD1"/>
    <w:rsid w:val="00D1634C"/>
    <w:rsid w:val="00D215B4"/>
    <w:rsid w:val="00D475CE"/>
    <w:rsid w:val="00D64555"/>
    <w:rsid w:val="00D73761"/>
    <w:rsid w:val="00D76CBF"/>
    <w:rsid w:val="00D976B0"/>
    <w:rsid w:val="00DB43CC"/>
    <w:rsid w:val="00DB7133"/>
    <w:rsid w:val="00DC0C9E"/>
    <w:rsid w:val="00DC4F28"/>
    <w:rsid w:val="00DF0FFC"/>
    <w:rsid w:val="00DF5DE2"/>
    <w:rsid w:val="00DF61FD"/>
    <w:rsid w:val="00E0075F"/>
    <w:rsid w:val="00E010F1"/>
    <w:rsid w:val="00E04C86"/>
    <w:rsid w:val="00E05DD3"/>
    <w:rsid w:val="00E162A7"/>
    <w:rsid w:val="00E4565B"/>
    <w:rsid w:val="00E54525"/>
    <w:rsid w:val="00E71F46"/>
    <w:rsid w:val="00E7500B"/>
    <w:rsid w:val="00E92310"/>
    <w:rsid w:val="00E96D99"/>
    <w:rsid w:val="00EC2ADB"/>
    <w:rsid w:val="00ED3F94"/>
    <w:rsid w:val="00ED79DB"/>
    <w:rsid w:val="00EE667E"/>
    <w:rsid w:val="00EF5C1A"/>
    <w:rsid w:val="00EF7488"/>
    <w:rsid w:val="00F0144A"/>
    <w:rsid w:val="00F23F02"/>
    <w:rsid w:val="00F3182D"/>
    <w:rsid w:val="00F361CA"/>
    <w:rsid w:val="00F43F1D"/>
    <w:rsid w:val="00F46C03"/>
    <w:rsid w:val="00F566C4"/>
    <w:rsid w:val="00F7071B"/>
    <w:rsid w:val="00F768BD"/>
    <w:rsid w:val="00F87845"/>
    <w:rsid w:val="00F963C5"/>
    <w:rsid w:val="00FB416D"/>
    <w:rsid w:val="00FB4DD4"/>
    <w:rsid w:val="00FB758B"/>
    <w:rsid w:val="00FD5735"/>
    <w:rsid w:val="00FE0741"/>
    <w:rsid w:val="00FE59E6"/>
    <w:rsid w:val="00FE78FA"/>
    <w:rsid w:val="00FF4A95"/>
    <w:rsid w:val="00FF4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0859"/>
  <w15:chartTrackingRefBased/>
  <w15:docId w15:val="{68331324-BC14-4E5A-B564-1C9F6FBB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055"/>
    <w:pPr>
      <w:keepNext/>
      <w:keepLines/>
      <w:widowControl w:val="0"/>
      <w:spacing w:before="340" w:after="330" w:line="578" w:lineRule="auto"/>
      <w:jc w:val="both"/>
      <w:outlineLvl w:val="0"/>
    </w:pPr>
    <w:rPr>
      <w:rFonts w:eastAsiaTheme="minorEastAsia"/>
      <w:b/>
      <w:bCs/>
      <w:kern w:val="44"/>
      <w:sz w:val="44"/>
      <w:szCs w:val="44"/>
      <w:lang w:eastAsia="zh-CN"/>
    </w:rPr>
  </w:style>
  <w:style w:type="paragraph" w:styleId="Heading2">
    <w:name w:val="heading 2"/>
    <w:basedOn w:val="Normal"/>
    <w:next w:val="Normal"/>
    <w:link w:val="Heading2Char"/>
    <w:uiPriority w:val="9"/>
    <w:unhideWhenUsed/>
    <w:qFormat/>
    <w:rsid w:val="00A06055"/>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lang w:eastAsia="zh-CN"/>
    </w:rPr>
  </w:style>
  <w:style w:type="paragraph" w:styleId="Heading3">
    <w:name w:val="heading 3"/>
    <w:aliases w:val="Numbered Heading 3"/>
    <w:basedOn w:val="Heading2"/>
    <w:next w:val="Normal"/>
    <w:link w:val="Heading3Char"/>
    <w:uiPriority w:val="99"/>
    <w:semiHidden/>
    <w:qFormat/>
    <w:rsid w:val="00E010F1"/>
    <w:pPr>
      <w:keepNext w:val="0"/>
      <w:keepLines w:val="0"/>
      <w:numPr>
        <w:numId w:val="15"/>
      </w:numPr>
      <w:tabs>
        <w:tab w:val="clear" w:pos="360"/>
      </w:tabs>
      <w:suppressAutoHyphens/>
      <w:spacing w:before="150" w:after="160" w:line="269" w:lineRule="exact"/>
      <w:ind w:left="720"/>
      <w:outlineLvl w:val="2"/>
    </w:pPr>
    <w:rPr>
      <w:rFonts w:ascii="Brill" w:eastAsia="Calibri" w:hAnsi="Brill" w:cs="Arial"/>
      <w:b w:val="0"/>
      <w:bCs w:val="0"/>
      <w:kern w:val="28"/>
      <w:sz w:val="22"/>
      <w:szCs w:val="24"/>
      <w:lang w:val="en-US" w:eastAsia="en-US"/>
    </w:rPr>
  </w:style>
  <w:style w:type="paragraph" w:styleId="Heading5">
    <w:name w:val="heading 5"/>
    <w:basedOn w:val="Normal"/>
    <w:next w:val="Normal"/>
    <w:link w:val="Heading5Char"/>
    <w:uiPriority w:val="9"/>
    <w:semiHidden/>
    <w:qFormat/>
    <w:rsid w:val="00E010F1"/>
    <w:pPr>
      <w:keepNext/>
      <w:keepLines/>
      <w:spacing w:before="40" w:line="2" w:lineRule="auto"/>
      <w:outlineLvl w:val="4"/>
    </w:pPr>
    <w:rPr>
      <w:rFonts w:asciiTheme="majorHAnsi" w:eastAsiaTheme="majorEastAsia" w:hAnsiTheme="majorHAnsi" w:cstheme="majorBidi"/>
      <w:color w:val="2F5496" w:themeColor="accent1" w:themeShade="BF"/>
      <w:lang w:val="en-US"/>
    </w:rPr>
  </w:style>
  <w:style w:type="paragraph" w:styleId="Heading9">
    <w:name w:val="heading 9"/>
    <w:aliases w:val="Numbered  Heading 9"/>
    <w:basedOn w:val="Heading5"/>
    <w:next w:val="Normal"/>
    <w:link w:val="Heading9Char"/>
    <w:uiPriority w:val="99"/>
    <w:semiHidden/>
    <w:rsid w:val="00E010F1"/>
    <w:pPr>
      <w:keepNext w:val="0"/>
      <w:keepLines w:val="0"/>
      <w:widowControl w:val="0"/>
      <w:suppressAutoHyphens/>
      <w:spacing w:before="150" w:line="269" w:lineRule="exact"/>
      <w:ind w:left="6480" w:hanging="180"/>
      <w:jc w:val="both"/>
      <w:outlineLvl w:val="8"/>
    </w:pPr>
    <w:rPr>
      <w:rFonts w:ascii="Brill" w:eastAsia="Calibri" w:hAnsi="Brill" w:cs="Arial"/>
      <w:color w:val="auto"/>
      <w:spacing w:val="20"/>
      <w:kern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055"/>
    <w:rPr>
      <w:rFonts w:eastAsiaTheme="minorEastAsia"/>
      <w:b/>
      <w:bCs/>
      <w:kern w:val="44"/>
      <w:sz w:val="44"/>
      <w:szCs w:val="44"/>
      <w:lang w:eastAsia="zh-CN"/>
    </w:rPr>
  </w:style>
  <w:style w:type="character" w:customStyle="1" w:styleId="Heading2Char">
    <w:name w:val="Heading 2 Char"/>
    <w:basedOn w:val="DefaultParagraphFont"/>
    <w:link w:val="Heading2"/>
    <w:uiPriority w:val="9"/>
    <w:rsid w:val="00A06055"/>
    <w:rPr>
      <w:rFonts w:asciiTheme="majorHAnsi" w:eastAsiaTheme="majorEastAsia" w:hAnsiTheme="majorHAnsi" w:cstheme="majorBidi"/>
      <w:b/>
      <w:bCs/>
      <w:kern w:val="2"/>
      <w:sz w:val="32"/>
      <w:szCs w:val="32"/>
      <w:lang w:eastAsia="zh-CN"/>
    </w:rPr>
  </w:style>
  <w:style w:type="character" w:customStyle="1" w:styleId="Heading3Char">
    <w:name w:val="Heading 3 Char"/>
    <w:aliases w:val="Numbered Heading 3 Char"/>
    <w:basedOn w:val="DefaultParagraphFont"/>
    <w:link w:val="Heading3"/>
    <w:uiPriority w:val="99"/>
    <w:semiHidden/>
    <w:rsid w:val="00E010F1"/>
    <w:rPr>
      <w:rFonts w:ascii="Brill" w:eastAsia="Calibri" w:hAnsi="Brill" w:cs="Arial"/>
      <w:kern w:val="28"/>
      <w:szCs w:val="24"/>
      <w:lang w:val="en-US"/>
    </w:rPr>
  </w:style>
  <w:style w:type="character" w:customStyle="1" w:styleId="Heading5Char">
    <w:name w:val="Heading 5 Char"/>
    <w:basedOn w:val="DefaultParagraphFont"/>
    <w:link w:val="Heading5"/>
    <w:uiPriority w:val="9"/>
    <w:semiHidden/>
    <w:rsid w:val="00E010F1"/>
    <w:rPr>
      <w:rFonts w:asciiTheme="majorHAnsi" w:eastAsiaTheme="majorEastAsia" w:hAnsiTheme="majorHAnsi" w:cstheme="majorBidi"/>
      <w:color w:val="2F5496" w:themeColor="accent1" w:themeShade="BF"/>
      <w:lang w:val="en-US"/>
    </w:rPr>
  </w:style>
  <w:style w:type="character" w:customStyle="1" w:styleId="Heading9Char">
    <w:name w:val="Heading 9 Char"/>
    <w:aliases w:val="Numbered  Heading 9 Char"/>
    <w:basedOn w:val="DefaultParagraphFont"/>
    <w:link w:val="Heading9"/>
    <w:uiPriority w:val="99"/>
    <w:semiHidden/>
    <w:rsid w:val="00E010F1"/>
    <w:rPr>
      <w:rFonts w:ascii="Brill" w:eastAsia="Calibri" w:hAnsi="Brill" w:cs="Arial"/>
      <w:spacing w:val="20"/>
      <w:kern w:val="28"/>
      <w:szCs w:val="32"/>
      <w:lang w:val="en-US"/>
    </w:rPr>
  </w:style>
  <w:style w:type="character" w:styleId="CommentReference">
    <w:name w:val="annotation reference"/>
    <w:basedOn w:val="DefaultParagraphFont"/>
    <w:uiPriority w:val="99"/>
    <w:semiHidden/>
    <w:unhideWhenUsed/>
    <w:rsid w:val="00581573"/>
    <w:rPr>
      <w:sz w:val="16"/>
      <w:szCs w:val="16"/>
    </w:rPr>
  </w:style>
  <w:style w:type="paragraph" w:styleId="CommentText">
    <w:name w:val="annotation text"/>
    <w:basedOn w:val="Normal"/>
    <w:link w:val="CommentTextChar"/>
    <w:uiPriority w:val="99"/>
    <w:semiHidden/>
    <w:unhideWhenUsed/>
    <w:rsid w:val="00581573"/>
    <w:pPr>
      <w:spacing w:line="240" w:lineRule="auto"/>
    </w:pPr>
    <w:rPr>
      <w:sz w:val="20"/>
      <w:szCs w:val="20"/>
    </w:rPr>
  </w:style>
  <w:style w:type="character" w:customStyle="1" w:styleId="CommentTextChar">
    <w:name w:val="Comment Text Char"/>
    <w:basedOn w:val="DefaultParagraphFont"/>
    <w:link w:val="CommentText"/>
    <w:uiPriority w:val="99"/>
    <w:semiHidden/>
    <w:rsid w:val="00581573"/>
    <w:rPr>
      <w:sz w:val="20"/>
      <w:szCs w:val="20"/>
    </w:rPr>
  </w:style>
  <w:style w:type="paragraph" w:styleId="CommentSubject">
    <w:name w:val="annotation subject"/>
    <w:basedOn w:val="CommentText"/>
    <w:next w:val="CommentText"/>
    <w:link w:val="CommentSubjectChar"/>
    <w:uiPriority w:val="99"/>
    <w:semiHidden/>
    <w:unhideWhenUsed/>
    <w:rsid w:val="00581573"/>
    <w:rPr>
      <w:b/>
      <w:bCs/>
    </w:rPr>
  </w:style>
  <w:style w:type="character" w:customStyle="1" w:styleId="CommentSubjectChar">
    <w:name w:val="Comment Subject Char"/>
    <w:basedOn w:val="CommentTextChar"/>
    <w:link w:val="CommentSubject"/>
    <w:uiPriority w:val="99"/>
    <w:semiHidden/>
    <w:rsid w:val="00581573"/>
    <w:rPr>
      <w:b/>
      <w:bCs/>
      <w:sz w:val="20"/>
      <w:szCs w:val="20"/>
    </w:rPr>
  </w:style>
  <w:style w:type="paragraph" w:styleId="Header">
    <w:name w:val="header"/>
    <w:basedOn w:val="Normal"/>
    <w:link w:val="HeaderChar"/>
    <w:uiPriority w:val="99"/>
    <w:unhideWhenUsed/>
    <w:rsid w:val="00187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4DE"/>
  </w:style>
  <w:style w:type="paragraph" w:styleId="Footer">
    <w:name w:val="footer"/>
    <w:basedOn w:val="Normal"/>
    <w:link w:val="FooterChar"/>
    <w:uiPriority w:val="99"/>
    <w:unhideWhenUsed/>
    <w:rsid w:val="00187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4DE"/>
  </w:style>
  <w:style w:type="paragraph" w:customStyle="1" w:styleId="TEXTFLUSH">
    <w:name w:val="TEXT FLUSH"/>
    <w:basedOn w:val="Normal"/>
    <w:next w:val="Normal"/>
    <w:link w:val="TEXTFLUSHChar"/>
    <w:qFormat/>
    <w:rsid w:val="00573172"/>
    <w:pPr>
      <w:spacing w:after="0" w:line="269" w:lineRule="exact"/>
      <w:jc w:val="both"/>
    </w:pPr>
    <w:rPr>
      <w:rFonts w:ascii="Brill" w:hAnsi="Brill"/>
      <w:lang w:val="en-US"/>
    </w:rPr>
  </w:style>
  <w:style w:type="character" w:customStyle="1" w:styleId="TEXTFLUSHChar">
    <w:name w:val="TEXT FLUSH Char"/>
    <w:basedOn w:val="DefaultParagraphFont"/>
    <w:link w:val="TEXTFLUSH"/>
    <w:rsid w:val="004E3823"/>
    <w:rPr>
      <w:rFonts w:ascii="Brill" w:hAnsi="Brill"/>
      <w:lang w:val="en-US"/>
    </w:rPr>
  </w:style>
  <w:style w:type="paragraph" w:customStyle="1" w:styleId="TEXTINDENT">
    <w:name w:val="TEXT INDENT"/>
    <w:basedOn w:val="TEXTFLUSH"/>
    <w:link w:val="TEXTINDENTChar"/>
    <w:qFormat/>
    <w:rsid w:val="00573172"/>
    <w:pPr>
      <w:ind w:firstLine="227"/>
    </w:pPr>
    <w:rPr>
      <w:color w:val="000000" w:themeColor="text1"/>
    </w:rPr>
  </w:style>
  <w:style w:type="character" w:customStyle="1" w:styleId="TEXTINDENTChar">
    <w:name w:val="TEXT INDENT Char"/>
    <w:basedOn w:val="DefaultParagraphFont"/>
    <w:link w:val="TEXTINDENT"/>
    <w:rsid w:val="00573172"/>
    <w:rPr>
      <w:rFonts w:ascii="Brill" w:hAnsi="Brill"/>
      <w:color w:val="000000" w:themeColor="text1"/>
      <w:lang w:val="en-US"/>
    </w:rPr>
  </w:style>
  <w:style w:type="paragraph" w:customStyle="1" w:styleId="HEADING1Numbered">
    <w:name w:val="HEADING 1 (Numbered)"/>
    <w:basedOn w:val="Normal"/>
    <w:next w:val="TEXTFLUSH"/>
    <w:link w:val="HEADING1NumberedChar"/>
    <w:uiPriority w:val="99"/>
    <w:qFormat/>
    <w:rsid w:val="0099279B"/>
    <w:pPr>
      <w:keepNext/>
      <w:numPr>
        <w:numId w:val="1"/>
      </w:numPr>
      <w:suppressAutoHyphens/>
      <w:spacing w:before="538" w:after="269" w:line="269" w:lineRule="exact"/>
      <w:contextualSpacing/>
      <w:outlineLvl w:val="0"/>
    </w:pPr>
    <w:rPr>
      <w:rFonts w:ascii="Brill" w:hAnsi="Brill"/>
      <w:b/>
      <w:color w:val="000000" w:themeColor="text1"/>
      <w:lang w:val="en-US"/>
    </w:rPr>
  </w:style>
  <w:style w:type="character" w:customStyle="1" w:styleId="HEADING1NumberedChar">
    <w:name w:val="HEADING 1 (Numbered) Char"/>
    <w:link w:val="HEADING1Numbered"/>
    <w:uiPriority w:val="99"/>
    <w:rsid w:val="00997F09"/>
    <w:rPr>
      <w:rFonts w:ascii="Brill" w:hAnsi="Brill"/>
      <w:b/>
      <w:color w:val="000000" w:themeColor="text1"/>
      <w:lang w:val="en-US"/>
    </w:rPr>
  </w:style>
  <w:style w:type="paragraph" w:customStyle="1" w:styleId="HEADING2Numbered">
    <w:name w:val="HEADING 2 (Numbered)"/>
    <w:basedOn w:val="Normal"/>
    <w:next w:val="TEXTFLUSH"/>
    <w:uiPriority w:val="99"/>
    <w:qFormat/>
    <w:rsid w:val="0099279B"/>
    <w:pPr>
      <w:keepNext/>
      <w:numPr>
        <w:ilvl w:val="1"/>
        <w:numId w:val="1"/>
      </w:numPr>
      <w:tabs>
        <w:tab w:val="clear" w:pos="2239"/>
        <w:tab w:val="num" w:pos="1106"/>
      </w:tabs>
      <w:spacing w:before="269" w:after="0" w:line="269" w:lineRule="exact"/>
      <w:ind w:left="680"/>
      <w:outlineLvl w:val="1"/>
    </w:pPr>
    <w:rPr>
      <w:rFonts w:ascii="Brill" w:hAnsi="Brill"/>
      <w:b/>
      <w:i/>
      <w:color w:val="000000" w:themeColor="text1"/>
      <w:lang w:val="en-US"/>
    </w:rPr>
  </w:style>
  <w:style w:type="paragraph" w:customStyle="1" w:styleId="HEADING3Numbered">
    <w:name w:val="HEADING 3 (Numbered)"/>
    <w:basedOn w:val="Normal"/>
    <w:next w:val="TEXTFLUSH"/>
    <w:uiPriority w:val="99"/>
    <w:qFormat/>
    <w:rsid w:val="0099279B"/>
    <w:pPr>
      <w:numPr>
        <w:ilvl w:val="2"/>
        <w:numId w:val="1"/>
      </w:numPr>
      <w:tabs>
        <w:tab w:val="left" w:pos="907"/>
      </w:tabs>
      <w:spacing w:before="269" w:after="0" w:line="269" w:lineRule="exact"/>
      <w:outlineLvl w:val="2"/>
    </w:pPr>
    <w:rPr>
      <w:rFonts w:ascii="Brill" w:hAnsi="Brill"/>
      <w:color w:val="000000" w:themeColor="text1"/>
      <w:lang w:val="en-US"/>
    </w:rPr>
  </w:style>
  <w:style w:type="paragraph" w:customStyle="1" w:styleId="BLOCKQUOTE">
    <w:name w:val="BLOCK QUOTE"/>
    <w:basedOn w:val="TEXTINDENT"/>
    <w:uiPriority w:val="99"/>
    <w:qFormat/>
    <w:rsid w:val="00997F09"/>
    <w:pPr>
      <w:tabs>
        <w:tab w:val="left" w:pos="680"/>
      </w:tabs>
      <w:spacing w:before="269" w:after="269"/>
      <w:ind w:left="454" w:firstLine="0"/>
      <w:contextualSpacing/>
    </w:pPr>
  </w:style>
  <w:style w:type="paragraph" w:customStyle="1" w:styleId="CHAPTERAUTHOR">
    <w:name w:val="CHAPTER AUTHOR"/>
    <w:basedOn w:val="TEXTFLUSH"/>
    <w:rsid w:val="00997F09"/>
    <w:pPr>
      <w:spacing w:before="269"/>
      <w:ind w:left="680"/>
      <w:jc w:val="left"/>
    </w:pPr>
    <w:rPr>
      <w:i/>
    </w:rPr>
  </w:style>
  <w:style w:type="paragraph" w:customStyle="1" w:styleId="CHAPTERNUMBER">
    <w:name w:val="CHAPTER NUMBER"/>
    <w:basedOn w:val="Normal"/>
    <w:next w:val="CHAPTERTITLE"/>
    <w:rsid w:val="00997F09"/>
    <w:pPr>
      <w:pageBreakBefore/>
      <w:widowControl w:val="0"/>
      <w:suppressAutoHyphens/>
      <w:spacing w:after="269" w:line="269" w:lineRule="exact"/>
      <w:ind w:left="680"/>
    </w:pPr>
    <w:rPr>
      <w:rFonts w:ascii="Brill" w:eastAsia="Times New Roman" w:hAnsi="Brill" w:cs="Times New Roman"/>
      <w:smallCaps/>
      <w:szCs w:val="20"/>
      <w:lang w:val="en-US"/>
    </w:rPr>
  </w:style>
  <w:style w:type="paragraph" w:customStyle="1" w:styleId="CHAPTERTITLE">
    <w:name w:val="CHAPTER TITLE"/>
    <w:basedOn w:val="Normal"/>
    <w:link w:val="CHAPTERTITLEChar"/>
    <w:qFormat/>
    <w:rsid w:val="00997F09"/>
    <w:pPr>
      <w:widowControl w:val="0"/>
      <w:suppressAutoHyphens/>
      <w:spacing w:line="400" w:lineRule="exact"/>
      <w:outlineLvl w:val="0"/>
    </w:pPr>
    <w:rPr>
      <w:rFonts w:ascii="Brill" w:eastAsia="Times New Roman" w:hAnsi="Brill" w:cs="Times New Roman"/>
      <w:b/>
      <w:sz w:val="32"/>
      <w:szCs w:val="20"/>
      <w:lang w:val="en-US"/>
    </w:rPr>
  </w:style>
  <w:style w:type="paragraph" w:customStyle="1" w:styleId="CHAPTERSUBTITLE">
    <w:name w:val="CHAPTER SUBTITLE"/>
    <w:basedOn w:val="CHAPTERTITLE"/>
    <w:rsid w:val="00997F09"/>
    <w:pPr>
      <w:spacing w:after="269" w:line="269" w:lineRule="exact"/>
    </w:pPr>
    <w:rPr>
      <w:i/>
      <w:sz w:val="22"/>
    </w:rPr>
  </w:style>
  <w:style w:type="paragraph" w:customStyle="1" w:styleId="CAPTIONTEXT">
    <w:name w:val="CAPTION TEXT"/>
    <w:basedOn w:val="TEXTINDENT"/>
    <w:link w:val="CAPTIONTEXTChar"/>
    <w:uiPriority w:val="99"/>
    <w:qFormat/>
    <w:rsid w:val="00997F09"/>
    <w:pPr>
      <w:tabs>
        <w:tab w:val="left" w:pos="907"/>
      </w:tabs>
      <w:spacing w:after="120" w:line="220" w:lineRule="exact"/>
      <w:ind w:firstLine="0"/>
    </w:pPr>
    <w:rPr>
      <w:sz w:val="18"/>
    </w:rPr>
  </w:style>
  <w:style w:type="character" w:customStyle="1" w:styleId="CAPTIONTEXTChar">
    <w:name w:val="CAPTION TEXT Char"/>
    <w:basedOn w:val="TEXTINDENTChar"/>
    <w:link w:val="CAPTIONTEXT"/>
    <w:uiPriority w:val="99"/>
    <w:rsid w:val="00997F09"/>
    <w:rPr>
      <w:rFonts w:ascii="Brill" w:hAnsi="Brill"/>
      <w:color w:val="000000" w:themeColor="text1"/>
      <w:sz w:val="18"/>
      <w:lang w:val="en-US"/>
    </w:rPr>
  </w:style>
  <w:style w:type="paragraph" w:customStyle="1" w:styleId="ENDNOTE">
    <w:name w:val="ENDNOTE"/>
    <w:basedOn w:val="CHAPTERNUMBER"/>
    <w:rsid w:val="00997F09"/>
    <w:pPr>
      <w:pageBreakBefore w:val="0"/>
      <w:suppressAutoHyphens w:val="0"/>
      <w:spacing w:after="0" w:line="220" w:lineRule="exact"/>
      <w:ind w:left="454" w:hanging="454"/>
    </w:pPr>
    <w:rPr>
      <w:smallCaps w:val="0"/>
      <w:sz w:val="18"/>
    </w:rPr>
  </w:style>
  <w:style w:type="paragraph" w:customStyle="1" w:styleId="HEADING1Unnumbered">
    <w:name w:val="HEADING 1 (Unnumbered)"/>
    <w:next w:val="TEXTFLUSH"/>
    <w:link w:val="HEADING1UnnumberedChar"/>
    <w:uiPriority w:val="99"/>
    <w:rsid w:val="00997F09"/>
    <w:pPr>
      <w:spacing w:before="538" w:after="269" w:line="269" w:lineRule="exact"/>
      <w:ind w:left="680"/>
      <w:outlineLvl w:val="0"/>
    </w:pPr>
    <w:rPr>
      <w:rFonts w:ascii="Brill" w:hAnsi="Brill"/>
      <w:b/>
      <w:color w:val="000000" w:themeColor="text1"/>
      <w:lang w:val="en-US"/>
    </w:rPr>
  </w:style>
  <w:style w:type="character" w:customStyle="1" w:styleId="HEADING1UnnumberedChar">
    <w:name w:val="HEADING 1 (Unnumbered) Char"/>
    <w:link w:val="HEADING1Unnumbered"/>
    <w:uiPriority w:val="99"/>
    <w:rsid w:val="00997F09"/>
    <w:rPr>
      <w:rFonts w:ascii="Brill" w:hAnsi="Brill"/>
      <w:b/>
      <w:color w:val="000000" w:themeColor="text1"/>
      <w:lang w:val="en-US"/>
    </w:rPr>
  </w:style>
  <w:style w:type="paragraph" w:customStyle="1" w:styleId="HEADING2Unnumbered">
    <w:name w:val="HEADING 2 (Unnumbered)"/>
    <w:basedOn w:val="HEADING1Unnumbered"/>
    <w:uiPriority w:val="99"/>
    <w:rsid w:val="00997F09"/>
    <w:pPr>
      <w:spacing w:before="269" w:after="0"/>
      <w:ind w:left="675"/>
      <w:outlineLvl w:val="1"/>
    </w:pPr>
    <w:rPr>
      <w:i/>
    </w:rPr>
  </w:style>
  <w:style w:type="paragraph" w:customStyle="1" w:styleId="HEADING3Unnumbered">
    <w:name w:val="HEADING 3 (Unnumbered)"/>
    <w:basedOn w:val="HEADING2Unnumbered"/>
    <w:next w:val="TEXTFLUSH"/>
    <w:uiPriority w:val="99"/>
    <w:rsid w:val="00997F09"/>
    <w:pPr>
      <w:ind w:left="907"/>
      <w:outlineLvl w:val="2"/>
    </w:pPr>
    <w:rPr>
      <w:b w:val="0"/>
      <w:i w:val="0"/>
    </w:rPr>
  </w:style>
  <w:style w:type="paragraph" w:customStyle="1" w:styleId="TABLEBODY">
    <w:name w:val="TABLE BODY"/>
    <w:basedOn w:val="TEXTINDENT"/>
    <w:uiPriority w:val="99"/>
    <w:rsid w:val="00997F09"/>
    <w:pPr>
      <w:widowControl w:val="0"/>
      <w:ind w:firstLine="0"/>
      <w:jc w:val="left"/>
    </w:pPr>
  </w:style>
  <w:style w:type="paragraph" w:customStyle="1" w:styleId="TABLECOLUMNHEAD">
    <w:name w:val="TABLE COLUMN HEAD"/>
    <w:basedOn w:val="TABLEBODY"/>
    <w:next w:val="TABLEBODY"/>
    <w:uiPriority w:val="99"/>
    <w:rsid w:val="00997F09"/>
    <w:pPr>
      <w:framePr w:wrap="around" w:vAnchor="text" w:hAnchor="text" w:y="1"/>
      <w:pBdr>
        <w:top w:val="single" w:sz="4" w:space="2" w:color="auto"/>
        <w:bottom w:val="single" w:sz="12" w:space="2" w:color="auto"/>
      </w:pBdr>
      <w:suppressOverlap/>
    </w:pPr>
    <w:rPr>
      <w:b/>
    </w:rPr>
  </w:style>
  <w:style w:type="character" w:styleId="Hyperlink">
    <w:name w:val="Hyperlink"/>
    <w:uiPriority w:val="99"/>
    <w:rsid w:val="00997F09"/>
    <w:rPr>
      <w:color w:val="0000FF"/>
      <w:u w:val="single"/>
    </w:rPr>
  </w:style>
  <w:style w:type="character" w:customStyle="1" w:styleId="CSSMALLCAPS">
    <w:name w:val="CS SMALL CAPS"/>
    <w:qFormat/>
    <w:rsid w:val="00997F09"/>
    <w:rPr>
      <w:caps w:val="0"/>
      <w:smallCaps/>
    </w:rPr>
  </w:style>
  <w:style w:type="paragraph" w:customStyle="1" w:styleId="ITEM">
    <w:name w:val="ITEM"/>
    <w:basedOn w:val="TEXTFLUSH"/>
    <w:rsid w:val="00997F09"/>
    <w:pPr>
      <w:numPr>
        <w:numId w:val="2"/>
      </w:numPr>
      <w:tabs>
        <w:tab w:val="left" w:pos="227"/>
        <w:tab w:val="left" w:pos="454"/>
      </w:tabs>
      <w:spacing w:after="269"/>
      <w:ind w:left="227" w:hanging="227"/>
      <w:contextualSpacing/>
    </w:pPr>
  </w:style>
  <w:style w:type="character" w:styleId="EndnoteReference">
    <w:name w:val="endnote reference"/>
    <w:uiPriority w:val="99"/>
    <w:semiHidden/>
    <w:rsid w:val="00997F09"/>
    <w:rPr>
      <w:vertAlign w:val="superscript"/>
    </w:rPr>
  </w:style>
  <w:style w:type="paragraph" w:customStyle="1" w:styleId="EQUATION">
    <w:name w:val="EQUATION"/>
    <w:basedOn w:val="TEXTFLUSH"/>
    <w:rsid w:val="00997F09"/>
    <w:pPr>
      <w:tabs>
        <w:tab w:val="center" w:pos="3260"/>
        <w:tab w:val="right" w:pos="6521"/>
      </w:tabs>
      <w:spacing w:before="269" w:after="269"/>
      <w:contextualSpacing/>
      <w:jc w:val="center"/>
    </w:pPr>
    <w:rPr>
      <w:i/>
    </w:rPr>
  </w:style>
  <w:style w:type="table" w:styleId="TableGrid">
    <w:name w:val="Table Grid"/>
    <w:basedOn w:val="TableNormal"/>
    <w:uiPriority w:val="59"/>
    <w:rsid w:val="00997F0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IC">
    <w:name w:val="BIBLIOGRAPHIC"/>
    <w:basedOn w:val="TEXTFLUSH"/>
    <w:rsid w:val="00997F09"/>
    <w:pPr>
      <w:ind w:left="227" w:hanging="227"/>
    </w:pPr>
    <w:rPr>
      <w:sz w:val="20"/>
    </w:rPr>
  </w:style>
  <w:style w:type="character" w:customStyle="1" w:styleId="acopre">
    <w:name w:val="acopre"/>
    <w:basedOn w:val="DefaultParagraphFont"/>
    <w:rsid w:val="00997F09"/>
  </w:style>
  <w:style w:type="character" w:customStyle="1" w:styleId="BalloonTextChar">
    <w:name w:val="Balloon Text Char"/>
    <w:basedOn w:val="DefaultParagraphFont"/>
    <w:link w:val="BalloonText"/>
    <w:uiPriority w:val="99"/>
    <w:semiHidden/>
    <w:rsid w:val="00A06055"/>
    <w:rPr>
      <w:rFonts w:ascii="Segoe UI" w:eastAsiaTheme="minorEastAsia" w:hAnsi="Segoe UI" w:cs="Segoe UI"/>
      <w:kern w:val="2"/>
      <w:sz w:val="18"/>
      <w:szCs w:val="18"/>
      <w:lang w:eastAsia="zh-CN"/>
    </w:rPr>
  </w:style>
  <w:style w:type="paragraph" w:styleId="BalloonText">
    <w:name w:val="Balloon Text"/>
    <w:basedOn w:val="Normal"/>
    <w:link w:val="BalloonTextChar"/>
    <w:uiPriority w:val="99"/>
    <w:semiHidden/>
    <w:unhideWhenUsed/>
    <w:rsid w:val="00A06055"/>
    <w:pPr>
      <w:widowControl w:val="0"/>
      <w:spacing w:after="0" w:line="240" w:lineRule="auto"/>
      <w:jc w:val="both"/>
    </w:pPr>
    <w:rPr>
      <w:rFonts w:ascii="Segoe UI" w:eastAsiaTheme="minorEastAsia" w:hAnsi="Segoe UI" w:cs="Segoe UI"/>
      <w:kern w:val="2"/>
      <w:sz w:val="18"/>
      <w:szCs w:val="18"/>
      <w:lang w:eastAsia="zh-CN"/>
    </w:rPr>
  </w:style>
  <w:style w:type="paragraph" w:styleId="ListParagraph">
    <w:name w:val="List Paragraph"/>
    <w:basedOn w:val="Normal"/>
    <w:uiPriority w:val="34"/>
    <w:qFormat/>
    <w:rsid w:val="00A06055"/>
    <w:pPr>
      <w:widowControl w:val="0"/>
      <w:spacing w:after="0" w:line="240" w:lineRule="auto"/>
      <w:ind w:left="720"/>
      <w:contextualSpacing/>
      <w:jc w:val="both"/>
    </w:pPr>
    <w:rPr>
      <w:rFonts w:eastAsiaTheme="minorEastAsia"/>
      <w:kern w:val="2"/>
      <w:sz w:val="21"/>
      <w:lang w:eastAsia="zh-CN"/>
    </w:rPr>
  </w:style>
  <w:style w:type="character" w:styleId="SubtleReference">
    <w:name w:val="Subtle Reference"/>
    <w:basedOn w:val="DefaultParagraphFont"/>
    <w:uiPriority w:val="31"/>
    <w:qFormat/>
    <w:rsid w:val="00CA7ED7"/>
    <w:rPr>
      <w:smallCaps/>
      <w:color w:val="5A5A5A" w:themeColor="text1" w:themeTint="A5"/>
    </w:rPr>
  </w:style>
  <w:style w:type="character" w:styleId="IntenseReference">
    <w:name w:val="Intense Reference"/>
    <w:basedOn w:val="DefaultParagraphFont"/>
    <w:uiPriority w:val="32"/>
    <w:qFormat/>
    <w:rsid w:val="00CA7ED7"/>
    <w:rPr>
      <w:b/>
      <w:bCs/>
      <w:smallCaps/>
      <w:color w:val="4472C4" w:themeColor="accent1"/>
      <w:spacing w:val="5"/>
    </w:rPr>
  </w:style>
  <w:style w:type="character" w:customStyle="1" w:styleId="FootnoteTextChar">
    <w:name w:val="Footnote Text Char"/>
    <w:aliases w:val="FOOTNOTE TEXT Char"/>
    <w:basedOn w:val="DefaultParagraphFont"/>
    <w:link w:val="FootnoteText"/>
    <w:uiPriority w:val="99"/>
    <w:rsid w:val="00E010F1"/>
    <w:rPr>
      <w:rFonts w:ascii="Brill" w:eastAsia="Times New Roman" w:hAnsi="Brill" w:cs="Times New Roman"/>
      <w:sz w:val="18"/>
      <w:lang w:val="en-US"/>
    </w:rPr>
  </w:style>
  <w:style w:type="paragraph" w:styleId="FootnoteText">
    <w:name w:val="footnote text"/>
    <w:aliases w:val="FOOTNOTE TEXT"/>
    <w:basedOn w:val="Normal"/>
    <w:link w:val="FootnoteTextChar"/>
    <w:uiPriority w:val="99"/>
    <w:rsid w:val="00E010F1"/>
    <w:pPr>
      <w:widowControl w:val="0"/>
      <w:tabs>
        <w:tab w:val="left" w:pos="227"/>
        <w:tab w:val="left" w:pos="454"/>
      </w:tabs>
      <w:spacing w:line="240" w:lineRule="exact"/>
      <w:ind w:left="446" w:hanging="446"/>
    </w:pPr>
    <w:rPr>
      <w:rFonts w:ascii="Brill" w:eastAsia="Times New Roman" w:hAnsi="Brill" w:cs="Times New Roman"/>
      <w:sz w:val="18"/>
      <w:lang w:val="en-US"/>
    </w:rPr>
  </w:style>
  <w:style w:type="character" w:customStyle="1" w:styleId="BodyTextChar">
    <w:name w:val="Body Text Char"/>
    <w:basedOn w:val="DefaultParagraphFont"/>
    <w:link w:val="BodyText"/>
    <w:uiPriority w:val="99"/>
    <w:semiHidden/>
    <w:rsid w:val="00E010F1"/>
    <w:rPr>
      <w:rFonts w:eastAsia="Times New Roman" w:cs="Times New Roman"/>
      <w:lang w:val="en-US"/>
    </w:rPr>
  </w:style>
  <w:style w:type="paragraph" w:styleId="BodyText">
    <w:name w:val="Body Text"/>
    <w:basedOn w:val="Normal"/>
    <w:link w:val="BodyTextChar"/>
    <w:uiPriority w:val="99"/>
    <w:semiHidden/>
    <w:rsid w:val="00E010F1"/>
    <w:pPr>
      <w:spacing w:after="120" w:line="2" w:lineRule="auto"/>
    </w:pPr>
    <w:rPr>
      <w:rFonts w:eastAsia="Times New Roman" w:cs="Times New Roman"/>
      <w:lang w:val="en-US"/>
    </w:rPr>
  </w:style>
  <w:style w:type="paragraph" w:customStyle="1" w:styleId="AFFILIATION">
    <w:name w:val="AFFILIATION"/>
    <w:basedOn w:val="CHAPTERAUTHOR"/>
    <w:rsid w:val="00E010F1"/>
    <w:pPr>
      <w:spacing w:before="0"/>
    </w:pPr>
    <w:rPr>
      <w:i w:val="0"/>
      <w:sz w:val="20"/>
    </w:rPr>
  </w:style>
  <w:style w:type="character" w:customStyle="1" w:styleId="EndnoteTextChar">
    <w:name w:val="Endnote Text Char"/>
    <w:basedOn w:val="DefaultParagraphFont"/>
    <w:link w:val="EndnoteText"/>
    <w:uiPriority w:val="99"/>
    <w:rsid w:val="00E010F1"/>
    <w:rPr>
      <w:rFonts w:eastAsia="Times New Roman" w:cs="Times New Roman"/>
      <w:sz w:val="20"/>
      <w:szCs w:val="20"/>
      <w:lang w:val="en-US"/>
    </w:rPr>
  </w:style>
  <w:style w:type="paragraph" w:styleId="EndnoteText">
    <w:name w:val="endnote text"/>
    <w:basedOn w:val="Normal"/>
    <w:link w:val="EndnoteTextChar"/>
    <w:uiPriority w:val="99"/>
    <w:rsid w:val="00E010F1"/>
    <w:pPr>
      <w:spacing w:after="0" w:line="240" w:lineRule="auto"/>
    </w:pPr>
    <w:rPr>
      <w:rFonts w:eastAsia="Times New Roman" w:cs="Times New Roman"/>
      <w:sz w:val="20"/>
      <w:szCs w:val="20"/>
      <w:lang w:val="en-US"/>
    </w:rPr>
  </w:style>
  <w:style w:type="character" w:customStyle="1" w:styleId="apple-converted-space">
    <w:name w:val="apple-converted-space"/>
    <w:basedOn w:val="DefaultParagraphFont"/>
    <w:rsid w:val="00E010F1"/>
  </w:style>
  <w:style w:type="character" w:styleId="PageNumber">
    <w:name w:val="page number"/>
    <w:basedOn w:val="DefaultParagraphFont"/>
    <w:uiPriority w:val="99"/>
    <w:semiHidden/>
    <w:unhideWhenUsed/>
    <w:rsid w:val="00013069"/>
  </w:style>
  <w:style w:type="character" w:styleId="FootnoteReference">
    <w:name w:val="footnote reference"/>
    <w:basedOn w:val="DefaultParagraphFont"/>
    <w:unhideWhenUsed/>
    <w:rsid w:val="00013069"/>
    <w:rPr>
      <w:vertAlign w:val="superscript"/>
    </w:rPr>
  </w:style>
  <w:style w:type="paragraph" w:styleId="NormalWeb">
    <w:name w:val="Normal (Web)"/>
    <w:basedOn w:val="Normal"/>
    <w:uiPriority w:val="99"/>
    <w:semiHidden/>
    <w:unhideWhenUsed/>
    <w:rsid w:val="00013069"/>
    <w:pPr>
      <w:spacing w:before="100" w:beforeAutospacing="1" w:after="100" w:afterAutospacing="1" w:line="240" w:lineRule="auto"/>
    </w:pPr>
    <w:rPr>
      <w:rFonts w:ascii="Times" w:eastAsiaTheme="minorEastAsia" w:hAnsi="Times" w:cs="Times New Roman"/>
      <w:sz w:val="20"/>
      <w:szCs w:val="20"/>
    </w:rPr>
  </w:style>
  <w:style w:type="character" w:styleId="Strong">
    <w:name w:val="Strong"/>
    <w:basedOn w:val="DefaultParagraphFont"/>
    <w:uiPriority w:val="22"/>
    <w:qFormat/>
    <w:rsid w:val="00C93658"/>
    <w:rPr>
      <w:b/>
      <w:bCs/>
    </w:rPr>
  </w:style>
  <w:style w:type="character" w:styleId="Emphasis">
    <w:name w:val="Emphasis"/>
    <w:basedOn w:val="DefaultParagraphFont"/>
    <w:uiPriority w:val="20"/>
    <w:qFormat/>
    <w:rsid w:val="00C93658"/>
    <w:rPr>
      <w:i/>
      <w:iCs/>
    </w:rPr>
  </w:style>
  <w:style w:type="character" w:customStyle="1" w:styleId="a-size-large">
    <w:name w:val="a-size-large"/>
    <w:basedOn w:val="DefaultParagraphFont"/>
    <w:rsid w:val="00C93658"/>
    <w:rPr>
      <w:rFonts w:cs="Times New Roman"/>
    </w:rPr>
  </w:style>
  <w:style w:type="paragraph" w:customStyle="1" w:styleId="Liststycke1">
    <w:name w:val="Liststycke1"/>
    <w:basedOn w:val="Normal"/>
    <w:rsid w:val="004E3823"/>
    <w:pPr>
      <w:spacing w:line="480" w:lineRule="auto"/>
      <w:ind w:left="720"/>
      <w:contextualSpacing/>
      <w:jc w:val="both"/>
    </w:pPr>
    <w:rPr>
      <w:rFonts w:ascii="Times New Roman" w:eastAsia="Times New Roman" w:hAnsi="Times New Roman" w:cs="Times New Roman"/>
      <w:sz w:val="20"/>
      <w:lang w:val="en-US"/>
    </w:rPr>
  </w:style>
  <w:style w:type="paragraph" w:customStyle="1" w:styleId="EndNoteBibliographyTitle">
    <w:name w:val="EndNote Bibliography Title"/>
    <w:basedOn w:val="Normal"/>
    <w:link w:val="EndNoteBibliographyTitleChar"/>
    <w:rsid w:val="004E3823"/>
    <w:pPr>
      <w:spacing w:after="0" w:line="2" w:lineRule="auto"/>
      <w:jc w:val="center"/>
    </w:pPr>
    <w:rPr>
      <w:rFonts w:ascii="Brill" w:eastAsia="Times New Roman" w:hAnsi="Brill" w:cs="Times New Roman"/>
      <w:noProof/>
      <w:lang w:val="en-US"/>
    </w:rPr>
  </w:style>
  <w:style w:type="character" w:customStyle="1" w:styleId="EndNoteBibliographyTitleChar">
    <w:name w:val="EndNote Bibliography Title Char"/>
    <w:basedOn w:val="TEXTFLUSHChar"/>
    <w:link w:val="EndNoteBibliographyTitle"/>
    <w:rsid w:val="004E3823"/>
    <w:rPr>
      <w:rFonts w:ascii="Brill" w:eastAsia="Times New Roman" w:hAnsi="Brill" w:cs="Times New Roman"/>
      <w:noProof/>
      <w:lang w:val="en-US"/>
    </w:rPr>
  </w:style>
  <w:style w:type="paragraph" w:customStyle="1" w:styleId="EndNoteBibliography">
    <w:name w:val="EndNote Bibliography"/>
    <w:basedOn w:val="Normal"/>
    <w:link w:val="EndNoteBibliographyChar"/>
    <w:rsid w:val="004E3823"/>
    <w:pPr>
      <w:spacing w:line="240" w:lineRule="auto"/>
      <w:jc w:val="both"/>
    </w:pPr>
    <w:rPr>
      <w:rFonts w:ascii="Brill" w:eastAsia="Times New Roman" w:hAnsi="Brill" w:cs="Times New Roman"/>
      <w:noProof/>
      <w:lang w:val="en-US"/>
    </w:rPr>
  </w:style>
  <w:style w:type="character" w:customStyle="1" w:styleId="EndNoteBibliographyChar">
    <w:name w:val="EndNote Bibliography Char"/>
    <w:basedOn w:val="TEXTFLUSHChar"/>
    <w:link w:val="EndNoteBibliography"/>
    <w:rsid w:val="004E3823"/>
    <w:rPr>
      <w:rFonts w:ascii="Brill" w:eastAsia="Times New Roman" w:hAnsi="Brill" w:cs="Times New Roman"/>
      <w:noProof/>
      <w:lang w:val="en-US"/>
    </w:rPr>
  </w:style>
  <w:style w:type="character" w:customStyle="1" w:styleId="Betoning1">
    <w:name w:val="Betoning1"/>
    <w:basedOn w:val="DefaultParagraphFont"/>
    <w:rsid w:val="004E3823"/>
  </w:style>
  <w:style w:type="paragraph" w:customStyle="1" w:styleId="Formatmall1">
    <w:name w:val="Formatmall1"/>
    <w:basedOn w:val="CHAPTERTITLE"/>
    <w:link w:val="Formatmall1Char"/>
    <w:qFormat/>
    <w:rsid w:val="00DB7133"/>
  </w:style>
  <w:style w:type="character" w:styleId="UnresolvedMention">
    <w:name w:val="Unresolved Mention"/>
    <w:basedOn w:val="DefaultParagraphFont"/>
    <w:uiPriority w:val="99"/>
    <w:semiHidden/>
    <w:unhideWhenUsed/>
    <w:rsid w:val="00DB7133"/>
    <w:rPr>
      <w:color w:val="605E5C"/>
      <w:shd w:val="clear" w:color="auto" w:fill="E1DFDD"/>
    </w:rPr>
  </w:style>
  <w:style w:type="character" w:customStyle="1" w:styleId="CHAPTERTITLEChar">
    <w:name w:val="CHAPTER TITLE Char"/>
    <w:basedOn w:val="DefaultParagraphFont"/>
    <w:link w:val="CHAPTERTITLE"/>
    <w:rsid w:val="00DB7133"/>
    <w:rPr>
      <w:rFonts w:ascii="Brill" w:eastAsia="Times New Roman" w:hAnsi="Brill" w:cs="Times New Roman"/>
      <w:b/>
      <w:sz w:val="32"/>
      <w:szCs w:val="20"/>
      <w:lang w:val="en-US"/>
    </w:rPr>
  </w:style>
  <w:style w:type="character" w:customStyle="1" w:styleId="Formatmall1Char">
    <w:name w:val="Formatmall1 Char"/>
    <w:basedOn w:val="CHAPTERTITLEChar"/>
    <w:link w:val="Formatmall1"/>
    <w:rsid w:val="00DB7133"/>
    <w:rPr>
      <w:rFonts w:ascii="Brill" w:eastAsia="Times New Roman" w:hAnsi="Brill" w:cs="Times New Roman"/>
      <w:b/>
      <w:sz w:val="32"/>
      <w:szCs w:val="20"/>
      <w:lang w:val="en-US"/>
    </w:rPr>
  </w:style>
  <w:style w:type="table" w:styleId="PlainTable2">
    <w:name w:val="Plain Table 2"/>
    <w:basedOn w:val="TableNormal"/>
    <w:uiPriority w:val="42"/>
    <w:rsid w:val="005233BE"/>
    <w:pPr>
      <w:spacing w:after="0" w:line="240" w:lineRule="auto"/>
    </w:pPr>
    <w:rPr>
      <w:sz w:val="24"/>
      <w:szCs w:val="24"/>
      <w:lang w:val="sv-S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D1634C"/>
    <w:rPr>
      <w:color w:val="954F72" w:themeColor="followedHyperlink"/>
      <w:u w:val="single"/>
    </w:rPr>
  </w:style>
  <w:style w:type="paragraph" w:styleId="Revision">
    <w:name w:val="Revision"/>
    <w:hidden/>
    <w:uiPriority w:val="99"/>
    <w:semiHidden/>
    <w:rsid w:val="006147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8168">
      <w:bodyDiv w:val="1"/>
      <w:marLeft w:val="0"/>
      <w:marRight w:val="0"/>
      <w:marTop w:val="0"/>
      <w:marBottom w:val="0"/>
      <w:divBdr>
        <w:top w:val="none" w:sz="0" w:space="0" w:color="auto"/>
        <w:left w:val="none" w:sz="0" w:space="0" w:color="auto"/>
        <w:bottom w:val="none" w:sz="0" w:space="0" w:color="auto"/>
        <w:right w:val="none" w:sz="0" w:space="0" w:color="auto"/>
      </w:divBdr>
    </w:div>
    <w:div w:id="927689908">
      <w:bodyDiv w:val="1"/>
      <w:marLeft w:val="0"/>
      <w:marRight w:val="0"/>
      <w:marTop w:val="0"/>
      <w:marBottom w:val="0"/>
      <w:divBdr>
        <w:top w:val="none" w:sz="0" w:space="0" w:color="auto"/>
        <w:left w:val="none" w:sz="0" w:space="0" w:color="auto"/>
        <w:bottom w:val="none" w:sz="0" w:space="0" w:color="auto"/>
        <w:right w:val="none" w:sz="0" w:space="0" w:color="auto"/>
      </w:divBdr>
    </w:div>
    <w:div w:id="108950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fficeforstudents.org.uk/media/989e5582-cb4b-442e-944b-9cc6c1327d92/coronavirus-briefing-note-postgraduate-research-student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github.com/matthewsillence/educational_discourse" TargetMode="External"/><Relationship Id="rId1" Type="http://schemas.openxmlformats.org/officeDocument/2006/relationships/hyperlink" Target="https://supervision.ukcg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D8D3F-1791-49FB-A840-D870A37F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24</Pages>
  <Words>5435</Words>
  <Characters>30980</Characters>
  <Application>Microsoft Office Word</Application>
  <DocSecurity>0</DocSecurity>
  <Lines>258</Lines>
  <Paragraphs>72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denicolo</dc:creator>
  <cp:keywords/>
  <dc:description/>
  <cp:lastModifiedBy>Matthew Sillence (HUM - Staff)</cp:lastModifiedBy>
  <cp:revision>43</cp:revision>
  <cp:lastPrinted>2021-12-14T15:56:00Z</cp:lastPrinted>
  <dcterms:created xsi:type="dcterms:W3CDTF">2022-04-05T09:53:00Z</dcterms:created>
  <dcterms:modified xsi:type="dcterms:W3CDTF">2026-02-12T12:45:00Z</dcterms:modified>
</cp:coreProperties>
</file>