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8C35FC" w14:textId="7CDA0C7B" w:rsidR="00D31B09" w:rsidRPr="00013CDF" w:rsidRDefault="00D96835" w:rsidP="003105E4">
      <w:pPr>
        <w:jc w:val="center"/>
        <w:rPr>
          <w:b/>
          <w:sz w:val="32"/>
          <w:szCs w:val="32"/>
        </w:rPr>
      </w:pPr>
      <w:r>
        <w:rPr>
          <w:b/>
          <w:sz w:val="32"/>
          <w:szCs w:val="32"/>
        </w:rPr>
        <w:t>ELECTRONIC SUPPLEMENTARY INFORMATION</w:t>
      </w:r>
    </w:p>
    <w:p w14:paraId="30FFD000" w14:textId="77777777" w:rsidR="00010CE3" w:rsidRPr="005834E4" w:rsidRDefault="00010CE3" w:rsidP="00010CE3">
      <w:pPr>
        <w:spacing w:line="312" w:lineRule="auto"/>
        <w:jc w:val="center"/>
        <w:rPr>
          <w:b/>
          <w:bCs/>
          <w:lang w:val="en-US"/>
        </w:rPr>
      </w:pPr>
      <w:r w:rsidRPr="005834E4">
        <w:rPr>
          <w:b/>
          <w:bCs/>
          <w:lang w:val="en-US"/>
        </w:rPr>
        <w:t>Population and coherence dynamics in Large, Fully Conjugated, Porphyrin Nanorings</w:t>
      </w:r>
    </w:p>
    <w:p w14:paraId="60DB6677" w14:textId="451DFE02" w:rsidR="00013CDF" w:rsidRPr="0035210B" w:rsidRDefault="00013CDF" w:rsidP="00013CDF">
      <w:pPr>
        <w:spacing w:line="312" w:lineRule="auto"/>
        <w:jc w:val="center"/>
        <w:rPr>
          <w:lang w:val="en-US"/>
        </w:rPr>
      </w:pPr>
      <w:r w:rsidRPr="00DF4005">
        <w:rPr>
          <w:lang w:val="en-US"/>
        </w:rPr>
        <w:t>Giovanni Bressan</w:t>
      </w:r>
      <w:proofErr w:type="gramStart"/>
      <w:r w:rsidRPr="00DF4005">
        <w:rPr>
          <w:lang w:val="en-US"/>
        </w:rPr>
        <w:t>,</w:t>
      </w:r>
      <w:r w:rsidRPr="00DF4005">
        <w:rPr>
          <w:vertAlign w:val="superscript"/>
          <w:lang w:val="en-US"/>
        </w:rPr>
        <w:t>1</w:t>
      </w:r>
      <w:proofErr w:type="gramEnd"/>
      <w:r w:rsidRPr="00DF4005">
        <w:rPr>
          <w:lang w:val="en-US"/>
        </w:rPr>
        <w:t xml:space="preserve"> Michael Jirasek,</w:t>
      </w:r>
      <w:r w:rsidRPr="00DF4005">
        <w:rPr>
          <w:vertAlign w:val="superscript"/>
          <w:lang w:val="en-US"/>
        </w:rPr>
        <w:t>2</w:t>
      </w:r>
      <w:r w:rsidR="001E779C">
        <w:rPr>
          <w:vertAlign w:val="superscript"/>
          <w:lang w:val="en-US"/>
        </w:rPr>
        <w:t xml:space="preserve"> </w:t>
      </w:r>
      <w:proofErr w:type="spellStart"/>
      <w:r w:rsidR="001E779C" w:rsidRPr="001E779C">
        <w:rPr>
          <w:highlight w:val="yellow"/>
          <w:lang w:val="en-US"/>
        </w:rPr>
        <w:t>Palas</w:t>
      </w:r>
      <w:proofErr w:type="spellEnd"/>
      <w:r w:rsidR="001E779C" w:rsidRPr="001E779C">
        <w:rPr>
          <w:highlight w:val="yellow"/>
          <w:lang w:val="en-US"/>
        </w:rPr>
        <w:t xml:space="preserve"> Roy,</w:t>
      </w:r>
      <w:r w:rsidR="001E779C" w:rsidRPr="001E779C">
        <w:rPr>
          <w:highlight w:val="yellow"/>
          <w:vertAlign w:val="superscript"/>
          <w:lang w:val="en-US"/>
        </w:rPr>
        <w:t>1</w:t>
      </w:r>
      <w:r w:rsidRPr="00DF4005">
        <w:rPr>
          <w:lang w:val="en-US"/>
        </w:rPr>
        <w:t xml:space="preserve"> Harry L. Anderson,</w:t>
      </w:r>
      <w:r w:rsidRPr="00DF4005">
        <w:rPr>
          <w:vertAlign w:val="superscript"/>
          <w:lang w:val="en-US"/>
        </w:rPr>
        <w:t>2</w:t>
      </w:r>
      <w:r w:rsidRPr="00DF4005">
        <w:rPr>
          <w:lang w:val="en-US"/>
        </w:rPr>
        <w:t xml:space="preserve"> Stephen R. Meech</w:t>
      </w:r>
      <w:r>
        <w:rPr>
          <w:vertAlign w:val="superscript"/>
          <w:lang w:val="en-US"/>
        </w:rPr>
        <w:t>1</w:t>
      </w:r>
      <w:r w:rsidRPr="00DF4005">
        <w:rPr>
          <w:vertAlign w:val="superscript"/>
          <w:lang w:val="en-US"/>
        </w:rPr>
        <w:t>,*</w:t>
      </w:r>
      <w:r>
        <w:rPr>
          <w:vertAlign w:val="superscript"/>
          <w:lang w:val="en-US"/>
        </w:rPr>
        <w:t xml:space="preserve"> </w:t>
      </w:r>
      <w:r>
        <w:rPr>
          <w:lang w:val="en-US"/>
        </w:rPr>
        <w:t xml:space="preserve">and </w:t>
      </w:r>
      <w:r w:rsidRPr="00DF4005">
        <w:rPr>
          <w:lang w:val="en-US"/>
        </w:rPr>
        <w:t>Ismael A. Heisler</w:t>
      </w:r>
      <w:r w:rsidRPr="00DF4005">
        <w:rPr>
          <w:vertAlign w:val="superscript"/>
          <w:lang w:val="en-US"/>
        </w:rPr>
        <w:t>3,*</w:t>
      </w:r>
    </w:p>
    <w:p w14:paraId="5BF6D498" w14:textId="77777777" w:rsidR="00013CDF" w:rsidRPr="00DF4005" w:rsidRDefault="00013CDF" w:rsidP="00013CDF">
      <w:pPr>
        <w:spacing w:line="312" w:lineRule="auto"/>
        <w:jc w:val="center"/>
        <w:rPr>
          <w:lang w:val="en-US"/>
        </w:rPr>
      </w:pPr>
    </w:p>
    <w:p w14:paraId="2746C49B" w14:textId="77777777" w:rsidR="00013CDF" w:rsidRPr="00DF4005" w:rsidRDefault="00013CDF" w:rsidP="00013CDF">
      <w:pPr>
        <w:spacing w:line="312" w:lineRule="auto"/>
        <w:jc w:val="both"/>
        <w:rPr>
          <w:i/>
          <w:iCs/>
          <w:vertAlign w:val="superscript"/>
          <w:lang w:val="en-US"/>
        </w:rPr>
      </w:pPr>
      <w:r w:rsidRPr="00DF4005">
        <w:rPr>
          <w:i/>
          <w:iCs/>
          <w:vertAlign w:val="superscript"/>
          <w:lang w:val="en-US"/>
        </w:rPr>
        <w:t>1</w:t>
      </w:r>
      <w:r w:rsidRPr="00DF4005">
        <w:rPr>
          <w:i/>
          <w:iCs/>
        </w:rPr>
        <w:t>School of Chemistry, Norwich Research Park, University of East Anglia, Norwich NR4 7TJ, United Kingdom</w:t>
      </w:r>
    </w:p>
    <w:p w14:paraId="60F12BAC" w14:textId="77777777" w:rsidR="00013CDF" w:rsidRPr="00DF4005" w:rsidRDefault="00013CDF" w:rsidP="00013CDF">
      <w:pPr>
        <w:spacing w:line="312" w:lineRule="auto"/>
        <w:jc w:val="both"/>
        <w:rPr>
          <w:i/>
          <w:iCs/>
          <w:lang w:val="en-US"/>
        </w:rPr>
      </w:pPr>
      <w:r w:rsidRPr="00DF4005">
        <w:rPr>
          <w:i/>
          <w:iCs/>
          <w:vertAlign w:val="superscript"/>
          <w:lang w:val="en-US"/>
        </w:rPr>
        <w:t>2</w:t>
      </w:r>
      <w:r w:rsidRPr="00DF4005">
        <w:rPr>
          <w:i/>
          <w:iCs/>
        </w:rPr>
        <w:t>Department of Chemistry, University of Oxford, Chemistry Research Laboratory, Oxford OX1 3TA, United Kingdom</w:t>
      </w:r>
      <w:r w:rsidRPr="00DF4005">
        <w:rPr>
          <w:i/>
          <w:iCs/>
          <w:vertAlign w:val="superscript"/>
          <w:lang w:val="en-US"/>
        </w:rPr>
        <w:t>3</w:t>
      </w:r>
    </w:p>
    <w:p w14:paraId="36B25EC9" w14:textId="77777777" w:rsidR="000B77AE" w:rsidRPr="005834E4" w:rsidRDefault="000B77AE" w:rsidP="000B77AE">
      <w:pPr>
        <w:spacing w:line="312" w:lineRule="auto"/>
        <w:jc w:val="both"/>
        <w:rPr>
          <w:i/>
          <w:iCs/>
          <w:lang w:val="it-IT"/>
        </w:rPr>
      </w:pPr>
      <w:r w:rsidRPr="00761945">
        <w:rPr>
          <w:i/>
          <w:iCs/>
          <w:highlight w:val="yellow"/>
          <w:vertAlign w:val="superscript"/>
          <w:lang w:val="it-IT"/>
        </w:rPr>
        <w:t>3</w:t>
      </w:r>
      <w:r w:rsidRPr="00761945">
        <w:rPr>
          <w:i/>
          <w:iCs/>
          <w:highlight w:val="yellow"/>
          <w:lang w:val="it-IT"/>
        </w:rPr>
        <w:t>Instituto de Física, Universidade Federal do Rio Grande do Sul, Avenida Bento Gonçalves, 9500, CEP 91501-970, Porto Alegre, Brazil</w:t>
      </w:r>
    </w:p>
    <w:p w14:paraId="775F1241" w14:textId="77777777" w:rsidR="00013CDF" w:rsidRPr="00DF4005" w:rsidRDefault="00013CDF" w:rsidP="00013CDF">
      <w:pPr>
        <w:spacing w:line="312" w:lineRule="auto"/>
        <w:jc w:val="both"/>
        <w:rPr>
          <w:lang w:val="it-IT"/>
        </w:rPr>
      </w:pPr>
    </w:p>
    <w:p w14:paraId="2A57CF81" w14:textId="540C3CC8" w:rsidR="003105E4" w:rsidRDefault="00013CDF" w:rsidP="00BE06C5">
      <w:pPr>
        <w:spacing w:line="312" w:lineRule="auto"/>
      </w:pPr>
      <w:r>
        <w:rPr>
          <w:lang w:val="en-US"/>
        </w:rPr>
        <w:t xml:space="preserve">Corresponding authors: </w:t>
      </w:r>
      <w:hyperlink r:id="rId5" w:history="1">
        <w:r w:rsidRPr="00F469EB">
          <w:rPr>
            <w:rStyle w:val="Hyperlink"/>
            <w:lang w:val="en-US"/>
          </w:rPr>
          <w:t>s.meech@uea.ac.uk</w:t>
        </w:r>
      </w:hyperlink>
      <w:r>
        <w:rPr>
          <w:lang w:val="en-US"/>
        </w:rPr>
        <w:t xml:space="preserve"> ;</w:t>
      </w:r>
      <w:r w:rsidRPr="00DF4005">
        <w:rPr>
          <w:lang w:val="en-US"/>
        </w:rPr>
        <w:t xml:space="preserve"> </w:t>
      </w:r>
      <w:r w:rsidR="00BE06C5" w:rsidRPr="00BE06C5">
        <w:rPr>
          <w:rStyle w:val="Hyperlink"/>
          <w:lang w:val="en-US"/>
        </w:rPr>
        <w:t>ismael.heisler@ufrgs.br</w:t>
      </w:r>
      <w:bookmarkStart w:id="0" w:name="_GoBack"/>
      <w:bookmarkEnd w:id="0"/>
    </w:p>
    <w:p w14:paraId="05C057BE" w14:textId="77777777" w:rsidR="003105E4" w:rsidRDefault="003105E4" w:rsidP="003105E4">
      <w:pPr>
        <w:jc w:val="both"/>
        <w:rPr>
          <w:b/>
        </w:rPr>
      </w:pPr>
      <w:r>
        <w:rPr>
          <w:b/>
        </w:rPr>
        <w:t>TABLE OF CONTENTS:</w:t>
      </w:r>
    </w:p>
    <w:p w14:paraId="7AAEE39F" w14:textId="225F499E" w:rsidR="00C156CC" w:rsidRPr="00C156CC" w:rsidRDefault="00C156CC" w:rsidP="003105E4">
      <w:pPr>
        <w:jc w:val="both"/>
      </w:pPr>
      <w:r w:rsidRPr="00C156CC">
        <w:t xml:space="preserve">Experimental </w:t>
      </w:r>
    </w:p>
    <w:p w14:paraId="3EF2B943" w14:textId="77777777" w:rsidR="003105E4" w:rsidRDefault="003105E4" w:rsidP="003105E4">
      <w:pPr>
        <w:jc w:val="both"/>
      </w:pPr>
      <w:r>
        <w:t>Fig. S1 experimental setup used for the fsTA/FCS measurements</w:t>
      </w:r>
    </w:p>
    <w:p w14:paraId="00BA23BF" w14:textId="77777777" w:rsidR="00C258E4" w:rsidRDefault="00C258E4" w:rsidP="003105E4">
      <w:pPr>
        <w:jc w:val="both"/>
      </w:pPr>
      <w:r>
        <w:t>Fig. S2 comparison of time traces of cP40 at 842</w:t>
      </w:r>
      <w:r w:rsidR="00E80B8D">
        <w:t xml:space="preserve"> and 1100</w:t>
      </w:r>
      <w:r>
        <w:t xml:space="preserve"> nm after 720 nm or 860 nm centred excitation</w:t>
      </w:r>
    </w:p>
    <w:p w14:paraId="7FFA1925" w14:textId="77777777" w:rsidR="00C258E4" w:rsidRPr="002432B3" w:rsidRDefault="00C258E4" w:rsidP="00C258E4">
      <w:pPr>
        <w:jc w:val="both"/>
      </w:pPr>
      <w:r>
        <w:t>Fig. S3 comparison of cP40 tran</w:t>
      </w:r>
      <w:r w:rsidR="00E80B8D">
        <w:t>sient spectra at T = 100 fs, 4.5</w:t>
      </w:r>
      <w:r>
        <w:t xml:space="preserve"> ps, 500 ps of cP40 after 720 nm or 860 nm centred excitation</w:t>
      </w:r>
    </w:p>
    <w:p w14:paraId="38A39A94" w14:textId="77777777" w:rsidR="002259DF" w:rsidRDefault="00371D1F" w:rsidP="003105E4">
      <w:pPr>
        <w:jc w:val="both"/>
      </w:pPr>
      <w:r>
        <w:t>Fig. S4</w:t>
      </w:r>
      <w:r w:rsidR="005F59D1">
        <w:t xml:space="preserve"> probe </w:t>
      </w:r>
      <w:r w:rsidR="002259DF">
        <w:t>wavelength</w:t>
      </w:r>
      <w:r w:rsidR="005F59D1">
        <w:t>-</w:t>
      </w:r>
      <w:r w:rsidR="002259DF">
        <w:t>resolved GS and ES femtosecond coherence spectra of cP10-30</w:t>
      </w:r>
    </w:p>
    <w:p w14:paraId="10D6E245" w14:textId="50ED925D" w:rsidR="00AB6459" w:rsidRDefault="00AB6459" w:rsidP="003105E4">
      <w:pPr>
        <w:jc w:val="both"/>
      </w:pPr>
      <w:r>
        <w:t xml:space="preserve">Fig. S5 </w:t>
      </w:r>
      <w:r w:rsidR="00647C8A">
        <w:t xml:space="preserve">Global fit residuals of </w:t>
      </w:r>
      <w:proofErr w:type="spellStart"/>
      <w:r w:rsidR="00647C8A">
        <w:t>cPnpor</w:t>
      </w:r>
      <w:proofErr w:type="spellEnd"/>
      <w:r w:rsidR="00647C8A">
        <w:t xml:space="preserve"> showing oscillatory behaviour on sub-ps timescale and </w:t>
      </w:r>
      <w:r>
        <w:t>time domain single damped sinusoid fit of c-P40 residuals (860 nm pump, 835 nm probe)</w:t>
      </w:r>
    </w:p>
    <w:p w14:paraId="776DE1A0" w14:textId="2CB21542" w:rsidR="00832256" w:rsidRDefault="00AB6459" w:rsidP="003105E4">
      <w:pPr>
        <w:jc w:val="both"/>
      </w:pPr>
      <w:r>
        <w:t>Fig. S6</w:t>
      </w:r>
      <w:r w:rsidR="00832256">
        <w:t xml:space="preserve"> </w:t>
      </w:r>
      <w:r w:rsidR="00832256" w:rsidRPr="00832256">
        <w:t>probe wavelength-resolve</w:t>
      </w:r>
      <w:r w:rsidR="00832256">
        <w:t>d FT amplitude and phase</w:t>
      </w:r>
      <w:r w:rsidR="00832256" w:rsidRPr="00832256">
        <w:t xml:space="preserve"> of the 370 cm</w:t>
      </w:r>
      <w:r w:rsidR="00832256" w:rsidRPr="00832256">
        <w:rPr>
          <w:vertAlign w:val="superscript"/>
        </w:rPr>
        <w:t>-1</w:t>
      </w:r>
      <w:r w:rsidR="00832256" w:rsidRPr="00832256">
        <w:t xml:space="preserve"> mode in the ground and excited electron</w:t>
      </w:r>
      <w:r w:rsidR="00832256">
        <w:t xml:space="preserve">ic states of </w:t>
      </w:r>
      <w:r w:rsidR="001B7DCF">
        <w:rPr>
          <w:i/>
        </w:rPr>
        <w:t>c-</w:t>
      </w:r>
      <w:r w:rsidR="001B7DCF" w:rsidRPr="003D3059">
        <w:t>Pn</w:t>
      </w:r>
      <w:r w:rsidR="001B7DCF">
        <w:rPr>
          <w:vertAlign w:val="subscript"/>
        </w:rPr>
        <w:t>por</w:t>
      </w:r>
    </w:p>
    <w:p w14:paraId="4D75AA5D" w14:textId="0F1DE61C" w:rsidR="00013CDF" w:rsidRDefault="002432B3" w:rsidP="003105E4">
      <w:pPr>
        <w:jc w:val="both"/>
      </w:pPr>
      <w:r>
        <w:t>Fig. S</w:t>
      </w:r>
      <w:r w:rsidR="00AB6459">
        <w:t>7</w:t>
      </w:r>
      <w:r w:rsidR="00013CDF">
        <w:t xml:space="preserve"> </w:t>
      </w:r>
      <w:r w:rsidR="009E49B0">
        <w:t>p</w:t>
      </w:r>
      <w:r w:rsidR="009E49B0" w:rsidRPr="009E49B0">
        <w:t>robe wavelength-resolv</w:t>
      </w:r>
      <w:r w:rsidR="009E49B0">
        <w:t xml:space="preserve">ed impulsive Raman maps of </w:t>
      </w:r>
      <w:r w:rsidR="009E49B0" w:rsidRPr="005F59D1">
        <w:rPr>
          <w:i/>
        </w:rPr>
        <w:t>c</w:t>
      </w:r>
      <w:r w:rsidR="009E49B0">
        <w:t xml:space="preserve">-P30 excited </w:t>
      </w:r>
      <w:r w:rsidR="001B7DCF">
        <w:t>by 720 nm</w:t>
      </w:r>
      <w:r w:rsidR="00D45C90">
        <w:t xml:space="preserve"> </w:t>
      </w:r>
      <w:r w:rsidR="009E49B0">
        <w:t xml:space="preserve">and 860 nm </w:t>
      </w:r>
      <w:r w:rsidR="009E49B0" w:rsidRPr="009E49B0">
        <w:t>broadband pump pulses.</w:t>
      </w:r>
    </w:p>
    <w:p w14:paraId="361599B6" w14:textId="7E0FD327" w:rsidR="007D6D4B" w:rsidRDefault="00AB6459" w:rsidP="007D6D4B">
      <w:pPr>
        <w:jc w:val="both"/>
      </w:pPr>
      <w:r>
        <w:t>Fig. S8</w:t>
      </w:r>
      <w:r w:rsidR="007D6D4B">
        <w:t xml:space="preserve"> p</w:t>
      </w:r>
      <w:r w:rsidR="007D6D4B" w:rsidRPr="009E49B0">
        <w:t>robe wavelength-resolv</w:t>
      </w:r>
      <w:r w:rsidR="007D6D4B">
        <w:t xml:space="preserve">ed impulsive Raman maps of </w:t>
      </w:r>
      <w:r w:rsidR="007D6D4B" w:rsidRPr="005F59D1">
        <w:rPr>
          <w:i/>
        </w:rPr>
        <w:t>c</w:t>
      </w:r>
      <w:r w:rsidR="007D6D4B">
        <w:t xml:space="preserve">-P10, 20 and 40 excited by 720 nm and 860 nm </w:t>
      </w:r>
      <w:r w:rsidR="007D6D4B" w:rsidRPr="009E49B0">
        <w:t>broadband pump pulses.</w:t>
      </w:r>
    </w:p>
    <w:p w14:paraId="75B6B27B" w14:textId="77777777" w:rsidR="007D6D4B" w:rsidRPr="003105E4" w:rsidRDefault="007D6D4B" w:rsidP="003105E4">
      <w:pPr>
        <w:jc w:val="both"/>
      </w:pPr>
    </w:p>
    <w:p w14:paraId="7CEA10F1" w14:textId="77777777" w:rsidR="003105E4" w:rsidRDefault="003105E4" w:rsidP="003105E4">
      <w:pPr>
        <w:jc w:val="both"/>
        <w:rPr>
          <w:b/>
        </w:rPr>
      </w:pPr>
    </w:p>
    <w:p w14:paraId="3A98DBEC" w14:textId="77777777" w:rsidR="003105E4" w:rsidRDefault="003105E4" w:rsidP="003105E4">
      <w:pPr>
        <w:jc w:val="both"/>
        <w:rPr>
          <w:b/>
        </w:rPr>
      </w:pPr>
    </w:p>
    <w:p w14:paraId="2C6F7DDE" w14:textId="77777777" w:rsidR="00C156CC" w:rsidRPr="005834E4" w:rsidRDefault="00C156CC" w:rsidP="00C156CC">
      <w:pPr>
        <w:spacing w:line="312" w:lineRule="auto"/>
        <w:jc w:val="both"/>
        <w:rPr>
          <w:b/>
          <w:bCs/>
        </w:rPr>
      </w:pPr>
      <w:r>
        <w:rPr>
          <w:b/>
          <w:bCs/>
        </w:rPr>
        <w:t>Experimental</w:t>
      </w:r>
    </w:p>
    <w:p w14:paraId="4C3C7D5F" w14:textId="6E289C69" w:rsidR="00C156CC" w:rsidRPr="005834E4" w:rsidRDefault="00C156CC" w:rsidP="00C156CC">
      <w:pPr>
        <w:spacing w:line="312" w:lineRule="auto"/>
        <w:jc w:val="both"/>
      </w:pPr>
      <w:r w:rsidRPr="005834E4">
        <w:lastRenderedPageBreak/>
        <w:t>Butadiyne-bridged, Zn porphyrin nanorings</w:t>
      </w:r>
      <w:r>
        <w:t xml:space="preserve">, </w:t>
      </w:r>
      <w:r w:rsidRPr="005834E4">
        <w:rPr>
          <w:i/>
        </w:rPr>
        <w:t>c-</w:t>
      </w:r>
      <w:r w:rsidRPr="005834E4">
        <w:t>Pn</w:t>
      </w:r>
      <w:r w:rsidRPr="005834E4">
        <w:rPr>
          <w:vertAlign w:val="subscript"/>
        </w:rPr>
        <w:t>por</w:t>
      </w:r>
      <w:r>
        <w:t xml:space="preserve"> (</w:t>
      </w:r>
      <w:r w:rsidRPr="005834E4">
        <w:t xml:space="preserve">in which </w:t>
      </w:r>
      <w:proofErr w:type="spellStart"/>
      <w:r w:rsidRPr="005834E4">
        <w:t>n</w:t>
      </w:r>
      <w:r w:rsidRPr="005834E4">
        <w:rPr>
          <w:vertAlign w:val="subscript"/>
        </w:rPr>
        <w:t>por</w:t>
      </w:r>
      <w:proofErr w:type="spellEnd"/>
      <w:r w:rsidRPr="005834E4">
        <w:t xml:space="preserve"> </w:t>
      </w:r>
      <w:r>
        <w:t xml:space="preserve">is the number of constituent monomers and </w:t>
      </w:r>
      <w:proofErr w:type="spellStart"/>
      <w:r w:rsidRPr="005834E4">
        <w:t>n</w:t>
      </w:r>
      <w:r w:rsidRPr="005834E4">
        <w:rPr>
          <w:vertAlign w:val="subscript"/>
        </w:rPr>
        <w:t>por</w:t>
      </w:r>
      <w:proofErr w:type="spellEnd"/>
      <w:r w:rsidDel="00CA7011">
        <w:t xml:space="preserve"> </w:t>
      </w:r>
      <w:r>
        <w:t xml:space="preserve"> </w:t>
      </w:r>
      <w:r w:rsidRPr="005834E4">
        <w:t>= 10, 20, 30 or 4</w:t>
      </w:r>
      <w:r>
        <w:t>0)</w:t>
      </w:r>
      <w:r w:rsidRPr="005834E4">
        <w:t xml:space="preserve"> have been synthesised as previously reported.</w:t>
      </w:r>
      <w:r w:rsidRPr="005834E4">
        <w:fldChar w:fldCharType="begin" w:fldLock="1"/>
      </w:r>
      <w:r>
        <w:instrText xml:space="preserve">ADDIN CSL_CITATION {"citationItems":[{"id":"ITEM-1","itemData":{"DOI":"10.1021/acs.accounts.8b00313","ISSN":"0001-4842","abstract":"CONSPECTUS: This Account is about templates as construction tools: molecules for making molecules. A template organizes the reactants and provides information to promote formation of a specific product, but it is not part of the final product. We have developed many different strategies for using oligopyridines as templates for the synthesis of alkyne-linked π-conjugated metalloporphyrin oligomers. These compounds include some of the largest macrocycles ever synthesized, such as a 50-porphyrin ring with a diameter of 21 nm containing a ring of 750 C−C bonds. Metalloporphyrins are excellent models for exploring template directed synthesis, as they can be functionalized in many different positions and the central metal (typically Zn or Mg) provides a handle for coordination to templates. Classical template-directed macrocyclization reactions have a 1:1 complementarity between the template and the product. This strategy works well for preparing nanorings of 5−7 porphyrin units, but larger templates are laborious to synthesize. Rings of 8 or more porphyrin units are most easily prepared using \"nonclassical\" strategies, in which several small templates work together to direct the formation of a large ring. In the Vernier approach, a mismatch between the number of binding sites on the template and the building block leads to a mathematical amplification of the length scale: the number of binding sites in the product is the lowest common multiple of those in the template and the building block. For example, a 40-porphyrin ring can be prepared by coupling a linear decamer in the presence of an octadentate template. Linear Vernier templating opens up intriguing possibilities for self-replication. When several small radial oligopyridine templates bind inside a large nanoring they can form complexes with some vacant coordination sites that display correlated motion like the caterpillar tracks of a bulldozer. These caterpillar track complexes can be used in template-directed synthesis and they provide the most convenient route to 8-and 10-porphyrin rings. Russian doll complexes provide another strategy for template-directed synthesis: a number of specifically designed ligands bind to a central nanoring to form a template for constructing a larger concentric nanoring. The same oligopyridine templates that are used to prepare nanorings can also be used to synthesize three-dimensional nanotubes and nanoballs. Again, nonclassical approaches, in which several small temp…","author":[{"dropping-particle":"","family":"Bols","given":"Pernille S.","non-dropping-particle":"","parse-names":false,"suffix":""},{"dropping-particle":"","family":"Anderson","given":"Harry L.","non-dropping-particle":"","parse-names":false,"suffix":""}],"container-title":"Accounts of Chemical Research","genre":"research-article","id":"ITEM-1","issue":"9","issued":{"date-parts":[["2018","9","18"]]},"page":"2083-2092","publisher":"American Chemical Society","title":"Template-Directed Synthesis of Molecular Nanorings and Cages","type":"article-journal","volume":"51"},"uris":["http://www.mendeley.com/documents/?uuid=f3be0883-5561-4025-978a-8e52b6006986"]},{"id":"ITEM-2","itemData":{"DOI":"10.1002/anie.201202870","ISSN":"14337851","abstract":"Many hands make light work: Small templates working together have directed the formation of a giant π-conjugated macrocycle with a diameter of 10 nm-larger than many enzymes. The 24 porphyrin subunits of the nanoring are well resolved in the STM image. The conformation of the nanoring can be controlled by self-assembly of a stable 2:24 double-strand sandwich complex with 1,4-diazabicyclo[2.2.2]octane (DABCO).","author":[{"dropping-particle":"V.","family":"Kondratuk","given":"Dmitry","non-dropping-particle":"","parse-names":false,"suffix":""},{"dropping-particle":"","family":"Perdigao","given":"Luis M A","non-dropping-particle":"","parse-names":false,"suffix":""},{"dropping-particle":"","family":"O'Sullivan","given":"Melanie C.","non-dropping-particle":"","parse-names":false,"suffix":""},{"dropping-particle":"","family":"Svatek","given":"Simon","non-dropping-particle":"","parse-names":false,"suffix":""},{"dropping-particle":"","family":"Smith","given":"Gareth","non-dropping-particle":"","parse-names":false,"suffix":""},{"dropping-particle":"","family":"O'Shea","given":"James N.","non-dropping-particle":"","parse-names":false,"suffix":""},{"dropping-particle":"","family":"Beton","given":"Peter H.","non-dropping-particle":"","parse-names":false,"suffix":""},{"dropping-particle":"","family":"Anderson","given":"Harry L.","non-dropping-particle":"","parse-names":false,"suffix":""}],"container-title":"Angewandte Chemie International Edition","id":"ITEM-2","issue":"27","issued":{"date-parts":[["2012","7","2"]]},"page":"6696-6699","title":"Two Vernier-Templated Routes to a 24-Porphyrin Nanoring","type":"article-journal","volume":"51"},"uris":["http://www.mendeley.com/documents/?uuid=eaadeb99-26a9-48dd-b6c5-7629c9d8f0b3"]},{"id":"ITEM-3","itemData":{"DOI":"10.1021/jz5022153","ISSN":"1948-7185","PMID":"26273987","abstract":"The topology of a conjugated molecule plays a significant role in controlling both the electronic properties and the conformational manifold that the molecule may explore. Fully π-conjugated molecular nanorings are of particular interest, as their lowest electronic transition may be strongly suppressed as a result of symmetry constraints. In contrast, the simple Kasha model predicts an enhancement in the radiative rate for corresponding linear oligomers. Here we investigate such effects in linear and cyclic conjugated molecules containing between 6 and 42 butadiyne-linked porphyrin units (corresponding to 600 C-C bonds) as pure monodisperse oligomers. We demonstrate that as the diameter of the nanorings increases beyond </w:instrText>
      </w:r>
      <w:r>
        <w:rPr>
          <w:rFonts w:ascii="Cambria Math" w:hAnsi="Cambria Math" w:cs="Cambria Math"/>
        </w:rPr>
        <w:instrText>∼</w:instrText>
      </w:r>
      <w:r>
        <w:instrText>10 nm, its electronic properties tend toward those of a similarly sized linear molecule as a result of excitation localization on a subsegment of the ring. However, significant differences persist in the nature of the emitting dipole polarization even beyond this limit, arising from variations in molecular curvature and conformation.","author":[{"dropping-particle":"","family":"Parkinson","given":"Patrick","non-dropping-particle":"","parse-names":false,"suffix":""},{"dropping-particle":"V.","family":"Kondratuk","given":"Dmitry","non-dropping-particle":"","parse-names":false,"suffix":""},{"dropping-particle":"","family":"Menelaou","given":"Christopher","non-dropping-particle":"","parse-names":false,"suffix":""},{"dropping-particle":"","family":"Gong","given":"Juliane Q.","non-dropping-particle":"","parse-names":false,"suffix":""},{"dropping-particle":"","family":"Anderson","given":"Harry L.","non-dropping-particle":"","parse-names":false,"suffix":""},{"dropping-particle":"","family":"Herz","given":"Laura M.","non-dropping-particle":"","parse-names":false,"suffix":""}],"container-title":"The Journal of Physical Chemistry Letters","id":"ITEM-3","issue":"24","issued":{"date-parts":[["2014","12","18"]]},"page":"4356-4361","title":"Chromophores in Molecular Nanorings: When Is a Ring a Ring?","type":"article-journal","volume":"5"},"uris":["http://www.mendeley.com/documents/?uuid=22906b44-7b2d-4785-9bb4-608246a021a5"]}],"mendeley":{"formattedCitation":"&lt;sup&gt;1–3&lt;/sup&gt;","plainTextFormattedCitation":"1–3","previouslyFormattedCitation":"&lt;sup&gt;13,54,55&lt;/sup&gt;"},"properties":{"noteIndex":0},"schema":"https://github.com/citation-style-language/schema/raw/master/csl-citation.json"}</w:instrText>
      </w:r>
      <w:r w:rsidRPr="005834E4">
        <w:fldChar w:fldCharType="separate"/>
      </w:r>
      <w:r w:rsidRPr="00C156CC">
        <w:rPr>
          <w:noProof/>
          <w:vertAlign w:val="superscript"/>
        </w:rPr>
        <w:t>1–3</w:t>
      </w:r>
      <w:r w:rsidRPr="005834E4">
        <w:fldChar w:fldCharType="end"/>
      </w:r>
      <w:r w:rsidRPr="005834E4">
        <w:t xml:space="preserve"> </w:t>
      </w:r>
      <w:proofErr w:type="gramStart"/>
      <w:r w:rsidRPr="005834E4">
        <w:t>All</w:t>
      </w:r>
      <w:proofErr w:type="gramEnd"/>
      <w:r w:rsidRPr="005834E4">
        <w:t xml:space="preserve"> samples were dissolved in toluene with 1% volume pyridine, to coordinate the Zn atoms and so avoid aggregation. The concentration of each sample has been adjusted in order to obtain a peak optical density of 0.3 in a 1 mm path cell. </w:t>
      </w:r>
    </w:p>
    <w:p w14:paraId="47A2898A" w14:textId="1C4023C4" w:rsidR="00C156CC" w:rsidRPr="005834E4" w:rsidRDefault="00C156CC" w:rsidP="00C156CC">
      <w:pPr>
        <w:spacing w:line="312" w:lineRule="auto"/>
        <w:jc w:val="both"/>
      </w:pPr>
      <w:r w:rsidRPr="005834E4">
        <w:t xml:space="preserve">The spectrometer is based on a design proposed by </w:t>
      </w:r>
      <w:proofErr w:type="spellStart"/>
      <w:r w:rsidRPr="005834E4">
        <w:t>Riedle</w:t>
      </w:r>
      <w:proofErr w:type="spellEnd"/>
      <w:r w:rsidRPr="005834E4">
        <w:t xml:space="preserve"> </w:t>
      </w:r>
      <w:r w:rsidRPr="005834E4">
        <w:rPr>
          <w:i/>
        </w:rPr>
        <w:t>et al.</w:t>
      </w:r>
      <w:r w:rsidRPr="005834E4">
        <w:rPr>
          <w:i/>
        </w:rPr>
        <w:fldChar w:fldCharType="begin" w:fldLock="1"/>
      </w:r>
      <w:r>
        <w:rPr>
          <w:i/>
        </w:rPr>
        <w:instrText>ADDIN CSL_CITATION {"citationItems":[{"id":"ITEM-1","itemData":{"DOI":"10.1007/s00340-009-3610-0","ISBN":"0946-2171","ISSN":"09462171","abstract":"We give a full description of a state-of-the-art femtosecond transient spectrometer. The setup has been put together under full consideration of all technical and conceptual developments that became available in the last few years. Particular care was taken to avoid any unneeded components and modules. The spectrometer is operated at 1 kHz and based on a commercial Ti:sapphire amplifier. A noncollinear parametric amplifier and frequency doubling are used to provide pump tuning from the UV to the NIR. A CaF 2 based single filament white light allows for 290 to 720 nm probing. The multichannel detection is operated at the full 1 kHz rate and chopping of the pump light avoids the use of a reference channel. The resulting high detection sensitivity of better than $Δ$OD=10 −4 allows for the simultaneous recording of the spectral features of electronic states and species with differing transition strengths. A prism-based polychromator is employed to avoid the order sorting problem with the more than octave wide probe spectrum and to enhance the throughput. Flow cells with 200 $μ$m windows and down to 120 $μ$m sample thickness reduce the coherent artifact and the group velocity mismatch. This results in an overall sub-50 fs temporal resolution.","author":[{"dropping-particle":"","family":"Megerle","given":"U.","non-dropping-particle":"","parse-names":false,"suffix":""},{"dropping-particle":"","family":"Pugliesi","given":"I.","non-dropping-particle":"","parse-names":false,"suffix":""},{"dropping-particle":"","family":"Schriever","given":"C.","non-dropping-particle":"","parse-names":false,"suffix":""},{"dropping-particle":"","family":"Sailer","given":"C. F.","non-dropping-particle":"","parse-names":false,"suffix":""},{"dropping-particle":"","family":"Riedle","given":"E.","non-dropping-particle":"","parse-names":false,"suffix":""}],"container-title":"Applied Physics B: Lasers and Optics","id":"ITEM-1","issue":"2-3","issued":{"date-parts":[["2009"]]},"page":"215-231","title":"Sub-50 fs broadband absorption spectroscopy with tunable excitation: putting the analysis of ultrafast molecular dynamics on solid ground","type":"article-journal","volume":"96"},"uris":["http://www.mendeley.com/documents/?uuid=eb7d86b5-d7ba-49b7-93e1-fb3b316d3266"]}],"mendeley":{"formattedCitation":"&lt;sup&gt;4&lt;/sup&gt;","plainTextFormattedCitation":"4","previouslyFormattedCitation":"&lt;sup&gt;56&lt;/sup&gt;"},"properties":{"noteIndex":0},"schema":"https://github.com/citation-style-language/schema/raw/master/csl-citation.json"}</w:instrText>
      </w:r>
      <w:r w:rsidRPr="005834E4">
        <w:rPr>
          <w:i/>
        </w:rPr>
        <w:fldChar w:fldCharType="separate"/>
      </w:r>
      <w:r w:rsidRPr="00C156CC">
        <w:rPr>
          <w:noProof/>
          <w:vertAlign w:val="superscript"/>
        </w:rPr>
        <w:t>4</w:t>
      </w:r>
      <w:r w:rsidRPr="005834E4">
        <w:rPr>
          <w:i/>
        </w:rPr>
        <w:fldChar w:fldCharType="end"/>
      </w:r>
      <w:r w:rsidRPr="005834E4">
        <w:t xml:space="preserve"> and has been described previously.</w:t>
      </w:r>
      <w:r w:rsidRPr="005834E4">
        <w:fldChar w:fldCharType="begin" w:fldLock="1"/>
      </w:r>
      <w:r>
        <w:instrText>ADDIN CSL_CITATION {"citationItems":[{"id":"ITEM-1","itemData":{"DOI":"10.1021/acs.jpca.9b04398","ISSN":"1089-5639","author":[{"dropping-particle":"","family":"Bressan","given":"Giovanni","non-dropping-particle":"","parse-names":false,"suffix":""},{"dropping-particle":"","family":"Cammidge","given":"Andrew N.","non-dropping-particle":"","parse-names":false,"suffix":""},{"dropping-particle":"","family":"Jones","given":"Garth A.","non-dropping-particle":"","parse-names":false,"suffix":""},{"dropping-particle":"","family":"Heisler","given":"Ismael A.","non-dropping-particle":"","parse-names":false,"suffix":""},{"dropping-particle":"","family":"Gonzalez-Lucas","given":"Daniel","non-dropping-particle":"","parse-names":false,"suffix":""},{"dropping-particle":"","family":"Remiro-Buenamañana","given":"Sonia","non-dropping-particle":"","parse-names":false,"suffix":""},{"dropping-particle":"","family":"Meech","given":"Stephen R.","non-dropping-particle":"","parse-names":false,"suffix":""}],"container-title":"The Journal of Physical Chemistry A","id":"ITEM-1","issue":"27","issued":{"date-parts":[["2019","7","11"]]},"page":"5724-5733","title":"Electronic Energy Transfer in a Subphthalocyanine–Zn Porphyrin Dimer Studied by Linear and Nonlinear Ultrafast Spectroscopy","type":"article-journal","volume":"123"},"uris":["http://www.mendeley.com/documents/?uuid=7e903d89-e13b-4b21-baa6-1b203cbddbb5"]}],"mendeley":{"formattedCitation":"&lt;sup&gt;5&lt;/sup&gt;","plainTextFormattedCitation":"5","previouslyFormattedCitation":"&lt;sup&gt;4&lt;/sup&gt;"},"properties":{"noteIndex":0},"schema":"https://github.com/citation-style-language/schema/raw/master/csl-citation.json"}</w:instrText>
      </w:r>
      <w:r w:rsidRPr="005834E4">
        <w:fldChar w:fldCharType="separate"/>
      </w:r>
      <w:r w:rsidRPr="00C156CC">
        <w:rPr>
          <w:noProof/>
          <w:vertAlign w:val="superscript"/>
        </w:rPr>
        <w:t>5</w:t>
      </w:r>
      <w:r w:rsidRPr="005834E4">
        <w:fldChar w:fldCharType="end"/>
      </w:r>
      <w:r w:rsidRPr="005834E4">
        <w:t xml:space="preserve"> A diagram of the spectrometer is given in Fig. S1. Briefly, a titanium sapphire (</w:t>
      </w:r>
      <w:proofErr w:type="spellStart"/>
      <w:r w:rsidRPr="005834E4">
        <w:t>Ti</w:t>
      </w:r>
      <w:proofErr w:type="gramStart"/>
      <w:r w:rsidRPr="005834E4">
        <w:t>:Sa</w:t>
      </w:r>
      <w:proofErr w:type="spellEnd"/>
      <w:proofErr w:type="gramEnd"/>
      <w:r w:rsidRPr="005834E4">
        <w:t xml:space="preserve">) chirped pulse amplifier (CPA), seeded by a </w:t>
      </w:r>
      <w:proofErr w:type="spellStart"/>
      <w:r w:rsidRPr="005834E4">
        <w:t>Ti:Sa</w:t>
      </w:r>
      <w:proofErr w:type="spellEnd"/>
      <w:r w:rsidRPr="005834E4">
        <w:t xml:space="preserve"> oscillator and pumped by a Q-switched </w:t>
      </w:r>
      <w:proofErr w:type="spellStart"/>
      <w:r w:rsidRPr="005834E4">
        <w:t>Nd:YLF</w:t>
      </w:r>
      <w:proofErr w:type="spellEnd"/>
      <w:r w:rsidRPr="005834E4">
        <w:t xml:space="preserve"> laser (Spectra-Physics) produces 5 </w:t>
      </w:r>
      <w:proofErr w:type="spellStart"/>
      <w:r w:rsidRPr="005834E4">
        <w:t>mJ</w:t>
      </w:r>
      <w:proofErr w:type="spellEnd"/>
      <w:r w:rsidRPr="005834E4">
        <w:t xml:space="preserve">, 100 fs, 800 nm pulses at 1 kHz. </w:t>
      </w:r>
      <w:r>
        <w:t>1</w:t>
      </w:r>
      <w:r w:rsidRPr="005834E4">
        <w:t xml:space="preserve">0% of the amplifier output is used to drive a </w:t>
      </w:r>
      <w:proofErr w:type="spellStart"/>
      <w:r w:rsidRPr="005834E4">
        <w:t>noncollinear</w:t>
      </w:r>
      <w:proofErr w:type="spellEnd"/>
      <w:r w:rsidRPr="005834E4">
        <w:t xml:space="preserve"> optical parametric amplifier (NOPA) and a separate collinear optical parametric amplifier (OPA) (Light Conversion). The NOPA produces broadband pulses</w:t>
      </w:r>
      <w:r>
        <w:t>, here</w:t>
      </w:r>
      <w:r w:rsidRPr="005834E4">
        <w:t xml:space="preserve"> centred at </w:t>
      </w:r>
      <w:r>
        <w:t xml:space="preserve">either </w:t>
      </w:r>
      <w:r w:rsidRPr="005834E4">
        <w:t>720 nm or 860 nm</w:t>
      </w:r>
      <w:r>
        <w:t xml:space="preserve"> corresponding to high or low energy sides of the nanoring absorbance. These are</w:t>
      </w:r>
      <w:r w:rsidRPr="005834E4">
        <w:t xml:space="preserve"> used as pump pulses after recompression to ca. 25 fs by means of a folded two-prism compressor,</w:t>
      </w:r>
      <w:r>
        <w:t xml:space="preserve"> and attenuation to a pulse energy of 10 nJ which avoids any effect of exciton-exciton annihilation</w:t>
      </w:r>
      <w:r w:rsidRPr="005834E4">
        <w:t>.</w:t>
      </w:r>
      <w:r>
        <w:fldChar w:fldCharType="begin" w:fldLock="1"/>
      </w:r>
      <w:r>
        <w:instrText>ADDIN CSL_CITATION {"citationItems":[{"id":"ITEM-1","itemData":{"DOI":"10.1021/acs.jpcc.0c04546","ISSN":"1932-7447","abstract":"The photophysical behavior of natural and artificial cyclic supramolecular structures has been intensively investigated in the past decade. Among the artificial structures, large fully ?-conjugated porphyrin nanorings are of particular interest because of their electronic, structural, and topological features, which make them suitable candidates for light-harvesting applications. A number of factors affect the efficiency with which such structures harvest and transmit energy. For instance, under intense irradiation conditions, the efficiency of light harvesting can be quenched by competing processes, such as exciton-exciton annihilation. Here, we investigate the pump fluence dependence of the transient absorption spectra of a series of porphyrin nanorings ranging in circumference between 13 and 52 nm (10-40 porphyrin units). This allowed the isolation of a fluence-dependent fast-decaying component in all but the smallest nanorings studied. This effect has been assigned to exciton-exciton annihilation and fit to a one-dimensional exciton diffusion model, which confirms that the exciton size and/or its mobility are inversely proportional to the nanoring size.","author":[{"dropping-particle":"","family":"Bressan","given":"Giovanni","non-dropping-particle":"","parse-names":false,"suffix":""},{"dropping-particle":"","family":"Jirasek","given":"Michael","non-dropping-particle":"","parse-names":false,"suffix":""},{"dropping-particle":"","family":"Anderson","given":"Harry L.","non-dropping-particle":"","parse-names":false,"suffix":""},{"dropping-particle":"","family":"Heisler","given":"Ismael A.","non-dropping-particle":"","parse-names":false,"suffix":""},{"dropping-particle":"","family":"Meech","given":"Stephen R.","non-dropping-particle":"","parse-names":false,"suffix":""}],"container-title":"The Journal of Physical Chemistry C","id":"ITEM-1","issue":"34","issued":{"date-parts":[["2020","8","27"]]},"page":"18416-18425","title":"Exciton–Exciton Annihilation as a Probe of Exciton Diffusion in Large Porphyrin Nanorings","type":"article-journal","volume":"124"},"uris":["http://www.mendeley.com/documents/?uuid=cfe4f8b8-9b22-4cc7-af99-5fb22455c175"]}],"mendeley":{"formattedCitation":"&lt;sup&gt;6&lt;/sup&gt;","plainTextFormattedCitation":"6","previouslyFormattedCitation":"&lt;sup&gt;11&lt;/sup&gt;"},"properties":{"noteIndex":0},"schema":"https://github.com/citation-style-language/schema/raw/master/csl-citation.json"}</w:instrText>
      </w:r>
      <w:r>
        <w:fldChar w:fldCharType="separate"/>
      </w:r>
      <w:r w:rsidRPr="00C156CC">
        <w:rPr>
          <w:noProof/>
          <w:vertAlign w:val="superscript"/>
        </w:rPr>
        <w:t>6</w:t>
      </w:r>
      <w:r>
        <w:fldChar w:fldCharType="end"/>
      </w:r>
      <w:r w:rsidRPr="005834E4">
        <w:t xml:space="preserve"> The collinear OPA output is set at 1250 nm and used as a seed for generation of supercontinuum white light (SWL)</w:t>
      </w:r>
      <w:r>
        <w:t xml:space="preserve"> </w:t>
      </w:r>
      <w:r w:rsidRPr="005834E4">
        <w:t xml:space="preserve">in a 3 mm static sapphire window. The white light spectrum spans 550-1150 nm and is used as the probe. </w:t>
      </w:r>
    </w:p>
    <w:p w14:paraId="41835FC7" w14:textId="41A99A27" w:rsidR="00C156CC" w:rsidRPr="005834E4" w:rsidRDefault="00C156CC" w:rsidP="00C156CC">
      <w:pPr>
        <w:spacing w:line="312" w:lineRule="auto"/>
        <w:jc w:val="both"/>
      </w:pPr>
      <w:r w:rsidRPr="005834E4">
        <w:t>The pump-probe delay time is scanned by means of a silver-coated retroreflector mounted on a linear translation stage (</w:t>
      </w:r>
      <w:proofErr w:type="spellStart"/>
      <w:r w:rsidRPr="005834E4">
        <w:t>Physik</w:t>
      </w:r>
      <w:proofErr w:type="spellEnd"/>
      <w:r w:rsidRPr="005834E4">
        <w:t xml:space="preserve"> </w:t>
      </w:r>
      <w:proofErr w:type="spellStart"/>
      <w:r w:rsidRPr="005834E4">
        <w:t>Instrumente</w:t>
      </w:r>
      <w:proofErr w:type="spellEnd"/>
      <w:r w:rsidRPr="005834E4">
        <w:t>) in the pump path. The relative pump-probe polarisation is set at 45°, a cube beam splitter placed after the sample separates the parallel and perpendicular components of the transient molecular response, which are both dispersed by a home-built two-channel prism spectrometer and recorded on two identical 1</w:t>
      </w:r>
      <w:r>
        <w:t>22</w:t>
      </w:r>
      <w:r w:rsidRPr="005834E4">
        <w:t>x1024 pixels full-frame transfer CCD detectors (</w:t>
      </w:r>
      <w:proofErr w:type="spellStart"/>
      <w:r w:rsidRPr="005834E4">
        <w:t>Stresing</w:t>
      </w:r>
      <w:proofErr w:type="spellEnd"/>
      <w:r w:rsidRPr="005834E4">
        <w:t>). The isotropic response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iso</m:t>
            </m:r>
          </m:sub>
        </m:sSub>
      </m:oMath>
      <w:r w:rsidRPr="005834E4">
        <w:t>) is then retrieved as a combination of the signals measured on the two detectors, using:</w:t>
      </w:r>
      <w:r w:rsidRPr="005834E4">
        <w:fldChar w:fldCharType="begin" w:fldLock="1"/>
      </w:r>
      <w:r>
        <w:instrText>ADDIN CSL_CITATION {"citationItems":[{"id":"ITEM-1","itemData":{"DOI":"10.1021/acs.jpcc.9b07494","ISSN":"1932-7447","abstract":"Molecular structure design inspired by naturally occurring light harvesting systems has been intensely pursued over the last couple of decades. Interesting new structures include the π-conjugated porphyrin nanorings, which show promising features such as ultrafast excited-state delocalization, leading to suppressed radiative rates, superradiance with increasing temperature and energy transfer times comparable to their natural counterparts. An important question to be addressed in such systems is the role and time scale of structural motions and how they affect excited-state delocalization. Here it is shown that porphyrin nanorings which are not rigidified by a template are structurally heterogeneous in the ground state and evolve dynamically on a tens of picoseconds timescale. In the excited state a structural relaxation of the porphyrin nanorings is observed, on a picosecond timescale. Furthermore ultrafast excitation delocalization is observed, by anisotropy measurements, being insensitive to structural mot","author":[{"dropping-particle":"","family":"Bressan","given":"Giovanni","non-dropping-particle":"","parse-names":false,"suffix":""},{"dropping-particle":"","family":"Peeks","given":"Martin D.","non-dropping-particle":"","parse-names":false,"suffix":""},{"dropping-particle":"","family":"Anderson","given":"Harry L.","non-dropping-particle":"","parse-names":false,"suffix":""},{"dropping-particle":"","family":"Meech","given":"Stephen R.","non-dropping-particle":"","parse-names":false,"suffix":""},{"dropping-particle":"","family":"Heisler","given":"Ismael A.","non-dropping-particle":"","parse-names":false,"suffix":""}],"container-title":"The Journal of Physical Chemistry C","genre":"research-article","id":"ITEM-1","issue":"44","issued":{"date-parts":[["2019","11","7"]]},"page":"27222-27229","publisher":"American Chemical Society","title":"Time-Resolved Structural Dynamics of Extended π-Electron Porphyrin Nanoring","type":"article-journal","volume":"123"},"uris":["http://www.mendeley.com/documents/?uuid=45119d48-c285-491f-9e01-f0706e825c77"]}],"mendeley":{"formattedCitation":"&lt;sup&gt;7&lt;/sup&gt;","plainTextFormattedCitation":"7","previouslyFormattedCitation":"&lt;sup&gt;10&lt;/sup&gt;"},"properties":{"noteIndex":0},"schema":"https://github.com/citation-style-language/schema/raw/master/csl-citation.json"}</w:instrText>
      </w:r>
      <w:r w:rsidRPr="005834E4">
        <w:fldChar w:fldCharType="separate"/>
      </w:r>
      <w:r w:rsidRPr="00C156CC">
        <w:rPr>
          <w:noProof/>
          <w:vertAlign w:val="superscript"/>
        </w:rPr>
        <w:t>7</w:t>
      </w:r>
      <w:r w:rsidRPr="005834E4">
        <w:fldChar w:fldCharType="end"/>
      </w:r>
      <w:r w:rsidRPr="005834E4">
        <w:t xml:space="preserve"> </w:t>
      </w:r>
    </w:p>
    <w:p w14:paraId="67FE3DAA" w14:textId="77777777" w:rsidR="00C156CC" w:rsidRDefault="00BE06C5" w:rsidP="00C156CC">
      <w:pPr>
        <w:spacing w:line="312" w:lineRule="auto"/>
        <w:jc w:val="both"/>
        <w:rPr>
          <w:rFonts w:eastAsiaTheme="minorEastAsia"/>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iso</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t>
                </m:r>
              </m:sub>
            </m:sSub>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t>
                </m:r>
              </m:sub>
            </m:sSub>
            <m:r>
              <w:rPr>
                <w:rFonts w:ascii="Cambria Math" w:hAnsi="Cambria Math" w:cs="Times New Roman"/>
                <w:sz w:val="24"/>
                <w:szCs w:val="24"/>
              </w:rPr>
              <m:t>)</m:t>
            </m:r>
          </m:num>
          <m:den>
            <m:r>
              <w:rPr>
                <w:rFonts w:ascii="Cambria Math" w:hAnsi="Cambria Math" w:cs="Times New Roman"/>
                <w:sz w:val="24"/>
                <w:szCs w:val="24"/>
              </w:rPr>
              <m:t>3</m:t>
            </m:r>
          </m:den>
        </m:f>
      </m:oMath>
      <w:r w:rsidR="00C156CC" w:rsidRPr="005834E4">
        <w:rPr>
          <w:rFonts w:eastAsiaTheme="minorEastAsia"/>
          <w:sz w:val="24"/>
          <w:szCs w:val="24"/>
        </w:rPr>
        <w:tab/>
      </w:r>
      <w:r w:rsidR="00C156CC" w:rsidRPr="005834E4">
        <w:rPr>
          <w:rFonts w:eastAsiaTheme="minorEastAsia"/>
          <w:sz w:val="24"/>
          <w:szCs w:val="24"/>
        </w:rPr>
        <w:tab/>
      </w:r>
      <w:r w:rsidR="00C156CC" w:rsidRPr="005834E4">
        <w:rPr>
          <w:rFonts w:eastAsiaTheme="minorEastAsia"/>
          <w:sz w:val="24"/>
          <w:szCs w:val="24"/>
        </w:rPr>
        <w:tab/>
      </w:r>
      <w:r w:rsidR="00C156CC" w:rsidRPr="005834E4">
        <w:rPr>
          <w:rFonts w:eastAsiaTheme="minorEastAsia"/>
          <w:sz w:val="24"/>
          <w:szCs w:val="24"/>
        </w:rPr>
        <w:tab/>
      </w:r>
      <w:r w:rsidR="00C156CC" w:rsidRPr="005834E4">
        <w:rPr>
          <w:rFonts w:eastAsiaTheme="minorEastAsia"/>
          <w:sz w:val="24"/>
          <w:szCs w:val="24"/>
        </w:rPr>
        <w:tab/>
      </w:r>
      <w:r w:rsidR="00C156CC" w:rsidRPr="005834E4">
        <w:rPr>
          <w:rFonts w:eastAsiaTheme="minorEastAsia"/>
          <w:sz w:val="24"/>
          <w:szCs w:val="24"/>
        </w:rPr>
        <w:tab/>
      </w:r>
      <w:r w:rsidR="00C156CC" w:rsidRPr="005834E4">
        <w:rPr>
          <w:rFonts w:eastAsiaTheme="minorEastAsia"/>
          <w:sz w:val="24"/>
          <w:szCs w:val="24"/>
        </w:rPr>
        <w:tab/>
      </w:r>
      <w:r w:rsidR="00C156CC" w:rsidRPr="005834E4">
        <w:rPr>
          <w:rFonts w:eastAsiaTheme="minorEastAsia"/>
          <w:sz w:val="24"/>
          <w:szCs w:val="24"/>
        </w:rPr>
        <w:tab/>
      </w:r>
      <w:r w:rsidR="00C156CC" w:rsidRPr="005834E4">
        <w:rPr>
          <w:rFonts w:eastAsiaTheme="minorEastAsia"/>
          <w:sz w:val="24"/>
          <w:szCs w:val="24"/>
        </w:rPr>
        <w:tab/>
      </w:r>
      <w:r w:rsidR="00C156CC" w:rsidRPr="005834E4">
        <w:rPr>
          <w:rFonts w:eastAsiaTheme="minorEastAsia"/>
          <w:sz w:val="24"/>
          <w:szCs w:val="24"/>
        </w:rPr>
        <w:tab/>
        <w:t>(1)</w:t>
      </w:r>
      <w:r w:rsidR="00C156CC" w:rsidRPr="005834E4">
        <w:rPr>
          <w:rFonts w:eastAsiaTheme="minorEastAsia"/>
          <w:sz w:val="24"/>
          <w:szCs w:val="24"/>
        </w:rPr>
        <w:tab/>
      </w:r>
      <w:r w:rsidR="00C156CC" w:rsidRPr="005834E4">
        <w:rPr>
          <w:rFonts w:eastAsiaTheme="minorEastAsia"/>
          <w:sz w:val="24"/>
          <w:szCs w:val="24"/>
        </w:rPr>
        <w:tab/>
      </w:r>
      <w:r w:rsidR="00C156CC" w:rsidRPr="005834E4">
        <w:rPr>
          <w:rFonts w:eastAsiaTheme="minorEastAsia"/>
          <w:sz w:val="24"/>
          <w:szCs w:val="24"/>
        </w:rPr>
        <w:tab/>
      </w:r>
    </w:p>
    <w:p w14:paraId="1F90A3F0" w14:textId="77777777" w:rsidR="00C156CC" w:rsidRPr="005834E4" w:rsidRDefault="00C156CC" w:rsidP="00C156CC">
      <w:pPr>
        <w:spacing w:line="312" w:lineRule="auto"/>
        <w:jc w:val="both"/>
        <w:rPr>
          <w:rFonts w:eastAsiaTheme="minorEastAsia"/>
        </w:rPr>
      </w:pPr>
      <w:r w:rsidRPr="005834E4">
        <w:rPr>
          <w:rFonts w:eastAsiaTheme="minorEastAsia"/>
        </w:rPr>
        <w:t xml:space="preserve">In which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m:t>
            </m:r>
          </m:sub>
        </m:sSub>
      </m:oMath>
      <w:r w:rsidRPr="005834E4">
        <w:rPr>
          <w:rFonts w:eastAsiaTheme="minorEastAsia"/>
        </w:rPr>
        <w:t xml:space="preserve"> and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m:t>
            </m:r>
          </m:sub>
        </m:sSub>
      </m:oMath>
      <w:r w:rsidRPr="005834E4">
        <w:rPr>
          <w:rFonts w:eastAsiaTheme="minorEastAsia"/>
        </w:rPr>
        <w:t xml:space="preserve"> are the responses measured for relative parallel and perpendicular pump-probe polarisation conditions, respectively.</w:t>
      </w:r>
    </w:p>
    <w:p w14:paraId="0AEDE75D" w14:textId="6421209B" w:rsidR="00C156CC" w:rsidRPr="005834E4" w:rsidRDefault="00C156CC" w:rsidP="00C156CC">
      <w:pPr>
        <w:spacing w:line="312" w:lineRule="auto"/>
        <w:jc w:val="both"/>
      </w:pPr>
      <w:r w:rsidRPr="005834E4">
        <w:t xml:space="preserve">The pump-probe delay is scanned from -500 to +1000 fs in 8 fs steps, and then in longer time steps up to 3 ns, each reported data point is the result of the average of 500 pump on minus pump off difference spectra and furthermore, a spectrum at a negative delay time is subtracted from the whole dataset to correct for pump scatter </w:t>
      </w:r>
      <w:r>
        <w:t xml:space="preserve">and fluorescence </w:t>
      </w:r>
      <w:r w:rsidRPr="005834E4">
        <w:t>contributions. Each probe wavelength-time delay surface is obtained as the average of 9 consecutive scans. Femtosecond coherence spectroscopy (FCS) data are obtained upon subtraction of the multiexponential global fits to the slowly decaying population components from each dataset. Truncation at 1 ps, followed by zero padding, numerical Fourier transformation of each probe wavelength with respect to the pump-probe delay time</w:t>
      </w:r>
      <w:r>
        <w:t xml:space="preserve"> (T)</w:t>
      </w:r>
      <w:r w:rsidRPr="005834E4">
        <w:t xml:space="preserve"> and integration over the relevant probe wavelengths allowed retrieval of impulsive resonant Raman spectra.</w:t>
      </w:r>
      <w:r>
        <w:fldChar w:fldCharType="begin" w:fldLock="1"/>
      </w:r>
      <w:r>
        <w:instrText>ADDIN CSL_CITATION {"citationItems":[{"id":"ITEM-1","itemData":{"DOI":"10.1021/acs.jpca.0c03912","ISSN":"1089-5639","PMID":"32786657","abstract":"Impulsive transient absorption spectroscopy is used to track the formation and evolution of vibrational coherences in cresyl violet perchlorate under different excitation conditions. Resonant and off-resonant pump pulses result in the selective formation of excited (S1)- and ground (S0)-state wavepackets. Partially resonant and broadband excitation conditions lead to the simultaneous formation of wavepackets in the ground and excited states. The wavepackets are characterized by the phase-flips in the coherent signal associated with wavepacket motion across the absorption and emission maxima and by a red shift of 2-10 cm-1 in the Raman features of the excited state compared to the ground-state wavepacket. We observe that, when wavepackets are simultaneously excited on the ground- and excited-state surfaces, interference on a picosecond timescale between coherent oscillations in the two wavepackets gives rise to features that cannot be attributed to the passage of a wavepacket through a conical intersection, such as shifting phase-flips and zero-amplitude nodes. Wavepacket filtering using windowed Fourier transforms highlights these interference effects and demonstrates that special care must be taken in order to properly interpret data that have been processed in this manner.","author":[{"dropping-particle":"","family":"Fitzpatrick","given":"Colin","non-dropping-particle":"","parse-names":false,"suffix":""},{"dropping-particle":"","family":"Odhner","given":"Johanan H.","non-dropping-particle":"","parse-names":false,"suffix":""},{"dropping-particle":"","family":"Levis","given":"Robert J.","non-dropping-particle":"","parse-names":false,"suffix":""}],"container-title":"The Journal of Physical Chemistry A","id":"ITEM-1","issue":"34","issued":{"date-parts":[["2020","8","27"]]},"page":"6856-6866","title":"Spectral Signatures of Ground- and Excited-State Wavepacket Interference after Impulsive Excitation","type":"article-journal","volume":"124"},"uris":["http://www.mendeley.com/documents/?uuid=fe85eb48-c904-4e06-8886-968ef3feb263"]}],"mendeley":{"formattedCitation":"&lt;sup&gt;8&lt;/sup&gt;","plainTextFormattedCitation":"8","previouslyFormattedCitation":"&lt;sup&gt;33&lt;/sup&gt;"},"properties":{"noteIndex":0},"schema":"https://github.com/citation-style-language/schema/raw/master/csl-citation.json"}</w:instrText>
      </w:r>
      <w:r>
        <w:fldChar w:fldCharType="separate"/>
      </w:r>
      <w:r w:rsidRPr="00C156CC">
        <w:rPr>
          <w:noProof/>
          <w:vertAlign w:val="superscript"/>
        </w:rPr>
        <w:t>8</w:t>
      </w:r>
      <w:r>
        <w:fldChar w:fldCharType="end"/>
      </w:r>
    </w:p>
    <w:p w14:paraId="1539B5A4" w14:textId="77777777" w:rsidR="003105E4" w:rsidRDefault="003105E4" w:rsidP="003105E4">
      <w:pPr>
        <w:jc w:val="both"/>
        <w:rPr>
          <w:b/>
        </w:rPr>
      </w:pPr>
    </w:p>
    <w:p w14:paraId="27E58D6E" w14:textId="77777777" w:rsidR="00C156CC" w:rsidRDefault="00C156CC" w:rsidP="007B3BFD">
      <w:pPr>
        <w:keepNext/>
        <w:jc w:val="center"/>
        <w:rPr>
          <w:noProof/>
          <w:lang w:eastAsia="en-GB"/>
        </w:rPr>
      </w:pPr>
    </w:p>
    <w:p w14:paraId="61FA244D" w14:textId="77777777" w:rsidR="003105E4" w:rsidRDefault="003105E4" w:rsidP="007B3BFD">
      <w:pPr>
        <w:keepNext/>
        <w:jc w:val="center"/>
      </w:pPr>
      <w:r>
        <w:rPr>
          <w:noProof/>
          <w:lang w:eastAsia="en-GB"/>
        </w:rPr>
        <w:drawing>
          <wp:inline distT="0" distB="0" distL="0" distR="0" wp14:anchorId="25413556" wp14:editId="51A7E0EF">
            <wp:extent cx="5606368" cy="426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sTAn_schem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30128" cy="4285285"/>
                    </a:xfrm>
                    <a:prstGeom prst="rect">
                      <a:avLst/>
                    </a:prstGeom>
                  </pic:spPr>
                </pic:pic>
              </a:graphicData>
            </a:graphic>
          </wp:inline>
        </w:drawing>
      </w:r>
    </w:p>
    <w:p w14:paraId="544F8200" w14:textId="77777777" w:rsidR="003105E4" w:rsidRDefault="003105E4" w:rsidP="003105E4">
      <w:pPr>
        <w:pStyle w:val="Caption"/>
        <w:jc w:val="both"/>
      </w:pPr>
      <w:r>
        <w:t xml:space="preserve">Fig. S </w:t>
      </w:r>
      <w:r w:rsidR="00BE06C5">
        <w:fldChar w:fldCharType="begin"/>
      </w:r>
      <w:r w:rsidR="00BE06C5">
        <w:instrText xml:space="preserve"> SEQ Fig._S \* ARABIC </w:instrText>
      </w:r>
      <w:r w:rsidR="00BE06C5">
        <w:fldChar w:fldCharType="separate"/>
      </w:r>
      <w:r w:rsidR="00775C70">
        <w:rPr>
          <w:noProof/>
        </w:rPr>
        <w:t>1</w:t>
      </w:r>
      <w:r w:rsidR="00BE06C5">
        <w:rPr>
          <w:noProof/>
        </w:rPr>
        <w:fldChar w:fldCharType="end"/>
      </w:r>
      <w:r>
        <w:t xml:space="preserve"> Sketch of the</w:t>
      </w:r>
      <w:r w:rsidRPr="003105E4">
        <w:t xml:space="preserve"> experimental setup used for the </w:t>
      </w:r>
      <w:r>
        <w:t xml:space="preserve">fsTA/FCS </w:t>
      </w:r>
      <w:r w:rsidRPr="003105E4">
        <w:t>measurements sho</w:t>
      </w:r>
      <w:r>
        <w:t>wn in the main text</w:t>
      </w:r>
      <w:r w:rsidRPr="003105E4">
        <w:t xml:space="preserve">, in which </w:t>
      </w:r>
      <w:r>
        <w:rPr>
          <w:rFonts w:ascii="Times New Roman" w:hAnsi="Times New Roman" w:cs="Times New Roman"/>
        </w:rPr>
        <w:t>λ</w:t>
      </w:r>
      <w:r>
        <w:t>/</w:t>
      </w:r>
      <w:r w:rsidRPr="003105E4">
        <w:t>2 + P are half-wave plates and polarisers, M are mirrors, L are lenses, I is an iris, BS is a beam splitter, CBS is a cubic beam splitter, CM is a concave mirror, S is a</w:t>
      </w:r>
      <w:r>
        <w:t xml:space="preserve"> 3 mm thick</w:t>
      </w:r>
      <w:r w:rsidRPr="003105E4">
        <w:t xml:space="preserve"> sapphire window, P are prisms, C is a chopper, A is the sample, DL + RR are the delay line and retroreflector mounted on it and CCD</w:t>
      </w:r>
      <w:r>
        <w:t xml:space="preserve"> 1/2</w:t>
      </w:r>
      <w:r w:rsidRPr="003105E4">
        <w:t xml:space="preserve"> are </w:t>
      </w:r>
      <w:r>
        <w:t xml:space="preserve">the </w:t>
      </w:r>
      <w:r w:rsidR="0018523E">
        <w:t>detectors</w:t>
      </w:r>
      <w:r>
        <w:t xml:space="preserve"> measuring parallel and perpendicular response components, </w:t>
      </w:r>
      <w:r w:rsidR="0018523E">
        <w:t>respectively</w:t>
      </w:r>
      <w:r w:rsidR="0018523E" w:rsidRPr="003105E4">
        <w:t>. The</w:t>
      </w:r>
      <w:r w:rsidRPr="003105E4">
        <w:t xml:space="preserve"> CBS allows the parallel and perpendicular components of the </w:t>
      </w:r>
      <w:r w:rsidR="007B3BFD">
        <w:t xml:space="preserve">signal </w:t>
      </w:r>
      <w:r w:rsidR="007B3BFD" w:rsidRPr="003105E4">
        <w:t>to</w:t>
      </w:r>
      <w:r w:rsidRPr="003105E4">
        <w:t xml:space="preserve"> be separated. </w:t>
      </w:r>
    </w:p>
    <w:p w14:paraId="093B26A6" w14:textId="77777777" w:rsidR="0018523E" w:rsidRDefault="0018523E" w:rsidP="0018523E"/>
    <w:p w14:paraId="3D467051" w14:textId="77777777" w:rsidR="0018523E" w:rsidRDefault="0018523E" w:rsidP="0018523E"/>
    <w:p w14:paraId="524FAE3D" w14:textId="77777777" w:rsidR="007875A8" w:rsidRDefault="007875A8" w:rsidP="0018523E"/>
    <w:p w14:paraId="55DC39B1" w14:textId="77777777" w:rsidR="007875A8" w:rsidRDefault="007875A8" w:rsidP="0018523E"/>
    <w:p w14:paraId="7C9E2BD7" w14:textId="77777777" w:rsidR="007875A8" w:rsidRDefault="007875A8" w:rsidP="0018523E"/>
    <w:p w14:paraId="5B04D090" w14:textId="77777777" w:rsidR="00C258E4" w:rsidRDefault="00D45715" w:rsidP="00F70E03">
      <w:pPr>
        <w:keepNext/>
        <w:jc w:val="center"/>
      </w:pPr>
      <w:r>
        <w:object w:dxaOrig="4633" w:dyaOrig="3544" w14:anchorId="306D0F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330.75pt" o:ole="">
            <v:imagedata r:id="rId7" o:title=""/>
          </v:shape>
          <o:OLEObject Type="Embed" ProgID="Origin50.Graph" ShapeID="_x0000_i1025" DrawAspect="Content" ObjectID="_1716883069" r:id="rId8"/>
        </w:object>
      </w:r>
    </w:p>
    <w:p w14:paraId="62C20F15" w14:textId="78F92A05" w:rsidR="00A674E5" w:rsidRDefault="00C258E4" w:rsidP="00A674E5">
      <w:pPr>
        <w:pStyle w:val="Caption"/>
      </w:pPr>
      <w:r>
        <w:t>Figu</w:t>
      </w:r>
      <w:r w:rsidR="00A674E5">
        <w:t>re S 2</w:t>
      </w:r>
      <w:r w:rsidR="00241C67">
        <w:t xml:space="preserve"> </w:t>
      </w:r>
      <w:r w:rsidR="00A674E5">
        <w:t xml:space="preserve">fsTA time delay T vs difference OD traces at 842 nm after excitation with 720 nm (blue) and 860 nm (red) centred pump pulses for c-P40. T is reported on log10 scale to highlight the difference in early-time behaviour upon excitation with pump pulses centred at </w:t>
      </w:r>
      <w:r w:rsidR="00241C67">
        <w:t xml:space="preserve">the </w:t>
      </w:r>
      <w:r w:rsidR="00A674E5">
        <w:t>different wavelengths.</w:t>
      </w:r>
    </w:p>
    <w:p w14:paraId="49C9929D" w14:textId="77777777" w:rsidR="00F12C84" w:rsidRDefault="00A674E5" w:rsidP="00A674E5">
      <w:pPr>
        <w:pStyle w:val="Caption"/>
      </w:pPr>
      <w:r>
        <w:br w:type="page"/>
      </w:r>
    </w:p>
    <w:p w14:paraId="550A5FC9" w14:textId="77777777" w:rsidR="00F12C84" w:rsidRDefault="009261B2" w:rsidP="0018523E">
      <w:r>
        <w:object w:dxaOrig="4932" w:dyaOrig="4929" w14:anchorId="62FCA4E4">
          <v:shape id="_x0000_i1026" type="#_x0000_t75" style="width:481.5pt;height:480pt" o:ole="">
            <v:imagedata r:id="rId9" o:title=""/>
          </v:shape>
          <o:OLEObject Type="Embed" ProgID="Origin50.Graph" ShapeID="_x0000_i1026" DrawAspect="Content" ObjectID="_1716883070" r:id="rId10"/>
        </w:object>
      </w:r>
    </w:p>
    <w:p w14:paraId="0A097831" w14:textId="77777777" w:rsidR="00F12C84" w:rsidRDefault="00F12C84" w:rsidP="0018523E"/>
    <w:p w14:paraId="28549EEF" w14:textId="77777777" w:rsidR="007875A8" w:rsidRDefault="00371D1F" w:rsidP="00F70E03">
      <w:pPr>
        <w:pStyle w:val="Caption"/>
      </w:pPr>
      <w:r>
        <w:t>Figure S 3</w:t>
      </w:r>
      <w:r w:rsidR="009261B2" w:rsidRPr="009261B2">
        <w:t xml:space="preserve"> Trans</w:t>
      </w:r>
      <w:r w:rsidR="009261B2">
        <w:t>ient absorption spectra for c-P40</w:t>
      </w:r>
      <w:r w:rsidR="009261B2" w:rsidRPr="009261B2">
        <w:t xml:space="preserve"> at two different excitation conditions,</w:t>
      </w:r>
      <w:r w:rsidR="009261B2">
        <w:t xml:space="preserve"> 720 nm</w:t>
      </w:r>
      <w:r w:rsidR="009261B2" w:rsidRPr="009261B2">
        <w:t xml:space="preserve"> (blue)</w:t>
      </w:r>
      <w:r w:rsidR="009261B2">
        <w:t xml:space="preserve"> and 860 nm (red) </w:t>
      </w:r>
      <w:r w:rsidR="009261B2" w:rsidRPr="009261B2">
        <w:t>centred</w:t>
      </w:r>
      <w:r w:rsidR="009261B2">
        <w:t xml:space="preserve"> pump pulses.</w:t>
      </w:r>
      <w:r w:rsidR="009261B2" w:rsidRPr="009261B2">
        <w:t xml:space="preserve"> The different graphs correspond to different p</w:t>
      </w:r>
      <w:r w:rsidR="009261B2">
        <w:t xml:space="preserve">ump−probe delay times as for </w:t>
      </w:r>
      <w:proofErr w:type="gramStart"/>
      <w:r w:rsidR="009261B2">
        <w:t>top  T</w:t>
      </w:r>
      <w:proofErr w:type="gramEnd"/>
      <w:r w:rsidR="009261B2">
        <w:t xml:space="preserve"> = 0.1 ps, middle T = 4.5 ps, and bottom T = 500 ps.</w:t>
      </w:r>
      <w:r>
        <w:t xml:space="preserve"> </w:t>
      </w:r>
    </w:p>
    <w:p w14:paraId="5161F3F7" w14:textId="77777777" w:rsidR="002259DF" w:rsidRDefault="00135B91" w:rsidP="002259DF">
      <w:pPr>
        <w:keepNext/>
      </w:pPr>
      <w:r>
        <w:rPr>
          <w:noProof/>
          <w:lang w:eastAsia="en-GB"/>
        </w:rPr>
        <w:lastRenderedPageBreak/>
        <w:drawing>
          <wp:inline distT="0" distB="0" distL="0" distR="0" wp14:anchorId="114EBB23" wp14:editId="146DEE4E">
            <wp:extent cx="5731510" cy="409194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091940"/>
                    </a:xfrm>
                    <a:prstGeom prst="rect">
                      <a:avLst/>
                    </a:prstGeom>
                  </pic:spPr>
                </pic:pic>
              </a:graphicData>
            </a:graphic>
          </wp:inline>
        </w:drawing>
      </w:r>
    </w:p>
    <w:p w14:paraId="35D92CF6" w14:textId="77777777" w:rsidR="002259DF" w:rsidRDefault="002259DF" w:rsidP="002259DF">
      <w:pPr>
        <w:pStyle w:val="Caption"/>
        <w:jc w:val="both"/>
      </w:pPr>
      <w:r>
        <w:t xml:space="preserve">Fig. S </w:t>
      </w:r>
      <w:r w:rsidR="00371D1F">
        <w:t>4</w:t>
      </w:r>
      <w:r>
        <w:t xml:space="preserve"> Femtosecond coherence spectra of</w:t>
      </w:r>
      <w:r w:rsidRPr="0004283B">
        <w:t xml:space="preserve"> c</w:t>
      </w:r>
      <w:r>
        <w:t>-P10 (d, g</w:t>
      </w:r>
      <w:r w:rsidRPr="0004283B">
        <w:t>), c</w:t>
      </w:r>
      <w:r>
        <w:t>-P20 (e, h</w:t>
      </w:r>
      <w:r w:rsidRPr="0004283B">
        <w:t>) and c</w:t>
      </w:r>
      <w:r>
        <w:t xml:space="preserve">-P30 (f, </w:t>
      </w:r>
      <w:proofErr w:type="spellStart"/>
      <w:r>
        <w:t>i</w:t>
      </w:r>
      <w:proofErr w:type="spellEnd"/>
      <w:r w:rsidRPr="0004283B">
        <w:t>) a</w:t>
      </w:r>
      <w:r>
        <w:t>fter excitation by</w:t>
      </w:r>
      <w:r w:rsidRPr="0004283B">
        <w:t xml:space="preserve"> </w:t>
      </w:r>
      <w:r>
        <w:t>720 nm (d, e, f)</w:t>
      </w:r>
      <w:r w:rsidRPr="0004283B">
        <w:t xml:space="preserve"> </w:t>
      </w:r>
      <w:r w:rsidR="001B7DCF">
        <w:t>or 860 nm (</w:t>
      </w:r>
      <w:r>
        <w:t xml:space="preserve">g, h, </w:t>
      </w:r>
      <w:proofErr w:type="spellStart"/>
      <w:r>
        <w:t>i</w:t>
      </w:r>
      <w:proofErr w:type="spellEnd"/>
      <w:r>
        <w:t>) broadband pump pulses. Normalised steady-</w:t>
      </w:r>
      <w:r w:rsidRPr="0004283B">
        <w:t>s</w:t>
      </w:r>
      <w:r>
        <w:t xml:space="preserve">tate absorption and PL spectra of </w:t>
      </w:r>
      <w:r w:rsidRPr="0004283B">
        <w:t>c</w:t>
      </w:r>
      <w:r>
        <w:t xml:space="preserve">-P10 (a, violet), </w:t>
      </w:r>
      <w:r w:rsidRPr="0004283B">
        <w:t>c</w:t>
      </w:r>
      <w:r>
        <w:t xml:space="preserve">-P20 (b, navy) and </w:t>
      </w:r>
      <w:r w:rsidRPr="0004283B">
        <w:t>c</w:t>
      </w:r>
      <w:r>
        <w:t>-P30 (c, orange) are reported as solid and dashed lines, respectively, together with the normalis</w:t>
      </w:r>
      <w:r w:rsidR="001B7DCF">
        <w:t>ed spectra of pump pulses centred at 720 nm  and 860 nm</w:t>
      </w:r>
      <w:r>
        <w:t xml:space="preserve"> (blue and red dashed areas in a-c). Vertical dashed lines highlight the spectral positions at which the phase-flips occur in both the ground (blue) and excited (red) potential energy surfaces of </w:t>
      </w:r>
      <w:r w:rsidRPr="0004283B">
        <w:t>c</w:t>
      </w:r>
      <w:r>
        <w:t>-P10-30.</w:t>
      </w:r>
    </w:p>
    <w:p w14:paraId="679EB839" w14:textId="77777777" w:rsidR="009E49B0" w:rsidRDefault="009E49B0" w:rsidP="009E49B0"/>
    <w:p w14:paraId="4F0E6143" w14:textId="77777777" w:rsidR="009E49B0" w:rsidRDefault="009E49B0" w:rsidP="009E49B0"/>
    <w:p w14:paraId="75B61929" w14:textId="77777777" w:rsidR="009E49B0" w:rsidRDefault="009E49B0" w:rsidP="009E49B0"/>
    <w:p w14:paraId="65F02138" w14:textId="77777777" w:rsidR="009E49B0" w:rsidRDefault="009E49B0" w:rsidP="009E49B0"/>
    <w:p w14:paraId="48374DC4" w14:textId="77777777" w:rsidR="009E49B0" w:rsidRDefault="009E49B0" w:rsidP="009E49B0"/>
    <w:p w14:paraId="0CAF2BAD" w14:textId="77777777" w:rsidR="009E49B0" w:rsidRDefault="009E49B0" w:rsidP="009E49B0"/>
    <w:p w14:paraId="372B4CA9" w14:textId="77777777" w:rsidR="009E49B0" w:rsidRDefault="009E49B0" w:rsidP="009E49B0"/>
    <w:p w14:paraId="1328CDCF" w14:textId="77777777" w:rsidR="009E49B0" w:rsidRDefault="009E49B0" w:rsidP="009E49B0"/>
    <w:p w14:paraId="4F2366CA" w14:textId="77777777" w:rsidR="00AB6459" w:rsidRDefault="00AB6459" w:rsidP="009E49B0"/>
    <w:p w14:paraId="1C2B2E33" w14:textId="77777777" w:rsidR="00AB6459" w:rsidRDefault="00AB6459" w:rsidP="009E49B0"/>
    <w:p w14:paraId="3F9813B3" w14:textId="77777777" w:rsidR="00AB6459" w:rsidRDefault="00AB6459" w:rsidP="009E49B0"/>
    <w:p w14:paraId="0C24E5D4" w14:textId="77777777" w:rsidR="00647C8A" w:rsidRDefault="00647C8A" w:rsidP="009E49B0"/>
    <w:p w14:paraId="7E91BBFF" w14:textId="77777777" w:rsidR="00647C8A" w:rsidRDefault="00647C8A" w:rsidP="009E49B0"/>
    <w:p w14:paraId="29FC2FD5" w14:textId="121A518F" w:rsidR="00647C8A" w:rsidRDefault="00647C8A" w:rsidP="009E49B0">
      <w:r>
        <w:lastRenderedPageBreak/>
        <w:t>(a)</w:t>
      </w:r>
    </w:p>
    <w:p w14:paraId="3B34B85A" w14:textId="4AC3CE67" w:rsidR="00AB6459" w:rsidRDefault="00647C8A" w:rsidP="009E49B0">
      <w:r>
        <w:object w:dxaOrig="5177" w:dyaOrig="3559" w14:anchorId="73D8DFC1">
          <v:shape id="_x0000_i1027" type="#_x0000_t75" style="width:441pt;height:303pt" o:ole="">
            <v:imagedata r:id="rId12" o:title=""/>
          </v:shape>
          <o:OLEObject Type="Embed" ProgID="Origin50.Graph" ShapeID="_x0000_i1027" DrawAspect="Content" ObjectID="_1716883071" r:id="rId13"/>
        </w:object>
      </w:r>
    </w:p>
    <w:p w14:paraId="54D21EF5" w14:textId="73072A21" w:rsidR="00647C8A" w:rsidRDefault="00647C8A" w:rsidP="009E49B0">
      <w:r>
        <w:t>(b)</w:t>
      </w:r>
    </w:p>
    <w:p w14:paraId="55CB43DC" w14:textId="77777777" w:rsidR="00AB6459" w:rsidRDefault="00AB6459" w:rsidP="00AB6459">
      <w:pPr>
        <w:keepNext/>
      </w:pPr>
      <w:r w:rsidRPr="00675247">
        <w:object w:dxaOrig="4884" w:dyaOrig="3428" w14:anchorId="282FA0A2">
          <v:shape id="_x0000_i1028" type="#_x0000_t75" style="width:333pt;height:234pt" o:ole="">
            <v:imagedata r:id="rId14" o:title=""/>
          </v:shape>
          <o:OLEObject Type="Embed" ProgID="Origin50.Graph" ShapeID="_x0000_i1028" DrawAspect="Content" ObjectID="_1716883072" r:id="rId15"/>
        </w:object>
      </w:r>
    </w:p>
    <w:p w14:paraId="5E04A91F" w14:textId="77777777" w:rsidR="00647C8A" w:rsidRDefault="00647C8A" w:rsidP="00AB6459">
      <w:pPr>
        <w:keepNext/>
      </w:pPr>
    </w:p>
    <w:p w14:paraId="3A88ABB2" w14:textId="7550125C" w:rsidR="00AB6459" w:rsidRDefault="00AB6459" w:rsidP="00647C8A">
      <w:pPr>
        <w:pStyle w:val="Caption"/>
      </w:pPr>
      <w:r>
        <w:t xml:space="preserve">Fig. S 5 </w:t>
      </w:r>
      <w:r w:rsidR="00647C8A">
        <w:t xml:space="preserve">(a) Sub-ps oscillatory behaviour of the residuals of </w:t>
      </w:r>
      <w:proofErr w:type="spellStart"/>
      <w:r w:rsidR="00647C8A">
        <w:t>cPnpor</w:t>
      </w:r>
      <w:proofErr w:type="spellEnd"/>
      <w:r w:rsidR="00647C8A">
        <w:t xml:space="preserve"> after excitation at 720 (top) or 860 nm (bottom). (b) </w:t>
      </w:r>
      <w:r>
        <w:t>Time-domain fit of the residuals of c-P40 excited at 860 nm and probed at 835 nm. A single damped sinusoid with frequency of 371 cm</w:t>
      </w:r>
      <w:r w:rsidRPr="00AB6459">
        <w:rPr>
          <w:vertAlign w:val="superscript"/>
        </w:rPr>
        <w:t>-1</w:t>
      </w:r>
      <w:r>
        <w:rPr>
          <w:vertAlign w:val="superscript"/>
        </w:rPr>
        <w:t xml:space="preserve"> </w:t>
      </w:r>
      <w:r>
        <w:t xml:space="preserve">and dephasing time of 750 fs yields a good fit to the experimental data. The extracted parameters are in good agreement with the Fourier domain data. </w:t>
      </w:r>
    </w:p>
    <w:p w14:paraId="1F6C2C95" w14:textId="77777777" w:rsidR="002259DF" w:rsidRDefault="003F2458" w:rsidP="00B76639">
      <w:pPr>
        <w:keepNext/>
        <w:jc w:val="both"/>
      </w:pPr>
      <w:r>
        <w:rPr>
          <w:noProof/>
          <w:lang w:eastAsia="en-GB"/>
        </w:rPr>
        <w:lastRenderedPageBreak/>
        <w:drawing>
          <wp:inline distT="0" distB="0" distL="0" distR="0" wp14:anchorId="585BEFD7" wp14:editId="5A0CEC36">
            <wp:extent cx="6348634" cy="64077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ase_amplitude_370cm-1.png"/>
                    <pic:cNvPicPr/>
                  </pic:nvPicPr>
                  <pic:blipFill>
                    <a:blip r:embed="rId16">
                      <a:extLst>
                        <a:ext uri="{28A0092B-C50C-407E-A947-70E740481C1C}">
                          <a14:useLocalDpi xmlns:a14="http://schemas.microsoft.com/office/drawing/2010/main" val="0"/>
                        </a:ext>
                      </a:extLst>
                    </a:blip>
                    <a:stretch>
                      <a:fillRect/>
                    </a:stretch>
                  </pic:blipFill>
                  <pic:spPr>
                    <a:xfrm>
                      <a:off x="0" y="0"/>
                      <a:ext cx="6357919" cy="6417090"/>
                    </a:xfrm>
                    <a:prstGeom prst="rect">
                      <a:avLst/>
                    </a:prstGeom>
                  </pic:spPr>
                </pic:pic>
              </a:graphicData>
            </a:graphic>
          </wp:inline>
        </w:drawing>
      </w:r>
    </w:p>
    <w:p w14:paraId="13F71451" w14:textId="2E9AF469" w:rsidR="002259DF" w:rsidRDefault="002259DF" w:rsidP="002259DF">
      <w:pPr>
        <w:pStyle w:val="Caption"/>
      </w:pPr>
      <w:r>
        <w:t xml:space="preserve">Fig. S </w:t>
      </w:r>
      <w:r w:rsidR="00AB6459">
        <w:t>6</w:t>
      </w:r>
      <w:r>
        <w:t xml:space="preserve"> probe </w:t>
      </w:r>
      <w:r w:rsidRPr="0017658A">
        <w:t>wavel</w:t>
      </w:r>
      <w:r>
        <w:t>ength-resolved amplitude (teal solid line) and phase (orange</w:t>
      </w:r>
      <w:r w:rsidRPr="0017658A">
        <w:t xml:space="preserve"> solid line) of the 370 cm</w:t>
      </w:r>
      <w:r w:rsidRPr="0017658A">
        <w:rPr>
          <w:vertAlign w:val="superscript"/>
        </w:rPr>
        <w:t>-1</w:t>
      </w:r>
      <w:r w:rsidRPr="0017658A">
        <w:t xml:space="preserve"> mode in the ground </w:t>
      </w:r>
      <w:r w:rsidR="003F2458">
        <w:t>(left column</w:t>
      </w:r>
      <w:r>
        <w:t xml:space="preserve">) </w:t>
      </w:r>
      <w:r w:rsidRPr="0017658A">
        <w:t>and ex</w:t>
      </w:r>
      <w:r w:rsidR="003F2458">
        <w:t>cited (right column</w:t>
      </w:r>
      <w:r>
        <w:t xml:space="preserve">) </w:t>
      </w:r>
      <w:r w:rsidR="003F2458">
        <w:t>electronic states of c-P10 (top row</w:t>
      </w:r>
      <w:r>
        <w:t>), 20 (</w:t>
      </w:r>
      <w:r w:rsidR="003F2458">
        <w:t>middle row) and 30 (bottom row</w:t>
      </w:r>
      <w:r>
        <w:t>)</w:t>
      </w:r>
      <w:r w:rsidRPr="0017658A">
        <w:t>.</w:t>
      </w:r>
    </w:p>
    <w:p w14:paraId="08D32625" w14:textId="77777777" w:rsidR="002259DF" w:rsidRDefault="002259DF" w:rsidP="009E49B0"/>
    <w:p w14:paraId="276B0E31" w14:textId="77777777" w:rsidR="009679AE" w:rsidRDefault="009679AE" w:rsidP="009679AE">
      <w:pPr>
        <w:keepNext/>
        <w:jc w:val="center"/>
      </w:pPr>
      <w:r>
        <w:object w:dxaOrig="2892" w:dyaOrig="3611" w14:anchorId="3CCEBD0B">
          <v:shape id="_x0000_i1029" type="#_x0000_t75" style="width:342pt;height:426.75pt" o:ole="">
            <v:imagedata r:id="rId17" o:title=""/>
          </v:shape>
          <o:OLEObject Type="Embed" ProgID="Origin50.Graph" ShapeID="_x0000_i1029" DrawAspect="Content" ObjectID="_1716883073" r:id="rId18"/>
        </w:object>
      </w:r>
    </w:p>
    <w:p w14:paraId="510C42D8" w14:textId="3855DA33" w:rsidR="009679AE" w:rsidRDefault="009679AE" w:rsidP="009679AE">
      <w:pPr>
        <w:pStyle w:val="Caption"/>
        <w:jc w:val="both"/>
      </w:pPr>
      <w:r>
        <w:t xml:space="preserve">Fig. S </w:t>
      </w:r>
      <w:r w:rsidR="00AB6459">
        <w:t>7</w:t>
      </w:r>
      <w:r>
        <w:t xml:space="preserve"> Probe wavelength-resolved impulsive Raman maps of</w:t>
      </w:r>
      <w:r w:rsidRPr="0004283B">
        <w:t xml:space="preserve"> c</w:t>
      </w:r>
      <w:r>
        <w:t xml:space="preserve">-P30 </w:t>
      </w:r>
      <w:r w:rsidRPr="0004283B">
        <w:t>a</w:t>
      </w:r>
      <w:r>
        <w:t>fter impulsive excitation by</w:t>
      </w:r>
      <w:r w:rsidRPr="0004283B">
        <w:t xml:space="preserve"> </w:t>
      </w:r>
      <w:r>
        <w:t>720 nm (b)</w:t>
      </w:r>
      <w:r w:rsidRPr="0004283B">
        <w:t xml:space="preserve"> </w:t>
      </w:r>
      <w:r w:rsidR="001B7DCF">
        <w:t>or 860 nm (</w:t>
      </w:r>
      <w:r>
        <w:t>c) broadband pump pulses. Normalised steady-</w:t>
      </w:r>
      <w:r w:rsidRPr="0004283B">
        <w:t>s</w:t>
      </w:r>
      <w:r>
        <w:t xml:space="preserve">tate absorption and PL spectra of </w:t>
      </w:r>
      <w:r w:rsidRPr="0004283B">
        <w:t>c</w:t>
      </w:r>
      <w:r>
        <w:t>-P30 are reported as solid and dashed orange lines together with the normalis</w:t>
      </w:r>
      <w:r w:rsidR="001B7DCF">
        <w:t>ed spectra of pump pulses centred at 720 nm and 860 nm</w:t>
      </w:r>
      <w:r>
        <w:t xml:space="preserve"> (blue and red shaded areas in (a)</w:t>
      </w:r>
      <w:r w:rsidR="00241C67">
        <w:t>)</w:t>
      </w:r>
      <w:r>
        <w:t xml:space="preserve">. Vertical dotted lines highlight the spectral positions at which the phase-flips occur in both the ground (blue) and excited (red) potential energy surfaces of </w:t>
      </w:r>
      <w:r w:rsidRPr="0004283B">
        <w:t>c</w:t>
      </w:r>
      <w:r>
        <w:t>-P30. Each Raman map</w:t>
      </w:r>
      <w:r w:rsidRPr="00D206B6">
        <w:t xml:space="preserve"> is normalized to its </w:t>
      </w:r>
      <w:r>
        <w:t>maximum</w:t>
      </w:r>
      <w:r w:rsidR="00110078">
        <w:t>. The red dot shows saturation of an intense peak, required to improve visibility of weaker signals</w:t>
      </w:r>
      <w:r>
        <w:t>.</w:t>
      </w:r>
    </w:p>
    <w:p w14:paraId="5E6D3886" w14:textId="77777777" w:rsidR="007D6D4B" w:rsidRDefault="007D6D4B" w:rsidP="007D6D4B"/>
    <w:p w14:paraId="1F1E67A4" w14:textId="77777777" w:rsidR="007D6D4B" w:rsidRDefault="007D6D4B" w:rsidP="007D6D4B"/>
    <w:p w14:paraId="6C7AB4D3" w14:textId="77777777" w:rsidR="007D6D4B" w:rsidRDefault="007D6D4B" w:rsidP="007D6D4B"/>
    <w:p w14:paraId="3A77EFF9" w14:textId="77777777" w:rsidR="007D6D4B" w:rsidRDefault="007D6D4B" w:rsidP="007D6D4B"/>
    <w:p w14:paraId="263DFDE6" w14:textId="77777777" w:rsidR="007D6D4B" w:rsidRDefault="007D6D4B" w:rsidP="007D6D4B"/>
    <w:p w14:paraId="33421D3F" w14:textId="77777777" w:rsidR="007D6D4B" w:rsidRDefault="007D6D4B" w:rsidP="007D6D4B"/>
    <w:p w14:paraId="0A68D8AD" w14:textId="77777777" w:rsidR="007D6D4B" w:rsidRDefault="007D6D4B" w:rsidP="007D6D4B"/>
    <w:p w14:paraId="734D0FB4" w14:textId="77777777" w:rsidR="007D6D4B" w:rsidRDefault="007D6D4B" w:rsidP="007D6D4B"/>
    <w:p w14:paraId="6E6068B2" w14:textId="77777777" w:rsidR="007D6D4B" w:rsidRDefault="007D6D4B" w:rsidP="007D6D4B"/>
    <w:p w14:paraId="039D5BB2" w14:textId="77777777" w:rsidR="007D6D4B" w:rsidRDefault="007D6D4B" w:rsidP="007D6D4B">
      <w:pPr>
        <w:keepNext/>
      </w:pPr>
    </w:p>
    <w:p w14:paraId="46D365D9" w14:textId="77777777" w:rsidR="00135B91" w:rsidRDefault="00135B91" w:rsidP="007D6D4B">
      <w:pPr>
        <w:keepNext/>
      </w:pPr>
      <w:r>
        <w:rPr>
          <w:noProof/>
          <w:lang w:eastAsia="en-GB"/>
        </w:rPr>
        <w:drawing>
          <wp:inline distT="0" distB="0" distL="0" distR="0" wp14:anchorId="62371846" wp14:editId="76AB27FE">
            <wp:extent cx="5731510" cy="411099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110990"/>
                    </a:xfrm>
                    <a:prstGeom prst="rect">
                      <a:avLst/>
                    </a:prstGeom>
                  </pic:spPr>
                </pic:pic>
              </a:graphicData>
            </a:graphic>
          </wp:inline>
        </w:drawing>
      </w:r>
    </w:p>
    <w:p w14:paraId="36F719CA" w14:textId="3EB2024C" w:rsidR="007D6D4B" w:rsidRDefault="00AB6459" w:rsidP="007D6D4B">
      <w:pPr>
        <w:pStyle w:val="Caption"/>
        <w:spacing w:line="312" w:lineRule="auto"/>
        <w:jc w:val="both"/>
        <w:rPr>
          <w:bCs/>
        </w:rPr>
      </w:pPr>
      <w:r>
        <w:t>Fig. S 8</w:t>
      </w:r>
      <w:r w:rsidR="007D6D4B">
        <w:t xml:space="preserve"> Probe wavelength-resolved impulsive Raman maps of</w:t>
      </w:r>
      <w:r w:rsidR="007D6D4B" w:rsidRPr="0004283B">
        <w:t xml:space="preserve"> c</w:t>
      </w:r>
      <w:r w:rsidR="007D6D4B">
        <w:t>-P10 (d, g</w:t>
      </w:r>
      <w:r w:rsidR="007D6D4B" w:rsidRPr="0004283B">
        <w:t>), c</w:t>
      </w:r>
      <w:r w:rsidR="007D6D4B">
        <w:t>-P20 (e, h</w:t>
      </w:r>
      <w:r w:rsidR="007D6D4B" w:rsidRPr="0004283B">
        <w:t>) and c</w:t>
      </w:r>
      <w:r w:rsidR="007D6D4B">
        <w:t xml:space="preserve">-P40 (f, </w:t>
      </w:r>
      <w:proofErr w:type="spellStart"/>
      <w:r w:rsidR="007D6D4B">
        <w:t>i</w:t>
      </w:r>
      <w:proofErr w:type="spellEnd"/>
      <w:r w:rsidR="007D6D4B" w:rsidRPr="0004283B">
        <w:t>) a</w:t>
      </w:r>
      <w:r w:rsidR="007D6D4B">
        <w:t>fter impulsive excitation by</w:t>
      </w:r>
      <w:r w:rsidR="007D6D4B" w:rsidRPr="0004283B">
        <w:t xml:space="preserve"> </w:t>
      </w:r>
      <w:r w:rsidR="007D6D4B">
        <w:t>720 nm (d, e, f)</w:t>
      </w:r>
      <w:r w:rsidR="007D6D4B" w:rsidRPr="0004283B">
        <w:t xml:space="preserve"> </w:t>
      </w:r>
      <w:r w:rsidR="007D6D4B">
        <w:t xml:space="preserve">or 860 nm (g, h, </w:t>
      </w:r>
      <w:proofErr w:type="spellStart"/>
      <w:r w:rsidR="007D6D4B">
        <w:t>i</w:t>
      </w:r>
      <w:proofErr w:type="spellEnd"/>
      <w:r w:rsidR="007D6D4B">
        <w:t>) broadband pump pulses. Normalised steady-</w:t>
      </w:r>
      <w:r w:rsidR="007D6D4B" w:rsidRPr="0004283B">
        <w:t>s</w:t>
      </w:r>
      <w:r w:rsidR="007D6D4B">
        <w:t xml:space="preserve">tate absorption and PL spectra of </w:t>
      </w:r>
      <w:r w:rsidR="007D6D4B" w:rsidRPr="0004283B">
        <w:t>c</w:t>
      </w:r>
      <w:r w:rsidR="007D6D4B">
        <w:t xml:space="preserve">-P10 (a, violet), </w:t>
      </w:r>
      <w:r w:rsidR="007D6D4B" w:rsidRPr="0004283B">
        <w:t>c</w:t>
      </w:r>
      <w:r w:rsidR="007D6D4B">
        <w:t xml:space="preserve">-P20 (b, navy) and </w:t>
      </w:r>
      <w:r w:rsidR="007D6D4B" w:rsidRPr="0004283B">
        <w:t>c</w:t>
      </w:r>
      <w:r w:rsidR="007D6D4B">
        <w:t xml:space="preserve">-P40 (c, teal) are reported as solid and dashed lines together with the normalised spectra of pump pulses centred at 720 and 860 nm (blue and red shaded areas in a-c). Vertical dotted lines highlight the spectral positions at which the phase-flips occur in both the ground (blue) and excited (red) potential energy surfaces of </w:t>
      </w:r>
      <w:r w:rsidR="007D6D4B" w:rsidRPr="0004283B">
        <w:t>c</w:t>
      </w:r>
      <w:r w:rsidR="007D6D4B">
        <w:t>-P20-40. Each Raman map</w:t>
      </w:r>
      <w:r w:rsidR="007D6D4B" w:rsidRPr="00D206B6">
        <w:t xml:space="preserve"> is normalized to its </w:t>
      </w:r>
      <w:r w:rsidR="007D6D4B">
        <w:t>maximum.</w:t>
      </w:r>
    </w:p>
    <w:p w14:paraId="4EDC6532" w14:textId="77777777" w:rsidR="00C156CC" w:rsidRDefault="00C156CC" w:rsidP="00C156CC">
      <w:pPr>
        <w:spacing w:line="312" w:lineRule="auto"/>
        <w:jc w:val="both"/>
        <w:rPr>
          <w:rFonts w:cs="Arial"/>
          <w:b/>
          <w:color w:val="000000"/>
          <w:lang w:val="pt-BR"/>
        </w:rPr>
      </w:pPr>
    </w:p>
    <w:p w14:paraId="4514DD84" w14:textId="77777777" w:rsidR="00647C8A" w:rsidRDefault="00647C8A" w:rsidP="00C156CC">
      <w:pPr>
        <w:spacing w:line="312" w:lineRule="auto"/>
        <w:jc w:val="both"/>
        <w:rPr>
          <w:rFonts w:cs="Arial"/>
          <w:b/>
          <w:color w:val="000000"/>
          <w:lang w:val="pt-BR"/>
        </w:rPr>
      </w:pPr>
    </w:p>
    <w:p w14:paraId="4C82E1BA" w14:textId="77777777" w:rsidR="00647C8A" w:rsidRDefault="00647C8A" w:rsidP="00C156CC">
      <w:pPr>
        <w:spacing w:line="312" w:lineRule="auto"/>
        <w:jc w:val="both"/>
        <w:rPr>
          <w:rFonts w:cs="Arial"/>
          <w:b/>
          <w:color w:val="000000"/>
          <w:lang w:val="pt-BR"/>
        </w:rPr>
      </w:pPr>
    </w:p>
    <w:p w14:paraId="541A6F11" w14:textId="77777777" w:rsidR="00647C8A" w:rsidRDefault="00647C8A" w:rsidP="00C156CC">
      <w:pPr>
        <w:spacing w:line="312" w:lineRule="auto"/>
        <w:jc w:val="both"/>
        <w:rPr>
          <w:rFonts w:cs="Arial"/>
          <w:b/>
          <w:color w:val="000000"/>
          <w:lang w:val="pt-BR"/>
        </w:rPr>
      </w:pPr>
    </w:p>
    <w:p w14:paraId="1523B87E" w14:textId="77777777" w:rsidR="00647C8A" w:rsidRDefault="00647C8A" w:rsidP="00C156CC">
      <w:pPr>
        <w:spacing w:line="312" w:lineRule="auto"/>
        <w:jc w:val="both"/>
        <w:rPr>
          <w:rFonts w:cs="Arial"/>
          <w:b/>
          <w:color w:val="000000"/>
          <w:lang w:val="pt-BR"/>
        </w:rPr>
      </w:pPr>
    </w:p>
    <w:p w14:paraId="16698108" w14:textId="77777777" w:rsidR="00647C8A" w:rsidRDefault="00647C8A" w:rsidP="00C156CC">
      <w:pPr>
        <w:spacing w:line="312" w:lineRule="auto"/>
        <w:jc w:val="both"/>
        <w:rPr>
          <w:rFonts w:cs="Arial"/>
          <w:b/>
          <w:color w:val="000000"/>
          <w:lang w:val="pt-BR"/>
        </w:rPr>
      </w:pPr>
    </w:p>
    <w:p w14:paraId="6887DFC7" w14:textId="77777777" w:rsidR="00647C8A" w:rsidRDefault="00647C8A" w:rsidP="00C156CC">
      <w:pPr>
        <w:spacing w:line="312" w:lineRule="auto"/>
        <w:jc w:val="both"/>
        <w:rPr>
          <w:rFonts w:cs="Arial"/>
          <w:b/>
          <w:color w:val="000000"/>
          <w:lang w:val="pt-BR"/>
        </w:rPr>
      </w:pPr>
    </w:p>
    <w:p w14:paraId="3FA0C742" w14:textId="77777777" w:rsidR="00647C8A" w:rsidRDefault="00647C8A" w:rsidP="00C156CC">
      <w:pPr>
        <w:spacing w:line="312" w:lineRule="auto"/>
        <w:jc w:val="both"/>
        <w:rPr>
          <w:rFonts w:cs="Arial"/>
          <w:b/>
          <w:color w:val="000000"/>
          <w:lang w:val="pt-BR"/>
        </w:rPr>
      </w:pPr>
    </w:p>
    <w:p w14:paraId="16091362" w14:textId="77777777" w:rsidR="00647C8A" w:rsidRDefault="00647C8A" w:rsidP="00C156CC">
      <w:pPr>
        <w:spacing w:line="312" w:lineRule="auto"/>
        <w:jc w:val="both"/>
        <w:rPr>
          <w:rFonts w:cs="Arial"/>
          <w:b/>
          <w:color w:val="000000"/>
          <w:lang w:val="pt-BR"/>
        </w:rPr>
      </w:pPr>
    </w:p>
    <w:p w14:paraId="282C4968" w14:textId="77777777" w:rsidR="00775C70" w:rsidRDefault="00647C8A" w:rsidP="00775C70">
      <w:pPr>
        <w:keepNext/>
        <w:spacing w:line="312" w:lineRule="auto"/>
        <w:jc w:val="both"/>
      </w:pPr>
      <w:r>
        <w:rPr>
          <w:rFonts w:cs="Segoe UI"/>
          <w:noProof/>
          <w:color w:val="FF0000"/>
          <w:lang w:eastAsia="en-GB"/>
        </w:rPr>
        <w:lastRenderedPageBreak/>
        <w:drawing>
          <wp:inline distT="0" distB="0" distL="0" distR="0" wp14:anchorId="38CA5DF3" wp14:editId="4A465015">
            <wp:extent cx="5731510" cy="636206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ft_pic_SI.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6362065"/>
                    </a:xfrm>
                    <a:prstGeom prst="rect">
                      <a:avLst/>
                    </a:prstGeom>
                  </pic:spPr>
                </pic:pic>
              </a:graphicData>
            </a:graphic>
          </wp:inline>
        </w:drawing>
      </w:r>
    </w:p>
    <w:p w14:paraId="7539595C" w14:textId="77AEAF2A" w:rsidR="00647C8A" w:rsidRPr="00E23CD5" w:rsidRDefault="00775C70" w:rsidP="00775C70">
      <w:pPr>
        <w:pStyle w:val="Caption"/>
        <w:jc w:val="both"/>
        <w:rPr>
          <w:rFonts w:cs="Arial"/>
          <w:b/>
          <w:color w:val="000000"/>
          <w:vertAlign w:val="superscript"/>
          <w:lang w:val="pt-BR"/>
        </w:rPr>
      </w:pPr>
      <w:r>
        <w:t>Fig. S 9</w:t>
      </w:r>
      <w:r w:rsidR="00AA2E84">
        <w:t xml:space="preserve"> S</w:t>
      </w:r>
      <w:r w:rsidR="00AA2E84" w:rsidRPr="00AA2E84">
        <w:t xml:space="preserve">ketches of the Zn-N stretching and of the methinic and pyrrolic in plane bending/stretching, and stick </w:t>
      </w:r>
      <w:r w:rsidR="00AA2E84">
        <w:t xml:space="preserve">off-resonance </w:t>
      </w:r>
      <w:r w:rsidR="00AA2E84" w:rsidRPr="00AA2E84">
        <w:t xml:space="preserve">GS Raman spectra of </w:t>
      </w:r>
      <w:proofErr w:type="spellStart"/>
      <w:r w:rsidR="00AA2E84" w:rsidRPr="00AA2E84">
        <w:t>ZnPor</w:t>
      </w:r>
      <w:proofErr w:type="spellEnd"/>
      <w:r w:rsidR="00AA2E84" w:rsidRPr="00AA2E84">
        <w:t xml:space="preserve"> monomer and </w:t>
      </w:r>
      <w:proofErr w:type="spellStart"/>
      <w:r w:rsidR="00AA2E84" w:rsidRPr="00AA2E84">
        <w:t>ZnPor</w:t>
      </w:r>
      <w:proofErr w:type="spellEnd"/>
      <w:r w:rsidR="00AA2E84" w:rsidRPr="00AA2E84">
        <w:t xml:space="preserve"> but</w:t>
      </w:r>
      <w:r w:rsidR="00AA2E84">
        <w:t>adiyne linked dimer. These results were obtained by DFT, using Gaussian 16 at the</w:t>
      </w:r>
      <w:r w:rsidR="00AA2E84" w:rsidRPr="00AA2E84">
        <w:t xml:space="preserve"> B3LYP/6-31G* level of theory</w:t>
      </w:r>
      <w:r w:rsidR="00AA2E84">
        <w:t>.</w:t>
      </w:r>
      <w:r w:rsidR="00E23CD5">
        <w:rPr>
          <w:vertAlign w:val="superscript"/>
        </w:rPr>
        <w:t>9</w:t>
      </w:r>
    </w:p>
    <w:p w14:paraId="067B1FF5" w14:textId="1F9FA4E2" w:rsidR="00647C8A" w:rsidRPr="00D80056" w:rsidRDefault="00D80056" w:rsidP="00C156CC">
      <w:pPr>
        <w:spacing w:line="312" w:lineRule="auto"/>
        <w:jc w:val="both"/>
        <w:rPr>
          <w:rFonts w:cs="Arial"/>
          <w:color w:val="000000"/>
          <w:lang w:val="pt-BR"/>
        </w:rPr>
      </w:pPr>
      <w:r w:rsidRPr="00FE5B74">
        <w:rPr>
          <w:rFonts w:cs="Arial"/>
          <w:color w:val="000000"/>
          <w:highlight w:val="yellow"/>
          <w:lang w:val="pt-BR"/>
        </w:rPr>
        <w:t>Off-resonance ground state Raman spectra of the Zn porphyrin monomer and of the butadyine-linked dimer were calculated using Gaussian 16 at the B3LYP/6-31G* level of theory.</w:t>
      </w:r>
      <w:r w:rsidRPr="00FE5B74">
        <w:rPr>
          <w:rFonts w:cs="Arial"/>
          <w:color w:val="000000"/>
          <w:highlight w:val="yellow"/>
          <w:vertAlign w:val="superscript"/>
          <w:lang w:val="pt-BR"/>
        </w:rPr>
        <w:t xml:space="preserve">9 </w:t>
      </w:r>
      <w:r w:rsidRPr="00FE5B74">
        <w:rPr>
          <w:rFonts w:cs="Arial"/>
          <w:color w:val="000000"/>
          <w:highlight w:val="yellow"/>
          <w:lang w:val="pt-BR"/>
        </w:rPr>
        <w:t>These</w:t>
      </w:r>
      <w:r w:rsidR="00380DA0">
        <w:rPr>
          <w:rFonts w:cs="Arial"/>
          <w:color w:val="000000"/>
          <w:highlight w:val="yellow"/>
          <w:lang w:val="pt-BR"/>
        </w:rPr>
        <w:t xml:space="preserve"> calculations</w:t>
      </w:r>
      <w:r w:rsidRPr="00FE5B74">
        <w:rPr>
          <w:rFonts w:cs="Arial"/>
          <w:color w:val="000000"/>
          <w:highlight w:val="yellow"/>
          <w:lang w:val="pt-BR"/>
        </w:rPr>
        <w:t xml:space="preserve"> reproduce a redshift of the Zn-N stretching from the monomer (388 cm</w:t>
      </w:r>
      <w:r w:rsidRPr="00FE5B74">
        <w:rPr>
          <w:rFonts w:cs="Arial"/>
          <w:color w:val="000000"/>
          <w:highlight w:val="yellow"/>
          <w:vertAlign w:val="superscript"/>
          <w:lang w:val="pt-BR"/>
        </w:rPr>
        <w:t>-1</w:t>
      </w:r>
      <w:r w:rsidRPr="00FE5B74">
        <w:rPr>
          <w:rFonts w:cs="Arial"/>
          <w:color w:val="000000"/>
          <w:highlight w:val="yellow"/>
          <w:lang w:val="pt-BR"/>
        </w:rPr>
        <w:t>) to the dimer (381 cm</w:t>
      </w:r>
      <w:r w:rsidRPr="00FE5B74">
        <w:rPr>
          <w:rFonts w:cs="Arial"/>
          <w:color w:val="000000"/>
          <w:highlight w:val="yellow"/>
          <w:vertAlign w:val="superscript"/>
          <w:lang w:val="pt-BR"/>
        </w:rPr>
        <w:t>-1</w:t>
      </w:r>
      <w:r w:rsidRPr="00FE5B74">
        <w:rPr>
          <w:rFonts w:cs="Arial"/>
          <w:color w:val="000000"/>
          <w:highlight w:val="yellow"/>
          <w:lang w:val="pt-BR"/>
        </w:rPr>
        <w:t>), while the in-plane methinic/pyrrolic bending mode appears at essentially the same frequency (435 cm</w:t>
      </w:r>
      <w:r w:rsidRPr="00FE5B74">
        <w:rPr>
          <w:rFonts w:cs="Arial"/>
          <w:color w:val="000000"/>
          <w:highlight w:val="yellow"/>
          <w:vertAlign w:val="superscript"/>
          <w:lang w:val="pt-BR"/>
        </w:rPr>
        <w:t>-1</w:t>
      </w:r>
      <w:r w:rsidRPr="00FE5B74">
        <w:rPr>
          <w:rFonts w:cs="Arial"/>
          <w:color w:val="000000"/>
          <w:highlight w:val="yellow"/>
          <w:lang w:val="pt-BR"/>
        </w:rPr>
        <w:t>) in monomer and dimer (436 cm</w:t>
      </w:r>
      <w:r w:rsidRPr="00FE5B74">
        <w:rPr>
          <w:rFonts w:cs="Arial"/>
          <w:color w:val="000000"/>
          <w:highlight w:val="yellow"/>
          <w:vertAlign w:val="superscript"/>
          <w:lang w:val="pt-BR"/>
        </w:rPr>
        <w:t>-1</w:t>
      </w:r>
      <w:r w:rsidRPr="00FE5B74">
        <w:rPr>
          <w:rFonts w:cs="Arial"/>
          <w:color w:val="000000"/>
          <w:highlight w:val="yellow"/>
          <w:lang w:val="pt-BR"/>
        </w:rPr>
        <w:t>), in agreement with the experimental results.</w:t>
      </w:r>
    </w:p>
    <w:p w14:paraId="7822FC30" w14:textId="77777777" w:rsidR="00C156CC" w:rsidRDefault="00C156CC" w:rsidP="00C156CC">
      <w:pPr>
        <w:spacing w:line="312" w:lineRule="auto"/>
        <w:jc w:val="both"/>
        <w:rPr>
          <w:rFonts w:cs="Arial"/>
          <w:b/>
          <w:color w:val="000000"/>
          <w:lang w:val="pt-BR"/>
        </w:rPr>
      </w:pPr>
    </w:p>
    <w:p w14:paraId="1B328407" w14:textId="77777777" w:rsidR="00D80056" w:rsidRDefault="00D80056" w:rsidP="00C156CC">
      <w:pPr>
        <w:spacing w:line="312" w:lineRule="auto"/>
        <w:jc w:val="both"/>
        <w:rPr>
          <w:rFonts w:cs="Arial"/>
          <w:b/>
          <w:color w:val="000000"/>
          <w:lang w:val="pt-BR"/>
        </w:rPr>
      </w:pPr>
    </w:p>
    <w:p w14:paraId="18D7AE2A" w14:textId="38C09337" w:rsidR="009E49B0" w:rsidRPr="00C156CC" w:rsidRDefault="00C156CC" w:rsidP="00C156CC">
      <w:pPr>
        <w:spacing w:line="312" w:lineRule="auto"/>
        <w:jc w:val="both"/>
        <w:rPr>
          <w:rFonts w:cs="Arial"/>
          <w:b/>
          <w:color w:val="000000"/>
          <w:lang w:val="pt-BR"/>
        </w:rPr>
      </w:pPr>
      <w:r>
        <w:rPr>
          <w:rFonts w:cs="Arial"/>
          <w:b/>
          <w:color w:val="000000"/>
          <w:lang w:val="pt-BR"/>
        </w:rPr>
        <w:lastRenderedPageBreak/>
        <w:t xml:space="preserve">Notes and </w:t>
      </w:r>
      <w:r w:rsidRPr="005834E4">
        <w:rPr>
          <w:rFonts w:cs="Arial"/>
          <w:b/>
          <w:color w:val="000000"/>
          <w:lang w:val="pt-BR"/>
        </w:rPr>
        <w:t>References</w:t>
      </w:r>
    </w:p>
    <w:p w14:paraId="5575FE37" w14:textId="2D178750" w:rsidR="00C156CC" w:rsidRPr="00C156CC" w:rsidRDefault="00C156CC" w:rsidP="00C156CC">
      <w:pPr>
        <w:widowControl w:val="0"/>
        <w:autoSpaceDE w:val="0"/>
        <w:autoSpaceDN w:val="0"/>
        <w:adjustRightInd w:val="0"/>
        <w:spacing w:line="240" w:lineRule="auto"/>
        <w:rPr>
          <w:rFonts w:ascii="Calibri" w:hAnsi="Calibri" w:cs="Times New Roman"/>
          <w:noProof/>
          <w:szCs w:val="24"/>
        </w:rPr>
      </w:pPr>
      <w:r>
        <w:fldChar w:fldCharType="begin" w:fldLock="1"/>
      </w:r>
      <w:r>
        <w:instrText xml:space="preserve">ADDIN Mendeley Bibliography CSL_BIBLIOGRAPHY </w:instrText>
      </w:r>
      <w:r>
        <w:fldChar w:fldCharType="separate"/>
      </w:r>
      <w:r w:rsidRPr="00C156CC">
        <w:rPr>
          <w:rFonts w:ascii="Calibri" w:hAnsi="Calibri" w:cs="Times New Roman"/>
          <w:noProof/>
          <w:szCs w:val="24"/>
          <w:vertAlign w:val="superscript"/>
        </w:rPr>
        <w:t>1</w:t>
      </w:r>
      <w:r w:rsidRPr="00C156CC">
        <w:rPr>
          <w:rFonts w:ascii="Calibri" w:hAnsi="Calibri" w:cs="Times New Roman"/>
          <w:noProof/>
          <w:szCs w:val="24"/>
        </w:rPr>
        <w:t xml:space="preserve"> P.S. Bols and H.L. Anderson, Acc. Chem. Res. </w:t>
      </w:r>
      <w:r w:rsidRPr="00C156CC">
        <w:rPr>
          <w:rFonts w:ascii="Calibri" w:hAnsi="Calibri" w:cs="Times New Roman"/>
          <w:b/>
          <w:bCs/>
          <w:noProof/>
          <w:szCs w:val="24"/>
        </w:rPr>
        <w:t>51</w:t>
      </w:r>
      <w:r w:rsidRPr="00C156CC">
        <w:rPr>
          <w:rFonts w:ascii="Calibri" w:hAnsi="Calibri" w:cs="Times New Roman"/>
          <w:noProof/>
          <w:szCs w:val="24"/>
        </w:rPr>
        <w:t>, 2083 (2018).</w:t>
      </w:r>
    </w:p>
    <w:p w14:paraId="2AA671E7" w14:textId="77777777" w:rsidR="00C156CC" w:rsidRPr="00C156CC" w:rsidRDefault="00C156CC" w:rsidP="00C156CC">
      <w:pPr>
        <w:widowControl w:val="0"/>
        <w:autoSpaceDE w:val="0"/>
        <w:autoSpaceDN w:val="0"/>
        <w:adjustRightInd w:val="0"/>
        <w:spacing w:line="240" w:lineRule="auto"/>
        <w:rPr>
          <w:rFonts w:ascii="Calibri" w:hAnsi="Calibri" w:cs="Times New Roman"/>
          <w:noProof/>
          <w:szCs w:val="24"/>
        </w:rPr>
      </w:pPr>
      <w:r w:rsidRPr="00C156CC">
        <w:rPr>
          <w:rFonts w:ascii="Calibri" w:hAnsi="Calibri" w:cs="Times New Roman"/>
          <w:noProof/>
          <w:szCs w:val="24"/>
          <w:vertAlign w:val="superscript"/>
        </w:rPr>
        <w:t>2</w:t>
      </w:r>
      <w:r w:rsidRPr="00C156CC">
        <w:rPr>
          <w:rFonts w:ascii="Calibri" w:hAnsi="Calibri" w:cs="Times New Roman"/>
          <w:noProof/>
          <w:szCs w:val="24"/>
        </w:rPr>
        <w:t xml:space="preserve"> D. V. Kondratuk, L.M.A. Perdigao, M.C. O’Sullivan, S. Svatek, G. Smith, J.N. O’Shea, P.H. Beton, and H.L. Anderson, Angew. Chemie Int. Ed. </w:t>
      </w:r>
      <w:r w:rsidRPr="00C156CC">
        <w:rPr>
          <w:rFonts w:ascii="Calibri" w:hAnsi="Calibri" w:cs="Times New Roman"/>
          <w:b/>
          <w:bCs/>
          <w:noProof/>
          <w:szCs w:val="24"/>
        </w:rPr>
        <w:t>51</w:t>
      </w:r>
      <w:r w:rsidRPr="00C156CC">
        <w:rPr>
          <w:rFonts w:ascii="Calibri" w:hAnsi="Calibri" w:cs="Times New Roman"/>
          <w:noProof/>
          <w:szCs w:val="24"/>
        </w:rPr>
        <w:t>, 6696 (2012).</w:t>
      </w:r>
    </w:p>
    <w:p w14:paraId="4E6C704D" w14:textId="77777777" w:rsidR="00C156CC" w:rsidRPr="00C156CC" w:rsidRDefault="00C156CC" w:rsidP="00C156CC">
      <w:pPr>
        <w:widowControl w:val="0"/>
        <w:autoSpaceDE w:val="0"/>
        <w:autoSpaceDN w:val="0"/>
        <w:adjustRightInd w:val="0"/>
        <w:spacing w:line="240" w:lineRule="auto"/>
        <w:rPr>
          <w:rFonts w:ascii="Calibri" w:hAnsi="Calibri" w:cs="Times New Roman"/>
          <w:noProof/>
          <w:szCs w:val="24"/>
        </w:rPr>
      </w:pPr>
      <w:r w:rsidRPr="00C156CC">
        <w:rPr>
          <w:rFonts w:ascii="Calibri" w:hAnsi="Calibri" w:cs="Times New Roman"/>
          <w:noProof/>
          <w:szCs w:val="24"/>
          <w:vertAlign w:val="superscript"/>
        </w:rPr>
        <w:t>3</w:t>
      </w:r>
      <w:r w:rsidRPr="00C156CC">
        <w:rPr>
          <w:rFonts w:ascii="Calibri" w:hAnsi="Calibri" w:cs="Times New Roman"/>
          <w:noProof/>
          <w:szCs w:val="24"/>
        </w:rPr>
        <w:t xml:space="preserve"> P. Parkinson, D. V. Kondratuk, C. Menelaou, J.Q. Gong, H.L. Anderson, and L.M. Herz, J. Phys. Chem. Lett. </w:t>
      </w:r>
      <w:r w:rsidRPr="00C156CC">
        <w:rPr>
          <w:rFonts w:ascii="Calibri" w:hAnsi="Calibri" w:cs="Times New Roman"/>
          <w:b/>
          <w:bCs/>
          <w:noProof/>
          <w:szCs w:val="24"/>
        </w:rPr>
        <w:t>5</w:t>
      </w:r>
      <w:r w:rsidRPr="00C156CC">
        <w:rPr>
          <w:rFonts w:ascii="Calibri" w:hAnsi="Calibri" w:cs="Times New Roman"/>
          <w:noProof/>
          <w:szCs w:val="24"/>
        </w:rPr>
        <w:t>, 4356 (2014).</w:t>
      </w:r>
    </w:p>
    <w:p w14:paraId="311D1B75" w14:textId="77777777" w:rsidR="00C156CC" w:rsidRPr="00C156CC" w:rsidRDefault="00C156CC" w:rsidP="00C156CC">
      <w:pPr>
        <w:widowControl w:val="0"/>
        <w:autoSpaceDE w:val="0"/>
        <w:autoSpaceDN w:val="0"/>
        <w:adjustRightInd w:val="0"/>
        <w:spacing w:line="240" w:lineRule="auto"/>
        <w:rPr>
          <w:rFonts w:ascii="Calibri" w:hAnsi="Calibri" w:cs="Times New Roman"/>
          <w:noProof/>
          <w:szCs w:val="24"/>
        </w:rPr>
      </w:pPr>
      <w:r w:rsidRPr="00C156CC">
        <w:rPr>
          <w:rFonts w:ascii="Calibri" w:hAnsi="Calibri" w:cs="Times New Roman"/>
          <w:noProof/>
          <w:szCs w:val="24"/>
          <w:vertAlign w:val="superscript"/>
        </w:rPr>
        <w:t>4</w:t>
      </w:r>
      <w:r w:rsidRPr="00C156CC">
        <w:rPr>
          <w:rFonts w:ascii="Calibri" w:hAnsi="Calibri" w:cs="Times New Roman"/>
          <w:noProof/>
          <w:szCs w:val="24"/>
        </w:rPr>
        <w:t xml:space="preserve"> U. Megerle, I. Pugliesi, C. Schriever, C.F. Sailer, and E. Riedle, Appl. Phys. B Lasers Opt. </w:t>
      </w:r>
      <w:r w:rsidRPr="00C156CC">
        <w:rPr>
          <w:rFonts w:ascii="Calibri" w:hAnsi="Calibri" w:cs="Times New Roman"/>
          <w:b/>
          <w:bCs/>
          <w:noProof/>
          <w:szCs w:val="24"/>
        </w:rPr>
        <w:t>96</w:t>
      </w:r>
      <w:r w:rsidRPr="00C156CC">
        <w:rPr>
          <w:rFonts w:ascii="Calibri" w:hAnsi="Calibri" w:cs="Times New Roman"/>
          <w:noProof/>
          <w:szCs w:val="24"/>
        </w:rPr>
        <w:t>, 215 (2009).</w:t>
      </w:r>
    </w:p>
    <w:p w14:paraId="44B3170B" w14:textId="77777777" w:rsidR="00C156CC" w:rsidRPr="00C156CC" w:rsidRDefault="00C156CC" w:rsidP="00C156CC">
      <w:pPr>
        <w:widowControl w:val="0"/>
        <w:autoSpaceDE w:val="0"/>
        <w:autoSpaceDN w:val="0"/>
        <w:adjustRightInd w:val="0"/>
        <w:spacing w:line="240" w:lineRule="auto"/>
        <w:rPr>
          <w:rFonts w:ascii="Calibri" w:hAnsi="Calibri" w:cs="Times New Roman"/>
          <w:noProof/>
          <w:szCs w:val="24"/>
        </w:rPr>
      </w:pPr>
      <w:r w:rsidRPr="00C156CC">
        <w:rPr>
          <w:rFonts w:ascii="Calibri" w:hAnsi="Calibri" w:cs="Times New Roman"/>
          <w:noProof/>
          <w:szCs w:val="24"/>
          <w:vertAlign w:val="superscript"/>
        </w:rPr>
        <w:t>5</w:t>
      </w:r>
      <w:r w:rsidRPr="00C156CC">
        <w:rPr>
          <w:rFonts w:ascii="Calibri" w:hAnsi="Calibri" w:cs="Times New Roman"/>
          <w:noProof/>
          <w:szCs w:val="24"/>
        </w:rPr>
        <w:t xml:space="preserve"> G. Bressan, A.N. Cammidge, G.A. Jones, I.A. Heisler, D. Gonzalez-Lucas, S. Remiro-Buenamañana, and S.R. Meech, J. Phys. Chem. A </w:t>
      </w:r>
      <w:r w:rsidRPr="00C156CC">
        <w:rPr>
          <w:rFonts w:ascii="Calibri" w:hAnsi="Calibri" w:cs="Times New Roman"/>
          <w:b/>
          <w:bCs/>
          <w:noProof/>
          <w:szCs w:val="24"/>
        </w:rPr>
        <w:t>123</w:t>
      </w:r>
      <w:r w:rsidRPr="00C156CC">
        <w:rPr>
          <w:rFonts w:ascii="Calibri" w:hAnsi="Calibri" w:cs="Times New Roman"/>
          <w:noProof/>
          <w:szCs w:val="24"/>
        </w:rPr>
        <w:t>, 5724 (2019).</w:t>
      </w:r>
    </w:p>
    <w:p w14:paraId="2587DC09" w14:textId="77777777" w:rsidR="00C156CC" w:rsidRPr="00C156CC" w:rsidRDefault="00C156CC" w:rsidP="00C156CC">
      <w:pPr>
        <w:widowControl w:val="0"/>
        <w:autoSpaceDE w:val="0"/>
        <w:autoSpaceDN w:val="0"/>
        <w:adjustRightInd w:val="0"/>
        <w:spacing w:line="240" w:lineRule="auto"/>
        <w:rPr>
          <w:rFonts w:ascii="Calibri" w:hAnsi="Calibri" w:cs="Times New Roman"/>
          <w:noProof/>
          <w:szCs w:val="24"/>
        </w:rPr>
      </w:pPr>
      <w:r w:rsidRPr="00C156CC">
        <w:rPr>
          <w:rFonts w:ascii="Calibri" w:hAnsi="Calibri" w:cs="Times New Roman"/>
          <w:noProof/>
          <w:szCs w:val="24"/>
          <w:vertAlign w:val="superscript"/>
        </w:rPr>
        <w:t>6</w:t>
      </w:r>
      <w:r w:rsidRPr="00C156CC">
        <w:rPr>
          <w:rFonts w:ascii="Calibri" w:hAnsi="Calibri" w:cs="Times New Roman"/>
          <w:noProof/>
          <w:szCs w:val="24"/>
        </w:rPr>
        <w:t xml:space="preserve"> G. Bressan, M. Jirasek, H.L. Anderson, I.A. Heisler, and S.R. Meech, J. Phys. Chem. C </w:t>
      </w:r>
      <w:r w:rsidRPr="00C156CC">
        <w:rPr>
          <w:rFonts w:ascii="Calibri" w:hAnsi="Calibri" w:cs="Times New Roman"/>
          <w:b/>
          <w:bCs/>
          <w:noProof/>
          <w:szCs w:val="24"/>
        </w:rPr>
        <w:t>124</w:t>
      </w:r>
      <w:r w:rsidRPr="00C156CC">
        <w:rPr>
          <w:rFonts w:ascii="Calibri" w:hAnsi="Calibri" w:cs="Times New Roman"/>
          <w:noProof/>
          <w:szCs w:val="24"/>
        </w:rPr>
        <w:t>, 18416 (2020).</w:t>
      </w:r>
    </w:p>
    <w:p w14:paraId="68111358" w14:textId="77777777" w:rsidR="00C156CC" w:rsidRPr="00C156CC" w:rsidRDefault="00C156CC" w:rsidP="00C156CC">
      <w:pPr>
        <w:widowControl w:val="0"/>
        <w:autoSpaceDE w:val="0"/>
        <w:autoSpaceDN w:val="0"/>
        <w:adjustRightInd w:val="0"/>
        <w:spacing w:line="240" w:lineRule="auto"/>
        <w:rPr>
          <w:rFonts w:ascii="Calibri" w:hAnsi="Calibri" w:cs="Times New Roman"/>
          <w:noProof/>
          <w:szCs w:val="24"/>
        </w:rPr>
      </w:pPr>
      <w:r w:rsidRPr="00C156CC">
        <w:rPr>
          <w:rFonts w:ascii="Calibri" w:hAnsi="Calibri" w:cs="Times New Roman"/>
          <w:noProof/>
          <w:szCs w:val="24"/>
          <w:vertAlign w:val="superscript"/>
        </w:rPr>
        <w:t>7</w:t>
      </w:r>
      <w:r w:rsidRPr="00C156CC">
        <w:rPr>
          <w:rFonts w:ascii="Calibri" w:hAnsi="Calibri" w:cs="Times New Roman"/>
          <w:noProof/>
          <w:szCs w:val="24"/>
        </w:rPr>
        <w:t xml:space="preserve"> G. Bressan, M.D. Peeks, H.L. Anderson, S.R. Meech, and I.A. Heisler, J. Phys. Chem. C </w:t>
      </w:r>
      <w:r w:rsidRPr="00C156CC">
        <w:rPr>
          <w:rFonts w:ascii="Calibri" w:hAnsi="Calibri" w:cs="Times New Roman"/>
          <w:b/>
          <w:bCs/>
          <w:noProof/>
          <w:szCs w:val="24"/>
        </w:rPr>
        <w:t>123</w:t>
      </w:r>
      <w:r w:rsidRPr="00C156CC">
        <w:rPr>
          <w:rFonts w:ascii="Calibri" w:hAnsi="Calibri" w:cs="Times New Roman"/>
          <w:noProof/>
          <w:szCs w:val="24"/>
        </w:rPr>
        <w:t>, 27222 (2019).</w:t>
      </w:r>
    </w:p>
    <w:p w14:paraId="721FFB25" w14:textId="77777777" w:rsidR="00C156CC" w:rsidRDefault="00C156CC" w:rsidP="00C156CC">
      <w:pPr>
        <w:widowControl w:val="0"/>
        <w:autoSpaceDE w:val="0"/>
        <w:autoSpaceDN w:val="0"/>
        <w:adjustRightInd w:val="0"/>
        <w:spacing w:line="240" w:lineRule="auto"/>
        <w:rPr>
          <w:rFonts w:ascii="Calibri" w:hAnsi="Calibri" w:cs="Times New Roman"/>
          <w:noProof/>
          <w:szCs w:val="24"/>
        </w:rPr>
      </w:pPr>
      <w:r w:rsidRPr="00C156CC">
        <w:rPr>
          <w:rFonts w:ascii="Calibri" w:hAnsi="Calibri" w:cs="Times New Roman"/>
          <w:noProof/>
          <w:szCs w:val="24"/>
          <w:vertAlign w:val="superscript"/>
        </w:rPr>
        <w:t>8</w:t>
      </w:r>
      <w:r w:rsidRPr="00C156CC">
        <w:rPr>
          <w:rFonts w:ascii="Calibri" w:hAnsi="Calibri" w:cs="Times New Roman"/>
          <w:noProof/>
          <w:szCs w:val="24"/>
        </w:rPr>
        <w:t xml:space="preserve"> C. Fitzpatrick, J.H. Odhner, and R.J. Levis, J. Phys. Chem. A </w:t>
      </w:r>
      <w:r w:rsidRPr="00C156CC">
        <w:rPr>
          <w:rFonts w:ascii="Calibri" w:hAnsi="Calibri" w:cs="Times New Roman"/>
          <w:b/>
          <w:bCs/>
          <w:noProof/>
          <w:szCs w:val="24"/>
        </w:rPr>
        <w:t>124</w:t>
      </w:r>
      <w:r w:rsidRPr="00C156CC">
        <w:rPr>
          <w:rFonts w:ascii="Calibri" w:hAnsi="Calibri" w:cs="Times New Roman"/>
          <w:noProof/>
          <w:szCs w:val="24"/>
        </w:rPr>
        <w:t>, 6856 (2020).</w:t>
      </w:r>
    </w:p>
    <w:p w14:paraId="0382D732" w14:textId="18E4F8AD" w:rsidR="00E23CD5" w:rsidRPr="00E23CD5" w:rsidRDefault="00E23CD5" w:rsidP="00C156CC">
      <w:pPr>
        <w:widowControl w:val="0"/>
        <w:autoSpaceDE w:val="0"/>
        <w:autoSpaceDN w:val="0"/>
        <w:adjustRightInd w:val="0"/>
        <w:spacing w:line="240" w:lineRule="auto"/>
        <w:rPr>
          <w:rFonts w:ascii="Calibri" w:hAnsi="Calibri"/>
          <w:noProof/>
        </w:rPr>
      </w:pPr>
      <w:r>
        <w:rPr>
          <w:rFonts w:ascii="Calibri" w:hAnsi="Calibri" w:cs="Times New Roman"/>
          <w:noProof/>
          <w:szCs w:val="24"/>
          <w:vertAlign w:val="superscript"/>
        </w:rPr>
        <w:t>9</w:t>
      </w:r>
      <w:r w:rsidRPr="00E23CD5">
        <w:t xml:space="preserve"> </w:t>
      </w:r>
      <w:r w:rsidRPr="00E23CD5">
        <w:rPr>
          <w:rFonts w:ascii="Calibri" w:hAnsi="Calibri" w:cs="Times New Roman"/>
          <w:noProof/>
          <w:szCs w:val="24"/>
        </w:rPr>
        <w:t>Gaussian 16, Revision C.01, M. J. Frisch, G. W. Trucks, H. B. Schlegel, G. E. Scuseria, M. A. Robb, J. R. Cheeseman, G. Scalmani, V. Barone, G. A. Petersson, H. Nakatsuji, X. Li, M. Caricato, A. V. Marenich, J. Bloino, B. G. Janesko, R. Gomperts, B. Mennucci, H. P. Hratchian, J. V. Ortiz, A. F. Izmaylov, J. L. Sonnenberg, D. Williams-Young, F. Ding, F. Lipparini, F. Egidi, J. Goings, B. Peng, A. Petrone, T. Henderson, D. Ranasinghe, V. G. Zakrzewski, J. Gao, N. Rega, G. Zheng, W. Liang, M. Hada, M. Ehara, K. Toyota, R. Fukuda, J. Hasegawa, M. Ishida, T. Nakajima, Y. Honda, O. Kitao, H. Nakai, T. Vreven, K. Throssell, J. A. Montgomery, Jr., J. E. Peralta, F. Ogliaro, M. J. Bearpark, J. J. Heyd, E. N. Brothers, K. N. Kudin, V. N. Staroverov, T. A. Keith, R. Kobayashi, J. Normand, K. Raghavachari, A. P. Rendell, J. C. Burant, S. S. Iyengar, J. Tomasi, M. Cossi, J. M. Millam, M. Klene, C. Adamo, R. Cammi, J. W. Ochterski, R. L. Martin, K. Morokuma, O. Farkas, J. B. Foresman, and D. J. Fox, Gaussian, Inc., Wallingford CT, 2016.</w:t>
      </w:r>
    </w:p>
    <w:p w14:paraId="3454E088" w14:textId="4FF2B506" w:rsidR="00C156CC" w:rsidRPr="00C156CC" w:rsidRDefault="00C156CC" w:rsidP="00C156CC">
      <w:r>
        <w:fldChar w:fldCharType="end"/>
      </w:r>
    </w:p>
    <w:sectPr w:rsidR="00C156CC" w:rsidRPr="00C156CC">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34E60" w16cex:dateUtc="2022-03-09T16: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4025C2" w16cid:durableId="25D34E6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5E4"/>
    <w:rsid w:val="00010CE3"/>
    <w:rsid w:val="00013CDF"/>
    <w:rsid w:val="00031F6E"/>
    <w:rsid w:val="00043EBA"/>
    <w:rsid w:val="000836ED"/>
    <w:rsid w:val="00086605"/>
    <w:rsid w:val="000B77AE"/>
    <w:rsid w:val="000E2186"/>
    <w:rsid w:val="00110078"/>
    <w:rsid w:val="00135B91"/>
    <w:rsid w:val="00170D33"/>
    <w:rsid w:val="0018523E"/>
    <w:rsid w:val="001B7DCF"/>
    <w:rsid w:val="001E535B"/>
    <w:rsid w:val="001E779C"/>
    <w:rsid w:val="002259DF"/>
    <w:rsid w:val="00241C67"/>
    <w:rsid w:val="002432B3"/>
    <w:rsid w:val="0029307D"/>
    <w:rsid w:val="002E0FEA"/>
    <w:rsid w:val="003105E4"/>
    <w:rsid w:val="00346E62"/>
    <w:rsid w:val="00371D1F"/>
    <w:rsid w:val="00380DA0"/>
    <w:rsid w:val="003F2458"/>
    <w:rsid w:val="0043406C"/>
    <w:rsid w:val="004701AA"/>
    <w:rsid w:val="004A20A5"/>
    <w:rsid w:val="004C2198"/>
    <w:rsid w:val="005A0CC6"/>
    <w:rsid w:val="005F59D1"/>
    <w:rsid w:val="00647C8A"/>
    <w:rsid w:val="00675B07"/>
    <w:rsid w:val="00775C70"/>
    <w:rsid w:val="007875A8"/>
    <w:rsid w:val="007B3BFD"/>
    <w:rsid w:val="007D6D4B"/>
    <w:rsid w:val="007E09BC"/>
    <w:rsid w:val="00821926"/>
    <w:rsid w:val="0083060E"/>
    <w:rsid w:val="00832256"/>
    <w:rsid w:val="00902034"/>
    <w:rsid w:val="00903623"/>
    <w:rsid w:val="00915A21"/>
    <w:rsid w:val="009261B2"/>
    <w:rsid w:val="009679AE"/>
    <w:rsid w:val="009E49B0"/>
    <w:rsid w:val="00A27A53"/>
    <w:rsid w:val="00A674E5"/>
    <w:rsid w:val="00AA2E84"/>
    <w:rsid w:val="00AB6459"/>
    <w:rsid w:val="00B0782A"/>
    <w:rsid w:val="00B15FA5"/>
    <w:rsid w:val="00B76639"/>
    <w:rsid w:val="00BE06C5"/>
    <w:rsid w:val="00C0014D"/>
    <w:rsid w:val="00C156CC"/>
    <w:rsid w:val="00C258E4"/>
    <w:rsid w:val="00C33D29"/>
    <w:rsid w:val="00C752E8"/>
    <w:rsid w:val="00CA19DF"/>
    <w:rsid w:val="00D11137"/>
    <w:rsid w:val="00D31B09"/>
    <w:rsid w:val="00D45715"/>
    <w:rsid w:val="00D45C90"/>
    <w:rsid w:val="00D56769"/>
    <w:rsid w:val="00D70672"/>
    <w:rsid w:val="00D80056"/>
    <w:rsid w:val="00D96835"/>
    <w:rsid w:val="00DC63E4"/>
    <w:rsid w:val="00DE47C2"/>
    <w:rsid w:val="00E23CD5"/>
    <w:rsid w:val="00E80B8D"/>
    <w:rsid w:val="00F12C84"/>
    <w:rsid w:val="00F70E03"/>
    <w:rsid w:val="00FE5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8FAF8"/>
  <w15:chartTrackingRefBased/>
  <w15:docId w15:val="{C882C97C-DFA5-4301-8A55-051C82D0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05E4"/>
    <w:rPr>
      <w:color w:val="0563C1" w:themeColor="hyperlink"/>
      <w:u w:val="single"/>
    </w:rPr>
  </w:style>
  <w:style w:type="paragraph" w:styleId="Caption">
    <w:name w:val="caption"/>
    <w:basedOn w:val="Normal"/>
    <w:next w:val="Normal"/>
    <w:uiPriority w:val="35"/>
    <w:unhideWhenUsed/>
    <w:qFormat/>
    <w:rsid w:val="003105E4"/>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241C67"/>
    <w:rPr>
      <w:sz w:val="16"/>
      <w:szCs w:val="16"/>
    </w:rPr>
  </w:style>
  <w:style w:type="paragraph" w:styleId="CommentText">
    <w:name w:val="annotation text"/>
    <w:basedOn w:val="Normal"/>
    <w:link w:val="CommentTextChar"/>
    <w:uiPriority w:val="99"/>
    <w:semiHidden/>
    <w:unhideWhenUsed/>
    <w:rsid w:val="00241C67"/>
    <w:pPr>
      <w:spacing w:line="240" w:lineRule="auto"/>
    </w:pPr>
    <w:rPr>
      <w:sz w:val="20"/>
      <w:szCs w:val="20"/>
    </w:rPr>
  </w:style>
  <w:style w:type="character" w:customStyle="1" w:styleId="CommentTextChar">
    <w:name w:val="Comment Text Char"/>
    <w:basedOn w:val="DefaultParagraphFont"/>
    <w:link w:val="CommentText"/>
    <w:uiPriority w:val="99"/>
    <w:semiHidden/>
    <w:rsid w:val="00241C67"/>
    <w:rPr>
      <w:sz w:val="20"/>
      <w:szCs w:val="20"/>
    </w:rPr>
  </w:style>
  <w:style w:type="paragraph" w:styleId="CommentSubject">
    <w:name w:val="annotation subject"/>
    <w:basedOn w:val="CommentText"/>
    <w:next w:val="CommentText"/>
    <w:link w:val="CommentSubjectChar"/>
    <w:uiPriority w:val="99"/>
    <w:semiHidden/>
    <w:unhideWhenUsed/>
    <w:rsid w:val="00241C67"/>
    <w:rPr>
      <w:b/>
      <w:bCs/>
    </w:rPr>
  </w:style>
  <w:style w:type="character" w:customStyle="1" w:styleId="CommentSubjectChar">
    <w:name w:val="Comment Subject Char"/>
    <w:basedOn w:val="CommentTextChar"/>
    <w:link w:val="CommentSubject"/>
    <w:uiPriority w:val="99"/>
    <w:semiHidden/>
    <w:rsid w:val="00241C67"/>
    <w:rPr>
      <w:b/>
      <w:bCs/>
      <w:sz w:val="20"/>
      <w:szCs w:val="20"/>
    </w:rPr>
  </w:style>
  <w:style w:type="paragraph" w:styleId="BalloonText">
    <w:name w:val="Balloon Text"/>
    <w:basedOn w:val="Normal"/>
    <w:link w:val="BalloonTextChar"/>
    <w:uiPriority w:val="99"/>
    <w:semiHidden/>
    <w:unhideWhenUsed/>
    <w:rsid w:val="00043E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3E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5.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microsoft.com/office/2018/08/relationships/commentsExtensible" Target="commentsExtensible.xml"/><Relationship Id="rId5" Type="http://schemas.openxmlformats.org/officeDocument/2006/relationships/hyperlink" Target="mailto:s.meech@uea.ac.uk" TargetMode="External"/><Relationship Id="rId15" Type="http://schemas.openxmlformats.org/officeDocument/2006/relationships/oleObject" Target="embeddings/oleObject4.bin"/><Relationship Id="rId23" Type="http://schemas.microsoft.com/office/2016/09/relationships/commentsIds" Target="commentsIds.xml"/><Relationship Id="rId10" Type="http://schemas.openxmlformats.org/officeDocument/2006/relationships/oleObject" Target="embeddings/oleObject2.bin"/><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E1DDE-AD6B-4FB8-90C0-822514301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12</Pages>
  <Words>4647</Words>
  <Characters>26493</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University of East Anglia</Company>
  <LinksUpToDate>false</LinksUpToDate>
  <CharactersWithSpaces>31078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Bressan (CHE - Staff)</dc:creator>
  <cp:keywords/>
  <dc:description/>
  <cp:lastModifiedBy>Giovanni Bressan (CHE - Staff)</cp:lastModifiedBy>
  <cp:revision>19</cp:revision>
  <cp:lastPrinted>2021-10-01T16:19:00Z</cp:lastPrinted>
  <dcterms:created xsi:type="dcterms:W3CDTF">2022-03-09T16:04:00Z</dcterms:created>
  <dcterms:modified xsi:type="dcterms:W3CDTF">2022-06-16T10:11:00Z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http://www.zotero.org/styles/royal-society-of-chemistry</vt:lpwstr>
  </property>
  <property fmtid="{D5CDD505-2E9C-101B-9397-08002B2CF9AE}" pid="17" name="Mendeley Recent Style Name 7_1">
    <vt:lpwstr>Royal Society of Chemistry</vt:lpwstr>
  </property>
  <property fmtid="{D5CDD505-2E9C-101B-9397-08002B2CF9AE}" pid="18" name="Mendeley Recent Style Id 8_1">
    <vt:lpwstr>http://www.zotero.org/styles/the-journal-of-chemical-physics</vt:lpwstr>
  </property>
  <property fmtid="{D5CDD505-2E9C-101B-9397-08002B2CF9AE}" pid="19" name="Mendeley Recent Style Name 8_1">
    <vt:lpwstr>The Journal of Chemical Physics</vt:lpwstr>
  </property>
  <property fmtid="{D5CDD505-2E9C-101B-9397-08002B2CF9AE}" pid="20" name="Mendeley Recent Style Id 9_1">
    <vt:lpwstr>http://www.zotero.org/styles/the-journal-of-physical-chemistry-letters</vt:lpwstr>
  </property>
  <property fmtid="{D5CDD505-2E9C-101B-9397-08002B2CF9AE}" pid="21" name="Mendeley Recent Style Name 9_1">
    <vt:lpwstr>The Journal of Physical Chemistry Letters</vt:lpwstr>
  </property>
  <property fmtid="{D5CDD505-2E9C-101B-9397-08002B2CF9AE}" pid="22" name="_AdHocReviewCycleID">
    <vt:i4>1160669978</vt:i4>
  </property>
  <property fmtid="{D5CDD505-2E9C-101B-9397-08002B2CF9AE}" pid="23" name="_NewReviewCycle">
    <vt:lpwstr/>
  </property>
  <property fmtid="{D5CDD505-2E9C-101B-9397-08002B2CF9AE}" pid="24" name="_EmailSubject">
    <vt:lpwstr>large nanorings round two</vt:lpwstr>
  </property>
  <property fmtid="{D5CDD505-2E9C-101B-9397-08002B2CF9AE}" pid="25" name="_AuthorEmail">
    <vt:lpwstr>G.Bressan@uea.ac.uk</vt:lpwstr>
  </property>
  <property fmtid="{D5CDD505-2E9C-101B-9397-08002B2CF9AE}" pid="26" name="_AuthorEmailDisplayName">
    <vt:lpwstr>Giovanni Bressan (CHE - Staff)</vt:lpwstr>
  </property>
  <property fmtid="{D5CDD505-2E9C-101B-9397-08002B2CF9AE}" pid="27" name="_ReviewingToolsShownOnce">
    <vt:lpwstr/>
  </property>
  <property fmtid="{D5CDD505-2E9C-101B-9397-08002B2CF9AE}" pid="28" name="Mendeley Document_1">
    <vt:lpwstr>True</vt:lpwstr>
  </property>
  <property fmtid="{D5CDD505-2E9C-101B-9397-08002B2CF9AE}" pid="29" name="Mendeley Unique User Id_1">
    <vt:lpwstr>dedfd795-dcbc-3300-b382-d1dd99b31849</vt:lpwstr>
  </property>
  <property fmtid="{D5CDD505-2E9C-101B-9397-08002B2CF9AE}" pid="30" name="Mendeley Citation Style_1">
    <vt:lpwstr>http://www.zotero.org/styles/the-journal-of-chemical-physics</vt:lpwstr>
  </property>
</Properties>
</file>