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CD76" w14:textId="2023B28A" w:rsidR="0041393C" w:rsidRDefault="00523FA7" w:rsidP="0012520D">
      <w:pPr>
        <w:rPr>
          <w:rFonts w:asciiTheme="majorHAnsi" w:eastAsia="Times New Roman" w:hAnsiTheme="majorHAnsi" w:cstheme="majorHAnsi"/>
          <w:b/>
          <w:bCs/>
        </w:rPr>
      </w:pPr>
      <w:r w:rsidRPr="00523FA7">
        <w:rPr>
          <w:rFonts w:asciiTheme="majorHAnsi" w:eastAsia="Times New Roman" w:hAnsiTheme="majorHAnsi" w:cstheme="majorHAnsi"/>
          <w:b/>
          <w:bCs/>
        </w:rPr>
        <w:t>The impact of participatory policy formulation on regulatory legitimacy: the case of Great Britain’s Office of Gas and Electricity Markets (Ofgem)</w:t>
      </w:r>
    </w:p>
    <w:p w14:paraId="14852CCE" w14:textId="77777777" w:rsidR="00523FA7" w:rsidRDefault="00523FA7" w:rsidP="0012520D">
      <w:pPr>
        <w:rPr>
          <w:rFonts w:asciiTheme="majorHAnsi" w:eastAsiaTheme="majorEastAsia" w:hAnsiTheme="majorHAnsi" w:cstheme="majorHAnsi"/>
          <w:b/>
        </w:rPr>
      </w:pPr>
    </w:p>
    <w:p w14:paraId="27D2C02B" w14:textId="73480961" w:rsidR="00871429" w:rsidRDefault="0041393C" w:rsidP="00E04D82">
      <w:pPr>
        <w:rPr>
          <w:rFonts w:asciiTheme="majorHAnsi" w:hAnsiTheme="majorHAnsi" w:cstheme="majorHAnsi"/>
        </w:rPr>
      </w:pPr>
      <w:r w:rsidRPr="0041393C">
        <w:rPr>
          <w:rFonts w:asciiTheme="majorHAnsi" w:eastAsiaTheme="majorEastAsia" w:hAnsiTheme="majorHAnsi" w:cstheme="majorHAnsi"/>
          <w:bCs/>
        </w:rPr>
        <w:t>T</w:t>
      </w:r>
      <w:r w:rsidR="00456D11">
        <w:rPr>
          <w:rFonts w:asciiTheme="majorHAnsi" w:eastAsia="Times New Roman" w:hAnsiTheme="majorHAnsi" w:cstheme="majorHAnsi"/>
        </w:rPr>
        <w:t xml:space="preserve">he legitimacy of regulators </w:t>
      </w:r>
      <w:r w:rsidR="00456D11" w:rsidRPr="00CF50AC">
        <w:rPr>
          <w:rFonts w:asciiTheme="majorHAnsi" w:eastAsia="SimSun" w:hAnsiTheme="majorHAnsi" w:cstheme="majorHAnsi"/>
        </w:rPr>
        <w:t>(</w:t>
      </w:r>
      <w:r w:rsidR="00456D11" w:rsidRPr="00CF50AC">
        <w:rPr>
          <w:rFonts w:asciiTheme="majorHAnsi" w:hAnsiTheme="majorHAnsi" w:cstheme="majorHAnsi"/>
        </w:rPr>
        <w:t>Baldwin et al</w:t>
      </w:r>
      <w:r w:rsidR="00456D11">
        <w:rPr>
          <w:rFonts w:asciiTheme="majorHAnsi" w:hAnsiTheme="majorHAnsi" w:cstheme="majorHAnsi"/>
        </w:rPr>
        <w:t>,</w:t>
      </w:r>
      <w:r w:rsidR="00456D11" w:rsidRPr="00CF50AC">
        <w:rPr>
          <w:rFonts w:asciiTheme="majorHAnsi" w:hAnsiTheme="majorHAnsi" w:cstheme="majorHAnsi"/>
        </w:rPr>
        <w:t xml:space="preserve"> 2012) requires</w:t>
      </w:r>
      <w:r w:rsidR="00456D11">
        <w:rPr>
          <w:rFonts w:asciiTheme="majorHAnsi" w:hAnsiTheme="majorHAnsi" w:cstheme="majorHAnsi"/>
        </w:rPr>
        <w:t xml:space="preserve"> </w:t>
      </w:r>
      <w:r w:rsidR="00456D11" w:rsidRPr="00CF50AC">
        <w:rPr>
          <w:rFonts w:asciiTheme="majorHAnsi" w:hAnsiTheme="majorHAnsi" w:cstheme="majorHAnsi"/>
        </w:rPr>
        <w:t xml:space="preserve">procedures </w:t>
      </w:r>
      <w:r w:rsidR="00456D11">
        <w:rPr>
          <w:rFonts w:asciiTheme="majorHAnsi" w:hAnsiTheme="majorHAnsi" w:cstheme="majorHAnsi"/>
        </w:rPr>
        <w:t xml:space="preserve">that </w:t>
      </w:r>
      <w:r w:rsidR="00456D11" w:rsidRPr="00CF50AC">
        <w:rPr>
          <w:rFonts w:asciiTheme="majorHAnsi" w:hAnsiTheme="majorHAnsi" w:cstheme="majorHAnsi"/>
        </w:rPr>
        <w:t>are sufficiently fair, accessible and open to expose regulator</w:t>
      </w:r>
      <w:r w:rsidR="00E0702A">
        <w:rPr>
          <w:rFonts w:asciiTheme="majorHAnsi" w:hAnsiTheme="majorHAnsi" w:cstheme="majorHAnsi"/>
        </w:rPr>
        <w:t>s</w:t>
      </w:r>
      <w:r w:rsidR="00456D11" w:rsidRPr="00CF50AC">
        <w:rPr>
          <w:rFonts w:asciiTheme="majorHAnsi" w:hAnsiTheme="majorHAnsi" w:cstheme="majorHAnsi"/>
        </w:rPr>
        <w:t xml:space="preserve"> to democratic influence</w:t>
      </w:r>
      <w:r>
        <w:rPr>
          <w:rFonts w:asciiTheme="majorHAnsi" w:hAnsiTheme="majorHAnsi" w:cstheme="majorHAnsi"/>
        </w:rPr>
        <w:t xml:space="preserve">. But how far does movement by regulators towards wider stakeholder engagement, and responsiveness to public and political concerns (Braun and </w:t>
      </w:r>
      <w:r w:rsidRPr="00F424D1">
        <w:rPr>
          <w:rFonts w:asciiTheme="majorHAnsi" w:hAnsiTheme="majorHAnsi" w:cstheme="majorHAnsi"/>
        </w:rPr>
        <w:t>Busuioc</w:t>
      </w:r>
      <w:r>
        <w:rPr>
          <w:rFonts w:asciiTheme="majorHAnsi" w:hAnsiTheme="majorHAnsi" w:cstheme="majorHAnsi"/>
        </w:rPr>
        <w:t>, 2020; Haber and Heims, 2020</w:t>
      </w:r>
      <w:r w:rsidR="00944460">
        <w:rPr>
          <w:rFonts w:asciiTheme="majorHAnsi" w:hAnsiTheme="majorHAnsi" w:cstheme="majorHAnsi"/>
        </w:rPr>
        <w:t>; Koop and Lodge, 2020</w:t>
      </w:r>
      <w:r>
        <w:rPr>
          <w:rFonts w:asciiTheme="majorHAnsi" w:hAnsiTheme="majorHAnsi" w:cstheme="majorHAnsi"/>
        </w:rPr>
        <w:t>) actually</w:t>
      </w:r>
      <w:r w:rsidR="00456D11">
        <w:rPr>
          <w:rFonts w:asciiTheme="majorHAnsi" w:hAnsiTheme="majorHAnsi" w:cstheme="majorHAnsi"/>
        </w:rPr>
        <w:t xml:space="preserve"> enhance legitimacy</w:t>
      </w:r>
      <w:r w:rsidR="00BB023F">
        <w:rPr>
          <w:rFonts w:asciiTheme="majorHAnsi" w:hAnsiTheme="majorHAnsi" w:cstheme="majorHAnsi"/>
        </w:rPr>
        <w:t xml:space="preserve">? </w:t>
      </w:r>
      <w:r w:rsidR="00E0702A">
        <w:rPr>
          <w:rFonts w:asciiTheme="majorHAnsi" w:hAnsiTheme="majorHAnsi" w:cstheme="majorHAnsi"/>
        </w:rPr>
        <w:t>This is a surprisingly under-researched area</w:t>
      </w:r>
      <w:r w:rsidR="003145E8">
        <w:rPr>
          <w:rFonts w:asciiTheme="majorHAnsi" w:hAnsiTheme="majorHAnsi" w:cstheme="majorHAnsi"/>
        </w:rPr>
        <w:t>, notwithstanding recent studies</w:t>
      </w:r>
      <w:r w:rsidR="003145E8" w:rsidRPr="00CF50AC">
        <w:rPr>
          <w:rFonts w:asciiTheme="majorHAnsi" w:hAnsiTheme="majorHAnsi" w:cstheme="majorHAnsi"/>
        </w:rPr>
        <w:t xml:space="preserve"> explor</w:t>
      </w:r>
      <w:r w:rsidR="003145E8">
        <w:rPr>
          <w:rFonts w:asciiTheme="majorHAnsi" w:hAnsiTheme="majorHAnsi" w:cstheme="majorHAnsi"/>
        </w:rPr>
        <w:t>ing</w:t>
      </w:r>
      <w:r w:rsidR="003145E8" w:rsidRPr="00CF50AC">
        <w:rPr>
          <w:rFonts w:asciiTheme="majorHAnsi" w:hAnsiTheme="majorHAnsi" w:cstheme="majorHAnsi"/>
        </w:rPr>
        <w:t xml:space="preserve"> how </w:t>
      </w:r>
      <w:r w:rsidR="00EF38A6">
        <w:rPr>
          <w:rFonts w:asciiTheme="majorHAnsi" w:hAnsiTheme="majorHAnsi" w:cstheme="majorHAnsi"/>
        </w:rPr>
        <w:t>stakeholders</w:t>
      </w:r>
      <w:r w:rsidR="003145E8" w:rsidRPr="00CF50AC">
        <w:rPr>
          <w:rFonts w:asciiTheme="majorHAnsi" w:hAnsiTheme="majorHAnsi" w:cstheme="majorHAnsi"/>
        </w:rPr>
        <w:t xml:space="preserve"> might engage </w:t>
      </w:r>
      <w:r w:rsidR="003145E8" w:rsidRPr="002A53E6">
        <w:rPr>
          <w:rFonts w:asciiTheme="majorHAnsi" w:hAnsiTheme="majorHAnsi" w:cstheme="majorHAnsi"/>
        </w:rPr>
        <w:t xml:space="preserve">with economic regulators, </w:t>
      </w:r>
      <w:r w:rsidR="003145E8">
        <w:rPr>
          <w:rFonts w:asciiTheme="majorHAnsi" w:hAnsiTheme="majorHAnsi" w:cstheme="majorHAnsi"/>
        </w:rPr>
        <w:t>both</w:t>
      </w:r>
      <w:r w:rsidR="003145E8" w:rsidRPr="002A53E6">
        <w:rPr>
          <w:rFonts w:asciiTheme="majorHAnsi" w:hAnsiTheme="majorHAnsi" w:cstheme="majorHAnsi"/>
        </w:rPr>
        <w:t xml:space="preserve"> opportunities to engage in existing procedures</w:t>
      </w:r>
      <w:r w:rsidR="003145E8">
        <w:rPr>
          <w:rFonts w:asciiTheme="majorHAnsi" w:hAnsiTheme="majorHAnsi" w:cstheme="majorHAnsi"/>
        </w:rPr>
        <w:t xml:space="preserve"> and their effectiveness </w:t>
      </w:r>
      <w:r w:rsidR="00723EF0">
        <w:rPr>
          <w:rFonts w:asciiTheme="majorHAnsi" w:hAnsiTheme="majorHAnsi" w:cstheme="majorHAnsi"/>
        </w:rPr>
        <w:t>(</w:t>
      </w:r>
      <w:r w:rsidR="00344F40">
        <w:rPr>
          <w:rFonts w:asciiTheme="majorHAnsi" w:hAnsiTheme="majorHAnsi" w:cstheme="majorHAnsi"/>
        </w:rPr>
        <w:t xml:space="preserve">Haber and Heims, 2016; Heims and Lodge, 2018; </w:t>
      </w:r>
      <w:r w:rsidR="00723EF0">
        <w:rPr>
          <w:rFonts w:asciiTheme="majorHAnsi" w:hAnsiTheme="majorHAnsi" w:cstheme="majorHAnsi"/>
        </w:rPr>
        <w:t xml:space="preserve">Braun and </w:t>
      </w:r>
      <w:r w:rsidR="00723EF0" w:rsidRPr="00F424D1">
        <w:rPr>
          <w:rFonts w:asciiTheme="majorHAnsi" w:hAnsiTheme="majorHAnsi" w:cstheme="majorHAnsi"/>
        </w:rPr>
        <w:t>Busuioc</w:t>
      </w:r>
      <w:r w:rsidR="00723EF0">
        <w:rPr>
          <w:rFonts w:asciiTheme="majorHAnsi" w:hAnsiTheme="majorHAnsi" w:cstheme="majorHAnsi"/>
        </w:rPr>
        <w:t>, 2020; Haber and Heims, 2020; Koop and Lodge, 2020</w:t>
      </w:r>
      <w:r w:rsidR="003145E8">
        <w:rPr>
          <w:rFonts w:asciiTheme="majorHAnsi" w:hAnsiTheme="majorHAnsi" w:cstheme="majorHAnsi"/>
        </w:rPr>
        <w:t xml:space="preserve">). </w:t>
      </w:r>
      <w:r w:rsidR="00BB6905">
        <w:rPr>
          <w:rFonts w:asciiTheme="majorHAnsi" w:hAnsiTheme="majorHAnsi" w:cstheme="majorHAnsi"/>
        </w:rPr>
        <w:t xml:space="preserve">While </w:t>
      </w:r>
      <w:r w:rsidR="005D7C15">
        <w:rPr>
          <w:rFonts w:asciiTheme="majorHAnsi" w:hAnsiTheme="majorHAnsi" w:cstheme="majorHAnsi"/>
        </w:rPr>
        <w:t xml:space="preserve">some </w:t>
      </w:r>
      <w:r w:rsidR="00BB6905">
        <w:rPr>
          <w:rFonts w:asciiTheme="majorHAnsi" w:hAnsiTheme="majorHAnsi" w:cstheme="majorHAnsi"/>
        </w:rPr>
        <w:t xml:space="preserve">studies have focussed on </w:t>
      </w:r>
      <w:r w:rsidR="005D7C15">
        <w:rPr>
          <w:rFonts w:asciiTheme="majorHAnsi" w:hAnsiTheme="majorHAnsi" w:cstheme="majorHAnsi"/>
        </w:rPr>
        <w:t>cross-</w:t>
      </w:r>
      <w:r w:rsidR="00BB6905">
        <w:rPr>
          <w:rFonts w:asciiTheme="majorHAnsi" w:hAnsiTheme="majorHAnsi" w:cstheme="majorHAnsi"/>
        </w:rPr>
        <w:t>national</w:t>
      </w:r>
      <w:r w:rsidR="005D7C15">
        <w:rPr>
          <w:rFonts w:asciiTheme="majorHAnsi" w:hAnsiTheme="majorHAnsi" w:cstheme="majorHAnsi"/>
        </w:rPr>
        <w:t>, cross-sectoral comparison, t</w:t>
      </w:r>
      <w:r w:rsidR="00743DEC">
        <w:rPr>
          <w:rFonts w:asciiTheme="majorHAnsi" w:hAnsiTheme="majorHAnsi" w:cstheme="majorHAnsi"/>
        </w:rPr>
        <w:t xml:space="preserve">his paper explores </w:t>
      </w:r>
      <w:r w:rsidR="003145E8">
        <w:rPr>
          <w:rFonts w:asciiTheme="majorHAnsi" w:hAnsiTheme="majorHAnsi" w:cstheme="majorHAnsi"/>
        </w:rPr>
        <w:t xml:space="preserve">how </w:t>
      </w:r>
      <w:r w:rsidR="00BB6905">
        <w:rPr>
          <w:rFonts w:asciiTheme="majorHAnsi" w:hAnsiTheme="majorHAnsi" w:cstheme="majorHAnsi"/>
        </w:rPr>
        <w:t>such</w:t>
      </w:r>
      <w:r w:rsidR="00743DEC" w:rsidRPr="002A53E6">
        <w:rPr>
          <w:rFonts w:asciiTheme="majorHAnsi" w:hAnsiTheme="majorHAnsi" w:cstheme="majorHAnsi"/>
        </w:rPr>
        <w:t xml:space="preserve"> procedures </w:t>
      </w:r>
      <w:r w:rsidR="003145E8">
        <w:rPr>
          <w:rFonts w:asciiTheme="majorHAnsi" w:hAnsiTheme="majorHAnsi" w:cstheme="majorHAnsi"/>
        </w:rPr>
        <w:t>operate in practice</w:t>
      </w:r>
      <w:r w:rsidR="00BB6905">
        <w:rPr>
          <w:rFonts w:asciiTheme="majorHAnsi" w:hAnsiTheme="majorHAnsi" w:cstheme="majorHAnsi"/>
        </w:rPr>
        <w:t xml:space="preserve"> </w:t>
      </w:r>
      <w:r w:rsidR="00BC523C">
        <w:rPr>
          <w:rFonts w:asciiTheme="majorHAnsi" w:hAnsiTheme="majorHAnsi" w:cstheme="majorHAnsi"/>
        </w:rPr>
        <w:t>through</w:t>
      </w:r>
      <w:r w:rsidR="00BB6905">
        <w:rPr>
          <w:rFonts w:asciiTheme="majorHAnsi" w:hAnsiTheme="majorHAnsi" w:cstheme="majorHAnsi"/>
        </w:rPr>
        <w:t xml:space="preserve"> a detailed case study</w:t>
      </w:r>
      <w:r w:rsidR="00743DEC" w:rsidRPr="002A53E6">
        <w:rPr>
          <w:rFonts w:asciiTheme="majorHAnsi" w:hAnsiTheme="majorHAnsi" w:cstheme="majorHAnsi"/>
        </w:rPr>
        <w:t xml:space="preserve">. </w:t>
      </w:r>
      <w:r w:rsidR="0040282F">
        <w:rPr>
          <w:rFonts w:asciiTheme="majorHAnsi" w:hAnsiTheme="majorHAnsi" w:cstheme="majorHAnsi"/>
        </w:rPr>
        <w:t>It examin</w:t>
      </w:r>
      <w:r w:rsidR="00BB6905">
        <w:rPr>
          <w:rFonts w:asciiTheme="majorHAnsi" w:hAnsiTheme="majorHAnsi" w:cstheme="majorHAnsi"/>
        </w:rPr>
        <w:t>es</w:t>
      </w:r>
      <w:r w:rsidR="00903894">
        <w:rPr>
          <w:rFonts w:asciiTheme="majorHAnsi" w:hAnsiTheme="majorHAnsi" w:cstheme="majorHAnsi"/>
        </w:rPr>
        <w:t xml:space="preserve"> how </w:t>
      </w:r>
      <w:r w:rsidR="00903894" w:rsidRPr="00405974">
        <w:rPr>
          <w:rFonts w:asciiTheme="majorHAnsi" w:hAnsiTheme="majorHAnsi" w:cstheme="majorHAnsi"/>
        </w:rPr>
        <w:t xml:space="preserve">knowledge and evidence - and ways of gathering these – </w:t>
      </w:r>
      <w:r w:rsidR="0040282F">
        <w:rPr>
          <w:rFonts w:asciiTheme="majorHAnsi" w:hAnsiTheme="majorHAnsi" w:cstheme="majorHAnsi"/>
        </w:rPr>
        <w:t xml:space="preserve">have been </w:t>
      </w:r>
      <w:r w:rsidR="00903894" w:rsidRPr="00405974">
        <w:rPr>
          <w:rFonts w:asciiTheme="majorHAnsi" w:hAnsiTheme="majorHAnsi" w:cstheme="majorHAnsi"/>
        </w:rPr>
        <w:t xml:space="preserve">employed in </w:t>
      </w:r>
      <w:r w:rsidR="00E04D82">
        <w:rPr>
          <w:rFonts w:asciiTheme="majorHAnsi" w:hAnsiTheme="majorHAnsi" w:cstheme="majorHAnsi"/>
        </w:rPr>
        <w:t xml:space="preserve">the case of </w:t>
      </w:r>
      <w:r w:rsidR="00903894" w:rsidRPr="00405974">
        <w:rPr>
          <w:rFonts w:asciiTheme="majorHAnsi" w:hAnsiTheme="majorHAnsi" w:cstheme="majorHAnsi"/>
        </w:rPr>
        <w:t xml:space="preserve">energy </w:t>
      </w:r>
      <w:r w:rsidR="00903894" w:rsidRPr="00743DEC">
        <w:rPr>
          <w:rFonts w:asciiTheme="majorHAnsi" w:hAnsiTheme="majorHAnsi" w:cstheme="majorHAnsi"/>
        </w:rPr>
        <w:t xml:space="preserve">markets policy formulation in Great Britain. </w:t>
      </w:r>
    </w:p>
    <w:p w14:paraId="431F6ECC" w14:textId="7E781D0C" w:rsidR="00E04D82" w:rsidRPr="00CF50AC" w:rsidRDefault="005B2697" w:rsidP="00871429">
      <w:pPr>
        <w:ind w:firstLine="720"/>
        <w:rPr>
          <w:rFonts w:asciiTheme="majorHAnsi" w:eastAsia="Times New Roman" w:hAnsiTheme="majorHAnsi" w:cstheme="majorHAnsi"/>
        </w:rPr>
      </w:pPr>
      <w:r>
        <w:rPr>
          <w:rFonts w:asciiTheme="majorHAnsi" w:hAnsiTheme="majorHAnsi" w:cstheme="majorHAnsi"/>
        </w:rPr>
        <w:t>This</w:t>
      </w:r>
      <w:r w:rsidR="00E04D82">
        <w:rPr>
          <w:rFonts w:asciiTheme="majorHAnsi" w:hAnsiTheme="majorHAnsi" w:cstheme="majorHAnsi"/>
        </w:rPr>
        <w:t xml:space="preserve"> provides a</w:t>
      </w:r>
      <w:r w:rsidR="000F1309">
        <w:rPr>
          <w:rFonts w:asciiTheme="majorHAnsi" w:hAnsiTheme="majorHAnsi" w:cstheme="majorHAnsi"/>
        </w:rPr>
        <w:t xml:space="preserve"> pertinent</w:t>
      </w:r>
      <w:r w:rsidR="00E04D82">
        <w:rPr>
          <w:rFonts w:asciiTheme="majorHAnsi" w:hAnsiTheme="majorHAnsi" w:cstheme="majorHAnsi"/>
        </w:rPr>
        <w:t xml:space="preserve"> case. </w:t>
      </w:r>
      <w:r w:rsidR="00E04D82" w:rsidRPr="002A53E6">
        <w:rPr>
          <w:rFonts w:asciiTheme="majorHAnsi" w:eastAsia="SimSun" w:hAnsiTheme="majorHAnsi" w:cstheme="majorHAnsi"/>
        </w:rPr>
        <w:t xml:space="preserve">The systems of energy regulation in Great Britain </w:t>
      </w:r>
      <w:r w:rsidR="00E04D82">
        <w:rPr>
          <w:rFonts w:asciiTheme="majorHAnsi" w:eastAsia="SimSun" w:hAnsiTheme="majorHAnsi" w:cstheme="majorHAnsi"/>
        </w:rPr>
        <w:t>were designed to allow</w:t>
      </w:r>
      <w:r w:rsidR="00E04D82" w:rsidRPr="002A53E6">
        <w:rPr>
          <w:rFonts w:asciiTheme="majorHAnsi" w:eastAsia="SimSun" w:hAnsiTheme="majorHAnsi" w:cstheme="majorHAnsi"/>
        </w:rPr>
        <w:t xml:space="preserve"> competitive markets </w:t>
      </w:r>
      <w:r w:rsidR="00E04D82">
        <w:rPr>
          <w:rFonts w:asciiTheme="majorHAnsi" w:eastAsia="SimSun" w:hAnsiTheme="majorHAnsi" w:cstheme="majorHAnsi"/>
        </w:rPr>
        <w:t xml:space="preserve">that </w:t>
      </w:r>
      <w:r w:rsidR="00E04D82" w:rsidRPr="002A53E6">
        <w:rPr>
          <w:rFonts w:asciiTheme="majorHAnsi" w:eastAsia="SimSun" w:hAnsiTheme="majorHAnsi" w:cstheme="majorHAnsi"/>
        </w:rPr>
        <w:t xml:space="preserve">would result in </w:t>
      </w:r>
      <w:r w:rsidR="00E04D82">
        <w:rPr>
          <w:rFonts w:asciiTheme="majorHAnsi" w:eastAsia="SimSun" w:hAnsiTheme="majorHAnsi" w:cstheme="majorHAnsi"/>
        </w:rPr>
        <w:t xml:space="preserve">lower </w:t>
      </w:r>
      <w:r w:rsidR="00E04D82" w:rsidRPr="002A53E6">
        <w:rPr>
          <w:rFonts w:asciiTheme="majorHAnsi" w:eastAsia="SimSun" w:hAnsiTheme="majorHAnsi" w:cstheme="majorHAnsi"/>
        </w:rPr>
        <w:t xml:space="preserve">energy prices, while maintaining investment in the </w:t>
      </w:r>
      <w:r w:rsidR="00E04D82" w:rsidRPr="00CF50AC">
        <w:rPr>
          <w:rFonts w:asciiTheme="majorHAnsi" w:eastAsia="SimSun" w:hAnsiTheme="majorHAnsi" w:cstheme="majorHAnsi"/>
        </w:rPr>
        <w:t>energy system from private firms</w:t>
      </w:r>
      <w:r w:rsidR="00E04D82">
        <w:rPr>
          <w:rFonts w:asciiTheme="majorHAnsi" w:eastAsia="SimSun" w:hAnsiTheme="majorHAnsi" w:cstheme="majorHAnsi"/>
        </w:rPr>
        <w:t xml:space="preserve"> (Helm, 2004; Ogus 2004)</w:t>
      </w:r>
      <w:r w:rsidR="00E04D82" w:rsidRPr="00CF50AC">
        <w:rPr>
          <w:rFonts w:asciiTheme="majorHAnsi" w:eastAsia="SimSun" w:hAnsiTheme="majorHAnsi" w:cstheme="majorHAnsi"/>
        </w:rPr>
        <w:t xml:space="preserve">. Within this governance structure, policies influencing energy prices </w:t>
      </w:r>
      <w:r w:rsidR="00E04D82" w:rsidRPr="00CF50AC">
        <w:rPr>
          <w:rFonts w:asciiTheme="majorHAnsi" w:hAnsiTheme="majorHAnsi" w:cstheme="majorHAnsi"/>
          <w:bCs/>
        </w:rPr>
        <w:t>have been largely delegated from elected representatives to a market regulator</w:t>
      </w:r>
      <w:r w:rsidR="00E04D82">
        <w:rPr>
          <w:rFonts w:asciiTheme="majorHAnsi" w:hAnsiTheme="majorHAnsi" w:cstheme="majorHAnsi"/>
          <w:bCs/>
        </w:rPr>
        <w:t xml:space="preserve"> </w:t>
      </w:r>
      <w:r w:rsidR="00E04D82" w:rsidRPr="00CF50AC">
        <w:rPr>
          <w:rFonts w:asciiTheme="majorHAnsi" w:hAnsiTheme="majorHAnsi" w:cstheme="majorHAnsi"/>
          <w:bCs/>
        </w:rPr>
        <w:t>(Robinson 2002</w:t>
      </w:r>
      <w:r w:rsidR="00E04D82">
        <w:rPr>
          <w:rFonts w:asciiTheme="majorHAnsi" w:hAnsiTheme="majorHAnsi" w:cstheme="majorHAnsi"/>
          <w:bCs/>
        </w:rPr>
        <w:t xml:space="preserve">; </w:t>
      </w:r>
      <w:r w:rsidR="00E04D82" w:rsidRPr="00CF50AC">
        <w:rPr>
          <w:rFonts w:asciiTheme="majorHAnsi" w:hAnsiTheme="majorHAnsi" w:cstheme="majorHAnsi"/>
          <w:bCs/>
        </w:rPr>
        <w:t>Helm 2004)</w:t>
      </w:r>
      <w:r w:rsidR="00E04D82" w:rsidRPr="00CF50AC">
        <w:rPr>
          <w:rFonts w:asciiTheme="majorHAnsi" w:eastAsia="SimSun" w:hAnsiTheme="majorHAnsi" w:cstheme="majorHAnsi"/>
        </w:rPr>
        <w:t xml:space="preserve">, </w:t>
      </w:r>
      <w:r w:rsidR="00E04D82" w:rsidRPr="00CF50AC">
        <w:rPr>
          <w:rFonts w:asciiTheme="majorHAnsi" w:hAnsiTheme="majorHAnsi" w:cstheme="majorHAnsi"/>
          <w:bCs/>
        </w:rPr>
        <w:t>the Office of Gas and Electricity Markets (Ofgem</w:t>
      </w:r>
      <w:r w:rsidR="00E04D82" w:rsidRPr="00CF50AC">
        <w:rPr>
          <w:rFonts w:asciiTheme="majorHAnsi" w:eastAsia="SimSun" w:hAnsiTheme="majorHAnsi" w:cstheme="majorHAnsi"/>
        </w:rPr>
        <w:t xml:space="preserve">). </w:t>
      </w:r>
      <w:r w:rsidR="00E04D82" w:rsidRPr="00CF50AC">
        <w:rPr>
          <w:rFonts w:asciiTheme="majorHAnsi" w:eastAsia="Times New Roman" w:hAnsiTheme="majorHAnsi" w:cstheme="majorHAnsi"/>
        </w:rPr>
        <w:t xml:space="preserve">Ofgem was founded in 2000 through the Utilities Act which: </w:t>
      </w:r>
    </w:p>
    <w:p w14:paraId="27EA6579" w14:textId="77777777" w:rsidR="00E04D82" w:rsidRPr="00CF50AC" w:rsidRDefault="00E04D82" w:rsidP="00E04D82">
      <w:pPr>
        <w:rPr>
          <w:rFonts w:asciiTheme="majorHAnsi" w:eastAsia="Times New Roman" w:hAnsiTheme="majorHAnsi" w:cstheme="majorHAnsi"/>
        </w:rPr>
      </w:pPr>
    </w:p>
    <w:p w14:paraId="664392DE" w14:textId="77777777" w:rsidR="00E04D82" w:rsidRPr="00CF50AC" w:rsidRDefault="00E04D82" w:rsidP="00E04D82">
      <w:pPr>
        <w:rPr>
          <w:rFonts w:asciiTheme="majorHAnsi" w:eastAsia="Times New Roman" w:hAnsiTheme="majorHAnsi" w:cstheme="majorHAnsi"/>
          <w:i/>
          <w:iCs/>
        </w:rPr>
      </w:pPr>
      <w:r w:rsidRPr="00CF50AC">
        <w:rPr>
          <w:rFonts w:asciiTheme="majorHAnsi" w:eastAsia="Times New Roman" w:hAnsiTheme="majorHAnsi" w:cstheme="majorHAnsi"/>
          <w:i/>
          <w:iCs/>
        </w:rPr>
        <w:t xml:space="preserve">“…updates the regulatory regime for the gas and electricity sectors to take account of and to facilitate further competition.” </w:t>
      </w:r>
    </w:p>
    <w:p w14:paraId="49664C87" w14:textId="77777777" w:rsidR="00E04D82" w:rsidRPr="00CF50AC" w:rsidRDefault="00E04D82" w:rsidP="00E04D82">
      <w:pPr>
        <w:rPr>
          <w:rFonts w:asciiTheme="majorHAnsi" w:eastAsia="Times New Roman" w:hAnsiTheme="majorHAnsi" w:cstheme="majorHAnsi"/>
          <w:i/>
          <w:iCs/>
        </w:rPr>
      </w:pPr>
      <w:r w:rsidRPr="00CF50AC">
        <w:rPr>
          <w:rFonts w:asciiTheme="majorHAnsi" w:eastAsia="Times New Roman" w:hAnsiTheme="majorHAnsi" w:cstheme="majorHAnsi"/>
          <w:i/>
          <w:iCs/>
        </w:rPr>
        <w:t>Utilities Act 2000 Explanatory Notes C2.7 (The National Archive</w:t>
      </w:r>
      <w:r>
        <w:rPr>
          <w:rFonts w:asciiTheme="majorHAnsi" w:eastAsia="Times New Roman" w:hAnsiTheme="majorHAnsi" w:cstheme="majorHAnsi"/>
          <w:i/>
          <w:iCs/>
        </w:rPr>
        <w:t>,</w:t>
      </w:r>
      <w:r w:rsidRPr="00CF50AC">
        <w:rPr>
          <w:rFonts w:asciiTheme="majorHAnsi" w:eastAsia="Times New Roman" w:hAnsiTheme="majorHAnsi" w:cstheme="majorHAnsi"/>
          <w:i/>
          <w:iCs/>
        </w:rPr>
        <w:t xml:space="preserve"> 2000)</w:t>
      </w:r>
    </w:p>
    <w:p w14:paraId="7492B6E0" w14:textId="77777777" w:rsidR="00E04D82" w:rsidRPr="00CF50AC" w:rsidRDefault="00E04D82" w:rsidP="00E04D82">
      <w:pPr>
        <w:rPr>
          <w:rFonts w:asciiTheme="majorHAnsi" w:eastAsia="Times New Roman" w:hAnsiTheme="majorHAnsi" w:cstheme="majorHAnsi"/>
        </w:rPr>
      </w:pPr>
    </w:p>
    <w:p w14:paraId="3B7E956E" w14:textId="299AED9D" w:rsidR="00E04D82" w:rsidRDefault="00E04D82" w:rsidP="00E04D82">
      <w:pPr>
        <w:rPr>
          <w:rFonts w:asciiTheme="majorHAnsi" w:eastAsia="Times New Roman" w:hAnsiTheme="majorHAnsi" w:cstheme="majorHAnsi"/>
        </w:rPr>
      </w:pPr>
      <w:r w:rsidRPr="00CF50AC">
        <w:rPr>
          <w:rFonts w:asciiTheme="majorHAnsi" w:eastAsia="Times New Roman" w:hAnsiTheme="majorHAnsi" w:cstheme="majorHAnsi"/>
        </w:rPr>
        <w:t>Ofgem has set</w:t>
      </w:r>
      <w:r>
        <w:rPr>
          <w:rFonts w:asciiTheme="majorHAnsi" w:eastAsia="Times New Roman" w:hAnsiTheme="majorHAnsi" w:cstheme="majorHAnsi"/>
        </w:rPr>
        <w:t xml:space="preserve"> the rul</w:t>
      </w:r>
      <w:r w:rsidRPr="00CF50AC">
        <w:rPr>
          <w:rFonts w:asciiTheme="majorHAnsi" w:eastAsia="Times New Roman" w:hAnsiTheme="majorHAnsi" w:cstheme="majorHAnsi"/>
        </w:rPr>
        <w:t xml:space="preserve">es </w:t>
      </w:r>
      <w:r>
        <w:rPr>
          <w:rFonts w:asciiTheme="majorHAnsi" w:eastAsia="Times New Roman" w:hAnsiTheme="majorHAnsi" w:cstheme="majorHAnsi"/>
        </w:rPr>
        <w:t>on</w:t>
      </w:r>
      <w:r w:rsidRPr="00CF50AC">
        <w:rPr>
          <w:rFonts w:asciiTheme="majorHAnsi" w:eastAsia="Times New Roman" w:hAnsiTheme="majorHAnsi" w:cstheme="majorHAnsi"/>
        </w:rPr>
        <w:t xml:space="preserve"> how energy market participants interact</w:t>
      </w:r>
      <w:r>
        <w:rPr>
          <w:rFonts w:asciiTheme="majorHAnsi" w:eastAsia="Times New Roman" w:hAnsiTheme="majorHAnsi" w:cstheme="majorHAnsi"/>
        </w:rPr>
        <w:t>,</w:t>
      </w:r>
      <w:r w:rsidRPr="00CF50AC">
        <w:rPr>
          <w:rFonts w:asciiTheme="majorHAnsi" w:eastAsia="Times New Roman" w:hAnsiTheme="majorHAnsi" w:cstheme="majorHAnsi"/>
        </w:rPr>
        <w:t xml:space="preserve"> and the limits on their behaviour (Department </w:t>
      </w:r>
      <w:r>
        <w:rPr>
          <w:rFonts w:asciiTheme="majorHAnsi" w:eastAsia="Times New Roman" w:hAnsiTheme="majorHAnsi" w:cstheme="majorHAnsi"/>
        </w:rPr>
        <w:t>for</w:t>
      </w:r>
      <w:r w:rsidRPr="00CF50AC">
        <w:rPr>
          <w:rFonts w:asciiTheme="majorHAnsi" w:eastAsia="Times New Roman" w:hAnsiTheme="majorHAnsi" w:cstheme="majorHAnsi"/>
        </w:rPr>
        <w:t xml:space="preserve"> Business, Innovation and Skills 2011; Ofgem 2016</w:t>
      </w:r>
      <w:r>
        <w:rPr>
          <w:rFonts w:asciiTheme="majorHAnsi" w:eastAsia="Times New Roman" w:hAnsiTheme="majorHAnsi" w:cstheme="majorHAnsi"/>
        </w:rPr>
        <w:t>e</w:t>
      </w:r>
      <w:r w:rsidRPr="00CF50AC">
        <w:rPr>
          <w:rFonts w:asciiTheme="majorHAnsi" w:eastAsia="Times New Roman" w:hAnsiTheme="majorHAnsi" w:cstheme="majorHAnsi"/>
        </w:rPr>
        <w:t xml:space="preserve">). </w:t>
      </w:r>
    </w:p>
    <w:p w14:paraId="18C2D5D7" w14:textId="77777777" w:rsidR="0022045E" w:rsidRDefault="008005F7" w:rsidP="008E6DCF">
      <w:pPr>
        <w:ind w:firstLine="720"/>
        <w:rPr>
          <w:rFonts w:asciiTheme="majorHAnsi" w:hAnsiTheme="majorHAnsi" w:cstheme="majorHAnsi"/>
        </w:rPr>
      </w:pPr>
      <w:r>
        <w:rPr>
          <w:rFonts w:asciiTheme="majorHAnsi" w:hAnsiTheme="majorHAnsi" w:cstheme="majorHAnsi"/>
        </w:rPr>
        <w:t>Our</w:t>
      </w:r>
      <w:r w:rsidR="00A95FB3">
        <w:rPr>
          <w:rFonts w:asciiTheme="majorHAnsi" w:hAnsiTheme="majorHAnsi" w:cstheme="majorHAnsi"/>
        </w:rPr>
        <w:t xml:space="preserve"> way in is by examining specific types of </w:t>
      </w:r>
      <w:r w:rsidR="00A95FB3" w:rsidRPr="007F4860">
        <w:rPr>
          <w:rFonts w:asciiTheme="majorHAnsi" w:hAnsiTheme="majorHAnsi" w:cstheme="majorHAnsi"/>
          <w:i/>
          <w:iCs/>
        </w:rPr>
        <w:t>policy tools</w:t>
      </w:r>
      <w:r w:rsidR="00A95FB3">
        <w:rPr>
          <w:rFonts w:asciiTheme="majorHAnsi" w:hAnsiTheme="majorHAnsi" w:cstheme="majorHAnsi"/>
        </w:rPr>
        <w:t>.</w:t>
      </w:r>
      <w:r w:rsidR="007F4860">
        <w:rPr>
          <w:rFonts w:asciiTheme="majorHAnsi" w:hAnsiTheme="majorHAnsi" w:cstheme="majorHAnsi"/>
        </w:rPr>
        <w:t xml:space="preserve"> Extensive scholarship (e.g. Howlett, 2000; 2011;</w:t>
      </w:r>
      <w:r w:rsidR="00F93289">
        <w:rPr>
          <w:rFonts w:asciiTheme="majorHAnsi" w:hAnsiTheme="majorHAnsi" w:cstheme="majorHAnsi"/>
        </w:rPr>
        <w:t xml:space="preserve"> Jordan and Turnpenny, 2015; Capano and Howlett, 2020; Bali et al, 2021) </w:t>
      </w:r>
      <w:r w:rsidR="000343CA">
        <w:rPr>
          <w:rFonts w:asciiTheme="majorHAnsi" w:hAnsiTheme="majorHAnsi" w:cstheme="majorHAnsi"/>
        </w:rPr>
        <w:t>distinguishes between</w:t>
      </w:r>
      <w:r w:rsidR="00A020AB" w:rsidRPr="00091E52">
        <w:rPr>
          <w:rFonts w:asciiTheme="majorHAnsi" w:hAnsiTheme="majorHAnsi" w:cstheme="majorHAnsi"/>
        </w:rPr>
        <w:t xml:space="preserve"> </w:t>
      </w:r>
      <w:r w:rsidR="00A020AB" w:rsidRPr="000343CA">
        <w:rPr>
          <w:rFonts w:asciiTheme="majorHAnsi" w:hAnsiTheme="majorHAnsi" w:cstheme="majorHAnsi"/>
          <w:i/>
          <w:iCs/>
        </w:rPr>
        <w:t>substantive</w:t>
      </w:r>
      <w:r w:rsidR="00A020AB" w:rsidRPr="00091E52">
        <w:rPr>
          <w:rFonts w:asciiTheme="majorHAnsi" w:hAnsiTheme="majorHAnsi" w:cstheme="majorHAnsi"/>
        </w:rPr>
        <w:t xml:space="preserve"> and </w:t>
      </w:r>
      <w:r w:rsidR="00A020AB" w:rsidRPr="000343CA">
        <w:rPr>
          <w:rFonts w:asciiTheme="majorHAnsi" w:hAnsiTheme="majorHAnsi" w:cstheme="majorHAnsi"/>
          <w:i/>
          <w:iCs/>
        </w:rPr>
        <w:t>procedural</w:t>
      </w:r>
      <w:r w:rsidR="006C3CA6" w:rsidRPr="00091E52">
        <w:rPr>
          <w:rFonts w:asciiTheme="majorHAnsi" w:hAnsiTheme="majorHAnsi" w:cstheme="majorHAnsi"/>
        </w:rPr>
        <w:t xml:space="preserve"> tools</w:t>
      </w:r>
      <w:r w:rsidR="004D044F">
        <w:rPr>
          <w:rFonts w:asciiTheme="majorHAnsi" w:hAnsiTheme="majorHAnsi" w:cstheme="majorHAnsi"/>
        </w:rPr>
        <w:t>. These</w:t>
      </w:r>
      <w:r w:rsidR="0055248D" w:rsidRPr="00091E52">
        <w:rPr>
          <w:rFonts w:asciiTheme="majorHAnsi" w:hAnsiTheme="majorHAnsi" w:cstheme="majorHAnsi"/>
        </w:rPr>
        <w:t xml:space="preserve"> relat</w:t>
      </w:r>
      <w:r w:rsidR="004D044F">
        <w:rPr>
          <w:rFonts w:asciiTheme="majorHAnsi" w:hAnsiTheme="majorHAnsi" w:cstheme="majorHAnsi"/>
        </w:rPr>
        <w:t>e,</w:t>
      </w:r>
      <w:r w:rsidR="0055248D" w:rsidRPr="00091E52">
        <w:rPr>
          <w:rFonts w:asciiTheme="majorHAnsi" w:hAnsiTheme="majorHAnsi" w:cstheme="majorHAnsi"/>
        </w:rPr>
        <w:t xml:space="preserve"> respectively</w:t>
      </w:r>
      <w:r w:rsidR="00B10B0C">
        <w:rPr>
          <w:rFonts w:asciiTheme="majorHAnsi" w:hAnsiTheme="majorHAnsi" w:cstheme="majorHAnsi"/>
        </w:rPr>
        <w:t xml:space="preserve">, </w:t>
      </w:r>
      <w:r w:rsidR="0055248D" w:rsidRPr="00091E52">
        <w:rPr>
          <w:rFonts w:asciiTheme="majorHAnsi" w:hAnsiTheme="majorHAnsi" w:cstheme="majorHAnsi"/>
        </w:rPr>
        <w:t>to "the technical arrangements of alternatives that can potentially resolve the policy problem at hand" and "processes and activities necessary to coordinate the activities of policy actors in charge of formulating, making decisions, and administering the alternatives" (Capano and Howlett, 2020: 9)</w:t>
      </w:r>
      <w:r w:rsidR="008D0F38" w:rsidRPr="00091E52">
        <w:rPr>
          <w:rFonts w:asciiTheme="majorHAnsi" w:hAnsiTheme="majorHAnsi" w:cstheme="majorHAnsi"/>
        </w:rPr>
        <w:t xml:space="preserve">. </w:t>
      </w:r>
      <w:r w:rsidR="005F1A6D" w:rsidRPr="00091E52">
        <w:rPr>
          <w:rFonts w:asciiTheme="majorHAnsi" w:hAnsiTheme="majorHAnsi" w:cstheme="majorHAnsi"/>
        </w:rPr>
        <w:t xml:space="preserve">Procedural tools </w:t>
      </w:r>
      <w:r w:rsidR="008D0F38" w:rsidRPr="00091E52">
        <w:rPr>
          <w:rFonts w:asciiTheme="majorHAnsi" w:hAnsiTheme="majorHAnsi" w:cstheme="majorHAnsi"/>
        </w:rPr>
        <w:t xml:space="preserve">are numerous, and </w:t>
      </w:r>
      <w:r w:rsidR="005F1A6D" w:rsidRPr="00091E52">
        <w:rPr>
          <w:rFonts w:asciiTheme="majorHAnsi" w:hAnsiTheme="majorHAnsi" w:cstheme="majorHAnsi"/>
        </w:rPr>
        <w:t xml:space="preserve">can include committees, assessments, public consultations, targets, </w:t>
      </w:r>
      <w:r w:rsidR="00D66D01" w:rsidRPr="00091E52">
        <w:rPr>
          <w:rFonts w:asciiTheme="majorHAnsi" w:hAnsiTheme="majorHAnsi" w:cstheme="majorHAnsi"/>
        </w:rPr>
        <w:t xml:space="preserve">and </w:t>
      </w:r>
      <w:r w:rsidR="005F1A6D" w:rsidRPr="00091E52">
        <w:rPr>
          <w:rFonts w:asciiTheme="majorHAnsi" w:hAnsiTheme="majorHAnsi" w:cstheme="majorHAnsi"/>
        </w:rPr>
        <w:t>oversight committees</w:t>
      </w:r>
      <w:r w:rsidR="00A35C6B">
        <w:rPr>
          <w:rFonts w:asciiTheme="majorHAnsi" w:hAnsiTheme="majorHAnsi" w:cstheme="majorHAnsi"/>
        </w:rPr>
        <w:t xml:space="preserve">. They </w:t>
      </w:r>
      <w:r w:rsidR="00EB74A5" w:rsidRPr="00091E52">
        <w:rPr>
          <w:rFonts w:asciiTheme="majorHAnsi" w:hAnsiTheme="majorHAnsi" w:cstheme="majorHAnsi"/>
        </w:rPr>
        <w:t>have many purposes including</w:t>
      </w:r>
      <w:r w:rsidR="005F1A6D" w:rsidRPr="00091E52">
        <w:rPr>
          <w:rFonts w:asciiTheme="majorHAnsi" w:hAnsiTheme="majorHAnsi" w:cstheme="majorHAnsi"/>
        </w:rPr>
        <w:t xml:space="preserve"> information-gathering, </w:t>
      </w:r>
      <w:r w:rsidR="00EB74A5" w:rsidRPr="00091E52">
        <w:rPr>
          <w:rFonts w:asciiTheme="majorHAnsi" w:hAnsiTheme="majorHAnsi" w:cstheme="majorHAnsi"/>
        </w:rPr>
        <w:t xml:space="preserve">promoting </w:t>
      </w:r>
      <w:r w:rsidR="005F1A6D" w:rsidRPr="00091E52">
        <w:rPr>
          <w:rFonts w:asciiTheme="majorHAnsi" w:hAnsiTheme="majorHAnsi" w:cstheme="majorHAnsi"/>
        </w:rPr>
        <w:t xml:space="preserve">transparency </w:t>
      </w:r>
      <w:r w:rsidR="00EB74A5" w:rsidRPr="00091E52">
        <w:rPr>
          <w:rFonts w:asciiTheme="majorHAnsi" w:hAnsiTheme="majorHAnsi" w:cstheme="majorHAnsi"/>
        </w:rPr>
        <w:t>or</w:t>
      </w:r>
      <w:r w:rsidR="005F1A6D" w:rsidRPr="00091E52">
        <w:rPr>
          <w:rFonts w:asciiTheme="majorHAnsi" w:hAnsiTheme="majorHAnsi" w:cstheme="majorHAnsi"/>
        </w:rPr>
        <w:t xml:space="preserve"> participation, </w:t>
      </w:r>
      <w:r w:rsidR="003B547E" w:rsidRPr="00091E52">
        <w:rPr>
          <w:rFonts w:asciiTheme="majorHAnsi" w:hAnsiTheme="majorHAnsi" w:cstheme="majorHAnsi"/>
        </w:rPr>
        <w:t>and</w:t>
      </w:r>
      <w:r w:rsidR="00EB74A5" w:rsidRPr="00091E52">
        <w:rPr>
          <w:rFonts w:asciiTheme="majorHAnsi" w:hAnsiTheme="majorHAnsi" w:cstheme="majorHAnsi"/>
        </w:rPr>
        <w:t xml:space="preserve"> enhancing</w:t>
      </w:r>
      <w:r w:rsidR="005F1A6D" w:rsidRPr="00091E52">
        <w:rPr>
          <w:rFonts w:asciiTheme="majorHAnsi" w:hAnsiTheme="majorHAnsi" w:cstheme="majorHAnsi"/>
        </w:rPr>
        <w:t xml:space="preserve"> accountability (</w:t>
      </w:r>
      <w:r w:rsidR="006C0388" w:rsidRPr="00091E52">
        <w:rPr>
          <w:rFonts w:asciiTheme="majorHAnsi" w:hAnsiTheme="majorHAnsi" w:cstheme="majorHAnsi"/>
        </w:rPr>
        <w:t xml:space="preserve">e.g. </w:t>
      </w:r>
      <w:r w:rsidR="005F1A6D" w:rsidRPr="00091E52">
        <w:rPr>
          <w:rFonts w:asciiTheme="majorHAnsi" w:hAnsiTheme="majorHAnsi" w:cstheme="majorHAnsi"/>
        </w:rPr>
        <w:t>Bali et al</w:t>
      </w:r>
      <w:r w:rsidR="00AA25CA">
        <w:rPr>
          <w:rFonts w:asciiTheme="majorHAnsi" w:hAnsiTheme="majorHAnsi" w:cstheme="majorHAnsi"/>
        </w:rPr>
        <w:t>,</w:t>
      </w:r>
      <w:r w:rsidR="005F1A6D" w:rsidRPr="00091E52">
        <w:rPr>
          <w:rFonts w:asciiTheme="majorHAnsi" w:hAnsiTheme="majorHAnsi" w:cstheme="majorHAnsi"/>
        </w:rPr>
        <w:t xml:space="preserve"> 2021)</w:t>
      </w:r>
      <w:r w:rsidR="006D0B0A" w:rsidRPr="00091E52">
        <w:rPr>
          <w:rFonts w:asciiTheme="majorHAnsi" w:hAnsiTheme="majorHAnsi" w:cstheme="majorHAnsi"/>
        </w:rPr>
        <w:t xml:space="preserve">. </w:t>
      </w:r>
      <w:r w:rsidR="005C5584">
        <w:rPr>
          <w:rFonts w:asciiTheme="majorHAnsi" w:hAnsiTheme="majorHAnsi" w:cstheme="majorHAnsi"/>
        </w:rPr>
        <w:t>W</w:t>
      </w:r>
      <w:r w:rsidR="00687FB6" w:rsidRPr="00584F3A">
        <w:rPr>
          <w:rFonts w:asciiTheme="majorHAnsi" w:hAnsiTheme="majorHAnsi" w:cstheme="majorHAnsi"/>
        </w:rPr>
        <w:t xml:space="preserve">hy </w:t>
      </w:r>
      <w:r w:rsidR="00687FB6">
        <w:rPr>
          <w:rFonts w:asciiTheme="majorHAnsi" w:hAnsiTheme="majorHAnsi" w:cstheme="majorHAnsi"/>
        </w:rPr>
        <w:t xml:space="preserve">such tools are </w:t>
      </w:r>
      <w:r w:rsidR="00687FB6" w:rsidRPr="00584F3A">
        <w:rPr>
          <w:rFonts w:asciiTheme="majorHAnsi" w:hAnsiTheme="majorHAnsi" w:cstheme="majorHAnsi"/>
        </w:rPr>
        <w:t>chosen</w:t>
      </w:r>
      <w:r w:rsidR="005C5584">
        <w:rPr>
          <w:rFonts w:asciiTheme="majorHAnsi" w:hAnsiTheme="majorHAnsi" w:cstheme="majorHAnsi"/>
        </w:rPr>
        <w:t xml:space="preserve"> and in what combinations</w:t>
      </w:r>
      <w:r w:rsidR="00687FB6">
        <w:rPr>
          <w:rFonts w:asciiTheme="majorHAnsi" w:hAnsiTheme="majorHAnsi" w:cstheme="majorHAnsi"/>
        </w:rPr>
        <w:t xml:space="preserve">, </w:t>
      </w:r>
      <w:r w:rsidR="00687FB6" w:rsidRPr="00584F3A">
        <w:rPr>
          <w:rFonts w:asciiTheme="majorHAnsi" w:hAnsiTheme="majorHAnsi" w:cstheme="majorHAnsi"/>
        </w:rPr>
        <w:t>how, and with what effect (</w:t>
      </w:r>
      <w:r w:rsidR="0083468C">
        <w:rPr>
          <w:rFonts w:asciiTheme="majorHAnsi" w:hAnsiTheme="majorHAnsi" w:cstheme="majorHAnsi"/>
        </w:rPr>
        <w:t xml:space="preserve">Braun and </w:t>
      </w:r>
      <w:r w:rsidR="0083468C" w:rsidRPr="00F424D1">
        <w:rPr>
          <w:rFonts w:asciiTheme="majorHAnsi" w:hAnsiTheme="majorHAnsi" w:cstheme="majorHAnsi"/>
        </w:rPr>
        <w:t>Busuioc</w:t>
      </w:r>
      <w:r w:rsidR="0083468C">
        <w:rPr>
          <w:rFonts w:asciiTheme="majorHAnsi" w:hAnsiTheme="majorHAnsi" w:cstheme="majorHAnsi"/>
        </w:rPr>
        <w:t xml:space="preserve">, 2020; </w:t>
      </w:r>
      <w:r w:rsidR="00687FB6" w:rsidRPr="00584F3A">
        <w:rPr>
          <w:rFonts w:asciiTheme="majorHAnsi" w:hAnsiTheme="majorHAnsi" w:cstheme="majorHAnsi"/>
        </w:rPr>
        <w:t>Capano and Howlett, 2020</w:t>
      </w:r>
      <w:r w:rsidR="00775028">
        <w:rPr>
          <w:rFonts w:asciiTheme="majorHAnsi" w:hAnsiTheme="majorHAnsi" w:cstheme="majorHAnsi"/>
        </w:rPr>
        <w:t>; Fraussen et al, 2020</w:t>
      </w:r>
      <w:r w:rsidR="00687FB6" w:rsidRPr="00584F3A">
        <w:rPr>
          <w:rFonts w:asciiTheme="majorHAnsi" w:hAnsiTheme="majorHAnsi" w:cstheme="majorHAnsi"/>
        </w:rPr>
        <w:t>)</w:t>
      </w:r>
      <w:r w:rsidR="00687FB6">
        <w:rPr>
          <w:rFonts w:asciiTheme="majorHAnsi" w:hAnsiTheme="majorHAnsi" w:cstheme="majorHAnsi"/>
        </w:rPr>
        <w:t xml:space="preserve"> </w:t>
      </w:r>
      <w:r w:rsidR="0091112B" w:rsidRPr="00091E52">
        <w:rPr>
          <w:rFonts w:asciiTheme="majorHAnsi" w:hAnsiTheme="majorHAnsi" w:cstheme="majorHAnsi"/>
        </w:rPr>
        <w:t>can be highly revealing of whose voices are heard and how</w:t>
      </w:r>
      <w:r w:rsidR="0091112B">
        <w:rPr>
          <w:rFonts w:asciiTheme="majorHAnsi" w:hAnsiTheme="majorHAnsi" w:cstheme="majorHAnsi"/>
        </w:rPr>
        <w:t>, and cast light on regulatory legitimacy</w:t>
      </w:r>
      <w:r w:rsidR="00C8555A">
        <w:rPr>
          <w:rFonts w:asciiTheme="majorHAnsi" w:hAnsiTheme="majorHAnsi" w:cstheme="majorHAnsi"/>
        </w:rPr>
        <w:t>.</w:t>
      </w:r>
      <w:r w:rsidR="009F3B0D">
        <w:rPr>
          <w:rFonts w:asciiTheme="majorHAnsi" w:hAnsiTheme="majorHAnsi" w:cstheme="majorHAnsi"/>
        </w:rPr>
        <w:t xml:space="preserve"> </w:t>
      </w:r>
    </w:p>
    <w:p w14:paraId="0624A57D" w14:textId="73722F37" w:rsidR="0092000B" w:rsidRDefault="00171401" w:rsidP="00857F85">
      <w:pPr>
        <w:ind w:firstLine="720"/>
        <w:rPr>
          <w:rFonts w:asciiTheme="majorHAnsi" w:hAnsiTheme="majorHAnsi" w:cstheme="majorHAnsi"/>
        </w:rPr>
      </w:pPr>
      <w:r>
        <w:rPr>
          <w:rFonts w:asciiTheme="majorHAnsi" w:hAnsiTheme="majorHAnsi" w:cstheme="majorHAnsi"/>
        </w:rPr>
        <w:lastRenderedPageBreak/>
        <w:t>A</w:t>
      </w:r>
      <w:r w:rsidR="003C56DC">
        <w:rPr>
          <w:rFonts w:asciiTheme="majorHAnsi" w:hAnsiTheme="majorHAnsi" w:cstheme="majorHAnsi"/>
        </w:rPr>
        <w:t xml:space="preserve"> framework examining tool use in</w:t>
      </w:r>
      <w:r w:rsidR="009F3B0D" w:rsidRPr="00677736">
        <w:rPr>
          <w:rFonts w:asciiTheme="majorHAnsi" w:hAnsiTheme="majorHAnsi" w:cstheme="majorHAnsi"/>
        </w:rPr>
        <w:t xml:space="preserve"> policy formulation (Jordan and Turnpenny, 2015</w:t>
      </w:r>
      <w:r w:rsidR="009F3B0D">
        <w:rPr>
          <w:rFonts w:asciiTheme="majorHAnsi" w:hAnsiTheme="majorHAnsi" w:cstheme="majorHAnsi"/>
        </w:rPr>
        <w:t>; Fraussen et al, 2020)</w:t>
      </w:r>
      <w:r>
        <w:rPr>
          <w:rFonts w:asciiTheme="majorHAnsi" w:hAnsiTheme="majorHAnsi" w:cstheme="majorHAnsi"/>
        </w:rPr>
        <w:t xml:space="preserve"> at</w:t>
      </w:r>
      <w:r w:rsidR="0022045E">
        <w:rPr>
          <w:rFonts w:asciiTheme="majorHAnsi" w:hAnsiTheme="majorHAnsi" w:cstheme="majorHAnsi"/>
        </w:rPr>
        <w:t xml:space="preserve"> </w:t>
      </w:r>
      <w:r w:rsidR="00E7515C">
        <w:rPr>
          <w:rFonts w:asciiTheme="majorHAnsi" w:hAnsiTheme="majorHAnsi" w:cstheme="majorHAnsi"/>
        </w:rPr>
        <w:t>Ofgem provides a useful case</w:t>
      </w:r>
      <w:r w:rsidR="003C56DC">
        <w:rPr>
          <w:rFonts w:asciiTheme="majorHAnsi" w:hAnsiTheme="majorHAnsi" w:cstheme="majorHAnsi"/>
        </w:rPr>
        <w:t xml:space="preserve"> for examining combinations of tools and how they work in practice</w:t>
      </w:r>
      <w:r w:rsidR="00E7515C">
        <w:rPr>
          <w:rFonts w:asciiTheme="majorHAnsi" w:hAnsiTheme="majorHAnsi" w:cstheme="majorHAnsi"/>
        </w:rPr>
        <w:t xml:space="preserve">. </w:t>
      </w:r>
      <w:r w:rsidR="00E7515C">
        <w:rPr>
          <w:rFonts w:asciiTheme="majorHAnsi" w:eastAsia="Times New Roman" w:hAnsiTheme="majorHAnsi" w:cstheme="majorHAnsi"/>
        </w:rPr>
        <w:t>In 2007, a</w:t>
      </w:r>
      <w:r w:rsidR="00E7515C">
        <w:rPr>
          <w:rFonts w:asciiTheme="majorHAnsi" w:hAnsiTheme="majorHAnsi" w:cstheme="majorHAnsi"/>
        </w:rPr>
        <w:t xml:space="preserve"> combination of procedural tools aimed at widening participation was adopted for the first time within Ofgem: deliberative focus groups and stakeholder consultations. This continued until 2016 when Ofgem was required to adopt the requirements of the Competition and Markets Authority following an investigation into the energy </w:t>
      </w:r>
      <w:r w:rsidR="00E7515C" w:rsidRPr="00677736">
        <w:rPr>
          <w:rFonts w:asciiTheme="majorHAnsi" w:hAnsiTheme="majorHAnsi" w:cstheme="majorHAnsi"/>
        </w:rPr>
        <w:t xml:space="preserve">market (Competition and Markets Authority, 2016). </w:t>
      </w:r>
      <w:r w:rsidR="006F07BD" w:rsidRPr="00677736">
        <w:rPr>
          <w:rFonts w:asciiTheme="majorHAnsi" w:hAnsiTheme="majorHAnsi" w:cstheme="majorHAnsi"/>
        </w:rPr>
        <w:t>Th</w:t>
      </w:r>
      <w:r>
        <w:rPr>
          <w:rFonts w:asciiTheme="majorHAnsi" w:hAnsiTheme="majorHAnsi" w:cstheme="majorHAnsi"/>
        </w:rPr>
        <w:t>is</w:t>
      </w:r>
      <w:r w:rsidR="006F07BD" w:rsidRPr="00677736">
        <w:rPr>
          <w:rFonts w:asciiTheme="majorHAnsi" w:hAnsiTheme="majorHAnsi" w:cstheme="majorHAnsi"/>
        </w:rPr>
        <w:t xml:space="preserve"> paper </w:t>
      </w:r>
      <w:r w:rsidR="00BF10DE">
        <w:rPr>
          <w:rFonts w:asciiTheme="majorHAnsi" w:hAnsiTheme="majorHAnsi" w:cstheme="majorHAnsi"/>
        </w:rPr>
        <w:t xml:space="preserve">therefore </w:t>
      </w:r>
      <w:r w:rsidR="0092000B">
        <w:rPr>
          <w:rFonts w:asciiTheme="majorHAnsi" w:hAnsiTheme="majorHAnsi" w:cstheme="majorHAnsi"/>
        </w:rPr>
        <w:t>address</w:t>
      </w:r>
      <w:r w:rsidR="003C56DC">
        <w:rPr>
          <w:rFonts w:asciiTheme="majorHAnsi" w:hAnsiTheme="majorHAnsi" w:cstheme="majorHAnsi"/>
        </w:rPr>
        <w:t>es</w:t>
      </w:r>
      <w:r w:rsidR="0092000B">
        <w:rPr>
          <w:rFonts w:asciiTheme="majorHAnsi" w:hAnsiTheme="majorHAnsi" w:cstheme="majorHAnsi"/>
        </w:rPr>
        <w:t xml:space="preserve"> the question: </w:t>
      </w:r>
    </w:p>
    <w:p w14:paraId="2AF05543" w14:textId="77777777" w:rsidR="00BF10DE" w:rsidRDefault="00BF10DE" w:rsidP="00190514">
      <w:pPr>
        <w:ind w:firstLine="720"/>
        <w:rPr>
          <w:rFonts w:asciiTheme="majorHAnsi" w:hAnsiTheme="majorHAnsi" w:cstheme="majorHAnsi"/>
        </w:rPr>
      </w:pPr>
    </w:p>
    <w:p w14:paraId="2939597F" w14:textId="02199832" w:rsidR="00BF10DE" w:rsidRPr="00BF10DE" w:rsidRDefault="00BF10DE" w:rsidP="00190514">
      <w:pPr>
        <w:ind w:firstLine="720"/>
        <w:rPr>
          <w:rFonts w:asciiTheme="majorHAnsi" w:hAnsiTheme="majorHAnsi" w:cstheme="majorHAnsi"/>
          <w:i/>
          <w:iCs/>
        </w:rPr>
      </w:pPr>
      <w:r w:rsidRPr="00BF10DE">
        <w:rPr>
          <w:rFonts w:asciiTheme="majorHAnsi" w:hAnsiTheme="majorHAnsi" w:cstheme="majorHAnsi"/>
          <w:i/>
          <w:iCs/>
        </w:rPr>
        <w:t>To what extent did Ofgem’s energy markets policy formulation (2007-2016) meet criteria of regulatory legitimacy?</w:t>
      </w:r>
    </w:p>
    <w:p w14:paraId="31EDCC7F" w14:textId="77777777" w:rsidR="00234C79" w:rsidRDefault="00234C79" w:rsidP="00190514">
      <w:pPr>
        <w:ind w:firstLine="720"/>
        <w:rPr>
          <w:rFonts w:asciiTheme="majorHAnsi" w:hAnsiTheme="majorHAnsi" w:cstheme="majorHAnsi"/>
        </w:rPr>
      </w:pPr>
    </w:p>
    <w:p w14:paraId="27483E73" w14:textId="628B9F71" w:rsidR="00FE6E34" w:rsidRPr="00F424D1" w:rsidRDefault="00A87EAE" w:rsidP="0022045E">
      <w:pPr>
        <w:rPr>
          <w:rFonts w:asciiTheme="majorHAnsi" w:eastAsia="SimSun" w:hAnsiTheme="majorHAnsi" w:cstheme="majorHAnsi"/>
        </w:rPr>
      </w:pPr>
      <w:r w:rsidRPr="00677736">
        <w:rPr>
          <w:rFonts w:asciiTheme="majorHAnsi" w:eastAsia="Times New Roman" w:hAnsiTheme="majorHAnsi" w:cstheme="majorHAnsi"/>
        </w:rPr>
        <w:t xml:space="preserve">The paper proceeds as follows. </w:t>
      </w:r>
      <w:r w:rsidR="006C6D57" w:rsidRPr="00F424D1">
        <w:rPr>
          <w:rFonts w:asciiTheme="majorHAnsi" w:eastAsia="Times New Roman" w:hAnsiTheme="majorHAnsi" w:cstheme="majorHAnsi"/>
        </w:rPr>
        <w:t xml:space="preserve">The next section reviews </w:t>
      </w:r>
      <w:r w:rsidR="00361F09" w:rsidRPr="00F424D1">
        <w:rPr>
          <w:rFonts w:asciiTheme="majorHAnsi" w:eastAsia="Times New Roman" w:hAnsiTheme="majorHAnsi" w:cstheme="majorHAnsi"/>
        </w:rPr>
        <w:t>the literature on regulation and regulatory legitimacy</w:t>
      </w:r>
      <w:r w:rsidR="00FE6E34" w:rsidRPr="00F424D1">
        <w:rPr>
          <w:rFonts w:asciiTheme="majorHAnsi" w:eastAsia="Times New Roman" w:hAnsiTheme="majorHAnsi" w:cstheme="majorHAnsi"/>
        </w:rPr>
        <w:t xml:space="preserve">, along with </w:t>
      </w:r>
      <w:r w:rsidR="00216A9D" w:rsidRPr="00F424D1">
        <w:rPr>
          <w:rFonts w:asciiTheme="majorHAnsi" w:eastAsia="Times New Roman" w:hAnsiTheme="majorHAnsi" w:cstheme="majorHAnsi"/>
        </w:rPr>
        <w:t>policy formulation</w:t>
      </w:r>
      <w:r w:rsidR="00FE6E34" w:rsidRPr="00F424D1">
        <w:rPr>
          <w:rFonts w:asciiTheme="majorHAnsi" w:eastAsia="Times New Roman" w:hAnsiTheme="majorHAnsi" w:cstheme="majorHAnsi"/>
        </w:rPr>
        <w:t xml:space="preserve"> </w:t>
      </w:r>
      <w:r w:rsidR="00216A9D" w:rsidRPr="00F424D1">
        <w:rPr>
          <w:rFonts w:asciiTheme="majorHAnsi" w:eastAsia="Times New Roman" w:hAnsiTheme="majorHAnsi" w:cstheme="majorHAnsi"/>
        </w:rPr>
        <w:t>tools</w:t>
      </w:r>
      <w:r w:rsidR="00FE6E34" w:rsidRPr="00F424D1">
        <w:rPr>
          <w:rFonts w:asciiTheme="majorHAnsi" w:eastAsia="Times New Roman" w:hAnsiTheme="majorHAnsi" w:cstheme="majorHAnsi"/>
        </w:rPr>
        <w:t xml:space="preserve"> as a way in to researching legitimacy.</w:t>
      </w:r>
      <w:r w:rsidR="006C6D57" w:rsidRPr="00F424D1">
        <w:rPr>
          <w:rFonts w:asciiTheme="majorHAnsi" w:eastAsia="Times New Roman" w:hAnsiTheme="majorHAnsi" w:cstheme="majorHAnsi"/>
        </w:rPr>
        <w:t xml:space="preserve"> The following section summarises the research methods</w:t>
      </w:r>
      <w:r w:rsidR="00143DDF" w:rsidRPr="00F424D1">
        <w:rPr>
          <w:rFonts w:asciiTheme="majorHAnsi" w:eastAsia="Times New Roman" w:hAnsiTheme="majorHAnsi" w:cstheme="majorHAnsi"/>
        </w:rPr>
        <w:t xml:space="preserve">, and the next section </w:t>
      </w:r>
      <w:r w:rsidR="005A287A" w:rsidRPr="00F424D1">
        <w:rPr>
          <w:rFonts w:asciiTheme="majorHAnsi" w:eastAsia="Times New Roman" w:hAnsiTheme="majorHAnsi" w:cstheme="majorHAnsi"/>
        </w:rPr>
        <w:t>presents the findings from the two specific policy formulation tools. The final section summarises the key points of the paper and reflects critically on the implications of the findings for regulatory legitimacy</w:t>
      </w:r>
      <w:r w:rsidR="00B924F7">
        <w:rPr>
          <w:rFonts w:asciiTheme="majorHAnsi" w:eastAsia="Times New Roman" w:hAnsiTheme="majorHAnsi" w:cstheme="majorHAnsi"/>
        </w:rPr>
        <w:t xml:space="preserve"> and other sub-fields of research</w:t>
      </w:r>
      <w:r w:rsidR="005A287A" w:rsidRPr="00F424D1">
        <w:rPr>
          <w:rFonts w:asciiTheme="majorHAnsi" w:eastAsia="Times New Roman" w:hAnsiTheme="majorHAnsi" w:cstheme="majorHAnsi"/>
        </w:rPr>
        <w:t>.</w:t>
      </w:r>
      <w:r w:rsidR="005A287A" w:rsidRPr="00F424D1">
        <w:rPr>
          <w:rFonts w:asciiTheme="majorHAnsi" w:eastAsia="SimSun" w:hAnsiTheme="majorHAnsi" w:cstheme="majorHAnsi"/>
        </w:rPr>
        <w:t xml:space="preserve"> </w:t>
      </w:r>
    </w:p>
    <w:p w14:paraId="391D9908" w14:textId="77777777" w:rsidR="00483CF3" w:rsidRPr="00F424D1" w:rsidRDefault="00483CF3" w:rsidP="002A53E6">
      <w:pPr>
        <w:rPr>
          <w:rFonts w:asciiTheme="majorHAnsi" w:eastAsia="Times New Roman" w:hAnsiTheme="majorHAnsi" w:cstheme="majorHAnsi"/>
          <w:b/>
          <w:bCs/>
        </w:rPr>
      </w:pPr>
    </w:p>
    <w:p w14:paraId="48D3CF90" w14:textId="6890B95C" w:rsidR="00F94744" w:rsidRPr="00F424D1" w:rsidRDefault="004914F4" w:rsidP="002A53E6">
      <w:pPr>
        <w:pStyle w:val="Heading2"/>
        <w:spacing w:before="0" w:line="240" w:lineRule="auto"/>
        <w:rPr>
          <w:rFonts w:cstheme="majorHAnsi"/>
          <w:b/>
          <w:color w:val="auto"/>
          <w:sz w:val="24"/>
          <w:szCs w:val="24"/>
        </w:rPr>
      </w:pPr>
      <w:r w:rsidRPr="00F424D1">
        <w:rPr>
          <w:rFonts w:cstheme="majorHAnsi"/>
          <w:b/>
          <w:color w:val="auto"/>
          <w:sz w:val="24"/>
          <w:szCs w:val="24"/>
        </w:rPr>
        <w:t>Regulation, regulatory legitimacy and policy formulation tools</w:t>
      </w:r>
    </w:p>
    <w:p w14:paraId="3FE9EBD1" w14:textId="77F9733B" w:rsidR="003447A2" w:rsidRDefault="008C7892" w:rsidP="00D0155D">
      <w:pPr>
        <w:rPr>
          <w:rFonts w:asciiTheme="majorHAnsi" w:hAnsiTheme="majorHAnsi" w:cstheme="majorHAnsi"/>
        </w:rPr>
      </w:pPr>
      <w:r w:rsidRPr="00F424D1">
        <w:rPr>
          <w:rFonts w:asciiTheme="majorHAnsi" w:hAnsiTheme="majorHAnsi" w:cstheme="majorHAnsi"/>
        </w:rPr>
        <w:t>The ‘regulatory state’ is a description of the institutional arrangement within a state where the prominent policy paradigm is regulation of public and private markets, rather than ‘traditional’ taxation and spending</w:t>
      </w:r>
      <w:r w:rsidR="00AF3872" w:rsidRPr="00F424D1">
        <w:rPr>
          <w:rFonts w:asciiTheme="majorHAnsi" w:hAnsiTheme="majorHAnsi" w:cstheme="majorHAnsi"/>
        </w:rPr>
        <w:t xml:space="preserve"> (Majone, </w:t>
      </w:r>
      <w:r w:rsidR="0069582E" w:rsidRPr="00F424D1">
        <w:rPr>
          <w:rFonts w:asciiTheme="majorHAnsi" w:hAnsiTheme="majorHAnsi" w:cstheme="majorHAnsi"/>
        </w:rPr>
        <w:t>1994</w:t>
      </w:r>
      <w:r w:rsidR="00AF3872" w:rsidRPr="00F424D1">
        <w:rPr>
          <w:rFonts w:asciiTheme="majorHAnsi" w:hAnsiTheme="majorHAnsi" w:cstheme="majorHAnsi"/>
        </w:rPr>
        <w:t>; Moran, 2003; Lodge, 2008; Baldwin et al, 201</w:t>
      </w:r>
      <w:r w:rsidR="00E27E52" w:rsidRPr="00F424D1">
        <w:rPr>
          <w:rFonts w:asciiTheme="majorHAnsi" w:hAnsiTheme="majorHAnsi" w:cstheme="majorHAnsi"/>
        </w:rPr>
        <w:t>0</w:t>
      </w:r>
      <w:r w:rsidR="00AF3872" w:rsidRPr="00F424D1">
        <w:rPr>
          <w:rFonts w:asciiTheme="majorHAnsi" w:hAnsiTheme="majorHAnsi" w:cstheme="majorHAnsi"/>
        </w:rPr>
        <w:t>)</w:t>
      </w:r>
      <w:r w:rsidRPr="00F424D1">
        <w:rPr>
          <w:rFonts w:asciiTheme="majorHAnsi" w:hAnsiTheme="majorHAnsi" w:cstheme="majorHAnsi"/>
        </w:rPr>
        <w:t xml:space="preserve">. </w:t>
      </w:r>
      <w:r w:rsidR="00CA1D39" w:rsidRPr="00F424D1">
        <w:rPr>
          <w:rFonts w:asciiTheme="majorHAnsi" w:hAnsiTheme="majorHAnsi" w:cstheme="majorHAnsi"/>
        </w:rPr>
        <w:t>S</w:t>
      </w:r>
      <w:r w:rsidRPr="00F424D1">
        <w:rPr>
          <w:rFonts w:asciiTheme="majorHAnsi" w:hAnsiTheme="majorHAnsi" w:cstheme="majorHAnsi"/>
        </w:rPr>
        <w:t xml:space="preserve">pecific institutions </w:t>
      </w:r>
      <w:r w:rsidR="00A4603E" w:rsidRPr="00F424D1">
        <w:rPr>
          <w:rFonts w:asciiTheme="majorHAnsi" w:hAnsiTheme="majorHAnsi" w:cstheme="majorHAnsi"/>
        </w:rPr>
        <w:t xml:space="preserve">– </w:t>
      </w:r>
      <w:r w:rsidR="00561A9A" w:rsidRPr="00F424D1">
        <w:rPr>
          <w:rFonts w:asciiTheme="majorHAnsi" w:hAnsiTheme="majorHAnsi" w:cstheme="majorHAnsi"/>
        </w:rPr>
        <w:t>regulators</w:t>
      </w:r>
      <w:r w:rsidR="00A4603E" w:rsidRPr="00F424D1">
        <w:rPr>
          <w:rFonts w:asciiTheme="majorHAnsi" w:hAnsiTheme="majorHAnsi" w:cstheme="majorHAnsi"/>
        </w:rPr>
        <w:t xml:space="preserve"> - </w:t>
      </w:r>
      <w:r w:rsidRPr="00F424D1">
        <w:rPr>
          <w:rFonts w:asciiTheme="majorHAnsi" w:hAnsiTheme="majorHAnsi" w:cstheme="majorHAnsi"/>
        </w:rPr>
        <w:t>are provided with powers under statute to ensure that delegated powers are enacted efficiently, due to separation from political uncertainty and embedded regulatory expertise</w:t>
      </w:r>
      <w:r w:rsidR="000520C0" w:rsidRPr="00F424D1">
        <w:rPr>
          <w:rFonts w:asciiTheme="majorHAnsi" w:hAnsiTheme="majorHAnsi" w:cstheme="majorHAnsi"/>
        </w:rPr>
        <w:t xml:space="preserve"> (</w:t>
      </w:r>
      <w:r w:rsidR="000520C0" w:rsidRPr="00F424D1">
        <w:rPr>
          <w:rFonts w:asciiTheme="majorHAnsi" w:hAnsiTheme="majorHAnsi" w:cstheme="majorHAnsi"/>
          <w:noProof/>
        </w:rPr>
        <w:t>Moran, 2003; Lodge, 2008; Maggetti et al, 2013)</w:t>
      </w:r>
      <w:r w:rsidR="00A4603E" w:rsidRPr="00F424D1">
        <w:rPr>
          <w:rFonts w:asciiTheme="majorHAnsi" w:hAnsiTheme="majorHAnsi" w:cstheme="majorHAnsi"/>
        </w:rPr>
        <w:t xml:space="preserve"> which could deliver private sector investment (O</w:t>
      </w:r>
      <w:r w:rsidR="00A2665B" w:rsidRPr="00F424D1">
        <w:rPr>
          <w:rFonts w:asciiTheme="majorHAnsi" w:hAnsiTheme="majorHAnsi" w:cstheme="majorHAnsi"/>
        </w:rPr>
        <w:t>gus, 2004; Baldwin et al, 2010)</w:t>
      </w:r>
      <w:r w:rsidRPr="00F424D1">
        <w:rPr>
          <w:rFonts w:asciiTheme="majorHAnsi" w:hAnsiTheme="majorHAnsi" w:cstheme="majorHAnsi"/>
        </w:rPr>
        <w:t xml:space="preserve">. </w:t>
      </w:r>
      <w:r w:rsidR="00A4603E" w:rsidRPr="00F424D1">
        <w:rPr>
          <w:rFonts w:asciiTheme="majorHAnsi" w:hAnsiTheme="majorHAnsi" w:cstheme="majorHAnsi"/>
        </w:rPr>
        <w:t xml:space="preserve">However, this model does not necessarily lead to optimal societal outcomes (Weatherill, 2007; Tombs, 2016). This is problematic </w:t>
      </w:r>
      <w:r w:rsidR="003F0461" w:rsidRPr="00F424D1">
        <w:rPr>
          <w:rFonts w:asciiTheme="majorHAnsi" w:hAnsiTheme="majorHAnsi" w:cstheme="majorHAnsi"/>
        </w:rPr>
        <w:t xml:space="preserve">partly </w:t>
      </w:r>
      <w:r w:rsidR="00A4603E" w:rsidRPr="00F424D1">
        <w:rPr>
          <w:rFonts w:asciiTheme="majorHAnsi" w:hAnsiTheme="majorHAnsi" w:cstheme="majorHAnsi"/>
        </w:rPr>
        <w:t>due to reliance on regulatory agencies to deliver outcomes traditionally associated with the welfare state</w:t>
      </w:r>
      <w:r w:rsidR="003F0461" w:rsidRPr="00F424D1">
        <w:rPr>
          <w:rFonts w:asciiTheme="majorHAnsi" w:hAnsiTheme="majorHAnsi" w:cstheme="majorHAnsi"/>
        </w:rPr>
        <w:t xml:space="preserve">, </w:t>
      </w:r>
      <w:r w:rsidR="00A4603E" w:rsidRPr="00F424D1">
        <w:rPr>
          <w:rFonts w:asciiTheme="majorHAnsi" w:hAnsiTheme="majorHAnsi" w:cstheme="majorHAnsi"/>
        </w:rPr>
        <w:t xml:space="preserve">specifically access to essential-for-life services such as water and electricity (Levi-Faur, 2014; </w:t>
      </w:r>
      <w:r w:rsidR="00162BF6" w:rsidRPr="00F343CA">
        <w:rPr>
          <w:rFonts w:ascii="Calibri" w:eastAsia="MS Mincho" w:hAnsi="Calibri" w:cs="Calibri"/>
        </w:rPr>
        <w:t>Fernández-Gutiérrez</w:t>
      </w:r>
      <w:r w:rsidR="00A4603E" w:rsidRPr="00F424D1">
        <w:rPr>
          <w:rFonts w:asciiTheme="majorHAnsi" w:hAnsiTheme="majorHAnsi" w:cstheme="majorHAnsi"/>
        </w:rPr>
        <w:t>, 2017). Conceptu</w:t>
      </w:r>
      <w:r w:rsidR="003F0461" w:rsidRPr="00F424D1">
        <w:rPr>
          <w:rFonts w:asciiTheme="majorHAnsi" w:hAnsiTheme="majorHAnsi" w:cstheme="majorHAnsi"/>
        </w:rPr>
        <w:t>a</w:t>
      </w:r>
      <w:r w:rsidR="00A4603E" w:rsidRPr="00F424D1">
        <w:rPr>
          <w:rFonts w:asciiTheme="majorHAnsi" w:hAnsiTheme="majorHAnsi" w:cstheme="majorHAnsi"/>
        </w:rPr>
        <w:t>lised as the “Regulatory Welfare State” (Levi-Faur</w:t>
      </w:r>
      <w:r w:rsidR="00162BF6">
        <w:rPr>
          <w:rFonts w:asciiTheme="majorHAnsi" w:hAnsiTheme="majorHAnsi" w:cstheme="majorHAnsi"/>
        </w:rPr>
        <w:t>,</w:t>
      </w:r>
      <w:r w:rsidR="00A4603E" w:rsidRPr="00F424D1">
        <w:rPr>
          <w:rFonts w:asciiTheme="majorHAnsi" w:hAnsiTheme="majorHAnsi" w:cstheme="majorHAnsi"/>
        </w:rPr>
        <w:t xml:space="preserve"> </w:t>
      </w:r>
      <w:r w:rsidR="00E13541" w:rsidRPr="00F424D1">
        <w:rPr>
          <w:rFonts w:asciiTheme="majorHAnsi" w:hAnsiTheme="majorHAnsi" w:cstheme="majorHAnsi"/>
        </w:rPr>
        <w:t>2014; Haber, 2017; Benish and Levi-Faur</w:t>
      </w:r>
      <w:r w:rsidR="00162BF6">
        <w:rPr>
          <w:rFonts w:asciiTheme="majorHAnsi" w:hAnsiTheme="majorHAnsi" w:cstheme="majorHAnsi"/>
        </w:rPr>
        <w:t>,</w:t>
      </w:r>
      <w:r w:rsidR="00E13541" w:rsidRPr="00F424D1">
        <w:rPr>
          <w:rFonts w:asciiTheme="majorHAnsi" w:hAnsiTheme="majorHAnsi" w:cstheme="majorHAnsi"/>
        </w:rPr>
        <w:t xml:space="preserve"> 2020</w:t>
      </w:r>
      <w:r w:rsidR="00A4603E" w:rsidRPr="00F424D1">
        <w:rPr>
          <w:rFonts w:asciiTheme="majorHAnsi" w:hAnsiTheme="majorHAnsi" w:cstheme="majorHAnsi"/>
        </w:rPr>
        <w:t>)</w:t>
      </w:r>
      <w:r w:rsidR="003F0461" w:rsidRPr="00F424D1">
        <w:rPr>
          <w:rFonts w:asciiTheme="majorHAnsi" w:hAnsiTheme="majorHAnsi" w:cstheme="majorHAnsi"/>
        </w:rPr>
        <w:t>, t</w:t>
      </w:r>
      <w:r w:rsidR="00383C74" w:rsidRPr="00F424D1">
        <w:rPr>
          <w:rFonts w:asciiTheme="majorHAnsi" w:hAnsiTheme="majorHAnsi" w:cstheme="majorHAnsi"/>
        </w:rPr>
        <w:t xml:space="preserve">he association </w:t>
      </w:r>
      <w:r w:rsidR="003F0461" w:rsidRPr="00F424D1">
        <w:rPr>
          <w:rFonts w:asciiTheme="majorHAnsi" w:hAnsiTheme="majorHAnsi" w:cstheme="majorHAnsi"/>
        </w:rPr>
        <w:t>of</w:t>
      </w:r>
      <w:r w:rsidR="00383C74" w:rsidRPr="00F424D1">
        <w:rPr>
          <w:rFonts w:asciiTheme="majorHAnsi" w:hAnsiTheme="majorHAnsi" w:cstheme="majorHAnsi"/>
        </w:rPr>
        <w:t xml:space="preserve"> the </w:t>
      </w:r>
      <w:r w:rsidR="003F0461" w:rsidRPr="00F424D1">
        <w:rPr>
          <w:rFonts w:asciiTheme="majorHAnsi" w:hAnsiTheme="majorHAnsi" w:cstheme="majorHAnsi"/>
        </w:rPr>
        <w:t>work</w:t>
      </w:r>
      <w:r w:rsidR="00383C74" w:rsidRPr="00F424D1">
        <w:rPr>
          <w:rFonts w:asciiTheme="majorHAnsi" w:hAnsiTheme="majorHAnsi" w:cstheme="majorHAnsi"/>
        </w:rPr>
        <w:t xml:space="preserve"> of regulatory agencies with </w:t>
      </w:r>
      <w:r w:rsidR="003F0461" w:rsidRPr="00F424D1">
        <w:rPr>
          <w:rFonts w:asciiTheme="majorHAnsi" w:hAnsiTheme="majorHAnsi" w:cstheme="majorHAnsi"/>
        </w:rPr>
        <w:t xml:space="preserve">citizen welfare </w:t>
      </w:r>
      <w:r w:rsidR="00383C74" w:rsidRPr="00F424D1">
        <w:rPr>
          <w:rFonts w:asciiTheme="majorHAnsi" w:hAnsiTheme="majorHAnsi" w:cstheme="majorHAnsi"/>
        </w:rPr>
        <w:t xml:space="preserve">highlights a challenge to the legitimacy of unelected regulators </w:t>
      </w:r>
      <w:r w:rsidR="003F0461" w:rsidRPr="00F424D1">
        <w:rPr>
          <w:rFonts w:asciiTheme="majorHAnsi" w:hAnsiTheme="majorHAnsi" w:cstheme="majorHAnsi"/>
        </w:rPr>
        <w:t>if there is</w:t>
      </w:r>
      <w:r w:rsidR="00383C74" w:rsidRPr="00F424D1">
        <w:rPr>
          <w:rFonts w:asciiTheme="majorHAnsi" w:hAnsiTheme="majorHAnsi" w:cstheme="majorHAnsi"/>
        </w:rPr>
        <w:t xml:space="preserve"> limited accountability to the public (Baldwin et al. 2010).</w:t>
      </w:r>
    </w:p>
    <w:p w14:paraId="04DF8299" w14:textId="352BF975" w:rsidR="00DA5799" w:rsidRDefault="00FA6B3B" w:rsidP="005C1A17">
      <w:pPr>
        <w:ind w:firstLine="720"/>
        <w:rPr>
          <w:rFonts w:asciiTheme="majorHAnsi" w:hAnsiTheme="majorHAnsi" w:cstheme="majorHAnsi"/>
        </w:rPr>
      </w:pPr>
      <w:r w:rsidRPr="00F424D1">
        <w:rPr>
          <w:rFonts w:asciiTheme="majorHAnsi" w:hAnsiTheme="majorHAnsi" w:cstheme="majorHAnsi"/>
        </w:rPr>
        <w:t>Baldwin et al. (2012), drawing on regulatory theory, strategy and practice</w:t>
      </w:r>
      <w:r w:rsidR="00A2665B" w:rsidRPr="00F424D1">
        <w:rPr>
          <w:rFonts w:asciiTheme="majorHAnsi" w:hAnsiTheme="majorHAnsi" w:cstheme="majorHAnsi"/>
        </w:rPr>
        <w:t xml:space="preserve"> (Hancher and Moran, 1989; Weatherill, 2007; Black, 2008)</w:t>
      </w:r>
      <w:r w:rsidRPr="00F424D1">
        <w:rPr>
          <w:rFonts w:asciiTheme="majorHAnsi" w:hAnsiTheme="majorHAnsi" w:cstheme="majorHAnsi"/>
        </w:rPr>
        <w:t>, proposed five criteria for an economic regulator to exercise its powers legitimately: support from legislative authority; procedures of accountability; efficiency within the organisation; procedures that are fair, accessible and open</w:t>
      </w:r>
      <w:r w:rsidR="00237AE5" w:rsidRPr="00F424D1">
        <w:rPr>
          <w:rFonts w:asciiTheme="majorHAnsi" w:hAnsiTheme="majorHAnsi" w:cstheme="majorHAnsi"/>
        </w:rPr>
        <w:t>; and relevant expertise</w:t>
      </w:r>
      <w:r w:rsidR="009607F9" w:rsidRPr="00F424D1">
        <w:rPr>
          <w:rFonts w:asciiTheme="majorHAnsi" w:hAnsiTheme="majorHAnsi" w:cstheme="majorHAnsi"/>
        </w:rPr>
        <w:t xml:space="preserve"> (Ogus, 2004; Robinson, 2007; Baldwin et al, 2010; 2012)</w:t>
      </w:r>
      <w:r w:rsidRPr="00F424D1">
        <w:rPr>
          <w:rFonts w:asciiTheme="majorHAnsi" w:hAnsiTheme="majorHAnsi" w:cstheme="majorHAnsi"/>
        </w:rPr>
        <w:t>.</w:t>
      </w:r>
      <w:r w:rsidR="005C1A17">
        <w:rPr>
          <w:rFonts w:asciiTheme="majorHAnsi" w:hAnsiTheme="majorHAnsi" w:cstheme="majorHAnsi"/>
        </w:rPr>
        <w:t xml:space="preserve"> </w:t>
      </w:r>
      <w:r w:rsidR="00A17AF8" w:rsidRPr="00F424D1">
        <w:rPr>
          <w:rFonts w:asciiTheme="majorHAnsi" w:hAnsiTheme="majorHAnsi" w:cstheme="majorHAnsi"/>
        </w:rPr>
        <w:t xml:space="preserve">Research </w:t>
      </w:r>
      <w:r w:rsidR="000D7360" w:rsidRPr="00F424D1">
        <w:rPr>
          <w:rFonts w:asciiTheme="majorHAnsi" w:hAnsiTheme="majorHAnsi" w:cstheme="majorHAnsi"/>
        </w:rPr>
        <w:t>on</w:t>
      </w:r>
      <w:r w:rsidR="00D0155D" w:rsidRPr="00F424D1">
        <w:rPr>
          <w:rFonts w:asciiTheme="majorHAnsi" w:hAnsiTheme="majorHAnsi" w:cstheme="majorHAnsi"/>
        </w:rPr>
        <w:t xml:space="preserve"> regulatory legitimacy </w:t>
      </w:r>
      <w:r w:rsidR="00A17AF8" w:rsidRPr="00F424D1">
        <w:rPr>
          <w:rFonts w:asciiTheme="majorHAnsi" w:hAnsiTheme="majorHAnsi" w:cstheme="majorHAnsi"/>
        </w:rPr>
        <w:t xml:space="preserve">has to date </w:t>
      </w:r>
      <w:r w:rsidR="00D0155D" w:rsidRPr="00F424D1">
        <w:rPr>
          <w:rFonts w:asciiTheme="majorHAnsi" w:hAnsiTheme="majorHAnsi" w:cstheme="majorHAnsi"/>
        </w:rPr>
        <w:t>focuse</w:t>
      </w:r>
      <w:r w:rsidR="00A17AF8" w:rsidRPr="00F424D1">
        <w:rPr>
          <w:rFonts w:asciiTheme="majorHAnsi" w:hAnsiTheme="majorHAnsi" w:cstheme="majorHAnsi"/>
        </w:rPr>
        <w:t>d</w:t>
      </w:r>
      <w:r w:rsidR="00D0155D" w:rsidRPr="00F424D1">
        <w:rPr>
          <w:rFonts w:asciiTheme="majorHAnsi" w:hAnsiTheme="majorHAnsi" w:cstheme="majorHAnsi"/>
        </w:rPr>
        <w:t xml:space="preserve"> more extensively on legal mechanisms </w:t>
      </w:r>
      <w:r w:rsidR="00A17AF8" w:rsidRPr="00F424D1">
        <w:rPr>
          <w:rFonts w:asciiTheme="majorHAnsi" w:hAnsiTheme="majorHAnsi" w:cstheme="majorHAnsi"/>
        </w:rPr>
        <w:t>like</w:t>
      </w:r>
      <w:r w:rsidR="00D0155D" w:rsidRPr="00F424D1">
        <w:rPr>
          <w:rFonts w:asciiTheme="majorHAnsi" w:hAnsiTheme="majorHAnsi" w:cstheme="majorHAnsi"/>
        </w:rPr>
        <w:t xml:space="preserve"> support from legislative authority, rather than </w:t>
      </w:r>
      <w:r w:rsidR="00A17AF8" w:rsidRPr="00F424D1">
        <w:rPr>
          <w:rFonts w:asciiTheme="majorHAnsi" w:hAnsiTheme="majorHAnsi" w:cstheme="majorHAnsi"/>
        </w:rPr>
        <w:t>other legitimacy criteria</w:t>
      </w:r>
      <w:r w:rsidR="00D0155D" w:rsidRPr="00F424D1">
        <w:rPr>
          <w:rFonts w:asciiTheme="majorHAnsi" w:hAnsiTheme="majorHAnsi" w:cstheme="majorHAnsi"/>
        </w:rPr>
        <w:t xml:space="preserve"> (</w:t>
      </w:r>
      <w:r w:rsidR="00E13541" w:rsidRPr="00F424D1">
        <w:rPr>
          <w:rFonts w:asciiTheme="majorHAnsi" w:hAnsiTheme="majorHAnsi" w:cstheme="majorHAnsi"/>
        </w:rPr>
        <w:t>Froomkin</w:t>
      </w:r>
      <w:r w:rsidR="00E66C1D" w:rsidRPr="00F424D1">
        <w:rPr>
          <w:rFonts w:asciiTheme="majorHAnsi" w:hAnsiTheme="majorHAnsi" w:cstheme="majorHAnsi"/>
        </w:rPr>
        <w:t>,</w:t>
      </w:r>
      <w:r w:rsidR="00E13541" w:rsidRPr="00F424D1">
        <w:rPr>
          <w:rFonts w:asciiTheme="majorHAnsi" w:hAnsiTheme="majorHAnsi" w:cstheme="majorHAnsi"/>
        </w:rPr>
        <w:t xml:space="preserve"> 2003; Cohen </w:t>
      </w:r>
      <w:r w:rsidR="00E66C1D" w:rsidRPr="00F424D1">
        <w:rPr>
          <w:rFonts w:asciiTheme="majorHAnsi" w:hAnsiTheme="majorHAnsi" w:cstheme="majorHAnsi"/>
        </w:rPr>
        <w:t>and</w:t>
      </w:r>
      <w:r w:rsidR="00E13541" w:rsidRPr="00F424D1">
        <w:rPr>
          <w:rFonts w:asciiTheme="majorHAnsi" w:hAnsiTheme="majorHAnsi" w:cstheme="majorHAnsi"/>
        </w:rPr>
        <w:t xml:space="preserve"> Sabel</w:t>
      </w:r>
      <w:r w:rsidR="00E66C1D" w:rsidRPr="00F424D1">
        <w:rPr>
          <w:rFonts w:asciiTheme="majorHAnsi" w:hAnsiTheme="majorHAnsi" w:cstheme="majorHAnsi"/>
        </w:rPr>
        <w:t>,</w:t>
      </w:r>
      <w:r w:rsidR="00E13541" w:rsidRPr="00F424D1">
        <w:rPr>
          <w:rFonts w:asciiTheme="majorHAnsi" w:hAnsiTheme="majorHAnsi" w:cstheme="majorHAnsi"/>
        </w:rPr>
        <w:t xml:space="preserve"> 2005; Mashaw</w:t>
      </w:r>
      <w:r w:rsidR="00E66C1D" w:rsidRPr="00F424D1">
        <w:rPr>
          <w:rFonts w:asciiTheme="majorHAnsi" w:hAnsiTheme="majorHAnsi" w:cstheme="majorHAnsi"/>
        </w:rPr>
        <w:t>,</w:t>
      </w:r>
      <w:r w:rsidR="00E13541" w:rsidRPr="00F424D1">
        <w:rPr>
          <w:rFonts w:asciiTheme="majorHAnsi" w:hAnsiTheme="majorHAnsi" w:cstheme="majorHAnsi"/>
        </w:rPr>
        <w:t xml:space="preserve"> 2006</w:t>
      </w:r>
      <w:r w:rsidR="00D0155D" w:rsidRPr="00F424D1">
        <w:rPr>
          <w:rFonts w:asciiTheme="majorHAnsi" w:hAnsiTheme="majorHAnsi" w:cstheme="majorHAnsi"/>
        </w:rPr>
        <w:t xml:space="preserve">). However, there is a growing </w:t>
      </w:r>
      <w:r w:rsidR="00F8342A" w:rsidRPr="00F424D1">
        <w:rPr>
          <w:rFonts w:asciiTheme="majorHAnsi" w:hAnsiTheme="majorHAnsi" w:cstheme="majorHAnsi"/>
        </w:rPr>
        <w:t xml:space="preserve">focus on the risks to legitimacy in </w:t>
      </w:r>
      <w:r w:rsidR="00F8342A" w:rsidRPr="00F424D1">
        <w:rPr>
          <w:rFonts w:asciiTheme="majorHAnsi" w:hAnsiTheme="majorHAnsi" w:cstheme="majorHAnsi"/>
        </w:rPr>
        <w:lastRenderedPageBreak/>
        <w:t>terms of fairness and accountability</w:t>
      </w:r>
      <w:r w:rsidR="002C12E4" w:rsidRPr="00F424D1">
        <w:rPr>
          <w:rFonts w:asciiTheme="majorHAnsi" w:hAnsiTheme="majorHAnsi" w:cstheme="majorHAnsi"/>
        </w:rPr>
        <w:t xml:space="preserve">, </w:t>
      </w:r>
      <w:r w:rsidR="00F8342A" w:rsidRPr="00F424D1">
        <w:rPr>
          <w:rFonts w:asciiTheme="majorHAnsi" w:hAnsiTheme="majorHAnsi" w:cstheme="majorHAnsi"/>
        </w:rPr>
        <w:t xml:space="preserve">linked to </w:t>
      </w:r>
      <w:r w:rsidR="00561A9A" w:rsidRPr="00F424D1">
        <w:rPr>
          <w:rFonts w:asciiTheme="majorHAnsi" w:hAnsiTheme="majorHAnsi" w:cstheme="majorHAnsi"/>
        </w:rPr>
        <w:t>procedures</w:t>
      </w:r>
      <w:r w:rsidR="00F8342A" w:rsidRPr="00F424D1">
        <w:rPr>
          <w:rFonts w:asciiTheme="majorHAnsi" w:hAnsiTheme="majorHAnsi" w:cstheme="majorHAnsi"/>
        </w:rPr>
        <w:t xml:space="preserve"> (</w:t>
      </w:r>
      <w:r w:rsidR="00E13541" w:rsidRPr="00F424D1">
        <w:rPr>
          <w:rFonts w:asciiTheme="majorHAnsi" w:hAnsiTheme="majorHAnsi" w:cstheme="majorHAnsi"/>
        </w:rPr>
        <w:t>Deller et al</w:t>
      </w:r>
      <w:r w:rsidR="00E66C1D" w:rsidRPr="00F424D1">
        <w:rPr>
          <w:rFonts w:asciiTheme="majorHAnsi" w:hAnsiTheme="majorHAnsi" w:cstheme="majorHAnsi"/>
        </w:rPr>
        <w:t>,</w:t>
      </w:r>
      <w:r w:rsidR="00E13541" w:rsidRPr="00F424D1">
        <w:rPr>
          <w:rFonts w:asciiTheme="majorHAnsi" w:hAnsiTheme="majorHAnsi" w:cstheme="majorHAnsi"/>
        </w:rPr>
        <w:t xml:space="preserve"> 2018, </w:t>
      </w:r>
      <w:r w:rsidR="006F343B">
        <w:rPr>
          <w:rFonts w:asciiTheme="majorHAnsi" w:hAnsiTheme="majorHAnsi" w:cstheme="majorHAnsi"/>
        </w:rPr>
        <w:t>Blakelock, 2020</w:t>
      </w:r>
      <w:r w:rsidR="00E13541" w:rsidRPr="00F424D1">
        <w:rPr>
          <w:rFonts w:asciiTheme="majorHAnsi" w:hAnsiTheme="majorHAnsi" w:cstheme="majorHAnsi"/>
        </w:rPr>
        <w:t>, Ambrosi</w:t>
      </w:r>
      <w:r w:rsidR="00D32629">
        <w:rPr>
          <w:rFonts w:asciiTheme="majorHAnsi" w:hAnsiTheme="majorHAnsi" w:cstheme="majorHAnsi"/>
        </w:rPr>
        <w:t>o</w:t>
      </w:r>
      <w:r w:rsidR="00E13541" w:rsidRPr="00F424D1">
        <w:rPr>
          <w:rFonts w:asciiTheme="majorHAnsi" w:hAnsiTheme="majorHAnsi" w:cstheme="majorHAnsi"/>
        </w:rPr>
        <w:t>-Albala et al</w:t>
      </w:r>
      <w:r w:rsidR="00E66C1D" w:rsidRPr="00F424D1">
        <w:rPr>
          <w:rFonts w:asciiTheme="majorHAnsi" w:hAnsiTheme="majorHAnsi" w:cstheme="majorHAnsi"/>
        </w:rPr>
        <w:t>,</w:t>
      </w:r>
      <w:r w:rsidR="00E13541" w:rsidRPr="00F424D1">
        <w:rPr>
          <w:rFonts w:asciiTheme="majorHAnsi" w:hAnsiTheme="majorHAnsi" w:cstheme="majorHAnsi"/>
        </w:rPr>
        <w:t xml:space="preserve"> 2020</w:t>
      </w:r>
      <w:r w:rsidR="00F8342A" w:rsidRPr="00F424D1">
        <w:rPr>
          <w:rFonts w:asciiTheme="majorHAnsi" w:hAnsiTheme="majorHAnsi" w:cstheme="majorHAnsi"/>
        </w:rPr>
        <w:t xml:space="preserve">). </w:t>
      </w:r>
      <w:r w:rsidR="00D0155D" w:rsidRPr="00F424D1">
        <w:rPr>
          <w:rFonts w:asciiTheme="majorHAnsi" w:hAnsiTheme="majorHAnsi" w:cstheme="majorHAnsi"/>
        </w:rPr>
        <w:t xml:space="preserve">There is a significant literature about ‘regulatory capture’, on the interaction of privately-owned regulated firms with economic regulators (Uhr, 1993; Mulgan, 2000; Hong and You, 2018). Powerful interest groups frequently inﬂuence regulators and beneﬁt from inﬂuence that regulation affords them (Stigler, 1971; Ayres and Braithwaite, 1992). </w:t>
      </w:r>
      <w:r w:rsidR="00F8342A" w:rsidRPr="00F424D1">
        <w:rPr>
          <w:rFonts w:asciiTheme="majorHAnsi" w:hAnsiTheme="majorHAnsi" w:cstheme="majorHAnsi"/>
        </w:rPr>
        <w:t>Procedures at regulators for engaging with organisations and institutions can, in some cases, undermine legitimacy (Bra</w:t>
      </w:r>
      <w:r w:rsidR="002A1E9D">
        <w:rPr>
          <w:rFonts w:asciiTheme="majorHAnsi" w:hAnsiTheme="majorHAnsi" w:cstheme="majorHAnsi"/>
        </w:rPr>
        <w:t>u</w:t>
      </w:r>
      <w:r w:rsidR="00F8342A" w:rsidRPr="00F424D1">
        <w:rPr>
          <w:rFonts w:asciiTheme="majorHAnsi" w:hAnsiTheme="majorHAnsi" w:cstheme="majorHAnsi"/>
        </w:rPr>
        <w:t xml:space="preserve">n and Busuioc, 2020). On the other hand, engagement with stakeholders beyond firms can increase </w:t>
      </w:r>
      <w:r w:rsidR="009B5E2E" w:rsidRPr="00F424D1">
        <w:rPr>
          <w:rFonts w:asciiTheme="majorHAnsi" w:hAnsiTheme="majorHAnsi" w:cstheme="majorHAnsi"/>
        </w:rPr>
        <w:t>regulator</w:t>
      </w:r>
      <w:r w:rsidR="00F8342A" w:rsidRPr="00F424D1">
        <w:rPr>
          <w:rFonts w:asciiTheme="majorHAnsi" w:hAnsiTheme="majorHAnsi" w:cstheme="majorHAnsi"/>
        </w:rPr>
        <w:t xml:space="preserve"> legitimacy </w:t>
      </w:r>
      <w:r w:rsidR="009B5E2E" w:rsidRPr="00F424D1">
        <w:rPr>
          <w:rFonts w:asciiTheme="majorHAnsi" w:hAnsiTheme="majorHAnsi" w:cstheme="majorHAnsi"/>
        </w:rPr>
        <w:t xml:space="preserve">by </w:t>
      </w:r>
      <w:r w:rsidR="00F8342A" w:rsidRPr="00F424D1">
        <w:rPr>
          <w:rFonts w:asciiTheme="majorHAnsi" w:hAnsiTheme="majorHAnsi" w:cstheme="majorHAnsi"/>
        </w:rPr>
        <w:t>providing fair, accessible and open procedures of engagement (Haber and Heims, 2020; Koop and Lodge, 2020; Bra</w:t>
      </w:r>
      <w:r w:rsidR="00556CD3">
        <w:rPr>
          <w:rFonts w:asciiTheme="majorHAnsi" w:hAnsiTheme="majorHAnsi" w:cstheme="majorHAnsi"/>
        </w:rPr>
        <w:t>u</w:t>
      </w:r>
      <w:r w:rsidR="00F8342A" w:rsidRPr="00F424D1">
        <w:rPr>
          <w:rFonts w:asciiTheme="majorHAnsi" w:hAnsiTheme="majorHAnsi" w:cstheme="majorHAnsi"/>
        </w:rPr>
        <w:t xml:space="preserve">n and Busuioc 2020). </w:t>
      </w:r>
      <w:r w:rsidR="009B5E2E" w:rsidRPr="00F424D1">
        <w:rPr>
          <w:rFonts w:asciiTheme="majorHAnsi" w:hAnsiTheme="majorHAnsi" w:cstheme="majorHAnsi"/>
        </w:rPr>
        <w:t>E</w:t>
      </w:r>
      <w:r w:rsidR="00F8342A" w:rsidRPr="00F424D1">
        <w:rPr>
          <w:rFonts w:asciiTheme="majorHAnsi" w:hAnsiTheme="majorHAnsi" w:cstheme="majorHAnsi"/>
        </w:rPr>
        <w:t>vidence from the water and housing sector</w:t>
      </w:r>
      <w:r w:rsidR="009B5E2E" w:rsidRPr="00F424D1">
        <w:rPr>
          <w:rFonts w:asciiTheme="majorHAnsi" w:hAnsiTheme="majorHAnsi" w:cstheme="majorHAnsi"/>
        </w:rPr>
        <w:t>s</w:t>
      </w:r>
      <w:r w:rsidR="00F8342A" w:rsidRPr="00F424D1">
        <w:rPr>
          <w:rFonts w:asciiTheme="majorHAnsi" w:hAnsiTheme="majorHAnsi" w:cstheme="majorHAnsi"/>
        </w:rPr>
        <w:t xml:space="preserve"> </w:t>
      </w:r>
      <w:r w:rsidR="009B5E2E" w:rsidRPr="00F424D1">
        <w:rPr>
          <w:rFonts w:asciiTheme="majorHAnsi" w:hAnsiTheme="majorHAnsi" w:cstheme="majorHAnsi"/>
        </w:rPr>
        <w:t>shows</w:t>
      </w:r>
      <w:r w:rsidR="00F8342A" w:rsidRPr="00F424D1">
        <w:rPr>
          <w:rFonts w:asciiTheme="majorHAnsi" w:hAnsiTheme="majorHAnsi" w:cstheme="majorHAnsi"/>
        </w:rPr>
        <w:t xml:space="preserve"> how </w:t>
      </w:r>
      <w:r w:rsidR="009B5E2E" w:rsidRPr="00F424D1">
        <w:rPr>
          <w:rFonts w:asciiTheme="majorHAnsi" w:hAnsiTheme="majorHAnsi" w:cstheme="majorHAnsi"/>
        </w:rPr>
        <w:t xml:space="preserve">citizen </w:t>
      </w:r>
      <w:r w:rsidR="00F8342A" w:rsidRPr="00F424D1">
        <w:rPr>
          <w:rFonts w:asciiTheme="majorHAnsi" w:hAnsiTheme="majorHAnsi" w:cstheme="majorHAnsi"/>
        </w:rPr>
        <w:t xml:space="preserve">participation </w:t>
      </w:r>
      <w:r w:rsidR="009B5E2E" w:rsidRPr="00F424D1">
        <w:rPr>
          <w:rFonts w:asciiTheme="majorHAnsi" w:hAnsiTheme="majorHAnsi" w:cstheme="majorHAnsi"/>
        </w:rPr>
        <w:t>can affe</w:t>
      </w:r>
      <w:r w:rsidR="00F8342A" w:rsidRPr="00F424D1">
        <w:rPr>
          <w:rFonts w:asciiTheme="majorHAnsi" w:hAnsiTheme="majorHAnsi" w:cstheme="majorHAnsi"/>
        </w:rPr>
        <w:t>ct the intervention</w:t>
      </w:r>
      <w:r w:rsidR="009B5E2E" w:rsidRPr="00F424D1">
        <w:rPr>
          <w:rFonts w:asciiTheme="majorHAnsi" w:hAnsiTheme="majorHAnsi" w:cstheme="majorHAnsi"/>
        </w:rPr>
        <w:t>s</w:t>
      </w:r>
      <w:r w:rsidR="00F8342A" w:rsidRPr="00F424D1">
        <w:rPr>
          <w:rFonts w:asciiTheme="majorHAnsi" w:hAnsiTheme="majorHAnsi" w:cstheme="majorHAnsi"/>
        </w:rPr>
        <w:t xml:space="preserve"> regulators might consider</w:t>
      </w:r>
      <w:r w:rsidR="009B5E2E" w:rsidRPr="00F424D1">
        <w:rPr>
          <w:rFonts w:asciiTheme="majorHAnsi" w:hAnsiTheme="majorHAnsi" w:cstheme="majorHAnsi"/>
        </w:rPr>
        <w:t>,</w:t>
      </w:r>
      <w:r w:rsidR="00F8342A" w:rsidRPr="00F424D1">
        <w:rPr>
          <w:rFonts w:asciiTheme="majorHAnsi" w:hAnsiTheme="majorHAnsi" w:cstheme="majorHAnsi"/>
        </w:rPr>
        <w:t xml:space="preserve"> in line with citizen welfare</w:t>
      </w:r>
      <w:r w:rsidR="00D0155D" w:rsidRPr="00F424D1">
        <w:rPr>
          <w:rFonts w:asciiTheme="majorHAnsi" w:hAnsiTheme="majorHAnsi" w:cstheme="majorHAnsi"/>
        </w:rPr>
        <w:t xml:space="preserve"> (Haber, 2015</w:t>
      </w:r>
      <w:r w:rsidR="007B0F6D" w:rsidRPr="00F424D1">
        <w:rPr>
          <w:rFonts w:asciiTheme="majorHAnsi" w:hAnsiTheme="majorHAnsi" w:cstheme="majorHAnsi"/>
        </w:rPr>
        <w:t xml:space="preserve">; </w:t>
      </w:r>
      <w:r w:rsidR="00D0155D" w:rsidRPr="00F424D1">
        <w:rPr>
          <w:rFonts w:asciiTheme="majorHAnsi" w:hAnsiTheme="majorHAnsi" w:cstheme="majorHAnsi"/>
        </w:rPr>
        <w:t xml:space="preserve">Haber and Heims, 2016). </w:t>
      </w:r>
      <w:r w:rsidR="007B0F6D" w:rsidRPr="00F424D1">
        <w:rPr>
          <w:rFonts w:asciiTheme="majorHAnsi" w:hAnsiTheme="majorHAnsi" w:cstheme="majorHAnsi"/>
        </w:rPr>
        <w:t xml:space="preserve">However, private firms have been consistently identified as the core beneficiaries of opportunities to engage with </w:t>
      </w:r>
      <w:r w:rsidR="00514DDC" w:rsidRPr="00F424D1">
        <w:rPr>
          <w:rFonts w:asciiTheme="majorHAnsi" w:hAnsiTheme="majorHAnsi" w:cstheme="majorHAnsi"/>
        </w:rPr>
        <w:t>procedures</w:t>
      </w:r>
      <w:r w:rsidR="007B0F6D" w:rsidRPr="00F424D1">
        <w:rPr>
          <w:rFonts w:asciiTheme="majorHAnsi" w:hAnsiTheme="majorHAnsi" w:cstheme="majorHAnsi"/>
        </w:rPr>
        <w:t xml:space="preserve"> that are accessible and open (</w:t>
      </w:r>
      <w:r w:rsidR="00DA5799" w:rsidRPr="00F424D1">
        <w:rPr>
          <w:rFonts w:asciiTheme="majorHAnsi" w:hAnsiTheme="majorHAnsi" w:cstheme="majorHAnsi"/>
        </w:rPr>
        <w:t xml:space="preserve">Yackee and Yackee, 2006; Bunea, 2013; </w:t>
      </w:r>
      <w:r w:rsidR="007B0F6D" w:rsidRPr="00F424D1">
        <w:rPr>
          <w:rFonts w:asciiTheme="majorHAnsi" w:hAnsiTheme="majorHAnsi" w:cstheme="majorHAnsi"/>
        </w:rPr>
        <w:t>J</w:t>
      </w:r>
      <w:r w:rsidR="005B28A8">
        <w:rPr>
          <w:rFonts w:asciiTheme="majorHAnsi" w:hAnsiTheme="majorHAnsi" w:cstheme="majorHAnsi"/>
        </w:rPr>
        <w:t>oo</w:t>
      </w:r>
      <w:r w:rsidR="007B0F6D" w:rsidRPr="00F424D1">
        <w:rPr>
          <w:rFonts w:asciiTheme="majorHAnsi" w:hAnsiTheme="majorHAnsi" w:cstheme="majorHAnsi"/>
        </w:rPr>
        <w:t>sen, 2020;</w:t>
      </w:r>
      <w:r w:rsidR="00DA5799" w:rsidRPr="00F424D1">
        <w:rPr>
          <w:rFonts w:asciiTheme="majorHAnsi" w:hAnsiTheme="majorHAnsi" w:cstheme="majorHAnsi"/>
        </w:rPr>
        <w:t xml:space="preserve"> </w:t>
      </w:r>
      <w:r w:rsidR="006F343B">
        <w:rPr>
          <w:rFonts w:asciiTheme="majorHAnsi" w:hAnsiTheme="majorHAnsi" w:cstheme="majorHAnsi"/>
        </w:rPr>
        <w:t>Blakelock, 2020</w:t>
      </w:r>
      <w:r w:rsidR="007B0F6D" w:rsidRPr="00F424D1">
        <w:rPr>
          <w:rFonts w:asciiTheme="majorHAnsi" w:hAnsiTheme="majorHAnsi" w:cstheme="majorHAnsi"/>
        </w:rPr>
        <w:t>)</w:t>
      </w:r>
      <w:r w:rsidR="00E87654" w:rsidRPr="00F424D1">
        <w:rPr>
          <w:rFonts w:asciiTheme="majorHAnsi" w:hAnsiTheme="majorHAnsi" w:cstheme="majorHAnsi"/>
        </w:rPr>
        <w:t>.</w:t>
      </w:r>
      <w:r w:rsidR="00D44138">
        <w:rPr>
          <w:rFonts w:asciiTheme="majorHAnsi" w:hAnsiTheme="majorHAnsi" w:cstheme="majorHAnsi"/>
        </w:rPr>
        <w:t xml:space="preserve"> This paper contributes by </w:t>
      </w:r>
      <w:r w:rsidR="00171401">
        <w:rPr>
          <w:rFonts w:asciiTheme="majorHAnsi" w:hAnsiTheme="majorHAnsi" w:cstheme="majorHAnsi"/>
        </w:rPr>
        <w:t>applying</w:t>
      </w:r>
      <w:r w:rsidR="00D44138">
        <w:rPr>
          <w:rFonts w:asciiTheme="majorHAnsi" w:hAnsiTheme="majorHAnsi" w:cstheme="majorHAnsi"/>
        </w:rPr>
        <w:t xml:space="preserve"> a framework</w:t>
      </w:r>
      <w:r w:rsidR="00085A31">
        <w:rPr>
          <w:rFonts w:asciiTheme="majorHAnsi" w:hAnsiTheme="majorHAnsi" w:cstheme="majorHAnsi"/>
        </w:rPr>
        <w:t xml:space="preserve"> for detailed analysis of policy tools</w:t>
      </w:r>
      <w:r w:rsidR="001237D7">
        <w:rPr>
          <w:rFonts w:asciiTheme="majorHAnsi" w:hAnsiTheme="majorHAnsi" w:cstheme="majorHAnsi"/>
        </w:rPr>
        <w:t xml:space="preserve"> to</w:t>
      </w:r>
      <w:r w:rsidR="00085A31">
        <w:rPr>
          <w:rFonts w:asciiTheme="majorHAnsi" w:hAnsiTheme="majorHAnsi" w:cstheme="majorHAnsi"/>
        </w:rPr>
        <w:t xml:space="preserve"> assessing regulatory legitimacy</w:t>
      </w:r>
      <w:r w:rsidR="001237D7">
        <w:rPr>
          <w:rFonts w:asciiTheme="majorHAnsi" w:hAnsiTheme="majorHAnsi" w:cstheme="majorHAnsi"/>
        </w:rPr>
        <w:t>,</w:t>
      </w:r>
      <w:r w:rsidR="000F0258">
        <w:rPr>
          <w:rFonts w:asciiTheme="majorHAnsi" w:hAnsiTheme="majorHAnsi" w:cstheme="majorHAnsi"/>
        </w:rPr>
        <w:t xml:space="preserve"> within an economic regulator which has statutory powers to deliver obligations related to both competitive markets and consumer welfare</w:t>
      </w:r>
      <w:r w:rsidR="00085A31">
        <w:rPr>
          <w:rFonts w:asciiTheme="majorHAnsi" w:hAnsiTheme="majorHAnsi" w:cstheme="majorHAnsi"/>
        </w:rPr>
        <w:t>.</w:t>
      </w:r>
    </w:p>
    <w:p w14:paraId="41DFAC11" w14:textId="4CEF64B3" w:rsidR="00901C5F" w:rsidRDefault="00A511CF" w:rsidP="009666F9">
      <w:pPr>
        <w:ind w:firstLine="720"/>
        <w:rPr>
          <w:rFonts w:asciiTheme="majorHAnsi" w:hAnsiTheme="majorHAnsi" w:cstheme="majorHAnsi"/>
        </w:rPr>
      </w:pPr>
      <w:r>
        <w:rPr>
          <w:rFonts w:asciiTheme="majorHAnsi" w:hAnsiTheme="majorHAnsi" w:cstheme="majorHAnsi"/>
        </w:rPr>
        <w:t>This paper</w:t>
      </w:r>
      <w:r w:rsidR="004115DA">
        <w:rPr>
          <w:rFonts w:asciiTheme="majorHAnsi" w:hAnsiTheme="majorHAnsi" w:cstheme="majorHAnsi"/>
        </w:rPr>
        <w:t xml:space="preserve"> focusses on two legitimacy criteria</w:t>
      </w:r>
      <w:r w:rsidR="00233483">
        <w:rPr>
          <w:rFonts w:asciiTheme="majorHAnsi" w:hAnsiTheme="majorHAnsi" w:cstheme="majorHAnsi"/>
        </w:rPr>
        <w:t xml:space="preserve"> which allow us to explore</w:t>
      </w:r>
      <w:r w:rsidR="00233483" w:rsidRPr="00F424D1">
        <w:rPr>
          <w:rFonts w:asciiTheme="majorHAnsi" w:hAnsiTheme="majorHAnsi" w:cstheme="majorHAnsi"/>
        </w:rPr>
        <w:t xml:space="preserve"> whose knowledge was sought, how was this gathered and filtered, and with what effect</w:t>
      </w:r>
      <w:r w:rsidR="00233483">
        <w:rPr>
          <w:rFonts w:asciiTheme="majorHAnsi" w:hAnsiTheme="majorHAnsi" w:cstheme="majorHAnsi"/>
        </w:rPr>
        <w:t xml:space="preserve">. </w:t>
      </w:r>
      <w:r w:rsidR="00045741">
        <w:rPr>
          <w:rFonts w:asciiTheme="majorHAnsi" w:hAnsiTheme="majorHAnsi" w:cstheme="majorHAnsi"/>
        </w:rPr>
        <w:t xml:space="preserve">Building on </w:t>
      </w:r>
      <w:r w:rsidR="00D5743A" w:rsidRPr="00C7423D">
        <w:rPr>
          <w:rFonts w:asciiTheme="majorHAnsi" w:hAnsiTheme="majorHAnsi" w:cstheme="majorHAnsi"/>
        </w:rPr>
        <w:t xml:space="preserve">Baldwin </w:t>
      </w:r>
      <w:r w:rsidR="00D5743A" w:rsidRPr="001A7151">
        <w:rPr>
          <w:rFonts w:asciiTheme="majorHAnsi" w:hAnsiTheme="majorHAnsi" w:cstheme="majorHAnsi"/>
        </w:rPr>
        <w:t>et al (2012)</w:t>
      </w:r>
      <w:r w:rsidR="00045741" w:rsidRPr="001A7151">
        <w:rPr>
          <w:rFonts w:asciiTheme="majorHAnsi" w:hAnsiTheme="majorHAnsi" w:cstheme="majorHAnsi"/>
        </w:rPr>
        <w:t>, first</w:t>
      </w:r>
      <w:r w:rsidR="00D5743A" w:rsidRPr="001A7151">
        <w:rPr>
          <w:rFonts w:asciiTheme="majorHAnsi" w:hAnsiTheme="majorHAnsi" w:cstheme="majorHAnsi"/>
        </w:rPr>
        <w:t xml:space="preserve">: are </w:t>
      </w:r>
      <w:r w:rsidR="00233483" w:rsidRPr="001A7151">
        <w:rPr>
          <w:rFonts w:asciiTheme="majorHAnsi" w:hAnsiTheme="majorHAnsi" w:cstheme="majorHAnsi"/>
        </w:rPr>
        <w:t>procedures sufficiently fair, accessible and open to expose the regulator to democratic influence</w:t>
      </w:r>
      <w:r w:rsidR="00D5743A" w:rsidRPr="001A7151">
        <w:rPr>
          <w:rFonts w:asciiTheme="majorHAnsi" w:hAnsiTheme="majorHAnsi" w:cstheme="majorHAnsi"/>
        </w:rPr>
        <w:t xml:space="preserve">? Potential </w:t>
      </w:r>
      <w:r w:rsidR="00C034A7" w:rsidRPr="001A7151">
        <w:rPr>
          <w:rFonts w:asciiTheme="majorHAnsi" w:hAnsiTheme="majorHAnsi" w:cstheme="majorHAnsi"/>
        </w:rPr>
        <w:t>sub-questions</w:t>
      </w:r>
      <w:r w:rsidR="004115DA" w:rsidRPr="001A7151">
        <w:rPr>
          <w:rFonts w:asciiTheme="majorHAnsi" w:hAnsiTheme="majorHAnsi" w:cstheme="majorHAnsi"/>
        </w:rPr>
        <w:t xml:space="preserve"> include</w:t>
      </w:r>
      <w:r w:rsidR="00D5743A" w:rsidRPr="001A7151">
        <w:rPr>
          <w:rFonts w:asciiTheme="majorHAnsi" w:hAnsiTheme="majorHAnsi" w:cstheme="majorHAnsi"/>
        </w:rPr>
        <w:t xml:space="preserve"> who is/should be </w:t>
      </w:r>
      <w:r w:rsidR="004115DA" w:rsidRPr="001A7151">
        <w:rPr>
          <w:rFonts w:asciiTheme="majorHAnsi" w:hAnsiTheme="majorHAnsi" w:cstheme="majorHAnsi"/>
        </w:rPr>
        <w:t>allowed to participate</w:t>
      </w:r>
      <w:r w:rsidR="00D5743A" w:rsidRPr="001A7151">
        <w:rPr>
          <w:rFonts w:asciiTheme="majorHAnsi" w:hAnsiTheme="majorHAnsi" w:cstheme="majorHAnsi"/>
        </w:rPr>
        <w:t xml:space="preserve">, and whether </w:t>
      </w:r>
      <w:r w:rsidR="004115DA" w:rsidRPr="001A7151">
        <w:rPr>
          <w:rFonts w:asciiTheme="majorHAnsi" w:hAnsiTheme="majorHAnsi" w:cstheme="majorHAnsi"/>
        </w:rPr>
        <w:t xml:space="preserve">the mode of participation </w:t>
      </w:r>
      <w:r w:rsidR="006755CC" w:rsidRPr="001A7151">
        <w:rPr>
          <w:rFonts w:asciiTheme="majorHAnsi" w:hAnsiTheme="majorHAnsi" w:cstheme="majorHAnsi"/>
        </w:rPr>
        <w:t xml:space="preserve">is </w:t>
      </w:r>
      <w:r w:rsidR="004115DA" w:rsidRPr="001A7151">
        <w:rPr>
          <w:rFonts w:asciiTheme="majorHAnsi" w:hAnsiTheme="majorHAnsi" w:cstheme="majorHAnsi"/>
        </w:rPr>
        <w:t>appropriate</w:t>
      </w:r>
      <w:r w:rsidR="006755CC" w:rsidRPr="001A7151">
        <w:rPr>
          <w:rFonts w:asciiTheme="majorHAnsi" w:hAnsiTheme="majorHAnsi" w:cstheme="majorHAnsi"/>
        </w:rPr>
        <w:t>.</w:t>
      </w:r>
      <w:r w:rsidR="00CF146A" w:rsidRPr="001A7151">
        <w:rPr>
          <w:rFonts w:asciiTheme="majorHAnsi" w:hAnsiTheme="majorHAnsi" w:cstheme="majorHAnsi"/>
        </w:rPr>
        <w:t xml:space="preserve"> Second, </w:t>
      </w:r>
      <w:r w:rsidR="00233483" w:rsidRPr="001A7151">
        <w:rPr>
          <w:rFonts w:asciiTheme="majorHAnsi" w:hAnsiTheme="majorHAnsi" w:cstheme="majorHAnsi"/>
        </w:rPr>
        <w:t>relevant expertise</w:t>
      </w:r>
      <w:r w:rsidR="00C7423D" w:rsidRPr="001A7151">
        <w:rPr>
          <w:rFonts w:asciiTheme="majorHAnsi" w:hAnsiTheme="majorHAnsi" w:cstheme="majorHAnsi"/>
        </w:rPr>
        <w:t>: have s</w:t>
      </w:r>
      <w:r w:rsidR="004115DA" w:rsidRPr="001A7151">
        <w:rPr>
          <w:rFonts w:asciiTheme="majorHAnsi" w:hAnsiTheme="majorHAnsi" w:cstheme="majorHAnsi"/>
        </w:rPr>
        <w:t>pecialized knowledge, skills and expertise have been applied in judgements made</w:t>
      </w:r>
      <w:r w:rsidR="00C7423D" w:rsidRPr="001A7151">
        <w:rPr>
          <w:rFonts w:asciiTheme="majorHAnsi" w:hAnsiTheme="majorHAnsi" w:cstheme="majorHAnsi"/>
        </w:rPr>
        <w:t>?</w:t>
      </w:r>
      <w:r w:rsidR="006755CC" w:rsidRPr="001A7151">
        <w:rPr>
          <w:rFonts w:asciiTheme="majorHAnsi" w:hAnsiTheme="majorHAnsi" w:cstheme="majorHAnsi"/>
        </w:rPr>
        <w:t xml:space="preserve"> Potential </w:t>
      </w:r>
      <w:r w:rsidR="00C034A7" w:rsidRPr="001A7151">
        <w:rPr>
          <w:rFonts w:asciiTheme="majorHAnsi" w:hAnsiTheme="majorHAnsi" w:cstheme="majorHAnsi"/>
        </w:rPr>
        <w:t>sub-questions</w:t>
      </w:r>
      <w:r w:rsidR="006755CC" w:rsidRPr="001A7151">
        <w:rPr>
          <w:rFonts w:asciiTheme="majorHAnsi" w:hAnsiTheme="majorHAnsi" w:cstheme="majorHAnsi"/>
        </w:rPr>
        <w:t xml:space="preserve"> include the nature of expertise and experts prioritised</w:t>
      </w:r>
      <w:r w:rsidR="00EA3529" w:rsidRPr="001A7151">
        <w:rPr>
          <w:rFonts w:asciiTheme="majorHAnsi" w:hAnsiTheme="majorHAnsi" w:cstheme="majorHAnsi"/>
        </w:rPr>
        <w:t xml:space="preserve">, </w:t>
      </w:r>
      <w:r w:rsidR="00045741" w:rsidRPr="001A7151">
        <w:rPr>
          <w:rFonts w:asciiTheme="majorHAnsi" w:hAnsiTheme="majorHAnsi" w:cstheme="majorHAnsi"/>
        </w:rPr>
        <w:t xml:space="preserve">trust of experts, and how </w:t>
      </w:r>
      <w:r w:rsidR="004115DA" w:rsidRPr="001A7151">
        <w:rPr>
          <w:rFonts w:asciiTheme="majorHAnsi" w:hAnsiTheme="majorHAnsi" w:cstheme="majorHAnsi"/>
        </w:rPr>
        <w:t>'relevant' expertise</w:t>
      </w:r>
      <w:r w:rsidR="00045741" w:rsidRPr="001A7151">
        <w:rPr>
          <w:rFonts w:asciiTheme="majorHAnsi" w:hAnsiTheme="majorHAnsi" w:cstheme="majorHAnsi"/>
        </w:rPr>
        <w:t xml:space="preserve"> is defined</w:t>
      </w:r>
      <w:r w:rsidR="004115DA" w:rsidRPr="001A7151">
        <w:rPr>
          <w:rFonts w:asciiTheme="majorHAnsi" w:hAnsiTheme="majorHAnsi" w:cstheme="majorHAnsi"/>
        </w:rPr>
        <w:t xml:space="preserve">. </w:t>
      </w:r>
      <w:r w:rsidR="00DB4DEC">
        <w:rPr>
          <w:rFonts w:asciiTheme="majorHAnsi" w:hAnsiTheme="majorHAnsi" w:cstheme="majorHAnsi"/>
        </w:rPr>
        <w:t xml:space="preserve">These are </w:t>
      </w:r>
      <w:r w:rsidR="00DB4DEC" w:rsidRPr="00484A9A">
        <w:rPr>
          <w:rFonts w:asciiTheme="majorHAnsi" w:hAnsiTheme="majorHAnsi" w:cstheme="majorHAnsi"/>
        </w:rPr>
        <w:t xml:space="preserve">pertinent given the </w:t>
      </w:r>
      <w:r w:rsidR="00E76E9D" w:rsidRPr="00484A9A">
        <w:rPr>
          <w:rFonts w:asciiTheme="majorHAnsi" w:hAnsiTheme="majorHAnsi" w:cstheme="majorHAnsi"/>
        </w:rPr>
        <w:t>rise of the 'responsive' regulatory state</w:t>
      </w:r>
      <w:r w:rsidR="001237D7">
        <w:rPr>
          <w:rFonts w:asciiTheme="majorHAnsi" w:hAnsiTheme="majorHAnsi" w:cstheme="majorHAnsi"/>
        </w:rPr>
        <w:t xml:space="preserve"> noted above</w:t>
      </w:r>
      <w:r w:rsidR="00F40FA8" w:rsidRPr="00484A9A">
        <w:rPr>
          <w:rFonts w:asciiTheme="majorHAnsi" w:hAnsiTheme="majorHAnsi" w:cstheme="majorHAnsi"/>
        </w:rPr>
        <w:t xml:space="preserve">. </w:t>
      </w:r>
      <w:r w:rsidR="004115DA" w:rsidRPr="00484A9A">
        <w:rPr>
          <w:rFonts w:asciiTheme="majorHAnsi" w:hAnsiTheme="majorHAnsi" w:cstheme="majorHAnsi"/>
        </w:rPr>
        <w:t>Trust</w:t>
      </w:r>
      <w:r w:rsidR="00484A9A">
        <w:rPr>
          <w:rFonts w:asciiTheme="majorHAnsi" w:hAnsiTheme="majorHAnsi" w:cstheme="majorHAnsi"/>
        </w:rPr>
        <w:t>, for example,</w:t>
      </w:r>
      <w:r w:rsidR="004115DA" w:rsidRPr="00484A9A">
        <w:rPr>
          <w:rFonts w:asciiTheme="majorHAnsi" w:hAnsiTheme="majorHAnsi" w:cstheme="majorHAnsi"/>
        </w:rPr>
        <w:t xml:space="preserve"> </w:t>
      </w:r>
      <w:r w:rsidR="004115DA" w:rsidRPr="001A7151">
        <w:rPr>
          <w:rFonts w:asciiTheme="majorHAnsi" w:hAnsiTheme="majorHAnsi" w:cstheme="majorHAnsi"/>
        </w:rPr>
        <w:t>requires confidence that regulators have not been captured by particular parties for their own gain (</w:t>
      </w:r>
      <w:r w:rsidR="006F343B">
        <w:rPr>
          <w:rFonts w:asciiTheme="majorHAnsi" w:hAnsiTheme="majorHAnsi" w:cstheme="majorHAnsi"/>
        </w:rPr>
        <w:t>Blakelock, 2020</w:t>
      </w:r>
      <w:r w:rsidR="004115DA" w:rsidRPr="001A7151">
        <w:rPr>
          <w:rFonts w:asciiTheme="majorHAnsi" w:hAnsiTheme="majorHAnsi" w:cstheme="majorHAnsi"/>
        </w:rPr>
        <w:t xml:space="preserve">). This can be achieved through openness and accountability by regulatory policy formulation actors (Baldwin et al, 2012; </w:t>
      </w:r>
      <w:r w:rsidR="006F343B">
        <w:rPr>
          <w:rFonts w:asciiTheme="majorHAnsi" w:hAnsiTheme="majorHAnsi" w:cstheme="majorHAnsi"/>
        </w:rPr>
        <w:t>Blakelock, 2020</w:t>
      </w:r>
      <w:r w:rsidR="004115DA" w:rsidRPr="001A7151">
        <w:rPr>
          <w:rFonts w:asciiTheme="majorHAnsi" w:hAnsiTheme="majorHAnsi" w:cstheme="majorHAnsi"/>
        </w:rPr>
        <w:t>).</w:t>
      </w:r>
      <w:r w:rsidR="00367EE9">
        <w:rPr>
          <w:rFonts w:asciiTheme="majorHAnsi" w:hAnsiTheme="majorHAnsi" w:cstheme="majorHAnsi"/>
        </w:rPr>
        <w:t xml:space="preserve"> </w:t>
      </w:r>
    </w:p>
    <w:p w14:paraId="27A1292C" w14:textId="7290E96D" w:rsidR="00C57F57" w:rsidRDefault="00484A9A" w:rsidP="00B07EE1">
      <w:pPr>
        <w:ind w:firstLine="720"/>
        <w:rPr>
          <w:rFonts w:asciiTheme="majorHAnsi" w:hAnsiTheme="majorHAnsi" w:cstheme="majorHAnsi"/>
        </w:rPr>
      </w:pPr>
      <w:r>
        <w:rPr>
          <w:rFonts w:asciiTheme="majorHAnsi" w:hAnsiTheme="majorHAnsi" w:cstheme="majorHAnsi"/>
        </w:rPr>
        <w:t>But m</w:t>
      </w:r>
      <w:r w:rsidR="005D0E14">
        <w:rPr>
          <w:rFonts w:asciiTheme="majorHAnsi" w:hAnsiTheme="majorHAnsi" w:cstheme="majorHAnsi"/>
        </w:rPr>
        <w:t>ore fundamentally,</w:t>
      </w:r>
      <w:r w:rsidR="005D0E14" w:rsidRPr="00687D3E">
        <w:rPr>
          <w:rFonts w:asciiTheme="majorHAnsi" w:hAnsiTheme="majorHAnsi" w:cstheme="majorHAnsi"/>
        </w:rPr>
        <w:t xml:space="preserve"> </w:t>
      </w:r>
      <w:r>
        <w:rPr>
          <w:rFonts w:asciiTheme="majorHAnsi" w:hAnsiTheme="majorHAnsi" w:cstheme="majorHAnsi"/>
        </w:rPr>
        <w:t xml:space="preserve">examining </w:t>
      </w:r>
      <w:r w:rsidR="005D0E14" w:rsidRPr="00687D3E">
        <w:rPr>
          <w:rFonts w:asciiTheme="majorHAnsi" w:hAnsiTheme="majorHAnsi" w:cstheme="majorHAnsi"/>
        </w:rPr>
        <w:t xml:space="preserve">the </w:t>
      </w:r>
      <w:r w:rsidR="005D0E14">
        <w:rPr>
          <w:rFonts w:asciiTheme="majorHAnsi" w:hAnsiTheme="majorHAnsi" w:cstheme="majorHAnsi"/>
        </w:rPr>
        <w:t>role</w:t>
      </w:r>
      <w:r w:rsidR="005D0E14" w:rsidRPr="00687D3E">
        <w:rPr>
          <w:rFonts w:asciiTheme="majorHAnsi" w:hAnsiTheme="majorHAnsi" w:cstheme="majorHAnsi"/>
        </w:rPr>
        <w:t xml:space="preserve"> of expertise from beyond the regulator is crucial </w:t>
      </w:r>
      <w:r w:rsidR="005D0E14">
        <w:rPr>
          <w:rFonts w:asciiTheme="majorHAnsi" w:hAnsiTheme="majorHAnsi" w:cstheme="majorHAnsi"/>
        </w:rPr>
        <w:t xml:space="preserve">for </w:t>
      </w:r>
      <w:r>
        <w:rPr>
          <w:rFonts w:asciiTheme="majorHAnsi" w:hAnsiTheme="majorHAnsi" w:cstheme="majorHAnsi"/>
        </w:rPr>
        <w:t xml:space="preserve">understanding </w:t>
      </w:r>
      <w:r w:rsidR="005D0E14">
        <w:rPr>
          <w:rFonts w:asciiTheme="majorHAnsi" w:hAnsiTheme="majorHAnsi" w:cstheme="majorHAnsi"/>
        </w:rPr>
        <w:t>both legitimacy criteria</w:t>
      </w:r>
      <w:r w:rsidR="005D0E14" w:rsidRPr="00687D3E">
        <w:rPr>
          <w:rFonts w:asciiTheme="majorHAnsi" w:eastAsiaTheme="minorHAnsi" w:hAnsiTheme="majorHAnsi" w:cstheme="majorHAnsi"/>
        </w:rPr>
        <w:t>.</w:t>
      </w:r>
      <w:r w:rsidR="005D0E14">
        <w:rPr>
          <w:rFonts w:asciiTheme="majorHAnsi" w:eastAsiaTheme="minorHAnsi" w:hAnsiTheme="majorHAnsi" w:cstheme="majorHAnsi"/>
        </w:rPr>
        <w:t xml:space="preserve"> </w:t>
      </w:r>
      <w:r w:rsidR="005D0E14" w:rsidRPr="00B07EE1">
        <w:rPr>
          <w:rFonts w:asciiTheme="majorHAnsi" w:eastAsiaTheme="minorHAnsi" w:hAnsiTheme="majorHAnsi" w:cstheme="majorHAnsi"/>
        </w:rPr>
        <w:t xml:space="preserve">This paper </w:t>
      </w:r>
      <w:r w:rsidR="00441D7F" w:rsidRPr="00B07EE1">
        <w:rPr>
          <w:rFonts w:asciiTheme="majorHAnsi" w:hAnsiTheme="majorHAnsi" w:cstheme="majorHAnsi"/>
        </w:rPr>
        <w:t>critically examin</w:t>
      </w:r>
      <w:r w:rsidR="005D0E14" w:rsidRPr="00B07EE1">
        <w:rPr>
          <w:rFonts w:asciiTheme="majorHAnsi" w:hAnsiTheme="majorHAnsi" w:cstheme="majorHAnsi"/>
        </w:rPr>
        <w:t>es</w:t>
      </w:r>
      <w:r w:rsidR="00441D7F" w:rsidRPr="00B07EE1">
        <w:rPr>
          <w:rFonts w:asciiTheme="majorHAnsi" w:hAnsiTheme="majorHAnsi" w:cstheme="majorHAnsi"/>
        </w:rPr>
        <w:t xml:space="preserve"> </w:t>
      </w:r>
      <w:r w:rsidR="00441D7F" w:rsidRPr="001237D7">
        <w:rPr>
          <w:rFonts w:asciiTheme="majorHAnsi" w:hAnsiTheme="majorHAnsi" w:cstheme="majorHAnsi"/>
          <w:i/>
          <w:iCs/>
        </w:rPr>
        <w:t>participatory tools</w:t>
      </w:r>
      <w:r w:rsidR="00441D7F" w:rsidRPr="00B07EE1">
        <w:rPr>
          <w:rFonts w:asciiTheme="majorHAnsi" w:hAnsiTheme="majorHAnsi" w:cstheme="majorHAnsi"/>
        </w:rPr>
        <w:t xml:space="preserve"> as a way to embed legitimacy into regulatory policymaking (</w:t>
      </w:r>
      <w:r w:rsidR="006F343B">
        <w:rPr>
          <w:rFonts w:asciiTheme="majorHAnsi" w:hAnsiTheme="majorHAnsi" w:cstheme="majorHAnsi"/>
        </w:rPr>
        <w:t>Blakelock, 2020</w:t>
      </w:r>
      <w:r w:rsidR="00793A46">
        <w:rPr>
          <w:rFonts w:asciiTheme="majorHAnsi" w:hAnsiTheme="majorHAnsi" w:cstheme="majorHAnsi"/>
        </w:rPr>
        <w:t>;</w:t>
      </w:r>
      <w:r w:rsidR="00441D7F" w:rsidRPr="00B07EE1">
        <w:rPr>
          <w:rFonts w:asciiTheme="majorHAnsi" w:hAnsiTheme="majorHAnsi" w:cstheme="majorHAnsi"/>
        </w:rPr>
        <w:t xml:space="preserve"> Deller et al. 2018). </w:t>
      </w:r>
      <w:r w:rsidR="00C57F57" w:rsidRPr="00B07EE1">
        <w:rPr>
          <w:rFonts w:asciiTheme="majorHAnsi" w:hAnsiTheme="majorHAnsi" w:cstheme="majorHAnsi"/>
        </w:rPr>
        <w:t xml:space="preserve">Participatory </w:t>
      </w:r>
      <w:r w:rsidR="00C57F57" w:rsidRPr="00591093">
        <w:rPr>
          <w:rFonts w:asciiTheme="majorHAnsi" w:hAnsiTheme="majorHAnsi" w:cstheme="majorHAnsi"/>
        </w:rPr>
        <w:t>tools facilitate a dialogue between actors within and outside an institution and provide opportunity for institutions to adopt insight from a diverse range of knowledges (Abrams and Primack, 1980; Felt et al</w:t>
      </w:r>
      <w:r w:rsidR="00C57F57">
        <w:rPr>
          <w:rFonts w:asciiTheme="majorHAnsi" w:hAnsiTheme="majorHAnsi" w:cstheme="majorHAnsi"/>
        </w:rPr>
        <w:t>,</w:t>
      </w:r>
      <w:r w:rsidR="00C57F57" w:rsidRPr="00591093">
        <w:rPr>
          <w:rFonts w:asciiTheme="majorHAnsi" w:hAnsiTheme="majorHAnsi" w:cstheme="majorHAnsi"/>
        </w:rPr>
        <w:t xml:space="preserve"> 2012; Hisschemöller and Cuppen, 2015; Hoppe, 2018). Specific definitions of participatory tools vary, but generally tools that enable participation beyond an institution can open up and evaluate policy problems, as well as evaluate options for policy design (Beierle, 2010; Cuppen et al, 2010; Hisschemöller and Cuppen, 2015), in theory benefitting from a diversity of views to aid </w:t>
      </w:r>
      <w:r w:rsidR="00C57F57">
        <w:rPr>
          <w:rFonts w:asciiTheme="majorHAnsi" w:hAnsiTheme="majorHAnsi" w:cstheme="majorHAnsi"/>
        </w:rPr>
        <w:t xml:space="preserve">policy </w:t>
      </w:r>
      <w:r w:rsidR="00C57F57" w:rsidRPr="00591093">
        <w:rPr>
          <w:rFonts w:asciiTheme="majorHAnsi" w:hAnsiTheme="majorHAnsi" w:cstheme="majorHAnsi"/>
        </w:rPr>
        <w:t>production (Woodhouse and Nieusma, 2001; Smith, 2009; Pallett and Chilvers, 2013).</w:t>
      </w:r>
      <w:r w:rsidR="00C57F57">
        <w:rPr>
          <w:rFonts w:asciiTheme="majorHAnsi" w:hAnsiTheme="majorHAnsi" w:cstheme="majorHAnsi"/>
        </w:rPr>
        <w:t xml:space="preserve"> This opportunity is particularly crucial for contemporary energy regulation, which has repeatedly been provided with legislative powers to deliver energy which is both affordable for citizens and is decarbonised (Deller et al. 2018</w:t>
      </w:r>
      <w:r w:rsidR="00793A46">
        <w:rPr>
          <w:rFonts w:asciiTheme="majorHAnsi" w:hAnsiTheme="majorHAnsi" w:cstheme="majorHAnsi"/>
        </w:rPr>
        <w:t>;</w:t>
      </w:r>
      <w:r w:rsidR="00C57F57">
        <w:rPr>
          <w:rFonts w:asciiTheme="majorHAnsi" w:hAnsiTheme="majorHAnsi" w:cstheme="majorHAnsi"/>
        </w:rPr>
        <w:t xml:space="preserve"> </w:t>
      </w:r>
      <w:r w:rsidR="006F343B">
        <w:rPr>
          <w:rFonts w:asciiTheme="majorHAnsi" w:hAnsiTheme="majorHAnsi" w:cstheme="majorHAnsi"/>
        </w:rPr>
        <w:lastRenderedPageBreak/>
        <w:t>Blakelock, 2020</w:t>
      </w:r>
      <w:r w:rsidR="00C57F57">
        <w:rPr>
          <w:rFonts w:asciiTheme="majorHAnsi" w:hAnsiTheme="majorHAnsi" w:cstheme="majorHAnsi"/>
        </w:rPr>
        <w:t>).  However, a</w:t>
      </w:r>
      <w:r w:rsidR="00C57F57" w:rsidRPr="00BA0069">
        <w:rPr>
          <w:rFonts w:asciiTheme="majorHAnsi" w:hAnsiTheme="majorHAnsi" w:cstheme="majorHAnsi"/>
        </w:rPr>
        <w:t xml:space="preserve"> rare study of decision-making at Ofgem identified a problematic focus on traditional competitive market procedures and a failure to engage with unaffordable energy and climate change</w:t>
      </w:r>
      <w:r w:rsidR="000F0258">
        <w:rPr>
          <w:rFonts w:asciiTheme="majorHAnsi" w:hAnsiTheme="majorHAnsi" w:cstheme="majorHAnsi"/>
        </w:rPr>
        <w:t xml:space="preserve"> as topics</w:t>
      </w:r>
      <w:r w:rsidR="00C57F57" w:rsidRPr="00BA0069">
        <w:rPr>
          <w:rFonts w:asciiTheme="majorHAnsi" w:hAnsiTheme="majorHAnsi" w:cstheme="majorHAnsi"/>
        </w:rPr>
        <w:t xml:space="preserve"> in line with</w:t>
      </w:r>
      <w:r w:rsidR="000F0258">
        <w:rPr>
          <w:rFonts w:asciiTheme="majorHAnsi" w:hAnsiTheme="majorHAnsi" w:cstheme="majorHAnsi"/>
        </w:rPr>
        <w:t xml:space="preserve"> Ofgem’s</w:t>
      </w:r>
      <w:r w:rsidR="00C57F57" w:rsidRPr="00BA0069">
        <w:rPr>
          <w:rFonts w:asciiTheme="majorHAnsi" w:hAnsiTheme="majorHAnsi" w:cstheme="majorHAnsi"/>
        </w:rPr>
        <w:t xml:space="preserve"> statutory powers (Scrase and Ockwell, 2010). </w:t>
      </w:r>
      <w:r w:rsidR="00B07EE1" w:rsidRPr="00F424D1">
        <w:rPr>
          <w:rFonts w:asciiTheme="majorHAnsi" w:hAnsiTheme="majorHAnsi" w:cstheme="majorHAnsi"/>
        </w:rPr>
        <w:t>This finding aligns with a significant literature on the role of powerful knowledges within institutions, which identifies the importance of economic knowledges, a focus on competitive procedures, and a ‘deficit model’ of consumers in competitive markets (Devine-Wright, 2007; Shove and Walker, 2014; Lennon et al. 2019). People who use energy in their homes are known not as voting, participating citizens but as “lacking interest, care, action, time, knowledge or understanding” (Cotton and Devine-Wright, 2012: 21).</w:t>
      </w:r>
      <w:r w:rsidR="00B07EE1">
        <w:rPr>
          <w:rFonts w:asciiTheme="majorHAnsi" w:hAnsiTheme="majorHAnsi" w:cstheme="majorHAnsi"/>
        </w:rPr>
        <w:t xml:space="preserve"> </w:t>
      </w:r>
      <w:r w:rsidR="00C57F57" w:rsidRPr="00BA0069">
        <w:rPr>
          <w:rFonts w:asciiTheme="majorHAnsi" w:hAnsiTheme="majorHAnsi" w:cstheme="majorHAnsi"/>
        </w:rPr>
        <w:t xml:space="preserve">If this were a systematic issue at Ofgem it could pose a significant challenge to Ofgem’s role as a legitimate rule setter.  </w:t>
      </w:r>
    </w:p>
    <w:p w14:paraId="0A0B1CCF" w14:textId="66ABC726" w:rsidR="002D3E4A" w:rsidRPr="007026E6" w:rsidRDefault="005E1F30" w:rsidP="007026E6">
      <w:pPr>
        <w:ind w:firstLine="720"/>
        <w:rPr>
          <w:rFonts w:asciiTheme="majorHAnsi" w:hAnsiTheme="majorHAnsi" w:cstheme="majorHAnsi"/>
        </w:rPr>
      </w:pPr>
      <w:r>
        <w:rPr>
          <w:rFonts w:asciiTheme="majorHAnsi" w:hAnsiTheme="majorHAnsi" w:cstheme="majorHAnsi"/>
        </w:rPr>
        <w:t xml:space="preserve">This paper </w:t>
      </w:r>
      <w:r w:rsidR="00C57F57" w:rsidRPr="004F09AD">
        <w:rPr>
          <w:rFonts w:asciiTheme="majorHAnsi" w:hAnsiTheme="majorHAnsi" w:cstheme="majorHAnsi"/>
        </w:rPr>
        <w:t xml:space="preserve">focuses on two </w:t>
      </w:r>
      <w:r w:rsidR="00C57F57">
        <w:rPr>
          <w:rFonts w:asciiTheme="majorHAnsi" w:hAnsiTheme="majorHAnsi" w:cstheme="majorHAnsi"/>
        </w:rPr>
        <w:t xml:space="preserve">classic </w:t>
      </w:r>
      <w:r w:rsidR="004E32D5">
        <w:rPr>
          <w:rFonts w:asciiTheme="majorHAnsi" w:hAnsiTheme="majorHAnsi" w:cstheme="majorHAnsi"/>
        </w:rPr>
        <w:t xml:space="preserve">participatory </w:t>
      </w:r>
      <w:r w:rsidR="00C57F57" w:rsidRPr="004F09AD">
        <w:rPr>
          <w:rFonts w:asciiTheme="majorHAnsi" w:hAnsiTheme="majorHAnsi" w:cstheme="majorHAnsi"/>
        </w:rPr>
        <w:t>tools that were of crucial importance within the venue of Ofgem during 2007-2016. While indicators and impact assessments were employed during this period (</w:t>
      </w:r>
      <w:r w:rsidR="006F343B">
        <w:rPr>
          <w:rFonts w:asciiTheme="majorHAnsi" w:hAnsiTheme="majorHAnsi" w:cstheme="majorHAnsi"/>
        </w:rPr>
        <w:t>Blakelock, 2020</w:t>
      </w:r>
      <w:r w:rsidR="00C57F57" w:rsidRPr="004F09AD">
        <w:rPr>
          <w:rFonts w:asciiTheme="majorHAnsi" w:hAnsiTheme="majorHAnsi" w:cstheme="majorHAnsi"/>
        </w:rPr>
        <w:t xml:space="preserve">), </w:t>
      </w:r>
      <w:r w:rsidR="00C57F57" w:rsidRPr="004F09AD">
        <w:rPr>
          <w:rFonts w:asciiTheme="majorHAnsi" w:hAnsiTheme="majorHAnsi" w:cstheme="majorHAnsi"/>
          <w:i/>
          <w:iCs/>
        </w:rPr>
        <w:t>deliberative focus groups</w:t>
      </w:r>
      <w:r w:rsidR="00C57F57" w:rsidRPr="004F09AD">
        <w:rPr>
          <w:rFonts w:asciiTheme="majorHAnsi" w:hAnsiTheme="majorHAnsi" w:cstheme="majorHAnsi"/>
        </w:rPr>
        <w:t xml:space="preserve"> with members of the public, and </w:t>
      </w:r>
      <w:r w:rsidR="00C57F57" w:rsidRPr="004F09AD">
        <w:rPr>
          <w:rFonts w:asciiTheme="majorHAnsi" w:hAnsiTheme="majorHAnsi" w:cstheme="majorHAnsi"/>
          <w:i/>
          <w:iCs/>
        </w:rPr>
        <w:t>stakeholder consultations</w:t>
      </w:r>
      <w:r w:rsidR="00D01130">
        <w:rPr>
          <w:rFonts w:asciiTheme="majorHAnsi" w:hAnsiTheme="majorHAnsi" w:cstheme="majorHAnsi"/>
          <w:i/>
          <w:iCs/>
        </w:rPr>
        <w:t>,</w:t>
      </w:r>
      <w:r w:rsidR="00014597">
        <w:rPr>
          <w:rFonts w:asciiTheme="majorHAnsi" w:hAnsiTheme="majorHAnsi" w:cstheme="majorHAnsi"/>
        </w:rPr>
        <w:t xml:space="preserve"> to</w:t>
      </w:r>
      <w:r w:rsidR="00C57F57">
        <w:rPr>
          <w:rFonts w:asciiTheme="majorHAnsi" w:hAnsiTheme="majorHAnsi" w:cstheme="majorHAnsi"/>
        </w:rPr>
        <w:t>gether</w:t>
      </w:r>
      <w:r w:rsidR="00C57F57" w:rsidRPr="004F09AD">
        <w:rPr>
          <w:rFonts w:asciiTheme="majorHAnsi" w:hAnsiTheme="majorHAnsi" w:cstheme="majorHAnsi"/>
        </w:rPr>
        <w:t xml:space="preserve"> were seen as a central part of </w:t>
      </w:r>
      <w:r w:rsidR="00C57F57" w:rsidRPr="00584F3A">
        <w:rPr>
          <w:rFonts w:asciiTheme="majorHAnsi" w:hAnsiTheme="majorHAnsi" w:cstheme="majorHAnsi"/>
        </w:rPr>
        <w:t xml:space="preserve">policy formulation by Ofgem and other actors (Department for Business, Innovation and Skills, 2011; </w:t>
      </w:r>
      <w:r w:rsidR="006F343B">
        <w:rPr>
          <w:rFonts w:asciiTheme="majorHAnsi" w:hAnsiTheme="majorHAnsi" w:cstheme="majorHAnsi"/>
        </w:rPr>
        <w:t>Blakelock, 2020</w:t>
      </w:r>
      <w:r w:rsidR="00C57F57" w:rsidRPr="00584F3A">
        <w:rPr>
          <w:rFonts w:asciiTheme="majorHAnsi" w:hAnsiTheme="majorHAnsi" w:cstheme="majorHAnsi"/>
        </w:rPr>
        <w:t>).</w:t>
      </w:r>
      <w:r w:rsidR="0088135A">
        <w:rPr>
          <w:rFonts w:asciiTheme="majorHAnsi" w:hAnsiTheme="majorHAnsi" w:cstheme="majorHAnsi"/>
        </w:rPr>
        <w:t xml:space="preserve"> These tools </w:t>
      </w:r>
      <w:r w:rsidR="001D6FA7">
        <w:rPr>
          <w:rFonts w:asciiTheme="majorHAnsi" w:hAnsiTheme="majorHAnsi" w:cstheme="majorHAnsi"/>
        </w:rPr>
        <w:t>embody</w:t>
      </w:r>
      <w:r w:rsidR="0088135A">
        <w:rPr>
          <w:rFonts w:asciiTheme="majorHAnsi" w:hAnsiTheme="majorHAnsi" w:cstheme="majorHAnsi"/>
        </w:rPr>
        <w:t xml:space="preserve"> the distinction between citizen or consumer participants, and (professional) stakeholder participants (Haber and Heims, 2020)</w:t>
      </w:r>
      <w:r w:rsidR="001D6FA7">
        <w:rPr>
          <w:rFonts w:asciiTheme="majorHAnsi" w:hAnsiTheme="majorHAnsi" w:cstheme="majorHAnsi"/>
        </w:rPr>
        <w:t xml:space="preserve">. Examining how they interact </w:t>
      </w:r>
      <w:r w:rsidR="007C67BE">
        <w:rPr>
          <w:rFonts w:asciiTheme="majorHAnsi" w:hAnsiTheme="majorHAnsi" w:cstheme="majorHAnsi"/>
        </w:rPr>
        <w:t xml:space="preserve">in detail in Ofgem </w:t>
      </w:r>
      <w:r w:rsidR="002D3E4A">
        <w:rPr>
          <w:rFonts w:asciiTheme="majorHAnsi" w:hAnsiTheme="majorHAnsi" w:cstheme="majorHAnsi"/>
        </w:rPr>
        <w:t>builds on</w:t>
      </w:r>
      <w:r w:rsidR="007C67BE">
        <w:rPr>
          <w:rFonts w:asciiTheme="majorHAnsi" w:hAnsiTheme="majorHAnsi" w:cstheme="majorHAnsi"/>
        </w:rPr>
        <w:t xml:space="preserve"> Haber and Heims' study, </w:t>
      </w:r>
      <w:r w:rsidR="007C67BE" w:rsidRPr="007026E6">
        <w:rPr>
          <w:rFonts w:asciiTheme="majorHAnsi" w:hAnsiTheme="majorHAnsi" w:cstheme="majorHAnsi"/>
        </w:rPr>
        <w:t>which found that</w:t>
      </w:r>
      <w:r w:rsidR="007026E6" w:rsidRPr="007026E6">
        <w:rPr>
          <w:rFonts w:asciiTheme="majorHAnsi" w:hAnsiTheme="majorHAnsi" w:cstheme="majorHAnsi"/>
        </w:rPr>
        <w:t>, across countries,</w:t>
      </w:r>
      <w:r w:rsidR="007C67BE" w:rsidRPr="007026E6">
        <w:rPr>
          <w:rFonts w:asciiTheme="majorHAnsi" w:hAnsiTheme="majorHAnsi" w:cstheme="majorHAnsi"/>
        </w:rPr>
        <w:t xml:space="preserve"> </w:t>
      </w:r>
      <w:r w:rsidR="005D0487" w:rsidRPr="007026E6">
        <w:rPr>
          <w:rFonts w:asciiTheme="majorHAnsi" w:hAnsiTheme="majorHAnsi" w:cstheme="majorHAnsi"/>
        </w:rPr>
        <w:t xml:space="preserve">energy is one of the </w:t>
      </w:r>
      <w:r w:rsidR="007C67BE" w:rsidRPr="007026E6">
        <w:rPr>
          <w:rFonts w:asciiTheme="majorHAnsi" w:hAnsiTheme="majorHAnsi" w:cstheme="majorHAnsi"/>
        </w:rPr>
        <w:t xml:space="preserve">leading </w:t>
      </w:r>
      <w:r w:rsidR="005D0487" w:rsidRPr="007026E6">
        <w:rPr>
          <w:rFonts w:asciiTheme="majorHAnsi" w:hAnsiTheme="majorHAnsi" w:cstheme="majorHAnsi"/>
        </w:rPr>
        <w:t>sectors</w:t>
      </w:r>
      <w:r w:rsidR="007026E6" w:rsidRPr="007026E6">
        <w:rPr>
          <w:rFonts w:asciiTheme="majorHAnsi" w:hAnsiTheme="majorHAnsi" w:cstheme="majorHAnsi"/>
        </w:rPr>
        <w:t xml:space="preserve"> in referring to </w:t>
      </w:r>
      <w:r w:rsidR="005D0487" w:rsidRPr="007026E6">
        <w:rPr>
          <w:rFonts w:asciiTheme="majorHAnsi" w:hAnsiTheme="majorHAnsi" w:cstheme="majorHAnsi"/>
        </w:rPr>
        <w:t>citizen, consumer and customer participation</w:t>
      </w:r>
      <w:r w:rsidR="007026E6" w:rsidRPr="007026E6">
        <w:rPr>
          <w:rFonts w:asciiTheme="majorHAnsi" w:hAnsiTheme="majorHAnsi" w:cstheme="majorHAnsi"/>
        </w:rPr>
        <w:t>.</w:t>
      </w:r>
    </w:p>
    <w:p w14:paraId="140C90FE" w14:textId="4839D12F" w:rsidR="00F07824" w:rsidRPr="001F40FD" w:rsidRDefault="00244EB1" w:rsidP="002920B3">
      <w:pPr>
        <w:ind w:firstLine="720"/>
        <w:rPr>
          <w:rFonts w:asciiTheme="majorHAnsi" w:hAnsiTheme="majorHAnsi" w:cstheme="majorHAnsi"/>
          <w:highlight w:val="green"/>
        </w:rPr>
      </w:pPr>
      <w:bookmarkStart w:id="0" w:name="_Toc30602497"/>
      <w:bookmarkStart w:id="1" w:name="_Toc34747395"/>
      <w:r>
        <w:rPr>
          <w:rFonts w:asciiTheme="majorHAnsi" w:hAnsiTheme="majorHAnsi" w:cstheme="majorHAnsi"/>
        </w:rPr>
        <w:t>For its investigation, this paper</w:t>
      </w:r>
      <w:r w:rsidR="00F31CC0" w:rsidRPr="00F424D1">
        <w:rPr>
          <w:rFonts w:asciiTheme="majorHAnsi" w:hAnsiTheme="majorHAnsi" w:cstheme="majorHAnsi"/>
        </w:rPr>
        <w:t xml:space="preserve"> draw</w:t>
      </w:r>
      <w:r>
        <w:rPr>
          <w:rFonts w:asciiTheme="majorHAnsi" w:hAnsiTheme="majorHAnsi" w:cstheme="majorHAnsi"/>
        </w:rPr>
        <w:t>s</w:t>
      </w:r>
      <w:r w:rsidR="00F31CC0" w:rsidRPr="00F424D1">
        <w:rPr>
          <w:rFonts w:asciiTheme="majorHAnsi" w:hAnsiTheme="majorHAnsi" w:cstheme="majorHAnsi"/>
        </w:rPr>
        <w:t xml:space="preserve"> on a framework for analysis of policy formulation. Policy formulation is the set of procedures that translate policy intentions into a policy that can be enacted (Howlett, 201</w:t>
      </w:r>
      <w:r w:rsidR="00EF44CA">
        <w:rPr>
          <w:rFonts w:asciiTheme="majorHAnsi" w:hAnsiTheme="majorHAnsi" w:cstheme="majorHAnsi"/>
        </w:rPr>
        <w:t>1</w:t>
      </w:r>
      <w:r w:rsidR="00F31CC0" w:rsidRPr="00F424D1">
        <w:rPr>
          <w:rFonts w:asciiTheme="majorHAnsi" w:hAnsiTheme="majorHAnsi" w:cstheme="majorHAnsi"/>
        </w:rPr>
        <w:t xml:space="preserve">; Strassheim and Kettunen, 2014; Wu et al, 2017). Formulation is sometimes </w:t>
      </w:r>
      <w:r w:rsidR="00F31CC0" w:rsidRPr="00EE64CB">
        <w:rPr>
          <w:rFonts w:asciiTheme="majorHAnsi" w:hAnsiTheme="majorHAnsi" w:cstheme="majorHAnsi"/>
        </w:rPr>
        <w:t>seen as “a political netherworld, dominated by those with specialist knowledge [and] preferred access to decision makers” (Turnpenny</w:t>
      </w:r>
      <w:r w:rsidR="00F31CC0" w:rsidRPr="00F424D1">
        <w:rPr>
          <w:rFonts w:asciiTheme="majorHAnsi" w:hAnsiTheme="majorHAnsi" w:cstheme="majorHAnsi"/>
        </w:rPr>
        <w:t xml:space="preserve"> et al</w:t>
      </w:r>
      <w:r w:rsidR="0018125D">
        <w:rPr>
          <w:rFonts w:asciiTheme="majorHAnsi" w:hAnsiTheme="majorHAnsi" w:cstheme="majorHAnsi"/>
        </w:rPr>
        <w:t>,</w:t>
      </w:r>
      <w:r w:rsidR="00F31CC0" w:rsidRPr="00F424D1">
        <w:rPr>
          <w:rFonts w:asciiTheme="majorHAnsi" w:hAnsiTheme="majorHAnsi" w:cstheme="majorHAnsi"/>
        </w:rPr>
        <w:t xml:space="preserve"> 2015: 7).</w:t>
      </w:r>
      <w:r w:rsidR="004F09AD" w:rsidRPr="00F424D1">
        <w:rPr>
          <w:rFonts w:asciiTheme="majorHAnsi" w:hAnsiTheme="majorHAnsi" w:cstheme="majorHAnsi"/>
        </w:rPr>
        <w:t xml:space="preserve"> </w:t>
      </w:r>
      <w:r w:rsidR="00721472" w:rsidRPr="00F424D1">
        <w:rPr>
          <w:rFonts w:asciiTheme="majorHAnsi" w:hAnsiTheme="majorHAnsi" w:cstheme="majorHAnsi"/>
        </w:rPr>
        <w:t>Improved i</w:t>
      </w:r>
      <w:r w:rsidR="00F31CC0" w:rsidRPr="00F424D1">
        <w:rPr>
          <w:rFonts w:asciiTheme="majorHAnsi" w:hAnsiTheme="majorHAnsi" w:cstheme="majorHAnsi"/>
        </w:rPr>
        <w:t xml:space="preserve">nsight </w:t>
      </w:r>
      <w:r w:rsidR="00AA6F8B" w:rsidRPr="00F424D1">
        <w:rPr>
          <w:rFonts w:asciiTheme="majorHAnsi" w:hAnsiTheme="majorHAnsi" w:cstheme="majorHAnsi"/>
        </w:rPr>
        <w:t>into</w:t>
      </w:r>
      <w:r w:rsidR="00721472" w:rsidRPr="00F424D1">
        <w:rPr>
          <w:rFonts w:asciiTheme="majorHAnsi" w:hAnsiTheme="majorHAnsi" w:cstheme="majorHAnsi"/>
        </w:rPr>
        <w:t xml:space="preserve"> this netherworld </w:t>
      </w:r>
      <w:r w:rsidR="00454B8F">
        <w:rPr>
          <w:rFonts w:asciiTheme="majorHAnsi" w:hAnsiTheme="majorHAnsi" w:cstheme="majorHAnsi"/>
        </w:rPr>
        <w:t xml:space="preserve">in the case of Ofgem's regulatory </w:t>
      </w:r>
      <w:r w:rsidR="00AE00EF">
        <w:rPr>
          <w:rFonts w:asciiTheme="majorHAnsi" w:hAnsiTheme="majorHAnsi" w:cstheme="majorHAnsi"/>
        </w:rPr>
        <w:t>legitimacy</w:t>
      </w:r>
      <w:r w:rsidR="00454B8F">
        <w:rPr>
          <w:rFonts w:asciiTheme="majorHAnsi" w:hAnsiTheme="majorHAnsi" w:cstheme="majorHAnsi"/>
        </w:rPr>
        <w:t xml:space="preserve"> </w:t>
      </w:r>
      <w:r w:rsidR="00F31CC0" w:rsidRPr="00F424D1">
        <w:rPr>
          <w:rFonts w:asciiTheme="majorHAnsi" w:hAnsiTheme="majorHAnsi" w:cstheme="majorHAnsi"/>
        </w:rPr>
        <w:t xml:space="preserve">can be gained by examining </w:t>
      </w:r>
      <w:r w:rsidR="00F31CC0" w:rsidRPr="009F1598">
        <w:rPr>
          <w:rFonts w:asciiTheme="majorHAnsi" w:hAnsiTheme="majorHAnsi" w:cstheme="majorHAnsi"/>
        </w:rPr>
        <w:t xml:space="preserve">the </w:t>
      </w:r>
      <w:r w:rsidR="00832027">
        <w:rPr>
          <w:rFonts w:asciiTheme="majorHAnsi" w:hAnsiTheme="majorHAnsi" w:cstheme="majorHAnsi"/>
        </w:rPr>
        <w:t xml:space="preserve">participatory </w:t>
      </w:r>
      <w:r w:rsidR="00F31CC0" w:rsidRPr="009F1598">
        <w:rPr>
          <w:rFonts w:asciiTheme="majorHAnsi" w:hAnsiTheme="majorHAnsi" w:cstheme="majorHAnsi"/>
        </w:rPr>
        <w:t>tools</w:t>
      </w:r>
      <w:r w:rsidR="00F31CC0" w:rsidRPr="00F424D1">
        <w:rPr>
          <w:rFonts w:asciiTheme="majorHAnsi" w:hAnsiTheme="majorHAnsi" w:cstheme="majorHAnsi"/>
        </w:rPr>
        <w:t xml:space="preserve"> being used in policy formulation tasks. </w:t>
      </w:r>
      <w:r w:rsidR="00574BFE">
        <w:rPr>
          <w:rFonts w:asciiTheme="majorHAnsi" w:hAnsiTheme="majorHAnsi" w:cstheme="majorHAnsi"/>
        </w:rPr>
        <w:t xml:space="preserve">Such a framework should be able to </w:t>
      </w:r>
      <w:r w:rsidR="00574BFE" w:rsidRPr="00584F3A">
        <w:rPr>
          <w:rFonts w:asciiTheme="majorHAnsi" w:hAnsiTheme="majorHAnsi" w:cstheme="majorHAnsi"/>
        </w:rPr>
        <w:t xml:space="preserve">critically explore the claimed </w:t>
      </w:r>
      <w:r w:rsidR="00574BFE" w:rsidRPr="00584F3A">
        <w:rPr>
          <w:rFonts w:asciiTheme="majorHAnsi" w:hAnsiTheme="majorHAnsi" w:cstheme="majorHAnsi"/>
          <w:i/>
          <w:iCs/>
        </w:rPr>
        <w:t>goals</w:t>
      </w:r>
      <w:r w:rsidR="00574BFE" w:rsidRPr="00584F3A">
        <w:rPr>
          <w:rFonts w:asciiTheme="majorHAnsi" w:hAnsiTheme="majorHAnsi" w:cstheme="majorHAnsi"/>
        </w:rPr>
        <w:t xml:space="preserve"> of the participatory tools, alongside their </w:t>
      </w:r>
      <w:r w:rsidR="00574BFE" w:rsidRPr="00584F3A">
        <w:rPr>
          <w:rFonts w:asciiTheme="majorHAnsi" w:hAnsiTheme="majorHAnsi" w:cstheme="majorHAnsi"/>
          <w:i/>
          <w:iCs/>
        </w:rPr>
        <w:t>means</w:t>
      </w:r>
      <w:r w:rsidR="00574BFE" w:rsidRPr="00584F3A">
        <w:rPr>
          <w:rFonts w:asciiTheme="majorHAnsi" w:hAnsiTheme="majorHAnsi" w:cstheme="majorHAnsi"/>
        </w:rPr>
        <w:t xml:space="preserve"> - the ways they are designed to operate - and how these means play out in practice. </w:t>
      </w:r>
      <w:r w:rsidR="0063176F">
        <w:rPr>
          <w:rFonts w:asciiTheme="majorHAnsi" w:hAnsiTheme="majorHAnsi" w:cstheme="majorHAnsi"/>
        </w:rPr>
        <w:t>So doing</w:t>
      </w:r>
      <w:r w:rsidR="00574BFE" w:rsidRPr="00584F3A">
        <w:rPr>
          <w:rFonts w:asciiTheme="majorHAnsi" w:hAnsiTheme="majorHAnsi" w:cstheme="majorHAnsi"/>
        </w:rPr>
        <w:t xml:space="preserve"> can illuminate any disjoints between goals and means, or between goals expressed by different actors, or the in-practice implications of design of particular means for the likelihood of achieving different goals.</w:t>
      </w:r>
      <w:r w:rsidR="00C33A05">
        <w:rPr>
          <w:rFonts w:asciiTheme="majorHAnsi" w:hAnsiTheme="majorHAnsi" w:cstheme="majorHAnsi"/>
        </w:rPr>
        <w:t xml:space="preserve"> These require drawing out the 'content' of the tools</w:t>
      </w:r>
      <w:r w:rsidR="00CA730B">
        <w:rPr>
          <w:rFonts w:asciiTheme="majorHAnsi" w:hAnsiTheme="majorHAnsi" w:cstheme="majorHAnsi"/>
        </w:rPr>
        <w:t xml:space="preserve"> -</w:t>
      </w:r>
      <w:r w:rsidR="00C33A05">
        <w:rPr>
          <w:rFonts w:asciiTheme="majorHAnsi" w:hAnsiTheme="majorHAnsi" w:cstheme="majorHAnsi"/>
        </w:rPr>
        <w:t xml:space="preserve"> the 'story' of how they worked</w:t>
      </w:r>
      <w:r w:rsidR="00CA730B">
        <w:rPr>
          <w:rFonts w:asciiTheme="majorHAnsi" w:hAnsiTheme="majorHAnsi" w:cstheme="majorHAnsi"/>
        </w:rPr>
        <w:t xml:space="preserve"> -</w:t>
      </w:r>
      <w:r w:rsidR="00AE00EF">
        <w:rPr>
          <w:rFonts w:asciiTheme="majorHAnsi" w:hAnsiTheme="majorHAnsi" w:cstheme="majorHAnsi"/>
        </w:rPr>
        <w:t xml:space="preserve"> specifically </w:t>
      </w:r>
      <w:r w:rsidR="0013198E">
        <w:rPr>
          <w:rFonts w:asciiTheme="majorHAnsi" w:hAnsiTheme="majorHAnsi" w:cstheme="majorHAnsi"/>
        </w:rPr>
        <w:t>around the regulatory legitimacy criteria</w:t>
      </w:r>
      <w:r w:rsidR="00F07824">
        <w:rPr>
          <w:rFonts w:asciiTheme="majorHAnsi" w:hAnsiTheme="majorHAnsi" w:cstheme="majorHAnsi"/>
        </w:rPr>
        <w:t xml:space="preserve"> of due process and relevant expertise</w:t>
      </w:r>
      <w:r w:rsidR="00D32F2E">
        <w:rPr>
          <w:rFonts w:asciiTheme="majorHAnsi" w:hAnsiTheme="majorHAnsi" w:cstheme="majorHAnsi"/>
        </w:rPr>
        <w:t xml:space="preserve"> outlined above</w:t>
      </w:r>
      <w:r w:rsidR="0013198E">
        <w:rPr>
          <w:rFonts w:asciiTheme="majorHAnsi" w:hAnsiTheme="majorHAnsi" w:cstheme="majorHAnsi"/>
        </w:rPr>
        <w:t>.</w:t>
      </w:r>
      <w:r w:rsidR="0092259A">
        <w:rPr>
          <w:rFonts w:asciiTheme="majorHAnsi" w:hAnsiTheme="majorHAnsi" w:cstheme="majorHAnsi"/>
        </w:rPr>
        <w:t xml:space="preserve"> </w:t>
      </w:r>
    </w:p>
    <w:p w14:paraId="60A0EACC" w14:textId="076B4EFF" w:rsidR="00F31CC0" w:rsidRDefault="00F07824" w:rsidP="00D32F2E">
      <w:pPr>
        <w:ind w:firstLine="720"/>
        <w:rPr>
          <w:rFonts w:asciiTheme="majorHAnsi" w:hAnsiTheme="majorHAnsi" w:cstheme="majorHAnsi"/>
        </w:rPr>
      </w:pPr>
      <w:r>
        <w:rPr>
          <w:rFonts w:asciiTheme="majorHAnsi" w:hAnsiTheme="majorHAnsi" w:cstheme="majorHAnsi"/>
        </w:rPr>
        <w:t>For this</w:t>
      </w:r>
      <w:r w:rsidRPr="00D32F2E">
        <w:rPr>
          <w:rFonts w:asciiTheme="majorHAnsi" w:hAnsiTheme="majorHAnsi" w:cstheme="majorHAnsi"/>
        </w:rPr>
        <w:t xml:space="preserve"> we </w:t>
      </w:r>
      <w:r w:rsidR="00D32F2E" w:rsidRPr="00D32F2E">
        <w:rPr>
          <w:rFonts w:asciiTheme="majorHAnsi" w:hAnsiTheme="majorHAnsi" w:cstheme="majorHAnsi"/>
        </w:rPr>
        <w:t>structure overall investigation of tool content using t</w:t>
      </w:r>
      <w:r w:rsidRPr="00D32F2E">
        <w:rPr>
          <w:rFonts w:asciiTheme="majorHAnsi" w:hAnsiTheme="majorHAnsi" w:cstheme="majorHAnsi"/>
        </w:rPr>
        <w:t>he framework of Jordan and Turnpenny (2015), who proposed examining four particular aspects of policy formulation tools</w:t>
      </w:r>
      <w:r w:rsidR="00D32F2E" w:rsidRPr="00D32F2E">
        <w:rPr>
          <w:rFonts w:asciiTheme="majorHAnsi" w:hAnsiTheme="majorHAnsi" w:cstheme="majorHAnsi"/>
        </w:rPr>
        <w:t xml:space="preserve">. </w:t>
      </w:r>
      <w:r w:rsidR="00F31CC0" w:rsidRPr="00F424D1">
        <w:rPr>
          <w:rFonts w:asciiTheme="majorHAnsi" w:hAnsiTheme="majorHAnsi" w:cstheme="majorHAnsi"/>
        </w:rPr>
        <w:t xml:space="preserve">First, </w:t>
      </w:r>
      <w:r w:rsidR="00F31CC0" w:rsidRPr="00F424D1">
        <w:rPr>
          <w:rFonts w:asciiTheme="majorHAnsi" w:eastAsia="Times New Roman" w:hAnsiTheme="majorHAnsi" w:cstheme="majorHAnsi"/>
          <w:lang w:eastAsia="en-GB"/>
        </w:rPr>
        <w:t xml:space="preserve">which </w:t>
      </w:r>
      <w:r w:rsidR="00F31CC0" w:rsidRPr="00F424D1">
        <w:rPr>
          <w:rFonts w:asciiTheme="majorHAnsi" w:eastAsia="Times New Roman" w:hAnsiTheme="majorHAnsi" w:cstheme="majorHAnsi"/>
          <w:i/>
          <w:iCs/>
          <w:lang w:eastAsia="en-GB"/>
        </w:rPr>
        <w:t>actors</w:t>
      </w:r>
      <w:r w:rsidR="00F31CC0" w:rsidRPr="00F424D1">
        <w:rPr>
          <w:rFonts w:asciiTheme="majorHAnsi" w:eastAsia="Times New Roman" w:hAnsiTheme="majorHAnsi" w:cstheme="majorHAnsi"/>
          <w:lang w:eastAsia="en-GB"/>
        </w:rPr>
        <w:t xml:space="preserve"> participate in selection and use of tools, and why? </w:t>
      </w:r>
      <w:r w:rsidR="00F31CC0" w:rsidRPr="00F424D1">
        <w:rPr>
          <w:rFonts w:asciiTheme="majorHAnsi" w:hAnsiTheme="majorHAnsi" w:cstheme="majorHAnsi"/>
        </w:rPr>
        <w:t xml:space="preserve">Second, in what </w:t>
      </w:r>
      <w:r w:rsidR="00F31CC0" w:rsidRPr="00F424D1">
        <w:rPr>
          <w:rFonts w:asciiTheme="majorHAnsi" w:hAnsiTheme="majorHAnsi" w:cstheme="majorHAnsi"/>
          <w:i/>
          <w:iCs/>
        </w:rPr>
        <w:t>venues</w:t>
      </w:r>
      <w:r w:rsidR="00F31CC0" w:rsidRPr="00F424D1">
        <w:rPr>
          <w:rFonts w:asciiTheme="majorHAnsi" w:hAnsiTheme="majorHAnsi" w:cstheme="majorHAnsi"/>
        </w:rPr>
        <w:t xml:space="preserve"> are tools used and why? Venues are locations where policy formulation tasks are performed (Baumgartner and Jones, 1991; Timmermans and Scholten, 2006; Jordan and Turnpenny, 2015) and can be institutions within government or outside, such as regulators. Third, what policy formulation </w:t>
      </w:r>
      <w:r w:rsidR="00F31CC0" w:rsidRPr="00F424D1">
        <w:rPr>
          <w:rFonts w:asciiTheme="majorHAnsi" w:hAnsiTheme="majorHAnsi" w:cstheme="majorHAnsi"/>
          <w:i/>
          <w:iCs/>
        </w:rPr>
        <w:t>capacities</w:t>
      </w:r>
      <w:r w:rsidR="00F31CC0" w:rsidRPr="00F424D1">
        <w:rPr>
          <w:rFonts w:asciiTheme="majorHAnsi" w:hAnsiTheme="majorHAnsi" w:cstheme="majorHAnsi"/>
        </w:rPr>
        <w:t xml:space="preserve"> are enabled - or constrained - by tools and why? Tools can </w:t>
      </w:r>
      <w:r w:rsidR="00F31CC0" w:rsidRPr="00F424D1">
        <w:rPr>
          <w:rFonts w:asciiTheme="majorHAnsi" w:hAnsiTheme="majorHAnsi" w:cstheme="majorHAnsi"/>
        </w:rPr>
        <w:lastRenderedPageBreak/>
        <w:t xml:space="preserve">expand capacities for performing policy formulation tasks (Adelle et al, 2016; Dunlop and Radaelli, 2016; Ferretti, 2017; Atkinson et al, 2018); their use can also result in barriers to expanded capacities (Dunlop, 2010; Lehtonen, 2012; Howlett et al, 2015; Howlett and Cuenca, 2017. Capacities of the tools and of the actors are both important (Jordan and Turnpenny, 2015). Fourth, what </w:t>
      </w:r>
      <w:r w:rsidR="00F31CC0" w:rsidRPr="00F424D1">
        <w:rPr>
          <w:rFonts w:asciiTheme="majorHAnsi" w:hAnsiTheme="majorHAnsi" w:cstheme="majorHAnsi"/>
          <w:i/>
          <w:iCs/>
        </w:rPr>
        <w:t>effects</w:t>
      </w:r>
      <w:r w:rsidR="00F31CC0" w:rsidRPr="00F424D1">
        <w:rPr>
          <w:rFonts w:asciiTheme="majorHAnsi" w:hAnsiTheme="majorHAnsi" w:cstheme="majorHAnsi"/>
        </w:rPr>
        <w:t xml:space="preserve"> result from the tools’ use and why? These include substantive and procedural effects, both intended and unintended (Salamon and Elliott, 2002; Voß and Simons, 2014). Procedural effects include new opportunities to identify problems or engage with novel ones (Salamon and Elliott, 2002; Turnpenny et al, 2009). Substantive effects can change how problems are understood, and new ways of securing policy goals (Smith, 2009; Turnpenny et al, 2009; Lehtonen et al, 2016).</w:t>
      </w:r>
    </w:p>
    <w:p w14:paraId="6990D594" w14:textId="77777777" w:rsidR="00125EA3" w:rsidRDefault="00125EA3" w:rsidP="00EB5FE2">
      <w:pPr>
        <w:rPr>
          <w:rFonts w:asciiTheme="majorHAnsi" w:hAnsiTheme="majorHAnsi" w:cstheme="majorHAnsi"/>
        </w:rPr>
      </w:pPr>
    </w:p>
    <w:p w14:paraId="4EF03352" w14:textId="77777777" w:rsidR="00DC11D3" w:rsidRDefault="00EB5FE2" w:rsidP="004F09AD">
      <w:pPr>
        <w:rPr>
          <w:rFonts w:asciiTheme="majorHAnsi" w:hAnsiTheme="majorHAnsi" w:cstheme="majorHAnsi"/>
          <w:b/>
          <w:bCs/>
        </w:rPr>
      </w:pPr>
      <w:r>
        <w:rPr>
          <w:rFonts w:asciiTheme="majorHAnsi" w:hAnsiTheme="majorHAnsi" w:cstheme="majorHAnsi"/>
          <w:b/>
          <w:bCs/>
        </w:rPr>
        <w:t>Research methods</w:t>
      </w:r>
    </w:p>
    <w:p w14:paraId="74C664D1" w14:textId="1EEFF20F" w:rsidR="002543F5" w:rsidRPr="004F09AD" w:rsidRDefault="001E6DBC" w:rsidP="004F09AD">
      <w:pPr>
        <w:rPr>
          <w:rFonts w:asciiTheme="majorHAnsi" w:hAnsiTheme="majorHAnsi" w:cstheme="majorHAnsi"/>
        </w:rPr>
      </w:pPr>
      <w:r w:rsidRPr="004F09AD">
        <w:rPr>
          <w:rFonts w:asciiTheme="majorHAnsi" w:eastAsia="SimSun" w:hAnsiTheme="majorHAnsi" w:cstheme="majorHAnsi"/>
        </w:rPr>
        <w:t xml:space="preserve">We analysed </w:t>
      </w:r>
      <w:r w:rsidR="00E817C1" w:rsidRPr="004F09AD">
        <w:rPr>
          <w:rFonts w:asciiTheme="majorHAnsi" w:eastAsia="SimSun" w:hAnsiTheme="majorHAnsi" w:cstheme="majorHAnsi"/>
        </w:rPr>
        <w:t>public domain documents from online archives and conducted elite interviews</w:t>
      </w:r>
      <w:r w:rsidRPr="004F09AD">
        <w:rPr>
          <w:rFonts w:asciiTheme="majorHAnsi" w:eastAsia="SimSun" w:hAnsiTheme="majorHAnsi" w:cstheme="majorHAnsi"/>
        </w:rPr>
        <w:t xml:space="preserve">, allowing </w:t>
      </w:r>
      <w:r w:rsidR="00E817C1" w:rsidRPr="004F09AD">
        <w:rPr>
          <w:rFonts w:asciiTheme="majorHAnsi" w:eastAsia="SimSun" w:hAnsiTheme="majorHAnsi" w:cstheme="majorHAnsi"/>
        </w:rPr>
        <w:t>insight from the formal mechanisms of governance as published in text</w:t>
      </w:r>
      <w:r w:rsidR="000B7703" w:rsidRPr="004F09AD">
        <w:rPr>
          <w:rFonts w:asciiTheme="majorHAnsi" w:eastAsia="SimSun" w:hAnsiTheme="majorHAnsi" w:cstheme="majorHAnsi"/>
        </w:rPr>
        <w:t xml:space="preserve"> (Kracauer, 1952; Yanow, </w:t>
      </w:r>
      <w:r w:rsidR="009A44E2" w:rsidRPr="004F09AD">
        <w:rPr>
          <w:rFonts w:asciiTheme="majorHAnsi" w:eastAsia="SimSun" w:hAnsiTheme="majorHAnsi" w:cstheme="majorHAnsi"/>
        </w:rPr>
        <w:t>1999</w:t>
      </w:r>
      <w:r w:rsidR="000B7703" w:rsidRPr="004F09AD">
        <w:rPr>
          <w:rFonts w:asciiTheme="majorHAnsi" w:eastAsia="SimSun" w:hAnsiTheme="majorHAnsi" w:cstheme="majorHAnsi"/>
        </w:rPr>
        <w:t>; Bazeley, 2013)</w:t>
      </w:r>
      <w:r w:rsidR="00E817C1" w:rsidRPr="004F09AD">
        <w:rPr>
          <w:rFonts w:asciiTheme="majorHAnsi" w:eastAsia="SimSun" w:hAnsiTheme="majorHAnsi" w:cstheme="majorHAnsi"/>
        </w:rPr>
        <w:t xml:space="preserve"> and context from those involved in the procedures surrounding the policy-making described within those texts</w:t>
      </w:r>
      <w:r w:rsidR="000B7703" w:rsidRPr="004F09AD">
        <w:rPr>
          <w:rFonts w:asciiTheme="majorHAnsi" w:eastAsia="SimSun" w:hAnsiTheme="majorHAnsi" w:cstheme="majorHAnsi"/>
        </w:rPr>
        <w:t xml:space="preserve"> (Richards, 1996; Davies, 2001; Lilleker, 2003; Harvey, 2011)</w:t>
      </w:r>
      <w:r w:rsidR="00E817C1" w:rsidRPr="004F09AD">
        <w:rPr>
          <w:rFonts w:asciiTheme="majorHAnsi" w:eastAsia="SimSun" w:hAnsiTheme="majorHAnsi" w:cstheme="majorHAnsi"/>
        </w:rPr>
        <w:t>.</w:t>
      </w:r>
      <w:r w:rsidRPr="004F09AD">
        <w:rPr>
          <w:rFonts w:asciiTheme="majorHAnsi" w:eastAsia="SimSun" w:hAnsiTheme="majorHAnsi" w:cstheme="majorHAnsi"/>
        </w:rPr>
        <w:t xml:space="preserve"> Texts were readily available; </w:t>
      </w:r>
      <w:r w:rsidR="00E817C1" w:rsidRPr="004F09AD">
        <w:rPr>
          <w:rFonts w:asciiTheme="majorHAnsi" w:eastAsia="Times New Roman" w:hAnsiTheme="majorHAnsi" w:cstheme="majorHAnsi"/>
          <w:iCs/>
          <w:lang w:eastAsia="en-GB"/>
        </w:rPr>
        <w:t>decision-making institutions</w:t>
      </w:r>
      <w:r w:rsidRPr="004F09AD">
        <w:rPr>
          <w:rFonts w:asciiTheme="majorHAnsi" w:eastAsia="Times New Roman" w:hAnsiTheme="majorHAnsi" w:cstheme="majorHAnsi"/>
          <w:iCs/>
          <w:lang w:eastAsia="en-GB"/>
        </w:rPr>
        <w:t xml:space="preserve"> we</w:t>
      </w:r>
      <w:r w:rsidR="00E817C1" w:rsidRPr="004F09AD">
        <w:rPr>
          <w:rFonts w:asciiTheme="majorHAnsi" w:eastAsia="Times New Roman" w:hAnsiTheme="majorHAnsi" w:cstheme="majorHAnsi"/>
          <w:iCs/>
          <w:lang w:eastAsia="en-GB"/>
        </w:rPr>
        <w:t>re required to meet measures of transparency and publish documents that explain the procedures undertaken and policy scope decisions</w:t>
      </w:r>
      <w:r w:rsidR="00904255" w:rsidRPr="004F09AD">
        <w:rPr>
          <w:rFonts w:asciiTheme="majorHAnsi" w:eastAsia="Times New Roman" w:hAnsiTheme="majorHAnsi" w:cstheme="majorHAnsi"/>
          <w:iCs/>
          <w:lang w:eastAsia="en-GB"/>
        </w:rPr>
        <w:t xml:space="preserve"> (Burnham et al, 2008; Keman, 2014)</w:t>
      </w:r>
      <w:r w:rsidR="00E817C1" w:rsidRPr="004F09AD">
        <w:rPr>
          <w:rFonts w:asciiTheme="majorHAnsi" w:eastAsia="Times New Roman" w:hAnsiTheme="majorHAnsi" w:cstheme="majorHAnsi"/>
          <w:iCs/>
          <w:lang w:eastAsia="en-GB"/>
        </w:rPr>
        <w:t xml:space="preserve">. The texts </w:t>
      </w:r>
      <w:r w:rsidRPr="004F09AD">
        <w:rPr>
          <w:rFonts w:asciiTheme="majorHAnsi" w:eastAsia="Times New Roman" w:hAnsiTheme="majorHAnsi" w:cstheme="majorHAnsi"/>
          <w:iCs/>
          <w:lang w:eastAsia="en-GB"/>
        </w:rPr>
        <w:t xml:space="preserve">were </w:t>
      </w:r>
      <w:r w:rsidR="00E817C1" w:rsidRPr="004F09AD">
        <w:rPr>
          <w:rFonts w:asciiTheme="majorHAnsi" w:hAnsiTheme="majorHAnsi" w:cstheme="majorHAnsi"/>
        </w:rPr>
        <w:t xml:space="preserve">documents regarding </w:t>
      </w:r>
      <w:r w:rsidRPr="004F09AD">
        <w:rPr>
          <w:rFonts w:asciiTheme="majorHAnsi" w:hAnsiTheme="majorHAnsi" w:cstheme="majorHAnsi"/>
        </w:rPr>
        <w:t xml:space="preserve">the </w:t>
      </w:r>
      <w:r w:rsidR="00E817C1" w:rsidRPr="004F09AD">
        <w:rPr>
          <w:rFonts w:asciiTheme="majorHAnsi" w:hAnsiTheme="majorHAnsi" w:cstheme="majorHAnsi"/>
        </w:rPr>
        <w:t>retail market for domestic consumers</w:t>
      </w:r>
      <w:r w:rsidRPr="004F09AD">
        <w:rPr>
          <w:rFonts w:asciiTheme="majorHAnsi" w:hAnsiTheme="majorHAnsi" w:cstheme="majorHAnsi"/>
        </w:rPr>
        <w:t>,</w:t>
      </w:r>
      <w:r w:rsidR="00E817C1" w:rsidRPr="004F09AD">
        <w:rPr>
          <w:rFonts w:asciiTheme="majorHAnsi" w:hAnsiTheme="majorHAnsi" w:cstheme="majorHAnsi"/>
        </w:rPr>
        <w:t xml:space="preserve"> </w:t>
      </w:r>
      <w:r w:rsidRPr="004F09AD">
        <w:rPr>
          <w:rFonts w:asciiTheme="majorHAnsi" w:hAnsiTheme="majorHAnsi" w:cstheme="majorHAnsi"/>
        </w:rPr>
        <w:t xml:space="preserve">and </w:t>
      </w:r>
      <w:r w:rsidR="00E817C1" w:rsidRPr="004F09AD">
        <w:rPr>
          <w:rFonts w:asciiTheme="majorHAnsi" w:hAnsiTheme="majorHAnsi" w:cstheme="majorHAnsi"/>
        </w:rPr>
        <w:t>included policy decisions, stakeholder consultations, responses from stakeholders, submissions to parliamentary inquiries and research reports from between 200</w:t>
      </w:r>
      <w:r w:rsidR="0007597D" w:rsidRPr="004F09AD">
        <w:rPr>
          <w:rFonts w:asciiTheme="majorHAnsi" w:hAnsiTheme="majorHAnsi" w:cstheme="majorHAnsi"/>
        </w:rPr>
        <w:t>7</w:t>
      </w:r>
      <w:r w:rsidR="00E817C1" w:rsidRPr="004F09AD">
        <w:rPr>
          <w:rFonts w:asciiTheme="majorHAnsi" w:hAnsiTheme="majorHAnsi" w:cstheme="majorHAnsi"/>
        </w:rPr>
        <w:t xml:space="preserve"> and 201</w:t>
      </w:r>
      <w:r w:rsidR="006B4FDA" w:rsidRPr="004F09AD">
        <w:rPr>
          <w:rFonts w:asciiTheme="majorHAnsi" w:hAnsiTheme="majorHAnsi" w:cstheme="majorHAnsi"/>
        </w:rPr>
        <w:t>6</w:t>
      </w:r>
      <w:r w:rsidR="00EB5FE2">
        <w:rPr>
          <w:rFonts w:asciiTheme="majorHAnsi" w:hAnsiTheme="majorHAnsi" w:cstheme="majorHAnsi"/>
        </w:rPr>
        <w:t>. A</w:t>
      </w:r>
      <w:r w:rsidR="00E817C1" w:rsidRPr="004F09AD">
        <w:rPr>
          <w:rFonts w:asciiTheme="majorHAnsi" w:hAnsiTheme="majorHAnsi" w:cstheme="majorHAnsi"/>
        </w:rPr>
        <w:t xml:space="preserve"> total of </w:t>
      </w:r>
      <w:r w:rsidR="003E03F8" w:rsidRPr="004F09AD">
        <w:rPr>
          <w:rFonts w:asciiTheme="majorHAnsi" w:hAnsiTheme="majorHAnsi"/>
        </w:rPr>
        <w:t xml:space="preserve">459 </w:t>
      </w:r>
      <w:r w:rsidR="00E817C1" w:rsidRPr="004F09AD">
        <w:rPr>
          <w:rFonts w:asciiTheme="majorHAnsi" w:hAnsiTheme="majorHAnsi" w:cstheme="majorHAnsi"/>
        </w:rPr>
        <w:t>texts</w:t>
      </w:r>
      <w:r w:rsidR="00EB5FE2">
        <w:rPr>
          <w:rFonts w:asciiTheme="majorHAnsi" w:hAnsiTheme="majorHAnsi" w:cstheme="majorHAnsi"/>
        </w:rPr>
        <w:t xml:space="preserve"> were</w:t>
      </w:r>
      <w:r w:rsidR="00263114">
        <w:rPr>
          <w:rFonts w:asciiTheme="majorHAnsi" w:hAnsiTheme="majorHAnsi" w:cstheme="majorHAnsi"/>
        </w:rPr>
        <w:t xml:space="preserve"> analysed to understand regulatory policy making (</w:t>
      </w:r>
      <w:r w:rsidR="00E371AA" w:rsidRPr="00384E7B">
        <w:rPr>
          <w:rFonts w:ascii="Calibri" w:eastAsia="MS Mincho" w:hAnsi="Calibri" w:cs="Calibri"/>
        </w:rPr>
        <w:t>Rimkutė</w:t>
      </w:r>
      <w:r w:rsidR="00263114">
        <w:rPr>
          <w:rFonts w:asciiTheme="majorHAnsi" w:hAnsiTheme="majorHAnsi" w:cstheme="majorHAnsi"/>
        </w:rPr>
        <w:t xml:space="preserve">, 2020; </w:t>
      </w:r>
      <w:r w:rsidR="00B52F84">
        <w:rPr>
          <w:rFonts w:asciiTheme="majorHAnsi" w:hAnsiTheme="majorHAnsi" w:cstheme="majorHAnsi"/>
        </w:rPr>
        <w:t>Pagliari and Young</w:t>
      </w:r>
      <w:r w:rsidR="00AD3600">
        <w:rPr>
          <w:rFonts w:asciiTheme="majorHAnsi" w:hAnsiTheme="majorHAnsi" w:cstheme="majorHAnsi"/>
        </w:rPr>
        <w:t>,</w:t>
      </w:r>
      <w:r w:rsidR="00263114">
        <w:rPr>
          <w:rFonts w:asciiTheme="majorHAnsi" w:hAnsiTheme="majorHAnsi" w:cstheme="majorHAnsi"/>
        </w:rPr>
        <w:t xml:space="preserve"> 2020</w:t>
      </w:r>
      <w:r w:rsidR="00AD3600">
        <w:rPr>
          <w:rFonts w:asciiTheme="majorHAnsi" w:hAnsiTheme="majorHAnsi" w:cstheme="majorHAnsi"/>
        </w:rPr>
        <w:t>;</w:t>
      </w:r>
      <w:r w:rsidR="00263114">
        <w:rPr>
          <w:rFonts w:asciiTheme="majorHAnsi" w:hAnsiTheme="majorHAnsi" w:cstheme="majorHAnsi"/>
        </w:rPr>
        <w:t xml:space="preserve"> J</w:t>
      </w:r>
      <w:r w:rsidR="00B52F84">
        <w:rPr>
          <w:rFonts w:asciiTheme="majorHAnsi" w:hAnsiTheme="majorHAnsi" w:cstheme="majorHAnsi"/>
        </w:rPr>
        <w:t>oo</w:t>
      </w:r>
      <w:r w:rsidR="00263114">
        <w:rPr>
          <w:rFonts w:asciiTheme="majorHAnsi" w:hAnsiTheme="majorHAnsi" w:cstheme="majorHAnsi"/>
        </w:rPr>
        <w:t>sen</w:t>
      </w:r>
      <w:r w:rsidR="00AD3600">
        <w:rPr>
          <w:rFonts w:asciiTheme="majorHAnsi" w:hAnsiTheme="majorHAnsi" w:cstheme="majorHAnsi"/>
        </w:rPr>
        <w:t>,</w:t>
      </w:r>
      <w:r w:rsidR="00263114">
        <w:rPr>
          <w:rFonts w:asciiTheme="majorHAnsi" w:hAnsiTheme="majorHAnsi" w:cstheme="majorHAnsi"/>
        </w:rPr>
        <w:t xml:space="preserve"> 2020)</w:t>
      </w:r>
      <w:r w:rsidR="00E817C1" w:rsidRPr="004F09AD">
        <w:rPr>
          <w:rFonts w:asciiTheme="majorHAnsi" w:hAnsiTheme="majorHAnsi" w:cstheme="majorHAnsi"/>
        </w:rPr>
        <w:t xml:space="preserve">. </w:t>
      </w:r>
    </w:p>
    <w:p w14:paraId="22FC05C1" w14:textId="2713115C" w:rsidR="004F09AD" w:rsidRPr="004F09AD" w:rsidRDefault="00E817C1" w:rsidP="00005C98">
      <w:pPr>
        <w:ind w:firstLine="720"/>
        <w:rPr>
          <w:rFonts w:asciiTheme="majorHAnsi" w:eastAsia="Times New Roman" w:hAnsiTheme="majorHAnsi" w:cstheme="majorHAnsi"/>
          <w:iCs/>
          <w:lang w:eastAsia="en-GB"/>
        </w:rPr>
      </w:pPr>
      <w:r w:rsidRPr="004F09AD">
        <w:rPr>
          <w:rFonts w:asciiTheme="majorHAnsi" w:eastAsia="Times New Roman" w:hAnsiTheme="majorHAnsi" w:cstheme="majorHAnsi"/>
          <w:iCs/>
          <w:lang w:eastAsia="en-GB"/>
        </w:rPr>
        <w:t xml:space="preserve">35 </w:t>
      </w:r>
      <w:r w:rsidRPr="004F09AD">
        <w:rPr>
          <w:rFonts w:asciiTheme="majorHAnsi" w:eastAsia="SimSun" w:hAnsiTheme="majorHAnsi" w:cstheme="majorHAnsi"/>
        </w:rPr>
        <w:t>elite</w:t>
      </w:r>
      <w:r w:rsidRPr="004F09AD">
        <w:rPr>
          <w:rFonts w:asciiTheme="majorHAnsi" w:eastAsia="Times New Roman" w:hAnsiTheme="majorHAnsi" w:cstheme="majorHAnsi"/>
          <w:iCs/>
          <w:lang w:eastAsia="en-GB"/>
        </w:rPr>
        <w:t xml:space="preserve"> interviews </w:t>
      </w:r>
      <w:r w:rsidR="0007597D" w:rsidRPr="004F09AD">
        <w:rPr>
          <w:rFonts w:asciiTheme="majorHAnsi" w:eastAsia="Times New Roman" w:hAnsiTheme="majorHAnsi" w:cstheme="majorHAnsi"/>
          <w:iCs/>
          <w:lang w:eastAsia="en-GB"/>
        </w:rPr>
        <w:t xml:space="preserve">were conducted and transcribed </w:t>
      </w:r>
      <w:r w:rsidRPr="004F09AD">
        <w:rPr>
          <w:rFonts w:asciiTheme="majorHAnsi" w:eastAsia="Times New Roman" w:hAnsiTheme="majorHAnsi" w:cstheme="majorHAnsi"/>
          <w:iCs/>
          <w:lang w:eastAsia="en-GB"/>
        </w:rPr>
        <w:t xml:space="preserve">to draw out insight from influential </w:t>
      </w:r>
      <w:r w:rsidR="00E24F45" w:rsidRPr="004F09AD">
        <w:rPr>
          <w:rFonts w:asciiTheme="majorHAnsi" w:eastAsia="Times New Roman" w:hAnsiTheme="majorHAnsi" w:cstheme="majorHAnsi"/>
          <w:iCs/>
          <w:lang w:eastAsia="en-GB"/>
        </w:rPr>
        <w:t xml:space="preserve">actors with </w:t>
      </w:r>
      <w:r w:rsidRPr="004F09AD">
        <w:rPr>
          <w:rFonts w:asciiTheme="majorHAnsi" w:eastAsia="Times New Roman" w:hAnsiTheme="majorHAnsi" w:cstheme="majorHAnsi"/>
          <w:iCs/>
          <w:lang w:eastAsia="en-GB"/>
        </w:rPr>
        <w:t>unique knowledge based on their experiences in a particular setting or position</w:t>
      </w:r>
      <w:r w:rsidR="00904255" w:rsidRPr="004F09AD">
        <w:rPr>
          <w:rFonts w:asciiTheme="majorHAnsi" w:eastAsia="Times New Roman" w:hAnsiTheme="majorHAnsi" w:cstheme="majorHAnsi"/>
          <w:iCs/>
          <w:lang w:eastAsia="en-GB"/>
        </w:rPr>
        <w:t xml:space="preserve"> (Davies, 2001; Burnham et al, 2008)</w:t>
      </w:r>
      <w:r w:rsidRPr="004F09AD">
        <w:rPr>
          <w:rFonts w:asciiTheme="majorHAnsi" w:eastAsia="Times New Roman" w:hAnsiTheme="majorHAnsi" w:cstheme="majorHAnsi"/>
          <w:iCs/>
          <w:lang w:eastAsia="en-GB"/>
        </w:rPr>
        <w:t>.</w:t>
      </w:r>
      <w:r w:rsidR="00E24F45" w:rsidRPr="004F09AD">
        <w:rPr>
          <w:rFonts w:asciiTheme="majorHAnsi" w:eastAsia="Times New Roman" w:hAnsiTheme="majorHAnsi" w:cstheme="majorHAnsi"/>
          <w:iCs/>
          <w:lang w:eastAsia="en-GB"/>
        </w:rPr>
        <w:t xml:space="preserve"> Seven individuals were working within economic regulators [</w:t>
      </w:r>
      <w:r w:rsidR="007C2363" w:rsidRPr="004F09AD">
        <w:rPr>
          <w:rFonts w:asciiTheme="majorHAnsi" w:eastAsia="Times New Roman" w:hAnsiTheme="majorHAnsi" w:cstheme="majorHAnsi"/>
          <w:iCs/>
          <w:lang w:eastAsia="en-GB"/>
        </w:rPr>
        <w:t xml:space="preserve">anonymised interview codes </w:t>
      </w:r>
      <w:r w:rsidR="00E24F45" w:rsidRPr="004F09AD">
        <w:rPr>
          <w:rFonts w:asciiTheme="majorHAnsi" w:eastAsia="Times New Roman" w:hAnsiTheme="majorHAnsi" w:cstheme="majorHAnsi"/>
          <w:iCs/>
          <w:lang w:eastAsia="en-GB"/>
        </w:rPr>
        <w:t xml:space="preserve">RG1 – 7], </w:t>
      </w:r>
      <w:r w:rsidR="007C2363" w:rsidRPr="004F09AD">
        <w:rPr>
          <w:rFonts w:asciiTheme="majorHAnsi" w:eastAsia="Times New Roman" w:hAnsiTheme="majorHAnsi" w:cstheme="majorHAnsi"/>
          <w:iCs/>
          <w:lang w:eastAsia="en-GB"/>
        </w:rPr>
        <w:t>five</w:t>
      </w:r>
      <w:r w:rsidR="00E24F45" w:rsidRPr="004F09AD">
        <w:rPr>
          <w:rFonts w:asciiTheme="majorHAnsi" w:eastAsia="Times New Roman" w:hAnsiTheme="majorHAnsi" w:cstheme="majorHAnsi"/>
          <w:iCs/>
          <w:lang w:eastAsia="en-GB"/>
        </w:rPr>
        <w:t xml:space="preserve"> within democratic governance institutions</w:t>
      </w:r>
      <w:r w:rsidR="001A3440" w:rsidRPr="004F09AD">
        <w:rPr>
          <w:rFonts w:asciiTheme="majorHAnsi" w:eastAsia="Times New Roman" w:hAnsiTheme="majorHAnsi" w:cstheme="majorHAnsi"/>
          <w:iCs/>
          <w:lang w:eastAsia="en-GB"/>
        </w:rPr>
        <w:t xml:space="preserve"> including civil servants, ministers and elected representatives from relevant parliamentary committees</w:t>
      </w:r>
      <w:r w:rsidR="00E24F45" w:rsidRPr="004F09AD">
        <w:rPr>
          <w:rFonts w:asciiTheme="majorHAnsi" w:eastAsia="Times New Roman" w:hAnsiTheme="majorHAnsi" w:cstheme="majorHAnsi"/>
          <w:iCs/>
          <w:lang w:eastAsia="en-GB"/>
        </w:rPr>
        <w:t xml:space="preserve"> [DG1 – 5]</w:t>
      </w:r>
      <w:r w:rsidR="001A3440" w:rsidRPr="004F09AD">
        <w:rPr>
          <w:rFonts w:asciiTheme="majorHAnsi" w:eastAsia="Times New Roman" w:hAnsiTheme="majorHAnsi" w:cstheme="majorHAnsi"/>
          <w:iCs/>
          <w:lang w:eastAsia="en-GB"/>
        </w:rPr>
        <w:t xml:space="preserve">, </w:t>
      </w:r>
      <w:r w:rsidR="007C2363" w:rsidRPr="004F09AD">
        <w:rPr>
          <w:rFonts w:asciiTheme="majorHAnsi" w:eastAsia="Times New Roman" w:hAnsiTheme="majorHAnsi" w:cstheme="majorHAnsi"/>
          <w:iCs/>
          <w:lang w:eastAsia="en-GB"/>
        </w:rPr>
        <w:t>eight</w:t>
      </w:r>
      <w:r w:rsidR="00E24F45" w:rsidRPr="004F09AD">
        <w:rPr>
          <w:rFonts w:asciiTheme="majorHAnsi" w:eastAsia="Times New Roman" w:hAnsiTheme="majorHAnsi" w:cstheme="majorHAnsi"/>
          <w:iCs/>
          <w:lang w:eastAsia="en-GB"/>
        </w:rPr>
        <w:t xml:space="preserve"> </w:t>
      </w:r>
      <w:r w:rsidR="001A3440" w:rsidRPr="004F09AD">
        <w:rPr>
          <w:rFonts w:asciiTheme="majorHAnsi" w:eastAsia="Times New Roman" w:hAnsiTheme="majorHAnsi" w:cstheme="majorHAnsi"/>
          <w:iCs/>
          <w:lang w:eastAsia="en-GB"/>
        </w:rPr>
        <w:t>had</w:t>
      </w:r>
      <w:r w:rsidR="00E24F45" w:rsidRPr="004F09AD">
        <w:rPr>
          <w:rFonts w:asciiTheme="majorHAnsi" w:eastAsia="Times New Roman" w:hAnsiTheme="majorHAnsi" w:cstheme="majorHAnsi"/>
          <w:iCs/>
          <w:lang w:eastAsia="en-GB"/>
        </w:rPr>
        <w:t xml:space="preserve"> a formal role in representing a particular group</w:t>
      </w:r>
      <w:r w:rsidR="001A3440" w:rsidRPr="004F09AD">
        <w:rPr>
          <w:rFonts w:asciiTheme="majorHAnsi" w:eastAsia="Times New Roman" w:hAnsiTheme="majorHAnsi" w:cstheme="majorHAnsi"/>
          <w:iCs/>
          <w:lang w:eastAsia="en-GB"/>
        </w:rPr>
        <w:t>, including campaigning organisations, charities and the statutory consumer advocate</w:t>
      </w:r>
      <w:r w:rsidR="00E24F45" w:rsidRPr="004F09AD">
        <w:rPr>
          <w:rFonts w:asciiTheme="majorHAnsi" w:eastAsia="Times New Roman" w:hAnsiTheme="majorHAnsi" w:cstheme="majorHAnsi"/>
          <w:iCs/>
          <w:lang w:eastAsia="en-GB"/>
        </w:rPr>
        <w:t xml:space="preserve"> [Re1 – 8], </w:t>
      </w:r>
      <w:r w:rsidR="007C2363" w:rsidRPr="004F09AD">
        <w:rPr>
          <w:rFonts w:asciiTheme="majorHAnsi" w:eastAsia="Times New Roman" w:hAnsiTheme="majorHAnsi" w:cstheme="majorHAnsi"/>
          <w:iCs/>
          <w:lang w:eastAsia="en-GB"/>
        </w:rPr>
        <w:t>eight</w:t>
      </w:r>
      <w:r w:rsidR="00E24F45" w:rsidRPr="004F09AD">
        <w:rPr>
          <w:rFonts w:asciiTheme="majorHAnsi" w:eastAsia="Times New Roman" w:hAnsiTheme="majorHAnsi" w:cstheme="majorHAnsi"/>
          <w:iCs/>
          <w:lang w:eastAsia="en-GB"/>
        </w:rPr>
        <w:t xml:space="preserve"> who played an informal advisory role [Ad1 – 8]</w:t>
      </w:r>
      <w:r w:rsidR="001A3440" w:rsidRPr="004F09AD">
        <w:rPr>
          <w:rFonts w:asciiTheme="majorHAnsi" w:eastAsia="Times New Roman" w:hAnsiTheme="majorHAnsi" w:cstheme="majorHAnsi"/>
          <w:iCs/>
          <w:lang w:eastAsia="en-GB"/>
        </w:rPr>
        <w:t xml:space="preserve">, and </w:t>
      </w:r>
      <w:r w:rsidR="007C2363" w:rsidRPr="004F09AD">
        <w:rPr>
          <w:rFonts w:asciiTheme="majorHAnsi" w:eastAsia="Times New Roman" w:hAnsiTheme="majorHAnsi" w:cstheme="majorHAnsi"/>
          <w:iCs/>
          <w:lang w:eastAsia="en-GB"/>
        </w:rPr>
        <w:t>seven</w:t>
      </w:r>
      <w:r w:rsidR="00E24F45" w:rsidRPr="004F09AD">
        <w:rPr>
          <w:rFonts w:asciiTheme="majorHAnsi" w:eastAsia="Times New Roman" w:hAnsiTheme="majorHAnsi" w:cstheme="majorHAnsi"/>
          <w:iCs/>
          <w:lang w:eastAsia="en-GB"/>
        </w:rPr>
        <w:t xml:space="preserve"> </w:t>
      </w:r>
      <w:r w:rsidR="001A3440" w:rsidRPr="004F09AD">
        <w:rPr>
          <w:rFonts w:asciiTheme="majorHAnsi" w:eastAsia="Times New Roman" w:hAnsiTheme="majorHAnsi" w:cstheme="majorHAnsi"/>
          <w:iCs/>
          <w:lang w:eastAsia="en-GB"/>
        </w:rPr>
        <w:t xml:space="preserve">were </w:t>
      </w:r>
      <w:r w:rsidR="00E24F45" w:rsidRPr="004F09AD">
        <w:rPr>
          <w:rFonts w:asciiTheme="majorHAnsi" w:eastAsia="Times New Roman" w:hAnsiTheme="majorHAnsi" w:cstheme="majorHAnsi"/>
          <w:iCs/>
          <w:lang w:eastAsia="en-GB"/>
        </w:rPr>
        <w:t>market participants from regulated firms [Ma1 – 7]</w:t>
      </w:r>
      <w:r w:rsidR="001A3440" w:rsidRPr="004F09AD">
        <w:rPr>
          <w:rFonts w:asciiTheme="majorHAnsi" w:eastAsia="Times New Roman" w:hAnsiTheme="majorHAnsi" w:cstheme="majorHAnsi"/>
          <w:iCs/>
          <w:lang w:eastAsia="en-GB"/>
        </w:rPr>
        <w:t>.</w:t>
      </w:r>
      <w:r w:rsidR="00263114">
        <w:rPr>
          <w:rFonts w:asciiTheme="majorHAnsi" w:eastAsia="Times New Roman" w:hAnsiTheme="majorHAnsi" w:cstheme="majorHAnsi"/>
          <w:iCs/>
          <w:lang w:eastAsia="en-GB"/>
        </w:rPr>
        <w:t xml:space="preserve"> </w:t>
      </w:r>
      <w:r w:rsidR="004F09AD" w:rsidRPr="004F09AD">
        <w:rPr>
          <w:rFonts w:asciiTheme="majorHAnsi" w:eastAsia="Times New Roman" w:hAnsiTheme="majorHAnsi" w:cstheme="majorHAnsi"/>
          <w:iCs/>
          <w:lang w:eastAsia="en-GB"/>
        </w:rPr>
        <w:t xml:space="preserve">This resulted in an initial documentary corpus of </w:t>
      </w:r>
      <w:r w:rsidR="00263114">
        <w:rPr>
          <w:rFonts w:asciiTheme="majorHAnsi" w:eastAsia="Times New Roman" w:hAnsiTheme="majorHAnsi" w:cstheme="majorHAnsi"/>
          <w:iCs/>
          <w:lang w:eastAsia="en-GB"/>
        </w:rPr>
        <w:t>494</w:t>
      </w:r>
      <w:r w:rsidR="004F09AD" w:rsidRPr="004F09AD">
        <w:rPr>
          <w:rFonts w:asciiTheme="majorHAnsi" w:eastAsia="Times New Roman" w:hAnsiTheme="majorHAnsi" w:cstheme="majorHAnsi"/>
          <w:iCs/>
          <w:lang w:eastAsia="en-GB"/>
        </w:rPr>
        <w:t xml:space="preserve"> PDF texts which </w:t>
      </w:r>
      <w:r w:rsidR="00263114">
        <w:rPr>
          <w:rFonts w:asciiTheme="majorHAnsi" w:eastAsia="Times New Roman" w:hAnsiTheme="majorHAnsi" w:cstheme="majorHAnsi"/>
          <w:iCs/>
          <w:lang w:eastAsia="en-GB"/>
        </w:rPr>
        <w:t>were</w:t>
      </w:r>
      <w:r w:rsidR="004F09AD" w:rsidRPr="004F09AD">
        <w:rPr>
          <w:rFonts w:asciiTheme="majorHAnsi" w:eastAsia="Times New Roman" w:hAnsiTheme="majorHAnsi" w:cstheme="majorHAnsi"/>
          <w:iCs/>
          <w:lang w:eastAsia="en-GB"/>
        </w:rPr>
        <w:t xml:space="preserve"> loaded into the </w:t>
      </w:r>
      <w:r w:rsidR="00BB4ED7">
        <w:rPr>
          <w:rFonts w:asciiTheme="majorHAnsi" w:eastAsia="Times New Roman" w:hAnsiTheme="majorHAnsi" w:cstheme="majorHAnsi"/>
          <w:iCs/>
          <w:lang w:eastAsia="en-GB"/>
        </w:rPr>
        <w:t>q</w:t>
      </w:r>
      <w:r w:rsidR="004F09AD" w:rsidRPr="004F09AD">
        <w:rPr>
          <w:rFonts w:asciiTheme="majorHAnsi" w:eastAsia="Times New Roman" w:hAnsiTheme="majorHAnsi" w:cstheme="majorHAnsi"/>
          <w:iCs/>
          <w:lang w:eastAsia="en-GB"/>
        </w:rPr>
        <w:t xml:space="preserve">ualitative </w:t>
      </w:r>
      <w:r w:rsidR="00BB4ED7">
        <w:rPr>
          <w:rFonts w:asciiTheme="majorHAnsi" w:eastAsia="Times New Roman" w:hAnsiTheme="majorHAnsi" w:cstheme="majorHAnsi"/>
          <w:iCs/>
          <w:lang w:eastAsia="en-GB"/>
        </w:rPr>
        <w:t>data a</w:t>
      </w:r>
      <w:r w:rsidR="004F09AD" w:rsidRPr="004F09AD">
        <w:rPr>
          <w:rFonts w:asciiTheme="majorHAnsi" w:eastAsia="Times New Roman" w:hAnsiTheme="majorHAnsi" w:cstheme="majorHAnsi"/>
          <w:iCs/>
          <w:lang w:eastAsia="en-GB"/>
        </w:rPr>
        <w:t>nalysis software Nvivo</w:t>
      </w:r>
      <w:r w:rsidR="00263114">
        <w:rPr>
          <w:rFonts w:asciiTheme="majorHAnsi" w:eastAsia="Times New Roman" w:hAnsiTheme="majorHAnsi" w:cstheme="majorHAnsi"/>
          <w:iCs/>
          <w:lang w:eastAsia="en-GB"/>
        </w:rPr>
        <w:t xml:space="preserve"> for thematic analysis and proce</w:t>
      </w:r>
      <w:r w:rsidR="00995C70">
        <w:rPr>
          <w:rFonts w:asciiTheme="majorHAnsi" w:eastAsia="Times New Roman" w:hAnsiTheme="majorHAnsi" w:cstheme="majorHAnsi"/>
          <w:iCs/>
          <w:lang w:eastAsia="en-GB"/>
        </w:rPr>
        <w:t>s</w:t>
      </w:r>
      <w:r w:rsidR="00263114">
        <w:rPr>
          <w:rFonts w:asciiTheme="majorHAnsi" w:eastAsia="Times New Roman" w:hAnsiTheme="majorHAnsi" w:cstheme="majorHAnsi"/>
          <w:iCs/>
          <w:lang w:eastAsia="en-GB"/>
        </w:rPr>
        <w:t xml:space="preserve">s tracing. </w:t>
      </w:r>
    </w:p>
    <w:p w14:paraId="6CEF6A1C" w14:textId="77777777" w:rsidR="004F09AD" w:rsidRPr="0093562A" w:rsidRDefault="004F09AD" w:rsidP="004F09AD">
      <w:pPr>
        <w:rPr>
          <w:rFonts w:asciiTheme="majorHAnsi" w:hAnsiTheme="majorHAnsi"/>
        </w:rPr>
      </w:pPr>
    </w:p>
    <w:p w14:paraId="51F968B9" w14:textId="2A5627F3" w:rsidR="001B0AED" w:rsidRPr="002A53E6" w:rsidRDefault="00C478ED" w:rsidP="002A53E6">
      <w:pPr>
        <w:pStyle w:val="Heading2"/>
        <w:spacing w:before="0" w:line="240" w:lineRule="auto"/>
        <w:rPr>
          <w:rFonts w:cstheme="majorHAnsi"/>
          <w:b/>
          <w:bCs/>
          <w:color w:val="auto"/>
          <w:sz w:val="24"/>
          <w:szCs w:val="24"/>
        </w:rPr>
      </w:pPr>
      <w:bookmarkStart w:id="2" w:name="_Hlk32924056"/>
      <w:bookmarkEnd w:id="0"/>
      <w:bookmarkEnd w:id="1"/>
      <w:r>
        <w:rPr>
          <w:rFonts w:cstheme="majorHAnsi"/>
          <w:b/>
          <w:bCs/>
          <w:color w:val="auto"/>
          <w:sz w:val="24"/>
          <w:szCs w:val="24"/>
        </w:rPr>
        <w:t>P</w:t>
      </w:r>
      <w:r w:rsidR="003972FF">
        <w:rPr>
          <w:rFonts w:cstheme="majorHAnsi"/>
          <w:b/>
          <w:bCs/>
          <w:color w:val="auto"/>
          <w:sz w:val="24"/>
          <w:szCs w:val="24"/>
        </w:rPr>
        <w:t>olicy formulation tools</w:t>
      </w:r>
      <w:r>
        <w:rPr>
          <w:rFonts w:cstheme="majorHAnsi"/>
          <w:b/>
          <w:bCs/>
          <w:color w:val="auto"/>
          <w:sz w:val="24"/>
          <w:szCs w:val="24"/>
        </w:rPr>
        <w:t xml:space="preserve"> case studies</w:t>
      </w:r>
      <w:r w:rsidR="003972FF">
        <w:rPr>
          <w:rFonts w:cstheme="majorHAnsi"/>
          <w:b/>
          <w:bCs/>
          <w:color w:val="auto"/>
          <w:sz w:val="24"/>
          <w:szCs w:val="24"/>
        </w:rPr>
        <w:t xml:space="preserve">: their </w:t>
      </w:r>
      <w:r w:rsidR="003972FF" w:rsidRPr="003972FF">
        <w:rPr>
          <w:rFonts w:cstheme="majorHAnsi"/>
          <w:b/>
          <w:bCs/>
          <w:color w:val="auto"/>
          <w:sz w:val="24"/>
          <w:szCs w:val="24"/>
        </w:rPr>
        <w:t>actors, venues, capacities, and effects</w:t>
      </w:r>
    </w:p>
    <w:p w14:paraId="68336203" w14:textId="33A51A62" w:rsidR="001B0AED" w:rsidRDefault="001B0AED" w:rsidP="002A53E6">
      <w:pPr>
        <w:rPr>
          <w:rFonts w:asciiTheme="majorHAnsi" w:hAnsiTheme="majorHAnsi" w:cstheme="majorHAnsi"/>
        </w:rPr>
      </w:pPr>
    </w:p>
    <w:p w14:paraId="6DE1117A" w14:textId="35978607" w:rsidR="001B0AED" w:rsidRPr="003972FF" w:rsidRDefault="001B0AED" w:rsidP="002A53E6">
      <w:pPr>
        <w:pStyle w:val="Heading4"/>
        <w:spacing w:before="0" w:line="240" w:lineRule="auto"/>
        <w:rPr>
          <w:rFonts w:cstheme="majorHAnsi"/>
          <w:color w:val="auto"/>
          <w:sz w:val="24"/>
          <w:szCs w:val="24"/>
        </w:rPr>
      </w:pPr>
      <w:r w:rsidRPr="003972FF">
        <w:rPr>
          <w:rFonts w:cstheme="majorHAnsi"/>
          <w:color w:val="auto"/>
          <w:sz w:val="24"/>
          <w:szCs w:val="24"/>
        </w:rPr>
        <w:t>“Consumer First” Deliberative Focus Groups</w:t>
      </w:r>
    </w:p>
    <w:p w14:paraId="6BC2F7DC" w14:textId="764263ED" w:rsidR="001B0AED" w:rsidRPr="002A53E6" w:rsidRDefault="001B0AED" w:rsidP="002A53E6">
      <w:pPr>
        <w:rPr>
          <w:rFonts w:asciiTheme="majorHAnsi" w:hAnsiTheme="majorHAnsi" w:cstheme="majorHAnsi"/>
        </w:rPr>
      </w:pPr>
      <w:r w:rsidRPr="002A53E6">
        <w:rPr>
          <w:rFonts w:asciiTheme="majorHAnsi" w:hAnsiTheme="majorHAnsi" w:cstheme="majorHAnsi"/>
        </w:rPr>
        <w:t>Deliberative focus groups at Ofgem, called Consumer First Panels, were introduced in 2007. Their scope was:</w:t>
      </w:r>
    </w:p>
    <w:p w14:paraId="55CFEFBD" w14:textId="77777777" w:rsidR="003057EF" w:rsidRPr="002A53E6" w:rsidRDefault="003057EF" w:rsidP="002A53E6">
      <w:pPr>
        <w:rPr>
          <w:rFonts w:asciiTheme="majorHAnsi" w:hAnsiTheme="majorHAnsi" w:cstheme="majorHAnsi"/>
        </w:rPr>
      </w:pPr>
    </w:p>
    <w:p w14:paraId="31AB9E5F" w14:textId="2537672B" w:rsidR="001B0AED" w:rsidRPr="002A53E6" w:rsidRDefault="001B0AED" w:rsidP="002A53E6">
      <w:pPr>
        <w:rPr>
          <w:rFonts w:asciiTheme="majorHAnsi" w:hAnsiTheme="majorHAnsi" w:cstheme="majorHAnsi"/>
          <w:i/>
        </w:rPr>
      </w:pPr>
      <w:r w:rsidRPr="002A53E6">
        <w:rPr>
          <w:rFonts w:asciiTheme="majorHAnsi" w:hAnsiTheme="majorHAnsi" w:cstheme="majorHAnsi"/>
          <w:i/>
        </w:rPr>
        <w:t>“…to help improve our understanding of what really matters to consumers and to increase direct consumer contributions to Ofgem’s deliberations</w:t>
      </w:r>
      <w:r w:rsidR="00395A9C">
        <w:rPr>
          <w:rFonts w:asciiTheme="majorHAnsi" w:hAnsiTheme="majorHAnsi" w:cstheme="majorHAnsi"/>
          <w:i/>
        </w:rPr>
        <w:t>.</w:t>
      </w:r>
      <w:r w:rsidRPr="002A53E6">
        <w:rPr>
          <w:rFonts w:asciiTheme="majorHAnsi" w:hAnsiTheme="majorHAnsi" w:cstheme="majorHAnsi"/>
          <w:i/>
        </w:rPr>
        <w:t xml:space="preserve"> They are a unique </w:t>
      </w:r>
      <w:r w:rsidRPr="002A53E6">
        <w:rPr>
          <w:rFonts w:asciiTheme="majorHAnsi" w:hAnsiTheme="majorHAnsi" w:cstheme="majorHAnsi"/>
          <w:i/>
        </w:rPr>
        <w:lastRenderedPageBreak/>
        <w:t>resource that we can call on regularly to provide feedback on key energy topics and regulatory issues, and act as the ‘voice of the consumer’.”</w:t>
      </w:r>
    </w:p>
    <w:p w14:paraId="1FE76846" w14:textId="1E804819" w:rsidR="001B0AED" w:rsidRPr="002A53E6" w:rsidRDefault="00BB2E68" w:rsidP="002A53E6">
      <w:pPr>
        <w:rPr>
          <w:rFonts w:asciiTheme="majorHAnsi" w:hAnsiTheme="majorHAnsi" w:cstheme="majorHAnsi"/>
          <w:iCs/>
        </w:rPr>
      </w:pPr>
      <w:r>
        <w:rPr>
          <w:rFonts w:asciiTheme="majorHAnsi" w:hAnsiTheme="majorHAnsi" w:cstheme="majorHAnsi"/>
          <w:iCs/>
        </w:rPr>
        <w:t>(Ofgem, 2011</w:t>
      </w:r>
      <w:r w:rsidR="00750E38">
        <w:rPr>
          <w:rFonts w:asciiTheme="majorHAnsi" w:hAnsiTheme="majorHAnsi" w:cstheme="majorHAnsi"/>
          <w:iCs/>
        </w:rPr>
        <w:t>a</w:t>
      </w:r>
      <w:r>
        <w:rPr>
          <w:rFonts w:asciiTheme="majorHAnsi" w:hAnsiTheme="majorHAnsi" w:cstheme="majorHAnsi"/>
          <w:iCs/>
        </w:rPr>
        <w:t>: 1)</w:t>
      </w:r>
      <w:r w:rsidR="001B0AED" w:rsidRPr="002A53E6">
        <w:rPr>
          <w:rFonts w:asciiTheme="majorHAnsi" w:hAnsiTheme="majorHAnsi" w:cstheme="majorHAnsi"/>
          <w:i/>
        </w:rPr>
        <w:t xml:space="preserve"> </w:t>
      </w:r>
    </w:p>
    <w:p w14:paraId="24623CD4" w14:textId="2FA079D9" w:rsidR="00EA2169" w:rsidRDefault="00EA2169" w:rsidP="002A53E6">
      <w:pPr>
        <w:rPr>
          <w:rFonts w:asciiTheme="majorHAnsi" w:hAnsiTheme="majorHAnsi" w:cstheme="majorHAnsi"/>
          <w:iCs/>
        </w:rPr>
      </w:pPr>
    </w:p>
    <w:p w14:paraId="6DB8BC9F" w14:textId="7908A0AA" w:rsidR="00C911A3" w:rsidRPr="002A53E6" w:rsidRDefault="00C911A3" w:rsidP="00C911A3">
      <w:pPr>
        <w:rPr>
          <w:rFonts w:asciiTheme="majorHAnsi" w:hAnsiTheme="majorHAnsi" w:cstheme="majorHAnsi"/>
        </w:rPr>
      </w:pPr>
      <w:r w:rsidRPr="002A53E6">
        <w:rPr>
          <w:rFonts w:asciiTheme="majorHAnsi" w:hAnsiTheme="majorHAnsi" w:cstheme="majorHAnsi"/>
        </w:rPr>
        <w:t xml:space="preserve">Each year, 80 to 100 </w:t>
      </w:r>
      <w:r w:rsidR="00EE3DA6">
        <w:rPr>
          <w:rFonts w:asciiTheme="majorHAnsi" w:hAnsiTheme="majorHAnsi" w:cstheme="majorHAnsi"/>
        </w:rPr>
        <w:t xml:space="preserve">British energy </w:t>
      </w:r>
      <w:r w:rsidRPr="002A53E6">
        <w:rPr>
          <w:rFonts w:asciiTheme="majorHAnsi" w:hAnsiTheme="majorHAnsi" w:cstheme="majorHAnsi"/>
        </w:rPr>
        <w:t>consumers were recruited through door to door and snowballing approaches to form a demographically representative sample. This group of participants met three times over the course of a year to deliberate topics selected by Ofgem. The events were held over the course of a year with each ‘wave’ of panellists asked to:</w:t>
      </w:r>
    </w:p>
    <w:p w14:paraId="6329036A" w14:textId="77777777" w:rsidR="00C911A3" w:rsidRPr="002A53E6" w:rsidRDefault="00C911A3" w:rsidP="00C911A3">
      <w:pPr>
        <w:rPr>
          <w:rFonts w:asciiTheme="majorHAnsi" w:hAnsiTheme="majorHAnsi" w:cstheme="majorHAnsi"/>
          <w:i/>
        </w:rPr>
      </w:pPr>
    </w:p>
    <w:p w14:paraId="3774E9D3" w14:textId="77777777" w:rsidR="00C911A3" w:rsidRPr="002A53E6" w:rsidRDefault="00C911A3" w:rsidP="00C911A3">
      <w:pPr>
        <w:rPr>
          <w:rFonts w:asciiTheme="majorHAnsi" w:hAnsiTheme="majorHAnsi" w:cstheme="majorHAnsi"/>
          <w:i/>
        </w:rPr>
      </w:pPr>
      <w:r w:rsidRPr="002A53E6">
        <w:rPr>
          <w:rFonts w:asciiTheme="majorHAnsi" w:hAnsiTheme="majorHAnsi" w:cstheme="majorHAnsi"/>
          <w:i/>
        </w:rPr>
        <w:t xml:space="preserve">“…become ‘expert’ consumers – meaning that they are able to discuss issues from a consumer perspective with a rounded view of how the energy industry works and knowledge of the business models involved.”  </w:t>
      </w:r>
    </w:p>
    <w:p w14:paraId="1B3B2835" w14:textId="7639BAA1" w:rsidR="00C911A3" w:rsidRPr="002A53E6" w:rsidRDefault="00BB2E68" w:rsidP="00C911A3">
      <w:pPr>
        <w:rPr>
          <w:rFonts w:asciiTheme="majorHAnsi" w:hAnsiTheme="majorHAnsi" w:cstheme="majorHAnsi"/>
        </w:rPr>
      </w:pPr>
      <w:r>
        <w:rPr>
          <w:rFonts w:asciiTheme="majorHAnsi" w:hAnsiTheme="majorHAnsi" w:cstheme="majorHAnsi"/>
        </w:rPr>
        <w:t>(Ofgem 2009</w:t>
      </w:r>
      <w:r w:rsidR="00A46A18">
        <w:rPr>
          <w:rFonts w:asciiTheme="majorHAnsi" w:hAnsiTheme="majorHAnsi" w:cstheme="majorHAnsi"/>
        </w:rPr>
        <w:t>b</w:t>
      </w:r>
      <w:r>
        <w:rPr>
          <w:rFonts w:asciiTheme="majorHAnsi" w:hAnsiTheme="majorHAnsi" w:cstheme="majorHAnsi"/>
        </w:rPr>
        <w:t>: 3)</w:t>
      </w:r>
      <w:r w:rsidRPr="002A53E6">
        <w:rPr>
          <w:rFonts w:asciiTheme="majorHAnsi" w:hAnsiTheme="majorHAnsi" w:cstheme="majorHAnsi"/>
        </w:rPr>
        <w:t xml:space="preserve"> </w:t>
      </w:r>
    </w:p>
    <w:p w14:paraId="0AF2495A" w14:textId="77777777" w:rsidR="00C911A3" w:rsidRDefault="00C911A3" w:rsidP="002A53E6">
      <w:pPr>
        <w:rPr>
          <w:rFonts w:asciiTheme="majorHAnsi" w:hAnsiTheme="majorHAnsi" w:cstheme="majorHAnsi"/>
          <w:iCs/>
        </w:rPr>
      </w:pPr>
    </w:p>
    <w:p w14:paraId="69E41F78" w14:textId="3C61BD97" w:rsidR="001B0AED" w:rsidRDefault="001B0AED" w:rsidP="002A53E6">
      <w:pPr>
        <w:rPr>
          <w:rFonts w:asciiTheme="majorHAnsi" w:hAnsiTheme="majorHAnsi" w:cstheme="majorHAnsi"/>
        </w:rPr>
      </w:pPr>
      <w:r w:rsidRPr="002A53E6">
        <w:rPr>
          <w:rFonts w:asciiTheme="majorHAnsi" w:hAnsiTheme="majorHAnsi" w:cstheme="majorHAnsi"/>
        </w:rPr>
        <w:t xml:space="preserve">Between 2007 </w:t>
      </w:r>
      <w:r w:rsidR="00961A06">
        <w:rPr>
          <w:rFonts w:asciiTheme="majorHAnsi" w:hAnsiTheme="majorHAnsi" w:cstheme="majorHAnsi"/>
        </w:rPr>
        <w:t>and 2016</w:t>
      </w:r>
      <w:r w:rsidRPr="002A53E6">
        <w:rPr>
          <w:rFonts w:asciiTheme="majorHAnsi" w:hAnsiTheme="majorHAnsi" w:cstheme="majorHAnsi"/>
        </w:rPr>
        <w:t xml:space="preserve">, </w:t>
      </w:r>
      <w:r w:rsidR="00961A06">
        <w:rPr>
          <w:rFonts w:asciiTheme="majorHAnsi" w:hAnsiTheme="majorHAnsi" w:cstheme="majorHAnsi"/>
        </w:rPr>
        <w:t>1</w:t>
      </w:r>
      <w:r w:rsidRPr="002A53E6">
        <w:rPr>
          <w:rFonts w:asciiTheme="majorHAnsi" w:hAnsiTheme="majorHAnsi" w:cstheme="majorHAnsi"/>
        </w:rPr>
        <w:t xml:space="preserve">3 focus groups </w:t>
      </w:r>
      <w:r w:rsidR="00961A06">
        <w:rPr>
          <w:rFonts w:asciiTheme="majorHAnsi" w:hAnsiTheme="majorHAnsi" w:cstheme="majorHAnsi"/>
        </w:rPr>
        <w:t>discussed</w:t>
      </w:r>
      <w:r w:rsidRPr="002A53E6">
        <w:rPr>
          <w:rFonts w:asciiTheme="majorHAnsi" w:hAnsiTheme="majorHAnsi" w:cstheme="majorHAnsi"/>
        </w:rPr>
        <w:t xml:space="preserve"> topics linked to </w:t>
      </w:r>
      <w:r w:rsidR="00EE3DA6">
        <w:rPr>
          <w:rFonts w:asciiTheme="majorHAnsi" w:hAnsiTheme="majorHAnsi" w:cstheme="majorHAnsi"/>
        </w:rPr>
        <w:t xml:space="preserve">energy </w:t>
      </w:r>
      <w:r w:rsidRPr="002A53E6">
        <w:rPr>
          <w:rFonts w:asciiTheme="majorHAnsi" w:hAnsiTheme="majorHAnsi" w:cstheme="majorHAnsi"/>
        </w:rPr>
        <w:t>supply market regulation</w:t>
      </w:r>
      <w:r w:rsidR="00820D4A">
        <w:rPr>
          <w:rFonts w:asciiTheme="majorHAnsi" w:hAnsiTheme="majorHAnsi" w:cstheme="majorHAnsi"/>
        </w:rPr>
        <w:t xml:space="preserve"> (Table </w:t>
      </w:r>
      <w:r w:rsidR="00D015AC">
        <w:rPr>
          <w:rFonts w:asciiTheme="majorHAnsi" w:hAnsiTheme="majorHAnsi" w:cstheme="majorHAnsi"/>
        </w:rPr>
        <w:t>1</w:t>
      </w:r>
      <w:r w:rsidR="00820D4A">
        <w:rPr>
          <w:rFonts w:asciiTheme="majorHAnsi" w:hAnsiTheme="majorHAnsi" w:cstheme="majorHAnsi"/>
        </w:rPr>
        <w:t>)</w:t>
      </w:r>
      <w:r w:rsidRPr="002A53E6">
        <w:rPr>
          <w:rFonts w:asciiTheme="majorHAnsi" w:hAnsiTheme="majorHAnsi" w:cstheme="majorHAnsi"/>
        </w:rPr>
        <w:t>.</w:t>
      </w:r>
      <w:r w:rsidR="00707C5D">
        <w:rPr>
          <w:rFonts w:asciiTheme="majorHAnsi" w:hAnsiTheme="majorHAnsi" w:cstheme="majorHAnsi"/>
        </w:rPr>
        <w:t xml:space="preserve"> </w:t>
      </w:r>
    </w:p>
    <w:p w14:paraId="165BCEB7" w14:textId="5B1608B0" w:rsidR="001F7BB6" w:rsidRDefault="001F7BB6" w:rsidP="002A53E6">
      <w:pPr>
        <w:rPr>
          <w:rFonts w:asciiTheme="majorHAnsi" w:hAnsiTheme="majorHAnsi" w:cstheme="majorHAnsi"/>
        </w:rPr>
      </w:pPr>
    </w:p>
    <w:p w14:paraId="53ECF557" w14:textId="4D706C3A" w:rsidR="006B165A" w:rsidRDefault="001F7BB6" w:rsidP="006B165A">
      <w:pPr>
        <w:ind w:firstLine="720"/>
        <w:rPr>
          <w:rFonts w:asciiTheme="majorHAnsi" w:hAnsiTheme="majorHAnsi" w:cstheme="majorHAnsi"/>
        </w:rPr>
      </w:pPr>
      <w:r>
        <w:rPr>
          <w:rFonts w:asciiTheme="majorHAnsi" w:hAnsiTheme="majorHAnsi" w:cstheme="majorHAnsi"/>
        </w:rPr>
        <w:t xml:space="preserve">**TABLE </w:t>
      </w:r>
      <w:r w:rsidR="00D015AC">
        <w:rPr>
          <w:rFonts w:asciiTheme="majorHAnsi" w:hAnsiTheme="majorHAnsi" w:cstheme="majorHAnsi"/>
        </w:rPr>
        <w:t>1</w:t>
      </w:r>
      <w:r>
        <w:rPr>
          <w:rFonts w:asciiTheme="majorHAnsi" w:hAnsiTheme="majorHAnsi" w:cstheme="majorHAnsi"/>
        </w:rPr>
        <w:t xml:space="preserve"> HERE**</w:t>
      </w:r>
    </w:p>
    <w:p w14:paraId="6C4A1967" w14:textId="77777777" w:rsidR="006B165A" w:rsidRDefault="006B165A" w:rsidP="006B165A">
      <w:pPr>
        <w:ind w:firstLine="720"/>
        <w:rPr>
          <w:rFonts w:asciiTheme="majorHAnsi" w:hAnsiTheme="majorHAnsi" w:cstheme="majorHAnsi"/>
        </w:rPr>
      </w:pPr>
    </w:p>
    <w:p w14:paraId="5D54E20D" w14:textId="448CE56B" w:rsidR="009D3260" w:rsidRDefault="00546344" w:rsidP="006B165A">
      <w:pPr>
        <w:ind w:firstLine="720"/>
        <w:rPr>
          <w:rFonts w:asciiTheme="majorHAnsi" w:hAnsiTheme="majorHAnsi" w:cstheme="majorHAnsi"/>
        </w:rPr>
      </w:pPr>
      <w:r>
        <w:rPr>
          <w:rFonts w:asciiTheme="majorHAnsi" w:hAnsiTheme="majorHAnsi" w:cstheme="majorHAnsi"/>
        </w:rPr>
        <w:t>T</w:t>
      </w:r>
      <w:r w:rsidRPr="002A53E6">
        <w:rPr>
          <w:rFonts w:asciiTheme="majorHAnsi" w:hAnsiTheme="majorHAnsi" w:cstheme="majorHAnsi"/>
        </w:rPr>
        <w:t xml:space="preserve">he topics selected by Ofgem largely focused on two interlinked </w:t>
      </w:r>
      <w:r>
        <w:rPr>
          <w:rFonts w:asciiTheme="majorHAnsi" w:hAnsiTheme="majorHAnsi" w:cstheme="majorHAnsi"/>
        </w:rPr>
        <w:t>themes. First, d</w:t>
      </w:r>
      <w:r w:rsidRPr="002A53E6">
        <w:rPr>
          <w:rFonts w:asciiTheme="majorHAnsi" w:hAnsiTheme="majorHAnsi" w:cstheme="majorHAnsi"/>
        </w:rPr>
        <w:t xml:space="preserve">iscussions </w:t>
      </w:r>
      <w:r>
        <w:rPr>
          <w:rFonts w:asciiTheme="majorHAnsi" w:hAnsiTheme="majorHAnsi" w:cstheme="majorHAnsi"/>
        </w:rPr>
        <w:t>on e</w:t>
      </w:r>
      <w:r w:rsidRPr="002A53E6">
        <w:rPr>
          <w:rFonts w:asciiTheme="majorHAnsi" w:hAnsiTheme="majorHAnsi" w:cstheme="majorHAnsi"/>
        </w:rPr>
        <w:t xml:space="preserve">nergy market engagement </w:t>
      </w:r>
      <w:r>
        <w:rPr>
          <w:rFonts w:asciiTheme="majorHAnsi" w:hAnsiTheme="majorHAnsi" w:cstheme="majorHAnsi"/>
        </w:rPr>
        <w:t xml:space="preserve">included </w:t>
      </w:r>
      <w:r w:rsidRPr="002A53E6">
        <w:rPr>
          <w:rFonts w:asciiTheme="majorHAnsi" w:hAnsiTheme="majorHAnsi" w:cstheme="majorHAnsi"/>
        </w:rPr>
        <w:t>switching energy suppliers and trust in energy supply firms</w:t>
      </w:r>
      <w:r>
        <w:rPr>
          <w:rFonts w:asciiTheme="majorHAnsi" w:hAnsiTheme="majorHAnsi" w:cstheme="majorHAnsi"/>
        </w:rPr>
        <w:t>,</w:t>
      </w:r>
      <w:r w:rsidRPr="002A53E6">
        <w:rPr>
          <w:rFonts w:asciiTheme="majorHAnsi" w:hAnsiTheme="majorHAnsi" w:cstheme="majorHAnsi"/>
        </w:rPr>
        <w:t xml:space="preserve"> and the extent to which trust impacted market engagement (</w:t>
      </w:r>
      <w:r>
        <w:rPr>
          <w:rFonts w:asciiTheme="majorHAnsi" w:hAnsiTheme="majorHAnsi" w:cstheme="majorHAnsi"/>
        </w:rPr>
        <w:t>Panels</w:t>
      </w:r>
      <w:r w:rsidRPr="002A53E6">
        <w:rPr>
          <w:rFonts w:asciiTheme="majorHAnsi" w:hAnsiTheme="majorHAnsi" w:cstheme="majorHAnsi"/>
        </w:rPr>
        <w:t xml:space="preserve"> 1 – 5, 8</w:t>
      </w:r>
      <w:r w:rsidR="00C74CB6">
        <w:rPr>
          <w:rFonts w:asciiTheme="majorHAnsi" w:hAnsiTheme="majorHAnsi" w:cstheme="majorHAnsi"/>
        </w:rPr>
        <w:t xml:space="preserve">, </w:t>
      </w:r>
      <w:r w:rsidRPr="002A53E6">
        <w:rPr>
          <w:rFonts w:asciiTheme="majorHAnsi" w:hAnsiTheme="majorHAnsi" w:cstheme="majorHAnsi"/>
        </w:rPr>
        <w:t xml:space="preserve">10 – 13). </w:t>
      </w:r>
      <w:r>
        <w:rPr>
          <w:rFonts w:asciiTheme="majorHAnsi" w:hAnsiTheme="majorHAnsi" w:cstheme="majorHAnsi"/>
        </w:rPr>
        <w:t xml:space="preserve">Second, discussion on </w:t>
      </w:r>
      <w:r w:rsidRPr="002A53E6">
        <w:rPr>
          <w:rFonts w:asciiTheme="majorHAnsi" w:hAnsiTheme="majorHAnsi" w:cstheme="majorHAnsi"/>
        </w:rPr>
        <w:t>information requirements for consumers to engage with the market</w:t>
      </w:r>
      <w:r>
        <w:rPr>
          <w:rFonts w:asciiTheme="majorHAnsi" w:hAnsiTheme="majorHAnsi" w:cstheme="majorHAnsi"/>
        </w:rPr>
        <w:t xml:space="preserve"> included </w:t>
      </w:r>
      <w:r w:rsidRPr="002A53E6">
        <w:rPr>
          <w:rFonts w:asciiTheme="majorHAnsi" w:hAnsiTheme="majorHAnsi" w:cstheme="majorHAnsi"/>
        </w:rPr>
        <w:t>the regularity of information from energy supply firms and the formatting of that information (</w:t>
      </w:r>
      <w:r>
        <w:rPr>
          <w:rFonts w:asciiTheme="majorHAnsi" w:hAnsiTheme="majorHAnsi" w:cstheme="majorHAnsi"/>
        </w:rPr>
        <w:t>Panel</w:t>
      </w:r>
      <w:r w:rsidRPr="002A53E6">
        <w:rPr>
          <w:rFonts w:asciiTheme="majorHAnsi" w:hAnsiTheme="majorHAnsi" w:cstheme="majorHAnsi"/>
        </w:rPr>
        <w:t>s 1, 2, 4</w:t>
      </w:r>
      <w:r w:rsidR="00C74CB6">
        <w:rPr>
          <w:rFonts w:asciiTheme="majorHAnsi" w:hAnsiTheme="majorHAnsi" w:cstheme="majorHAnsi"/>
        </w:rPr>
        <w:t xml:space="preserve"> - </w:t>
      </w:r>
      <w:r w:rsidRPr="002A53E6">
        <w:rPr>
          <w:rFonts w:asciiTheme="majorHAnsi" w:hAnsiTheme="majorHAnsi" w:cstheme="majorHAnsi"/>
        </w:rPr>
        <w:t>6, 10</w:t>
      </w:r>
      <w:r w:rsidR="00C74CB6">
        <w:rPr>
          <w:rFonts w:asciiTheme="majorHAnsi" w:hAnsiTheme="majorHAnsi" w:cstheme="majorHAnsi"/>
        </w:rPr>
        <w:t xml:space="preserve">, </w:t>
      </w:r>
      <w:r w:rsidRPr="002A53E6">
        <w:rPr>
          <w:rFonts w:asciiTheme="majorHAnsi" w:hAnsiTheme="majorHAnsi" w:cstheme="majorHAnsi"/>
        </w:rPr>
        <w:t xml:space="preserve">11). </w:t>
      </w:r>
      <w:r w:rsidR="007A5D5F">
        <w:rPr>
          <w:rFonts w:asciiTheme="majorHAnsi" w:hAnsiTheme="majorHAnsi" w:cstheme="majorHAnsi"/>
        </w:rPr>
        <w:t>Only f</w:t>
      </w:r>
      <w:r w:rsidR="009D3260" w:rsidRPr="002A53E6">
        <w:rPr>
          <w:rFonts w:asciiTheme="majorHAnsi" w:hAnsiTheme="majorHAnsi" w:cstheme="majorHAnsi"/>
        </w:rPr>
        <w:t xml:space="preserve">our </w:t>
      </w:r>
      <w:r w:rsidR="009D3260">
        <w:rPr>
          <w:rFonts w:asciiTheme="majorHAnsi" w:hAnsiTheme="majorHAnsi" w:cstheme="majorHAnsi"/>
        </w:rPr>
        <w:t xml:space="preserve">of the </w:t>
      </w:r>
      <w:r w:rsidR="007A5D5F">
        <w:rPr>
          <w:rFonts w:asciiTheme="majorHAnsi" w:hAnsiTheme="majorHAnsi" w:cstheme="majorHAnsi"/>
        </w:rPr>
        <w:t xml:space="preserve">panels </w:t>
      </w:r>
      <w:r w:rsidR="009D3260" w:rsidRPr="002A53E6">
        <w:rPr>
          <w:rFonts w:asciiTheme="majorHAnsi" w:hAnsiTheme="majorHAnsi" w:cstheme="majorHAnsi"/>
        </w:rPr>
        <w:t xml:space="preserve">were invited to </w:t>
      </w:r>
      <w:r w:rsidR="009D3260">
        <w:rPr>
          <w:rFonts w:asciiTheme="majorHAnsi" w:hAnsiTheme="majorHAnsi" w:cstheme="majorHAnsi"/>
        </w:rPr>
        <w:t xml:space="preserve">discuss </w:t>
      </w:r>
      <w:r w:rsidR="009D3260" w:rsidRPr="002A53E6">
        <w:rPr>
          <w:rFonts w:asciiTheme="majorHAnsi" w:hAnsiTheme="majorHAnsi" w:cstheme="majorHAnsi"/>
        </w:rPr>
        <w:t xml:space="preserve">topics beyond </w:t>
      </w:r>
      <w:r w:rsidR="007A5D5F">
        <w:rPr>
          <w:rFonts w:asciiTheme="majorHAnsi" w:hAnsiTheme="majorHAnsi" w:cstheme="majorHAnsi"/>
        </w:rPr>
        <w:t>these.</w:t>
      </w:r>
      <w:r w:rsidR="007A5D5F" w:rsidRPr="002A53E6">
        <w:rPr>
          <w:rFonts w:asciiTheme="majorHAnsi" w:hAnsiTheme="majorHAnsi" w:cstheme="majorHAnsi"/>
        </w:rPr>
        <w:t xml:space="preserve"> </w:t>
      </w:r>
      <w:r w:rsidR="00DC2778">
        <w:rPr>
          <w:rFonts w:asciiTheme="majorHAnsi" w:hAnsiTheme="majorHAnsi" w:cstheme="majorHAnsi"/>
        </w:rPr>
        <w:t>A</w:t>
      </w:r>
      <w:r w:rsidR="009D3260" w:rsidRPr="002A53E6">
        <w:rPr>
          <w:rFonts w:asciiTheme="majorHAnsi" w:hAnsiTheme="majorHAnsi" w:cstheme="majorHAnsi"/>
        </w:rPr>
        <w:t xml:space="preserve"> discussion of fairness</w:t>
      </w:r>
      <w:r w:rsidR="00DC2778">
        <w:rPr>
          <w:rFonts w:asciiTheme="majorHAnsi" w:hAnsiTheme="majorHAnsi" w:cstheme="majorHAnsi"/>
        </w:rPr>
        <w:t xml:space="preserve"> (Panel 3)</w:t>
      </w:r>
      <w:r w:rsidR="009D3260" w:rsidRPr="002A53E6">
        <w:rPr>
          <w:rFonts w:asciiTheme="majorHAnsi" w:hAnsiTheme="majorHAnsi" w:cstheme="majorHAnsi"/>
        </w:rPr>
        <w:t xml:space="preserve"> focused on firms who offered a ‘prompt pay’ discount</w:t>
      </w:r>
      <w:r w:rsidR="009D3260">
        <w:rPr>
          <w:rFonts w:asciiTheme="majorHAnsi" w:hAnsiTheme="majorHAnsi" w:cstheme="majorHAnsi"/>
        </w:rPr>
        <w:t xml:space="preserve"> of approximately £30</w:t>
      </w:r>
      <w:r w:rsidR="009D3260" w:rsidRPr="002A53E6">
        <w:rPr>
          <w:rFonts w:asciiTheme="majorHAnsi" w:hAnsiTheme="majorHAnsi" w:cstheme="majorHAnsi"/>
        </w:rPr>
        <w:t xml:space="preserve">. This was related to a </w:t>
      </w:r>
      <w:r w:rsidR="005F750C" w:rsidRPr="002A53E6">
        <w:rPr>
          <w:rFonts w:asciiTheme="majorHAnsi" w:hAnsiTheme="majorHAnsi" w:cstheme="majorHAnsi"/>
        </w:rPr>
        <w:t>p</w:t>
      </w:r>
      <w:r w:rsidR="005F750C">
        <w:rPr>
          <w:rFonts w:asciiTheme="majorHAnsi" w:hAnsiTheme="majorHAnsi" w:cstheme="majorHAnsi"/>
        </w:rPr>
        <w:t>rocess that made up part</w:t>
      </w:r>
      <w:r w:rsidR="009D3260" w:rsidRPr="002A53E6">
        <w:rPr>
          <w:rFonts w:asciiTheme="majorHAnsi" w:hAnsiTheme="majorHAnsi" w:cstheme="majorHAnsi"/>
        </w:rPr>
        <w:t xml:space="preserve"> of the Retail Market Review that discussed the removal of the range of discounts and surcharges on the basis that they added complexity to comparing offers</w:t>
      </w:r>
      <w:r w:rsidR="00CC6A82">
        <w:rPr>
          <w:rFonts w:asciiTheme="majorHAnsi" w:hAnsiTheme="majorHAnsi" w:cstheme="majorHAnsi"/>
        </w:rPr>
        <w:t xml:space="preserve"> (Ofgem, 2011</w:t>
      </w:r>
      <w:r w:rsidR="00750E38">
        <w:rPr>
          <w:rFonts w:asciiTheme="majorHAnsi" w:hAnsiTheme="majorHAnsi" w:cstheme="majorHAnsi"/>
        </w:rPr>
        <w:t>b</w:t>
      </w:r>
      <w:r w:rsidR="00CC6A82">
        <w:rPr>
          <w:rFonts w:asciiTheme="majorHAnsi" w:hAnsiTheme="majorHAnsi" w:cstheme="majorHAnsi"/>
        </w:rPr>
        <w:t>)</w:t>
      </w:r>
      <w:r w:rsidR="009D3260" w:rsidRPr="002A53E6">
        <w:rPr>
          <w:rFonts w:asciiTheme="majorHAnsi" w:hAnsiTheme="majorHAnsi" w:cstheme="majorHAnsi"/>
        </w:rPr>
        <w:t>. The consideration of fairness of this discount focused on encouraging the perceived ‘correct’ behaviour of early payment and whether others who did not pay early</w:t>
      </w:r>
      <w:r w:rsidR="009D3260">
        <w:rPr>
          <w:rFonts w:asciiTheme="majorHAnsi" w:hAnsiTheme="majorHAnsi" w:cstheme="majorHAnsi"/>
        </w:rPr>
        <w:t xml:space="preserve">, </w:t>
      </w:r>
      <w:r w:rsidR="009D3260" w:rsidRPr="002A53E6">
        <w:rPr>
          <w:rFonts w:asciiTheme="majorHAnsi" w:hAnsiTheme="majorHAnsi" w:cstheme="majorHAnsi"/>
        </w:rPr>
        <w:t>even those who paid on time</w:t>
      </w:r>
      <w:r w:rsidR="009D3260">
        <w:rPr>
          <w:rFonts w:asciiTheme="majorHAnsi" w:hAnsiTheme="majorHAnsi" w:cstheme="majorHAnsi"/>
        </w:rPr>
        <w:t>,</w:t>
      </w:r>
      <w:r w:rsidR="009D3260" w:rsidRPr="002A53E6">
        <w:rPr>
          <w:rFonts w:asciiTheme="majorHAnsi" w:hAnsiTheme="majorHAnsi" w:cstheme="majorHAnsi"/>
        </w:rPr>
        <w:t xml:space="preserve"> would be in effect funding this discount. </w:t>
      </w:r>
      <w:r w:rsidR="00F25FEE">
        <w:rPr>
          <w:rFonts w:asciiTheme="majorHAnsi" w:hAnsiTheme="majorHAnsi" w:cstheme="majorHAnsi"/>
        </w:rPr>
        <w:t xml:space="preserve">Two panels focused on considerations linked to the experiences of consumers in vulnerable circumstances – their identification by energy firms (Panel 7) and the extent to which schemes administered by the regulator could support those struggling to pay their bills (Panel 9). </w:t>
      </w:r>
    </w:p>
    <w:p w14:paraId="5634FEB3" w14:textId="73DCA656" w:rsidR="009D3260" w:rsidRPr="000B38F5" w:rsidRDefault="009D3260" w:rsidP="00B35681">
      <w:pPr>
        <w:ind w:firstLine="720"/>
        <w:rPr>
          <w:rFonts w:asciiTheme="majorHAnsi" w:hAnsiTheme="majorHAnsi" w:cstheme="majorHAnsi"/>
          <w:iCs/>
        </w:rPr>
      </w:pPr>
      <w:r>
        <w:rPr>
          <w:rFonts w:asciiTheme="majorHAnsi" w:hAnsiTheme="majorHAnsi" w:cstheme="majorHAnsi"/>
        </w:rPr>
        <w:t xml:space="preserve">A central capacity of the </w:t>
      </w:r>
      <w:r w:rsidR="00CD67E9">
        <w:rPr>
          <w:rFonts w:asciiTheme="majorHAnsi" w:hAnsiTheme="majorHAnsi" w:cstheme="majorHAnsi"/>
        </w:rPr>
        <w:t>focus groups</w:t>
      </w:r>
      <w:r>
        <w:rPr>
          <w:rFonts w:asciiTheme="majorHAnsi" w:hAnsiTheme="majorHAnsi" w:cstheme="majorHAnsi"/>
        </w:rPr>
        <w:t xml:space="preserve"> was to expand the number of actors, and Consumer First did draw in actors from beyond the regulator. This </w:t>
      </w:r>
      <w:r w:rsidR="00CD67E9">
        <w:rPr>
          <w:rFonts w:asciiTheme="majorHAnsi" w:hAnsiTheme="majorHAnsi" w:cstheme="majorHAnsi"/>
        </w:rPr>
        <w:t xml:space="preserve">could </w:t>
      </w:r>
      <w:r>
        <w:rPr>
          <w:rFonts w:asciiTheme="majorHAnsi" w:hAnsiTheme="majorHAnsi" w:cstheme="majorHAnsi"/>
        </w:rPr>
        <w:t xml:space="preserve">in theory have led to expanded capacities for those actors to influence </w:t>
      </w:r>
      <w:r w:rsidRPr="00E2526B">
        <w:rPr>
          <w:rFonts w:asciiTheme="majorHAnsi" w:hAnsiTheme="majorHAnsi" w:cstheme="majorHAnsi"/>
        </w:rPr>
        <w:t>policy formulation</w:t>
      </w:r>
      <w:r>
        <w:rPr>
          <w:rFonts w:asciiTheme="majorHAnsi" w:hAnsiTheme="majorHAnsi" w:cstheme="majorHAnsi"/>
        </w:rPr>
        <w:t xml:space="preserve">. The programme did indeed appear to </w:t>
      </w:r>
      <w:r w:rsidRPr="000B38F5">
        <w:rPr>
          <w:rFonts w:asciiTheme="majorHAnsi" w:hAnsiTheme="majorHAnsi" w:cstheme="majorHAnsi"/>
        </w:rPr>
        <w:t xml:space="preserve">expand some actors’ capacities. </w:t>
      </w:r>
      <w:r w:rsidRPr="000B38F5">
        <w:rPr>
          <w:rFonts w:asciiTheme="majorHAnsi" w:hAnsiTheme="majorHAnsi" w:cstheme="majorHAnsi"/>
          <w:iCs/>
        </w:rPr>
        <w:t>Some interviewees who held, or had held, policy formulation roles at Ofgem welcomed the insights from Consumer First. For example, one interviewee explained:</w:t>
      </w:r>
    </w:p>
    <w:p w14:paraId="4A1C0AFE" w14:textId="77777777" w:rsidR="009D3260" w:rsidRPr="000B38F5" w:rsidRDefault="009D3260" w:rsidP="009D3260">
      <w:pPr>
        <w:rPr>
          <w:rFonts w:asciiTheme="majorHAnsi" w:hAnsiTheme="majorHAnsi" w:cstheme="majorHAnsi"/>
          <w:i/>
        </w:rPr>
      </w:pPr>
    </w:p>
    <w:p w14:paraId="30DE96AE" w14:textId="77777777" w:rsidR="009D3260" w:rsidRPr="000B38F5" w:rsidRDefault="009D3260" w:rsidP="009D3260">
      <w:pPr>
        <w:rPr>
          <w:rFonts w:asciiTheme="majorHAnsi" w:hAnsiTheme="majorHAnsi" w:cstheme="majorHAnsi"/>
          <w:i/>
        </w:rPr>
      </w:pPr>
      <w:r w:rsidRPr="000B38F5">
        <w:rPr>
          <w:rFonts w:asciiTheme="majorHAnsi" w:hAnsiTheme="majorHAnsi" w:cstheme="majorHAnsi"/>
          <w:i/>
        </w:rPr>
        <w:lastRenderedPageBreak/>
        <w:t xml:space="preserve">“I think that they are such are such a useful vehicle for us. To test certain issues and to go, well, more ‘deep dive’ with them.” </w:t>
      </w:r>
    </w:p>
    <w:p w14:paraId="664753F8" w14:textId="77777777" w:rsidR="009D3260" w:rsidRPr="002A53E6" w:rsidRDefault="009D3260" w:rsidP="009D3260">
      <w:pPr>
        <w:rPr>
          <w:rFonts w:asciiTheme="majorHAnsi" w:hAnsiTheme="majorHAnsi" w:cstheme="majorHAnsi"/>
        </w:rPr>
      </w:pPr>
      <w:r w:rsidRPr="000B38F5">
        <w:rPr>
          <w:rFonts w:asciiTheme="majorHAnsi" w:hAnsiTheme="majorHAnsi" w:cstheme="majorHAnsi"/>
        </w:rPr>
        <w:t>Reg2 (in line with Reg4, Reg5, Ad3)</w:t>
      </w:r>
    </w:p>
    <w:p w14:paraId="596D4B3A" w14:textId="77777777" w:rsidR="009D3260" w:rsidRDefault="009D3260" w:rsidP="009D3260">
      <w:pPr>
        <w:rPr>
          <w:rFonts w:asciiTheme="majorHAnsi" w:hAnsiTheme="majorHAnsi" w:cstheme="majorHAnsi"/>
        </w:rPr>
      </w:pPr>
    </w:p>
    <w:p w14:paraId="3A09F1A4" w14:textId="1EF9E84E" w:rsidR="009711A4" w:rsidRDefault="009D3260" w:rsidP="002B1858">
      <w:pPr>
        <w:rPr>
          <w:rFonts w:asciiTheme="majorHAnsi" w:hAnsiTheme="majorHAnsi" w:cstheme="majorHAnsi"/>
        </w:rPr>
      </w:pPr>
      <w:r w:rsidRPr="002A53E6">
        <w:rPr>
          <w:rFonts w:asciiTheme="majorHAnsi" w:hAnsiTheme="majorHAnsi" w:cstheme="majorHAnsi"/>
        </w:rPr>
        <w:t>However</w:t>
      </w:r>
      <w:r>
        <w:rPr>
          <w:rFonts w:asciiTheme="majorHAnsi" w:hAnsiTheme="majorHAnsi" w:cstheme="majorHAnsi"/>
        </w:rPr>
        <w:t>,</w:t>
      </w:r>
      <w:r w:rsidRPr="002A53E6">
        <w:rPr>
          <w:rFonts w:asciiTheme="majorHAnsi" w:hAnsiTheme="majorHAnsi" w:cstheme="majorHAnsi"/>
        </w:rPr>
        <w:t xml:space="preserve"> the topics </w:t>
      </w:r>
      <w:r>
        <w:rPr>
          <w:rFonts w:asciiTheme="majorHAnsi" w:hAnsiTheme="majorHAnsi" w:cstheme="majorHAnsi"/>
        </w:rPr>
        <w:t>discuss</w:t>
      </w:r>
      <w:r w:rsidRPr="002A53E6">
        <w:rPr>
          <w:rFonts w:asciiTheme="majorHAnsi" w:hAnsiTheme="majorHAnsi" w:cstheme="majorHAnsi"/>
        </w:rPr>
        <w:t>ed were set by staff within the regulator</w:t>
      </w:r>
      <w:r>
        <w:rPr>
          <w:rFonts w:asciiTheme="majorHAnsi" w:hAnsiTheme="majorHAnsi" w:cstheme="majorHAnsi"/>
        </w:rPr>
        <w:t xml:space="preserve">, and </w:t>
      </w:r>
      <w:r w:rsidRPr="002A53E6">
        <w:rPr>
          <w:rFonts w:asciiTheme="majorHAnsi" w:hAnsiTheme="majorHAnsi" w:cstheme="majorHAnsi"/>
        </w:rPr>
        <w:t>did not allow for</w:t>
      </w:r>
      <w:r>
        <w:rPr>
          <w:rFonts w:asciiTheme="majorHAnsi" w:hAnsiTheme="majorHAnsi" w:cstheme="majorHAnsi"/>
        </w:rPr>
        <w:t xml:space="preserve"> participants </w:t>
      </w:r>
      <w:r w:rsidRPr="002A53E6">
        <w:rPr>
          <w:rFonts w:asciiTheme="majorHAnsi" w:hAnsiTheme="majorHAnsi" w:cstheme="majorHAnsi"/>
        </w:rPr>
        <w:t xml:space="preserve">to challenge </w:t>
      </w:r>
      <w:r>
        <w:rPr>
          <w:rFonts w:asciiTheme="majorHAnsi" w:hAnsiTheme="majorHAnsi" w:cstheme="majorHAnsi"/>
        </w:rPr>
        <w:t>this agenda</w:t>
      </w:r>
      <w:r w:rsidRPr="002A53E6">
        <w:rPr>
          <w:rFonts w:asciiTheme="majorHAnsi" w:hAnsiTheme="majorHAnsi" w:cstheme="majorHAnsi"/>
        </w:rPr>
        <w:t xml:space="preserve">. </w:t>
      </w:r>
      <w:r>
        <w:rPr>
          <w:rFonts w:asciiTheme="majorHAnsi" w:hAnsiTheme="majorHAnsi" w:cstheme="majorHAnsi"/>
        </w:rPr>
        <w:t>Th</w:t>
      </w:r>
      <w:r w:rsidRPr="002A53E6">
        <w:rPr>
          <w:rFonts w:asciiTheme="majorHAnsi" w:hAnsiTheme="majorHAnsi" w:cstheme="majorHAnsi"/>
        </w:rPr>
        <w:t xml:space="preserve">e topics as a whole maintained a focus on two ways of knowing people that were already embedded within Ofgem: </w:t>
      </w:r>
      <w:r>
        <w:rPr>
          <w:rFonts w:asciiTheme="majorHAnsi" w:hAnsiTheme="majorHAnsi" w:cstheme="majorHAnsi"/>
        </w:rPr>
        <w:t xml:space="preserve">the public </w:t>
      </w:r>
      <w:r w:rsidRPr="002A53E6">
        <w:rPr>
          <w:rFonts w:asciiTheme="majorHAnsi" w:hAnsiTheme="majorHAnsi" w:cstheme="majorHAnsi"/>
        </w:rPr>
        <w:t xml:space="preserve">as </w:t>
      </w:r>
      <w:r>
        <w:rPr>
          <w:rFonts w:asciiTheme="majorHAnsi" w:hAnsiTheme="majorHAnsi" w:cstheme="majorHAnsi"/>
        </w:rPr>
        <w:t>‘</w:t>
      </w:r>
      <w:r w:rsidRPr="002A53E6">
        <w:rPr>
          <w:rFonts w:asciiTheme="majorHAnsi" w:hAnsiTheme="majorHAnsi" w:cstheme="majorHAnsi"/>
        </w:rPr>
        <w:t>vulnerable consumers</w:t>
      </w:r>
      <w:r>
        <w:rPr>
          <w:rFonts w:asciiTheme="majorHAnsi" w:hAnsiTheme="majorHAnsi" w:cstheme="majorHAnsi"/>
        </w:rPr>
        <w:t>’</w:t>
      </w:r>
      <w:r w:rsidRPr="002A53E6">
        <w:rPr>
          <w:rFonts w:asciiTheme="majorHAnsi" w:hAnsiTheme="majorHAnsi" w:cstheme="majorHAnsi"/>
        </w:rPr>
        <w:t xml:space="preserve"> and as </w:t>
      </w:r>
      <w:r>
        <w:rPr>
          <w:rFonts w:asciiTheme="majorHAnsi" w:hAnsiTheme="majorHAnsi" w:cstheme="majorHAnsi"/>
        </w:rPr>
        <w:t>‘</w:t>
      </w:r>
      <w:r w:rsidRPr="002A53E6">
        <w:rPr>
          <w:rFonts w:asciiTheme="majorHAnsi" w:hAnsiTheme="majorHAnsi" w:cstheme="majorHAnsi"/>
        </w:rPr>
        <w:t>consumers in the market</w:t>
      </w:r>
      <w:r>
        <w:rPr>
          <w:rFonts w:asciiTheme="majorHAnsi" w:hAnsiTheme="majorHAnsi" w:cstheme="majorHAnsi"/>
        </w:rPr>
        <w:t>’ (</w:t>
      </w:r>
      <w:r w:rsidR="006F343B">
        <w:rPr>
          <w:rFonts w:asciiTheme="majorHAnsi" w:hAnsiTheme="majorHAnsi" w:cstheme="majorHAnsi"/>
        </w:rPr>
        <w:t>Blakelock, 2020</w:t>
      </w:r>
      <w:r>
        <w:rPr>
          <w:rFonts w:asciiTheme="majorHAnsi" w:hAnsiTheme="majorHAnsi" w:cstheme="majorHAnsi"/>
        </w:rPr>
        <w:t>)</w:t>
      </w:r>
      <w:r w:rsidRPr="002A53E6">
        <w:rPr>
          <w:rFonts w:asciiTheme="majorHAnsi" w:hAnsiTheme="majorHAnsi" w:cstheme="majorHAnsi"/>
        </w:rPr>
        <w:t xml:space="preserve">. </w:t>
      </w:r>
      <w:r w:rsidR="00D819BB" w:rsidRPr="00F424D1">
        <w:rPr>
          <w:rFonts w:asciiTheme="majorHAnsi" w:hAnsiTheme="majorHAnsi" w:cstheme="majorHAnsi"/>
        </w:rPr>
        <w:t>Interviewees described the result as a technocratic discussion of the operation of markets which only provided a limited role for knowing consumers (</w:t>
      </w:r>
      <w:r w:rsidR="00D819BB">
        <w:rPr>
          <w:rFonts w:asciiTheme="majorHAnsi" w:hAnsiTheme="majorHAnsi" w:cstheme="majorHAnsi"/>
        </w:rPr>
        <w:t xml:space="preserve">see also </w:t>
      </w:r>
      <w:r w:rsidR="00D819BB" w:rsidRPr="00F424D1">
        <w:rPr>
          <w:rFonts w:asciiTheme="majorHAnsi" w:hAnsiTheme="majorHAnsi" w:cstheme="majorHAnsi"/>
        </w:rPr>
        <w:t>Devine-Wright, 2007) beyond their purchasing decisions rather than their lived experience of energy</w:t>
      </w:r>
      <w:r w:rsidR="00D819BB">
        <w:rPr>
          <w:rFonts w:asciiTheme="majorHAnsi" w:hAnsiTheme="majorHAnsi" w:cstheme="majorHAnsi"/>
        </w:rPr>
        <w:t xml:space="preserve">. The topics discussed </w:t>
      </w:r>
      <w:r w:rsidRPr="002A53E6">
        <w:rPr>
          <w:rFonts w:asciiTheme="majorHAnsi" w:hAnsiTheme="majorHAnsi" w:cstheme="majorHAnsi"/>
        </w:rPr>
        <w:t xml:space="preserve">may not have been </w:t>
      </w:r>
      <w:r w:rsidR="00D819BB">
        <w:rPr>
          <w:rFonts w:asciiTheme="majorHAnsi" w:hAnsiTheme="majorHAnsi" w:cstheme="majorHAnsi"/>
        </w:rPr>
        <w:t xml:space="preserve">those </w:t>
      </w:r>
      <w:r w:rsidRPr="002A53E6">
        <w:rPr>
          <w:rFonts w:asciiTheme="majorHAnsi" w:hAnsiTheme="majorHAnsi" w:cstheme="majorHAnsi"/>
        </w:rPr>
        <w:t>that the public viewed as most central to energy market regulation.</w:t>
      </w:r>
      <w:r w:rsidR="009711A4">
        <w:rPr>
          <w:rFonts w:asciiTheme="majorHAnsi" w:hAnsiTheme="majorHAnsi" w:cstheme="majorHAnsi"/>
        </w:rPr>
        <w:t xml:space="preserve"> </w:t>
      </w:r>
      <w:r w:rsidR="002B1858">
        <w:rPr>
          <w:rFonts w:asciiTheme="majorHAnsi" w:hAnsiTheme="majorHAnsi" w:cstheme="majorHAnsi"/>
        </w:rPr>
        <w:t xml:space="preserve">Indeed, </w:t>
      </w:r>
      <w:r w:rsidR="009711A4">
        <w:rPr>
          <w:rFonts w:asciiTheme="majorHAnsi" w:hAnsiTheme="majorHAnsi" w:cstheme="majorHAnsi"/>
        </w:rPr>
        <w:t>the reports highlight</w:t>
      </w:r>
      <w:r w:rsidR="001B07EA">
        <w:rPr>
          <w:rFonts w:asciiTheme="majorHAnsi" w:hAnsiTheme="majorHAnsi" w:cstheme="majorHAnsi"/>
        </w:rPr>
        <w:t>ed</w:t>
      </w:r>
      <w:r w:rsidR="009711A4">
        <w:rPr>
          <w:rFonts w:asciiTheme="majorHAnsi" w:hAnsiTheme="majorHAnsi" w:cstheme="majorHAnsi"/>
        </w:rPr>
        <w:t xml:space="preserve"> participants </w:t>
      </w:r>
      <w:r w:rsidR="001B07EA">
        <w:rPr>
          <w:rFonts w:asciiTheme="majorHAnsi" w:hAnsiTheme="majorHAnsi" w:cstheme="majorHAnsi"/>
        </w:rPr>
        <w:t>maintaining their own views rather than</w:t>
      </w:r>
      <w:r w:rsidR="009711A4">
        <w:rPr>
          <w:rFonts w:asciiTheme="majorHAnsi" w:hAnsiTheme="majorHAnsi" w:cstheme="majorHAnsi"/>
        </w:rPr>
        <w:t xml:space="preserve"> respond</w:t>
      </w:r>
      <w:r w:rsidR="00A66CF4">
        <w:rPr>
          <w:rFonts w:asciiTheme="majorHAnsi" w:hAnsiTheme="majorHAnsi" w:cstheme="majorHAnsi"/>
        </w:rPr>
        <w:t>ing</w:t>
      </w:r>
      <w:r w:rsidR="009711A4">
        <w:rPr>
          <w:rFonts w:asciiTheme="majorHAnsi" w:hAnsiTheme="majorHAnsi" w:cstheme="majorHAnsi"/>
        </w:rPr>
        <w:t xml:space="preserve"> to the topic as envisaged</w:t>
      </w:r>
      <w:r w:rsidR="001B07EA">
        <w:rPr>
          <w:rFonts w:asciiTheme="majorHAnsi" w:hAnsiTheme="majorHAnsi" w:cstheme="majorHAnsi"/>
        </w:rPr>
        <w:t xml:space="preserve">. One </w:t>
      </w:r>
      <w:r w:rsidR="009711A4">
        <w:rPr>
          <w:rFonts w:asciiTheme="majorHAnsi" w:hAnsiTheme="majorHAnsi" w:cstheme="majorHAnsi"/>
        </w:rPr>
        <w:t>report not</w:t>
      </w:r>
      <w:r w:rsidR="001B07EA">
        <w:rPr>
          <w:rFonts w:asciiTheme="majorHAnsi" w:hAnsiTheme="majorHAnsi" w:cstheme="majorHAnsi"/>
        </w:rPr>
        <w:t>ed</w:t>
      </w:r>
      <w:r w:rsidR="009711A4">
        <w:rPr>
          <w:rFonts w:asciiTheme="majorHAnsi" w:hAnsiTheme="majorHAnsi" w:cstheme="majorHAnsi"/>
        </w:rPr>
        <w:t>:</w:t>
      </w:r>
    </w:p>
    <w:p w14:paraId="3CF2344E" w14:textId="32CD5872" w:rsidR="009711A4" w:rsidRDefault="009711A4" w:rsidP="009D3260">
      <w:pPr>
        <w:rPr>
          <w:rFonts w:asciiTheme="majorHAnsi" w:hAnsiTheme="majorHAnsi" w:cstheme="majorHAnsi"/>
        </w:rPr>
      </w:pPr>
    </w:p>
    <w:p w14:paraId="3746B950" w14:textId="14C5ADE5" w:rsidR="009711A4" w:rsidRPr="00651928" w:rsidRDefault="009711A4" w:rsidP="009711A4">
      <w:pPr>
        <w:rPr>
          <w:rFonts w:asciiTheme="majorHAnsi" w:hAnsiTheme="majorHAnsi" w:cstheme="majorHAnsi"/>
          <w:i/>
          <w:iCs/>
        </w:rPr>
      </w:pPr>
      <w:r w:rsidRPr="00651928">
        <w:rPr>
          <w:rFonts w:asciiTheme="majorHAnsi" w:hAnsiTheme="majorHAnsi" w:cstheme="majorHAnsi"/>
          <w:i/>
          <w:iCs/>
        </w:rPr>
        <w:t>“Many Panellists do not feel that it is acceptable for the additional costs of prepayment meters to be spread to all customers. They find it difficult to get beyond the view that any extra costs should come from suppliers’ profits.”</w:t>
      </w:r>
    </w:p>
    <w:p w14:paraId="2F40029D" w14:textId="79378D16" w:rsidR="009711A4" w:rsidRPr="00651928" w:rsidRDefault="00F467C2" w:rsidP="009711A4">
      <w:pPr>
        <w:rPr>
          <w:rFonts w:asciiTheme="majorHAnsi" w:hAnsiTheme="majorHAnsi" w:cstheme="majorHAnsi"/>
          <w:i/>
          <w:iCs/>
        </w:rPr>
      </w:pPr>
      <w:r>
        <w:rPr>
          <w:rFonts w:asciiTheme="majorHAnsi" w:hAnsiTheme="majorHAnsi" w:cstheme="majorHAnsi"/>
        </w:rPr>
        <w:t>(Ofgem, 2014</w:t>
      </w:r>
      <w:r w:rsidR="00EA27E0">
        <w:rPr>
          <w:rFonts w:asciiTheme="majorHAnsi" w:hAnsiTheme="majorHAnsi" w:cstheme="majorHAnsi"/>
        </w:rPr>
        <w:t>a</w:t>
      </w:r>
      <w:r>
        <w:rPr>
          <w:rFonts w:asciiTheme="majorHAnsi" w:hAnsiTheme="majorHAnsi" w:cstheme="majorHAnsi"/>
        </w:rPr>
        <w:t>: 29)</w:t>
      </w:r>
      <w:r w:rsidRPr="00651928">
        <w:rPr>
          <w:rFonts w:asciiTheme="majorHAnsi" w:hAnsiTheme="majorHAnsi" w:cstheme="majorHAnsi"/>
          <w:i/>
          <w:iCs/>
        </w:rPr>
        <w:t xml:space="preserve"> </w:t>
      </w:r>
    </w:p>
    <w:p w14:paraId="0AC6EB87" w14:textId="77777777" w:rsidR="009711A4" w:rsidRDefault="009711A4" w:rsidP="009D3260">
      <w:pPr>
        <w:rPr>
          <w:rFonts w:asciiTheme="majorHAnsi" w:hAnsiTheme="majorHAnsi" w:cstheme="majorHAnsi"/>
        </w:rPr>
      </w:pPr>
    </w:p>
    <w:p w14:paraId="09A03B75" w14:textId="5ABD9B34" w:rsidR="002B1858" w:rsidRPr="00A66CF4" w:rsidRDefault="00A66CF4" w:rsidP="002B1858">
      <w:pPr>
        <w:rPr>
          <w:rFonts w:asciiTheme="majorHAnsi" w:hAnsiTheme="majorHAnsi" w:cstheme="majorHAnsi"/>
        </w:rPr>
      </w:pPr>
      <w:r>
        <w:rPr>
          <w:rFonts w:asciiTheme="majorHAnsi" w:hAnsiTheme="majorHAnsi" w:cstheme="majorHAnsi"/>
        </w:rPr>
        <w:t>Overall, though, t</w:t>
      </w:r>
      <w:r w:rsidR="009D3260">
        <w:rPr>
          <w:rFonts w:asciiTheme="majorHAnsi" w:hAnsiTheme="majorHAnsi" w:cstheme="majorHAnsi"/>
        </w:rPr>
        <w:t xml:space="preserve">he tool’s use in practice bounded public participants’ capacities to influence policy </w:t>
      </w:r>
      <w:r w:rsidR="009D3260" w:rsidRPr="00A66CF4">
        <w:rPr>
          <w:rFonts w:asciiTheme="majorHAnsi" w:hAnsiTheme="majorHAnsi" w:cstheme="majorHAnsi"/>
        </w:rPr>
        <w:t xml:space="preserve">formulation. </w:t>
      </w:r>
      <w:r w:rsidR="002B1858" w:rsidRPr="00A66CF4">
        <w:rPr>
          <w:rFonts w:asciiTheme="majorHAnsi" w:hAnsiTheme="majorHAnsi" w:cstheme="majorHAnsi"/>
        </w:rPr>
        <w:t>As one interviewee explained:</w:t>
      </w:r>
    </w:p>
    <w:p w14:paraId="6315BA43" w14:textId="77777777" w:rsidR="002B1858" w:rsidRPr="00A66CF4" w:rsidRDefault="002B1858" w:rsidP="002B1858">
      <w:pPr>
        <w:rPr>
          <w:rFonts w:asciiTheme="majorHAnsi" w:hAnsiTheme="majorHAnsi" w:cstheme="majorHAnsi"/>
        </w:rPr>
      </w:pPr>
    </w:p>
    <w:p w14:paraId="53979679" w14:textId="77777777" w:rsidR="002B1858" w:rsidRPr="00A66CF4" w:rsidRDefault="002B1858" w:rsidP="002B1858">
      <w:pPr>
        <w:rPr>
          <w:rFonts w:asciiTheme="majorHAnsi" w:hAnsiTheme="majorHAnsi" w:cstheme="majorHAnsi"/>
          <w:i/>
          <w:iCs/>
        </w:rPr>
      </w:pPr>
      <w:r w:rsidRPr="00A66CF4">
        <w:rPr>
          <w:rFonts w:asciiTheme="majorHAnsi" w:hAnsiTheme="majorHAnsi" w:cstheme="majorHAnsi"/>
          <w:i/>
          <w:iCs/>
        </w:rPr>
        <w:t>“They [Ofgem and Government] just started from a default ideological position that they should not interfere in the market”.</w:t>
      </w:r>
    </w:p>
    <w:p w14:paraId="79747CA4" w14:textId="77777777" w:rsidR="002B1858" w:rsidRDefault="002B1858" w:rsidP="002B1858">
      <w:pPr>
        <w:rPr>
          <w:rFonts w:asciiTheme="majorHAnsi" w:hAnsiTheme="majorHAnsi" w:cstheme="majorHAnsi"/>
        </w:rPr>
      </w:pPr>
      <w:r w:rsidRPr="00A66CF4">
        <w:rPr>
          <w:rFonts w:asciiTheme="majorHAnsi" w:hAnsiTheme="majorHAnsi" w:cstheme="majorHAnsi"/>
        </w:rPr>
        <w:t>Ad8 (in line with Re1, Re2, Re4, Re5, Re7, Ad3, Ad4, Ad5, Ad7, Ma3, Ma6)</w:t>
      </w:r>
    </w:p>
    <w:p w14:paraId="7841A693" w14:textId="77777777" w:rsidR="002B1858" w:rsidRDefault="002B1858" w:rsidP="009D3260">
      <w:pPr>
        <w:rPr>
          <w:rFonts w:asciiTheme="majorHAnsi" w:hAnsiTheme="majorHAnsi" w:cstheme="majorHAnsi"/>
        </w:rPr>
      </w:pPr>
    </w:p>
    <w:p w14:paraId="7C70056C" w14:textId="208E1BD1" w:rsidR="00914F87" w:rsidRPr="00A414E8" w:rsidRDefault="002E6C73" w:rsidP="00A66CF4">
      <w:pPr>
        <w:rPr>
          <w:rFonts w:asciiTheme="majorHAnsi" w:eastAsia="Times New Roman" w:hAnsiTheme="majorHAnsi" w:cstheme="majorHAnsi"/>
          <w:lang w:eastAsia="en-GB"/>
        </w:rPr>
      </w:pPr>
      <w:r>
        <w:rPr>
          <w:rFonts w:asciiTheme="majorHAnsi" w:hAnsiTheme="majorHAnsi" w:cstheme="majorHAnsi"/>
        </w:rPr>
        <w:t xml:space="preserve">Regarding procedural effects of the </w:t>
      </w:r>
      <w:r w:rsidRPr="002A53E6">
        <w:rPr>
          <w:rFonts w:asciiTheme="majorHAnsi" w:hAnsiTheme="majorHAnsi" w:cstheme="majorHAnsi"/>
        </w:rPr>
        <w:t>focus groups</w:t>
      </w:r>
      <w:r>
        <w:rPr>
          <w:rFonts w:asciiTheme="majorHAnsi" w:hAnsiTheme="majorHAnsi" w:cstheme="majorHAnsi"/>
        </w:rPr>
        <w:t xml:space="preserve">, </w:t>
      </w:r>
      <w:r w:rsidR="000F4D85">
        <w:rPr>
          <w:rFonts w:asciiTheme="majorHAnsi" w:hAnsiTheme="majorHAnsi" w:cstheme="majorHAnsi"/>
        </w:rPr>
        <w:t xml:space="preserve">reports of </w:t>
      </w:r>
      <w:r w:rsidR="00355D5E">
        <w:rPr>
          <w:rFonts w:asciiTheme="majorHAnsi" w:hAnsiTheme="majorHAnsi" w:cstheme="majorHAnsi"/>
        </w:rPr>
        <w:t xml:space="preserve">five of </w:t>
      </w:r>
      <w:r w:rsidR="000F4D85">
        <w:rPr>
          <w:rFonts w:asciiTheme="majorHAnsi" w:hAnsiTheme="majorHAnsi" w:cstheme="majorHAnsi"/>
        </w:rPr>
        <w:t>the panels were explicitly cited in</w:t>
      </w:r>
      <w:r w:rsidRPr="002A53E6">
        <w:rPr>
          <w:rFonts w:asciiTheme="majorHAnsi" w:hAnsiTheme="majorHAnsi" w:cstheme="majorHAnsi"/>
        </w:rPr>
        <w:t xml:space="preserve"> four </w:t>
      </w:r>
      <w:r w:rsidR="00B42AA1">
        <w:rPr>
          <w:rFonts w:asciiTheme="majorHAnsi" w:hAnsiTheme="majorHAnsi" w:cstheme="majorHAnsi"/>
        </w:rPr>
        <w:t>regulatory policy outputs</w:t>
      </w:r>
      <w:r w:rsidR="000F4D85">
        <w:rPr>
          <w:rFonts w:asciiTheme="majorHAnsi" w:hAnsiTheme="majorHAnsi" w:cstheme="majorHAnsi"/>
        </w:rPr>
        <w:t xml:space="preserve">. </w:t>
      </w:r>
      <w:r w:rsidRPr="002A53E6">
        <w:rPr>
          <w:rFonts w:asciiTheme="majorHAnsi" w:hAnsiTheme="majorHAnsi" w:cstheme="majorHAnsi"/>
        </w:rPr>
        <w:t xml:space="preserve">Proposals </w:t>
      </w:r>
      <w:r w:rsidR="00743BFE">
        <w:rPr>
          <w:rFonts w:asciiTheme="majorHAnsi" w:hAnsiTheme="majorHAnsi" w:cstheme="majorHAnsi"/>
        </w:rPr>
        <w:t>from</w:t>
      </w:r>
      <w:r w:rsidR="000F4D85" w:rsidRPr="002A53E6">
        <w:rPr>
          <w:rFonts w:asciiTheme="majorHAnsi" w:hAnsiTheme="majorHAnsi" w:cstheme="majorHAnsi"/>
        </w:rPr>
        <w:t xml:space="preserve"> </w:t>
      </w:r>
      <w:r w:rsidR="000F4D85">
        <w:rPr>
          <w:rFonts w:asciiTheme="majorHAnsi" w:hAnsiTheme="majorHAnsi" w:cstheme="majorHAnsi"/>
        </w:rPr>
        <w:t>Panel 1</w:t>
      </w:r>
      <w:r w:rsidR="00641C53">
        <w:rPr>
          <w:rFonts w:asciiTheme="majorHAnsi" w:hAnsiTheme="majorHAnsi" w:cstheme="majorHAnsi"/>
        </w:rPr>
        <w:t xml:space="preserve"> (Ofgem</w:t>
      </w:r>
      <w:r w:rsidR="00F15589">
        <w:rPr>
          <w:rFonts w:asciiTheme="majorHAnsi" w:hAnsiTheme="majorHAnsi" w:cstheme="majorHAnsi"/>
        </w:rPr>
        <w:t>,</w:t>
      </w:r>
      <w:r w:rsidR="00641C53">
        <w:rPr>
          <w:rFonts w:asciiTheme="majorHAnsi" w:hAnsiTheme="majorHAnsi" w:cstheme="majorHAnsi"/>
        </w:rPr>
        <w:t xml:space="preserve"> 2009</w:t>
      </w:r>
      <w:r w:rsidR="00A46A18">
        <w:rPr>
          <w:rFonts w:asciiTheme="majorHAnsi" w:hAnsiTheme="majorHAnsi" w:cstheme="majorHAnsi"/>
        </w:rPr>
        <w:t>b</w:t>
      </w:r>
      <w:r w:rsidR="00641C53">
        <w:rPr>
          <w:rFonts w:asciiTheme="majorHAnsi" w:hAnsiTheme="majorHAnsi" w:cstheme="majorHAnsi"/>
        </w:rPr>
        <w:t xml:space="preserve">) </w:t>
      </w:r>
      <w:r w:rsidR="00641C53" w:rsidRPr="002A53E6">
        <w:rPr>
          <w:rFonts w:asciiTheme="majorHAnsi" w:hAnsiTheme="majorHAnsi" w:cstheme="majorHAnsi"/>
        </w:rPr>
        <w:t>regarding the structure of information</w:t>
      </w:r>
      <w:r w:rsidR="00641C53">
        <w:rPr>
          <w:rFonts w:asciiTheme="majorHAnsi" w:hAnsiTheme="majorHAnsi" w:cstheme="majorHAnsi"/>
        </w:rPr>
        <w:t xml:space="preserve"> </w:t>
      </w:r>
      <w:r w:rsidR="00641C53" w:rsidRPr="002A53E6">
        <w:rPr>
          <w:rFonts w:asciiTheme="majorHAnsi" w:hAnsiTheme="majorHAnsi" w:cstheme="majorHAnsi"/>
        </w:rPr>
        <w:t xml:space="preserve">were </w:t>
      </w:r>
      <w:r w:rsidR="00641C53">
        <w:rPr>
          <w:rFonts w:asciiTheme="majorHAnsi" w:hAnsiTheme="majorHAnsi" w:cstheme="majorHAnsi"/>
        </w:rPr>
        <w:t>cited</w:t>
      </w:r>
      <w:r w:rsidR="00641C53" w:rsidRPr="002A53E6">
        <w:rPr>
          <w:rFonts w:asciiTheme="majorHAnsi" w:hAnsiTheme="majorHAnsi" w:cstheme="majorHAnsi"/>
        </w:rPr>
        <w:t xml:space="preserve"> </w:t>
      </w:r>
      <w:r w:rsidR="00641C53">
        <w:rPr>
          <w:rFonts w:asciiTheme="majorHAnsi" w:hAnsiTheme="majorHAnsi" w:cstheme="majorHAnsi"/>
        </w:rPr>
        <w:t>within</w:t>
      </w:r>
      <w:r w:rsidR="00641C53" w:rsidRPr="002A53E6">
        <w:rPr>
          <w:rFonts w:asciiTheme="majorHAnsi" w:hAnsiTheme="majorHAnsi" w:cstheme="majorHAnsi"/>
        </w:rPr>
        <w:t xml:space="preserve"> the Energy Supply Market Probe </w:t>
      </w:r>
      <w:r w:rsidR="00641C53">
        <w:rPr>
          <w:rFonts w:asciiTheme="majorHAnsi" w:hAnsiTheme="majorHAnsi" w:cstheme="majorHAnsi"/>
        </w:rPr>
        <w:t>(Ofgem</w:t>
      </w:r>
      <w:r w:rsidR="00F15589">
        <w:rPr>
          <w:rFonts w:asciiTheme="majorHAnsi" w:hAnsiTheme="majorHAnsi" w:cstheme="majorHAnsi"/>
        </w:rPr>
        <w:t>,</w:t>
      </w:r>
      <w:r w:rsidR="00641C53">
        <w:rPr>
          <w:rFonts w:asciiTheme="majorHAnsi" w:hAnsiTheme="majorHAnsi" w:cstheme="majorHAnsi"/>
        </w:rPr>
        <w:t xml:space="preserve"> 2009</w:t>
      </w:r>
      <w:r w:rsidR="00A46A18">
        <w:rPr>
          <w:rFonts w:asciiTheme="majorHAnsi" w:hAnsiTheme="majorHAnsi" w:cstheme="majorHAnsi"/>
        </w:rPr>
        <w:t>c</w:t>
      </w:r>
      <w:r w:rsidR="00641C53">
        <w:rPr>
          <w:rFonts w:asciiTheme="majorHAnsi" w:hAnsiTheme="majorHAnsi" w:cstheme="majorHAnsi"/>
        </w:rPr>
        <w:t>)</w:t>
      </w:r>
      <w:r w:rsidR="00355D5E">
        <w:rPr>
          <w:rFonts w:asciiTheme="majorHAnsi" w:hAnsiTheme="majorHAnsi" w:cstheme="majorHAnsi"/>
        </w:rPr>
        <w:t>. T</w:t>
      </w:r>
      <w:r w:rsidR="00355D5E" w:rsidRPr="002A53E6">
        <w:rPr>
          <w:rFonts w:asciiTheme="majorHAnsi" w:hAnsiTheme="majorHAnsi" w:cstheme="majorHAnsi"/>
        </w:rPr>
        <w:t xml:space="preserve">he Retail </w:t>
      </w:r>
      <w:r w:rsidR="00355D5E">
        <w:rPr>
          <w:rFonts w:asciiTheme="majorHAnsi" w:hAnsiTheme="majorHAnsi" w:cstheme="majorHAnsi"/>
        </w:rPr>
        <w:t>M</w:t>
      </w:r>
      <w:r w:rsidR="00355D5E" w:rsidRPr="002A53E6">
        <w:rPr>
          <w:rFonts w:asciiTheme="majorHAnsi" w:hAnsiTheme="majorHAnsi" w:cstheme="majorHAnsi"/>
        </w:rPr>
        <w:t>arket Review</w:t>
      </w:r>
      <w:r w:rsidR="00355D5E">
        <w:rPr>
          <w:rFonts w:asciiTheme="majorHAnsi" w:hAnsiTheme="majorHAnsi" w:cstheme="majorHAnsi"/>
        </w:rPr>
        <w:t xml:space="preserve"> (</w:t>
      </w:r>
      <w:r w:rsidR="00355D5E">
        <w:rPr>
          <w:rFonts w:asciiTheme="majorHAnsi" w:eastAsia="Times New Roman" w:hAnsiTheme="majorHAnsi" w:cstheme="majorHAnsi"/>
          <w:lang w:eastAsia="en-GB"/>
        </w:rPr>
        <w:t>Ofgem</w:t>
      </w:r>
      <w:r w:rsidR="00F15589">
        <w:rPr>
          <w:rFonts w:asciiTheme="majorHAnsi" w:eastAsia="Times New Roman" w:hAnsiTheme="majorHAnsi" w:cstheme="majorHAnsi"/>
          <w:lang w:eastAsia="en-GB"/>
        </w:rPr>
        <w:t>,</w:t>
      </w:r>
      <w:r w:rsidR="00355D5E">
        <w:rPr>
          <w:rFonts w:asciiTheme="majorHAnsi" w:eastAsia="Times New Roman" w:hAnsiTheme="majorHAnsi" w:cstheme="majorHAnsi"/>
          <w:lang w:eastAsia="en-GB"/>
        </w:rPr>
        <w:t xml:space="preserve"> 2013</w:t>
      </w:r>
      <w:r w:rsidR="00D1149D">
        <w:rPr>
          <w:rFonts w:asciiTheme="majorHAnsi" w:eastAsia="Times New Roman" w:hAnsiTheme="majorHAnsi" w:cstheme="majorHAnsi"/>
          <w:lang w:eastAsia="en-GB"/>
        </w:rPr>
        <w:t>e</w:t>
      </w:r>
      <w:r w:rsidR="00355D5E">
        <w:rPr>
          <w:rFonts w:asciiTheme="majorHAnsi" w:eastAsia="Times New Roman" w:hAnsiTheme="majorHAnsi" w:cstheme="majorHAnsi"/>
          <w:lang w:eastAsia="en-GB"/>
        </w:rPr>
        <w:t>)</w:t>
      </w:r>
      <w:r w:rsidR="00355D5E" w:rsidRPr="002A53E6">
        <w:rPr>
          <w:rFonts w:asciiTheme="majorHAnsi" w:hAnsiTheme="majorHAnsi" w:cstheme="majorHAnsi"/>
        </w:rPr>
        <w:t xml:space="preserve">, </w:t>
      </w:r>
      <w:r w:rsidR="00355D5E">
        <w:rPr>
          <w:rFonts w:asciiTheme="majorHAnsi" w:hAnsiTheme="majorHAnsi" w:cstheme="majorHAnsi"/>
        </w:rPr>
        <w:t xml:space="preserve">drew on </w:t>
      </w:r>
      <w:r w:rsidR="00355D5E" w:rsidRPr="002A53E6">
        <w:rPr>
          <w:rFonts w:asciiTheme="majorHAnsi" w:hAnsiTheme="majorHAnsi" w:cstheme="majorHAnsi"/>
        </w:rPr>
        <w:t>focus group attendees</w:t>
      </w:r>
      <w:r w:rsidR="00355D5E">
        <w:rPr>
          <w:rFonts w:asciiTheme="majorHAnsi" w:hAnsiTheme="majorHAnsi" w:cstheme="majorHAnsi"/>
        </w:rPr>
        <w:t>’</w:t>
      </w:r>
      <w:r w:rsidR="00355D5E" w:rsidRPr="002A53E6">
        <w:rPr>
          <w:rFonts w:asciiTheme="majorHAnsi" w:hAnsiTheme="majorHAnsi" w:cstheme="majorHAnsi"/>
        </w:rPr>
        <w:t xml:space="preserve"> assessing options of information displayed</w:t>
      </w:r>
      <w:r w:rsidR="00355D5E">
        <w:rPr>
          <w:rFonts w:asciiTheme="majorHAnsi" w:hAnsiTheme="majorHAnsi" w:cstheme="majorHAnsi"/>
        </w:rPr>
        <w:t xml:space="preserve"> (Panels 1, 4 and 6: Ofgem</w:t>
      </w:r>
      <w:r w:rsidR="00F15589">
        <w:rPr>
          <w:rFonts w:asciiTheme="majorHAnsi" w:hAnsiTheme="majorHAnsi" w:cstheme="majorHAnsi"/>
        </w:rPr>
        <w:t>,</w:t>
      </w:r>
      <w:r w:rsidR="00355D5E">
        <w:rPr>
          <w:rFonts w:asciiTheme="majorHAnsi" w:hAnsiTheme="majorHAnsi" w:cstheme="majorHAnsi"/>
        </w:rPr>
        <w:t xml:space="preserve"> 2009</w:t>
      </w:r>
      <w:r w:rsidR="00A46A18">
        <w:rPr>
          <w:rFonts w:asciiTheme="majorHAnsi" w:hAnsiTheme="majorHAnsi" w:cstheme="majorHAnsi"/>
        </w:rPr>
        <w:t>b</w:t>
      </w:r>
      <w:r w:rsidR="00355D5E">
        <w:rPr>
          <w:rFonts w:asciiTheme="majorHAnsi" w:hAnsiTheme="majorHAnsi" w:cstheme="majorHAnsi"/>
        </w:rPr>
        <w:t>; Ofgem</w:t>
      </w:r>
      <w:r w:rsidR="00F15589">
        <w:rPr>
          <w:rFonts w:asciiTheme="majorHAnsi" w:hAnsiTheme="majorHAnsi" w:cstheme="majorHAnsi"/>
        </w:rPr>
        <w:t>,</w:t>
      </w:r>
      <w:r w:rsidR="00355D5E">
        <w:rPr>
          <w:rFonts w:asciiTheme="majorHAnsi" w:hAnsiTheme="majorHAnsi" w:cstheme="majorHAnsi"/>
        </w:rPr>
        <w:t xml:space="preserve"> 2011</w:t>
      </w:r>
      <w:r w:rsidR="00750E38">
        <w:rPr>
          <w:rFonts w:asciiTheme="majorHAnsi" w:hAnsiTheme="majorHAnsi" w:cstheme="majorHAnsi"/>
        </w:rPr>
        <w:t>a</w:t>
      </w:r>
      <w:r w:rsidR="00355D5E">
        <w:rPr>
          <w:rFonts w:asciiTheme="majorHAnsi" w:hAnsiTheme="majorHAnsi" w:cstheme="majorHAnsi"/>
        </w:rPr>
        <w:t>; Ofgem</w:t>
      </w:r>
      <w:r w:rsidR="00F15589">
        <w:rPr>
          <w:rFonts w:asciiTheme="majorHAnsi" w:hAnsiTheme="majorHAnsi" w:cstheme="majorHAnsi"/>
        </w:rPr>
        <w:t>,</w:t>
      </w:r>
      <w:r w:rsidR="00355D5E">
        <w:rPr>
          <w:rFonts w:asciiTheme="majorHAnsi" w:hAnsiTheme="majorHAnsi" w:cstheme="majorHAnsi"/>
        </w:rPr>
        <w:t xml:space="preserve"> 2012b)</w:t>
      </w:r>
      <w:r w:rsidR="005F2932">
        <w:rPr>
          <w:rFonts w:asciiTheme="majorHAnsi" w:hAnsiTheme="majorHAnsi" w:cstheme="majorHAnsi"/>
        </w:rPr>
        <w:t xml:space="preserve">. Two outputs related to </w:t>
      </w:r>
      <w:r w:rsidR="00D0116A">
        <w:rPr>
          <w:rFonts w:asciiTheme="majorHAnsi" w:eastAsia="Times New Roman" w:hAnsiTheme="majorHAnsi" w:cstheme="majorHAnsi"/>
          <w:lang w:eastAsia="en-GB"/>
        </w:rPr>
        <w:t>consumer</w:t>
      </w:r>
      <w:r w:rsidR="005F2932">
        <w:rPr>
          <w:rFonts w:asciiTheme="majorHAnsi" w:eastAsia="Times New Roman" w:hAnsiTheme="majorHAnsi" w:cstheme="majorHAnsi"/>
          <w:lang w:eastAsia="en-GB"/>
        </w:rPr>
        <w:t xml:space="preserve"> protection </w:t>
      </w:r>
      <w:r w:rsidR="00D0116A">
        <w:rPr>
          <w:rFonts w:asciiTheme="majorHAnsi" w:eastAsia="Times New Roman" w:hAnsiTheme="majorHAnsi" w:cstheme="majorHAnsi"/>
          <w:lang w:eastAsia="en-GB"/>
        </w:rPr>
        <w:t>cited focus group</w:t>
      </w:r>
      <w:r w:rsidR="005F2932">
        <w:rPr>
          <w:rFonts w:asciiTheme="majorHAnsi" w:eastAsia="Times New Roman" w:hAnsiTheme="majorHAnsi" w:cstheme="majorHAnsi"/>
          <w:lang w:eastAsia="en-GB"/>
        </w:rPr>
        <w:t xml:space="preserve"> reports: </w:t>
      </w:r>
      <w:r w:rsidR="00D0116A">
        <w:rPr>
          <w:rFonts w:asciiTheme="majorHAnsi" w:eastAsia="Times New Roman" w:hAnsiTheme="majorHAnsi" w:cstheme="majorHAnsi"/>
          <w:lang w:eastAsia="en-GB"/>
        </w:rPr>
        <w:t xml:space="preserve"> </w:t>
      </w:r>
      <w:r w:rsidR="00914F87">
        <w:rPr>
          <w:rFonts w:asciiTheme="majorHAnsi" w:eastAsia="Times New Roman" w:hAnsiTheme="majorHAnsi" w:cstheme="majorHAnsi"/>
          <w:lang w:eastAsia="en-GB"/>
        </w:rPr>
        <w:t>the Consumer Vulnerability Strategy (Ofgem</w:t>
      </w:r>
      <w:r w:rsidR="00F15589">
        <w:rPr>
          <w:rFonts w:asciiTheme="majorHAnsi" w:eastAsia="Times New Roman" w:hAnsiTheme="majorHAnsi" w:cstheme="majorHAnsi"/>
          <w:lang w:eastAsia="en-GB"/>
        </w:rPr>
        <w:t>,</w:t>
      </w:r>
      <w:r w:rsidR="00914F87">
        <w:rPr>
          <w:rFonts w:asciiTheme="majorHAnsi" w:eastAsia="Times New Roman" w:hAnsiTheme="majorHAnsi" w:cstheme="majorHAnsi"/>
          <w:lang w:eastAsia="en-GB"/>
        </w:rPr>
        <w:t xml:space="preserve"> 2013c) cited Panel 7</w:t>
      </w:r>
      <w:r w:rsidR="00F7639B">
        <w:rPr>
          <w:rFonts w:asciiTheme="majorHAnsi" w:eastAsia="Times New Roman" w:hAnsiTheme="majorHAnsi" w:cstheme="majorHAnsi"/>
          <w:lang w:eastAsia="en-GB"/>
        </w:rPr>
        <w:t xml:space="preserve"> (Ofgem</w:t>
      </w:r>
      <w:r w:rsidR="00F15589">
        <w:rPr>
          <w:rFonts w:asciiTheme="majorHAnsi" w:eastAsia="Times New Roman" w:hAnsiTheme="majorHAnsi" w:cstheme="majorHAnsi"/>
          <w:lang w:eastAsia="en-GB"/>
        </w:rPr>
        <w:t>,</w:t>
      </w:r>
      <w:r w:rsidR="00F7639B">
        <w:rPr>
          <w:rFonts w:asciiTheme="majorHAnsi" w:eastAsia="Times New Roman" w:hAnsiTheme="majorHAnsi" w:cstheme="majorHAnsi"/>
          <w:lang w:eastAsia="en-GB"/>
        </w:rPr>
        <w:t xml:space="preserve"> 2013b)</w:t>
      </w:r>
      <w:r w:rsidR="00914F87">
        <w:rPr>
          <w:rFonts w:asciiTheme="majorHAnsi" w:eastAsia="Times New Roman" w:hAnsiTheme="majorHAnsi" w:cstheme="majorHAnsi"/>
          <w:lang w:eastAsia="en-GB"/>
        </w:rPr>
        <w:t xml:space="preserve">, and </w:t>
      </w:r>
      <w:r w:rsidR="00914F87" w:rsidRPr="00A414E8">
        <w:rPr>
          <w:rFonts w:asciiTheme="majorHAnsi" w:eastAsia="Times New Roman" w:hAnsiTheme="majorHAnsi" w:cstheme="majorHAnsi"/>
          <w:lang w:eastAsia="en-GB"/>
        </w:rPr>
        <w:t>Prepayment meters installed under warrant</w:t>
      </w:r>
      <w:r w:rsidR="00914F87">
        <w:rPr>
          <w:rFonts w:asciiTheme="majorHAnsi" w:eastAsia="Times New Roman" w:hAnsiTheme="majorHAnsi" w:cstheme="majorHAnsi"/>
          <w:lang w:eastAsia="en-GB"/>
        </w:rPr>
        <w:t>:</w:t>
      </w:r>
      <w:r w:rsidR="00914F87" w:rsidRPr="00A414E8">
        <w:rPr>
          <w:rFonts w:asciiTheme="majorHAnsi" w:eastAsia="Times New Roman" w:hAnsiTheme="majorHAnsi" w:cstheme="majorHAnsi"/>
          <w:lang w:eastAsia="en-GB"/>
        </w:rPr>
        <w:t xml:space="preserve"> Final Proposals (Ofgem</w:t>
      </w:r>
      <w:r w:rsidR="00F15589">
        <w:rPr>
          <w:rFonts w:asciiTheme="majorHAnsi" w:eastAsia="Times New Roman" w:hAnsiTheme="majorHAnsi" w:cstheme="majorHAnsi"/>
          <w:lang w:eastAsia="en-GB"/>
        </w:rPr>
        <w:t>,</w:t>
      </w:r>
      <w:r w:rsidR="00914F87" w:rsidRPr="00A414E8">
        <w:rPr>
          <w:rFonts w:asciiTheme="majorHAnsi" w:eastAsia="Times New Roman" w:hAnsiTheme="majorHAnsi" w:cstheme="majorHAnsi"/>
          <w:lang w:eastAsia="en-GB"/>
        </w:rPr>
        <w:t xml:space="preserve"> 2016</w:t>
      </w:r>
      <w:r w:rsidR="00F07C83">
        <w:rPr>
          <w:rFonts w:asciiTheme="majorHAnsi" w:eastAsia="Times New Roman" w:hAnsiTheme="majorHAnsi" w:cstheme="majorHAnsi"/>
          <w:lang w:eastAsia="en-GB"/>
        </w:rPr>
        <w:t>b</w:t>
      </w:r>
      <w:r w:rsidR="00914F87" w:rsidRPr="00A414E8">
        <w:rPr>
          <w:rFonts w:asciiTheme="majorHAnsi" w:eastAsia="Times New Roman" w:hAnsiTheme="majorHAnsi" w:cstheme="majorHAnsi"/>
          <w:lang w:eastAsia="en-GB"/>
        </w:rPr>
        <w:t xml:space="preserve">) </w:t>
      </w:r>
      <w:r w:rsidR="00914F87">
        <w:rPr>
          <w:rFonts w:asciiTheme="majorHAnsi" w:eastAsia="Times New Roman" w:hAnsiTheme="majorHAnsi" w:cstheme="majorHAnsi"/>
          <w:lang w:eastAsia="en-GB"/>
        </w:rPr>
        <w:t>cited Panel 9</w:t>
      </w:r>
      <w:r w:rsidR="00F7639B">
        <w:rPr>
          <w:rFonts w:asciiTheme="majorHAnsi" w:eastAsia="Times New Roman" w:hAnsiTheme="majorHAnsi" w:cstheme="majorHAnsi"/>
          <w:lang w:eastAsia="en-GB"/>
        </w:rPr>
        <w:t xml:space="preserve"> (Ofgem</w:t>
      </w:r>
      <w:r w:rsidR="00F15589">
        <w:rPr>
          <w:rFonts w:asciiTheme="majorHAnsi" w:eastAsia="Times New Roman" w:hAnsiTheme="majorHAnsi" w:cstheme="majorHAnsi"/>
          <w:lang w:eastAsia="en-GB"/>
        </w:rPr>
        <w:t>,</w:t>
      </w:r>
      <w:r w:rsidR="00F7639B">
        <w:rPr>
          <w:rFonts w:asciiTheme="majorHAnsi" w:eastAsia="Times New Roman" w:hAnsiTheme="majorHAnsi" w:cstheme="majorHAnsi"/>
          <w:lang w:eastAsia="en-GB"/>
        </w:rPr>
        <w:t xml:space="preserve"> 2014</w:t>
      </w:r>
      <w:r w:rsidR="00EA27E0">
        <w:rPr>
          <w:rFonts w:asciiTheme="majorHAnsi" w:eastAsia="Times New Roman" w:hAnsiTheme="majorHAnsi" w:cstheme="majorHAnsi"/>
          <w:lang w:eastAsia="en-GB"/>
        </w:rPr>
        <w:t>a</w:t>
      </w:r>
      <w:r w:rsidR="00F7639B">
        <w:rPr>
          <w:rFonts w:asciiTheme="majorHAnsi" w:eastAsia="Times New Roman" w:hAnsiTheme="majorHAnsi" w:cstheme="majorHAnsi"/>
          <w:lang w:eastAsia="en-GB"/>
        </w:rPr>
        <w:t>)</w:t>
      </w:r>
      <w:r w:rsidR="00914F87">
        <w:rPr>
          <w:rFonts w:asciiTheme="majorHAnsi" w:eastAsia="Times New Roman" w:hAnsiTheme="majorHAnsi" w:cstheme="majorHAnsi"/>
          <w:lang w:eastAsia="en-GB"/>
        </w:rPr>
        <w:t>.</w:t>
      </w:r>
    </w:p>
    <w:p w14:paraId="3FC4C3D5" w14:textId="77777777" w:rsidR="00BA0F0B" w:rsidRPr="00914F87" w:rsidRDefault="00BA0F0B" w:rsidP="002E6C73"/>
    <w:p w14:paraId="677D0178" w14:textId="5CB7E952" w:rsidR="001B0AED" w:rsidRPr="00B35681" w:rsidRDefault="001B0AED" w:rsidP="00914F87">
      <w:pPr>
        <w:rPr>
          <w:rFonts w:asciiTheme="majorHAnsi" w:hAnsiTheme="majorHAnsi" w:cstheme="majorHAnsi"/>
          <w:bCs/>
          <w:i/>
        </w:rPr>
      </w:pPr>
      <w:bookmarkStart w:id="3" w:name="_Toc6816079"/>
      <w:r w:rsidRPr="00B35681">
        <w:rPr>
          <w:rFonts w:asciiTheme="majorHAnsi" w:hAnsiTheme="majorHAnsi" w:cstheme="majorHAnsi"/>
          <w:bCs/>
          <w:i/>
        </w:rPr>
        <w:t>Stakeholder Consultations</w:t>
      </w:r>
      <w:bookmarkEnd w:id="3"/>
    </w:p>
    <w:p w14:paraId="3053469F" w14:textId="3CF195BE" w:rsidR="00FA3CBA" w:rsidRDefault="009703C3" w:rsidP="002A53E6">
      <w:pPr>
        <w:rPr>
          <w:rFonts w:asciiTheme="majorHAnsi" w:hAnsiTheme="majorHAnsi" w:cstheme="majorHAnsi"/>
        </w:rPr>
      </w:pPr>
      <w:r w:rsidRPr="002A53E6">
        <w:rPr>
          <w:rFonts w:asciiTheme="majorHAnsi" w:hAnsiTheme="majorHAnsi" w:cstheme="majorHAnsi"/>
        </w:rPr>
        <w:t xml:space="preserve">The most commonly used tool of policy formulation in energy market regulation between 2007 and 2016 was the stakeholder consultation. </w:t>
      </w:r>
      <w:r>
        <w:rPr>
          <w:rFonts w:asciiTheme="majorHAnsi" w:hAnsiTheme="majorHAnsi" w:cstheme="majorHAnsi"/>
        </w:rPr>
        <w:t>S</w:t>
      </w:r>
      <w:r w:rsidRPr="002A53E6">
        <w:rPr>
          <w:rFonts w:asciiTheme="majorHAnsi" w:hAnsiTheme="majorHAnsi" w:cstheme="majorHAnsi"/>
        </w:rPr>
        <w:t>takeholder consultations were mandated by guidance from the UK Government for all economic regulators</w:t>
      </w:r>
      <w:r w:rsidR="0086174F">
        <w:rPr>
          <w:rFonts w:asciiTheme="majorHAnsi" w:hAnsiTheme="majorHAnsi" w:cstheme="majorHAnsi"/>
        </w:rPr>
        <w:t xml:space="preserve"> (Department for Business, Innovation and Skills, 2011)</w:t>
      </w:r>
      <w:r w:rsidRPr="002A53E6">
        <w:rPr>
          <w:rFonts w:asciiTheme="majorHAnsi" w:hAnsiTheme="majorHAnsi" w:cstheme="majorHAnsi"/>
        </w:rPr>
        <w:t xml:space="preserve"> and the Utilities Act (2007) specified that Ofgem was to consult on and publish key decisions. </w:t>
      </w:r>
      <w:r w:rsidR="00A265F4">
        <w:rPr>
          <w:rFonts w:asciiTheme="majorHAnsi" w:hAnsiTheme="majorHAnsi" w:cstheme="majorHAnsi"/>
        </w:rPr>
        <w:t>S</w:t>
      </w:r>
      <w:r w:rsidRPr="002A53E6">
        <w:rPr>
          <w:rFonts w:asciiTheme="majorHAnsi" w:hAnsiTheme="majorHAnsi" w:cstheme="majorHAnsi"/>
        </w:rPr>
        <w:t>takeholder consultations were conducted in public and provided an equal opportunity to engage with actors at Ofgem</w:t>
      </w:r>
      <w:r w:rsidR="00A265F4">
        <w:rPr>
          <w:rFonts w:asciiTheme="majorHAnsi" w:hAnsiTheme="majorHAnsi" w:cstheme="majorHAnsi"/>
        </w:rPr>
        <w:t xml:space="preserve">. </w:t>
      </w:r>
      <w:r w:rsidRPr="002A53E6">
        <w:rPr>
          <w:rFonts w:asciiTheme="majorHAnsi" w:hAnsiTheme="majorHAnsi" w:cstheme="majorHAnsi"/>
        </w:rPr>
        <w:t xml:space="preserve">Between 2007 and 2016, 21 consultations </w:t>
      </w:r>
      <w:r>
        <w:rPr>
          <w:rFonts w:asciiTheme="majorHAnsi" w:hAnsiTheme="majorHAnsi" w:cstheme="majorHAnsi"/>
        </w:rPr>
        <w:t xml:space="preserve">were </w:t>
      </w:r>
      <w:r w:rsidRPr="002A53E6">
        <w:rPr>
          <w:rFonts w:asciiTheme="majorHAnsi" w:hAnsiTheme="majorHAnsi" w:cstheme="majorHAnsi"/>
        </w:rPr>
        <w:t>issued by Ofgem regarding the retail market.</w:t>
      </w:r>
    </w:p>
    <w:p w14:paraId="32EE9A2C" w14:textId="69D530EC" w:rsidR="001B0AED" w:rsidRPr="002A53E6" w:rsidRDefault="000C006F" w:rsidP="00B35681">
      <w:pPr>
        <w:ind w:firstLine="720"/>
        <w:rPr>
          <w:rFonts w:asciiTheme="majorHAnsi" w:hAnsiTheme="majorHAnsi" w:cstheme="majorHAnsi"/>
        </w:rPr>
      </w:pPr>
      <w:r w:rsidRPr="002A53E6">
        <w:rPr>
          <w:rFonts w:asciiTheme="majorHAnsi" w:hAnsiTheme="majorHAnsi" w:cstheme="majorHAnsi"/>
        </w:rPr>
        <w:lastRenderedPageBreak/>
        <w:t>A large and diverse range of stakeholders regularly respond</w:t>
      </w:r>
      <w:r>
        <w:rPr>
          <w:rFonts w:asciiTheme="majorHAnsi" w:hAnsiTheme="majorHAnsi" w:cstheme="majorHAnsi"/>
        </w:rPr>
        <w:t>ed</w:t>
      </w:r>
      <w:r w:rsidRPr="002A53E6">
        <w:rPr>
          <w:rFonts w:asciiTheme="majorHAnsi" w:hAnsiTheme="majorHAnsi" w:cstheme="majorHAnsi"/>
        </w:rPr>
        <w:t xml:space="preserve"> to </w:t>
      </w:r>
      <w:r>
        <w:rPr>
          <w:rFonts w:asciiTheme="majorHAnsi" w:hAnsiTheme="majorHAnsi" w:cstheme="majorHAnsi"/>
        </w:rPr>
        <w:t>these</w:t>
      </w:r>
      <w:r w:rsidRPr="002A53E6">
        <w:rPr>
          <w:rFonts w:asciiTheme="majorHAnsi" w:hAnsiTheme="majorHAnsi" w:cstheme="majorHAnsi"/>
        </w:rPr>
        <w:t xml:space="preserve"> consultations. Indeed, one publication specifically note</w:t>
      </w:r>
      <w:r>
        <w:rPr>
          <w:rFonts w:asciiTheme="majorHAnsi" w:hAnsiTheme="majorHAnsi" w:cstheme="majorHAnsi"/>
        </w:rPr>
        <w:t>d</w:t>
      </w:r>
      <w:r w:rsidRPr="002A53E6">
        <w:rPr>
          <w:rFonts w:asciiTheme="majorHAnsi" w:hAnsiTheme="majorHAnsi" w:cstheme="majorHAnsi"/>
        </w:rPr>
        <w:t xml:space="preserve"> the challenges faced by Ofgem in processing an unexpectedly high number of responses to the Retail Market Review consultation</w:t>
      </w:r>
      <w:r w:rsidR="0086174F">
        <w:rPr>
          <w:rFonts w:asciiTheme="majorHAnsi" w:hAnsiTheme="majorHAnsi" w:cstheme="majorHAnsi"/>
        </w:rPr>
        <w:t xml:space="preserve"> (Ofgem, 2012</w:t>
      </w:r>
      <w:r w:rsidR="002A45F3">
        <w:rPr>
          <w:rFonts w:asciiTheme="majorHAnsi" w:hAnsiTheme="majorHAnsi" w:cstheme="majorHAnsi"/>
        </w:rPr>
        <w:t>e</w:t>
      </w:r>
      <w:r w:rsidR="0086174F">
        <w:rPr>
          <w:rFonts w:asciiTheme="majorHAnsi" w:hAnsiTheme="majorHAnsi" w:cstheme="majorHAnsi"/>
        </w:rPr>
        <w:t>)</w:t>
      </w:r>
      <w:r w:rsidRPr="002A53E6">
        <w:rPr>
          <w:rFonts w:asciiTheme="majorHAnsi" w:hAnsiTheme="majorHAnsi" w:cstheme="majorHAnsi"/>
        </w:rPr>
        <w:t xml:space="preserve">. </w:t>
      </w:r>
      <w:r w:rsidR="001B0AED" w:rsidRPr="002A53E6">
        <w:rPr>
          <w:rFonts w:asciiTheme="majorHAnsi" w:hAnsiTheme="majorHAnsi" w:cstheme="majorHAnsi"/>
        </w:rPr>
        <w:t xml:space="preserve">Although the number of respondents increased over time, with the average number of respondents doubling between </w:t>
      </w:r>
      <w:r w:rsidR="00C821FC" w:rsidRPr="002A53E6">
        <w:rPr>
          <w:rFonts w:asciiTheme="majorHAnsi" w:hAnsiTheme="majorHAnsi" w:cstheme="majorHAnsi"/>
        </w:rPr>
        <w:t>2007</w:t>
      </w:r>
      <w:r w:rsidR="001B0AED" w:rsidRPr="002A53E6">
        <w:rPr>
          <w:rFonts w:asciiTheme="majorHAnsi" w:hAnsiTheme="majorHAnsi" w:cstheme="majorHAnsi"/>
        </w:rPr>
        <w:t xml:space="preserve"> and 2016, the sole group of actors consistently engaged over time were the ex- monopoly supply firms and the statutory consumer advocate. The repeated engagement with Ofgem by firms </w:t>
      </w:r>
      <w:r w:rsidR="0023625B">
        <w:rPr>
          <w:rFonts w:asciiTheme="majorHAnsi" w:hAnsiTheme="majorHAnsi" w:cstheme="majorHAnsi"/>
        </w:rPr>
        <w:t>wa</w:t>
      </w:r>
      <w:r w:rsidR="001B0AED" w:rsidRPr="002A53E6">
        <w:rPr>
          <w:rFonts w:asciiTheme="majorHAnsi" w:hAnsiTheme="majorHAnsi" w:cstheme="majorHAnsi"/>
        </w:rPr>
        <w:t xml:space="preserve">s described by interviewees in third sector organisations and firms as providing an opportunity to build relationships with </w:t>
      </w:r>
      <w:r w:rsidR="0023625B">
        <w:rPr>
          <w:rFonts w:asciiTheme="majorHAnsi" w:hAnsiTheme="majorHAnsi" w:cstheme="majorHAnsi"/>
        </w:rPr>
        <w:t xml:space="preserve">other </w:t>
      </w:r>
      <w:r w:rsidR="001B0AED" w:rsidRPr="002A53E6">
        <w:rPr>
          <w:rFonts w:asciiTheme="majorHAnsi" w:hAnsiTheme="majorHAnsi" w:cstheme="majorHAnsi"/>
        </w:rPr>
        <w:t>actors.  One interviewee explained:</w:t>
      </w:r>
    </w:p>
    <w:p w14:paraId="7AA91F89" w14:textId="77777777" w:rsidR="00C821FC" w:rsidRPr="002A53E6" w:rsidRDefault="00C821FC" w:rsidP="002A53E6">
      <w:pPr>
        <w:rPr>
          <w:rFonts w:asciiTheme="majorHAnsi" w:hAnsiTheme="majorHAnsi" w:cstheme="majorHAnsi"/>
          <w:i/>
          <w:iCs/>
        </w:rPr>
      </w:pPr>
    </w:p>
    <w:p w14:paraId="069D5032" w14:textId="7DAD92C2" w:rsidR="001B0AED" w:rsidRPr="002A53E6" w:rsidRDefault="001B0AED" w:rsidP="002A53E6">
      <w:pPr>
        <w:rPr>
          <w:rFonts w:asciiTheme="majorHAnsi" w:hAnsiTheme="majorHAnsi" w:cstheme="majorHAnsi"/>
          <w:i/>
          <w:iCs/>
        </w:rPr>
      </w:pPr>
      <w:r w:rsidRPr="002A53E6">
        <w:rPr>
          <w:rFonts w:asciiTheme="majorHAnsi" w:hAnsiTheme="majorHAnsi" w:cstheme="majorHAnsi"/>
          <w:i/>
          <w:iCs/>
        </w:rPr>
        <w:t>“That might reflect the fact that we were the former monopoly provider for [removed] that there is a long-term relationship there for us. Which isn’t true for all of the new players in the market.</w:t>
      </w:r>
      <w:r w:rsidR="00795996">
        <w:rPr>
          <w:rFonts w:asciiTheme="majorHAnsi" w:hAnsiTheme="majorHAnsi" w:cstheme="majorHAnsi"/>
          <w:i/>
          <w:iCs/>
        </w:rPr>
        <w:t>..</w:t>
      </w:r>
      <w:r w:rsidRPr="002A53E6">
        <w:rPr>
          <w:rFonts w:asciiTheme="majorHAnsi" w:hAnsiTheme="majorHAnsi" w:cstheme="majorHAnsi"/>
          <w:i/>
          <w:iCs/>
        </w:rPr>
        <w:t>we work really hard to maintain good relationships right the way across - from Ofgem CEO right down to the analysts.”</w:t>
      </w:r>
    </w:p>
    <w:p w14:paraId="5C1A4935" w14:textId="649D7A19" w:rsidR="001B0AED" w:rsidRPr="002A53E6" w:rsidRDefault="001B0AED" w:rsidP="002A53E6">
      <w:pPr>
        <w:rPr>
          <w:rFonts w:asciiTheme="majorHAnsi" w:hAnsiTheme="majorHAnsi" w:cstheme="majorHAnsi"/>
        </w:rPr>
      </w:pPr>
      <w:r w:rsidRPr="002A53E6">
        <w:rPr>
          <w:rFonts w:asciiTheme="majorHAnsi" w:hAnsiTheme="majorHAnsi" w:cstheme="majorHAnsi"/>
        </w:rPr>
        <w:t>Ma5 (in line with Ma1, Ma2, Ma4, Ma6, Ad2, Ad3, Ad4, Ad6, Re3, Re4, Re7, Re8)</w:t>
      </w:r>
    </w:p>
    <w:p w14:paraId="3CBD3CB4" w14:textId="77777777" w:rsidR="00C821FC" w:rsidRPr="002A53E6" w:rsidRDefault="00C821FC" w:rsidP="002A53E6">
      <w:pPr>
        <w:rPr>
          <w:rFonts w:asciiTheme="majorHAnsi" w:hAnsiTheme="majorHAnsi" w:cstheme="majorHAnsi"/>
        </w:rPr>
      </w:pPr>
    </w:p>
    <w:p w14:paraId="7777552F" w14:textId="74F0C9C5" w:rsidR="001B0AED" w:rsidRPr="002A53E6" w:rsidRDefault="00A10572" w:rsidP="002A53E6">
      <w:pPr>
        <w:rPr>
          <w:rFonts w:asciiTheme="majorHAnsi" w:hAnsiTheme="majorHAnsi" w:cstheme="majorHAnsi"/>
        </w:rPr>
      </w:pPr>
      <w:r>
        <w:rPr>
          <w:rFonts w:asciiTheme="majorHAnsi" w:hAnsiTheme="majorHAnsi" w:cstheme="majorHAnsi"/>
        </w:rPr>
        <w:t xml:space="preserve">Capacities to engage were important. </w:t>
      </w:r>
      <w:r w:rsidR="003E4338">
        <w:rPr>
          <w:rFonts w:asciiTheme="majorHAnsi" w:hAnsiTheme="majorHAnsi" w:cstheme="majorHAnsi"/>
        </w:rPr>
        <w:t>I</w:t>
      </w:r>
      <w:r w:rsidR="001B0AED" w:rsidRPr="002A53E6">
        <w:rPr>
          <w:rFonts w:asciiTheme="majorHAnsi" w:hAnsiTheme="majorHAnsi" w:cstheme="majorHAnsi"/>
        </w:rPr>
        <w:t>nterviewees described a significant resource difference between energy supply firms and charities and third sector organisations who wished to engage with Ofgem but were unable to do so. Ofgem acknowledged this resource challenge in 2012:</w:t>
      </w:r>
    </w:p>
    <w:p w14:paraId="0B66501E" w14:textId="77777777" w:rsidR="00C821FC" w:rsidRPr="002A53E6" w:rsidRDefault="00C821FC" w:rsidP="002A53E6">
      <w:pPr>
        <w:rPr>
          <w:rFonts w:asciiTheme="majorHAnsi" w:hAnsiTheme="majorHAnsi" w:cstheme="majorHAnsi"/>
          <w:i/>
          <w:iCs/>
        </w:rPr>
      </w:pPr>
    </w:p>
    <w:p w14:paraId="380BF199" w14:textId="42CE9CE8" w:rsidR="001B0AED" w:rsidRPr="002A53E6" w:rsidRDefault="001B0AED" w:rsidP="002A53E6">
      <w:pPr>
        <w:rPr>
          <w:rFonts w:asciiTheme="majorHAnsi" w:hAnsiTheme="majorHAnsi" w:cstheme="majorHAnsi"/>
          <w:i/>
          <w:iCs/>
        </w:rPr>
      </w:pPr>
      <w:r w:rsidRPr="002A53E6">
        <w:rPr>
          <w:rFonts w:asciiTheme="majorHAnsi" w:hAnsiTheme="majorHAnsi" w:cstheme="majorHAnsi"/>
          <w:i/>
          <w:iCs/>
        </w:rPr>
        <w:t>“We recognise that many of the organisations that we would like to engage with are facing considerable constraints on their time and resources. We therefore propose to use a variety of methods of communicating to try to make it easier for organisations to engage in our work.”</w:t>
      </w:r>
    </w:p>
    <w:p w14:paraId="3D40486F" w14:textId="5317CEAA" w:rsidR="001B0AED" w:rsidRPr="002A53E6" w:rsidRDefault="00943C98" w:rsidP="002A53E6">
      <w:pPr>
        <w:rPr>
          <w:rFonts w:asciiTheme="majorHAnsi" w:hAnsiTheme="majorHAnsi" w:cstheme="majorHAnsi"/>
          <w:i/>
          <w:iCs/>
        </w:rPr>
      </w:pPr>
      <w:r>
        <w:rPr>
          <w:rFonts w:asciiTheme="majorHAnsi" w:hAnsiTheme="majorHAnsi" w:cstheme="majorHAnsi"/>
        </w:rPr>
        <w:t>(Ofgem, 2012</w:t>
      </w:r>
      <w:r w:rsidR="002A45F3">
        <w:rPr>
          <w:rFonts w:asciiTheme="majorHAnsi" w:hAnsiTheme="majorHAnsi" w:cstheme="majorHAnsi"/>
        </w:rPr>
        <w:t>c</w:t>
      </w:r>
      <w:r>
        <w:rPr>
          <w:rFonts w:asciiTheme="majorHAnsi" w:hAnsiTheme="majorHAnsi" w:cstheme="majorHAnsi"/>
        </w:rPr>
        <w:t>: 16)</w:t>
      </w:r>
      <w:r w:rsidRPr="002A53E6">
        <w:rPr>
          <w:rFonts w:asciiTheme="majorHAnsi" w:hAnsiTheme="majorHAnsi" w:cstheme="majorHAnsi"/>
          <w:i/>
          <w:iCs/>
        </w:rPr>
        <w:t xml:space="preserve"> </w:t>
      </w:r>
    </w:p>
    <w:p w14:paraId="2BFFB978" w14:textId="77777777" w:rsidR="00C821FC" w:rsidRPr="002A53E6" w:rsidRDefault="00C821FC" w:rsidP="002A53E6">
      <w:pPr>
        <w:rPr>
          <w:rFonts w:asciiTheme="majorHAnsi" w:hAnsiTheme="majorHAnsi" w:cstheme="majorHAnsi"/>
        </w:rPr>
      </w:pPr>
    </w:p>
    <w:p w14:paraId="66279999" w14:textId="0CBCFCF8" w:rsidR="001B0AED" w:rsidRPr="002A53E6" w:rsidRDefault="001B0AED" w:rsidP="002A53E6">
      <w:pPr>
        <w:rPr>
          <w:rFonts w:asciiTheme="majorHAnsi" w:hAnsiTheme="majorHAnsi" w:cstheme="majorHAnsi"/>
        </w:rPr>
      </w:pPr>
      <w:r w:rsidRPr="002A53E6">
        <w:rPr>
          <w:rFonts w:asciiTheme="majorHAnsi" w:hAnsiTheme="majorHAnsi" w:cstheme="majorHAnsi"/>
        </w:rPr>
        <w:t xml:space="preserve">Energy supply firms, however, consistently described teams of regulatory specialists whose role was to directly engage with actors of policy formulation at Ofgem. While the majority described this as a required resource burden, one interviewee was </w:t>
      </w:r>
      <w:r w:rsidR="00F52078">
        <w:rPr>
          <w:rFonts w:asciiTheme="majorHAnsi" w:hAnsiTheme="majorHAnsi" w:cstheme="majorHAnsi"/>
        </w:rPr>
        <w:t>m</w:t>
      </w:r>
      <w:r w:rsidRPr="002A53E6">
        <w:rPr>
          <w:rFonts w:asciiTheme="majorHAnsi" w:hAnsiTheme="majorHAnsi" w:cstheme="majorHAnsi"/>
        </w:rPr>
        <w:t>ore blunt, stating:</w:t>
      </w:r>
    </w:p>
    <w:p w14:paraId="644F7865" w14:textId="77777777" w:rsidR="00C821FC" w:rsidRPr="002A53E6" w:rsidRDefault="00C821FC" w:rsidP="002A53E6">
      <w:pPr>
        <w:rPr>
          <w:rFonts w:asciiTheme="majorHAnsi" w:hAnsiTheme="majorHAnsi" w:cstheme="majorHAnsi"/>
          <w:i/>
          <w:iCs/>
        </w:rPr>
      </w:pPr>
    </w:p>
    <w:p w14:paraId="183C632B" w14:textId="0C7AF681" w:rsidR="001B0AED" w:rsidRPr="002A53E6" w:rsidRDefault="001B0AED" w:rsidP="002A53E6">
      <w:pPr>
        <w:rPr>
          <w:rFonts w:asciiTheme="majorHAnsi" w:hAnsiTheme="majorHAnsi" w:cstheme="majorHAnsi"/>
          <w:i/>
          <w:iCs/>
        </w:rPr>
      </w:pPr>
      <w:r w:rsidRPr="002A53E6">
        <w:rPr>
          <w:rFonts w:asciiTheme="majorHAnsi" w:hAnsiTheme="majorHAnsi" w:cstheme="majorHAnsi"/>
          <w:i/>
          <w:iCs/>
        </w:rPr>
        <w:t xml:space="preserve">“The first thing to say is that we resource up. There are significant numbers of employees whose role full-time is interacting with them [Ofgem].” </w:t>
      </w:r>
    </w:p>
    <w:p w14:paraId="5FB52144" w14:textId="77777777" w:rsidR="001B0AED" w:rsidRPr="002A53E6" w:rsidRDefault="001B0AED" w:rsidP="002A53E6">
      <w:pPr>
        <w:rPr>
          <w:rFonts w:asciiTheme="majorHAnsi" w:hAnsiTheme="majorHAnsi" w:cstheme="majorHAnsi"/>
        </w:rPr>
      </w:pPr>
      <w:r w:rsidRPr="002A53E6">
        <w:rPr>
          <w:rFonts w:asciiTheme="majorHAnsi" w:hAnsiTheme="majorHAnsi" w:cstheme="majorHAnsi"/>
        </w:rPr>
        <w:t>Ma5</w:t>
      </w:r>
    </w:p>
    <w:p w14:paraId="14ECD1D6" w14:textId="77777777" w:rsidR="00C821FC" w:rsidRPr="002A53E6" w:rsidRDefault="00C821FC" w:rsidP="002A53E6">
      <w:pPr>
        <w:rPr>
          <w:rFonts w:asciiTheme="majorHAnsi" w:hAnsiTheme="majorHAnsi" w:cstheme="majorHAnsi"/>
        </w:rPr>
      </w:pPr>
    </w:p>
    <w:p w14:paraId="42CA13D5" w14:textId="57F4C343" w:rsidR="001B0AED" w:rsidRPr="002A53E6" w:rsidRDefault="00A10572" w:rsidP="002A53E6">
      <w:pPr>
        <w:rPr>
          <w:rFonts w:asciiTheme="majorHAnsi" w:hAnsiTheme="majorHAnsi" w:cstheme="majorHAnsi"/>
          <w:iCs/>
        </w:rPr>
      </w:pPr>
      <w:r>
        <w:rPr>
          <w:rFonts w:asciiTheme="majorHAnsi" w:hAnsiTheme="majorHAnsi" w:cstheme="majorHAnsi"/>
        </w:rPr>
        <w:t>Capacity challenges also related to the type of knowledge resources required. I</w:t>
      </w:r>
      <w:r w:rsidR="001B0AED" w:rsidRPr="002A53E6">
        <w:rPr>
          <w:rFonts w:asciiTheme="majorHAnsi" w:hAnsiTheme="majorHAnsi" w:cstheme="majorHAnsi"/>
        </w:rPr>
        <w:t xml:space="preserve">nterviewees described a challenge in articulating their views in response to Ofgem, </w:t>
      </w:r>
      <w:r w:rsidR="001B0AED" w:rsidRPr="002A53E6">
        <w:rPr>
          <w:rFonts w:asciiTheme="majorHAnsi" w:hAnsiTheme="majorHAnsi" w:cstheme="majorHAnsi"/>
          <w:iCs/>
        </w:rPr>
        <w:t>due to the technocratic nature of discussions regarding competition. One interviewee explained:</w:t>
      </w:r>
    </w:p>
    <w:p w14:paraId="531E9CA7" w14:textId="77777777" w:rsidR="00C821FC" w:rsidRPr="002A53E6" w:rsidRDefault="00C821FC" w:rsidP="002A53E6">
      <w:pPr>
        <w:rPr>
          <w:rFonts w:asciiTheme="majorHAnsi" w:hAnsiTheme="majorHAnsi" w:cstheme="majorHAnsi"/>
          <w:i/>
        </w:rPr>
      </w:pPr>
    </w:p>
    <w:p w14:paraId="5D679BF5" w14:textId="48E1D35B" w:rsidR="001B0AED" w:rsidRPr="002A53E6" w:rsidRDefault="001B0AED" w:rsidP="002A53E6">
      <w:pPr>
        <w:rPr>
          <w:rFonts w:asciiTheme="majorHAnsi" w:hAnsiTheme="majorHAnsi" w:cstheme="majorHAnsi"/>
          <w:i/>
        </w:rPr>
      </w:pPr>
      <w:r w:rsidRPr="002A53E6">
        <w:rPr>
          <w:rFonts w:asciiTheme="majorHAnsi" w:hAnsiTheme="majorHAnsi" w:cstheme="majorHAnsi"/>
          <w:i/>
        </w:rPr>
        <w:t xml:space="preserve">“We have to frame any concern we have in relation to generally </w:t>
      </w:r>
      <w:r w:rsidR="000C1D54">
        <w:rPr>
          <w:rFonts w:asciiTheme="majorHAnsi" w:hAnsiTheme="majorHAnsi" w:cstheme="majorHAnsi"/>
          <w:i/>
        </w:rPr>
        <w:t>‘</w:t>
      </w:r>
      <w:r w:rsidRPr="002A53E6">
        <w:rPr>
          <w:rFonts w:asciiTheme="majorHAnsi" w:hAnsiTheme="majorHAnsi" w:cstheme="majorHAnsi"/>
          <w:i/>
        </w:rPr>
        <w:t>competition</w:t>
      </w:r>
      <w:r w:rsidR="000C1D54">
        <w:rPr>
          <w:rFonts w:asciiTheme="majorHAnsi" w:hAnsiTheme="majorHAnsi" w:cstheme="majorHAnsi"/>
          <w:i/>
        </w:rPr>
        <w:t>’</w:t>
      </w:r>
      <w:r w:rsidRPr="002A53E6">
        <w:rPr>
          <w:rFonts w:asciiTheme="majorHAnsi" w:hAnsiTheme="majorHAnsi" w:cstheme="majorHAnsi"/>
          <w:i/>
        </w:rPr>
        <w:t xml:space="preserve"> or </w:t>
      </w:r>
      <w:r w:rsidR="000C1D54">
        <w:rPr>
          <w:rFonts w:asciiTheme="majorHAnsi" w:hAnsiTheme="majorHAnsi" w:cstheme="majorHAnsi"/>
          <w:i/>
        </w:rPr>
        <w:t>‘</w:t>
      </w:r>
      <w:r w:rsidRPr="002A53E6">
        <w:rPr>
          <w:rFonts w:asciiTheme="majorHAnsi" w:hAnsiTheme="majorHAnsi" w:cstheme="majorHAnsi"/>
          <w:i/>
        </w:rPr>
        <w:t>efficiency</w:t>
      </w:r>
      <w:r w:rsidR="000C1D54">
        <w:rPr>
          <w:rFonts w:asciiTheme="majorHAnsi" w:hAnsiTheme="majorHAnsi" w:cstheme="majorHAnsi"/>
          <w:i/>
        </w:rPr>
        <w:t>’</w:t>
      </w:r>
      <w:r w:rsidRPr="002A53E6">
        <w:rPr>
          <w:rFonts w:asciiTheme="majorHAnsi" w:hAnsiTheme="majorHAnsi" w:cstheme="majorHAnsi"/>
          <w:i/>
        </w:rPr>
        <w:t xml:space="preserve"> objectives. Because if we could frame them as competition policy issues</w:t>
      </w:r>
      <w:r w:rsidR="001C6C32">
        <w:rPr>
          <w:rFonts w:asciiTheme="majorHAnsi" w:hAnsiTheme="majorHAnsi" w:cstheme="majorHAnsi"/>
          <w:i/>
        </w:rPr>
        <w:t xml:space="preserve"> then they </w:t>
      </w:r>
      <w:r w:rsidRPr="002A53E6">
        <w:rPr>
          <w:rFonts w:asciiTheme="majorHAnsi" w:hAnsiTheme="majorHAnsi" w:cstheme="majorHAnsi"/>
          <w:i/>
        </w:rPr>
        <w:t>are much more likely to be tackled. Because</w:t>
      </w:r>
      <w:r w:rsidR="001C6C32">
        <w:rPr>
          <w:rFonts w:asciiTheme="majorHAnsi" w:hAnsiTheme="majorHAnsi" w:cstheme="majorHAnsi"/>
          <w:i/>
        </w:rPr>
        <w:t xml:space="preserve"> then</w:t>
      </w:r>
      <w:r w:rsidRPr="002A53E6">
        <w:rPr>
          <w:rFonts w:asciiTheme="majorHAnsi" w:hAnsiTheme="majorHAnsi" w:cstheme="majorHAnsi"/>
          <w:i/>
        </w:rPr>
        <w:t xml:space="preserve"> they</w:t>
      </w:r>
      <w:r w:rsidR="001C6C32">
        <w:rPr>
          <w:rFonts w:asciiTheme="majorHAnsi" w:hAnsiTheme="majorHAnsi" w:cstheme="majorHAnsi"/>
          <w:i/>
        </w:rPr>
        <w:t xml:space="preserve"> [our concerns]</w:t>
      </w:r>
      <w:r w:rsidRPr="002A53E6">
        <w:rPr>
          <w:rFonts w:asciiTheme="majorHAnsi" w:hAnsiTheme="majorHAnsi" w:cstheme="majorHAnsi"/>
          <w:i/>
        </w:rPr>
        <w:t xml:space="preserve"> would be regarded by them</w:t>
      </w:r>
      <w:r w:rsidR="001C6C32">
        <w:rPr>
          <w:rFonts w:asciiTheme="majorHAnsi" w:hAnsiTheme="majorHAnsi" w:cstheme="majorHAnsi"/>
          <w:i/>
        </w:rPr>
        <w:t xml:space="preserve"> [Ofgem]</w:t>
      </w:r>
      <w:r w:rsidRPr="002A53E6">
        <w:rPr>
          <w:rFonts w:asciiTheme="majorHAnsi" w:hAnsiTheme="majorHAnsi" w:cstheme="majorHAnsi"/>
          <w:i/>
        </w:rPr>
        <w:t xml:space="preserve"> as genuine”.</w:t>
      </w:r>
    </w:p>
    <w:p w14:paraId="6AD6EE14" w14:textId="77777777" w:rsidR="001B0AED" w:rsidRPr="002A53E6" w:rsidRDefault="001B0AED" w:rsidP="002A53E6">
      <w:pPr>
        <w:rPr>
          <w:rFonts w:asciiTheme="majorHAnsi" w:hAnsiTheme="majorHAnsi" w:cstheme="majorHAnsi"/>
          <w:iCs/>
        </w:rPr>
      </w:pPr>
      <w:r w:rsidRPr="002A53E6">
        <w:rPr>
          <w:rFonts w:asciiTheme="majorHAnsi" w:hAnsiTheme="majorHAnsi" w:cstheme="majorHAnsi"/>
          <w:iCs/>
        </w:rPr>
        <w:lastRenderedPageBreak/>
        <w:t>Re3 (in line with DG2, Ad2, Ad3, Ad4, Ad5, Ad6, Ad7, R1, Re2, Re4, Re5, Re6, Re7, Ma1)</w:t>
      </w:r>
    </w:p>
    <w:p w14:paraId="58769BF7" w14:textId="77777777" w:rsidR="00C821FC" w:rsidRPr="002A53E6" w:rsidRDefault="00C821FC" w:rsidP="002A53E6">
      <w:pPr>
        <w:rPr>
          <w:rFonts w:asciiTheme="majorHAnsi" w:hAnsiTheme="majorHAnsi" w:cstheme="majorHAnsi"/>
          <w:iCs/>
        </w:rPr>
      </w:pPr>
    </w:p>
    <w:p w14:paraId="05AABFE0" w14:textId="007A8B39" w:rsidR="00675CD4" w:rsidRPr="002A53E6" w:rsidRDefault="001B0AED" w:rsidP="00675CD4">
      <w:pPr>
        <w:rPr>
          <w:rFonts w:asciiTheme="majorHAnsi" w:hAnsiTheme="majorHAnsi" w:cstheme="majorHAnsi"/>
        </w:rPr>
      </w:pPr>
      <w:r w:rsidRPr="002A53E6">
        <w:rPr>
          <w:rFonts w:asciiTheme="majorHAnsi" w:hAnsiTheme="majorHAnsi" w:cstheme="majorHAnsi"/>
          <w:iCs/>
        </w:rPr>
        <w:t xml:space="preserve">This experience - </w:t>
      </w:r>
      <w:r w:rsidR="00FC3514">
        <w:rPr>
          <w:rFonts w:asciiTheme="majorHAnsi" w:hAnsiTheme="majorHAnsi" w:cstheme="majorHAnsi"/>
          <w:iCs/>
        </w:rPr>
        <w:t xml:space="preserve">widely expressed </w:t>
      </w:r>
      <w:r w:rsidRPr="002A53E6">
        <w:rPr>
          <w:rFonts w:asciiTheme="majorHAnsi" w:hAnsiTheme="majorHAnsi" w:cstheme="majorHAnsi"/>
          <w:iCs/>
        </w:rPr>
        <w:t>by interviewees from representative bodies, democratic governance institutions, advisory groups and an energy supply firm who had engaged with stakeholder consultations</w:t>
      </w:r>
      <w:r w:rsidR="00FC3514">
        <w:rPr>
          <w:rFonts w:asciiTheme="majorHAnsi" w:hAnsiTheme="majorHAnsi" w:cstheme="majorHAnsi"/>
          <w:iCs/>
        </w:rPr>
        <w:t xml:space="preserve"> </w:t>
      </w:r>
      <w:r w:rsidRPr="002A53E6">
        <w:rPr>
          <w:rFonts w:asciiTheme="majorHAnsi" w:hAnsiTheme="majorHAnsi" w:cstheme="majorHAnsi"/>
          <w:iCs/>
        </w:rPr>
        <w:t>–</w:t>
      </w:r>
      <w:r w:rsidR="00FC3514">
        <w:rPr>
          <w:rFonts w:asciiTheme="majorHAnsi" w:hAnsiTheme="majorHAnsi" w:cstheme="majorHAnsi"/>
          <w:iCs/>
        </w:rPr>
        <w:t xml:space="preserve"> </w:t>
      </w:r>
      <w:r w:rsidRPr="002A53E6">
        <w:rPr>
          <w:rFonts w:asciiTheme="majorHAnsi" w:hAnsiTheme="majorHAnsi" w:cstheme="majorHAnsi"/>
          <w:iCs/>
        </w:rPr>
        <w:t>suggest</w:t>
      </w:r>
      <w:r w:rsidR="00FC3514">
        <w:rPr>
          <w:rFonts w:asciiTheme="majorHAnsi" w:hAnsiTheme="majorHAnsi" w:cstheme="majorHAnsi"/>
          <w:iCs/>
        </w:rPr>
        <w:t>ed</w:t>
      </w:r>
      <w:r w:rsidRPr="002A53E6">
        <w:rPr>
          <w:rFonts w:asciiTheme="majorHAnsi" w:hAnsiTheme="majorHAnsi" w:cstheme="majorHAnsi"/>
          <w:iCs/>
        </w:rPr>
        <w:t xml:space="preserve"> that consultations did not necessarily </w:t>
      </w:r>
      <w:r w:rsidR="00252449">
        <w:rPr>
          <w:rFonts w:asciiTheme="majorHAnsi" w:hAnsiTheme="majorHAnsi" w:cstheme="majorHAnsi"/>
          <w:iCs/>
        </w:rPr>
        <w:t>result i</w:t>
      </w:r>
      <w:r w:rsidRPr="002A53E6">
        <w:rPr>
          <w:rFonts w:asciiTheme="majorHAnsi" w:hAnsiTheme="majorHAnsi" w:cstheme="majorHAnsi"/>
          <w:iCs/>
        </w:rPr>
        <w:t xml:space="preserve">n the open dialogue of diverse views to aid in knowledge production. </w:t>
      </w:r>
      <w:r w:rsidR="00675CD4">
        <w:rPr>
          <w:rFonts w:asciiTheme="majorHAnsi" w:hAnsiTheme="majorHAnsi" w:cstheme="majorHAnsi"/>
          <w:iCs/>
        </w:rPr>
        <w:t xml:space="preserve">This may be </w:t>
      </w:r>
      <w:r w:rsidR="00675CD4" w:rsidRPr="002A53E6">
        <w:rPr>
          <w:rFonts w:asciiTheme="majorHAnsi" w:hAnsiTheme="majorHAnsi" w:cstheme="majorHAnsi"/>
          <w:iCs/>
        </w:rPr>
        <w:t xml:space="preserve">explained by </w:t>
      </w:r>
      <w:r w:rsidR="00675CD4">
        <w:rPr>
          <w:rFonts w:asciiTheme="majorHAnsi" w:hAnsiTheme="majorHAnsi" w:cstheme="majorHAnsi"/>
          <w:iCs/>
        </w:rPr>
        <w:t xml:space="preserve">the timing and purpose of the consultations: they were largely used to assess policy options rather than </w:t>
      </w:r>
      <w:r w:rsidR="00675CD4" w:rsidRPr="002A53E6">
        <w:rPr>
          <w:rFonts w:asciiTheme="majorHAnsi" w:hAnsiTheme="majorHAnsi" w:cstheme="majorHAnsi"/>
          <w:iCs/>
        </w:rPr>
        <w:t>to</w:t>
      </w:r>
      <w:r w:rsidR="00675CD4">
        <w:rPr>
          <w:rFonts w:asciiTheme="majorHAnsi" w:hAnsiTheme="majorHAnsi" w:cstheme="majorHAnsi"/>
          <w:iCs/>
        </w:rPr>
        <w:t xml:space="preserve"> set policy objectives, characterise problems or</w:t>
      </w:r>
      <w:r w:rsidR="00675CD4" w:rsidRPr="002A53E6">
        <w:rPr>
          <w:rFonts w:asciiTheme="majorHAnsi" w:hAnsiTheme="majorHAnsi" w:cstheme="majorHAnsi"/>
          <w:iCs/>
        </w:rPr>
        <w:t xml:space="preserve"> consider the role of ex-monopoly firms and other participants</w:t>
      </w:r>
      <w:r w:rsidR="00675CD4">
        <w:rPr>
          <w:rFonts w:asciiTheme="majorHAnsi" w:hAnsiTheme="majorHAnsi" w:cstheme="majorHAnsi"/>
          <w:iCs/>
        </w:rPr>
        <w:t xml:space="preserve"> (</w:t>
      </w:r>
      <w:r w:rsidR="006F343B">
        <w:rPr>
          <w:rFonts w:asciiTheme="majorHAnsi" w:hAnsiTheme="majorHAnsi" w:cstheme="majorHAnsi"/>
          <w:iCs/>
        </w:rPr>
        <w:t>Blakelock, 2020</w:t>
      </w:r>
      <w:r w:rsidR="00675CD4">
        <w:rPr>
          <w:rFonts w:asciiTheme="majorHAnsi" w:hAnsiTheme="majorHAnsi" w:cstheme="majorHAnsi"/>
          <w:iCs/>
        </w:rPr>
        <w:t>)</w:t>
      </w:r>
      <w:r w:rsidR="00675CD4" w:rsidRPr="002A53E6">
        <w:rPr>
          <w:rFonts w:asciiTheme="majorHAnsi" w:hAnsiTheme="majorHAnsi" w:cstheme="majorHAnsi"/>
          <w:iCs/>
        </w:rPr>
        <w:t xml:space="preserve">. </w:t>
      </w:r>
      <w:r w:rsidR="00675CD4">
        <w:rPr>
          <w:rFonts w:asciiTheme="majorHAnsi" w:hAnsiTheme="majorHAnsi" w:cstheme="majorHAnsi"/>
          <w:iCs/>
        </w:rPr>
        <w:t xml:space="preserve">More </w:t>
      </w:r>
      <w:r w:rsidR="00675CD4" w:rsidRPr="00675CD4">
        <w:rPr>
          <w:rFonts w:asciiTheme="majorHAnsi" w:hAnsiTheme="majorHAnsi" w:cstheme="majorHAnsi"/>
          <w:iCs/>
        </w:rPr>
        <w:t xml:space="preserve">broadly, in line with research on UK policy making </w:t>
      </w:r>
      <w:r w:rsidR="00ED46B5">
        <w:rPr>
          <w:rFonts w:asciiTheme="majorHAnsi" w:hAnsiTheme="majorHAnsi" w:cstheme="majorHAnsi"/>
          <w:iCs/>
        </w:rPr>
        <w:t>(Chilvers, 2010; Pallett and Chilvers, 2013; Hoppe, 2018)</w:t>
      </w:r>
      <w:r w:rsidR="00675CD4" w:rsidRPr="00675CD4">
        <w:rPr>
          <w:rFonts w:asciiTheme="majorHAnsi" w:hAnsiTheme="majorHAnsi" w:cstheme="majorHAnsi"/>
          <w:iCs/>
        </w:rPr>
        <w:t xml:space="preserve">, consultations provided limited opportunities to challenge embedded ways of knowing. </w:t>
      </w:r>
      <w:r w:rsidR="00675CD4" w:rsidRPr="002A53E6">
        <w:rPr>
          <w:rFonts w:asciiTheme="majorHAnsi" w:hAnsiTheme="majorHAnsi" w:cstheme="majorHAnsi"/>
          <w:iCs/>
        </w:rPr>
        <w:t>It is notable that fairness of market outcomes and affordability challenges were a regular feature of consultation responses from stakeholders between 2007 and 2016</w:t>
      </w:r>
      <w:r w:rsidR="00ED46B5">
        <w:rPr>
          <w:rFonts w:asciiTheme="majorHAnsi" w:hAnsiTheme="majorHAnsi" w:cstheme="majorHAnsi"/>
          <w:iCs/>
        </w:rPr>
        <w:t xml:space="preserve"> (Ofgem, 2009</w:t>
      </w:r>
      <w:r w:rsidR="00984895">
        <w:rPr>
          <w:rFonts w:asciiTheme="majorHAnsi" w:hAnsiTheme="majorHAnsi" w:cstheme="majorHAnsi"/>
          <w:iCs/>
        </w:rPr>
        <w:t>a</w:t>
      </w:r>
      <w:r w:rsidR="00ED46B5">
        <w:rPr>
          <w:rFonts w:asciiTheme="majorHAnsi" w:hAnsiTheme="majorHAnsi" w:cstheme="majorHAnsi"/>
          <w:iCs/>
        </w:rPr>
        <w:t>; 2012</w:t>
      </w:r>
      <w:r w:rsidR="002A45F3">
        <w:rPr>
          <w:rFonts w:asciiTheme="majorHAnsi" w:hAnsiTheme="majorHAnsi" w:cstheme="majorHAnsi"/>
          <w:iCs/>
        </w:rPr>
        <w:t>f</w:t>
      </w:r>
      <w:r w:rsidR="00ED46B5">
        <w:rPr>
          <w:rFonts w:asciiTheme="majorHAnsi" w:hAnsiTheme="majorHAnsi" w:cstheme="majorHAnsi"/>
          <w:iCs/>
        </w:rPr>
        <w:t>; 2013d; 2016</w:t>
      </w:r>
      <w:r w:rsidR="00F07C83">
        <w:rPr>
          <w:rFonts w:asciiTheme="majorHAnsi" w:hAnsiTheme="majorHAnsi" w:cstheme="majorHAnsi"/>
          <w:iCs/>
        </w:rPr>
        <w:t>d</w:t>
      </w:r>
      <w:r w:rsidR="00ED46B5">
        <w:rPr>
          <w:rFonts w:asciiTheme="majorHAnsi" w:hAnsiTheme="majorHAnsi" w:cstheme="majorHAnsi"/>
          <w:iCs/>
        </w:rPr>
        <w:t>)</w:t>
      </w:r>
      <w:r w:rsidR="00675CD4" w:rsidRPr="002A53E6">
        <w:rPr>
          <w:rFonts w:asciiTheme="majorHAnsi" w:hAnsiTheme="majorHAnsi" w:cstheme="majorHAnsi"/>
          <w:iCs/>
        </w:rPr>
        <w:t xml:space="preserve">. </w:t>
      </w:r>
      <w:r w:rsidR="00675CD4">
        <w:rPr>
          <w:rFonts w:asciiTheme="majorHAnsi" w:hAnsiTheme="majorHAnsi" w:cstheme="majorHAnsi"/>
          <w:iCs/>
        </w:rPr>
        <w:t>But t</w:t>
      </w:r>
      <w:r w:rsidR="00675CD4" w:rsidRPr="00675CD4">
        <w:rPr>
          <w:rFonts w:asciiTheme="majorHAnsi" w:hAnsiTheme="majorHAnsi" w:cstheme="majorHAnsi"/>
        </w:rPr>
        <w:t>he pre-eminent importance of maintaining a competitive market was reiterated</w:t>
      </w:r>
      <w:r w:rsidR="00675CD4" w:rsidRPr="002A53E6">
        <w:rPr>
          <w:rFonts w:asciiTheme="majorHAnsi" w:hAnsiTheme="majorHAnsi" w:cstheme="majorHAnsi"/>
        </w:rPr>
        <w:t xml:space="preserve"> even where Ofgem noted the negative impact of existing market structures on vulnerable consumers</w:t>
      </w:r>
      <w:r w:rsidR="00ED46B5">
        <w:rPr>
          <w:rFonts w:asciiTheme="majorHAnsi" w:hAnsiTheme="majorHAnsi" w:cstheme="majorHAnsi"/>
        </w:rPr>
        <w:t xml:space="preserve"> (Ofgem, 2005</w:t>
      </w:r>
      <w:r w:rsidR="00984895">
        <w:rPr>
          <w:rFonts w:asciiTheme="majorHAnsi" w:hAnsiTheme="majorHAnsi" w:cstheme="majorHAnsi"/>
        </w:rPr>
        <w:t>b</w:t>
      </w:r>
      <w:r w:rsidR="00ED46B5">
        <w:rPr>
          <w:rFonts w:asciiTheme="majorHAnsi" w:hAnsiTheme="majorHAnsi" w:cstheme="majorHAnsi"/>
        </w:rPr>
        <w:t>; 2012</w:t>
      </w:r>
      <w:r w:rsidR="002A45F3">
        <w:rPr>
          <w:rFonts w:asciiTheme="majorHAnsi" w:hAnsiTheme="majorHAnsi" w:cstheme="majorHAnsi"/>
        </w:rPr>
        <w:t>c</w:t>
      </w:r>
      <w:r w:rsidR="00ED46B5">
        <w:rPr>
          <w:rFonts w:asciiTheme="majorHAnsi" w:hAnsiTheme="majorHAnsi" w:cstheme="majorHAnsi"/>
        </w:rPr>
        <w:t>)</w:t>
      </w:r>
      <w:r w:rsidR="00675CD4" w:rsidRPr="002A53E6">
        <w:rPr>
          <w:rFonts w:asciiTheme="majorHAnsi" w:hAnsiTheme="majorHAnsi" w:cstheme="majorHAnsi"/>
        </w:rPr>
        <w:t>. For example, in discussing a new licence condition to protect vulnerable consumers in 2009, Ofgem explained:</w:t>
      </w:r>
    </w:p>
    <w:p w14:paraId="028F9D4A" w14:textId="77777777" w:rsidR="00675CD4" w:rsidRPr="002A53E6" w:rsidRDefault="00675CD4" w:rsidP="00675CD4">
      <w:pPr>
        <w:rPr>
          <w:rFonts w:asciiTheme="majorHAnsi" w:hAnsiTheme="majorHAnsi" w:cstheme="majorHAnsi"/>
          <w:i/>
          <w:iCs/>
        </w:rPr>
      </w:pPr>
    </w:p>
    <w:p w14:paraId="5A91DA1A" w14:textId="77777777" w:rsidR="00675CD4" w:rsidRPr="002A53E6" w:rsidRDefault="00675CD4" w:rsidP="00675CD4">
      <w:pPr>
        <w:rPr>
          <w:rFonts w:asciiTheme="majorHAnsi" w:hAnsiTheme="majorHAnsi" w:cstheme="majorHAnsi"/>
          <w:i/>
          <w:iCs/>
        </w:rPr>
      </w:pPr>
      <w:r w:rsidRPr="002A53E6">
        <w:rPr>
          <w:rFonts w:asciiTheme="majorHAnsi" w:hAnsiTheme="majorHAnsi" w:cstheme="majorHAnsi"/>
          <w:i/>
          <w:iCs/>
        </w:rPr>
        <w:t>“We would need to be sure that such a condition is a proportionate measure and serves to help, rather than hinder, progress towards an effective competitive market.”</w:t>
      </w:r>
    </w:p>
    <w:p w14:paraId="2868F675" w14:textId="24C543D8" w:rsidR="00675CD4" w:rsidRPr="002A53E6" w:rsidRDefault="00581E2D" w:rsidP="00675CD4">
      <w:pPr>
        <w:rPr>
          <w:rFonts w:asciiTheme="majorHAnsi" w:hAnsiTheme="majorHAnsi" w:cstheme="majorHAnsi"/>
        </w:rPr>
      </w:pPr>
      <w:r>
        <w:rPr>
          <w:rFonts w:asciiTheme="majorHAnsi" w:hAnsiTheme="majorHAnsi" w:cstheme="majorHAnsi"/>
        </w:rPr>
        <w:t>(Ofgem, 2009</w:t>
      </w:r>
      <w:r w:rsidR="00A46A18">
        <w:rPr>
          <w:rFonts w:asciiTheme="majorHAnsi" w:hAnsiTheme="majorHAnsi" w:cstheme="majorHAnsi"/>
        </w:rPr>
        <w:t>b</w:t>
      </w:r>
      <w:r>
        <w:rPr>
          <w:rFonts w:asciiTheme="majorHAnsi" w:hAnsiTheme="majorHAnsi" w:cstheme="majorHAnsi"/>
        </w:rPr>
        <w:t>: 3)</w:t>
      </w:r>
      <w:r w:rsidRPr="002A53E6">
        <w:rPr>
          <w:rFonts w:asciiTheme="majorHAnsi" w:hAnsiTheme="majorHAnsi" w:cstheme="majorHAnsi"/>
        </w:rPr>
        <w:t xml:space="preserve"> </w:t>
      </w:r>
    </w:p>
    <w:p w14:paraId="5DC3BD45" w14:textId="77777777" w:rsidR="00675CD4" w:rsidRPr="002A53E6" w:rsidRDefault="00675CD4" w:rsidP="00675CD4">
      <w:pPr>
        <w:rPr>
          <w:rFonts w:asciiTheme="majorHAnsi" w:hAnsiTheme="majorHAnsi" w:cstheme="majorHAnsi"/>
          <w:iCs/>
        </w:rPr>
      </w:pPr>
    </w:p>
    <w:p w14:paraId="3A9A06AD" w14:textId="77777777" w:rsidR="009F5C53" w:rsidRDefault="00BD72EC" w:rsidP="00BD72EC">
      <w:pPr>
        <w:rPr>
          <w:rFonts w:asciiTheme="majorHAnsi" w:hAnsiTheme="majorHAnsi" w:cstheme="majorHAnsi"/>
        </w:rPr>
      </w:pPr>
      <w:r>
        <w:rPr>
          <w:rFonts w:asciiTheme="majorHAnsi" w:hAnsiTheme="majorHAnsi" w:cstheme="majorHAnsi"/>
        </w:rPr>
        <w:t>S</w:t>
      </w:r>
      <w:r w:rsidRPr="002A53E6">
        <w:rPr>
          <w:rFonts w:asciiTheme="majorHAnsi" w:hAnsiTheme="majorHAnsi" w:cstheme="majorHAnsi"/>
        </w:rPr>
        <w:t>takeholder consultation had a significant procedural effect. It was used in the majority of procedures of regulatory activities between 2007 and 2016 and, when used, brought the findings from other participatory tools and indicators together to conduct the tasks of problem evaluation and option assessment. For example, in the case of Ofgem’s Retail Market Review, the stakeholder consultation tool was also used to apply the findings of indicators regarding energy market engagement and focus group findings that assessed options in policy design</w:t>
      </w:r>
      <w:r w:rsidR="00933A20">
        <w:rPr>
          <w:rFonts w:asciiTheme="majorHAnsi" w:hAnsiTheme="majorHAnsi" w:cstheme="majorHAnsi"/>
        </w:rPr>
        <w:t xml:space="preserve"> (Ofgem, 2011</w:t>
      </w:r>
      <w:r w:rsidR="00750E38">
        <w:rPr>
          <w:rFonts w:asciiTheme="majorHAnsi" w:hAnsiTheme="majorHAnsi" w:cstheme="majorHAnsi"/>
        </w:rPr>
        <w:t>b</w:t>
      </w:r>
      <w:r w:rsidR="00933A20">
        <w:rPr>
          <w:rFonts w:asciiTheme="majorHAnsi" w:hAnsiTheme="majorHAnsi" w:cstheme="majorHAnsi"/>
        </w:rPr>
        <w:t>; 2012b; 2013</w:t>
      </w:r>
      <w:r w:rsidR="00D1149D">
        <w:rPr>
          <w:rFonts w:asciiTheme="majorHAnsi" w:hAnsiTheme="majorHAnsi" w:cstheme="majorHAnsi"/>
        </w:rPr>
        <w:t>e</w:t>
      </w:r>
      <w:r w:rsidR="00933A20">
        <w:rPr>
          <w:rFonts w:asciiTheme="majorHAnsi" w:hAnsiTheme="majorHAnsi" w:cstheme="majorHAnsi"/>
        </w:rPr>
        <w:t>)</w:t>
      </w:r>
      <w:r w:rsidRPr="002A53E6">
        <w:rPr>
          <w:rFonts w:asciiTheme="majorHAnsi" w:hAnsiTheme="majorHAnsi" w:cstheme="majorHAnsi"/>
        </w:rPr>
        <w:t xml:space="preserve">.  </w:t>
      </w:r>
      <w:r>
        <w:rPr>
          <w:rFonts w:asciiTheme="majorHAnsi" w:hAnsiTheme="majorHAnsi" w:cstheme="majorHAnsi"/>
        </w:rPr>
        <w:t xml:space="preserve">It appeared to be </w:t>
      </w:r>
      <w:r w:rsidRPr="002A53E6">
        <w:rPr>
          <w:rFonts w:asciiTheme="majorHAnsi" w:hAnsiTheme="majorHAnsi" w:cstheme="majorHAnsi"/>
        </w:rPr>
        <w:t xml:space="preserve">the most significant tool of policy formulation </w:t>
      </w:r>
      <w:r>
        <w:rPr>
          <w:rFonts w:asciiTheme="majorHAnsi" w:hAnsiTheme="majorHAnsi" w:cstheme="majorHAnsi"/>
        </w:rPr>
        <w:t>employed by</w:t>
      </w:r>
      <w:r w:rsidRPr="002A53E6">
        <w:rPr>
          <w:rFonts w:asciiTheme="majorHAnsi" w:hAnsiTheme="majorHAnsi" w:cstheme="majorHAnsi"/>
        </w:rPr>
        <w:t xml:space="preserve"> Ofgem.</w:t>
      </w:r>
    </w:p>
    <w:p w14:paraId="6CC73810" w14:textId="77777777" w:rsidR="009F5C53" w:rsidRDefault="009F5C53" w:rsidP="00BD72EC">
      <w:pPr>
        <w:rPr>
          <w:rFonts w:asciiTheme="majorHAnsi" w:hAnsiTheme="majorHAnsi" w:cstheme="majorHAnsi"/>
        </w:rPr>
      </w:pPr>
    </w:p>
    <w:p w14:paraId="530D431F" w14:textId="769B5F76" w:rsidR="00BD72EC" w:rsidRDefault="009F5C53" w:rsidP="00BD72EC">
      <w:pPr>
        <w:rPr>
          <w:rFonts w:asciiTheme="majorHAnsi" w:hAnsiTheme="majorHAnsi" w:cstheme="majorHAnsi"/>
        </w:rPr>
      </w:pPr>
      <w:r>
        <w:rPr>
          <w:rFonts w:asciiTheme="majorHAnsi" w:hAnsiTheme="majorHAnsi" w:cstheme="majorHAnsi"/>
          <w:i/>
          <w:iCs/>
        </w:rPr>
        <w:t>Both tools: substantive effects</w:t>
      </w:r>
      <w:r w:rsidR="00BD72EC" w:rsidRPr="002A53E6">
        <w:rPr>
          <w:rFonts w:asciiTheme="majorHAnsi" w:hAnsiTheme="majorHAnsi" w:cstheme="majorHAnsi"/>
        </w:rPr>
        <w:t xml:space="preserve"> </w:t>
      </w:r>
    </w:p>
    <w:p w14:paraId="2477674D" w14:textId="15EB87A4" w:rsidR="00D12760" w:rsidRDefault="000617B3" w:rsidP="003E0980">
      <w:pPr>
        <w:rPr>
          <w:rFonts w:asciiTheme="majorHAnsi" w:hAnsiTheme="majorHAnsi" w:cstheme="majorHAnsi"/>
        </w:rPr>
      </w:pPr>
      <w:bookmarkStart w:id="4" w:name="_Toc6816080"/>
      <w:r>
        <w:rPr>
          <w:rFonts w:asciiTheme="majorHAnsi" w:hAnsiTheme="majorHAnsi" w:cstheme="majorHAnsi"/>
        </w:rPr>
        <w:t>T</w:t>
      </w:r>
      <w:r w:rsidR="001B0AED" w:rsidRPr="002A53E6">
        <w:rPr>
          <w:rFonts w:asciiTheme="majorHAnsi" w:hAnsiTheme="majorHAnsi" w:cstheme="majorHAnsi"/>
        </w:rPr>
        <w:t xml:space="preserve">he </w:t>
      </w:r>
      <w:r w:rsidR="00132DDE">
        <w:rPr>
          <w:rFonts w:asciiTheme="majorHAnsi" w:hAnsiTheme="majorHAnsi" w:cstheme="majorHAnsi"/>
        </w:rPr>
        <w:t xml:space="preserve">extent to which </w:t>
      </w:r>
      <w:r w:rsidR="001B0AED" w:rsidRPr="002A53E6">
        <w:rPr>
          <w:rFonts w:asciiTheme="majorHAnsi" w:hAnsiTheme="majorHAnsi" w:cstheme="majorHAnsi"/>
        </w:rPr>
        <w:t>knowledges brought together by</w:t>
      </w:r>
      <w:r>
        <w:rPr>
          <w:rFonts w:asciiTheme="majorHAnsi" w:hAnsiTheme="majorHAnsi" w:cstheme="majorHAnsi"/>
        </w:rPr>
        <w:t xml:space="preserve"> either of</w:t>
      </w:r>
      <w:r w:rsidR="001B0AED" w:rsidRPr="002A53E6">
        <w:rPr>
          <w:rFonts w:asciiTheme="majorHAnsi" w:hAnsiTheme="majorHAnsi" w:cstheme="majorHAnsi"/>
        </w:rPr>
        <w:t xml:space="preserve"> </w:t>
      </w:r>
      <w:r w:rsidR="00132DDE">
        <w:rPr>
          <w:rFonts w:asciiTheme="majorHAnsi" w:hAnsiTheme="majorHAnsi" w:cstheme="majorHAnsi"/>
        </w:rPr>
        <w:t xml:space="preserve">the </w:t>
      </w:r>
      <w:r w:rsidR="001B0AED" w:rsidRPr="002A53E6">
        <w:rPr>
          <w:rFonts w:asciiTheme="majorHAnsi" w:hAnsiTheme="majorHAnsi" w:cstheme="majorHAnsi"/>
        </w:rPr>
        <w:t>tools ha</w:t>
      </w:r>
      <w:r w:rsidR="00FF4B2C">
        <w:rPr>
          <w:rFonts w:asciiTheme="majorHAnsi" w:hAnsiTheme="majorHAnsi" w:cstheme="majorHAnsi"/>
        </w:rPr>
        <w:t>d</w:t>
      </w:r>
      <w:r w:rsidR="001B0AED" w:rsidRPr="002A53E6">
        <w:rPr>
          <w:rFonts w:asciiTheme="majorHAnsi" w:hAnsiTheme="majorHAnsi" w:cstheme="majorHAnsi"/>
        </w:rPr>
        <w:t xml:space="preserve"> identifiable </w:t>
      </w:r>
      <w:r w:rsidR="001B0AED" w:rsidRPr="000A5EB0">
        <w:rPr>
          <w:rFonts w:asciiTheme="majorHAnsi" w:hAnsiTheme="majorHAnsi" w:cstheme="majorHAnsi"/>
          <w:i/>
          <w:iCs/>
        </w:rPr>
        <w:t>substantive</w:t>
      </w:r>
      <w:r w:rsidR="001B0AED" w:rsidRPr="002A53E6">
        <w:rPr>
          <w:rFonts w:asciiTheme="majorHAnsi" w:hAnsiTheme="majorHAnsi" w:cstheme="majorHAnsi"/>
        </w:rPr>
        <w:t xml:space="preserve"> effects</w:t>
      </w:r>
      <w:r w:rsidR="00132DDE">
        <w:rPr>
          <w:rFonts w:asciiTheme="majorHAnsi" w:hAnsiTheme="majorHAnsi" w:cstheme="majorHAnsi"/>
        </w:rPr>
        <w:t xml:space="preserve"> </w:t>
      </w:r>
      <w:r w:rsidR="00FF4B2C">
        <w:rPr>
          <w:rFonts w:asciiTheme="majorHAnsi" w:hAnsiTheme="majorHAnsi" w:cstheme="majorHAnsi"/>
        </w:rPr>
        <w:t>wa</w:t>
      </w:r>
      <w:r w:rsidR="00132DDE">
        <w:rPr>
          <w:rFonts w:asciiTheme="majorHAnsi" w:hAnsiTheme="majorHAnsi" w:cstheme="majorHAnsi"/>
        </w:rPr>
        <w:t>s less clear</w:t>
      </w:r>
      <w:r w:rsidR="001B0AED" w:rsidRPr="002A53E6">
        <w:rPr>
          <w:rFonts w:asciiTheme="majorHAnsi" w:hAnsiTheme="majorHAnsi" w:cstheme="majorHAnsi"/>
        </w:rPr>
        <w:t>.</w:t>
      </w:r>
      <w:r w:rsidR="00132DDE">
        <w:rPr>
          <w:rFonts w:asciiTheme="majorHAnsi" w:hAnsiTheme="majorHAnsi" w:cstheme="majorHAnsi"/>
        </w:rPr>
        <w:t xml:space="preserve"> We </w:t>
      </w:r>
      <w:r w:rsidR="001B0AED" w:rsidRPr="002A53E6">
        <w:rPr>
          <w:rFonts w:asciiTheme="majorHAnsi" w:hAnsiTheme="majorHAnsi" w:cstheme="majorHAnsi"/>
        </w:rPr>
        <w:t xml:space="preserve">identified only two regulatory outputs </w:t>
      </w:r>
      <w:r w:rsidR="00290B34">
        <w:rPr>
          <w:rFonts w:asciiTheme="majorHAnsi" w:hAnsiTheme="majorHAnsi" w:cstheme="majorHAnsi"/>
        </w:rPr>
        <w:t xml:space="preserve">during the period studied </w:t>
      </w:r>
      <w:r w:rsidR="001B0AED" w:rsidRPr="002A53E6">
        <w:rPr>
          <w:rFonts w:asciiTheme="majorHAnsi" w:hAnsiTheme="majorHAnsi" w:cstheme="majorHAnsi"/>
        </w:rPr>
        <w:t xml:space="preserve">which </w:t>
      </w:r>
      <w:r w:rsidR="00FF4B2C">
        <w:rPr>
          <w:rFonts w:asciiTheme="majorHAnsi" w:hAnsiTheme="majorHAnsi" w:cstheme="majorHAnsi"/>
        </w:rPr>
        <w:t>indicated</w:t>
      </w:r>
      <w:r w:rsidR="001B0AED" w:rsidRPr="002A53E6">
        <w:rPr>
          <w:rFonts w:asciiTheme="majorHAnsi" w:hAnsiTheme="majorHAnsi" w:cstheme="majorHAnsi"/>
        </w:rPr>
        <w:t xml:space="preserve"> potential substantive effects: </w:t>
      </w:r>
      <w:r w:rsidR="00FF4B2C">
        <w:rPr>
          <w:rFonts w:asciiTheme="majorHAnsi" w:hAnsiTheme="majorHAnsi" w:cstheme="majorHAnsi"/>
        </w:rPr>
        <w:t>a</w:t>
      </w:r>
      <w:r w:rsidR="001B0AED" w:rsidRPr="002A53E6">
        <w:rPr>
          <w:rFonts w:asciiTheme="majorHAnsi" w:hAnsiTheme="majorHAnsi" w:cstheme="majorHAnsi"/>
        </w:rPr>
        <w:t xml:space="preserve"> change </w:t>
      </w:r>
      <w:r w:rsidR="009911C4">
        <w:rPr>
          <w:rFonts w:asciiTheme="majorHAnsi" w:hAnsiTheme="majorHAnsi" w:cstheme="majorHAnsi"/>
        </w:rPr>
        <w:t>from</w:t>
      </w:r>
      <w:r w:rsidR="001B0AED" w:rsidRPr="002A53E6">
        <w:rPr>
          <w:rFonts w:asciiTheme="majorHAnsi" w:hAnsiTheme="majorHAnsi" w:cstheme="majorHAnsi"/>
        </w:rPr>
        <w:t xml:space="preserve"> considering consumers as irrational, based on insight from behavioural economics; and the change to consider adopting a more universal definition of </w:t>
      </w:r>
      <w:r w:rsidR="00FF4B2C">
        <w:rPr>
          <w:rFonts w:asciiTheme="majorHAnsi" w:hAnsiTheme="majorHAnsi" w:cstheme="majorHAnsi"/>
        </w:rPr>
        <w:t>‘</w:t>
      </w:r>
      <w:r w:rsidR="001B0AED" w:rsidRPr="002A53E6">
        <w:rPr>
          <w:rFonts w:asciiTheme="majorHAnsi" w:hAnsiTheme="majorHAnsi" w:cstheme="majorHAnsi"/>
        </w:rPr>
        <w:t>vulnerable consumer</w:t>
      </w:r>
      <w:r w:rsidR="00FF4B2C">
        <w:rPr>
          <w:rFonts w:asciiTheme="majorHAnsi" w:hAnsiTheme="majorHAnsi" w:cstheme="majorHAnsi"/>
        </w:rPr>
        <w:t>’</w:t>
      </w:r>
      <w:r w:rsidR="00933A20">
        <w:rPr>
          <w:rFonts w:asciiTheme="majorHAnsi" w:hAnsiTheme="majorHAnsi" w:cstheme="majorHAnsi"/>
        </w:rPr>
        <w:t xml:space="preserve"> (Ofgem, 2012</w:t>
      </w:r>
      <w:r w:rsidR="002A45F3">
        <w:rPr>
          <w:rFonts w:asciiTheme="majorHAnsi" w:hAnsiTheme="majorHAnsi" w:cstheme="majorHAnsi"/>
        </w:rPr>
        <w:t>d</w:t>
      </w:r>
      <w:r w:rsidR="00933A20">
        <w:rPr>
          <w:rFonts w:asciiTheme="majorHAnsi" w:hAnsiTheme="majorHAnsi" w:cstheme="majorHAnsi"/>
        </w:rPr>
        <w:t>; 2013c)</w:t>
      </w:r>
      <w:r w:rsidR="001B0AED" w:rsidRPr="002A53E6">
        <w:rPr>
          <w:rFonts w:asciiTheme="majorHAnsi" w:hAnsiTheme="majorHAnsi" w:cstheme="majorHAnsi"/>
        </w:rPr>
        <w:t xml:space="preserve">. Both these </w:t>
      </w:r>
      <w:r w:rsidR="00FF4B2C">
        <w:rPr>
          <w:rFonts w:asciiTheme="majorHAnsi" w:hAnsiTheme="majorHAnsi" w:cstheme="majorHAnsi"/>
        </w:rPr>
        <w:t xml:space="preserve">cases were informed by </w:t>
      </w:r>
      <w:r w:rsidR="001B0AED" w:rsidRPr="002A53E6">
        <w:rPr>
          <w:rFonts w:asciiTheme="majorHAnsi" w:hAnsiTheme="majorHAnsi" w:cstheme="majorHAnsi"/>
        </w:rPr>
        <w:t>a combination of deliberative focus groups and stakeholder consultations</w:t>
      </w:r>
      <w:r w:rsidR="00933A20">
        <w:rPr>
          <w:rFonts w:asciiTheme="majorHAnsi" w:hAnsiTheme="majorHAnsi" w:cstheme="majorHAnsi"/>
        </w:rPr>
        <w:t xml:space="preserve"> (Ofgem, 2013c; 2013</w:t>
      </w:r>
      <w:r w:rsidR="00D1149D">
        <w:rPr>
          <w:rFonts w:asciiTheme="majorHAnsi" w:hAnsiTheme="majorHAnsi" w:cstheme="majorHAnsi"/>
        </w:rPr>
        <w:t>e</w:t>
      </w:r>
      <w:r w:rsidR="00933A20">
        <w:rPr>
          <w:rFonts w:asciiTheme="majorHAnsi" w:hAnsiTheme="majorHAnsi" w:cstheme="majorHAnsi"/>
        </w:rPr>
        <w:t>)</w:t>
      </w:r>
      <w:r w:rsidR="001B0AED" w:rsidRPr="002A53E6">
        <w:rPr>
          <w:rFonts w:asciiTheme="majorHAnsi" w:hAnsiTheme="majorHAnsi" w:cstheme="majorHAnsi"/>
        </w:rPr>
        <w:t xml:space="preserve">. Each of these new ways of understanding consumers led </w:t>
      </w:r>
      <w:r w:rsidR="00393469">
        <w:rPr>
          <w:rFonts w:asciiTheme="majorHAnsi" w:hAnsiTheme="majorHAnsi" w:cstheme="majorHAnsi"/>
        </w:rPr>
        <w:t xml:space="preserve">(procedural effect) </w:t>
      </w:r>
      <w:r w:rsidR="001B0AED" w:rsidRPr="002A53E6">
        <w:rPr>
          <w:rFonts w:asciiTheme="majorHAnsi" w:hAnsiTheme="majorHAnsi" w:cstheme="majorHAnsi"/>
        </w:rPr>
        <w:t xml:space="preserve">to adapted indicators to measure the outcome of regulatory decisions </w:t>
      </w:r>
      <w:r w:rsidR="00933A20">
        <w:rPr>
          <w:rFonts w:asciiTheme="majorHAnsi" w:hAnsiTheme="majorHAnsi" w:cstheme="majorHAnsi"/>
        </w:rPr>
        <w:t>(Ofgem, 2015</w:t>
      </w:r>
      <w:r w:rsidR="00AA0F99">
        <w:rPr>
          <w:rFonts w:asciiTheme="majorHAnsi" w:hAnsiTheme="majorHAnsi" w:cstheme="majorHAnsi"/>
        </w:rPr>
        <w:t>d</w:t>
      </w:r>
      <w:r w:rsidR="00933A20">
        <w:rPr>
          <w:rFonts w:asciiTheme="majorHAnsi" w:hAnsiTheme="majorHAnsi" w:cstheme="majorHAnsi"/>
        </w:rPr>
        <w:t>; 2015</w:t>
      </w:r>
      <w:r w:rsidR="00AA0F99">
        <w:rPr>
          <w:rFonts w:asciiTheme="majorHAnsi" w:hAnsiTheme="majorHAnsi" w:cstheme="majorHAnsi"/>
        </w:rPr>
        <w:t>e</w:t>
      </w:r>
      <w:r w:rsidR="00933A20">
        <w:rPr>
          <w:rFonts w:asciiTheme="majorHAnsi" w:hAnsiTheme="majorHAnsi" w:cstheme="majorHAnsi"/>
        </w:rPr>
        <w:t>)</w:t>
      </w:r>
      <w:r w:rsidR="001B0AED" w:rsidRPr="002A53E6">
        <w:rPr>
          <w:rFonts w:asciiTheme="majorHAnsi" w:hAnsiTheme="majorHAnsi" w:cstheme="majorHAnsi"/>
        </w:rPr>
        <w:t>.</w:t>
      </w:r>
    </w:p>
    <w:p w14:paraId="683802E0" w14:textId="32A10F59" w:rsidR="00D12760" w:rsidRDefault="00393469" w:rsidP="00F35AC1">
      <w:pPr>
        <w:ind w:firstLine="720"/>
        <w:rPr>
          <w:rFonts w:asciiTheme="majorHAnsi" w:hAnsiTheme="majorHAnsi" w:cstheme="majorHAnsi"/>
        </w:rPr>
      </w:pPr>
      <w:r>
        <w:rPr>
          <w:rFonts w:asciiTheme="majorHAnsi" w:hAnsiTheme="majorHAnsi" w:cstheme="majorHAnsi"/>
        </w:rPr>
        <w:lastRenderedPageBreak/>
        <w:t xml:space="preserve">In the first case, </w:t>
      </w:r>
      <w:r w:rsidR="001B0AED" w:rsidRPr="002A53E6">
        <w:rPr>
          <w:rFonts w:asciiTheme="majorHAnsi" w:hAnsiTheme="majorHAnsi" w:cstheme="majorHAnsi"/>
        </w:rPr>
        <w:t xml:space="preserve">there was a substantive effect in terms of knowing consumers, </w:t>
      </w:r>
      <w:r>
        <w:rPr>
          <w:rFonts w:asciiTheme="majorHAnsi" w:hAnsiTheme="majorHAnsi" w:cstheme="majorHAnsi"/>
        </w:rPr>
        <w:t xml:space="preserve">which appeared in a new </w:t>
      </w:r>
      <w:r w:rsidR="001B0AED" w:rsidRPr="002A53E6">
        <w:rPr>
          <w:rFonts w:asciiTheme="majorHAnsi" w:hAnsiTheme="majorHAnsi" w:cstheme="majorHAnsi"/>
        </w:rPr>
        <w:t>regulatory policy output</w:t>
      </w:r>
      <w:r w:rsidR="00D12760">
        <w:rPr>
          <w:rFonts w:asciiTheme="majorHAnsi" w:hAnsiTheme="majorHAnsi" w:cstheme="majorHAnsi"/>
        </w:rPr>
        <w:t xml:space="preserve"> – the implementation of the Retail Market Review</w:t>
      </w:r>
      <w:r w:rsidR="005F750C">
        <w:rPr>
          <w:rFonts w:asciiTheme="majorHAnsi" w:hAnsiTheme="majorHAnsi" w:cstheme="majorHAnsi"/>
        </w:rPr>
        <w:t xml:space="preserve"> (Ofgem, 2013</w:t>
      </w:r>
      <w:r w:rsidR="00D1149D">
        <w:rPr>
          <w:rFonts w:asciiTheme="majorHAnsi" w:hAnsiTheme="majorHAnsi" w:cstheme="majorHAnsi"/>
        </w:rPr>
        <w:t>e</w:t>
      </w:r>
      <w:r w:rsidR="005F750C">
        <w:rPr>
          <w:rFonts w:asciiTheme="majorHAnsi" w:hAnsiTheme="majorHAnsi" w:cstheme="majorHAnsi"/>
        </w:rPr>
        <w:t>)</w:t>
      </w:r>
      <w:r>
        <w:rPr>
          <w:rFonts w:asciiTheme="majorHAnsi" w:hAnsiTheme="majorHAnsi" w:cstheme="majorHAnsi"/>
        </w:rPr>
        <w:t xml:space="preserve">. However, this output was </w:t>
      </w:r>
      <w:r w:rsidR="001B0AED" w:rsidRPr="002A53E6">
        <w:rPr>
          <w:rFonts w:asciiTheme="majorHAnsi" w:hAnsiTheme="majorHAnsi" w:cstheme="majorHAnsi"/>
        </w:rPr>
        <w:t>short</w:t>
      </w:r>
      <w:r w:rsidR="009C4298">
        <w:rPr>
          <w:rFonts w:asciiTheme="majorHAnsi" w:hAnsiTheme="majorHAnsi" w:cstheme="majorHAnsi"/>
        </w:rPr>
        <w:t>-</w:t>
      </w:r>
      <w:r w:rsidR="001B0AED" w:rsidRPr="002A53E6">
        <w:rPr>
          <w:rFonts w:asciiTheme="majorHAnsi" w:hAnsiTheme="majorHAnsi" w:cstheme="majorHAnsi"/>
        </w:rPr>
        <w:t xml:space="preserve">lived. </w:t>
      </w:r>
      <w:r w:rsidR="009C4298">
        <w:rPr>
          <w:rFonts w:asciiTheme="majorHAnsi" w:hAnsiTheme="majorHAnsi" w:cstheme="majorHAnsi"/>
        </w:rPr>
        <w:t>A subsequent Competition and Markets Authority (CMA)</w:t>
      </w:r>
      <w:r w:rsidR="001B0AED" w:rsidRPr="002A53E6">
        <w:rPr>
          <w:rFonts w:asciiTheme="majorHAnsi" w:hAnsiTheme="majorHAnsi" w:cstheme="majorHAnsi"/>
        </w:rPr>
        <w:t xml:space="preserve"> Energy Market Investigation overturned the Retail Market Review implementation, arguing that it had an adverse effect on competition</w:t>
      </w:r>
      <w:r w:rsidR="00933A20">
        <w:rPr>
          <w:rFonts w:asciiTheme="majorHAnsi" w:hAnsiTheme="majorHAnsi" w:cstheme="majorHAnsi"/>
        </w:rPr>
        <w:t xml:space="preserve"> (Competition and Markets Authority, 2016; Ofgem, 2016a)</w:t>
      </w:r>
      <w:r w:rsidR="001B0AED" w:rsidRPr="002A53E6">
        <w:rPr>
          <w:rFonts w:asciiTheme="majorHAnsi" w:hAnsiTheme="majorHAnsi" w:cstheme="majorHAnsi"/>
        </w:rPr>
        <w:t xml:space="preserve">. </w:t>
      </w:r>
    </w:p>
    <w:p w14:paraId="785329EE" w14:textId="2BF80D43" w:rsidR="001B0AED" w:rsidRPr="002A53E6" w:rsidRDefault="00393469" w:rsidP="00F35AC1">
      <w:pPr>
        <w:ind w:firstLine="720"/>
        <w:rPr>
          <w:rFonts w:asciiTheme="majorHAnsi" w:hAnsiTheme="majorHAnsi" w:cstheme="majorHAnsi"/>
        </w:rPr>
      </w:pPr>
      <w:r>
        <w:rPr>
          <w:rFonts w:asciiTheme="majorHAnsi" w:hAnsiTheme="majorHAnsi" w:cstheme="majorHAnsi"/>
        </w:rPr>
        <w:t xml:space="preserve">In the second case, </w:t>
      </w:r>
      <w:r w:rsidR="00DC6A5B">
        <w:rPr>
          <w:rFonts w:asciiTheme="majorHAnsi" w:hAnsiTheme="majorHAnsi" w:cstheme="majorHAnsi"/>
        </w:rPr>
        <w:t xml:space="preserve">while the new definition appeared in the </w:t>
      </w:r>
      <w:r w:rsidR="00DC6A5B" w:rsidRPr="002A53E6">
        <w:rPr>
          <w:rFonts w:asciiTheme="majorHAnsi" w:hAnsiTheme="majorHAnsi" w:cstheme="majorHAnsi"/>
        </w:rPr>
        <w:t xml:space="preserve">Consumer </w:t>
      </w:r>
      <w:r w:rsidR="00752AF8">
        <w:rPr>
          <w:rFonts w:asciiTheme="majorHAnsi" w:hAnsiTheme="majorHAnsi" w:cstheme="majorHAnsi"/>
        </w:rPr>
        <w:t xml:space="preserve">Vulnerability </w:t>
      </w:r>
      <w:r w:rsidR="00DC6A5B" w:rsidRPr="002A53E6">
        <w:rPr>
          <w:rFonts w:asciiTheme="majorHAnsi" w:hAnsiTheme="majorHAnsi" w:cstheme="majorHAnsi"/>
        </w:rPr>
        <w:t>Strategy</w:t>
      </w:r>
      <w:r w:rsidR="00933A20">
        <w:rPr>
          <w:rFonts w:asciiTheme="majorHAnsi" w:hAnsiTheme="majorHAnsi" w:cstheme="majorHAnsi"/>
        </w:rPr>
        <w:t xml:space="preserve"> (Ofgem, 2013c)</w:t>
      </w:r>
      <w:r w:rsidR="00DC6A5B">
        <w:rPr>
          <w:rFonts w:asciiTheme="majorHAnsi" w:hAnsiTheme="majorHAnsi" w:cstheme="majorHAnsi"/>
        </w:rPr>
        <w:t xml:space="preserve">, </w:t>
      </w:r>
      <w:r>
        <w:rPr>
          <w:rFonts w:asciiTheme="majorHAnsi" w:hAnsiTheme="majorHAnsi" w:cstheme="majorHAnsi"/>
        </w:rPr>
        <w:t>it wa</w:t>
      </w:r>
      <w:r w:rsidR="001B0AED" w:rsidRPr="002A53E6">
        <w:rPr>
          <w:rFonts w:asciiTheme="majorHAnsi" w:hAnsiTheme="majorHAnsi" w:cstheme="majorHAnsi"/>
        </w:rPr>
        <w:t>s less clear whether th</w:t>
      </w:r>
      <w:r w:rsidR="00DC6A5B">
        <w:rPr>
          <w:rFonts w:asciiTheme="majorHAnsi" w:hAnsiTheme="majorHAnsi" w:cstheme="majorHAnsi"/>
        </w:rPr>
        <w:t xml:space="preserve">is had </w:t>
      </w:r>
      <w:r w:rsidR="001B0AED" w:rsidRPr="002A53E6">
        <w:rPr>
          <w:rFonts w:asciiTheme="majorHAnsi" w:hAnsiTheme="majorHAnsi" w:cstheme="majorHAnsi"/>
        </w:rPr>
        <w:t xml:space="preserve">a substantive effect. </w:t>
      </w:r>
      <w:r w:rsidR="00C821FC" w:rsidRPr="002A53E6">
        <w:rPr>
          <w:rFonts w:asciiTheme="majorHAnsi" w:hAnsiTheme="majorHAnsi" w:cstheme="majorHAnsi"/>
        </w:rPr>
        <w:t>N</w:t>
      </w:r>
      <w:r w:rsidR="001B0AED" w:rsidRPr="002A53E6">
        <w:rPr>
          <w:rFonts w:asciiTheme="majorHAnsi" w:hAnsiTheme="majorHAnsi" w:cstheme="majorHAnsi"/>
        </w:rPr>
        <w:t>o new rules that impacted energy supply markets were introduced as a result of th</w:t>
      </w:r>
      <w:r w:rsidR="00B87880">
        <w:rPr>
          <w:rFonts w:asciiTheme="majorHAnsi" w:hAnsiTheme="majorHAnsi" w:cstheme="majorHAnsi"/>
        </w:rPr>
        <w:t>is</w:t>
      </w:r>
      <w:r w:rsidR="001B0AED" w:rsidRPr="002A53E6">
        <w:rPr>
          <w:rFonts w:asciiTheme="majorHAnsi" w:hAnsiTheme="majorHAnsi" w:cstheme="majorHAnsi"/>
        </w:rPr>
        <w:t xml:space="preserve"> Consumer </w:t>
      </w:r>
      <w:r w:rsidR="00E96B6B">
        <w:rPr>
          <w:rFonts w:asciiTheme="majorHAnsi" w:hAnsiTheme="majorHAnsi" w:cstheme="majorHAnsi"/>
        </w:rPr>
        <w:t xml:space="preserve">Vulnerability </w:t>
      </w:r>
      <w:r w:rsidR="001B0AED" w:rsidRPr="002A53E6">
        <w:rPr>
          <w:rFonts w:asciiTheme="majorHAnsi" w:hAnsiTheme="majorHAnsi" w:cstheme="majorHAnsi"/>
        </w:rPr>
        <w:t>Strategy</w:t>
      </w:r>
      <w:r w:rsidR="00C832C1">
        <w:rPr>
          <w:rFonts w:asciiTheme="majorHAnsi" w:hAnsiTheme="majorHAnsi" w:cstheme="majorHAnsi"/>
        </w:rPr>
        <w:t xml:space="preserve"> in the period studied</w:t>
      </w:r>
      <w:r w:rsidR="006C6496">
        <w:rPr>
          <w:rFonts w:asciiTheme="majorHAnsi" w:hAnsiTheme="majorHAnsi" w:cstheme="majorHAnsi"/>
        </w:rPr>
        <w:t>. But</w:t>
      </w:r>
      <w:r w:rsidR="001B0AED" w:rsidRPr="002A53E6">
        <w:rPr>
          <w:rFonts w:asciiTheme="majorHAnsi" w:hAnsiTheme="majorHAnsi" w:cstheme="majorHAnsi"/>
        </w:rPr>
        <w:t xml:space="preserve"> the new definition </w:t>
      </w:r>
      <w:r w:rsidR="001B0AED" w:rsidRPr="006C6496">
        <w:rPr>
          <w:rFonts w:asciiTheme="majorHAnsi" w:hAnsiTheme="majorHAnsi" w:cstheme="majorHAnsi"/>
          <w:i/>
          <w:iCs/>
        </w:rPr>
        <w:t>was</w:t>
      </w:r>
      <w:r w:rsidR="001B0AED" w:rsidRPr="002A53E6">
        <w:rPr>
          <w:rFonts w:asciiTheme="majorHAnsi" w:hAnsiTheme="majorHAnsi" w:cstheme="majorHAnsi"/>
        </w:rPr>
        <w:t xml:space="preserve"> cited as part of the background </w:t>
      </w:r>
      <w:r w:rsidR="006C6496">
        <w:rPr>
          <w:rFonts w:asciiTheme="majorHAnsi" w:hAnsiTheme="majorHAnsi" w:cstheme="majorHAnsi"/>
        </w:rPr>
        <w:t>to</w:t>
      </w:r>
      <w:r w:rsidR="001B0AED" w:rsidRPr="002A53E6">
        <w:rPr>
          <w:rFonts w:asciiTheme="majorHAnsi" w:hAnsiTheme="majorHAnsi" w:cstheme="majorHAnsi"/>
        </w:rPr>
        <w:t xml:space="preserve"> the regulatory output regarding </w:t>
      </w:r>
      <w:r w:rsidR="006C6496">
        <w:rPr>
          <w:rFonts w:asciiTheme="majorHAnsi" w:hAnsiTheme="majorHAnsi" w:cstheme="majorHAnsi"/>
        </w:rPr>
        <w:t>Pre-Payment Meter (</w:t>
      </w:r>
      <w:r w:rsidR="001B0AED" w:rsidRPr="002A53E6">
        <w:rPr>
          <w:rFonts w:asciiTheme="majorHAnsi" w:hAnsiTheme="majorHAnsi" w:cstheme="majorHAnsi"/>
        </w:rPr>
        <w:t>PPM</w:t>
      </w:r>
      <w:r w:rsidR="006C6496">
        <w:rPr>
          <w:rFonts w:asciiTheme="majorHAnsi" w:hAnsiTheme="majorHAnsi" w:cstheme="majorHAnsi"/>
        </w:rPr>
        <w:t>)</w:t>
      </w:r>
      <w:r w:rsidR="001B0AED" w:rsidRPr="002A53E6">
        <w:rPr>
          <w:rFonts w:asciiTheme="majorHAnsi" w:hAnsiTheme="majorHAnsi" w:cstheme="majorHAnsi"/>
        </w:rPr>
        <w:t xml:space="preserve"> installations</w:t>
      </w:r>
      <w:r w:rsidR="00933A20">
        <w:rPr>
          <w:rFonts w:asciiTheme="majorHAnsi" w:hAnsiTheme="majorHAnsi" w:cstheme="majorHAnsi"/>
        </w:rPr>
        <w:t xml:space="preserve"> (Ofgem, 2016</w:t>
      </w:r>
      <w:r w:rsidR="00F07C83">
        <w:rPr>
          <w:rFonts w:asciiTheme="majorHAnsi" w:hAnsiTheme="majorHAnsi" w:cstheme="majorHAnsi"/>
        </w:rPr>
        <w:t>b</w:t>
      </w:r>
      <w:r w:rsidR="00933A20">
        <w:rPr>
          <w:rFonts w:asciiTheme="majorHAnsi" w:hAnsiTheme="majorHAnsi" w:cstheme="majorHAnsi"/>
        </w:rPr>
        <w:t>)</w:t>
      </w:r>
      <w:r w:rsidR="001B0AED" w:rsidRPr="002A53E6">
        <w:rPr>
          <w:rFonts w:asciiTheme="majorHAnsi" w:hAnsiTheme="majorHAnsi" w:cstheme="majorHAnsi"/>
        </w:rPr>
        <w:t>, though not in the implementation of the new rules</w:t>
      </w:r>
      <w:r w:rsidR="00933A20">
        <w:rPr>
          <w:rFonts w:asciiTheme="majorHAnsi" w:hAnsiTheme="majorHAnsi" w:cstheme="majorHAnsi"/>
        </w:rPr>
        <w:t xml:space="preserve"> (Ofgem, 2016</w:t>
      </w:r>
      <w:r w:rsidR="00F07C83">
        <w:rPr>
          <w:rFonts w:asciiTheme="majorHAnsi" w:hAnsiTheme="majorHAnsi" w:cstheme="majorHAnsi"/>
        </w:rPr>
        <w:t>c</w:t>
      </w:r>
      <w:r w:rsidR="00933A20">
        <w:rPr>
          <w:rFonts w:asciiTheme="majorHAnsi" w:hAnsiTheme="majorHAnsi" w:cstheme="majorHAnsi"/>
        </w:rPr>
        <w:t>)</w:t>
      </w:r>
      <w:r w:rsidR="001B0AED" w:rsidRPr="002A53E6">
        <w:rPr>
          <w:rFonts w:asciiTheme="majorHAnsi" w:hAnsiTheme="majorHAnsi" w:cstheme="majorHAnsi"/>
        </w:rPr>
        <w:t xml:space="preserve">. </w:t>
      </w:r>
      <w:r w:rsidR="006C6496">
        <w:rPr>
          <w:rFonts w:asciiTheme="majorHAnsi" w:hAnsiTheme="majorHAnsi" w:cstheme="majorHAnsi"/>
        </w:rPr>
        <w:t>The new</w:t>
      </w:r>
      <w:r w:rsidR="001B0AED" w:rsidRPr="002A53E6">
        <w:rPr>
          <w:rFonts w:asciiTheme="majorHAnsi" w:hAnsiTheme="majorHAnsi" w:cstheme="majorHAnsi"/>
        </w:rPr>
        <w:t xml:space="preserve"> definition was </w:t>
      </w:r>
      <w:r w:rsidR="006C6496">
        <w:rPr>
          <w:rFonts w:asciiTheme="majorHAnsi" w:hAnsiTheme="majorHAnsi" w:cstheme="majorHAnsi"/>
        </w:rPr>
        <w:t xml:space="preserve">also </w:t>
      </w:r>
      <w:r w:rsidR="001B0AED" w:rsidRPr="002A53E6">
        <w:rPr>
          <w:rFonts w:asciiTheme="majorHAnsi" w:hAnsiTheme="majorHAnsi" w:cstheme="majorHAnsi"/>
        </w:rPr>
        <w:t>included</w:t>
      </w:r>
      <w:r w:rsidR="006C6496">
        <w:rPr>
          <w:rFonts w:asciiTheme="majorHAnsi" w:hAnsiTheme="majorHAnsi" w:cstheme="majorHAnsi"/>
        </w:rPr>
        <w:t xml:space="preserve">, </w:t>
      </w:r>
      <w:r w:rsidR="006C6496" w:rsidRPr="002A53E6">
        <w:rPr>
          <w:rFonts w:asciiTheme="majorHAnsi" w:hAnsiTheme="majorHAnsi" w:cstheme="majorHAnsi"/>
        </w:rPr>
        <w:t>endorsed by Ofgem</w:t>
      </w:r>
      <w:r w:rsidR="006C6496">
        <w:rPr>
          <w:rFonts w:asciiTheme="majorHAnsi" w:hAnsiTheme="majorHAnsi" w:cstheme="majorHAnsi"/>
        </w:rPr>
        <w:t>,</w:t>
      </w:r>
      <w:r w:rsidR="001B0AED" w:rsidRPr="002A53E6">
        <w:rPr>
          <w:rFonts w:asciiTheme="majorHAnsi" w:hAnsiTheme="majorHAnsi" w:cstheme="majorHAnsi"/>
        </w:rPr>
        <w:t xml:space="preserve"> in the voluntary code introduced by </w:t>
      </w:r>
      <w:r w:rsidR="006C6496">
        <w:rPr>
          <w:rFonts w:asciiTheme="majorHAnsi" w:hAnsiTheme="majorHAnsi" w:cstheme="majorHAnsi"/>
        </w:rPr>
        <w:t xml:space="preserve">Energy UK, </w:t>
      </w:r>
      <w:r w:rsidR="001B0AED" w:rsidRPr="002A53E6">
        <w:rPr>
          <w:rFonts w:asciiTheme="majorHAnsi" w:hAnsiTheme="majorHAnsi" w:cstheme="majorHAnsi"/>
        </w:rPr>
        <w:t>the</w:t>
      </w:r>
      <w:r w:rsidR="006C6496">
        <w:rPr>
          <w:rFonts w:asciiTheme="majorHAnsi" w:hAnsiTheme="majorHAnsi" w:cstheme="majorHAnsi"/>
        </w:rPr>
        <w:t xml:space="preserve"> trade association for the</w:t>
      </w:r>
      <w:r w:rsidR="001B0AED" w:rsidRPr="002A53E6">
        <w:rPr>
          <w:rFonts w:asciiTheme="majorHAnsi" w:hAnsiTheme="majorHAnsi" w:cstheme="majorHAnsi"/>
        </w:rPr>
        <w:t xml:space="preserve"> energy industry</w:t>
      </w:r>
      <w:r w:rsidR="00933A20">
        <w:rPr>
          <w:rFonts w:asciiTheme="majorHAnsi" w:hAnsiTheme="majorHAnsi" w:cstheme="majorHAnsi"/>
        </w:rPr>
        <w:t xml:space="preserve"> (Energy UK, 2016)</w:t>
      </w:r>
      <w:r w:rsidR="001B0AED" w:rsidRPr="002A53E6">
        <w:rPr>
          <w:rFonts w:asciiTheme="majorHAnsi" w:hAnsiTheme="majorHAnsi" w:cstheme="majorHAnsi"/>
        </w:rPr>
        <w:t xml:space="preserve">. </w:t>
      </w:r>
      <w:r w:rsidR="00B96C38">
        <w:rPr>
          <w:rFonts w:asciiTheme="majorHAnsi" w:hAnsiTheme="majorHAnsi" w:cstheme="majorHAnsi"/>
        </w:rPr>
        <w:t>There was therefore</w:t>
      </w:r>
      <w:r w:rsidR="001B0AED" w:rsidRPr="002A53E6">
        <w:rPr>
          <w:rFonts w:asciiTheme="majorHAnsi" w:hAnsiTheme="majorHAnsi" w:cstheme="majorHAnsi"/>
        </w:rPr>
        <w:t xml:space="preserve"> a substantive effect in a</w:t>
      </w:r>
      <w:r w:rsidR="00B96C38">
        <w:rPr>
          <w:rFonts w:asciiTheme="majorHAnsi" w:hAnsiTheme="majorHAnsi" w:cstheme="majorHAnsi"/>
        </w:rPr>
        <w:t xml:space="preserve"> different</w:t>
      </w:r>
      <w:r w:rsidR="001B0AED" w:rsidRPr="002A53E6">
        <w:rPr>
          <w:rFonts w:asciiTheme="majorHAnsi" w:hAnsiTheme="majorHAnsi" w:cstheme="majorHAnsi"/>
        </w:rPr>
        <w:t xml:space="preserve"> venue of policy formulation, which had the possibility of impacting energy supply firm behaviour. </w:t>
      </w:r>
      <w:r w:rsidR="00B96C38">
        <w:rPr>
          <w:rFonts w:asciiTheme="majorHAnsi" w:hAnsiTheme="majorHAnsi" w:cstheme="majorHAnsi"/>
        </w:rPr>
        <w:t>But i</w:t>
      </w:r>
      <w:r w:rsidR="001B0AED" w:rsidRPr="002A53E6">
        <w:rPr>
          <w:rFonts w:asciiTheme="majorHAnsi" w:hAnsiTheme="majorHAnsi" w:cstheme="majorHAnsi"/>
        </w:rPr>
        <w:t>n the period analysed</w:t>
      </w:r>
      <w:r w:rsidR="00B96C38">
        <w:rPr>
          <w:rFonts w:asciiTheme="majorHAnsi" w:hAnsiTheme="majorHAnsi" w:cstheme="majorHAnsi"/>
        </w:rPr>
        <w:t xml:space="preserve">, the definition </w:t>
      </w:r>
      <w:r w:rsidR="001B0AED" w:rsidRPr="002A53E6">
        <w:rPr>
          <w:rFonts w:asciiTheme="majorHAnsi" w:hAnsiTheme="majorHAnsi" w:cstheme="majorHAnsi"/>
        </w:rPr>
        <w:t xml:space="preserve">did not have substantive effects within Ofgem or play any role in the CMA Energy Market Investigation.  </w:t>
      </w:r>
    </w:p>
    <w:p w14:paraId="34D71509" w14:textId="46778059" w:rsidR="003C270F" w:rsidRDefault="003C270F">
      <w:pPr>
        <w:rPr>
          <w:rFonts w:asciiTheme="majorHAnsi" w:eastAsiaTheme="majorEastAsia" w:hAnsiTheme="majorHAnsi" w:cstheme="majorHAnsi"/>
          <w:b/>
          <w:bCs/>
        </w:rPr>
      </w:pPr>
      <w:bookmarkStart w:id="5" w:name="_Toc30602505"/>
      <w:bookmarkStart w:id="6" w:name="_Toc34747405"/>
      <w:bookmarkEnd w:id="2"/>
      <w:bookmarkEnd w:id="4"/>
    </w:p>
    <w:p w14:paraId="5AF48899" w14:textId="29ED6FB3" w:rsidR="00C821FC" w:rsidRDefault="00F35AC1" w:rsidP="002A53E6">
      <w:pPr>
        <w:pStyle w:val="Heading2"/>
        <w:spacing w:before="0" w:line="240" w:lineRule="auto"/>
        <w:rPr>
          <w:rFonts w:cstheme="majorHAnsi"/>
          <w:b/>
          <w:bCs/>
          <w:color w:val="auto"/>
          <w:sz w:val="24"/>
          <w:szCs w:val="24"/>
        </w:rPr>
      </w:pPr>
      <w:r>
        <w:rPr>
          <w:rFonts w:cstheme="majorHAnsi"/>
          <w:b/>
          <w:bCs/>
          <w:color w:val="auto"/>
          <w:sz w:val="24"/>
          <w:szCs w:val="24"/>
        </w:rPr>
        <w:t>Implications for regulatory legitimacy</w:t>
      </w:r>
      <w:r w:rsidR="001019D1">
        <w:rPr>
          <w:rFonts w:cstheme="majorHAnsi"/>
          <w:b/>
          <w:bCs/>
          <w:color w:val="auto"/>
          <w:sz w:val="24"/>
          <w:szCs w:val="24"/>
        </w:rPr>
        <w:t>, policy formulation tools, and their study</w:t>
      </w:r>
    </w:p>
    <w:p w14:paraId="53C83878" w14:textId="286DB362" w:rsidR="00C04EFA" w:rsidRDefault="00ED0080" w:rsidP="003446F2">
      <w:pPr>
        <w:rPr>
          <w:rFonts w:asciiTheme="majorHAnsi" w:hAnsiTheme="majorHAnsi" w:cstheme="majorHAnsi"/>
        </w:rPr>
      </w:pPr>
      <w:r w:rsidRPr="00F424D1">
        <w:rPr>
          <w:rFonts w:asciiTheme="majorHAnsi" w:hAnsiTheme="majorHAnsi" w:cstheme="majorHAnsi"/>
        </w:rPr>
        <w:t>Participatory tools</w:t>
      </w:r>
      <w:r w:rsidR="003534C4" w:rsidRPr="00F424D1">
        <w:rPr>
          <w:rFonts w:asciiTheme="majorHAnsi" w:hAnsiTheme="majorHAnsi" w:cstheme="majorHAnsi"/>
        </w:rPr>
        <w:t xml:space="preserve"> provided an opportunity for Ofgem to formulate legitimate policies between 2007 and 2016 (</w:t>
      </w:r>
      <w:r w:rsidR="006F343B">
        <w:rPr>
          <w:rFonts w:asciiTheme="majorHAnsi" w:hAnsiTheme="majorHAnsi" w:cstheme="majorHAnsi"/>
        </w:rPr>
        <w:t>Blakelock, 2020</w:t>
      </w:r>
      <w:r w:rsidR="00793A46">
        <w:rPr>
          <w:rFonts w:asciiTheme="majorHAnsi" w:hAnsiTheme="majorHAnsi" w:cstheme="majorHAnsi"/>
        </w:rPr>
        <w:t>;</w:t>
      </w:r>
      <w:r w:rsidR="003534C4" w:rsidRPr="00F424D1">
        <w:rPr>
          <w:rFonts w:asciiTheme="majorHAnsi" w:hAnsiTheme="majorHAnsi" w:cstheme="majorHAnsi"/>
        </w:rPr>
        <w:t xml:space="preserve"> Braun and Busuioc, 2020). </w:t>
      </w:r>
      <w:r w:rsidRPr="00F424D1">
        <w:rPr>
          <w:rFonts w:asciiTheme="majorHAnsi" w:hAnsiTheme="majorHAnsi" w:cstheme="majorHAnsi"/>
        </w:rPr>
        <w:t>Stakeholder consultations</w:t>
      </w:r>
      <w:r w:rsidR="00396724" w:rsidRPr="00F424D1">
        <w:rPr>
          <w:rFonts w:asciiTheme="majorHAnsi" w:hAnsiTheme="majorHAnsi" w:cstheme="majorHAnsi"/>
        </w:rPr>
        <w:t xml:space="preserve"> (Ofgem, 2009</w:t>
      </w:r>
      <w:r w:rsidR="00984895" w:rsidRPr="00F424D1">
        <w:rPr>
          <w:rFonts w:asciiTheme="majorHAnsi" w:hAnsiTheme="majorHAnsi" w:cstheme="majorHAnsi"/>
        </w:rPr>
        <w:t>a</w:t>
      </w:r>
      <w:r w:rsidR="00396724" w:rsidRPr="00F424D1">
        <w:rPr>
          <w:rFonts w:asciiTheme="majorHAnsi" w:hAnsiTheme="majorHAnsi" w:cstheme="majorHAnsi"/>
        </w:rPr>
        <w:t>; 2009</w:t>
      </w:r>
      <w:r w:rsidR="00274D23" w:rsidRPr="00F424D1">
        <w:rPr>
          <w:rFonts w:asciiTheme="majorHAnsi" w:hAnsiTheme="majorHAnsi" w:cstheme="majorHAnsi"/>
        </w:rPr>
        <w:t>d</w:t>
      </w:r>
      <w:r w:rsidR="00396724" w:rsidRPr="00F424D1">
        <w:rPr>
          <w:rFonts w:asciiTheme="majorHAnsi" w:hAnsiTheme="majorHAnsi" w:cstheme="majorHAnsi"/>
        </w:rPr>
        <w:t>)</w:t>
      </w:r>
      <w:r w:rsidRPr="00F424D1">
        <w:rPr>
          <w:rFonts w:asciiTheme="majorHAnsi" w:hAnsiTheme="majorHAnsi" w:cstheme="majorHAnsi"/>
        </w:rPr>
        <w:t xml:space="preserve"> and deliberative focus groups </w:t>
      </w:r>
      <w:r w:rsidR="00396724" w:rsidRPr="00F424D1">
        <w:rPr>
          <w:rFonts w:asciiTheme="majorHAnsi" w:hAnsiTheme="majorHAnsi" w:cstheme="majorHAnsi"/>
        </w:rPr>
        <w:t>(Ofgem, 2010a; 2014</w:t>
      </w:r>
      <w:r w:rsidR="00EA27E0" w:rsidRPr="00F424D1">
        <w:rPr>
          <w:rFonts w:asciiTheme="majorHAnsi" w:hAnsiTheme="majorHAnsi" w:cstheme="majorHAnsi"/>
        </w:rPr>
        <w:t>a</w:t>
      </w:r>
      <w:r w:rsidR="00396724" w:rsidRPr="00F424D1">
        <w:rPr>
          <w:rFonts w:asciiTheme="majorHAnsi" w:hAnsiTheme="majorHAnsi" w:cstheme="majorHAnsi"/>
        </w:rPr>
        <w:t>)</w:t>
      </w:r>
      <w:r w:rsidRPr="00F424D1">
        <w:rPr>
          <w:rFonts w:asciiTheme="majorHAnsi" w:hAnsiTheme="majorHAnsi" w:cstheme="majorHAnsi"/>
        </w:rPr>
        <w:t xml:space="preserve"> provided opportunity for </w:t>
      </w:r>
      <w:r w:rsidR="00913100" w:rsidRPr="00F424D1">
        <w:rPr>
          <w:rFonts w:asciiTheme="majorHAnsi" w:hAnsiTheme="majorHAnsi" w:cstheme="majorHAnsi"/>
        </w:rPr>
        <w:t xml:space="preserve">fair, accessible and open procedures, and inclusion of relevant </w:t>
      </w:r>
      <w:r w:rsidR="003534C4" w:rsidRPr="00F424D1">
        <w:rPr>
          <w:rFonts w:asciiTheme="majorHAnsi" w:hAnsiTheme="majorHAnsi" w:cstheme="majorHAnsi"/>
        </w:rPr>
        <w:t>expertise</w:t>
      </w:r>
      <w:r w:rsidRPr="00F424D1">
        <w:rPr>
          <w:rFonts w:asciiTheme="majorHAnsi" w:hAnsiTheme="majorHAnsi" w:cstheme="majorHAnsi"/>
        </w:rPr>
        <w:t xml:space="preserve"> from beyond the regulator. </w:t>
      </w:r>
      <w:r w:rsidR="003534C4" w:rsidRPr="00F424D1">
        <w:rPr>
          <w:rFonts w:asciiTheme="majorHAnsi" w:hAnsiTheme="majorHAnsi" w:cstheme="majorHAnsi"/>
        </w:rPr>
        <w:t>However,</w:t>
      </w:r>
      <w:r w:rsidR="00950AD8" w:rsidRPr="00F424D1">
        <w:rPr>
          <w:rFonts w:asciiTheme="majorHAnsi" w:hAnsiTheme="majorHAnsi" w:cstheme="majorHAnsi"/>
        </w:rPr>
        <w:t xml:space="preserve"> </w:t>
      </w:r>
      <w:r w:rsidR="00BB2096" w:rsidRPr="00F424D1">
        <w:rPr>
          <w:rFonts w:asciiTheme="majorHAnsi" w:hAnsiTheme="majorHAnsi" w:cstheme="majorHAnsi"/>
        </w:rPr>
        <w:t xml:space="preserve">it is difficult to conclude that the </w:t>
      </w:r>
      <w:r w:rsidR="003534C4" w:rsidRPr="00F424D1">
        <w:rPr>
          <w:rFonts w:asciiTheme="majorHAnsi" w:hAnsiTheme="majorHAnsi" w:cstheme="majorHAnsi"/>
        </w:rPr>
        <w:t xml:space="preserve">goals of participatory tools </w:t>
      </w:r>
      <w:r w:rsidR="00BB2096" w:rsidRPr="00F424D1">
        <w:rPr>
          <w:rFonts w:asciiTheme="majorHAnsi" w:hAnsiTheme="majorHAnsi" w:cstheme="majorHAnsi"/>
        </w:rPr>
        <w:t xml:space="preserve">were fully realised </w:t>
      </w:r>
      <w:r w:rsidR="00991301">
        <w:rPr>
          <w:rFonts w:asciiTheme="majorHAnsi" w:hAnsiTheme="majorHAnsi" w:cstheme="majorHAnsi"/>
        </w:rPr>
        <w:t>in this case</w:t>
      </w:r>
      <w:r w:rsidR="004F52BA" w:rsidRPr="00F424D1">
        <w:rPr>
          <w:rFonts w:asciiTheme="majorHAnsi" w:hAnsiTheme="majorHAnsi" w:cstheme="majorHAnsi"/>
        </w:rPr>
        <w:t>.</w:t>
      </w:r>
      <w:r w:rsidR="00194343">
        <w:rPr>
          <w:rFonts w:asciiTheme="majorHAnsi" w:hAnsiTheme="majorHAnsi" w:cstheme="majorHAnsi"/>
        </w:rPr>
        <w:t xml:space="preserve"> </w:t>
      </w:r>
      <w:r w:rsidR="003534C4" w:rsidRPr="00F424D1">
        <w:rPr>
          <w:rFonts w:asciiTheme="majorHAnsi" w:hAnsiTheme="majorHAnsi" w:cstheme="majorHAnsi"/>
        </w:rPr>
        <w:t xml:space="preserve">Examining actors, venues, capacities and effects of policy formulation tools has revealed significant </w:t>
      </w:r>
      <w:r w:rsidR="00BE5916">
        <w:rPr>
          <w:rFonts w:asciiTheme="majorHAnsi" w:hAnsiTheme="majorHAnsi" w:cstheme="majorHAnsi"/>
        </w:rPr>
        <w:t xml:space="preserve">disjoints between their goals and means, with </w:t>
      </w:r>
      <w:r w:rsidR="003534C4" w:rsidRPr="00F424D1">
        <w:rPr>
          <w:rFonts w:asciiTheme="majorHAnsi" w:hAnsiTheme="majorHAnsi" w:cstheme="majorHAnsi"/>
        </w:rPr>
        <w:t>implications for the two regulatory legitimacy criteria examined</w:t>
      </w:r>
      <w:r w:rsidR="00A011DB">
        <w:rPr>
          <w:rFonts w:asciiTheme="majorHAnsi" w:hAnsiTheme="majorHAnsi" w:cstheme="majorHAnsi"/>
        </w:rPr>
        <w:t xml:space="preserve">. </w:t>
      </w:r>
    </w:p>
    <w:p w14:paraId="5CF58B9E" w14:textId="77777777" w:rsidR="00C04EFA" w:rsidRDefault="00A011DB" w:rsidP="006767C3">
      <w:pPr>
        <w:ind w:firstLine="720"/>
        <w:rPr>
          <w:rFonts w:asciiTheme="majorHAnsi" w:hAnsiTheme="majorHAnsi" w:cstheme="majorHAnsi"/>
        </w:rPr>
      </w:pPr>
      <w:r>
        <w:rPr>
          <w:rFonts w:asciiTheme="majorHAnsi" w:hAnsiTheme="majorHAnsi" w:cstheme="majorHAnsi"/>
        </w:rPr>
        <w:t>F</w:t>
      </w:r>
      <w:r w:rsidR="003534C4" w:rsidRPr="00F424D1">
        <w:rPr>
          <w:rFonts w:asciiTheme="majorHAnsi" w:hAnsiTheme="majorHAnsi" w:cstheme="majorHAnsi"/>
        </w:rPr>
        <w:t>irst</w:t>
      </w:r>
      <w:r w:rsidR="003C270F" w:rsidRPr="00F424D1">
        <w:rPr>
          <w:rFonts w:asciiTheme="majorHAnsi" w:hAnsiTheme="majorHAnsi" w:cstheme="majorHAnsi"/>
        </w:rPr>
        <w:t>, though r</w:t>
      </w:r>
      <w:r w:rsidR="003534C4" w:rsidRPr="00F424D1">
        <w:rPr>
          <w:rFonts w:asciiTheme="majorHAnsi" w:hAnsiTheme="majorHAnsi" w:cstheme="majorHAnsi"/>
        </w:rPr>
        <w:t xml:space="preserve">egulatory policy formulation usually included the transparent publication of intentions and the opportunity </w:t>
      </w:r>
      <w:r w:rsidR="00183B42" w:rsidRPr="00F424D1">
        <w:rPr>
          <w:rFonts w:asciiTheme="majorHAnsi" w:hAnsiTheme="majorHAnsi" w:cstheme="majorHAnsi"/>
        </w:rPr>
        <w:t>for a range of actors to contribute,</w:t>
      </w:r>
      <w:r w:rsidR="003534C4" w:rsidRPr="00F424D1">
        <w:rPr>
          <w:rFonts w:asciiTheme="majorHAnsi" w:hAnsiTheme="majorHAnsi" w:cstheme="majorHAnsi"/>
        </w:rPr>
        <w:t xml:space="preserve"> there were questions over whether these procedures were sufficiently fair due to the significant inequalities of resources between organisations, in particular energy supply firms’ resource superiority. This suggests that opportunities to benefit from open procedures were not equally accessible. </w:t>
      </w:r>
      <w:r w:rsidR="003C7FAD">
        <w:rPr>
          <w:rFonts w:asciiTheme="majorHAnsi" w:hAnsiTheme="majorHAnsi" w:cstheme="majorHAnsi"/>
        </w:rPr>
        <w:t xml:space="preserve">This reinforces </w:t>
      </w:r>
      <w:r w:rsidR="003534C4" w:rsidRPr="00F424D1">
        <w:rPr>
          <w:rFonts w:asciiTheme="majorHAnsi" w:hAnsiTheme="majorHAnsi" w:cstheme="majorHAnsi"/>
        </w:rPr>
        <w:t xml:space="preserve">research that measured public opinion within the period 2007 to 2016 </w:t>
      </w:r>
      <w:r w:rsidR="003C7FAD">
        <w:rPr>
          <w:rFonts w:asciiTheme="majorHAnsi" w:hAnsiTheme="majorHAnsi" w:cstheme="majorHAnsi"/>
        </w:rPr>
        <w:t>which showed</w:t>
      </w:r>
      <w:r w:rsidR="003534C4" w:rsidRPr="00F424D1">
        <w:rPr>
          <w:rFonts w:asciiTheme="majorHAnsi" w:hAnsiTheme="majorHAnsi" w:cstheme="majorHAnsi"/>
        </w:rPr>
        <w:t xml:space="preserve"> public concern regarding the trustworthiness of energy supply companies who were powerful policy actors (Pidgeon, 2012; Demski et al, 2017; Becker et al, 2019).</w:t>
      </w:r>
      <w:r w:rsidR="000256DD">
        <w:rPr>
          <w:rFonts w:asciiTheme="majorHAnsi" w:hAnsiTheme="majorHAnsi" w:cstheme="majorHAnsi"/>
        </w:rPr>
        <w:t xml:space="preserve"> </w:t>
      </w:r>
    </w:p>
    <w:p w14:paraId="6DABA98A" w14:textId="52F0CE65" w:rsidR="00A31D2D" w:rsidRDefault="00752AF8" w:rsidP="006767C3">
      <w:pPr>
        <w:ind w:firstLine="720"/>
        <w:rPr>
          <w:rFonts w:asciiTheme="majorHAnsi" w:hAnsiTheme="majorHAnsi" w:cstheme="majorHAnsi"/>
        </w:rPr>
      </w:pPr>
      <w:r>
        <w:rPr>
          <w:rFonts w:asciiTheme="majorHAnsi" w:hAnsiTheme="majorHAnsi" w:cstheme="majorHAnsi"/>
        </w:rPr>
        <w:t xml:space="preserve">Second, </w:t>
      </w:r>
      <w:r w:rsidR="002D5545">
        <w:rPr>
          <w:rFonts w:asciiTheme="majorHAnsi" w:hAnsiTheme="majorHAnsi" w:cstheme="majorHAnsi"/>
        </w:rPr>
        <w:t xml:space="preserve">regarding expertise, </w:t>
      </w:r>
      <w:r w:rsidR="00753CBF">
        <w:rPr>
          <w:rFonts w:asciiTheme="majorHAnsi" w:hAnsiTheme="majorHAnsi" w:cstheme="majorHAnsi"/>
        </w:rPr>
        <w:t xml:space="preserve">both tools </w:t>
      </w:r>
      <w:r w:rsidR="00DE4A0F" w:rsidRPr="00F424D1">
        <w:rPr>
          <w:rFonts w:asciiTheme="majorHAnsi" w:hAnsiTheme="majorHAnsi" w:cstheme="majorHAnsi"/>
        </w:rPr>
        <w:t xml:space="preserve">were limited to assessing options within a limited selection of outcomes that were in line with their founding aim of facilitating retail market competition and development. This bounded </w:t>
      </w:r>
      <w:r w:rsidR="003446F2">
        <w:rPr>
          <w:rFonts w:asciiTheme="majorHAnsi" w:hAnsiTheme="majorHAnsi" w:cstheme="majorHAnsi"/>
        </w:rPr>
        <w:t>consultation</w:t>
      </w:r>
      <w:r w:rsidR="00DE4A0F" w:rsidRPr="00F424D1">
        <w:rPr>
          <w:rFonts w:asciiTheme="majorHAnsi" w:hAnsiTheme="majorHAnsi" w:cstheme="majorHAnsi"/>
        </w:rPr>
        <w:t xml:space="preserve"> to technocratic discussions of markets and </w:t>
      </w:r>
      <w:r w:rsidR="00A31D2D">
        <w:rPr>
          <w:rFonts w:asciiTheme="majorHAnsi" w:hAnsiTheme="majorHAnsi" w:cstheme="majorHAnsi"/>
        </w:rPr>
        <w:t xml:space="preserve">bounded </w:t>
      </w:r>
      <w:r w:rsidR="00626DE7">
        <w:rPr>
          <w:rFonts w:asciiTheme="majorHAnsi" w:hAnsiTheme="majorHAnsi" w:cstheme="majorHAnsi"/>
        </w:rPr>
        <w:t xml:space="preserve">some </w:t>
      </w:r>
      <w:r w:rsidR="00A31D2D">
        <w:rPr>
          <w:rFonts w:asciiTheme="majorHAnsi" w:hAnsiTheme="majorHAnsi" w:cstheme="majorHAnsi"/>
        </w:rPr>
        <w:t>participants' capacities</w:t>
      </w:r>
      <w:r w:rsidR="00DE4A0F" w:rsidRPr="00F424D1">
        <w:rPr>
          <w:rFonts w:asciiTheme="majorHAnsi" w:hAnsiTheme="majorHAnsi" w:cstheme="majorHAnsi"/>
        </w:rPr>
        <w:t xml:space="preserve"> to bring lived experiences of energy into formulation processes</w:t>
      </w:r>
      <w:r w:rsidR="003446F2">
        <w:rPr>
          <w:rFonts w:asciiTheme="majorHAnsi" w:hAnsiTheme="majorHAnsi" w:cstheme="majorHAnsi"/>
        </w:rPr>
        <w:t xml:space="preserve">. </w:t>
      </w:r>
      <w:r w:rsidR="003446F2" w:rsidRPr="00F424D1">
        <w:rPr>
          <w:rFonts w:asciiTheme="majorHAnsi" w:hAnsiTheme="majorHAnsi" w:cstheme="majorHAnsi"/>
        </w:rPr>
        <w:t xml:space="preserve">This was despite that the need for experts in the lived experience of consumers within regulatory policy formulation was specifically articulated: by Government for stakeholder consultations (Department for Business, Innovation and Skills, 2011) as well as a </w:t>
      </w:r>
      <w:r w:rsidR="003446F2" w:rsidRPr="00F424D1">
        <w:rPr>
          <w:rFonts w:asciiTheme="majorHAnsi" w:hAnsiTheme="majorHAnsi" w:cstheme="majorHAnsi"/>
        </w:rPr>
        <w:lastRenderedPageBreak/>
        <w:t>specific aim of Ofgem in conducting deliberative focus groups (Ofgem, 2011a).</w:t>
      </w:r>
      <w:r w:rsidR="003446F2">
        <w:rPr>
          <w:rFonts w:asciiTheme="majorHAnsi" w:hAnsiTheme="majorHAnsi" w:cstheme="majorHAnsi"/>
        </w:rPr>
        <w:t xml:space="preserve"> S</w:t>
      </w:r>
      <w:r w:rsidR="003446F2" w:rsidRPr="00F424D1">
        <w:rPr>
          <w:rFonts w:asciiTheme="majorHAnsi" w:hAnsiTheme="majorHAnsi" w:cstheme="majorHAnsi"/>
        </w:rPr>
        <w:t>pecialized knowledge, skills and expertise were a significant perceived barrier for some actors to engage with the regulator</w:t>
      </w:r>
      <w:r w:rsidR="003446F2">
        <w:rPr>
          <w:rFonts w:asciiTheme="majorHAnsi" w:hAnsiTheme="majorHAnsi" w:cstheme="majorHAnsi"/>
        </w:rPr>
        <w:t xml:space="preserve">, which further </w:t>
      </w:r>
      <w:r w:rsidR="003446F2" w:rsidRPr="00F424D1">
        <w:rPr>
          <w:rFonts w:asciiTheme="majorHAnsi" w:hAnsiTheme="majorHAnsi" w:cstheme="majorHAnsi"/>
        </w:rPr>
        <w:t>embedded the technocratic economic concept of people as users and consumers of energy, being defined by deficits in motivation and understanding (</w:t>
      </w:r>
      <w:r w:rsidR="006F343B">
        <w:rPr>
          <w:rFonts w:asciiTheme="majorHAnsi" w:hAnsiTheme="majorHAnsi" w:cstheme="majorHAnsi"/>
        </w:rPr>
        <w:t>Blakelock, 2020</w:t>
      </w:r>
      <w:r w:rsidR="003446F2" w:rsidRPr="00F424D1">
        <w:rPr>
          <w:rFonts w:asciiTheme="majorHAnsi" w:hAnsiTheme="majorHAnsi" w:cstheme="majorHAnsi"/>
        </w:rPr>
        <w:t>).</w:t>
      </w:r>
    </w:p>
    <w:p w14:paraId="18518715" w14:textId="2A2E9899" w:rsidR="00905556" w:rsidRDefault="00005C98" w:rsidP="000A0490">
      <w:pPr>
        <w:ind w:firstLine="720"/>
        <w:rPr>
          <w:rFonts w:asciiTheme="majorHAnsi" w:hAnsiTheme="majorHAnsi" w:cstheme="majorHAnsi"/>
        </w:rPr>
      </w:pPr>
      <w:r>
        <w:rPr>
          <w:rFonts w:asciiTheme="majorHAnsi" w:hAnsiTheme="majorHAnsi" w:cstheme="majorHAnsi"/>
        </w:rPr>
        <w:t>This is the</w:t>
      </w:r>
      <w:r w:rsidR="009D76BD">
        <w:rPr>
          <w:rFonts w:asciiTheme="majorHAnsi" w:hAnsiTheme="majorHAnsi" w:cstheme="majorHAnsi"/>
        </w:rPr>
        <w:t xml:space="preserve"> most in-depth study of Ofgem to date</w:t>
      </w:r>
      <w:r>
        <w:rPr>
          <w:rFonts w:asciiTheme="majorHAnsi" w:hAnsiTheme="majorHAnsi" w:cstheme="majorHAnsi"/>
        </w:rPr>
        <w:t xml:space="preserve">, and </w:t>
      </w:r>
      <w:r w:rsidR="009D76BD">
        <w:rPr>
          <w:rFonts w:asciiTheme="majorHAnsi" w:hAnsiTheme="majorHAnsi" w:cstheme="majorHAnsi"/>
        </w:rPr>
        <w:t xml:space="preserve">has </w:t>
      </w:r>
      <w:r w:rsidR="00AD29C1">
        <w:rPr>
          <w:rFonts w:asciiTheme="majorHAnsi" w:hAnsiTheme="majorHAnsi" w:cstheme="majorHAnsi"/>
        </w:rPr>
        <w:t>added much-needed detail</w:t>
      </w:r>
      <w:r w:rsidR="004921D2">
        <w:rPr>
          <w:rFonts w:asciiTheme="majorHAnsi" w:hAnsiTheme="majorHAnsi" w:cstheme="majorHAnsi"/>
        </w:rPr>
        <w:t xml:space="preserve"> on the interaction between stakeholder engagement and legitimacy. </w:t>
      </w:r>
      <w:r w:rsidR="00424CD1" w:rsidRPr="00584F3A">
        <w:rPr>
          <w:rFonts w:asciiTheme="majorHAnsi" w:hAnsiTheme="majorHAnsi" w:cstheme="majorHAnsi"/>
        </w:rPr>
        <w:t>Th</w:t>
      </w:r>
      <w:r w:rsidR="00305F10">
        <w:rPr>
          <w:rFonts w:asciiTheme="majorHAnsi" w:hAnsiTheme="majorHAnsi" w:cstheme="majorHAnsi"/>
        </w:rPr>
        <w:t xml:space="preserve">e </w:t>
      </w:r>
      <w:r w:rsidR="00B4014A">
        <w:rPr>
          <w:rFonts w:asciiTheme="majorHAnsi" w:hAnsiTheme="majorHAnsi" w:cstheme="majorHAnsi"/>
        </w:rPr>
        <w:t>study</w:t>
      </w:r>
      <w:r w:rsidR="0033496D">
        <w:rPr>
          <w:rFonts w:asciiTheme="majorHAnsi" w:hAnsiTheme="majorHAnsi" w:cstheme="majorHAnsi"/>
        </w:rPr>
        <w:t xml:space="preserve"> </w:t>
      </w:r>
      <w:r w:rsidR="00AD29C1">
        <w:rPr>
          <w:rFonts w:asciiTheme="majorHAnsi" w:hAnsiTheme="majorHAnsi" w:cstheme="majorHAnsi"/>
        </w:rPr>
        <w:t xml:space="preserve">also </w:t>
      </w:r>
      <w:r w:rsidR="0033496D">
        <w:rPr>
          <w:rFonts w:asciiTheme="majorHAnsi" w:hAnsiTheme="majorHAnsi" w:cstheme="majorHAnsi"/>
        </w:rPr>
        <w:t>speaks to the wider research agenda on tools</w:t>
      </w:r>
      <w:r w:rsidR="00424CD1" w:rsidRPr="00584F3A">
        <w:rPr>
          <w:rFonts w:asciiTheme="majorHAnsi" w:hAnsiTheme="majorHAnsi" w:cstheme="majorHAnsi"/>
        </w:rPr>
        <w:t xml:space="preserve">, including the impact of policy paradigms or ideas on tool choices, constraints on tool choice, and </w:t>
      </w:r>
      <w:r w:rsidR="0033496D">
        <w:rPr>
          <w:rFonts w:asciiTheme="majorHAnsi" w:hAnsiTheme="majorHAnsi" w:cstheme="majorHAnsi"/>
        </w:rPr>
        <w:t xml:space="preserve">the dynamics of </w:t>
      </w:r>
      <w:r w:rsidR="007E16C5">
        <w:rPr>
          <w:rFonts w:asciiTheme="majorHAnsi" w:hAnsiTheme="majorHAnsi" w:cstheme="majorHAnsi"/>
        </w:rPr>
        <w:t xml:space="preserve">mixes involving </w:t>
      </w:r>
      <w:r w:rsidR="00424CD1" w:rsidRPr="00584F3A">
        <w:rPr>
          <w:rFonts w:asciiTheme="majorHAnsi" w:hAnsiTheme="majorHAnsi" w:cstheme="majorHAnsi"/>
        </w:rPr>
        <w:t>procedural tools</w:t>
      </w:r>
      <w:r w:rsidR="00424CD1">
        <w:rPr>
          <w:rFonts w:asciiTheme="majorHAnsi" w:hAnsiTheme="majorHAnsi" w:cstheme="majorHAnsi"/>
        </w:rPr>
        <w:t xml:space="preserve"> (Capano and Howlett, 2020</w:t>
      </w:r>
      <w:r w:rsidR="00D90015">
        <w:rPr>
          <w:rFonts w:asciiTheme="majorHAnsi" w:hAnsiTheme="majorHAnsi" w:cstheme="majorHAnsi"/>
        </w:rPr>
        <w:t>; Fraussen et al, 2020</w:t>
      </w:r>
      <w:r w:rsidR="00424CD1">
        <w:rPr>
          <w:rFonts w:asciiTheme="majorHAnsi" w:hAnsiTheme="majorHAnsi" w:cstheme="majorHAnsi"/>
        </w:rPr>
        <w:t xml:space="preserve">). </w:t>
      </w:r>
      <w:r w:rsidR="005B3AAC">
        <w:rPr>
          <w:rFonts w:asciiTheme="majorHAnsi" w:hAnsiTheme="majorHAnsi" w:cstheme="majorHAnsi"/>
        </w:rPr>
        <w:t>A market-based energy paradigm strongly influenced b</w:t>
      </w:r>
      <w:r w:rsidR="00295BF2">
        <w:rPr>
          <w:rFonts w:asciiTheme="majorHAnsi" w:hAnsiTheme="majorHAnsi" w:cstheme="majorHAnsi"/>
        </w:rPr>
        <w:t>oth tools</w:t>
      </w:r>
      <w:r w:rsidR="00B84F68">
        <w:rPr>
          <w:rFonts w:asciiTheme="majorHAnsi" w:hAnsiTheme="majorHAnsi" w:cstheme="majorHAnsi"/>
        </w:rPr>
        <w:t>' operation</w:t>
      </w:r>
      <w:r w:rsidR="007D2334">
        <w:rPr>
          <w:rFonts w:asciiTheme="majorHAnsi" w:hAnsiTheme="majorHAnsi" w:cstheme="majorHAnsi"/>
        </w:rPr>
        <w:t>s</w:t>
      </w:r>
      <w:r w:rsidR="005B3AAC">
        <w:rPr>
          <w:rFonts w:asciiTheme="majorHAnsi" w:hAnsiTheme="majorHAnsi" w:cstheme="majorHAnsi"/>
        </w:rPr>
        <w:t xml:space="preserve">, and </w:t>
      </w:r>
      <w:r w:rsidR="00BE363F">
        <w:rPr>
          <w:rFonts w:asciiTheme="majorHAnsi" w:hAnsiTheme="majorHAnsi" w:cstheme="majorHAnsi"/>
        </w:rPr>
        <w:t xml:space="preserve">the </w:t>
      </w:r>
      <w:r w:rsidR="005B3AAC">
        <w:rPr>
          <w:rFonts w:asciiTheme="majorHAnsi" w:hAnsiTheme="majorHAnsi" w:cstheme="majorHAnsi"/>
        </w:rPr>
        <w:t xml:space="preserve">responses to </w:t>
      </w:r>
      <w:r w:rsidR="00E13FA1">
        <w:rPr>
          <w:rFonts w:asciiTheme="majorHAnsi" w:hAnsiTheme="majorHAnsi" w:cstheme="majorHAnsi"/>
        </w:rPr>
        <w:t>realisations that</w:t>
      </w:r>
      <w:r w:rsidR="005B3AAC">
        <w:rPr>
          <w:rFonts w:asciiTheme="majorHAnsi" w:hAnsiTheme="majorHAnsi" w:cstheme="majorHAnsi"/>
        </w:rPr>
        <w:t xml:space="preserve"> tools had not been operating as explicitly intended.</w:t>
      </w:r>
      <w:r w:rsidR="00AF146E">
        <w:rPr>
          <w:rFonts w:asciiTheme="majorHAnsi" w:hAnsiTheme="majorHAnsi" w:cstheme="majorHAnsi"/>
        </w:rPr>
        <w:t xml:space="preserve"> </w:t>
      </w:r>
      <w:r w:rsidR="00765549">
        <w:rPr>
          <w:rFonts w:asciiTheme="majorHAnsi" w:hAnsiTheme="majorHAnsi" w:cstheme="majorHAnsi"/>
        </w:rPr>
        <w:t xml:space="preserve">The combination of stakeholder consultations and deliberative focus groups, while intended to be </w:t>
      </w:r>
      <w:r w:rsidR="000D54E4">
        <w:rPr>
          <w:rFonts w:asciiTheme="majorHAnsi" w:hAnsiTheme="majorHAnsi" w:cstheme="majorHAnsi"/>
        </w:rPr>
        <w:t>complementary, ended up reinforcing a bounding of who participated</w:t>
      </w:r>
      <w:r w:rsidR="00AC7E32">
        <w:rPr>
          <w:rFonts w:asciiTheme="majorHAnsi" w:hAnsiTheme="majorHAnsi" w:cstheme="majorHAnsi"/>
        </w:rPr>
        <w:t xml:space="preserve"> (actors, and associated capacities), reinforcing in turn the market-based paradigm. </w:t>
      </w:r>
      <w:r w:rsidR="00016A99">
        <w:rPr>
          <w:rFonts w:asciiTheme="majorHAnsi" w:hAnsiTheme="majorHAnsi" w:cstheme="majorHAnsi"/>
        </w:rPr>
        <w:t xml:space="preserve">The way these tools were established and fed into each other was crucial. For example, stakeholder consultations were mandatory while deliberative focus groups were not. The latter's results fed into the former, but partly to show that the public had been consulted rather than bringing a major challenge to the overarching paradigm. </w:t>
      </w:r>
      <w:r w:rsidR="00AC7E32">
        <w:rPr>
          <w:rFonts w:asciiTheme="majorHAnsi" w:hAnsiTheme="majorHAnsi" w:cstheme="majorHAnsi"/>
        </w:rPr>
        <w:t xml:space="preserve">The impact of this cascaded to </w:t>
      </w:r>
      <w:r w:rsidR="00FD41D2">
        <w:rPr>
          <w:rFonts w:asciiTheme="majorHAnsi" w:hAnsiTheme="majorHAnsi" w:cstheme="majorHAnsi"/>
        </w:rPr>
        <w:t>both tools'</w:t>
      </w:r>
      <w:r w:rsidR="001155C1" w:rsidRPr="001155C1">
        <w:rPr>
          <w:rFonts w:asciiTheme="majorHAnsi" w:hAnsiTheme="majorHAnsi" w:cstheme="majorHAnsi"/>
        </w:rPr>
        <w:t xml:space="preserve"> procedural and substantive effects. </w:t>
      </w:r>
      <w:r w:rsidR="00016A99">
        <w:rPr>
          <w:rFonts w:asciiTheme="majorHAnsi" w:hAnsiTheme="majorHAnsi" w:cstheme="majorHAnsi"/>
        </w:rPr>
        <w:t xml:space="preserve">While there is evidence </w:t>
      </w:r>
      <w:r w:rsidR="00192CAA">
        <w:rPr>
          <w:rFonts w:asciiTheme="majorHAnsi" w:hAnsiTheme="majorHAnsi" w:cstheme="majorHAnsi"/>
        </w:rPr>
        <w:t xml:space="preserve">that stakeholder consultations in particular had significant procedural effects, including drawing on insights from deliberative focus groups, the two tools' </w:t>
      </w:r>
      <w:r w:rsidR="00016A99">
        <w:rPr>
          <w:rFonts w:asciiTheme="majorHAnsi" w:hAnsiTheme="majorHAnsi" w:cstheme="majorHAnsi"/>
        </w:rPr>
        <w:t>substantive effects were much more limited, and less persistent over time.</w:t>
      </w:r>
      <w:r w:rsidR="00192CAA">
        <w:rPr>
          <w:rFonts w:asciiTheme="majorHAnsi" w:hAnsiTheme="majorHAnsi" w:cstheme="majorHAnsi"/>
        </w:rPr>
        <w:t xml:space="preserve"> The overall picture is one where </w:t>
      </w:r>
      <w:r w:rsidR="00BE363F">
        <w:rPr>
          <w:rFonts w:asciiTheme="majorHAnsi" w:hAnsiTheme="majorHAnsi" w:cstheme="majorHAnsi"/>
        </w:rPr>
        <w:t>intentions and commitments to use participatory procedural tools to increase regulatory legitimacy ended up having very different results.</w:t>
      </w:r>
    </w:p>
    <w:p w14:paraId="1E978FC7" w14:textId="10D97748" w:rsidR="00807B8C" w:rsidRDefault="00BE363F" w:rsidP="00967E75">
      <w:pPr>
        <w:ind w:firstLine="720"/>
        <w:rPr>
          <w:rFonts w:asciiTheme="majorHAnsi" w:hAnsiTheme="majorHAnsi" w:cstheme="majorHAnsi"/>
        </w:rPr>
      </w:pPr>
      <w:r>
        <w:rPr>
          <w:rFonts w:asciiTheme="majorHAnsi" w:hAnsiTheme="majorHAnsi" w:cstheme="majorHAnsi"/>
        </w:rPr>
        <w:t>Beyond the case of Ofgem,</w:t>
      </w:r>
      <w:r w:rsidR="009866C4">
        <w:rPr>
          <w:rFonts w:asciiTheme="majorHAnsi" w:hAnsiTheme="majorHAnsi" w:cstheme="majorHAnsi"/>
        </w:rPr>
        <w:t xml:space="preserve"> and Great Britain,</w:t>
      </w:r>
      <w:r>
        <w:rPr>
          <w:rFonts w:asciiTheme="majorHAnsi" w:hAnsiTheme="majorHAnsi" w:cstheme="majorHAnsi"/>
        </w:rPr>
        <w:t xml:space="preserve"> t</w:t>
      </w:r>
      <w:r w:rsidR="00054471">
        <w:rPr>
          <w:rFonts w:asciiTheme="majorHAnsi" w:hAnsiTheme="majorHAnsi" w:cstheme="majorHAnsi"/>
        </w:rPr>
        <w:t>h</w:t>
      </w:r>
      <w:r w:rsidR="00E20454">
        <w:rPr>
          <w:rFonts w:asciiTheme="majorHAnsi" w:hAnsiTheme="majorHAnsi" w:cstheme="majorHAnsi"/>
        </w:rPr>
        <w:t xml:space="preserve">is paper </w:t>
      </w:r>
      <w:r w:rsidR="003D4BC7">
        <w:rPr>
          <w:rFonts w:asciiTheme="majorHAnsi" w:hAnsiTheme="majorHAnsi" w:cstheme="majorHAnsi"/>
        </w:rPr>
        <w:t>concurs</w:t>
      </w:r>
      <w:r w:rsidR="00E20454">
        <w:rPr>
          <w:rFonts w:asciiTheme="majorHAnsi" w:hAnsiTheme="majorHAnsi" w:cstheme="majorHAnsi"/>
        </w:rPr>
        <w:t>,</w:t>
      </w:r>
      <w:r w:rsidR="0027634B">
        <w:rPr>
          <w:rFonts w:asciiTheme="majorHAnsi" w:hAnsiTheme="majorHAnsi" w:cstheme="majorHAnsi"/>
        </w:rPr>
        <w:t xml:space="preserve"> </w:t>
      </w:r>
      <w:r w:rsidR="00E20454">
        <w:rPr>
          <w:rFonts w:asciiTheme="majorHAnsi" w:hAnsiTheme="majorHAnsi" w:cstheme="majorHAnsi"/>
        </w:rPr>
        <w:t>f</w:t>
      </w:r>
      <w:r w:rsidR="0027634B">
        <w:rPr>
          <w:rFonts w:asciiTheme="majorHAnsi" w:hAnsiTheme="majorHAnsi" w:cstheme="majorHAnsi"/>
        </w:rPr>
        <w:t xml:space="preserve">irst, </w:t>
      </w:r>
      <w:r w:rsidR="00E20454">
        <w:rPr>
          <w:rFonts w:asciiTheme="majorHAnsi" w:hAnsiTheme="majorHAnsi" w:cstheme="majorHAnsi"/>
        </w:rPr>
        <w:t xml:space="preserve">that </w:t>
      </w:r>
      <w:r w:rsidR="00007CC9">
        <w:rPr>
          <w:rFonts w:asciiTheme="majorHAnsi" w:hAnsiTheme="majorHAnsi" w:cstheme="majorHAnsi"/>
        </w:rPr>
        <w:t>r</w:t>
      </w:r>
      <w:r w:rsidR="00007CC9" w:rsidRPr="00007CC9">
        <w:rPr>
          <w:rFonts w:asciiTheme="majorHAnsi" w:hAnsiTheme="majorHAnsi" w:cstheme="majorHAnsi"/>
        </w:rPr>
        <w:t xml:space="preserve">egulatory legitimacy can be </w:t>
      </w:r>
      <w:r w:rsidR="00DE55FD">
        <w:rPr>
          <w:rFonts w:asciiTheme="majorHAnsi" w:hAnsiTheme="majorHAnsi" w:cstheme="majorHAnsi"/>
        </w:rPr>
        <w:t xml:space="preserve">very usefully </w:t>
      </w:r>
      <w:r w:rsidR="00007CC9" w:rsidRPr="00007CC9">
        <w:rPr>
          <w:rFonts w:asciiTheme="majorHAnsi" w:hAnsiTheme="majorHAnsi" w:cstheme="majorHAnsi"/>
        </w:rPr>
        <w:t xml:space="preserve">examined </w:t>
      </w:r>
      <w:r w:rsidR="00DE55FD">
        <w:rPr>
          <w:rFonts w:asciiTheme="majorHAnsi" w:hAnsiTheme="majorHAnsi" w:cstheme="majorHAnsi"/>
        </w:rPr>
        <w:t>via study of</w:t>
      </w:r>
      <w:r w:rsidR="00007CC9" w:rsidRPr="00007CC9">
        <w:rPr>
          <w:rFonts w:asciiTheme="majorHAnsi" w:hAnsiTheme="majorHAnsi" w:cstheme="majorHAnsi"/>
        </w:rPr>
        <w:t xml:space="preserve"> procedural tools, especially th</w:t>
      </w:r>
      <w:r w:rsidR="00007CC9">
        <w:rPr>
          <w:rFonts w:asciiTheme="majorHAnsi" w:hAnsiTheme="majorHAnsi" w:cstheme="majorHAnsi"/>
        </w:rPr>
        <w:t>o</w:t>
      </w:r>
      <w:r w:rsidR="00007CC9" w:rsidRPr="00007CC9">
        <w:rPr>
          <w:rFonts w:asciiTheme="majorHAnsi" w:hAnsiTheme="majorHAnsi" w:cstheme="majorHAnsi"/>
        </w:rPr>
        <w:t>se related to policy formulation</w:t>
      </w:r>
      <w:r w:rsidR="00007CC9">
        <w:rPr>
          <w:rFonts w:asciiTheme="majorHAnsi" w:hAnsiTheme="majorHAnsi" w:cstheme="majorHAnsi"/>
        </w:rPr>
        <w:t>.</w:t>
      </w:r>
      <w:r w:rsidR="00007CC9" w:rsidRPr="00007CC9">
        <w:rPr>
          <w:rFonts w:asciiTheme="majorHAnsi" w:hAnsiTheme="majorHAnsi" w:cstheme="majorHAnsi"/>
        </w:rPr>
        <w:t xml:space="preserve"> </w:t>
      </w:r>
      <w:r w:rsidR="00007CC9">
        <w:rPr>
          <w:rFonts w:asciiTheme="majorHAnsi" w:hAnsiTheme="majorHAnsi" w:cstheme="majorHAnsi"/>
        </w:rPr>
        <w:t>Identifying</w:t>
      </w:r>
      <w:r w:rsidR="0040216C" w:rsidRPr="00410D6B">
        <w:rPr>
          <w:rFonts w:asciiTheme="majorHAnsi" w:hAnsiTheme="majorHAnsi" w:cstheme="majorHAnsi"/>
        </w:rPr>
        <w:t xml:space="preserve"> knowledges and their influence, specifically within economic regulators</w:t>
      </w:r>
      <w:r w:rsidR="0040216C">
        <w:rPr>
          <w:rFonts w:asciiTheme="majorHAnsi" w:hAnsiTheme="majorHAnsi" w:cstheme="majorHAnsi"/>
        </w:rPr>
        <w:t xml:space="preserve"> using participatory tools</w:t>
      </w:r>
      <w:r w:rsidR="0040216C" w:rsidRPr="00410D6B">
        <w:rPr>
          <w:rFonts w:asciiTheme="majorHAnsi" w:hAnsiTheme="majorHAnsi" w:cstheme="majorHAnsi"/>
        </w:rPr>
        <w:t xml:space="preserve">, </w:t>
      </w:r>
      <w:r w:rsidR="00007CC9">
        <w:rPr>
          <w:rFonts w:asciiTheme="majorHAnsi" w:hAnsiTheme="majorHAnsi" w:cstheme="majorHAnsi"/>
        </w:rPr>
        <w:t xml:space="preserve">broadens research on </w:t>
      </w:r>
      <w:r w:rsidR="0040216C" w:rsidRPr="00410D6B">
        <w:rPr>
          <w:rFonts w:asciiTheme="majorHAnsi" w:hAnsiTheme="majorHAnsi" w:cstheme="majorHAnsi"/>
        </w:rPr>
        <w:t xml:space="preserve">regulatory capture </w:t>
      </w:r>
      <w:r w:rsidR="00007CC9">
        <w:rPr>
          <w:rFonts w:asciiTheme="majorHAnsi" w:hAnsiTheme="majorHAnsi" w:cstheme="majorHAnsi"/>
        </w:rPr>
        <w:t xml:space="preserve">beyond </w:t>
      </w:r>
      <w:r w:rsidR="0040216C" w:rsidRPr="00410D6B">
        <w:rPr>
          <w:rFonts w:asciiTheme="majorHAnsi" w:hAnsiTheme="majorHAnsi" w:cstheme="majorHAnsi"/>
        </w:rPr>
        <w:t xml:space="preserve">the traditional focus on the risks of asymmetry between regulatory firms and regulators. </w:t>
      </w:r>
      <w:r w:rsidR="00D91892">
        <w:rPr>
          <w:rFonts w:asciiTheme="majorHAnsi" w:hAnsiTheme="majorHAnsi" w:cstheme="majorHAnsi"/>
        </w:rPr>
        <w:t xml:space="preserve">Further </w:t>
      </w:r>
      <w:r w:rsidR="00CC4D77">
        <w:rPr>
          <w:rFonts w:asciiTheme="majorHAnsi" w:hAnsiTheme="majorHAnsi" w:cstheme="majorHAnsi"/>
        </w:rPr>
        <w:t>detailed case studies</w:t>
      </w:r>
      <w:r w:rsidR="00007CC9">
        <w:rPr>
          <w:rFonts w:asciiTheme="majorHAnsi" w:hAnsiTheme="majorHAnsi" w:cstheme="majorHAnsi"/>
        </w:rPr>
        <w:t xml:space="preserve"> in this field </w:t>
      </w:r>
      <w:r w:rsidR="00B01FD0">
        <w:rPr>
          <w:rFonts w:asciiTheme="majorHAnsi" w:hAnsiTheme="majorHAnsi" w:cstheme="majorHAnsi"/>
        </w:rPr>
        <w:t>c</w:t>
      </w:r>
      <w:r w:rsidR="0027634B">
        <w:rPr>
          <w:rFonts w:asciiTheme="majorHAnsi" w:hAnsiTheme="majorHAnsi" w:cstheme="majorHAnsi"/>
        </w:rPr>
        <w:t>ould</w:t>
      </w:r>
      <w:r w:rsidR="00B01FD0">
        <w:rPr>
          <w:rFonts w:asciiTheme="majorHAnsi" w:hAnsiTheme="majorHAnsi" w:cstheme="majorHAnsi"/>
        </w:rPr>
        <w:t xml:space="preserve"> help </w:t>
      </w:r>
      <w:r w:rsidR="00B01FD0" w:rsidRPr="00F424D1">
        <w:rPr>
          <w:rFonts w:asciiTheme="majorHAnsi" w:hAnsiTheme="majorHAnsi" w:cstheme="majorHAnsi"/>
        </w:rPr>
        <w:t>improv</w:t>
      </w:r>
      <w:r w:rsidR="00B01FD0">
        <w:rPr>
          <w:rFonts w:asciiTheme="majorHAnsi" w:hAnsiTheme="majorHAnsi" w:cstheme="majorHAnsi"/>
        </w:rPr>
        <w:t xml:space="preserve">e </w:t>
      </w:r>
      <w:r w:rsidR="00B01FD0" w:rsidRPr="00F424D1">
        <w:rPr>
          <w:rFonts w:asciiTheme="majorHAnsi" w:hAnsiTheme="majorHAnsi" w:cstheme="majorHAnsi"/>
        </w:rPr>
        <w:t xml:space="preserve">the legitimacy of regulatory procedures in the processes and decisions that impact the lives of citizens. </w:t>
      </w:r>
      <w:r w:rsidR="00B01FD0">
        <w:rPr>
          <w:rFonts w:asciiTheme="majorHAnsi" w:hAnsiTheme="majorHAnsi" w:cstheme="majorHAnsi"/>
        </w:rPr>
        <w:t>In the case of energy, t</w:t>
      </w:r>
      <w:r w:rsidR="00B01FD0" w:rsidRPr="00F424D1">
        <w:rPr>
          <w:rFonts w:asciiTheme="majorHAnsi" w:hAnsiTheme="majorHAnsi" w:cstheme="majorHAnsi"/>
        </w:rPr>
        <w:t xml:space="preserve">his is crucial in the contemporary discussion of the role of consumers and regulated firms in </w:t>
      </w:r>
      <w:r w:rsidR="001749C4">
        <w:rPr>
          <w:rFonts w:asciiTheme="majorHAnsi" w:hAnsiTheme="majorHAnsi" w:cstheme="majorHAnsi"/>
        </w:rPr>
        <w:t>countries' climate action plans – 'nationally determined contributions to the global response to climate change' under the Paris Agreement (UN, 2015: 3) – in particular t</w:t>
      </w:r>
      <w:r w:rsidR="00B01FD0" w:rsidRPr="00F424D1">
        <w:rPr>
          <w:rFonts w:asciiTheme="majorHAnsi" w:hAnsiTheme="majorHAnsi" w:cstheme="majorHAnsi"/>
        </w:rPr>
        <w:t>he transition to net zero societ</w:t>
      </w:r>
      <w:r w:rsidR="009866C4">
        <w:rPr>
          <w:rFonts w:asciiTheme="majorHAnsi" w:hAnsiTheme="majorHAnsi" w:cstheme="majorHAnsi"/>
        </w:rPr>
        <w:t xml:space="preserve">ies. It is also </w:t>
      </w:r>
      <w:r w:rsidR="0008014D">
        <w:rPr>
          <w:rFonts w:asciiTheme="majorHAnsi" w:hAnsiTheme="majorHAnsi" w:cstheme="majorHAnsi"/>
        </w:rPr>
        <w:t>crucial as regulators across the E</w:t>
      </w:r>
      <w:r w:rsidR="009866C4">
        <w:rPr>
          <w:rFonts w:asciiTheme="majorHAnsi" w:hAnsiTheme="majorHAnsi" w:cstheme="majorHAnsi"/>
        </w:rPr>
        <w:t xml:space="preserve">uropean </w:t>
      </w:r>
      <w:r w:rsidR="0008014D">
        <w:rPr>
          <w:rFonts w:asciiTheme="majorHAnsi" w:hAnsiTheme="majorHAnsi" w:cstheme="majorHAnsi"/>
        </w:rPr>
        <w:t>U</w:t>
      </w:r>
      <w:r w:rsidR="009866C4">
        <w:rPr>
          <w:rFonts w:asciiTheme="majorHAnsi" w:hAnsiTheme="majorHAnsi" w:cstheme="majorHAnsi"/>
        </w:rPr>
        <w:t>nion</w:t>
      </w:r>
      <w:r w:rsidR="0008014D">
        <w:rPr>
          <w:rFonts w:asciiTheme="majorHAnsi" w:hAnsiTheme="majorHAnsi" w:cstheme="majorHAnsi"/>
        </w:rPr>
        <w:t xml:space="preserve"> </w:t>
      </w:r>
      <w:r w:rsidR="00DB7169">
        <w:rPr>
          <w:rFonts w:asciiTheme="majorHAnsi" w:hAnsiTheme="majorHAnsi" w:cstheme="majorHAnsi"/>
        </w:rPr>
        <w:t>continue to proceed with</w:t>
      </w:r>
      <w:r w:rsidR="0008014D">
        <w:rPr>
          <w:rFonts w:asciiTheme="majorHAnsi" w:hAnsiTheme="majorHAnsi" w:cstheme="majorHAnsi"/>
        </w:rPr>
        <w:t xml:space="preserve"> the market model for energy</w:t>
      </w:r>
      <w:r w:rsidR="00DB7169">
        <w:rPr>
          <w:rFonts w:asciiTheme="majorHAnsi" w:hAnsiTheme="majorHAnsi" w:cstheme="majorHAnsi"/>
        </w:rPr>
        <w:t xml:space="preserve"> (e.g. EU, 2019)</w:t>
      </w:r>
      <w:r w:rsidR="0008014D">
        <w:rPr>
          <w:rFonts w:asciiTheme="majorHAnsi" w:hAnsiTheme="majorHAnsi" w:cstheme="majorHAnsi"/>
        </w:rPr>
        <w:t xml:space="preserve"> and implement energy poverty programmes as a result. </w:t>
      </w:r>
      <w:r w:rsidR="00007CC9">
        <w:rPr>
          <w:rFonts w:asciiTheme="majorHAnsi" w:hAnsiTheme="majorHAnsi" w:cstheme="majorHAnsi"/>
        </w:rPr>
        <w:t>Future investigations along similar lines to this paper would be useful, comparing for example across</w:t>
      </w:r>
      <w:r w:rsidR="0027634B">
        <w:rPr>
          <w:rFonts w:asciiTheme="majorHAnsi" w:hAnsiTheme="majorHAnsi" w:cstheme="majorHAnsi"/>
        </w:rPr>
        <w:t xml:space="preserve"> policy areas, regulators</w:t>
      </w:r>
      <w:r w:rsidR="00007CC9">
        <w:rPr>
          <w:rFonts w:asciiTheme="majorHAnsi" w:hAnsiTheme="majorHAnsi" w:cstheme="majorHAnsi"/>
        </w:rPr>
        <w:t xml:space="preserve"> and</w:t>
      </w:r>
      <w:r w:rsidR="0027634B">
        <w:rPr>
          <w:rFonts w:asciiTheme="majorHAnsi" w:hAnsiTheme="majorHAnsi" w:cstheme="majorHAnsi"/>
        </w:rPr>
        <w:t xml:space="preserve"> countries</w:t>
      </w:r>
      <w:r w:rsidR="00007CC9">
        <w:rPr>
          <w:rFonts w:asciiTheme="majorHAnsi" w:hAnsiTheme="majorHAnsi" w:cstheme="majorHAnsi"/>
        </w:rPr>
        <w:t>.</w:t>
      </w:r>
      <w:r w:rsidR="00872DA5">
        <w:rPr>
          <w:rFonts w:asciiTheme="majorHAnsi" w:hAnsiTheme="majorHAnsi" w:cstheme="majorHAnsi"/>
        </w:rPr>
        <w:t xml:space="preserve"> Second, examining actors, capacities, venues and effects associated with </w:t>
      </w:r>
      <w:r w:rsidR="0027177D">
        <w:rPr>
          <w:rFonts w:asciiTheme="majorHAnsi" w:hAnsiTheme="majorHAnsi" w:cstheme="majorHAnsi"/>
        </w:rPr>
        <w:t xml:space="preserve">specific </w:t>
      </w:r>
      <w:r w:rsidR="00872DA5">
        <w:rPr>
          <w:rFonts w:asciiTheme="majorHAnsi" w:hAnsiTheme="majorHAnsi" w:cstheme="majorHAnsi"/>
        </w:rPr>
        <w:t>policy formulation tools</w:t>
      </w:r>
      <w:r w:rsidR="0027177D">
        <w:rPr>
          <w:rFonts w:asciiTheme="majorHAnsi" w:hAnsiTheme="majorHAnsi" w:cstheme="majorHAnsi"/>
        </w:rPr>
        <w:t xml:space="preserve"> is a helpful way to structure understanding of overall tool content. </w:t>
      </w:r>
      <w:r w:rsidR="00A709E8">
        <w:rPr>
          <w:rFonts w:asciiTheme="majorHAnsi" w:hAnsiTheme="majorHAnsi" w:cstheme="majorHAnsi"/>
        </w:rPr>
        <w:t>Such structuring help</w:t>
      </w:r>
      <w:r w:rsidR="00510FE9">
        <w:rPr>
          <w:rFonts w:asciiTheme="majorHAnsi" w:hAnsiTheme="majorHAnsi" w:cstheme="majorHAnsi"/>
        </w:rPr>
        <w:t>s</w:t>
      </w:r>
      <w:r w:rsidR="00A709E8">
        <w:rPr>
          <w:rFonts w:asciiTheme="majorHAnsi" w:hAnsiTheme="majorHAnsi" w:cstheme="majorHAnsi"/>
        </w:rPr>
        <w:t xml:space="preserve"> reveal disjoints between </w:t>
      </w:r>
      <w:r w:rsidR="007B3CAE">
        <w:rPr>
          <w:rFonts w:asciiTheme="majorHAnsi" w:hAnsiTheme="majorHAnsi" w:cstheme="majorHAnsi"/>
        </w:rPr>
        <w:t xml:space="preserve">tool </w:t>
      </w:r>
      <w:r w:rsidR="00A709E8">
        <w:rPr>
          <w:rFonts w:asciiTheme="majorHAnsi" w:hAnsiTheme="majorHAnsi" w:cstheme="majorHAnsi"/>
        </w:rPr>
        <w:t>goals and means</w:t>
      </w:r>
      <w:r w:rsidR="007B3CAE">
        <w:rPr>
          <w:rFonts w:asciiTheme="majorHAnsi" w:hAnsiTheme="majorHAnsi" w:cstheme="majorHAnsi"/>
        </w:rPr>
        <w:t xml:space="preserve">, </w:t>
      </w:r>
      <w:r w:rsidR="00510FE9">
        <w:rPr>
          <w:rFonts w:asciiTheme="majorHAnsi" w:hAnsiTheme="majorHAnsi" w:cstheme="majorHAnsi"/>
        </w:rPr>
        <w:t xml:space="preserve">and sheds light on the 'netherworld' of </w:t>
      </w:r>
      <w:r w:rsidR="00A75FE3" w:rsidRPr="00B6795E">
        <w:rPr>
          <w:rFonts w:asciiTheme="majorHAnsi" w:hAnsiTheme="majorHAnsi" w:cstheme="majorHAnsi"/>
        </w:rPr>
        <w:t xml:space="preserve">policy </w:t>
      </w:r>
      <w:r w:rsidR="00A75FE3" w:rsidRPr="00462269">
        <w:rPr>
          <w:rFonts w:asciiTheme="majorHAnsi" w:hAnsiTheme="majorHAnsi" w:cstheme="majorHAnsi"/>
        </w:rPr>
        <w:t>formulation</w:t>
      </w:r>
      <w:r w:rsidR="00510FE9">
        <w:rPr>
          <w:rFonts w:asciiTheme="majorHAnsi" w:hAnsiTheme="majorHAnsi" w:cstheme="majorHAnsi"/>
        </w:rPr>
        <w:t>.</w:t>
      </w:r>
    </w:p>
    <w:p w14:paraId="01C1CE37" w14:textId="0310CB48" w:rsidR="00FE555F" w:rsidRDefault="00FE555F" w:rsidP="00FE555F">
      <w:pPr>
        <w:rPr>
          <w:rFonts w:asciiTheme="majorHAnsi" w:hAnsiTheme="majorHAnsi" w:cstheme="majorHAnsi"/>
        </w:rPr>
      </w:pPr>
    </w:p>
    <w:p w14:paraId="7647A0A0" w14:textId="77777777" w:rsidR="00FE555F" w:rsidRPr="00FE555F" w:rsidRDefault="00FE555F" w:rsidP="00FE555F">
      <w:pPr>
        <w:rPr>
          <w:rFonts w:asciiTheme="majorHAnsi" w:hAnsiTheme="majorHAnsi" w:cstheme="majorHAnsi"/>
          <w:b/>
          <w:bCs/>
        </w:rPr>
      </w:pPr>
      <w:r w:rsidRPr="00FE555F">
        <w:rPr>
          <w:rFonts w:asciiTheme="majorHAnsi" w:hAnsiTheme="majorHAnsi" w:cstheme="majorHAnsi"/>
          <w:b/>
          <w:bCs/>
        </w:rPr>
        <w:lastRenderedPageBreak/>
        <w:t xml:space="preserve">Funding </w:t>
      </w:r>
    </w:p>
    <w:p w14:paraId="1323844C" w14:textId="2A8A593A" w:rsidR="00FE555F" w:rsidRDefault="00FE555F" w:rsidP="00FE555F">
      <w:pPr>
        <w:rPr>
          <w:rFonts w:asciiTheme="majorHAnsi" w:hAnsiTheme="majorHAnsi" w:cstheme="majorHAnsi"/>
        </w:rPr>
      </w:pPr>
      <w:r w:rsidRPr="00FE555F">
        <w:rPr>
          <w:rFonts w:asciiTheme="majorHAnsi" w:hAnsiTheme="majorHAnsi" w:cstheme="majorHAnsi"/>
        </w:rPr>
        <w:t>This research was funded by a Centre for Competition Policy PhD studentship at the University of East Anglia between 2013-2017</w:t>
      </w:r>
      <w:r>
        <w:rPr>
          <w:rFonts w:asciiTheme="majorHAnsi" w:hAnsiTheme="majorHAnsi" w:cstheme="majorHAnsi"/>
        </w:rPr>
        <w:t>.</w:t>
      </w:r>
    </w:p>
    <w:p w14:paraId="45261369" w14:textId="77777777" w:rsidR="00FE555F" w:rsidRDefault="00FE555F" w:rsidP="00FE555F">
      <w:pPr>
        <w:rPr>
          <w:rFonts w:asciiTheme="majorHAnsi" w:hAnsiTheme="majorHAnsi" w:cstheme="majorHAnsi"/>
        </w:rPr>
      </w:pPr>
    </w:p>
    <w:p w14:paraId="42AF11EA" w14:textId="77777777" w:rsidR="00FE555F" w:rsidRPr="00FE555F" w:rsidRDefault="00FE555F" w:rsidP="00FE555F">
      <w:pPr>
        <w:rPr>
          <w:rFonts w:asciiTheme="majorHAnsi" w:hAnsiTheme="majorHAnsi" w:cstheme="majorHAnsi"/>
          <w:b/>
          <w:bCs/>
        </w:rPr>
      </w:pPr>
      <w:r w:rsidRPr="00FE555F">
        <w:rPr>
          <w:rFonts w:asciiTheme="majorHAnsi" w:hAnsiTheme="majorHAnsi" w:cstheme="majorHAnsi"/>
          <w:b/>
          <w:bCs/>
        </w:rPr>
        <w:t>Conflict of interest statement</w:t>
      </w:r>
    </w:p>
    <w:p w14:paraId="002EA3CD" w14:textId="4B034D44" w:rsidR="00795DE7" w:rsidRDefault="006E3F18" w:rsidP="00795DE7">
      <w:pPr>
        <w:rPr>
          <w:rFonts w:asciiTheme="majorHAnsi" w:hAnsiTheme="majorHAnsi" w:cstheme="majorHAnsi"/>
        </w:rPr>
      </w:pPr>
      <w:r>
        <w:rPr>
          <w:rFonts w:ascii="Calibri" w:hAnsi="Calibri" w:cs="Calibri"/>
          <w:color w:val="000000"/>
          <w:shd w:val="clear" w:color="auto" w:fill="FFFFFF"/>
        </w:rPr>
        <w:t>Lead author (EB)'s</w:t>
      </w:r>
      <w:r w:rsidR="00795DE7">
        <w:rPr>
          <w:rFonts w:ascii="Calibri" w:hAnsi="Calibri" w:cs="Calibri"/>
          <w:color w:val="000000"/>
          <w:shd w:val="clear" w:color="auto" w:fill="FFFFFF"/>
        </w:rPr>
        <w:t xml:space="preserve"> current affiliation</w:t>
      </w:r>
      <w:r>
        <w:rPr>
          <w:rFonts w:ascii="Calibri" w:hAnsi="Calibri" w:cs="Calibri"/>
          <w:color w:val="000000"/>
          <w:shd w:val="clear" w:color="auto" w:fill="FFFFFF"/>
        </w:rPr>
        <w:t>:</w:t>
      </w:r>
      <w:r w:rsidR="00795DE7">
        <w:rPr>
          <w:rFonts w:ascii="Calibri" w:hAnsi="Calibri" w:cs="Calibri"/>
          <w:color w:val="000000"/>
          <w:shd w:val="clear" w:color="auto" w:fill="FFFFFF"/>
        </w:rPr>
        <w:t xml:space="preserve"> Principal Policy Manager, Citizens Advice, UK</w:t>
      </w:r>
      <w:r>
        <w:rPr>
          <w:rFonts w:ascii="Calibri" w:hAnsi="Calibri" w:cs="Calibri"/>
          <w:color w:val="000000"/>
          <w:shd w:val="clear" w:color="auto" w:fill="FFFFFF"/>
        </w:rPr>
        <w:t xml:space="preserve">. </w:t>
      </w:r>
    </w:p>
    <w:p w14:paraId="0BF40057" w14:textId="609EE80F" w:rsidR="00FE555F" w:rsidRDefault="00FE555F" w:rsidP="006E3F18">
      <w:pPr>
        <w:rPr>
          <w:rFonts w:asciiTheme="majorHAnsi" w:hAnsiTheme="majorHAnsi" w:cstheme="majorHAnsi"/>
        </w:rPr>
      </w:pPr>
      <w:r w:rsidRPr="00FE555F">
        <w:rPr>
          <w:rFonts w:asciiTheme="majorHAnsi" w:hAnsiTheme="majorHAnsi" w:cstheme="majorHAnsi"/>
        </w:rPr>
        <w:t xml:space="preserve">At time of </w:t>
      </w:r>
      <w:r w:rsidR="00795DE7">
        <w:rPr>
          <w:rFonts w:asciiTheme="majorHAnsi" w:hAnsiTheme="majorHAnsi" w:cstheme="majorHAnsi"/>
        </w:rPr>
        <w:t xml:space="preserve">initial article </w:t>
      </w:r>
      <w:r w:rsidRPr="00FE555F">
        <w:rPr>
          <w:rFonts w:asciiTheme="majorHAnsi" w:hAnsiTheme="majorHAnsi" w:cstheme="majorHAnsi"/>
        </w:rPr>
        <w:t>submission</w:t>
      </w:r>
      <w:r w:rsidR="003E660B">
        <w:rPr>
          <w:rFonts w:asciiTheme="majorHAnsi" w:hAnsiTheme="majorHAnsi" w:cstheme="majorHAnsi"/>
        </w:rPr>
        <w:t>,</w:t>
      </w:r>
      <w:r w:rsidRPr="00FE555F">
        <w:rPr>
          <w:rFonts w:asciiTheme="majorHAnsi" w:hAnsiTheme="majorHAnsi" w:cstheme="majorHAnsi"/>
        </w:rPr>
        <w:t xml:space="preserve"> </w:t>
      </w:r>
      <w:r w:rsidR="006E3F18">
        <w:rPr>
          <w:rFonts w:asciiTheme="majorHAnsi" w:hAnsiTheme="majorHAnsi" w:cstheme="majorHAnsi"/>
        </w:rPr>
        <w:t xml:space="preserve">EB was </w:t>
      </w:r>
      <w:r w:rsidR="00B63D13" w:rsidRPr="006E3F18">
        <w:rPr>
          <w:rFonts w:asciiTheme="majorHAnsi" w:hAnsiTheme="majorHAnsi" w:cstheme="majorHAnsi"/>
        </w:rPr>
        <w:t>on secondment to</w:t>
      </w:r>
      <w:r w:rsidR="00B63D13">
        <w:rPr>
          <w:rFonts w:asciiTheme="majorHAnsi" w:hAnsiTheme="majorHAnsi" w:cstheme="majorHAnsi"/>
        </w:rPr>
        <w:t xml:space="preserve"> </w:t>
      </w:r>
      <w:r w:rsidR="00B63D13" w:rsidRPr="006E3F18">
        <w:rPr>
          <w:rFonts w:asciiTheme="majorHAnsi" w:hAnsiTheme="majorHAnsi" w:cstheme="majorHAnsi"/>
        </w:rPr>
        <w:t>the GB energy regulator, Ofgem</w:t>
      </w:r>
      <w:r w:rsidR="00B63D13">
        <w:rPr>
          <w:rFonts w:asciiTheme="majorHAnsi" w:hAnsiTheme="majorHAnsi" w:cstheme="majorHAnsi"/>
        </w:rPr>
        <w:t>, while</w:t>
      </w:r>
      <w:r w:rsidR="00B63D13" w:rsidRPr="006E3F18">
        <w:rPr>
          <w:rFonts w:asciiTheme="majorHAnsi" w:hAnsiTheme="majorHAnsi" w:cstheme="majorHAnsi"/>
        </w:rPr>
        <w:t xml:space="preserve"> </w:t>
      </w:r>
      <w:r w:rsidR="006E3F18" w:rsidRPr="006E3F18">
        <w:rPr>
          <w:rFonts w:asciiTheme="majorHAnsi" w:hAnsiTheme="majorHAnsi" w:cstheme="majorHAnsi"/>
        </w:rPr>
        <w:t>employed at Citizens Advice. The research described in this paper was completed</w:t>
      </w:r>
      <w:r w:rsidR="006E3F18">
        <w:rPr>
          <w:rFonts w:asciiTheme="majorHAnsi" w:hAnsiTheme="majorHAnsi" w:cstheme="majorHAnsi"/>
        </w:rPr>
        <w:t xml:space="preserve"> </w:t>
      </w:r>
      <w:r w:rsidR="006E3F18" w:rsidRPr="006E3F18">
        <w:rPr>
          <w:rFonts w:asciiTheme="majorHAnsi" w:hAnsiTheme="majorHAnsi" w:cstheme="majorHAnsi"/>
        </w:rPr>
        <w:t>before this secondment.</w:t>
      </w:r>
      <w:r w:rsidR="006E3F18">
        <w:rPr>
          <w:rFonts w:asciiTheme="majorHAnsi" w:hAnsiTheme="majorHAnsi" w:cstheme="majorHAnsi"/>
        </w:rPr>
        <w:t xml:space="preserve"> </w:t>
      </w:r>
    </w:p>
    <w:p w14:paraId="5C9516CC" w14:textId="5E986719" w:rsidR="00FE555F" w:rsidRDefault="00FE555F" w:rsidP="00FE555F">
      <w:pPr>
        <w:rPr>
          <w:rFonts w:asciiTheme="majorHAnsi" w:hAnsiTheme="majorHAnsi" w:cstheme="majorHAnsi"/>
        </w:rPr>
      </w:pPr>
    </w:p>
    <w:p w14:paraId="49B87E90" w14:textId="77777777" w:rsidR="00FE555F" w:rsidRDefault="00FE555F" w:rsidP="00FE555F">
      <w:pPr>
        <w:rPr>
          <w:rFonts w:asciiTheme="majorHAnsi" w:hAnsiTheme="majorHAnsi" w:cstheme="majorHAnsi"/>
        </w:rPr>
      </w:pPr>
      <w:r w:rsidRPr="00FE555F">
        <w:rPr>
          <w:rFonts w:asciiTheme="majorHAnsi" w:hAnsiTheme="majorHAnsi" w:cstheme="majorHAnsi"/>
          <w:b/>
          <w:bCs/>
        </w:rPr>
        <w:t>Acknowledgements</w:t>
      </w:r>
    </w:p>
    <w:p w14:paraId="36533E95" w14:textId="12E113AF" w:rsidR="00FE555F" w:rsidRDefault="00FE555F" w:rsidP="00FE555F">
      <w:pPr>
        <w:rPr>
          <w:rFonts w:asciiTheme="majorHAnsi" w:hAnsiTheme="majorHAnsi" w:cstheme="majorHAnsi"/>
        </w:rPr>
      </w:pPr>
      <w:r>
        <w:rPr>
          <w:rFonts w:asciiTheme="majorHAnsi" w:hAnsiTheme="majorHAnsi" w:cstheme="majorHAnsi"/>
        </w:rPr>
        <w:t xml:space="preserve">We thank the journal editors and two anonymous reviewers for their constructive and supportive comments, which </w:t>
      </w:r>
      <w:r w:rsidR="00B63D13">
        <w:rPr>
          <w:rFonts w:asciiTheme="majorHAnsi" w:hAnsiTheme="majorHAnsi" w:cstheme="majorHAnsi"/>
        </w:rPr>
        <w:t xml:space="preserve">helped us </w:t>
      </w:r>
      <w:r>
        <w:rPr>
          <w:rFonts w:asciiTheme="majorHAnsi" w:hAnsiTheme="majorHAnsi" w:cstheme="majorHAnsi"/>
        </w:rPr>
        <w:t>improve the article.</w:t>
      </w:r>
    </w:p>
    <w:p w14:paraId="715F7C1F" w14:textId="7729A5E3" w:rsidR="00D60D2C" w:rsidRDefault="00D60D2C" w:rsidP="00807B8C">
      <w:pPr>
        <w:rPr>
          <w:rFonts w:asciiTheme="majorHAnsi" w:hAnsiTheme="majorHAnsi" w:cstheme="majorHAnsi"/>
        </w:rPr>
      </w:pPr>
    </w:p>
    <w:p w14:paraId="13CDE663" w14:textId="046AF570" w:rsidR="00D60D2C" w:rsidRPr="00D60D2C" w:rsidRDefault="00D60D2C" w:rsidP="00807B8C">
      <w:pPr>
        <w:rPr>
          <w:rFonts w:asciiTheme="majorHAnsi" w:hAnsiTheme="majorHAnsi" w:cstheme="majorHAnsi"/>
          <w:b/>
          <w:bCs/>
        </w:rPr>
      </w:pPr>
      <w:r>
        <w:rPr>
          <w:rFonts w:asciiTheme="majorHAnsi" w:hAnsiTheme="majorHAnsi" w:cstheme="majorHAnsi"/>
          <w:b/>
          <w:bCs/>
        </w:rPr>
        <w:t>References</w:t>
      </w:r>
    </w:p>
    <w:bookmarkEnd w:id="5"/>
    <w:bookmarkEnd w:id="6"/>
    <w:p w14:paraId="5FC47A3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Abrams, N.E, Primack, J.R., 1980 Helping the Public Decide: The Case of Radioactive Waste Management, </w:t>
      </w:r>
      <w:r w:rsidRPr="00586B0B">
        <w:rPr>
          <w:rFonts w:ascii="Calibri" w:eastAsia="MS Mincho" w:hAnsi="Calibri" w:cs="Calibri"/>
          <w:i/>
          <w:iCs/>
        </w:rPr>
        <w:t>Environment: Science and Policy for Sustainable Development</w:t>
      </w:r>
      <w:r w:rsidRPr="00586B0B">
        <w:rPr>
          <w:rFonts w:ascii="Calibri" w:eastAsia="MS Mincho" w:hAnsi="Calibri" w:cs="Calibri"/>
        </w:rPr>
        <w:t xml:space="preserve"> 22, 1, 14–40</w:t>
      </w:r>
    </w:p>
    <w:p w14:paraId="0F90B133"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Adelle, C, et al 2016 Regulatory Impact Assessment: A Survey of Selected Developing and Emerging Economies, </w:t>
      </w:r>
      <w:r w:rsidRPr="00586B0B">
        <w:rPr>
          <w:rFonts w:ascii="Calibri" w:eastAsia="MS Mincho" w:hAnsi="Calibri" w:cs="Calibri"/>
          <w:i/>
          <w:iCs/>
        </w:rPr>
        <w:t>Public Money &amp; Management</w:t>
      </w:r>
      <w:r w:rsidRPr="00586B0B">
        <w:rPr>
          <w:rFonts w:ascii="Calibri" w:eastAsia="MS Mincho" w:hAnsi="Calibri" w:cs="Calibri"/>
        </w:rPr>
        <w:t xml:space="preserve"> 36, 2, 89–96</w:t>
      </w:r>
    </w:p>
    <w:p w14:paraId="3CEAAD9F" w14:textId="77777777" w:rsidR="00586B0B" w:rsidRPr="00586B0B" w:rsidRDefault="00586B0B" w:rsidP="00586B0B">
      <w:pPr>
        <w:ind w:left="720" w:hanging="720"/>
        <w:rPr>
          <w:rFonts w:ascii="Calibri" w:eastAsia="Calibri" w:hAnsi="Calibri" w:cs="Calibri"/>
          <w:highlight w:val="yellow"/>
        </w:rPr>
      </w:pPr>
      <w:r w:rsidRPr="00586B0B">
        <w:rPr>
          <w:rFonts w:ascii="Calibri" w:eastAsia="MS Mincho" w:hAnsi="Calibri" w:cs="Calibri"/>
        </w:rPr>
        <w:t xml:space="preserve">Ambrosio-Albala, P, et al 2020, From rational to relational: How energy poor households engage with the British retail energy market, </w:t>
      </w:r>
      <w:r w:rsidRPr="00586B0B">
        <w:rPr>
          <w:rFonts w:ascii="Calibri" w:eastAsia="MS Mincho" w:hAnsi="Calibri" w:cs="Calibri"/>
          <w:i/>
          <w:iCs/>
        </w:rPr>
        <w:t>Energy Research and Social Science</w:t>
      </w:r>
      <w:r w:rsidRPr="00586B0B">
        <w:rPr>
          <w:rFonts w:ascii="Calibri" w:eastAsia="Calibri" w:hAnsi="Calibri" w:cs="Calibri"/>
        </w:rPr>
        <w:t>, 70, https://doi.org/10.1016/j.erss.2020.101765</w:t>
      </w:r>
    </w:p>
    <w:p w14:paraId="12137A2A"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Atkinson, G, Groom, B, Hanley, N, Mourato, S, 2018, Environmental Valuation and Benefit-Cost Analysis in UK Policy, </w:t>
      </w:r>
      <w:r w:rsidRPr="00586B0B">
        <w:rPr>
          <w:rFonts w:ascii="Calibri" w:eastAsia="MS Mincho" w:hAnsi="Calibri" w:cs="Calibri"/>
          <w:i/>
          <w:iCs/>
        </w:rPr>
        <w:t>Journal of Benefit-Cost Analysis</w:t>
      </w:r>
      <w:r w:rsidRPr="00586B0B">
        <w:rPr>
          <w:rFonts w:ascii="Calibri" w:eastAsia="MS Mincho" w:hAnsi="Calibri" w:cs="Calibri"/>
        </w:rPr>
        <w:t xml:space="preserve"> 9, 1, 97–119</w:t>
      </w:r>
    </w:p>
    <w:p w14:paraId="10426917"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Ayres, I, Braithwaite, J, 1992. </w:t>
      </w:r>
      <w:r w:rsidRPr="00586B0B">
        <w:rPr>
          <w:rFonts w:ascii="Calibri" w:eastAsia="MS Mincho" w:hAnsi="Calibri" w:cs="Calibri"/>
          <w:i/>
          <w:iCs/>
        </w:rPr>
        <w:t>Responsive Regulation: Transcending the Deregulation Debate</w:t>
      </w:r>
      <w:r w:rsidRPr="00586B0B">
        <w:rPr>
          <w:rFonts w:ascii="Calibri" w:eastAsia="MS Mincho" w:hAnsi="Calibri" w:cs="Calibri"/>
        </w:rPr>
        <w:t>, New York: Oxford University Press</w:t>
      </w:r>
    </w:p>
    <w:p w14:paraId="5EC643F0"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Baldwin, R, Cave, M, Lodge, M (eds), 2010, </w:t>
      </w:r>
      <w:r w:rsidRPr="00586B0B">
        <w:rPr>
          <w:rFonts w:ascii="Calibri" w:eastAsia="MS Mincho" w:hAnsi="Calibri" w:cs="Calibri"/>
          <w:i/>
          <w:iCs/>
        </w:rPr>
        <w:t>The Oxford Handbook of Regulation</w:t>
      </w:r>
      <w:r w:rsidRPr="00586B0B">
        <w:rPr>
          <w:rFonts w:ascii="Calibri" w:eastAsia="MS Mincho" w:hAnsi="Calibri" w:cs="Calibri"/>
        </w:rPr>
        <w:t>, Oxford: Oxford University Press</w:t>
      </w:r>
    </w:p>
    <w:p w14:paraId="77292AF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Baldwin, R, Cave, M, Lodge, M, 2012 </w:t>
      </w:r>
      <w:r w:rsidRPr="00586B0B">
        <w:rPr>
          <w:rFonts w:ascii="Calibri" w:eastAsia="MS Mincho" w:hAnsi="Calibri" w:cs="Calibri"/>
          <w:i/>
          <w:iCs/>
        </w:rPr>
        <w:t>Understanding Regulation: Theory, Strategy, and Practice</w:t>
      </w:r>
      <w:r w:rsidRPr="00586B0B">
        <w:rPr>
          <w:rFonts w:ascii="Calibri" w:eastAsia="MS Mincho" w:hAnsi="Calibri" w:cs="Calibri"/>
        </w:rPr>
        <w:t>, 2nd ed, New York: Oxford University Press</w:t>
      </w:r>
    </w:p>
    <w:p w14:paraId="0161812D" w14:textId="75DF89CE"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Bali, </w:t>
      </w:r>
      <w:r w:rsidR="007E6A6F">
        <w:rPr>
          <w:rFonts w:ascii="Calibri" w:eastAsia="MS Mincho" w:hAnsi="Calibri" w:cs="Calibri"/>
        </w:rPr>
        <w:t xml:space="preserve">A.S., </w:t>
      </w:r>
      <w:r w:rsidRPr="00586B0B">
        <w:rPr>
          <w:rFonts w:ascii="Calibri" w:eastAsia="MS Mincho" w:hAnsi="Calibri" w:cs="Calibri"/>
        </w:rPr>
        <w:t>Howlett</w:t>
      </w:r>
      <w:r w:rsidR="007E6A6F">
        <w:rPr>
          <w:rFonts w:ascii="Calibri" w:eastAsia="MS Mincho" w:hAnsi="Calibri" w:cs="Calibri"/>
        </w:rPr>
        <w:t xml:space="preserve">, M, </w:t>
      </w:r>
      <w:r w:rsidRPr="00586B0B">
        <w:rPr>
          <w:rFonts w:ascii="Calibri" w:eastAsia="MS Mincho" w:hAnsi="Calibri" w:cs="Calibri"/>
        </w:rPr>
        <w:t>Ramesh</w:t>
      </w:r>
      <w:r w:rsidR="007E6A6F">
        <w:rPr>
          <w:rFonts w:ascii="Calibri" w:eastAsia="MS Mincho" w:hAnsi="Calibri" w:cs="Calibri"/>
        </w:rPr>
        <w:t xml:space="preserve">, M, </w:t>
      </w:r>
      <w:r w:rsidRPr="00586B0B">
        <w:rPr>
          <w:rFonts w:ascii="Calibri" w:eastAsia="MS Mincho" w:hAnsi="Calibri" w:cs="Calibri"/>
        </w:rPr>
        <w:t>2021</w:t>
      </w:r>
      <w:r w:rsidR="007E6A6F">
        <w:rPr>
          <w:rFonts w:ascii="Calibri" w:eastAsia="MS Mincho" w:hAnsi="Calibri" w:cs="Calibri"/>
        </w:rPr>
        <w:t xml:space="preserve">, </w:t>
      </w:r>
      <w:r w:rsidRPr="00586B0B">
        <w:rPr>
          <w:rFonts w:ascii="Calibri" w:eastAsia="MS Mincho" w:hAnsi="Calibri" w:cs="Calibri"/>
        </w:rPr>
        <w:t xml:space="preserve">Unpacking policy portfolios: primary and secondary aspects of tool use in policy mixes, </w:t>
      </w:r>
      <w:r w:rsidRPr="00586B0B">
        <w:rPr>
          <w:rFonts w:ascii="Calibri" w:eastAsia="MS Mincho" w:hAnsi="Calibri" w:cs="Calibri"/>
          <w:i/>
          <w:iCs/>
        </w:rPr>
        <w:t>Journal of Asian Public Policy</w:t>
      </w:r>
      <w:r w:rsidRPr="00586B0B">
        <w:rPr>
          <w:rFonts w:ascii="Calibri" w:eastAsia="MS Mincho" w:hAnsi="Calibri" w:cs="Calibri"/>
        </w:rPr>
        <w:t xml:space="preserve"> [published online: DOI: 10.1080/17516234.2021.1907653]</w:t>
      </w:r>
    </w:p>
    <w:p w14:paraId="14A5472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Baumgartner, F.R., Jones, B.D., 1991, Agenda Dynamics and Policy Subsystems, </w:t>
      </w:r>
      <w:r w:rsidRPr="00586B0B">
        <w:rPr>
          <w:rFonts w:ascii="Calibri" w:eastAsia="MS Mincho" w:hAnsi="Calibri" w:cs="Calibri"/>
          <w:i/>
          <w:iCs/>
        </w:rPr>
        <w:t>Journal of Politics</w:t>
      </w:r>
      <w:r w:rsidRPr="00586B0B">
        <w:rPr>
          <w:rFonts w:ascii="Calibri" w:eastAsia="MS Mincho" w:hAnsi="Calibri" w:cs="Calibri"/>
        </w:rPr>
        <w:t xml:space="preserve"> 53, 4, 1044–1074</w:t>
      </w:r>
    </w:p>
    <w:p w14:paraId="23A89385"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Bazeley, P, 2013, </w:t>
      </w:r>
      <w:r w:rsidRPr="00586B0B">
        <w:rPr>
          <w:rFonts w:ascii="Calibri" w:eastAsia="MS Mincho" w:hAnsi="Calibri" w:cs="Calibri"/>
          <w:i/>
          <w:iCs/>
        </w:rPr>
        <w:t>Qualitative Data Analysis: Practical Strategies</w:t>
      </w:r>
      <w:r w:rsidRPr="00586B0B">
        <w:rPr>
          <w:rFonts w:ascii="Calibri" w:eastAsia="MS Mincho" w:hAnsi="Calibri" w:cs="Calibri"/>
        </w:rPr>
        <w:t>. Sage</w:t>
      </w:r>
    </w:p>
    <w:p w14:paraId="15301233"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Becker, S, Demski, C, Evensen, D, Pidgeon, N, 2019, Of Profits, Transparency, and Responsibility: Public Views on Financing Energy System Change in Great Britain, </w:t>
      </w:r>
      <w:r w:rsidRPr="00586B0B">
        <w:rPr>
          <w:rFonts w:ascii="Calibri" w:eastAsia="MS Mincho" w:hAnsi="Calibri" w:cs="Calibri"/>
          <w:i/>
          <w:iCs/>
        </w:rPr>
        <w:t>Energy Research &amp; Social Science</w:t>
      </w:r>
      <w:r w:rsidRPr="00586B0B">
        <w:rPr>
          <w:rFonts w:ascii="Calibri" w:eastAsia="MS Mincho" w:hAnsi="Calibri" w:cs="Calibri"/>
        </w:rPr>
        <w:t xml:space="preserve"> 55, 236–246</w:t>
      </w:r>
    </w:p>
    <w:p w14:paraId="7036E52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Beierle, T.C., 2010, </w:t>
      </w:r>
      <w:r w:rsidRPr="00586B0B">
        <w:rPr>
          <w:rFonts w:ascii="Calibri" w:eastAsia="MS Mincho" w:hAnsi="Calibri" w:cs="Calibri"/>
          <w:i/>
          <w:iCs/>
        </w:rPr>
        <w:t>Democracy in Practice: Public Participation in Environmental Decisions,</w:t>
      </w:r>
      <w:r w:rsidRPr="00586B0B">
        <w:rPr>
          <w:rFonts w:ascii="Calibri" w:eastAsia="MS Mincho" w:hAnsi="Calibri" w:cs="Calibri"/>
        </w:rPr>
        <w:t xml:space="preserve"> Routledge</w:t>
      </w:r>
    </w:p>
    <w:p w14:paraId="05033C8B"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Benish, A, Levi-Faur, D, 2020, The Reassertion of the Regulatory Welfare State: A Preface, </w:t>
      </w:r>
      <w:r w:rsidRPr="00586B0B">
        <w:rPr>
          <w:rFonts w:ascii="Calibri" w:eastAsia="MS Mincho" w:hAnsi="Calibri" w:cs="Calibri"/>
          <w:i/>
          <w:iCs/>
        </w:rPr>
        <w:t xml:space="preserve">AAPSS </w:t>
      </w:r>
      <w:r w:rsidRPr="00586B0B">
        <w:rPr>
          <w:rFonts w:ascii="Calibri" w:eastAsia="MS Mincho" w:hAnsi="Calibri" w:cs="Calibri"/>
        </w:rPr>
        <w:t>691, 1, 7-16</w:t>
      </w:r>
    </w:p>
    <w:p w14:paraId="6836511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Black, J, 2008, Constructing and Contesting Legitimacy and Accountability in Polycentric Regulatory Regimes, </w:t>
      </w:r>
      <w:r w:rsidRPr="00586B0B">
        <w:rPr>
          <w:rFonts w:ascii="Calibri" w:eastAsia="MS Mincho" w:hAnsi="Calibri" w:cs="Calibri"/>
          <w:i/>
          <w:iCs/>
        </w:rPr>
        <w:t>Regulation &amp; Governance</w:t>
      </w:r>
      <w:r w:rsidRPr="00586B0B">
        <w:rPr>
          <w:rFonts w:ascii="Calibri" w:eastAsia="MS Mincho" w:hAnsi="Calibri" w:cs="Calibri"/>
        </w:rPr>
        <w:t xml:space="preserve"> 2, 2, 137–164</w:t>
      </w:r>
    </w:p>
    <w:p w14:paraId="74F41DAC" w14:textId="144907F1" w:rsidR="006F343B" w:rsidRPr="006F343B" w:rsidRDefault="006F343B" w:rsidP="00586B0B">
      <w:pPr>
        <w:ind w:left="720" w:hanging="720"/>
        <w:rPr>
          <w:rFonts w:ascii="Calibri" w:eastAsia="MS Mincho" w:hAnsi="Calibri" w:cs="Calibri"/>
        </w:rPr>
      </w:pPr>
      <w:r>
        <w:rPr>
          <w:rFonts w:ascii="Calibri" w:eastAsia="MS Mincho" w:hAnsi="Calibri" w:cs="Calibri"/>
        </w:rPr>
        <w:lastRenderedPageBreak/>
        <w:t xml:space="preserve">Blakelock, E.E., 2020, </w:t>
      </w:r>
      <w:r w:rsidRPr="006F343B">
        <w:rPr>
          <w:rFonts w:ascii="Calibri" w:eastAsia="MS Mincho" w:hAnsi="Calibri" w:cs="Calibri"/>
          <w:i/>
          <w:iCs/>
        </w:rPr>
        <w:t>What role did knowledges of ‘consumers’ play in the formulation of GB energy market regulation between 2000 and 2016?</w:t>
      </w:r>
      <w:r>
        <w:rPr>
          <w:rFonts w:ascii="Calibri" w:eastAsia="MS Mincho" w:hAnsi="Calibri" w:cs="Calibri"/>
        </w:rPr>
        <w:t xml:space="preserve"> PhD Thesis, University of East Anglia, UK</w:t>
      </w:r>
    </w:p>
    <w:p w14:paraId="06D30E0C" w14:textId="730DD6BE"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Braun, C, Busuioc, M, 2020, Stakeholder engagement as a conduit for regulatory legitimacy? </w:t>
      </w:r>
      <w:r w:rsidRPr="00586B0B">
        <w:rPr>
          <w:rFonts w:ascii="Calibri" w:eastAsia="MS Mincho" w:hAnsi="Calibri" w:cs="Calibri"/>
          <w:i/>
          <w:iCs/>
        </w:rPr>
        <w:t xml:space="preserve">Journal of European Public Policy </w:t>
      </w:r>
      <w:r w:rsidRPr="00586B0B">
        <w:rPr>
          <w:rFonts w:ascii="Calibri" w:eastAsia="MS Mincho" w:hAnsi="Calibri" w:cs="Calibri"/>
        </w:rPr>
        <w:t>27, 11, 1599-1611</w:t>
      </w:r>
    </w:p>
    <w:p w14:paraId="69CE988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Bunea, A, 2013, Issues, preferences and ties: Determinants of interest groups’ preference attainment in the EU environmental policy, </w:t>
      </w:r>
      <w:r w:rsidRPr="00586B0B">
        <w:rPr>
          <w:rFonts w:ascii="Calibri" w:eastAsia="MS Mincho" w:hAnsi="Calibri" w:cs="Calibri"/>
          <w:i/>
          <w:iCs/>
        </w:rPr>
        <w:t>Journal of European Public Policy</w:t>
      </w:r>
      <w:r w:rsidRPr="00586B0B">
        <w:rPr>
          <w:rFonts w:ascii="Calibri" w:eastAsia="MS Mincho" w:hAnsi="Calibri" w:cs="Calibri"/>
        </w:rPr>
        <w:t xml:space="preserve"> 20, 4, 552–570</w:t>
      </w:r>
    </w:p>
    <w:p w14:paraId="35BE7FC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Burnham, P, Lutz, K.G., Grant, W, Layton-Henry, Z, 2008, </w:t>
      </w:r>
      <w:r w:rsidRPr="00586B0B">
        <w:rPr>
          <w:rFonts w:ascii="Calibri" w:eastAsia="MS Mincho" w:hAnsi="Calibri" w:cs="Calibri"/>
          <w:i/>
          <w:iCs/>
        </w:rPr>
        <w:t>Research Methods in Politics,</w:t>
      </w:r>
      <w:r w:rsidRPr="00586B0B">
        <w:rPr>
          <w:rFonts w:ascii="Calibri" w:eastAsia="MS Mincho" w:hAnsi="Calibri" w:cs="Calibri"/>
        </w:rPr>
        <w:t xml:space="preserve"> Macmillan International Higher Education</w:t>
      </w:r>
    </w:p>
    <w:p w14:paraId="683813F6" w14:textId="6B34A24B"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Capano, G, Howlett, M</w:t>
      </w:r>
      <w:r w:rsidR="0097758F">
        <w:rPr>
          <w:rFonts w:ascii="Calibri" w:eastAsia="MS Mincho" w:hAnsi="Calibri" w:cs="Calibri"/>
        </w:rPr>
        <w:t xml:space="preserve">, </w:t>
      </w:r>
      <w:r w:rsidRPr="00586B0B">
        <w:rPr>
          <w:rFonts w:ascii="Calibri" w:eastAsia="MS Mincho" w:hAnsi="Calibri" w:cs="Calibri"/>
        </w:rPr>
        <w:t>2020</w:t>
      </w:r>
      <w:r w:rsidR="0097758F">
        <w:rPr>
          <w:rFonts w:ascii="Calibri" w:eastAsia="MS Mincho" w:hAnsi="Calibri" w:cs="Calibri"/>
        </w:rPr>
        <w:t xml:space="preserve">, </w:t>
      </w:r>
      <w:r w:rsidRPr="00586B0B">
        <w:rPr>
          <w:rFonts w:ascii="Calibri" w:eastAsia="MS Mincho" w:hAnsi="Calibri" w:cs="Calibri"/>
        </w:rPr>
        <w:t>The knowns and unknowns of policy instrument analysis: Policy tools and the current research agenda on policy mixes</w:t>
      </w:r>
      <w:r w:rsidR="0097758F">
        <w:rPr>
          <w:rFonts w:ascii="Calibri" w:eastAsia="MS Mincho" w:hAnsi="Calibri" w:cs="Calibri"/>
        </w:rPr>
        <w:t>,</w:t>
      </w:r>
      <w:r w:rsidRPr="00586B0B">
        <w:rPr>
          <w:rFonts w:ascii="Calibri" w:eastAsia="MS Mincho" w:hAnsi="Calibri" w:cs="Calibri"/>
        </w:rPr>
        <w:t xml:space="preserve"> </w:t>
      </w:r>
      <w:r w:rsidRPr="00586B0B">
        <w:rPr>
          <w:rFonts w:ascii="Calibri" w:eastAsia="MS Mincho" w:hAnsi="Calibri" w:cs="Calibri"/>
          <w:i/>
          <w:iCs/>
        </w:rPr>
        <w:t>SAGE Open</w:t>
      </w:r>
      <w:r w:rsidRPr="00586B0B">
        <w:rPr>
          <w:rFonts w:ascii="Calibri" w:eastAsia="MS Mincho" w:hAnsi="Calibri" w:cs="Calibri"/>
        </w:rPr>
        <w:t xml:space="preserve"> 10 (Jan-Mar 2020) https://doi. org/10.1177/2158244019900568</w:t>
      </w:r>
    </w:p>
    <w:p w14:paraId="44A405B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Chilvers, J, 2010, </w:t>
      </w:r>
      <w:r w:rsidRPr="00586B0B">
        <w:rPr>
          <w:rFonts w:ascii="Calibri" w:eastAsia="MS Mincho" w:hAnsi="Calibri" w:cs="Calibri"/>
          <w:i/>
          <w:iCs/>
        </w:rPr>
        <w:t>Sustainable Participation? Mapping out and Reflecting on the Field of Public Dialogue on Science and Technology</w:t>
      </w:r>
      <w:r w:rsidRPr="00586B0B">
        <w:rPr>
          <w:rFonts w:ascii="Calibri" w:eastAsia="MS Mincho" w:hAnsi="Calibri" w:cs="Calibri"/>
        </w:rPr>
        <w:t>, Harwell: Sciencewise Expert Resource Centre</w:t>
      </w:r>
    </w:p>
    <w:p w14:paraId="637B3CC0"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Cohen, J, Sabel, C.F., 2004, Global Democracy?, </w:t>
      </w:r>
      <w:r w:rsidRPr="00586B0B">
        <w:rPr>
          <w:rFonts w:ascii="Calibri" w:eastAsia="MS Mincho" w:hAnsi="Calibri" w:cs="Calibri"/>
          <w:i/>
          <w:iCs/>
        </w:rPr>
        <w:t>NYU J Int’l. L. &amp; Pol.</w:t>
      </w:r>
      <w:r w:rsidRPr="00586B0B">
        <w:rPr>
          <w:rFonts w:ascii="Calibri" w:eastAsia="MS Mincho" w:hAnsi="Calibri" w:cs="Calibri"/>
        </w:rPr>
        <w:t xml:space="preserve"> 37, 763-797</w:t>
      </w:r>
    </w:p>
    <w:p w14:paraId="09D68FB5"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Competition and Markets Authority, 2016, </w:t>
      </w:r>
      <w:r w:rsidRPr="00586B0B">
        <w:rPr>
          <w:rFonts w:ascii="Calibri" w:eastAsia="MS Mincho" w:hAnsi="Calibri" w:cs="Calibri"/>
          <w:i/>
          <w:iCs/>
        </w:rPr>
        <w:t>Final Report</w:t>
      </w:r>
      <w:r w:rsidRPr="00586B0B">
        <w:rPr>
          <w:rFonts w:ascii="Calibri" w:eastAsia="MS Mincho" w:hAnsi="Calibri" w:cs="Calibri"/>
        </w:rPr>
        <w:t>.</w:t>
      </w:r>
    </w:p>
    <w:p w14:paraId="0753D33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Cotton, M, Devine-Wright, P, 2012, Making Electricity Networks “Visible”: Industry Actor Representations of “Publics” and Public Engagement in Infrastructure Planning, </w:t>
      </w:r>
      <w:r w:rsidRPr="00586B0B">
        <w:rPr>
          <w:rFonts w:ascii="Calibri" w:eastAsia="MS Mincho" w:hAnsi="Calibri" w:cs="Calibri"/>
          <w:i/>
          <w:iCs/>
        </w:rPr>
        <w:t>Public Understanding of Science</w:t>
      </w:r>
      <w:r w:rsidRPr="00586B0B">
        <w:rPr>
          <w:rFonts w:ascii="Calibri" w:eastAsia="MS Mincho" w:hAnsi="Calibri" w:cs="Calibri"/>
        </w:rPr>
        <w:t xml:space="preserve"> 21, 1, 17–35</w:t>
      </w:r>
    </w:p>
    <w:p w14:paraId="028F4F49"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Cuppen, E, Breukers, S, Hisschemöller, M, Bergsma, E, 2010, Q Methodology to Select Participants for a Stakeholder Dialogue on Energy Options from Biomass in the Netherlands, </w:t>
      </w:r>
      <w:r w:rsidRPr="00586B0B">
        <w:rPr>
          <w:rFonts w:ascii="Calibri" w:eastAsia="MS Mincho" w:hAnsi="Calibri" w:cs="Calibri"/>
          <w:i/>
          <w:iCs/>
        </w:rPr>
        <w:t>Ecological Economics</w:t>
      </w:r>
      <w:r w:rsidRPr="00586B0B">
        <w:rPr>
          <w:rFonts w:ascii="Calibri" w:eastAsia="MS Mincho" w:hAnsi="Calibri" w:cs="Calibri"/>
        </w:rPr>
        <w:t xml:space="preserve"> 69, 3, 579–591</w:t>
      </w:r>
    </w:p>
    <w:p w14:paraId="4EE165D5"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Davies, P, 2001, Spies as Informants: Triangulation and the Interpretation of Elite Interview Data in the Study of the Intelligence and Security Services, </w:t>
      </w:r>
      <w:r w:rsidRPr="00586B0B">
        <w:rPr>
          <w:rFonts w:ascii="Calibri" w:eastAsia="MS Mincho" w:hAnsi="Calibri" w:cs="Calibri"/>
          <w:i/>
          <w:iCs/>
        </w:rPr>
        <w:t>Politics</w:t>
      </w:r>
      <w:r w:rsidRPr="00586B0B">
        <w:rPr>
          <w:rFonts w:ascii="Calibri" w:eastAsia="MS Mincho" w:hAnsi="Calibri" w:cs="Calibri"/>
        </w:rPr>
        <w:t xml:space="preserve"> 21, 1, 73–80</w:t>
      </w:r>
    </w:p>
    <w:p w14:paraId="380C6CB5"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Deller, D et al, 2018, </w:t>
      </w:r>
      <w:r w:rsidRPr="00586B0B">
        <w:rPr>
          <w:rFonts w:ascii="Calibri" w:eastAsia="MS Mincho" w:hAnsi="Calibri" w:cs="Calibri"/>
          <w:i/>
          <w:iCs/>
        </w:rPr>
        <w:t>Fairness in Retail Energy Markets? Evidence from the UK</w:t>
      </w:r>
      <w:r w:rsidRPr="00586B0B">
        <w:rPr>
          <w:rFonts w:ascii="Calibri" w:eastAsia="MS Mincho" w:hAnsi="Calibri" w:cs="Calibri"/>
        </w:rPr>
        <w:t>. A report by the Centre for Competition Policy</w:t>
      </w:r>
    </w:p>
    <w:p w14:paraId="4FB31B7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Demski, C, Evensen, D, Pidgeon, N, Spence, A, 2017, Public Prioritisation of Energy Affordability in the UK, </w:t>
      </w:r>
      <w:r w:rsidRPr="00586B0B">
        <w:rPr>
          <w:rFonts w:ascii="Calibri" w:eastAsia="MS Mincho" w:hAnsi="Calibri" w:cs="Calibri"/>
          <w:i/>
          <w:iCs/>
        </w:rPr>
        <w:t>Energy Policy</w:t>
      </w:r>
      <w:r w:rsidRPr="00586B0B">
        <w:rPr>
          <w:rFonts w:ascii="Calibri" w:eastAsia="MS Mincho" w:hAnsi="Calibri" w:cs="Calibri"/>
        </w:rPr>
        <w:t xml:space="preserve"> 110, 404–409.</w:t>
      </w:r>
    </w:p>
    <w:p w14:paraId="2530A707"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Department for Business, Innovation and Skills, 2011, </w:t>
      </w:r>
      <w:r w:rsidRPr="00586B0B">
        <w:rPr>
          <w:rFonts w:ascii="Calibri" w:eastAsia="MS Mincho" w:hAnsi="Calibri" w:cs="Calibri"/>
          <w:i/>
          <w:iCs/>
        </w:rPr>
        <w:t>Principles for Economic Regulation</w:t>
      </w:r>
      <w:r w:rsidRPr="00586B0B">
        <w:rPr>
          <w:rFonts w:ascii="Calibri" w:eastAsia="MS Mincho" w:hAnsi="Calibri" w:cs="Calibri"/>
        </w:rPr>
        <w:t>, London: BIS (Crown copyright)</w:t>
      </w:r>
    </w:p>
    <w:p w14:paraId="56847D60"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Devine-Wright, P, 2007, Energy Citizenship: Psychological Aspects of Evolution in Sustainable Energy Technologies, in J. Murphy (ed) </w:t>
      </w:r>
      <w:r w:rsidRPr="00586B0B">
        <w:rPr>
          <w:rFonts w:ascii="Calibri" w:eastAsia="MS Mincho" w:hAnsi="Calibri" w:cs="Calibri"/>
          <w:i/>
          <w:iCs/>
        </w:rPr>
        <w:t>Governing technology for sustainability</w:t>
      </w:r>
      <w:r w:rsidRPr="00586B0B">
        <w:rPr>
          <w:rFonts w:ascii="Calibri" w:eastAsia="MS Mincho" w:hAnsi="Calibri" w:cs="Calibri"/>
        </w:rPr>
        <w:t>, London: Earthscan, 63-86</w:t>
      </w:r>
    </w:p>
    <w:p w14:paraId="33CAB0CE"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Dunlop, C.A., 2010, The Temporal Dimension of Knowledge and the Limits of Policy Appraisal: Biofuels Policy in the UK, </w:t>
      </w:r>
      <w:r w:rsidRPr="00586B0B">
        <w:rPr>
          <w:rFonts w:ascii="Calibri" w:eastAsia="MS Mincho" w:hAnsi="Calibri" w:cs="Calibri"/>
          <w:i/>
          <w:iCs/>
        </w:rPr>
        <w:t>Policy Sciences</w:t>
      </w:r>
      <w:r w:rsidRPr="00586B0B">
        <w:rPr>
          <w:rFonts w:ascii="Calibri" w:eastAsia="MS Mincho" w:hAnsi="Calibri" w:cs="Calibri"/>
        </w:rPr>
        <w:t xml:space="preserve"> 43, 4, 343–363</w:t>
      </w:r>
    </w:p>
    <w:p w14:paraId="1386FC61" w14:textId="6004289B" w:rsidR="00586B0B" w:rsidRPr="00586B0B" w:rsidRDefault="00586B0B" w:rsidP="007303EC">
      <w:pPr>
        <w:ind w:left="720" w:hanging="720"/>
        <w:rPr>
          <w:rFonts w:ascii="Calibri" w:eastAsia="MS Mincho" w:hAnsi="Calibri" w:cs="Calibri"/>
          <w:highlight w:val="yellow"/>
        </w:rPr>
      </w:pPr>
      <w:r w:rsidRPr="00586B0B">
        <w:rPr>
          <w:rFonts w:ascii="Calibri" w:eastAsia="MS Mincho" w:hAnsi="Calibri" w:cs="Calibri"/>
        </w:rPr>
        <w:t xml:space="preserve">Dunlop, C.A., Radaelli, C.M., 2016, The Politics and Economics of Regulatory Impact Assessment, in C.A. Dunlop and C.M. Radaelli (eds) </w:t>
      </w:r>
      <w:r w:rsidRPr="00586B0B">
        <w:rPr>
          <w:rFonts w:ascii="Calibri" w:eastAsia="MS Mincho" w:hAnsi="Calibri" w:cs="Calibri"/>
          <w:i/>
          <w:iCs/>
        </w:rPr>
        <w:t xml:space="preserve">Handbook of Regulatory Impact Assessment, </w:t>
      </w:r>
      <w:r w:rsidRPr="00586B0B">
        <w:rPr>
          <w:rFonts w:ascii="Calibri" w:eastAsia="MS Mincho" w:hAnsi="Calibri" w:cs="Calibri"/>
        </w:rPr>
        <w:t>Cheltenham: Edward Elgar, 3-17</w:t>
      </w:r>
    </w:p>
    <w:p w14:paraId="199CE9E0"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Energy UK, 2016, </w:t>
      </w:r>
      <w:r w:rsidRPr="00586B0B">
        <w:rPr>
          <w:rFonts w:ascii="Calibri" w:eastAsia="MS Mincho" w:hAnsi="Calibri" w:cs="Calibri"/>
          <w:i/>
          <w:iCs/>
        </w:rPr>
        <w:t>The Energy UK Safety Net</w:t>
      </w:r>
      <w:r w:rsidRPr="00586B0B">
        <w:rPr>
          <w:rFonts w:ascii="Calibri" w:eastAsia="MS Mincho" w:hAnsi="Calibri" w:cs="Calibri"/>
        </w:rPr>
        <w:t>, Energy UK, February</w:t>
      </w:r>
    </w:p>
    <w:p w14:paraId="51BB09DA" w14:textId="5D5E8525" w:rsidR="00D90015" w:rsidRDefault="00D90015" w:rsidP="00586B0B">
      <w:pPr>
        <w:ind w:left="720" w:hanging="720"/>
        <w:rPr>
          <w:rFonts w:ascii="Calibri" w:eastAsia="MS Mincho" w:hAnsi="Calibri" w:cs="Calibri"/>
        </w:rPr>
      </w:pPr>
      <w:r>
        <w:rPr>
          <w:rFonts w:ascii="Calibri" w:eastAsia="MS Mincho" w:hAnsi="Calibri" w:cs="Calibri"/>
        </w:rPr>
        <w:t xml:space="preserve">EU, 2019, </w:t>
      </w:r>
      <w:r w:rsidRPr="00767ACA">
        <w:rPr>
          <w:rFonts w:ascii="Calibri" w:eastAsia="MS Mincho" w:hAnsi="Calibri" w:cs="Calibri"/>
          <w:i/>
          <w:iCs/>
        </w:rPr>
        <w:t>Directive (EU) 2019/944 of the European Parliament and of the Council of 5 June 2019 on common rules for the internal market for electricity and amending Directive 2012/27/EU</w:t>
      </w:r>
    </w:p>
    <w:p w14:paraId="33C4FA6A" w14:textId="167997A3" w:rsidR="00586B0B" w:rsidRPr="00586B0B" w:rsidRDefault="00586B0B" w:rsidP="00586B0B">
      <w:pPr>
        <w:ind w:left="720" w:hanging="720"/>
        <w:rPr>
          <w:rFonts w:ascii="Calibri" w:eastAsia="MS Mincho" w:hAnsi="Calibri" w:cs="Calibri"/>
        </w:rPr>
      </w:pPr>
      <w:r w:rsidRPr="00586B0B">
        <w:rPr>
          <w:rFonts w:ascii="Calibri" w:eastAsia="MS Mincho" w:hAnsi="Calibri" w:cs="Calibri"/>
        </w:rPr>
        <w:lastRenderedPageBreak/>
        <w:t xml:space="preserve">Felt, U, Igelsboeck, J, Schikowitz, A, Voelker, T, 2012, Challenging Participation in Sustainability Research, </w:t>
      </w:r>
      <w:r w:rsidRPr="00586B0B">
        <w:rPr>
          <w:rFonts w:ascii="Calibri" w:eastAsia="MS Mincho" w:hAnsi="Calibri" w:cs="Calibri"/>
          <w:i/>
          <w:iCs/>
        </w:rPr>
        <w:t>International Journal of Deliberative Mechanisms in Science</w:t>
      </w:r>
      <w:r w:rsidRPr="00586B0B">
        <w:rPr>
          <w:rFonts w:ascii="Calibri" w:eastAsia="MS Mincho" w:hAnsi="Calibri" w:cs="Calibri"/>
        </w:rPr>
        <w:t xml:space="preserve"> 1, 1, 4</w:t>
      </w:r>
      <w:r w:rsidRPr="00586B0B">
        <w:rPr>
          <w:rFonts w:ascii="Calibri" w:eastAsia="MS Mincho" w:hAnsi="Calibri" w:cs="Calibri"/>
        </w:rPr>
        <w:softHyphen/>
        <w:t>-34</w:t>
      </w:r>
    </w:p>
    <w:p w14:paraId="26C770CA"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Ferretti, J, 2017, </w:t>
      </w:r>
      <w:r w:rsidRPr="00586B0B">
        <w:rPr>
          <w:rFonts w:ascii="Calibri" w:eastAsia="MS Mincho" w:hAnsi="Calibri" w:cs="Calibri"/>
          <w:i/>
          <w:iCs/>
        </w:rPr>
        <w:t>Do Policy Impact Assessment Processes Promote Stringent Environmental Policy?: A Comparative Analysis between Great Britain and Germany,</w:t>
      </w:r>
      <w:r w:rsidRPr="00586B0B">
        <w:rPr>
          <w:rFonts w:ascii="Calibri" w:eastAsia="MS Mincho" w:hAnsi="Calibri" w:cs="Calibri"/>
        </w:rPr>
        <w:t xml:space="preserve"> PhD Thesis, Freie Universitaet Berlin</w:t>
      </w:r>
    </w:p>
    <w:p w14:paraId="4C3EC106" w14:textId="77777777" w:rsidR="00586B0B" w:rsidRPr="00F35638" w:rsidRDefault="00586B0B" w:rsidP="00586B0B">
      <w:pPr>
        <w:ind w:left="720" w:hanging="720"/>
        <w:rPr>
          <w:rFonts w:asciiTheme="majorHAnsi" w:eastAsia="MS Mincho" w:hAnsiTheme="majorHAnsi" w:cstheme="majorHAnsi"/>
        </w:rPr>
      </w:pPr>
      <w:r w:rsidRPr="00586B0B">
        <w:rPr>
          <w:rFonts w:ascii="Calibri" w:eastAsia="MS Mincho" w:hAnsi="Calibri" w:cs="Calibri"/>
        </w:rPr>
        <w:t xml:space="preserve">Fernández-Gutiérrez, M, James, O, Jilke, S, 2017, Competition and switching in public service markets: Can they reduce inequalities? </w:t>
      </w:r>
      <w:r w:rsidRPr="00586B0B">
        <w:rPr>
          <w:rFonts w:ascii="Calibri" w:eastAsia="MS Mincho" w:hAnsi="Calibri" w:cs="Calibri"/>
          <w:i/>
          <w:iCs/>
        </w:rPr>
        <w:t xml:space="preserve">Regulation and Governance </w:t>
      </w:r>
      <w:r w:rsidRPr="00586B0B">
        <w:rPr>
          <w:rFonts w:ascii="Calibri" w:eastAsia="MS Mincho" w:hAnsi="Calibri" w:cs="Calibri"/>
        </w:rPr>
        <w:t>11, 1, 41-63</w:t>
      </w:r>
    </w:p>
    <w:p w14:paraId="7D2570BE" w14:textId="01BADB45" w:rsidR="00775028" w:rsidRPr="00F35638" w:rsidRDefault="00793ADF" w:rsidP="00F35638">
      <w:pPr>
        <w:autoSpaceDE w:val="0"/>
        <w:autoSpaceDN w:val="0"/>
        <w:adjustRightInd w:val="0"/>
        <w:ind w:left="720" w:hanging="720"/>
        <w:rPr>
          <w:rFonts w:asciiTheme="majorHAnsi" w:eastAsia="MS Mincho" w:hAnsiTheme="majorHAnsi" w:cstheme="majorHAnsi"/>
        </w:rPr>
      </w:pPr>
      <w:r w:rsidRPr="00F35638">
        <w:rPr>
          <w:rFonts w:asciiTheme="majorHAnsi" w:hAnsiTheme="majorHAnsi" w:cstheme="majorHAnsi"/>
          <w:color w:val="000000"/>
        </w:rPr>
        <w:t>Fraussen, B, Albareda, A, Braun, C</w:t>
      </w:r>
      <w:r w:rsidR="00F35638" w:rsidRPr="00F35638">
        <w:rPr>
          <w:rFonts w:asciiTheme="majorHAnsi" w:hAnsiTheme="majorHAnsi" w:cstheme="majorHAnsi"/>
          <w:color w:val="000000"/>
        </w:rPr>
        <w:t>, 2020,</w:t>
      </w:r>
      <w:r w:rsidRPr="00F35638">
        <w:rPr>
          <w:rFonts w:asciiTheme="majorHAnsi" w:hAnsiTheme="majorHAnsi" w:cstheme="majorHAnsi"/>
          <w:color w:val="000000"/>
        </w:rPr>
        <w:t xml:space="preserve"> Conceptualizing consultation</w:t>
      </w:r>
      <w:r w:rsidR="00F35638" w:rsidRPr="00F35638">
        <w:rPr>
          <w:rFonts w:asciiTheme="majorHAnsi" w:hAnsiTheme="majorHAnsi" w:cstheme="majorHAnsi"/>
          <w:color w:val="000000"/>
        </w:rPr>
        <w:t xml:space="preserve"> a</w:t>
      </w:r>
      <w:r w:rsidRPr="00F35638">
        <w:rPr>
          <w:rFonts w:asciiTheme="majorHAnsi" w:hAnsiTheme="majorHAnsi" w:cstheme="majorHAnsi"/>
          <w:color w:val="000000"/>
        </w:rPr>
        <w:t>pproaches:</w:t>
      </w:r>
      <w:r w:rsidR="00F35638" w:rsidRPr="00F35638">
        <w:rPr>
          <w:rFonts w:asciiTheme="majorHAnsi" w:hAnsiTheme="majorHAnsi" w:cstheme="majorHAnsi"/>
          <w:color w:val="000000"/>
        </w:rPr>
        <w:t xml:space="preserve"> </w:t>
      </w:r>
      <w:r w:rsidRPr="00F35638">
        <w:rPr>
          <w:rFonts w:asciiTheme="majorHAnsi" w:hAnsiTheme="majorHAnsi" w:cstheme="majorHAnsi"/>
          <w:color w:val="000000"/>
        </w:rPr>
        <w:t>Identifying combinations of consultation tools and analyzing their implications for</w:t>
      </w:r>
      <w:r w:rsidR="00F35638" w:rsidRPr="00F35638">
        <w:rPr>
          <w:rFonts w:asciiTheme="majorHAnsi" w:hAnsiTheme="majorHAnsi" w:cstheme="majorHAnsi"/>
          <w:color w:val="000000"/>
        </w:rPr>
        <w:t xml:space="preserve"> </w:t>
      </w:r>
      <w:r w:rsidRPr="00F35638">
        <w:rPr>
          <w:rFonts w:asciiTheme="majorHAnsi" w:hAnsiTheme="majorHAnsi" w:cstheme="majorHAnsi"/>
          <w:color w:val="000000"/>
        </w:rPr>
        <w:t>stakeholder diversity</w:t>
      </w:r>
      <w:r w:rsidR="00F35638" w:rsidRPr="00F35638">
        <w:rPr>
          <w:rFonts w:asciiTheme="majorHAnsi" w:hAnsiTheme="majorHAnsi" w:cstheme="majorHAnsi"/>
          <w:color w:val="000000"/>
        </w:rPr>
        <w:t>,</w:t>
      </w:r>
      <w:r w:rsidRPr="00F35638">
        <w:rPr>
          <w:rFonts w:asciiTheme="majorHAnsi" w:hAnsiTheme="majorHAnsi" w:cstheme="majorHAnsi"/>
          <w:color w:val="000000"/>
        </w:rPr>
        <w:t xml:space="preserve"> </w:t>
      </w:r>
      <w:r w:rsidRPr="00F35638">
        <w:rPr>
          <w:rFonts w:asciiTheme="majorHAnsi" w:hAnsiTheme="majorHAnsi" w:cstheme="majorHAnsi"/>
          <w:i/>
          <w:iCs/>
          <w:color w:val="000000"/>
        </w:rPr>
        <w:t>Policy Sciences</w:t>
      </w:r>
      <w:r w:rsidRPr="00F35638">
        <w:rPr>
          <w:rFonts w:asciiTheme="majorHAnsi" w:hAnsiTheme="majorHAnsi" w:cstheme="majorHAnsi"/>
          <w:color w:val="000000"/>
        </w:rPr>
        <w:t xml:space="preserve"> 53, 473–493</w:t>
      </w:r>
    </w:p>
    <w:p w14:paraId="1E7FD7E3" w14:textId="36EEAB11" w:rsidR="00586B0B" w:rsidRPr="00586B0B" w:rsidRDefault="00586B0B" w:rsidP="00586B0B">
      <w:pPr>
        <w:ind w:left="720" w:hanging="720"/>
        <w:rPr>
          <w:rFonts w:ascii="Calibri" w:eastAsia="MS Mincho" w:hAnsi="Calibri" w:cs="Calibri"/>
        </w:rPr>
      </w:pPr>
      <w:r w:rsidRPr="00F35638">
        <w:rPr>
          <w:rFonts w:asciiTheme="majorHAnsi" w:eastAsia="MS Mincho" w:hAnsiTheme="majorHAnsi" w:cstheme="majorHAnsi"/>
        </w:rPr>
        <w:t>Froomkin, A.M., 2000, Wrong</w:t>
      </w:r>
      <w:r w:rsidRPr="00586B0B">
        <w:rPr>
          <w:rFonts w:ascii="Calibri" w:eastAsia="MS Mincho" w:hAnsi="Calibri" w:cs="Calibri"/>
        </w:rPr>
        <w:t xml:space="preserve"> Turn in Cyberspace: Using ICANN to Route around the APA and the Constitution, </w:t>
      </w:r>
      <w:r w:rsidRPr="00586B0B">
        <w:rPr>
          <w:rFonts w:ascii="Calibri" w:eastAsia="MS Mincho" w:hAnsi="Calibri" w:cs="Calibri"/>
          <w:i/>
          <w:iCs/>
        </w:rPr>
        <w:t>Duke Law Journal</w:t>
      </w:r>
      <w:r w:rsidRPr="00586B0B">
        <w:rPr>
          <w:rFonts w:ascii="Calibri" w:eastAsia="MS Mincho" w:hAnsi="Calibri" w:cs="Calibri"/>
        </w:rPr>
        <w:t xml:space="preserve"> 50, 17-184</w:t>
      </w:r>
    </w:p>
    <w:p w14:paraId="2989F363"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Haber, H, 2015, Regulation as Social Policy: Home Evictions and Repossessions in the UK and Sweden, </w:t>
      </w:r>
      <w:r w:rsidRPr="00586B0B">
        <w:rPr>
          <w:rFonts w:ascii="Calibri" w:eastAsia="MS Mincho" w:hAnsi="Calibri" w:cs="Calibri"/>
          <w:i/>
          <w:iCs/>
        </w:rPr>
        <w:t>Public Administration</w:t>
      </w:r>
      <w:r w:rsidRPr="00586B0B">
        <w:rPr>
          <w:rFonts w:ascii="Calibri" w:eastAsia="MS Mincho" w:hAnsi="Calibri" w:cs="Calibri"/>
        </w:rPr>
        <w:t xml:space="preserve"> 93, 3, 806–821</w:t>
      </w:r>
    </w:p>
    <w:p w14:paraId="2C4AE13A" w14:textId="77777777" w:rsidR="00586B0B" w:rsidRPr="00586B0B" w:rsidRDefault="00586B0B" w:rsidP="00586B0B">
      <w:pPr>
        <w:ind w:left="720" w:hanging="720"/>
        <w:rPr>
          <w:rFonts w:ascii="Calibri" w:eastAsia="MS Mincho" w:hAnsi="Calibri" w:cs="Calibri"/>
          <w:highlight w:val="yellow"/>
        </w:rPr>
      </w:pPr>
      <w:r w:rsidRPr="00586B0B">
        <w:rPr>
          <w:rFonts w:ascii="Calibri" w:eastAsia="MS Mincho" w:hAnsi="Calibri" w:cs="Calibri"/>
        </w:rPr>
        <w:t xml:space="preserve">Haber, H, 2017, Rise of the Regulatory Welfare State? Social Regulation in Utilities in Israel, </w:t>
      </w:r>
      <w:r w:rsidRPr="00586B0B">
        <w:rPr>
          <w:rFonts w:ascii="Calibri" w:eastAsia="MS Mincho" w:hAnsi="Calibri" w:cs="Calibri"/>
          <w:i/>
          <w:iCs/>
        </w:rPr>
        <w:t>Social Policy and Administration</w:t>
      </w:r>
      <w:r w:rsidRPr="00586B0B">
        <w:rPr>
          <w:rFonts w:ascii="Calibri" w:eastAsia="MS Mincho" w:hAnsi="Calibri" w:cs="Calibri"/>
        </w:rPr>
        <w:t xml:space="preserve"> 51, 3, 442-463</w:t>
      </w:r>
    </w:p>
    <w:p w14:paraId="4FAF33C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Haber, H, Heims, E, 2016 Regulating for and with the masses: a new era of regulation?, </w:t>
      </w:r>
      <w:r w:rsidRPr="00586B0B">
        <w:rPr>
          <w:rFonts w:ascii="Calibri" w:eastAsia="MS Mincho" w:hAnsi="Calibri" w:cs="Calibri"/>
          <w:i/>
          <w:iCs/>
        </w:rPr>
        <w:t xml:space="preserve">Risk &amp; Regulation Magazine </w:t>
      </w:r>
      <w:r w:rsidRPr="00586B0B">
        <w:rPr>
          <w:rFonts w:ascii="Calibri" w:eastAsia="MS Mincho" w:hAnsi="Calibri" w:cs="Calibri"/>
        </w:rPr>
        <w:t>32, 16-17</w:t>
      </w:r>
    </w:p>
    <w:p w14:paraId="0F614A1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Haber, H, Heims, E, 2020, Regulating with the masses? Mapping the spread of participatory regulation, </w:t>
      </w:r>
      <w:r w:rsidRPr="00586B0B">
        <w:rPr>
          <w:rFonts w:ascii="Calibri" w:eastAsia="MS Mincho" w:hAnsi="Calibri" w:cs="Calibri"/>
          <w:i/>
          <w:iCs/>
        </w:rPr>
        <w:t xml:space="preserve">Journal of European Public Policy </w:t>
      </w:r>
      <w:r w:rsidRPr="00586B0B">
        <w:rPr>
          <w:rFonts w:ascii="Calibri" w:eastAsia="MS Mincho" w:hAnsi="Calibri" w:cs="Calibri"/>
        </w:rPr>
        <w:t>27, 11, 1742-1762</w:t>
      </w:r>
    </w:p>
    <w:p w14:paraId="2264C33B"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Hancher, L, Moran, M, 1989, </w:t>
      </w:r>
      <w:r w:rsidRPr="00586B0B">
        <w:rPr>
          <w:rFonts w:ascii="Calibri" w:eastAsia="MS Mincho" w:hAnsi="Calibri" w:cs="Calibri"/>
          <w:i/>
          <w:iCs/>
        </w:rPr>
        <w:t>Capitalism, Culture, and Economic Regulation,</w:t>
      </w:r>
      <w:r w:rsidRPr="00586B0B">
        <w:rPr>
          <w:rFonts w:ascii="Calibri" w:eastAsia="MS Mincho" w:hAnsi="Calibri" w:cs="Calibri"/>
        </w:rPr>
        <w:t xml:space="preserve"> Oxford: Oxford University Press</w:t>
      </w:r>
    </w:p>
    <w:p w14:paraId="0EA2649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Harvey, W. S., 2011, Strategies for Conducting Elite Interviews, </w:t>
      </w:r>
      <w:r w:rsidRPr="00586B0B">
        <w:rPr>
          <w:rFonts w:ascii="Calibri" w:eastAsia="MS Mincho" w:hAnsi="Calibri" w:cs="Calibri"/>
          <w:i/>
          <w:iCs/>
        </w:rPr>
        <w:t>Qualitative Research</w:t>
      </w:r>
      <w:r w:rsidRPr="00586B0B">
        <w:rPr>
          <w:rFonts w:ascii="Calibri" w:eastAsia="MS Mincho" w:hAnsi="Calibri" w:cs="Calibri"/>
        </w:rPr>
        <w:t xml:space="preserve"> 11, 4, 431–441</w:t>
      </w:r>
    </w:p>
    <w:p w14:paraId="06FA74AA"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Heims, E, Lodge, M, 2018 Customer Engagement in UK Water Regulation: Towards a Collaborative Regulatory State? </w:t>
      </w:r>
      <w:r w:rsidRPr="00586B0B">
        <w:rPr>
          <w:rFonts w:ascii="Calibri" w:eastAsia="MS Mincho" w:hAnsi="Calibri" w:cs="Calibri"/>
          <w:i/>
          <w:iCs/>
        </w:rPr>
        <w:t>Policy &amp; Politics</w:t>
      </w:r>
      <w:r w:rsidRPr="00586B0B">
        <w:rPr>
          <w:rFonts w:ascii="Calibri" w:eastAsia="MS Mincho" w:hAnsi="Calibri" w:cs="Calibri"/>
        </w:rPr>
        <w:t xml:space="preserve"> 46, 1, 81–100</w:t>
      </w:r>
    </w:p>
    <w:p w14:paraId="515A55E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Helm, D, 2004, </w:t>
      </w:r>
      <w:r w:rsidRPr="00586B0B">
        <w:rPr>
          <w:rFonts w:ascii="Calibri" w:eastAsia="MS Mincho" w:hAnsi="Calibri" w:cs="Calibri"/>
          <w:i/>
          <w:iCs/>
        </w:rPr>
        <w:t>Energy, the State, and the Market: British Energy Policy since 1979,</w:t>
      </w:r>
      <w:r w:rsidRPr="00586B0B">
        <w:rPr>
          <w:rFonts w:ascii="Calibri" w:eastAsia="MS Mincho" w:hAnsi="Calibri" w:cs="Calibri"/>
        </w:rPr>
        <w:t xml:space="preserve"> Oxford: Oxford University Press</w:t>
      </w:r>
    </w:p>
    <w:p w14:paraId="60894634" w14:textId="61DE19A3" w:rsidR="00586B0B" w:rsidRPr="00586B0B" w:rsidRDefault="00586B0B" w:rsidP="003E40B7">
      <w:pPr>
        <w:ind w:left="720" w:hanging="720"/>
        <w:rPr>
          <w:rFonts w:ascii="Calibri" w:eastAsia="MS Mincho" w:hAnsi="Calibri" w:cs="Calibri"/>
        </w:rPr>
      </w:pPr>
      <w:r w:rsidRPr="00586B0B">
        <w:rPr>
          <w:rFonts w:ascii="Calibri" w:eastAsia="MS Mincho" w:hAnsi="Calibri" w:cs="Calibri"/>
        </w:rPr>
        <w:t xml:space="preserve">Hisschemöller, M, Cuppen, E, 2015 Participatory Assessment: Tools for Empowering, Learning and Legitimating? in A.J. Jordan and J.R. Turnpenny (eds) </w:t>
      </w:r>
      <w:r w:rsidRPr="00586B0B">
        <w:rPr>
          <w:rFonts w:ascii="Calibri" w:eastAsia="MS Mincho" w:hAnsi="Calibri" w:cs="Calibri"/>
          <w:i/>
          <w:iCs/>
        </w:rPr>
        <w:t xml:space="preserve">The Tools of Policy Formulation: Actors, Capacities, Venues and Effects, </w:t>
      </w:r>
      <w:r w:rsidRPr="00586B0B">
        <w:rPr>
          <w:rFonts w:ascii="Calibri" w:eastAsia="MS Mincho" w:hAnsi="Calibri" w:cs="Calibri"/>
        </w:rPr>
        <w:t>Cheltenham: Edward Elgar, 33–51</w:t>
      </w:r>
    </w:p>
    <w:p w14:paraId="0D571E59"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Hong, S-H, You, J-S, 2018, Limits of Regulatory Responsiveness: Democratic Credentials of Responsive Regulation, </w:t>
      </w:r>
      <w:r w:rsidRPr="00586B0B">
        <w:rPr>
          <w:rFonts w:ascii="Calibri" w:eastAsia="MS Mincho" w:hAnsi="Calibri" w:cs="Calibri"/>
          <w:i/>
          <w:iCs/>
        </w:rPr>
        <w:t>Regulation &amp; Governance</w:t>
      </w:r>
      <w:r w:rsidRPr="00586B0B">
        <w:rPr>
          <w:rFonts w:ascii="Calibri" w:eastAsia="MS Mincho" w:hAnsi="Calibri" w:cs="Calibri"/>
        </w:rPr>
        <w:t xml:space="preserve"> 12, 3, 413–427</w:t>
      </w:r>
    </w:p>
    <w:p w14:paraId="6233ED8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Hoppe, R, 2018, </w:t>
      </w:r>
      <w:r w:rsidRPr="00586B0B">
        <w:rPr>
          <w:rFonts w:ascii="Calibri" w:eastAsia="MS Mincho" w:hAnsi="Calibri" w:cs="Calibri"/>
          <w:i/>
          <w:iCs/>
        </w:rPr>
        <w:t>Knowledge, Power, and Participation in Environmental Policy Analysis,</w:t>
      </w:r>
      <w:r w:rsidRPr="00586B0B">
        <w:rPr>
          <w:rFonts w:ascii="Calibri" w:eastAsia="MS Mincho" w:hAnsi="Calibri" w:cs="Calibri"/>
        </w:rPr>
        <w:t xml:space="preserve"> Routledge</w:t>
      </w:r>
    </w:p>
    <w:p w14:paraId="7D2D6DBF" w14:textId="3322AA6A"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Howlett, M</w:t>
      </w:r>
      <w:r w:rsidR="00E51909">
        <w:rPr>
          <w:rFonts w:ascii="Calibri" w:eastAsia="MS Mincho" w:hAnsi="Calibri" w:cs="Calibri"/>
        </w:rPr>
        <w:t>,</w:t>
      </w:r>
      <w:r w:rsidRPr="00586B0B">
        <w:rPr>
          <w:rFonts w:ascii="Calibri" w:eastAsia="MS Mincho" w:hAnsi="Calibri" w:cs="Calibri"/>
        </w:rPr>
        <w:t xml:space="preserve"> 2000, Managing the hollow state. Procedural policy instruments and modern governance, </w:t>
      </w:r>
      <w:r w:rsidRPr="00586B0B">
        <w:rPr>
          <w:rFonts w:ascii="Calibri" w:eastAsia="MS Mincho" w:hAnsi="Calibri" w:cs="Calibri"/>
          <w:i/>
          <w:iCs/>
        </w:rPr>
        <w:t>Canadian Public Administration</w:t>
      </w:r>
      <w:r w:rsidRPr="00586B0B">
        <w:rPr>
          <w:rFonts w:ascii="Calibri" w:eastAsia="MS Mincho" w:hAnsi="Calibri" w:cs="Calibri"/>
        </w:rPr>
        <w:t xml:space="preserve"> 43</w:t>
      </w:r>
      <w:r w:rsidR="00E51909">
        <w:rPr>
          <w:rFonts w:ascii="Calibri" w:eastAsia="MS Mincho" w:hAnsi="Calibri" w:cs="Calibri"/>
        </w:rPr>
        <w:t xml:space="preserve">, </w:t>
      </w:r>
      <w:r w:rsidRPr="00586B0B">
        <w:rPr>
          <w:rFonts w:ascii="Calibri" w:eastAsia="MS Mincho" w:hAnsi="Calibri" w:cs="Calibri"/>
        </w:rPr>
        <w:t>4, 412‒431</w:t>
      </w:r>
    </w:p>
    <w:p w14:paraId="52D840AE"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Howlett, M, 2011, </w:t>
      </w:r>
      <w:r w:rsidRPr="00586B0B">
        <w:rPr>
          <w:rFonts w:ascii="Calibri" w:eastAsia="MS Mincho" w:hAnsi="Calibri" w:cs="Calibri"/>
          <w:i/>
          <w:iCs/>
        </w:rPr>
        <w:t>Designing Public Policies: Principles and Instruments,</w:t>
      </w:r>
      <w:r w:rsidRPr="00586B0B">
        <w:rPr>
          <w:rFonts w:ascii="Calibri" w:eastAsia="MS Mincho" w:hAnsi="Calibri" w:cs="Calibri"/>
        </w:rPr>
        <w:t xml:space="preserve"> Routledge</w:t>
      </w:r>
    </w:p>
    <w:p w14:paraId="4D363CA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Howlett, M, Mukherjee, I, Woo, J.J., 2015, From Tools to Toolkits in Policy Design Studies: The New Design Orientation towards Policy Formulation Research, </w:t>
      </w:r>
      <w:r w:rsidRPr="00586B0B">
        <w:rPr>
          <w:rFonts w:ascii="Calibri" w:eastAsia="MS Mincho" w:hAnsi="Calibri" w:cs="Calibri"/>
          <w:i/>
          <w:iCs/>
        </w:rPr>
        <w:t>Policy &amp; Politics</w:t>
      </w:r>
      <w:r w:rsidRPr="00586B0B">
        <w:rPr>
          <w:rFonts w:ascii="Calibri" w:eastAsia="MS Mincho" w:hAnsi="Calibri" w:cs="Calibri"/>
        </w:rPr>
        <w:t xml:space="preserve"> 43, 2, 291–311</w:t>
      </w:r>
    </w:p>
    <w:p w14:paraId="34C1027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lastRenderedPageBreak/>
        <w:t xml:space="preserve">Howlett, M.P., Cuenca, J.S., 2017, The Use of Indicators in Environmental Policy Appraisal: Lessons from the Design and Evolution of Water Security Policy Measures, </w:t>
      </w:r>
      <w:r w:rsidRPr="00586B0B">
        <w:rPr>
          <w:rFonts w:ascii="Calibri" w:eastAsia="MS Mincho" w:hAnsi="Calibri" w:cs="Calibri"/>
          <w:i/>
          <w:iCs/>
        </w:rPr>
        <w:t>Journal of Environmental Policy &amp; Planning</w:t>
      </w:r>
      <w:r w:rsidRPr="00586B0B">
        <w:rPr>
          <w:rFonts w:ascii="Calibri" w:eastAsia="MS Mincho" w:hAnsi="Calibri" w:cs="Calibri"/>
        </w:rPr>
        <w:t xml:space="preserve"> 19, 2, 229–243</w:t>
      </w:r>
    </w:p>
    <w:p w14:paraId="6B898E56"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Joosen, R, 2020, The tip of the iceberg – interest group behaviour in rule drafting and consultations during EU agency rulemaking, </w:t>
      </w:r>
      <w:r w:rsidRPr="00586B0B">
        <w:rPr>
          <w:rFonts w:ascii="Calibri" w:eastAsia="MS Mincho" w:hAnsi="Calibri" w:cs="Calibri"/>
          <w:i/>
          <w:iCs/>
        </w:rPr>
        <w:t xml:space="preserve">Journal of European Public </w:t>
      </w:r>
      <w:r w:rsidRPr="00586B0B">
        <w:rPr>
          <w:rFonts w:ascii="Calibri" w:eastAsia="MS Mincho" w:hAnsi="Calibri" w:cs="Calibri"/>
        </w:rPr>
        <w:t>Policy 27, 11, 1677-1697</w:t>
      </w:r>
    </w:p>
    <w:p w14:paraId="17266F0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Jordan, A.J., Turnpenny, J.R. (eds), 2015, </w:t>
      </w:r>
      <w:r w:rsidRPr="00586B0B">
        <w:rPr>
          <w:rFonts w:ascii="Calibri" w:eastAsia="MS Mincho" w:hAnsi="Calibri" w:cs="Calibri"/>
          <w:i/>
          <w:iCs/>
        </w:rPr>
        <w:t>The Tools of Policy Formulation: Actors, Capacities, Venues and Effects</w:t>
      </w:r>
      <w:r w:rsidRPr="00586B0B">
        <w:rPr>
          <w:rFonts w:ascii="Calibri" w:eastAsia="MS Mincho" w:hAnsi="Calibri" w:cs="Calibri"/>
        </w:rPr>
        <w:t>. Cheltenham: Edward Elgar</w:t>
      </w:r>
    </w:p>
    <w:p w14:paraId="7F856279" w14:textId="31D786D3" w:rsidR="00586B0B" w:rsidRPr="00586B0B" w:rsidRDefault="00586B0B" w:rsidP="003A143E">
      <w:pPr>
        <w:ind w:left="720" w:hanging="720"/>
        <w:rPr>
          <w:rFonts w:ascii="Calibri" w:eastAsia="MS Mincho" w:hAnsi="Calibri" w:cs="Calibri"/>
          <w:highlight w:val="yellow"/>
        </w:rPr>
      </w:pPr>
      <w:r w:rsidRPr="00586B0B">
        <w:rPr>
          <w:rFonts w:ascii="Calibri" w:eastAsia="MS Mincho" w:hAnsi="Calibri" w:cs="Calibri"/>
        </w:rPr>
        <w:t xml:space="preserve">Keman, H, 2014, Comparative Research Methods, in D. Caramani (ed) </w:t>
      </w:r>
      <w:r w:rsidRPr="00586B0B">
        <w:rPr>
          <w:rFonts w:ascii="Calibri" w:eastAsia="MS Mincho" w:hAnsi="Calibri" w:cs="Calibri"/>
          <w:i/>
          <w:iCs/>
        </w:rPr>
        <w:t>Comparative Politics</w:t>
      </w:r>
      <w:r w:rsidRPr="00586B0B">
        <w:rPr>
          <w:rFonts w:ascii="Calibri" w:eastAsia="MS Mincho" w:hAnsi="Calibri" w:cs="Calibri"/>
        </w:rPr>
        <w:t>, Oxford: Oxford University Press, 47–59</w:t>
      </w:r>
    </w:p>
    <w:p w14:paraId="3B1FC78D"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Koop, C, Lodge, M, 2020, British economic regulators in an age of politicisation: from the responsible to the responsive regulatory state? </w:t>
      </w:r>
      <w:r w:rsidRPr="00586B0B">
        <w:rPr>
          <w:rFonts w:ascii="Calibri" w:eastAsia="MS Mincho" w:hAnsi="Calibri" w:cs="Calibri"/>
          <w:i/>
          <w:iCs/>
        </w:rPr>
        <w:t>Journal of European Public Policy</w:t>
      </w:r>
      <w:r w:rsidRPr="00586B0B">
        <w:rPr>
          <w:rFonts w:ascii="Calibri" w:eastAsia="MS Mincho" w:hAnsi="Calibri" w:cs="Calibri"/>
        </w:rPr>
        <w:t xml:space="preserve"> 27, 11, 1612-1635</w:t>
      </w:r>
    </w:p>
    <w:p w14:paraId="4D372EF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Kracauer, S, 1952, The Challenge of Qualitative Content Analysis, </w:t>
      </w:r>
      <w:r w:rsidRPr="00586B0B">
        <w:rPr>
          <w:rFonts w:ascii="Calibri" w:eastAsia="MS Mincho" w:hAnsi="Calibri" w:cs="Calibri"/>
          <w:i/>
          <w:iCs/>
        </w:rPr>
        <w:t>Public Opinion Quarterly</w:t>
      </w:r>
      <w:r w:rsidRPr="00586B0B">
        <w:rPr>
          <w:rFonts w:ascii="Calibri" w:eastAsia="MS Mincho" w:hAnsi="Calibri" w:cs="Calibri"/>
        </w:rPr>
        <w:t xml:space="preserve"> 16, 4, 631–642</w:t>
      </w:r>
    </w:p>
    <w:p w14:paraId="59124D5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Lehtonen, M, 2012, Indicators as an Appraisal Technology: Framework for Analysing the Policy Influence of the UK Energy Sector Indicators, in A. von Raggamby and F. Rubik (eds) </w:t>
      </w:r>
      <w:r w:rsidRPr="00586B0B">
        <w:rPr>
          <w:rFonts w:ascii="Calibri" w:eastAsia="MS Mincho" w:hAnsi="Calibri" w:cs="Calibri"/>
          <w:i/>
          <w:iCs/>
        </w:rPr>
        <w:t>Sustainable Development, Evaluation and Policy-Making: Theory, Practise and Quality Assurance</w:t>
      </w:r>
      <w:r w:rsidRPr="00586B0B">
        <w:rPr>
          <w:rFonts w:ascii="Calibri" w:eastAsia="MS Mincho" w:hAnsi="Calibri" w:cs="Calibri"/>
        </w:rPr>
        <w:t>, Cheltenham: Edward Elgar, 175–206</w:t>
      </w:r>
    </w:p>
    <w:p w14:paraId="2E2CF91D"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Lehtonen, M, Sébastien, L, Bauler, T, 2016, The Multiple Roles of Sustainability Indicators in Informational Governance: Between Intended Use and Unanticipated Influence, </w:t>
      </w:r>
      <w:r w:rsidRPr="00586B0B">
        <w:rPr>
          <w:rFonts w:ascii="Calibri" w:eastAsia="MS Mincho" w:hAnsi="Calibri" w:cs="Calibri"/>
          <w:i/>
          <w:iCs/>
        </w:rPr>
        <w:t>Current Opinion in Environmental Sustainability</w:t>
      </w:r>
      <w:r w:rsidRPr="00586B0B">
        <w:rPr>
          <w:rFonts w:ascii="Calibri" w:eastAsia="MS Mincho" w:hAnsi="Calibri" w:cs="Calibri"/>
        </w:rPr>
        <w:t xml:space="preserve"> 18, 1–9</w:t>
      </w:r>
    </w:p>
    <w:p w14:paraId="3821D41C" w14:textId="62BD58E1" w:rsidR="00586B0B" w:rsidRPr="00586B0B" w:rsidRDefault="00586B0B" w:rsidP="00C045E0">
      <w:pPr>
        <w:ind w:left="720" w:hanging="720"/>
        <w:rPr>
          <w:rFonts w:ascii="Calibri" w:eastAsia="MS Mincho" w:hAnsi="Calibri" w:cs="Calibri"/>
          <w:highlight w:val="yellow"/>
        </w:rPr>
      </w:pPr>
      <w:r w:rsidRPr="00586B0B">
        <w:rPr>
          <w:rFonts w:ascii="Calibri" w:eastAsia="MS Mincho" w:hAnsi="Calibri" w:cs="Calibri"/>
        </w:rPr>
        <w:t xml:space="preserve">Lennon, B, Dunphy, N.P., Sanvicente, E, 2019, Community acceptability and the energy transition: A citizens’ perspective, </w:t>
      </w:r>
      <w:r w:rsidRPr="00586B0B">
        <w:rPr>
          <w:rFonts w:ascii="Calibri" w:eastAsia="MS Mincho" w:hAnsi="Calibri" w:cs="Calibri"/>
          <w:i/>
          <w:iCs/>
        </w:rPr>
        <w:t>Energy, Sustainability and Society</w:t>
      </w:r>
      <w:r w:rsidRPr="00586B0B">
        <w:rPr>
          <w:rFonts w:ascii="Calibri" w:eastAsia="MS Mincho" w:hAnsi="Calibri" w:cs="Calibri"/>
        </w:rPr>
        <w:t xml:space="preserve"> 9, 35</w:t>
      </w:r>
    </w:p>
    <w:p w14:paraId="04D312A3"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Levi-Faur, D, 2014, The welfare state: a regulatory perspective, </w:t>
      </w:r>
      <w:r w:rsidRPr="00586B0B">
        <w:rPr>
          <w:rFonts w:ascii="Calibri" w:eastAsia="MS Mincho" w:hAnsi="Calibri" w:cs="Calibri"/>
          <w:i/>
          <w:iCs/>
        </w:rPr>
        <w:t>Public Administration</w:t>
      </w:r>
      <w:r w:rsidRPr="00586B0B">
        <w:rPr>
          <w:rFonts w:ascii="Calibri" w:eastAsia="MS Mincho" w:hAnsi="Calibri" w:cs="Calibri"/>
        </w:rPr>
        <w:t xml:space="preserve"> 92, 3, 599-614</w:t>
      </w:r>
    </w:p>
    <w:p w14:paraId="307EB03D"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Lilleker, D.G., 2003, Interviewing the Political Elite: Navigating a Potential Minefield, </w:t>
      </w:r>
      <w:r w:rsidRPr="00586B0B">
        <w:rPr>
          <w:rFonts w:ascii="Calibri" w:eastAsia="MS Mincho" w:hAnsi="Calibri" w:cs="Calibri"/>
          <w:i/>
          <w:iCs/>
        </w:rPr>
        <w:t>Politics</w:t>
      </w:r>
      <w:r w:rsidRPr="00586B0B">
        <w:rPr>
          <w:rFonts w:ascii="Calibri" w:eastAsia="MS Mincho" w:hAnsi="Calibri" w:cs="Calibri"/>
        </w:rPr>
        <w:t xml:space="preserve"> 23, 3, 207–214</w:t>
      </w:r>
    </w:p>
    <w:p w14:paraId="2DF30810" w14:textId="5F2CDB96" w:rsidR="00586B0B" w:rsidRPr="00586B0B" w:rsidRDefault="00586B0B" w:rsidP="009D4E2A">
      <w:pPr>
        <w:ind w:left="720" w:hanging="720"/>
        <w:rPr>
          <w:rFonts w:ascii="Calibri" w:eastAsia="MS Mincho" w:hAnsi="Calibri" w:cs="Calibri"/>
          <w:highlight w:val="yellow"/>
        </w:rPr>
      </w:pPr>
      <w:r w:rsidRPr="00586B0B">
        <w:rPr>
          <w:rFonts w:ascii="Calibri" w:eastAsia="MS Mincho" w:hAnsi="Calibri" w:cs="Calibri"/>
        </w:rPr>
        <w:t xml:space="preserve">Lodge, M, 2008, Regulation, the Regulatory State and European Politics, </w:t>
      </w:r>
      <w:r w:rsidRPr="00586B0B">
        <w:rPr>
          <w:rFonts w:ascii="Calibri" w:eastAsia="MS Mincho" w:hAnsi="Calibri" w:cs="Calibri"/>
          <w:i/>
          <w:iCs/>
        </w:rPr>
        <w:t>West European Politics</w:t>
      </w:r>
      <w:r w:rsidRPr="00586B0B">
        <w:rPr>
          <w:rFonts w:ascii="Calibri" w:eastAsia="MS Mincho" w:hAnsi="Calibri" w:cs="Calibri"/>
        </w:rPr>
        <w:t xml:space="preserve"> 31, 1–2, 280–301</w:t>
      </w:r>
    </w:p>
    <w:p w14:paraId="5F89218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Maggetti, M, Ingold, K, Varone, F, 2013, Having your cake and eating it, too: Can regulatory agencies be both independent and accountable? </w:t>
      </w:r>
      <w:r w:rsidRPr="00586B0B">
        <w:rPr>
          <w:rFonts w:ascii="Calibri" w:eastAsia="MS Mincho" w:hAnsi="Calibri" w:cs="Calibri"/>
          <w:i/>
          <w:iCs/>
        </w:rPr>
        <w:t>Swiss Political Science Review</w:t>
      </w:r>
      <w:r w:rsidRPr="00586B0B">
        <w:rPr>
          <w:rFonts w:ascii="Calibri" w:eastAsia="MS Mincho" w:hAnsi="Calibri" w:cs="Calibri"/>
        </w:rPr>
        <w:t xml:space="preserve"> 19, 1, 1-25</w:t>
      </w:r>
    </w:p>
    <w:p w14:paraId="2AD74DF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Majone, G, 1994, The Rise of the Regulatory State in Europe, </w:t>
      </w:r>
      <w:r w:rsidRPr="00586B0B">
        <w:rPr>
          <w:rFonts w:ascii="Calibri" w:eastAsia="MS Mincho" w:hAnsi="Calibri" w:cs="Calibri"/>
          <w:i/>
          <w:iCs/>
        </w:rPr>
        <w:t>West European Politics</w:t>
      </w:r>
      <w:r w:rsidRPr="00586B0B">
        <w:rPr>
          <w:rFonts w:ascii="Calibri" w:eastAsia="MS Mincho" w:hAnsi="Calibri" w:cs="Calibri"/>
        </w:rPr>
        <w:t xml:space="preserve"> 17, 3, 77–101</w:t>
      </w:r>
    </w:p>
    <w:p w14:paraId="20D60EF6"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Mashaw, J.L, 2006 Accountability and Institutional Design: Some Thoughts on the Grammar of Governance, in M. Dowdle (ed) </w:t>
      </w:r>
      <w:r w:rsidRPr="00586B0B">
        <w:rPr>
          <w:rFonts w:ascii="Calibri" w:eastAsia="MS Mincho" w:hAnsi="Calibri" w:cs="Calibri"/>
          <w:i/>
          <w:iCs/>
        </w:rPr>
        <w:t>Public Accountability: Designs, Dilemmas and Experiences</w:t>
      </w:r>
      <w:r w:rsidRPr="00586B0B">
        <w:rPr>
          <w:rFonts w:ascii="Calibri" w:eastAsia="MS Mincho" w:hAnsi="Calibri" w:cs="Calibri"/>
        </w:rPr>
        <w:t>, Cambridge: Cambridge University Press, 115-156</w:t>
      </w:r>
    </w:p>
    <w:p w14:paraId="4F08C93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Moran, M, 2003, </w:t>
      </w:r>
      <w:r w:rsidRPr="00586B0B">
        <w:rPr>
          <w:rFonts w:ascii="Calibri" w:eastAsia="MS Mincho" w:hAnsi="Calibri" w:cs="Calibri"/>
          <w:i/>
          <w:iCs/>
        </w:rPr>
        <w:t>The British Regulatory State: High Modernism and Hyper-Innovation</w:t>
      </w:r>
      <w:r w:rsidRPr="00586B0B">
        <w:rPr>
          <w:rFonts w:ascii="Calibri" w:eastAsia="MS Mincho" w:hAnsi="Calibri" w:cs="Calibri"/>
        </w:rPr>
        <w:t>, Oxford: Oxford University Press</w:t>
      </w:r>
    </w:p>
    <w:p w14:paraId="1F1CE2C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Mulgan, R, 2000, “Accountability”: An Ever-Expanding Concept?, </w:t>
      </w:r>
      <w:r w:rsidRPr="00586B0B">
        <w:rPr>
          <w:rFonts w:ascii="Calibri" w:eastAsia="MS Mincho" w:hAnsi="Calibri" w:cs="Calibri"/>
          <w:i/>
          <w:iCs/>
        </w:rPr>
        <w:t>Public Administration</w:t>
      </w:r>
      <w:r w:rsidRPr="00586B0B">
        <w:rPr>
          <w:rFonts w:ascii="Calibri" w:eastAsia="MS Mincho" w:hAnsi="Calibri" w:cs="Calibri"/>
        </w:rPr>
        <w:t xml:space="preserve"> 78, 3, 555–573</w:t>
      </w:r>
    </w:p>
    <w:p w14:paraId="318D0AE4"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2005b, </w:t>
      </w:r>
      <w:r w:rsidRPr="00586B0B">
        <w:rPr>
          <w:rFonts w:ascii="Calibri" w:eastAsia="MS Mincho" w:hAnsi="Calibri" w:cs="Calibri"/>
          <w:i/>
          <w:iCs/>
        </w:rPr>
        <w:t>Social Action Strategy</w:t>
      </w:r>
    </w:p>
    <w:p w14:paraId="0AE7936A"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2009a, </w:t>
      </w:r>
      <w:r w:rsidRPr="00586B0B">
        <w:rPr>
          <w:rFonts w:ascii="Calibri" w:eastAsia="MS Mincho" w:hAnsi="Calibri" w:cs="Calibri"/>
          <w:i/>
          <w:iCs/>
        </w:rPr>
        <w:t>Addressing Unfair Price Differentials: Consultation Responses</w:t>
      </w:r>
      <w:r w:rsidRPr="00586B0B">
        <w:rPr>
          <w:rFonts w:ascii="Calibri" w:eastAsia="MS Mincho" w:hAnsi="Calibri" w:cs="Calibri"/>
        </w:rPr>
        <w:t xml:space="preserve"> </w:t>
      </w:r>
    </w:p>
    <w:p w14:paraId="710F0107"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2009b, </w:t>
      </w:r>
      <w:r w:rsidRPr="00586B0B">
        <w:rPr>
          <w:rFonts w:ascii="Calibri" w:eastAsia="MS Mincho" w:hAnsi="Calibri" w:cs="Calibri"/>
          <w:i/>
          <w:iCs/>
        </w:rPr>
        <w:t>Consumer First: Energy Market, Billing and Prices</w:t>
      </w:r>
      <w:r w:rsidRPr="00586B0B">
        <w:rPr>
          <w:rFonts w:ascii="Calibri" w:eastAsia="MS Mincho" w:hAnsi="Calibri" w:cs="Calibri"/>
        </w:rPr>
        <w:t xml:space="preserve"> </w:t>
      </w:r>
    </w:p>
    <w:p w14:paraId="67A75A3C" w14:textId="77777777" w:rsidR="00586B0B" w:rsidRPr="00586B0B" w:rsidRDefault="00586B0B" w:rsidP="00586B0B">
      <w:pPr>
        <w:rPr>
          <w:rFonts w:ascii="Calibri" w:eastAsia="MS Mincho" w:hAnsi="Calibri" w:cs="Calibri"/>
        </w:rPr>
      </w:pPr>
      <w:r w:rsidRPr="00586B0B">
        <w:rPr>
          <w:rFonts w:ascii="Calibri" w:eastAsia="MS Mincho" w:hAnsi="Calibri" w:cs="Calibri"/>
        </w:rPr>
        <w:lastRenderedPageBreak/>
        <w:t xml:space="preserve">Ofgem, 2009c, </w:t>
      </w:r>
      <w:r w:rsidRPr="00586B0B">
        <w:rPr>
          <w:rFonts w:ascii="Calibri" w:eastAsia="MS Mincho" w:hAnsi="Calibri" w:cs="Calibri"/>
          <w:i/>
          <w:iCs/>
        </w:rPr>
        <w:t>Energy Supply Probe – Proposed Retail Market Remedies</w:t>
      </w:r>
      <w:r w:rsidRPr="00586B0B">
        <w:rPr>
          <w:rFonts w:ascii="Calibri" w:eastAsia="MS Mincho" w:hAnsi="Calibri" w:cs="Calibri"/>
        </w:rPr>
        <w:t xml:space="preserve"> </w:t>
      </w:r>
    </w:p>
    <w:p w14:paraId="1A3D90D5"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2009d, </w:t>
      </w:r>
      <w:r w:rsidRPr="00586B0B">
        <w:rPr>
          <w:rFonts w:ascii="Calibri" w:eastAsia="MS Mincho" w:hAnsi="Calibri" w:cs="Calibri"/>
          <w:i/>
          <w:iCs/>
        </w:rPr>
        <w:t>Energy Supply Probe Addressing Unfair Price Differentials</w:t>
      </w:r>
      <w:r w:rsidRPr="00586B0B">
        <w:rPr>
          <w:rFonts w:ascii="Calibri" w:eastAsia="MS Mincho" w:hAnsi="Calibri" w:cs="Calibri"/>
        </w:rPr>
        <w:t xml:space="preserve"> </w:t>
      </w:r>
    </w:p>
    <w:p w14:paraId="46E9F779"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2010a, </w:t>
      </w:r>
      <w:r w:rsidRPr="00586B0B">
        <w:rPr>
          <w:rFonts w:ascii="Calibri" w:eastAsia="MS Mincho" w:hAnsi="Calibri" w:cs="Calibri"/>
          <w:i/>
          <w:iCs/>
        </w:rPr>
        <w:t>Consumer First: Supplier Standards of Conduct and Prompt Pay Discounts</w:t>
      </w:r>
      <w:r w:rsidRPr="00586B0B">
        <w:rPr>
          <w:rFonts w:ascii="Calibri" w:eastAsia="MS Mincho" w:hAnsi="Calibri" w:cs="Calibri"/>
        </w:rPr>
        <w:t xml:space="preserve"> </w:t>
      </w:r>
    </w:p>
    <w:p w14:paraId="18C7AA5C"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2010b, </w:t>
      </w:r>
      <w:r w:rsidRPr="00586B0B">
        <w:rPr>
          <w:rFonts w:ascii="Calibri" w:eastAsia="MS Mincho" w:hAnsi="Calibri" w:cs="Calibri"/>
          <w:i/>
          <w:iCs/>
        </w:rPr>
        <w:t>Consumer First: Tariff Structures</w:t>
      </w:r>
      <w:r w:rsidRPr="00586B0B">
        <w:rPr>
          <w:rFonts w:ascii="Calibri" w:eastAsia="MS Mincho" w:hAnsi="Calibri" w:cs="Calibri"/>
        </w:rPr>
        <w:t xml:space="preserve"> </w:t>
      </w:r>
    </w:p>
    <w:p w14:paraId="3EDF5740"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2011a, </w:t>
      </w:r>
      <w:r w:rsidRPr="00586B0B">
        <w:rPr>
          <w:rFonts w:ascii="Calibri" w:eastAsia="MS Mincho" w:hAnsi="Calibri" w:cs="Calibri"/>
          <w:i/>
          <w:iCs/>
        </w:rPr>
        <w:t>Consumer First: Energy Market and Tariff Structures</w:t>
      </w:r>
      <w:r w:rsidRPr="00586B0B">
        <w:rPr>
          <w:rFonts w:ascii="Calibri" w:eastAsia="MS Mincho" w:hAnsi="Calibri" w:cs="Calibri"/>
        </w:rPr>
        <w:t xml:space="preserve"> </w:t>
      </w:r>
    </w:p>
    <w:p w14:paraId="19230533"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2011b, </w:t>
      </w:r>
      <w:r w:rsidRPr="00586B0B">
        <w:rPr>
          <w:rFonts w:ascii="Calibri" w:eastAsia="MS Mincho" w:hAnsi="Calibri" w:cs="Calibri"/>
          <w:i/>
          <w:iCs/>
        </w:rPr>
        <w:t>The Retail Market Review - Findings and Initial Proposals</w:t>
      </w:r>
      <w:r w:rsidRPr="00586B0B">
        <w:rPr>
          <w:rFonts w:ascii="Calibri" w:eastAsia="MS Mincho" w:hAnsi="Calibri" w:cs="Calibri"/>
        </w:rPr>
        <w:t xml:space="preserve"> </w:t>
      </w:r>
    </w:p>
    <w:p w14:paraId="6F8B2BE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2012a, </w:t>
      </w:r>
      <w:r w:rsidRPr="00586B0B">
        <w:rPr>
          <w:rFonts w:ascii="Calibri" w:eastAsia="MS Mincho" w:hAnsi="Calibri" w:cs="Calibri"/>
          <w:i/>
          <w:iCs/>
        </w:rPr>
        <w:t>Consumer First: Consumer Engagement with the Energy Market, Information Needs and Perceptions of Ofgem I</w:t>
      </w:r>
      <w:r w:rsidRPr="00586B0B">
        <w:rPr>
          <w:rFonts w:ascii="Calibri" w:eastAsia="MS Mincho" w:hAnsi="Calibri" w:cs="Calibri"/>
        </w:rPr>
        <w:t xml:space="preserve"> </w:t>
      </w:r>
    </w:p>
    <w:p w14:paraId="4920F7FE"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2012b, </w:t>
      </w:r>
      <w:r w:rsidRPr="00586B0B">
        <w:rPr>
          <w:rFonts w:ascii="Calibri" w:eastAsia="MS Mincho" w:hAnsi="Calibri" w:cs="Calibri"/>
          <w:i/>
          <w:iCs/>
        </w:rPr>
        <w:t>Consumer First: Consumer Views on Tariff Comparison Rates (TCRs)</w:t>
      </w:r>
      <w:r w:rsidRPr="00586B0B">
        <w:rPr>
          <w:rFonts w:ascii="Calibri" w:eastAsia="MS Mincho" w:hAnsi="Calibri" w:cs="Calibri"/>
        </w:rPr>
        <w:t xml:space="preserve"> </w:t>
      </w:r>
    </w:p>
    <w:p w14:paraId="10D69D79"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2012c, </w:t>
      </w:r>
      <w:r w:rsidRPr="00586B0B">
        <w:rPr>
          <w:rFonts w:ascii="Calibri" w:eastAsia="MS Mincho" w:hAnsi="Calibri" w:cs="Calibri"/>
          <w:i/>
          <w:iCs/>
        </w:rPr>
        <w:t>Proposal for a New Consumer Vulnerability Strategy</w:t>
      </w:r>
      <w:r w:rsidRPr="00586B0B">
        <w:rPr>
          <w:rFonts w:ascii="Calibri" w:eastAsia="MS Mincho" w:hAnsi="Calibri" w:cs="Calibri"/>
        </w:rPr>
        <w:t xml:space="preserve"> </w:t>
      </w:r>
    </w:p>
    <w:p w14:paraId="1463E867"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2012d, </w:t>
      </w:r>
      <w:r w:rsidRPr="00586B0B">
        <w:rPr>
          <w:rFonts w:ascii="Calibri" w:eastAsia="MS Mincho" w:hAnsi="Calibri" w:cs="Calibri"/>
          <w:i/>
          <w:iCs/>
        </w:rPr>
        <w:t>Retail Market Review - Final Domestic Proposals</w:t>
      </w:r>
      <w:r w:rsidRPr="00586B0B">
        <w:rPr>
          <w:rFonts w:ascii="Calibri" w:eastAsia="MS Mincho" w:hAnsi="Calibri" w:cs="Calibri"/>
        </w:rPr>
        <w:t xml:space="preserve"> </w:t>
      </w:r>
    </w:p>
    <w:p w14:paraId="57D768CB"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2012e, </w:t>
      </w:r>
      <w:r w:rsidRPr="00586B0B">
        <w:rPr>
          <w:rFonts w:ascii="Calibri" w:eastAsia="MS Mincho" w:hAnsi="Calibri" w:cs="Calibri"/>
          <w:i/>
          <w:iCs/>
        </w:rPr>
        <w:t>Retail Market Review - Updated Domestic Proposals</w:t>
      </w:r>
      <w:r w:rsidRPr="00586B0B">
        <w:rPr>
          <w:rFonts w:ascii="Calibri" w:eastAsia="MS Mincho" w:hAnsi="Calibri" w:cs="Calibri"/>
        </w:rPr>
        <w:t xml:space="preserve"> </w:t>
      </w:r>
    </w:p>
    <w:p w14:paraId="7DDC287B"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2012f, </w:t>
      </w:r>
      <w:r w:rsidRPr="00586B0B">
        <w:rPr>
          <w:rFonts w:ascii="Calibri" w:eastAsia="MS Mincho" w:hAnsi="Calibri" w:cs="Calibri"/>
          <w:i/>
          <w:iCs/>
        </w:rPr>
        <w:t>The Retail Market Review: Domestic Proposals, Consultation Responses</w:t>
      </w:r>
      <w:r w:rsidRPr="00586B0B">
        <w:rPr>
          <w:rFonts w:ascii="Calibri" w:eastAsia="MS Mincho" w:hAnsi="Calibri" w:cs="Calibri"/>
        </w:rPr>
        <w:t xml:space="preserve"> </w:t>
      </w:r>
    </w:p>
    <w:p w14:paraId="0209F6BD"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2013a, </w:t>
      </w:r>
      <w:r w:rsidRPr="00586B0B">
        <w:rPr>
          <w:rFonts w:ascii="Calibri" w:eastAsia="MS Mincho" w:hAnsi="Calibri" w:cs="Calibri"/>
          <w:i/>
          <w:iCs/>
        </w:rPr>
        <w:t>Consumer First: Change of Supplier Process</w:t>
      </w:r>
      <w:r w:rsidRPr="00586B0B">
        <w:rPr>
          <w:rFonts w:ascii="Calibri" w:eastAsia="MS Mincho" w:hAnsi="Calibri" w:cs="Calibri"/>
        </w:rPr>
        <w:t xml:space="preserve"> </w:t>
      </w:r>
    </w:p>
    <w:p w14:paraId="534B7478"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2013b, </w:t>
      </w:r>
      <w:r w:rsidRPr="00586B0B">
        <w:rPr>
          <w:rFonts w:ascii="Calibri" w:eastAsia="MS Mincho" w:hAnsi="Calibri" w:cs="Calibri"/>
          <w:i/>
          <w:iCs/>
        </w:rPr>
        <w:t>Consumer First: Priority Services Register</w:t>
      </w:r>
      <w:r w:rsidRPr="00586B0B">
        <w:rPr>
          <w:rFonts w:ascii="Calibri" w:eastAsia="MS Mincho" w:hAnsi="Calibri" w:cs="Calibri"/>
        </w:rPr>
        <w:t xml:space="preserve"> </w:t>
      </w:r>
    </w:p>
    <w:p w14:paraId="10C00833"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2013c, </w:t>
      </w:r>
      <w:r w:rsidRPr="00586B0B">
        <w:rPr>
          <w:rFonts w:ascii="Calibri" w:eastAsia="MS Mincho" w:hAnsi="Calibri" w:cs="Calibri"/>
          <w:i/>
          <w:iCs/>
        </w:rPr>
        <w:t>Consumer Vulnerability Strategy</w:t>
      </w:r>
      <w:r w:rsidRPr="00586B0B">
        <w:rPr>
          <w:rFonts w:ascii="Calibri" w:eastAsia="MS Mincho" w:hAnsi="Calibri" w:cs="Calibri"/>
        </w:rPr>
        <w:t>,</w:t>
      </w:r>
    </w:p>
    <w:p w14:paraId="32074686"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2013d, </w:t>
      </w:r>
      <w:r w:rsidRPr="00586B0B">
        <w:rPr>
          <w:rFonts w:ascii="Calibri" w:eastAsia="MS Mincho" w:hAnsi="Calibri" w:cs="Calibri"/>
          <w:i/>
          <w:iCs/>
        </w:rPr>
        <w:t>Consumer Vulnerability Strategy, Consultation Responses</w:t>
      </w:r>
      <w:r w:rsidRPr="00586B0B">
        <w:rPr>
          <w:rFonts w:ascii="Calibri" w:eastAsia="MS Mincho" w:hAnsi="Calibri" w:cs="Calibri"/>
        </w:rPr>
        <w:t xml:space="preserve"> </w:t>
      </w:r>
    </w:p>
    <w:p w14:paraId="5C294CC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2013e, </w:t>
      </w:r>
      <w:r w:rsidRPr="00586B0B">
        <w:rPr>
          <w:rFonts w:ascii="Calibri" w:eastAsia="MS Mincho" w:hAnsi="Calibri" w:cs="Calibri"/>
          <w:i/>
          <w:iCs/>
        </w:rPr>
        <w:t>The Retail Market Review – Implementation of Simpler Tariff Choices and Clearer Information</w:t>
      </w:r>
      <w:r w:rsidRPr="00586B0B">
        <w:rPr>
          <w:rFonts w:ascii="Calibri" w:eastAsia="MS Mincho" w:hAnsi="Calibri" w:cs="Calibri"/>
        </w:rPr>
        <w:t xml:space="preserve"> </w:t>
      </w:r>
    </w:p>
    <w:p w14:paraId="37738726"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2014a, </w:t>
      </w:r>
      <w:r w:rsidRPr="00586B0B">
        <w:rPr>
          <w:rFonts w:ascii="Calibri" w:eastAsia="MS Mincho" w:hAnsi="Calibri" w:cs="Calibri"/>
          <w:i/>
          <w:iCs/>
        </w:rPr>
        <w:t>Consumer First: Affordability, Environmental and Social Schemes</w:t>
      </w:r>
      <w:r w:rsidRPr="00586B0B">
        <w:rPr>
          <w:rFonts w:ascii="Calibri" w:eastAsia="MS Mincho" w:hAnsi="Calibri" w:cs="Calibri"/>
        </w:rPr>
        <w:t xml:space="preserve"> </w:t>
      </w:r>
    </w:p>
    <w:p w14:paraId="6614854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2014b, </w:t>
      </w:r>
      <w:r w:rsidRPr="00586B0B">
        <w:rPr>
          <w:rFonts w:ascii="Calibri" w:eastAsia="MS Mincho" w:hAnsi="Calibri" w:cs="Calibri"/>
          <w:i/>
          <w:iCs/>
        </w:rPr>
        <w:t>Consumer First: Consumer Engagement and Trust in the Energy Market - Retail Market Review Reforms</w:t>
      </w:r>
      <w:r w:rsidRPr="00586B0B">
        <w:rPr>
          <w:rFonts w:ascii="Calibri" w:eastAsia="MS Mincho" w:hAnsi="Calibri" w:cs="Calibri"/>
        </w:rPr>
        <w:t xml:space="preserve"> </w:t>
      </w:r>
    </w:p>
    <w:p w14:paraId="3C49279E"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2015a, </w:t>
      </w:r>
      <w:r w:rsidRPr="00586B0B">
        <w:rPr>
          <w:rFonts w:ascii="Calibri" w:eastAsia="MS Mincho" w:hAnsi="Calibri" w:cs="Calibri"/>
          <w:i/>
          <w:iCs/>
        </w:rPr>
        <w:t>Consumer First: Exploring Trust and Some Retail Market Review Remedies</w:t>
      </w:r>
      <w:r w:rsidRPr="00586B0B">
        <w:rPr>
          <w:rFonts w:ascii="Calibri" w:eastAsia="MS Mincho" w:hAnsi="Calibri" w:cs="Calibri"/>
        </w:rPr>
        <w:t xml:space="preserve"> </w:t>
      </w:r>
    </w:p>
    <w:p w14:paraId="5D81AECA"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2015b, </w:t>
      </w:r>
      <w:r w:rsidRPr="00586B0B">
        <w:rPr>
          <w:rFonts w:ascii="Calibri" w:eastAsia="MS Mincho" w:hAnsi="Calibri" w:cs="Calibri"/>
          <w:i/>
          <w:iCs/>
        </w:rPr>
        <w:t>Consumer First: Switching Suppliers for Domestic Customers in Debt</w:t>
      </w:r>
      <w:r w:rsidRPr="00586B0B">
        <w:rPr>
          <w:rFonts w:ascii="Calibri" w:eastAsia="MS Mincho" w:hAnsi="Calibri" w:cs="Calibri"/>
        </w:rPr>
        <w:t xml:space="preserve"> </w:t>
      </w:r>
    </w:p>
    <w:p w14:paraId="531B65C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2015c, </w:t>
      </w:r>
      <w:r w:rsidRPr="00586B0B">
        <w:rPr>
          <w:rFonts w:ascii="Calibri" w:eastAsia="MS Mincho" w:hAnsi="Calibri" w:cs="Calibri"/>
          <w:i/>
          <w:iCs/>
        </w:rPr>
        <w:t>Consumer First: Third Party Intermediaries and Price Comparison Websites</w:t>
      </w:r>
      <w:r w:rsidRPr="00586B0B">
        <w:rPr>
          <w:rFonts w:ascii="Calibri" w:eastAsia="MS Mincho" w:hAnsi="Calibri" w:cs="Calibri"/>
        </w:rPr>
        <w:t xml:space="preserve"> </w:t>
      </w:r>
    </w:p>
    <w:p w14:paraId="5D1C80CC"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2015d, </w:t>
      </w:r>
      <w:r w:rsidRPr="00586B0B">
        <w:rPr>
          <w:rFonts w:ascii="Calibri" w:eastAsia="MS Mincho" w:hAnsi="Calibri" w:cs="Calibri"/>
          <w:i/>
          <w:iCs/>
        </w:rPr>
        <w:t>Consumer Vulnerability Strategy Progress Report</w:t>
      </w:r>
      <w:r w:rsidRPr="00586B0B">
        <w:rPr>
          <w:rFonts w:ascii="Calibri" w:eastAsia="MS Mincho" w:hAnsi="Calibri" w:cs="Calibri"/>
        </w:rPr>
        <w:t xml:space="preserve"> </w:t>
      </w:r>
    </w:p>
    <w:p w14:paraId="2985F577"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2015e, </w:t>
      </w:r>
      <w:r w:rsidRPr="00586B0B">
        <w:rPr>
          <w:rFonts w:ascii="Calibri" w:eastAsia="MS Mincho" w:hAnsi="Calibri" w:cs="Calibri"/>
          <w:i/>
          <w:iCs/>
        </w:rPr>
        <w:t>Retail Market Review - 2015 Survey</w:t>
      </w:r>
      <w:r w:rsidRPr="00586B0B">
        <w:rPr>
          <w:rFonts w:ascii="Calibri" w:eastAsia="MS Mincho" w:hAnsi="Calibri" w:cs="Calibri"/>
        </w:rPr>
        <w:t xml:space="preserve"> </w:t>
      </w:r>
    </w:p>
    <w:p w14:paraId="1326AA87"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2016a, </w:t>
      </w:r>
      <w:r w:rsidRPr="00586B0B">
        <w:rPr>
          <w:rFonts w:ascii="Calibri" w:eastAsia="MS Mincho" w:hAnsi="Calibri" w:cs="Calibri"/>
          <w:i/>
          <w:iCs/>
        </w:rPr>
        <w:t>CMA Provisional Remedies: Removal of Certain RMR ‘Simpler Choices’ Rules</w:t>
      </w:r>
      <w:r w:rsidRPr="00586B0B">
        <w:rPr>
          <w:rFonts w:ascii="Calibri" w:eastAsia="MS Mincho" w:hAnsi="Calibri" w:cs="Calibri"/>
        </w:rPr>
        <w:t xml:space="preserve"> </w:t>
      </w:r>
    </w:p>
    <w:p w14:paraId="4D68BDC8"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2016b, </w:t>
      </w:r>
      <w:r w:rsidRPr="00586B0B">
        <w:rPr>
          <w:rFonts w:ascii="Calibri" w:eastAsia="MS Mincho" w:hAnsi="Calibri" w:cs="Calibri"/>
          <w:i/>
          <w:iCs/>
        </w:rPr>
        <w:t>Prepayment Meters Installed under Warrant: Final Proposals</w:t>
      </w:r>
      <w:r w:rsidRPr="00586B0B">
        <w:rPr>
          <w:rFonts w:ascii="Calibri" w:eastAsia="MS Mincho" w:hAnsi="Calibri" w:cs="Calibri"/>
        </w:rPr>
        <w:t xml:space="preserve"> </w:t>
      </w:r>
    </w:p>
    <w:p w14:paraId="46457919"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2016c, </w:t>
      </w:r>
      <w:r w:rsidRPr="00586B0B">
        <w:rPr>
          <w:rFonts w:ascii="Calibri" w:eastAsia="MS Mincho" w:hAnsi="Calibri" w:cs="Calibri"/>
          <w:i/>
          <w:iCs/>
        </w:rPr>
        <w:t>Prepayment Meters Installed under Warrant for Non-Payment of Debt - Draft Impact Assessment</w:t>
      </w:r>
      <w:r w:rsidRPr="00586B0B">
        <w:rPr>
          <w:rFonts w:ascii="Calibri" w:eastAsia="MS Mincho" w:hAnsi="Calibri" w:cs="Calibri"/>
        </w:rPr>
        <w:t xml:space="preserve"> </w:t>
      </w:r>
    </w:p>
    <w:p w14:paraId="72438CF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Ofgem, 2016d, </w:t>
      </w:r>
      <w:r w:rsidRPr="00586B0B">
        <w:rPr>
          <w:rFonts w:ascii="Calibri" w:eastAsia="MS Mincho" w:hAnsi="Calibri" w:cs="Calibri"/>
          <w:i/>
          <w:iCs/>
        </w:rPr>
        <w:t>Proposals to Improve Outcomes for Prepayment Customers, Consultation Responses</w:t>
      </w:r>
      <w:r w:rsidRPr="00586B0B">
        <w:rPr>
          <w:rFonts w:ascii="Calibri" w:eastAsia="MS Mincho" w:hAnsi="Calibri" w:cs="Calibri"/>
        </w:rPr>
        <w:t xml:space="preserve"> </w:t>
      </w:r>
    </w:p>
    <w:p w14:paraId="24830A17"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Ofgem, 2016e, </w:t>
      </w:r>
      <w:r w:rsidRPr="00586B0B">
        <w:rPr>
          <w:rFonts w:ascii="Calibri" w:eastAsia="MS Mincho" w:hAnsi="Calibri" w:cs="Calibri"/>
          <w:i/>
          <w:iCs/>
        </w:rPr>
        <w:t>The Future of Retail Market Regulation</w:t>
      </w:r>
      <w:r w:rsidRPr="00586B0B">
        <w:rPr>
          <w:rFonts w:ascii="Calibri" w:eastAsia="MS Mincho" w:hAnsi="Calibri" w:cs="Calibri"/>
        </w:rPr>
        <w:t xml:space="preserve"> </w:t>
      </w:r>
    </w:p>
    <w:p w14:paraId="5226D6AB"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Ogus, A.I., 2004, </w:t>
      </w:r>
      <w:r w:rsidRPr="00586B0B">
        <w:rPr>
          <w:rFonts w:ascii="Calibri" w:eastAsia="MS Mincho" w:hAnsi="Calibri" w:cs="Calibri"/>
          <w:i/>
          <w:iCs/>
        </w:rPr>
        <w:t>Regulation: Legal Form and Economic Theory,</w:t>
      </w:r>
      <w:r w:rsidRPr="00586B0B">
        <w:rPr>
          <w:rFonts w:ascii="Calibri" w:eastAsia="MS Mincho" w:hAnsi="Calibri" w:cs="Calibri"/>
        </w:rPr>
        <w:t xml:space="preserve"> Bloomsbury</w:t>
      </w:r>
    </w:p>
    <w:p w14:paraId="37062E72"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Pagliari, S, Young, K.L., 2020, Exploring information exchange among interest groups: a text-reuse approach, </w:t>
      </w:r>
      <w:r w:rsidRPr="00586B0B">
        <w:rPr>
          <w:rFonts w:ascii="Calibri" w:eastAsia="MS Mincho" w:hAnsi="Calibri" w:cs="Calibri"/>
          <w:i/>
          <w:iCs/>
        </w:rPr>
        <w:t>Journal of European Public Policy</w:t>
      </w:r>
      <w:r w:rsidRPr="00586B0B">
        <w:rPr>
          <w:rFonts w:ascii="Calibri" w:eastAsia="MS Mincho" w:hAnsi="Calibri" w:cs="Calibri"/>
        </w:rPr>
        <w:t xml:space="preserve"> 27, 11, 1698-1717</w:t>
      </w:r>
    </w:p>
    <w:p w14:paraId="03309A7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Pallett, H, Chilvers, J, 2013, A Decade of Learning about Publics, Participation, and Climate Change: Institutionalising Reflexivity? </w:t>
      </w:r>
      <w:r w:rsidRPr="00586B0B">
        <w:rPr>
          <w:rFonts w:ascii="Calibri" w:eastAsia="MS Mincho" w:hAnsi="Calibri" w:cs="Calibri"/>
          <w:i/>
          <w:iCs/>
        </w:rPr>
        <w:t>Environment and Planning A</w:t>
      </w:r>
      <w:r w:rsidRPr="00586B0B">
        <w:rPr>
          <w:rFonts w:ascii="Calibri" w:eastAsia="MS Mincho" w:hAnsi="Calibri" w:cs="Calibri"/>
        </w:rPr>
        <w:t xml:space="preserve"> 45, 5, 1162–1183</w:t>
      </w:r>
    </w:p>
    <w:p w14:paraId="7AA292E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Pidgeon, N, 2012, Public Understanding of, and Attitudes to, Climate Change: UK and International Perspectives and Policy, </w:t>
      </w:r>
      <w:r w:rsidRPr="00586B0B">
        <w:rPr>
          <w:rFonts w:ascii="Calibri" w:eastAsia="MS Mincho" w:hAnsi="Calibri" w:cs="Calibri"/>
          <w:i/>
          <w:iCs/>
        </w:rPr>
        <w:t>Climate Policy</w:t>
      </w:r>
      <w:r w:rsidRPr="00586B0B">
        <w:rPr>
          <w:rFonts w:ascii="Calibri" w:eastAsia="MS Mincho" w:hAnsi="Calibri" w:cs="Calibri"/>
        </w:rPr>
        <w:t xml:space="preserve"> 12, sup01, S85–S106</w:t>
      </w:r>
    </w:p>
    <w:p w14:paraId="7721B2E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lastRenderedPageBreak/>
        <w:t xml:space="preserve">Richards, D, 1996, Elite Interviewing: Approaches and Pitfalls, </w:t>
      </w:r>
      <w:r w:rsidRPr="00586B0B">
        <w:rPr>
          <w:rFonts w:ascii="Calibri" w:eastAsia="MS Mincho" w:hAnsi="Calibri" w:cs="Calibri"/>
          <w:i/>
          <w:iCs/>
        </w:rPr>
        <w:t>Politics</w:t>
      </w:r>
      <w:r w:rsidRPr="00586B0B">
        <w:rPr>
          <w:rFonts w:ascii="Calibri" w:eastAsia="MS Mincho" w:hAnsi="Calibri" w:cs="Calibri"/>
        </w:rPr>
        <w:t xml:space="preserve"> 16, 3, 199–204</w:t>
      </w:r>
    </w:p>
    <w:p w14:paraId="62DA0816"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Rimkutė, D, 2020 Strategic silence or regulatory talk? Regulatory agency responses to public allegations amidst the glyphosate controversy, </w:t>
      </w:r>
      <w:r w:rsidRPr="00586B0B">
        <w:rPr>
          <w:rFonts w:ascii="Calibri" w:eastAsia="MS Mincho" w:hAnsi="Calibri" w:cs="Calibri"/>
          <w:i/>
          <w:iCs/>
        </w:rPr>
        <w:t>Journal of European Public Policy</w:t>
      </w:r>
      <w:r w:rsidRPr="00586B0B">
        <w:rPr>
          <w:rFonts w:ascii="Calibri" w:eastAsia="MS Mincho" w:hAnsi="Calibri" w:cs="Calibri"/>
        </w:rPr>
        <w:t xml:space="preserve"> 27, 11, 1636-1656</w:t>
      </w:r>
    </w:p>
    <w:p w14:paraId="617513AD"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Robinson, C, 2002, </w:t>
      </w:r>
      <w:r w:rsidRPr="00586B0B">
        <w:rPr>
          <w:rFonts w:ascii="Calibri" w:eastAsia="MS Mincho" w:hAnsi="Calibri" w:cs="Calibri"/>
          <w:i/>
          <w:iCs/>
        </w:rPr>
        <w:t xml:space="preserve">Utility Regulation and Competition Policy, </w:t>
      </w:r>
      <w:r w:rsidRPr="00586B0B">
        <w:rPr>
          <w:rFonts w:ascii="Calibri" w:eastAsia="MS Mincho" w:hAnsi="Calibri" w:cs="Calibri"/>
        </w:rPr>
        <w:t>Cheltenham: Edward Elgar</w:t>
      </w:r>
    </w:p>
    <w:p w14:paraId="6380ABF6"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Robinson, C, 2007, </w:t>
      </w:r>
      <w:r w:rsidRPr="00586B0B">
        <w:rPr>
          <w:rFonts w:ascii="Calibri" w:eastAsia="MS Mincho" w:hAnsi="Calibri" w:cs="Calibri"/>
          <w:i/>
          <w:iCs/>
        </w:rPr>
        <w:t xml:space="preserve">Utility Regulation in Competitive Markets: Problems and Progress, </w:t>
      </w:r>
      <w:r w:rsidRPr="00586B0B">
        <w:rPr>
          <w:rFonts w:ascii="Calibri" w:eastAsia="MS Mincho" w:hAnsi="Calibri" w:cs="Calibri"/>
        </w:rPr>
        <w:t>Cheltenham: Edward Elgar</w:t>
      </w:r>
    </w:p>
    <w:p w14:paraId="5A51ED95"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Salamon, L.M. and Elliott, O.V. (eds) 2002, </w:t>
      </w:r>
      <w:r w:rsidRPr="00586B0B">
        <w:rPr>
          <w:rFonts w:ascii="Calibri" w:eastAsia="MS Mincho" w:hAnsi="Calibri" w:cs="Calibri"/>
          <w:i/>
          <w:iCs/>
        </w:rPr>
        <w:t>The Tools of Government: A Guide to the New Governance,</w:t>
      </w:r>
      <w:r w:rsidRPr="00586B0B">
        <w:rPr>
          <w:rFonts w:ascii="Calibri" w:eastAsia="MS Mincho" w:hAnsi="Calibri" w:cs="Calibri"/>
        </w:rPr>
        <w:t xml:space="preserve"> New York: Oxford University Press</w:t>
      </w:r>
    </w:p>
    <w:p w14:paraId="14145894"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Scrase, J.I., Ockwell, D.G., 2010, The Role of Discourse and Linguistic Framing Effects in Sustaining High Carbon Energy Policy—An Accessible Introduction, </w:t>
      </w:r>
      <w:r w:rsidRPr="00586B0B">
        <w:rPr>
          <w:rFonts w:ascii="Calibri" w:eastAsia="MS Mincho" w:hAnsi="Calibri" w:cs="Calibri"/>
          <w:i/>
          <w:iCs/>
        </w:rPr>
        <w:t>Energy Policy</w:t>
      </w:r>
      <w:r w:rsidRPr="00586B0B">
        <w:rPr>
          <w:rFonts w:ascii="Calibri" w:eastAsia="MS Mincho" w:hAnsi="Calibri" w:cs="Calibri"/>
        </w:rPr>
        <w:t xml:space="preserve"> 38, 5, 2225–2233</w:t>
      </w:r>
    </w:p>
    <w:p w14:paraId="6B96EB5F"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Shove, E, Walker, G, 2014, What Is Energy for? Social Practice and Energy Demand,  </w:t>
      </w:r>
      <w:r w:rsidRPr="00586B0B">
        <w:rPr>
          <w:rFonts w:ascii="Calibri" w:eastAsia="MS Mincho" w:hAnsi="Calibri" w:cs="Calibri"/>
          <w:i/>
          <w:iCs/>
        </w:rPr>
        <w:t>Theory, Culture &amp; Society</w:t>
      </w:r>
      <w:r w:rsidRPr="00586B0B">
        <w:rPr>
          <w:rFonts w:ascii="Calibri" w:eastAsia="MS Mincho" w:hAnsi="Calibri" w:cs="Calibri"/>
        </w:rPr>
        <w:t xml:space="preserve"> 31, 5, 41–58</w:t>
      </w:r>
    </w:p>
    <w:p w14:paraId="17D091E7"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Smith, G, 2009, </w:t>
      </w:r>
      <w:r w:rsidRPr="00586B0B">
        <w:rPr>
          <w:rFonts w:ascii="Calibri" w:eastAsia="MS Mincho" w:hAnsi="Calibri" w:cs="Calibri"/>
          <w:i/>
          <w:iCs/>
        </w:rPr>
        <w:t>Democratic Innovations: Designing Institutions for Citizen Participation,</w:t>
      </w:r>
      <w:r w:rsidRPr="00586B0B">
        <w:rPr>
          <w:rFonts w:ascii="Calibri" w:eastAsia="MS Mincho" w:hAnsi="Calibri" w:cs="Calibri"/>
        </w:rPr>
        <w:t xml:space="preserve"> Cambridge: Cambridge University Press</w:t>
      </w:r>
    </w:p>
    <w:p w14:paraId="3779FE18"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Stigler, G.J., 1971, The Theory of Economic Regulation, </w:t>
      </w:r>
      <w:r w:rsidRPr="00586B0B">
        <w:rPr>
          <w:rFonts w:ascii="Calibri" w:eastAsia="MS Mincho" w:hAnsi="Calibri" w:cs="Calibri"/>
          <w:i/>
          <w:iCs/>
        </w:rPr>
        <w:t>The Bell Journal of Economics and Management Science</w:t>
      </w:r>
      <w:r w:rsidRPr="00586B0B">
        <w:rPr>
          <w:rFonts w:ascii="Calibri" w:eastAsia="MS Mincho" w:hAnsi="Calibri" w:cs="Calibri"/>
        </w:rPr>
        <w:t xml:space="preserve"> 2, 1, 3–21</w:t>
      </w:r>
    </w:p>
    <w:p w14:paraId="5E15BAE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Strassheim, H, Kettunen, P, 2014, When Does Evidence-Based Policy Turn into Policy-Based Evidence? Configurations, Contexts and Mechanisms, </w:t>
      </w:r>
      <w:r w:rsidRPr="00586B0B">
        <w:rPr>
          <w:rFonts w:ascii="Calibri" w:eastAsia="MS Mincho" w:hAnsi="Calibri" w:cs="Calibri"/>
          <w:i/>
          <w:iCs/>
        </w:rPr>
        <w:t>Evidence &amp; Policy</w:t>
      </w:r>
      <w:r w:rsidRPr="00586B0B">
        <w:rPr>
          <w:rFonts w:ascii="Calibri" w:eastAsia="MS Mincho" w:hAnsi="Calibri" w:cs="Calibri"/>
        </w:rPr>
        <w:t xml:space="preserve"> 10, 2, 259–277</w:t>
      </w:r>
    </w:p>
    <w:p w14:paraId="02AF339E" w14:textId="77777777" w:rsidR="00586B0B" w:rsidRPr="00586B0B" w:rsidRDefault="00586B0B" w:rsidP="00586B0B">
      <w:pPr>
        <w:rPr>
          <w:rFonts w:ascii="Calibri" w:eastAsia="MS Mincho" w:hAnsi="Calibri" w:cs="Calibri"/>
        </w:rPr>
      </w:pPr>
      <w:r w:rsidRPr="00586B0B">
        <w:rPr>
          <w:rFonts w:ascii="Calibri" w:eastAsia="MS Mincho" w:hAnsi="Calibri" w:cs="Calibri"/>
        </w:rPr>
        <w:t xml:space="preserve">The National Archive, 2000, </w:t>
      </w:r>
      <w:r w:rsidRPr="00586B0B">
        <w:rPr>
          <w:rFonts w:ascii="Calibri" w:eastAsia="MS Mincho" w:hAnsi="Calibri" w:cs="Calibri"/>
          <w:i/>
          <w:iCs/>
        </w:rPr>
        <w:t>Utilities Act 2000: Explanatory Notes</w:t>
      </w:r>
    </w:p>
    <w:p w14:paraId="165BDAC4"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Timmermans, A, Scholten, P, 2006, The Political Flow of Wisdom: Science Institutions as Policy Venues in the Netherlands, </w:t>
      </w:r>
      <w:r w:rsidRPr="00586B0B">
        <w:rPr>
          <w:rFonts w:ascii="Calibri" w:eastAsia="MS Mincho" w:hAnsi="Calibri" w:cs="Calibri"/>
          <w:i/>
          <w:iCs/>
        </w:rPr>
        <w:t xml:space="preserve">Journal of European Public Policy </w:t>
      </w:r>
      <w:r w:rsidRPr="00586B0B">
        <w:rPr>
          <w:rFonts w:ascii="Calibri" w:eastAsia="MS Mincho" w:hAnsi="Calibri" w:cs="Calibri"/>
        </w:rPr>
        <w:t>13, 7, 1104–1118</w:t>
      </w:r>
    </w:p>
    <w:p w14:paraId="5CE444AE"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Tombs, S, 2016, Making Better Regulation, Making Regulation Better?, </w:t>
      </w:r>
      <w:r w:rsidRPr="00586B0B">
        <w:rPr>
          <w:rFonts w:ascii="Calibri" w:eastAsia="MS Mincho" w:hAnsi="Calibri" w:cs="Calibri"/>
          <w:i/>
          <w:iCs/>
        </w:rPr>
        <w:t>Policy Studies</w:t>
      </w:r>
      <w:r w:rsidRPr="00586B0B">
        <w:rPr>
          <w:rFonts w:ascii="Calibri" w:eastAsia="MS Mincho" w:hAnsi="Calibri" w:cs="Calibri"/>
        </w:rPr>
        <w:t xml:space="preserve"> 37, 4, 332–349</w:t>
      </w:r>
    </w:p>
    <w:p w14:paraId="3C2BAFE3"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Turnpenny, J, Radaelli, C.M., Jordan, A, Jacob, K, 2009, The Policy and Politics of Policy Appraisal: Emerging Trends and New Directions, </w:t>
      </w:r>
      <w:r w:rsidRPr="00586B0B">
        <w:rPr>
          <w:rFonts w:ascii="Calibri" w:eastAsia="MS Mincho" w:hAnsi="Calibri" w:cs="Calibri"/>
          <w:i/>
          <w:iCs/>
        </w:rPr>
        <w:t>Journal of European Public Policy</w:t>
      </w:r>
      <w:r w:rsidRPr="00586B0B">
        <w:rPr>
          <w:rFonts w:ascii="Calibri" w:eastAsia="MS Mincho" w:hAnsi="Calibri" w:cs="Calibri"/>
        </w:rPr>
        <w:t xml:space="preserve"> 16, 4, 640–653</w:t>
      </w:r>
    </w:p>
    <w:p w14:paraId="730767C9"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Turnpenny, J.R., Jordan, A.J., Benson, D, Rayner, T, 2015, The tools of policy formulation: an introduction, in A.J. Jordan and J.R. Turnpenny (eds) </w:t>
      </w:r>
      <w:r w:rsidRPr="00586B0B">
        <w:rPr>
          <w:rFonts w:ascii="Calibri" w:eastAsia="MS Mincho" w:hAnsi="Calibri" w:cs="Calibri"/>
          <w:i/>
          <w:iCs/>
        </w:rPr>
        <w:t xml:space="preserve">The Tools of Policy Formulation: Actors, Capacities, Venues and Effects, </w:t>
      </w:r>
      <w:r w:rsidRPr="00586B0B">
        <w:rPr>
          <w:rFonts w:ascii="Calibri" w:eastAsia="MS Mincho" w:hAnsi="Calibri" w:cs="Calibri"/>
        </w:rPr>
        <w:t>Cheltenham: Edward Elgar, 3-29</w:t>
      </w:r>
    </w:p>
    <w:p w14:paraId="7E257F6E"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Uhr, J, 1993, Redesigning Accountability: From Muddles to Maps, </w:t>
      </w:r>
      <w:r w:rsidRPr="00586B0B">
        <w:rPr>
          <w:rFonts w:ascii="Calibri" w:eastAsia="MS Mincho" w:hAnsi="Calibri" w:cs="Calibri"/>
          <w:i/>
          <w:iCs/>
        </w:rPr>
        <w:t>The Australian Quarterly</w:t>
      </w:r>
      <w:r w:rsidRPr="00586B0B">
        <w:rPr>
          <w:rFonts w:ascii="Calibri" w:eastAsia="MS Mincho" w:hAnsi="Calibri" w:cs="Calibri"/>
        </w:rPr>
        <w:t xml:space="preserve"> 65, 2, 1–16</w:t>
      </w:r>
    </w:p>
    <w:p w14:paraId="15C64C13" w14:textId="77777777" w:rsidR="00D90015" w:rsidRPr="00D90015" w:rsidRDefault="00D90015" w:rsidP="00652E21">
      <w:pPr>
        <w:ind w:left="1440" w:hanging="1440"/>
        <w:rPr>
          <w:rFonts w:ascii="Calibri" w:eastAsia="MS Mincho" w:hAnsi="Calibri" w:cs="Calibri"/>
        </w:rPr>
      </w:pPr>
      <w:r w:rsidRPr="00D90015">
        <w:rPr>
          <w:rFonts w:ascii="Calibri" w:eastAsia="MS Mincho" w:hAnsi="Calibri" w:cs="Calibri"/>
        </w:rPr>
        <w:t xml:space="preserve">United Nations (2015) </w:t>
      </w:r>
      <w:r w:rsidRPr="00652E21">
        <w:rPr>
          <w:rFonts w:ascii="Calibri" w:eastAsia="MS Mincho" w:hAnsi="Calibri" w:cs="Calibri"/>
          <w:i/>
          <w:iCs/>
        </w:rPr>
        <w:t>Paris Agreement</w:t>
      </w:r>
    </w:p>
    <w:p w14:paraId="097639FA" w14:textId="7361260D" w:rsidR="00D90015" w:rsidRDefault="00D90015" w:rsidP="00D90015">
      <w:pPr>
        <w:ind w:left="720" w:hanging="720"/>
        <w:rPr>
          <w:rFonts w:ascii="Calibri" w:eastAsia="MS Mincho" w:hAnsi="Calibri" w:cs="Calibri"/>
        </w:rPr>
      </w:pPr>
      <w:r w:rsidRPr="00D90015">
        <w:rPr>
          <w:rFonts w:ascii="Calibri" w:eastAsia="MS Mincho" w:hAnsi="Calibri" w:cs="Calibri"/>
        </w:rPr>
        <w:t>https://unfccc.int/files/essential_background/convention/application/pdf/english_paris_agreement.pdf</w:t>
      </w:r>
    </w:p>
    <w:p w14:paraId="7F969113" w14:textId="53BCB4F0"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Voß, J-P, Simons, A, 2014, Instrument Constituencies and the Supply Side of Policy Innovation: The Social Life of Emissions Trading, </w:t>
      </w:r>
      <w:r w:rsidRPr="00586B0B">
        <w:rPr>
          <w:rFonts w:ascii="Calibri" w:eastAsia="MS Mincho" w:hAnsi="Calibri" w:cs="Calibri"/>
          <w:i/>
          <w:iCs/>
        </w:rPr>
        <w:t>Environmental Politics</w:t>
      </w:r>
      <w:r w:rsidRPr="00586B0B">
        <w:rPr>
          <w:rFonts w:ascii="Calibri" w:eastAsia="MS Mincho" w:hAnsi="Calibri" w:cs="Calibri"/>
        </w:rPr>
        <w:t xml:space="preserve"> 23, 5, 735–754</w:t>
      </w:r>
    </w:p>
    <w:p w14:paraId="4E487851"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Weatherill, S, 2007, The Challenge of Better Regulation</w:t>
      </w:r>
      <w:r w:rsidRPr="00586B0B">
        <w:rPr>
          <w:rFonts w:ascii="Calibri" w:eastAsia="MS Mincho" w:hAnsi="Calibri" w:cs="Calibri"/>
          <w:i/>
          <w:iCs/>
        </w:rPr>
        <w:t xml:space="preserve">, </w:t>
      </w:r>
      <w:r w:rsidRPr="00586B0B">
        <w:rPr>
          <w:rFonts w:ascii="Calibri" w:eastAsia="MS Mincho" w:hAnsi="Calibri" w:cs="Calibri"/>
        </w:rPr>
        <w:t xml:space="preserve">in S. Weatherill (ed) </w:t>
      </w:r>
      <w:r w:rsidRPr="00586B0B">
        <w:rPr>
          <w:rFonts w:ascii="Calibri" w:eastAsia="MS Mincho" w:hAnsi="Calibri" w:cs="Calibri"/>
          <w:i/>
          <w:iCs/>
        </w:rPr>
        <w:t>Better Regulation</w:t>
      </w:r>
      <w:r w:rsidRPr="00586B0B">
        <w:rPr>
          <w:rFonts w:ascii="Calibri" w:eastAsia="MS Mincho" w:hAnsi="Calibri" w:cs="Calibri"/>
        </w:rPr>
        <w:t>, Oxford: Hart Publishing, 1-17</w:t>
      </w:r>
    </w:p>
    <w:p w14:paraId="4D3CA35A" w14:textId="77777777" w:rsidR="00586B0B" w:rsidRPr="00586B0B" w:rsidRDefault="00586B0B" w:rsidP="00586B0B">
      <w:pPr>
        <w:ind w:left="720" w:hanging="720"/>
        <w:rPr>
          <w:rFonts w:ascii="Calibri" w:eastAsia="MS Mincho" w:hAnsi="Calibri" w:cs="Calibri"/>
          <w:highlight w:val="yellow"/>
        </w:rPr>
      </w:pPr>
      <w:r w:rsidRPr="00586B0B">
        <w:rPr>
          <w:rFonts w:ascii="Calibri" w:eastAsia="MS Mincho" w:hAnsi="Calibri" w:cs="Calibri"/>
        </w:rPr>
        <w:t xml:space="preserve">Woodhouse, E.J., Nieusma, D, 2001, Democratic Expertise: Integrating Knowledge, Power, and Participation, in Hisschemöller, M et al (eds) </w:t>
      </w:r>
      <w:r w:rsidRPr="00586B0B">
        <w:rPr>
          <w:rFonts w:ascii="Calibri" w:eastAsia="MS Mincho" w:hAnsi="Calibri" w:cs="Calibri"/>
          <w:i/>
          <w:iCs/>
        </w:rPr>
        <w:t xml:space="preserve">Knowledge, Power, </w:t>
      </w:r>
      <w:r w:rsidRPr="00586B0B">
        <w:rPr>
          <w:rFonts w:ascii="Calibri" w:eastAsia="MS Mincho" w:hAnsi="Calibri" w:cs="Calibri"/>
          <w:i/>
          <w:iCs/>
        </w:rPr>
        <w:lastRenderedPageBreak/>
        <w:t>and Participation in Environmental Policy Analysis,</w:t>
      </w:r>
      <w:r w:rsidRPr="00586B0B">
        <w:rPr>
          <w:rFonts w:ascii="Calibri" w:eastAsia="MS Mincho" w:hAnsi="Calibri" w:cs="Calibri"/>
        </w:rPr>
        <w:t xml:space="preserve"> Policy Studies Review Annual Volume 12, 73–96</w:t>
      </w:r>
    </w:p>
    <w:p w14:paraId="2A538B10"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Wu, X, Ramesh, M, Howlett, M, Fritzen, S.A., 2017, </w:t>
      </w:r>
      <w:r w:rsidRPr="00586B0B">
        <w:rPr>
          <w:rFonts w:ascii="Calibri" w:eastAsia="MS Mincho" w:hAnsi="Calibri" w:cs="Calibri"/>
          <w:i/>
          <w:iCs/>
        </w:rPr>
        <w:t>The Public Policy Primer: Managing the Policy Process,</w:t>
      </w:r>
      <w:r w:rsidRPr="00586B0B">
        <w:rPr>
          <w:rFonts w:ascii="Calibri" w:eastAsia="MS Mincho" w:hAnsi="Calibri" w:cs="Calibri"/>
        </w:rPr>
        <w:t xml:space="preserve"> Routledge</w:t>
      </w:r>
    </w:p>
    <w:p w14:paraId="620AB6B5"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Yackee, J.W., Yackee, S.W., 2006, A bias towards business? Assessing interest group influence on the U.S. Bureaucracy </w:t>
      </w:r>
      <w:r w:rsidRPr="00586B0B">
        <w:rPr>
          <w:rFonts w:ascii="Calibri" w:eastAsia="MS Mincho" w:hAnsi="Calibri" w:cs="Calibri"/>
          <w:i/>
          <w:iCs/>
        </w:rPr>
        <w:t>Journal of Politics</w:t>
      </w:r>
      <w:r w:rsidRPr="00586B0B">
        <w:rPr>
          <w:rFonts w:ascii="Calibri" w:eastAsia="MS Mincho" w:hAnsi="Calibri" w:cs="Calibri"/>
        </w:rPr>
        <w:t xml:space="preserve"> 68, 1, 128–139</w:t>
      </w:r>
    </w:p>
    <w:p w14:paraId="50102C0C" w14:textId="77777777" w:rsidR="00586B0B" w:rsidRPr="00586B0B" w:rsidRDefault="00586B0B" w:rsidP="00586B0B">
      <w:pPr>
        <w:ind w:left="720" w:hanging="720"/>
        <w:rPr>
          <w:rFonts w:ascii="Calibri" w:eastAsia="MS Mincho" w:hAnsi="Calibri" w:cs="Calibri"/>
        </w:rPr>
      </w:pPr>
      <w:r w:rsidRPr="00586B0B">
        <w:rPr>
          <w:rFonts w:ascii="Calibri" w:eastAsia="MS Mincho" w:hAnsi="Calibri" w:cs="Calibri"/>
        </w:rPr>
        <w:t xml:space="preserve">Yanow, D, 1999, </w:t>
      </w:r>
      <w:r w:rsidRPr="00586B0B">
        <w:rPr>
          <w:rFonts w:ascii="Calibri" w:eastAsia="MS Mincho" w:hAnsi="Calibri" w:cs="Calibri"/>
          <w:i/>
          <w:iCs/>
        </w:rPr>
        <w:t>Conducting Interpretive Policy Analysis</w:t>
      </w:r>
      <w:r w:rsidRPr="00586B0B">
        <w:rPr>
          <w:rFonts w:ascii="Calibri" w:eastAsia="MS Mincho" w:hAnsi="Calibri" w:cs="Calibri"/>
        </w:rPr>
        <w:t>. Qualitative Research Methods Series 47. Sage.</w:t>
      </w:r>
    </w:p>
    <w:p w14:paraId="0992BA8A" w14:textId="77777777" w:rsidR="00586B0B" w:rsidRPr="00586B0B" w:rsidRDefault="00586B0B" w:rsidP="00586B0B"/>
    <w:sectPr w:rsidR="00586B0B" w:rsidRPr="00586B0B" w:rsidSect="000D14D7">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ED61" w14:textId="77777777" w:rsidR="007E21FF" w:rsidRDefault="007E21FF" w:rsidP="005F16EC">
      <w:r>
        <w:separator/>
      </w:r>
    </w:p>
  </w:endnote>
  <w:endnote w:type="continuationSeparator" w:id="0">
    <w:p w14:paraId="40891C38" w14:textId="77777777" w:rsidR="007E21FF" w:rsidRDefault="007E21FF" w:rsidP="005F16EC">
      <w:r>
        <w:continuationSeparator/>
      </w:r>
    </w:p>
  </w:endnote>
  <w:endnote w:type="continuationNotice" w:id="1">
    <w:p w14:paraId="613B8B4A" w14:textId="77777777" w:rsidR="007E21FF" w:rsidRDefault="007E2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046070"/>
      <w:docPartObj>
        <w:docPartGallery w:val="Page Numbers (Bottom of Page)"/>
        <w:docPartUnique/>
      </w:docPartObj>
    </w:sdtPr>
    <w:sdtEndPr>
      <w:rPr>
        <w:noProof/>
      </w:rPr>
    </w:sdtEndPr>
    <w:sdtContent>
      <w:p w14:paraId="37EFC1CB" w14:textId="4EA76AC3" w:rsidR="00FD03AB" w:rsidRDefault="00FD03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CF998A" w14:textId="77777777" w:rsidR="00FD03AB" w:rsidRDefault="00FD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4E0B" w14:textId="77777777" w:rsidR="007E21FF" w:rsidRDefault="007E21FF" w:rsidP="005F16EC">
      <w:r>
        <w:separator/>
      </w:r>
    </w:p>
  </w:footnote>
  <w:footnote w:type="continuationSeparator" w:id="0">
    <w:p w14:paraId="2FAF956A" w14:textId="77777777" w:rsidR="007E21FF" w:rsidRDefault="007E21FF" w:rsidP="005F16EC">
      <w:r>
        <w:continuationSeparator/>
      </w:r>
    </w:p>
  </w:footnote>
  <w:footnote w:type="continuationNotice" w:id="1">
    <w:p w14:paraId="75B40C79" w14:textId="77777777" w:rsidR="007E21FF" w:rsidRDefault="007E2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42D" w14:textId="77777777" w:rsidR="00FD03AB" w:rsidRDefault="00FD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87A"/>
    <w:multiLevelType w:val="hybridMultilevel"/>
    <w:tmpl w:val="06AC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C6541"/>
    <w:multiLevelType w:val="hybridMultilevel"/>
    <w:tmpl w:val="A172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24373"/>
    <w:multiLevelType w:val="hybridMultilevel"/>
    <w:tmpl w:val="AEF0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81C92"/>
    <w:multiLevelType w:val="hybridMultilevel"/>
    <w:tmpl w:val="85B4D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87AF7"/>
    <w:multiLevelType w:val="hybridMultilevel"/>
    <w:tmpl w:val="40C2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36708"/>
    <w:multiLevelType w:val="hybridMultilevel"/>
    <w:tmpl w:val="012C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44023"/>
    <w:multiLevelType w:val="hybridMultilevel"/>
    <w:tmpl w:val="83B8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961983"/>
    <w:multiLevelType w:val="hybridMultilevel"/>
    <w:tmpl w:val="E0D8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4"/>
  </w:num>
  <w:num w:numId="6">
    <w:abstractNumId w:val="2"/>
  </w:num>
  <w:num w:numId="7">
    <w:abstractNumId w:val="1"/>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05"/>
    <w:rsid w:val="0000219D"/>
    <w:rsid w:val="0000299C"/>
    <w:rsid w:val="00004547"/>
    <w:rsid w:val="00005C98"/>
    <w:rsid w:val="00006781"/>
    <w:rsid w:val="00007CC9"/>
    <w:rsid w:val="00010584"/>
    <w:rsid w:val="0001121E"/>
    <w:rsid w:val="00012893"/>
    <w:rsid w:val="000129D3"/>
    <w:rsid w:val="00014597"/>
    <w:rsid w:val="0001476F"/>
    <w:rsid w:val="0001611F"/>
    <w:rsid w:val="00016A99"/>
    <w:rsid w:val="00021022"/>
    <w:rsid w:val="0002241B"/>
    <w:rsid w:val="00023A9C"/>
    <w:rsid w:val="000248FE"/>
    <w:rsid w:val="000256DD"/>
    <w:rsid w:val="00025F24"/>
    <w:rsid w:val="00030C62"/>
    <w:rsid w:val="00031613"/>
    <w:rsid w:val="00031C7A"/>
    <w:rsid w:val="0003232F"/>
    <w:rsid w:val="0003249A"/>
    <w:rsid w:val="00032534"/>
    <w:rsid w:val="000335C6"/>
    <w:rsid w:val="00033E1A"/>
    <w:rsid w:val="000343CA"/>
    <w:rsid w:val="00035643"/>
    <w:rsid w:val="0003628C"/>
    <w:rsid w:val="000371D8"/>
    <w:rsid w:val="00040EF9"/>
    <w:rsid w:val="0004166E"/>
    <w:rsid w:val="00043296"/>
    <w:rsid w:val="000438CC"/>
    <w:rsid w:val="00044119"/>
    <w:rsid w:val="0004467C"/>
    <w:rsid w:val="00045741"/>
    <w:rsid w:val="000471AE"/>
    <w:rsid w:val="00047849"/>
    <w:rsid w:val="00050359"/>
    <w:rsid w:val="00050F60"/>
    <w:rsid w:val="00050F69"/>
    <w:rsid w:val="00051363"/>
    <w:rsid w:val="000514F4"/>
    <w:rsid w:val="0005179D"/>
    <w:rsid w:val="000519BA"/>
    <w:rsid w:val="000520C0"/>
    <w:rsid w:val="00053246"/>
    <w:rsid w:val="0005356D"/>
    <w:rsid w:val="00054471"/>
    <w:rsid w:val="00054987"/>
    <w:rsid w:val="0005537B"/>
    <w:rsid w:val="00056605"/>
    <w:rsid w:val="00057BE4"/>
    <w:rsid w:val="00057F21"/>
    <w:rsid w:val="00060CCF"/>
    <w:rsid w:val="00060D73"/>
    <w:rsid w:val="000617B3"/>
    <w:rsid w:val="000617B9"/>
    <w:rsid w:val="00063550"/>
    <w:rsid w:val="0006524A"/>
    <w:rsid w:val="00066984"/>
    <w:rsid w:val="00066C2D"/>
    <w:rsid w:val="00067FAD"/>
    <w:rsid w:val="000703F4"/>
    <w:rsid w:val="00072FD3"/>
    <w:rsid w:val="000730D9"/>
    <w:rsid w:val="0007597D"/>
    <w:rsid w:val="00077397"/>
    <w:rsid w:val="0008011E"/>
    <w:rsid w:val="0008014D"/>
    <w:rsid w:val="000817E9"/>
    <w:rsid w:val="00081D80"/>
    <w:rsid w:val="00082623"/>
    <w:rsid w:val="00085A31"/>
    <w:rsid w:val="00085C63"/>
    <w:rsid w:val="00086537"/>
    <w:rsid w:val="0008731E"/>
    <w:rsid w:val="00087752"/>
    <w:rsid w:val="00091E52"/>
    <w:rsid w:val="0009303E"/>
    <w:rsid w:val="00093165"/>
    <w:rsid w:val="00094258"/>
    <w:rsid w:val="00094D6F"/>
    <w:rsid w:val="00097917"/>
    <w:rsid w:val="000A0056"/>
    <w:rsid w:val="000A0490"/>
    <w:rsid w:val="000A05B4"/>
    <w:rsid w:val="000A0A4B"/>
    <w:rsid w:val="000A1E1C"/>
    <w:rsid w:val="000A2201"/>
    <w:rsid w:val="000A275A"/>
    <w:rsid w:val="000A41FB"/>
    <w:rsid w:val="000A5B46"/>
    <w:rsid w:val="000A5EB0"/>
    <w:rsid w:val="000A7462"/>
    <w:rsid w:val="000B38F5"/>
    <w:rsid w:val="000B5D71"/>
    <w:rsid w:val="000B5F61"/>
    <w:rsid w:val="000B6B94"/>
    <w:rsid w:val="000B6E52"/>
    <w:rsid w:val="000B6ED4"/>
    <w:rsid w:val="000B7703"/>
    <w:rsid w:val="000C006F"/>
    <w:rsid w:val="000C0F26"/>
    <w:rsid w:val="000C0FA0"/>
    <w:rsid w:val="000C1C6E"/>
    <w:rsid w:val="000C1D54"/>
    <w:rsid w:val="000C34DB"/>
    <w:rsid w:val="000C3AC1"/>
    <w:rsid w:val="000C4B46"/>
    <w:rsid w:val="000C76D4"/>
    <w:rsid w:val="000D0EA6"/>
    <w:rsid w:val="000D14D7"/>
    <w:rsid w:val="000D16DA"/>
    <w:rsid w:val="000D18F1"/>
    <w:rsid w:val="000D1A82"/>
    <w:rsid w:val="000D4A63"/>
    <w:rsid w:val="000D54E4"/>
    <w:rsid w:val="000D7360"/>
    <w:rsid w:val="000D753E"/>
    <w:rsid w:val="000D7CD4"/>
    <w:rsid w:val="000E2E00"/>
    <w:rsid w:val="000E3943"/>
    <w:rsid w:val="000E6B72"/>
    <w:rsid w:val="000E73D4"/>
    <w:rsid w:val="000F0183"/>
    <w:rsid w:val="000F0258"/>
    <w:rsid w:val="000F1309"/>
    <w:rsid w:val="000F256F"/>
    <w:rsid w:val="000F3228"/>
    <w:rsid w:val="000F3238"/>
    <w:rsid w:val="000F4183"/>
    <w:rsid w:val="000F4803"/>
    <w:rsid w:val="000F4D6F"/>
    <w:rsid w:val="000F4D85"/>
    <w:rsid w:val="000F6767"/>
    <w:rsid w:val="000F6991"/>
    <w:rsid w:val="000F7A43"/>
    <w:rsid w:val="0010084C"/>
    <w:rsid w:val="00100D01"/>
    <w:rsid w:val="001019D1"/>
    <w:rsid w:val="001030BF"/>
    <w:rsid w:val="001044A4"/>
    <w:rsid w:val="00105E49"/>
    <w:rsid w:val="00105EE2"/>
    <w:rsid w:val="001064B4"/>
    <w:rsid w:val="00106B40"/>
    <w:rsid w:val="00106DA7"/>
    <w:rsid w:val="00107864"/>
    <w:rsid w:val="00110C65"/>
    <w:rsid w:val="0011273E"/>
    <w:rsid w:val="001128E6"/>
    <w:rsid w:val="001132CA"/>
    <w:rsid w:val="00114F3E"/>
    <w:rsid w:val="001155C1"/>
    <w:rsid w:val="001168AC"/>
    <w:rsid w:val="00116908"/>
    <w:rsid w:val="00117EED"/>
    <w:rsid w:val="00121185"/>
    <w:rsid w:val="00121C42"/>
    <w:rsid w:val="001237D7"/>
    <w:rsid w:val="0012520D"/>
    <w:rsid w:val="00125EA3"/>
    <w:rsid w:val="00125F03"/>
    <w:rsid w:val="00126482"/>
    <w:rsid w:val="00127158"/>
    <w:rsid w:val="001303E3"/>
    <w:rsid w:val="0013198E"/>
    <w:rsid w:val="00132599"/>
    <w:rsid w:val="00132DDE"/>
    <w:rsid w:val="001346FF"/>
    <w:rsid w:val="00136255"/>
    <w:rsid w:val="00136261"/>
    <w:rsid w:val="00136FEC"/>
    <w:rsid w:val="00137876"/>
    <w:rsid w:val="001403F1"/>
    <w:rsid w:val="00141404"/>
    <w:rsid w:val="001420CF"/>
    <w:rsid w:val="00143A1E"/>
    <w:rsid w:val="00143A5B"/>
    <w:rsid w:val="00143DDF"/>
    <w:rsid w:val="00153A43"/>
    <w:rsid w:val="00153BD4"/>
    <w:rsid w:val="00156653"/>
    <w:rsid w:val="001567A7"/>
    <w:rsid w:val="00162BF6"/>
    <w:rsid w:val="001643D6"/>
    <w:rsid w:val="00164594"/>
    <w:rsid w:val="00164C04"/>
    <w:rsid w:val="00166533"/>
    <w:rsid w:val="00166AA1"/>
    <w:rsid w:val="00170CCA"/>
    <w:rsid w:val="00170DEE"/>
    <w:rsid w:val="00171401"/>
    <w:rsid w:val="001719EC"/>
    <w:rsid w:val="00173D81"/>
    <w:rsid w:val="001749C4"/>
    <w:rsid w:val="00174A68"/>
    <w:rsid w:val="001772F0"/>
    <w:rsid w:val="00177D05"/>
    <w:rsid w:val="00177F39"/>
    <w:rsid w:val="001807C6"/>
    <w:rsid w:val="0018125D"/>
    <w:rsid w:val="00181E7F"/>
    <w:rsid w:val="00182232"/>
    <w:rsid w:val="001824CE"/>
    <w:rsid w:val="00183704"/>
    <w:rsid w:val="00183B42"/>
    <w:rsid w:val="00190514"/>
    <w:rsid w:val="0019093E"/>
    <w:rsid w:val="00190AD2"/>
    <w:rsid w:val="00190B07"/>
    <w:rsid w:val="00191171"/>
    <w:rsid w:val="0019169B"/>
    <w:rsid w:val="00191B95"/>
    <w:rsid w:val="0019279C"/>
    <w:rsid w:val="001928F4"/>
    <w:rsid w:val="00192B40"/>
    <w:rsid w:val="00192CAA"/>
    <w:rsid w:val="00192F36"/>
    <w:rsid w:val="001938E5"/>
    <w:rsid w:val="00194343"/>
    <w:rsid w:val="00196638"/>
    <w:rsid w:val="00196735"/>
    <w:rsid w:val="00196E12"/>
    <w:rsid w:val="00197110"/>
    <w:rsid w:val="0019712D"/>
    <w:rsid w:val="0019782F"/>
    <w:rsid w:val="00197B5B"/>
    <w:rsid w:val="001A1BC5"/>
    <w:rsid w:val="001A223C"/>
    <w:rsid w:val="001A3440"/>
    <w:rsid w:val="001A4593"/>
    <w:rsid w:val="001A48C3"/>
    <w:rsid w:val="001A5BA0"/>
    <w:rsid w:val="001A7151"/>
    <w:rsid w:val="001A7DF7"/>
    <w:rsid w:val="001B07EA"/>
    <w:rsid w:val="001B0AED"/>
    <w:rsid w:val="001B2695"/>
    <w:rsid w:val="001B2CC5"/>
    <w:rsid w:val="001B3133"/>
    <w:rsid w:val="001B39D0"/>
    <w:rsid w:val="001B4173"/>
    <w:rsid w:val="001B4F81"/>
    <w:rsid w:val="001B584A"/>
    <w:rsid w:val="001B7B9E"/>
    <w:rsid w:val="001B7C12"/>
    <w:rsid w:val="001C0DBA"/>
    <w:rsid w:val="001C4269"/>
    <w:rsid w:val="001C6C32"/>
    <w:rsid w:val="001C7F1F"/>
    <w:rsid w:val="001D0833"/>
    <w:rsid w:val="001D0AC7"/>
    <w:rsid w:val="001D0FDA"/>
    <w:rsid w:val="001D3FBC"/>
    <w:rsid w:val="001D4164"/>
    <w:rsid w:val="001D530A"/>
    <w:rsid w:val="001D6AB1"/>
    <w:rsid w:val="001D6FA7"/>
    <w:rsid w:val="001E1219"/>
    <w:rsid w:val="001E14A7"/>
    <w:rsid w:val="001E3593"/>
    <w:rsid w:val="001E40EA"/>
    <w:rsid w:val="001E4945"/>
    <w:rsid w:val="001E6B6C"/>
    <w:rsid w:val="001E6DBC"/>
    <w:rsid w:val="001F143E"/>
    <w:rsid w:val="001F213F"/>
    <w:rsid w:val="001F2C2D"/>
    <w:rsid w:val="001F2C6A"/>
    <w:rsid w:val="001F324F"/>
    <w:rsid w:val="001F3FE7"/>
    <w:rsid w:val="001F40FD"/>
    <w:rsid w:val="001F46CB"/>
    <w:rsid w:val="001F4AD2"/>
    <w:rsid w:val="001F5BBA"/>
    <w:rsid w:val="001F5BBC"/>
    <w:rsid w:val="001F7BB6"/>
    <w:rsid w:val="00200FBB"/>
    <w:rsid w:val="00203F8D"/>
    <w:rsid w:val="00204448"/>
    <w:rsid w:val="00205AB2"/>
    <w:rsid w:val="00205F29"/>
    <w:rsid w:val="00206B44"/>
    <w:rsid w:val="002116E3"/>
    <w:rsid w:val="00212276"/>
    <w:rsid w:val="00214342"/>
    <w:rsid w:val="00215E23"/>
    <w:rsid w:val="00216A9D"/>
    <w:rsid w:val="0022045E"/>
    <w:rsid w:val="00221745"/>
    <w:rsid w:val="00222A0F"/>
    <w:rsid w:val="0022510C"/>
    <w:rsid w:val="0022703E"/>
    <w:rsid w:val="002271C3"/>
    <w:rsid w:val="00227A2D"/>
    <w:rsid w:val="00227D7D"/>
    <w:rsid w:val="002324DD"/>
    <w:rsid w:val="00232F33"/>
    <w:rsid w:val="00233483"/>
    <w:rsid w:val="00233A43"/>
    <w:rsid w:val="00234034"/>
    <w:rsid w:val="00234C79"/>
    <w:rsid w:val="0023625B"/>
    <w:rsid w:val="00237AE5"/>
    <w:rsid w:val="002427B6"/>
    <w:rsid w:val="002427F4"/>
    <w:rsid w:val="00243BDF"/>
    <w:rsid w:val="00244EB1"/>
    <w:rsid w:val="002451EE"/>
    <w:rsid w:val="00246E2E"/>
    <w:rsid w:val="00247695"/>
    <w:rsid w:val="002479A1"/>
    <w:rsid w:val="00252449"/>
    <w:rsid w:val="002537EB"/>
    <w:rsid w:val="002539A3"/>
    <w:rsid w:val="002539D9"/>
    <w:rsid w:val="002543F5"/>
    <w:rsid w:val="0025466E"/>
    <w:rsid w:val="00254BAA"/>
    <w:rsid w:val="00256051"/>
    <w:rsid w:val="002560B6"/>
    <w:rsid w:val="00256784"/>
    <w:rsid w:val="0025682C"/>
    <w:rsid w:val="0025722A"/>
    <w:rsid w:val="00261B95"/>
    <w:rsid w:val="002621D7"/>
    <w:rsid w:val="0026297F"/>
    <w:rsid w:val="00263114"/>
    <w:rsid w:val="00263667"/>
    <w:rsid w:val="002638DC"/>
    <w:rsid w:val="002640AB"/>
    <w:rsid w:val="00266941"/>
    <w:rsid w:val="0026717F"/>
    <w:rsid w:val="00270961"/>
    <w:rsid w:val="002712E1"/>
    <w:rsid w:val="0027177D"/>
    <w:rsid w:val="00272CAD"/>
    <w:rsid w:val="002736F6"/>
    <w:rsid w:val="00274055"/>
    <w:rsid w:val="00274D23"/>
    <w:rsid w:val="00275B4E"/>
    <w:rsid w:val="0027634B"/>
    <w:rsid w:val="0027648B"/>
    <w:rsid w:val="002764B7"/>
    <w:rsid w:val="00276C76"/>
    <w:rsid w:val="0028057F"/>
    <w:rsid w:val="00280D8D"/>
    <w:rsid w:val="0028375A"/>
    <w:rsid w:val="002865B5"/>
    <w:rsid w:val="00286C77"/>
    <w:rsid w:val="00290B34"/>
    <w:rsid w:val="00291359"/>
    <w:rsid w:val="00291627"/>
    <w:rsid w:val="002920B3"/>
    <w:rsid w:val="00293E2D"/>
    <w:rsid w:val="00295BF2"/>
    <w:rsid w:val="00296110"/>
    <w:rsid w:val="00296B8E"/>
    <w:rsid w:val="00297D57"/>
    <w:rsid w:val="002A1E9D"/>
    <w:rsid w:val="002A1F95"/>
    <w:rsid w:val="002A2EC7"/>
    <w:rsid w:val="002A3B95"/>
    <w:rsid w:val="002A3E54"/>
    <w:rsid w:val="002A4099"/>
    <w:rsid w:val="002A45F3"/>
    <w:rsid w:val="002A53C6"/>
    <w:rsid w:val="002A53E6"/>
    <w:rsid w:val="002A67B6"/>
    <w:rsid w:val="002B0344"/>
    <w:rsid w:val="002B0756"/>
    <w:rsid w:val="002B07A3"/>
    <w:rsid w:val="002B0B53"/>
    <w:rsid w:val="002B1858"/>
    <w:rsid w:val="002B1966"/>
    <w:rsid w:val="002B2A98"/>
    <w:rsid w:val="002B36CC"/>
    <w:rsid w:val="002B57BE"/>
    <w:rsid w:val="002B5D06"/>
    <w:rsid w:val="002B7629"/>
    <w:rsid w:val="002C12E4"/>
    <w:rsid w:val="002C3151"/>
    <w:rsid w:val="002C3164"/>
    <w:rsid w:val="002C4FA0"/>
    <w:rsid w:val="002C5596"/>
    <w:rsid w:val="002C58F0"/>
    <w:rsid w:val="002D1296"/>
    <w:rsid w:val="002D2152"/>
    <w:rsid w:val="002D2694"/>
    <w:rsid w:val="002D2CE7"/>
    <w:rsid w:val="002D3E4A"/>
    <w:rsid w:val="002D42F5"/>
    <w:rsid w:val="002D4E29"/>
    <w:rsid w:val="002D5545"/>
    <w:rsid w:val="002D708C"/>
    <w:rsid w:val="002D7C57"/>
    <w:rsid w:val="002E0779"/>
    <w:rsid w:val="002E0F78"/>
    <w:rsid w:val="002E11E5"/>
    <w:rsid w:val="002E135A"/>
    <w:rsid w:val="002E2577"/>
    <w:rsid w:val="002E42C7"/>
    <w:rsid w:val="002E48D4"/>
    <w:rsid w:val="002E67A9"/>
    <w:rsid w:val="002E6BB9"/>
    <w:rsid w:val="002E6C73"/>
    <w:rsid w:val="002E7E65"/>
    <w:rsid w:val="002F0C8C"/>
    <w:rsid w:val="002F2216"/>
    <w:rsid w:val="002F55FF"/>
    <w:rsid w:val="002F5DC8"/>
    <w:rsid w:val="002F62AE"/>
    <w:rsid w:val="00300282"/>
    <w:rsid w:val="0030045C"/>
    <w:rsid w:val="00301A76"/>
    <w:rsid w:val="00301BA6"/>
    <w:rsid w:val="00302124"/>
    <w:rsid w:val="00302827"/>
    <w:rsid w:val="003037D1"/>
    <w:rsid w:val="003045ED"/>
    <w:rsid w:val="003055B4"/>
    <w:rsid w:val="003057EF"/>
    <w:rsid w:val="00305F10"/>
    <w:rsid w:val="00305F9B"/>
    <w:rsid w:val="003069F8"/>
    <w:rsid w:val="003073CD"/>
    <w:rsid w:val="00307414"/>
    <w:rsid w:val="00310716"/>
    <w:rsid w:val="00310CA7"/>
    <w:rsid w:val="00311C5A"/>
    <w:rsid w:val="003120CA"/>
    <w:rsid w:val="003141FB"/>
    <w:rsid w:val="003145E8"/>
    <w:rsid w:val="00314A44"/>
    <w:rsid w:val="00315359"/>
    <w:rsid w:val="003158A7"/>
    <w:rsid w:val="00315927"/>
    <w:rsid w:val="0031680D"/>
    <w:rsid w:val="00320E92"/>
    <w:rsid w:val="00322197"/>
    <w:rsid w:val="0032370C"/>
    <w:rsid w:val="003270F0"/>
    <w:rsid w:val="0032726C"/>
    <w:rsid w:val="003337C3"/>
    <w:rsid w:val="003344E4"/>
    <w:rsid w:val="003346D6"/>
    <w:rsid w:val="0033496D"/>
    <w:rsid w:val="00337E2E"/>
    <w:rsid w:val="00337F62"/>
    <w:rsid w:val="0034043D"/>
    <w:rsid w:val="0034077F"/>
    <w:rsid w:val="00341851"/>
    <w:rsid w:val="00343096"/>
    <w:rsid w:val="003446F2"/>
    <w:rsid w:val="003447A2"/>
    <w:rsid w:val="00344AE5"/>
    <w:rsid w:val="00344F40"/>
    <w:rsid w:val="00345D34"/>
    <w:rsid w:val="003461DE"/>
    <w:rsid w:val="0034773C"/>
    <w:rsid w:val="003500F3"/>
    <w:rsid w:val="00353261"/>
    <w:rsid w:val="003534C4"/>
    <w:rsid w:val="00354800"/>
    <w:rsid w:val="003555D7"/>
    <w:rsid w:val="00355AC9"/>
    <w:rsid w:val="00355D5E"/>
    <w:rsid w:val="00356E7F"/>
    <w:rsid w:val="003575AE"/>
    <w:rsid w:val="00357844"/>
    <w:rsid w:val="00361F09"/>
    <w:rsid w:val="0036275D"/>
    <w:rsid w:val="00363AFD"/>
    <w:rsid w:val="00363F1C"/>
    <w:rsid w:val="00364F11"/>
    <w:rsid w:val="003660E5"/>
    <w:rsid w:val="00366892"/>
    <w:rsid w:val="003674F9"/>
    <w:rsid w:val="00367EE9"/>
    <w:rsid w:val="0037059B"/>
    <w:rsid w:val="003706DF"/>
    <w:rsid w:val="00372D19"/>
    <w:rsid w:val="0037373D"/>
    <w:rsid w:val="00373D14"/>
    <w:rsid w:val="00377930"/>
    <w:rsid w:val="00377942"/>
    <w:rsid w:val="00380297"/>
    <w:rsid w:val="00380F63"/>
    <w:rsid w:val="00381701"/>
    <w:rsid w:val="00383A05"/>
    <w:rsid w:val="00383C74"/>
    <w:rsid w:val="00386456"/>
    <w:rsid w:val="00386942"/>
    <w:rsid w:val="003879A2"/>
    <w:rsid w:val="003923C1"/>
    <w:rsid w:val="003931D8"/>
    <w:rsid w:val="00393469"/>
    <w:rsid w:val="00394038"/>
    <w:rsid w:val="00394A9F"/>
    <w:rsid w:val="00395424"/>
    <w:rsid w:val="00395A9C"/>
    <w:rsid w:val="00396724"/>
    <w:rsid w:val="00396769"/>
    <w:rsid w:val="00396CBB"/>
    <w:rsid w:val="003972FF"/>
    <w:rsid w:val="003A143E"/>
    <w:rsid w:val="003A2778"/>
    <w:rsid w:val="003A3986"/>
    <w:rsid w:val="003A4576"/>
    <w:rsid w:val="003A5F9A"/>
    <w:rsid w:val="003A609B"/>
    <w:rsid w:val="003A72ED"/>
    <w:rsid w:val="003A7428"/>
    <w:rsid w:val="003A7D12"/>
    <w:rsid w:val="003A7DC0"/>
    <w:rsid w:val="003B0339"/>
    <w:rsid w:val="003B0570"/>
    <w:rsid w:val="003B1523"/>
    <w:rsid w:val="003B26D7"/>
    <w:rsid w:val="003B3F99"/>
    <w:rsid w:val="003B547E"/>
    <w:rsid w:val="003B61E3"/>
    <w:rsid w:val="003B756C"/>
    <w:rsid w:val="003C02FE"/>
    <w:rsid w:val="003C1904"/>
    <w:rsid w:val="003C270F"/>
    <w:rsid w:val="003C3077"/>
    <w:rsid w:val="003C49BA"/>
    <w:rsid w:val="003C56DC"/>
    <w:rsid w:val="003C6A12"/>
    <w:rsid w:val="003C70D5"/>
    <w:rsid w:val="003C7837"/>
    <w:rsid w:val="003C7FAD"/>
    <w:rsid w:val="003D1387"/>
    <w:rsid w:val="003D22F7"/>
    <w:rsid w:val="003D2546"/>
    <w:rsid w:val="003D3C70"/>
    <w:rsid w:val="003D4BC7"/>
    <w:rsid w:val="003D54F7"/>
    <w:rsid w:val="003D5808"/>
    <w:rsid w:val="003D653B"/>
    <w:rsid w:val="003D6645"/>
    <w:rsid w:val="003D7F15"/>
    <w:rsid w:val="003E03F8"/>
    <w:rsid w:val="003E0980"/>
    <w:rsid w:val="003E3039"/>
    <w:rsid w:val="003E40B7"/>
    <w:rsid w:val="003E4105"/>
    <w:rsid w:val="003E4338"/>
    <w:rsid w:val="003E60B4"/>
    <w:rsid w:val="003E660B"/>
    <w:rsid w:val="003E6B7C"/>
    <w:rsid w:val="003E7CBD"/>
    <w:rsid w:val="003F0461"/>
    <w:rsid w:val="003F1CA0"/>
    <w:rsid w:val="003F3356"/>
    <w:rsid w:val="003F3814"/>
    <w:rsid w:val="003F3F96"/>
    <w:rsid w:val="003F5362"/>
    <w:rsid w:val="003F6A77"/>
    <w:rsid w:val="003F6F2F"/>
    <w:rsid w:val="003F7115"/>
    <w:rsid w:val="003F72CF"/>
    <w:rsid w:val="004009DB"/>
    <w:rsid w:val="0040216C"/>
    <w:rsid w:val="0040282F"/>
    <w:rsid w:val="00403F8B"/>
    <w:rsid w:val="00405227"/>
    <w:rsid w:val="00405974"/>
    <w:rsid w:val="00406128"/>
    <w:rsid w:val="004101C5"/>
    <w:rsid w:val="004107BB"/>
    <w:rsid w:val="00410D6B"/>
    <w:rsid w:val="004115DA"/>
    <w:rsid w:val="00411635"/>
    <w:rsid w:val="00411839"/>
    <w:rsid w:val="00413056"/>
    <w:rsid w:val="0041393C"/>
    <w:rsid w:val="00413C83"/>
    <w:rsid w:val="00414E50"/>
    <w:rsid w:val="00415021"/>
    <w:rsid w:val="00417D17"/>
    <w:rsid w:val="0042049D"/>
    <w:rsid w:val="00424CD1"/>
    <w:rsid w:val="00425CDF"/>
    <w:rsid w:val="004265B9"/>
    <w:rsid w:val="00426E20"/>
    <w:rsid w:val="00427794"/>
    <w:rsid w:val="00430C16"/>
    <w:rsid w:val="00431C6C"/>
    <w:rsid w:val="00432666"/>
    <w:rsid w:val="00433D3A"/>
    <w:rsid w:val="00440A70"/>
    <w:rsid w:val="00441D7F"/>
    <w:rsid w:val="004422B2"/>
    <w:rsid w:val="00443809"/>
    <w:rsid w:val="00443BBA"/>
    <w:rsid w:val="0044538A"/>
    <w:rsid w:val="00445463"/>
    <w:rsid w:val="00445AD1"/>
    <w:rsid w:val="004464B9"/>
    <w:rsid w:val="00450056"/>
    <w:rsid w:val="004509DE"/>
    <w:rsid w:val="00450E96"/>
    <w:rsid w:val="004529FB"/>
    <w:rsid w:val="00452CF4"/>
    <w:rsid w:val="00453014"/>
    <w:rsid w:val="0045382F"/>
    <w:rsid w:val="00453EE5"/>
    <w:rsid w:val="00453F02"/>
    <w:rsid w:val="00454B8F"/>
    <w:rsid w:val="00454EDB"/>
    <w:rsid w:val="0045520D"/>
    <w:rsid w:val="00455269"/>
    <w:rsid w:val="004566B8"/>
    <w:rsid w:val="00456D11"/>
    <w:rsid w:val="00457026"/>
    <w:rsid w:val="00457800"/>
    <w:rsid w:val="00460F68"/>
    <w:rsid w:val="00462269"/>
    <w:rsid w:val="00462814"/>
    <w:rsid w:val="00464142"/>
    <w:rsid w:val="0046476A"/>
    <w:rsid w:val="004657FD"/>
    <w:rsid w:val="00467462"/>
    <w:rsid w:val="004706B4"/>
    <w:rsid w:val="00470A7E"/>
    <w:rsid w:val="004713A2"/>
    <w:rsid w:val="00471F03"/>
    <w:rsid w:val="00471F60"/>
    <w:rsid w:val="00472570"/>
    <w:rsid w:val="004726DD"/>
    <w:rsid w:val="00481A48"/>
    <w:rsid w:val="004830F9"/>
    <w:rsid w:val="0048311D"/>
    <w:rsid w:val="00483CF3"/>
    <w:rsid w:val="00484A9A"/>
    <w:rsid w:val="00484DCC"/>
    <w:rsid w:val="00485D0D"/>
    <w:rsid w:val="00486668"/>
    <w:rsid w:val="00487C2F"/>
    <w:rsid w:val="00490195"/>
    <w:rsid w:val="00490B69"/>
    <w:rsid w:val="004913FA"/>
    <w:rsid w:val="004914F4"/>
    <w:rsid w:val="004921D2"/>
    <w:rsid w:val="00494FA3"/>
    <w:rsid w:val="004959E1"/>
    <w:rsid w:val="0049699C"/>
    <w:rsid w:val="00496DF0"/>
    <w:rsid w:val="004972A5"/>
    <w:rsid w:val="00497A87"/>
    <w:rsid w:val="004A15E4"/>
    <w:rsid w:val="004A4B4C"/>
    <w:rsid w:val="004A71D6"/>
    <w:rsid w:val="004A7420"/>
    <w:rsid w:val="004B4AA3"/>
    <w:rsid w:val="004B6244"/>
    <w:rsid w:val="004B7E5E"/>
    <w:rsid w:val="004C061D"/>
    <w:rsid w:val="004C0644"/>
    <w:rsid w:val="004C1EC7"/>
    <w:rsid w:val="004C21EE"/>
    <w:rsid w:val="004C25F5"/>
    <w:rsid w:val="004C2681"/>
    <w:rsid w:val="004C6379"/>
    <w:rsid w:val="004C75E4"/>
    <w:rsid w:val="004C791C"/>
    <w:rsid w:val="004D044F"/>
    <w:rsid w:val="004D2270"/>
    <w:rsid w:val="004D2C27"/>
    <w:rsid w:val="004D2F83"/>
    <w:rsid w:val="004D3B22"/>
    <w:rsid w:val="004D473D"/>
    <w:rsid w:val="004E0D90"/>
    <w:rsid w:val="004E1AC5"/>
    <w:rsid w:val="004E2BB2"/>
    <w:rsid w:val="004E2E30"/>
    <w:rsid w:val="004E32D5"/>
    <w:rsid w:val="004E5061"/>
    <w:rsid w:val="004E6BB9"/>
    <w:rsid w:val="004E6D95"/>
    <w:rsid w:val="004E7C95"/>
    <w:rsid w:val="004F09AD"/>
    <w:rsid w:val="004F0C8D"/>
    <w:rsid w:val="004F1109"/>
    <w:rsid w:val="004F15A6"/>
    <w:rsid w:val="004F2F13"/>
    <w:rsid w:val="004F2FE7"/>
    <w:rsid w:val="004F4019"/>
    <w:rsid w:val="004F43C2"/>
    <w:rsid w:val="004F4FDE"/>
    <w:rsid w:val="004F52BA"/>
    <w:rsid w:val="004F65E5"/>
    <w:rsid w:val="004F77FC"/>
    <w:rsid w:val="00500664"/>
    <w:rsid w:val="00501278"/>
    <w:rsid w:val="00502CFE"/>
    <w:rsid w:val="00503692"/>
    <w:rsid w:val="005058B7"/>
    <w:rsid w:val="00506607"/>
    <w:rsid w:val="00510514"/>
    <w:rsid w:val="0051070D"/>
    <w:rsid w:val="00510FE9"/>
    <w:rsid w:val="00511468"/>
    <w:rsid w:val="00511D04"/>
    <w:rsid w:val="00513975"/>
    <w:rsid w:val="00514DDC"/>
    <w:rsid w:val="00516CD1"/>
    <w:rsid w:val="005173E5"/>
    <w:rsid w:val="00521A4C"/>
    <w:rsid w:val="00521A7C"/>
    <w:rsid w:val="005221B1"/>
    <w:rsid w:val="00522955"/>
    <w:rsid w:val="00523FA7"/>
    <w:rsid w:val="00525E8C"/>
    <w:rsid w:val="005260C9"/>
    <w:rsid w:val="00527DF3"/>
    <w:rsid w:val="00531376"/>
    <w:rsid w:val="00532834"/>
    <w:rsid w:val="00533170"/>
    <w:rsid w:val="00533729"/>
    <w:rsid w:val="00534925"/>
    <w:rsid w:val="00535502"/>
    <w:rsid w:val="0054111F"/>
    <w:rsid w:val="00542571"/>
    <w:rsid w:val="00542975"/>
    <w:rsid w:val="00543ED0"/>
    <w:rsid w:val="005445E6"/>
    <w:rsid w:val="0054570B"/>
    <w:rsid w:val="00546344"/>
    <w:rsid w:val="0055049C"/>
    <w:rsid w:val="00550B1B"/>
    <w:rsid w:val="00551E9F"/>
    <w:rsid w:val="0055248D"/>
    <w:rsid w:val="0055304C"/>
    <w:rsid w:val="00555E09"/>
    <w:rsid w:val="00556CD3"/>
    <w:rsid w:val="00560413"/>
    <w:rsid w:val="00560F07"/>
    <w:rsid w:val="00561A9A"/>
    <w:rsid w:val="00561DCE"/>
    <w:rsid w:val="00562C55"/>
    <w:rsid w:val="00565A22"/>
    <w:rsid w:val="0056704E"/>
    <w:rsid w:val="005674AB"/>
    <w:rsid w:val="00567846"/>
    <w:rsid w:val="00570262"/>
    <w:rsid w:val="00570B21"/>
    <w:rsid w:val="00571045"/>
    <w:rsid w:val="00571512"/>
    <w:rsid w:val="00571C23"/>
    <w:rsid w:val="00574238"/>
    <w:rsid w:val="00574BFE"/>
    <w:rsid w:val="0057692F"/>
    <w:rsid w:val="00580090"/>
    <w:rsid w:val="0058102A"/>
    <w:rsid w:val="00581728"/>
    <w:rsid w:val="00581E2D"/>
    <w:rsid w:val="00583ADF"/>
    <w:rsid w:val="00584BC7"/>
    <w:rsid w:val="00584F3A"/>
    <w:rsid w:val="00586B0B"/>
    <w:rsid w:val="00586BA5"/>
    <w:rsid w:val="00587C3D"/>
    <w:rsid w:val="00591093"/>
    <w:rsid w:val="0059124F"/>
    <w:rsid w:val="00591905"/>
    <w:rsid w:val="00591A26"/>
    <w:rsid w:val="00596217"/>
    <w:rsid w:val="005975CD"/>
    <w:rsid w:val="005976D8"/>
    <w:rsid w:val="005A0ED9"/>
    <w:rsid w:val="005A12E0"/>
    <w:rsid w:val="005A287A"/>
    <w:rsid w:val="005A2D53"/>
    <w:rsid w:val="005A4E34"/>
    <w:rsid w:val="005A53C7"/>
    <w:rsid w:val="005A5D19"/>
    <w:rsid w:val="005A5E3A"/>
    <w:rsid w:val="005A64BB"/>
    <w:rsid w:val="005B05C3"/>
    <w:rsid w:val="005B2697"/>
    <w:rsid w:val="005B28A8"/>
    <w:rsid w:val="005B3AAC"/>
    <w:rsid w:val="005B45D7"/>
    <w:rsid w:val="005B50F9"/>
    <w:rsid w:val="005B54EE"/>
    <w:rsid w:val="005B7519"/>
    <w:rsid w:val="005B7F4D"/>
    <w:rsid w:val="005C0A2A"/>
    <w:rsid w:val="005C1A17"/>
    <w:rsid w:val="005C1E6C"/>
    <w:rsid w:val="005C24C1"/>
    <w:rsid w:val="005C2F36"/>
    <w:rsid w:val="005C5584"/>
    <w:rsid w:val="005C6BB5"/>
    <w:rsid w:val="005D0487"/>
    <w:rsid w:val="005D0E14"/>
    <w:rsid w:val="005D23BA"/>
    <w:rsid w:val="005D3101"/>
    <w:rsid w:val="005D4A0F"/>
    <w:rsid w:val="005D606D"/>
    <w:rsid w:val="005D6FE2"/>
    <w:rsid w:val="005D7854"/>
    <w:rsid w:val="005D7C15"/>
    <w:rsid w:val="005E1482"/>
    <w:rsid w:val="005E1517"/>
    <w:rsid w:val="005E1C81"/>
    <w:rsid w:val="005E1D28"/>
    <w:rsid w:val="005E1F30"/>
    <w:rsid w:val="005E256A"/>
    <w:rsid w:val="005E32DA"/>
    <w:rsid w:val="005E37AD"/>
    <w:rsid w:val="005E43FA"/>
    <w:rsid w:val="005E44AE"/>
    <w:rsid w:val="005E4A97"/>
    <w:rsid w:val="005E4CA6"/>
    <w:rsid w:val="005E5B94"/>
    <w:rsid w:val="005E62E0"/>
    <w:rsid w:val="005E69B0"/>
    <w:rsid w:val="005F16EC"/>
    <w:rsid w:val="005F1954"/>
    <w:rsid w:val="005F1A6D"/>
    <w:rsid w:val="005F2485"/>
    <w:rsid w:val="005F2932"/>
    <w:rsid w:val="005F3DAF"/>
    <w:rsid w:val="005F5081"/>
    <w:rsid w:val="005F601C"/>
    <w:rsid w:val="005F71EB"/>
    <w:rsid w:val="005F750C"/>
    <w:rsid w:val="00601D08"/>
    <w:rsid w:val="006029C3"/>
    <w:rsid w:val="00602F71"/>
    <w:rsid w:val="0060354A"/>
    <w:rsid w:val="00603C1C"/>
    <w:rsid w:val="00604834"/>
    <w:rsid w:val="00611C36"/>
    <w:rsid w:val="00613091"/>
    <w:rsid w:val="006132D8"/>
    <w:rsid w:val="006134CD"/>
    <w:rsid w:val="00613860"/>
    <w:rsid w:val="00614C8B"/>
    <w:rsid w:val="00615947"/>
    <w:rsid w:val="00616ABE"/>
    <w:rsid w:val="00625655"/>
    <w:rsid w:val="00625D4D"/>
    <w:rsid w:val="00626DE7"/>
    <w:rsid w:val="00631123"/>
    <w:rsid w:val="00631132"/>
    <w:rsid w:val="0063176F"/>
    <w:rsid w:val="00633A24"/>
    <w:rsid w:val="006350BC"/>
    <w:rsid w:val="006366FF"/>
    <w:rsid w:val="00637AC2"/>
    <w:rsid w:val="00640BC9"/>
    <w:rsid w:val="00641C53"/>
    <w:rsid w:val="0064208E"/>
    <w:rsid w:val="00643CB2"/>
    <w:rsid w:val="00644103"/>
    <w:rsid w:val="00645161"/>
    <w:rsid w:val="006453E2"/>
    <w:rsid w:val="00647D0A"/>
    <w:rsid w:val="00651472"/>
    <w:rsid w:val="00651928"/>
    <w:rsid w:val="00651D90"/>
    <w:rsid w:val="00652345"/>
    <w:rsid w:val="00652E21"/>
    <w:rsid w:val="006534D1"/>
    <w:rsid w:val="00654019"/>
    <w:rsid w:val="0065466A"/>
    <w:rsid w:val="00654EA7"/>
    <w:rsid w:val="00655147"/>
    <w:rsid w:val="00656491"/>
    <w:rsid w:val="00656573"/>
    <w:rsid w:val="00656599"/>
    <w:rsid w:val="0065703B"/>
    <w:rsid w:val="00660DA6"/>
    <w:rsid w:val="00661825"/>
    <w:rsid w:val="00663147"/>
    <w:rsid w:val="006635CA"/>
    <w:rsid w:val="00664D72"/>
    <w:rsid w:val="0066535D"/>
    <w:rsid w:val="00665D58"/>
    <w:rsid w:val="00665DBE"/>
    <w:rsid w:val="00666C54"/>
    <w:rsid w:val="00666DBB"/>
    <w:rsid w:val="0066743D"/>
    <w:rsid w:val="00667E31"/>
    <w:rsid w:val="0067037F"/>
    <w:rsid w:val="006709B5"/>
    <w:rsid w:val="00670C22"/>
    <w:rsid w:val="006740A5"/>
    <w:rsid w:val="0067525A"/>
    <w:rsid w:val="006755CC"/>
    <w:rsid w:val="00675CD4"/>
    <w:rsid w:val="00676751"/>
    <w:rsid w:val="006767C3"/>
    <w:rsid w:val="00676F97"/>
    <w:rsid w:val="006772E4"/>
    <w:rsid w:val="00677736"/>
    <w:rsid w:val="00677ABB"/>
    <w:rsid w:val="00677E5F"/>
    <w:rsid w:val="00680BAA"/>
    <w:rsid w:val="006810BB"/>
    <w:rsid w:val="00681336"/>
    <w:rsid w:val="006817D0"/>
    <w:rsid w:val="00681FDB"/>
    <w:rsid w:val="0068261C"/>
    <w:rsid w:val="00683811"/>
    <w:rsid w:val="00684ECA"/>
    <w:rsid w:val="006856D4"/>
    <w:rsid w:val="00685B61"/>
    <w:rsid w:val="00686BB5"/>
    <w:rsid w:val="00687118"/>
    <w:rsid w:val="00687D3E"/>
    <w:rsid w:val="00687FB6"/>
    <w:rsid w:val="00691B6A"/>
    <w:rsid w:val="00694FE7"/>
    <w:rsid w:val="0069582E"/>
    <w:rsid w:val="00696282"/>
    <w:rsid w:val="00696464"/>
    <w:rsid w:val="006976A2"/>
    <w:rsid w:val="006A0395"/>
    <w:rsid w:val="006A321F"/>
    <w:rsid w:val="006A40F7"/>
    <w:rsid w:val="006A4DFB"/>
    <w:rsid w:val="006A6178"/>
    <w:rsid w:val="006A6C1C"/>
    <w:rsid w:val="006A7306"/>
    <w:rsid w:val="006A7BA4"/>
    <w:rsid w:val="006B165A"/>
    <w:rsid w:val="006B1EB7"/>
    <w:rsid w:val="006B268D"/>
    <w:rsid w:val="006B28F6"/>
    <w:rsid w:val="006B2947"/>
    <w:rsid w:val="006B4193"/>
    <w:rsid w:val="006B4FDA"/>
    <w:rsid w:val="006B5D02"/>
    <w:rsid w:val="006B6737"/>
    <w:rsid w:val="006B7EF6"/>
    <w:rsid w:val="006C016A"/>
    <w:rsid w:val="006C0388"/>
    <w:rsid w:val="006C0588"/>
    <w:rsid w:val="006C1478"/>
    <w:rsid w:val="006C1D41"/>
    <w:rsid w:val="006C3CA6"/>
    <w:rsid w:val="006C3CE5"/>
    <w:rsid w:val="006C434D"/>
    <w:rsid w:val="006C5800"/>
    <w:rsid w:val="006C6496"/>
    <w:rsid w:val="006C654B"/>
    <w:rsid w:val="006C6AC1"/>
    <w:rsid w:val="006C6D57"/>
    <w:rsid w:val="006D09FE"/>
    <w:rsid w:val="006D0B0A"/>
    <w:rsid w:val="006D231C"/>
    <w:rsid w:val="006D2DCE"/>
    <w:rsid w:val="006D3F9A"/>
    <w:rsid w:val="006D4F66"/>
    <w:rsid w:val="006D5817"/>
    <w:rsid w:val="006D73DF"/>
    <w:rsid w:val="006D7404"/>
    <w:rsid w:val="006E3264"/>
    <w:rsid w:val="006E3A60"/>
    <w:rsid w:val="006E3F18"/>
    <w:rsid w:val="006E53A5"/>
    <w:rsid w:val="006F07BD"/>
    <w:rsid w:val="006F152A"/>
    <w:rsid w:val="006F1554"/>
    <w:rsid w:val="006F1C71"/>
    <w:rsid w:val="006F343B"/>
    <w:rsid w:val="006F36F6"/>
    <w:rsid w:val="0070006A"/>
    <w:rsid w:val="00700AD6"/>
    <w:rsid w:val="00701482"/>
    <w:rsid w:val="007026E6"/>
    <w:rsid w:val="00705691"/>
    <w:rsid w:val="00706BD5"/>
    <w:rsid w:val="00706F70"/>
    <w:rsid w:val="00707C5D"/>
    <w:rsid w:val="00710E5C"/>
    <w:rsid w:val="00710E89"/>
    <w:rsid w:val="007125BA"/>
    <w:rsid w:val="00721472"/>
    <w:rsid w:val="007219F8"/>
    <w:rsid w:val="00723394"/>
    <w:rsid w:val="00723930"/>
    <w:rsid w:val="00723EF0"/>
    <w:rsid w:val="0072415C"/>
    <w:rsid w:val="00724254"/>
    <w:rsid w:val="00724620"/>
    <w:rsid w:val="007255C3"/>
    <w:rsid w:val="0073002E"/>
    <w:rsid w:val="007303EC"/>
    <w:rsid w:val="007322C6"/>
    <w:rsid w:val="00732797"/>
    <w:rsid w:val="00735D3B"/>
    <w:rsid w:val="0073660E"/>
    <w:rsid w:val="007368C4"/>
    <w:rsid w:val="0073743C"/>
    <w:rsid w:val="00737E08"/>
    <w:rsid w:val="00740C6C"/>
    <w:rsid w:val="00741045"/>
    <w:rsid w:val="007417A2"/>
    <w:rsid w:val="00741835"/>
    <w:rsid w:val="00742CD7"/>
    <w:rsid w:val="007435F4"/>
    <w:rsid w:val="00743BFE"/>
    <w:rsid w:val="00743DEC"/>
    <w:rsid w:val="0074691B"/>
    <w:rsid w:val="00746B45"/>
    <w:rsid w:val="00746F5E"/>
    <w:rsid w:val="00747464"/>
    <w:rsid w:val="00750E07"/>
    <w:rsid w:val="00750E38"/>
    <w:rsid w:val="00751273"/>
    <w:rsid w:val="007513F9"/>
    <w:rsid w:val="007525CC"/>
    <w:rsid w:val="00752AF8"/>
    <w:rsid w:val="00753CBF"/>
    <w:rsid w:val="00754006"/>
    <w:rsid w:val="0075704D"/>
    <w:rsid w:val="0075756C"/>
    <w:rsid w:val="00760BAC"/>
    <w:rsid w:val="00761703"/>
    <w:rsid w:val="007618A7"/>
    <w:rsid w:val="007629D1"/>
    <w:rsid w:val="00763688"/>
    <w:rsid w:val="00764826"/>
    <w:rsid w:val="00764DD3"/>
    <w:rsid w:val="007650BA"/>
    <w:rsid w:val="00765549"/>
    <w:rsid w:val="00766B60"/>
    <w:rsid w:val="0076772A"/>
    <w:rsid w:val="00767ACA"/>
    <w:rsid w:val="007708C9"/>
    <w:rsid w:val="00772664"/>
    <w:rsid w:val="00772A8F"/>
    <w:rsid w:val="00774981"/>
    <w:rsid w:val="00775028"/>
    <w:rsid w:val="007750D3"/>
    <w:rsid w:val="007928E5"/>
    <w:rsid w:val="00793A46"/>
    <w:rsid w:val="00793ADF"/>
    <w:rsid w:val="00793AFC"/>
    <w:rsid w:val="00795924"/>
    <w:rsid w:val="00795996"/>
    <w:rsid w:val="00795DE7"/>
    <w:rsid w:val="00795E8B"/>
    <w:rsid w:val="00797070"/>
    <w:rsid w:val="007A0161"/>
    <w:rsid w:val="007A2310"/>
    <w:rsid w:val="007A3707"/>
    <w:rsid w:val="007A3D29"/>
    <w:rsid w:val="007A3F0B"/>
    <w:rsid w:val="007A49DB"/>
    <w:rsid w:val="007A53C3"/>
    <w:rsid w:val="007A5D5F"/>
    <w:rsid w:val="007A6B3B"/>
    <w:rsid w:val="007A797D"/>
    <w:rsid w:val="007B0AE7"/>
    <w:rsid w:val="007B0F6D"/>
    <w:rsid w:val="007B191D"/>
    <w:rsid w:val="007B2DF5"/>
    <w:rsid w:val="007B3CAE"/>
    <w:rsid w:val="007B4255"/>
    <w:rsid w:val="007B53BE"/>
    <w:rsid w:val="007B636F"/>
    <w:rsid w:val="007B74AB"/>
    <w:rsid w:val="007C04C9"/>
    <w:rsid w:val="007C145D"/>
    <w:rsid w:val="007C15A3"/>
    <w:rsid w:val="007C2363"/>
    <w:rsid w:val="007C2B16"/>
    <w:rsid w:val="007C3340"/>
    <w:rsid w:val="007C5142"/>
    <w:rsid w:val="007C54AB"/>
    <w:rsid w:val="007C67BE"/>
    <w:rsid w:val="007C7D90"/>
    <w:rsid w:val="007D1081"/>
    <w:rsid w:val="007D10DF"/>
    <w:rsid w:val="007D2334"/>
    <w:rsid w:val="007D35DD"/>
    <w:rsid w:val="007D3ADD"/>
    <w:rsid w:val="007D3B11"/>
    <w:rsid w:val="007D4219"/>
    <w:rsid w:val="007D44AB"/>
    <w:rsid w:val="007D52A4"/>
    <w:rsid w:val="007D5982"/>
    <w:rsid w:val="007D697E"/>
    <w:rsid w:val="007E03A0"/>
    <w:rsid w:val="007E074F"/>
    <w:rsid w:val="007E082D"/>
    <w:rsid w:val="007E15FA"/>
    <w:rsid w:val="007E16C5"/>
    <w:rsid w:val="007E17E9"/>
    <w:rsid w:val="007E21FF"/>
    <w:rsid w:val="007E67D1"/>
    <w:rsid w:val="007E6A6F"/>
    <w:rsid w:val="007F1585"/>
    <w:rsid w:val="007F2C6B"/>
    <w:rsid w:val="007F4860"/>
    <w:rsid w:val="007F48C0"/>
    <w:rsid w:val="007F5AD3"/>
    <w:rsid w:val="008005F7"/>
    <w:rsid w:val="00800B8B"/>
    <w:rsid w:val="00801684"/>
    <w:rsid w:val="0080253F"/>
    <w:rsid w:val="00803308"/>
    <w:rsid w:val="00804AA9"/>
    <w:rsid w:val="00805021"/>
    <w:rsid w:val="00807345"/>
    <w:rsid w:val="0080793B"/>
    <w:rsid w:val="00807B8C"/>
    <w:rsid w:val="00807C97"/>
    <w:rsid w:val="00807E40"/>
    <w:rsid w:val="00811F46"/>
    <w:rsid w:val="00812FDF"/>
    <w:rsid w:val="008133C1"/>
    <w:rsid w:val="00814D8C"/>
    <w:rsid w:val="00820A98"/>
    <w:rsid w:val="00820D4A"/>
    <w:rsid w:val="008219D9"/>
    <w:rsid w:val="00827451"/>
    <w:rsid w:val="00830728"/>
    <w:rsid w:val="00831DF3"/>
    <w:rsid w:val="00832027"/>
    <w:rsid w:val="008321CF"/>
    <w:rsid w:val="0083239B"/>
    <w:rsid w:val="00832494"/>
    <w:rsid w:val="0083288F"/>
    <w:rsid w:val="008328E3"/>
    <w:rsid w:val="0083468C"/>
    <w:rsid w:val="00834A8C"/>
    <w:rsid w:val="00835804"/>
    <w:rsid w:val="0083698A"/>
    <w:rsid w:val="0084079D"/>
    <w:rsid w:val="008409A4"/>
    <w:rsid w:val="00840E15"/>
    <w:rsid w:val="00841177"/>
    <w:rsid w:val="008422B0"/>
    <w:rsid w:val="00843136"/>
    <w:rsid w:val="00843DD4"/>
    <w:rsid w:val="0084418C"/>
    <w:rsid w:val="008442C1"/>
    <w:rsid w:val="00844337"/>
    <w:rsid w:val="008473EE"/>
    <w:rsid w:val="00850148"/>
    <w:rsid w:val="00852BDF"/>
    <w:rsid w:val="00857319"/>
    <w:rsid w:val="00857E9A"/>
    <w:rsid w:val="00857F85"/>
    <w:rsid w:val="0086174F"/>
    <w:rsid w:val="008624FE"/>
    <w:rsid w:val="00862A3C"/>
    <w:rsid w:val="00863634"/>
    <w:rsid w:val="00863CFE"/>
    <w:rsid w:val="00863EC6"/>
    <w:rsid w:val="00864FE4"/>
    <w:rsid w:val="00865694"/>
    <w:rsid w:val="0086714C"/>
    <w:rsid w:val="00867220"/>
    <w:rsid w:val="00867556"/>
    <w:rsid w:val="008705C9"/>
    <w:rsid w:val="00870725"/>
    <w:rsid w:val="00870B88"/>
    <w:rsid w:val="00871429"/>
    <w:rsid w:val="00872DA5"/>
    <w:rsid w:val="00873508"/>
    <w:rsid w:val="008736AE"/>
    <w:rsid w:val="00874359"/>
    <w:rsid w:val="00874B96"/>
    <w:rsid w:val="00875629"/>
    <w:rsid w:val="008758E2"/>
    <w:rsid w:val="00875E93"/>
    <w:rsid w:val="0088135A"/>
    <w:rsid w:val="00882644"/>
    <w:rsid w:val="008836CA"/>
    <w:rsid w:val="00883C20"/>
    <w:rsid w:val="00884B47"/>
    <w:rsid w:val="00885862"/>
    <w:rsid w:val="008911F4"/>
    <w:rsid w:val="00892393"/>
    <w:rsid w:val="00895161"/>
    <w:rsid w:val="0089574B"/>
    <w:rsid w:val="008A070D"/>
    <w:rsid w:val="008A2859"/>
    <w:rsid w:val="008A2CCB"/>
    <w:rsid w:val="008A4A2F"/>
    <w:rsid w:val="008A4F6A"/>
    <w:rsid w:val="008A6585"/>
    <w:rsid w:val="008A68EE"/>
    <w:rsid w:val="008A6F75"/>
    <w:rsid w:val="008B32D4"/>
    <w:rsid w:val="008B4DF2"/>
    <w:rsid w:val="008B6488"/>
    <w:rsid w:val="008B648F"/>
    <w:rsid w:val="008B6BF9"/>
    <w:rsid w:val="008C012F"/>
    <w:rsid w:val="008C15E8"/>
    <w:rsid w:val="008C1CE9"/>
    <w:rsid w:val="008C1D2E"/>
    <w:rsid w:val="008C1F0D"/>
    <w:rsid w:val="008C1F78"/>
    <w:rsid w:val="008C20E6"/>
    <w:rsid w:val="008C26BB"/>
    <w:rsid w:val="008C3A1F"/>
    <w:rsid w:val="008C5C83"/>
    <w:rsid w:val="008C7892"/>
    <w:rsid w:val="008D0680"/>
    <w:rsid w:val="008D0F38"/>
    <w:rsid w:val="008D30D6"/>
    <w:rsid w:val="008D321D"/>
    <w:rsid w:val="008D38CC"/>
    <w:rsid w:val="008D3D08"/>
    <w:rsid w:val="008D3D59"/>
    <w:rsid w:val="008D3DCF"/>
    <w:rsid w:val="008D4114"/>
    <w:rsid w:val="008D530D"/>
    <w:rsid w:val="008D5D98"/>
    <w:rsid w:val="008D7484"/>
    <w:rsid w:val="008E024F"/>
    <w:rsid w:val="008E0EB8"/>
    <w:rsid w:val="008E19A6"/>
    <w:rsid w:val="008E54D4"/>
    <w:rsid w:val="008E5FC6"/>
    <w:rsid w:val="008E6DCF"/>
    <w:rsid w:val="008E71E0"/>
    <w:rsid w:val="008E7770"/>
    <w:rsid w:val="008E7D3B"/>
    <w:rsid w:val="008E7D8B"/>
    <w:rsid w:val="008F1BDA"/>
    <w:rsid w:val="008F1BF3"/>
    <w:rsid w:val="008F3713"/>
    <w:rsid w:val="008F4EAE"/>
    <w:rsid w:val="008F76EB"/>
    <w:rsid w:val="008F79AF"/>
    <w:rsid w:val="009002A9"/>
    <w:rsid w:val="0090128E"/>
    <w:rsid w:val="009014F7"/>
    <w:rsid w:val="00901C5F"/>
    <w:rsid w:val="00903894"/>
    <w:rsid w:val="00904255"/>
    <w:rsid w:val="00904F79"/>
    <w:rsid w:val="00905556"/>
    <w:rsid w:val="009070F1"/>
    <w:rsid w:val="0091112B"/>
    <w:rsid w:val="00912741"/>
    <w:rsid w:val="00913100"/>
    <w:rsid w:val="00914777"/>
    <w:rsid w:val="00914F87"/>
    <w:rsid w:val="00915044"/>
    <w:rsid w:val="009165F3"/>
    <w:rsid w:val="00916993"/>
    <w:rsid w:val="00916C89"/>
    <w:rsid w:val="00917241"/>
    <w:rsid w:val="00917842"/>
    <w:rsid w:val="0092000B"/>
    <w:rsid w:val="00920885"/>
    <w:rsid w:val="00921D09"/>
    <w:rsid w:val="0092259A"/>
    <w:rsid w:val="00922B6A"/>
    <w:rsid w:val="00924430"/>
    <w:rsid w:val="00924EEF"/>
    <w:rsid w:val="0092554E"/>
    <w:rsid w:val="00926668"/>
    <w:rsid w:val="00927059"/>
    <w:rsid w:val="009273CD"/>
    <w:rsid w:val="00927769"/>
    <w:rsid w:val="00930A05"/>
    <w:rsid w:val="009310C6"/>
    <w:rsid w:val="0093247F"/>
    <w:rsid w:val="00933A20"/>
    <w:rsid w:val="00935024"/>
    <w:rsid w:val="00935411"/>
    <w:rsid w:val="0093562A"/>
    <w:rsid w:val="0093601A"/>
    <w:rsid w:val="00936503"/>
    <w:rsid w:val="0093691D"/>
    <w:rsid w:val="00936961"/>
    <w:rsid w:val="0094083B"/>
    <w:rsid w:val="00942C23"/>
    <w:rsid w:val="00943C98"/>
    <w:rsid w:val="00944460"/>
    <w:rsid w:val="00944502"/>
    <w:rsid w:val="009456B2"/>
    <w:rsid w:val="0094795E"/>
    <w:rsid w:val="0095067D"/>
    <w:rsid w:val="00950AD8"/>
    <w:rsid w:val="00954C68"/>
    <w:rsid w:val="009552B0"/>
    <w:rsid w:val="00955B60"/>
    <w:rsid w:val="009607F9"/>
    <w:rsid w:val="00961A06"/>
    <w:rsid w:val="0096411A"/>
    <w:rsid w:val="00966180"/>
    <w:rsid w:val="009666F9"/>
    <w:rsid w:val="00966867"/>
    <w:rsid w:val="00967E75"/>
    <w:rsid w:val="009702B1"/>
    <w:rsid w:val="009703C3"/>
    <w:rsid w:val="00970623"/>
    <w:rsid w:val="009711A4"/>
    <w:rsid w:val="009715D8"/>
    <w:rsid w:val="00971E5C"/>
    <w:rsid w:val="0097360B"/>
    <w:rsid w:val="00974837"/>
    <w:rsid w:val="00976575"/>
    <w:rsid w:val="0097758F"/>
    <w:rsid w:val="009802DA"/>
    <w:rsid w:val="00983315"/>
    <w:rsid w:val="00984895"/>
    <w:rsid w:val="00984FD7"/>
    <w:rsid w:val="00985ABE"/>
    <w:rsid w:val="009866C4"/>
    <w:rsid w:val="009867CA"/>
    <w:rsid w:val="0098702F"/>
    <w:rsid w:val="009911C4"/>
    <w:rsid w:val="00991301"/>
    <w:rsid w:val="009915D4"/>
    <w:rsid w:val="00991863"/>
    <w:rsid w:val="0099199F"/>
    <w:rsid w:val="00994905"/>
    <w:rsid w:val="00995747"/>
    <w:rsid w:val="00995BAD"/>
    <w:rsid w:val="00995C70"/>
    <w:rsid w:val="00995F3C"/>
    <w:rsid w:val="00996DC8"/>
    <w:rsid w:val="00997174"/>
    <w:rsid w:val="0099762B"/>
    <w:rsid w:val="009A0061"/>
    <w:rsid w:val="009A2A8D"/>
    <w:rsid w:val="009A2EFD"/>
    <w:rsid w:val="009A3318"/>
    <w:rsid w:val="009A3570"/>
    <w:rsid w:val="009A44E2"/>
    <w:rsid w:val="009A4A91"/>
    <w:rsid w:val="009A6CC9"/>
    <w:rsid w:val="009A7447"/>
    <w:rsid w:val="009B076A"/>
    <w:rsid w:val="009B1939"/>
    <w:rsid w:val="009B2B9A"/>
    <w:rsid w:val="009B3748"/>
    <w:rsid w:val="009B46B8"/>
    <w:rsid w:val="009B4FB9"/>
    <w:rsid w:val="009B5E2E"/>
    <w:rsid w:val="009C013B"/>
    <w:rsid w:val="009C04DA"/>
    <w:rsid w:val="009C0F8A"/>
    <w:rsid w:val="009C2126"/>
    <w:rsid w:val="009C2334"/>
    <w:rsid w:val="009C4165"/>
    <w:rsid w:val="009C4298"/>
    <w:rsid w:val="009C6FA5"/>
    <w:rsid w:val="009D3260"/>
    <w:rsid w:val="009D37F5"/>
    <w:rsid w:val="009D4E2A"/>
    <w:rsid w:val="009D58E8"/>
    <w:rsid w:val="009D5CEF"/>
    <w:rsid w:val="009D76BD"/>
    <w:rsid w:val="009E04A8"/>
    <w:rsid w:val="009E212F"/>
    <w:rsid w:val="009E2267"/>
    <w:rsid w:val="009E3296"/>
    <w:rsid w:val="009E3665"/>
    <w:rsid w:val="009E4E29"/>
    <w:rsid w:val="009F02A6"/>
    <w:rsid w:val="009F0D88"/>
    <w:rsid w:val="009F14DB"/>
    <w:rsid w:val="009F1598"/>
    <w:rsid w:val="009F1B2C"/>
    <w:rsid w:val="009F2E72"/>
    <w:rsid w:val="009F3B0D"/>
    <w:rsid w:val="009F3D4C"/>
    <w:rsid w:val="009F5A68"/>
    <w:rsid w:val="009F5C53"/>
    <w:rsid w:val="009F6A73"/>
    <w:rsid w:val="009F6D45"/>
    <w:rsid w:val="009F7147"/>
    <w:rsid w:val="00A011DB"/>
    <w:rsid w:val="00A0144F"/>
    <w:rsid w:val="00A01CA2"/>
    <w:rsid w:val="00A020AB"/>
    <w:rsid w:val="00A02A9B"/>
    <w:rsid w:val="00A04D28"/>
    <w:rsid w:val="00A06079"/>
    <w:rsid w:val="00A060B0"/>
    <w:rsid w:val="00A06619"/>
    <w:rsid w:val="00A07118"/>
    <w:rsid w:val="00A10572"/>
    <w:rsid w:val="00A10ECD"/>
    <w:rsid w:val="00A12606"/>
    <w:rsid w:val="00A16871"/>
    <w:rsid w:val="00A16FAA"/>
    <w:rsid w:val="00A17AF8"/>
    <w:rsid w:val="00A20434"/>
    <w:rsid w:val="00A211F8"/>
    <w:rsid w:val="00A25CA1"/>
    <w:rsid w:val="00A2641E"/>
    <w:rsid w:val="00A265F4"/>
    <w:rsid w:val="00A2665B"/>
    <w:rsid w:val="00A269FA"/>
    <w:rsid w:val="00A2702D"/>
    <w:rsid w:val="00A30262"/>
    <w:rsid w:val="00A31D2D"/>
    <w:rsid w:val="00A32426"/>
    <w:rsid w:val="00A345C1"/>
    <w:rsid w:val="00A35C6B"/>
    <w:rsid w:val="00A3614E"/>
    <w:rsid w:val="00A36504"/>
    <w:rsid w:val="00A36D1E"/>
    <w:rsid w:val="00A41343"/>
    <w:rsid w:val="00A414E8"/>
    <w:rsid w:val="00A425E6"/>
    <w:rsid w:val="00A43479"/>
    <w:rsid w:val="00A44288"/>
    <w:rsid w:val="00A44493"/>
    <w:rsid w:val="00A458C8"/>
    <w:rsid w:val="00A4603E"/>
    <w:rsid w:val="00A46A18"/>
    <w:rsid w:val="00A46DAC"/>
    <w:rsid w:val="00A4743A"/>
    <w:rsid w:val="00A4743F"/>
    <w:rsid w:val="00A475F7"/>
    <w:rsid w:val="00A511CF"/>
    <w:rsid w:val="00A52E25"/>
    <w:rsid w:val="00A531BE"/>
    <w:rsid w:val="00A549C8"/>
    <w:rsid w:val="00A549EF"/>
    <w:rsid w:val="00A54B5A"/>
    <w:rsid w:val="00A55FD4"/>
    <w:rsid w:val="00A56226"/>
    <w:rsid w:val="00A57950"/>
    <w:rsid w:val="00A60AE6"/>
    <w:rsid w:val="00A61918"/>
    <w:rsid w:val="00A63CB7"/>
    <w:rsid w:val="00A6554C"/>
    <w:rsid w:val="00A65ADC"/>
    <w:rsid w:val="00A66036"/>
    <w:rsid w:val="00A6665B"/>
    <w:rsid w:val="00A66CF4"/>
    <w:rsid w:val="00A675F7"/>
    <w:rsid w:val="00A6782E"/>
    <w:rsid w:val="00A67CC9"/>
    <w:rsid w:val="00A67D62"/>
    <w:rsid w:val="00A709E8"/>
    <w:rsid w:val="00A70AE8"/>
    <w:rsid w:val="00A71063"/>
    <w:rsid w:val="00A71600"/>
    <w:rsid w:val="00A7236F"/>
    <w:rsid w:val="00A72ABD"/>
    <w:rsid w:val="00A73674"/>
    <w:rsid w:val="00A73967"/>
    <w:rsid w:val="00A748EA"/>
    <w:rsid w:val="00A74BFF"/>
    <w:rsid w:val="00A74C67"/>
    <w:rsid w:val="00A7513D"/>
    <w:rsid w:val="00A75FE3"/>
    <w:rsid w:val="00A76291"/>
    <w:rsid w:val="00A762D5"/>
    <w:rsid w:val="00A8062C"/>
    <w:rsid w:val="00A81F60"/>
    <w:rsid w:val="00A82A4E"/>
    <w:rsid w:val="00A84880"/>
    <w:rsid w:val="00A862BE"/>
    <w:rsid w:val="00A87E2A"/>
    <w:rsid w:val="00A87EAE"/>
    <w:rsid w:val="00A90754"/>
    <w:rsid w:val="00A90BBC"/>
    <w:rsid w:val="00A936E9"/>
    <w:rsid w:val="00A94768"/>
    <w:rsid w:val="00A94F58"/>
    <w:rsid w:val="00A95205"/>
    <w:rsid w:val="00A95321"/>
    <w:rsid w:val="00A95FB3"/>
    <w:rsid w:val="00A97C43"/>
    <w:rsid w:val="00AA09C1"/>
    <w:rsid w:val="00AA0C63"/>
    <w:rsid w:val="00AA0F99"/>
    <w:rsid w:val="00AA20A8"/>
    <w:rsid w:val="00AA21AB"/>
    <w:rsid w:val="00AA25CA"/>
    <w:rsid w:val="00AA2D90"/>
    <w:rsid w:val="00AA45DC"/>
    <w:rsid w:val="00AA589D"/>
    <w:rsid w:val="00AA59D8"/>
    <w:rsid w:val="00AA6547"/>
    <w:rsid w:val="00AA6F8B"/>
    <w:rsid w:val="00AB1411"/>
    <w:rsid w:val="00AB1BD9"/>
    <w:rsid w:val="00AB2454"/>
    <w:rsid w:val="00AB2FD4"/>
    <w:rsid w:val="00AB34CC"/>
    <w:rsid w:val="00AB3921"/>
    <w:rsid w:val="00AB41F2"/>
    <w:rsid w:val="00AB4FFD"/>
    <w:rsid w:val="00AB51EA"/>
    <w:rsid w:val="00AB7E2E"/>
    <w:rsid w:val="00AC0836"/>
    <w:rsid w:val="00AC2D80"/>
    <w:rsid w:val="00AC3777"/>
    <w:rsid w:val="00AC4C46"/>
    <w:rsid w:val="00AC551E"/>
    <w:rsid w:val="00AC5889"/>
    <w:rsid w:val="00AC7D40"/>
    <w:rsid w:val="00AC7E32"/>
    <w:rsid w:val="00AD065F"/>
    <w:rsid w:val="00AD0871"/>
    <w:rsid w:val="00AD29C1"/>
    <w:rsid w:val="00AD3600"/>
    <w:rsid w:val="00AD37B2"/>
    <w:rsid w:val="00AD3E9D"/>
    <w:rsid w:val="00AD5A52"/>
    <w:rsid w:val="00AD78E5"/>
    <w:rsid w:val="00AE00EF"/>
    <w:rsid w:val="00AE1105"/>
    <w:rsid w:val="00AE1520"/>
    <w:rsid w:val="00AE3351"/>
    <w:rsid w:val="00AE5225"/>
    <w:rsid w:val="00AE54B8"/>
    <w:rsid w:val="00AE60B0"/>
    <w:rsid w:val="00AE68A6"/>
    <w:rsid w:val="00AF146E"/>
    <w:rsid w:val="00AF18C5"/>
    <w:rsid w:val="00AF3872"/>
    <w:rsid w:val="00AF3C13"/>
    <w:rsid w:val="00AF5016"/>
    <w:rsid w:val="00AF6A59"/>
    <w:rsid w:val="00AF6F42"/>
    <w:rsid w:val="00AF7A52"/>
    <w:rsid w:val="00AF7A68"/>
    <w:rsid w:val="00AF7B24"/>
    <w:rsid w:val="00B007B7"/>
    <w:rsid w:val="00B01689"/>
    <w:rsid w:val="00B01FD0"/>
    <w:rsid w:val="00B03793"/>
    <w:rsid w:val="00B06FEF"/>
    <w:rsid w:val="00B075D8"/>
    <w:rsid w:val="00B07EE1"/>
    <w:rsid w:val="00B1002D"/>
    <w:rsid w:val="00B10B0C"/>
    <w:rsid w:val="00B11096"/>
    <w:rsid w:val="00B1196E"/>
    <w:rsid w:val="00B11CDF"/>
    <w:rsid w:val="00B12D0B"/>
    <w:rsid w:val="00B1466A"/>
    <w:rsid w:val="00B16665"/>
    <w:rsid w:val="00B20D35"/>
    <w:rsid w:val="00B21EAA"/>
    <w:rsid w:val="00B22FA4"/>
    <w:rsid w:val="00B26C53"/>
    <w:rsid w:val="00B30334"/>
    <w:rsid w:val="00B30801"/>
    <w:rsid w:val="00B32556"/>
    <w:rsid w:val="00B33C01"/>
    <w:rsid w:val="00B35681"/>
    <w:rsid w:val="00B4014A"/>
    <w:rsid w:val="00B42AA1"/>
    <w:rsid w:val="00B43B4D"/>
    <w:rsid w:val="00B45BFD"/>
    <w:rsid w:val="00B46F39"/>
    <w:rsid w:val="00B47235"/>
    <w:rsid w:val="00B47473"/>
    <w:rsid w:val="00B4757A"/>
    <w:rsid w:val="00B50A10"/>
    <w:rsid w:val="00B51070"/>
    <w:rsid w:val="00B51696"/>
    <w:rsid w:val="00B51821"/>
    <w:rsid w:val="00B51962"/>
    <w:rsid w:val="00B52F84"/>
    <w:rsid w:val="00B53B7C"/>
    <w:rsid w:val="00B54DFA"/>
    <w:rsid w:val="00B5557A"/>
    <w:rsid w:val="00B56953"/>
    <w:rsid w:val="00B601BD"/>
    <w:rsid w:val="00B60384"/>
    <w:rsid w:val="00B6108F"/>
    <w:rsid w:val="00B61A9D"/>
    <w:rsid w:val="00B61B69"/>
    <w:rsid w:val="00B630D1"/>
    <w:rsid w:val="00B63213"/>
    <w:rsid w:val="00B63D13"/>
    <w:rsid w:val="00B65578"/>
    <w:rsid w:val="00B67840"/>
    <w:rsid w:val="00B6795E"/>
    <w:rsid w:val="00B70BAF"/>
    <w:rsid w:val="00B71ED2"/>
    <w:rsid w:val="00B72674"/>
    <w:rsid w:val="00B735AD"/>
    <w:rsid w:val="00B735B9"/>
    <w:rsid w:val="00B73934"/>
    <w:rsid w:val="00B73D63"/>
    <w:rsid w:val="00B743FB"/>
    <w:rsid w:val="00B750C5"/>
    <w:rsid w:val="00B76153"/>
    <w:rsid w:val="00B76CD5"/>
    <w:rsid w:val="00B77003"/>
    <w:rsid w:val="00B8045A"/>
    <w:rsid w:val="00B80A70"/>
    <w:rsid w:val="00B80FF1"/>
    <w:rsid w:val="00B811DD"/>
    <w:rsid w:val="00B83763"/>
    <w:rsid w:val="00B84A40"/>
    <w:rsid w:val="00B84F68"/>
    <w:rsid w:val="00B87450"/>
    <w:rsid w:val="00B87880"/>
    <w:rsid w:val="00B924F7"/>
    <w:rsid w:val="00B92504"/>
    <w:rsid w:val="00B93602"/>
    <w:rsid w:val="00B94351"/>
    <w:rsid w:val="00B9479B"/>
    <w:rsid w:val="00B9547C"/>
    <w:rsid w:val="00B9684F"/>
    <w:rsid w:val="00B96C38"/>
    <w:rsid w:val="00BA0069"/>
    <w:rsid w:val="00BA0F0B"/>
    <w:rsid w:val="00BA2543"/>
    <w:rsid w:val="00BA297C"/>
    <w:rsid w:val="00BA3018"/>
    <w:rsid w:val="00BA35D3"/>
    <w:rsid w:val="00BA3D7D"/>
    <w:rsid w:val="00BA440C"/>
    <w:rsid w:val="00BA4E01"/>
    <w:rsid w:val="00BA72D5"/>
    <w:rsid w:val="00BA7C35"/>
    <w:rsid w:val="00BA7C94"/>
    <w:rsid w:val="00BB023F"/>
    <w:rsid w:val="00BB06A3"/>
    <w:rsid w:val="00BB0795"/>
    <w:rsid w:val="00BB2096"/>
    <w:rsid w:val="00BB2E68"/>
    <w:rsid w:val="00BB314C"/>
    <w:rsid w:val="00BB34BE"/>
    <w:rsid w:val="00BB4E93"/>
    <w:rsid w:val="00BB4ED7"/>
    <w:rsid w:val="00BB54D2"/>
    <w:rsid w:val="00BB6905"/>
    <w:rsid w:val="00BB7D75"/>
    <w:rsid w:val="00BC0991"/>
    <w:rsid w:val="00BC169A"/>
    <w:rsid w:val="00BC1ACC"/>
    <w:rsid w:val="00BC3865"/>
    <w:rsid w:val="00BC417B"/>
    <w:rsid w:val="00BC484C"/>
    <w:rsid w:val="00BC509D"/>
    <w:rsid w:val="00BC523C"/>
    <w:rsid w:val="00BC73A2"/>
    <w:rsid w:val="00BC7C81"/>
    <w:rsid w:val="00BD24FD"/>
    <w:rsid w:val="00BD3BBE"/>
    <w:rsid w:val="00BD4572"/>
    <w:rsid w:val="00BD4659"/>
    <w:rsid w:val="00BD637C"/>
    <w:rsid w:val="00BD6F59"/>
    <w:rsid w:val="00BD72EC"/>
    <w:rsid w:val="00BE1CFD"/>
    <w:rsid w:val="00BE238C"/>
    <w:rsid w:val="00BE2935"/>
    <w:rsid w:val="00BE3186"/>
    <w:rsid w:val="00BE31F7"/>
    <w:rsid w:val="00BE363F"/>
    <w:rsid w:val="00BE37A6"/>
    <w:rsid w:val="00BE414F"/>
    <w:rsid w:val="00BE5916"/>
    <w:rsid w:val="00BE59C6"/>
    <w:rsid w:val="00BE7016"/>
    <w:rsid w:val="00BE7D93"/>
    <w:rsid w:val="00BF0BF6"/>
    <w:rsid w:val="00BF0F0A"/>
    <w:rsid w:val="00BF10DE"/>
    <w:rsid w:val="00BF1370"/>
    <w:rsid w:val="00BF14D7"/>
    <w:rsid w:val="00BF1A94"/>
    <w:rsid w:val="00BF2120"/>
    <w:rsid w:val="00BF2A68"/>
    <w:rsid w:val="00BF3361"/>
    <w:rsid w:val="00BF6F55"/>
    <w:rsid w:val="00C014EA"/>
    <w:rsid w:val="00C034A7"/>
    <w:rsid w:val="00C045E0"/>
    <w:rsid w:val="00C04EFA"/>
    <w:rsid w:val="00C04F1D"/>
    <w:rsid w:val="00C05354"/>
    <w:rsid w:val="00C054A0"/>
    <w:rsid w:val="00C056FB"/>
    <w:rsid w:val="00C06E38"/>
    <w:rsid w:val="00C07714"/>
    <w:rsid w:val="00C10897"/>
    <w:rsid w:val="00C1134A"/>
    <w:rsid w:val="00C11EA3"/>
    <w:rsid w:val="00C15112"/>
    <w:rsid w:val="00C15EEC"/>
    <w:rsid w:val="00C1619B"/>
    <w:rsid w:val="00C17FB0"/>
    <w:rsid w:val="00C20E8C"/>
    <w:rsid w:val="00C2124E"/>
    <w:rsid w:val="00C22C22"/>
    <w:rsid w:val="00C23583"/>
    <w:rsid w:val="00C248DE"/>
    <w:rsid w:val="00C257F4"/>
    <w:rsid w:val="00C264FE"/>
    <w:rsid w:val="00C26EC9"/>
    <w:rsid w:val="00C3023D"/>
    <w:rsid w:val="00C30361"/>
    <w:rsid w:val="00C309E6"/>
    <w:rsid w:val="00C3275C"/>
    <w:rsid w:val="00C32E9D"/>
    <w:rsid w:val="00C33A05"/>
    <w:rsid w:val="00C33D64"/>
    <w:rsid w:val="00C34130"/>
    <w:rsid w:val="00C345F1"/>
    <w:rsid w:val="00C35B72"/>
    <w:rsid w:val="00C40F61"/>
    <w:rsid w:val="00C41974"/>
    <w:rsid w:val="00C45171"/>
    <w:rsid w:val="00C456B2"/>
    <w:rsid w:val="00C45CA4"/>
    <w:rsid w:val="00C468EC"/>
    <w:rsid w:val="00C46F5C"/>
    <w:rsid w:val="00C478ED"/>
    <w:rsid w:val="00C47E7A"/>
    <w:rsid w:val="00C51123"/>
    <w:rsid w:val="00C51628"/>
    <w:rsid w:val="00C52B3B"/>
    <w:rsid w:val="00C52D10"/>
    <w:rsid w:val="00C532AB"/>
    <w:rsid w:val="00C53E0C"/>
    <w:rsid w:val="00C55F99"/>
    <w:rsid w:val="00C57E6A"/>
    <w:rsid w:val="00C57F57"/>
    <w:rsid w:val="00C62E6E"/>
    <w:rsid w:val="00C631BB"/>
    <w:rsid w:val="00C63D25"/>
    <w:rsid w:val="00C6419A"/>
    <w:rsid w:val="00C6470F"/>
    <w:rsid w:val="00C67503"/>
    <w:rsid w:val="00C702CD"/>
    <w:rsid w:val="00C7045B"/>
    <w:rsid w:val="00C70A79"/>
    <w:rsid w:val="00C72118"/>
    <w:rsid w:val="00C72DE9"/>
    <w:rsid w:val="00C73ABA"/>
    <w:rsid w:val="00C7423D"/>
    <w:rsid w:val="00C7474E"/>
    <w:rsid w:val="00C747AF"/>
    <w:rsid w:val="00C74B92"/>
    <w:rsid w:val="00C74CB6"/>
    <w:rsid w:val="00C756D4"/>
    <w:rsid w:val="00C75BB6"/>
    <w:rsid w:val="00C76404"/>
    <w:rsid w:val="00C772A5"/>
    <w:rsid w:val="00C77702"/>
    <w:rsid w:val="00C81F5E"/>
    <w:rsid w:val="00C821FC"/>
    <w:rsid w:val="00C832C1"/>
    <w:rsid w:val="00C8555A"/>
    <w:rsid w:val="00C858C7"/>
    <w:rsid w:val="00C863FB"/>
    <w:rsid w:val="00C86706"/>
    <w:rsid w:val="00C869FE"/>
    <w:rsid w:val="00C86A59"/>
    <w:rsid w:val="00C87ADA"/>
    <w:rsid w:val="00C90F22"/>
    <w:rsid w:val="00C911A3"/>
    <w:rsid w:val="00C9426D"/>
    <w:rsid w:val="00C9442E"/>
    <w:rsid w:val="00C960EA"/>
    <w:rsid w:val="00CA0601"/>
    <w:rsid w:val="00CA076A"/>
    <w:rsid w:val="00CA1D39"/>
    <w:rsid w:val="00CA212E"/>
    <w:rsid w:val="00CA27EE"/>
    <w:rsid w:val="00CA55EE"/>
    <w:rsid w:val="00CA5959"/>
    <w:rsid w:val="00CA6ADA"/>
    <w:rsid w:val="00CA6C5D"/>
    <w:rsid w:val="00CA730B"/>
    <w:rsid w:val="00CA7A3A"/>
    <w:rsid w:val="00CB390D"/>
    <w:rsid w:val="00CB4F09"/>
    <w:rsid w:val="00CB6A63"/>
    <w:rsid w:val="00CC03EF"/>
    <w:rsid w:val="00CC0FE9"/>
    <w:rsid w:val="00CC137A"/>
    <w:rsid w:val="00CC293F"/>
    <w:rsid w:val="00CC48B8"/>
    <w:rsid w:val="00CC49B8"/>
    <w:rsid w:val="00CC4D77"/>
    <w:rsid w:val="00CC6765"/>
    <w:rsid w:val="00CC6A82"/>
    <w:rsid w:val="00CD102A"/>
    <w:rsid w:val="00CD15BF"/>
    <w:rsid w:val="00CD2A1D"/>
    <w:rsid w:val="00CD397F"/>
    <w:rsid w:val="00CD4157"/>
    <w:rsid w:val="00CD4E22"/>
    <w:rsid w:val="00CD5581"/>
    <w:rsid w:val="00CD637E"/>
    <w:rsid w:val="00CD67E9"/>
    <w:rsid w:val="00CE08A8"/>
    <w:rsid w:val="00CE0CF1"/>
    <w:rsid w:val="00CE11A4"/>
    <w:rsid w:val="00CE28D4"/>
    <w:rsid w:val="00CE3E4C"/>
    <w:rsid w:val="00CE3E88"/>
    <w:rsid w:val="00CE3F87"/>
    <w:rsid w:val="00CE6418"/>
    <w:rsid w:val="00CE6429"/>
    <w:rsid w:val="00CE7070"/>
    <w:rsid w:val="00CF138E"/>
    <w:rsid w:val="00CF146A"/>
    <w:rsid w:val="00CF50AC"/>
    <w:rsid w:val="00CF6911"/>
    <w:rsid w:val="00CF76A4"/>
    <w:rsid w:val="00D00182"/>
    <w:rsid w:val="00D01130"/>
    <w:rsid w:val="00D0116A"/>
    <w:rsid w:val="00D0133D"/>
    <w:rsid w:val="00D0155D"/>
    <w:rsid w:val="00D015AC"/>
    <w:rsid w:val="00D03BAA"/>
    <w:rsid w:val="00D053B9"/>
    <w:rsid w:val="00D1149D"/>
    <w:rsid w:val="00D11FCB"/>
    <w:rsid w:val="00D12760"/>
    <w:rsid w:val="00D163F4"/>
    <w:rsid w:val="00D16CE6"/>
    <w:rsid w:val="00D173D0"/>
    <w:rsid w:val="00D20000"/>
    <w:rsid w:val="00D201C8"/>
    <w:rsid w:val="00D21198"/>
    <w:rsid w:val="00D22E3D"/>
    <w:rsid w:val="00D22EED"/>
    <w:rsid w:val="00D26C62"/>
    <w:rsid w:val="00D2700F"/>
    <w:rsid w:val="00D303A4"/>
    <w:rsid w:val="00D30E4C"/>
    <w:rsid w:val="00D32629"/>
    <w:rsid w:val="00D32896"/>
    <w:rsid w:val="00D32F2E"/>
    <w:rsid w:val="00D341C9"/>
    <w:rsid w:val="00D374E5"/>
    <w:rsid w:val="00D37653"/>
    <w:rsid w:val="00D40449"/>
    <w:rsid w:val="00D43805"/>
    <w:rsid w:val="00D43AC8"/>
    <w:rsid w:val="00D43AE3"/>
    <w:rsid w:val="00D44138"/>
    <w:rsid w:val="00D44DD7"/>
    <w:rsid w:val="00D44EC8"/>
    <w:rsid w:val="00D45313"/>
    <w:rsid w:val="00D45841"/>
    <w:rsid w:val="00D47F76"/>
    <w:rsid w:val="00D50FEC"/>
    <w:rsid w:val="00D51805"/>
    <w:rsid w:val="00D5335C"/>
    <w:rsid w:val="00D5362A"/>
    <w:rsid w:val="00D543BD"/>
    <w:rsid w:val="00D55EB0"/>
    <w:rsid w:val="00D560FA"/>
    <w:rsid w:val="00D56F65"/>
    <w:rsid w:val="00D57352"/>
    <w:rsid w:val="00D5743A"/>
    <w:rsid w:val="00D57E77"/>
    <w:rsid w:val="00D57F2C"/>
    <w:rsid w:val="00D60D2C"/>
    <w:rsid w:val="00D61499"/>
    <w:rsid w:val="00D6149B"/>
    <w:rsid w:val="00D62377"/>
    <w:rsid w:val="00D632D6"/>
    <w:rsid w:val="00D636C8"/>
    <w:rsid w:val="00D646E2"/>
    <w:rsid w:val="00D66D01"/>
    <w:rsid w:val="00D70FA5"/>
    <w:rsid w:val="00D717FC"/>
    <w:rsid w:val="00D72431"/>
    <w:rsid w:val="00D731F3"/>
    <w:rsid w:val="00D73727"/>
    <w:rsid w:val="00D754CE"/>
    <w:rsid w:val="00D75870"/>
    <w:rsid w:val="00D768D3"/>
    <w:rsid w:val="00D76E77"/>
    <w:rsid w:val="00D8017A"/>
    <w:rsid w:val="00D80636"/>
    <w:rsid w:val="00D819BB"/>
    <w:rsid w:val="00D82802"/>
    <w:rsid w:val="00D82E47"/>
    <w:rsid w:val="00D837DF"/>
    <w:rsid w:val="00D83BBD"/>
    <w:rsid w:val="00D84FCE"/>
    <w:rsid w:val="00D85D41"/>
    <w:rsid w:val="00D85D56"/>
    <w:rsid w:val="00D8626E"/>
    <w:rsid w:val="00D868A1"/>
    <w:rsid w:val="00D868DB"/>
    <w:rsid w:val="00D90015"/>
    <w:rsid w:val="00D91892"/>
    <w:rsid w:val="00D93576"/>
    <w:rsid w:val="00D96244"/>
    <w:rsid w:val="00D97821"/>
    <w:rsid w:val="00D97A97"/>
    <w:rsid w:val="00D97B05"/>
    <w:rsid w:val="00DA2866"/>
    <w:rsid w:val="00DA3940"/>
    <w:rsid w:val="00DA4388"/>
    <w:rsid w:val="00DA5799"/>
    <w:rsid w:val="00DA5AFB"/>
    <w:rsid w:val="00DA7AD8"/>
    <w:rsid w:val="00DA7B36"/>
    <w:rsid w:val="00DA7D03"/>
    <w:rsid w:val="00DB0091"/>
    <w:rsid w:val="00DB0B20"/>
    <w:rsid w:val="00DB1A0F"/>
    <w:rsid w:val="00DB1FF6"/>
    <w:rsid w:val="00DB30C5"/>
    <w:rsid w:val="00DB4CA4"/>
    <w:rsid w:val="00DB4DEC"/>
    <w:rsid w:val="00DB7169"/>
    <w:rsid w:val="00DC11D3"/>
    <w:rsid w:val="00DC2778"/>
    <w:rsid w:val="00DC29D9"/>
    <w:rsid w:val="00DC3E87"/>
    <w:rsid w:val="00DC4CE1"/>
    <w:rsid w:val="00DC6189"/>
    <w:rsid w:val="00DC6A4E"/>
    <w:rsid w:val="00DC6A5B"/>
    <w:rsid w:val="00DD04A6"/>
    <w:rsid w:val="00DD1701"/>
    <w:rsid w:val="00DD2627"/>
    <w:rsid w:val="00DD3373"/>
    <w:rsid w:val="00DD3B6B"/>
    <w:rsid w:val="00DD3F5E"/>
    <w:rsid w:val="00DD6062"/>
    <w:rsid w:val="00DD7C74"/>
    <w:rsid w:val="00DD7EAF"/>
    <w:rsid w:val="00DE061C"/>
    <w:rsid w:val="00DE066D"/>
    <w:rsid w:val="00DE2DED"/>
    <w:rsid w:val="00DE30A6"/>
    <w:rsid w:val="00DE396E"/>
    <w:rsid w:val="00DE3D59"/>
    <w:rsid w:val="00DE4266"/>
    <w:rsid w:val="00DE4A0F"/>
    <w:rsid w:val="00DE55FD"/>
    <w:rsid w:val="00DE59E7"/>
    <w:rsid w:val="00DE66A5"/>
    <w:rsid w:val="00DF0217"/>
    <w:rsid w:val="00DF07F2"/>
    <w:rsid w:val="00DF0874"/>
    <w:rsid w:val="00DF3B23"/>
    <w:rsid w:val="00DF3DEA"/>
    <w:rsid w:val="00DF528E"/>
    <w:rsid w:val="00DF60FD"/>
    <w:rsid w:val="00E00AF1"/>
    <w:rsid w:val="00E00DAF"/>
    <w:rsid w:val="00E01722"/>
    <w:rsid w:val="00E01B16"/>
    <w:rsid w:val="00E01B69"/>
    <w:rsid w:val="00E02060"/>
    <w:rsid w:val="00E03159"/>
    <w:rsid w:val="00E04D82"/>
    <w:rsid w:val="00E05A51"/>
    <w:rsid w:val="00E067A1"/>
    <w:rsid w:val="00E0702A"/>
    <w:rsid w:val="00E07613"/>
    <w:rsid w:val="00E10F8B"/>
    <w:rsid w:val="00E1159A"/>
    <w:rsid w:val="00E12054"/>
    <w:rsid w:val="00E1252A"/>
    <w:rsid w:val="00E13541"/>
    <w:rsid w:val="00E13FA1"/>
    <w:rsid w:val="00E1483C"/>
    <w:rsid w:val="00E157D3"/>
    <w:rsid w:val="00E162B1"/>
    <w:rsid w:val="00E16FF7"/>
    <w:rsid w:val="00E17916"/>
    <w:rsid w:val="00E20454"/>
    <w:rsid w:val="00E20F1B"/>
    <w:rsid w:val="00E228DC"/>
    <w:rsid w:val="00E2472C"/>
    <w:rsid w:val="00E24DC2"/>
    <w:rsid w:val="00E24F45"/>
    <w:rsid w:val="00E2526B"/>
    <w:rsid w:val="00E25C70"/>
    <w:rsid w:val="00E26F56"/>
    <w:rsid w:val="00E27E52"/>
    <w:rsid w:val="00E30F24"/>
    <w:rsid w:val="00E30FD5"/>
    <w:rsid w:val="00E31C77"/>
    <w:rsid w:val="00E33FFE"/>
    <w:rsid w:val="00E34473"/>
    <w:rsid w:val="00E3691C"/>
    <w:rsid w:val="00E369A1"/>
    <w:rsid w:val="00E37147"/>
    <w:rsid w:val="00E371AA"/>
    <w:rsid w:val="00E4130B"/>
    <w:rsid w:val="00E41A53"/>
    <w:rsid w:val="00E41D88"/>
    <w:rsid w:val="00E431B8"/>
    <w:rsid w:val="00E448BF"/>
    <w:rsid w:val="00E51909"/>
    <w:rsid w:val="00E5608D"/>
    <w:rsid w:val="00E60E7A"/>
    <w:rsid w:val="00E63EC9"/>
    <w:rsid w:val="00E66092"/>
    <w:rsid w:val="00E663D6"/>
    <w:rsid w:val="00E668FF"/>
    <w:rsid w:val="00E66C1D"/>
    <w:rsid w:val="00E67EF0"/>
    <w:rsid w:val="00E70EB3"/>
    <w:rsid w:val="00E7515C"/>
    <w:rsid w:val="00E75333"/>
    <w:rsid w:val="00E75D28"/>
    <w:rsid w:val="00E76448"/>
    <w:rsid w:val="00E76E9D"/>
    <w:rsid w:val="00E770A2"/>
    <w:rsid w:val="00E80257"/>
    <w:rsid w:val="00E8171D"/>
    <w:rsid w:val="00E817C1"/>
    <w:rsid w:val="00E825C1"/>
    <w:rsid w:val="00E826B7"/>
    <w:rsid w:val="00E82987"/>
    <w:rsid w:val="00E83E49"/>
    <w:rsid w:val="00E84AE1"/>
    <w:rsid w:val="00E85DE7"/>
    <w:rsid w:val="00E87654"/>
    <w:rsid w:val="00E87D55"/>
    <w:rsid w:val="00E9234A"/>
    <w:rsid w:val="00E9271C"/>
    <w:rsid w:val="00E96115"/>
    <w:rsid w:val="00E96B33"/>
    <w:rsid w:val="00E96B6B"/>
    <w:rsid w:val="00EA2169"/>
    <w:rsid w:val="00EA27E0"/>
    <w:rsid w:val="00EA3529"/>
    <w:rsid w:val="00EA383D"/>
    <w:rsid w:val="00EA3B80"/>
    <w:rsid w:val="00EA4751"/>
    <w:rsid w:val="00EA55B6"/>
    <w:rsid w:val="00EA585A"/>
    <w:rsid w:val="00EA6BC0"/>
    <w:rsid w:val="00EA76AD"/>
    <w:rsid w:val="00EB353E"/>
    <w:rsid w:val="00EB3B28"/>
    <w:rsid w:val="00EB5E23"/>
    <w:rsid w:val="00EB5FE2"/>
    <w:rsid w:val="00EB6481"/>
    <w:rsid w:val="00EB6D3B"/>
    <w:rsid w:val="00EB74A5"/>
    <w:rsid w:val="00EB7D0F"/>
    <w:rsid w:val="00EC04B6"/>
    <w:rsid w:val="00EC05F4"/>
    <w:rsid w:val="00EC0965"/>
    <w:rsid w:val="00EC2415"/>
    <w:rsid w:val="00EC43D2"/>
    <w:rsid w:val="00EC474E"/>
    <w:rsid w:val="00EC629E"/>
    <w:rsid w:val="00ED0080"/>
    <w:rsid w:val="00ED11F5"/>
    <w:rsid w:val="00ED1302"/>
    <w:rsid w:val="00ED46B5"/>
    <w:rsid w:val="00ED4A96"/>
    <w:rsid w:val="00ED4D49"/>
    <w:rsid w:val="00ED5ECD"/>
    <w:rsid w:val="00EE211D"/>
    <w:rsid w:val="00EE287B"/>
    <w:rsid w:val="00EE2CBF"/>
    <w:rsid w:val="00EE3A75"/>
    <w:rsid w:val="00EE3DA6"/>
    <w:rsid w:val="00EE475B"/>
    <w:rsid w:val="00EE647F"/>
    <w:rsid w:val="00EE649E"/>
    <w:rsid w:val="00EE64CB"/>
    <w:rsid w:val="00EE6EE1"/>
    <w:rsid w:val="00EF18F1"/>
    <w:rsid w:val="00EF1E3D"/>
    <w:rsid w:val="00EF38A6"/>
    <w:rsid w:val="00EF44CA"/>
    <w:rsid w:val="00EF46A7"/>
    <w:rsid w:val="00EF5B99"/>
    <w:rsid w:val="00EF6B8F"/>
    <w:rsid w:val="00EF6D23"/>
    <w:rsid w:val="00F00327"/>
    <w:rsid w:val="00F0107C"/>
    <w:rsid w:val="00F016BE"/>
    <w:rsid w:val="00F01C65"/>
    <w:rsid w:val="00F02625"/>
    <w:rsid w:val="00F02B56"/>
    <w:rsid w:val="00F02D77"/>
    <w:rsid w:val="00F03760"/>
    <w:rsid w:val="00F03EE8"/>
    <w:rsid w:val="00F0437B"/>
    <w:rsid w:val="00F06362"/>
    <w:rsid w:val="00F0751F"/>
    <w:rsid w:val="00F0767A"/>
    <w:rsid w:val="00F07824"/>
    <w:rsid w:val="00F07968"/>
    <w:rsid w:val="00F07C83"/>
    <w:rsid w:val="00F10594"/>
    <w:rsid w:val="00F12042"/>
    <w:rsid w:val="00F15589"/>
    <w:rsid w:val="00F159CF"/>
    <w:rsid w:val="00F17400"/>
    <w:rsid w:val="00F17793"/>
    <w:rsid w:val="00F21735"/>
    <w:rsid w:val="00F22DC0"/>
    <w:rsid w:val="00F22F90"/>
    <w:rsid w:val="00F25CC8"/>
    <w:rsid w:val="00F25FEE"/>
    <w:rsid w:val="00F264B2"/>
    <w:rsid w:val="00F30C41"/>
    <w:rsid w:val="00F31CC0"/>
    <w:rsid w:val="00F31D28"/>
    <w:rsid w:val="00F33AB0"/>
    <w:rsid w:val="00F35638"/>
    <w:rsid w:val="00F35AC1"/>
    <w:rsid w:val="00F36B0E"/>
    <w:rsid w:val="00F40148"/>
    <w:rsid w:val="00F401A1"/>
    <w:rsid w:val="00F404B9"/>
    <w:rsid w:val="00F40FA8"/>
    <w:rsid w:val="00F417C5"/>
    <w:rsid w:val="00F42398"/>
    <w:rsid w:val="00F424D1"/>
    <w:rsid w:val="00F428D4"/>
    <w:rsid w:val="00F43339"/>
    <w:rsid w:val="00F43C0A"/>
    <w:rsid w:val="00F44F77"/>
    <w:rsid w:val="00F4517E"/>
    <w:rsid w:val="00F45422"/>
    <w:rsid w:val="00F45F63"/>
    <w:rsid w:val="00F467C2"/>
    <w:rsid w:val="00F47538"/>
    <w:rsid w:val="00F51212"/>
    <w:rsid w:val="00F51A9E"/>
    <w:rsid w:val="00F51F8E"/>
    <w:rsid w:val="00F52078"/>
    <w:rsid w:val="00F5523B"/>
    <w:rsid w:val="00F56552"/>
    <w:rsid w:val="00F57500"/>
    <w:rsid w:val="00F60527"/>
    <w:rsid w:val="00F613B9"/>
    <w:rsid w:val="00F6275A"/>
    <w:rsid w:val="00F627E2"/>
    <w:rsid w:val="00F62CA8"/>
    <w:rsid w:val="00F6308C"/>
    <w:rsid w:val="00F64B3A"/>
    <w:rsid w:val="00F673F3"/>
    <w:rsid w:val="00F67A51"/>
    <w:rsid w:val="00F7029A"/>
    <w:rsid w:val="00F70718"/>
    <w:rsid w:val="00F74640"/>
    <w:rsid w:val="00F7633D"/>
    <w:rsid w:val="00F7639B"/>
    <w:rsid w:val="00F77B58"/>
    <w:rsid w:val="00F77D52"/>
    <w:rsid w:val="00F80111"/>
    <w:rsid w:val="00F827ED"/>
    <w:rsid w:val="00F82ABE"/>
    <w:rsid w:val="00F831BC"/>
    <w:rsid w:val="00F8342A"/>
    <w:rsid w:val="00F84AF6"/>
    <w:rsid w:val="00F86638"/>
    <w:rsid w:val="00F87B0D"/>
    <w:rsid w:val="00F87D1E"/>
    <w:rsid w:val="00F902C2"/>
    <w:rsid w:val="00F9197E"/>
    <w:rsid w:val="00F92895"/>
    <w:rsid w:val="00F92FA4"/>
    <w:rsid w:val="00F93289"/>
    <w:rsid w:val="00F94015"/>
    <w:rsid w:val="00F94744"/>
    <w:rsid w:val="00F952DF"/>
    <w:rsid w:val="00F95580"/>
    <w:rsid w:val="00F9683D"/>
    <w:rsid w:val="00F96B10"/>
    <w:rsid w:val="00F9718B"/>
    <w:rsid w:val="00F979BE"/>
    <w:rsid w:val="00FA1BFC"/>
    <w:rsid w:val="00FA3CBA"/>
    <w:rsid w:val="00FA42E6"/>
    <w:rsid w:val="00FA4C55"/>
    <w:rsid w:val="00FA591E"/>
    <w:rsid w:val="00FA5B63"/>
    <w:rsid w:val="00FA6029"/>
    <w:rsid w:val="00FA680B"/>
    <w:rsid w:val="00FA6940"/>
    <w:rsid w:val="00FA6B3B"/>
    <w:rsid w:val="00FA71E1"/>
    <w:rsid w:val="00FA75CA"/>
    <w:rsid w:val="00FA7B86"/>
    <w:rsid w:val="00FB05E9"/>
    <w:rsid w:val="00FB0C50"/>
    <w:rsid w:val="00FB26CB"/>
    <w:rsid w:val="00FB2B3F"/>
    <w:rsid w:val="00FB3863"/>
    <w:rsid w:val="00FB3E42"/>
    <w:rsid w:val="00FB5032"/>
    <w:rsid w:val="00FB5B77"/>
    <w:rsid w:val="00FB6BF2"/>
    <w:rsid w:val="00FB74A2"/>
    <w:rsid w:val="00FB754F"/>
    <w:rsid w:val="00FC04E3"/>
    <w:rsid w:val="00FC15FA"/>
    <w:rsid w:val="00FC2629"/>
    <w:rsid w:val="00FC3514"/>
    <w:rsid w:val="00FC6856"/>
    <w:rsid w:val="00FD03AB"/>
    <w:rsid w:val="00FD0D4A"/>
    <w:rsid w:val="00FD1964"/>
    <w:rsid w:val="00FD19E7"/>
    <w:rsid w:val="00FD1B18"/>
    <w:rsid w:val="00FD1BD7"/>
    <w:rsid w:val="00FD1FB7"/>
    <w:rsid w:val="00FD2438"/>
    <w:rsid w:val="00FD2955"/>
    <w:rsid w:val="00FD3165"/>
    <w:rsid w:val="00FD41D2"/>
    <w:rsid w:val="00FD516A"/>
    <w:rsid w:val="00FD5679"/>
    <w:rsid w:val="00FD6DD6"/>
    <w:rsid w:val="00FD730D"/>
    <w:rsid w:val="00FE09A4"/>
    <w:rsid w:val="00FE0C8F"/>
    <w:rsid w:val="00FE10F5"/>
    <w:rsid w:val="00FE1D9C"/>
    <w:rsid w:val="00FE3D60"/>
    <w:rsid w:val="00FE3EA0"/>
    <w:rsid w:val="00FE41B2"/>
    <w:rsid w:val="00FE439C"/>
    <w:rsid w:val="00FE4B76"/>
    <w:rsid w:val="00FE555F"/>
    <w:rsid w:val="00FE5EFD"/>
    <w:rsid w:val="00FE6A50"/>
    <w:rsid w:val="00FE6E34"/>
    <w:rsid w:val="00FE762F"/>
    <w:rsid w:val="00FF0B7A"/>
    <w:rsid w:val="00FF133B"/>
    <w:rsid w:val="00FF3575"/>
    <w:rsid w:val="00FF4B2C"/>
    <w:rsid w:val="00FF6C0F"/>
    <w:rsid w:val="00FF6F6E"/>
    <w:rsid w:val="00FF7345"/>
    <w:rsid w:val="00FF76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26244"/>
  <w14:defaultImageDpi w14:val="300"/>
  <w15:docId w15:val="{D4F500CF-F3BB-4D28-BC76-6AAC4456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AE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0AED"/>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0AE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B0A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rsid w:val="001B0AED"/>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unhideWhenUsed/>
    <w:qFormat/>
    <w:rsid w:val="001B0AED"/>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B0A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0AE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1B0AED"/>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rsid w:val="001B0AED"/>
    <w:rPr>
      <w:rFonts w:asciiTheme="majorHAnsi" w:eastAsiaTheme="majorEastAsia" w:hAnsiTheme="majorHAnsi" w:cstheme="majorBidi"/>
      <w:color w:val="365F91" w:themeColor="accent1" w:themeShade="BF"/>
      <w:sz w:val="22"/>
      <w:szCs w:val="22"/>
    </w:rPr>
  </w:style>
  <w:style w:type="character" w:styleId="Hyperlink">
    <w:name w:val="Hyperlink"/>
    <w:basedOn w:val="DefaultParagraphFont"/>
    <w:uiPriority w:val="99"/>
    <w:unhideWhenUsed/>
    <w:rsid w:val="004C791C"/>
    <w:rPr>
      <w:color w:val="0000FF"/>
      <w:u w:val="single"/>
    </w:rPr>
  </w:style>
  <w:style w:type="paragraph" w:styleId="ListParagraph">
    <w:name w:val="List Paragraph"/>
    <w:basedOn w:val="Normal"/>
    <w:uiPriority w:val="34"/>
    <w:qFormat/>
    <w:rsid w:val="00FA42E6"/>
    <w:pPr>
      <w:ind w:left="720"/>
      <w:contextualSpacing/>
    </w:pPr>
  </w:style>
  <w:style w:type="paragraph" w:styleId="Header">
    <w:name w:val="header"/>
    <w:basedOn w:val="Normal"/>
    <w:link w:val="HeaderChar"/>
    <w:uiPriority w:val="99"/>
    <w:unhideWhenUsed/>
    <w:rsid w:val="005F16EC"/>
    <w:pPr>
      <w:tabs>
        <w:tab w:val="center" w:pos="4513"/>
        <w:tab w:val="right" w:pos="9026"/>
      </w:tabs>
    </w:pPr>
  </w:style>
  <w:style w:type="character" w:customStyle="1" w:styleId="HeaderChar">
    <w:name w:val="Header Char"/>
    <w:basedOn w:val="DefaultParagraphFont"/>
    <w:link w:val="Header"/>
    <w:uiPriority w:val="99"/>
    <w:rsid w:val="005F16EC"/>
  </w:style>
  <w:style w:type="paragraph" w:styleId="Footer">
    <w:name w:val="footer"/>
    <w:basedOn w:val="Normal"/>
    <w:link w:val="FooterChar"/>
    <w:uiPriority w:val="99"/>
    <w:unhideWhenUsed/>
    <w:rsid w:val="005F16EC"/>
    <w:pPr>
      <w:tabs>
        <w:tab w:val="center" w:pos="4513"/>
        <w:tab w:val="right" w:pos="9026"/>
      </w:tabs>
    </w:pPr>
  </w:style>
  <w:style w:type="character" w:customStyle="1" w:styleId="FooterChar">
    <w:name w:val="Footer Char"/>
    <w:basedOn w:val="DefaultParagraphFont"/>
    <w:link w:val="Footer"/>
    <w:uiPriority w:val="99"/>
    <w:rsid w:val="005F16EC"/>
  </w:style>
  <w:style w:type="character" w:customStyle="1" w:styleId="Heading6Char">
    <w:name w:val="Heading 6 Char"/>
    <w:basedOn w:val="DefaultParagraphFont"/>
    <w:link w:val="Heading6"/>
    <w:uiPriority w:val="9"/>
    <w:rsid w:val="001B0AED"/>
    <w:rPr>
      <w:rFonts w:asciiTheme="majorHAnsi" w:eastAsiaTheme="majorEastAsia" w:hAnsiTheme="majorHAnsi" w:cstheme="majorBidi"/>
      <w:color w:val="243F60" w:themeColor="accent1" w:themeShade="7F"/>
      <w:sz w:val="22"/>
      <w:szCs w:val="22"/>
    </w:rPr>
  </w:style>
  <w:style w:type="table" w:styleId="TableGrid">
    <w:name w:val="Table Grid"/>
    <w:basedOn w:val="TableNormal"/>
    <w:uiPriority w:val="39"/>
    <w:rsid w:val="001B0AE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1B0AED"/>
    <w:rPr>
      <w:rFonts w:eastAsiaTheme="minorHAnsi"/>
      <w:sz w:val="20"/>
      <w:szCs w:val="20"/>
    </w:rPr>
  </w:style>
  <w:style w:type="paragraph" w:styleId="CommentText">
    <w:name w:val="annotation text"/>
    <w:basedOn w:val="Normal"/>
    <w:link w:val="CommentTextChar"/>
    <w:uiPriority w:val="99"/>
    <w:unhideWhenUsed/>
    <w:rsid w:val="001B0AED"/>
    <w:pPr>
      <w:spacing w:after="160"/>
    </w:pPr>
    <w:rPr>
      <w:rFonts w:eastAsiaTheme="minorHAnsi"/>
      <w:sz w:val="20"/>
      <w:szCs w:val="20"/>
    </w:rPr>
  </w:style>
  <w:style w:type="character" w:customStyle="1" w:styleId="BalloonTextChar">
    <w:name w:val="Balloon Text Char"/>
    <w:basedOn w:val="DefaultParagraphFont"/>
    <w:link w:val="BalloonText"/>
    <w:uiPriority w:val="99"/>
    <w:semiHidden/>
    <w:rsid w:val="001B0AED"/>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1B0AED"/>
    <w:rPr>
      <w:rFonts w:ascii="Segoe UI" w:eastAsiaTheme="minorHAnsi" w:hAnsi="Segoe UI" w:cs="Segoe UI"/>
      <w:sz w:val="18"/>
      <w:szCs w:val="18"/>
    </w:r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Char Char"/>
    <w:basedOn w:val="DefaultParagraphFont"/>
    <w:link w:val="FootnoteText"/>
    <w:uiPriority w:val="99"/>
    <w:rsid w:val="001B0AED"/>
    <w:rPr>
      <w:rFonts w:eastAsiaTheme="minorHAnsi"/>
      <w:sz w:val="20"/>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Char,Char Char Char"/>
    <w:basedOn w:val="Normal"/>
    <w:link w:val="FootnoteTextChar"/>
    <w:uiPriority w:val="99"/>
    <w:unhideWhenUsed/>
    <w:qFormat/>
    <w:rsid w:val="001B0AED"/>
    <w:rPr>
      <w:rFonts w:eastAsiaTheme="minorHAnsi"/>
      <w:sz w:val="20"/>
      <w:szCs w:val="20"/>
    </w:rPr>
  </w:style>
  <w:style w:type="paragraph" w:styleId="NoSpacing">
    <w:name w:val="No Spacing"/>
    <w:link w:val="NoSpacingChar"/>
    <w:uiPriority w:val="1"/>
    <w:qFormat/>
    <w:rsid w:val="001B0AED"/>
    <w:rPr>
      <w:sz w:val="22"/>
      <w:szCs w:val="22"/>
      <w:lang w:val="en-US"/>
    </w:rPr>
  </w:style>
  <w:style w:type="character" w:customStyle="1" w:styleId="NoSpacingChar">
    <w:name w:val="No Spacing Char"/>
    <w:basedOn w:val="DefaultParagraphFont"/>
    <w:link w:val="NoSpacing"/>
    <w:uiPriority w:val="1"/>
    <w:rsid w:val="001B0AED"/>
    <w:rPr>
      <w:sz w:val="22"/>
      <w:szCs w:val="22"/>
      <w:lang w:val="en-US"/>
    </w:rPr>
  </w:style>
  <w:style w:type="character" w:customStyle="1" w:styleId="CommentSubjectChar">
    <w:name w:val="Comment Subject Char"/>
    <w:basedOn w:val="CommentTextChar"/>
    <w:link w:val="CommentSubject"/>
    <w:uiPriority w:val="99"/>
    <w:semiHidden/>
    <w:rsid w:val="001B0AED"/>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1B0AED"/>
    <w:rPr>
      <w:b/>
      <w:bCs/>
    </w:rPr>
  </w:style>
  <w:style w:type="character" w:customStyle="1" w:styleId="CommentSubjectChar1">
    <w:name w:val="Comment Subject Char1"/>
    <w:basedOn w:val="CommentTextChar"/>
    <w:uiPriority w:val="99"/>
    <w:semiHidden/>
    <w:rsid w:val="001B0AED"/>
    <w:rPr>
      <w:rFonts w:eastAsiaTheme="minorHAnsi"/>
      <w:b/>
      <w:bCs/>
      <w:sz w:val="20"/>
      <w:szCs w:val="20"/>
    </w:rPr>
  </w:style>
  <w:style w:type="paragraph" w:styleId="Subtitle">
    <w:name w:val="Subtitle"/>
    <w:basedOn w:val="Normal"/>
    <w:next w:val="Normal"/>
    <w:link w:val="SubtitleChar"/>
    <w:uiPriority w:val="11"/>
    <w:qFormat/>
    <w:rsid w:val="001B0AED"/>
    <w:pPr>
      <w:numPr>
        <w:ilvl w:val="1"/>
      </w:numPr>
      <w:spacing w:after="160" w:line="259" w:lineRule="auto"/>
    </w:pPr>
    <w:rPr>
      <w:color w:val="5A5A5A" w:themeColor="text1" w:themeTint="A5"/>
      <w:spacing w:val="15"/>
      <w:sz w:val="22"/>
      <w:szCs w:val="22"/>
    </w:rPr>
  </w:style>
  <w:style w:type="character" w:customStyle="1" w:styleId="SubtitleChar">
    <w:name w:val="Subtitle Char"/>
    <w:basedOn w:val="DefaultParagraphFont"/>
    <w:link w:val="Subtitle"/>
    <w:uiPriority w:val="11"/>
    <w:rsid w:val="001B0AED"/>
    <w:rPr>
      <w:color w:val="5A5A5A" w:themeColor="text1" w:themeTint="A5"/>
      <w:spacing w:val="15"/>
      <w:sz w:val="22"/>
      <w:szCs w:val="22"/>
    </w:rPr>
  </w:style>
  <w:style w:type="character" w:styleId="CommentReference">
    <w:name w:val="annotation reference"/>
    <w:basedOn w:val="DefaultParagraphFont"/>
    <w:uiPriority w:val="99"/>
    <w:semiHidden/>
    <w:unhideWhenUsed/>
    <w:rsid w:val="00750E07"/>
    <w:rPr>
      <w:sz w:val="16"/>
      <w:szCs w:val="16"/>
    </w:rPr>
  </w:style>
  <w:style w:type="character" w:styleId="FootnoteReference">
    <w:name w:val="footnote reference"/>
    <w:basedOn w:val="DefaultParagraphFont"/>
    <w:uiPriority w:val="99"/>
    <w:unhideWhenUsed/>
    <w:qFormat/>
    <w:rsid w:val="001F4AD2"/>
    <w:rPr>
      <w:vertAlign w:val="superscript"/>
    </w:rPr>
  </w:style>
  <w:style w:type="character" w:styleId="Strong">
    <w:name w:val="Strong"/>
    <w:basedOn w:val="DefaultParagraphFont"/>
    <w:uiPriority w:val="22"/>
    <w:qFormat/>
    <w:rsid w:val="00570B21"/>
    <w:rPr>
      <w:b/>
      <w:bCs/>
    </w:rPr>
  </w:style>
  <w:style w:type="paragraph" w:customStyle="1" w:styleId="Default">
    <w:name w:val="Default"/>
    <w:rsid w:val="00010584"/>
    <w:pPr>
      <w:autoSpaceDE w:val="0"/>
      <w:autoSpaceDN w:val="0"/>
      <w:adjustRightInd w:val="0"/>
    </w:pPr>
    <w:rPr>
      <w:rFonts w:ascii="Arial" w:hAnsi="Arial" w:cs="Arial"/>
      <w:color w:val="000000"/>
    </w:rPr>
  </w:style>
  <w:style w:type="paragraph" w:styleId="Revision">
    <w:name w:val="Revision"/>
    <w:hidden/>
    <w:uiPriority w:val="99"/>
    <w:semiHidden/>
    <w:rsid w:val="00F417C5"/>
  </w:style>
  <w:style w:type="paragraph" w:styleId="Bibliography">
    <w:name w:val="Bibliography"/>
    <w:basedOn w:val="Normal"/>
    <w:next w:val="Normal"/>
    <w:uiPriority w:val="37"/>
    <w:unhideWhenUsed/>
    <w:rsid w:val="00D20000"/>
  </w:style>
  <w:style w:type="character" w:customStyle="1" w:styleId="UnresolvedMention1">
    <w:name w:val="Unresolved Mention1"/>
    <w:basedOn w:val="DefaultParagraphFont"/>
    <w:uiPriority w:val="99"/>
    <w:semiHidden/>
    <w:unhideWhenUsed/>
    <w:rsid w:val="00D20000"/>
    <w:rPr>
      <w:color w:val="605E5C"/>
      <w:shd w:val="clear" w:color="auto" w:fill="E1DFDD"/>
    </w:rPr>
  </w:style>
  <w:style w:type="paragraph" w:customStyle="1" w:styleId="enlisttextstandard">
    <w:name w:val="enlisttextstandard"/>
    <w:basedOn w:val="Normal"/>
    <w:rsid w:val="00D20000"/>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D20000"/>
    <w:rPr>
      <w:i/>
      <w:iCs/>
    </w:rPr>
  </w:style>
  <w:style w:type="paragraph" w:customStyle="1" w:styleId="ennumparacontainer">
    <w:name w:val="ennumparacontainer"/>
    <w:basedOn w:val="Normal"/>
    <w:rsid w:val="00D20000"/>
    <w:pPr>
      <w:spacing w:before="100" w:beforeAutospacing="1" w:after="100" w:afterAutospacing="1"/>
    </w:pPr>
    <w:rPr>
      <w:rFonts w:ascii="Times New Roman" w:eastAsia="Times New Roman" w:hAnsi="Times New Roman" w:cs="Times New Roman"/>
      <w:lang w:eastAsia="en-GB"/>
    </w:rPr>
  </w:style>
  <w:style w:type="character" w:customStyle="1" w:styleId="ends">
    <w:name w:val="ends"/>
    <w:basedOn w:val="DefaultParagraphFont"/>
    <w:rsid w:val="00D20000"/>
  </w:style>
  <w:style w:type="paragraph" w:customStyle="1" w:styleId="legclearfix">
    <w:name w:val="legclearfix"/>
    <w:basedOn w:val="Normal"/>
    <w:rsid w:val="00D20000"/>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D20000"/>
  </w:style>
  <w:style w:type="paragraph" w:customStyle="1" w:styleId="leglisttextstandard">
    <w:name w:val="leglisttextstandard"/>
    <w:basedOn w:val="Normal"/>
    <w:rsid w:val="00D20000"/>
    <w:pPr>
      <w:spacing w:before="100" w:beforeAutospacing="1" w:after="100" w:afterAutospacing="1"/>
    </w:pPr>
    <w:rPr>
      <w:rFonts w:ascii="Times New Roman" w:eastAsia="Times New Roman" w:hAnsi="Times New Roman" w:cs="Times New Roman"/>
      <w:lang w:eastAsia="en-GB"/>
    </w:rPr>
  </w:style>
  <w:style w:type="character" w:customStyle="1" w:styleId="legterm">
    <w:name w:val="legterm"/>
    <w:basedOn w:val="DefaultParagraphFont"/>
    <w:rsid w:val="00D20000"/>
  </w:style>
  <w:style w:type="character" w:customStyle="1" w:styleId="citationref">
    <w:name w:val="citationref"/>
    <w:basedOn w:val="DefaultParagraphFont"/>
    <w:rsid w:val="00D20000"/>
  </w:style>
  <w:style w:type="paragraph" w:customStyle="1" w:styleId="para">
    <w:name w:val="para"/>
    <w:basedOn w:val="Normal"/>
    <w:rsid w:val="00D20000"/>
    <w:pPr>
      <w:spacing w:before="100" w:beforeAutospacing="1" w:after="100" w:afterAutospacing="1"/>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D20000"/>
    <w:pPr>
      <w:outlineLvl w:val="9"/>
    </w:pPr>
    <w:rPr>
      <w:lang w:val="en-US"/>
    </w:rPr>
  </w:style>
  <w:style w:type="paragraph" w:styleId="TOC2">
    <w:name w:val="toc 2"/>
    <w:basedOn w:val="Normal"/>
    <w:next w:val="Normal"/>
    <w:autoRedefine/>
    <w:uiPriority w:val="39"/>
    <w:unhideWhenUsed/>
    <w:rsid w:val="00D20000"/>
    <w:pPr>
      <w:spacing w:after="100" w:line="259" w:lineRule="auto"/>
      <w:ind w:left="220"/>
    </w:pPr>
    <w:rPr>
      <w:rFonts w:eastAsiaTheme="minorHAnsi"/>
      <w:sz w:val="22"/>
      <w:szCs w:val="22"/>
    </w:rPr>
  </w:style>
  <w:style w:type="paragraph" w:styleId="TOC3">
    <w:name w:val="toc 3"/>
    <w:basedOn w:val="Normal"/>
    <w:next w:val="Normal"/>
    <w:autoRedefine/>
    <w:uiPriority w:val="39"/>
    <w:unhideWhenUsed/>
    <w:rsid w:val="00D20000"/>
    <w:pPr>
      <w:spacing w:after="100" w:line="259" w:lineRule="auto"/>
      <w:ind w:left="440"/>
    </w:pPr>
    <w:rPr>
      <w:rFonts w:eastAsiaTheme="minorHAnsi"/>
      <w:sz w:val="22"/>
      <w:szCs w:val="22"/>
    </w:rPr>
  </w:style>
  <w:style w:type="character" w:customStyle="1" w:styleId="citetitle">
    <w:name w:val="cite_title"/>
    <w:basedOn w:val="DefaultParagraphFont"/>
    <w:rsid w:val="00D20000"/>
  </w:style>
  <w:style w:type="table" w:customStyle="1" w:styleId="PlainTable41">
    <w:name w:val="Plain Table 41"/>
    <w:basedOn w:val="TableNormal"/>
    <w:uiPriority w:val="44"/>
    <w:rsid w:val="00D20000"/>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uiPriority w:val="99"/>
    <w:semiHidden/>
    <w:unhideWhenUsed/>
    <w:rsid w:val="00D20000"/>
    <w:rPr>
      <w:vertAlign w:val="superscript"/>
    </w:rPr>
  </w:style>
  <w:style w:type="character" w:customStyle="1" w:styleId="UnresolvedMention2">
    <w:name w:val="Unresolved Mention2"/>
    <w:basedOn w:val="DefaultParagraphFont"/>
    <w:uiPriority w:val="99"/>
    <w:semiHidden/>
    <w:unhideWhenUsed/>
    <w:rsid w:val="00D20000"/>
    <w:rPr>
      <w:color w:val="605E5C"/>
      <w:shd w:val="clear" w:color="auto" w:fill="E1DFDD"/>
    </w:rPr>
  </w:style>
  <w:style w:type="paragraph" w:styleId="TOC1">
    <w:name w:val="toc 1"/>
    <w:basedOn w:val="Normal"/>
    <w:next w:val="Normal"/>
    <w:autoRedefine/>
    <w:uiPriority w:val="39"/>
    <w:unhideWhenUsed/>
    <w:rsid w:val="00D20000"/>
    <w:pPr>
      <w:spacing w:after="100" w:line="259" w:lineRule="auto"/>
    </w:pPr>
    <w:rPr>
      <w:rFonts w:eastAsiaTheme="minorHAnsi"/>
      <w:sz w:val="22"/>
      <w:szCs w:val="22"/>
    </w:rPr>
  </w:style>
  <w:style w:type="numbering" w:customStyle="1" w:styleId="NoList1">
    <w:name w:val="No List1"/>
    <w:next w:val="NoList"/>
    <w:uiPriority w:val="99"/>
    <w:semiHidden/>
    <w:unhideWhenUsed/>
    <w:rsid w:val="00586B0B"/>
  </w:style>
  <w:style w:type="paragraph" w:customStyle="1" w:styleId="Heading11">
    <w:name w:val="Heading 11"/>
    <w:basedOn w:val="Normal"/>
    <w:next w:val="Normal"/>
    <w:uiPriority w:val="9"/>
    <w:qFormat/>
    <w:rsid w:val="00586B0B"/>
    <w:pPr>
      <w:keepNext/>
      <w:keepLines/>
      <w:spacing w:before="240" w:line="259" w:lineRule="auto"/>
      <w:outlineLvl w:val="0"/>
    </w:pPr>
    <w:rPr>
      <w:rFonts w:ascii="Calibri" w:eastAsia="MS Gothic" w:hAnsi="Calibri" w:cs="Times New Roman"/>
      <w:color w:val="365F91"/>
      <w:sz w:val="32"/>
      <w:szCs w:val="32"/>
    </w:rPr>
  </w:style>
  <w:style w:type="paragraph" w:customStyle="1" w:styleId="Heading21">
    <w:name w:val="Heading 21"/>
    <w:basedOn w:val="Normal"/>
    <w:next w:val="Normal"/>
    <w:uiPriority w:val="9"/>
    <w:unhideWhenUsed/>
    <w:qFormat/>
    <w:rsid w:val="00586B0B"/>
    <w:pPr>
      <w:keepNext/>
      <w:keepLines/>
      <w:spacing w:before="40" w:line="259" w:lineRule="auto"/>
      <w:outlineLvl w:val="1"/>
    </w:pPr>
    <w:rPr>
      <w:rFonts w:ascii="Calibri" w:eastAsia="MS Gothic" w:hAnsi="Calibri" w:cs="Times New Roman"/>
      <w:color w:val="365F91"/>
      <w:sz w:val="26"/>
      <w:szCs w:val="26"/>
    </w:rPr>
  </w:style>
  <w:style w:type="paragraph" w:customStyle="1" w:styleId="Heading31">
    <w:name w:val="Heading 31"/>
    <w:basedOn w:val="Normal"/>
    <w:next w:val="Normal"/>
    <w:uiPriority w:val="9"/>
    <w:unhideWhenUsed/>
    <w:qFormat/>
    <w:rsid w:val="00586B0B"/>
    <w:pPr>
      <w:keepNext/>
      <w:keepLines/>
      <w:spacing w:before="40" w:line="259" w:lineRule="auto"/>
      <w:outlineLvl w:val="2"/>
    </w:pPr>
    <w:rPr>
      <w:rFonts w:ascii="Calibri" w:eastAsia="MS Gothic" w:hAnsi="Calibri" w:cs="Times New Roman"/>
      <w:color w:val="243F60"/>
    </w:rPr>
  </w:style>
  <w:style w:type="paragraph" w:customStyle="1" w:styleId="Heading41">
    <w:name w:val="Heading 41"/>
    <w:basedOn w:val="Normal"/>
    <w:next w:val="Normal"/>
    <w:uiPriority w:val="9"/>
    <w:unhideWhenUsed/>
    <w:qFormat/>
    <w:rsid w:val="00586B0B"/>
    <w:pPr>
      <w:keepNext/>
      <w:keepLines/>
      <w:spacing w:before="40" w:line="259" w:lineRule="auto"/>
      <w:outlineLvl w:val="3"/>
    </w:pPr>
    <w:rPr>
      <w:rFonts w:ascii="Calibri" w:eastAsia="MS Gothic" w:hAnsi="Calibri" w:cs="Times New Roman"/>
      <w:i/>
      <w:iCs/>
      <w:color w:val="365F91"/>
      <w:sz w:val="22"/>
      <w:szCs w:val="22"/>
    </w:rPr>
  </w:style>
  <w:style w:type="paragraph" w:customStyle="1" w:styleId="Heading51">
    <w:name w:val="Heading 51"/>
    <w:basedOn w:val="Normal"/>
    <w:next w:val="Normal"/>
    <w:uiPriority w:val="9"/>
    <w:unhideWhenUsed/>
    <w:qFormat/>
    <w:rsid w:val="00586B0B"/>
    <w:pPr>
      <w:keepNext/>
      <w:keepLines/>
      <w:spacing w:before="40" w:line="259" w:lineRule="auto"/>
      <w:outlineLvl w:val="4"/>
    </w:pPr>
    <w:rPr>
      <w:rFonts w:ascii="Calibri" w:eastAsia="MS Gothic" w:hAnsi="Calibri" w:cs="Times New Roman"/>
      <w:color w:val="365F91"/>
      <w:sz w:val="22"/>
      <w:szCs w:val="22"/>
    </w:rPr>
  </w:style>
  <w:style w:type="paragraph" w:customStyle="1" w:styleId="Heading61">
    <w:name w:val="Heading 61"/>
    <w:basedOn w:val="Normal"/>
    <w:next w:val="Normal"/>
    <w:uiPriority w:val="9"/>
    <w:unhideWhenUsed/>
    <w:qFormat/>
    <w:rsid w:val="00586B0B"/>
    <w:pPr>
      <w:keepNext/>
      <w:keepLines/>
      <w:spacing w:before="40" w:line="259" w:lineRule="auto"/>
      <w:outlineLvl w:val="5"/>
    </w:pPr>
    <w:rPr>
      <w:rFonts w:ascii="Calibri" w:eastAsia="MS Gothic" w:hAnsi="Calibri" w:cs="Times New Roman"/>
      <w:color w:val="243F60"/>
      <w:sz w:val="22"/>
      <w:szCs w:val="22"/>
    </w:rPr>
  </w:style>
  <w:style w:type="numbering" w:customStyle="1" w:styleId="NoList11">
    <w:name w:val="No List11"/>
    <w:next w:val="NoList"/>
    <w:uiPriority w:val="99"/>
    <w:semiHidden/>
    <w:unhideWhenUsed/>
    <w:rsid w:val="00586B0B"/>
  </w:style>
  <w:style w:type="table" w:customStyle="1" w:styleId="TableGrid1">
    <w:name w:val="Table Grid1"/>
    <w:basedOn w:val="TableNormal"/>
    <w:next w:val="TableGrid"/>
    <w:uiPriority w:val="39"/>
    <w:rsid w:val="00586B0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586B0B"/>
    <w:pPr>
      <w:spacing w:after="160"/>
    </w:pPr>
    <w:rPr>
      <w:rFonts w:eastAsia="Cambria"/>
      <w:sz w:val="20"/>
      <w:szCs w:val="20"/>
    </w:rPr>
  </w:style>
  <w:style w:type="paragraph" w:customStyle="1" w:styleId="BalloonText1">
    <w:name w:val="Balloon Text1"/>
    <w:basedOn w:val="Normal"/>
    <w:next w:val="BalloonText"/>
    <w:uiPriority w:val="99"/>
    <w:semiHidden/>
    <w:unhideWhenUsed/>
    <w:rsid w:val="00586B0B"/>
    <w:rPr>
      <w:rFonts w:ascii="Segoe UI" w:eastAsia="Calibri" w:hAnsi="Segoe UI" w:cs="Segoe UI"/>
      <w:sz w:val="18"/>
      <w:szCs w:val="18"/>
    </w:rPr>
  </w:style>
  <w:style w:type="paragraph" w:customStyle="1" w:styleId="CharCharChar1">
    <w:name w:val="Char Char Char1"/>
    <w:basedOn w:val="Normal"/>
    <w:next w:val="FootnoteText"/>
    <w:uiPriority w:val="99"/>
    <w:unhideWhenUsed/>
    <w:qFormat/>
    <w:rsid w:val="00586B0B"/>
    <w:rPr>
      <w:rFonts w:eastAsia="Calibri"/>
      <w:sz w:val="20"/>
      <w:szCs w:val="20"/>
    </w:rPr>
  </w:style>
  <w:style w:type="character" w:customStyle="1" w:styleId="CommentTextChar1">
    <w:name w:val="Comment Text Char1"/>
    <w:basedOn w:val="DefaultParagraphFont"/>
    <w:uiPriority w:val="99"/>
    <w:semiHidden/>
    <w:rsid w:val="00586B0B"/>
    <w:rPr>
      <w:sz w:val="20"/>
      <w:szCs w:val="20"/>
    </w:rPr>
  </w:style>
  <w:style w:type="paragraph" w:customStyle="1" w:styleId="Subtitle1">
    <w:name w:val="Subtitle1"/>
    <w:basedOn w:val="Normal"/>
    <w:next w:val="Normal"/>
    <w:uiPriority w:val="11"/>
    <w:qFormat/>
    <w:rsid w:val="00586B0B"/>
    <w:pPr>
      <w:numPr>
        <w:ilvl w:val="1"/>
      </w:numPr>
      <w:spacing w:after="160" w:line="259" w:lineRule="auto"/>
    </w:pPr>
    <w:rPr>
      <w:rFonts w:eastAsia="MS Mincho"/>
      <w:color w:val="5A5A5A"/>
      <w:spacing w:val="15"/>
      <w:sz w:val="22"/>
      <w:szCs w:val="22"/>
    </w:rPr>
  </w:style>
  <w:style w:type="character" w:customStyle="1" w:styleId="Heading1Char1">
    <w:name w:val="Heading 1 Char1"/>
    <w:basedOn w:val="DefaultParagraphFont"/>
    <w:uiPriority w:val="9"/>
    <w:rsid w:val="00586B0B"/>
    <w:rPr>
      <w:rFonts w:ascii="Calibri Light" w:eastAsia="Times New Roman" w:hAnsi="Calibri Light" w:cs="Times New Roman"/>
      <w:color w:val="2F5496"/>
      <w:sz w:val="32"/>
      <w:szCs w:val="32"/>
    </w:rPr>
  </w:style>
  <w:style w:type="paragraph" w:customStyle="1" w:styleId="TOC21">
    <w:name w:val="TOC 21"/>
    <w:basedOn w:val="Normal"/>
    <w:next w:val="Normal"/>
    <w:autoRedefine/>
    <w:uiPriority w:val="39"/>
    <w:unhideWhenUsed/>
    <w:rsid w:val="00586B0B"/>
    <w:pPr>
      <w:spacing w:after="100" w:line="259" w:lineRule="auto"/>
      <w:ind w:left="220"/>
    </w:pPr>
    <w:rPr>
      <w:rFonts w:eastAsia="Calibri"/>
      <w:sz w:val="22"/>
      <w:szCs w:val="22"/>
    </w:rPr>
  </w:style>
  <w:style w:type="paragraph" w:customStyle="1" w:styleId="TOC31">
    <w:name w:val="TOC 31"/>
    <w:basedOn w:val="Normal"/>
    <w:next w:val="Normal"/>
    <w:autoRedefine/>
    <w:uiPriority w:val="39"/>
    <w:unhideWhenUsed/>
    <w:rsid w:val="00586B0B"/>
    <w:pPr>
      <w:spacing w:after="100" w:line="259" w:lineRule="auto"/>
      <w:ind w:left="440"/>
    </w:pPr>
    <w:rPr>
      <w:rFonts w:eastAsia="Calibri"/>
      <w:sz w:val="22"/>
      <w:szCs w:val="22"/>
    </w:rPr>
  </w:style>
  <w:style w:type="table" w:customStyle="1" w:styleId="PlainTable411">
    <w:name w:val="Plain Table 411"/>
    <w:basedOn w:val="TableNormal"/>
    <w:uiPriority w:val="44"/>
    <w:rsid w:val="00586B0B"/>
    <w:rPr>
      <w:rFonts w:eastAsia="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11">
    <w:name w:val="TOC 11"/>
    <w:basedOn w:val="Normal"/>
    <w:next w:val="Normal"/>
    <w:autoRedefine/>
    <w:uiPriority w:val="39"/>
    <w:unhideWhenUsed/>
    <w:rsid w:val="00586B0B"/>
    <w:pPr>
      <w:spacing w:after="100" w:line="259" w:lineRule="auto"/>
    </w:pPr>
    <w:rPr>
      <w:rFonts w:eastAsia="Calibri"/>
      <w:sz w:val="22"/>
      <w:szCs w:val="22"/>
    </w:rPr>
  </w:style>
  <w:style w:type="character" w:customStyle="1" w:styleId="Heading2Char1">
    <w:name w:val="Heading 2 Char1"/>
    <w:basedOn w:val="DefaultParagraphFont"/>
    <w:uiPriority w:val="9"/>
    <w:semiHidden/>
    <w:rsid w:val="00586B0B"/>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586B0B"/>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586B0B"/>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586B0B"/>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586B0B"/>
    <w:rPr>
      <w:rFonts w:ascii="Calibri Light" w:eastAsia="Times New Roman" w:hAnsi="Calibri Light" w:cs="Times New Roman"/>
      <w:color w:val="1F3763"/>
    </w:rPr>
  </w:style>
  <w:style w:type="character" w:customStyle="1" w:styleId="BalloonTextChar1">
    <w:name w:val="Balloon Text Char1"/>
    <w:basedOn w:val="DefaultParagraphFont"/>
    <w:uiPriority w:val="99"/>
    <w:semiHidden/>
    <w:rsid w:val="00586B0B"/>
    <w:rPr>
      <w:rFonts w:ascii="Segoe UI" w:hAnsi="Segoe UI" w:cs="Segoe UI"/>
      <w:sz w:val="18"/>
      <w:szCs w:val="18"/>
    </w:rPr>
  </w:style>
  <w:style w:type="character" w:customStyle="1" w:styleId="FootnoteTextChar1">
    <w:name w:val="Footnote Text Char1"/>
    <w:basedOn w:val="DefaultParagraphFont"/>
    <w:uiPriority w:val="99"/>
    <w:semiHidden/>
    <w:rsid w:val="00586B0B"/>
    <w:rPr>
      <w:sz w:val="20"/>
      <w:szCs w:val="20"/>
    </w:rPr>
  </w:style>
  <w:style w:type="character" w:customStyle="1" w:styleId="SubtitleChar1">
    <w:name w:val="Subtitle Char1"/>
    <w:basedOn w:val="DefaultParagraphFont"/>
    <w:uiPriority w:val="11"/>
    <w:rsid w:val="00586B0B"/>
    <w:rPr>
      <w:rFonts w:eastAsia="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70167">
      <w:bodyDiv w:val="1"/>
      <w:marLeft w:val="0"/>
      <w:marRight w:val="0"/>
      <w:marTop w:val="0"/>
      <w:marBottom w:val="0"/>
      <w:divBdr>
        <w:top w:val="none" w:sz="0" w:space="0" w:color="auto"/>
        <w:left w:val="none" w:sz="0" w:space="0" w:color="auto"/>
        <w:bottom w:val="none" w:sz="0" w:space="0" w:color="auto"/>
        <w:right w:val="none" w:sz="0" w:space="0" w:color="auto"/>
      </w:divBdr>
      <w:divsChild>
        <w:div w:id="1362510916">
          <w:marLeft w:val="0"/>
          <w:marRight w:val="0"/>
          <w:marTop w:val="0"/>
          <w:marBottom w:val="0"/>
          <w:divBdr>
            <w:top w:val="none" w:sz="0" w:space="0" w:color="auto"/>
            <w:left w:val="none" w:sz="0" w:space="0" w:color="auto"/>
            <w:bottom w:val="none" w:sz="0" w:space="0" w:color="auto"/>
            <w:right w:val="none" w:sz="0" w:space="0" w:color="auto"/>
          </w:divBdr>
          <w:divsChild>
            <w:div w:id="1951008594">
              <w:marLeft w:val="0"/>
              <w:marRight w:val="0"/>
              <w:marTop w:val="0"/>
              <w:marBottom w:val="0"/>
              <w:divBdr>
                <w:top w:val="none" w:sz="0" w:space="0" w:color="auto"/>
                <w:left w:val="none" w:sz="0" w:space="0" w:color="auto"/>
                <w:bottom w:val="none" w:sz="0" w:space="0" w:color="auto"/>
                <w:right w:val="none" w:sz="0" w:space="0" w:color="auto"/>
              </w:divBdr>
            </w:div>
            <w:div w:id="1748107471">
              <w:marLeft w:val="0"/>
              <w:marRight w:val="0"/>
              <w:marTop w:val="0"/>
              <w:marBottom w:val="0"/>
              <w:divBdr>
                <w:top w:val="none" w:sz="0" w:space="0" w:color="auto"/>
                <w:left w:val="none" w:sz="0" w:space="0" w:color="auto"/>
                <w:bottom w:val="none" w:sz="0" w:space="0" w:color="auto"/>
                <w:right w:val="none" w:sz="0" w:space="0" w:color="auto"/>
              </w:divBdr>
            </w:div>
            <w:div w:id="196283453">
              <w:marLeft w:val="0"/>
              <w:marRight w:val="0"/>
              <w:marTop w:val="0"/>
              <w:marBottom w:val="0"/>
              <w:divBdr>
                <w:top w:val="none" w:sz="0" w:space="0" w:color="auto"/>
                <w:left w:val="none" w:sz="0" w:space="0" w:color="auto"/>
                <w:bottom w:val="none" w:sz="0" w:space="0" w:color="auto"/>
                <w:right w:val="none" w:sz="0" w:space="0" w:color="auto"/>
              </w:divBdr>
            </w:div>
            <w:div w:id="406534634">
              <w:marLeft w:val="0"/>
              <w:marRight w:val="0"/>
              <w:marTop w:val="0"/>
              <w:marBottom w:val="0"/>
              <w:divBdr>
                <w:top w:val="none" w:sz="0" w:space="0" w:color="auto"/>
                <w:left w:val="none" w:sz="0" w:space="0" w:color="auto"/>
                <w:bottom w:val="none" w:sz="0" w:space="0" w:color="auto"/>
                <w:right w:val="none" w:sz="0" w:space="0" w:color="auto"/>
              </w:divBdr>
            </w:div>
            <w:div w:id="1734889209">
              <w:marLeft w:val="0"/>
              <w:marRight w:val="0"/>
              <w:marTop w:val="0"/>
              <w:marBottom w:val="0"/>
              <w:divBdr>
                <w:top w:val="none" w:sz="0" w:space="0" w:color="auto"/>
                <w:left w:val="none" w:sz="0" w:space="0" w:color="auto"/>
                <w:bottom w:val="none" w:sz="0" w:space="0" w:color="auto"/>
                <w:right w:val="none" w:sz="0" w:space="0" w:color="auto"/>
              </w:divBdr>
            </w:div>
            <w:div w:id="1184128586">
              <w:marLeft w:val="0"/>
              <w:marRight w:val="0"/>
              <w:marTop w:val="0"/>
              <w:marBottom w:val="0"/>
              <w:divBdr>
                <w:top w:val="none" w:sz="0" w:space="0" w:color="auto"/>
                <w:left w:val="none" w:sz="0" w:space="0" w:color="auto"/>
                <w:bottom w:val="none" w:sz="0" w:space="0" w:color="auto"/>
                <w:right w:val="none" w:sz="0" w:space="0" w:color="auto"/>
              </w:divBdr>
            </w:div>
            <w:div w:id="1472021683">
              <w:marLeft w:val="0"/>
              <w:marRight w:val="0"/>
              <w:marTop w:val="0"/>
              <w:marBottom w:val="0"/>
              <w:divBdr>
                <w:top w:val="none" w:sz="0" w:space="0" w:color="auto"/>
                <w:left w:val="none" w:sz="0" w:space="0" w:color="auto"/>
                <w:bottom w:val="none" w:sz="0" w:space="0" w:color="auto"/>
                <w:right w:val="none" w:sz="0" w:space="0" w:color="auto"/>
              </w:divBdr>
            </w:div>
            <w:div w:id="1089427134">
              <w:marLeft w:val="0"/>
              <w:marRight w:val="0"/>
              <w:marTop w:val="0"/>
              <w:marBottom w:val="0"/>
              <w:divBdr>
                <w:top w:val="none" w:sz="0" w:space="0" w:color="auto"/>
                <w:left w:val="none" w:sz="0" w:space="0" w:color="auto"/>
                <w:bottom w:val="none" w:sz="0" w:space="0" w:color="auto"/>
                <w:right w:val="none" w:sz="0" w:space="0" w:color="auto"/>
              </w:divBdr>
              <w:divsChild>
                <w:div w:id="8701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2828">
          <w:marLeft w:val="0"/>
          <w:marRight w:val="0"/>
          <w:marTop w:val="0"/>
          <w:marBottom w:val="0"/>
          <w:divBdr>
            <w:top w:val="none" w:sz="0" w:space="0" w:color="auto"/>
            <w:left w:val="none" w:sz="0" w:space="0" w:color="auto"/>
            <w:bottom w:val="none" w:sz="0" w:space="0" w:color="auto"/>
            <w:right w:val="none" w:sz="0" w:space="0" w:color="auto"/>
          </w:divBdr>
          <w:divsChild>
            <w:div w:id="2086217040">
              <w:marLeft w:val="0"/>
              <w:marRight w:val="0"/>
              <w:marTop w:val="0"/>
              <w:marBottom w:val="0"/>
              <w:divBdr>
                <w:top w:val="none" w:sz="0" w:space="0" w:color="auto"/>
                <w:left w:val="none" w:sz="0" w:space="0" w:color="auto"/>
                <w:bottom w:val="none" w:sz="0" w:space="0" w:color="auto"/>
                <w:right w:val="none" w:sz="0" w:space="0" w:color="auto"/>
              </w:divBdr>
            </w:div>
            <w:div w:id="14797645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7787015">
                  <w:marLeft w:val="0"/>
                  <w:marRight w:val="0"/>
                  <w:marTop w:val="0"/>
                  <w:marBottom w:val="0"/>
                  <w:divBdr>
                    <w:top w:val="none" w:sz="0" w:space="0" w:color="auto"/>
                    <w:left w:val="none" w:sz="0" w:space="0" w:color="auto"/>
                    <w:bottom w:val="none" w:sz="0" w:space="0" w:color="auto"/>
                    <w:right w:val="none" w:sz="0" w:space="0" w:color="auto"/>
                  </w:divBdr>
                  <w:divsChild>
                    <w:div w:id="239363792">
                      <w:marLeft w:val="0"/>
                      <w:marRight w:val="0"/>
                      <w:marTop w:val="0"/>
                      <w:marBottom w:val="0"/>
                      <w:divBdr>
                        <w:top w:val="none" w:sz="0" w:space="0" w:color="auto"/>
                        <w:left w:val="none" w:sz="0" w:space="0" w:color="auto"/>
                        <w:bottom w:val="none" w:sz="0" w:space="0" w:color="auto"/>
                        <w:right w:val="none" w:sz="0" w:space="0" w:color="auto"/>
                      </w:divBdr>
                    </w:div>
                    <w:div w:id="1932665177">
                      <w:marLeft w:val="0"/>
                      <w:marRight w:val="0"/>
                      <w:marTop w:val="0"/>
                      <w:marBottom w:val="0"/>
                      <w:divBdr>
                        <w:top w:val="none" w:sz="0" w:space="0" w:color="auto"/>
                        <w:left w:val="none" w:sz="0" w:space="0" w:color="auto"/>
                        <w:bottom w:val="none" w:sz="0" w:space="0" w:color="auto"/>
                        <w:right w:val="none" w:sz="0" w:space="0" w:color="auto"/>
                      </w:divBdr>
                    </w:div>
                    <w:div w:id="1604190564">
                      <w:marLeft w:val="0"/>
                      <w:marRight w:val="0"/>
                      <w:marTop w:val="0"/>
                      <w:marBottom w:val="0"/>
                      <w:divBdr>
                        <w:top w:val="none" w:sz="0" w:space="0" w:color="auto"/>
                        <w:left w:val="none" w:sz="0" w:space="0" w:color="auto"/>
                        <w:bottom w:val="none" w:sz="0" w:space="0" w:color="auto"/>
                        <w:right w:val="none" w:sz="0" w:space="0" w:color="auto"/>
                      </w:divBdr>
                    </w:div>
                    <w:div w:id="1919171876">
                      <w:marLeft w:val="0"/>
                      <w:marRight w:val="0"/>
                      <w:marTop w:val="0"/>
                      <w:marBottom w:val="0"/>
                      <w:divBdr>
                        <w:top w:val="none" w:sz="0" w:space="0" w:color="auto"/>
                        <w:left w:val="none" w:sz="0" w:space="0" w:color="auto"/>
                        <w:bottom w:val="none" w:sz="0" w:space="0" w:color="auto"/>
                        <w:right w:val="none" w:sz="0" w:space="0" w:color="auto"/>
                      </w:divBdr>
                    </w:div>
                    <w:div w:id="5006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0743">
      <w:bodyDiv w:val="1"/>
      <w:marLeft w:val="0"/>
      <w:marRight w:val="0"/>
      <w:marTop w:val="0"/>
      <w:marBottom w:val="0"/>
      <w:divBdr>
        <w:top w:val="none" w:sz="0" w:space="0" w:color="auto"/>
        <w:left w:val="none" w:sz="0" w:space="0" w:color="auto"/>
        <w:bottom w:val="none" w:sz="0" w:space="0" w:color="auto"/>
        <w:right w:val="none" w:sz="0" w:space="0" w:color="auto"/>
      </w:divBdr>
      <w:divsChild>
        <w:div w:id="1802190922">
          <w:marLeft w:val="0"/>
          <w:marRight w:val="0"/>
          <w:marTop w:val="0"/>
          <w:marBottom w:val="0"/>
          <w:divBdr>
            <w:top w:val="none" w:sz="0" w:space="0" w:color="auto"/>
            <w:left w:val="none" w:sz="0" w:space="0" w:color="auto"/>
            <w:bottom w:val="none" w:sz="0" w:space="0" w:color="auto"/>
            <w:right w:val="none" w:sz="0" w:space="0" w:color="auto"/>
          </w:divBdr>
        </w:div>
        <w:div w:id="1911234991">
          <w:marLeft w:val="0"/>
          <w:marRight w:val="0"/>
          <w:marTop w:val="0"/>
          <w:marBottom w:val="0"/>
          <w:divBdr>
            <w:top w:val="none" w:sz="0" w:space="0" w:color="auto"/>
            <w:left w:val="none" w:sz="0" w:space="0" w:color="auto"/>
            <w:bottom w:val="none" w:sz="0" w:space="0" w:color="auto"/>
            <w:right w:val="none" w:sz="0" w:space="0" w:color="auto"/>
          </w:divBdr>
        </w:div>
        <w:div w:id="1070616385">
          <w:marLeft w:val="0"/>
          <w:marRight w:val="0"/>
          <w:marTop w:val="0"/>
          <w:marBottom w:val="0"/>
          <w:divBdr>
            <w:top w:val="none" w:sz="0" w:space="0" w:color="auto"/>
            <w:left w:val="none" w:sz="0" w:space="0" w:color="auto"/>
            <w:bottom w:val="none" w:sz="0" w:space="0" w:color="auto"/>
            <w:right w:val="none" w:sz="0" w:space="0" w:color="auto"/>
          </w:divBdr>
        </w:div>
        <w:div w:id="168712888">
          <w:marLeft w:val="0"/>
          <w:marRight w:val="0"/>
          <w:marTop w:val="0"/>
          <w:marBottom w:val="0"/>
          <w:divBdr>
            <w:top w:val="none" w:sz="0" w:space="0" w:color="auto"/>
            <w:left w:val="none" w:sz="0" w:space="0" w:color="auto"/>
            <w:bottom w:val="none" w:sz="0" w:space="0" w:color="auto"/>
            <w:right w:val="none" w:sz="0" w:space="0" w:color="auto"/>
          </w:divBdr>
        </w:div>
        <w:div w:id="1458720449">
          <w:marLeft w:val="0"/>
          <w:marRight w:val="0"/>
          <w:marTop w:val="0"/>
          <w:marBottom w:val="0"/>
          <w:divBdr>
            <w:top w:val="none" w:sz="0" w:space="0" w:color="auto"/>
            <w:left w:val="none" w:sz="0" w:space="0" w:color="auto"/>
            <w:bottom w:val="none" w:sz="0" w:space="0" w:color="auto"/>
            <w:right w:val="none" w:sz="0" w:space="0" w:color="auto"/>
          </w:divBdr>
        </w:div>
      </w:divsChild>
    </w:div>
    <w:div w:id="1334336053">
      <w:bodyDiv w:val="1"/>
      <w:marLeft w:val="0"/>
      <w:marRight w:val="0"/>
      <w:marTop w:val="0"/>
      <w:marBottom w:val="0"/>
      <w:divBdr>
        <w:top w:val="none" w:sz="0" w:space="0" w:color="auto"/>
        <w:left w:val="none" w:sz="0" w:space="0" w:color="auto"/>
        <w:bottom w:val="none" w:sz="0" w:space="0" w:color="auto"/>
        <w:right w:val="none" w:sz="0" w:space="0" w:color="auto"/>
      </w:divBdr>
      <w:divsChild>
        <w:div w:id="1805734473">
          <w:marLeft w:val="0"/>
          <w:marRight w:val="0"/>
          <w:marTop w:val="0"/>
          <w:marBottom w:val="0"/>
          <w:divBdr>
            <w:top w:val="none" w:sz="0" w:space="0" w:color="auto"/>
            <w:left w:val="none" w:sz="0" w:space="0" w:color="auto"/>
            <w:bottom w:val="none" w:sz="0" w:space="0" w:color="auto"/>
            <w:right w:val="none" w:sz="0" w:space="0" w:color="auto"/>
          </w:divBdr>
        </w:div>
        <w:div w:id="1577980128">
          <w:marLeft w:val="0"/>
          <w:marRight w:val="0"/>
          <w:marTop w:val="0"/>
          <w:marBottom w:val="0"/>
          <w:divBdr>
            <w:top w:val="none" w:sz="0" w:space="0" w:color="auto"/>
            <w:left w:val="none" w:sz="0" w:space="0" w:color="auto"/>
            <w:bottom w:val="none" w:sz="0" w:space="0" w:color="auto"/>
            <w:right w:val="none" w:sz="0" w:space="0" w:color="auto"/>
          </w:divBdr>
        </w:div>
        <w:div w:id="1629506977">
          <w:marLeft w:val="0"/>
          <w:marRight w:val="0"/>
          <w:marTop w:val="0"/>
          <w:marBottom w:val="0"/>
          <w:divBdr>
            <w:top w:val="none" w:sz="0" w:space="0" w:color="auto"/>
            <w:left w:val="none" w:sz="0" w:space="0" w:color="auto"/>
            <w:bottom w:val="none" w:sz="0" w:space="0" w:color="auto"/>
            <w:right w:val="none" w:sz="0" w:space="0" w:color="auto"/>
          </w:divBdr>
        </w:div>
        <w:div w:id="1175265927">
          <w:marLeft w:val="0"/>
          <w:marRight w:val="0"/>
          <w:marTop w:val="0"/>
          <w:marBottom w:val="0"/>
          <w:divBdr>
            <w:top w:val="none" w:sz="0" w:space="0" w:color="auto"/>
            <w:left w:val="none" w:sz="0" w:space="0" w:color="auto"/>
            <w:bottom w:val="none" w:sz="0" w:space="0" w:color="auto"/>
            <w:right w:val="none" w:sz="0" w:space="0" w:color="auto"/>
          </w:divBdr>
        </w:div>
        <w:div w:id="634601915">
          <w:marLeft w:val="0"/>
          <w:marRight w:val="0"/>
          <w:marTop w:val="0"/>
          <w:marBottom w:val="0"/>
          <w:divBdr>
            <w:top w:val="none" w:sz="0" w:space="0" w:color="auto"/>
            <w:left w:val="none" w:sz="0" w:space="0" w:color="auto"/>
            <w:bottom w:val="none" w:sz="0" w:space="0" w:color="auto"/>
            <w:right w:val="none" w:sz="0" w:space="0" w:color="auto"/>
          </w:divBdr>
        </w:div>
        <w:div w:id="1341391523">
          <w:marLeft w:val="0"/>
          <w:marRight w:val="0"/>
          <w:marTop w:val="0"/>
          <w:marBottom w:val="0"/>
          <w:divBdr>
            <w:top w:val="none" w:sz="0" w:space="0" w:color="auto"/>
            <w:left w:val="none" w:sz="0" w:space="0" w:color="auto"/>
            <w:bottom w:val="none" w:sz="0" w:space="0" w:color="auto"/>
            <w:right w:val="none" w:sz="0" w:space="0" w:color="auto"/>
          </w:divBdr>
        </w:div>
        <w:div w:id="736705803">
          <w:marLeft w:val="0"/>
          <w:marRight w:val="0"/>
          <w:marTop w:val="0"/>
          <w:marBottom w:val="0"/>
          <w:divBdr>
            <w:top w:val="none" w:sz="0" w:space="0" w:color="auto"/>
            <w:left w:val="none" w:sz="0" w:space="0" w:color="auto"/>
            <w:bottom w:val="none" w:sz="0" w:space="0" w:color="auto"/>
            <w:right w:val="none" w:sz="0" w:space="0" w:color="auto"/>
          </w:divBdr>
        </w:div>
        <w:div w:id="1868331279">
          <w:marLeft w:val="0"/>
          <w:marRight w:val="0"/>
          <w:marTop w:val="0"/>
          <w:marBottom w:val="0"/>
          <w:divBdr>
            <w:top w:val="none" w:sz="0" w:space="0" w:color="auto"/>
            <w:left w:val="none" w:sz="0" w:space="0" w:color="auto"/>
            <w:bottom w:val="none" w:sz="0" w:space="0" w:color="auto"/>
            <w:right w:val="none" w:sz="0" w:space="0" w:color="auto"/>
          </w:divBdr>
        </w:div>
        <w:div w:id="1612668865">
          <w:marLeft w:val="0"/>
          <w:marRight w:val="0"/>
          <w:marTop w:val="0"/>
          <w:marBottom w:val="0"/>
          <w:divBdr>
            <w:top w:val="none" w:sz="0" w:space="0" w:color="auto"/>
            <w:left w:val="none" w:sz="0" w:space="0" w:color="auto"/>
            <w:bottom w:val="none" w:sz="0" w:space="0" w:color="auto"/>
            <w:right w:val="none" w:sz="0" w:space="0" w:color="auto"/>
          </w:divBdr>
        </w:div>
        <w:div w:id="427190743">
          <w:marLeft w:val="0"/>
          <w:marRight w:val="0"/>
          <w:marTop w:val="0"/>
          <w:marBottom w:val="0"/>
          <w:divBdr>
            <w:top w:val="none" w:sz="0" w:space="0" w:color="auto"/>
            <w:left w:val="none" w:sz="0" w:space="0" w:color="auto"/>
            <w:bottom w:val="none" w:sz="0" w:space="0" w:color="auto"/>
            <w:right w:val="none" w:sz="0" w:space="0" w:color="auto"/>
          </w:divBdr>
        </w:div>
        <w:div w:id="2015035726">
          <w:marLeft w:val="0"/>
          <w:marRight w:val="0"/>
          <w:marTop w:val="0"/>
          <w:marBottom w:val="0"/>
          <w:divBdr>
            <w:top w:val="none" w:sz="0" w:space="0" w:color="auto"/>
            <w:left w:val="none" w:sz="0" w:space="0" w:color="auto"/>
            <w:bottom w:val="none" w:sz="0" w:space="0" w:color="auto"/>
            <w:right w:val="none" w:sz="0" w:space="0" w:color="auto"/>
          </w:divBdr>
        </w:div>
        <w:div w:id="475727331">
          <w:marLeft w:val="0"/>
          <w:marRight w:val="0"/>
          <w:marTop w:val="0"/>
          <w:marBottom w:val="0"/>
          <w:divBdr>
            <w:top w:val="none" w:sz="0" w:space="0" w:color="auto"/>
            <w:left w:val="none" w:sz="0" w:space="0" w:color="auto"/>
            <w:bottom w:val="none" w:sz="0" w:space="0" w:color="auto"/>
            <w:right w:val="none" w:sz="0" w:space="0" w:color="auto"/>
          </w:divBdr>
        </w:div>
        <w:div w:id="1680890715">
          <w:marLeft w:val="0"/>
          <w:marRight w:val="0"/>
          <w:marTop w:val="0"/>
          <w:marBottom w:val="0"/>
          <w:divBdr>
            <w:top w:val="none" w:sz="0" w:space="0" w:color="auto"/>
            <w:left w:val="none" w:sz="0" w:space="0" w:color="auto"/>
            <w:bottom w:val="none" w:sz="0" w:space="0" w:color="auto"/>
            <w:right w:val="none" w:sz="0" w:space="0" w:color="auto"/>
          </w:divBdr>
        </w:div>
        <w:div w:id="1627009390">
          <w:marLeft w:val="0"/>
          <w:marRight w:val="0"/>
          <w:marTop w:val="0"/>
          <w:marBottom w:val="0"/>
          <w:divBdr>
            <w:top w:val="none" w:sz="0" w:space="0" w:color="auto"/>
            <w:left w:val="none" w:sz="0" w:space="0" w:color="auto"/>
            <w:bottom w:val="none" w:sz="0" w:space="0" w:color="auto"/>
            <w:right w:val="none" w:sz="0" w:space="0" w:color="auto"/>
          </w:divBdr>
        </w:div>
      </w:divsChild>
    </w:div>
    <w:div w:id="1420054692">
      <w:bodyDiv w:val="1"/>
      <w:marLeft w:val="0"/>
      <w:marRight w:val="0"/>
      <w:marTop w:val="0"/>
      <w:marBottom w:val="0"/>
      <w:divBdr>
        <w:top w:val="none" w:sz="0" w:space="0" w:color="auto"/>
        <w:left w:val="none" w:sz="0" w:space="0" w:color="auto"/>
        <w:bottom w:val="none" w:sz="0" w:space="0" w:color="auto"/>
        <w:right w:val="none" w:sz="0" w:space="0" w:color="auto"/>
      </w:divBdr>
    </w:div>
    <w:div w:id="1693414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A23C-D7B3-4D0C-BAFD-1E6E3AD7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7958</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Jonty T</dc:creator>
  <cp:keywords/>
  <dc:description/>
  <cp:lastModifiedBy>HP</cp:lastModifiedBy>
  <cp:revision>14</cp:revision>
  <dcterms:created xsi:type="dcterms:W3CDTF">2022-04-07T08:25:00Z</dcterms:created>
  <dcterms:modified xsi:type="dcterms:W3CDTF">2022-04-07T10:01:00Z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-1612439724</vt:i4>
  </property>
  <property fmtid="{D5CDD505-2E9C-101B-9397-08002B2CF9AE}" pid="3" name="_NewReviewCycle">
    <vt:lpwstr/>
  </property>
  <property fmtid="{D5CDD505-2E9C-101B-9397-08002B2CF9AE}" pid="4" name="_EmailSubject">
    <vt:lpwstr>Final version raedy for post - xmas writing</vt:lpwstr>
  </property>
  <property fmtid="{D5CDD505-2E9C-101B-9397-08002B2CF9AE}" pid="5" name="_AuthorEmail">
    <vt:lpwstr>J.Turnpenny@uea.ac.uk</vt:lpwstr>
  </property>
  <property fmtid="{D5CDD505-2E9C-101B-9397-08002B2CF9AE}" pid="6" name="_AuthorEmailDisplayName">
    <vt:lpwstr>John Turnpenny (PPL - Staff)</vt:lpwstr>
  </property>
  <property fmtid="{D5CDD505-2E9C-101B-9397-08002B2CF9AE}" pid="7" name="_ReviewingToolsShownOnce">
    <vt:lpwstr/>
  </property>
</Properties>
</file>