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0512" w14:textId="77777777" w:rsidR="00990D8A" w:rsidRPr="00990D8A" w:rsidRDefault="00990D8A" w:rsidP="00990D8A">
      <w:pPr>
        <w:rPr>
          <w:rFonts w:cstheme="minorHAnsi"/>
        </w:rPr>
      </w:pPr>
    </w:p>
    <w:p w14:paraId="32A8470D" w14:textId="33586AE9" w:rsidR="00990D8A" w:rsidRPr="00990D8A" w:rsidRDefault="00990D8A" w:rsidP="00990D8A">
      <w:pPr>
        <w:pStyle w:val="Heading5"/>
        <w:spacing w:before="0" w:line="240" w:lineRule="auto"/>
        <w:rPr>
          <w:rFonts w:asciiTheme="minorHAnsi" w:hAnsiTheme="minorHAnsi" w:cstheme="minorHAnsi"/>
        </w:rPr>
      </w:pPr>
      <w:r w:rsidRPr="00990D8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Table </w:t>
      </w:r>
      <w:r w:rsidR="006E1EF3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Pr="00990D8A">
        <w:rPr>
          <w:rFonts w:asciiTheme="minorHAnsi" w:hAnsiTheme="minorHAnsi" w:cstheme="minorHAnsi"/>
          <w:b/>
          <w:bCs/>
          <w:color w:val="auto"/>
          <w:sz w:val="24"/>
          <w:szCs w:val="24"/>
        </w:rPr>
        <w:t>. Consumer First Panels and topics (2007-16)</w:t>
      </w:r>
    </w:p>
    <w:p w14:paraId="7CBA8A72" w14:textId="77777777" w:rsidR="00990D8A" w:rsidRPr="00990D8A" w:rsidRDefault="00990D8A" w:rsidP="00990D8A">
      <w:pPr>
        <w:rPr>
          <w:rFonts w:cstheme="minorHAnsi"/>
        </w:rPr>
      </w:pPr>
    </w:p>
    <w:tbl>
      <w:tblPr>
        <w:tblW w:w="7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1700"/>
        <w:gridCol w:w="1569"/>
        <w:gridCol w:w="1570"/>
        <w:gridCol w:w="1030"/>
        <w:gridCol w:w="1309"/>
      </w:tblGrid>
      <w:tr w:rsidR="00990D8A" w:rsidRPr="00990D8A" w14:paraId="27F82B94" w14:textId="77777777" w:rsidTr="00065598">
        <w:tc>
          <w:tcPr>
            <w:tcW w:w="756" w:type="dxa"/>
            <w:vMerge w:val="restart"/>
          </w:tcPr>
          <w:p w14:paraId="1B5E379E" w14:textId="77777777" w:rsidR="00990D8A" w:rsidRPr="00990D8A" w:rsidRDefault="00990D8A" w:rsidP="00065598">
            <w:pPr>
              <w:rPr>
                <w:rFonts w:cstheme="minorHAnsi"/>
                <w:b/>
                <w:bCs/>
              </w:rPr>
            </w:pPr>
            <w:r w:rsidRPr="00990D8A">
              <w:rPr>
                <w:rFonts w:cstheme="minorHAnsi"/>
                <w:b/>
                <w:bCs/>
              </w:rPr>
              <w:t>Panel</w:t>
            </w:r>
          </w:p>
        </w:tc>
        <w:tc>
          <w:tcPr>
            <w:tcW w:w="1780" w:type="dxa"/>
            <w:vMerge w:val="restart"/>
          </w:tcPr>
          <w:p w14:paraId="08887A26" w14:textId="77777777" w:rsidR="00990D8A" w:rsidRPr="00990D8A" w:rsidRDefault="00990D8A" w:rsidP="00065598">
            <w:pPr>
              <w:rPr>
                <w:rFonts w:cstheme="minorHAnsi"/>
                <w:b/>
                <w:bCs/>
              </w:rPr>
            </w:pPr>
            <w:r w:rsidRPr="00990D8A">
              <w:rPr>
                <w:rFonts w:cstheme="minorHAnsi"/>
                <w:b/>
                <w:bCs/>
              </w:rPr>
              <w:t>Report Name</w:t>
            </w:r>
          </w:p>
        </w:tc>
        <w:tc>
          <w:tcPr>
            <w:tcW w:w="5413" w:type="dxa"/>
            <w:gridSpan w:val="4"/>
          </w:tcPr>
          <w:p w14:paraId="76C2BDCC" w14:textId="77777777" w:rsidR="00990D8A" w:rsidRPr="00990D8A" w:rsidRDefault="00990D8A" w:rsidP="00065598">
            <w:pPr>
              <w:jc w:val="center"/>
              <w:rPr>
                <w:rFonts w:cstheme="minorHAnsi"/>
                <w:b/>
                <w:bCs/>
              </w:rPr>
            </w:pPr>
            <w:r w:rsidRPr="00990D8A">
              <w:rPr>
                <w:rFonts w:cstheme="minorHAnsi"/>
                <w:b/>
                <w:bCs/>
              </w:rPr>
              <w:t>Topics covered</w:t>
            </w:r>
          </w:p>
        </w:tc>
      </w:tr>
      <w:tr w:rsidR="00990D8A" w:rsidRPr="00990D8A" w14:paraId="1BD3A146" w14:textId="77777777" w:rsidTr="00065598">
        <w:tc>
          <w:tcPr>
            <w:tcW w:w="756" w:type="dxa"/>
            <w:vMerge/>
          </w:tcPr>
          <w:p w14:paraId="76AC98F7" w14:textId="77777777" w:rsidR="00990D8A" w:rsidRPr="00990D8A" w:rsidRDefault="00990D8A" w:rsidP="0006559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80" w:type="dxa"/>
            <w:vMerge/>
          </w:tcPr>
          <w:p w14:paraId="56753184" w14:textId="77777777" w:rsidR="00990D8A" w:rsidRPr="00990D8A" w:rsidRDefault="00990D8A" w:rsidP="0006559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41" w:type="dxa"/>
          </w:tcPr>
          <w:p w14:paraId="68F98378" w14:textId="77777777" w:rsidR="00990D8A" w:rsidRPr="00990D8A" w:rsidRDefault="00990D8A" w:rsidP="00065598">
            <w:pPr>
              <w:rPr>
                <w:rFonts w:cstheme="minorHAnsi"/>
                <w:b/>
                <w:bCs/>
              </w:rPr>
            </w:pPr>
            <w:r w:rsidRPr="00990D8A">
              <w:rPr>
                <w:rFonts w:cstheme="minorHAnsi"/>
                <w:b/>
                <w:bCs/>
              </w:rPr>
              <w:t>Information requirements</w:t>
            </w:r>
          </w:p>
        </w:tc>
        <w:tc>
          <w:tcPr>
            <w:tcW w:w="1570" w:type="dxa"/>
          </w:tcPr>
          <w:p w14:paraId="47358FB9" w14:textId="77777777" w:rsidR="00990D8A" w:rsidRPr="00990D8A" w:rsidRDefault="00990D8A" w:rsidP="00065598">
            <w:pPr>
              <w:rPr>
                <w:rFonts w:cstheme="minorHAnsi"/>
                <w:b/>
                <w:bCs/>
              </w:rPr>
            </w:pPr>
            <w:r w:rsidRPr="00990D8A">
              <w:rPr>
                <w:rFonts w:cstheme="minorHAnsi"/>
                <w:b/>
                <w:bCs/>
              </w:rPr>
              <w:t>Energy market engagement</w:t>
            </w:r>
          </w:p>
        </w:tc>
        <w:tc>
          <w:tcPr>
            <w:tcW w:w="1014" w:type="dxa"/>
          </w:tcPr>
          <w:p w14:paraId="6CD79315" w14:textId="77777777" w:rsidR="00990D8A" w:rsidRPr="00990D8A" w:rsidRDefault="00990D8A" w:rsidP="00065598">
            <w:pPr>
              <w:rPr>
                <w:rFonts w:cstheme="minorHAnsi"/>
                <w:b/>
                <w:bCs/>
              </w:rPr>
            </w:pPr>
            <w:r w:rsidRPr="00990D8A">
              <w:rPr>
                <w:rFonts w:cstheme="minorHAnsi"/>
                <w:b/>
                <w:bCs/>
              </w:rPr>
              <w:t>Fairness</w:t>
            </w:r>
          </w:p>
        </w:tc>
        <w:tc>
          <w:tcPr>
            <w:tcW w:w="1288" w:type="dxa"/>
          </w:tcPr>
          <w:p w14:paraId="25327588" w14:textId="77777777" w:rsidR="00990D8A" w:rsidRPr="00990D8A" w:rsidRDefault="00990D8A" w:rsidP="00065598">
            <w:pPr>
              <w:rPr>
                <w:rFonts w:cstheme="minorHAnsi"/>
                <w:b/>
                <w:bCs/>
              </w:rPr>
            </w:pPr>
            <w:r w:rsidRPr="00990D8A">
              <w:rPr>
                <w:rFonts w:cstheme="minorHAnsi"/>
                <w:b/>
                <w:bCs/>
              </w:rPr>
              <w:t>Vulnerable Consumer Experience</w:t>
            </w:r>
          </w:p>
        </w:tc>
      </w:tr>
      <w:tr w:rsidR="00990D8A" w:rsidRPr="00990D8A" w14:paraId="21DAE342" w14:textId="77777777" w:rsidTr="00065598">
        <w:tc>
          <w:tcPr>
            <w:tcW w:w="756" w:type="dxa"/>
          </w:tcPr>
          <w:p w14:paraId="20DEBD1E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1</w:t>
            </w:r>
          </w:p>
        </w:tc>
        <w:tc>
          <w:tcPr>
            <w:tcW w:w="1780" w:type="dxa"/>
          </w:tcPr>
          <w:p w14:paraId="1C09F4B4" w14:textId="44BD4E76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eastAsia="Times New Roman" w:cstheme="minorHAnsi"/>
                <w:lang w:eastAsia="en-GB"/>
              </w:rPr>
              <w:t>Energy Market, Billing and Price Metrics (Ofgem, 2009</w:t>
            </w:r>
            <w:r w:rsidR="00960B7F">
              <w:rPr>
                <w:rFonts w:eastAsia="Times New Roman" w:cstheme="minorHAnsi"/>
                <w:lang w:eastAsia="en-GB"/>
              </w:rPr>
              <w:t>b</w:t>
            </w:r>
            <w:r w:rsidRPr="00990D8A">
              <w:rPr>
                <w:rFonts w:eastAsia="Times New Roman" w:cstheme="minorHAnsi"/>
                <w:lang w:eastAsia="en-GB"/>
              </w:rPr>
              <w:t>)</w:t>
            </w:r>
            <w:r w:rsidRPr="00990D8A">
              <w:rPr>
                <w:rFonts w:cstheme="minorHAnsi"/>
              </w:rPr>
              <w:t xml:space="preserve"> </w:t>
            </w:r>
          </w:p>
        </w:tc>
        <w:tc>
          <w:tcPr>
            <w:tcW w:w="1541" w:type="dxa"/>
          </w:tcPr>
          <w:p w14:paraId="44FD57D6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  <w:tc>
          <w:tcPr>
            <w:tcW w:w="1570" w:type="dxa"/>
          </w:tcPr>
          <w:p w14:paraId="461F7A4B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  <w:tc>
          <w:tcPr>
            <w:tcW w:w="1014" w:type="dxa"/>
          </w:tcPr>
          <w:p w14:paraId="40A36903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288" w:type="dxa"/>
          </w:tcPr>
          <w:p w14:paraId="580062CB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</w:tr>
      <w:tr w:rsidR="00990D8A" w:rsidRPr="00990D8A" w14:paraId="5AE3E7F1" w14:textId="77777777" w:rsidTr="00065598">
        <w:tc>
          <w:tcPr>
            <w:tcW w:w="756" w:type="dxa"/>
          </w:tcPr>
          <w:p w14:paraId="654D28D3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2</w:t>
            </w:r>
          </w:p>
        </w:tc>
        <w:tc>
          <w:tcPr>
            <w:tcW w:w="1780" w:type="dxa"/>
          </w:tcPr>
          <w:p w14:paraId="5C241C4A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 xml:space="preserve">Tariffs Structures (Ofgem, 2010b) </w:t>
            </w:r>
          </w:p>
        </w:tc>
        <w:tc>
          <w:tcPr>
            <w:tcW w:w="1541" w:type="dxa"/>
          </w:tcPr>
          <w:p w14:paraId="705E2376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  <w:tc>
          <w:tcPr>
            <w:tcW w:w="1570" w:type="dxa"/>
          </w:tcPr>
          <w:p w14:paraId="66836B3D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  <w:tc>
          <w:tcPr>
            <w:tcW w:w="1014" w:type="dxa"/>
          </w:tcPr>
          <w:p w14:paraId="5AB5E949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288" w:type="dxa"/>
          </w:tcPr>
          <w:p w14:paraId="0FC38577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</w:tr>
      <w:tr w:rsidR="00990D8A" w:rsidRPr="00990D8A" w14:paraId="0F22C6BE" w14:textId="77777777" w:rsidTr="00065598">
        <w:tc>
          <w:tcPr>
            <w:tcW w:w="756" w:type="dxa"/>
          </w:tcPr>
          <w:p w14:paraId="7445EDDA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3</w:t>
            </w:r>
          </w:p>
        </w:tc>
        <w:tc>
          <w:tcPr>
            <w:tcW w:w="1780" w:type="dxa"/>
          </w:tcPr>
          <w:p w14:paraId="39C2B437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 xml:space="preserve">Supplier Standards of Conduct and Prompt Pay Discounts (Ofgem, 2010a) </w:t>
            </w:r>
          </w:p>
        </w:tc>
        <w:tc>
          <w:tcPr>
            <w:tcW w:w="1541" w:type="dxa"/>
          </w:tcPr>
          <w:p w14:paraId="7D886ABB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570" w:type="dxa"/>
          </w:tcPr>
          <w:p w14:paraId="75739672" w14:textId="77777777" w:rsidR="00990D8A" w:rsidRPr="00990D8A" w:rsidRDefault="00990D8A" w:rsidP="00065598">
            <w:pPr>
              <w:tabs>
                <w:tab w:val="left" w:pos="1470"/>
              </w:tabs>
              <w:rPr>
                <w:rFonts w:cstheme="minorHAnsi"/>
                <w:i/>
                <w:iCs/>
              </w:rPr>
            </w:pPr>
            <w:r w:rsidRPr="00990D8A">
              <w:rPr>
                <w:rFonts w:cstheme="minorHAnsi"/>
              </w:rPr>
              <w:t>Y</w:t>
            </w:r>
            <w:r w:rsidRPr="00990D8A">
              <w:rPr>
                <w:rFonts w:cstheme="minorHAnsi"/>
                <w:i/>
                <w:iCs/>
              </w:rPr>
              <w:tab/>
            </w:r>
          </w:p>
        </w:tc>
        <w:tc>
          <w:tcPr>
            <w:tcW w:w="1014" w:type="dxa"/>
          </w:tcPr>
          <w:p w14:paraId="6E5F7FD5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  <w:tc>
          <w:tcPr>
            <w:tcW w:w="1288" w:type="dxa"/>
          </w:tcPr>
          <w:p w14:paraId="60B80849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</w:tr>
      <w:tr w:rsidR="00990D8A" w:rsidRPr="00990D8A" w14:paraId="420AB94B" w14:textId="77777777" w:rsidTr="00065598">
        <w:tc>
          <w:tcPr>
            <w:tcW w:w="756" w:type="dxa"/>
          </w:tcPr>
          <w:p w14:paraId="442F21EB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4</w:t>
            </w:r>
          </w:p>
        </w:tc>
        <w:tc>
          <w:tcPr>
            <w:tcW w:w="1780" w:type="dxa"/>
          </w:tcPr>
          <w:p w14:paraId="5F35055E" w14:textId="3D8D3539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Energy Market and Tariff Structures (Ofgem, 2011</w:t>
            </w:r>
            <w:r w:rsidR="004F6558">
              <w:rPr>
                <w:rFonts w:cstheme="minorHAnsi"/>
              </w:rPr>
              <w:t>a</w:t>
            </w:r>
            <w:r w:rsidRPr="00990D8A">
              <w:rPr>
                <w:rFonts w:cstheme="minorHAnsi"/>
              </w:rPr>
              <w:t xml:space="preserve">) </w:t>
            </w:r>
          </w:p>
        </w:tc>
        <w:tc>
          <w:tcPr>
            <w:tcW w:w="1541" w:type="dxa"/>
          </w:tcPr>
          <w:p w14:paraId="101BCE8D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  <w:tc>
          <w:tcPr>
            <w:tcW w:w="1570" w:type="dxa"/>
          </w:tcPr>
          <w:p w14:paraId="15CFC42D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  <w:p w14:paraId="5EA5BABA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014" w:type="dxa"/>
          </w:tcPr>
          <w:p w14:paraId="16F95D3F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288" w:type="dxa"/>
          </w:tcPr>
          <w:p w14:paraId="777AEE09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</w:tr>
      <w:tr w:rsidR="00990D8A" w:rsidRPr="00990D8A" w14:paraId="694E5865" w14:textId="77777777" w:rsidTr="00065598">
        <w:tc>
          <w:tcPr>
            <w:tcW w:w="756" w:type="dxa"/>
          </w:tcPr>
          <w:p w14:paraId="30734CFC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5</w:t>
            </w:r>
          </w:p>
        </w:tc>
        <w:tc>
          <w:tcPr>
            <w:tcW w:w="1780" w:type="dxa"/>
          </w:tcPr>
          <w:p w14:paraId="525D381C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 xml:space="preserve">Consumer engagement with the energy market, information needs and perceptions of Ofgem (Ofgem, 2012a) </w:t>
            </w:r>
          </w:p>
        </w:tc>
        <w:tc>
          <w:tcPr>
            <w:tcW w:w="1541" w:type="dxa"/>
          </w:tcPr>
          <w:p w14:paraId="5D3E7ED5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  <w:tc>
          <w:tcPr>
            <w:tcW w:w="1570" w:type="dxa"/>
          </w:tcPr>
          <w:p w14:paraId="4194AA77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  <w:tc>
          <w:tcPr>
            <w:tcW w:w="1014" w:type="dxa"/>
          </w:tcPr>
          <w:p w14:paraId="7F5C5F15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288" w:type="dxa"/>
          </w:tcPr>
          <w:p w14:paraId="15B8B041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</w:tr>
      <w:tr w:rsidR="00990D8A" w:rsidRPr="00990D8A" w14:paraId="6B5D9973" w14:textId="77777777" w:rsidTr="00065598">
        <w:tc>
          <w:tcPr>
            <w:tcW w:w="756" w:type="dxa"/>
          </w:tcPr>
          <w:p w14:paraId="7DA21007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6</w:t>
            </w:r>
          </w:p>
        </w:tc>
        <w:tc>
          <w:tcPr>
            <w:tcW w:w="1780" w:type="dxa"/>
          </w:tcPr>
          <w:p w14:paraId="4D4DC79D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 xml:space="preserve">Consumer views on Tariff Comparison Rates (TCRs) (Ofgem, 2012b) </w:t>
            </w:r>
          </w:p>
        </w:tc>
        <w:tc>
          <w:tcPr>
            <w:tcW w:w="1541" w:type="dxa"/>
          </w:tcPr>
          <w:p w14:paraId="3BEFC19B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  <w:tc>
          <w:tcPr>
            <w:tcW w:w="1570" w:type="dxa"/>
          </w:tcPr>
          <w:p w14:paraId="77E31C8A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014" w:type="dxa"/>
          </w:tcPr>
          <w:p w14:paraId="5ECAD40A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288" w:type="dxa"/>
          </w:tcPr>
          <w:p w14:paraId="263571DB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</w:tr>
      <w:tr w:rsidR="00990D8A" w:rsidRPr="00990D8A" w14:paraId="498C50AA" w14:textId="77777777" w:rsidTr="00065598">
        <w:tc>
          <w:tcPr>
            <w:tcW w:w="756" w:type="dxa"/>
          </w:tcPr>
          <w:p w14:paraId="00D4C824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7</w:t>
            </w:r>
          </w:p>
        </w:tc>
        <w:tc>
          <w:tcPr>
            <w:tcW w:w="1780" w:type="dxa"/>
          </w:tcPr>
          <w:p w14:paraId="7E0ECE30" w14:textId="77777777" w:rsidR="00990D8A" w:rsidRPr="00990D8A" w:rsidRDefault="00990D8A" w:rsidP="00065598">
            <w:pPr>
              <w:rPr>
                <w:rFonts w:cstheme="minorHAnsi"/>
                <w:i/>
                <w:iCs/>
              </w:rPr>
            </w:pPr>
            <w:r w:rsidRPr="00990D8A">
              <w:rPr>
                <w:rFonts w:cstheme="minorHAnsi"/>
              </w:rPr>
              <w:t xml:space="preserve">Priority Services </w:t>
            </w:r>
            <w:r w:rsidRPr="00990D8A">
              <w:rPr>
                <w:rFonts w:cstheme="minorHAnsi"/>
              </w:rPr>
              <w:lastRenderedPageBreak/>
              <w:t>Register (Ofgem, 2013b)</w:t>
            </w:r>
            <w:r w:rsidRPr="00990D8A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1541" w:type="dxa"/>
          </w:tcPr>
          <w:p w14:paraId="190901B9" w14:textId="77777777" w:rsidR="00990D8A" w:rsidRPr="00990D8A" w:rsidRDefault="00990D8A" w:rsidP="00065598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570" w:type="dxa"/>
          </w:tcPr>
          <w:p w14:paraId="0993E602" w14:textId="77777777" w:rsidR="00990D8A" w:rsidRPr="00990D8A" w:rsidRDefault="00990D8A" w:rsidP="00065598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014" w:type="dxa"/>
          </w:tcPr>
          <w:p w14:paraId="09EB9F5D" w14:textId="77777777" w:rsidR="00990D8A" w:rsidRPr="00990D8A" w:rsidRDefault="00990D8A" w:rsidP="00065598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288" w:type="dxa"/>
          </w:tcPr>
          <w:p w14:paraId="2F4D74F3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</w:tr>
      <w:tr w:rsidR="00990D8A" w:rsidRPr="00990D8A" w14:paraId="2053E269" w14:textId="77777777" w:rsidTr="00065598">
        <w:tc>
          <w:tcPr>
            <w:tcW w:w="756" w:type="dxa"/>
          </w:tcPr>
          <w:p w14:paraId="26FF610D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8</w:t>
            </w:r>
          </w:p>
        </w:tc>
        <w:tc>
          <w:tcPr>
            <w:tcW w:w="1780" w:type="dxa"/>
          </w:tcPr>
          <w:p w14:paraId="2E3AFAA7" w14:textId="2C1B9198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Change of Supplier Proce</w:t>
            </w:r>
            <w:r w:rsidR="004F6558">
              <w:rPr>
                <w:rFonts w:cstheme="minorHAnsi"/>
              </w:rPr>
              <w:t>ss</w:t>
            </w:r>
            <w:r w:rsidRPr="00990D8A">
              <w:rPr>
                <w:rFonts w:cstheme="minorHAnsi"/>
              </w:rPr>
              <w:t xml:space="preserve"> (Ofgem, 2013a) </w:t>
            </w:r>
          </w:p>
        </w:tc>
        <w:tc>
          <w:tcPr>
            <w:tcW w:w="1541" w:type="dxa"/>
          </w:tcPr>
          <w:p w14:paraId="27AEA4B9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570" w:type="dxa"/>
          </w:tcPr>
          <w:p w14:paraId="71F20EB1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  <w:p w14:paraId="6E2A930F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014" w:type="dxa"/>
          </w:tcPr>
          <w:p w14:paraId="7258A2E7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288" w:type="dxa"/>
          </w:tcPr>
          <w:p w14:paraId="4D6E6CE1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</w:tr>
      <w:tr w:rsidR="00990D8A" w:rsidRPr="00990D8A" w14:paraId="5E467F2B" w14:textId="77777777" w:rsidTr="00065598">
        <w:tc>
          <w:tcPr>
            <w:tcW w:w="756" w:type="dxa"/>
          </w:tcPr>
          <w:p w14:paraId="4D21947C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9</w:t>
            </w:r>
          </w:p>
        </w:tc>
        <w:tc>
          <w:tcPr>
            <w:tcW w:w="1780" w:type="dxa"/>
          </w:tcPr>
          <w:p w14:paraId="1C4A37AF" w14:textId="76DA77B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Affordability, Environmental and Social Schemes (Ofgem, 2014</w:t>
            </w:r>
            <w:r w:rsidR="004F6558">
              <w:rPr>
                <w:rFonts w:cstheme="minorHAnsi"/>
              </w:rPr>
              <w:t>a</w:t>
            </w:r>
            <w:r w:rsidRPr="00990D8A">
              <w:rPr>
                <w:rFonts w:cstheme="minorHAnsi"/>
              </w:rPr>
              <w:t xml:space="preserve">) </w:t>
            </w:r>
          </w:p>
        </w:tc>
        <w:tc>
          <w:tcPr>
            <w:tcW w:w="1541" w:type="dxa"/>
          </w:tcPr>
          <w:p w14:paraId="6646F7DC" w14:textId="77777777" w:rsidR="00990D8A" w:rsidRPr="00990D8A" w:rsidRDefault="00990D8A" w:rsidP="00065598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570" w:type="dxa"/>
          </w:tcPr>
          <w:p w14:paraId="4B9F911B" w14:textId="77777777" w:rsidR="00990D8A" w:rsidRPr="00990D8A" w:rsidRDefault="00990D8A" w:rsidP="00065598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014" w:type="dxa"/>
          </w:tcPr>
          <w:p w14:paraId="438E9F03" w14:textId="77777777" w:rsidR="00990D8A" w:rsidRPr="00990D8A" w:rsidRDefault="00990D8A" w:rsidP="00065598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288" w:type="dxa"/>
          </w:tcPr>
          <w:p w14:paraId="517706A3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</w:tr>
      <w:tr w:rsidR="00990D8A" w:rsidRPr="00990D8A" w14:paraId="67F960EF" w14:textId="77777777" w:rsidTr="00065598">
        <w:tc>
          <w:tcPr>
            <w:tcW w:w="756" w:type="dxa"/>
          </w:tcPr>
          <w:p w14:paraId="51897A4C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10</w:t>
            </w:r>
          </w:p>
        </w:tc>
        <w:tc>
          <w:tcPr>
            <w:tcW w:w="1780" w:type="dxa"/>
          </w:tcPr>
          <w:p w14:paraId="2225A21C" w14:textId="74F32578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Consumer engagement and trust in the energy market - Retail Market Review Reforms (Ofgem, 2014</w:t>
            </w:r>
            <w:r w:rsidR="00BC7391">
              <w:rPr>
                <w:rFonts w:cstheme="minorHAnsi"/>
              </w:rPr>
              <w:t>b</w:t>
            </w:r>
            <w:r w:rsidRPr="00990D8A">
              <w:rPr>
                <w:rFonts w:cstheme="minorHAnsi"/>
              </w:rPr>
              <w:t xml:space="preserve">) </w:t>
            </w:r>
          </w:p>
        </w:tc>
        <w:tc>
          <w:tcPr>
            <w:tcW w:w="1541" w:type="dxa"/>
          </w:tcPr>
          <w:p w14:paraId="18C8C040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  <w:tc>
          <w:tcPr>
            <w:tcW w:w="1570" w:type="dxa"/>
          </w:tcPr>
          <w:p w14:paraId="688413F1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  <w:p w14:paraId="2DFDE356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014" w:type="dxa"/>
          </w:tcPr>
          <w:p w14:paraId="00072B78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288" w:type="dxa"/>
          </w:tcPr>
          <w:p w14:paraId="2E1B4A2D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</w:tr>
      <w:tr w:rsidR="00990D8A" w:rsidRPr="00990D8A" w14:paraId="21CB84E3" w14:textId="77777777" w:rsidTr="00065598">
        <w:tc>
          <w:tcPr>
            <w:tcW w:w="756" w:type="dxa"/>
          </w:tcPr>
          <w:p w14:paraId="6508AE54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11</w:t>
            </w:r>
          </w:p>
        </w:tc>
        <w:tc>
          <w:tcPr>
            <w:tcW w:w="1780" w:type="dxa"/>
          </w:tcPr>
          <w:p w14:paraId="1914AFE0" w14:textId="7CBCD8E3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Third Party Intermediaries and Price Comparison Websites (Ofgem, 2015</w:t>
            </w:r>
            <w:r w:rsidR="00BC7391">
              <w:rPr>
                <w:rFonts w:cstheme="minorHAnsi"/>
              </w:rPr>
              <w:t>c</w:t>
            </w:r>
            <w:r w:rsidRPr="00990D8A">
              <w:rPr>
                <w:rFonts w:cstheme="minorHAnsi"/>
              </w:rPr>
              <w:t xml:space="preserve">) </w:t>
            </w:r>
          </w:p>
        </w:tc>
        <w:tc>
          <w:tcPr>
            <w:tcW w:w="1541" w:type="dxa"/>
          </w:tcPr>
          <w:p w14:paraId="49ABD24E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  <w:tc>
          <w:tcPr>
            <w:tcW w:w="1570" w:type="dxa"/>
          </w:tcPr>
          <w:p w14:paraId="5FAFE170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  <w:p w14:paraId="79685D20" w14:textId="77777777" w:rsidR="00990D8A" w:rsidRPr="00990D8A" w:rsidRDefault="00990D8A" w:rsidP="00065598">
            <w:pPr>
              <w:rPr>
                <w:rFonts w:cstheme="minorHAnsi"/>
              </w:rPr>
            </w:pPr>
          </w:p>
          <w:p w14:paraId="33C993DB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014" w:type="dxa"/>
          </w:tcPr>
          <w:p w14:paraId="5739FC84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288" w:type="dxa"/>
          </w:tcPr>
          <w:p w14:paraId="66994A7D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</w:tr>
      <w:tr w:rsidR="00990D8A" w:rsidRPr="00990D8A" w14:paraId="2692A5AA" w14:textId="77777777" w:rsidTr="00065598">
        <w:tc>
          <w:tcPr>
            <w:tcW w:w="756" w:type="dxa"/>
          </w:tcPr>
          <w:p w14:paraId="17B5CC63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12</w:t>
            </w:r>
          </w:p>
        </w:tc>
        <w:tc>
          <w:tcPr>
            <w:tcW w:w="1780" w:type="dxa"/>
          </w:tcPr>
          <w:p w14:paraId="346EB63A" w14:textId="7A0C1861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Exploring Trust and some Retail Market Review Remedies (Ofgem, 2015</w:t>
            </w:r>
            <w:r w:rsidR="00BC7391">
              <w:rPr>
                <w:rFonts w:cstheme="minorHAnsi"/>
              </w:rPr>
              <w:t>a</w:t>
            </w:r>
            <w:r w:rsidRPr="00990D8A">
              <w:rPr>
                <w:rFonts w:cstheme="minorHAnsi"/>
              </w:rPr>
              <w:t xml:space="preserve">) </w:t>
            </w:r>
          </w:p>
        </w:tc>
        <w:tc>
          <w:tcPr>
            <w:tcW w:w="1541" w:type="dxa"/>
          </w:tcPr>
          <w:p w14:paraId="165194C2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570" w:type="dxa"/>
          </w:tcPr>
          <w:p w14:paraId="52C4871B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  <w:tc>
          <w:tcPr>
            <w:tcW w:w="1014" w:type="dxa"/>
          </w:tcPr>
          <w:p w14:paraId="587FEC3A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288" w:type="dxa"/>
          </w:tcPr>
          <w:p w14:paraId="3E96499B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</w:tr>
      <w:tr w:rsidR="00990D8A" w:rsidRPr="00990D8A" w14:paraId="617345AE" w14:textId="77777777" w:rsidTr="00065598">
        <w:tc>
          <w:tcPr>
            <w:tcW w:w="756" w:type="dxa"/>
          </w:tcPr>
          <w:p w14:paraId="62EA22E1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13</w:t>
            </w:r>
          </w:p>
        </w:tc>
        <w:tc>
          <w:tcPr>
            <w:tcW w:w="1780" w:type="dxa"/>
          </w:tcPr>
          <w:p w14:paraId="4B48ED73" w14:textId="32246F63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Switching Suppliers for Domestic Customers in Debt (Ofgem, 2015</w:t>
            </w:r>
            <w:r w:rsidR="00BC7391">
              <w:rPr>
                <w:rFonts w:cstheme="minorHAnsi"/>
              </w:rPr>
              <w:t>b</w:t>
            </w:r>
            <w:r w:rsidRPr="00990D8A">
              <w:rPr>
                <w:rFonts w:cstheme="minorHAnsi"/>
              </w:rPr>
              <w:t xml:space="preserve">) </w:t>
            </w:r>
          </w:p>
        </w:tc>
        <w:tc>
          <w:tcPr>
            <w:tcW w:w="1541" w:type="dxa"/>
          </w:tcPr>
          <w:p w14:paraId="47CA3B34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570" w:type="dxa"/>
          </w:tcPr>
          <w:p w14:paraId="344E1F58" w14:textId="77777777" w:rsidR="00990D8A" w:rsidRPr="00990D8A" w:rsidRDefault="00990D8A" w:rsidP="00065598">
            <w:pPr>
              <w:rPr>
                <w:rFonts w:cstheme="minorHAnsi"/>
                <w:i/>
                <w:iCs/>
              </w:rPr>
            </w:pPr>
            <w:r w:rsidRPr="00990D8A">
              <w:rPr>
                <w:rFonts w:cstheme="minorHAnsi"/>
              </w:rPr>
              <w:t>Y</w:t>
            </w:r>
          </w:p>
        </w:tc>
        <w:tc>
          <w:tcPr>
            <w:tcW w:w="1014" w:type="dxa"/>
          </w:tcPr>
          <w:p w14:paraId="34154A90" w14:textId="77777777" w:rsidR="00990D8A" w:rsidRPr="00990D8A" w:rsidRDefault="00990D8A" w:rsidP="00065598">
            <w:pPr>
              <w:rPr>
                <w:rFonts w:cstheme="minorHAnsi"/>
              </w:rPr>
            </w:pPr>
          </w:p>
        </w:tc>
        <w:tc>
          <w:tcPr>
            <w:tcW w:w="1288" w:type="dxa"/>
          </w:tcPr>
          <w:p w14:paraId="2FDA36C1" w14:textId="77777777" w:rsidR="00990D8A" w:rsidRPr="00990D8A" w:rsidRDefault="00990D8A" w:rsidP="00065598">
            <w:pPr>
              <w:rPr>
                <w:rFonts w:cstheme="minorHAnsi"/>
              </w:rPr>
            </w:pPr>
            <w:r w:rsidRPr="00990D8A">
              <w:rPr>
                <w:rFonts w:cstheme="minorHAnsi"/>
              </w:rPr>
              <w:t>Y</w:t>
            </w:r>
          </w:p>
        </w:tc>
      </w:tr>
    </w:tbl>
    <w:p w14:paraId="1E450D90" w14:textId="77777777" w:rsidR="00990D8A" w:rsidRDefault="00990D8A" w:rsidP="00990D8A"/>
    <w:p w14:paraId="5A260F9F" w14:textId="77777777" w:rsidR="00135935" w:rsidRDefault="00135935"/>
    <w:sectPr w:rsidR="00135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D282"/>
    <w:multiLevelType w:val="hybridMultilevel"/>
    <w:tmpl w:val="BDB017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8A"/>
    <w:rsid w:val="00135935"/>
    <w:rsid w:val="004F6558"/>
    <w:rsid w:val="00563048"/>
    <w:rsid w:val="006B6574"/>
    <w:rsid w:val="006E1EF3"/>
    <w:rsid w:val="006E567B"/>
    <w:rsid w:val="00960B7F"/>
    <w:rsid w:val="00990D8A"/>
    <w:rsid w:val="00B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33D3"/>
  <w15:chartTrackingRefBased/>
  <w15:docId w15:val="{2CEF1A76-8E43-41FC-8B37-E2BE79D2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D8A"/>
    <w:pPr>
      <w:spacing w:after="0" w:line="240" w:lineRule="auto"/>
    </w:pPr>
    <w:rPr>
      <w:rFonts w:eastAsiaTheme="minorEastAsi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0D8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90D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D8A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990D8A"/>
    <w:pPr>
      <w:spacing w:after="160"/>
    </w:pPr>
    <w:rPr>
      <w:rFonts w:eastAsiaTheme="minorHAns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990D8A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0D8A"/>
    <w:rPr>
      <w:sz w:val="16"/>
      <w:szCs w:val="16"/>
    </w:rPr>
  </w:style>
  <w:style w:type="paragraph" w:customStyle="1" w:styleId="Default">
    <w:name w:val="Default"/>
    <w:rsid w:val="00990D8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D8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Company>University of East Anglia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Turnpenny (PPL - Staff)</dc:creator>
  <cp:keywords/>
  <dc:description/>
  <cp:lastModifiedBy>HP</cp:lastModifiedBy>
  <cp:revision>2</cp:revision>
  <dcterms:created xsi:type="dcterms:W3CDTF">2022-04-07T08:29:00Z</dcterms:created>
  <dcterms:modified xsi:type="dcterms:W3CDTF">2022-04-07T08:29:00Z</dcterms:modified>
</cp:coreProperties>
</file>