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7BE8" w:rsidRPr="00384681" w:rsidRDefault="00667BE8" w:rsidP="00667BE8">
      <w:pPr>
        <w:pStyle w:val="h1"/>
      </w:pPr>
      <w:r>
        <w:t>Chapter Eleven</w:t>
      </w:r>
    </w:p>
    <w:p w:rsidR="00667BE8" w:rsidRPr="00A23188" w:rsidRDefault="00667BE8" w:rsidP="00667BE8">
      <w:pPr>
        <w:pStyle w:val="h1"/>
      </w:pPr>
      <w:r>
        <w:t>Foucault and pastoral power: Implications for formalised sports coach mentoring</w:t>
      </w:r>
    </w:p>
    <w:p w:rsidR="00667BE8" w:rsidRPr="003D2D50" w:rsidRDefault="00667BE8" w:rsidP="00667BE8">
      <w:pPr>
        <w:jc w:val="center"/>
        <w:rPr>
          <w:rFonts w:ascii="Times New Roman" w:eastAsia="Times New Roman" w:hAnsi="Times New Roman" w:cs="Times New Roman"/>
          <w:smallCaps/>
          <w:sz w:val="32"/>
          <w:szCs w:val="32"/>
          <w:lang w:val="en-GB"/>
        </w:rPr>
      </w:pPr>
      <w:r w:rsidRPr="7447C09B">
        <w:rPr>
          <w:rFonts w:ascii="Times New Roman" w:eastAsia="Times New Roman" w:hAnsi="Times New Roman" w:cs="Times New Roman"/>
          <w:smallCaps/>
          <w:sz w:val="32"/>
          <w:szCs w:val="32"/>
          <w:lang w:val="en-GB"/>
        </w:rPr>
        <w:t>Tom Leeder</w:t>
      </w:r>
    </w:p>
    <w:p w:rsidR="00667BE8" w:rsidRPr="002E0D90" w:rsidRDefault="00667BE8" w:rsidP="00667BE8">
      <w:pPr>
        <w:rPr>
          <w:sz w:val="20"/>
          <w:szCs w:val="20"/>
          <w:lang w:val="en-GB"/>
        </w:rPr>
      </w:pPr>
    </w:p>
    <w:p w:rsidR="00667BE8" w:rsidRPr="002914F5" w:rsidRDefault="00667BE8" w:rsidP="00667BE8">
      <w:pPr>
        <w:spacing w:line="259" w:lineRule="auto"/>
        <w:jc w:val="center"/>
        <w:rPr>
          <w:rFonts w:ascii="Times New Roman,Calibri" w:eastAsia="Times New Roman,Calibri" w:hAnsi="Times New Roman,Calibri" w:cs="Times New Roman,Calibri"/>
          <w:b/>
          <w:bCs/>
        </w:rPr>
      </w:pPr>
      <w:r w:rsidRPr="7447C09B">
        <w:rPr>
          <w:rFonts w:ascii="Times New Roman" w:eastAsia="Times New Roman" w:hAnsi="Times New Roman" w:cs="Times New Roman"/>
          <w:b/>
          <w:bCs/>
        </w:rPr>
        <w:t>Introduction</w:t>
      </w:r>
    </w:p>
    <w:p w:rsidR="00667BE8" w:rsidRPr="003D2D50" w:rsidRDefault="00667BE8" w:rsidP="00667BE8">
      <w:pPr>
        <w:spacing w:line="259" w:lineRule="auto"/>
        <w:jc w:val="both"/>
        <w:rPr>
          <w:rFonts w:ascii="Times New Roman" w:eastAsia="Calibri" w:hAnsi="Times New Roman" w:cs="Times New Roman"/>
          <w:b/>
          <w:sz w:val="20"/>
          <w:szCs w:val="20"/>
        </w:rPr>
      </w:pPr>
    </w:p>
    <w:p w:rsidR="00667BE8" w:rsidRPr="00E9413B" w:rsidRDefault="00667BE8" w:rsidP="00667BE8">
      <w:pPr>
        <w:pStyle w:val="NoSpacing"/>
        <w:jc w:val="both"/>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For over a decade scholars have called for coach education to “harness the obvious power and influence of experience” (Cushion, </w:t>
      </w:r>
      <w:proofErr w:type="spellStart"/>
      <w:r w:rsidRPr="7447C09B">
        <w:rPr>
          <w:rFonts w:ascii="Times New Roman" w:eastAsia="Times New Roman" w:hAnsi="Times New Roman" w:cs="Times New Roman"/>
          <w:sz w:val="20"/>
          <w:szCs w:val="20"/>
        </w:rPr>
        <w:t>Armour</w:t>
      </w:r>
      <w:proofErr w:type="spellEnd"/>
      <w:r w:rsidRPr="7447C09B">
        <w:rPr>
          <w:rFonts w:ascii="Times New Roman" w:eastAsia="Times New Roman" w:hAnsi="Times New Roman" w:cs="Times New Roman"/>
          <w:sz w:val="20"/>
          <w:szCs w:val="20"/>
        </w:rPr>
        <w:t>, &amp; Jones, 2003, p. 222) by utilising mentors in either structured or unstructured ways to produce progressive, flexible and knowledgeable coaches in a bespoke manner (Olsson, Cruickshank, &amp; Collins, 2017). As a result of coaches pleading for active learning opportunities, recent literature has supported the inclusion of mentoring provision to supplement current coach education formats (e.g. Nelson, Cushion, &amp; Potrac, 2013). It has been suggested informal mentoring, where a coach actively seeks a mentor within their own sporting environment, is already prominent within the sports coaching milieu (Cushion, 2006). Nevertheless, the implementation of formalised coach mentoring programmes has grown in prominence, evidenced by several Sport Governing Bodies (SGBs) including The English Football Association, Table Tennis England, and British Triathlon administering such support to help foster the progression of</w:t>
      </w:r>
      <w:r w:rsidR="009039A7">
        <w:rPr>
          <w:rFonts w:ascii="Times New Roman" w:eastAsia="Times New Roman" w:hAnsi="Times New Roman" w:cs="Times New Roman"/>
          <w:sz w:val="20"/>
          <w:szCs w:val="20"/>
        </w:rPr>
        <w:t xml:space="preserve"> coaches regardless of their stage of development</w:t>
      </w:r>
      <w:r w:rsidRPr="7447C09B">
        <w:rPr>
          <w:rFonts w:ascii="Times New Roman" w:eastAsia="Times New Roman" w:hAnsi="Times New Roman" w:cs="Times New Roman"/>
          <w:sz w:val="20"/>
          <w:szCs w:val="20"/>
        </w:rPr>
        <w:t xml:space="preserve">. These programmes are directed by their respective SGBs, with mentors often assigned to facilitate coach learning in line with a specified competence framework to ensure designated organisational agendas are met (Sawiuk, Taylor, &amp; Groom, 2016). </w:t>
      </w:r>
    </w:p>
    <w:p w:rsidR="00667BE8" w:rsidRPr="00E9413B" w:rsidRDefault="00667BE8" w:rsidP="00667BE8">
      <w:pPr>
        <w:pStyle w:val="NoSpacing"/>
        <w:jc w:val="both"/>
        <w:rPr>
          <w:rFonts w:ascii="Times New Roman" w:eastAsia="Times New Roman" w:hAnsi="Times New Roman" w:cs="Times New Roman"/>
          <w:sz w:val="20"/>
          <w:szCs w:val="20"/>
        </w:rPr>
      </w:pPr>
      <w:r w:rsidRPr="00E9413B">
        <w:rPr>
          <w:rFonts w:ascii="Times New Roman" w:hAnsi="Times New Roman" w:cs="Times New Roman"/>
          <w:sz w:val="20"/>
        </w:rPr>
        <w:tab/>
      </w:r>
      <w:r w:rsidRPr="7447C09B">
        <w:rPr>
          <w:rFonts w:ascii="Times New Roman" w:eastAsia="Times New Roman" w:hAnsi="Times New Roman" w:cs="Times New Roman"/>
          <w:sz w:val="20"/>
          <w:szCs w:val="20"/>
        </w:rPr>
        <w:t xml:space="preserve">Mentoring is predominantly regarded as a productive method of professional development (Manathunga, 2007), with scholars tracing the concept back to Homer’s classic poem </w:t>
      </w:r>
      <w:r w:rsidRPr="7447C09B">
        <w:rPr>
          <w:rFonts w:ascii="Times New Roman" w:eastAsia="Times New Roman" w:hAnsi="Times New Roman" w:cs="Times New Roman"/>
          <w:i/>
          <w:iCs/>
          <w:sz w:val="20"/>
          <w:szCs w:val="20"/>
        </w:rPr>
        <w:t>The Odyssey</w:t>
      </w:r>
      <w:r w:rsidRPr="7447C09B">
        <w:rPr>
          <w:rFonts w:ascii="Times New Roman" w:eastAsia="Times New Roman" w:hAnsi="Times New Roman" w:cs="Times New Roman"/>
          <w:sz w:val="20"/>
          <w:szCs w:val="20"/>
        </w:rPr>
        <w:t>, where the word ‘mentor’ translates from Ancient Greek as ‘advisor’ or ‘counsellor’. From</w:t>
      </w:r>
      <w:r w:rsidRPr="7447C09B">
        <w:rPr>
          <w:rFonts w:ascii="Times New Roman" w:eastAsia="Times New Roman" w:hAnsi="Times New Roman" w:cs="Times New Roman"/>
          <w:i/>
          <w:iCs/>
          <w:sz w:val="20"/>
          <w:szCs w:val="20"/>
        </w:rPr>
        <w:t xml:space="preserve"> </w:t>
      </w:r>
      <w:r w:rsidRPr="7447C09B">
        <w:rPr>
          <w:rFonts w:ascii="Times New Roman" w:eastAsia="Times New Roman" w:hAnsi="Times New Roman" w:cs="Times New Roman"/>
          <w:sz w:val="20"/>
          <w:szCs w:val="20"/>
        </w:rPr>
        <w:t xml:space="preserve">reading </w:t>
      </w:r>
      <w:r w:rsidRPr="7447C09B">
        <w:rPr>
          <w:rFonts w:ascii="Times New Roman" w:eastAsia="Times New Roman" w:hAnsi="Times New Roman" w:cs="Times New Roman"/>
          <w:i/>
          <w:iCs/>
          <w:sz w:val="20"/>
          <w:szCs w:val="20"/>
        </w:rPr>
        <w:t xml:space="preserve">The Odyssey, </w:t>
      </w:r>
      <w:r w:rsidRPr="7447C09B">
        <w:rPr>
          <w:rFonts w:ascii="Times New Roman" w:eastAsia="Times New Roman" w:hAnsi="Times New Roman" w:cs="Times New Roman"/>
          <w:sz w:val="20"/>
          <w:szCs w:val="20"/>
        </w:rPr>
        <w:t xml:space="preserve">scholars have begun to generate a positive humanistic discourse surrounding the functions of a mentor, which include but are not limited to; guidance, teaching, sponsoring, encouraging, counselling, and befriending (see Colley, 2001; Fletcher, 2000; </w:t>
      </w:r>
      <w:proofErr w:type="spellStart"/>
      <w:r w:rsidRPr="7447C09B">
        <w:rPr>
          <w:rFonts w:ascii="Times New Roman" w:eastAsia="Times New Roman" w:hAnsi="Times New Roman" w:cs="Times New Roman"/>
          <w:sz w:val="20"/>
          <w:szCs w:val="20"/>
        </w:rPr>
        <w:t>Fyall</w:t>
      </w:r>
      <w:proofErr w:type="spellEnd"/>
      <w:r w:rsidRPr="7447C09B">
        <w:rPr>
          <w:rFonts w:ascii="Times New Roman" w:eastAsia="Times New Roman" w:hAnsi="Times New Roman" w:cs="Times New Roman"/>
          <w:sz w:val="20"/>
          <w:szCs w:val="20"/>
        </w:rPr>
        <w:t xml:space="preserve">, Cowan, &amp; Galvan, 2018). Humanism emphasises agency, with empowerment, participation, and choice believed to be at the heart of mentoring practice (Gray, Garvey, &amp; Lane, 2016). Within sports coaching, the “blanket benefits” of such humanistic and coach-centred approaches towards coach development are often assumed and privileged within the field (Nelson, Cushion, Potrac, &amp; Groom, 2014, p. 515). It is therefore perhaps unsurprising that many SGBs have jumped on the mentoring bandwagon, with the practice becoming immersed within a “functional, positive, and unproblematic” discourse (Cushion, 2006, p. 129). Sports coach mentoring has often been conceptualised as a process of guidance, where a more capable or experienced individual supports the learning of a neophyte coach, acting as a sounding board and invaluable source of advice (Nash &amp; McQuade, 2015). Such practices of guidance within educational provision are generally seen as progressive and empowering, with enhanced professional development considered a likely outcome from humanist educational experiences (Fejes &amp; Dahlstedt, 2013; Usher &amp; Edwards, 2005). </w:t>
      </w:r>
    </w:p>
    <w:p w:rsidR="00667BE8" w:rsidRPr="005F2C67" w:rsidRDefault="00667BE8" w:rsidP="005F2C67">
      <w:pPr>
        <w:pStyle w:val="NoSpacing"/>
        <w:jc w:val="both"/>
        <w:rPr>
          <w:rFonts w:ascii="Times New Roman" w:eastAsia="Times New Roman" w:hAnsi="Times New Roman" w:cs="Times New Roman"/>
          <w:sz w:val="20"/>
          <w:szCs w:val="20"/>
        </w:rPr>
      </w:pPr>
      <w:r w:rsidRPr="00E9413B">
        <w:rPr>
          <w:rFonts w:ascii="Times New Roman" w:hAnsi="Times New Roman" w:cs="Times New Roman"/>
          <w:sz w:val="20"/>
        </w:rPr>
        <w:tab/>
      </w:r>
      <w:r w:rsidRPr="7447C09B">
        <w:rPr>
          <w:rFonts w:ascii="Times New Roman" w:eastAsia="Times New Roman" w:hAnsi="Times New Roman" w:cs="Times New Roman"/>
          <w:sz w:val="20"/>
          <w:szCs w:val="20"/>
        </w:rPr>
        <w:t xml:space="preserve"> Although it would seem those under the guidance of others within the mentoring relationship are able to accrue more power, a post-structuralist reading from the perspective of Michel Foucault would suggest an alternative interpretation. Foucault’s critique of humanism would argue that although coach development apparatuses such as mentoring may appear to be more empowering, it does not guarantee “power in modern society is more extensively distributed or that its exercise is becoming less pervasive” (Usher &amp; Edwards, 2005, p. 398). Foucault’s (1978, 1983, 1988) argument maintains that such productive and humanist practices results in the “normalisation and homogenisation of individuals” (McNay, 1994, p. 144), with pastoral power placing </w:t>
      </w:r>
      <w:r w:rsidR="005F2C67">
        <w:rPr>
          <w:rFonts w:ascii="Times New Roman" w:eastAsia="Times New Roman" w:hAnsi="Times New Roman" w:cs="Times New Roman"/>
          <w:sz w:val="20"/>
          <w:szCs w:val="20"/>
        </w:rPr>
        <w:t>agents</w:t>
      </w:r>
      <w:r w:rsidRPr="7447C09B">
        <w:rPr>
          <w:rFonts w:ascii="Times New Roman" w:eastAsia="Times New Roman" w:hAnsi="Times New Roman" w:cs="Times New Roman"/>
          <w:sz w:val="20"/>
          <w:szCs w:val="20"/>
        </w:rPr>
        <w:t xml:space="preserve"> in subject positions to enable more accessible regulation </w:t>
      </w:r>
      <w:r w:rsidR="005F2C67">
        <w:rPr>
          <w:rFonts w:ascii="Times New Roman" w:eastAsia="Times New Roman" w:hAnsi="Times New Roman" w:cs="Times New Roman"/>
          <w:sz w:val="20"/>
          <w:szCs w:val="20"/>
        </w:rPr>
        <w:t>through</w:t>
      </w:r>
      <w:r w:rsidRPr="7447C09B">
        <w:rPr>
          <w:rFonts w:ascii="Times New Roman" w:eastAsia="Times New Roman" w:hAnsi="Times New Roman" w:cs="Times New Roman"/>
          <w:sz w:val="20"/>
          <w:szCs w:val="20"/>
        </w:rPr>
        <w:t xml:space="preserve"> constrain</w:t>
      </w:r>
      <w:r w:rsidR="005F2C67">
        <w:rPr>
          <w:rFonts w:ascii="Times New Roman" w:eastAsia="Times New Roman" w:hAnsi="Times New Roman" w:cs="Times New Roman"/>
          <w:sz w:val="20"/>
          <w:szCs w:val="20"/>
        </w:rPr>
        <w:t>ing</w:t>
      </w:r>
      <w:r w:rsidRPr="7447C09B">
        <w:rPr>
          <w:rFonts w:ascii="Times New Roman" w:eastAsia="Times New Roman" w:hAnsi="Times New Roman" w:cs="Times New Roman"/>
          <w:sz w:val="20"/>
          <w:szCs w:val="20"/>
        </w:rPr>
        <w:t xml:space="preserve"> modes of behaviour (Usher &amp; Edwards, 2005). Although Foucault’s ideas surrounding pastoral power have been applied broadly within the health and physical education sector (e.g. McCuaig, 2012; McCuaig, Öhman, &amp; Wright, 2013), </w:t>
      </w:r>
      <w:r w:rsidR="00D21169">
        <w:rPr>
          <w:rFonts w:ascii="Times New Roman" w:eastAsia="Times New Roman" w:hAnsi="Times New Roman" w:cs="Times New Roman"/>
          <w:sz w:val="20"/>
          <w:szCs w:val="20"/>
        </w:rPr>
        <w:t>they have</w:t>
      </w:r>
      <w:r w:rsidRPr="7447C09B">
        <w:rPr>
          <w:rFonts w:ascii="Times New Roman" w:eastAsia="Times New Roman" w:hAnsi="Times New Roman" w:cs="Times New Roman"/>
          <w:sz w:val="20"/>
          <w:szCs w:val="20"/>
        </w:rPr>
        <w:t xml:space="preserve"> yet to be explored to such an extent within sports coaching. </w:t>
      </w:r>
      <w:r w:rsidR="00D21169" w:rsidRPr="7447C09B">
        <w:rPr>
          <w:rFonts w:ascii="Times New Roman" w:eastAsia="Times New Roman" w:hAnsi="Times New Roman" w:cs="Times New Roman"/>
          <w:sz w:val="20"/>
          <w:szCs w:val="20"/>
        </w:rPr>
        <w:t>Consequently</w:t>
      </w:r>
      <w:r w:rsidRPr="7447C09B">
        <w:rPr>
          <w:rFonts w:ascii="Times New Roman" w:eastAsia="Times New Roman" w:hAnsi="Times New Roman" w:cs="Times New Roman"/>
          <w:sz w:val="20"/>
          <w:szCs w:val="20"/>
        </w:rPr>
        <w:t xml:space="preserve">, the aim of this chapter is to develop and present a research proposal within the coach learning and education literature by challenging the often-privileged practice of mentoring as a site where pastoral technologies of surveillance and normalisation might function (Foucault, 1983; McCuaig, 2012). It is hoped this research proposal will open new horizons for students and scholars alike to conduct Foucauldian inspired research which centres on pastoral power, examining how it is operationalised and understanding its influence within the sports coaching sphere. A brief overview of Foucault’s notion of pastoral power and its origins are initially presented, before exploring its associated links towards formalised coach mentoring and suggested areas for future research. </w:t>
      </w:r>
    </w:p>
    <w:p w:rsidR="005F2C67" w:rsidRPr="005F2C67" w:rsidRDefault="005F2C67" w:rsidP="00667BE8">
      <w:pPr>
        <w:spacing w:line="259" w:lineRule="auto"/>
        <w:jc w:val="center"/>
        <w:rPr>
          <w:rFonts w:ascii="Times New Roman" w:eastAsia="Times New Roman" w:hAnsi="Times New Roman" w:cs="Times New Roman"/>
          <w:b/>
          <w:bCs/>
          <w:sz w:val="20"/>
        </w:rPr>
      </w:pPr>
    </w:p>
    <w:p w:rsidR="00667BE8" w:rsidRPr="002914F5" w:rsidRDefault="00667BE8" w:rsidP="00667BE8">
      <w:pPr>
        <w:spacing w:line="259" w:lineRule="auto"/>
        <w:jc w:val="center"/>
        <w:rPr>
          <w:rFonts w:ascii="Times New Roman,Calibri" w:eastAsia="Times New Roman,Calibri" w:hAnsi="Times New Roman,Calibri" w:cs="Times New Roman,Calibri"/>
          <w:b/>
          <w:bCs/>
        </w:rPr>
      </w:pPr>
      <w:r w:rsidRPr="7447C09B">
        <w:rPr>
          <w:rFonts w:ascii="Times New Roman" w:eastAsia="Times New Roman" w:hAnsi="Times New Roman" w:cs="Times New Roman"/>
          <w:b/>
          <w:bCs/>
        </w:rPr>
        <w:t>Foucault’s pastoral power</w:t>
      </w:r>
    </w:p>
    <w:p w:rsidR="00667BE8" w:rsidRPr="003D2D50" w:rsidRDefault="00667BE8" w:rsidP="00667BE8">
      <w:pPr>
        <w:spacing w:line="259" w:lineRule="auto"/>
        <w:jc w:val="both"/>
        <w:rPr>
          <w:rFonts w:ascii="Times New Roman" w:eastAsia="Calibri" w:hAnsi="Times New Roman" w:cs="Times New Roman"/>
          <w:b/>
          <w:sz w:val="20"/>
          <w:szCs w:val="20"/>
        </w:rPr>
      </w:pPr>
    </w:p>
    <w:p w:rsidR="00667BE8" w:rsidRPr="00E9413B" w:rsidRDefault="00667BE8" w:rsidP="00667BE8">
      <w:pPr>
        <w:pStyle w:val="NoSpacing"/>
        <w:jc w:val="both"/>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In his seminal text </w:t>
      </w:r>
      <w:r w:rsidRPr="7447C09B">
        <w:rPr>
          <w:rFonts w:ascii="Times New Roman" w:eastAsia="Times New Roman" w:hAnsi="Times New Roman" w:cs="Times New Roman"/>
          <w:i/>
          <w:iCs/>
          <w:sz w:val="20"/>
          <w:szCs w:val="20"/>
        </w:rPr>
        <w:t>Discipline and Punish</w:t>
      </w:r>
      <w:r w:rsidRPr="7447C09B">
        <w:rPr>
          <w:rFonts w:ascii="Times New Roman" w:eastAsia="Times New Roman" w:hAnsi="Times New Roman" w:cs="Times New Roman"/>
          <w:sz w:val="20"/>
          <w:szCs w:val="20"/>
        </w:rPr>
        <w:t xml:space="preserve"> (1991), Foucault seeks to explain how power has a disciplinary effect, with institutions able to use various disciplinary techniques and instruments to manipulate elements of space, activity, and time. Substantial sports coaching research over recent years has utilised Foucault’s notion of disciplinary power to expose how the mentor-mentee relationship (e.g. Zehntner &amp; McMahon, 2014) and more predominantly the coach-athlete relationship (e.g.</w:t>
      </w:r>
      <w:r w:rsidR="009039A7">
        <w:rPr>
          <w:rFonts w:ascii="Times New Roman" w:eastAsia="Times New Roman" w:hAnsi="Times New Roman" w:cs="Times New Roman"/>
          <w:sz w:val="20"/>
          <w:szCs w:val="20"/>
        </w:rPr>
        <w:t xml:space="preserve"> </w:t>
      </w:r>
      <w:r w:rsidRPr="7447C09B">
        <w:rPr>
          <w:rFonts w:ascii="Times New Roman" w:eastAsia="Times New Roman" w:hAnsi="Times New Roman" w:cs="Times New Roman"/>
          <w:sz w:val="20"/>
          <w:szCs w:val="20"/>
        </w:rPr>
        <w:t xml:space="preserve">Mills &amp; Denison, 2013) acts as a coercive form of power, resulting in the production of docile bodies (Foucault, 1991). However, Foucault’s wider examination into power proposes it can have a productive effect, working as “a mode of action which does not act directly and immediately on others” (Foucault, 1983, p. 220). Foucault stated modern societies are characterised by governmentality, where pastoral power is administered and construed as a productive force (McNay, 1994). Derived from Christianity and the analogy of the shepherd nurturing and caring for </w:t>
      </w:r>
      <w:r w:rsidR="005F2C67">
        <w:rPr>
          <w:rFonts w:ascii="Times New Roman" w:eastAsia="Times New Roman" w:hAnsi="Times New Roman" w:cs="Times New Roman"/>
          <w:sz w:val="20"/>
          <w:szCs w:val="20"/>
        </w:rPr>
        <w:t>their</w:t>
      </w:r>
      <w:r w:rsidRPr="7447C09B">
        <w:rPr>
          <w:rFonts w:ascii="Times New Roman" w:eastAsia="Times New Roman" w:hAnsi="Times New Roman" w:cs="Times New Roman"/>
          <w:sz w:val="20"/>
          <w:szCs w:val="20"/>
        </w:rPr>
        <w:t xml:space="preserve"> flock, the pastoral function is thought to be a positive and constructive form of power (Lilja &amp; Vinthagen, 2014). Those beholding pastoral power i.e. the pastor or ‘shepherd’, must come to know every individual within their community or flock through eliciting</w:t>
      </w:r>
      <w:r w:rsidRPr="7447C09B">
        <w:rPr>
          <w:rFonts w:ascii="Times New Roman" w:eastAsia="Times New Roman" w:hAnsi="Times New Roman" w:cs="Times New Roman"/>
          <w:color w:val="292526"/>
          <w:sz w:val="20"/>
          <w:szCs w:val="20"/>
        </w:rPr>
        <w:t xml:space="preserve"> </w:t>
      </w:r>
      <w:r w:rsidRPr="7447C09B">
        <w:rPr>
          <w:rFonts w:ascii="Times New Roman" w:eastAsia="Times New Roman" w:hAnsi="Times New Roman" w:cs="Times New Roman"/>
          <w:sz w:val="20"/>
          <w:szCs w:val="20"/>
        </w:rPr>
        <w:t xml:space="preserve">“self-examination and the guidance of conscience” for it to become effective (Foucault, 1988, p. 68). In this light, pastoral power is a technique which is “both an individualising and a totalising form of power” (Foucault, 1983, p. 213). </w:t>
      </w:r>
      <w:r w:rsidR="005F2C67">
        <w:rPr>
          <w:rFonts w:ascii="Times New Roman" w:eastAsia="Times New Roman" w:hAnsi="Times New Roman" w:cs="Times New Roman"/>
          <w:sz w:val="20"/>
          <w:szCs w:val="20"/>
        </w:rPr>
        <w:t>For example, t</w:t>
      </w:r>
      <w:r w:rsidRPr="7447C09B">
        <w:rPr>
          <w:rFonts w:ascii="Times New Roman" w:eastAsia="Times New Roman" w:hAnsi="Times New Roman" w:cs="Times New Roman"/>
          <w:sz w:val="20"/>
          <w:szCs w:val="20"/>
        </w:rPr>
        <w:t xml:space="preserve">otalising by maintaining the interests of the masses (those distributing pastoral power), whilst also being individualising by being constitutive of each person. </w:t>
      </w:r>
      <w:r w:rsidRPr="00E9413B">
        <w:rPr>
          <w:rFonts w:ascii="Times New Roman" w:hAnsi="Times New Roman" w:cs="Times New Roman"/>
          <w:sz w:val="20"/>
        </w:rPr>
        <w:tab/>
      </w:r>
    </w:p>
    <w:p w:rsidR="00667BE8" w:rsidRPr="00E9413B" w:rsidRDefault="00667BE8" w:rsidP="00667BE8">
      <w:pPr>
        <w:pStyle w:val="NoSpacing"/>
        <w:jc w:val="both"/>
        <w:rPr>
          <w:rFonts w:ascii="Times New Roman" w:eastAsia="Times New Roman" w:hAnsi="Times New Roman" w:cs="Times New Roman"/>
          <w:sz w:val="20"/>
          <w:szCs w:val="20"/>
        </w:rPr>
      </w:pPr>
      <w:r w:rsidRPr="00E9413B">
        <w:rPr>
          <w:rFonts w:ascii="Times New Roman" w:hAnsi="Times New Roman" w:cs="Times New Roman"/>
          <w:sz w:val="20"/>
        </w:rPr>
        <w:tab/>
      </w:r>
      <w:r w:rsidRPr="7447C09B">
        <w:rPr>
          <w:rFonts w:ascii="Times New Roman" w:eastAsia="Times New Roman" w:hAnsi="Times New Roman" w:cs="Times New Roman"/>
          <w:sz w:val="20"/>
          <w:szCs w:val="20"/>
        </w:rPr>
        <w:t xml:space="preserve">Educational institutions administer pastoral power through ‘officials’ who </w:t>
      </w:r>
      <w:r w:rsidR="005F2C67">
        <w:rPr>
          <w:rFonts w:ascii="Times New Roman" w:eastAsia="Times New Roman" w:hAnsi="Times New Roman" w:cs="Times New Roman"/>
          <w:sz w:val="20"/>
          <w:szCs w:val="20"/>
        </w:rPr>
        <w:t>possess</w:t>
      </w:r>
      <w:r w:rsidRPr="7447C09B">
        <w:rPr>
          <w:rFonts w:ascii="Times New Roman" w:eastAsia="Times New Roman" w:hAnsi="Times New Roman" w:cs="Times New Roman"/>
          <w:sz w:val="20"/>
          <w:szCs w:val="20"/>
        </w:rPr>
        <w:t xml:space="preserve"> salvific aims, intending to guide individuals on the right path, with ‘salvation’ in each instance defined by the context (Foucault, 1988). Pastoral power works to develop subjectivity and the production of truth which can only be exercised by knowing the inside of people’s minds, acquiring knowledge of individuals’ conscience before being able to direct it (Foucault, 1988). To obtain such inside knowledge, confessional practices and self-examination processes form an essential part of pastoral power. Foucault (1978, p. 61) proclaims the confession is a “ritual that unfolds within a power relationship, for one does not confess without the presence (or virtual presence) of a partner who is not simply the interlocutor but the authority who requires the confession”. Thus, an individual becomes subject to another person’s control, with Foucault maintaining pastoral power is one which “subjugates and makes subject to” (Foucault 1983, p. 212). Confessional practices enable individuals to develop a conscience which prevents deviation away from what is considered the norm (Foucault, 1978; Mills &amp; Denison, 2014). </w:t>
      </w:r>
    </w:p>
    <w:p w:rsidR="00667BE8" w:rsidRPr="003D2D50" w:rsidRDefault="00667BE8" w:rsidP="00667BE8">
      <w:pPr>
        <w:jc w:val="both"/>
        <w:rPr>
          <w:rFonts w:ascii="Times New Roman" w:eastAsia="Calibri" w:hAnsi="Times New Roman" w:cs="Times New Roman"/>
          <w:sz w:val="20"/>
          <w:szCs w:val="20"/>
        </w:rPr>
      </w:pPr>
    </w:p>
    <w:p w:rsidR="00667BE8" w:rsidRPr="002914F5" w:rsidRDefault="00667BE8" w:rsidP="00667BE8">
      <w:pPr>
        <w:spacing w:line="259" w:lineRule="auto"/>
        <w:jc w:val="center"/>
        <w:rPr>
          <w:rFonts w:ascii="Times New Roman,Calibri" w:eastAsia="Times New Roman,Calibri" w:hAnsi="Times New Roman,Calibri" w:cs="Times New Roman,Calibri"/>
          <w:b/>
          <w:bCs/>
        </w:rPr>
      </w:pPr>
      <w:r w:rsidRPr="7447C09B">
        <w:rPr>
          <w:rFonts w:ascii="Times New Roman" w:eastAsia="Times New Roman" w:hAnsi="Times New Roman" w:cs="Times New Roman"/>
          <w:b/>
          <w:bCs/>
        </w:rPr>
        <w:t>Pastoral power and formalised coach mentoring</w:t>
      </w:r>
    </w:p>
    <w:p w:rsidR="00667BE8" w:rsidRPr="003D2D50" w:rsidRDefault="00667BE8" w:rsidP="00667BE8">
      <w:pPr>
        <w:spacing w:line="259" w:lineRule="auto"/>
        <w:jc w:val="both"/>
        <w:rPr>
          <w:rFonts w:ascii="Times New Roman" w:eastAsia="Calibri" w:hAnsi="Times New Roman" w:cs="Times New Roman"/>
          <w:b/>
          <w:sz w:val="20"/>
          <w:szCs w:val="20"/>
        </w:rPr>
      </w:pPr>
    </w:p>
    <w:p w:rsidR="00667BE8" w:rsidRPr="00851CC1" w:rsidRDefault="00667BE8" w:rsidP="00667BE8">
      <w:pPr>
        <w:pStyle w:val="NoSpacing"/>
        <w:jc w:val="both"/>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Foucault’s notion of pastoral power stems from the Christian ideal of the shepherd and the flock, where officials of pastoral power seek to guide and support individuals on their path towards salvation (Foucault, 1988). Modern day SGBs can be </w:t>
      </w:r>
      <w:r w:rsidR="00841C5B">
        <w:rPr>
          <w:rFonts w:ascii="Times New Roman" w:eastAsia="Times New Roman" w:hAnsi="Times New Roman" w:cs="Times New Roman"/>
          <w:sz w:val="20"/>
          <w:szCs w:val="20"/>
        </w:rPr>
        <w:t>regarded</w:t>
      </w:r>
      <w:r w:rsidRPr="7447C09B">
        <w:rPr>
          <w:rFonts w:ascii="Times New Roman" w:eastAsia="Times New Roman" w:hAnsi="Times New Roman" w:cs="Times New Roman"/>
          <w:sz w:val="20"/>
          <w:szCs w:val="20"/>
        </w:rPr>
        <w:t xml:space="preserve"> as educational institutions, charged with supporting the learning and development of their specified coaches. As already suggested, coaching has often assumed humanistic practices are of unquestioned benefit to coach development, resulting in many SGBs designing and implementing formalised mentoring initiatives</w:t>
      </w:r>
      <w:r w:rsidR="00841C5B">
        <w:rPr>
          <w:rFonts w:ascii="Times New Roman" w:eastAsia="Times New Roman" w:hAnsi="Times New Roman" w:cs="Times New Roman"/>
          <w:sz w:val="20"/>
          <w:szCs w:val="20"/>
        </w:rPr>
        <w:t xml:space="preserve"> </w:t>
      </w:r>
      <w:r w:rsidRPr="7447C09B">
        <w:rPr>
          <w:rFonts w:ascii="Times New Roman" w:eastAsia="Times New Roman" w:hAnsi="Times New Roman" w:cs="Times New Roman"/>
          <w:sz w:val="20"/>
          <w:szCs w:val="20"/>
        </w:rPr>
        <w:t>(Nelson et al., 2014). However, mentoring as a practice of guidance can be viewed as a central “technology of governing” (Usher &amp; Edwards, 2005, p. 404), exercised through pastoral power’s essential component; the confession. Within sports coach mentoring, the act of confession can be seen through the promotion and utilisation of reflective practice. It has been proposed that the use of reflection along</w:t>
      </w:r>
      <w:r w:rsidR="00841C5B">
        <w:rPr>
          <w:rFonts w:ascii="Times New Roman" w:eastAsia="Times New Roman" w:hAnsi="Times New Roman" w:cs="Times New Roman"/>
          <w:sz w:val="20"/>
          <w:szCs w:val="20"/>
        </w:rPr>
        <w:t>side</w:t>
      </w:r>
      <w:r w:rsidRPr="7447C09B">
        <w:rPr>
          <w:rFonts w:ascii="Times New Roman" w:eastAsia="Times New Roman" w:hAnsi="Times New Roman" w:cs="Times New Roman"/>
          <w:sz w:val="20"/>
          <w:szCs w:val="20"/>
        </w:rPr>
        <w:t xml:space="preserve"> analysing one’s strengths and weaknesses are central components of coaching expertise (Nash, Martindale, Collins, &amp; Martindale, 2012). Furthermore, it has been </w:t>
      </w:r>
      <w:r w:rsidR="009039A7">
        <w:rPr>
          <w:rFonts w:ascii="Times New Roman" w:eastAsia="Times New Roman" w:hAnsi="Times New Roman" w:cs="Times New Roman"/>
          <w:sz w:val="20"/>
          <w:szCs w:val="20"/>
        </w:rPr>
        <w:t>argued</w:t>
      </w:r>
      <w:r w:rsidRPr="7447C09B">
        <w:rPr>
          <w:rFonts w:ascii="Times New Roman" w:eastAsia="Times New Roman" w:hAnsi="Times New Roman" w:cs="Times New Roman"/>
          <w:sz w:val="20"/>
          <w:szCs w:val="20"/>
        </w:rPr>
        <w:t xml:space="preserve"> mentors or critical friends are pivotal in assisting coaches with enhancing</w:t>
      </w:r>
      <w:r w:rsidR="00841C5B">
        <w:rPr>
          <w:rFonts w:ascii="Times New Roman" w:eastAsia="Times New Roman" w:hAnsi="Times New Roman" w:cs="Times New Roman"/>
          <w:sz w:val="20"/>
          <w:szCs w:val="20"/>
        </w:rPr>
        <w:t xml:space="preserve"> their</w:t>
      </w:r>
      <w:r w:rsidRPr="7447C09B">
        <w:rPr>
          <w:rFonts w:ascii="Times New Roman" w:eastAsia="Times New Roman" w:hAnsi="Times New Roman" w:cs="Times New Roman"/>
          <w:sz w:val="20"/>
          <w:szCs w:val="20"/>
        </w:rPr>
        <w:t xml:space="preserve"> reflective skills whilst helping to challenge their deep lying assumptions on practice (e.g. Cushion, 2006; Nash &amp; McQuade, 2015).</w:t>
      </w:r>
    </w:p>
    <w:p w:rsidR="00667BE8" w:rsidRPr="00851CC1" w:rsidRDefault="00667BE8" w:rsidP="00667BE8">
      <w:pPr>
        <w:pStyle w:val="NoSpacing"/>
        <w:ind w:firstLine="720"/>
        <w:jc w:val="both"/>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As the confession requires the presence of another individual, coach mentors as officials of pastoral power may devise various strategies to encourage their mentees to confess through reflection by disclosing their inner thoughts (Foucault, 1978, 1988). As mentoring is considered a dialogue pedagogy, strategies to facilitate reflection within the mentoring process m</w:t>
      </w:r>
      <w:r w:rsidR="00FE1B46">
        <w:rPr>
          <w:rFonts w:ascii="Times New Roman" w:eastAsia="Times New Roman" w:hAnsi="Times New Roman" w:cs="Times New Roman"/>
          <w:sz w:val="20"/>
          <w:szCs w:val="20"/>
        </w:rPr>
        <w:t>ight</w:t>
      </w:r>
      <w:r w:rsidRPr="7447C09B">
        <w:rPr>
          <w:rFonts w:ascii="Times New Roman" w:eastAsia="Times New Roman" w:hAnsi="Times New Roman" w:cs="Times New Roman"/>
          <w:sz w:val="20"/>
          <w:szCs w:val="20"/>
        </w:rPr>
        <w:t xml:space="preserve"> include; questioning and probing, video recording practice, or written self-reflective logs (Koh et al., 2014; Nash &amp; McQuade, 2015; Walsh &amp; Chambers, 2015). Reflective practice therefore encourages an inward gaze and self-examination, with a mentee coach confessin</w:t>
      </w:r>
      <w:r w:rsidR="00FE1B46">
        <w:rPr>
          <w:rFonts w:ascii="Times New Roman" w:eastAsia="Times New Roman" w:hAnsi="Times New Roman" w:cs="Times New Roman"/>
          <w:sz w:val="20"/>
          <w:szCs w:val="20"/>
        </w:rPr>
        <w:t>g</w:t>
      </w:r>
      <w:r w:rsidRPr="7447C09B">
        <w:rPr>
          <w:rFonts w:ascii="Times New Roman" w:eastAsia="Times New Roman" w:hAnsi="Times New Roman" w:cs="Times New Roman"/>
          <w:sz w:val="20"/>
          <w:szCs w:val="20"/>
        </w:rPr>
        <w:t xml:space="preserve"> to their mentor in the hope of being guided towards achieving salvation (Foucault, 1983). In this sense, mentee coaches are given subject positions and identified as individuals in need who can only achieve salvation (i.e. </w:t>
      </w:r>
      <w:r w:rsidR="00FE1B46">
        <w:rPr>
          <w:rFonts w:ascii="Times New Roman" w:eastAsia="Times New Roman" w:hAnsi="Times New Roman" w:cs="Times New Roman"/>
          <w:sz w:val="20"/>
          <w:szCs w:val="20"/>
        </w:rPr>
        <w:t>‘</w:t>
      </w:r>
      <w:r w:rsidRPr="7447C09B">
        <w:rPr>
          <w:rFonts w:ascii="Times New Roman" w:eastAsia="Times New Roman" w:hAnsi="Times New Roman" w:cs="Times New Roman"/>
          <w:sz w:val="20"/>
          <w:szCs w:val="20"/>
        </w:rPr>
        <w:t>good</w:t>
      </w:r>
      <w:r w:rsidR="00FE1B46">
        <w:rPr>
          <w:rFonts w:ascii="Times New Roman" w:eastAsia="Times New Roman" w:hAnsi="Times New Roman" w:cs="Times New Roman"/>
          <w:sz w:val="20"/>
          <w:szCs w:val="20"/>
        </w:rPr>
        <w:t>’</w:t>
      </w:r>
      <w:r w:rsidRPr="7447C09B">
        <w:rPr>
          <w:rFonts w:ascii="Times New Roman" w:eastAsia="Times New Roman" w:hAnsi="Times New Roman" w:cs="Times New Roman"/>
          <w:sz w:val="20"/>
          <w:szCs w:val="20"/>
        </w:rPr>
        <w:t xml:space="preserve"> coaching practice or an enhancement of their weaknesses) through their mentor’s guidance. Nevertheless, pastoral power and practices of guidance operate through processes of surveillance and normalisation, where officials of pastoral power (mentors) work to manipulate and shape individuals (mentees) behaviour through the internalisation of social norms (Foucault, 1983; McNay, 1994). Thus, </w:t>
      </w:r>
      <w:r w:rsidR="008C7B9A">
        <w:rPr>
          <w:rFonts w:ascii="Times New Roman" w:eastAsia="Times New Roman" w:hAnsi="Times New Roman" w:cs="Times New Roman"/>
          <w:sz w:val="20"/>
          <w:szCs w:val="20"/>
        </w:rPr>
        <w:t>through</w:t>
      </w:r>
      <w:r w:rsidRPr="7447C09B">
        <w:rPr>
          <w:rFonts w:ascii="Times New Roman" w:eastAsia="Times New Roman" w:hAnsi="Times New Roman" w:cs="Times New Roman"/>
          <w:sz w:val="20"/>
          <w:szCs w:val="20"/>
        </w:rPr>
        <w:t xml:space="preserve"> </w:t>
      </w:r>
      <w:r w:rsidR="008C7B9A">
        <w:rPr>
          <w:rFonts w:ascii="Times New Roman" w:eastAsia="Times New Roman" w:hAnsi="Times New Roman" w:cs="Times New Roman"/>
          <w:sz w:val="20"/>
          <w:szCs w:val="20"/>
        </w:rPr>
        <w:t>confessional techniques such as reflection</w:t>
      </w:r>
      <w:r w:rsidRPr="7447C09B">
        <w:rPr>
          <w:rFonts w:ascii="Times New Roman" w:eastAsia="Times New Roman" w:hAnsi="Times New Roman" w:cs="Times New Roman"/>
          <w:sz w:val="20"/>
          <w:szCs w:val="20"/>
        </w:rPr>
        <w:t>, mentors can extract t</w:t>
      </w:r>
      <w:r w:rsidR="008C7B9A">
        <w:rPr>
          <w:rFonts w:ascii="Times New Roman" w:eastAsia="Times New Roman" w:hAnsi="Times New Roman" w:cs="Times New Roman"/>
          <w:sz w:val="20"/>
          <w:szCs w:val="20"/>
        </w:rPr>
        <w:t xml:space="preserve">heir mentee’s </w:t>
      </w:r>
      <w:r w:rsidRPr="7447C09B">
        <w:rPr>
          <w:rFonts w:ascii="Times New Roman" w:eastAsia="Times New Roman" w:hAnsi="Times New Roman" w:cs="Times New Roman"/>
          <w:sz w:val="20"/>
          <w:szCs w:val="20"/>
        </w:rPr>
        <w:t xml:space="preserve">thoughts and beliefs to guide and encourage their coaching, thinking, and behaving to align with their </w:t>
      </w:r>
      <w:r w:rsidR="008C7B9A">
        <w:rPr>
          <w:rFonts w:ascii="Times New Roman" w:eastAsia="Times New Roman" w:hAnsi="Times New Roman" w:cs="Times New Roman"/>
          <w:sz w:val="20"/>
          <w:szCs w:val="20"/>
        </w:rPr>
        <w:t>organisation’s</w:t>
      </w:r>
      <w:r w:rsidRPr="7447C09B">
        <w:rPr>
          <w:rFonts w:ascii="Times New Roman" w:eastAsia="Times New Roman" w:hAnsi="Times New Roman" w:cs="Times New Roman"/>
          <w:sz w:val="20"/>
          <w:szCs w:val="20"/>
        </w:rPr>
        <w:t xml:space="preserve"> prevailing norms and discourses to comply with institutional agendas (Cushion, 2016; Foucault, 1983; Sawiuk et al., 2016). SGBs as modern-day modalities of pastoral power can employ their specified mentors to access targeted populations of coaches to gain knowledge of their consciousness as a means of control. Legitimised by a humanistic discourse, it can be seen how through the indispensable operations of listening, self-examination, and the confession, formalised sports coach mentoring might function to subjectify learning coaches, where the ‘self’ is discovered to become more efficiently regulated (Foucault, 2012). In this instance, formalised mentoring provision as opposed to being empowering and emancipatory, may merely distribute pastoral power to maintain SGB</w:t>
      </w:r>
      <w:r w:rsidR="008C7B9A">
        <w:rPr>
          <w:rFonts w:ascii="Times New Roman" w:eastAsia="Times New Roman" w:hAnsi="Times New Roman" w:cs="Times New Roman"/>
          <w:sz w:val="20"/>
          <w:szCs w:val="20"/>
        </w:rPr>
        <w:t>s</w:t>
      </w:r>
      <w:r w:rsidRPr="7447C09B">
        <w:rPr>
          <w:rFonts w:ascii="Times New Roman" w:eastAsia="Times New Roman" w:hAnsi="Times New Roman" w:cs="Times New Roman"/>
          <w:sz w:val="20"/>
          <w:szCs w:val="20"/>
        </w:rPr>
        <w:t xml:space="preserve"> interests whilst governing coaches.</w:t>
      </w:r>
    </w:p>
    <w:p w:rsidR="00667BE8" w:rsidRPr="003D2D50" w:rsidRDefault="00667BE8" w:rsidP="00667BE8">
      <w:pPr>
        <w:jc w:val="both"/>
        <w:rPr>
          <w:rFonts w:ascii="Times New Roman" w:eastAsia="Calibri" w:hAnsi="Times New Roman" w:cs="Times New Roman"/>
          <w:sz w:val="20"/>
          <w:szCs w:val="20"/>
        </w:rPr>
      </w:pPr>
    </w:p>
    <w:p w:rsidR="00667BE8" w:rsidRPr="002914F5" w:rsidRDefault="00667BE8" w:rsidP="00667BE8">
      <w:pPr>
        <w:spacing w:line="259" w:lineRule="auto"/>
        <w:jc w:val="center"/>
        <w:rPr>
          <w:rFonts w:ascii="Times New Roman,Calibri" w:eastAsia="Times New Roman,Calibri" w:hAnsi="Times New Roman,Calibri" w:cs="Times New Roman,Calibri"/>
          <w:b/>
          <w:bCs/>
        </w:rPr>
      </w:pPr>
      <w:r w:rsidRPr="7447C09B">
        <w:rPr>
          <w:rFonts w:ascii="Times New Roman" w:eastAsia="Times New Roman" w:hAnsi="Times New Roman" w:cs="Times New Roman"/>
          <w:b/>
          <w:bCs/>
        </w:rPr>
        <w:t>Concluding thoughts</w:t>
      </w:r>
    </w:p>
    <w:p w:rsidR="00667BE8" w:rsidRPr="003D2D50" w:rsidRDefault="00667BE8" w:rsidP="00667BE8">
      <w:pPr>
        <w:spacing w:line="259" w:lineRule="auto"/>
        <w:jc w:val="both"/>
        <w:rPr>
          <w:rFonts w:ascii="Times New Roman" w:eastAsia="Calibri" w:hAnsi="Times New Roman" w:cs="Times New Roman"/>
          <w:b/>
          <w:sz w:val="20"/>
          <w:szCs w:val="20"/>
        </w:rPr>
      </w:pPr>
    </w:p>
    <w:p w:rsidR="00667BE8" w:rsidRPr="00851CC1" w:rsidRDefault="00667BE8" w:rsidP="00667BE8">
      <w:pPr>
        <w:pStyle w:val="NoSpacing"/>
        <w:jc w:val="both"/>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Mentoring is predominantly seen as something done with, rather than to a mentee coach (Olsson et al., 2017). Consequently, due to mentoring’s facilitative nature and emphasis on guidance, how power is exercised within the mentoring relationship is often taken for granted. When educating sports coaches, mentoring and its associated reflective practice discourses are believed to be liberating for coach development. Nonetheless, it is imperative that SGBs, mentors, and coaches remember mentoring is a social structure and a political act, becoming either empowering or disempowering depending on the process (Cushion, 2015). In moving away from disciplinary power and the creation of docile bodies (Foucault, 1991), this abstract has sought to present how pastoral power may function effectively within formalised coach mentoring provision. Foucault’s ideas around governmentality and pastoral power provide an insightful theoretical lens to explore such coach development practices. His work helps expose how mentee coaches may be given subject positions through processes of self-examination and confession, whilst recognising the often-overlooked power mentors may possess and how it is operationalised (Cushion, 2015).</w:t>
      </w:r>
    </w:p>
    <w:p w:rsidR="00667BE8" w:rsidRPr="00851CC1" w:rsidRDefault="00667BE8" w:rsidP="00667BE8">
      <w:pPr>
        <w:pStyle w:val="NoSpacing"/>
        <w:ind w:firstLine="720"/>
        <w:jc w:val="both"/>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As Foucault (1983, p. 231) contends, not “everything is bad, but that everything is dangerous”. Indeed, at face value humanist coach development practices such as mentoring, conceptualised as a process of guidance and reflection, should not be viewed as a ‘bad’ method of enhancing coach learning. Nonetheless, SGBs and their employed mentors in formalised provision should be mindful of how pastoral power operates within the mentoring relationship, whilst striving to re-imagine how techniques of self-examination and the confession through reflection can be employed in more ethical ways to avoid limiting mentee subjectivity. Until coach developers understand and acknowledge how power relations have influenced their beliefs on how to educate coaches, many dominant practices (i.e. mentoring) will continue to remain unchallenged (Denison, 2010). Thus, it is hoped this chapter has stimulated research ideas for individuals to explore how pastoral power is exercised within the sports coaching field. The current aim for students and scholars conducting Foucauldian inspired research is to “challenge dominant ways of thinking or practicing” (Mills &amp; Denison, 2014, p. 224). Therefore, through both articulate and visible research methodologies (document analysis, interviews, observations), researchers might begin to understand in greater depth how sporting organisations and their employed officials (coaches, coach educators, mentors) construct and filter what is considered as legitimate knowledge within coaching and mentoring relationships (</w:t>
      </w:r>
      <w:proofErr w:type="spellStart"/>
      <w:r w:rsidRPr="7447C09B">
        <w:rPr>
          <w:rFonts w:ascii="Times New Roman" w:eastAsia="Times New Roman" w:hAnsi="Times New Roman" w:cs="Times New Roman"/>
          <w:sz w:val="20"/>
          <w:szCs w:val="20"/>
        </w:rPr>
        <w:t>Fyall</w:t>
      </w:r>
      <w:proofErr w:type="spellEnd"/>
      <w:r w:rsidRPr="7447C09B">
        <w:rPr>
          <w:rFonts w:ascii="Times New Roman" w:eastAsia="Times New Roman" w:hAnsi="Times New Roman" w:cs="Times New Roman"/>
          <w:sz w:val="20"/>
          <w:szCs w:val="20"/>
        </w:rPr>
        <w:t xml:space="preserve"> et al., 2018; Mills &amp; Denison, 2014). In closing, Foucault (1994, p. 298) enables us to understand the “strategies by which individuals try to direct and control the conduct of others”. Therefore, it is hoped future research into Foucault’s pastoral power within coaching contexts may begin to critically analyse the often unquestioned and assist with the development of more reflexive pedagogies for coach learning.</w:t>
      </w:r>
    </w:p>
    <w:p w:rsidR="005A5E8A" w:rsidRPr="005A5E8A" w:rsidRDefault="005A5E8A" w:rsidP="00667BE8">
      <w:pPr>
        <w:suppressLineNumbers/>
        <w:spacing w:line="259" w:lineRule="auto"/>
        <w:jc w:val="center"/>
        <w:rPr>
          <w:rFonts w:ascii="Times New Roman" w:hAnsi="Times New Roman" w:cs="Times New Roman"/>
          <w:b/>
          <w:bCs/>
          <w:sz w:val="20"/>
        </w:rPr>
      </w:pPr>
    </w:p>
    <w:p w:rsidR="00667BE8" w:rsidRPr="009039A7" w:rsidRDefault="00667BE8" w:rsidP="00667BE8">
      <w:pPr>
        <w:suppressLineNumbers/>
        <w:spacing w:line="259" w:lineRule="auto"/>
        <w:jc w:val="center"/>
        <w:rPr>
          <w:rFonts w:ascii="Times New Roman" w:eastAsia="Calibri" w:hAnsi="Times New Roman" w:cs="Times New Roman"/>
          <w:b/>
          <w:bCs/>
        </w:rPr>
      </w:pPr>
      <w:r w:rsidRPr="009039A7">
        <w:rPr>
          <w:rFonts w:ascii="Times New Roman" w:hAnsi="Times New Roman" w:cs="Times New Roman"/>
          <w:b/>
          <w:bCs/>
        </w:rPr>
        <w:t>References</w:t>
      </w:r>
    </w:p>
    <w:p w:rsidR="00667BE8" w:rsidRPr="00B301CF" w:rsidRDefault="00667BE8" w:rsidP="00667BE8">
      <w:pPr>
        <w:suppressLineNumbers/>
        <w:spacing w:line="259" w:lineRule="auto"/>
        <w:jc w:val="center"/>
        <w:rPr>
          <w:rFonts w:eastAsia="Calibri"/>
          <w:b/>
          <w:sz w:val="20"/>
        </w:rPr>
      </w:pP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Colley, H. (2001). Righting rewritings of the myth of Mentor: A critical perspective on career guidance mentoring. </w:t>
      </w:r>
      <w:r w:rsidRPr="7447C09B">
        <w:rPr>
          <w:rFonts w:ascii="Times New Roman" w:eastAsia="Times New Roman" w:hAnsi="Times New Roman" w:cs="Times New Roman"/>
          <w:i/>
          <w:iCs/>
          <w:sz w:val="20"/>
          <w:szCs w:val="20"/>
        </w:rPr>
        <w:t>British Journal of Guidance &amp; Counselling</w:t>
      </w:r>
      <w:r w:rsidRPr="7447C09B">
        <w:rPr>
          <w:rFonts w:ascii="Times New Roman" w:eastAsia="Times New Roman" w:hAnsi="Times New Roman" w:cs="Times New Roman"/>
          <w:sz w:val="20"/>
          <w:szCs w:val="20"/>
        </w:rPr>
        <w:t>, 29, (2), 177-197.</w:t>
      </w: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Cushion, C. J., </w:t>
      </w:r>
      <w:proofErr w:type="spellStart"/>
      <w:r w:rsidRPr="7447C09B">
        <w:rPr>
          <w:rFonts w:ascii="Times New Roman" w:eastAsia="Times New Roman" w:hAnsi="Times New Roman" w:cs="Times New Roman"/>
          <w:sz w:val="20"/>
          <w:szCs w:val="20"/>
        </w:rPr>
        <w:t>Armour</w:t>
      </w:r>
      <w:proofErr w:type="spellEnd"/>
      <w:r w:rsidRPr="7447C09B">
        <w:rPr>
          <w:rFonts w:ascii="Times New Roman" w:eastAsia="Times New Roman" w:hAnsi="Times New Roman" w:cs="Times New Roman"/>
          <w:sz w:val="20"/>
          <w:szCs w:val="20"/>
        </w:rPr>
        <w:t xml:space="preserve">, K. M., &amp; Jones, R. L. (2003). Coach education and continuing professional development: Experience and learning to coach. </w:t>
      </w:r>
      <w:r w:rsidRPr="7447C09B">
        <w:rPr>
          <w:rFonts w:ascii="Times New Roman" w:eastAsia="Times New Roman" w:hAnsi="Times New Roman" w:cs="Times New Roman"/>
          <w:i/>
          <w:iCs/>
          <w:sz w:val="20"/>
          <w:szCs w:val="20"/>
        </w:rPr>
        <w:t>Quest</w:t>
      </w:r>
      <w:r w:rsidRPr="7447C09B">
        <w:rPr>
          <w:rFonts w:ascii="Times New Roman" w:eastAsia="Times New Roman" w:hAnsi="Times New Roman" w:cs="Times New Roman"/>
          <w:sz w:val="20"/>
          <w:szCs w:val="20"/>
        </w:rPr>
        <w:t xml:space="preserve">, 55, 215-230.  </w:t>
      </w: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Cushion, C. (2006). Mentoring: Harnessing the power of experience. In R. L. Jones (Ed.). </w:t>
      </w:r>
      <w:r w:rsidRPr="7447C09B">
        <w:rPr>
          <w:rFonts w:ascii="Times New Roman" w:eastAsia="Times New Roman" w:hAnsi="Times New Roman" w:cs="Times New Roman"/>
          <w:i/>
          <w:iCs/>
          <w:sz w:val="20"/>
          <w:szCs w:val="20"/>
        </w:rPr>
        <w:t>The sports coach as educator: Re-</w:t>
      </w:r>
      <w:proofErr w:type="spellStart"/>
      <w:r w:rsidRPr="7447C09B">
        <w:rPr>
          <w:rFonts w:ascii="Times New Roman" w:eastAsia="Times New Roman" w:hAnsi="Times New Roman" w:cs="Times New Roman"/>
          <w:i/>
          <w:iCs/>
          <w:sz w:val="20"/>
          <w:szCs w:val="20"/>
        </w:rPr>
        <w:t>conceptualising</w:t>
      </w:r>
      <w:proofErr w:type="spellEnd"/>
      <w:r w:rsidRPr="7447C09B">
        <w:rPr>
          <w:rFonts w:ascii="Times New Roman" w:eastAsia="Times New Roman" w:hAnsi="Times New Roman" w:cs="Times New Roman"/>
          <w:i/>
          <w:iCs/>
          <w:sz w:val="20"/>
          <w:szCs w:val="20"/>
        </w:rPr>
        <w:t xml:space="preserve"> sports coaching </w:t>
      </w:r>
      <w:r w:rsidRPr="7447C09B">
        <w:rPr>
          <w:rFonts w:ascii="Times New Roman" w:eastAsia="Times New Roman" w:hAnsi="Times New Roman" w:cs="Times New Roman"/>
          <w:sz w:val="20"/>
          <w:szCs w:val="20"/>
        </w:rPr>
        <w:t>(pp. 128-144). London: Routledge.</w:t>
      </w:r>
    </w:p>
    <w:p w:rsidR="00667BE8" w:rsidRPr="00851CC1" w:rsidRDefault="00667BE8" w:rsidP="00667BE8">
      <w:pPr>
        <w:pStyle w:val="NoSpacing"/>
        <w:ind w:left="720" w:hanging="720"/>
        <w:rPr>
          <w:rFonts w:ascii="Times New Roman" w:eastAsia="Times New Roman" w:hAnsi="Times New Roman" w:cs="Times New Roman"/>
          <w:sz w:val="20"/>
          <w:szCs w:val="20"/>
        </w:rPr>
      </w:pPr>
      <w:bookmarkStart w:id="0" w:name="_Hlk503603548"/>
      <w:r w:rsidRPr="7447C09B">
        <w:rPr>
          <w:rFonts w:ascii="Times New Roman" w:eastAsia="Times New Roman" w:hAnsi="Times New Roman" w:cs="Times New Roman"/>
          <w:sz w:val="20"/>
          <w:szCs w:val="20"/>
        </w:rPr>
        <w:t xml:space="preserve">Cushion, C. (2015). Mentoring for success in sport coaching. In F. C. Chambers (Ed.). </w:t>
      </w:r>
      <w:r w:rsidRPr="7447C09B">
        <w:rPr>
          <w:rFonts w:ascii="Times New Roman" w:eastAsia="Times New Roman" w:hAnsi="Times New Roman" w:cs="Times New Roman"/>
          <w:i/>
          <w:iCs/>
          <w:sz w:val="20"/>
          <w:szCs w:val="20"/>
        </w:rPr>
        <w:t xml:space="preserve">Mentoring in physical education and sports coaching </w:t>
      </w:r>
      <w:r w:rsidRPr="7447C09B">
        <w:rPr>
          <w:rFonts w:ascii="Times New Roman" w:eastAsia="Times New Roman" w:hAnsi="Times New Roman" w:cs="Times New Roman"/>
          <w:sz w:val="20"/>
          <w:szCs w:val="20"/>
        </w:rPr>
        <w:t>(pp. 155-162). London: Routledge.</w:t>
      </w:r>
      <w:bookmarkStart w:id="1" w:name="_Hlk516996751"/>
    </w:p>
    <w:bookmarkEnd w:id="0"/>
    <w:bookmarkEnd w:id="1"/>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Cushion, C. J. (2016). Reflection and reflective practice discourses in coaching: A critical analysis. </w:t>
      </w:r>
      <w:r w:rsidRPr="7447C09B">
        <w:rPr>
          <w:rFonts w:ascii="Times New Roman" w:eastAsia="Times New Roman" w:hAnsi="Times New Roman" w:cs="Times New Roman"/>
          <w:i/>
          <w:iCs/>
          <w:sz w:val="20"/>
          <w:szCs w:val="20"/>
        </w:rPr>
        <w:t>Sport, Education and Society</w:t>
      </w:r>
      <w:r w:rsidRPr="7447C09B">
        <w:rPr>
          <w:rFonts w:ascii="Times New Roman" w:eastAsia="Times New Roman" w:hAnsi="Times New Roman" w:cs="Times New Roman"/>
          <w:sz w:val="20"/>
          <w:szCs w:val="20"/>
        </w:rPr>
        <w:t>, 1-13. DOI: 10.1080/13573322.2016.1142961</w:t>
      </w: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Denison, J. (2010). Holism in sports coaching: Beyond humanistic psychology. A commentary. </w:t>
      </w:r>
      <w:r w:rsidRPr="7447C09B">
        <w:rPr>
          <w:rFonts w:ascii="Times New Roman" w:eastAsia="Times New Roman" w:hAnsi="Times New Roman" w:cs="Times New Roman"/>
          <w:i/>
          <w:iCs/>
          <w:sz w:val="20"/>
          <w:szCs w:val="20"/>
        </w:rPr>
        <w:t>International Journal of Sports Science and Coaching</w:t>
      </w:r>
      <w:r w:rsidRPr="7447C09B">
        <w:rPr>
          <w:rFonts w:ascii="Times New Roman" w:eastAsia="Times New Roman" w:hAnsi="Times New Roman" w:cs="Times New Roman"/>
          <w:sz w:val="20"/>
          <w:szCs w:val="20"/>
        </w:rPr>
        <w:t>, 2, (4), 489-491.</w:t>
      </w: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Fejes, A., &amp; Dahlstedt, M. (2013). </w:t>
      </w:r>
      <w:r w:rsidRPr="7447C09B">
        <w:rPr>
          <w:rFonts w:ascii="Times New Roman" w:eastAsia="Times New Roman" w:hAnsi="Times New Roman" w:cs="Times New Roman"/>
          <w:i/>
          <w:iCs/>
          <w:sz w:val="20"/>
          <w:szCs w:val="20"/>
        </w:rPr>
        <w:t>The confessing society: Foucault, confession and practices of lifelong learning</w:t>
      </w:r>
      <w:r w:rsidRPr="7447C09B">
        <w:rPr>
          <w:rFonts w:ascii="Times New Roman" w:eastAsia="Times New Roman" w:hAnsi="Times New Roman" w:cs="Times New Roman"/>
          <w:sz w:val="20"/>
          <w:szCs w:val="20"/>
        </w:rPr>
        <w:t xml:space="preserve">. London: Routledge. </w:t>
      </w: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Fletcher, S. (2000). </w:t>
      </w:r>
      <w:r w:rsidRPr="7447C09B">
        <w:rPr>
          <w:rFonts w:ascii="Times New Roman" w:eastAsia="Times New Roman" w:hAnsi="Times New Roman" w:cs="Times New Roman"/>
          <w:i/>
          <w:iCs/>
          <w:sz w:val="20"/>
          <w:szCs w:val="20"/>
        </w:rPr>
        <w:t>Mentoring in schools: A handbook of good practice</w:t>
      </w:r>
      <w:r w:rsidRPr="7447C09B">
        <w:rPr>
          <w:rFonts w:ascii="Times New Roman" w:eastAsia="Times New Roman" w:hAnsi="Times New Roman" w:cs="Times New Roman"/>
          <w:sz w:val="20"/>
          <w:szCs w:val="20"/>
        </w:rPr>
        <w:t>. London: Kogan Page</w:t>
      </w: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Foucault, M. (1978). </w:t>
      </w:r>
      <w:r w:rsidRPr="7447C09B">
        <w:rPr>
          <w:rFonts w:ascii="Times New Roman" w:eastAsia="Times New Roman" w:hAnsi="Times New Roman" w:cs="Times New Roman"/>
          <w:i/>
          <w:iCs/>
          <w:sz w:val="20"/>
          <w:szCs w:val="20"/>
        </w:rPr>
        <w:t>The history of sexuality, Volume 1: An introduction</w:t>
      </w:r>
      <w:r w:rsidRPr="7447C09B">
        <w:rPr>
          <w:rFonts w:ascii="Times New Roman" w:eastAsia="Times New Roman" w:hAnsi="Times New Roman" w:cs="Times New Roman"/>
          <w:sz w:val="20"/>
          <w:szCs w:val="20"/>
        </w:rPr>
        <w:t>. London: Penguin.</w:t>
      </w: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Foucault, M. (1983). Subject and power. In H. L. Dreyfus &amp; P. Rabinow (Eds.). </w:t>
      </w:r>
      <w:r w:rsidRPr="7447C09B">
        <w:rPr>
          <w:rFonts w:ascii="Times New Roman" w:eastAsia="Times New Roman" w:hAnsi="Times New Roman" w:cs="Times New Roman"/>
          <w:i/>
          <w:iCs/>
          <w:sz w:val="20"/>
          <w:szCs w:val="20"/>
        </w:rPr>
        <w:t xml:space="preserve">Michel Foucault: Beyond structuralism and hermeneutics </w:t>
      </w:r>
      <w:r w:rsidRPr="7447C09B">
        <w:rPr>
          <w:rFonts w:ascii="Times New Roman" w:eastAsia="Times New Roman" w:hAnsi="Times New Roman" w:cs="Times New Roman"/>
          <w:sz w:val="20"/>
          <w:szCs w:val="20"/>
        </w:rPr>
        <w:t>(pp. 208-229). Chicago: Chicago University Press.</w:t>
      </w:r>
    </w:p>
    <w:p w:rsidR="00667BE8" w:rsidRPr="00851CC1" w:rsidRDefault="00667BE8" w:rsidP="00667BE8">
      <w:pPr>
        <w:pStyle w:val="NoSpacing"/>
        <w:ind w:left="720" w:hanging="720"/>
        <w:rPr>
          <w:rFonts w:ascii="Times New Roman" w:eastAsia="Times New Roman" w:hAnsi="Times New Roman" w:cs="Times New Roman"/>
          <w:i/>
          <w:iCs/>
          <w:sz w:val="20"/>
          <w:szCs w:val="20"/>
        </w:rPr>
      </w:pPr>
      <w:r w:rsidRPr="7447C09B">
        <w:rPr>
          <w:rFonts w:ascii="Times New Roman" w:eastAsia="Times New Roman" w:hAnsi="Times New Roman" w:cs="Times New Roman"/>
          <w:sz w:val="20"/>
          <w:szCs w:val="20"/>
        </w:rPr>
        <w:t xml:space="preserve">Foucault, M. (1988). Politics and reason. In L. D. Kritzman (Ed.), </w:t>
      </w:r>
      <w:r w:rsidRPr="7447C09B">
        <w:rPr>
          <w:rFonts w:ascii="Times New Roman" w:eastAsia="Times New Roman" w:hAnsi="Times New Roman" w:cs="Times New Roman"/>
          <w:i/>
          <w:iCs/>
          <w:sz w:val="20"/>
          <w:szCs w:val="20"/>
        </w:rPr>
        <w:t xml:space="preserve">Michel Foucault: Politics, philosophy, culture, interviews and other writings 1977–1984. </w:t>
      </w:r>
      <w:r w:rsidRPr="7447C09B">
        <w:rPr>
          <w:rFonts w:ascii="Times New Roman" w:eastAsia="Times New Roman" w:hAnsi="Times New Roman" w:cs="Times New Roman"/>
          <w:sz w:val="20"/>
          <w:szCs w:val="20"/>
        </w:rPr>
        <w:t>New York: Routledge.</w:t>
      </w: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Foucault, M. (1991)</w:t>
      </w:r>
      <w:r w:rsidRPr="7447C09B">
        <w:rPr>
          <w:rFonts w:ascii="Times New Roman" w:eastAsia="Times New Roman" w:hAnsi="Times New Roman" w:cs="Times New Roman"/>
          <w:i/>
          <w:iCs/>
          <w:sz w:val="20"/>
          <w:szCs w:val="20"/>
        </w:rPr>
        <w:t>. Discipline and punish: The birth of the prison</w:t>
      </w:r>
      <w:r w:rsidRPr="7447C09B">
        <w:rPr>
          <w:rFonts w:ascii="Times New Roman" w:eastAsia="Times New Roman" w:hAnsi="Times New Roman" w:cs="Times New Roman"/>
          <w:sz w:val="20"/>
          <w:szCs w:val="20"/>
        </w:rPr>
        <w:t xml:space="preserve">. London: Penguin Books. </w:t>
      </w:r>
    </w:p>
    <w:p w:rsidR="00667BE8" w:rsidRPr="00851CC1" w:rsidRDefault="00667BE8" w:rsidP="00667BE8">
      <w:pPr>
        <w:pStyle w:val="NoSpacing"/>
        <w:ind w:left="720" w:hanging="720"/>
        <w:rPr>
          <w:rFonts w:ascii="Times New Roman" w:eastAsia="Times New Roman" w:hAnsi="Times New Roman" w:cs="Times New Roman"/>
          <w:i/>
          <w:iCs/>
          <w:sz w:val="20"/>
          <w:szCs w:val="20"/>
        </w:rPr>
      </w:pPr>
      <w:r w:rsidRPr="7447C09B">
        <w:rPr>
          <w:rFonts w:ascii="Times New Roman" w:eastAsia="Times New Roman" w:hAnsi="Times New Roman" w:cs="Times New Roman"/>
          <w:sz w:val="20"/>
          <w:szCs w:val="20"/>
        </w:rPr>
        <w:t xml:space="preserve">Foucault, M. (1994). The ethics of the concern for self as a practice of freedom. In P. Rabinow (Ed.). </w:t>
      </w:r>
      <w:r w:rsidRPr="7447C09B">
        <w:rPr>
          <w:rFonts w:ascii="Times New Roman" w:eastAsia="Times New Roman" w:hAnsi="Times New Roman" w:cs="Times New Roman"/>
          <w:i/>
          <w:iCs/>
          <w:sz w:val="20"/>
          <w:szCs w:val="20"/>
        </w:rPr>
        <w:t>Ethics: Subjectivity and truth: The essential works of Foucault 1954–1984, Volume I</w:t>
      </w:r>
      <w:r w:rsidRPr="7447C09B">
        <w:rPr>
          <w:rFonts w:ascii="Times New Roman" w:eastAsia="Times New Roman" w:hAnsi="Times New Roman" w:cs="Times New Roman"/>
          <w:sz w:val="20"/>
          <w:szCs w:val="20"/>
        </w:rPr>
        <w:t xml:space="preserve"> (pp. 281-301). London: Penguin Books.</w:t>
      </w: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Foucault, M. (2012). </w:t>
      </w:r>
      <w:r w:rsidRPr="7447C09B">
        <w:rPr>
          <w:rFonts w:ascii="Times New Roman" w:eastAsia="Times New Roman" w:hAnsi="Times New Roman" w:cs="Times New Roman"/>
          <w:i/>
          <w:iCs/>
          <w:sz w:val="20"/>
          <w:szCs w:val="20"/>
        </w:rPr>
        <w:t>On the government of the living: Lectures at the Collège de France, 1979-1980</w:t>
      </w:r>
      <w:r w:rsidRPr="7447C09B">
        <w:rPr>
          <w:rFonts w:ascii="Times New Roman" w:eastAsia="Times New Roman" w:hAnsi="Times New Roman" w:cs="Times New Roman"/>
          <w:sz w:val="20"/>
          <w:szCs w:val="20"/>
        </w:rPr>
        <w:t>. Basingstoke: Palgrave-MacMillan.</w:t>
      </w:r>
    </w:p>
    <w:p w:rsidR="00667BE8" w:rsidRPr="00851CC1" w:rsidRDefault="00667BE8" w:rsidP="00667BE8">
      <w:pPr>
        <w:pStyle w:val="NoSpacing"/>
        <w:ind w:left="720" w:hanging="720"/>
        <w:rPr>
          <w:rFonts w:ascii="Times New Roman" w:eastAsia="Times New Roman" w:hAnsi="Times New Roman" w:cs="Times New Roman"/>
          <w:sz w:val="20"/>
          <w:szCs w:val="20"/>
        </w:rPr>
      </w:pPr>
      <w:proofErr w:type="spellStart"/>
      <w:r w:rsidRPr="7447C09B">
        <w:rPr>
          <w:rFonts w:ascii="Times New Roman" w:eastAsia="Times New Roman" w:hAnsi="Times New Roman" w:cs="Times New Roman"/>
          <w:sz w:val="20"/>
          <w:szCs w:val="20"/>
        </w:rPr>
        <w:t>Fyall</w:t>
      </w:r>
      <w:proofErr w:type="spellEnd"/>
      <w:r w:rsidRPr="7447C09B">
        <w:rPr>
          <w:rFonts w:ascii="Times New Roman" w:eastAsia="Times New Roman" w:hAnsi="Times New Roman" w:cs="Times New Roman"/>
          <w:sz w:val="20"/>
          <w:szCs w:val="20"/>
        </w:rPr>
        <w:t xml:space="preserve">, G., Cowan, J., &amp; Galvan, H. (2018). </w:t>
      </w:r>
      <w:r w:rsidRPr="7447C09B">
        <w:rPr>
          <w:rFonts w:ascii="Times New Roman" w:eastAsia="Times New Roman" w:hAnsi="Times New Roman" w:cs="Times New Roman"/>
          <w:sz w:val="20"/>
          <w:szCs w:val="20"/>
          <w:lang w:val="en-GB"/>
        </w:rPr>
        <w:t>Giving voice to the nodding donkey: A critical-humanistic approach to mentoring</w:t>
      </w:r>
      <w:r w:rsidRPr="7447C09B">
        <w:rPr>
          <w:rFonts w:ascii="Times New Roman" w:eastAsia="Times New Roman" w:hAnsi="Times New Roman" w:cs="Times New Roman"/>
          <w:b/>
          <w:bCs/>
          <w:sz w:val="20"/>
          <w:szCs w:val="20"/>
          <w:lang w:val="en-GB"/>
        </w:rPr>
        <w:t xml:space="preserve"> </w:t>
      </w:r>
      <w:r w:rsidRPr="7447C09B">
        <w:rPr>
          <w:rFonts w:ascii="Times New Roman" w:eastAsia="Times New Roman" w:hAnsi="Times New Roman" w:cs="Times New Roman"/>
          <w:sz w:val="20"/>
          <w:szCs w:val="20"/>
          <w:lang w:val="en-GB"/>
        </w:rPr>
        <w:t xml:space="preserve">from down under. </w:t>
      </w:r>
      <w:r w:rsidRPr="7447C09B">
        <w:rPr>
          <w:rFonts w:ascii="Times New Roman" w:eastAsia="Times New Roman" w:hAnsi="Times New Roman" w:cs="Times New Roman"/>
          <w:sz w:val="20"/>
          <w:szCs w:val="20"/>
        </w:rPr>
        <w:t xml:space="preserve">In F. C. Chambers (Ed.). </w:t>
      </w:r>
      <w:r w:rsidRPr="7447C09B">
        <w:rPr>
          <w:rFonts w:ascii="Times New Roman" w:eastAsia="Times New Roman" w:hAnsi="Times New Roman" w:cs="Times New Roman"/>
          <w:i/>
          <w:iCs/>
          <w:sz w:val="20"/>
          <w:szCs w:val="20"/>
        </w:rPr>
        <w:t xml:space="preserve">Learning to mentor in sports coaching </w:t>
      </w:r>
      <w:r w:rsidRPr="7447C09B">
        <w:rPr>
          <w:rFonts w:ascii="Times New Roman" w:eastAsia="Times New Roman" w:hAnsi="Times New Roman" w:cs="Times New Roman"/>
          <w:sz w:val="20"/>
          <w:szCs w:val="20"/>
        </w:rPr>
        <w:t>(pp. 112-131). London: Routledge.</w:t>
      </w: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Gray, D. E., Garvey, B., &amp; Lane, D. A</w:t>
      </w:r>
      <w:r w:rsidR="008C6279">
        <w:rPr>
          <w:rFonts w:ascii="Times New Roman" w:eastAsia="Times New Roman" w:hAnsi="Times New Roman" w:cs="Times New Roman"/>
          <w:sz w:val="20"/>
          <w:szCs w:val="20"/>
        </w:rPr>
        <w:t>.</w:t>
      </w:r>
      <w:r w:rsidRPr="7447C09B">
        <w:rPr>
          <w:rFonts w:ascii="Times New Roman" w:eastAsia="Times New Roman" w:hAnsi="Times New Roman" w:cs="Times New Roman"/>
          <w:sz w:val="20"/>
          <w:szCs w:val="20"/>
        </w:rPr>
        <w:t xml:space="preserve"> (2016). </w:t>
      </w:r>
      <w:r w:rsidRPr="7447C09B">
        <w:rPr>
          <w:rFonts w:ascii="Times New Roman" w:eastAsia="Times New Roman" w:hAnsi="Times New Roman" w:cs="Times New Roman"/>
          <w:i/>
          <w:iCs/>
          <w:sz w:val="20"/>
          <w:szCs w:val="20"/>
        </w:rPr>
        <w:t>A critical introduction to coaching and mentoring: Debates, dialogues and discourses</w:t>
      </w:r>
      <w:r w:rsidRPr="7447C09B">
        <w:rPr>
          <w:rFonts w:ascii="Times New Roman" w:eastAsia="Times New Roman" w:hAnsi="Times New Roman" w:cs="Times New Roman"/>
          <w:sz w:val="20"/>
          <w:szCs w:val="20"/>
        </w:rPr>
        <w:t xml:space="preserve">. London: Sage. </w:t>
      </w: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Koh, K. T., Bloom, G. A., Fairhurst, K. E., Paiement, D. M., &amp; Kee, Y. H. (2014). An investigation of a formalized mentoring program for novice basketball coaches. </w:t>
      </w:r>
      <w:r w:rsidRPr="7447C09B">
        <w:rPr>
          <w:rFonts w:ascii="Times New Roman" w:eastAsia="Times New Roman" w:hAnsi="Times New Roman" w:cs="Times New Roman"/>
          <w:i/>
          <w:iCs/>
          <w:sz w:val="20"/>
          <w:szCs w:val="20"/>
        </w:rPr>
        <w:t xml:space="preserve">International Journal of Sport Psychology, </w:t>
      </w:r>
      <w:r w:rsidRPr="7447C09B">
        <w:rPr>
          <w:rFonts w:ascii="Times New Roman" w:eastAsia="Times New Roman" w:hAnsi="Times New Roman" w:cs="Times New Roman"/>
          <w:sz w:val="20"/>
          <w:szCs w:val="20"/>
        </w:rPr>
        <w:t>45,</w:t>
      </w:r>
      <w:r w:rsidRPr="7447C09B">
        <w:rPr>
          <w:rFonts w:ascii="Times New Roman" w:eastAsia="Times New Roman" w:hAnsi="Times New Roman" w:cs="Times New Roman"/>
          <w:i/>
          <w:iCs/>
          <w:sz w:val="20"/>
          <w:szCs w:val="20"/>
        </w:rPr>
        <w:t xml:space="preserve"> </w:t>
      </w:r>
      <w:r w:rsidRPr="7447C09B">
        <w:rPr>
          <w:rFonts w:ascii="Times New Roman" w:eastAsia="Times New Roman" w:hAnsi="Times New Roman" w:cs="Times New Roman"/>
          <w:sz w:val="20"/>
          <w:szCs w:val="20"/>
        </w:rPr>
        <w:t xml:space="preserve">(1), 11-32. </w:t>
      </w: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Lilja, M., &amp; Vinthagen, S. (2014). Sovereign power, disciplinary power and bio-power: Resisting what power with what resistance? </w:t>
      </w:r>
      <w:r w:rsidRPr="7447C09B">
        <w:rPr>
          <w:rFonts w:ascii="Times New Roman" w:eastAsia="Times New Roman" w:hAnsi="Times New Roman" w:cs="Times New Roman"/>
          <w:i/>
          <w:iCs/>
          <w:sz w:val="20"/>
          <w:szCs w:val="20"/>
        </w:rPr>
        <w:t>Journal of Political Power</w:t>
      </w:r>
      <w:r w:rsidRPr="7447C09B">
        <w:rPr>
          <w:rFonts w:ascii="Times New Roman" w:eastAsia="Times New Roman" w:hAnsi="Times New Roman" w:cs="Times New Roman"/>
          <w:sz w:val="20"/>
          <w:szCs w:val="20"/>
        </w:rPr>
        <w:t>, 7, (1), 107-126.</w:t>
      </w: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Manathunga, C. (2007). Supervision as mentoring: The role of power and boundary crossing. </w:t>
      </w:r>
      <w:r w:rsidRPr="7447C09B">
        <w:rPr>
          <w:rFonts w:ascii="Times New Roman" w:eastAsia="Times New Roman" w:hAnsi="Times New Roman" w:cs="Times New Roman"/>
          <w:i/>
          <w:iCs/>
          <w:sz w:val="20"/>
          <w:szCs w:val="20"/>
        </w:rPr>
        <w:t>Studies in Continuing Education</w:t>
      </w:r>
      <w:r w:rsidRPr="7447C09B">
        <w:rPr>
          <w:rFonts w:ascii="Times New Roman" w:eastAsia="Times New Roman" w:hAnsi="Times New Roman" w:cs="Times New Roman"/>
          <w:sz w:val="20"/>
          <w:szCs w:val="20"/>
        </w:rPr>
        <w:t xml:space="preserve">, 29, (2), 207-221. </w:t>
      </w: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McCuaig, L. A. (2012). Dangerous </w:t>
      </w:r>
      <w:proofErr w:type="spellStart"/>
      <w:r w:rsidRPr="7447C09B">
        <w:rPr>
          <w:rFonts w:ascii="Times New Roman" w:eastAsia="Times New Roman" w:hAnsi="Times New Roman" w:cs="Times New Roman"/>
          <w:sz w:val="20"/>
          <w:szCs w:val="20"/>
        </w:rPr>
        <w:t>carers</w:t>
      </w:r>
      <w:proofErr w:type="spellEnd"/>
      <w:r w:rsidRPr="7447C09B">
        <w:rPr>
          <w:rFonts w:ascii="Times New Roman" w:eastAsia="Times New Roman" w:hAnsi="Times New Roman" w:cs="Times New Roman"/>
          <w:sz w:val="20"/>
          <w:szCs w:val="20"/>
        </w:rPr>
        <w:t xml:space="preserve">: Pastoral power and the caring teacher of contemporary Australian schooling. </w:t>
      </w:r>
      <w:r w:rsidRPr="7447C09B">
        <w:rPr>
          <w:rFonts w:ascii="Times New Roman" w:eastAsia="Times New Roman" w:hAnsi="Times New Roman" w:cs="Times New Roman"/>
          <w:i/>
          <w:iCs/>
          <w:sz w:val="20"/>
          <w:szCs w:val="20"/>
        </w:rPr>
        <w:t xml:space="preserve">Educational Philosophy and Theory, </w:t>
      </w:r>
      <w:r w:rsidRPr="7447C09B">
        <w:rPr>
          <w:rFonts w:ascii="Times New Roman" w:eastAsia="Times New Roman" w:hAnsi="Times New Roman" w:cs="Times New Roman"/>
          <w:sz w:val="20"/>
          <w:szCs w:val="20"/>
        </w:rPr>
        <w:t xml:space="preserve">44, (8), 863-877. </w:t>
      </w: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McCuaig, L., Öhman, M., &amp; Wright, J. (2013). Shepherds in the gym: Employing a pastoral power analytic on caring teaching in HPE. </w:t>
      </w:r>
      <w:r w:rsidRPr="7447C09B">
        <w:rPr>
          <w:rFonts w:ascii="Times New Roman" w:eastAsia="Times New Roman" w:hAnsi="Times New Roman" w:cs="Times New Roman"/>
          <w:i/>
          <w:iCs/>
          <w:sz w:val="20"/>
          <w:szCs w:val="20"/>
        </w:rPr>
        <w:t>Sport, Education and Society</w:t>
      </w:r>
      <w:r w:rsidRPr="7447C09B">
        <w:rPr>
          <w:rFonts w:ascii="Times New Roman" w:eastAsia="Times New Roman" w:hAnsi="Times New Roman" w:cs="Times New Roman"/>
          <w:sz w:val="20"/>
          <w:szCs w:val="20"/>
        </w:rPr>
        <w:t>, 18, (6), 788-806.</w:t>
      </w: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McNay, L. (1994)</w:t>
      </w:r>
      <w:r w:rsidR="008C6279">
        <w:rPr>
          <w:rFonts w:ascii="Times New Roman" w:eastAsia="Times New Roman" w:hAnsi="Times New Roman" w:cs="Times New Roman"/>
          <w:sz w:val="20"/>
          <w:szCs w:val="20"/>
        </w:rPr>
        <w:t>.</w:t>
      </w:r>
      <w:r w:rsidRPr="7447C09B">
        <w:rPr>
          <w:rFonts w:ascii="Times New Roman" w:eastAsia="Times New Roman" w:hAnsi="Times New Roman" w:cs="Times New Roman"/>
          <w:sz w:val="20"/>
          <w:szCs w:val="20"/>
        </w:rPr>
        <w:t xml:space="preserve"> </w:t>
      </w:r>
      <w:r w:rsidRPr="7447C09B">
        <w:rPr>
          <w:rFonts w:ascii="Times New Roman" w:eastAsia="Times New Roman" w:hAnsi="Times New Roman" w:cs="Times New Roman"/>
          <w:i/>
          <w:iCs/>
          <w:sz w:val="20"/>
          <w:szCs w:val="20"/>
        </w:rPr>
        <w:t>Foucault: A critical introduction</w:t>
      </w:r>
      <w:r w:rsidRPr="7447C09B">
        <w:rPr>
          <w:rFonts w:ascii="Times New Roman" w:eastAsia="Times New Roman" w:hAnsi="Times New Roman" w:cs="Times New Roman"/>
          <w:sz w:val="20"/>
          <w:szCs w:val="20"/>
        </w:rPr>
        <w:t>. Cambridge: Polity Press.</w:t>
      </w:r>
    </w:p>
    <w:p w:rsidR="00667BE8" w:rsidRPr="00851CC1" w:rsidRDefault="00667BE8" w:rsidP="00667BE8">
      <w:pPr>
        <w:pStyle w:val="NoSpacing"/>
        <w:ind w:left="720" w:hanging="720"/>
        <w:rPr>
          <w:rFonts w:ascii="Times New Roman" w:eastAsia="Times New Roman" w:hAnsi="Times New Roman" w:cs="Times New Roman"/>
          <w:sz w:val="20"/>
          <w:szCs w:val="20"/>
        </w:rPr>
      </w:pPr>
      <w:bookmarkStart w:id="2" w:name="_Hlk516996889"/>
      <w:r w:rsidRPr="7447C09B">
        <w:rPr>
          <w:rFonts w:ascii="Times New Roman" w:eastAsia="Times New Roman" w:hAnsi="Times New Roman" w:cs="Times New Roman"/>
          <w:sz w:val="20"/>
          <w:szCs w:val="20"/>
        </w:rPr>
        <w:t xml:space="preserve">Mills, J. P., &amp; Denison, J. (2013). Coach Foucault: Problematizing endurance running coaches' practices. </w:t>
      </w:r>
      <w:r w:rsidRPr="7447C09B">
        <w:rPr>
          <w:rFonts w:ascii="Times New Roman" w:eastAsia="Times New Roman" w:hAnsi="Times New Roman" w:cs="Times New Roman"/>
          <w:i/>
          <w:iCs/>
          <w:sz w:val="20"/>
          <w:szCs w:val="20"/>
        </w:rPr>
        <w:t>Sports Coaching Review</w:t>
      </w:r>
      <w:r w:rsidRPr="7447C09B">
        <w:rPr>
          <w:rFonts w:ascii="Times New Roman" w:eastAsia="Times New Roman" w:hAnsi="Times New Roman" w:cs="Times New Roman"/>
          <w:sz w:val="20"/>
          <w:szCs w:val="20"/>
        </w:rPr>
        <w:t>, 2, (2), 136-150.</w:t>
      </w:r>
      <w:bookmarkEnd w:id="2"/>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Mills, J. P., &amp; Denison, J. (2014). Discourse analysis. In L. Nelson, R. Groom., &amp; P. Potrac (Eds.). </w:t>
      </w:r>
      <w:r w:rsidRPr="7447C09B">
        <w:rPr>
          <w:rFonts w:ascii="Times New Roman" w:eastAsia="Times New Roman" w:hAnsi="Times New Roman" w:cs="Times New Roman"/>
          <w:i/>
          <w:iCs/>
          <w:sz w:val="20"/>
          <w:szCs w:val="20"/>
        </w:rPr>
        <w:t>Research methods in sports coaching</w:t>
      </w:r>
      <w:r w:rsidRPr="7447C09B">
        <w:rPr>
          <w:rFonts w:ascii="Times New Roman" w:eastAsia="Times New Roman" w:hAnsi="Times New Roman" w:cs="Times New Roman"/>
          <w:sz w:val="20"/>
          <w:szCs w:val="20"/>
        </w:rPr>
        <w:t xml:space="preserve"> (pp. 217-226). London: Routledge. </w:t>
      </w: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Nash, C., Martindale, R., Collins, D., &amp; Martindale, A. (2012). </w:t>
      </w:r>
      <w:proofErr w:type="spellStart"/>
      <w:r w:rsidRPr="7447C09B">
        <w:rPr>
          <w:rFonts w:ascii="Times New Roman" w:eastAsia="Times New Roman" w:hAnsi="Times New Roman" w:cs="Times New Roman"/>
          <w:sz w:val="20"/>
          <w:szCs w:val="20"/>
        </w:rPr>
        <w:t>Parameterising</w:t>
      </w:r>
      <w:proofErr w:type="spellEnd"/>
      <w:r w:rsidRPr="7447C09B">
        <w:rPr>
          <w:rFonts w:ascii="Times New Roman" w:eastAsia="Times New Roman" w:hAnsi="Times New Roman" w:cs="Times New Roman"/>
          <w:sz w:val="20"/>
          <w:szCs w:val="20"/>
        </w:rPr>
        <w:t xml:space="preserve"> expertise in coaching: Past, present and future. </w:t>
      </w:r>
      <w:r w:rsidRPr="7447C09B">
        <w:rPr>
          <w:rFonts w:ascii="Times New Roman" w:eastAsia="Times New Roman" w:hAnsi="Times New Roman" w:cs="Times New Roman"/>
          <w:i/>
          <w:iCs/>
          <w:sz w:val="20"/>
          <w:szCs w:val="20"/>
        </w:rPr>
        <w:t>Journal of Sports Sciences</w:t>
      </w:r>
      <w:r w:rsidRPr="7447C09B">
        <w:rPr>
          <w:rFonts w:ascii="Times New Roman" w:eastAsia="Times New Roman" w:hAnsi="Times New Roman" w:cs="Times New Roman"/>
          <w:sz w:val="20"/>
          <w:szCs w:val="20"/>
        </w:rPr>
        <w:t>, 30, 985–994. DOI:10.1080/02640414.2012.682079</w:t>
      </w: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Nash, C., &amp; McQuade, S. (2015). Mentoring as a coach development tool. In C. Nash (Ed.). </w:t>
      </w:r>
      <w:r w:rsidRPr="7447C09B">
        <w:rPr>
          <w:rFonts w:ascii="Times New Roman" w:eastAsia="Times New Roman" w:hAnsi="Times New Roman" w:cs="Times New Roman"/>
          <w:i/>
          <w:iCs/>
          <w:sz w:val="20"/>
          <w:szCs w:val="20"/>
        </w:rPr>
        <w:t>Practical Sports Coaching</w:t>
      </w:r>
      <w:r w:rsidRPr="7447C09B">
        <w:rPr>
          <w:rFonts w:ascii="Times New Roman" w:eastAsia="Times New Roman" w:hAnsi="Times New Roman" w:cs="Times New Roman"/>
          <w:sz w:val="20"/>
          <w:szCs w:val="20"/>
        </w:rPr>
        <w:t xml:space="preserve"> (pp. 206-223). London. Routledge. </w:t>
      </w: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Nelson, L. J., Cushion, C., &amp; Potrac, P. (2013). Enhancing the provision of coach education: The recommendations of UK coaching practitioners. </w:t>
      </w:r>
      <w:r w:rsidRPr="7447C09B">
        <w:rPr>
          <w:rFonts w:ascii="Times New Roman" w:eastAsia="Times New Roman" w:hAnsi="Times New Roman" w:cs="Times New Roman"/>
          <w:i/>
          <w:iCs/>
          <w:sz w:val="20"/>
          <w:szCs w:val="20"/>
        </w:rPr>
        <w:t>Physical Education and Sport Pedagogy</w:t>
      </w:r>
      <w:r w:rsidRPr="7447C09B">
        <w:rPr>
          <w:rFonts w:ascii="Times New Roman" w:eastAsia="Times New Roman" w:hAnsi="Times New Roman" w:cs="Times New Roman"/>
          <w:sz w:val="20"/>
          <w:szCs w:val="20"/>
        </w:rPr>
        <w:t>, 18, (2), 204-218. DOI: 10.1080/17408989.2011.649725</w:t>
      </w: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Nelson, L., Cushion, C. J., Potrac, P., &amp; Groom, R. (2014). Carl Rogers, learning and educational practice: Critical considerations and applications in sports coaching. </w:t>
      </w:r>
      <w:r w:rsidRPr="7447C09B">
        <w:rPr>
          <w:rFonts w:ascii="Times New Roman" w:eastAsia="Times New Roman" w:hAnsi="Times New Roman" w:cs="Times New Roman"/>
          <w:i/>
          <w:iCs/>
          <w:sz w:val="20"/>
          <w:szCs w:val="20"/>
        </w:rPr>
        <w:t>Sport, Education and Society</w:t>
      </w:r>
      <w:r w:rsidRPr="7447C09B">
        <w:rPr>
          <w:rFonts w:ascii="Times New Roman" w:eastAsia="Times New Roman" w:hAnsi="Times New Roman" w:cs="Times New Roman"/>
          <w:sz w:val="20"/>
          <w:szCs w:val="20"/>
        </w:rPr>
        <w:t>, 19</w:t>
      </w:r>
      <w:r w:rsidR="008C6279">
        <w:rPr>
          <w:rFonts w:ascii="Times New Roman" w:eastAsia="Times New Roman" w:hAnsi="Times New Roman" w:cs="Times New Roman"/>
          <w:sz w:val="20"/>
          <w:szCs w:val="20"/>
        </w:rPr>
        <w:t>,</w:t>
      </w:r>
      <w:r w:rsidRPr="7447C09B">
        <w:rPr>
          <w:rFonts w:ascii="Times New Roman" w:eastAsia="Times New Roman" w:hAnsi="Times New Roman" w:cs="Times New Roman"/>
          <w:sz w:val="20"/>
          <w:szCs w:val="20"/>
        </w:rPr>
        <w:t xml:space="preserve"> (5), 513-531. DOI: 10.1080/13573322.2012.689256</w:t>
      </w: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Olsson, C., Cruickshank, A., &amp; Collins, D. (2017). Making mentoring work: The need for rewiring epistemology. </w:t>
      </w:r>
      <w:r w:rsidRPr="7447C09B">
        <w:rPr>
          <w:rFonts w:ascii="Times New Roman" w:eastAsia="Times New Roman" w:hAnsi="Times New Roman" w:cs="Times New Roman"/>
          <w:i/>
          <w:iCs/>
          <w:sz w:val="20"/>
          <w:szCs w:val="20"/>
        </w:rPr>
        <w:t>Quest</w:t>
      </w:r>
      <w:r w:rsidRPr="7447C09B">
        <w:rPr>
          <w:rFonts w:ascii="Times New Roman" w:eastAsia="Times New Roman" w:hAnsi="Times New Roman" w:cs="Times New Roman"/>
          <w:sz w:val="20"/>
          <w:szCs w:val="20"/>
        </w:rPr>
        <w:t>, 69, (1), 50-64. DOI:10.1080/00336297.2016.1152194</w:t>
      </w:r>
    </w:p>
    <w:p w:rsidR="009039A7"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Sawiuk, R., Taylor, W. G., &amp; Groom, R. (2016). Exploring formalized elite coach mentoring programmes in the UK: ‘We’ve had to play the game’. </w:t>
      </w:r>
      <w:r w:rsidRPr="7447C09B">
        <w:rPr>
          <w:rFonts w:ascii="Times New Roman" w:eastAsia="Times New Roman" w:hAnsi="Times New Roman" w:cs="Times New Roman"/>
          <w:i/>
          <w:iCs/>
          <w:sz w:val="20"/>
          <w:szCs w:val="20"/>
        </w:rPr>
        <w:t>Sport, Education and Society</w:t>
      </w:r>
      <w:r w:rsidRPr="7447C09B">
        <w:rPr>
          <w:rFonts w:ascii="Times New Roman" w:eastAsia="Times New Roman" w:hAnsi="Times New Roman" w:cs="Times New Roman"/>
          <w:sz w:val="20"/>
          <w:szCs w:val="20"/>
        </w:rPr>
        <w:t>, 1-13. DOI: 10.1080/13573322.2016.1248386</w:t>
      </w: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Usher, R., &amp; Edwards, R. G. (2005). Subjects, networks and positions: Thinking educational guidance differently. </w:t>
      </w:r>
      <w:r w:rsidRPr="7447C09B">
        <w:rPr>
          <w:rFonts w:ascii="Times New Roman" w:eastAsia="Times New Roman" w:hAnsi="Times New Roman" w:cs="Times New Roman"/>
          <w:i/>
          <w:iCs/>
          <w:sz w:val="20"/>
          <w:szCs w:val="20"/>
        </w:rPr>
        <w:t>British Journal of Guidance &amp; Counselling</w:t>
      </w:r>
      <w:r w:rsidRPr="7447C09B">
        <w:rPr>
          <w:rFonts w:ascii="Times New Roman" w:eastAsia="Times New Roman" w:hAnsi="Times New Roman" w:cs="Times New Roman"/>
          <w:sz w:val="20"/>
          <w:szCs w:val="20"/>
        </w:rPr>
        <w:t>, 33, (3), 397-410. DOI:10.1080/03069880500179640</w:t>
      </w: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Walsh, J., &amp; Chambers, F. C. (2015). Designing sustainable models of mentoring for sports clubs. In F. C. Chambers (Ed.), </w:t>
      </w:r>
      <w:r w:rsidRPr="7447C09B">
        <w:rPr>
          <w:rFonts w:ascii="Times New Roman" w:eastAsia="Times New Roman" w:hAnsi="Times New Roman" w:cs="Times New Roman"/>
          <w:i/>
          <w:iCs/>
          <w:sz w:val="20"/>
          <w:szCs w:val="20"/>
        </w:rPr>
        <w:t xml:space="preserve">Mentoring in physical education and sports coaching </w:t>
      </w:r>
      <w:r w:rsidRPr="7447C09B">
        <w:rPr>
          <w:rFonts w:ascii="Times New Roman" w:eastAsia="Times New Roman" w:hAnsi="Times New Roman" w:cs="Times New Roman"/>
          <w:sz w:val="20"/>
          <w:szCs w:val="20"/>
        </w:rPr>
        <w:t>(pp. 180-188). London: Routledge.</w:t>
      </w:r>
    </w:p>
    <w:p w:rsidR="00667BE8" w:rsidRPr="00851CC1" w:rsidRDefault="00667BE8" w:rsidP="00667BE8">
      <w:pPr>
        <w:pStyle w:val="NoSpacing"/>
        <w:ind w:left="720" w:hanging="720"/>
        <w:rPr>
          <w:rFonts w:ascii="Times New Roman" w:eastAsia="Times New Roman" w:hAnsi="Times New Roman" w:cs="Times New Roman"/>
          <w:sz w:val="20"/>
          <w:szCs w:val="20"/>
        </w:rPr>
      </w:pPr>
      <w:r w:rsidRPr="7447C09B">
        <w:rPr>
          <w:rFonts w:ascii="Times New Roman" w:eastAsia="Times New Roman" w:hAnsi="Times New Roman" w:cs="Times New Roman"/>
          <w:sz w:val="20"/>
          <w:szCs w:val="20"/>
        </w:rPr>
        <w:t xml:space="preserve">Zehntner, C., </w:t>
      </w:r>
      <w:r w:rsidR="008C6279">
        <w:rPr>
          <w:rFonts w:ascii="Times New Roman" w:eastAsia="Times New Roman" w:hAnsi="Times New Roman" w:cs="Times New Roman"/>
          <w:sz w:val="20"/>
          <w:szCs w:val="20"/>
        </w:rPr>
        <w:t>&amp;</w:t>
      </w:r>
      <w:bookmarkStart w:id="3" w:name="_GoBack"/>
      <w:bookmarkEnd w:id="3"/>
      <w:r w:rsidRPr="7447C09B">
        <w:rPr>
          <w:rFonts w:ascii="Times New Roman" w:eastAsia="Times New Roman" w:hAnsi="Times New Roman" w:cs="Times New Roman"/>
          <w:sz w:val="20"/>
          <w:szCs w:val="20"/>
        </w:rPr>
        <w:t xml:space="preserve"> McMahon, J. A. (2014). Mentoring in coaching: The means of correct training? An autoethnographic exploration of one Australian swimming coach’s experiences. </w:t>
      </w:r>
      <w:r w:rsidRPr="7447C09B">
        <w:rPr>
          <w:rFonts w:ascii="Times New Roman" w:eastAsia="Times New Roman" w:hAnsi="Times New Roman" w:cs="Times New Roman"/>
          <w:i/>
          <w:iCs/>
          <w:sz w:val="20"/>
          <w:szCs w:val="20"/>
        </w:rPr>
        <w:t>Qualitative Research in Sport, Exercise and Health</w:t>
      </w:r>
      <w:r w:rsidRPr="7447C09B">
        <w:rPr>
          <w:rFonts w:ascii="Times New Roman" w:eastAsia="Times New Roman" w:hAnsi="Times New Roman" w:cs="Times New Roman"/>
          <w:sz w:val="20"/>
          <w:szCs w:val="20"/>
        </w:rPr>
        <w:t>, 6, (4), 596-616. DOI:10.1080/2159676X.2013.809376</w:t>
      </w:r>
    </w:p>
    <w:p w:rsidR="000B16CA" w:rsidRDefault="000B16CA"/>
    <w:sectPr w:rsidR="000B16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Calibri">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BE8"/>
    <w:rsid w:val="000B16CA"/>
    <w:rsid w:val="001E7024"/>
    <w:rsid w:val="005A5E8A"/>
    <w:rsid w:val="005F2C67"/>
    <w:rsid w:val="00667BE8"/>
    <w:rsid w:val="00841C5B"/>
    <w:rsid w:val="008C6279"/>
    <w:rsid w:val="008C7B9A"/>
    <w:rsid w:val="009039A7"/>
    <w:rsid w:val="009D2154"/>
    <w:rsid w:val="00D21169"/>
    <w:rsid w:val="00E43573"/>
    <w:rsid w:val="00FE1B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301A02"/>
  <w15:chartTrackingRefBased/>
  <w15:docId w15:val="{6255CCCC-40BC-43DF-85DB-0C7503B63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7BE8"/>
    <w:pPr>
      <w:spacing w:after="0" w:line="240" w:lineRule="auto"/>
    </w:pPr>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667BE8"/>
    <w:pPr>
      <w:spacing w:after="0" w:line="240" w:lineRule="auto"/>
    </w:pPr>
    <w:rPr>
      <w:sz w:val="24"/>
      <w:szCs w:val="24"/>
      <w:lang w:val="en-US"/>
    </w:rPr>
  </w:style>
  <w:style w:type="character" w:customStyle="1" w:styleId="NoSpacingChar">
    <w:name w:val="No Spacing Char"/>
    <w:basedOn w:val="DefaultParagraphFont"/>
    <w:link w:val="NoSpacing"/>
    <w:uiPriority w:val="1"/>
    <w:rsid w:val="00667BE8"/>
    <w:rPr>
      <w:sz w:val="24"/>
      <w:szCs w:val="24"/>
      <w:lang w:val="en-US"/>
    </w:rPr>
  </w:style>
  <w:style w:type="paragraph" w:customStyle="1" w:styleId="h1">
    <w:name w:val="h1"/>
    <w:basedOn w:val="Normal"/>
    <w:rsid w:val="00667BE8"/>
    <w:pPr>
      <w:keepNext/>
      <w:spacing w:before="280" w:after="180"/>
      <w:jc w:val="center"/>
    </w:pPr>
    <w:rPr>
      <w:rFonts w:ascii="Times New Roman" w:eastAsia="Times New Roman" w:hAnsi="Times New Roman" w:cs="Times New Roman"/>
      <w:smallCaps/>
      <w:sz w:val="3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3090</Words>
  <Characters>17614</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Corsby, Charlie</dc:creator>
  <cp:keywords/>
  <dc:description/>
  <cp:lastModifiedBy>Thomas Leeder (EDU - Postgraduate Researcher)</cp:lastModifiedBy>
  <cp:revision>2</cp:revision>
  <dcterms:created xsi:type="dcterms:W3CDTF">2018-08-27T14:54:00Z</dcterms:created>
  <dcterms:modified xsi:type="dcterms:W3CDTF">2018-08-27T14:54:00Z</dcterms:modified>
</cp:coreProperties>
</file>