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4230" w:rsidRDefault="00B97356" w:rsidP="00B97356">
      <w:pPr>
        <w:pStyle w:val="Title"/>
        <w:rPr>
          <w:sz w:val="36"/>
          <w:szCs w:val="36"/>
        </w:rPr>
      </w:pPr>
      <w:r w:rsidRPr="00B97356">
        <w:rPr>
          <w:sz w:val="36"/>
          <w:szCs w:val="36"/>
        </w:rPr>
        <w:t>JIPLP – Current intelligence on first application of Canadian parody exception</w:t>
      </w:r>
    </w:p>
    <w:p w:rsidR="00B97356" w:rsidRPr="00383009" w:rsidRDefault="00B97356" w:rsidP="00383009">
      <w:pPr>
        <w:spacing w:line="276" w:lineRule="auto"/>
        <w:jc w:val="both"/>
        <w:rPr>
          <w:rFonts w:cstheme="minorHAnsi"/>
          <w:sz w:val="24"/>
          <w:szCs w:val="24"/>
        </w:rPr>
      </w:pPr>
      <w:r w:rsidRPr="00383009">
        <w:rPr>
          <w:rFonts w:cstheme="minorHAnsi"/>
          <w:sz w:val="24"/>
          <w:szCs w:val="24"/>
        </w:rPr>
        <w:t>By Dr Sabine Jacques (University of East Anglia)</w:t>
      </w:r>
    </w:p>
    <w:p w:rsidR="00B97356" w:rsidRPr="00383009" w:rsidRDefault="00B97356" w:rsidP="00383009">
      <w:pPr>
        <w:spacing w:line="276" w:lineRule="auto"/>
        <w:jc w:val="both"/>
        <w:rPr>
          <w:rFonts w:cstheme="minorHAnsi"/>
          <w:sz w:val="24"/>
          <w:szCs w:val="24"/>
        </w:rPr>
      </w:pPr>
      <w:r w:rsidRPr="00383009">
        <w:rPr>
          <w:rFonts w:cstheme="minorHAnsi"/>
          <w:sz w:val="24"/>
          <w:szCs w:val="24"/>
        </w:rPr>
        <w:t xml:space="preserve">Email: </w:t>
      </w:r>
      <w:hyperlink r:id="rId4" w:history="1">
        <w:r w:rsidRPr="00383009">
          <w:rPr>
            <w:rStyle w:val="Hyperlink"/>
            <w:rFonts w:cstheme="minorHAnsi"/>
            <w:sz w:val="24"/>
            <w:szCs w:val="24"/>
          </w:rPr>
          <w:t>sabine.jacques@uea.ac.uk</w:t>
        </w:r>
      </w:hyperlink>
      <w:r w:rsidRPr="00383009">
        <w:rPr>
          <w:rFonts w:cstheme="minorHAnsi"/>
          <w:sz w:val="24"/>
          <w:szCs w:val="24"/>
        </w:rPr>
        <w:t xml:space="preserve"> or </w:t>
      </w:r>
      <w:hyperlink r:id="rId5" w:history="1">
        <w:r w:rsidRPr="00383009">
          <w:rPr>
            <w:rStyle w:val="Hyperlink"/>
            <w:rFonts w:cstheme="minorHAnsi"/>
            <w:sz w:val="24"/>
            <w:szCs w:val="24"/>
          </w:rPr>
          <w:t>sabine.jacques6@gmail.com</w:t>
        </w:r>
      </w:hyperlink>
    </w:p>
    <w:p w:rsidR="00B97356" w:rsidRPr="00383009" w:rsidRDefault="00B97356" w:rsidP="00383009">
      <w:pPr>
        <w:spacing w:line="276" w:lineRule="auto"/>
        <w:jc w:val="both"/>
        <w:rPr>
          <w:rFonts w:cstheme="minorHAnsi"/>
          <w:sz w:val="24"/>
          <w:szCs w:val="24"/>
        </w:rPr>
      </w:pPr>
      <w:r w:rsidRPr="00383009">
        <w:rPr>
          <w:rFonts w:cstheme="minorHAnsi"/>
          <w:sz w:val="24"/>
          <w:szCs w:val="24"/>
        </w:rPr>
        <w:t>Decision:</w:t>
      </w:r>
      <w:r w:rsidR="00434A77" w:rsidRPr="00383009">
        <w:rPr>
          <w:rFonts w:cstheme="minorHAnsi"/>
          <w:sz w:val="24"/>
          <w:szCs w:val="24"/>
        </w:rPr>
        <w:t xml:space="preserve"> </w:t>
      </w:r>
      <w:r w:rsidR="00434A77" w:rsidRPr="00383009">
        <w:rPr>
          <w:rFonts w:cstheme="minorHAnsi"/>
          <w:i/>
          <w:sz w:val="24"/>
          <w:szCs w:val="24"/>
        </w:rPr>
        <w:t xml:space="preserve">United Airlines, Inc. v. Jeremy </w:t>
      </w:r>
      <w:proofErr w:type="spellStart"/>
      <w:r w:rsidR="00434A77" w:rsidRPr="00383009">
        <w:rPr>
          <w:rFonts w:cstheme="minorHAnsi"/>
          <w:i/>
          <w:sz w:val="24"/>
          <w:szCs w:val="24"/>
        </w:rPr>
        <w:t>Cooperstock</w:t>
      </w:r>
      <w:proofErr w:type="spellEnd"/>
      <w:r w:rsidR="00434A77" w:rsidRPr="00383009">
        <w:rPr>
          <w:rFonts w:cstheme="minorHAnsi"/>
          <w:sz w:val="24"/>
          <w:szCs w:val="24"/>
        </w:rPr>
        <w:t xml:space="preserve"> (2017) FC 616</w:t>
      </w:r>
      <w:r w:rsidR="00D03997" w:rsidRPr="00383009">
        <w:rPr>
          <w:rFonts w:cstheme="minorHAnsi"/>
          <w:sz w:val="24"/>
          <w:szCs w:val="24"/>
        </w:rPr>
        <w:t xml:space="preserve"> (</w:t>
      </w:r>
      <w:r w:rsidR="00D03997" w:rsidRPr="00383009">
        <w:rPr>
          <w:rFonts w:cstheme="minorHAnsi"/>
          <w:i/>
          <w:sz w:val="24"/>
          <w:szCs w:val="24"/>
        </w:rPr>
        <w:t>Untied.com</w:t>
      </w:r>
      <w:r w:rsidR="00D03997" w:rsidRPr="00383009">
        <w:rPr>
          <w:rFonts w:cstheme="minorHAnsi"/>
          <w:sz w:val="24"/>
          <w:szCs w:val="24"/>
        </w:rPr>
        <w:t>), 23/6/2017.</w:t>
      </w:r>
    </w:p>
    <w:p w:rsidR="00B97356" w:rsidRPr="00383009" w:rsidRDefault="00B97356" w:rsidP="00383009">
      <w:pPr>
        <w:spacing w:line="276" w:lineRule="auto"/>
        <w:jc w:val="both"/>
        <w:rPr>
          <w:rFonts w:cstheme="minorHAnsi"/>
          <w:sz w:val="24"/>
          <w:szCs w:val="24"/>
        </w:rPr>
      </w:pPr>
      <w:r w:rsidRPr="00383009">
        <w:rPr>
          <w:rFonts w:cstheme="minorHAnsi"/>
          <w:sz w:val="24"/>
          <w:szCs w:val="24"/>
        </w:rPr>
        <w:t>Abstract:</w:t>
      </w:r>
    </w:p>
    <w:p w:rsidR="00D472C5" w:rsidRPr="00383009" w:rsidRDefault="004B7F0A" w:rsidP="00383009">
      <w:pPr>
        <w:spacing w:line="276" w:lineRule="auto"/>
        <w:jc w:val="both"/>
        <w:rPr>
          <w:rFonts w:cstheme="minorHAnsi"/>
          <w:b/>
          <w:sz w:val="24"/>
          <w:szCs w:val="24"/>
        </w:rPr>
      </w:pPr>
      <w:r w:rsidRPr="00383009">
        <w:rPr>
          <w:rFonts w:cstheme="minorHAnsi"/>
          <w:b/>
          <w:sz w:val="24"/>
          <w:szCs w:val="24"/>
        </w:rPr>
        <w:t xml:space="preserve">In its </w:t>
      </w:r>
      <w:r w:rsidR="00E81709" w:rsidRPr="00383009">
        <w:rPr>
          <w:rFonts w:cstheme="minorHAnsi"/>
          <w:b/>
          <w:i/>
          <w:sz w:val="24"/>
          <w:szCs w:val="24"/>
        </w:rPr>
        <w:t>Untied.com</w:t>
      </w:r>
      <w:r w:rsidR="00E81709" w:rsidRPr="00383009">
        <w:rPr>
          <w:rFonts w:cstheme="minorHAnsi"/>
          <w:b/>
          <w:sz w:val="24"/>
          <w:szCs w:val="24"/>
        </w:rPr>
        <w:t xml:space="preserve"> decision of 23</w:t>
      </w:r>
      <w:r w:rsidR="00E81709" w:rsidRPr="00383009">
        <w:rPr>
          <w:rFonts w:cstheme="minorHAnsi"/>
          <w:b/>
          <w:sz w:val="24"/>
          <w:szCs w:val="24"/>
          <w:vertAlign w:val="superscript"/>
        </w:rPr>
        <w:t>rd</w:t>
      </w:r>
      <w:r w:rsidR="00E81709" w:rsidRPr="00383009">
        <w:rPr>
          <w:rFonts w:cstheme="minorHAnsi"/>
          <w:b/>
          <w:sz w:val="24"/>
          <w:szCs w:val="24"/>
        </w:rPr>
        <w:t xml:space="preserve"> June 2017 the Canadian Federal Court </w:t>
      </w:r>
      <w:r w:rsidR="00B27A7B" w:rsidRPr="00383009">
        <w:rPr>
          <w:rFonts w:cstheme="minorHAnsi"/>
          <w:b/>
          <w:sz w:val="24"/>
          <w:szCs w:val="24"/>
        </w:rPr>
        <w:t xml:space="preserve">confirms that </w:t>
      </w:r>
      <w:r w:rsidR="001C3D9B">
        <w:rPr>
          <w:rFonts w:cstheme="minorHAnsi"/>
          <w:b/>
          <w:sz w:val="24"/>
          <w:szCs w:val="24"/>
        </w:rPr>
        <w:t>the absence of</w:t>
      </w:r>
      <w:r w:rsidR="000568B2">
        <w:rPr>
          <w:rFonts w:cstheme="minorHAnsi"/>
          <w:b/>
          <w:sz w:val="24"/>
          <w:szCs w:val="24"/>
        </w:rPr>
        <w:t xml:space="preserve"> parody exception under trade</w:t>
      </w:r>
      <w:r w:rsidR="00B27A7B" w:rsidRPr="00383009">
        <w:rPr>
          <w:rFonts w:cstheme="minorHAnsi"/>
          <w:b/>
          <w:sz w:val="24"/>
          <w:szCs w:val="24"/>
        </w:rPr>
        <w:t>mark law</w:t>
      </w:r>
      <w:r w:rsidR="00E44195" w:rsidRPr="00383009">
        <w:rPr>
          <w:rFonts w:cstheme="minorHAnsi"/>
          <w:b/>
          <w:sz w:val="24"/>
          <w:szCs w:val="24"/>
        </w:rPr>
        <w:t xml:space="preserve"> (</w:t>
      </w:r>
      <w:r w:rsidR="00E44195" w:rsidRPr="00383009">
        <w:rPr>
          <w:rFonts w:cstheme="minorHAnsi"/>
          <w:b/>
          <w:sz w:val="24"/>
          <w:szCs w:val="24"/>
          <w:shd w:val="clear" w:color="auto" w:fill="FFFFFF"/>
        </w:rPr>
        <w:t>Trade-Marks Act, </w:t>
      </w:r>
      <w:r w:rsidR="00B303F2" w:rsidRPr="00383009">
        <w:rPr>
          <w:rFonts w:cstheme="minorHAnsi"/>
          <w:b/>
          <w:sz w:val="24"/>
          <w:szCs w:val="24"/>
          <w:shd w:val="clear" w:color="auto" w:fill="FFFFFF"/>
        </w:rPr>
        <w:t>RSC 1985, c T-13</w:t>
      </w:r>
      <w:r w:rsidR="00E44195" w:rsidRPr="00383009">
        <w:rPr>
          <w:rFonts w:cstheme="minorHAnsi"/>
          <w:b/>
          <w:sz w:val="24"/>
          <w:szCs w:val="24"/>
        </w:rPr>
        <w:t>)</w:t>
      </w:r>
      <w:r w:rsidR="00B27A7B" w:rsidRPr="00383009">
        <w:rPr>
          <w:rFonts w:cstheme="minorHAnsi"/>
          <w:b/>
          <w:sz w:val="24"/>
          <w:szCs w:val="24"/>
        </w:rPr>
        <w:t xml:space="preserve"> and </w:t>
      </w:r>
      <w:r w:rsidR="00E44195" w:rsidRPr="00383009">
        <w:rPr>
          <w:rFonts w:cstheme="minorHAnsi"/>
          <w:b/>
          <w:sz w:val="24"/>
          <w:szCs w:val="24"/>
        </w:rPr>
        <w:t>denies the</w:t>
      </w:r>
      <w:r w:rsidR="00B27A7B" w:rsidRPr="00383009">
        <w:rPr>
          <w:rFonts w:cstheme="minorHAnsi"/>
          <w:b/>
          <w:sz w:val="24"/>
          <w:szCs w:val="24"/>
        </w:rPr>
        <w:t xml:space="preserve"> application of the parody exception </w:t>
      </w:r>
      <w:r w:rsidR="00034213" w:rsidRPr="00383009">
        <w:rPr>
          <w:rFonts w:cstheme="minorHAnsi"/>
          <w:b/>
          <w:sz w:val="24"/>
          <w:szCs w:val="24"/>
        </w:rPr>
        <w:t>enshrined in copyright law</w:t>
      </w:r>
      <w:r w:rsidR="00E44195" w:rsidRPr="00383009">
        <w:rPr>
          <w:rFonts w:cstheme="minorHAnsi"/>
          <w:b/>
          <w:sz w:val="24"/>
          <w:szCs w:val="24"/>
        </w:rPr>
        <w:t xml:space="preserve"> based on confusion (</w:t>
      </w:r>
      <w:r w:rsidR="00E44195" w:rsidRPr="00383009">
        <w:rPr>
          <w:rFonts w:cstheme="minorHAnsi"/>
          <w:b/>
          <w:sz w:val="24"/>
          <w:szCs w:val="24"/>
          <w:shd w:val="clear" w:color="auto" w:fill="FFFFFF"/>
        </w:rPr>
        <w:t>section 29 of the Copyright Act 1985, R.S.C., 1985, c. C-42)</w:t>
      </w:r>
      <w:r w:rsidR="00B27A7B" w:rsidRPr="00383009">
        <w:rPr>
          <w:rFonts w:cstheme="minorHAnsi"/>
          <w:b/>
          <w:sz w:val="24"/>
          <w:szCs w:val="24"/>
        </w:rPr>
        <w:t xml:space="preserve">. </w:t>
      </w:r>
    </w:p>
    <w:p w:rsidR="00B97356" w:rsidRPr="00383009" w:rsidRDefault="00B97356" w:rsidP="00383009">
      <w:pPr>
        <w:pStyle w:val="Heading1"/>
        <w:spacing w:line="276" w:lineRule="auto"/>
        <w:jc w:val="both"/>
        <w:rPr>
          <w:rFonts w:asciiTheme="minorHAnsi" w:hAnsiTheme="minorHAnsi" w:cstheme="minorHAnsi"/>
          <w:b/>
          <w:sz w:val="24"/>
          <w:szCs w:val="24"/>
        </w:rPr>
      </w:pPr>
      <w:r w:rsidRPr="00383009">
        <w:rPr>
          <w:rFonts w:asciiTheme="minorHAnsi" w:hAnsiTheme="minorHAnsi" w:cstheme="minorHAnsi"/>
          <w:b/>
          <w:sz w:val="24"/>
          <w:szCs w:val="24"/>
        </w:rPr>
        <w:t>Legal context</w:t>
      </w:r>
    </w:p>
    <w:p w:rsidR="009A4AD2" w:rsidRPr="00383009" w:rsidRDefault="00E75FA3" w:rsidP="00383009">
      <w:pPr>
        <w:spacing w:line="276" w:lineRule="auto"/>
        <w:jc w:val="both"/>
        <w:rPr>
          <w:rFonts w:cstheme="minorHAnsi"/>
          <w:sz w:val="24"/>
          <w:szCs w:val="24"/>
        </w:rPr>
      </w:pPr>
      <w:r w:rsidRPr="00383009">
        <w:rPr>
          <w:rFonts w:cstheme="minorHAnsi"/>
          <w:sz w:val="24"/>
          <w:szCs w:val="24"/>
        </w:rPr>
        <w:t>This decision from the Canadian Federal Court concerned the existence of a parody exception under trade</w:t>
      </w:r>
      <w:r w:rsidR="008D1660" w:rsidRPr="00383009">
        <w:rPr>
          <w:rFonts w:cstheme="minorHAnsi"/>
          <w:sz w:val="24"/>
          <w:szCs w:val="24"/>
        </w:rPr>
        <w:t xml:space="preserve">mark legislation </w:t>
      </w:r>
      <w:r w:rsidR="00A57CB7" w:rsidRPr="00383009">
        <w:rPr>
          <w:rFonts w:cstheme="minorHAnsi"/>
          <w:sz w:val="24"/>
          <w:szCs w:val="24"/>
        </w:rPr>
        <w:t xml:space="preserve">(TMA) </w:t>
      </w:r>
      <w:bookmarkStart w:id="0" w:name="_GoBack"/>
      <w:bookmarkEnd w:id="0"/>
      <w:r w:rsidR="008D1660" w:rsidRPr="00383009">
        <w:rPr>
          <w:rFonts w:cstheme="minorHAnsi"/>
          <w:sz w:val="24"/>
          <w:szCs w:val="24"/>
        </w:rPr>
        <w:t xml:space="preserve">and the application of the </w:t>
      </w:r>
      <w:proofErr w:type="gramStart"/>
      <w:r w:rsidR="008D1660" w:rsidRPr="00383009">
        <w:rPr>
          <w:rFonts w:cstheme="minorHAnsi"/>
          <w:sz w:val="24"/>
          <w:szCs w:val="24"/>
        </w:rPr>
        <w:t>newly-introduced</w:t>
      </w:r>
      <w:proofErr w:type="gramEnd"/>
      <w:r w:rsidR="008D1660" w:rsidRPr="00383009">
        <w:rPr>
          <w:rFonts w:cstheme="minorHAnsi"/>
          <w:sz w:val="24"/>
          <w:szCs w:val="24"/>
        </w:rPr>
        <w:t xml:space="preserve"> par</w:t>
      </w:r>
      <w:r w:rsidR="00A57CB7" w:rsidRPr="00383009">
        <w:rPr>
          <w:rFonts w:cstheme="minorHAnsi"/>
          <w:sz w:val="24"/>
          <w:szCs w:val="24"/>
        </w:rPr>
        <w:t xml:space="preserve">ody exception in copyright law included in </w:t>
      </w:r>
      <w:r w:rsidR="008D1660" w:rsidRPr="00383009">
        <w:rPr>
          <w:rFonts w:cstheme="minorHAnsi"/>
          <w:sz w:val="24"/>
          <w:szCs w:val="24"/>
        </w:rPr>
        <w:t>section 29 of the Copyright Act 1985 (</w:t>
      </w:r>
      <w:r w:rsidR="00A57CB7" w:rsidRPr="00383009">
        <w:rPr>
          <w:rFonts w:cstheme="minorHAnsi"/>
          <w:sz w:val="24"/>
          <w:szCs w:val="24"/>
        </w:rPr>
        <w:t>CA</w:t>
      </w:r>
      <w:r w:rsidR="008D1660" w:rsidRPr="00383009">
        <w:rPr>
          <w:rFonts w:cstheme="minorHAnsi"/>
          <w:sz w:val="24"/>
          <w:szCs w:val="24"/>
        </w:rPr>
        <w:t xml:space="preserve">). </w:t>
      </w:r>
    </w:p>
    <w:p w:rsidR="00B7664F" w:rsidRPr="00383009" w:rsidRDefault="001C3D9B" w:rsidP="00383009">
      <w:pPr>
        <w:spacing w:line="276" w:lineRule="auto"/>
        <w:jc w:val="both"/>
        <w:rPr>
          <w:rFonts w:cstheme="minorHAnsi"/>
          <w:sz w:val="24"/>
          <w:szCs w:val="24"/>
        </w:rPr>
      </w:pPr>
      <w:r>
        <w:rPr>
          <w:rFonts w:cstheme="minorHAnsi"/>
          <w:sz w:val="24"/>
          <w:szCs w:val="24"/>
        </w:rPr>
        <w:t>A trade</w:t>
      </w:r>
      <w:r w:rsidR="001C3ACE" w:rsidRPr="00383009">
        <w:rPr>
          <w:rFonts w:cstheme="minorHAnsi"/>
          <w:sz w:val="24"/>
          <w:szCs w:val="24"/>
        </w:rPr>
        <w:t>mark</w:t>
      </w:r>
      <w:r w:rsidR="00755D7A" w:rsidRPr="00383009">
        <w:rPr>
          <w:rFonts w:cstheme="minorHAnsi"/>
          <w:sz w:val="24"/>
          <w:szCs w:val="24"/>
        </w:rPr>
        <w:t xml:space="preserve"> infringement action allows a reg</w:t>
      </w:r>
      <w:r>
        <w:rPr>
          <w:rFonts w:cstheme="minorHAnsi"/>
          <w:sz w:val="24"/>
          <w:szCs w:val="24"/>
        </w:rPr>
        <w:t>istered right-holder of a trade</w:t>
      </w:r>
      <w:r w:rsidR="00755D7A" w:rsidRPr="00383009">
        <w:rPr>
          <w:rFonts w:cstheme="minorHAnsi"/>
          <w:sz w:val="24"/>
          <w:szCs w:val="24"/>
        </w:rPr>
        <w:t xml:space="preserve">mark to prevent third parties from using signs that are confusing with the </w:t>
      </w:r>
      <w:r>
        <w:rPr>
          <w:rFonts w:cstheme="minorHAnsi"/>
          <w:sz w:val="24"/>
          <w:szCs w:val="24"/>
        </w:rPr>
        <w:t>registered trade</w:t>
      </w:r>
      <w:r w:rsidR="006E4F57" w:rsidRPr="00383009">
        <w:rPr>
          <w:rFonts w:cstheme="minorHAnsi"/>
          <w:sz w:val="24"/>
          <w:szCs w:val="24"/>
        </w:rPr>
        <w:t>mark</w:t>
      </w:r>
      <w:r w:rsidR="00755D7A" w:rsidRPr="00383009">
        <w:rPr>
          <w:rFonts w:cstheme="minorHAnsi"/>
          <w:sz w:val="24"/>
          <w:szCs w:val="24"/>
        </w:rPr>
        <w:t xml:space="preserve"> pursuant to</w:t>
      </w:r>
      <w:r w:rsidR="009539A0" w:rsidRPr="00383009">
        <w:rPr>
          <w:rFonts w:cstheme="minorHAnsi"/>
          <w:sz w:val="24"/>
          <w:szCs w:val="24"/>
        </w:rPr>
        <w:t xml:space="preserve"> section 20(1</w:t>
      </w:r>
      <w:proofErr w:type="gramStart"/>
      <w:r w:rsidR="009539A0" w:rsidRPr="00383009">
        <w:rPr>
          <w:rFonts w:cstheme="minorHAnsi"/>
          <w:sz w:val="24"/>
          <w:szCs w:val="24"/>
        </w:rPr>
        <w:t>)(</w:t>
      </w:r>
      <w:proofErr w:type="gramEnd"/>
      <w:r w:rsidR="009539A0" w:rsidRPr="00383009">
        <w:rPr>
          <w:rFonts w:cstheme="minorHAnsi"/>
          <w:sz w:val="24"/>
          <w:szCs w:val="24"/>
        </w:rPr>
        <w:t>a) TMA</w:t>
      </w:r>
      <w:r w:rsidR="00755D7A" w:rsidRPr="00383009">
        <w:rPr>
          <w:rFonts w:cstheme="minorHAnsi"/>
          <w:sz w:val="24"/>
          <w:szCs w:val="24"/>
        </w:rPr>
        <w:t xml:space="preserve">. </w:t>
      </w:r>
      <w:r w:rsidR="009539A0" w:rsidRPr="00383009">
        <w:rPr>
          <w:rFonts w:cstheme="minorHAnsi"/>
          <w:sz w:val="24"/>
          <w:szCs w:val="24"/>
        </w:rPr>
        <w:t xml:space="preserve"> </w:t>
      </w:r>
      <w:r w:rsidR="00C31E51" w:rsidRPr="00383009">
        <w:rPr>
          <w:rFonts w:cstheme="minorHAnsi"/>
          <w:sz w:val="24"/>
          <w:szCs w:val="24"/>
        </w:rPr>
        <w:t xml:space="preserve">The test </w:t>
      </w:r>
      <w:r>
        <w:rPr>
          <w:rFonts w:cstheme="minorHAnsi"/>
          <w:sz w:val="24"/>
          <w:szCs w:val="24"/>
        </w:rPr>
        <w:t>determining</w:t>
      </w:r>
      <w:r w:rsidR="00C31E51" w:rsidRPr="00383009">
        <w:rPr>
          <w:rFonts w:cstheme="minorHAnsi"/>
          <w:sz w:val="24"/>
          <w:szCs w:val="24"/>
        </w:rPr>
        <w:t xml:space="preserve"> confusion in the marketplace involves a presumption that the average consumer may b</w:t>
      </w:r>
      <w:r w:rsidR="000568B2">
        <w:rPr>
          <w:rFonts w:cstheme="minorHAnsi"/>
          <w:sz w:val="24"/>
          <w:szCs w:val="24"/>
        </w:rPr>
        <w:t>e aware of the registered trade</w:t>
      </w:r>
      <w:r w:rsidR="00C31E51" w:rsidRPr="00383009">
        <w:rPr>
          <w:rFonts w:cstheme="minorHAnsi"/>
          <w:sz w:val="24"/>
          <w:szCs w:val="24"/>
        </w:rPr>
        <w:t>mark but has an imperfect recollection</w:t>
      </w:r>
      <w:r w:rsidR="00FC7891" w:rsidRPr="00383009">
        <w:rPr>
          <w:rFonts w:cstheme="minorHAnsi"/>
          <w:sz w:val="24"/>
          <w:szCs w:val="24"/>
        </w:rPr>
        <w:t xml:space="preserve"> (sections </w:t>
      </w:r>
      <w:proofErr w:type="gramStart"/>
      <w:r w:rsidR="00FC7891" w:rsidRPr="00383009">
        <w:rPr>
          <w:rFonts w:cstheme="minorHAnsi"/>
          <w:sz w:val="24"/>
          <w:szCs w:val="24"/>
        </w:rPr>
        <w:t>2</w:t>
      </w:r>
      <w:proofErr w:type="gramEnd"/>
      <w:r w:rsidR="00FC7891" w:rsidRPr="00383009">
        <w:rPr>
          <w:rFonts w:cstheme="minorHAnsi"/>
          <w:sz w:val="24"/>
          <w:szCs w:val="24"/>
        </w:rPr>
        <w:t xml:space="preserve"> &amp; 6 TMA)</w:t>
      </w:r>
      <w:r w:rsidR="00C31E51" w:rsidRPr="00383009">
        <w:rPr>
          <w:rFonts w:cstheme="minorHAnsi"/>
          <w:sz w:val="24"/>
          <w:szCs w:val="24"/>
        </w:rPr>
        <w:t>. Hence, the test is one of impression</w:t>
      </w:r>
      <w:r w:rsidR="00EE37B1" w:rsidRPr="00383009">
        <w:rPr>
          <w:rFonts w:cstheme="minorHAnsi"/>
          <w:sz w:val="24"/>
          <w:szCs w:val="24"/>
        </w:rPr>
        <w:t xml:space="preserve"> considering the </w:t>
      </w:r>
      <w:r w:rsidR="00AE5603" w:rsidRPr="00383009">
        <w:rPr>
          <w:rFonts w:cstheme="minorHAnsi"/>
          <w:sz w:val="24"/>
          <w:szCs w:val="24"/>
        </w:rPr>
        <w:t xml:space="preserve">overall degree of resemblance in the appearance, sounds and </w:t>
      </w:r>
      <w:r w:rsidR="00EE350A" w:rsidRPr="00383009">
        <w:rPr>
          <w:rFonts w:cstheme="minorHAnsi"/>
          <w:sz w:val="24"/>
          <w:szCs w:val="24"/>
        </w:rPr>
        <w:t>ideas conveyed</w:t>
      </w:r>
      <w:r w:rsidR="00EC2C6F" w:rsidRPr="00383009">
        <w:rPr>
          <w:rFonts w:cstheme="minorHAnsi"/>
          <w:sz w:val="24"/>
          <w:szCs w:val="24"/>
        </w:rPr>
        <w:t xml:space="preserve"> (para 45 </w:t>
      </w:r>
      <w:r w:rsidR="00EC2C6F" w:rsidRPr="002E5FB3">
        <w:rPr>
          <w:rFonts w:eastAsia="Times New Roman" w:cstheme="minorHAnsi"/>
          <w:color w:val="000000"/>
          <w:sz w:val="24"/>
          <w:szCs w:val="24"/>
          <w:lang w:eastAsia="en-GB"/>
        </w:rPr>
        <w:t>citing</w:t>
      </w:r>
      <w:r w:rsidR="00EC2C6F" w:rsidRPr="00383009">
        <w:rPr>
          <w:rFonts w:eastAsia="Times New Roman" w:cstheme="minorHAnsi"/>
          <w:color w:val="000000"/>
          <w:sz w:val="24"/>
          <w:szCs w:val="24"/>
          <w:lang w:eastAsia="en-GB"/>
        </w:rPr>
        <w:t xml:space="preserve"> </w:t>
      </w:r>
      <w:proofErr w:type="spellStart"/>
      <w:r w:rsidR="00EC2C6F" w:rsidRPr="002E5FB3">
        <w:rPr>
          <w:rFonts w:eastAsia="Times New Roman" w:cstheme="minorHAnsi"/>
          <w:i/>
          <w:iCs/>
          <w:sz w:val="24"/>
          <w:szCs w:val="24"/>
          <w:lang w:eastAsia="en-GB"/>
        </w:rPr>
        <w:t>Veuve</w:t>
      </w:r>
      <w:proofErr w:type="spellEnd"/>
      <w:r w:rsidR="00EC2C6F" w:rsidRPr="002E5FB3">
        <w:rPr>
          <w:rFonts w:eastAsia="Times New Roman" w:cstheme="minorHAnsi"/>
          <w:i/>
          <w:iCs/>
          <w:sz w:val="24"/>
          <w:szCs w:val="24"/>
          <w:lang w:eastAsia="en-GB"/>
        </w:rPr>
        <w:t xml:space="preserve"> </w:t>
      </w:r>
      <w:proofErr w:type="spellStart"/>
      <w:r w:rsidR="00EC2C6F" w:rsidRPr="002E5FB3">
        <w:rPr>
          <w:rFonts w:eastAsia="Times New Roman" w:cstheme="minorHAnsi"/>
          <w:i/>
          <w:iCs/>
          <w:sz w:val="24"/>
          <w:szCs w:val="24"/>
          <w:lang w:eastAsia="en-GB"/>
        </w:rPr>
        <w:t>Clicquot</w:t>
      </w:r>
      <w:proofErr w:type="spellEnd"/>
      <w:r w:rsidR="00EC2C6F" w:rsidRPr="002E5FB3">
        <w:rPr>
          <w:rFonts w:eastAsia="Times New Roman" w:cstheme="minorHAnsi"/>
          <w:i/>
          <w:iCs/>
          <w:sz w:val="24"/>
          <w:szCs w:val="24"/>
          <w:lang w:eastAsia="en-GB"/>
        </w:rPr>
        <w:t xml:space="preserve"> </w:t>
      </w:r>
      <w:proofErr w:type="spellStart"/>
      <w:r w:rsidR="00EC2C6F" w:rsidRPr="002E5FB3">
        <w:rPr>
          <w:rFonts w:eastAsia="Times New Roman" w:cstheme="minorHAnsi"/>
          <w:i/>
          <w:iCs/>
          <w:sz w:val="24"/>
          <w:szCs w:val="24"/>
          <w:lang w:eastAsia="en-GB"/>
        </w:rPr>
        <w:t>Ponsardin</w:t>
      </w:r>
      <w:proofErr w:type="spellEnd"/>
      <w:r w:rsidR="00EC2C6F" w:rsidRPr="002E5FB3">
        <w:rPr>
          <w:rFonts w:eastAsia="Times New Roman" w:cstheme="minorHAnsi"/>
          <w:i/>
          <w:iCs/>
          <w:sz w:val="24"/>
          <w:szCs w:val="24"/>
          <w:lang w:eastAsia="en-GB"/>
        </w:rPr>
        <w:t xml:space="preserve"> v Boutiques </w:t>
      </w:r>
      <w:proofErr w:type="spellStart"/>
      <w:r w:rsidR="00EC2C6F" w:rsidRPr="002E5FB3">
        <w:rPr>
          <w:rFonts w:eastAsia="Times New Roman" w:cstheme="minorHAnsi"/>
          <w:i/>
          <w:iCs/>
          <w:sz w:val="24"/>
          <w:szCs w:val="24"/>
          <w:lang w:eastAsia="en-GB"/>
        </w:rPr>
        <w:t>Cliquot</w:t>
      </w:r>
      <w:proofErr w:type="spellEnd"/>
      <w:r w:rsidR="00EC2C6F" w:rsidRPr="002E5FB3">
        <w:rPr>
          <w:rFonts w:eastAsia="Times New Roman" w:cstheme="minorHAnsi"/>
          <w:i/>
          <w:iCs/>
          <w:sz w:val="24"/>
          <w:szCs w:val="24"/>
          <w:lang w:eastAsia="en-GB"/>
        </w:rPr>
        <w:t xml:space="preserve"> </w:t>
      </w:r>
      <w:proofErr w:type="spellStart"/>
      <w:r w:rsidR="00EC2C6F" w:rsidRPr="002E5FB3">
        <w:rPr>
          <w:rFonts w:eastAsia="Times New Roman" w:cstheme="minorHAnsi"/>
          <w:i/>
          <w:iCs/>
          <w:sz w:val="24"/>
          <w:szCs w:val="24"/>
          <w:lang w:eastAsia="en-GB"/>
        </w:rPr>
        <w:t>Ltee</w:t>
      </w:r>
      <w:proofErr w:type="spellEnd"/>
      <w:r w:rsidR="00EC2C6F" w:rsidRPr="002E5FB3">
        <w:rPr>
          <w:rFonts w:eastAsia="Times New Roman" w:cstheme="minorHAnsi"/>
          <w:sz w:val="24"/>
          <w:szCs w:val="24"/>
          <w:lang w:eastAsia="en-GB"/>
        </w:rPr>
        <w:t xml:space="preserve">, [2006] </w:t>
      </w:r>
      <w:proofErr w:type="gramStart"/>
      <w:r w:rsidR="00EC2C6F" w:rsidRPr="002E5FB3">
        <w:rPr>
          <w:rFonts w:eastAsia="Times New Roman" w:cstheme="minorHAnsi"/>
          <w:sz w:val="24"/>
          <w:szCs w:val="24"/>
          <w:lang w:eastAsia="en-GB"/>
        </w:rPr>
        <w:t>1</w:t>
      </w:r>
      <w:proofErr w:type="gramEnd"/>
      <w:r w:rsidR="00EC2C6F" w:rsidRPr="002E5FB3">
        <w:rPr>
          <w:rFonts w:eastAsia="Times New Roman" w:cstheme="minorHAnsi"/>
          <w:sz w:val="24"/>
          <w:szCs w:val="24"/>
          <w:lang w:eastAsia="en-GB"/>
        </w:rPr>
        <w:t xml:space="preserve"> SCR 824, </w:t>
      </w:r>
      <w:r w:rsidR="00EC2C6F" w:rsidRPr="002E5FB3">
        <w:rPr>
          <w:rFonts w:eastAsia="Times New Roman" w:cstheme="minorHAnsi"/>
          <w:color w:val="000000"/>
          <w:sz w:val="24"/>
          <w:szCs w:val="24"/>
          <w:lang w:eastAsia="en-GB"/>
        </w:rPr>
        <w:t>para 20</w:t>
      </w:r>
      <w:r w:rsidR="00EC2C6F" w:rsidRPr="00383009">
        <w:rPr>
          <w:rFonts w:cstheme="minorHAnsi"/>
          <w:sz w:val="24"/>
          <w:szCs w:val="24"/>
        </w:rPr>
        <w:t>)</w:t>
      </w:r>
      <w:r w:rsidR="00C31E51" w:rsidRPr="00383009">
        <w:rPr>
          <w:rFonts w:cstheme="minorHAnsi"/>
          <w:sz w:val="24"/>
          <w:szCs w:val="24"/>
        </w:rPr>
        <w:t xml:space="preserve">. </w:t>
      </w:r>
      <w:r w:rsidR="006E4F57" w:rsidRPr="00383009">
        <w:rPr>
          <w:rFonts w:cstheme="minorHAnsi"/>
          <w:sz w:val="24"/>
          <w:szCs w:val="24"/>
        </w:rPr>
        <w:t xml:space="preserve"> </w:t>
      </w:r>
    </w:p>
    <w:p w:rsidR="00AD66AD" w:rsidRPr="00383009" w:rsidRDefault="007034AD" w:rsidP="00383009">
      <w:pPr>
        <w:spacing w:line="276" w:lineRule="auto"/>
        <w:jc w:val="both"/>
        <w:rPr>
          <w:rFonts w:eastAsia="Times New Roman" w:cstheme="minorHAnsi"/>
          <w:color w:val="000000"/>
          <w:sz w:val="24"/>
          <w:szCs w:val="24"/>
          <w:lang w:eastAsia="en-GB"/>
        </w:rPr>
      </w:pPr>
      <w:r w:rsidRPr="00383009">
        <w:rPr>
          <w:rFonts w:cstheme="minorHAnsi"/>
          <w:sz w:val="24"/>
          <w:szCs w:val="24"/>
        </w:rPr>
        <w:t xml:space="preserve">Under copyright law, </w:t>
      </w:r>
      <w:r w:rsidR="001C3ACE" w:rsidRPr="00383009">
        <w:rPr>
          <w:rFonts w:cstheme="minorHAnsi"/>
          <w:sz w:val="24"/>
          <w:szCs w:val="24"/>
        </w:rPr>
        <w:t xml:space="preserve">section 29 CA provides </w:t>
      </w:r>
      <w:r w:rsidR="00FA1C14" w:rsidRPr="00383009">
        <w:rPr>
          <w:rFonts w:cstheme="minorHAnsi"/>
          <w:sz w:val="24"/>
          <w:szCs w:val="24"/>
        </w:rPr>
        <w:t xml:space="preserve">the availability of </w:t>
      </w:r>
      <w:r w:rsidR="001C3ACE" w:rsidRPr="00383009">
        <w:rPr>
          <w:rFonts w:cstheme="minorHAnsi"/>
          <w:sz w:val="24"/>
          <w:szCs w:val="24"/>
        </w:rPr>
        <w:t>a defence for the purposes of parody and satire. Once infringement established</w:t>
      </w:r>
      <w:r w:rsidR="008D4D33">
        <w:rPr>
          <w:rFonts w:cstheme="minorHAnsi"/>
          <w:sz w:val="24"/>
          <w:szCs w:val="24"/>
        </w:rPr>
        <w:t xml:space="preserve"> according to the traditional infringement test</w:t>
      </w:r>
      <w:r w:rsidR="001C3ACE" w:rsidRPr="00383009">
        <w:rPr>
          <w:rFonts w:cstheme="minorHAnsi"/>
          <w:sz w:val="24"/>
          <w:szCs w:val="24"/>
        </w:rPr>
        <w:t xml:space="preserve">, the defendant must prove that the use was for the purposes of parody or satire and that the dealing was fair. </w:t>
      </w:r>
      <w:r w:rsidR="000D4BA2" w:rsidRPr="00383009">
        <w:rPr>
          <w:rFonts w:cstheme="minorHAnsi"/>
          <w:sz w:val="24"/>
          <w:szCs w:val="24"/>
        </w:rPr>
        <w:t xml:space="preserve">Fairness is a judicial creation requiring a ‘holistic’ assessment </w:t>
      </w:r>
      <w:r w:rsidR="0039296D" w:rsidRPr="00383009">
        <w:rPr>
          <w:rFonts w:cstheme="minorHAnsi"/>
          <w:sz w:val="24"/>
          <w:szCs w:val="24"/>
        </w:rPr>
        <w:t xml:space="preserve">on behalf of judges </w:t>
      </w:r>
      <w:r w:rsidR="000D4BA2" w:rsidRPr="00383009">
        <w:rPr>
          <w:rFonts w:cstheme="minorHAnsi"/>
          <w:sz w:val="24"/>
          <w:szCs w:val="24"/>
        </w:rPr>
        <w:t>based upon six variables</w:t>
      </w:r>
      <w:r w:rsidR="0039296D" w:rsidRPr="00383009">
        <w:rPr>
          <w:rFonts w:cstheme="minorHAnsi"/>
          <w:sz w:val="24"/>
          <w:szCs w:val="24"/>
        </w:rPr>
        <w:t xml:space="preserve"> applied to particular facts: </w:t>
      </w:r>
      <w:r w:rsidR="0039296D" w:rsidRPr="002E5FB3">
        <w:rPr>
          <w:rFonts w:eastAsia="Times New Roman" w:cstheme="minorHAnsi"/>
          <w:color w:val="000000"/>
          <w:sz w:val="24"/>
          <w:szCs w:val="24"/>
          <w:lang w:eastAsia="en-GB"/>
        </w:rPr>
        <w:t>the purpose and character of the dealing, the amount copied, whether the alleged infringer had alternatives to the dealing, the nature of the copied work, and the effect of the dealing on the work</w:t>
      </w:r>
      <w:r w:rsidR="0039296D" w:rsidRPr="00383009">
        <w:rPr>
          <w:rFonts w:eastAsia="Times New Roman" w:cstheme="minorHAnsi"/>
          <w:color w:val="000000"/>
          <w:sz w:val="24"/>
          <w:szCs w:val="24"/>
          <w:lang w:eastAsia="en-GB"/>
        </w:rPr>
        <w:t>. Finally, the defence cannot be construed restrictively as the Canadian Supreme Court</w:t>
      </w:r>
      <w:r w:rsidR="00FA1C14" w:rsidRPr="00383009">
        <w:rPr>
          <w:rFonts w:eastAsia="Times New Roman" w:cstheme="minorHAnsi"/>
          <w:color w:val="000000"/>
          <w:sz w:val="24"/>
          <w:szCs w:val="24"/>
          <w:lang w:eastAsia="en-GB"/>
        </w:rPr>
        <w:t xml:space="preserve"> in </w:t>
      </w:r>
      <w:r w:rsidR="00FA1C14" w:rsidRPr="002E5FB3">
        <w:rPr>
          <w:rFonts w:eastAsia="Times New Roman" w:cstheme="minorHAnsi"/>
          <w:i/>
          <w:iCs/>
          <w:sz w:val="24"/>
          <w:szCs w:val="24"/>
          <w:lang w:eastAsia="en-GB"/>
        </w:rPr>
        <w:t>CCH Canadian Ltd v Law Society of Upper Canada</w:t>
      </w:r>
      <w:r w:rsidR="00FA1C14" w:rsidRPr="002E5FB3">
        <w:rPr>
          <w:rFonts w:eastAsia="Times New Roman" w:cstheme="minorHAnsi"/>
          <w:sz w:val="24"/>
          <w:szCs w:val="24"/>
          <w:lang w:eastAsia="en-GB"/>
        </w:rPr>
        <w:t>, [2004] 1 SCR 339</w:t>
      </w:r>
      <w:r w:rsidR="00FA1C14" w:rsidRPr="00383009">
        <w:rPr>
          <w:rFonts w:eastAsia="Times New Roman" w:cstheme="minorHAnsi"/>
          <w:sz w:val="24"/>
          <w:szCs w:val="24"/>
          <w:lang w:eastAsia="en-GB"/>
        </w:rPr>
        <w:t xml:space="preserve"> (para 48)</w:t>
      </w:r>
      <w:r w:rsidR="0039296D" w:rsidRPr="00383009">
        <w:rPr>
          <w:rFonts w:eastAsia="Times New Roman" w:cstheme="minorHAnsi"/>
          <w:color w:val="000000"/>
          <w:sz w:val="24"/>
          <w:szCs w:val="24"/>
          <w:lang w:eastAsia="en-GB"/>
        </w:rPr>
        <w:t xml:space="preserve"> noted that copyright exceptions are ‘</w:t>
      </w:r>
      <w:r w:rsidR="0039296D" w:rsidRPr="00383009">
        <w:rPr>
          <w:rFonts w:eastAsia="Times New Roman" w:cstheme="minorHAnsi"/>
          <w:sz w:val="24"/>
          <w:szCs w:val="24"/>
          <w:lang w:eastAsia="en-GB"/>
        </w:rPr>
        <w:t>users’ rights’</w:t>
      </w:r>
      <w:r w:rsidR="00EB7BF6" w:rsidRPr="00383009">
        <w:rPr>
          <w:rFonts w:eastAsia="Times New Roman" w:cstheme="minorHAnsi"/>
          <w:sz w:val="24"/>
          <w:szCs w:val="24"/>
          <w:lang w:eastAsia="en-GB"/>
        </w:rPr>
        <w:t xml:space="preserve"> (</w:t>
      </w:r>
      <w:r w:rsidR="00EB7BF6" w:rsidRPr="002E5FB3">
        <w:rPr>
          <w:rFonts w:eastAsia="Times New Roman" w:cstheme="minorHAnsi"/>
          <w:sz w:val="24"/>
          <w:szCs w:val="24"/>
          <w:lang w:eastAsia="en-GB"/>
        </w:rPr>
        <w:t>confirmed in </w:t>
      </w:r>
      <w:proofErr w:type="spellStart"/>
      <w:r w:rsidR="00EB7BF6" w:rsidRPr="002E5FB3">
        <w:rPr>
          <w:rFonts w:eastAsia="Times New Roman" w:cstheme="minorHAnsi"/>
          <w:i/>
          <w:iCs/>
          <w:sz w:val="24"/>
          <w:szCs w:val="24"/>
          <w:lang w:eastAsia="en-GB"/>
        </w:rPr>
        <w:t>Socan</w:t>
      </w:r>
      <w:proofErr w:type="spellEnd"/>
      <w:r w:rsidR="00EB7BF6" w:rsidRPr="002E5FB3">
        <w:rPr>
          <w:rFonts w:eastAsia="Times New Roman" w:cstheme="minorHAnsi"/>
          <w:i/>
          <w:iCs/>
          <w:sz w:val="24"/>
          <w:szCs w:val="24"/>
          <w:lang w:eastAsia="en-GB"/>
        </w:rPr>
        <w:t xml:space="preserve"> v Bell Canada</w:t>
      </w:r>
      <w:r w:rsidR="00EB7BF6" w:rsidRPr="002E5FB3">
        <w:rPr>
          <w:rFonts w:eastAsia="Times New Roman" w:cstheme="minorHAnsi"/>
          <w:sz w:val="24"/>
          <w:szCs w:val="24"/>
          <w:lang w:eastAsia="en-GB"/>
        </w:rPr>
        <w:t>, [2012] 2 SCR 326</w:t>
      </w:r>
      <w:r w:rsidR="00EB7BF6" w:rsidRPr="002E5FB3">
        <w:rPr>
          <w:rFonts w:eastAsia="Times New Roman" w:cstheme="minorHAnsi"/>
          <w:color w:val="000000"/>
          <w:sz w:val="24"/>
          <w:szCs w:val="24"/>
          <w:lang w:eastAsia="en-GB"/>
        </w:rPr>
        <w:t>, para 11</w:t>
      </w:r>
      <w:r w:rsidR="00EB7BF6" w:rsidRPr="00383009">
        <w:rPr>
          <w:rFonts w:eastAsia="Times New Roman" w:cstheme="minorHAnsi"/>
          <w:color w:val="000000"/>
          <w:sz w:val="24"/>
          <w:szCs w:val="24"/>
          <w:lang w:eastAsia="en-GB"/>
        </w:rPr>
        <w:t>).</w:t>
      </w:r>
    </w:p>
    <w:p w:rsidR="00B97356" w:rsidRPr="00383009" w:rsidRDefault="00B97356" w:rsidP="00383009">
      <w:pPr>
        <w:pStyle w:val="Heading1"/>
        <w:spacing w:line="276" w:lineRule="auto"/>
        <w:jc w:val="both"/>
        <w:rPr>
          <w:rFonts w:asciiTheme="minorHAnsi" w:hAnsiTheme="minorHAnsi" w:cstheme="minorHAnsi"/>
          <w:b/>
          <w:sz w:val="24"/>
          <w:szCs w:val="24"/>
        </w:rPr>
      </w:pPr>
      <w:r w:rsidRPr="00383009">
        <w:rPr>
          <w:rFonts w:asciiTheme="minorHAnsi" w:hAnsiTheme="minorHAnsi" w:cstheme="minorHAnsi"/>
          <w:b/>
          <w:sz w:val="24"/>
          <w:szCs w:val="24"/>
        </w:rPr>
        <w:lastRenderedPageBreak/>
        <w:t>Facts</w:t>
      </w:r>
    </w:p>
    <w:p w:rsidR="00EB7BF6" w:rsidRPr="00383009" w:rsidRDefault="000A3EB5" w:rsidP="00383009">
      <w:pPr>
        <w:spacing w:before="240" w:line="276" w:lineRule="auto"/>
        <w:jc w:val="both"/>
        <w:rPr>
          <w:sz w:val="24"/>
          <w:szCs w:val="24"/>
        </w:rPr>
      </w:pPr>
      <w:r>
        <w:rPr>
          <w:sz w:val="24"/>
          <w:szCs w:val="24"/>
        </w:rPr>
        <w:t>R</w:t>
      </w:r>
      <w:r w:rsidR="0032606C" w:rsidRPr="00383009">
        <w:rPr>
          <w:sz w:val="24"/>
          <w:szCs w:val="24"/>
        </w:rPr>
        <w:t>unning a consumer criticism website</w:t>
      </w:r>
      <w:r w:rsidR="00056FE6" w:rsidRPr="00383009">
        <w:rPr>
          <w:sz w:val="24"/>
          <w:szCs w:val="24"/>
        </w:rPr>
        <w:t xml:space="preserve"> (www.untied.com)</w:t>
      </w:r>
      <w:r w:rsidR="0032606C" w:rsidRPr="00383009">
        <w:rPr>
          <w:sz w:val="24"/>
          <w:szCs w:val="24"/>
        </w:rPr>
        <w:t xml:space="preserve"> for over 20 years, Dr</w:t>
      </w:r>
      <w:r w:rsidR="000568B2">
        <w:rPr>
          <w:sz w:val="24"/>
          <w:szCs w:val="24"/>
        </w:rPr>
        <w:t xml:space="preserve"> </w:t>
      </w:r>
      <w:proofErr w:type="spellStart"/>
      <w:r w:rsidR="000568B2">
        <w:rPr>
          <w:sz w:val="24"/>
          <w:szCs w:val="24"/>
        </w:rPr>
        <w:t>Cooperstock</w:t>
      </w:r>
      <w:proofErr w:type="spellEnd"/>
      <w:r w:rsidR="000568B2">
        <w:rPr>
          <w:sz w:val="24"/>
          <w:szCs w:val="24"/>
        </w:rPr>
        <w:t xml:space="preserve"> was sued for trade</w:t>
      </w:r>
      <w:r w:rsidR="0032606C" w:rsidRPr="00383009">
        <w:rPr>
          <w:sz w:val="24"/>
          <w:szCs w:val="24"/>
        </w:rPr>
        <w:t xml:space="preserve">mark and copyright infringements </w:t>
      </w:r>
      <w:r w:rsidR="0061229B" w:rsidRPr="00383009">
        <w:rPr>
          <w:sz w:val="24"/>
          <w:szCs w:val="24"/>
        </w:rPr>
        <w:t xml:space="preserve">by United Airlines. </w:t>
      </w:r>
      <w:r>
        <w:rPr>
          <w:sz w:val="24"/>
          <w:szCs w:val="24"/>
        </w:rPr>
        <w:t>C</w:t>
      </w:r>
      <w:r w:rsidR="0061229B" w:rsidRPr="00383009">
        <w:rPr>
          <w:sz w:val="24"/>
          <w:szCs w:val="24"/>
        </w:rPr>
        <w:t xml:space="preserve">reated as an outlet for Dr </w:t>
      </w:r>
      <w:proofErr w:type="spellStart"/>
      <w:r w:rsidR="0061229B" w:rsidRPr="00383009">
        <w:rPr>
          <w:sz w:val="24"/>
          <w:szCs w:val="24"/>
        </w:rPr>
        <w:t>Cooperstock</w:t>
      </w:r>
      <w:proofErr w:type="spellEnd"/>
      <w:r w:rsidR="0061229B" w:rsidRPr="00383009">
        <w:rPr>
          <w:sz w:val="24"/>
          <w:szCs w:val="24"/>
        </w:rPr>
        <w:t xml:space="preserve"> to highlight the failings o</w:t>
      </w:r>
      <w:r w:rsidR="00502EBA" w:rsidRPr="00383009">
        <w:rPr>
          <w:sz w:val="24"/>
          <w:szCs w:val="24"/>
        </w:rPr>
        <w:t xml:space="preserve">f the commercial airline, the website became a way for thousands of unfortunate customers to </w:t>
      </w:r>
      <w:r w:rsidR="00056FE6" w:rsidRPr="00383009">
        <w:rPr>
          <w:sz w:val="24"/>
          <w:szCs w:val="24"/>
        </w:rPr>
        <w:t xml:space="preserve">let off steam and send </w:t>
      </w:r>
      <w:r w:rsidR="00113EA9" w:rsidRPr="00383009">
        <w:rPr>
          <w:sz w:val="24"/>
          <w:szCs w:val="24"/>
        </w:rPr>
        <w:t>complaints</w:t>
      </w:r>
      <w:r w:rsidR="00056FE6" w:rsidRPr="00383009">
        <w:rPr>
          <w:sz w:val="24"/>
          <w:szCs w:val="24"/>
        </w:rPr>
        <w:t xml:space="preserve"> to the airline for about 20 years.</w:t>
      </w:r>
      <w:r w:rsidR="00113EA9" w:rsidRPr="00383009">
        <w:rPr>
          <w:sz w:val="24"/>
          <w:szCs w:val="24"/>
        </w:rPr>
        <w:t xml:space="preserve"> To bring in</w:t>
      </w:r>
      <w:r w:rsidR="00B05184" w:rsidRPr="00383009">
        <w:rPr>
          <w:sz w:val="24"/>
          <w:szCs w:val="24"/>
        </w:rPr>
        <w:t>to</w:t>
      </w:r>
      <w:r w:rsidR="00113EA9" w:rsidRPr="00383009">
        <w:rPr>
          <w:sz w:val="24"/>
          <w:szCs w:val="24"/>
        </w:rPr>
        <w:t xml:space="preserve"> the users’ mind United Airlines, Dr </w:t>
      </w:r>
      <w:proofErr w:type="spellStart"/>
      <w:r w:rsidR="00113EA9" w:rsidRPr="00383009">
        <w:rPr>
          <w:sz w:val="24"/>
          <w:szCs w:val="24"/>
        </w:rPr>
        <w:t>Cooperstock</w:t>
      </w:r>
      <w:proofErr w:type="spellEnd"/>
      <w:r w:rsidR="00113EA9" w:rsidRPr="00383009">
        <w:rPr>
          <w:sz w:val="24"/>
          <w:szCs w:val="24"/>
        </w:rPr>
        <w:t xml:space="preserve"> not only modified ‘United’ into ‘Untied’</w:t>
      </w:r>
      <w:r w:rsidR="00BE639A" w:rsidRPr="00383009">
        <w:rPr>
          <w:sz w:val="24"/>
          <w:szCs w:val="24"/>
        </w:rPr>
        <w:t xml:space="preserve"> </w:t>
      </w:r>
      <w:r w:rsidR="004B6A9F" w:rsidRPr="00383009">
        <w:rPr>
          <w:sz w:val="24"/>
          <w:szCs w:val="24"/>
        </w:rPr>
        <w:t>but also</w:t>
      </w:r>
      <w:r w:rsidR="00BE639A" w:rsidRPr="00383009">
        <w:rPr>
          <w:sz w:val="24"/>
          <w:szCs w:val="24"/>
        </w:rPr>
        <w:t xml:space="preserve"> </w:t>
      </w:r>
      <w:r w:rsidR="00113EA9" w:rsidRPr="00383009">
        <w:rPr>
          <w:sz w:val="24"/>
          <w:szCs w:val="24"/>
        </w:rPr>
        <w:t xml:space="preserve">changed the colours </w:t>
      </w:r>
      <w:r w:rsidR="00BE639A" w:rsidRPr="00383009">
        <w:rPr>
          <w:sz w:val="24"/>
          <w:szCs w:val="24"/>
        </w:rPr>
        <w:t xml:space="preserve">of the ‘T’ and the ‘I’ from blue to red, and added a freehand red frown on the logo. </w:t>
      </w:r>
      <w:r w:rsidR="00B05184" w:rsidRPr="00383009">
        <w:rPr>
          <w:sz w:val="24"/>
          <w:szCs w:val="24"/>
        </w:rPr>
        <w:t xml:space="preserve">Furthermore, to avoid confusion, </w:t>
      </w:r>
      <w:r w:rsidR="00D76D20" w:rsidRPr="00383009">
        <w:rPr>
          <w:sz w:val="24"/>
          <w:szCs w:val="24"/>
        </w:rPr>
        <w:t xml:space="preserve">a pop-up dialogue box </w:t>
      </w:r>
      <w:proofErr w:type="gramStart"/>
      <w:r w:rsidR="00D76D20" w:rsidRPr="00383009">
        <w:rPr>
          <w:sz w:val="24"/>
          <w:szCs w:val="24"/>
        </w:rPr>
        <w:t>was incorporated</w:t>
      </w:r>
      <w:proofErr w:type="gramEnd"/>
      <w:r w:rsidR="00D76D20" w:rsidRPr="00383009">
        <w:rPr>
          <w:sz w:val="24"/>
          <w:szCs w:val="24"/>
        </w:rPr>
        <w:t xml:space="preserve">, providing </w:t>
      </w:r>
      <w:r w:rsidR="000E1DF5" w:rsidRPr="00383009">
        <w:rPr>
          <w:sz w:val="24"/>
          <w:szCs w:val="24"/>
        </w:rPr>
        <w:t xml:space="preserve">a disclaimer to users that the website is not the official website of United Airlines. Further warning </w:t>
      </w:r>
      <w:proofErr w:type="gramStart"/>
      <w:r w:rsidR="000E1DF5" w:rsidRPr="00383009">
        <w:rPr>
          <w:sz w:val="24"/>
          <w:szCs w:val="24"/>
        </w:rPr>
        <w:t>can also be found</w:t>
      </w:r>
      <w:proofErr w:type="gramEnd"/>
      <w:r w:rsidR="000E1DF5" w:rsidRPr="00383009">
        <w:rPr>
          <w:sz w:val="24"/>
          <w:szCs w:val="24"/>
        </w:rPr>
        <w:t xml:space="preserve"> in the top left corner of each website page.</w:t>
      </w:r>
    </w:p>
    <w:p w:rsidR="00B97356" w:rsidRPr="00383009" w:rsidRDefault="00B97356" w:rsidP="00383009">
      <w:pPr>
        <w:pStyle w:val="Heading1"/>
        <w:spacing w:line="276" w:lineRule="auto"/>
        <w:jc w:val="both"/>
        <w:rPr>
          <w:rFonts w:asciiTheme="minorHAnsi" w:hAnsiTheme="minorHAnsi" w:cstheme="minorHAnsi"/>
          <w:b/>
          <w:sz w:val="24"/>
          <w:szCs w:val="24"/>
        </w:rPr>
      </w:pPr>
      <w:r w:rsidRPr="00383009">
        <w:rPr>
          <w:rFonts w:asciiTheme="minorHAnsi" w:hAnsiTheme="minorHAnsi" w:cstheme="minorHAnsi"/>
          <w:b/>
          <w:sz w:val="24"/>
          <w:szCs w:val="24"/>
        </w:rPr>
        <w:t>Analysis</w:t>
      </w:r>
    </w:p>
    <w:p w:rsidR="00D86609" w:rsidRPr="00383009" w:rsidRDefault="000A3EB5" w:rsidP="00383009">
      <w:pPr>
        <w:spacing w:before="240" w:line="276" w:lineRule="auto"/>
        <w:jc w:val="both"/>
        <w:rPr>
          <w:sz w:val="24"/>
          <w:szCs w:val="24"/>
        </w:rPr>
      </w:pPr>
      <w:r>
        <w:rPr>
          <w:sz w:val="24"/>
          <w:szCs w:val="24"/>
        </w:rPr>
        <w:t>Without a</w:t>
      </w:r>
      <w:r w:rsidR="006575DC" w:rsidRPr="00383009">
        <w:rPr>
          <w:sz w:val="24"/>
          <w:szCs w:val="24"/>
        </w:rPr>
        <w:t xml:space="preserve"> par</w:t>
      </w:r>
      <w:r w:rsidR="000568B2">
        <w:rPr>
          <w:sz w:val="24"/>
          <w:szCs w:val="24"/>
        </w:rPr>
        <w:t xml:space="preserve">ody exception under </w:t>
      </w:r>
      <w:r>
        <w:rPr>
          <w:sz w:val="24"/>
          <w:szCs w:val="24"/>
        </w:rPr>
        <w:t>TMA</w:t>
      </w:r>
      <w:r w:rsidR="006575DC" w:rsidRPr="00383009">
        <w:rPr>
          <w:sz w:val="24"/>
          <w:szCs w:val="24"/>
        </w:rPr>
        <w:t xml:space="preserve">, the </w:t>
      </w:r>
      <w:r w:rsidR="00572B93" w:rsidRPr="00383009">
        <w:rPr>
          <w:sz w:val="24"/>
          <w:szCs w:val="24"/>
        </w:rPr>
        <w:t xml:space="preserve">Court unsurprisingly held that the use was infringing (para 83). </w:t>
      </w:r>
      <w:r w:rsidR="000568B2">
        <w:rPr>
          <w:sz w:val="24"/>
          <w:szCs w:val="24"/>
        </w:rPr>
        <w:t>Whilst the trade</w:t>
      </w:r>
      <w:r w:rsidR="008A69EB" w:rsidRPr="00383009">
        <w:rPr>
          <w:sz w:val="24"/>
          <w:szCs w:val="24"/>
        </w:rPr>
        <w:t xml:space="preserve">mark registrations </w:t>
      </w:r>
      <w:proofErr w:type="gramStart"/>
      <w:r w:rsidR="008A69EB" w:rsidRPr="00383009">
        <w:rPr>
          <w:sz w:val="24"/>
          <w:szCs w:val="24"/>
        </w:rPr>
        <w:t>were not contested</w:t>
      </w:r>
      <w:proofErr w:type="gramEnd"/>
      <w:r w:rsidR="008A69EB" w:rsidRPr="00383009">
        <w:rPr>
          <w:sz w:val="24"/>
          <w:szCs w:val="24"/>
        </w:rPr>
        <w:t>, there was some discussion as to determining whether the defendant’s website qualified as a service.</w:t>
      </w:r>
      <w:r w:rsidR="00572B93" w:rsidRPr="00383009">
        <w:rPr>
          <w:sz w:val="24"/>
          <w:szCs w:val="24"/>
        </w:rPr>
        <w:t xml:space="preserve"> </w:t>
      </w:r>
      <w:r w:rsidR="003965FD" w:rsidRPr="00383009">
        <w:rPr>
          <w:sz w:val="24"/>
          <w:szCs w:val="24"/>
        </w:rPr>
        <w:t xml:space="preserve">Here, </w:t>
      </w:r>
      <w:r w:rsidR="00B9747A" w:rsidRPr="00383009">
        <w:rPr>
          <w:sz w:val="24"/>
          <w:szCs w:val="24"/>
        </w:rPr>
        <w:t>providing information</w:t>
      </w:r>
      <w:r w:rsidR="00A473E6">
        <w:rPr>
          <w:sz w:val="24"/>
          <w:szCs w:val="24"/>
        </w:rPr>
        <w:t xml:space="preserve"> </w:t>
      </w:r>
      <w:r w:rsidR="00A473E6" w:rsidRPr="00383009">
        <w:rPr>
          <w:sz w:val="24"/>
          <w:szCs w:val="24"/>
        </w:rPr>
        <w:t>about the services of another business</w:t>
      </w:r>
      <w:r w:rsidR="0080228B" w:rsidRPr="00383009">
        <w:rPr>
          <w:sz w:val="24"/>
          <w:szCs w:val="24"/>
        </w:rPr>
        <w:t>, without any monetary or commercial element,</w:t>
      </w:r>
      <w:r w:rsidR="00B9747A" w:rsidRPr="00383009">
        <w:rPr>
          <w:sz w:val="24"/>
          <w:szCs w:val="24"/>
        </w:rPr>
        <w:t xml:space="preserve"> was sufficient to answer in the affirmative (para 33). Adopting a broad interpretation, </w:t>
      </w:r>
      <w:r w:rsidR="0080228B" w:rsidRPr="00383009">
        <w:rPr>
          <w:sz w:val="24"/>
          <w:szCs w:val="24"/>
        </w:rPr>
        <w:t xml:space="preserve">the Court noted that the fact that the defendant’s activities benefited the public in some way </w:t>
      </w:r>
      <w:r w:rsidR="00AE6B86" w:rsidRPr="00383009">
        <w:rPr>
          <w:sz w:val="24"/>
          <w:szCs w:val="24"/>
        </w:rPr>
        <w:t>is sufficient. Moving onto the assessment of whether the defendant has used a protected sign in one of the ways contemplated by section 4 TMA (para 35)</w:t>
      </w:r>
      <w:r w:rsidR="00D83A37" w:rsidRPr="00383009">
        <w:rPr>
          <w:sz w:val="24"/>
          <w:szCs w:val="24"/>
        </w:rPr>
        <w:t>, the court held that mimicking deliberately the overall feel of the plaintiff’s website</w:t>
      </w:r>
      <w:r w:rsidR="00A473E6">
        <w:rPr>
          <w:sz w:val="24"/>
          <w:szCs w:val="24"/>
        </w:rPr>
        <w:t xml:space="preserve"> equally</w:t>
      </w:r>
      <w:r w:rsidR="00D83A37" w:rsidRPr="00383009">
        <w:rPr>
          <w:sz w:val="24"/>
          <w:szCs w:val="24"/>
        </w:rPr>
        <w:t xml:space="preserve"> satisfied this requirement. </w:t>
      </w:r>
      <w:r w:rsidR="00EC2C6F" w:rsidRPr="00383009">
        <w:rPr>
          <w:sz w:val="24"/>
          <w:szCs w:val="24"/>
        </w:rPr>
        <w:t xml:space="preserve">This brought the court to the application of the test of confusion. Did the defendant’s use of the sign induce confusion in the consumer’s mind? </w:t>
      </w:r>
      <w:r w:rsidR="00515E86" w:rsidRPr="00383009">
        <w:rPr>
          <w:sz w:val="24"/>
          <w:szCs w:val="24"/>
        </w:rPr>
        <w:t xml:space="preserve">It </w:t>
      </w:r>
      <w:proofErr w:type="gramStart"/>
      <w:r w:rsidR="00515E86" w:rsidRPr="00383009">
        <w:rPr>
          <w:sz w:val="24"/>
          <w:szCs w:val="24"/>
        </w:rPr>
        <w:t>must be reminded</w:t>
      </w:r>
      <w:proofErr w:type="gramEnd"/>
      <w:r w:rsidR="00515E86" w:rsidRPr="00383009">
        <w:rPr>
          <w:sz w:val="24"/>
          <w:szCs w:val="24"/>
        </w:rPr>
        <w:t xml:space="preserve"> that the answer to this question needs to take into consideration </w:t>
      </w:r>
      <w:r w:rsidR="00CE2725" w:rsidRPr="00383009">
        <w:rPr>
          <w:sz w:val="24"/>
          <w:szCs w:val="24"/>
        </w:rPr>
        <w:t xml:space="preserve">the sign’s distinctiveness. </w:t>
      </w:r>
      <w:r w:rsidR="00A473E6" w:rsidRPr="00A473E6">
        <w:rPr>
          <w:sz w:val="24"/>
          <w:szCs w:val="24"/>
        </w:rPr>
        <w:t>Here,</w:t>
      </w:r>
      <w:r w:rsidR="006B3C7D" w:rsidRPr="00A473E6">
        <w:rPr>
          <w:sz w:val="24"/>
          <w:szCs w:val="24"/>
        </w:rPr>
        <w:t xml:space="preserve"> the</w:t>
      </w:r>
      <w:r w:rsidR="006B3C7D" w:rsidRPr="00383009">
        <w:rPr>
          <w:sz w:val="24"/>
          <w:szCs w:val="24"/>
        </w:rPr>
        <w:t xml:space="preserve"> court sided with the plaintiff (para</w:t>
      </w:r>
      <w:r w:rsidR="009422A2" w:rsidRPr="00383009">
        <w:rPr>
          <w:sz w:val="24"/>
          <w:szCs w:val="24"/>
        </w:rPr>
        <w:t>s</w:t>
      </w:r>
      <w:r w:rsidR="006B3C7D" w:rsidRPr="00383009">
        <w:rPr>
          <w:sz w:val="24"/>
          <w:szCs w:val="24"/>
        </w:rPr>
        <w:t xml:space="preserve"> 47</w:t>
      </w:r>
      <w:r w:rsidR="009422A2" w:rsidRPr="00383009">
        <w:rPr>
          <w:sz w:val="24"/>
          <w:szCs w:val="24"/>
        </w:rPr>
        <w:t xml:space="preserve"> &amp; 52</w:t>
      </w:r>
      <w:r w:rsidR="006B3C7D" w:rsidRPr="00383009">
        <w:rPr>
          <w:sz w:val="24"/>
          <w:szCs w:val="24"/>
        </w:rPr>
        <w:t>). Not only did it find that the services provided were confusing (i.e. bot</w:t>
      </w:r>
      <w:r w:rsidR="008100F6" w:rsidRPr="00383009">
        <w:rPr>
          <w:sz w:val="24"/>
          <w:szCs w:val="24"/>
        </w:rPr>
        <w:t>h</w:t>
      </w:r>
      <w:r w:rsidR="006B3C7D" w:rsidRPr="00383009">
        <w:rPr>
          <w:sz w:val="24"/>
          <w:szCs w:val="24"/>
        </w:rPr>
        <w:t xml:space="preserve"> </w:t>
      </w:r>
      <w:r w:rsidR="008100F6" w:rsidRPr="00383009">
        <w:rPr>
          <w:sz w:val="24"/>
          <w:szCs w:val="24"/>
        </w:rPr>
        <w:t xml:space="preserve">inform prospective travellers and </w:t>
      </w:r>
      <w:r w:rsidR="00473ECC" w:rsidRPr="00383009">
        <w:rPr>
          <w:sz w:val="24"/>
          <w:szCs w:val="24"/>
        </w:rPr>
        <w:t>offer a complaints procedure</w:t>
      </w:r>
      <w:r w:rsidR="006B3C7D" w:rsidRPr="00383009">
        <w:rPr>
          <w:sz w:val="24"/>
          <w:szCs w:val="24"/>
        </w:rPr>
        <w:t>)</w:t>
      </w:r>
      <w:r w:rsidR="00CE2725" w:rsidRPr="00383009">
        <w:rPr>
          <w:sz w:val="24"/>
          <w:szCs w:val="24"/>
        </w:rPr>
        <w:t xml:space="preserve"> </w:t>
      </w:r>
      <w:proofErr w:type="gramStart"/>
      <w:r w:rsidR="00CE2725" w:rsidRPr="00383009">
        <w:rPr>
          <w:sz w:val="24"/>
          <w:szCs w:val="24"/>
        </w:rPr>
        <w:t>but</w:t>
      </w:r>
      <w:proofErr w:type="gramEnd"/>
      <w:r w:rsidR="00CE2725" w:rsidRPr="00383009">
        <w:rPr>
          <w:sz w:val="24"/>
          <w:szCs w:val="24"/>
        </w:rPr>
        <w:t xml:space="preserve"> the protected sign had acquired distinctiveness through time, marketing efforts and extensive advertising</w:t>
      </w:r>
      <w:r w:rsidR="009422A2" w:rsidRPr="00383009">
        <w:rPr>
          <w:sz w:val="24"/>
          <w:szCs w:val="24"/>
        </w:rPr>
        <w:t xml:space="preserve"> (para 47)</w:t>
      </w:r>
      <w:r w:rsidR="00CE2725" w:rsidRPr="00383009">
        <w:rPr>
          <w:sz w:val="24"/>
          <w:szCs w:val="24"/>
        </w:rPr>
        <w:t>.</w:t>
      </w:r>
      <w:r w:rsidR="00224D3A" w:rsidRPr="00383009">
        <w:rPr>
          <w:sz w:val="24"/>
          <w:szCs w:val="24"/>
        </w:rPr>
        <w:t xml:space="preserve"> Hence, given that both used the same medium to provide their services (i.e. the Internet), likelihood of confusion </w:t>
      </w:r>
      <w:proofErr w:type="gramStart"/>
      <w:r w:rsidR="00224D3A" w:rsidRPr="00383009">
        <w:rPr>
          <w:sz w:val="24"/>
          <w:szCs w:val="24"/>
        </w:rPr>
        <w:t>may be induced</w:t>
      </w:r>
      <w:proofErr w:type="gramEnd"/>
      <w:r w:rsidR="00224D3A" w:rsidRPr="00383009">
        <w:rPr>
          <w:sz w:val="24"/>
          <w:szCs w:val="24"/>
        </w:rPr>
        <w:t xml:space="preserve"> by how users would reach the respective websites. </w:t>
      </w:r>
      <w:r w:rsidR="00614EED" w:rsidRPr="00383009">
        <w:rPr>
          <w:sz w:val="24"/>
          <w:szCs w:val="24"/>
        </w:rPr>
        <w:t xml:space="preserve">Considering the similarities between the two signs, the differences </w:t>
      </w:r>
      <w:r w:rsidR="0033245F" w:rsidRPr="00383009">
        <w:rPr>
          <w:sz w:val="24"/>
          <w:szCs w:val="24"/>
        </w:rPr>
        <w:t xml:space="preserve">of </w:t>
      </w:r>
      <w:r w:rsidR="00614EED" w:rsidRPr="00383009">
        <w:rPr>
          <w:sz w:val="24"/>
          <w:szCs w:val="24"/>
        </w:rPr>
        <w:t>flipping the order of two letters, changes in colours and addit</w:t>
      </w:r>
      <w:r w:rsidR="0033245F" w:rsidRPr="00383009">
        <w:rPr>
          <w:sz w:val="24"/>
          <w:szCs w:val="24"/>
        </w:rPr>
        <w:t>ion of a freehand frown</w:t>
      </w:r>
      <w:r w:rsidR="00224D3A" w:rsidRPr="00383009">
        <w:rPr>
          <w:sz w:val="24"/>
          <w:szCs w:val="24"/>
        </w:rPr>
        <w:t xml:space="preserve"> </w:t>
      </w:r>
      <w:proofErr w:type="gramStart"/>
      <w:r w:rsidR="0033245F" w:rsidRPr="00383009">
        <w:rPr>
          <w:sz w:val="24"/>
          <w:szCs w:val="24"/>
        </w:rPr>
        <w:t>were held</w:t>
      </w:r>
      <w:proofErr w:type="gramEnd"/>
      <w:r w:rsidR="0033245F" w:rsidRPr="00383009">
        <w:rPr>
          <w:sz w:val="24"/>
          <w:szCs w:val="24"/>
        </w:rPr>
        <w:t xml:space="preserve"> as insufficient to tilt the balance towards the defendant.</w:t>
      </w:r>
    </w:p>
    <w:p w:rsidR="004B6A9F" w:rsidRDefault="00D86609" w:rsidP="00383009">
      <w:pPr>
        <w:spacing w:before="240" w:line="276" w:lineRule="auto"/>
        <w:jc w:val="both"/>
        <w:rPr>
          <w:rFonts w:eastAsia="Times New Roman" w:cstheme="minorHAnsi"/>
          <w:color w:val="000000"/>
          <w:sz w:val="24"/>
          <w:szCs w:val="24"/>
          <w:lang w:eastAsia="en-GB"/>
        </w:rPr>
      </w:pPr>
      <w:r w:rsidRPr="00383009">
        <w:rPr>
          <w:sz w:val="24"/>
          <w:szCs w:val="24"/>
        </w:rPr>
        <w:t xml:space="preserve">Relying on </w:t>
      </w:r>
      <w:r w:rsidRPr="002E5FB3">
        <w:rPr>
          <w:rFonts w:eastAsia="Times New Roman" w:cstheme="minorHAnsi"/>
          <w:i/>
          <w:iCs/>
          <w:color w:val="000000"/>
          <w:sz w:val="24"/>
          <w:szCs w:val="24"/>
          <w:lang w:eastAsia="en-GB"/>
        </w:rPr>
        <w:t xml:space="preserve">Source Perrier SA v </w:t>
      </w:r>
      <w:proofErr w:type="spellStart"/>
      <w:r w:rsidRPr="002E5FB3">
        <w:rPr>
          <w:rFonts w:eastAsia="Times New Roman" w:cstheme="minorHAnsi"/>
          <w:i/>
          <w:iCs/>
          <w:color w:val="000000"/>
          <w:sz w:val="24"/>
          <w:szCs w:val="24"/>
          <w:lang w:eastAsia="en-GB"/>
        </w:rPr>
        <w:t>Fira</w:t>
      </w:r>
      <w:proofErr w:type="spellEnd"/>
      <w:r w:rsidRPr="002E5FB3">
        <w:rPr>
          <w:rFonts w:eastAsia="Times New Roman" w:cstheme="minorHAnsi"/>
          <w:i/>
          <w:iCs/>
          <w:color w:val="000000"/>
          <w:sz w:val="24"/>
          <w:szCs w:val="24"/>
          <w:lang w:eastAsia="en-GB"/>
        </w:rPr>
        <w:t>-Less Marketing Co</w:t>
      </w:r>
      <w:r w:rsidRPr="002E5FB3">
        <w:rPr>
          <w:rFonts w:eastAsia="Times New Roman" w:cstheme="minorHAnsi"/>
          <w:color w:val="000000"/>
          <w:sz w:val="24"/>
          <w:szCs w:val="24"/>
          <w:lang w:eastAsia="en-GB"/>
        </w:rPr>
        <w:t>, [1983] 2 FC 18, para 10</w:t>
      </w:r>
      <w:r w:rsidRPr="00383009">
        <w:rPr>
          <w:rFonts w:eastAsia="Times New Roman" w:cstheme="minorHAnsi"/>
          <w:color w:val="000000"/>
          <w:sz w:val="24"/>
          <w:szCs w:val="24"/>
          <w:lang w:eastAsia="en-GB"/>
        </w:rPr>
        <w:t>, the Court note</w:t>
      </w:r>
      <w:r w:rsidR="00430EF0" w:rsidRPr="00383009">
        <w:rPr>
          <w:rFonts w:eastAsia="Times New Roman" w:cstheme="minorHAnsi"/>
          <w:color w:val="000000"/>
          <w:sz w:val="24"/>
          <w:szCs w:val="24"/>
          <w:lang w:eastAsia="en-GB"/>
        </w:rPr>
        <w:t>d</w:t>
      </w:r>
      <w:r w:rsidRPr="00383009">
        <w:rPr>
          <w:rFonts w:eastAsia="Times New Roman" w:cstheme="minorHAnsi"/>
          <w:color w:val="000000"/>
          <w:sz w:val="24"/>
          <w:szCs w:val="24"/>
          <w:lang w:eastAsia="en-GB"/>
        </w:rPr>
        <w:t xml:space="preserve"> that to </w:t>
      </w:r>
      <w:r w:rsidRPr="00F97A1E">
        <w:rPr>
          <w:rFonts w:eastAsia="Times New Roman" w:cstheme="minorHAnsi"/>
          <w:color w:val="000000"/>
          <w:sz w:val="24"/>
          <w:szCs w:val="24"/>
          <w:lang w:eastAsia="en-GB"/>
        </w:rPr>
        <w:t xml:space="preserve">create a spoof, some </w:t>
      </w:r>
      <w:r w:rsidR="00383009" w:rsidRPr="00F97A1E">
        <w:rPr>
          <w:rFonts w:eastAsia="Times New Roman" w:cstheme="minorHAnsi"/>
          <w:color w:val="000000"/>
          <w:sz w:val="24"/>
          <w:szCs w:val="24"/>
          <w:lang w:eastAsia="en-GB"/>
        </w:rPr>
        <w:t>uses may intend to induce confusion and this was precis</w:t>
      </w:r>
      <w:r w:rsidR="002E3CB9" w:rsidRPr="00F97A1E">
        <w:rPr>
          <w:rFonts w:eastAsia="Times New Roman" w:cstheme="minorHAnsi"/>
          <w:color w:val="000000"/>
          <w:sz w:val="24"/>
          <w:szCs w:val="24"/>
          <w:lang w:eastAsia="en-GB"/>
        </w:rPr>
        <w:t xml:space="preserve">ely the case here (para 57). There </w:t>
      </w:r>
      <w:r w:rsidR="00CD346D" w:rsidRPr="00F97A1E">
        <w:rPr>
          <w:rFonts w:eastAsia="Times New Roman" w:cstheme="minorHAnsi"/>
          <w:color w:val="000000"/>
          <w:sz w:val="24"/>
          <w:szCs w:val="24"/>
          <w:lang w:eastAsia="en-GB"/>
        </w:rPr>
        <w:t>was</w:t>
      </w:r>
      <w:r w:rsidR="002E3CB9" w:rsidRPr="00F97A1E">
        <w:rPr>
          <w:rFonts w:eastAsia="Times New Roman" w:cstheme="minorHAnsi"/>
          <w:color w:val="000000"/>
          <w:sz w:val="24"/>
          <w:szCs w:val="24"/>
          <w:lang w:eastAsia="en-GB"/>
        </w:rPr>
        <w:t xml:space="preserve"> no wonder that the defendant’s use </w:t>
      </w:r>
      <w:proofErr w:type="gramStart"/>
      <w:r w:rsidR="002E3CB9" w:rsidRPr="00F97A1E">
        <w:rPr>
          <w:rFonts w:eastAsia="Times New Roman" w:cstheme="minorHAnsi"/>
          <w:color w:val="000000"/>
          <w:sz w:val="24"/>
          <w:szCs w:val="24"/>
          <w:lang w:eastAsia="en-GB"/>
        </w:rPr>
        <w:t>was meant</w:t>
      </w:r>
      <w:proofErr w:type="gramEnd"/>
      <w:r w:rsidR="002E3CB9" w:rsidRPr="00F97A1E">
        <w:rPr>
          <w:rFonts w:eastAsia="Times New Roman" w:cstheme="minorHAnsi"/>
          <w:color w:val="000000"/>
          <w:sz w:val="24"/>
          <w:szCs w:val="24"/>
          <w:lang w:eastAsia="en-GB"/>
        </w:rPr>
        <w:t xml:space="preserve"> to call </w:t>
      </w:r>
      <w:r w:rsidR="000568B2">
        <w:rPr>
          <w:rFonts w:eastAsia="Times New Roman" w:cstheme="minorHAnsi"/>
          <w:color w:val="000000"/>
          <w:sz w:val="24"/>
          <w:szCs w:val="24"/>
          <w:lang w:eastAsia="en-GB"/>
        </w:rPr>
        <w:t>into mind the plaintiff’s trade</w:t>
      </w:r>
      <w:r w:rsidR="002E3CB9" w:rsidRPr="00F97A1E">
        <w:rPr>
          <w:rFonts w:eastAsia="Times New Roman" w:cstheme="minorHAnsi"/>
          <w:color w:val="000000"/>
          <w:sz w:val="24"/>
          <w:szCs w:val="24"/>
          <w:lang w:eastAsia="en-GB"/>
        </w:rPr>
        <w:t xml:space="preserve">marks. </w:t>
      </w:r>
      <w:r w:rsidR="00CD346D" w:rsidRPr="00F97A1E">
        <w:rPr>
          <w:rFonts w:eastAsia="Times New Roman" w:cstheme="minorHAnsi"/>
          <w:color w:val="000000"/>
          <w:sz w:val="24"/>
          <w:szCs w:val="24"/>
          <w:lang w:eastAsia="en-GB"/>
        </w:rPr>
        <w:t>Consequently, in the absence of a specif</w:t>
      </w:r>
      <w:r w:rsidR="000568B2">
        <w:rPr>
          <w:rFonts w:eastAsia="Times New Roman" w:cstheme="minorHAnsi"/>
          <w:color w:val="000000"/>
          <w:sz w:val="24"/>
          <w:szCs w:val="24"/>
          <w:lang w:eastAsia="en-GB"/>
        </w:rPr>
        <w:t>ic parody exception under trade</w:t>
      </w:r>
      <w:r w:rsidR="00CD346D" w:rsidRPr="00F97A1E">
        <w:rPr>
          <w:rFonts w:eastAsia="Times New Roman" w:cstheme="minorHAnsi"/>
          <w:color w:val="000000"/>
          <w:sz w:val="24"/>
          <w:szCs w:val="24"/>
          <w:lang w:eastAsia="en-GB"/>
        </w:rPr>
        <w:t xml:space="preserve">mark legislation, the defendant’s use results in </w:t>
      </w:r>
      <w:r w:rsidR="00FC6D5F" w:rsidRPr="00F97A1E">
        <w:rPr>
          <w:rFonts w:eastAsia="Times New Roman" w:cstheme="minorHAnsi"/>
          <w:color w:val="000000"/>
          <w:sz w:val="24"/>
          <w:szCs w:val="24"/>
          <w:lang w:eastAsia="en-GB"/>
        </w:rPr>
        <w:t>an</w:t>
      </w:r>
      <w:r w:rsidR="00CD346D" w:rsidRPr="00F97A1E">
        <w:rPr>
          <w:rFonts w:eastAsia="Times New Roman" w:cstheme="minorHAnsi"/>
          <w:color w:val="000000"/>
          <w:sz w:val="24"/>
          <w:szCs w:val="24"/>
          <w:lang w:eastAsia="en-GB"/>
        </w:rPr>
        <w:t xml:space="preserve"> infringement (para 83). </w:t>
      </w:r>
      <w:proofErr w:type="gramStart"/>
      <w:r w:rsidR="00FC6D5F" w:rsidRPr="00F97A1E">
        <w:rPr>
          <w:rFonts w:eastAsia="Times New Roman" w:cstheme="minorHAnsi"/>
          <w:color w:val="000000"/>
          <w:sz w:val="24"/>
          <w:szCs w:val="24"/>
          <w:lang w:eastAsia="en-GB"/>
        </w:rPr>
        <w:t xml:space="preserve">Furthermore, the use constituted passing off </w:t>
      </w:r>
      <w:r w:rsidR="00FF45A2" w:rsidRPr="00F97A1E">
        <w:rPr>
          <w:rFonts w:eastAsia="Times New Roman" w:cstheme="minorHAnsi"/>
          <w:color w:val="000000"/>
          <w:sz w:val="24"/>
          <w:szCs w:val="24"/>
          <w:lang w:eastAsia="en-GB"/>
        </w:rPr>
        <w:t>as</w:t>
      </w:r>
      <w:r w:rsidR="008445AD">
        <w:rPr>
          <w:rFonts w:eastAsia="Times New Roman" w:cstheme="minorHAnsi"/>
          <w:color w:val="000000"/>
          <w:sz w:val="24"/>
          <w:szCs w:val="24"/>
          <w:lang w:eastAsia="en-GB"/>
        </w:rPr>
        <w:t>,</w:t>
      </w:r>
      <w:r w:rsidR="00FF45A2" w:rsidRPr="00F97A1E">
        <w:rPr>
          <w:rFonts w:eastAsia="Times New Roman" w:cstheme="minorHAnsi"/>
          <w:color w:val="000000"/>
          <w:sz w:val="24"/>
          <w:szCs w:val="24"/>
          <w:lang w:eastAsia="en-GB"/>
        </w:rPr>
        <w:t xml:space="preserve"> by creating a spoof of a registered sign, the </w:t>
      </w:r>
      <w:r w:rsidR="00FF45A2" w:rsidRPr="00F97A1E">
        <w:rPr>
          <w:rFonts w:eastAsia="Times New Roman" w:cstheme="minorHAnsi"/>
          <w:color w:val="000000"/>
          <w:sz w:val="24"/>
          <w:szCs w:val="24"/>
          <w:lang w:eastAsia="en-GB"/>
        </w:rPr>
        <w:lastRenderedPageBreak/>
        <w:t xml:space="preserve">defendant </w:t>
      </w:r>
      <w:r w:rsidR="004E0887" w:rsidRPr="002E5FB3">
        <w:rPr>
          <w:rFonts w:eastAsia="Times New Roman" w:cstheme="minorHAnsi"/>
          <w:color w:val="000000"/>
          <w:sz w:val="24"/>
          <w:szCs w:val="24"/>
          <w:lang w:eastAsia="en-GB"/>
        </w:rPr>
        <w:t>t</w:t>
      </w:r>
      <w:r w:rsidR="004E0887" w:rsidRPr="00F97A1E">
        <w:rPr>
          <w:rFonts w:eastAsia="Times New Roman" w:cstheme="minorHAnsi"/>
          <w:color w:val="000000"/>
          <w:sz w:val="24"/>
          <w:szCs w:val="24"/>
          <w:lang w:eastAsia="en-GB"/>
        </w:rPr>
        <w:t xml:space="preserve">ook </w:t>
      </w:r>
      <w:r w:rsidR="004E0887" w:rsidRPr="002E5FB3">
        <w:rPr>
          <w:rFonts w:eastAsia="Times New Roman" w:cstheme="minorHAnsi"/>
          <w:color w:val="000000"/>
          <w:sz w:val="24"/>
          <w:szCs w:val="24"/>
          <w:lang w:eastAsia="en-GB"/>
        </w:rPr>
        <w:t xml:space="preserve">advantage of the goodwill </w:t>
      </w:r>
      <w:r w:rsidR="004E0887" w:rsidRPr="00F97A1E">
        <w:rPr>
          <w:rFonts w:eastAsia="Times New Roman" w:cstheme="minorHAnsi"/>
          <w:color w:val="000000"/>
          <w:sz w:val="24"/>
          <w:szCs w:val="24"/>
          <w:lang w:eastAsia="en-GB"/>
        </w:rPr>
        <w:t>connected</w:t>
      </w:r>
      <w:r w:rsidR="004E0887" w:rsidRPr="002E5FB3">
        <w:rPr>
          <w:rFonts w:eastAsia="Times New Roman" w:cstheme="minorHAnsi"/>
          <w:color w:val="000000"/>
          <w:sz w:val="24"/>
          <w:szCs w:val="24"/>
          <w:lang w:eastAsia="en-GB"/>
        </w:rPr>
        <w:t xml:space="preserve"> to the plaintiff’s </w:t>
      </w:r>
      <w:proofErr w:type="spellStart"/>
      <w:r w:rsidR="004E0887" w:rsidRPr="002E5FB3">
        <w:rPr>
          <w:rFonts w:eastAsia="Times New Roman" w:cstheme="minorHAnsi"/>
          <w:color w:val="000000"/>
          <w:sz w:val="24"/>
          <w:szCs w:val="24"/>
          <w:lang w:eastAsia="en-GB"/>
        </w:rPr>
        <w:t>trade mark</w:t>
      </w:r>
      <w:r w:rsidR="004E0887" w:rsidRPr="00F97A1E">
        <w:rPr>
          <w:rFonts w:eastAsia="Times New Roman" w:cstheme="minorHAnsi"/>
          <w:color w:val="000000"/>
          <w:sz w:val="24"/>
          <w:szCs w:val="24"/>
          <w:lang w:eastAsia="en-GB"/>
        </w:rPr>
        <w:t>s</w:t>
      </w:r>
      <w:proofErr w:type="spellEnd"/>
      <w:r w:rsidR="004E0887" w:rsidRPr="002E5FB3">
        <w:rPr>
          <w:rFonts w:eastAsia="Times New Roman" w:cstheme="minorHAnsi"/>
          <w:color w:val="000000"/>
          <w:sz w:val="24"/>
          <w:szCs w:val="24"/>
          <w:lang w:eastAsia="en-GB"/>
        </w:rPr>
        <w:t xml:space="preserve"> </w:t>
      </w:r>
      <w:r w:rsidR="004E0887" w:rsidRPr="00F97A1E">
        <w:rPr>
          <w:rFonts w:eastAsia="Times New Roman" w:cstheme="minorHAnsi"/>
          <w:color w:val="000000"/>
          <w:sz w:val="24"/>
          <w:szCs w:val="24"/>
          <w:lang w:eastAsia="en-GB"/>
        </w:rPr>
        <w:t>as well as</w:t>
      </w:r>
      <w:r w:rsidR="004E0887" w:rsidRPr="002E5FB3">
        <w:rPr>
          <w:rFonts w:eastAsia="Times New Roman" w:cstheme="minorHAnsi"/>
          <w:color w:val="000000"/>
          <w:sz w:val="24"/>
          <w:szCs w:val="24"/>
          <w:lang w:eastAsia="en-GB"/>
        </w:rPr>
        <w:t xml:space="preserve"> depreciating it (para 102</w:t>
      </w:r>
      <w:r w:rsidR="004E0887" w:rsidRPr="00F97A1E">
        <w:rPr>
          <w:rFonts w:eastAsia="Times New Roman" w:cstheme="minorHAnsi"/>
          <w:color w:val="000000"/>
          <w:sz w:val="24"/>
          <w:szCs w:val="24"/>
          <w:lang w:eastAsia="en-GB"/>
        </w:rPr>
        <w:t xml:space="preserve">, </w:t>
      </w:r>
      <w:r w:rsidR="008445AD">
        <w:rPr>
          <w:rFonts w:eastAsia="Times New Roman" w:cstheme="minorHAnsi"/>
          <w:color w:val="000000"/>
          <w:sz w:val="24"/>
          <w:szCs w:val="24"/>
          <w:lang w:eastAsia="en-GB"/>
        </w:rPr>
        <w:t>recalling and approving</w:t>
      </w:r>
      <w:r w:rsidR="004E0887" w:rsidRPr="00F97A1E">
        <w:rPr>
          <w:rFonts w:eastAsia="Times New Roman" w:cstheme="minorHAnsi"/>
          <w:color w:val="000000"/>
          <w:sz w:val="24"/>
          <w:szCs w:val="24"/>
          <w:lang w:eastAsia="en-GB"/>
        </w:rPr>
        <w:t xml:space="preserve"> </w:t>
      </w:r>
      <w:r w:rsidR="004E0887" w:rsidRPr="002E5FB3">
        <w:rPr>
          <w:rFonts w:eastAsia="Times New Roman" w:cstheme="minorHAnsi"/>
          <w:i/>
          <w:iCs/>
          <w:color w:val="000000"/>
          <w:sz w:val="24"/>
          <w:szCs w:val="24"/>
          <w:lang w:eastAsia="en-GB"/>
        </w:rPr>
        <w:t xml:space="preserve">Source Perrier SA v </w:t>
      </w:r>
      <w:proofErr w:type="spellStart"/>
      <w:r w:rsidR="004E0887" w:rsidRPr="002E5FB3">
        <w:rPr>
          <w:rFonts w:eastAsia="Times New Roman" w:cstheme="minorHAnsi"/>
          <w:i/>
          <w:iCs/>
          <w:color w:val="000000"/>
          <w:sz w:val="24"/>
          <w:szCs w:val="24"/>
          <w:lang w:eastAsia="en-GB"/>
        </w:rPr>
        <w:t>Fira</w:t>
      </w:r>
      <w:proofErr w:type="spellEnd"/>
      <w:r w:rsidR="004E0887" w:rsidRPr="002E5FB3">
        <w:rPr>
          <w:rFonts w:eastAsia="Times New Roman" w:cstheme="minorHAnsi"/>
          <w:i/>
          <w:iCs/>
          <w:color w:val="000000"/>
          <w:sz w:val="24"/>
          <w:szCs w:val="24"/>
          <w:lang w:eastAsia="en-GB"/>
        </w:rPr>
        <w:t>-Less Marketing Co</w:t>
      </w:r>
      <w:r w:rsidR="004E0887" w:rsidRPr="002E5FB3">
        <w:rPr>
          <w:rFonts w:eastAsia="Times New Roman" w:cstheme="minorHAnsi"/>
          <w:color w:val="000000"/>
          <w:sz w:val="24"/>
          <w:szCs w:val="24"/>
          <w:lang w:eastAsia="en-GB"/>
        </w:rPr>
        <w:t>, [1983] 2 FC 18, para 20 and </w:t>
      </w:r>
      <w:r w:rsidR="004E0887" w:rsidRPr="002E5FB3">
        <w:rPr>
          <w:rFonts w:eastAsia="Times New Roman" w:cstheme="minorHAnsi"/>
          <w:i/>
          <w:iCs/>
          <w:color w:val="000000"/>
          <w:sz w:val="24"/>
          <w:szCs w:val="24"/>
          <w:lang w:eastAsia="en-GB"/>
        </w:rPr>
        <w:t>Green v Schwarz</w:t>
      </w:r>
      <w:r w:rsidR="004E0887" w:rsidRPr="002E5FB3">
        <w:rPr>
          <w:rFonts w:eastAsia="Times New Roman" w:cstheme="minorHAnsi"/>
          <w:color w:val="000000"/>
          <w:sz w:val="24"/>
          <w:szCs w:val="24"/>
          <w:lang w:eastAsia="en-GB"/>
        </w:rPr>
        <w:t>, (1986) 12 CPR (3d) 84, paras 4-5).</w:t>
      </w:r>
      <w:proofErr w:type="gramEnd"/>
    </w:p>
    <w:p w:rsidR="008445AD" w:rsidRDefault="008445AD" w:rsidP="00383009">
      <w:pPr>
        <w:spacing w:before="240" w:line="276" w:lineRule="auto"/>
        <w:jc w:val="both"/>
        <w:rPr>
          <w:rFonts w:eastAsia="Times New Roman" w:cstheme="minorHAnsi"/>
          <w:color w:val="000000"/>
          <w:sz w:val="24"/>
          <w:szCs w:val="24"/>
          <w:lang w:eastAsia="en-GB"/>
        </w:rPr>
      </w:pPr>
      <w:r>
        <w:rPr>
          <w:rFonts w:eastAsia="Times New Roman" w:cstheme="minorHAnsi"/>
          <w:color w:val="000000"/>
          <w:sz w:val="24"/>
          <w:szCs w:val="24"/>
          <w:lang w:eastAsia="en-GB"/>
        </w:rPr>
        <w:t>Turning to th</w:t>
      </w:r>
      <w:r w:rsidR="00EF35F3">
        <w:rPr>
          <w:rFonts w:eastAsia="Times New Roman" w:cstheme="minorHAnsi"/>
          <w:color w:val="000000"/>
          <w:sz w:val="24"/>
          <w:szCs w:val="24"/>
          <w:lang w:eastAsia="en-GB"/>
        </w:rPr>
        <w:t xml:space="preserve">e copyright infringement claim, </w:t>
      </w:r>
      <w:r w:rsidR="00A25F11">
        <w:rPr>
          <w:rFonts w:eastAsia="Times New Roman" w:cstheme="minorHAnsi"/>
          <w:color w:val="000000"/>
          <w:sz w:val="24"/>
          <w:szCs w:val="24"/>
          <w:lang w:eastAsia="en-GB"/>
        </w:rPr>
        <w:t xml:space="preserve">the court unsurprisingly applied the traditional infringement test. </w:t>
      </w:r>
      <w:r w:rsidR="00D51995">
        <w:rPr>
          <w:rFonts w:eastAsia="Times New Roman" w:cstheme="minorHAnsi"/>
          <w:color w:val="000000"/>
          <w:sz w:val="24"/>
          <w:szCs w:val="24"/>
          <w:lang w:eastAsia="en-GB"/>
        </w:rPr>
        <w:t>Therefore</w:t>
      </w:r>
      <w:r w:rsidR="00D51995" w:rsidRPr="00714EE5">
        <w:rPr>
          <w:rFonts w:eastAsia="Times New Roman" w:cstheme="minorHAnsi"/>
          <w:color w:val="000000"/>
          <w:sz w:val="24"/>
          <w:szCs w:val="24"/>
          <w:lang w:eastAsia="en-GB"/>
        </w:rPr>
        <w:t>, the court was convinced that copyright subsisted in the earlier work</w:t>
      </w:r>
      <w:r w:rsidR="00AB59A8" w:rsidRPr="00714EE5">
        <w:rPr>
          <w:rFonts w:eastAsia="Times New Roman" w:cstheme="minorHAnsi"/>
          <w:color w:val="000000"/>
          <w:sz w:val="24"/>
          <w:szCs w:val="24"/>
          <w:lang w:eastAsia="en-GB"/>
        </w:rPr>
        <w:t>, substantial copying was easily established (para 105</w:t>
      </w:r>
      <w:r w:rsidR="00327829" w:rsidRPr="00714EE5">
        <w:rPr>
          <w:rFonts w:eastAsia="Times New Roman" w:cstheme="minorHAnsi"/>
          <w:color w:val="000000"/>
          <w:sz w:val="24"/>
          <w:szCs w:val="24"/>
          <w:lang w:eastAsia="en-GB"/>
        </w:rPr>
        <w:t xml:space="preserve">, referring to </w:t>
      </w:r>
      <w:proofErr w:type="spellStart"/>
      <w:r w:rsidR="00327829" w:rsidRPr="002E5FB3">
        <w:rPr>
          <w:rFonts w:eastAsia="Times New Roman" w:cstheme="minorHAnsi"/>
          <w:i/>
          <w:iCs/>
          <w:sz w:val="24"/>
          <w:szCs w:val="24"/>
          <w:lang w:eastAsia="en-GB"/>
        </w:rPr>
        <w:t>Cie</w:t>
      </w:r>
      <w:proofErr w:type="spellEnd"/>
      <w:r w:rsidR="00327829" w:rsidRPr="002E5FB3">
        <w:rPr>
          <w:rFonts w:eastAsia="Times New Roman" w:cstheme="minorHAnsi"/>
          <w:i/>
          <w:iCs/>
          <w:sz w:val="24"/>
          <w:szCs w:val="24"/>
          <w:lang w:eastAsia="en-GB"/>
        </w:rPr>
        <w:t xml:space="preserve"> </w:t>
      </w:r>
      <w:proofErr w:type="spellStart"/>
      <w:r w:rsidR="00327829" w:rsidRPr="002E5FB3">
        <w:rPr>
          <w:rFonts w:eastAsia="Times New Roman" w:cstheme="minorHAnsi"/>
          <w:i/>
          <w:iCs/>
          <w:sz w:val="24"/>
          <w:szCs w:val="24"/>
          <w:lang w:eastAsia="en-GB"/>
        </w:rPr>
        <w:t>générale</w:t>
      </w:r>
      <w:proofErr w:type="spellEnd"/>
      <w:r w:rsidR="00327829" w:rsidRPr="002E5FB3">
        <w:rPr>
          <w:rFonts w:eastAsia="Times New Roman" w:cstheme="minorHAnsi"/>
          <w:i/>
          <w:iCs/>
          <w:sz w:val="24"/>
          <w:szCs w:val="24"/>
          <w:lang w:eastAsia="en-GB"/>
        </w:rPr>
        <w:t xml:space="preserve"> des </w:t>
      </w:r>
      <w:proofErr w:type="spellStart"/>
      <w:r w:rsidR="00327829" w:rsidRPr="002E5FB3">
        <w:rPr>
          <w:rFonts w:eastAsia="Times New Roman" w:cstheme="minorHAnsi"/>
          <w:i/>
          <w:iCs/>
          <w:sz w:val="24"/>
          <w:szCs w:val="24"/>
          <w:lang w:eastAsia="en-GB"/>
        </w:rPr>
        <w:t>établissements</w:t>
      </w:r>
      <w:proofErr w:type="spellEnd"/>
      <w:r w:rsidR="00327829" w:rsidRPr="002E5FB3">
        <w:rPr>
          <w:rFonts w:eastAsia="Times New Roman" w:cstheme="minorHAnsi"/>
          <w:i/>
          <w:iCs/>
          <w:sz w:val="24"/>
          <w:szCs w:val="24"/>
          <w:lang w:eastAsia="en-GB"/>
        </w:rPr>
        <w:t xml:space="preserve"> Michelin-Michelin &amp; </w:t>
      </w:r>
      <w:proofErr w:type="spellStart"/>
      <w:r w:rsidR="00327829" w:rsidRPr="002E5FB3">
        <w:rPr>
          <w:rFonts w:eastAsia="Times New Roman" w:cstheme="minorHAnsi"/>
          <w:i/>
          <w:iCs/>
          <w:sz w:val="24"/>
          <w:szCs w:val="24"/>
          <w:lang w:eastAsia="en-GB"/>
        </w:rPr>
        <w:t>Cie</w:t>
      </w:r>
      <w:proofErr w:type="spellEnd"/>
      <w:r w:rsidR="00327829" w:rsidRPr="002E5FB3">
        <w:rPr>
          <w:rFonts w:eastAsia="Times New Roman" w:cstheme="minorHAnsi"/>
          <w:i/>
          <w:iCs/>
          <w:sz w:val="24"/>
          <w:szCs w:val="24"/>
          <w:lang w:eastAsia="en-GB"/>
        </w:rPr>
        <w:t xml:space="preserve"> v CAW-Canada </w:t>
      </w:r>
      <w:r w:rsidR="00327829" w:rsidRPr="002E5FB3">
        <w:rPr>
          <w:rFonts w:eastAsia="Times New Roman" w:cstheme="minorHAnsi"/>
          <w:sz w:val="24"/>
          <w:szCs w:val="24"/>
          <w:lang w:eastAsia="en-GB"/>
        </w:rPr>
        <w:t>(1996), [1997] 2 FC 306, </w:t>
      </w:r>
      <w:r w:rsidR="00327829" w:rsidRPr="002E5FB3">
        <w:rPr>
          <w:rFonts w:eastAsia="Times New Roman" w:cstheme="minorHAnsi"/>
          <w:color w:val="000000"/>
          <w:sz w:val="24"/>
          <w:szCs w:val="24"/>
          <w:lang w:eastAsia="en-GB"/>
        </w:rPr>
        <w:t>para 23</w:t>
      </w:r>
      <w:r w:rsidR="00AB59A8" w:rsidRPr="00714EE5">
        <w:rPr>
          <w:rFonts w:eastAsia="Times New Roman" w:cstheme="minorHAnsi"/>
          <w:color w:val="000000"/>
          <w:sz w:val="24"/>
          <w:szCs w:val="24"/>
          <w:lang w:eastAsia="en-GB"/>
        </w:rPr>
        <w:t>) and access was admitted by the defendant himself</w:t>
      </w:r>
      <w:r w:rsidR="00327829" w:rsidRPr="00714EE5">
        <w:rPr>
          <w:rFonts w:eastAsia="Times New Roman" w:cstheme="minorHAnsi"/>
          <w:color w:val="000000"/>
          <w:sz w:val="24"/>
          <w:szCs w:val="24"/>
          <w:lang w:eastAsia="en-GB"/>
        </w:rPr>
        <w:t xml:space="preserve"> (para 103)</w:t>
      </w:r>
      <w:r w:rsidR="00AB59A8" w:rsidRPr="00714EE5">
        <w:rPr>
          <w:rFonts w:eastAsia="Times New Roman" w:cstheme="minorHAnsi"/>
          <w:color w:val="000000"/>
          <w:sz w:val="24"/>
          <w:szCs w:val="24"/>
          <w:lang w:eastAsia="en-GB"/>
        </w:rPr>
        <w:t>.</w:t>
      </w:r>
      <w:r w:rsidR="00AB59A8">
        <w:rPr>
          <w:rFonts w:eastAsia="Times New Roman" w:cstheme="minorHAnsi"/>
          <w:color w:val="000000"/>
          <w:sz w:val="24"/>
          <w:szCs w:val="24"/>
          <w:lang w:eastAsia="en-GB"/>
        </w:rPr>
        <w:t xml:space="preserve"> </w:t>
      </w:r>
    </w:p>
    <w:p w:rsidR="007C2ACE" w:rsidRPr="00897311" w:rsidRDefault="00CC3DEE" w:rsidP="00383009">
      <w:pPr>
        <w:spacing w:before="240" w:line="276" w:lineRule="auto"/>
        <w:jc w:val="both"/>
        <w:rPr>
          <w:sz w:val="24"/>
          <w:szCs w:val="24"/>
        </w:rPr>
      </w:pPr>
      <w:r>
        <w:rPr>
          <w:sz w:val="24"/>
          <w:szCs w:val="24"/>
        </w:rPr>
        <w:t xml:space="preserve">Applying the Canadian copyright exception for the first time, </w:t>
      </w:r>
      <w:r w:rsidR="0061655B">
        <w:rPr>
          <w:sz w:val="24"/>
          <w:szCs w:val="24"/>
        </w:rPr>
        <w:t xml:space="preserve">the Court had to establish that the use was for the purpose of parody. </w:t>
      </w:r>
      <w:r w:rsidR="00B74550">
        <w:rPr>
          <w:sz w:val="24"/>
          <w:szCs w:val="24"/>
        </w:rPr>
        <w:t xml:space="preserve">Given </w:t>
      </w:r>
      <w:r w:rsidR="00356F13">
        <w:rPr>
          <w:sz w:val="24"/>
          <w:szCs w:val="24"/>
        </w:rPr>
        <w:t>legislator’s silence</w:t>
      </w:r>
      <w:r w:rsidR="00B74550">
        <w:rPr>
          <w:sz w:val="24"/>
          <w:szCs w:val="24"/>
        </w:rPr>
        <w:t xml:space="preserve"> on the </w:t>
      </w:r>
      <w:r w:rsidR="00342934">
        <w:rPr>
          <w:sz w:val="24"/>
          <w:szCs w:val="24"/>
        </w:rPr>
        <w:t>terms</w:t>
      </w:r>
      <w:r w:rsidR="00B74550">
        <w:rPr>
          <w:sz w:val="24"/>
          <w:szCs w:val="24"/>
        </w:rPr>
        <w:t xml:space="preserve"> ‘parody’ and </w:t>
      </w:r>
      <w:r w:rsidR="00FE693C">
        <w:rPr>
          <w:sz w:val="24"/>
          <w:szCs w:val="24"/>
        </w:rPr>
        <w:t>‘satire’</w:t>
      </w:r>
      <w:r w:rsidR="009B3D2C">
        <w:rPr>
          <w:sz w:val="24"/>
          <w:szCs w:val="24"/>
        </w:rPr>
        <w:t>, ju</w:t>
      </w:r>
      <w:r w:rsidR="00342934">
        <w:rPr>
          <w:sz w:val="24"/>
          <w:szCs w:val="24"/>
        </w:rPr>
        <w:t>dges will have to determine the definition of the terms on a case-by-case basis. Traditionally, this involves</w:t>
      </w:r>
      <w:r w:rsidR="00F638E2">
        <w:rPr>
          <w:sz w:val="24"/>
          <w:szCs w:val="24"/>
        </w:rPr>
        <w:t xml:space="preserve"> considering the ordinary meaning of the terms in </w:t>
      </w:r>
      <w:r w:rsidR="00F841CD">
        <w:rPr>
          <w:sz w:val="24"/>
          <w:szCs w:val="24"/>
        </w:rPr>
        <w:t>everyday</w:t>
      </w:r>
      <w:r w:rsidR="00F638E2">
        <w:rPr>
          <w:sz w:val="24"/>
          <w:szCs w:val="24"/>
        </w:rPr>
        <w:t xml:space="preserve"> language as starting </w:t>
      </w:r>
      <w:r w:rsidR="00F841CD">
        <w:rPr>
          <w:sz w:val="24"/>
          <w:szCs w:val="24"/>
        </w:rPr>
        <w:t>point</w:t>
      </w:r>
      <w:r w:rsidR="00532F20">
        <w:rPr>
          <w:sz w:val="24"/>
          <w:szCs w:val="24"/>
        </w:rPr>
        <w:t xml:space="preserve">, following which, courts will </w:t>
      </w:r>
      <w:r w:rsidR="00037E60">
        <w:rPr>
          <w:sz w:val="24"/>
          <w:szCs w:val="24"/>
        </w:rPr>
        <w:t xml:space="preserve">refer to </w:t>
      </w:r>
      <w:r w:rsidR="00FA1F59">
        <w:rPr>
          <w:sz w:val="24"/>
          <w:szCs w:val="24"/>
        </w:rPr>
        <w:t xml:space="preserve">judicial interpretations dating prior to the </w:t>
      </w:r>
      <w:r w:rsidR="00EF580A">
        <w:rPr>
          <w:sz w:val="24"/>
          <w:szCs w:val="24"/>
        </w:rPr>
        <w:t>introduction of the exception</w:t>
      </w:r>
      <w:r w:rsidR="00F841CD">
        <w:rPr>
          <w:sz w:val="24"/>
          <w:szCs w:val="24"/>
        </w:rPr>
        <w:t>. Additionally, Canadian judges (as others) tend</w:t>
      </w:r>
      <w:r w:rsidR="0092093D">
        <w:rPr>
          <w:sz w:val="24"/>
          <w:szCs w:val="24"/>
        </w:rPr>
        <w:t xml:space="preserve"> to contemplate jud</w:t>
      </w:r>
      <w:r w:rsidR="00A259C1">
        <w:rPr>
          <w:sz w:val="24"/>
          <w:szCs w:val="24"/>
        </w:rPr>
        <w:t>icial attempts from other jurisdictions such as the UK or US</w:t>
      </w:r>
      <w:r w:rsidR="00D747F3">
        <w:rPr>
          <w:sz w:val="24"/>
          <w:szCs w:val="24"/>
        </w:rPr>
        <w:t xml:space="preserve">. Consequently, the </w:t>
      </w:r>
      <w:r w:rsidR="00D747F3" w:rsidRPr="00D747F3">
        <w:rPr>
          <w:sz w:val="24"/>
          <w:szCs w:val="24"/>
        </w:rPr>
        <w:t xml:space="preserve">Court instinctively referred to dictionaries before turning to </w:t>
      </w:r>
      <w:r w:rsidR="00D747F3" w:rsidRPr="002E5FB3">
        <w:rPr>
          <w:rFonts w:eastAsia="Times New Roman" w:cstheme="minorHAnsi"/>
          <w:i/>
          <w:iCs/>
          <w:color w:val="000000"/>
          <w:sz w:val="24"/>
          <w:szCs w:val="24"/>
          <w:lang w:eastAsia="en-GB"/>
        </w:rPr>
        <w:t xml:space="preserve">Avanti </w:t>
      </w:r>
      <w:proofErr w:type="spellStart"/>
      <w:r w:rsidR="00D747F3" w:rsidRPr="002E5FB3">
        <w:rPr>
          <w:rFonts w:eastAsia="Times New Roman" w:cstheme="minorHAnsi"/>
          <w:i/>
          <w:iCs/>
          <w:color w:val="000000"/>
          <w:sz w:val="24"/>
          <w:szCs w:val="24"/>
          <w:lang w:eastAsia="en-GB"/>
        </w:rPr>
        <w:t>Ciné-Vidéo</w:t>
      </w:r>
      <w:proofErr w:type="spellEnd"/>
      <w:r w:rsidR="00D747F3" w:rsidRPr="002E5FB3">
        <w:rPr>
          <w:rFonts w:eastAsia="Times New Roman" w:cstheme="minorHAnsi"/>
          <w:i/>
          <w:iCs/>
          <w:color w:val="000000"/>
          <w:sz w:val="24"/>
          <w:szCs w:val="24"/>
          <w:lang w:eastAsia="en-GB"/>
        </w:rPr>
        <w:t xml:space="preserve"> </w:t>
      </w:r>
      <w:proofErr w:type="spellStart"/>
      <w:r w:rsidR="00D747F3" w:rsidRPr="002E5FB3">
        <w:rPr>
          <w:rFonts w:eastAsia="Times New Roman" w:cstheme="minorHAnsi"/>
          <w:i/>
          <w:iCs/>
          <w:color w:val="000000"/>
          <w:sz w:val="24"/>
          <w:szCs w:val="24"/>
          <w:lang w:eastAsia="en-GB"/>
        </w:rPr>
        <w:t>Inc</w:t>
      </w:r>
      <w:proofErr w:type="spellEnd"/>
      <w:r w:rsidR="00D747F3" w:rsidRPr="002E5FB3">
        <w:rPr>
          <w:rFonts w:eastAsia="Times New Roman" w:cstheme="minorHAnsi"/>
          <w:i/>
          <w:iCs/>
          <w:color w:val="000000"/>
          <w:sz w:val="24"/>
          <w:szCs w:val="24"/>
          <w:lang w:eastAsia="en-GB"/>
        </w:rPr>
        <w:t xml:space="preserve"> c </w:t>
      </w:r>
      <w:proofErr w:type="spellStart"/>
      <w:r w:rsidR="00D747F3" w:rsidRPr="002E5FB3">
        <w:rPr>
          <w:rFonts w:eastAsia="Times New Roman" w:cstheme="minorHAnsi"/>
          <w:i/>
          <w:iCs/>
          <w:color w:val="000000"/>
          <w:sz w:val="24"/>
          <w:szCs w:val="24"/>
          <w:lang w:eastAsia="en-GB"/>
        </w:rPr>
        <w:t>Favreau</w:t>
      </w:r>
      <w:proofErr w:type="spellEnd"/>
      <w:r w:rsidR="00D747F3" w:rsidRPr="002E5FB3">
        <w:rPr>
          <w:rFonts w:eastAsia="Times New Roman" w:cstheme="minorHAnsi"/>
          <w:color w:val="000000"/>
          <w:sz w:val="24"/>
          <w:szCs w:val="24"/>
          <w:lang w:eastAsia="en-GB"/>
        </w:rPr>
        <w:t>, (1999) 177 DLR (4th) 568</w:t>
      </w:r>
      <w:r w:rsidR="00D747F3" w:rsidRPr="00D747F3">
        <w:rPr>
          <w:rFonts w:eastAsia="Times New Roman" w:cstheme="minorHAnsi"/>
          <w:color w:val="000000"/>
          <w:sz w:val="24"/>
          <w:szCs w:val="24"/>
          <w:lang w:eastAsia="en-GB"/>
        </w:rPr>
        <w:t xml:space="preserve"> where the court</w:t>
      </w:r>
      <w:r w:rsidR="00A41933">
        <w:rPr>
          <w:rFonts w:eastAsia="Times New Roman" w:cstheme="minorHAnsi"/>
          <w:color w:val="000000"/>
          <w:sz w:val="24"/>
          <w:szCs w:val="24"/>
          <w:lang w:eastAsia="en-GB"/>
        </w:rPr>
        <w:t xml:space="preserve"> then</w:t>
      </w:r>
      <w:r w:rsidR="00D747F3" w:rsidRPr="00D747F3">
        <w:rPr>
          <w:rFonts w:eastAsia="Times New Roman" w:cstheme="minorHAnsi"/>
          <w:color w:val="000000"/>
          <w:sz w:val="24"/>
          <w:szCs w:val="24"/>
          <w:lang w:eastAsia="en-GB"/>
        </w:rPr>
        <w:t xml:space="preserve"> defined parody as: ‘</w:t>
      </w:r>
      <w:r w:rsidR="00D747F3" w:rsidRPr="002E5FB3">
        <w:rPr>
          <w:rFonts w:eastAsia="Times New Roman" w:cstheme="minorHAnsi"/>
          <w:color w:val="000000"/>
          <w:sz w:val="24"/>
          <w:szCs w:val="24"/>
          <w:lang w:eastAsia="en-GB"/>
        </w:rPr>
        <w:t>‘normally [involving] the humorous imitation of the work of another writer, often exaggerated, for purposes of criticism or comment’ (para 575)</w:t>
      </w:r>
      <w:r w:rsidR="00D747F3" w:rsidRPr="00D747F3">
        <w:rPr>
          <w:rFonts w:eastAsia="Times New Roman" w:cstheme="minorHAnsi"/>
          <w:color w:val="000000"/>
          <w:sz w:val="24"/>
          <w:szCs w:val="24"/>
          <w:lang w:eastAsia="en-GB"/>
        </w:rPr>
        <w:t>.</w:t>
      </w:r>
      <w:r w:rsidR="00A41933">
        <w:rPr>
          <w:rFonts w:eastAsia="Times New Roman" w:cstheme="minorHAnsi"/>
          <w:color w:val="000000"/>
          <w:sz w:val="24"/>
          <w:szCs w:val="24"/>
          <w:lang w:eastAsia="en-GB"/>
        </w:rPr>
        <w:t xml:space="preserve"> Here, the Court rejected this definition </w:t>
      </w:r>
      <w:r w:rsidR="005466DE">
        <w:rPr>
          <w:rFonts w:eastAsia="Times New Roman" w:cstheme="minorHAnsi"/>
          <w:color w:val="000000"/>
          <w:sz w:val="24"/>
          <w:szCs w:val="24"/>
          <w:lang w:eastAsia="en-GB"/>
        </w:rPr>
        <w:t>because</w:t>
      </w:r>
      <w:r w:rsidR="00A41933">
        <w:rPr>
          <w:rFonts w:eastAsia="Times New Roman" w:cstheme="minorHAnsi"/>
          <w:color w:val="000000"/>
          <w:sz w:val="24"/>
          <w:szCs w:val="24"/>
          <w:lang w:eastAsia="en-GB"/>
        </w:rPr>
        <w:t xml:space="preserve"> the defendant’</w:t>
      </w:r>
      <w:r w:rsidR="00EA1A4A">
        <w:rPr>
          <w:rFonts w:eastAsia="Times New Roman" w:cstheme="minorHAnsi"/>
          <w:color w:val="000000"/>
          <w:sz w:val="24"/>
          <w:szCs w:val="24"/>
          <w:lang w:eastAsia="en-GB"/>
        </w:rPr>
        <w:t xml:space="preserve">s aim was removed </w:t>
      </w:r>
      <w:r w:rsidR="005466DE">
        <w:rPr>
          <w:rFonts w:eastAsia="Times New Roman" w:cstheme="minorHAnsi"/>
          <w:color w:val="000000"/>
          <w:sz w:val="24"/>
          <w:szCs w:val="24"/>
          <w:lang w:eastAsia="en-GB"/>
        </w:rPr>
        <w:t>from any commercial ambition (para 115).</w:t>
      </w:r>
      <w:r w:rsidR="00B36AD8">
        <w:rPr>
          <w:rFonts w:eastAsia="Times New Roman" w:cstheme="minorHAnsi"/>
          <w:color w:val="000000"/>
          <w:sz w:val="24"/>
          <w:szCs w:val="24"/>
          <w:lang w:eastAsia="en-GB"/>
        </w:rPr>
        <w:t xml:space="preserve"> </w:t>
      </w:r>
    </w:p>
    <w:p w:rsidR="00B36AD8" w:rsidRPr="00F97A1E" w:rsidRDefault="00B36AD8" w:rsidP="00383009">
      <w:pPr>
        <w:spacing w:before="240" w:line="276" w:lineRule="auto"/>
        <w:jc w:val="both"/>
        <w:rPr>
          <w:sz w:val="24"/>
          <w:szCs w:val="24"/>
        </w:rPr>
      </w:pPr>
      <w:r>
        <w:rPr>
          <w:rFonts w:eastAsia="Times New Roman" w:cstheme="minorHAnsi"/>
          <w:color w:val="000000"/>
          <w:sz w:val="24"/>
          <w:szCs w:val="24"/>
          <w:lang w:eastAsia="en-GB"/>
        </w:rPr>
        <w:t xml:space="preserve">Despite </w:t>
      </w:r>
      <w:r w:rsidR="002C37C6">
        <w:rPr>
          <w:rFonts w:eastAsia="Times New Roman" w:cstheme="minorHAnsi"/>
          <w:color w:val="000000"/>
          <w:sz w:val="24"/>
          <w:szCs w:val="24"/>
          <w:lang w:eastAsia="en-GB"/>
        </w:rPr>
        <w:t xml:space="preserve">referring to </w:t>
      </w:r>
      <w:r w:rsidRPr="004D5DD3">
        <w:rPr>
          <w:rFonts w:eastAsia="Times New Roman" w:cstheme="minorHAnsi"/>
          <w:color w:val="000000"/>
          <w:sz w:val="24"/>
          <w:szCs w:val="24"/>
          <w:lang w:eastAsia="en-GB"/>
        </w:rPr>
        <w:t>the US definitions of paro</w:t>
      </w:r>
      <w:r w:rsidR="002C37C6">
        <w:rPr>
          <w:rFonts w:eastAsia="Times New Roman" w:cstheme="minorHAnsi"/>
          <w:color w:val="000000"/>
          <w:sz w:val="24"/>
          <w:szCs w:val="24"/>
          <w:lang w:eastAsia="en-GB"/>
        </w:rPr>
        <w:t>dy, the Court</w:t>
      </w:r>
      <w:r w:rsidR="00AD0266" w:rsidRPr="004D5DD3">
        <w:rPr>
          <w:rFonts w:eastAsia="Times New Roman" w:cstheme="minorHAnsi"/>
          <w:color w:val="000000"/>
          <w:sz w:val="24"/>
          <w:szCs w:val="24"/>
          <w:lang w:eastAsia="en-GB"/>
        </w:rPr>
        <w:t xml:space="preserve"> </w:t>
      </w:r>
      <w:r w:rsidR="00A2216C" w:rsidRPr="004D5DD3">
        <w:rPr>
          <w:rFonts w:eastAsia="Times New Roman" w:cstheme="minorHAnsi"/>
          <w:color w:val="000000"/>
          <w:sz w:val="24"/>
          <w:szCs w:val="24"/>
          <w:lang w:eastAsia="en-GB"/>
        </w:rPr>
        <w:t xml:space="preserve">parted from these as </w:t>
      </w:r>
      <w:r w:rsidR="00E357FE" w:rsidRPr="004D5DD3">
        <w:rPr>
          <w:rFonts w:eastAsia="Times New Roman" w:cstheme="minorHAnsi"/>
          <w:color w:val="000000"/>
          <w:sz w:val="24"/>
          <w:szCs w:val="24"/>
          <w:lang w:eastAsia="en-GB"/>
        </w:rPr>
        <w:t>confirmed that these were to be disregarded based on the differences in legal traditions and form of the exception (</w:t>
      </w:r>
      <w:r w:rsidR="004D5DD3" w:rsidRPr="002E5FB3">
        <w:rPr>
          <w:rFonts w:eastAsia="Times New Roman" w:cstheme="minorHAnsi"/>
          <w:color w:val="000000"/>
          <w:sz w:val="24"/>
          <w:szCs w:val="24"/>
          <w:lang w:eastAsia="en-GB"/>
        </w:rPr>
        <w:t xml:space="preserve">already noted </w:t>
      </w:r>
      <w:r w:rsidR="004D5DD3" w:rsidRPr="002E5FB3">
        <w:rPr>
          <w:rFonts w:eastAsia="Times New Roman" w:cstheme="minorHAnsi"/>
          <w:sz w:val="24"/>
          <w:szCs w:val="24"/>
          <w:lang w:eastAsia="en-GB"/>
        </w:rPr>
        <w:t>in </w:t>
      </w:r>
      <w:proofErr w:type="spellStart"/>
      <w:r w:rsidR="004D5DD3" w:rsidRPr="002E5FB3">
        <w:rPr>
          <w:rFonts w:eastAsia="Times New Roman" w:cstheme="minorHAnsi"/>
          <w:i/>
          <w:iCs/>
          <w:sz w:val="24"/>
          <w:szCs w:val="24"/>
          <w:lang w:eastAsia="en-GB"/>
        </w:rPr>
        <w:t>Compagnie</w:t>
      </w:r>
      <w:proofErr w:type="spellEnd"/>
      <w:r w:rsidR="004D5DD3" w:rsidRPr="002E5FB3">
        <w:rPr>
          <w:rFonts w:eastAsia="Times New Roman" w:cstheme="minorHAnsi"/>
          <w:i/>
          <w:iCs/>
          <w:sz w:val="24"/>
          <w:szCs w:val="24"/>
          <w:lang w:eastAsia="en-GB"/>
        </w:rPr>
        <w:t xml:space="preserve"> </w:t>
      </w:r>
      <w:proofErr w:type="spellStart"/>
      <w:r w:rsidR="004D5DD3" w:rsidRPr="002E5FB3">
        <w:rPr>
          <w:rFonts w:eastAsia="Times New Roman" w:cstheme="minorHAnsi"/>
          <w:i/>
          <w:iCs/>
          <w:sz w:val="24"/>
          <w:szCs w:val="24"/>
          <w:lang w:eastAsia="en-GB"/>
        </w:rPr>
        <w:t>Générales</w:t>
      </w:r>
      <w:proofErr w:type="spellEnd"/>
      <w:r w:rsidR="004D5DD3" w:rsidRPr="002E5FB3">
        <w:rPr>
          <w:rFonts w:eastAsia="Times New Roman" w:cstheme="minorHAnsi"/>
          <w:i/>
          <w:iCs/>
          <w:sz w:val="24"/>
          <w:szCs w:val="24"/>
          <w:lang w:eastAsia="en-GB"/>
        </w:rPr>
        <w:t xml:space="preserve"> des </w:t>
      </w:r>
      <w:proofErr w:type="spellStart"/>
      <w:r w:rsidR="004D5DD3" w:rsidRPr="002E5FB3">
        <w:rPr>
          <w:rFonts w:eastAsia="Times New Roman" w:cstheme="minorHAnsi"/>
          <w:i/>
          <w:iCs/>
          <w:sz w:val="24"/>
          <w:szCs w:val="24"/>
          <w:lang w:eastAsia="en-GB"/>
        </w:rPr>
        <w:t>Établissements</w:t>
      </w:r>
      <w:proofErr w:type="spellEnd"/>
      <w:r w:rsidR="004D5DD3" w:rsidRPr="002E5FB3">
        <w:rPr>
          <w:rFonts w:eastAsia="Times New Roman" w:cstheme="minorHAnsi"/>
          <w:i/>
          <w:iCs/>
          <w:sz w:val="24"/>
          <w:szCs w:val="24"/>
          <w:lang w:eastAsia="en-GB"/>
        </w:rPr>
        <w:t xml:space="preserve"> Michelin-Michelin &amp; </w:t>
      </w:r>
      <w:proofErr w:type="spellStart"/>
      <w:r w:rsidR="004D5DD3" w:rsidRPr="002E5FB3">
        <w:rPr>
          <w:rFonts w:eastAsia="Times New Roman" w:cstheme="minorHAnsi"/>
          <w:i/>
          <w:iCs/>
          <w:sz w:val="24"/>
          <w:szCs w:val="24"/>
          <w:lang w:eastAsia="en-GB"/>
        </w:rPr>
        <w:t>Cie</w:t>
      </w:r>
      <w:proofErr w:type="spellEnd"/>
      <w:r w:rsidR="004D5DD3" w:rsidRPr="002E5FB3">
        <w:rPr>
          <w:rFonts w:eastAsia="Times New Roman" w:cstheme="minorHAnsi"/>
          <w:i/>
          <w:iCs/>
          <w:sz w:val="24"/>
          <w:szCs w:val="24"/>
          <w:lang w:eastAsia="en-GB"/>
        </w:rPr>
        <w:t xml:space="preserve"> v. National Automobile, Aerospace, Transportation and General Workers Union of Canada</w:t>
      </w:r>
      <w:r w:rsidR="004D5DD3" w:rsidRPr="002E5FB3">
        <w:rPr>
          <w:rFonts w:eastAsia="Times New Roman" w:cstheme="minorHAnsi"/>
          <w:sz w:val="24"/>
          <w:szCs w:val="24"/>
          <w:lang w:eastAsia="en-GB"/>
        </w:rPr>
        <w:t xml:space="preserve">(1996) 71 C.P.R. (3d) 348, paras 61-67). </w:t>
      </w:r>
      <w:r w:rsidR="004D5DD3" w:rsidRPr="003C502D">
        <w:rPr>
          <w:rFonts w:eastAsia="Times New Roman" w:cstheme="minorHAnsi"/>
          <w:sz w:val="24"/>
          <w:szCs w:val="24"/>
          <w:lang w:eastAsia="en-GB"/>
        </w:rPr>
        <w:t>Surprisingly</w:t>
      </w:r>
      <w:r w:rsidR="004D5DD3" w:rsidRPr="006F6440">
        <w:rPr>
          <w:rFonts w:eastAsia="Times New Roman" w:cstheme="minorHAnsi"/>
          <w:color w:val="000000"/>
          <w:sz w:val="24"/>
          <w:szCs w:val="24"/>
          <w:lang w:eastAsia="en-GB"/>
        </w:rPr>
        <w:t>,</w:t>
      </w:r>
      <w:r w:rsidR="0046431D" w:rsidRPr="006F6440">
        <w:rPr>
          <w:rFonts w:eastAsia="Times New Roman" w:cstheme="minorHAnsi"/>
          <w:color w:val="000000"/>
          <w:sz w:val="24"/>
          <w:szCs w:val="24"/>
          <w:lang w:eastAsia="en-GB"/>
        </w:rPr>
        <w:t xml:space="preserve"> </w:t>
      </w:r>
      <w:r w:rsidR="004D5DD3" w:rsidRPr="006F6440">
        <w:rPr>
          <w:rFonts w:eastAsia="Times New Roman" w:cstheme="minorHAnsi"/>
          <w:color w:val="000000"/>
          <w:sz w:val="24"/>
          <w:szCs w:val="24"/>
          <w:lang w:eastAsia="en-GB"/>
        </w:rPr>
        <w:t xml:space="preserve">the Court </w:t>
      </w:r>
      <w:r w:rsidR="00E71172" w:rsidRPr="006F6440">
        <w:rPr>
          <w:rFonts w:eastAsia="Times New Roman" w:cstheme="minorHAnsi"/>
          <w:color w:val="000000"/>
          <w:sz w:val="24"/>
          <w:szCs w:val="24"/>
          <w:lang w:eastAsia="en-GB"/>
        </w:rPr>
        <w:t>moved onto consider</w:t>
      </w:r>
      <w:r w:rsidR="002C5204">
        <w:rPr>
          <w:rFonts w:eastAsia="Times New Roman" w:cstheme="minorHAnsi"/>
          <w:color w:val="000000"/>
          <w:sz w:val="24"/>
          <w:szCs w:val="24"/>
          <w:lang w:eastAsia="en-GB"/>
        </w:rPr>
        <w:t xml:space="preserve"> and </w:t>
      </w:r>
      <w:r w:rsidR="003C5F11">
        <w:rPr>
          <w:rFonts w:eastAsia="Times New Roman" w:cstheme="minorHAnsi"/>
          <w:color w:val="000000"/>
          <w:sz w:val="24"/>
          <w:szCs w:val="24"/>
          <w:lang w:eastAsia="en-GB"/>
        </w:rPr>
        <w:t>endorse</w:t>
      </w:r>
      <w:r w:rsidR="002C5204">
        <w:rPr>
          <w:rFonts w:eastAsia="Times New Roman" w:cstheme="minorHAnsi"/>
          <w:color w:val="000000"/>
          <w:sz w:val="24"/>
          <w:szCs w:val="24"/>
          <w:lang w:eastAsia="en-GB"/>
        </w:rPr>
        <w:t xml:space="preserve"> </w:t>
      </w:r>
      <w:r w:rsidR="006F6440" w:rsidRPr="006F6440">
        <w:rPr>
          <w:rFonts w:eastAsia="Times New Roman" w:cstheme="minorHAnsi"/>
          <w:color w:val="000000"/>
          <w:sz w:val="24"/>
          <w:szCs w:val="24"/>
          <w:lang w:eastAsia="en-GB"/>
        </w:rPr>
        <w:t xml:space="preserve">the EU </w:t>
      </w:r>
      <w:r w:rsidR="003C5F11">
        <w:rPr>
          <w:rFonts w:eastAsia="Times New Roman" w:cstheme="minorHAnsi"/>
          <w:color w:val="000000"/>
          <w:sz w:val="24"/>
          <w:szCs w:val="24"/>
          <w:lang w:eastAsia="en-GB"/>
        </w:rPr>
        <w:t>characteristics</w:t>
      </w:r>
      <w:r w:rsidR="006F6440" w:rsidRPr="006F6440">
        <w:rPr>
          <w:rFonts w:eastAsia="Times New Roman" w:cstheme="minorHAnsi"/>
          <w:color w:val="000000"/>
          <w:sz w:val="24"/>
          <w:szCs w:val="24"/>
          <w:lang w:eastAsia="en-GB"/>
        </w:rPr>
        <w:t xml:space="preserve"> of parody </w:t>
      </w:r>
      <w:r w:rsidR="006D07BA">
        <w:rPr>
          <w:rFonts w:eastAsia="Times New Roman" w:cstheme="minorHAnsi"/>
          <w:color w:val="000000"/>
          <w:sz w:val="24"/>
          <w:szCs w:val="24"/>
          <w:lang w:eastAsia="en-GB"/>
        </w:rPr>
        <w:t>from</w:t>
      </w:r>
      <w:r w:rsidR="006F6440" w:rsidRPr="006F6440">
        <w:rPr>
          <w:rFonts w:eastAsia="Times New Roman" w:cstheme="minorHAnsi"/>
          <w:color w:val="000000"/>
          <w:sz w:val="24"/>
          <w:szCs w:val="24"/>
          <w:lang w:eastAsia="en-GB"/>
        </w:rPr>
        <w:t xml:space="preserve"> </w:t>
      </w:r>
      <w:r w:rsidR="006F6440" w:rsidRPr="009B1307">
        <w:rPr>
          <w:rFonts w:eastAsia="Times New Roman" w:cstheme="minorHAnsi"/>
          <w:i/>
          <w:iCs/>
          <w:sz w:val="24"/>
          <w:szCs w:val="24"/>
          <w:lang w:eastAsia="en-GB"/>
        </w:rPr>
        <w:t xml:space="preserve">Johan </w:t>
      </w:r>
      <w:proofErr w:type="spellStart"/>
      <w:r w:rsidR="006F6440" w:rsidRPr="009B1307">
        <w:rPr>
          <w:rFonts w:eastAsia="Times New Roman" w:cstheme="minorHAnsi"/>
          <w:i/>
          <w:iCs/>
          <w:sz w:val="24"/>
          <w:szCs w:val="24"/>
          <w:lang w:eastAsia="en-GB"/>
        </w:rPr>
        <w:t>Deckmyn</w:t>
      </w:r>
      <w:proofErr w:type="spellEnd"/>
      <w:r w:rsidR="006F6440" w:rsidRPr="009B1307">
        <w:rPr>
          <w:rFonts w:eastAsia="Times New Roman" w:cstheme="minorHAnsi"/>
          <w:i/>
          <w:iCs/>
          <w:sz w:val="24"/>
          <w:szCs w:val="24"/>
          <w:lang w:eastAsia="en-GB"/>
        </w:rPr>
        <w:t xml:space="preserve"> and </w:t>
      </w:r>
      <w:proofErr w:type="spellStart"/>
      <w:r w:rsidR="006F6440" w:rsidRPr="009B1307">
        <w:rPr>
          <w:rFonts w:eastAsia="Times New Roman" w:cstheme="minorHAnsi"/>
          <w:i/>
          <w:iCs/>
          <w:sz w:val="24"/>
          <w:szCs w:val="24"/>
          <w:lang w:eastAsia="en-GB"/>
        </w:rPr>
        <w:t>Vrijheidsfonds</w:t>
      </w:r>
      <w:proofErr w:type="spellEnd"/>
      <w:r w:rsidR="006F6440" w:rsidRPr="009B1307">
        <w:rPr>
          <w:rFonts w:eastAsia="Times New Roman" w:cstheme="minorHAnsi"/>
          <w:i/>
          <w:iCs/>
          <w:sz w:val="24"/>
          <w:szCs w:val="24"/>
          <w:lang w:eastAsia="en-GB"/>
        </w:rPr>
        <w:t xml:space="preserve"> VZW v Helena </w:t>
      </w:r>
      <w:proofErr w:type="spellStart"/>
      <w:r w:rsidR="006F6440" w:rsidRPr="009B1307">
        <w:rPr>
          <w:rFonts w:eastAsia="Times New Roman" w:cstheme="minorHAnsi"/>
          <w:i/>
          <w:iCs/>
          <w:sz w:val="24"/>
          <w:szCs w:val="24"/>
          <w:lang w:eastAsia="en-GB"/>
        </w:rPr>
        <w:t>Vandersteen</w:t>
      </w:r>
      <w:proofErr w:type="spellEnd"/>
      <w:r w:rsidR="006F6440" w:rsidRPr="009B1307">
        <w:rPr>
          <w:rFonts w:eastAsia="Times New Roman" w:cstheme="minorHAnsi"/>
          <w:i/>
          <w:iCs/>
          <w:sz w:val="24"/>
          <w:szCs w:val="24"/>
          <w:lang w:eastAsia="en-GB"/>
        </w:rPr>
        <w:t xml:space="preserve"> and Others</w:t>
      </w:r>
      <w:r w:rsidR="006F6440" w:rsidRPr="009B1307">
        <w:rPr>
          <w:rFonts w:eastAsia="Times New Roman" w:cstheme="minorHAnsi"/>
          <w:sz w:val="24"/>
          <w:szCs w:val="24"/>
          <w:lang w:eastAsia="en-GB"/>
        </w:rPr>
        <w:t> (C-201/13) ECLI:EU:C:2014:2132 </w:t>
      </w:r>
      <w:r w:rsidR="006F6440" w:rsidRPr="002E5FB3">
        <w:rPr>
          <w:rFonts w:eastAsia="Times New Roman" w:cstheme="minorHAnsi"/>
          <w:color w:val="000000"/>
          <w:sz w:val="24"/>
          <w:szCs w:val="24"/>
          <w:lang w:eastAsia="en-GB"/>
        </w:rPr>
        <w:t>[2014]. </w:t>
      </w:r>
      <w:r w:rsidR="006F6440" w:rsidRPr="006F6440">
        <w:rPr>
          <w:rFonts w:eastAsia="Times New Roman" w:cstheme="minorHAnsi"/>
          <w:color w:val="000000"/>
          <w:sz w:val="24"/>
          <w:szCs w:val="24"/>
          <w:lang w:eastAsia="en-GB"/>
        </w:rPr>
        <w:t>In the latter, the Court of Justice of the European Union</w:t>
      </w:r>
      <w:r w:rsidR="0046616D">
        <w:rPr>
          <w:rFonts w:eastAsia="Times New Roman" w:cstheme="minorHAnsi"/>
          <w:color w:val="000000"/>
          <w:sz w:val="24"/>
          <w:szCs w:val="24"/>
          <w:lang w:eastAsia="en-GB"/>
        </w:rPr>
        <w:t xml:space="preserve"> (CJEU)</w:t>
      </w:r>
      <w:r w:rsidR="006F6440" w:rsidRPr="006F6440">
        <w:rPr>
          <w:rFonts w:eastAsia="Times New Roman" w:cstheme="minorHAnsi"/>
          <w:color w:val="000000"/>
          <w:sz w:val="24"/>
          <w:szCs w:val="24"/>
          <w:lang w:eastAsia="en-GB"/>
        </w:rPr>
        <w:t xml:space="preserve"> established that a parody use had to satisfy two key requirement</w:t>
      </w:r>
      <w:r w:rsidR="002C37C6">
        <w:rPr>
          <w:rFonts w:eastAsia="Times New Roman" w:cstheme="minorHAnsi"/>
          <w:color w:val="000000"/>
          <w:sz w:val="24"/>
          <w:szCs w:val="24"/>
          <w:lang w:eastAsia="en-GB"/>
        </w:rPr>
        <w:t>s</w:t>
      </w:r>
      <w:r w:rsidR="006F6440" w:rsidRPr="006F6440">
        <w:rPr>
          <w:rFonts w:eastAsia="Times New Roman" w:cstheme="minorHAnsi"/>
          <w:color w:val="000000"/>
          <w:sz w:val="24"/>
          <w:szCs w:val="24"/>
          <w:lang w:eastAsia="en-GB"/>
        </w:rPr>
        <w:t xml:space="preserve">: </w:t>
      </w:r>
      <w:r w:rsidR="006F6440" w:rsidRPr="002E5FB3">
        <w:rPr>
          <w:rFonts w:eastAsia="Times New Roman" w:cstheme="minorHAnsi"/>
          <w:color w:val="000000"/>
          <w:sz w:val="24"/>
          <w:szCs w:val="24"/>
          <w:lang w:eastAsia="en-GB"/>
        </w:rPr>
        <w:t>firstly, it must ‘</w:t>
      </w:r>
      <w:r w:rsidR="006F6440" w:rsidRPr="002E5FB3">
        <w:rPr>
          <w:rFonts w:eastAsia="Times New Roman" w:cstheme="minorHAnsi"/>
          <w:color w:val="000000"/>
          <w:sz w:val="24"/>
          <w:szCs w:val="24"/>
          <w:shd w:val="clear" w:color="auto" w:fill="FFFFFF"/>
          <w:lang w:eastAsia="en-GB"/>
        </w:rPr>
        <w:t>evoke an existing work while being noticeably different from it,’ and secondly, it must ‘constitute an expression of humour or mockery’ (</w:t>
      </w:r>
      <w:proofErr w:type="spellStart"/>
      <w:r w:rsidR="002C5204" w:rsidRPr="002C5204">
        <w:rPr>
          <w:rFonts w:eastAsia="Times New Roman" w:cstheme="minorHAnsi"/>
          <w:i/>
          <w:color w:val="000000"/>
          <w:sz w:val="24"/>
          <w:szCs w:val="24"/>
          <w:shd w:val="clear" w:color="auto" w:fill="FFFFFF"/>
          <w:lang w:eastAsia="en-GB"/>
        </w:rPr>
        <w:t>Deckmyn</w:t>
      </w:r>
      <w:proofErr w:type="spellEnd"/>
      <w:r w:rsidR="002C5204">
        <w:rPr>
          <w:rFonts w:eastAsia="Times New Roman" w:cstheme="minorHAnsi"/>
          <w:color w:val="000000"/>
          <w:sz w:val="24"/>
          <w:szCs w:val="24"/>
          <w:shd w:val="clear" w:color="auto" w:fill="FFFFFF"/>
          <w:lang w:eastAsia="en-GB"/>
        </w:rPr>
        <w:t xml:space="preserve">, </w:t>
      </w:r>
      <w:r w:rsidR="006F6440" w:rsidRPr="002E5FB3">
        <w:rPr>
          <w:rFonts w:eastAsia="Times New Roman" w:cstheme="minorHAnsi"/>
          <w:color w:val="000000"/>
          <w:sz w:val="24"/>
          <w:szCs w:val="24"/>
          <w:shd w:val="clear" w:color="auto" w:fill="FFFFFF"/>
          <w:lang w:eastAsia="en-GB"/>
        </w:rPr>
        <w:t>para 20).</w:t>
      </w:r>
      <w:r w:rsidR="006F6440" w:rsidRPr="002E5FB3">
        <w:rPr>
          <w:rFonts w:eastAsia="Times New Roman" w:cstheme="minorHAnsi"/>
          <w:color w:val="000000"/>
          <w:shd w:val="clear" w:color="auto" w:fill="FFFFFF"/>
          <w:lang w:eastAsia="en-GB"/>
        </w:rPr>
        <w:t xml:space="preserve"> </w:t>
      </w:r>
      <w:r w:rsidR="006F6440">
        <w:rPr>
          <w:rFonts w:eastAsia="Times New Roman" w:cstheme="minorHAnsi"/>
          <w:color w:val="000000"/>
          <w:sz w:val="24"/>
          <w:szCs w:val="24"/>
          <w:lang w:eastAsia="en-GB"/>
        </w:rPr>
        <w:t xml:space="preserve"> </w:t>
      </w:r>
      <w:r w:rsidR="00462C66">
        <w:rPr>
          <w:rFonts w:eastAsia="Times New Roman" w:cstheme="minorHAnsi"/>
          <w:color w:val="000000"/>
          <w:sz w:val="24"/>
          <w:szCs w:val="24"/>
          <w:lang w:eastAsia="en-GB"/>
        </w:rPr>
        <w:t>Most</w:t>
      </w:r>
      <w:r w:rsidR="00746E3B">
        <w:rPr>
          <w:rFonts w:eastAsia="Times New Roman" w:cstheme="minorHAnsi"/>
          <w:color w:val="000000"/>
          <w:sz w:val="24"/>
          <w:szCs w:val="24"/>
          <w:lang w:eastAsia="en-GB"/>
        </w:rPr>
        <w:t xml:space="preserve"> notably, the court dismissed the application of the parody exception on the basis that </w:t>
      </w:r>
      <w:r w:rsidR="009B1307">
        <w:rPr>
          <w:rFonts w:eastAsia="Times New Roman" w:cstheme="minorHAnsi"/>
          <w:color w:val="000000"/>
          <w:sz w:val="24"/>
          <w:szCs w:val="24"/>
          <w:lang w:eastAsia="en-GB"/>
        </w:rPr>
        <w:t xml:space="preserve">the use was not for the purpose of parody as the </w:t>
      </w:r>
      <w:r w:rsidR="00625E99">
        <w:rPr>
          <w:rFonts w:eastAsia="Times New Roman" w:cstheme="minorHAnsi"/>
          <w:color w:val="000000"/>
          <w:sz w:val="24"/>
          <w:szCs w:val="24"/>
          <w:lang w:eastAsia="en-GB"/>
        </w:rPr>
        <w:t xml:space="preserve">defendant intended to embarrass the plaintiff rather than </w:t>
      </w:r>
      <w:r w:rsidR="003D4DB9">
        <w:rPr>
          <w:rFonts w:eastAsia="Times New Roman" w:cstheme="minorHAnsi"/>
          <w:color w:val="000000"/>
          <w:sz w:val="24"/>
          <w:szCs w:val="24"/>
          <w:lang w:eastAsia="en-GB"/>
        </w:rPr>
        <w:t>being humorous (para 124).  Other factors such as character of the dealing (para 127), amount copied (para 129), alternatives to the dealing (</w:t>
      </w:r>
      <w:r w:rsidR="001936AD">
        <w:rPr>
          <w:rFonts w:eastAsia="Times New Roman" w:cstheme="minorHAnsi"/>
          <w:color w:val="000000"/>
          <w:sz w:val="24"/>
          <w:szCs w:val="24"/>
          <w:lang w:eastAsia="en-GB"/>
        </w:rPr>
        <w:t xml:space="preserve">para 133) and the effect on the market of </w:t>
      </w:r>
      <w:r w:rsidR="0023377B">
        <w:rPr>
          <w:rFonts w:eastAsia="Times New Roman" w:cstheme="minorHAnsi"/>
          <w:color w:val="000000"/>
          <w:sz w:val="24"/>
          <w:szCs w:val="24"/>
          <w:lang w:eastAsia="en-GB"/>
        </w:rPr>
        <w:t>the original (para 140) weighed against the defendant.</w:t>
      </w:r>
    </w:p>
    <w:p w:rsidR="00B97356" w:rsidRPr="0023377B" w:rsidRDefault="00B97356" w:rsidP="00383009">
      <w:pPr>
        <w:pStyle w:val="Heading1"/>
        <w:spacing w:line="276" w:lineRule="auto"/>
        <w:jc w:val="both"/>
        <w:rPr>
          <w:rFonts w:asciiTheme="minorHAnsi" w:hAnsiTheme="minorHAnsi" w:cstheme="minorHAnsi"/>
          <w:b/>
          <w:sz w:val="24"/>
          <w:szCs w:val="24"/>
        </w:rPr>
      </w:pPr>
      <w:r w:rsidRPr="0023377B">
        <w:rPr>
          <w:rFonts w:asciiTheme="minorHAnsi" w:hAnsiTheme="minorHAnsi" w:cstheme="minorHAnsi"/>
          <w:b/>
          <w:sz w:val="24"/>
          <w:szCs w:val="24"/>
        </w:rPr>
        <w:lastRenderedPageBreak/>
        <w:t>Practical significance</w:t>
      </w:r>
    </w:p>
    <w:p w:rsidR="003D4DB9" w:rsidRDefault="009D614F" w:rsidP="006A5736">
      <w:pPr>
        <w:jc w:val="both"/>
        <w:rPr>
          <w:sz w:val="24"/>
          <w:szCs w:val="24"/>
        </w:rPr>
      </w:pPr>
      <w:r>
        <w:rPr>
          <w:sz w:val="24"/>
          <w:szCs w:val="24"/>
        </w:rPr>
        <w:t xml:space="preserve">Without a specific parody exception in </w:t>
      </w:r>
      <w:r w:rsidR="008113A3">
        <w:rPr>
          <w:sz w:val="24"/>
          <w:szCs w:val="24"/>
        </w:rPr>
        <w:t>TMA</w:t>
      </w:r>
      <w:r>
        <w:rPr>
          <w:sz w:val="24"/>
          <w:szCs w:val="24"/>
        </w:rPr>
        <w:t xml:space="preserve"> and given the</w:t>
      </w:r>
      <w:r w:rsidR="004C47EC">
        <w:rPr>
          <w:sz w:val="24"/>
          <w:szCs w:val="24"/>
        </w:rPr>
        <w:t xml:space="preserve"> current</w:t>
      </w:r>
      <w:r>
        <w:rPr>
          <w:sz w:val="24"/>
          <w:szCs w:val="24"/>
        </w:rPr>
        <w:t xml:space="preserve"> expansion of protection, the court’s decision </w:t>
      </w:r>
      <w:proofErr w:type="gramStart"/>
      <w:r>
        <w:rPr>
          <w:sz w:val="24"/>
          <w:szCs w:val="24"/>
        </w:rPr>
        <w:t>was anticipated</w:t>
      </w:r>
      <w:proofErr w:type="gramEnd"/>
      <w:r>
        <w:rPr>
          <w:sz w:val="24"/>
          <w:szCs w:val="24"/>
        </w:rPr>
        <w:t xml:space="preserve">. It </w:t>
      </w:r>
      <w:r w:rsidR="008113A3">
        <w:rPr>
          <w:sz w:val="24"/>
          <w:szCs w:val="24"/>
        </w:rPr>
        <w:t xml:space="preserve">highlights the need to have a balanced system to avoid </w:t>
      </w:r>
      <w:r w:rsidR="008113A3" w:rsidRPr="008113A3">
        <w:rPr>
          <w:i/>
          <w:sz w:val="24"/>
          <w:szCs w:val="24"/>
        </w:rPr>
        <w:t>absolute</w:t>
      </w:r>
      <w:r w:rsidR="008113A3">
        <w:rPr>
          <w:sz w:val="24"/>
          <w:szCs w:val="24"/>
        </w:rPr>
        <w:t xml:space="preserve"> trademark protection. </w:t>
      </w:r>
    </w:p>
    <w:p w:rsidR="008113A3" w:rsidRDefault="005055F5" w:rsidP="000568B2">
      <w:pPr>
        <w:jc w:val="both"/>
        <w:rPr>
          <w:sz w:val="24"/>
          <w:szCs w:val="24"/>
        </w:rPr>
      </w:pPr>
      <w:r>
        <w:rPr>
          <w:sz w:val="24"/>
          <w:szCs w:val="24"/>
        </w:rPr>
        <w:t>The court’</w:t>
      </w:r>
      <w:r w:rsidR="00043045">
        <w:rPr>
          <w:sz w:val="24"/>
          <w:szCs w:val="24"/>
        </w:rPr>
        <w:t xml:space="preserve">s application of the parody exception under copyright law is more startling. </w:t>
      </w:r>
      <w:r w:rsidR="00EA5F28">
        <w:rPr>
          <w:sz w:val="24"/>
          <w:szCs w:val="24"/>
        </w:rPr>
        <w:t xml:space="preserve">Whilst parting with </w:t>
      </w:r>
      <w:proofErr w:type="spellStart"/>
      <w:r w:rsidR="00EA5F28" w:rsidRPr="00EA5F28">
        <w:rPr>
          <w:i/>
          <w:sz w:val="24"/>
          <w:szCs w:val="24"/>
        </w:rPr>
        <w:t>Favreau</w:t>
      </w:r>
      <w:proofErr w:type="spellEnd"/>
      <w:r w:rsidR="00EA5F28" w:rsidRPr="00EA5F28">
        <w:rPr>
          <w:i/>
          <w:sz w:val="24"/>
          <w:szCs w:val="24"/>
        </w:rPr>
        <w:t xml:space="preserve"> </w:t>
      </w:r>
      <w:r w:rsidR="00EA5F28">
        <w:rPr>
          <w:sz w:val="24"/>
          <w:szCs w:val="24"/>
        </w:rPr>
        <w:t xml:space="preserve">was reasonable, the </w:t>
      </w:r>
      <w:r w:rsidR="00032CF5">
        <w:rPr>
          <w:sz w:val="24"/>
          <w:szCs w:val="24"/>
        </w:rPr>
        <w:t xml:space="preserve">endorsement </w:t>
      </w:r>
      <w:r w:rsidR="00414E7C">
        <w:rPr>
          <w:sz w:val="24"/>
          <w:szCs w:val="24"/>
        </w:rPr>
        <w:t xml:space="preserve">and understanding </w:t>
      </w:r>
      <w:r w:rsidR="00032CF5">
        <w:rPr>
          <w:sz w:val="24"/>
          <w:szCs w:val="24"/>
        </w:rPr>
        <w:t>of the EU</w:t>
      </w:r>
      <w:r w:rsidR="00F362F6">
        <w:rPr>
          <w:sz w:val="24"/>
          <w:szCs w:val="24"/>
        </w:rPr>
        <w:t>’s two main requirements</w:t>
      </w:r>
      <w:r w:rsidR="00414E7C">
        <w:rPr>
          <w:sz w:val="24"/>
          <w:szCs w:val="24"/>
        </w:rPr>
        <w:t xml:space="preserve"> was unexpected. Mainly, </w:t>
      </w:r>
      <w:r w:rsidR="000A0372">
        <w:rPr>
          <w:sz w:val="24"/>
          <w:szCs w:val="24"/>
        </w:rPr>
        <w:t>it is arguable that</w:t>
      </w:r>
      <w:r w:rsidR="002026D2">
        <w:rPr>
          <w:sz w:val="24"/>
          <w:szCs w:val="24"/>
        </w:rPr>
        <w:t xml:space="preserve"> by interpreting the CJEU’s second requirement as necessitating ‘some differences’ only, the co</w:t>
      </w:r>
      <w:r w:rsidR="00B24AD9">
        <w:rPr>
          <w:sz w:val="24"/>
          <w:szCs w:val="24"/>
        </w:rPr>
        <w:t>urt adopted a low thresh</w:t>
      </w:r>
      <w:r w:rsidR="005D4BE9">
        <w:rPr>
          <w:sz w:val="24"/>
          <w:szCs w:val="24"/>
        </w:rPr>
        <w:t>old</w:t>
      </w:r>
      <w:r w:rsidR="00DF13C0">
        <w:rPr>
          <w:sz w:val="24"/>
          <w:szCs w:val="24"/>
        </w:rPr>
        <w:t>, easily met by</w:t>
      </w:r>
      <w:r w:rsidR="005D4BE9">
        <w:rPr>
          <w:sz w:val="24"/>
          <w:szCs w:val="24"/>
        </w:rPr>
        <w:t xml:space="preserve"> any derivative use. </w:t>
      </w:r>
      <w:r w:rsidR="002F0ECA">
        <w:rPr>
          <w:sz w:val="24"/>
          <w:szCs w:val="24"/>
        </w:rPr>
        <w:t xml:space="preserve">This first application of the parody exception also raises the important question of whether fairness acts as an additional step </w:t>
      </w:r>
      <w:r w:rsidR="003D700C">
        <w:rPr>
          <w:sz w:val="24"/>
          <w:szCs w:val="24"/>
        </w:rPr>
        <w:t>to</w:t>
      </w:r>
      <w:r w:rsidR="002F0ECA">
        <w:rPr>
          <w:sz w:val="24"/>
          <w:szCs w:val="24"/>
        </w:rPr>
        <w:t xml:space="preserve"> the satisfaction of the two main requirements noted in </w:t>
      </w:r>
      <w:proofErr w:type="spellStart"/>
      <w:r w:rsidR="002F0ECA" w:rsidRPr="002F0ECA">
        <w:rPr>
          <w:i/>
          <w:sz w:val="24"/>
          <w:szCs w:val="24"/>
        </w:rPr>
        <w:t>Deckmyn</w:t>
      </w:r>
      <w:proofErr w:type="spellEnd"/>
      <w:r w:rsidR="002F0ECA" w:rsidRPr="002F0ECA">
        <w:rPr>
          <w:i/>
          <w:sz w:val="24"/>
          <w:szCs w:val="24"/>
        </w:rPr>
        <w:t xml:space="preserve"> </w:t>
      </w:r>
      <w:r w:rsidR="002F0ECA">
        <w:rPr>
          <w:sz w:val="24"/>
          <w:szCs w:val="24"/>
        </w:rPr>
        <w:t>or</w:t>
      </w:r>
      <w:r w:rsidR="00E66A42">
        <w:rPr>
          <w:sz w:val="24"/>
          <w:szCs w:val="24"/>
        </w:rPr>
        <w:t xml:space="preserve">, whether the two main requirement of humorous intent and </w:t>
      </w:r>
      <w:r w:rsidR="00644DC7">
        <w:rPr>
          <w:sz w:val="24"/>
          <w:szCs w:val="24"/>
        </w:rPr>
        <w:t xml:space="preserve">absence of confusion overarch the fairness test. </w:t>
      </w:r>
      <w:r w:rsidR="006A5736">
        <w:rPr>
          <w:sz w:val="24"/>
          <w:szCs w:val="24"/>
        </w:rPr>
        <w:t xml:space="preserve">By adopting the later, perhaps the feeling of contradiction in the court’s reasoning </w:t>
      </w:r>
      <w:proofErr w:type="gramStart"/>
      <w:r w:rsidR="006A5736">
        <w:rPr>
          <w:sz w:val="24"/>
          <w:szCs w:val="24"/>
        </w:rPr>
        <w:t>could have been avoided</w:t>
      </w:r>
      <w:proofErr w:type="gramEnd"/>
      <w:r w:rsidR="006A5736">
        <w:rPr>
          <w:sz w:val="24"/>
          <w:szCs w:val="24"/>
        </w:rPr>
        <w:t>.</w:t>
      </w:r>
    </w:p>
    <w:p w:rsidR="008113A3" w:rsidRDefault="008113A3" w:rsidP="003D4DB9">
      <w:pPr>
        <w:rPr>
          <w:sz w:val="24"/>
          <w:szCs w:val="24"/>
        </w:rPr>
      </w:pPr>
    </w:p>
    <w:p w:rsidR="008113A3" w:rsidRPr="0023377B" w:rsidRDefault="008113A3" w:rsidP="003D4DB9">
      <w:pPr>
        <w:rPr>
          <w:sz w:val="24"/>
          <w:szCs w:val="24"/>
        </w:rPr>
      </w:pPr>
    </w:p>
    <w:sectPr w:rsidR="008113A3" w:rsidRPr="002337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7356"/>
    <w:rsid w:val="00032CF5"/>
    <w:rsid w:val="00034213"/>
    <w:rsid w:val="00037E60"/>
    <w:rsid w:val="00043045"/>
    <w:rsid w:val="000568B2"/>
    <w:rsid w:val="00056FE6"/>
    <w:rsid w:val="00085E89"/>
    <w:rsid w:val="000A0372"/>
    <w:rsid w:val="000A3EB5"/>
    <w:rsid w:val="000C2E97"/>
    <w:rsid w:val="000D4BA2"/>
    <w:rsid w:val="000E1DF5"/>
    <w:rsid w:val="00113EA9"/>
    <w:rsid w:val="001936AD"/>
    <w:rsid w:val="00196B04"/>
    <w:rsid w:val="001C3ACE"/>
    <w:rsid w:val="001C3D9B"/>
    <w:rsid w:val="002026D2"/>
    <w:rsid w:val="00216984"/>
    <w:rsid w:val="00224D3A"/>
    <w:rsid w:val="002333F2"/>
    <w:rsid w:val="0023377B"/>
    <w:rsid w:val="002A61FF"/>
    <w:rsid w:val="002C37C6"/>
    <w:rsid w:val="002C5204"/>
    <w:rsid w:val="002E3CB9"/>
    <w:rsid w:val="002F0ECA"/>
    <w:rsid w:val="002F1A89"/>
    <w:rsid w:val="0032606C"/>
    <w:rsid w:val="00327829"/>
    <w:rsid w:val="0033245F"/>
    <w:rsid w:val="00342934"/>
    <w:rsid w:val="00356F13"/>
    <w:rsid w:val="00383009"/>
    <w:rsid w:val="0039296D"/>
    <w:rsid w:val="003965FD"/>
    <w:rsid w:val="003C502D"/>
    <w:rsid w:val="003C5F11"/>
    <w:rsid w:val="003D4DB9"/>
    <w:rsid w:val="003D700C"/>
    <w:rsid w:val="00414E7C"/>
    <w:rsid w:val="00430EF0"/>
    <w:rsid w:val="00434A77"/>
    <w:rsid w:val="00462C66"/>
    <w:rsid w:val="0046431D"/>
    <w:rsid w:val="0046616D"/>
    <w:rsid w:val="00473ECC"/>
    <w:rsid w:val="004B6A9F"/>
    <w:rsid w:val="004B7F0A"/>
    <w:rsid w:val="004C47EC"/>
    <w:rsid w:val="004D5DD3"/>
    <w:rsid w:val="004E0887"/>
    <w:rsid w:val="00502EBA"/>
    <w:rsid w:val="005055F5"/>
    <w:rsid w:val="00515E86"/>
    <w:rsid w:val="00532F20"/>
    <w:rsid w:val="005466DE"/>
    <w:rsid w:val="00554BC7"/>
    <w:rsid w:val="00567D9E"/>
    <w:rsid w:val="00572B93"/>
    <w:rsid w:val="005A2CF4"/>
    <w:rsid w:val="005A4495"/>
    <w:rsid w:val="005A71F0"/>
    <w:rsid w:val="005B7B02"/>
    <w:rsid w:val="005D4BE9"/>
    <w:rsid w:val="005E413E"/>
    <w:rsid w:val="0061229B"/>
    <w:rsid w:val="00614EED"/>
    <w:rsid w:val="0061655B"/>
    <w:rsid w:val="00625E99"/>
    <w:rsid w:val="00644DC7"/>
    <w:rsid w:val="006575DC"/>
    <w:rsid w:val="006878B0"/>
    <w:rsid w:val="006A5736"/>
    <w:rsid w:val="006B3C7D"/>
    <w:rsid w:val="006D07BA"/>
    <w:rsid w:val="006D449E"/>
    <w:rsid w:val="006E4F57"/>
    <w:rsid w:val="006F3BF0"/>
    <w:rsid w:val="006F6440"/>
    <w:rsid w:val="007034AD"/>
    <w:rsid w:val="00714EE5"/>
    <w:rsid w:val="00746E3B"/>
    <w:rsid w:val="00755D7A"/>
    <w:rsid w:val="007833C8"/>
    <w:rsid w:val="007C2ACE"/>
    <w:rsid w:val="0080228B"/>
    <w:rsid w:val="008100F6"/>
    <w:rsid w:val="008113A3"/>
    <w:rsid w:val="008445AD"/>
    <w:rsid w:val="00897311"/>
    <w:rsid w:val="008A14E8"/>
    <w:rsid w:val="008A69EB"/>
    <w:rsid w:val="008D1660"/>
    <w:rsid w:val="008D4D33"/>
    <w:rsid w:val="008E4E8A"/>
    <w:rsid w:val="00903059"/>
    <w:rsid w:val="0092093D"/>
    <w:rsid w:val="009422A2"/>
    <w:rsid w:val="009539A0"/>
    <w:rsid w:val="009924BA"/>
    <w:rsid w:val="009A4AD2"/>
    <w:rsid w:val="009A6BED"/>
    <w:rsid w:val="009B1307"/>
    <w:rsid w:val="009B27FF"/>
    <w:rsid w:val="009B3D2C"/>
    <w:rsid w:val="009D614F"/>
    <w:rsid w:val="00A2216C"/>
    <w:rsid w:val="00A259C1"/>
    <w:rsid w:val="00A25F11"/>
    <w:rsid w:val="00A41933"/>
    <w:rsid w:val="00A473E6"/>
    <w:rsid w:val="00A57CB7"/>
    <w:rsid w:val="00A94998"/>
    <w:rsid w:val="00AB59A8"/>
    <w:rsid w:val="00AC3C79"/>
    <w:rsid w:val="00AD0266"/>
    <w:rsid w:val="00AD66AD"/>
    <w:rsid w:val="00AE5603"/>
    <w:rsid w:val="00AE6B86"/>
    <w:rsid w:val="00B05184"/>
    <w:rsid w:val="00B24AD9"/>
    <w:rsid w:val="00B27A7B"/>
    <w:rsid w:val="00B303F2"/>
    <w:rsid w:val="00B36AD8"/>
    <w:rsid w:val="00B66933"/>
    <w:rsid w:val="00B74550"/>
    <w:rsid w:val="00B7664F"/>
    <w:rsid w:val="00B97356"/>
    <w:rsid w:val="00B9747A"/>
    <w:rsid w:val="00BE639A"/>
    <w:rsid w:val="00C0075C"/>
    <w:rsid w:val="00C31E51"/>
    <w:rsid w:val="00CB2C46"/>
    <w:rsid w:val="00CC3DEE"/>
    <w:rsid w:val="00CD346D"/>
    <w:rsid w:val="00CE2725"/>
    <w:rsid w:val="00CE43A1"/>
    <w:rsid w:val="00D03997"/>
    <w:rsid w:val="00D472C5"/>
    <w:rsid w:val="00D51995"/>
    <w:rsid w:val="00D66348"/>
    <w:rsid w:val="00D747F3"/>
    <w:rsid w:val="00D76D20"/>
    <w:rsid w:val="00D83A37"/>
    <w:rsid w:val="00D86609"/>
    <w:rsid w:val="00DB3735"/>
    <w:rsid w:val="00DC34DE"/>
    <w:rsid w:val="00DF13C0"/>
    <w:rsid w:val="00E357FE"/>
    <w:rsid w:val="00E44195"/>
    <w:rsid w:val="00E66A42"/>
    <w:rsid w:val="00E70C3A"/>
    <w:rsid w:val="00E71172"/>
    <w:rsid w:val="00E75FA3"/>
    <w:rsid w:val="00E81709"/>
    <w:rsid w:val="00EA1A4A"/>
    <w:rsid w:val="00EA5F28"/>
    <w:rsid w:val="00EB7BF6"/>
    <w:rsid w:val="00EC2C6F"/>
    <w:rsid w:val="00EE350A"/>
    <w:rsid w:val="00EE37B1"/>
    <w:rsid w:val="00EE589B"/>
    <w:rsid w:val="00EF35F3"/>
    <w:rsid w:val="00EF580A"/>
    <w:rsid w:val="00F362F6"/>
    <w:rsid w:val="00F638E2"/>
    <w:rsid w:val="00F841CD"/>
    <w:rsid w:val="00F97A1E"/>
    <w:rsid w:val="00FA1C14"/>
    <w:rsid w:val="00FA1F59"/>
    <w:rsid w:val="00FC681A"/>
    <w:rsid w:val="00FC6D5F"/>
    <w:rsid w:val="00FC7891"/>
    <w:rsid w:val="00FE693C"/>
    <w:rsid w:val="00FF45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86242"/>
  <w15:chartTrackingRefBased/>
  <w15:docId w15:val="{52CE306B-46F5-4161-AF81-D1DD36154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GB" w:eastAsia="en-US" w:bidi="ar-SA"/>
      </w:rPr>
    </w:rPrDefault>
    <w:pPrDefault>
      <w:pPr>
        <w:spacing w:after="16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7356"/>
  </w:style>
  <w:style w:type="paragraph" w:styleId="Heading1">
    <w:name w:val="heading 1"/>
    <w:basedOn w:val="Normal"/>
    <w:next w:val="Normal"/>
    <w:link w:val="Heading1Char"/>
    <w:uiPriority w:val="9"/>
    <w:qFormat/>
    <w:rsid w:val="00B97356"/>
    <w:pPr>
      <w:keepNext/>
      <w:keepLines/>
      <w:spacing w:before="320" w:after="80" w:line="240" w:lineRule="auto"/>
      <w:jc w:val="center"/>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B97356"/>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B97356"/>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B97356"/>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B97356"/>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B97356"/>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B97356"/>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B97356"/>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B97356"/>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7356"/>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B97356"/>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B97356"/>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B97356"/>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B97356"/>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B97356"/>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B97356"/>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B97356"/>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B97356"/>
    <w:rPr>
      <w:b/>
      <w:bCs/>
      <w:i/>
      <w:iCs/>
    </w:rPr>
  </w:style>
  <w:style w:type="paragraph" w:styleId="Caption">
    <w:name w:val="caption"/>
    <w:basedOn w:val="Normal"/>
    <w:next w:val="Normal"/>
    <w:uiPriority w:val="35"/>
    <w:semiHidden/>
    <w:unhideWhenUsed/>
    <w:qFormat/>
    <w:rsid w:val="00B97356"/>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B97356"/>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B97356"/>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B97356"/>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B97356"/>
    <w:rPr>
      <w:color w:val="44546A" w:themeColor="text2"/>
      <w:sz w:val="28"/>
      <w:szCs w:val="28"/>
    </w:rPr>
  </w:style>
  <w:style w:type="character" w:styleId="Strong">
    <w:name w:val="Strong"/>
    <w:basedOn w:val="DefaultParagraphFont"/>
    <w:uiPriority w:val="22"/>
    <w:qFormat/>
    <w:rsid w:val="00B97356"/>
    <w:rPr>
      <w:b/>
      <w:bCs/>
    </w:rPr>
  </w:style>
  <w:style w:type="character" w:styleId="Emphasis">
    <w:name w:val="Emphasis"/>
    <w:basedOn w:val="DefaultParagraphFont"/>
    <w:uiPriority w:val="20"/>
    <w:qFormat/>
    <w:rsid w:val="00B97356"/>
    <w:rPr>
      <w:i/>
      <w:iCs/>
      <w:color w:val="000000" w:themeColor="text1"/>
    </w:rPr>
  </w:style>
  <w:style w:type="paragraph" w:styleId="NoSpacing">
    <w:name w:val="No Spacing"/>
    <w:uiPriority w:val="1"/>
    <w:qFormat/>
    <w:rsid w:val="00B97356"/>
    <w:pPr>
      <w:spacing w:after="0" w:line="240" w:lineRule="auto"/>
    </w:pPr>
  </w:style>
  <w:style w:type="paragraph" w:styleId="Quote">
    <w:name w:val="Quote"/>
    <w:basedOn w:val="Normal"/>
    <w:next w:val="Normal"/>
    <w:link w:val="QuoteChar"/>
    <w:uiPriority w:val="29"/>
    <w:qFormat/>
    <w:rsid w:val="00B97356"/>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B97356"/>
    <w:rPr>
      <w:i/>
      <w:iCs/>
      <w:color w:val="7B7B7B" w:themeColor="accent3" w:themeShade="BF"/>
      <w:sz w:val="24"/>
      <w:szCs w:val="24"/>
    </w:rPr>
  </w:style>
  <w:style w:type="paragraph" w:styleId="IntenseQuote">
    <w:name w:val="Intense Quote"/>
    <w:basedOn w:val="Normal"/>
    <w:next w:val="Normal"/>
    <w:link w:val="IntenseQuoteChar"/>
    <w:uiPriority w:val="30"/>
    <w:qFormat/>
    <w:rsid w:val="00B97356"/>
    <w:pPr>
      <w:spacing w:before="160" w:line="276" w:lineRule="auto"/>
      <w:ind w:left="936" w:right="936"/>
      <w:jc w:val="center"/>
    </w:pPr>
    <w:rPr>
      <w:rFonts w:asciiTheme="majorHAnsi" w:eastAsiaTheme="majorEastAsia" w:hAnsiTheme="majorHAnsi" w:cstheme="majorBidi"/>
      <w:caps/>
      <w:color w:val="2E74B5" w:themeColor="accent1" w:themeShade="BF"/>
      <w:sz w:val="28"/>
      <w:szCs w:val="28"/>
    </w:rPr>
  </w:style>
  <w:style w:type="character" w:customStyle="1" w:styleId="IntenseQuoteChar">
    <w:name w:val="Intense Quote Char"/>
    <w:basedOn w:val="DefaultParagraphFont"/>
    <w:link w:val="IntenseQuote"/>
    <w:uiPriority w:val="30"/>
    <w:rsid w:val="00B97356"/>
    <w:rPr>
      <w:rFonts w:asciiTheme="majorHAnsi" w:eastAsiaTheme="majorEastAsia" w:hAnsiTheme="majorHAnsi" w:cstheme="majorBidi"/>
      <w:caps/>
      <w:color w:val="2E74B5" w:themeColor="accent1" w:themeShade="BF"/>
      <w:sz w:val="28"/>
      <w:szCs w:val="28"/>
    </w:rPr>
  </w:style>
  <w:style w:type="character" w:styleId="SubtleEmphasis">
    <w:name w:val="Subtle Emphasis"/>
    <w:basedOn w:val="DefaultParagraphFont"/>
    <w:uiPriority w:val="19"/>
    <w:qFormat/>
    <w:rsid w:val="00B97356"/>
    <w:rPr>
      <w:i/>
      <w:iCs/>
      <w:color w:val="595959" w:themeColor="text1" w:themeTint="A6"/>
    </w:rPr>
  </w:style>
  <w:style w:type="character" w:styleId="IntenseEmphasis">
    <w:name w:val="Intense Emphasis"/>
    <w:basedOn w:val="DefaultParagraphFont"/>
    <w:uiPriority w:val="21"/>
    <w:qFormat/>
    <w:rsid w:val="00B97356"/>
    <w:rPr>
      <w:b/>
      <w:bCs/>
      <w:i/>
      <w:iCs/>
      <w:color w:val="auto"/>
    </w:rPr>
  </w:style>
  <w:style w:type="character" w:styleId="SubtleReference">
    <w:name w:val="Subtle Reference"/>
    <w:basedOn w:val="DefaultParagraphFont"/>
    <w:uiPriority w:val="31"/>
    <w:qFormat/>
    <w:rsid w:val="00B97356"/>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B97356"/>
    <w:rPr>
      <w:b/>
      <w:bCs/>
      <w:caps w:val="0"/>
      <w:smallCaps/>
      <w:color w:val="auto"/>
      <w:spacing w:val="0"/>
      <w:u w:val="single"/>
    </w:rPr>
  </w:style>
  <w:style w:type="character" w:styleId="BookTitle">
    <w:name w:val="Book Title"/>
    <w:basedOn w:val="DefaultParagraphFont"/>
    <w:uiPriority w:val="33"/>
    <w:qFormat/>
    <w:rsid w:val="00B97356"/>
    <w:rPr>
      <w:b/>
      <w:bCs/>
      <w:caps w:val="0"/>
      <w:smallCaps/>
      <w:spacing w:val="0"/>
    </w:rPr>
  </w:style>
  <w:style w:type="paragraph" w:styleId="TOCHeading">
    <w:name w:val="TOC Heading"/>
    <w:basedOn w:val="Heading1"/>
    <w:next w:val="Normal"/>
    <w:uiPriority w:val="39"/>
    <w:semiHidden/>
    <w:unhideWhenUsed/>
    <w:qFormat/>
    <w:rsid w:val="00B97356"/>
    <w:pPr>
      <w:outlineLvl w:val="9"/>
    </w:pPr>
  </w:style>
  <w:style w:type="character" w:styleId="Hyperlink">
    <w:name w:val="Hyperlink"/>
    <w:basedOn w:val="DefaultParagraphFont"/>
    <w:uiPriority w:val="99"/>
    <w:unhideWhenUsed/>
    <w:rsid w:val="00B9735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abine.jacques6@gmail.com" TargetMode="External"/><Relationship Id="rId4" Type="http://schemas.openxmlformats.org/officeDocument/2006/relationships/hyperlink" Target="mailto:sabine.jacques@uea.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4890</TotalTime>
  <Pages>4</Pages>
  <Words>1487</Words>
  <Characters>8477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9945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Sabine Jacques (LAW)</dc:creator>
  <cp:keywords/>
  <dc:description/>
  <cp:lastModifiedBy>Sabine Jacques (LAW)</cp:lastModifiedBy>
  <cp:revision>40</cp:revision>
  <dcterms:created xsi:type="dcterms:W3CDTF">2017-07-10T08:43:00Z</dcterms:created>
  <dcterms:modified xsi:type="dcterms:W3CDTF">2017-07-24T14:49:00Z</dcterms:modified>
</cp:coreProperties>
</file>