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0CA9" w:rsidRPr="00263CB4" w:rsidRDefault="008E5D15" w:rsidP="004838C4">
      <w:pPr>
        <w:spacing w:line="480" w:lineRule="exact"/>
        <w:rPr>
          <w:bCs/>
          <w:i/>
          <w:sz w:val="40"/>
          <w:szCs w:val="40"/>
        </w:rPr>
      </w:pPr>
      <w:r w:rsidRPr="004838C4">
        <w:rPr>
          <w:bCs/>
          <w:sz w:val="40"/>
          <w:szCs w:val="40"/>
        </w:rPr>
        <w:t xml:space="preserve">Trypanocidal and cysteine </w:t>
      </w:r>
      <w:r w:rsidR="00906AA3" w:rsidRPr="004838C4">
        <w:rPr>
          <w:bCs/>
          <w:sz w:val="40"/>
          <w:szCs w:val="40"/>
        </w:rPr>
        <w:t>protease inhibitory activity of isopentyl caffeate</w:t>
      </w:r>
      <w:r w:rsidR="00263CB4">
        <w:rPr>
          <w:bCs/>
          <w:sz w:val="40"/>
          <w:szCs w:val="40"/>
        </w:rPr>
        <w:t xml:space="preserve"> is not linked in </w:t>
      </w:r>
      <w:r w:rsidR="00263CB4" w:rsidRPr="00263CB4">
        <w:rPr>
          <w:bCs/>
          <w:i/>
          <w:sz w:val="40"/>
          <w:szCs w:val="40"/>
        </w:rPr>
        <w:t>Trypanosoma brucei</w:t>
      </w:r>
    </w:p>
    <w:p w:rsidR="00D60CA9" w:rsidRPr="004838C4" w:rsidRDefault="00D60CA9" w:rsidP="00D60CA9">
      <w:pPr>
        <w:spacing w:line="480" w:lineRule="exact"/>
      </w:pPr>
    </w:p>
    <w:p w:rsidR="001B401E" w:rsidRPr="004838C4" w:rsidRDefault="001B401E" w:rsidP="00D60CA9">
      <w:pPr>
        <w:spacing w:line="480" w:lineRule="exact"/>
      </w:pPr>
    </w:p>
    <w:p w:rsidR="001B401E" w:rsidRPr="004838C4" w:rsidRDefault="001B401E" w:rsidP="004838C4">
      <w:pPr>
        <w:shd w:val="clear" w:color="auto" w:fill="FFFFFF"/>
        <w:spacing w:line="315" w:lineRule="atLeast"/>
        <w:rPr>
          <w:bCs/>
          <w:sz w:val="28"/>
          <w:szCs w:val="28"/>
        </w:rPr>
      </w:pPr>
      <w:r w:rsidRPr="004838C4">
        <w:rPr>
          <w:bCs/>
          <w:sz w:val="28"/>
          <w:szCs w:val="28"/>
        </w:rPr>
        <w:t>Dietmar Steverding</w:t>
      </w:r>
      <w:r w:rsidR="00F2047C">
        <w:rPr>
          <w:bCs/>
          <w:sz w:val="28"/>
          <w:szCs w:val="28"/>
          <w:vertAlign w:val="superscript"/>
        </w:rPr>
        <w:t>1</w:t>
      </w:r>
      <w:r w:rsidR="000D1E7C">
        <w:rPr>
          <w:bCs/>
          <w:sz w:val="28"/>
          <w:szCs w:val="28"/>
        </w:rPr>
        <w:t xml:space="preserve"> </w:t>
      </w:r>
      <w:r w:rsidR="00F2047C">
        <w:rPr>
          <w:bCs/>
          <w:sz w:val="28"/>
          <w:szCs w:val="28"/>
        </w:rPr>
        <w:t xml:space="preserve">• </w:t>
      </w:r>
      <w:r w:rsidR="00CC71C2" w:rsidRPr="00CC71C2">
        <w:rPr>
          <w:bCs/>
          <w:sz w:val="28"/>
          <w:szCs w:val="28"/>
        </w:rPr>
        <w:t>Flávio Rogério da Nóbrega</w:t>
      </w:r>
      <w:r w:rsidR="00F2047C">
        <w:rPr>
          <w:bCs/>
          <w:sz w:val="28"/>
          <w:szCs w:val="28"/>
          <w:vertAlign w:val="superscript"/>
        </w:rPr>
        <w:t>2</w:t>
      </w:r>
      <w:r w:rsidR="00CC71C2">
        <w:rPr>
          <w:bCs/>
          <w:sz w:val="28"/>
          <w:szCs w:val="28"/>
        </w:rPr>
        <w:t xml:space="preserve"> </w:t>
      </w:r>
      <w:r w:rsidR="00F2047C">
        <w:rPr>
          <w:bCs/>
          <w:sz w:val="28"/>
          <w:szCs w:val="28"/>
        </w:rPr>
        <w:t xml:space="preserve">• </w:t>
      </w:r>
      <w:r w:rsidR="000D1E7C">
        <w:rPr>
          <w:bCs/>
          <w:sz w:val="28"/>
          <w:szCs w:val="28"/>
        </w:rPr>
        <w:t>Stuart A. Rushworth</w:t>
      </w:r>
      <w:r w:rsidR="00F2047C">
        <w:rPr>
          <w:bCs/>
          <w:sz w:val="28"/>
          <w:szCs w:val="28"/>
          <w:vertAlign w:val="superscript"/>
        </w:rPr>
        <w:t>1</w:t>
      </w:r>
      <w:r w:rsidR="000D1E7C">
        <w:rPr>
          <w:bCs/>
          <w:sz w:val="28"/>
          <w:szCs w:val="28"/>
        </w:rPr>
        <w:t xml:space="preserve"> </w:t>
      </w:r>
      <w:r w:rsidR="00F2047C">
        <w:rPr>
          <w:bCs/>
          <w:sz w:val="28"/>
          <w:szCs w:val="28"/>
        </w:rPr>
        <w:t>•</w:t>
      </w:r>
      <w:r w:rsidRPr="004838C4">
        <w:rPr>
          <w:bCs/>
          <w:sz w:val="28"/>
          <w:szCs w:val="28"/>
        </w:rPr>
        <w:t xml:space="preserve"> Damião Pergentino de Sousa</w:t>
      </w:r>
      <w:r w:rsidR="00F2047C">
        <w:rPr>
          <w:bCs/>
          <w:sz w:val="28"/>
          <w:szCs w:val="28"/>
          <w:vertAlign w:val="superscript"/>
        </w:rPr>
        <w:t>2</w:t>
      </w:r>
    </w:p>
    <w:p w:rsidR="001B401E" w:rsidRPr="004838C4" w:rsidRDefault="001B401E" w:rsidP="001B401E">
      <w:pPr>
        <w:spacing w:line="480" w:lineRule="exact"/>
      </w:pPr>
    </w:p>
    <w:p w:rsidR="00CD5DC7" w:rsidRDefault="00CD5DC7" w:rsidP="001B401E">
      <w:pPr>
        <w:spacing w:line="480" w:lineRule="exact"/>
      </w:pPr>
    </w:p>
    <w:p w:rsidR="00F2047C" w:rsidRDefault="00F2047C" w:rsidP="001B401E">
      <w:pPr>
        <w:spacing w:line="480" w:lineRule="exact"/>
      </w:pPr>
    </w:p>
    <w:p w:rsidR="00F2047C" w:rsidRDefault="00F2047C" w:rsidP="001B401E">
      <w:pPr>
        <w:spacing w:line="480" w:lineRule="exact"/>
      </w:pPr>
    </w:p>
    <w:p w:rsidR="00F2047C" w:rsidRDefault="00F2047C" w:rsidP="001B401E">
      <w:pPr>
        <w:spacing w:line="480" w:lineRule="exact"/>
      </w:pPr>
    </w:p>
    <w:p w:rsidR="00F2047C" w:rsidRDefault="00F2047C" w:rsidP="001B401E">
      <w:pPr>
        <w:spacing w:line="480" w:lineRule="exact"/>
      </w:pPr>
    </w:p>
    <w:p w:rsidR="00F2047C" w:rsidRDefault="00F2047C" w:rsidP="001B401E">
      <w:pPr>
        <w:spacing w:line="480" w:lineRule="exact"/>
      </w:pPr>
    </w:p>
    <w:p w:rsidR="00F2047C" w:rsidRPr="004838C4" w:rsidRDefault="00F2047C" w:rsidP="00F2047C">
      <w:pPr>
        <w:spacing w:line="480" w:lineRule="exact"/>
      </w:pPr>
      <w:r>
        <w:t>_________________</w:t>
      </w:r>
    </w:p>
    <w:p w:rsidR="00F2047C" w:rsidRDefault="00F2047C" w:rsidP="00F2047C">
      <w:pPr>
        <w:pStyle w:val="ListParagraph"/>
        <w:numPr>
          <w:ilvl w:val="0"/>
          <w:numId w:val="1"/>
        </w:numPr>
        <w:tabs>
          <w:tab w:val="left" w:pos="426"/>
        </w:tabs>
        <w:spacing w:line="480" w:lineRule="exact"/>
        <w:ind w:left="0" w:firstLine="0"/>
      </w:pPr>
      <w:r>
        <w:t>Dietmar Steverding</w:t>
      </w:r>
    </w:p>
    <w:p w:rsidR="00F2047C" w:rsidRDefault="00F2047C" w:rsidP="00F2047C">
      <w:pPr>
        <w:pStyle w:val="ListParagraph"/>
        <w:tabs>
          <w:tab w:val="left" w:pos="426"/>
        </w:tabs>
        <w:spacing w:line="480" w:lineRule="exact"/>
        <w:ind w:left="0"/>
      </w:pPr>
      <w:r>
        <w:tab/>
        <w:t>dsteverding@hotmail.com</w:t>
      </w:r>
    </w:p>
    <w:p w:rsidR="00F2047C" w:rsidRDefault="00F2047C" w:rsidP="001B401E">
      <w:pPr>
        <w:spacing w:line="480" w:lineRule="exact"/>
      </w:pPr>
    </w:p>
    <w:p w:rsidR="00F2047C" w:rsidRPr="004838C4" w:rsidRDefault="00F2047C" w:rsidP="001B401E">
      <w:pPr>
        <w:spacing w:line="480" w:lineRule="exact"/>
      </w:pPr>
    </w:p>
    <w:p w:rsidR="001B401E" w:rsidRPr="00F2047C" w:rsidRDefault="00F2047C" w:rsidP="00F2047C">
      <w:pPr>
        <w:tabs>
          <w:tab w:val="left" w:pos="426"/>
        </w:tabs>
        <w:spacing w:line="480" w:lineRule="exact"/>
        <w:ind w:left="426" w:hanging="426"/>
        <w:rPr>
          <w:iCs/>
        </w:rPr>
      </w:pPr>
      <w:r>
        <w:rPr>
          <w:iCs/>
          <w:vertAlign w:val="superscript"/>
        </w:rPr>
        <w:t>1</w:t>
      </w:r>
      <w:r>
        <w:rPr>
          <w:iCs/>
        </w:rPr>
        <w:tab/>
        <w:t>B</w:t>
      </w:r>
      <w:r w:rsidR="003B5BFE" w:rsidRPr="00F2047C">
        <w:rPr>
          <w:iCs/>
        </w:rPr>
        <w:t>ob Champion Research &amp; Education Building</w:t>
      </w:r>
      <w:r w:rsidR="001B401E" w:rsidRPr="00F2047C">
        <w:rPr>
          <w:iCs/>
        </w:rPr>
        <w:t xml:space="preserve">, Norwich Medical School, University of East Anglia, </w:t>
      </w:r>
      <w:r>
        <w:rPr>
          <w:iCs/>
        </w:rPr>
        <w:t xml:space="preserve">Norwich Research Park, James Watson Road, </w:t>
      </w:r>
      <w:r w:rsidR="001B401E" w:rsidRPr="00F2047C">
        <w:rPr>
          <w:iCs/>
        </w:rPr>
        <w:t>Norwich</w:t>
      </w:r>
      <w:r>
        <w:rPr>
          <w:iCs/>
        </w:rPr>
        <w:t xml:space="preserve"> NR4 7UQ</w:t>
      </w:r>
      <w:r w:rsidR="001B401E" w:rsidRPr="00F2047C">
        <w:rPr>
          <w:iCs/>
        </w:rPr>
        <w:t>, U.K.</w:t>
      </w:r>
      <w:r w:rsidR="003B5BFE" w:rsidRPr="00F2047C">
        <w:rPr>
          <w:iCs/>
        </w:rPr>
        <w:t>;</w:t>
      </w:r>
    </w:p>
    <w:p w:rsidR="001B401E" w:rsidRPr="00F2047C" w:rsidRDefault="00F2047C" w:rsidP="00F2047C">
      <w:pPr>
        <w:tabs>
          <w:tab w:val="left" w:pos="426"/>
        </w:tabs>
        <w:spacing w:line="480" w:lineRule="exact"/>
        <w:ind w:left="426" w:hanging="426"/>
        <w:rPr>
          <w:iCs/>
        </w:rPr>
      </w:pPr>
      <w:r w:rsidRPr="00F2047C">
        <w:rPr>
          <w:iCs/>
          <w:vertAlign w:val="superscript"/>
        </w:rPr>
        <w:t>2</w:t>
      </w:r>
      <w:r>
        <w:rPr>
          <w:iCs/>
        </w:rPr>
        <w:tab/>
      </w:r>
      <w:r w:rsidR="001B401E" w:rsidRPr="00F2047C">
        <w:rPr>
          <w:iCs/>
        </w:rPr>
        <w:t>Laboratory of Pharmaceutical Chemistry, Department of Pharmaceutical Sciences, Federal University of Paraiba, João Pessoa, Brazil</w:t>
      </w:r>
    </w:p>
    <w:p w:rsidR="009B08BC" w:rsidRPr="00263CB4" w:rsidRDefault="009B08BC" w:rsidP="00263CB4">
      <w:pPr>
        <w:spacing w:line="480" w:lineRule="exact"/>
      </w:pPr>
      <w:r w:rsidRPr="00263CB4">
        <w:br w:type="page"/>
      </w:r>
    </w:p>
    <w:p w:rsidR="008E53AE" w:rsidRDefault="00607972" w:rsidP="00797F6D">
      <w:pPr>
        <w:spacing w:line="480" w:lineRule="exact"/>
        <w:jc w:val="both"/>
      </w:pPr>
      <w:r w:rsidRPr="00607972">
        <w:rPr>
          <w:b/>
        </w:rPr>
        <w:lastRenderedPageBreak/>
        <w:t>Abstract</w:t>
      </w:r>
      <w:r>
        <w:t xml:space="preserve">  Previously it was reported that caffeic acid esters inhibit the growth of bloodstream forms of </w:t>
      </w:r>
      <w:r w:rsidRPr="00607972">
        <w:rPr>
          <w:i/>
        </w:rPr>
        <w:t>Trypanosoma brucei</w:t>
      </w:r>
      <w:r>
        <w:t xml:space="preserve"> and the activity of its major lysosomal cathepsin L-like cysteine protease, </w:t>
      </w:r>
      <w:r w:rsidRPr="00607972">
        <w:rPr>
          <w:i/>
        </w:rPr>
        <w:t>Tb</w:t>
      </w:r>
      <w:r>
        <w:t xml:space="preserve">CATL. However, whether </w:t>
      </w:r>
      <w:r w:rsidR="00452785" w:rsidRPr="00EA2465">
        <w:t>this trypanocidal activity</w:t>
      </w:r>
      <w:r w:rsidRPr="00EA2465">
        <w:t xml:space="preserve"> is</w:t>
      </w:r>
      <w:r>
        <w:t xml:space="preserve"> due to inactivation of </w:t>
      </w:r>
      <w:r w:rsidRPr="00FC0062">
        <w:rPr>
          <w:i/>
        </w:rPr>
        <w:t>Tb</w:t>
      </w:r>
      <w:r>
        <w:t xml:space="preserve">CATL </w:t>
      </w:r>
      <w:r w:rsidR="00FC0062">
        <w:t xml:space="preserve">has not so far been demonstrated. </w:t>
      </w:r>
      <w:r w:rsidR="00A6632B" w:rsidRPr="00EA2465">
        <w:t>C</w:t>
      </w:r>
      <w:r w:rsidR="00FC0062" w:rsidRPr="00EA2465">
        <w:t>affeic acid</w:t>
      </w:r>
      <w:r w:rsidR="00FC0062">
        <w:t xml:space="preserve"> isopentyl est</w:t>
      </w:r>
      <w:r w:rsidR="00727C10">
        <w:t xml:space="preserve">er (isopentyl caffeate) </w:t>
      </w:r>
      <w:r w:rsidR="00727C10" w:rsidRPr="00EA2465">
        <w:t>displayed</w:t>
      </w:r>
      <w:r w:rsidR="00FC0062" w:rsidRPr="00EA2465">
        <w:t xml:space="preserve"> a</w:t>
      </w:r>
      <w:r w:rsidR="00FC0062">
        <w:t xml:space="preserve">ntitrypanosomal activity against </w:t>
      </w:r>
      <w:r w:rsidR="00FC0062" w:rsidRPr="00FC0062">
        <w:rPr>
          <w:i/>
        </w:rPr>
        <w:t>T. brucei</w:t>
      </w:r>
      <w:r w:rsidR="00FC0062">
        <w:t xml:space="preserve"> bloodstream forms with </w:t>
      </w:r>
      <w:r w:rsidR="00FC0062" w:rsidRPr="00D178ED">
        <w:t>minimum inhibitory concentration (MIC)</w:t>
      </w:r>
      <w:r w:rsidR="00FC0062">
        <w:t xml:space="preserve"> and </w:t>
      </w:r>
      <w:r w:rsidR="00FC0062" w:rsidRPr="00D178ED">
        <w:t>50% growth inhibition (GI</w:t>
      </w:r>
      <w:r w:rsidR="00FC0062" w:rsidRPr="00D178ED">
        <w:rPr>
          <w:vertAlign w:val="subscript"/>
        </w:rPr>
        <w:t>50</w:t>
      </w:r>
      <w:r w:rsidR="00FC0062" w:rsidRPr="00D178ED">
        <w:t>) value</w:t>
      </w:r>
      <w:r w:rsidR="00FC0062">
        <w:t xml:space="preserve">s of 1 and 0.31 </w:t>
      </w:r>
      <w:r w:rsidR="00FC0062" w:rsidRPr="003615DA">
        <w:t>μg/ml</w:t>
      </w:r>
      <w:r w:rsidR="00FC0062">
        <w:t>, respective</w:t>
      </w:r>
      <w:r w:rsidR="00452785">
        <w:t xml:space="preserve">ly. The </w:t>
      </w:r>
      <w:r w:rsidR="00452785" w:rsidRPr="00EA2465">
        <w:t xml:space="preserve">ester also </w:t>
      </w:r>
      <w:r w:rsidR="00FC0062" w:rsidRPr="00EA2465">
        <w:t>inhibit</w:t>
      </w:r>
      <w:r w:rsidR="00452785" w:rsidRPr="00EA2465">
        <w:t>ed</w:t>
      </w:r>
      <w:r w:rsidR="00FC0062" w:rsidRPr="00EA2465">
        <w:t xml:space="preserve"> the</w:t>
      </w:r>
      <w:r w:rsidR="00FC0062">
        <w:t xml:space="preserve"> activity of</w:t>
      </w:r>
      <w:r w:rsidR="00247471">
        <w:t xml:space="preserve"> purified</w:t>
      </w:r>
      <w:r w:rsidR="00FC0062">
        <w:t xml:space="preserve"> </w:t>
      </w:r>
      <w:r w:rsidR="00FC0062" w:rsidRPr="00FC0062">
        <w:rPr>
          <w:i/>
        </w:rPr>
        <w:t>Tb</w:t>
      </w:r>
      <w:r w:rsidR="00FC0062">
        <w:t xml:space="preserve">CATL but with </w:t>
      </w:r>
      <w:r w:rsidR="00703743">
        <w:t xml:space="preserve">a 27-fold higher </w:t>
      </w:r>
      <w:r w:rsidR="00FC0062">
        <w:t>half maximal inhibitory concentration (IC</w:t>
      </w:r>
      <w:r w:rsidR="00FC0062" w:rsidRPr="003E76D0">
        <w:rPr>
          <w:vertAlign w:val="subscript"/>
        </w:rPr>
        <w:t>50</w:t>
      </w:r>
      <w:r w:rsidR="00FC0062">
        <w:t>) va</w:t>
      </w:r>
      <w:r w:rsidR="00703743">
        <w:t>lue of 8.5</w:t>
      </w:r>
      <w:r w:rsidR="00FC0062" w:rsidRPr="003615DA">
        <w:t xml:space="preserve"> μg/ml</w:t>
      </w:r>
      <w:r w:rsidR="00703743">
        <w:t xml:space="preserve"> compared to its GI</w:t>
      </w:r>
      <w:r w:rsidR="00703743" w:rsidRPr="00703743">
        <w:rPr>
          <w:vertAlign w:val="subscript"/>
        </w:rPr>
        <w:t>50</w:t>
      </w:r>
      <w:r w:rsidR="00703743">
        <w:t xml:space="preserve"> value.</w:t>
      </w:r>
      <w:r w:rsidR="00640A9D">
        <w:t xml:space="preserve"> In contrast to previous suggestion, isopentyl caffeate </w:t>
      </w:r>
      <w:r w:rsidR="00247471">
        <w:t>did</w:t>
      </w:r>
      <w:r w:rsidR="00640A9D">
        <w:t xml:space="preserve"> not interact with the active site of </w:t>
      </w:r>
      <w:r w:rsidR="00640A9D" w:rsidRPr="00640A9D">
        <w:rPr>
          <w:i/>
        </w:rPr>
        <w:t>Tb</w:t>
      </w:r>
      <w:r w:rsidR="00247471">
        <w:t>CATL but inhibited the enzyme in</w:t>
      </w:r>
      <w:r w:rsidR="00640A9D">
        <w:t xml:space="preserve"> a non-com</w:t>
      </w:r>
      <w:r w:rsidR="00247471">
        <w:t>petitive way</w:t>
      </w:r>
      <w:r w:rsidR="00640A9D">
        <w:t xml:space="preserve">. </w:t>
      </w:r>
      <w:r w:rsidR="00247471">
        <w:t>In addition, the ester was ineffective in blocking the proteolysis in the lysosome of the parasite, which</w:t>
      </w:r>
      <w:r w:rsidR="008E53AE">
        <w:t>,</w:t>
      </w:r>
      <w:r w:rsidR="00247471">
        <w:t xml:space="preserve"> however</w:t>
      </w:r>
      <w:r w:rsidR="008E53AE">
        <w:t>,</w:t>
      </w:r>
      <w:r w:rsidR="00247471">
        <w:t xml:space="preserve"> is a hallmark for inhibitors whose try</w:t>
      </w:r>
      <w:r w:rsidR="008E53AE">
        <w:t xml:space="preserve">panocidal action is through inactivation of </w:t>
      </w:r>
      <w:r w:rsidR="008E53AE" w:rsidRPr="008E53AE">
        <w:rPr>
          <w:i/>
        </w:rPr>
        <w:t>Tb</w:t>
      </w:r>
      <w:r w:rsidR="008E53AE">
        <w:t xml:space="preserve">CATL. These results suggest that the antitrypanosomal activity of isopentyl caffeate (and probably of other caffeic acid esters) cannot be attributed to inhibition of </w:t>
      </w:r>
      <w:r w:rsidR="008E53AE" w:rsidRPr="008E53AE">
        <w:rPr>
          <w:i/>
        </w:rPr>
        <w:t>Tb</w:t>
      </w:r>
      <w:r w:rsidR="008E53AE">
        <w:t>CATL. Nevertheless, caffeic acid esters are interesting compounds with promising antitrypanosomal</w:t>
      </w:r>
      <w:r w:rsidR="00A6632B">
        <w:t xml:space="preserve"> activity. This is supported </w:t>
      </w:r>
      <w:r w:rsidR="00A6632B" w:rsidRPr="00EA2465">
        <w:t>by</w:t>
      </w:r>
      <w:r w:rsidR="008E53AE" w:rsidRPr="00EA2465">
        <w:t xml:space="preserve"> </w:t>
      </w:r>
      <w:r w:rsidR="00A6632B" w:rsidRPr="00EA2465">
        <w:t xml:space="preserve">a </w:t>
      </w:r>
      <w:r w:rsidR="008E53AE" w:rsidRPr="00EA2465">
        <w:t>mo</w:t>
      </w:r>
      <w:r w:rsidR="00A6632B" w:rsidRPr="00EA2465">
        <w:t>re than 100 times less sensitivity of human HL-60 cells</w:t>
      </w:r>
      <w:r w:rsidR="008E53AE" w:rsidRPr="00EA2465">
        <w:t xml:space="preserve"> to isopentyl caffeate indicati</w:t>
      </w:r>
      <w:r w:rsidR="008E53AE">
        <w:t>ng that the ester has a favourable selectivity profile.</w:t>
      </w:r>
    </w:p>
    <w:p w:rsidR="008E53AE" w:rsidRDefault="008E53AE" w:rsidP="00797F6D">
      <w:pPr>
        <w:spacing w:line="480" w:lineRule="exact"/>
        <w:jc w:val="both"/>
      </w:pPr>
    </w:p>
    <w:p w:rsidR="00741805" w:rsidRPr="00BC2690" w:rsidRDefault="00741805" w:rsidP="00741805">
      <w:pPr>
        <w:spacing w:line="480" w:lineRule="atLeast"/>
        <w:jc w:val="both"/>
        <w:rPr>
          <w:i/>
        </w:rPr>
      </w:pPr>
      <w:r w:rsidRPr="008E53AE">
        <w:rPr>
          <w:b/>
        </w:rPr>
        <w:t>Keywords:</w:t>
      </w:r>
      <w:r w:rsidR="008E53AE">
        <w:t xml:space="preserve"> </w:t>
      </w:r>
      <w:r w:rsidRPr="00741805">
        <w:rPr>
          <w:i/>
        </w:rPr>
        <w:t>Trypanosoma brucei</w:t>
      </w:r>
      <w:r w:rsidR="008E53AE" w:rsidRPr="00BC2690">
        <w:t xml:space="preserve"> </w:t>
      </w:r>
      <w:r w:rsidR="00BC2690" w:rsidRPr="00BC2690">
        <w:t>•</w:t>
      </w:r>
      <w:r w:rsidR="008E53AE" w:rsidRPr="00BC2690">
        <w:t xml:space="preserve"> </w:t>
      </w:r>
      <w:r>
        <w:t>Isopentyl caffeate</w:t>
      </w:r>
      <w:r w:rsidR="00BC2690" w:rsidRPr="00BC2690">
        <w:t xml:space="preserve"> </w:t>
      </w:r>
      <w:r w:rsidR="00BC2690">
        <w:t>•</w:t>
      </w:r>
      <w:r w:rsidR="00BC2690" w:rsidRPr="00BC2690">
        <w:t xml:space="preserve"> </w:t>
      </w:r>
      <w:r>
        <w:t>Cysteine protease</w:t>
      </w:r>
      <w:r w:rsidR="00BC2690" w:rsidRPr="00BC2690">
        <w:t xml:space="preserve"> </w:t>
      </w:r>
      <w:r w:rsidR="00BC2690">
        <w:t>•</w:t>
      </w:r>
      <w:r w:rsidR="00BC2690" w:rsidRPr="00BC2690">
        <w:t xml:space="preserve"> </w:t>
      </w:r>
      <w:r>
        <w:t>N</w:t>
      </w:r>
      <w:r w:rsidRPr="00C716D5">
        <w:t>on-competitive</w:t>
      </w:r>
      <w:r>
        <w:t xml:space="preserve"> inhibition</w:t>
      </w:r>
    </w:p>
    <w:p w:rsidR="00430D06" w:rsidRDefault="00D60CA9" w:rsidP="00F90480">
      <w:pPr>
        <w:spacing w:line="480" w:lineRule="exact"/>
        <w:jc w:val="both"/>
      </w:pPr>
      <w:r>
        <w:br w:type="page"/>
      </w:r>
    </w:p>
    <w:p w:rsidR="008E5D15" w:rsidRPr="00F2047C" w:rsidRDefault="008E5D15" w:rsidP="004838C4">
      <w:pPr>
        <w:spacing w:line="480" w:lineRule="exact"/>
        <w:jc w:val="both"/>
        <w:rPr>
          <w:b/>
          <w:sz w:val="28"/>
          <w:szCs w:val="28"/>
        </w:rPr>
      </w:pPr>
      <w:r w:rsidRPr="00F2047C">
        <w:rPr>
          <w:b/>
          <w:sz w:val="28"/>
          <w:szCs w:val="28"/>
        </w:rPr>
        <w:lastRenderedPageBreak/>
        <w:t>Introduction</w:t>
      </w:r>
    </w:p>
    <w:p w:rsidR="004838C4" w:rsidRDefault="004838C4" w:rsidP="00797F6D">
      <w:pPr>
        <w:spacing w:line="480" w:lineRule="exact"/>
        <w:jc w:val="both"/>
      </w:pPr>
    </w:p>
    <w:p w:rsidR="008C1EB9" w:rsidRPr="004838C4" w:rsidRDefault="0075026B" w:rsidP="00F2047C">
      <w:pPr>
        <w:spacing w:line="480" w:lineRule="exact"/>
        <w:jc w:val="both"/>
      </w:pPr>
      <w:r w:rsidRPr="004838C4">
        <w:t>African trypanosomes are the causative agents of sleeping sickness in humans and nagana disease in animals. The</w:t>
      </w:r>
      <w:r w:rsidR="00045793">
        <w:t>se</w:t>
      </w:r>
      <w:r w:rsidRPr="004838C4">
        <w:t xml:space="preserve"> protozoan parasites </w:t>
      </w:r>
      <w:r w:rsidR="00045793">
        <w:t xml:space="preserve">belong to the Salivarian group </w:t>
      </w:r>
      <w:r w:rsidRPr="004838C4">
        <w:t xml:space="preserve">of the genus </w:t>
      </w:r>
      <w:r w:rsidRPr="004838C4">
        <w:rPr>
          <w:i/>
        </w:rPr>
        <w:t>Trypanosoma</w:t>
      </w:r>
      <w:r w:rsidRPr="004838C4">
        <w:t xml:space="preserve"> </w:t>
      </w:r>
      <w:r w:rsidR="00CB4391">
        <w:t xml:space="preserve">that </w:t>
      </w:r>
      <w:r w:rsidRPr="004838C4">
        <w:t>are transmitted by the bite of infected tsetse flies (</w:t>
      </w:r>
      <w:r w:rsidRPr="004838C4">
        <w:rPr>
          <w:i/>
        </w:rPr>
        <w:t>Glossina</w:t>
      </w:r>
      <w:r w:rsidRPr="004838C4">
        <w:t xml:space="preserve"> sp.) and live and multiply in the blood and tissue fluids of their mammalian host. Sleeping sickness and nagana disease occur in sub-Saharan Africa in an area of 8 million km</w:t>
      </w:r>
      <w:r w:rsidRPr="004838C4">
        <w:rPr>
          <w:vertAlign w:val="superscript"/>
        </w:rPr>
        <w:t>2</w:t>
      </w:r>
      <w:r w:rsidRPr="004838C4">
        <w:t xml:space="preserve"> between the latitudes 14° north and 20° </w:t>
      </w:r>
      <w:r w:rsidRPr="001B7942">
        <w:t>south</w:t>
      </w:r>
      <w:r w:rsidR="00F2047C">
        <w:t xml:space="preserve"> (Molyneux et al.</w:t>
      </w:r>
      <w:r w:rsidR="004838C4" w:rsidRPr="001B7942">
        <w:t xml:space="preserve"> 1996)</w:t>
      </w:r>
      <w:r w:rsidRPr="001B7942">
        <w:t xml:space="preserve">. </w:t>
      </w:r>
      <w:r w:rsidR="008623C6" w:rsidRPr="004838C4">
        <w:t xml:space="preserve">Millions of people and cattle living in this so-called tsetse belt are at risk of getting infected with </w:t>
      </w:r>
      <w:r w:rsidR="008623C6" w:rsidRPr="001B7942">
        <w:t>trypanosomes</w:t>
      </w:r>
      <w:r w:rsidR="004838C4" w:rsidRPr="001B7942">
        <w:t xml:space="preserve"> (</w:t>
      </w:r>
      <w:r w:rsidR="00DC4719" w:rsidRPr="001B7942">
        <w:t>World Health Organization</w:t>
      </w:r>
      <w:r w:rsidR="005157B7" w:rsidRPr="001B7942">
        <w:t xml:space="preserve"> 2005, 2016</w:t>
      </w:r>
      <w:r w:rsidR="004838C4" w:rsidRPr="001B7942">
        <w:t>)</w:t>
      </w:r>
      <w:r w:rsidR="008623C6" w:rsidRPr="001B7942">
        <w:t>. Both</w:t>
      </w:r>
      <w:r w:rsidR="008623C6" w:rsidRPr="004838C4">
        <w:t xml:space="preserve"> disease</w:t>
      </w:r>
      <w:r w:rsidR="00CE1E69" w:rsidRPr="004838C4">
        <w:t>s</w:t>
      </w:r>
      <w:r w:rsidR="008623C6" w:rsidRPr="004838C4">
        <w:t xml:space="preserve"> </w:t>
      </w:r>
      <w:r w:rsidR="00CE1E69" w:rsidRPr="004838C4">
        <w:t>have long caused major health and socio-economic problems</w:t>
      </w:r>
      <w:r w:rsidR="00C11C16" w:rsidRPr="004838C4">
        <w:t xml:space="preserve"> in the affected A</w:t>
      </w:r>
      <w:r w:rsidR="008C1EB9" w:rsidRPr="004838C4">
        <w:t>frican countries. This is mainly</w:t>
      </w:r>
      <w:r w:rsidR="00C11C16" w:rsidRPr="004838C4">
        <w:t xml:space="preserve"> due to the fact that </w:t>
      </w:r>
      <w:r w:rsidR="008C1EB9" w:rsidRPr="004838C4">
        <w:t>only inadequate chemotherapies are available for treatment of the diseases.</w:t>
      </w:r>
      <w:r w:rsidR="00F1226A" w:rsidRPr="004838C4">
        <w:t xml:space="preserve"> All </w:t>
      </w:r>
      <w:r w:rsidR="0033382E" w:rsidRPr="004838C4">
        <w:t xml:space="preserve">drugs currently used for treatment of sleeping sickness and nagana disease are outdated, require parenteral administration, induce significant toxic side effects, have limited efficacy and are being increasingly subject to drug </w:t>
      </w:r>
      <w:r w:rsidR="0033382E" w:rsidRPr="001B7942">
        <w:t>resistance</w:t>
      </w:r>
      <w:r w:rsidR="00545451">
        <w:t xml:space="preserve"> (Matovu et al.</w:t>
      </w:r>
      <w:r w:rsidR="009D620D" w:rsidRPr="001B7942">
        <w:t xml:space="preserve"> 2</w:t>
      </w:r>
      <w:r w:rsidR="00545451">
        <w:t>001; Fairlamb 2003; Delespaux and de Koning</w:t>
      </w:r>
      <w:r w:rsidR="009D620D" w:rsidRPr="001B7942">
        <w:t xml:space="preserve"> 2007)</w:t>
      </w:r>
      <w:r w:rsidR="0033382E" w:rsidRPr="001B7942">
        <w:t>. Hence, there is a</w:t>
      </w:r>
      <w:r w:rsidR="0033382E" w:rsidRPr="004838C4">
        <w:t>n urgent need for the development of new, more effective and safer medications for these devastating diseases.</w:t>
      </w:r>
    </w:p>
    <w:p w:rsidR="00545451" w:rsidRDefault="00A6632B" w:rsidP="00407123">
      <w:pPr>
        <w:spacing w:line="480" w:lineRule="exact"/>
        <w:ind w:firstLine="426"/>
        <w:jc w:val="both"/>
        <w:rPr>
          <w:iCs/>
        </w:rPr>
      </w:pPr>
      <w:r w:rsidRPr="00EA2465">
        <w:rPr>
          <w:iCs/>
        </w:rPr>
        <w:t>C</w:t>
      </w:r>
      <w:r w:rsidR="003D1F0B" w:rsidRPr="00EA2465">
        <w:rPr>
          <w:iCs/>
        </w:rPr>
        <w:t>affeic acid</w:t>
      </w:r>
      <w:r w:rsidR="003D1F0B">
        <w:rPr>
          <w:iCs/>
        </w:rPr>
        <w:t xml:space="preserve"> </w:t>
      </w:r>
      <w:r w:rsidR="003D1F0B" w:rsidRPr="004838C4">
        <w:rPr>
          <w:iCs/>
        </w:rPr>
        <w:t xml:space="preserve">esters (3,4-dihydroxycinnamic </w:t>
      </w:r>
      <w:r w:rsidR="003D1F0B">
        <w:rPr>
          <w:iCs/>
        </w:rPr>
        <w:t xml:space="preserve">acid </w:t>
      </w:r>
      <w:r w:rsidR="003D1F0B" w:rsidRPr="004838C4">
        <w:rPr>
          <w:iCs/>
        </w:rPr>
        <w:t xml:space="preserve">esters) display </w:t>
      </w:r>
      <w:r w:rsidR="003D1F0B" w:rsidRPr="004838C4">
        <w:rPr>
          <w:i/>
          <w:iCs/>
        </w:rPr>
        <w:t>in vitro</w:t>
      </w:r>
      <w:r w:rsidR="003D1F0B" w:rsidRPr="004838C4">
        <w:rPr>
          <w:iCs/>
        </w:rPr>
        <w:t xml:space="preserve"> activities</w:t>
      </w:r>
      <w:r w:rsidR="003D1F0B">
        <w:rPr>
          <w:iCs/>
        </w:rPr>
        <w:t xml:space="preserve"> against bloodstream forms of </w:t>
      </w:r>
      <w:r w:rsidR="00CB4391">
        <w:rPr>
          <w:i/>
          <w:iCs/>
        </w:rPr>
        <w:t>Trypanosoma</w:t>
      </w:r>
      <w:r w:rsidR="003D1F0B" w:rsidRPr="003D1F0B">
        <w:rPr>
          <w:i/>
          <w:iCs/>
        </w:rPr>
        <w:t xml:space="preserve"> brucei</w:t>
      </w:r>
      <w:r w:rsidR="003D1F0B">
        <w:rPr>
          <w:iCs/>
        </w:rPr>
        <w:t xml:space="preserve"> </w:t>
      </w:r>
      <w:r w:rsidR="003D1F0B" w:rsidRPr="001B7942">
        <w:rPr>
          <w:iCs/>
        </w:rPr>
        <w:t>(</w:t>
      </w:r>
      <w:r w:rsidR="003D1F0B">
        <w:rPr>
          <w:iCs/>
        </w:rPr>
        <w:t>Otoguro et al.</w:t>
      </w:r>
      <w:r w:rsidR="003D1F0B" w:rsidRPr="001B7942">
        <w:rPr>
          <w:iCs/>
        </w:rPr>
        <w:t xml:space="preserve"> 2012).</w:t>
      </w:r>
      <w:r w:rsidR="003D1F0B">
        <w:rPr>
          <w:iCs/>
        </w:rPr>
        <w:t xml:space="preserve"> </w:t>
      </w:r>
      <w:r w:rsidR="003D1F0B" w:rsidRPr="00EA2465">
        <w:rPr>
          <w:iCs/>
        </w:rPr>
        <w:t xml:space="preserve">In </w:t>
      </w:r>
      <w:r w:rsidR="000B5AAD" w:rsidRPr="00EA2465">
        <w:rPr>
          <w:iCs/>
        </w:rPr>
        <w:t>addition,</w:t>
      </w:r>
      <w:r w:rsidR="003D1F0B">
        <w:rPr>
          <w:iCs/>
        </w:rPr>
        <w:t xml:space="preserve"> </w:t>
      </w:r>
      <w:r w:rsidR="003D1F0B" w:rsidRPr="004838C4">
        <w:rPr>
          <w:iCs/>
        </w:rPr>
        <w:t xml:space="preserve">hydroxycinnamic </w:t>
      </w:r>
      <w:r w:rsidR="003D1F0B">
        <w:rPr>
          <w:iCs/>
        </w:rPr>
        <w:t xml:space="preserve">acid </w:t>
      </w:r>
      <w:r w:rsidR="003D1F0B" w:rsidRPr="004838C4">
        <w:rPr>
          <w:iCs/>
        </w:rPr>
        <w:t xml:space="preserve">esters inhibit </w:t>
      </w:r>
      <w:r w:rsidR="00B101F1">
        <w:rPr>
          <w:iCs/>
        </w:rPr>
        <w:t>the major lysosomal cathepsin L-like</w:t>
      </w:r>
      <w:r w:rsidR="003D1F0B">
        <w:rPr>
          <w:iCs/>
        </w:rPr>
        <w:t xml:space="preserve"> protease of </w:t>
      </w:r>
      <w:r w:rsidR="003D1F0B" w:rsidRPr="003D1F0B">
        <w:rPr>
          <w:i/>
          <w:iCs/>
        </w:rPr>
        <w:t>T. brucei</w:t>
      </w:r>
      <w:r w:rsidR="003D1F0B">
        <w:rPr>
          <w:iCs/>
        </w:rPr>
        <w:t xml:space="preserve">, </w:t>
      </w:r>
      <w:r w:rsidR="003D1F0B" w:rsidRPr="004838C4">
        <w:rPr>
          <w:i/>
          <w:iCs/>
        </w:rPr>
        <w:t>Tb</w:t>
      </w:r>
      <w:r w:rsidR="003D1F0B" w:rsidRPr="004838C4">
        <w:rPr>
          <w:iCs/>
        </w:rPr>
        <w:t>CATL</w:t>
      </w:r>
      <w:r w:rsidR="003D1F0B">
        <w:rPr>
          <w:iCs/>
        </w:rPr>
        <w:t xml:space="preserve"> (</w:t>
      </w:r>
      <w:r w:rsidR="003D1F0B" w:rsidRPr="004838C4">
        <w:t xml:space="preserve">aka </w:t>
      </w:r>
      <w:r w:rsidR="003D1F0B">
        <w:t xml:space="preserve">brucipain or </w:t>
      </w:r>
      <w:r w:rsidR="003D1F0B" w:rsidRPr="004838C4">
        <w:t>rhodesain</w:t>
      </w:r>
      <w:r w:rsidR="003D1F0B">
        <w:rPr>
          <w:iCs/>
        </w:rPr>
        <w:t>)</w:t>
      </w:r>
      <w:r w:rsidR="003D1F0B" w:rsidRPr="004838C4">
        <w:rPr>
          <w:iCs/>
        </w:rPr>
        <w:t xml:space="preserve"> with IC</w:t>
      </w:r>
      <w:r w:rsidR="003D1F0B" w:rsidRPr="004838C4">
        <w:rPr>
          <w:iCs/>
          <w:vertAlign w:val="subscript"/>
        </w:rPr>
        <w:t>50</w:t>
      </w:r>
      <w:r w:rsidR="003D1F0B" w:rsidRPr="004838C4">
        <w:rPr>
          <w:iCs/>
        </w:rPr>
        <w:t xml:space="preserve"> values in the mid-micromolar </w:t>
      </w:r>
      <w:r w:rsidR="003D1F0B" w:rsidRPr="001B7942">
        <w:rPr>
          <w:iCs/>
        </w:rPr>
        <w:t>range</w:t>
      </w:r>
      <w:r w:rsidR="003D1F0B">
        <w:rPr>
          <w:iCs/>
        </w:rPr>
        <w:t xml:space="preserve"> (Ogungbe et al.</w:t>
      </w:r>
      <w:r w:rsidR="003D1F0B" w:rsidRPr="001B7942">
        <w:rPr>
          <w:iCs/>
        </w:rPr>
        <w:t xml:space="preserve"> 2010).</w:t>
      </w:r>
      <w:r w:rsidR="003D1F0B">
        <w:rPr>
          <w:iCs/>
        </w:rPr>
        <w:t xml:space="preserve"> </w:t>
      </w:r>
      <w:r w:rsidR="003D1F0B" w:rsidRPr="003D1F0B">
        <w:rPr>
          <w:i/>
          <w:iCs/>
        </w:rPr>
        <w:t>Tb</w:t>
      </w:r>
      <w:r w:rsidR="00727C10">
        <w:rPr>
          <w:iCs/>
        </w:rPr>
        <w:t xml:space="preserve">CATL </w:t>
      </w:r>
      <w:r w:rsidR="00727C10" w:rsidRPr="00EA2465">
        <w:rPr>
          <w:iCs/>
        </w:rPr>
        <w:t>is</w:t>
      </w:r>
      <w:r w:rsidR="003D1F0B" w:rsidRPr="00EA2465">
        <w:rPr>
          <w:iCs/>
        </w:rPr>
        <w:t xml:space="preserve"> </w:t>
      </w:r>
      <w:r w:rsidR="003D1F0B" w:rsidRPr="00EA2465">
        <w:t>a</w:t>
      </w:r>
      <w:r w:rsidR="003D1F0B" w:rsidRPr="004838C4">
        <w:t xml:space="preserve"> chemical validated drug target in bloodstream forms of </w:t>
      </w:r>
      <w:r w:rsidR="003D1F0B">
        <w:rPr>
          <w:i/>
        </w:rPr>
        <w:t>T.</w:t>
      </w:r>
      <w:r w:rsidR="003D1F0B" w:rsidRPr="004838C4">
        <w:rPr>
          <w:i/>
        </w:rPr>
        <w:t xml:space="preserve"> </w:t>
      </w:r>
      <w:r w:rsidR="003D1F0B" w:rsidRPr="001B7942">
        <w:rPr>
          <w:i/>
        </w:rPr>
        <w:t>brucei</w:t>
      </w:r>
      <w:r w:rsidR="003D1F0B">
        <w:t xml:space="preserve"> (Steverding et al.</w:t>
      </w:r>
      <w:r w:rsidR="003D1F0B" w:rsidRPr="001B7942">
        <w:t xml:space="preserve"> 2012a).</w:t>
      </w:r>
      <w:r w:rsidR="003D1F0B">
        <w:t xml:space="preserve"> The protease </w:t>
      </w:r>
      <w:r w:rsidR="003D1F0B" w:rsidRPr="006C07F8">
        <w:t xml:space="preserve">is involved in the degradation of endocytosed host </w:t>
      </w:r>
      <w:r w:rsidR="003D1F0B">
        <w:t>proteins (Steverding et al.</w:t>
      </w:r>
      <w:r w:rsidR="003D1F0B" w:rsidRPr="001B7942">
        <w:t xml:space="preserve"> 1995;</w:t>
      </w:r>
      <w:r w:rsidR="003D1F0B">
        <w:t xml:space="preserve"> Scory et al.</w:t>
      </w:r>
      <w:r w:rsidR="003D1F0B" w:rsidRPr="001B7942">
        <w:t xml:space="preserve"> 1999) and </w:t>
      </w:r>
      <w:r w:rsidR="003D1F0B" w:rsidRPr="00A75C17">
        <w:t xml:space="preserve">is essential to the survival of </w:t>
      </w:r>
      <w:r w:rsidR="003D1F0B" w:rsidRPr="00A75C17">
        <w:rPr>
          <w:i/>
        </w:rPr>
        <w:t xml:space="preserve">T. </w:t>
      </w:r>
      <w:r w:rsidR="003D1F0B" w:rsidRPr="001B7942">
        <w:rPr>
          <w:i/>
        </w:rPr>
        <w:t>brucei</w:t>
      </w:r>
      <w:r w:rsidR="003D1F0B" w:rsidRPr="001B7942">
        <w:t xml:space="preserve"> (Steverding et al., 2012a).</w:t>
      </w:r>
      <w:r w:rsidR="003D1F0B">
        <w:t xml:space="preserve"> In addition, t</w:t>
      </w:r>
      <w:r w:rsidR="003D1F0B" w:rsidRPr="004838C4">
        <w:t xml:space="preserve">argeting this cysteine proteases with small-molecule inhibitors is trypanocidal both </w:t>
      </w:r>
      <w:r w:rsidR="003D1F0B" w:rsidRPr="004838C4">
        <w:rPr>
          <w:i/>
          <w:iCs/>
        </w:rPr>
        <w:t>in vitro</w:t>
      </w:r>
      <w:r w:rsidR="003D1F0B" w:rsidRPr="004838C4">
        <w:t xml:space="preserve"> and </w:t>
      </w:r>
      <w:r w:rsidR="003D1F0B" w:rsidRPr="004838C4">
        <w:rPr>
          <w:i/>
          <w:iCs/>
        </w:rPr>
        <w:t xml:space="preserve">in </w:t>
      </w:r>
      <w:r w:rsidR="003D1F0B" w:rsidRPr="001B7942">
        <w:rPr>
          <w:i/>
          <w:iCs/>
        </w:rPr>
        <w:t>vivo</w:t>
      </w:r>
      <w:r w:rsidR="003D1F0B">
        <w:rPr>
          <w:iCs/>
        </w:rPr>
        <w:t xml:space="preserve"> (Scory et al. 1999; Troeberg et al.</w:t>
      </w:r>
      <w:r w:rsidR="003D1F0B" w:rsidRPr="001B7942">
        <w:rPr>
          <w:iCs/>
        </w:rPr>
        <w:t xml:space="preserve"> 1999; </w:t>
      </w:r>
      <w:r w:rsidR="003D1F0B">
        <w:rPr>
          <w:iCs/>
        </w:rPr>
        <w:t>Caffrey et al.</w:t>
      </w:r>
      <w:r w:rsidR="003D1F0B" w:rsidRPr="001B7942">
        <w:rPr>
          <w:iCs/>
        </w:rPr>
        <w:t xml:space="preserve"> 2000; </w:t>
      </w:r>
      <w:r w:rsidR="003D1F0B">
        <w:rPr>
          <w:iCs/>
        </w:rPr>
        <w:t>Nkemgu et al.</w:t>
      </w:r>
      <w:r w:rsidR="003D1F0B" w:rsidRPr="001B7942">
        <w:rPr>
          <w:iCs/>
        </w:rPr>
        <w:t xml:space="preserve"> 2003</w:t>
      </w:r>
      <w:r w:rsidR="00810E97">
        <w:rPr>
          <w:iCs/>
        </w:rPr>
        <w:t xml:space="preserve">; </w:t>
      </w:r>
      <w:r w:rsidR="00810E97">
        <w:t xml:space="preserve">Vicik et al. 2006; </w:t>
      </w:r>
      <w:r w:rsidR="00D87909">
        <w:t>Steverding et al.; 2012a</w:t>
      </w:r>
      <w:r w:rsidR="003D1F0B" w:rsidRPr="001B7942">
        <w:rPr>
          <w:iCs/>
        </w:rPr>
        <w:t>).</w:t>
      </w:r>
      <w:r w:rsidR="007B798D">
        <w:rPr>
          <w:iCs/>
        </w:rPr>
        <w:t xml:space="preserve"> </w:t>
      </w:r>
      <w:r w:rsidR="007B798D" w:rsidRPr="001B7942">
        <w:rPr>
          <w:iCs/>
        </w:rPr>
        <w:t>However</w:t>
      </w:r>
      <w:r w:rsidR="007B798D" w:rsidRPr="004838C4">
        <w:rPr>
          <w:iCs/>
        </w:rPr>
        <w:t xml:space="preserve">, whether the trypanocidal action of </w:t>
      </w:r>
      <w:r w:rsidR="007B798D">
        <w:rPr>
          <w:iCs/>
        </w:rPr>
        <w:t>caffeic acid esters i</w:t>
      </w:r>
      <w:r w:rsidR="007B798D" w:rsidRPr="004838C4">
        <w:rPr>
          <w:iCs/>
        </w:rPr>
        <w:t xml:space="preserve">s due to inhibition of </w:t>
      </w:r>
      <w:r w:rsidR="007B798D" w:rsidRPr="004838C4">
        <w:rPr>
          <w:i/>
          <w:iCs/>
        </w:rPr>
        <w:t>Tb</w:t>
      </w:r>
      <w:r w:rsidR="007B798D" w:rsidRPr="004838C4">
        <w:rPr>
          <w:iCs/>
        </w:rPr>
        <w:t xml:space="preserve">CATL has not </w:t>
      </w:r>
      <w:r w:rsidR="00FC0062">
        <w:rPr>
          <w:iCs/>
        </w:rPr>
        <w:t>so far been shown</w:t>
      </w:r>
      <w:r w:rsidR="007B798D" w:rsidRPr="004838C4">
        <w:rPr>
          <w:iCs/>
        </w:rPr>
        <w:t>.</w:t>
      </w:r>
      <w:r w:rsidR="00A24EEC">
        <w:rPr>
          <w:iCs/>
        </w:rPr>
        <w:t xml:space="preserve"> </w:t>
      </w:r>
      <w:r w:rsidR="00A24EEC" w:rsidRPr="004838C4">
        <w:rPr>
          <w:iCs/>
        </w:rPr>
        <w:t xml:space="preserve">In this study we investigated the </w:t>
      </w:r>
      <w:r w:rsidR="00A24EEC" w:rsidRPr="004838C4">
        <w:rPr>
          <w:iCs/>
        </w:rPr>
        <w:lastRenderedPageBreak/>
        <w:t>trypanocida</w:t>
      </w:r>
      <w:r w:rsidR="00A24EEC">
        <w:rPr>
          <w:iCs/>
        </w:rPr>
        <w:t>l activity of isopentyl caffeate</w:t>
      </w:r>
      <w:r w:rsidR="00A24EEC" w:rsidRPr="004838C4">
        <w:rPr>
          <w:iCs/>
        </w:rPr>
        <w:t xml:space="preserve"> and show that the antitrypanoso</w:t>
      </w:r>
      <w:r w:rsidR="00A24EEC">
        <w:rPr>
          <w:iCs/>
        </w:rPr>
        <w:t>mal action of the ester</w:t>
      </w:r>
      <w:r w:rsidR="00A24EEC" w:rsidRPr="004838C4">
        <w:rPr>
          <w:iCs/>
        </w:rPr>
        <w:t xml:space="preserve"> does not correlate with the inactivation of </w:t>
      </w:r>
      <w:r w:rsidR="00A24EEC" w:rsidRPr="004838C4">
        <w:rPr>
          <w:i/>
          <w:iCs/>
        </w:rPr>
        <w:t>Tb</w:t>
      </w:r>
      <w:r w:rsidR="00A24EEC" w:rsidRPr="004838C4">
        <w:rPr>
          <w:iCs/>
        </w:rPr>
        <w:t xml:space="preserve">CATL in bloodstream forms of </w:t>
      </w:r>
      <w:r w:rsidR="00A24EEC" w:rsidRPr="004838C4">
        <w:rPr>
          <w:i/>
          <w:iCs/>
        </w:rPr>
        <w:t>T. brucei</w:t>
      </w:r>
      <w:r w:rsidR="00A24EEC" w:rsidRPr="004838C4">
        <w:rPr>
          <w:iCs/>
        </w:rPr>
        <w:t>.</w:t>
      </w:r>
      <w:r w:rsidR="00A24EEC">
        <w:rPr>
          <w:iCs/>
        </w:rPr>
        <w:t xml:space="preserve"> In addition, </w:t>
      </w:r>
      <w:r w:rsidR="000B5AAD" w:rsidRPr="00EA2465">
        <w:rPr>
          <w:iCs/>
        </w:rPr>
        <w:t>the ester</w:t>
      </w:r>
      <w:r w:rsidR="00A24EEC" w:rsidRPr="00EA2465">
        <w:rPr>
          <w:iCs/>
        </w:rPr>
        <w:t xml:space="preserve"> inhibits</w:t>
      </w:r>
      <w:r w:rsidR="00A24EEC">
        <w:rPr>
          <w:iCs/>
        </w:rPr>
        <w:t xml:space="preserve"> </w:t>
      </w:r>
      <w:r w:rsidR="00A24EEC" w:rsidRPr="00A24EEC">
        <w:rPr>
          <w:i/>
          <w:iCs/>
        </w:rPr>
        <w:t>Tb</w:t>
      </w:r>
      <w:r w:rsidR="00A24EEC">
        <w:rPr>
          <w:iCs/>
        </w:rPr>
        <w:t>CATL in a non-competitive way.</w:t>
      </w:r>
    </w:p>
    <w:p w:rsidR="00CE1E69" w:rsidRDefault="00CE1E69" w:rsidP="00AB5F90">
      <w:pPr>
        <w:spacing w:line="480" w:lineRule="exact"/>
        <w:jc w:val="both"/>
      </w:pPr>
    </w:p>
    <w:p w:rsidR="00CB4391" w:rsidRDefault="00CB4391" w:rsidP="00AB5F90">
      <w:pPr>
        <w:spacing w:line="480" w:lineRule="exact"/>
        <w:jc w:val="both"/>
      </w:pPr>
    </w:p>
    <w:p w:rsidR="00AB5F90" w:rsidRPr="00A24EEC" w:rsidRDefault="00A24EEC" w:rsidP="00D178ED">
      <w:pPr>
        <w:spacing w:line="480" w:lineRule="exact"/>
        <w:jc w:val="both"/>
        <w:rPr>
          <w:b/>
          <w:sz w:val="28"/>
          <w:szCs w:val="28"/>
        </w:rPr>
      </w:pPr>
      <w:r>
        <w:rPr>
          <w:b/>
          <w:sz w:val="28"/>
          <w:szCs w:val="28"/>
        </w:rPr>
        <w:t>Material and m</w:t>
      </w:r>
      <w:r w:rsidR="00AB5F90" w:rsidRPr="00A24EEC">
        <w:rPr>
          <w:b/>
          <w:sz w:val="28"/>
          <w:szCs w:val="28"/>
        </w:rPr>
        <w:t>ethods</w:t>
      </w:r>
    </w:p>
    <w:p w:rsidR="00AB5F90" w:rsidRPr="00D178ED" w:rsidRDefault="00AB5F90" w:rsidP="00AB5F90">
      <w:pPr>
        <w:spacing w:line="480" w:lineRule="exact"/>
        <w:jc w:val="both"/>
      </w:pPr>
    </w:p>
    <w:p w:rsidR="00AB5F90" w:rsidRPr="00A24EEC" w:rsidRDefault="00843289" w:rsidP="00AB5F90">
      <w:pPr>
        <w:spacing w:after="120" w:line="480" w:lineRule="exact"/>
        <w:jc w:val="both"/>
        <w:rPr>
          <w:b/>
        </w:rPr>
      </w:pPr>
      <w:r w:rsidRPr="00A24EEC">
        <w:rPr>
          <w:b/>
        </w:rPr>
        <w:t>Reagents</w:t>
      </w:r>
    </w:p>
    <w:p w:rsidR="00D178ED" w:rsidRDefault="00D178ED" w:rsidP="006B1FA8">
      <w:pPr>
        <w:pStyle w:val="ListParagraph"/>
        <w:spacing w:line="480" w:lineRule="exact"/>
        <w:ind w:left="0"/>
        <w:jc w:val="both"/>
      </w:pPr>
    </w:p>
    <w:p w:rsidR="00AB5F90" w:rsidRPr="00D178ED" w:rsidRDefault="006B1FA8" w:rsidP="00A24EEC">
      <w:pPr>
        <w:pStyle w:val="ListParagraph"/>
        <w:spacing w:line="480" w:lineRule="exact"/>
        <w:ind w:left="0"/>
        <w:jc w:val="both"/>
      </w:pPr>
      <w:r w:rsidRPr="00D178ED">
        <w:t xml:space="preserve">Human liver cathepsin L (hCATL), </w:t>
      </w:r>
      <w:r w:rsidR="00810E97">
        <w:t>caffeic acid (≥99%, HPLC</w:t>
      </w:r>
      <w:r w:rsidRPr="00D178ED">
        <w:t>)</w:t>
      </w:r>
      <w:r w:rsidR="009A0026" w:rsidRPr="00D178ED">
        <w:t>,</w:t>
      </w:r>
      <w:r w:rsidRPr="00D178ED">
        <w:t xml:space="preserve"> </w:t>
      </w:r>
      <w:r w:rsidR="00810E97">
        <w:t xml:space="preserve">ferulic acid (&gt;98.5%, GC), </w:t>
      </w:r>
      <w:r w:rsidRPr="00D178ED">
        <w:t>sur</w:t>
      </w:r>
      <w:r w:rsidR="00810E97">
        <w:t>amin sodium salt (purity ≥99%, TLC</w:t>
      </w:r>
      <w:r w:rsidRPr="00D178ED">
        <w:t>)</w:t>
      </w:r>
      <w:r w:rsidR="009A0026" w:rsidRPr="00D178ED">
        <w:t xml:space="preserve"> and resazurin sodium salt</w:t>
      </w:r>
      <w:r w:rsidRPr="00D178ED">
        <w:t xml:space="preserve"> were purchased from Sigma-Aldrich (</w:t>
      </w:r>
      <w:r w:rsidR="009A0026" w:rsidRPr="00D178ED">
        <w:t xml:space="preserve">Dorset, </w:t>
      </w:r>
      <w:r w:rsidRPr="00D178ED">
        <w:t>UK).</w:t>
      </w:r>
      <w:r w:rsidR="009A0026" w:rsidRPr="00D178ED">
        <w:t xml:space="preserve"> Benzyloxycarbonyl-phenylalanyl-arginyl-7-amido-4-methyl coumarin (Z-FR-AMC), were bought from BIOMOL (Exeter, UK). Benzyloxycarbonyl-phenylalanyl-arginyl-diazomethyl ketone (Z-FA-DMK) was purchased from Bachem (Weil am Rhein, Germany).</w:t>
      </w:r>
    </w:p>
    <w:p w:rsidR="005F3ED1" w:rsidRDefault="005F3ED1" w:rsidP="00AB5F90">
      <w:pPr>
        <w:spacing w:line="480" w:lineRule="exact"/>
        <w:jc w:val="both"/>
      </w:pPr>
    </w:p>
    <w:p w:rsidR="00D178ED" w:rsidRPr="00A24EEC" w:rsidRDefault="00C17879" w:rsidP="00AB5F90">
      <w:pPr>
        <w:spacing w:line="480" w:lineRule="exact"/>
        <w:jc w:val="both"/>
        <w:rPr>
          <w:b/>
        </w:rPr>
      </w:pPr>
      <w:r w:rsidRPr="00A24EEC">
        <w:rPr>
          <w:b/>
        </w:rPr>
        <w:t>Synthesis of isopentyl caffeate</w:t>
      </w:r>
    </w:p>
    <w:p w:rsidR="00D178ED" w:rsidRDefault="00D178ED" w:rsidP="00C17879">
      <w:pPr>
        <w:spacing w:line="480" w:lineRule="exact"/>
        <w:jc w:val="both"/>
      </w:pPr>
    </w:p>
    <w:p w:rsidR="00C17879" w:rsidRPr="00C17879" w:rsidRDefault="00C17879" w:rsidP="00A24EEC">
      <w:pPr>
        <w:spacing w:line="480" w:lineRule="exact"/>
        <w:jc w:val="both"/>
        <w:rPr>
          <w:lang w:val="en-US"/>
        </w:rPr>
      </w:pPr>
      <w:r w:rsidRPr="00C17879">
        <w:rPr>
          <w:lang w:val="en-US"/>
        </w:rPr>
        <w:t xml:space="preserve">Caffeic acid (0.5 g, 2.77 mmol) was dissolved in dry </w:t>
      </w:r>
      <w:r w:rsidRPr="00C17879">
        <w:rPr>
          <w:bCs/>
          <w:shd w:val="clear" w:color="auto" w:fill="FFFFFF"/>
          <w:lang w:val="en-US"/>
        </w:rPr>
        <w:t>isoamyl alcohol</w:t>
      </w:r>
      <w:r w:rsidRPr="00C17879">
        <w:rPr>
          <w:lang w:val="en-US"/>
        </w:rPr>
        <w:t xml:space="preserve"> (20 mL) and </w:t>
      </w:r>
      <w:r>
        <w:rPr>
          <w:lang w:val="en-US"/>
        </w:rPr>
        <w:t xml:space="preserve">0.5 mL 96% (v/v) </w:t>
      </w:r>
      <w:r w:rsidRPr="00C17879">
        <w:rPr>
          <w:lang w:val="en-US"/>
        </w:rPr>
        <w:t>H</w:t>
      </w:r>
      <w:r w:rsidRPr="00C17879">
        <w:rPr>
          <w:vertAlign w:val="subscript"/>
          <w:lang w:val="en-US"/>
        </w:rPr>
        <w:t>2</w:t>
      </w:r>
      <w:r w:rsidRPr="00C17879">
        <w:rPr>
          <w:lang w:val="en-US"/>
        </w:rPr>
        <w:t>SO</w:t>
      </w:r>
      <w:r w:rsidRPr="00C17879">
        <w:rPr>
          <w:vertAlign w:val="subscript"/>
          <w:lang w:val="en-US"/>
        </w:rPr>
        <w:t>4</w:t>
      </w:r>
      <w:r w:rsidRPr="00C17879">
        <w:rPr>
          <w:lang w:val="en-US"/>
        </w:rPr>
        <w:t xml:space="preserve"> was added. </w:t>
      </w:r>
      <w:r>
        <w:rPr>
          <w:lang w:val="en-US"/>
        </w:rPr>
        <w:t>The r</w:t>
      </w:r>
      <w:r w:rsidRPr="00C17879">
        <w:rPr>
          <w:lang w:val="en-US"/>
        </w:rPr>
        <w:t>eaction mixture was refluxed for 3</w:t>
      </w:r>
      <w:r>
        <w:rPr>
          <w:lang w:val="en-US"/>
        </w:rPr>
        <w:t xml:space="preserve"> h. After cooling to</w:t>
      </w:r>
      <w:r w:rsidRPr="00C17879">
        <w:rPr>
          <w:lang w:val="en-US"/>
        </w:rPr>
        <w:t xml:space="preserve"> room temperature, the solution was diluted with </w:t>
      </w:r>
      <w:r>
        <w:rPr>
          <w:lang w:val="en-US"/>
        </w:rPr>
        <w:t>100 ml ethyl acetate</w:t>
      </w:r>
      <w:r w:rsidRPr="00C17879">
        <w:rPr>
          <w:lang w:val="en-US"/>
        </w:rPr>
        <w:t xml:space="preserve"> and wa</w:t>
      </w:r>
      <w:r>
        <w:rPr>
          <w:lang w:val="en-US"/>
        </w:rPr>
        <w:t>shed with 5% (w/v)</w:t>
      </w:r>
      <w:r w:rsidRPr="00C17879">
        <w:rPr>
          <w:lang w:val="en-US"/>
        </w:rPr>
        <w:t xml:space="preserve"> NaHCO</w:t>
      </w:r>
      <w:r w:rsidRPr="00C17879">
        <w:rPr>
          <w:vertAlign w:val="subscript"/>
          <w:lang w:val="en-US"/>
        </w:rPr>
        <w:t>3</w:t>
      </w:r>
      <w:r>
        <w:rPr>
          <w:lang w:val="en-US"/>
        </w:rPr>
        <w:t xml:space="preserve"> solution</w:t>
      </w:r>
      <w:r w:rsidRPr="00C17879">
        <w:rPr>
          <w:lang w:val="en-US"/>
        </w:rPr>
        <w:t xml:space="preserve"> until neutral pH. The organic layer was then washed with distilled water and dried over anhydrous Na</w:t>
      </w:r>
      <w:r w:rsidRPr="00C17879">
        <w:rPr>
          <w:vertAlign w:val="subscript"/>
          <w:lang w:val="en-US"/>
        </w:rPr>
        <w:t>2</w:t>
      </w:r>
      <w:r w:rsidRPr="00C17879">
        <w:rPr>
          <w:lang w:val="en-US"/>
        </w:rPr>
        <w:t>SO</w:t>
      </w:r>
      <w:r w:rsidRPr="00C17879">
        <w:rPr>
          <w:vertAlign w:val="subscript"/>
          <w:lang w:val="en-US"/>
        </w:rPr>
        <w:t>4</w:t>
      </w:r>
      <w:r w:rsidRPr="00C17879">
        <w:rPr>
          <w:lang w:val="en-US"/>
        </w:rPr>
        <w:t>, and the solvent was removed under vacuum. Isopentyl caffeate (339 mg, 49%</w:t>
      </w:r>
      <w:r w:rsidR="003243B2">
        <w:rPr>
          <w:lang w:val="en-US"/>
        </w:rPr>
        <w:t xml:space="preserve"> yield</w:t>
      </w:r>
      <w:r w:rsidRPr="00C17879">
        <w:rPr>
          <w:lang w:val="en-US"/>
        </w:rPr>
        <w:t>) was obtained after silica gel column chromatography (</w:t>
      </w:r>
      <w:r>
        <w:rPr>
          <w:lang w:val="en-US"/>
        </w:rPr>
        <w:t>1:1 ethyl acetate/</w:t>
      </w:r>
      <w:r w:rsidRPr="00C17879">
        <w:t xml:space="preserve">hexane). </w:t>
      </w:r>
      <w:r w:rsidRPr="00C17879">
        <w:rPr>
          <w:vertAlign w:val="superscript"/>
        </w:rPr>
        <w:t>1</w:t>
      </w:r>
      <w:r w:rsidRPr="00C17879">
        <w:t>H NMR (200 MHz, DMSO-d</w:t>
      </w:r>
      <w:r w:rsidRPr="00C17879">
        <w:rPr>
          <w:vertAlign w:val="subscript"/>
        </w:rPr>
        <w:t>6</w:t>
      </w:r>
      <w:r w:rsidRPr="00C17879">
        <w:t xml:space="preserve">): δ (ppm) 7.46 (d, </w:t>
      </w:r>
      <w:r w:rsidRPr="00C17879">
        <w:rPr>
          <w:i/>
          <w:iCs/>
        </w:rPr>
        <w:t>J</w:t>
      </w:r>
      <w:r w:rsidR="00772832">
        <w:t xml:space="preserve"> = 15.9 HZ, 1H), 7.11-</w:t>
      </w:r>
      <w:r w:rsidRPr="00C17879">
        <w:t xml:space="preserve">6.92 (m, 2H), 6.76 (d, </w:t>
      </w:r>
      <w:r w:rsidRPr="00C17879">
        <w:rPr>
          <w:i/>
          <w:iCs/>
        </w:rPr>
        <w:t>J</w:t>
      </w:r>
      <w:r w:rsidRPr="00C17879">
        <w:t xml:space="preserve"> = 7.9 HZ, 1H), 6.25 (d, </w:t>
      </w:r>
      <w:r w:rsidRPr="00C17879">
        <w:rPr>
          <w:i/>
          <w:iCs/>
        </w:rPr>
        <w:t>J</w:t>
      </w:r>
      <w:r w:rsidRPr="00C17879">
        <w:t xml:space="preserve"> = 15.9 HZ, 1H), 4.13 (t, </w:t>
      </w:r>
      <w:r w:rsidRPr="00C17879">
        <w:rPr>
          <w:i/>
          <w:iCs/>
        </w:rPr>
        <w:t>J</w:t>
      </w:r>
      <w:r>
        <w:t xml:space="preserve"> = 6.7 </w:t>
      </w:r>
      <w:r w:rsidR="00772832">
        <w:t>HZ, 2H), 1.81-</w:t>
      </w:r>
      <w:r w:rsidRPr="00C17879">
        <w:t xml:space="preserve">1.39 (m, 3H), 0.90 (d, </w:t>
      </w:r>
      <w:r w:rsidRPr="00C17879">
        <w:rPr>
          <w:i/>
          <w:iCs/>
        </w:rPr>
        <w:t>J</w:t>
      </w:r>
      <w:r w:rsidRPr="00C17879">
        <w:t xml:space="preserve"> = 6.4 HZ, 6H). </w:t>
      </w:r>
      <w:r w:rsidRPr="00C17879">
        <w:rPr>
          <w:vertAlign w:val="superscript"/>
          <w:lang w:val="en-US"/>
        </w:rPr>
        <w:t>13</w:t>
      </w:r>
      <w:r w:rsidRPr="00C17879">
        <w:rPr>
          <w:lang w:val="en-US"/>
        </w:rPr>
        <w:t>C NMR (50 MHz, DMSO-d</w:t>
      </w:r>
      <w:r w:rsidRPr="00C17879">
        <w:rPr>
          <w:vertAlign w:val="subscript"/>
          <w:lang w:val="en-US"/>
        </w:rPr>
        <w:t>6</w:t>
      </w:r>
      <w:r w:rsidRPr="00C17879">
        <w:rPr>
          <w:lang w:val="en-US"/>
        </w:rPr>
        <w:t xml:space="preserve">) </w:t>
      </w:r>
      <w:r w:rsidRPr="00C17879">
        <w:t>δ</w:t>
      </w:r>
      <w:r w:rsidRPr="00C17879">
        <w:rPr>
          <w:lang w:val="en-US"/>
        </w:rPr>
        <w:t xml:space="preserve"> (ppm) 166.6, 148.4, 145.6, 145.0, 125.5, 121.4, 115.8, 114.8, 1</w:t>
      </w:r>
      <w:r w:rsidR="00CC71C2">
        <w:rPr>
          <w:lang w:val="en-US"/>
        </w:rPr>
        <w:t>14.8, 62.2, 37.1, 24.7, 22.4. IR</w:t>
      </w:r>
      <w:r w:rsidRPr="00C17879">
        <w:rPr>
          <w:lang w:val="en-US"/>
        </w:rPr>
        <w:t xml:space="preserve"> </w:t>
      </w:r>
      <w:r w:rsidRPr="00C17879">
        <w:rPr>
          <w:lang w:val="en-US"/>
        </w:rPr>
        <w:lastRenderedPageBreak/>
        <w:t xml:space="preserve">(KBr) </w:t>
      </w:r>
      <w:r w:rsidRPr="00C17879">
        <w:t>ѵ</w:t>
      </w:r>
      <w:r w:rsidR="00CC71C2">
        <w:rPr>
          <w:lang w:val="en-US"/>
        </w:rPr>
        <w:t xml:space="preserve"> (cm</w:t>
      </w:r>
      <w:r w:rsidR="00CC71C2" w:rsidRPr="00CC71C2">
        <w:rPr>
          <w:vertAlign w:val="superscript"/>
          <w:lang w:val="en-US"/>
        </w:rPr>
        <w:t>-1</w:t>
      </w:r>
      <w:r w:rsidR="00CC71C2">
        <w:rPr>
          <w:lang w:val="en-US"/>
        </w:rPr>
        <w:t>) 3487, 3318, 2959, 2924, 2907, 2868, 1682, 1636, 1602, 1535, 1462, 1443, 1394, 1395,</w:t>
      </w:r>
      <w:r w:rsidRPr="00C17879">
        <w:rPr>
          <w:lang w:val="en-US"/>
        </w:rPr>
        <w:t xml:space="preserve"> </w:t>
      </w:r>
      <w:r w:rsidR="00CC71C2">
        <w:rPr>
          <w:lang w:val="en-US"/>
        </w:rPr>
        <w:t>1304, 1279, 1240, 1184, 1171,</w:t>
      </w:r>
      <w:r w:rsidRPr="00C17879">
        <w:rPr>
          <w:lang w:val="en-US"/>
        </w:rPr>
        <w:t xml:space="preserve"> </w:t>
      </w:r>
      <w:r w:rsidR="00CC71C2">
        <w:rPr>
          <w:lang w:val="en-US"/>
        </w:rPr>
        <w:t>1122, 1103, 1049, 975, 943, 849, 810</w:t>
      </w:r>
      <w:r w:rsidRPr="00C17879">
        <w:rPr>
          <w:lang w:val="en-US"/>
        </w:rPr>
        <w:t xml:space="preserve"> </w:t>
      </w:r>
      <w:r w:rsidR="00A24EEC">
        <w:rPr>
          <w:lang w:val="en-US"/>
        </w:rPr>
        <w:t>(Sanderson et al.</w:t>
      </w:r>
      <w:r w:rsidRPr="001B7942">
        <w:rPr>
          <w:lang w:val="en-US"/>
        </w:rPr>
        <w:t xml:space="preserve"> 2013). </w:t>
      </w:r>
      <w:r w:rsidR="00CC71C2">
        <w:t>Purity: &gt;96</w:t>
      </w:r>
      <w:r w:rsidR="00036D4D" w:rsidRPr="00037168">
        <w:t>% (</w:t>
      </w:r>
      <w:r w:rsidR="00036D4D" w:rsidRPr="00037168">
        <w:rPr>
          <w:vertAlign w:val="superscript"/>
        </w:rPr>
        <w:t>1</w:t>
      </w:r>
      <w:r w:rsidR="00036D4D" w:rsidRPr="00037168">
        <w:t xml:space="preserve">H NMR </w:t>
      </w:r>
      <w:r w:rsidR="00036D4D">
        <w:t xml:space="preserve">and </w:t>
      </w:r>
      <w:r w:rsidR="00036D4D" w:rsidRPr="00037168">
        <w:t>TLC)</w:t>
      </w:r>
      <w:r w:rsidR="00036D4D">
        <w:t>.</w:t>
      </w:r>
    </w:p>
    <w:p w:rsidR="00C17879" w:rsidRDefault="00C17879" w:rsidP="00C17879">
      <w:pPr>
        <w:spacing w:line="480" w:lineRule="exact"/>
        <w:jc w:val="both"/>
      </w:pPr>
    </w:p>
    <w:p w:rsidR="00036D4D" w:rsidRPr="00A24EEC" w:rsidRDefault="00036D4D" w:rsidP="00C17879">
      <w:pPr>
        <w:spacing w:line="480" w:lineRule="exact"/>
        <w:jc w:val="both"/>
        <w:rPr>
          <w:b/>
        </w:rPr>
      </w:pPr>
      <w:r w:rsidRPr="00A24EEC">
        <w:rPr>
          <w:b/>
        </w:rPr>
        <w:t>Synthesis of ethyl ferulate</w:t>
      </w:r>
    </w:p>
    <w:p w:rsidR="00036D4D" w:rsidRDefault="00036D4D" w:rsidP="00C17879">
      <w:pPr>
        <w:spacing w:line="480" w:lineRule="exact"/>
        <w:jc w:val="both"/>
      </w:pPr>
    </w:p>
    <w:p w:rsidR="00CC71C2" w:rsidRDefault="003243B2" w:rsidP="00A24EEC">
      <w:pPr>
        <w:spacing w:line="480" w:lineRule="exact"/>
        <w:jc w:val="both"/>
      </w:pPr>
      <w:r>
        <w:t>To a</w:t>
      </w:r>
      <w:r w:rsidR="00CC71C2" w:rsidRPr="00CC71C2">
        <w:t xml:space="preserve"> solution of feru</w:t>
      </w:r>
      <w:r>
        <w:t xml:space="preserve">lic acid (0.25 </w:t>
      </w:r>
      <w:r w:rsidRPr="00EA2465">
        <w:t>g</w:t>
      </w:r>
      <w:r w:rsidR="00452785" w:rsidRPr="00EA2465">
        <w:t>,</w:t>
      </w:r>
      <w:r>
        <w:t xml:space="preserve"> 1.29 mmol) dissolved in</w:t>
      </w:r>
      <w:r w:rsidR="00CC71C2" w:rsidRPr="00CC71C2">
        <w:t xml:space="preserve"> 25 mL of ethanol</w:t>
      </w:r>
      <w:r>
        <w:t>,</w:t>
      </w:r>
      <w:r w:rsidR="00CC71C2" w:rsidRPr="00CC71C2">
        <w:t xml:space="preserve"> 0.4 mL of </w:t>
      </w:r>
      <w:r>
        <w:t xml:space="preserve">96% (v/v) </w:t>
      </w:r>
      <w:r w:rsidR="00CC71C2" w:rsidRPr="00CC71C2">
        <w:t>H</w:t>
      </w:r>
      <w:r w:rsidR="00CC71C2" w:rsidRPr="003243B2">
        <w:rPr>
          <w:vertAlign w:val="subscript"/>
        </w:rPr>
        <w:t>2</w:t>
      </w:r>
      <w:r w:rsidR="00CC71C2" w:rsidRPr="00CC71C2">
        <w:t>SO</w:t>
      </w:r>
      <w:r w:rsidR="00CC71C2" w:rsidRPr="003243B2">
        <w:rPr>
          <w:vertAlign w:val="subscript"/>
        </w:rPr>
        <w:t>4</w:t>
      </w:r>
      <w:r w:rsidR="00CC71C2" w:rsidRPr="00CC71C2">
        <w:t xml:space="preserve"> </w:t>
      </w:r>
      <w:r>
        <w:t xml:space="preserve">was added under stirring </w:t>
      </w:r>
      <w:r w:rsidR="00CC71C2" w:rsidRPr="00CC71C2">
        <w:t xml:space="preserve">and the reaction mixture was refluxed for 3 h. </w:t>
      </w:r>
      <w:r>
        <w:t>Half of the e</w:t>
      </w:r>
      <w:r w:rsidR="00CC71C2" w:rsidRPr="00CC71C2">
        <w:t>thanol was remove</w:t>
      </w:r>
      <w:r>
        <w:t xml:space="preserve">d under reduced pressure, the solution </w:t>
      </w:r>
      <w:r w:rsidR="0072351F">
        <w:t xml:space="preserve">then </w:t>
      </w:r>
      <w:r>
        <w:t xml:space="preserve">diluted with 20 mL water and </w:t>
      </w:r>
      <w:r w:rsidR="0072351F">
        <w:t>t</w:t>
      </w:r>
      <w:r>
        <w:t>he product</w:t>
      </w:r>
      <w:r w:rsidR="00CC71C2" w:rsidRPr="00CC71C2">
        <w:t xml:space="preserve"> extracted with ethyl</w:t>
      </w:r>
      <w:r>
        <w:t xml:space="preserve"> acetate. The extract was</w:t>
      </w:r>
      <w:r w:rsidR="00CC71C2" w:rsidRPr="00CC71C2">
        <w:t xml:space="preserve"> successively </w:t>
      </w:r>
      <w:r>
        <w:t xml:space="preserve">washed </w:t>
      </w:r>
      <w:r w:rsidR="00CC71C2" w:rsidRPr="00CC71C2">
        <w:t xml:space="preserve">with </w:t>
      </w:r>
      <w:r>
        <w:t xml:space="preserve">5% (w/v) </w:t>
      </w:r>
      <w:r w:rsidR="00CC71C2" w:rsidRPr="00CC71C2">
        <w:t>NaHCO</w:t>
      </w:r>
      <w:r w:rsidR="00CC71C2" w:rsidRPr="003243B2">
        <w:rPr>
          <w:vertAlign w:val="subscript"/>
        </w:rPr>
        <w:t>3</w:t>
      </w:r>
      <w:r w:rsidR="00CC71C2" w:rsidRPr="00CC71C2">
        <w:t xml:space="preserve"> and water, dried over anhydrous Na</w:t>
      </w:r>
      <w:r w:rsidR="00CC71C2" w:rsidRPr="003243B2">
        <w:rPr>
          <w:vertAlign w:val="subscript"/>
        </w:rPr>
        <w:t>2</w:t>
      </w:r>
      <w:r w:rsidR="00CC71C2" w:rsidRPr="00CC71C2">
        <w:t>SO</w:t>
      </w:r>
      <w:r w:rsidR="00CC71C2" w:rsidRPr="003243B2">
        <w:rPr>
          <w:vertAlign w:val="subscript"/>
        </w:rPr>
        <w:t>4</w:t>
      </w:r>
      <w:r>
        <w:t xml:space="preserve"> and filtered, and </w:t>
      </w:r>
      <w:r w:rsidRPr="00C17879">
        <w:rPr>
          <w:lang w:val="en-US"/>
        </w:rPr>
        <w:t>the solvent was removed under vacuum</w:t>
      </w:r>
      <w:r w:rsidR="00CC71C2" w:rsidRPr="00CC71C2">
        <w:t>. Ethyl ferul</w:t>
      </w:r>
      <w:r>
        <w:t>ate was obtained as a brown oil</w:t>
      </w:r>
      <w:r w:rsidR="00CC71C2" w:rsidRPr="00CC71C2">
        <w:t xml:space="preserve"> </w:t>
      </w:r>
      <w:r>
        <w:t>(</w:t>
      </w:r>
      <w:r w:rsidR="00CC71C2" w:rsidRPr="00CC71C2">
        <w:t xml:space="preserve">0.179 mg, 62.48% </w:t>
      </w:r>
      <w:r>
        <w:t>yield).</w:t>
      </w:r>
      <w:r w:rsidR="00CC71C2" w:rsidRPr="00CC71C2">
        <w:t xml:space="preserve"> </w:t>
      </w:r>
      <w:r w:rsidR="00CC71C2" w:rsidRPr="003243B2">
        <w:rPr>
          <w:vertAlign w:val="superscript"/>
        </w:rPr>
        <w:t>1</w:t>
      </w:r>
      <w:r w:rsidR="00CC71C2" w:rsidRPr="00CC71C2">
        <w:t>H NMR (200 MHz, CDCl3) δ</w:t>
      </w:r>
      <w:r>
        <w:t xml:space="preserve"> </w:t>
      </w:r>
      <w:r w:rsidR="00CC71C2" w:rsidRPr="00CC71C2">
        <w:t>(ppm) 7.</w:t>
      </w:r>
      <w:r w:rsidR="00772832">
        <w:t>60 (d, J = 15.9 Hz, 1H), 7.09-</w:t>
      </w:r>
      <w:r w:rsidR="00CC71C2" w:rsidRPr="00CC71C2">
        <w:t xml:space="preserve">6.98 (m, 2H), 6.90 (d, J = 8.1 Hz, 1H), 6.27 (d, J = 15.9 Hz, 1H), 6.13 (s, 1H), 4.24 (q, J = 7.1 Hz, 2H), 3.89 (s, 3H), 1.32 (t, J = 7.1 Hz, 3H). </w:t>
      </w:r>
      <w:r w:rsidR="00CC71C2" w:rsidRPr="003243B2">
        <w:rPr>
          <w:vertAlign w:val="superscript"/>
        </w:rPr>
        <w:t>13</w:t>
      </w:r>
      <w:r w:rsidR="00CC71C2" w:rsidRPr="00CC71C2">
        <w:t>C NMR (50 MHz, CDCl3) δ</w:t>
      </w:r>
      <w:r w:rsidRPr="00CC71C2">
        <w:t xml:space="preserve"> </w:t>
      </w:r>
      <w:r w:rsidR="00CC71C2" w:rsidRPr="00CC71C2">
        <w:t xml:space="preserve">(ppm) 167.5, 148.0, 146.9, 144.8, 127.0, 123.0, 115.6, 114.8, 109.6, 109.4, 60.5, 55.9, 14.4. </w:t>
      </w:r>
      <w:r>
        <w:t>IR</w:t>
      </w:r>
      <w:r w:rsidR="00CC71C2" w:rsidRPr="00CC71C2">
        <w:t xml:space="preserve"> (KBr) ѵ</w:t>
      </w:r>
      <w:r>
        <w:t xml:space="preserve"> (cm</w:t>
      </w:r>
      <w:r w:rsidRPr="003243B2">
        <w:rPr>
          <w:vertAlign w:val="superscript"/>
        </w:rPr>
        <w:t>-1</w:t>
      </w:r>
      <w:r>
        <w:t>)</w:t>
      </w:r>
      <w:r w:rsidR="00CC71C2" w:rsidRPr="00CC71C2">
        <w:t xml:space="preserve"> </w:t>
      </w:r>
      <w:r>
        <w:t xml:space="preserve">3408, 2980, 2937, 1707, 1631, 1591, 1516, 1435, 1269, 1176, 1033, </w:t>
      </w:r>
      <w:r w:rsidRPr="001B7942">
        <w:t>979</w:t>
      </w:r>
      <w:r w:rsidR="00CC71C2" w:rsidRPr="001B7942">
        <w:t xml:space="preserve"> (Vafiadi</w:t>
      </w:r>
      <w:r w:rsidR="00A24EEC">
        <w:t xml:space="preserve"> et al.</w:t>
      </w:r>
      <w:r w:rsidRPr="001B7942">
        <w:t xml:space="preserve"> 2005).</w:t>
      </w:r>
      <w:r>
        <w:t xml:space="preserve"> P</w:t>
      </w:r>
      <w:r w:rsidR="00CC71C2" w:rsidRPr="00CC71C2">
        <w:t>urity: &gt;93% (</w:t>
      </w:r>
      <w:r w:rsidR="00CC71C2" w:rsidRPr="003243B2">
        <w:rPr>
          <w:vertAlign w:val="superscript"/>
        </w:rPr>
        <w:t>1</w:t>
      </w:r>
      <w:r w:rsidR="00CC71C2" w:rsidRPr="00CC71C2">
        <w:t>H NMR and TLC).</w:t>
      </w:r>
    </w:p>
    <w:p w:rsidR="00CC71C2" w:rsidRPr="00C17879" w:rsidRDefault="00CC71C2" w:rsidP="00C17879">
      <w:pPr>
        <w:spacing w:line="480" w:lineRule="exact"/>
        <w:jc w:val="both"/>
      </w:pPr>
    </w:p>
    <w:p w:rsidR="00AB5F90" w:rsidRPr="00A24EEC" w:rsidRDefault="00AB5F90" w:rsidP="00D178ED">
      <w:pPr>
        <w:spacing w:line="480" w:lineRule="exact"/>
        <w:jc w:val="both"/>
        <w:rPr>
          <w:b/>
        </w:rPr>
      </w:pPr>
      <w:r w:rsidRPr="00A24EEC">
        <w:rPr>
          <w:b/>
        </w:rPr>
        <w:t>Cells cultures</w:t>
      </w:r>
    </w:p>
    <w:p w:rsidR="00D178ED" w:rsidRDefault="00D178ED" w:rsidP="00D178ED">
      <w:pPr>
        <w:spacing w:line="480" w:lineRule="exact"/>
        <w:jc w:val="both"/>
      </w:pPr>
    </w:p>
    <w:p w:rsidR="00AB5F90" w:rsidRPr="00D178ED" w:rsidRDefault="00AB5F90" w:rsidP="00A24EEC">
      <w:pPr>
        <w:spacing w:line="480" w:lineRule="exact"/>
        <w:jc w:val="both"/>
      </w:pPr>
      <w:r w:rsidRPr="00D178ED">
        <w:t xml:space="preserve">Bloodstream forms of </w:t>
      </w:r>
      <w:r w:rsidRPr="00D178ED">
        <w:rPr>
          <w:i/>
        </w:rPr>
        <w:t>T. brucei</w:t>
      </w:r>
      <w:r w:rsidRPr="00D178ED">
        <w:t xml:space="preserve"> (clone 427-221a) </w:t>
      </w:r>
      <w:r w:rsidR="005D0DA4">
        <w:t xml:space="preserve">(Hirumi et al. 1980) </w:t>
      </w:r>
      <w:r w:rsidRPr="00D178ED">
        <w:t xml:space="preserve">and human myeloid leukaemia HL-60 cells </w:t>
      </w:r>
      <w:r w:rsidR="005D0DA4">
        <w:t xml:space="preserve">(Collins et al. 1977) </w:t>
      </w:r>
      <w:r w:rsidRPr="00D178ED">
        <w:t xml:space="preserve">were grown in Baltz medium </w:t>
      </w:r>
      <w:r w:rsidR="005D0DA4">
        <w:t xml:space="preserve">(Baltz et al. 1986) </w:t>
      </w:r>
      <w:r w:rsidRPr="00D178ED">
        <w:t>and RPMI medium</w:t>
      </w:r>
      <w:r w:rsidR="005D0DA4">
        <w:t xml:space="preserve"> (Moore et al. 1967)</w:t>
      </w:r>
      <w:r w:rsidRPr="00D178ED">
        <w:t xml:space="preserve">, </w:t>
      </w:r>
      <w:r w:rsidRPr="001B7942">
        <w:t>respectively.</w:t>
      </w:r>
      <w:r w:rsidRPr="00D178ED">
        <w:t xml:space="preserve"> Both culture media were supplemented with 16.7% (v/v) heat-inactivated foetal calf serum. All cultures were maintained in a humidified atmosphere containing 5% CO</w:t>
      </w:r>
      <w:r w:rsidRPr="00D178ED">
        <w:rPr>
          <w:vertAlign w:val="subscript"/>
        </w:rPr>
        <w:t>2</w:t>
      </w:r>
      <w:r w:rsidRPr="00D178ED">
        <w:t xml:space="preserve"> at 37°C.</w:t>
      </w:r>
    </w:p>
    <w:p w:rsidR="005D0DA4" w:rsidRDefault="005D0DA4" w:rsidP="00AB5F90">
      <w:pPr>
        <w:spacing w:line="480" w:lineRule="exact"/>
        <w:jc w:val="both"/>
      </w:pPr>
    </w:p>
    <w:p w:rsidR="00AB5F90" w:rsidRPr="00F600A8" w:rsidRDefault="00AB5F90" w:rsidP="00D178ED">
      <w:pPr>
        <w:spacing w:line="480" w:lineRule="exact"/>
        <w:jc w:val="both"/>
        <w:rPr>
          <w:b/>
        </w:rPr>
      </w:pPr>
      <w:r w:rsidRPr="00F600A8">
        <w:rPr>
          <w:b/>
        </w:rPr>
        <w:t>Toxicity assays</w:t>
      </w:r>
    </w:p>
    <w:p w:rsidR="00D178ED" w:rsidRDefault="00D178ED" w:rsidP="00D178ED">
      <w:pPr>
        <w:spacing w:line="480" w:lineRule="exact"/>
        <w:jc w:val="both"/>
      </w:pPr>
    </w:p>
    <w:p w:rsidR="00AB5F90" w:rsidRPr="00D178ED" w:rsidRDefault="00D979F1" w:rsidP="00F600A8">
      <w:pPr>
        <w:spacing w:line="480" w:lineRule="exact"/>
        <w:jc w:val="both"/>
      </w:pPr>
      <w:r>
        <w:lastRenderedPageBreak/>
        <w:t>Toxicity assays were carried out as previously described (Merschjohann et al. 2001). In brief, c</w:t>
      </w:r>
      <w:r w:rsidR="00AB5F90" w:rsidRPr="00D178ED">
        <w:t>ells (trypanosomes and HL-60 cells) were seeded in 96-well</w:t>
      </w:r>
      <w:r w:rsidR="0099539D" w:rsidRPr="00D178ED">
        <w:t xml:space="preserve"> plates in a final volume of 200 μl of the appropriate medium containing various concentration of </w:t>
      </w:r>
      <w:r w:rsidR="00924309" w:rsidRPr="00D178ED">
        <w:t>hydroxy</w:t>
      </w:r>
      <w:r w:rsidR="0099539D" w:rsidRPr="00D178ED">
        <w:t>cinnamate derivatives (tenfold dilution from 100 μg/ml to 1 ng/ml) and 1% DMSO. Wells just containing medium and 1% DMSO served as controls. The initial cell densities were 1 × 10</w:t>
      </w:r>
      <w:r w:rsidR="0099539D" w:rsidRPr="00D178ED">
        <w:rPr>
          <w:vertAlign w:val="superscript"/>
        </w:rPr>
        <w:t>4</w:t>
      </w:r>
      <w:r w:rsidR="0099539D" w:rsidRPr="00D178ED">
        <w:t>/ml for trypanosomes and 1 × 10</w:t>
      </w:r>
      <w:r w:rsidR="0099539D" w:rsidRPr="00D178ED">
        <w:rPr>
          <w:vertAlign w:val="superscript"/>
        </w:rPr>
        <w:t>5</w:t>
      </w:r>
      <w:r w:rsidR="0099539D" w:rsidRPr="00D178ED">
        <w:t>/ml for HL-60 cells. After 24 h incubation, 20 µl of a 111 μg/ml resazurin solution prepared in PBS was added and the cells were incubated</w:t>
      </w:r>
      <w:r w:rsidR="00924309" w:rsidRPr="00D178ED">
        <w:t xml:space="preserve"> for a further 48 h</w:t>
      </w:r>
      <w:r w:rsidR="0099539D" w:rsidRPr="00D178ED">
        <w:t>. Thereafter, the plates were read on a microplate reader using a test wavelength of 570 nm and a reference wavelength of 630 nm. The 50% growth inhibition (GI</w:t>
      </w:r>
      <w:r w:rsidR="0099539D" w:rsidRPr="00D178ED">
        <w:rPr>
          <w:vertAlign w:val="subscript"/>
        </w:rPr>
        <w:t>50</w:t>
      </w:r>
      <w:r w:rsidR="0099539D" w:rsidRPr="00D178ED">
        <w:t>) value, i.e., the concentration of a compound necessary to reduce the growth rate of cells by 50% compared to the control was determi</w:t>
      </w:r>
      <w:r w:rsidR="005118E3" w:rsidRPr="00D178ED">
        <w:t xml:space="preserve">ned by linear </w:t>
      </w:r>
      <w:r w:rsidR="005118E3" w:rsidRPr="001B7942">
        <w:t>interpolation</w:t>
      </w:r>
      <w:r w:rsidR="00D178ED" w:rsidRPr="001B7942">
        <w:t xml:space="preserve"> (</w:t>
      </w:r>
      <w:r w:rsidR="005157B7" w:rsidRPr="001B7942">
        <w:t>Huber and Koella</w:t>
      </w:r>
      <w:r w:rsidR="00D178ED" w:rsidRPr="001B7942">
        <w:t xml:space="preserve"> 1993)</w:t>
      </w:r>
      <w:r w:rsidR="0099539D" w:rsidRPr="001B7942">
        <w:t>.</w:t>
      </w:r>
      <w:r w:rsidR="0099539D" w:rsidRPr="00D178ED">
        <w:t xml:space="preserve"> The minimum inhibitory concentration (MIC) values, i.e. the concentration of the drug at which all trypanosome and human cells were killed, was determined microscopically.</w:t>
      </w:r>
    </w:p>
    <w:p w:rsidR="00AB5F90" w:rsidRDefault="00AB5F90" w:rsidP="00AB5F90">
      <w:pPr>
        <w:spacing w:line="480" w:lineRule="exact"/>
        <w:jc w:val="both"/>
      </w:pPr>
    </w:p>
    <w:p w:rsidR="00BF26AF" w:rsidRPr="00F600A8" w:rsidRDefault="00956AB8" w:rsidP="00D178ED">
      <w:pPr>
        <w:spacing w:line="480" w:lineRule="exact"/>
        <w:jc w:val="both"/>
        <w:rPr>
          <w:b/>
        </w:rPr>
      </w:pPr>
      <w:r w:rsidRPr="00F600A8">
        <w:rPr>
          <w:b/>
        </w:rPr>
        <w:t>Determination of IC</w:t>
      </w:r>
      <w:r w:rsidRPr="00F600A8">
        <w:rPr>
          <w:b/>
          <w:vertAlign w:val="subscript"/>
        </w:rPr>
        <w:t>50</w:t>
      </w:r>
    </w:p>
    <w:p w:rsidR="00D178ED" w:rsidRDefault="00D178ED" w:rsidP="00D178ED">
      <w:pPr>
        <w:spacing w:line="480" w:lineRule="exact"/>
        <w:jc w:val="both"/>
      </w:pPr>
    </w:p>
    <w:p w:rsidR="00BF26AF" w:rsidRPr="00D178ED" w:rsidRDefault="00956AB8" w:rsidP="00F600A8">
      <w:pPr>
        <w:spacing w:line="480" w:lineRule="exact"/>
        <w:jc w:val="both"/>
      </w:pPr>
      <w:r w:rsidRPr="00D178ED">
        <w:t xml:space="preserve">For determination of </w:t>
      </w:r>
      <w:r w:rsidR="00437DD5" w:rsidRPr="00D178ED">
        <w:t xml:space="preserve">the </w:t>
      </w:r>
      <w:r w:rsidRPr="00D178ED">
        <w:t>half maximal inhibitory concentration (IC</w:t>
      </w:r>
      <w:r w:rsidRPr="00D178ED">
        <w:rPr>
          <w:vertAlign w:val="subscript"/>
        </w:rPr>
        <w:t>50</w:t>
      </w:r>
      <w:r w:rsidRPr="00D178ED">
        <w:t>)</w:t>
      </w:r>
      <w:r w:rsidR="00437DD5" w:rsidRPr="00D178ED">
        <w:t>,</w:t>
      </w:r>
      <w:r w:rsidR="00BF26AF" w:rsidRPr="00D178ED">
        <w:t xml:space="preserve"> </w:t>
      </w:r>
      <w:r w:rsidR="00ED3DAD">
        <w:t xml:space="preserve">purified </w:t>
      </w:r>
      <w:r w:rsidR="00BF26AF" w:rsidRPr="00D178ED">
        <w:rPr>
          <w:i/>
        </w:rPr>
        <w:t>Tb</w:t>
      </w:r>
      <w:r w:rsidR="00BF26AF" w:rsidRPr="00D178ED">
        <w:t xml:space="preserve">CATL </w:t>
      </w:r>
      <w:r w:rsidR="009C0C0B" w:rsidRPr="00D178ED">
        <w:t>and hCATL</w:t>
      </w:r>
      <w:r w:rsidR="004B2DBE" w:rsidRPr="00D178ED">
        <w:t xml:space="preserve"> </w:t>
      </w:r>
      <w:r w:rsidRPr="00D178ED">
        <w:t>were assayed with 5 μM of the fluorogenic substrate Z-FR-AMC in measuring buffer (100 mM citrate, pH 5.0, 2 mM DTT) containing different concentration of isopentyl caffeate (twofold dilutions from 40 μg/ml to 1.25 μg/ml) and 1</w:t>
      </w:r>
      <w:r w:rsidR="00BD0994" w:rsidRPr="00D178ED">
        <w:t>.5</w:t>
      </w:r>
      <w:r w:rsidRPr="00D178ED">
        <w:t xml:space="preserve">% DMSO. </w:t>
      </w:r>
      <w:r w:rsidR="00BF26AF" w:rsidRPr="00D178ED">
        <w:t xml:space="preserve">Controls contained </w:t>
      </w:r>
      <w:r w:rsidRPr="00D178ED">
        <w:t>1</w:t>
      </w:r>
      <w:r w:rsidR="00BD0994" w:rsidRPr="00D178ED">
        <w:t>.5</w:t>
      </w:r>
      <w:r w:rsidRPr="00D178ED">
        <w:t xml:space="preserve">% </w:t>
      </w:r>
      <w:r w:rsidR="00BF26AF" w:rsidRPr="00D178ED">
        <w:t xml:space="preserve">DMSO alone. </w:t>
      </w:r>
      <w:r w:rsidR="00483028" w:rsidRPr="00D178ED">
        <w:t xml:space="preserve">The final enzyme concentrations in the assays were 34 ng/ml for </w:t>
      </w:r>
      <w:r w:rsidR="00483028" w:rsidRPr="00D178ED">
        <w:rPr>
          <w:i/>
        </w:rPr>
        <w:t>Tb</w:t>
      </w:r>
      <w:r w:rsidR="00483028" w:rsidRPr="00D178ED">
        <w:t xml:space="preserve">CATL and 18 ng/ml for hCATL. </w:t>
      </w:r>
      <w:r w:rsidR="00FD6253" w:rsidRPr="00D178ED">
        <w:t>After 10 min</w:t>
      </w:r>
      <w:r w:rsidR="00BF26AF" w:rsidRPr="00D178ED">
        <w:t xml:space="preserve"> incubation at ro</w:t>
      </w:r>
      <w:r w:rsidR="00B36D02" w:rsidRPr="00D178ED">
        <w:t>om temperature, the reaction was stopped by adding the alkylating agent iodoacetic acid to a final concentration of 5 mM. Release of free 7-amino-4-methylcoumarin (AMC) was measured at excitation and emission wavelengths of 360 nm and 460 nm in a BIORAD</w:t>
      </w:r>
      <w:r w:rsidRPr="00D178ED">
        <w:t xml:space="preserve"> VersaFluor fluorometer. </w:t>
      </w:r>
      <w:r w:rsidR="00B36D02" w:rsidRPr="00D178ED">
        <w:t>IC</w:t>
      </w:r>
      <w:r w:rsidR="00B36D02" w:rsidRPr="00D178ED">
        <w:rPr>
          <w:vertAlign w:val="subscript"/>
        </w:rPr>
        <w:t>50</w:t>
      </w:r>
      <w:r w:rsidR="00B36D02" w:rsidRPr="00D178ED">
        <w:t xml:space="preserve"> </w:t>
      </w:r>
      <w:r w:rsidRPr="00D178ED">
        <w:t>values were</w:t>
      </w:r>
      <w:r w:rsidR="00B36D02" w:rsidRPr="00D178ED">
        <w:t xml:space="preserve"> determined by linear </w:t>
      </w:r>
      <w:r w:rsidR="00B36D02" w:rsidRPr="001B7942">
        <w:t>interpolation</w:t>
      </w:r>
      <w:r w:rsidR="00F600A8">
        <w:t xml:space="preserve"> (Huber and Koella</w:t>
      </w:r>
      <w:r w:rsidR="00D178ED" w:rsidRPr="001B7942">
        <w:t xml:space="preserve"> 1993)</w:t>
      </w:r>
      <w:r w:rsidR="00B36D02" w:rsidRPr="001B7942">
        <w:t>.</w:t>
      </w:r>
    </w:p>
    <w:p w:rsidR="00BF26AF" w:rsidRDefault="00BF26AF" w:rsidP="00AB5F90">
      <w:pPr>
        <w:spacing w:line="480" w:lineRule="exact"/>
        <w:jc w:val="both"/>
      </w:pPr>
    </w:p>
    <w:p w:rsidR="00642EFE" w:rsidRPr="00F600A8" w:rsidRDefault="00642EFE" w:rsidP="00D178ED">
      <w:pPr>
        <w:spacing w:line="480" w:lineRule="exact"/>
        <w:jc w:val="both"/>
        <w:rPr>
          <w:b/>
        </w:rPr>
      </w:pPr>
      <w:r w:rsidRPr="00F600A8">
        <w:rPr>
          <w:b/>
        </w:rPr>
        <w:t xml:space="preserve">Determination </w:t>
      </w:r>
      <w:r w:rsidR="0013039A" w:rsidRPr="00F600A8">
        <w:rPr>
          <w:b/>
        </w:rPr>
        <w:t>of inhibitor type</w:t>
      </w:r>
      <w:r w:rsidRPr="00F600A8">
        <w:rPr>
          <w:b/>
        </w:rPr>
        <w:t xml:space="preserve"> and K</w:t>
      </w:r>
      <w:r w:rsidRPr="00F600A8">
        <w:rPr>
          <w:b/>
          <w:vertAlign w:val="subscript"/>
        </w:rPr>
        <w:t>i</w:t>
      </w:r>
    </w:p>
    <w:p w:rsidR="00D178ED" w:rsidRDefault="00D178ED" w:rsidP="00AB5F90">
      <w:pPr>
        <w:spacing w:line="480" w:lineRule="exact"/>
        <w:jc w:val="both"/>
      </w:pPr>
    </w:p>
    <w:p w:rsidR="00642EFE" w:rsidRPr="00D178ED" w:rsidRDefault="0013039A" w:rsidP="00F600A8">
      <w:pPr>
        <w:spacing w:line="480" w:lineRule="exact"/>
        <w:jc w:val="both"/>
      </w:pPr>
      <w:r w:rsidRPr="00D178ED">
        <w:lastRenderedPageBreak/>
        <w:t xml:space="preserve">The inhibitor type of isopentyl caffeate was determined </w:t>
      </w:r>
      <w:r w:rsidR="00ED3DAD">
        <w:t>by kinetic analysis. Purified</w:t>
      </w:r>
      <w:r w:rsidRPr="00D178ED">
        <w:t xml:space="preserve"> </w:t>
      </w:r>
      <w:r w:rsidRPr="00D178ED">
        <w:rPr>
          <w:i/>
        </w:rPr>
        <w:t>Tb</w:t>
      </w:r>
      <w:r w:rsidRPr="00D178ED">
        <w:t xml:space="preserve">CATL was incubated with varying concentrations of Z-FR-AMC </w:t>
      </w:r>
      <w:r w:rsidR="00BD0994" w:rsidRPr="00D178ED">
        <w:t xml:space="preserve">(0.25, 0.5 and 1 μM) </w:t>
      </w:r>
      <w:r w:rsidRPr="00D178ED">
        <w:t xml:space="preserve">and isopentyl caffeate </w:t>
      </w:r>
      <w:r w:rsidR="00BD0994" w:rsidRPr="00D178ED">
        <w:t>(</w:t>
      </w:r>
      <w:r w:rsidR="007B35F6" w:rsidRPr="00D178ED">
        <w:t>0, 10, 20 and 30 μg/ml</w:t>
      </w:r>
      <w:r w:rsidR="00BD0994" w:rsidRPr="00D178ED">
        <w:t xml:space="preserve">) </w:t>
      </w:r>
      <w:r w:rsidRPr="00D178ED">
        <w:t xml:space="preserve">in measuring buffer containing </w:t>
      </w:r>
      <w:r w:rsidR="00BD0994" w:rsidRPr="00D178ED">
        <w:t>2% DMSO</w:t>
      </w:r>
      <w:r w:rsidR="007B35F6" w:rsidRPr="00D178ED">
        <w:t xml:space="preserve">. </w:t>
      </w:r>
      <w:r w:rsidR="00483028" w:rsidRPr="00D178ED">
        <w:t xml:space="preserve">The final concentration of </w:t>
      </w:r>
      <w:r w:rsidR="00483028" w:rsidRPr="00D178ED">
        <w:rPr>
          <w:i/>
        </w:rPr>
        <w:t>Tb</w:t>
      </w:r>
      <w:r w:rsidR="00483028" w:rsidRPr="00D178ED">
        <w:t xml:space="preserve">CATL in the assay was 34 ng/ml. </w:t>
      </w:r>
      <w:r w:rsidR="007B35F6" w:rsidRPr="00D178ED">
        <w:t xml:space="preserve">The release of </w:t>
      </w:r>
      <w:r w:rsidR="00437DD5" w:rsidRPr="00D178ED">
        <w:t xml:space="preserve">free </w:t>
      </w:r>
      <w:r w:rsidR="007B35F6" w:rsidRPr="00D178ED">
        <w:t xml:space="preserve">AMC was recorded as described above every 30 s for 5 min. The velocity of the reaction </w:t>
      </w:r>
      <w:r w:rsidR="0020736E" w:rsidRPr="00D178ED">
        <w:t>(</w:t>
      </w:r>
      <w:r w:rsidR="00616A08" w:rsidRPr="00D178ED">
        <w:t>relative fluorescence units (</w:t>
      </w:r>
      <w:r w:rsidR="0020736E" w:rsidRPr="00D178ED">
        <w:t>RFU</w:t>
      </w:r>
      <w:r w:rsidR="00616A08" w:rsidRPr="00D178ED">
        <w:t>)</w:t>
      </w:r>
      <w:r w:rsidR="0020736E" w:rsidRPr="00D178ED">
        <w:t xml:space="preserve">/min) </w:t>
      </w:r>
      <w:r w:rsidR="007B35F6" w:rsidRPr="00D178ED">
        <w:t>was calculated by linear interpolation of the data. The inhibitor type and the K</w:t>
      </w:r>
      <w:r w:rsidR="007B35F6" w:rsidRPr="00D178ED">
        <w:rPr>
          <w:vertAlign w:val="subscript"/>
        </w:rPr>
        <w:t>i</w:t>
      </w:r>
      <w:r w:rsidR="007B35F6" w:rsidRPr="00D178ED">
        <w:t xml:space="preserve"> value were graphically determined by Lineweaver-Burk plot and Dixon plot, respectively.</w:t>
      </w:r>
    </w:p>
    <w:p w:rsidR="00642EFE" w:rsidRDefault="00642EFE" w:rsidP="00AB5F90">
      <w:pPr>
        <w:spacing w:line="480" w:lineRule="exact"/>
        <w:jc w:val="both"/>
      </w:pPr>
    </w:p>
    <w:p w:rsidR="00C83F4B" w:rsidRPr="00F600A8" w:rsidRDefault="003D1F7F" w:rsidP="00C83F4B">
      <w:pPr>
        <w:spacing w:after="120" w:line="480" w:lineRule="exact"/>
        <w:jc w:val="both"/>
        <w:rPr>
          <w:b/>
        </w:rPr>
      </w:pPr>
      <w:r w:rsidRPr="00F600A8">
        <w:rPr>
          <w:b/>
        </w:rPr>
        <w:t>Flow cytometry</w:t>
      </w:r>
    </w:p>
    <w:p w:rsidR="00D178ED" w:rsidRDefault="00D178ED" w:rsidP="003D1F7F">
      <w:pPr>
        <w:spacing w:line="480" w:lineRule="exact"/>
        <w:jc w:val="both"/>
      </w:pPr>
    </w:p>
    <w:p w:rsidR="003D1F7F" w:rsidRPr="00D178ED" w:rsidRDefault="003D1F7F" w:rsidP="00F600A8">
      <w:pPr>
        <w:spacing w:line="480" w:lineRule="exact"/>
        <w:jc w:val="both"/>
      </w:pPr>
      <w:r w:rsidRPr="00D178ED">
        <w:t xml:space="preserve">Bloodstream forms of </w:t>
      </w:r>
      <w:r w:rsidRPr="00D178ED">
        <w:rPr>
          <w:i/>
        </w:rPr>
        <w:t>T. brucei</w:t>
      </w:r>
      <w:r w:rsidRPr="00D178ED">
        <w:t xml:space="preserve"> (1</w:t>
      </w:r>
      <w:r w:rsidR="00872B1E" w:rsidRPr="00D178ED">
        <w:t>.5</w:t>
      </w:r>
      <w:r w:rsidRPr="00D178ED">
        <w:t xml:space="preserve"> </w:t>
      </w:r>
      <w:r w:rsidRPr="00D178ED">
        <w:sym w:font="Symbol" w:char="F0B4"/>
      </w:r>
      <w:r w:rsidRPr="00D178ED">
        <w:t xml:space="preserve"> 10</w:t>
      </w:r>
      <w:r w:rsidRPr="00D178ED">
        <w:rPr>
          <w:vertAlign w:val="superscript"/>
        </w:rPr>
        <w:t>7</w:t>
      </w:r>
      <w:r w:rsidRPr="00D178ED">
        <w:t>/ml) were incubated with 50 μg/ml fluorescein-labelled bovine transferrin in Baltz medium supplemented with 2% BSA and 100 μM isopentyl caffeate in the presence of 1% DMSO. Control cultures were treated with 1% DMSO alone (negative control) or with 100 μM Z-FA-DMK (positive control). After 2 h inc</w:t>
      </w:r>
      <w:r w:rsidR="00872B1E" w:rsidRPr="00D178ED">
        <w:t>ubation, cells were washed three times</w:t>
      </w:r>
      <w:r w:rsidRPr="00D178ED">
        <w:t xml:space="preserve"> with PBS/1% glucose, fixed with 2% formaldehyde/0.05% glutaraldehyde in PBS and flu</w:t>
      </w:r>
      <w:r w:rsidR="00AA6F00" w:rsidRPr="00D178ED">
        <w:t>orescence was quantified with a CyFlow® Cube 6</w:t>
      </w:r>
      <w:r w:rsidR="00D178ED">
        <w:t xml:space="preserve"> flow cytometer.</w:t>
      </w:r>
      <w:r w:rsidRPr="00D178ED">
        <w:t xml:space="preserve"> Gates were set to exclude cell fragments and debris from the analysis, and 100,000 gated cells were analysed.</w:t>
      </w:r>
    </w:p>
    <w:p w:rsidR="00C83F4B" w:rsidRDefault="00C83F4B" w:rsidP="00AB5F90">
      <w:pPr>
        <w:spacing w:line="480" w:lineRule="exact"/>
        <w:jc w:val="both"/>
      </w:pPr>
    </w:p>
    <w:p w:rsidR="00D600F4" w:rsidRPr="00D178ED" w:rsidRDefault="00D600F4" w:rsidP="00AB5F90">
      <w:pPr>
        <w:spacing w:line="480" w:lineRule="exact"/>
        <w:jc w:val="both"/>
      </w:pPr>
    </w:p>
    <w:p w:rsidR="00C83F4B" w:rsidRPr="00F600A8" w:rsidRDefault="007C73E8" w:rsidP="007C73E8">
      <w:pPr>
        <w:spacing w:after="120" w:line="480" w:lineRule="exact"/>
        <w:jc w:val="both"/>
        <w:rPr>
          <w:b/>
          <w:sz w:val="28"/>
          <w:szCs w:val="28"/>
        </w:rPr>
      </w:pPr>
      <w:r w:rsidRPr="00F600A8">
        <w:rPr>
          <w:b/>
          <w:sz w:val="28"/>
          <w:szCs w:val="28"/>
        </w:rPr>
        <w:t>Results</w:t>
      </w:r>
      <w:r w:rsidR="00933A22">
        <w:rPr>
          <w:b/>
          <w:sz w:val="28"/>
          <w:szCs w:val="28"/>
        </w:rPr>
        <w:t xml:space="preserve"> and discussion</w:t>
      </w:r>
    </w:p>
    <w:p w:rsidR="00D600F4" w:rsidRDefault="00D600F4" w:rsidP="00AB5F90">
      <w:pPr>
        <w:spacing w:line="480" w:lineRule="exact"/>
        <w:jc w:val="both"/>
      </w:pPr>
    </w:p>
    <w:p w:rsidR="000722F6" w:rsidRDefault="00933A22" w:rsidP="000722F6">
      <w:pPr>
        <w:spacing w:line="480" w:lineRule="exact"/>
        <w:jc w:val="both"/>
      </w:pPr>
      <w:r>
        <w:t>First we evaluated the trypanocidal and cytoto</w:t>
      </w:r>
      <w:r w:rsidR="00CB4391">
        <w:t>xic activity of isopentyl caffea</w:t>
      </w:r>
      <w:r>
        <w:t>te (</w:t>
      </w:r>
      <w:r w:rsidR="00B61BEE">
        <w:t>3,4-dihydroxycinnamic acid isopentyl ester</w:t>
      </w:r>
      <w:r w:rsidR="002E76CF">
        <w:t xml:space="preserve">, </w:t>
      </w:r>
      <w:r>
        <w:t xml:space="preserve">Fig 1). The ester </w:t>
      </w:r>
      <w:r w:rsidRPr="00C654EE">
        <w:t xml:space="preserve">showed a dose-dependent </w:t>
      </w:r>
      <w:r>
        <w:t xml:space="preserve">inhibitory </w:t>
      </w:r>
      <w:r w:rsidRPr="00C654EE">
        <w:t xml:space="preserve">effect on the growth of </w:t>
      </w:r>
      <w:r w:rsidRPr="00C654EE">
        <w:rPr>
          <w:i/>
        </w:rPr>
        <w:t>T. brucei</w:t>
      </w:r>
      <w:r w:rsidRPr="00C654EE">
        <w:t xml:space="preserve"> bloodstream forms </w:t>
      </w:r>
      <w:r>
        <w:t xml:space="preserve">in cell culture </w:t>
      </w:r>
      <w:r w:rsidRPr="00C654EE">
        <w:t xml:space="preserve">with a </w:t>
      </w:r>
      <w:r>
        <w:t xml:space="preserve">MIC value of 1 </w:t>
      </w:r>
      <w:r w:rsidRPr="00D600F4">
        <w:t>μg/ml</w:t>
      </w:r>
      <w:r>
        <w:t xml:space="preserve"> (4 μM) and a</w:t>
      </w:r>
      <w:r w:rsidRPr="00C654EE">
        <w:t xml:space="preserve"> GI</w:t>
      </w:r>
      <w:r w:rsidRPr="00C654EE">
        <w:rPr>
          <w:vertAlign w:val="subscript"/>
        </w:rPr>
        <w:t>50</w:t>
      </w:r>
      <w:r>
        <w:t xml:space="preserve"> value of 0.31 </w:t>
      </w:r>
      <w:r w:rsidRPr="00D600F4">
        <w:t>μg/ml</w:t>
      </w:r>
      <w:r>
        <w:t xml:space="preserve"> (1.24 μM) (Fig. 2). This finding confirms previous observation that caffeic acid esters display antitrypanosomal activities</w:t>
      </w:r>
      <w:r w:rsidR="002E76CF">
        <w:t>, although their efficacy was shown to be dependent on the nature of the ester side chain (Otoguro et al.</w:t>
      </w:r>
      <w:r w:rsidR="002E76CF" w:rsidRPr="001B7942">
        <w:t xml:space="preserve"> </w:t>
      </w:r>
      <w:r w:rsidR="002E76CF" w:rsidRPr="001B7942">
        <w:lastRenderedPageBreak/>
        <w:t>2012)</w:t>
      </w:r>
      <w:r w:rsidR="002E76CF">
        <w:t xml:space="preserve">. </w:t>
      </w:r>
      <w:r w:rsidR="000A1F64">
        <w:t xml:space="preserve">However, </w:t>
      </w:r>
      <w:r w:rsidR="000A1F64" w:rsidRPr="003445E8">
        <w:t>esterifi</w:t>
      </w:r>
      <w:r w:rsidR="000A1F64">
        <w:t xml:space="preserve">cation is essential for activity, as the </w:t>
      </w:r>
      <w:r w:rsidR="000A1F64" w:rsidRPr="00D600F4">
        <w:t>unesterified paren</w:t>
      </w:r>
      <w:r w:rsidR="000A1F64">
        <w:t>t compound, caffeic acid (3,4-dihydroxy</w:t>
      </w:r>
      <w:r w:rsidR="000A1F64" w:rsidRPr="00C134DA">
        <w:t>cinnamic acid</w:t>
      </w:r>
      <w:r w:rsidR="000A1F64">
        <w:t>, Fig 1),</w:t>
      </w:r>
      <w:r w:rsidR="000722F6">
        <w:t xml:space="preserve"> </w:t>
      </w:r>
      <w:r w:rsidR="000722F6" w:rsidRPr="00D600F4">
        <w:t xml:space="preserve">was </w:t>
      </w:r>
      <w:r w:rsidR="000722F6">
        <w:t>100 to 3</w:t>
      </w:r>
      <w:r w:rsidR="000722F6" w:rsidRPr="00D600F4">
        <w:t>50-fold less trypanocidal</w:t>
      </w:r>
      <w:r w:rsidR="000722F6">
        <w:t xml:space="preserve"> with a MIC value of 100 </w:t>
      </w:r>
      <w:r w:rsidR="000722F6" w:rsidRPr="00D600F4">
        <w:t>μg/ml</w:t>
      </w:r>
      <w:r w:rsidR="000722F6">
        <w:t xml:space="preserve"> (555 μM) and a GI</w:t>
      </w:r>
      <w:r w:rsidR="000722F6" w:rsidRPr="00C654EE">
        <w:rPr>
          <w:vertAlign w:val="subscript"/>
        </w:rPr>
        <w:t>50</w:t>
      </w:r>
      <w:r w:rsidR="000722F6">
        <w:t xml:space="preserve"> value of 79 </w:t>
      </w:r>
      <w:r w:rsidR="000722F6" w:rsidRPr="00D600F4">
        <w:t>μg/ml</w:t>
      </w:r>
      <w:r w:rsidR="000722F6">
        <w:t xml:space="preserve"> (438 μM) (Fig. 2). Similarly, ethyl ferulate (3-methoxy-4-hydroxycinnamic acid </w:t>
      </w:r>
      <w:r w:rsidR="00B61BEE">
        <w:t xml:space="preserve">ethyl </w:t>
      </w:r>
      <w:r w:rsidR="000722F6">
        <w:t xml:space="preserve">ester, Fig. 1), a related compound in which one hydroxyl group of the aromatic ring is replaced by a methyl ether, showed also substantially reduced trypanocidal activity (MIC = 100 </w:t>
      </w:r>
      <w:r w:rsidR="000722F6" w:rsidRPr="00D600F4">
        <w:t>μg/ml</w:t>
      </w:r>
      <w:r w:rsidR="000722F6">
        <w:t xml:space="preserve"> (450 μM); GI</w:t>
      </w:r>
      <w:r w:rsidR="000722F6" w:rsidRPr="00C654EE">
        <w:rPr>
          <w:vertAlign w:val="subscript"/>
        </w:rPr>
        <w:t>50</w:t>
      </w:r>
      <w:r w:rsidR="000722F6">
        <w:t xml:space="preserve"> = 24.5 </w:t>
      </w:r>
      <w:r w:rsidR="000722F6" w:rsidRPr="00D600F4">
        <w:t>μg/ml</w:t>
      </w:r>
      <w:r w:rsidR="000722F6">
        <w:t xml:space="preserve"> (110 μM)) (Fig. 2). </w:t>
      </w:r>
      <w:r w:rsidR="000722F6" w:rsidRPr="003445E8">
        <w:t xml:space="preserve">This observation indicates that the presence of two hydrogen-bond </w:t>
      </w:r>
      <w:r w:rsidR="000722F6">
        <w:t>donors in the aromatic moiety</w:t>
      </w:r>
      <w:r w:rsidR="000722F6" w:rsidRPr="003445E8">
        <w:t xml:space="preserve"> are crucial for the trypanocidal activity of hydroxycinnamic acid ester derivatives.</w:t>
      </w:r>
      <w:r w:rsidR="000722F6">
        <w:t xml:space="preserve"> The cytotoxicity of isopentyl caffeate towards human HL-60 cells was found to be low with a MIC value of 100 </w:t>
      </w:r>
      <w:r w:rsidR="000722F6" w:rsidRPr="00D600F4">
        <w:t>μg/ml</w:t>
      </w:r>
      <w:r w:rsidR="000722F6">
        <w:t xml:space="preserve"> (400 μM) and a GI</w:t>
      </w:r>
      <w:r w:rsidR="000722F6" w:rsidRPr="00F23DC8">
        <w:rPr>
          <w:vertAlign w:val="subscript"/>
        </w:rPr>
        <w:t>50</w:t>
      </w:r>
      <w:r w:rsidR="000722F6">
        <w:t xml:space="preserve"> value of 44 </w:t>
      </w:r>
      <w:r w:rsidR="000722F6" w:rsidRPr="00D600F4">
        <w:t>μg/ml</w:t>
      </w:r>
      <w:r w:rsidR="000722F6">
        <w:t xml:space="preserve"> (176 μM) (Fig. 2).</w:t>
      </w:r>
      <w:r w:rsidR="00252DCC">
        <w:t xml:space="preserve"> Thus, the selectivity (ratio of cytotoxicity to trypanocidal activity) of the ester was promising with a MIC ratio of 100 and a GI</w:t>
      </w:r>
      <w:r w:rsidR="00252DCC" w:rsidRPr="003615DA">
        <w:rPr>
          <w:vertAlign w:val="subscript"/>
        </w:rPr>
        <w:t>50</w:t>
      </w:r>
      <w:r w:rsidR="00252DCC">
        <w:t xml:space="preserve"> ratio of 142.</w:t>
      </w:r>
    </w:p>
    <w:p w:rsidR="00654FDD" w:rsidRDefault="000722F6" w:rsidP="009D6B21">
      <w:pPr>
        <w:spacing w:line="480" w:lineRule="exact"/>
        <w:ind w:firstLine="426"/>
        <w:jc w:val="both"/>
      </w:pPr>
      <w:r>
        <w:t>Next</w:t>
      </w:r>
      <w:r w:rsidR="00252DCC">
        <w:t>,</w:t>
      </w:r>
      <w:r>
        <w:t xml:space="preserve"> we investigated the </w:t>
      </w:r>
      <w:r w:rsidRPr="003615DA">
        <w:t>inhibitory activity of isopentyl caffeate against</w:t>
      </w:r>
      <w:r w:rsidR="009859AE">
        <w:t xml:space="preserve"> purified</w:t>
      </w:r>
      <w:r w:rsidRPr="003615DA">
        <w:t xml:space="preserve"> </w:t>
      </w:r>
      <w:r w:rsidRPr="003615DA">
        <w:rPr>
          <w:i/>
        </w:rPr>
        <w:t>Tb</w:t>
      </w:r>
      <w:r w:rsidRPr="003615DA">
        <w:t>CATL and hCATL</w:t>
      </w:r>
      <w:r>
        <w:t>.</w:t>
      </w:r>
      <w:r w:rsidR="007B6255" w:rsidRPr="003615DA">
        <w:t xml:space="preserve"> </w:t>
      </w:r>
      <w:r w:rsidR="00027E26" w:rsidRPr="003615DA">
        <w:t>The ester inhibited the activ</w:t>
      </w:r>
      <w:r w:rsidR="00B71375" w:rsidRPr="003615DA">
        <w:t>ity of both</w:t>
      </w:r>
      <w:r w:rsidR="00027E26" w:rsidRPr="003615DA">
        <w:t xml:space="preserve"> enzyme</w:t>
      </w:r>
      <w:r w:rsidR="00B71375" w:rsidRPr="003615DA">
        <w:t>s in a</w:t>
      </w:r>
      <w:r w:rsidR="00027E26" w:rsidRPr="003615DA">
        <w:t xml:space="preserve"> </w:t>
      </w:r>
      <w:r w:rsidR="00A50380" w:rsidRPr="003615DA">
        <w:t xml:space="preserve">very </w:t>
      </w:r>
      <w:r w:rsidR="00027E26" w:rsidRPr="003615DA">
        <w:t xml:space="preserve">similar </w:t>
      </w:r>
      <w:r w:rsidR="00B71375" w:rsidRPr="003615DA">
        <w:t xml:space="preserve">dose-dependent </w:t>
      </w:r>
      <w:r w:rsidR="00027E26" w:rsidRPr="003615DA">
        <w:t>manner</w:t>
      </w:r>
      <w:r w:rsidR="003445E8">
        <w:t xml:space="preserve"> (Fig. 3</w:t>
      </w:r>
      <w:r w:rsidR="00B71375" w:rsidRPr="003615DA">
        <w:t>). The calculated</w:t>
      </w:r>
      <w:r w:rsidR="00027E26" w:rsidRPr="003615DA">
        <w:t xml:space="preserve"> IC</w:t>
      </w:r>
      <w:r w:rsidR="00027E26" w:rsidRPr="003615DA">
        <w:rPr>
          <w:vertAlign w:val="subscript"/>
        </w:rPr>
        <w:t>50</w:t>
      </w:r>
      <w:r w:rsidR="00027E26" w:rsidRPr="003615DA">
        <w:t xml:space="preserve"> values </w:t>
      </w:r>
      <w:r w:rsidR="00B71375" w:rsidRPr="003615DA">
        <w:t xml:space="preserve">for the trypanosome and the human enzyme were </w:t>
      </w:r>
      <w:r w:rsidR="00082333" w:rsidRPr="003615DA">
        <w:t>8.5±0.8 μ</w:t>
      </w:r>
      <w:r w:rsidR="00B71375" w:rsidRPr="003615DA">
        <w:t xml:space="preserve">g/ml </w:t>
      </w:r>
      <w:r w:rsidR="00BF0CBC">
        <w:t xml:space="preserve">(34 μM) </w:t>
      </w:r>
      <w:r w:rsidR="00B71375" w:rsidRPr="003615DA">
        <w:t>and 10.4±2.2 μg/ml</w:t>
      </w:r>
      <w:r w:rsidR="00BF0CBC">
        <w:t xml:space="preserve"> (42 μM)</w:t>
      </w:r>
      <w:r w:rsidR="00B71375" w:rsidRPr="003615DA">
        <w:t xml:space="preserve">, respectively, which were </w:t>
      </w:r>
      <w:r w:rsidR="008719EC">
        <w:t xml:space="preserve">not statistically </w:t>
      </w:r>
      <w:r w:rsidR="00B71375" w:rsidRPr="003615DA">
        <w:t>significantl</w:t>
      </w:r>
      <w:r w:rsidR="003615DA">
        <w:t xml:space="preserve">y different </w:t>
      </w:r>
      <w:r w:rsidR="008719EC">
        <w:t xml:space="preserve">from each other </w:t>
      </w:r>
      <w:r w:rsidR="003615DA">
        <w:t xml:space="preserve">(Student’s t test; </w:t>
      </w:r>
      <w:r w:rsidR="00233E23">
        <w:rPr>
          <w:i/>
        </w:rPr>
        <w:t>p</w:t>
      </w:r>
      <w:r w:rsidR="00B71375" w:rsidRPr="003615DA">
        <w:t xml:space="preserve"> = 0.24)</w:t>
      </w:r>
      <w:r w:rsidR="00082333" w:rsidRPr="003615DA">
        <w:t>.</w:t>
      </w:r>
      <w:r w:rsidR="004937C6" w:rsidRPr="003615DA">
        <w:t xml:space="preserve"> </w:t>
      </w:r>
      <w:r>
        <w:t xml:space="preserve">Similar inhibitory concentrations were previously reported for bornyl caffeate for both proteases, </w:t>
      </w:r>
      <w:r w:rsidRPr="00605496">
        <w:t>although the human enzyme was found to be 2.5-fold more sensitive to this ester than the trypanosome enzyme</w:t>
      </w:r>
      <w:r>
        <w:t xml:space="preserve"> </w:t>
      </w:r>
      <w:r w:rsidRPr="001B7942">
        <w:t xml:space="preserve">(Ogungbe </w:t>
      </w:r>
      <w:r>
        <w:t>et al.</w:t>
      </w:r>
      <w:r w:rsidRPr="001B7942">
        <w:t xml:space="preserve"> 2010).</w:t>
      </w:r>
      <w:r w:rsidR="00333176">
        <w:t xml:space="preserve"> </w:t>
      </w:r>
      <w:r w:rsidR="00D70259">
        <w:t>The much higher IC</w:t>
      </w:r>
      <w:r w:rsidR="00D70259" w:rsidRPr="00D70259">
        <w:rPr>
          <w:vertAlign w:val="subscript"/>
        </w:rPr>
        <w:t>50</w:t>
      </w:r>
      <w:r w:rsidR="00D70259">
        <w:t xml:space="preserve"> value of isopentyl caffeate for </w:t>
      </w:r>
      <w:r w:rsidR="00D70259" w:rsidRPr="00D70259">
        <w:rPr>
          <w:i/>
        </w:rPr>
        <w:t>Tb</w:t>
      </w:r>
      <w:r w:rsidR="00D70259">
        <w:t>CATL compared to its GI</w:t>
      </w:r>
      <w:r w:rsidR="00D70259" w:rsidRPr="00D70259">
        <w:rPr>
          <w:vertAlign w:val="subscript"/>
        </w:rPr>
        <w:t>50</w:t>
      </w:r>
      <w:r w:rsidR="00D70259">
        <w:t xml:space="preserve"> value for inhibition of trypanosome growth (8.5 vs 0.31 </w:t>
      </w:r>
      <w:r w:rsidR="00D70259" w:rsidRPr="003445E8">
        <w:t>μg/ml</w:t>
      </w:r>
      <w:r w:rsidR="00D70259">
        <w:t>) suggests that the trypanocidal activity of the ester is most likely due to an off-target effect.</w:t>
      </w:r>
      <w:r w:rsidR="009D6B21">
        <w:t xml:space="preserve"> Alternati</w:t>
      </w:r>
      <w:r w:rsidR="00577FC2">
        <w:t>vely, it is</w:t>
      </w:r>
      <w:r w:rsidR="00752D82">
        <w:t xml:space="preserve"> also possible</w:t>
      </w:r>
      <w:r w:rsidR="002A4158">
        <w:t xml:space="preserve"> that isopentyl caffeate </w:t>
      </w:r>
      <w:r w:rsidR="009F53FD">
        <w:t>is metabolised to a more active</w:t>
      </w:r>
      <w:r w:rsidR="002A4158">
        <w:t xml:space="preserve"> compound within the parasites.</w:t>
      </w:r>
      <w:r w:rsidR="00577FC2">
        <w:t xml:space="preserve"> This</w:t>
      </w:r>
      <w:r w:rsidR="00752D82">
        <w:t xml:space="preserve"> has recently </w:t>
      </w:r>
      <w:r w:rsidR="00233E23">
        <w:t xml:space="preserve">been </w:t>
      </w:r>
      <w:r w:rsidR="009F53FD">
        <w:t>shown for the cysteine protease inhibitor CA-074</w:t>
      </w:r>
      <w:r w:rsidR="004B30E6">
        <w:t>/CA-074Me</w:t>
      </w:r>
      <w:r w:rsidR="009F53FD">
        <w:t xml:space="preserve"> (Steverding et al. 2012a).</w:t>
      </w:r>
    </w:p>
    <w:p w:rsidR="001327FB" w:rsidRDefault="00F76BF7" w:rsidP="00800F0C">
      <w:pPr>
        <w:spacing w:line="480" w:lineRule="exact"/>
        <w:ind w:firstLine="426"/>
        <w:jc w:val="both"/>
      </w:pPr>
      <w:r>
        <w:t>So far, all cysteine protease inhibitors w</w:t>
      </w:r>
      <w:r w:rsidR="00F762A6">
        <w:t>hose trypanocidal activity were shown to be</w:t>
      </w:r>
      <w:r>
        <w:t xml:space="preserve"> the result of inactivation of </w:t>
      </w:r>
      <w:r w:rsidRPr="00F762A6">
        <w:rPr>
          <w:i/>
        </w:rPr>
        <w:t>Tb</w:t>
      </w:r>
      <w:r>
        <w:t>CATL were exclusively irreversible inhibitors (Steverding et al. 2012a).</w:t>
      </w:r>
      <w:r w:rsidR="00F762A6">
        <w:t xml:space="preserve"> Although</w:t>
      </w:r>
      <w:r w:rsidR="00E74E0F">
        <w:t>,</w:t>
      </w:r>
      <w:r w:rsidR="00F762A6">
        <w:t xml:space="preserve"> b</w:t>
      </w:r>
      <w:r w:rsidR="00FD4A2A" w:rsidRPr="008C219F">
        <w:t xml:space="preserve">ased on molecular docking analysis with bornyl caffeate in </w:t>
      </w:r>
      <w:r w:rsidR="00FD4A2A" w:rsidRPr="008C219F">
        <w:rPr>
          <w:i/>
        </w:rPr>
        <w:t>Tb</w:t>
      </w:r>
      <w:r w:rsidR="00FD4A2A" w:rsidRPr="008C219F">
        <w:t xml:space="preserve">CATL and hCATL, it was previously suggested that caffeic esters may bind to the active site of the </w:t>
      </w:r>
      <w:r w:rsidR="00FD4A2A" w:rsidRPr="008C219F">
        <w:lastRenderedPageBreak/>
        <w:t>proteases</w:t>
      </w:r>
      <w:r w:rsidR="00FD4A2A">
        <w:t xml:space="preserve"> </w:t>
      </w:r>
      <w:r w:rsidR="00E74E0F">
        <w:t xml:space="preserve">(Ogungbe et al., 2010), </w:t>
      </w:r>
      <w:r w:rsidR="00233E23">
        <w:t>the mechanism of inhibition has</w:t>
      </w:r>
      <w:r w:rsidR="00E74E0F">
        <w:t xml:space="preserve"> not been experimentally determined.</w:t>
      </w:r>
      <w:r w:rsidR="00FD4A2A">
        <w:t xml:space="preserve"> </w:t>
      </w:r>
      <w:r w:rsidR="00E74E0F">
        <w:t xml:space="preserve">In addition, </w:t>
      </w:r>
      <w:r w:rsidR="00E74E0F" w:rsidRPr="008C219F">
        <w:t>acrylic acid esters (note that caffeic acid is 3,4-dihydroxybenzeneacrylic acid) have so far not been described as irreversible inhibitors of cysteine proteases</w:t>
      </w:r>
      <w:r w:rsidR="00E74E0F">
        <w:t xml:space="preserve"> </w:t>
      </w:r>
      <w:r w:rsidR="00E74E0F" w:rsidRPr="001B7942">
        <w:t>(Otto and Schirmeister, 1997; Lecaille et al., 2002; Steverding et al., 2006).</w:t>
      </w:r>
      <w:r w:rsidR="00800F0C">
        <w:t xml:space="preserve"> In fact, p</w:t>
      </w:r>
      <w:r w:rsidR="00E74E0F">
        <w:t xml:space="preserve">reliminary inhibition studies indicated that isopentyl caffeate is a reversible inhibitor of </w:t>
      </w:r>
      <w:r w:rsidR="00E74E0F" w:rsidRPr="00E74E0F">
        <w:rPr>
          <w:i/>
        </w:rPr>
        <w:t>Tb</w:t>
      </w:r>
      <w:r w:rsidR="00E74E0F">
        <w:t xml:space="preserve">CATL (data not shown). </w:t>
      </w:r>
      <w:r w:rsidR="009023AA" w:rsidRPr="00C716D5">
        <w:t>To establish the inhibitor</w:t>
      </w:r>
      <w:r w:rsidR="00D918BB" w:rsidRPr="00C716D5">
        <w:t>y</w:t>
      </w:r>
      <w:r w:rsidR="009023AA" w:rsidRPr="00C716D5">
        <w:t xml:space="preserve"> type of isopentyl caffeate, </w:t>
      </w:r>
      <w:r w:rsidR="00650B37" w:rsidRPr="00C716D5">
        <w:t>kinetic studies</w:t>
      </w:r>
      <w:r w:rsidR="009023AA" w:rsidRPr="00C716D5">
        <w:t xml:space="preserve"> of </w:t>
      </w:r>
      <w:r w:rsidR="00650B37" w:rsidRPr="00C716D5">
        <w:t>the inhibition reaction were</w:t>
      </w:r>
      <w:r w:rsidR="009023AA" w:rsidRPr="00C716D5">
        <w:t xml:space="preserve"> carried out</w:t>
      </w:r>
      <w:r w:rsidR="00FA7729" w:rsidRPr="00C716D5">
        <w:t xml:space="preserve"> with</w:t>
      </w:r>
      <w:r w:rsidR="00233E23">
        <w:t xml:space="preserve"> pu</w:t>
      </w:r>
      <w:r w:rsidR="009859AE">
        <w:t>r</w:t>
      </w:r>
      <w:r w:rsidR="00233E23">
        <w:t>i</w:t>
      </w:r>
      <w:r w:rsidR="009859AE">
        <w:t>fied</w:t>
      </w:r>
      <w:r w:rsidR="00FA7729" w:rsidRPr="00C716D5">
        <w:t xml:space="preserve"> </w:t>
      </w:r>
      <w:r w:rsidR="00FA7729" w:rsidRPr="00C716D5">
        <w:rPr>
          <w:i/>
        </w:rPr>
        <w:t>Tb</w:t>
      </w:r>
      <w:r w:rsidR="00FA7729" w:rsidRPr="00C716D5">
        <w:t>CATL</w:t>
      </w:r>
      <w:r w:rsidR="009023AA" w:rsidRPr="00C716D5">
        <w:t xml:space="preserve">. </w:t>
      </w:r>
      <w:r w:rsidR="003D2B9A" w:rsidRPr="00C716D5">
        <w:t>Double reciprocal (Linew</w:t>
      </w:r>
      <w:r w:rsidR="00D918BB" w:rsidRPr="00C716D5">
        <w:t>eaver Burk</w:t>
      </w:r>
      <w:r w:rsidR="0073260F" w:rsidRPr="00C716D5">
        <w:t xml:space="preserve"> p</w:t>
      </w:r>
      <w:r w:rsidR="00422A05" w:rsidRPr="00C716D5">
        <w:t>lot</w:t>
      </w:r>
      <w:r w:rsidR="003D2B9A" w:rsidRPr="00C716D5">
        <w:t xml:space="preserve">) analysis gave a family of </w:t>
      </w:r>
      <w:r w:rsidR="004873B5" w:rsidRPr="00C716D5">
        <w:t>lines with increasing</w:t>
      </w:r>
      <w:r w:rsidR="003D2B9A" w:rsidRPr="00C716D5">
        <w:t xml:space="preserve"> slopes</w:t>
      </w:r>
      <w:r w:rsidR="008B34D8" w:rsidRPr="00C716D5">
        <w:t xml:space="preserve"> </w:t>
      </w:r>
      <w:r w:rsidR="004873B5" w:rsidRPr="00C716D5">
        <w:t>as the isopentyl caffeate concentration increased</w:t>
      </w:r>
      <w:r w:rsidR="003445E8">
        <w:t xml:space="preserve"> (Fig. 4A</w:t>
      </w:r>
      <w:r w:rsidR="008B34D8" w:rsidRPr="00C716D5">
        <w:t>)</w:t>
      </w:r>
      <w:r w:rsidR="003D2B9A" w:rsidRPr="00C716D5">
        <w:t>.</w:t>
      </w:r>
      <w:r w:rsidR="00A50380" w:rsidRPr="00C716D5">
        <w:t xml:space="preserve"> </w:t>
      </w:r>
      <w:r w:rsidR="008B34D8" w:rsidRPr="00C716D5">
        <w:t xml:space="preserve">These data indicated a non-competitive inhibition mechanism of </w:t>
      </w:r>
      <w:r w:rsidR="004873B5" w:rsidRPr="00C716D5">
        <w:t>the ester</w:t>
      </w:r>
      <w:r w:rsidR="00747056" w:rsidRPr="00C716D5">
        <w:t xml:space="preserve"> as the lines converged to the same point on the x-axis.</w:t>
      </w:r>
      <w:r w:rsidR="008B34D8" w:rsidRPr="00C716D5">
        <w:t xml:space="preserve"> Plotting </w:t>
      </w:r>
      <w:r w:rsidR="00422A05" w:rsidRPr="00C716D5">
        <w:t xml:space="preserve">the reciprocal velocity (1/v) against the inhibitor concentration </w:t>
      </w:r>
      <w:r w:rsidR="0073260F" w:rsidRPr="00C716D5">
        <w:t>(Dixon p</w:t>
      </w:r>
      <w:r w:rsidR="00880C80" w:rsidRPr="00C716D5">
        <w:t xml:space="preserve">lot) </w:t>
      </w:r>
      <w:r w:rsidR="00422A05" w:rsidRPr="00C716D5">
        <w:t xml:space="preserve">confirmed this finding since the lines drawn for each </w:t>
      </w:r>
      <w:r w:rsidR="00747056" w:rsidRPr="00C716D5">
        <w:t>substrate concentration m</w:t>
      </w:r>
      <w:r w:rsidR="00422A05" w:rsidRPr="00C716D5">
        <w:t xml:space="preserve">et </w:t>
      </w:r>
      <w:r w:rsidR="00911D46" w:rsidRPr="00C716D5">
        <w:t xml:space="preserve">again </w:t>
      </w:r>
      <w:r w:rsidR="00422A05" w:rsidRPr="00C716D5">
        <w:t>in a single point</w:t>
      </w:r>
      <w:r w:rsidR="003445E8">
        <w:t xml:space="preserve"> on the x-axis (Fig. 4B</w:t>
      </w:r>
      <w:r w:rsidR="00911D46" w:rsidRPr="00C716D5">
        <w:t>). From the point of intersection, the inhibitor constants K</w:t>
      </w:r>
      <w:r w:rsidR="00911D46" w:rsidRPr="00C716D5">
        <w:rPr>
          <w:vertAlign w:val="subscript"/>
        </w:rPr>
        <w:t>i</w:t>
      </w:r>
      <w:r w:rsidR="00911D46" w:rsidRPr="00C716D5">
        <w:t xml:space="preserve"> </w:t>
      </w:r>
      <w:r w:rsidR="0073260F" w:rsidRPr="00C716D5">
        <w:t>for isopent</w:t>
      </w:r>
      <w:r w:rsidR="00D32439" w:rsidRPr="00C716D5">
        <w:t>yl caffeate was determined</w:t>
      </w:r>
      <w:r w:rsidR="00911D46" w:rsidRPr="00C716D5">
        <w:t xml:space="preserve"> to be </w:t>
      </w:r>
      <w:r w:rsidR="005C710E" w:rsidRPr="00C716D5">
        <w:t>10.0±0.9 μg/ml.</w:t>
      </w:r>
      <w:r w:rsidR="008719EC">
        <w:t xml:space="preserve"> </w:t>
      </w:r>
      <w:r w:rsidR="000954C0">
        <w:t xml:space="preserve">This </w:t>
      </w:r>
      <w:r w:rsidR="00D32439" w:rsidRPr="00C716D5">
        <w:t>wa</w:t>
      </w:r>
      <w:r w:rsidR="005C710E" w:rsidRPr="00C716D5">
        <w:t xml:space="preserve">s </w:t>
      </w:r>
      <w:r w:rsidR="000954C0">
        <w:t xml:space="preserve">not </w:t>
      </w:r>
      <w:r w:rsidR="003615DA" w:rsidRPr="00C716D5">
        <w:t xml:space="preserve">statistically </w:t>
      </w:r>
      <w:r w:rsidR="008719EC">
        <w:t>significantly when compared to</w:t>
      </w:r>
      <w:r w:rsidR="00D32439" w:rsidRPr="00C716D5">
        <w:t xml:space="preserve"> the IC</w:t>
      </w:r>
      <w:r w:rsidR="00D32439" w:rsidRPr="00C716D5">
        <w:rPr>
          <w:vertAlign w:val="subscript"/>
        </w:rPr>
        <w:t>50</w:t>
      </w:r>
      <w:r w:rsidR="00D32439" w:rsidRPr="00C716D5">
        <w:t xml:space="preserve"> value of 8.</w:t>
      </w:r>
      <w:r w:rsidR="00C716D5">
        <w:t xml:space="preserve">5±0.8 μg/ml (Student’s t test; </w:t>
      </w:r>
      <w:r w:rsidR="00233E23">
        <w:rPr>
          <w:i/>
        </w:rPr>
        <w:t>p</w:t>
      </w:r>
      <w:r w:rsidR="00D32439" w:rsidRPr="00C716D5">
        <w:t xml:space="preserve"> = 0.10)</w:t>
      </w:r>
      <w:r w:rsidR="00284F09">
        <w:t>. The finding that K</w:t>
      </w:r>
      <w:r w:rsidR="00284F09" w:rsidRPr="00284F09">
        <w:rPr>
          <w:vertAlign w:val="subscript"/>
        </w:rPr>
        <w:t>i</w:t>
      </w:r>
      <w:r w:rsidR="00284F09">
        <w:t xml:space="preserve"> is not different from the IC</w:t>
      </w:r>
      <w:r w:rsidR="00284F09" w:rsidRPr="00284F09">
        <w:rPr>
          <w:vertAlign w:val="subscript"/>
        </w:rPr>
        <w:t>50</w:t>
      </w:r>
      <w:r w:rsidR="001C12C8" w:rsidRPr="00C716D5">
        <w:t xml:space="preserve"> is a characteristic </w:t>
      </w:r>
      <w:r w:rsidR="00747056" w:rsidRPr="00C716D5">
        <w:t xml:space="preserve">feature </w:t>
      </w:r>
      <w:r w:rsidR="001C12C8" w:rsidRPr="00C716D5">
        <w:t xml:space="preserve">of non-competitive </w:t>
      </w:r>
      <w:r w:rsidR="001C12C8" w:rsidRPr="001B7942">
        <w:t>inhibitor</w:t>
      </w:r>
      <w:r w:rsidR="005C4230" w:rsidRPr="001B7942">
        <w:t>s</w:t>
      </w:r>
      <w:r w:rsidR="00284F09" w:rsidRPr="001B7942">
        <w:t xml:space="preserve"> </w:t>
      </w:r>
      <w:r w:rsidR="00C716D5" w:rsidRPr="001B7942">
        <w:t>(Brandt et al., 1987)</w:t>
      </w:r>
      <w:r w:rsidR="00D77A63" w:rsidRPr="001B7942">
        <w:t>.</w:t>
      </w:r>
      <w:r w:rsidR="00FD4A2A">
        <w:t xml:space="preserve"> </w:t>
      </w:r>
    </w:p>
    <w:p w:rsidR="006C0158" w:rsidRPr="00C716D5" w:rsidRDefault="00013542" w:rsidP="005105FC">
      <w:pPr>
        <w:spacing w:line="480" w:lineRule="exact"/>
        <w:ind w:firstLine="426"/>
        <w:jc w:val="both"/>
      </w:pPr>
      <w:r w:rsidRPr="00C716D5">
        <w:t>To test whether</w:t>
      </w:r>
      <w:r w:rsidR="005105FC">
        <w:t xml:space="preserve"> </w:t>
      </w:r>
      <w:r w:rsidR="004A791E" w:rsidRPr="00C716D5">
        <w:t>the trypanocidal effect</w:t>
      </w:r>
      <w:r w:rsidRPr="00C716D5">
        <w:t xml:space="preserve"> of isopentyl caffeate was </w:t>
      </w:r>
      <w:r w:rsidR="00917327" w:rsidRPr="00C716D5">
        <w:t>the result of</w:t>
      </w:r>
      <w:r w:rsidR="004A791E" w:rsidRPr="00C716D5">
        <w:t xml:space="preserve"> inactivation of </w:t>
      </w:r>
      <w:r w:rsidR="004A791E" w:rsidRPr="00C716D5">
        <w:rPr>
          <w:i/>
        </w:rPr>
        <w:t>Tb</w:t>
      </w:r>
      <w:r w:rsidR="004A791E" w:rsidRPr="00C716D5">
        <w:t>CATL</w:t>
      </w:r>
      <w:r w:rsidR="00300760" w:rsidRPr="00C716D5">
        <w:t xml:space="preserve">, uptake experiments with fluorescein-labelled transferrin were carried out. It is well established that blockage of </w:t>
      </w:r>
      <w:r w:rsidR="00300760" w:rsidRPr="00C716D5">
        <w:rPr>
          <w:i/>
        </w:rPr>
        <w:t>Tb</w:t>
      </w:r>
      <w:r w:rsidR="00300760" w:rsidRPr="00C716D5">
        <w:t xml:space="preserve">CATL leads to accumulation of transferrin in the lysosome of bloodstream forms of </w:t>
      </w:r>
      <w:r w:rsidR="00300760" w:rsidRPr="00C716D5">
        <w:rPr>
          <w:i/>
        </w:rPr>
        <w:t>T. brucei</w:t>
      </w:r>
      <w:r w:rsidR="00300760" w:rsidRPr="00C716D5">
        <w:t xml:space="preserve"> </w:t>
      </w:r>
      <w:r w:rsidR="00C716D5" w:rsidRPr="001B7942">
        <w:t>(Grab et al.</w:t>
      </w:r>
      <w:r w:rsidR="005105FC">
        <w:t xml:space="preserve"> 1992; Steverding et al.</w:t>
      </w:r>
      <w:r w:rsidR="008E5A84" w:rsidRPr="001B7942">
        <w:t xml:space="preserve"> 1995;</w:t>
      </w:r>
      <w:r w:rsidR="00C716D5" w:rsidRPr="001B7942">
        <w:t xml:space="preserve"> </w:t>
      </w:r>
      <w:r w:rsidR="005105FC">
        <w:t>Scory et al.</w:t>
      </w:r>
      <w:r w:rsidR="008E5A84" w:rsidRPr="001B7942">
        <w:t xml:space="preserve"> </w:t>
      </w:r>
      <w:r w:rsidR="00C716D5" w:rsidRPr="001B7942">
        <w:t xml:space="preserve">1999), </w:t>
      </w:r>
      <w:r w:rsidR="00300760" w:rsidRPr="001B7942">
        <w:t>and that this accumul</w:t>
      </w:r>
      <w:r w:rsidR="00300760" w:rsidRPr="00C716D5">
        <w:t>ation can be easily quantified by flow cytometry</w:t>
      </w:r>
      <w:r w:rsidR="00C716D5">
        <w:t xml:space="preserve"> </w:t>
      </w:r>
      <w:r w:rsidR="005105FC">
        <w:t>(Steverding et al.</w:t>
      </w:r>
      <w:r w:rsidR="00C716D5" w:rsidRPr="001B7942">
        <w:t xml:space="preserve"> 2012</w:t>
      </w:r>
      <w:r w:rsidR="00D6692B" w:rsidRPr="001B7942">
        <w:t>a,b</w:t>
      </w:r>
      <w:r w:rsidR="00C716D5" w:rsidRPr="001B7942">
        <w:t>)</w:t>
      </w:r>
      <w:r w:rsidR="00300760" w:rsidRPr="001B7942">
        <w:t>.</w:t>
      </w:r>
      <w:r w:rsidR="00272DED" w:rsidRPr="00C716D5">
        <w:t xml:space="preserve"> </w:t>
      </w:r>
      <w:r w:rsidR="00B85C82" w:rsidRPr="00C716D5">
        <w:t>However, t</w:t>
      </w:r>
      <w:r w:rsidR="00272DED" w:rsidRPr="00C716D5">
        <w:t>ry</w:t>
      </w:r>
      <w:r w:rsidR="00D26A0E" w:rsidRPr="00C716D5">
        <w:t xml:space="preserve">panosomes incubated with 100 μM </w:t>
      </w:r>
      <w:r w:rsidR="00272DED" w:rsidRPr="00C716D5">
        <w:t>isopentyl caffeate</w:t>
      </w:r>
      <w:r w:rsidRPr="00C716D5">
        <w:t xml:space="preserve"> </w:t>
      </w:r>
      <w:r w:rsidR="00D26A0E" w:rsidRPr="00C716D5">
        <w:t>(25 μg/</w:t>
      </w:r>
      <w:r w:rsidR="00C716D5">
        <w:t>ml; a concentration which was 25 times the MIC value (see above</w:t>
      </w:r>
      <w:r w:rsidR="00D26A0E" w:rsidRPr="00C716D5">
        <w:t xml:space="preserve">)) </w:t>
      </w:r>
      <w:r w:rsidRPr="00C716D5">
        <w:t>accumulated much less</w:t>
      </w:r>
      <w:r w:rsidR="00B85C82" w:rsidRPr="00C716D5">
        <w:t xml:space="preserve"> transferrin (16%</w:t>
      </w:r>
      <w:r w:rsidR="00756601">
        <w:t xml:space="preserve"> based on the median</w:t>
      </w:r>
      <w:r w:rsidR="00272DED" w:rsidRPr="00C716D5">
        <w:t xml:space="preserve"> </w:t>
      </w:r>
      <w:r w:rsidR="00756601">
        <w:t xml:space="preserve">of the </w:t>
      </w:r>
      <w:r w:rsidR="00272DED" w:rsidRPr="00C716D5">
        <w:t>fluorescence intensity signal) as those incubated with 100 μM Z-FA-DMK (positive control)</w:t>
      </w:r>
      <w:r w:rsidR="003445E8">
        <w:t xml:space="preserve"> (Fig. 5)</w:t>
      </w:r>
      <w:r w:rsidR="00D26A0E" w:rsidRPr="00C716D5">
        <w:t>, a well-established</w:t>
      </w:r>
      <w:r w:rsidR="009E277B" w:rsidRPr="00C716D5">
        <w:t xml:space="preserve"> </w:t>
      </w:r>
      <w:r w:rsidR="00272DED" w:rsidRPr="00C716D5">
        <w:t xml:space="preserve">inhibitor of </w:t>
      </w:r>
      <w:r w:rsidR="00272DED" w:rsidRPr="00C716D5">
        <w:rPr>
          <w:i/>
        </w:rPr>
        <w:t>Tb</w:t>
      </w:r>
      <w:r w:rsidR="00272DED" w:rsidRPr="00C716D5">
        <w:t>CATL</w:t>
      </w:r>
      <w:r w:rsidR="00A90EC4" w:rsidRPr="00C716D5">
        <w:t xml:space="preserve"> with trypanocidal </w:t>
      </w:r>
      <w:r w:rsidR="00A90EC4" w:rsidRPr="001B7942">
        <w:t>activity</w:t>
      </w:r>
      <w:r w:rsidR="005105FC">
        <w:t xml:space="preserve"> (Scory et al.</w:t>
      </w:r>
      <w:r w:rsidR="003445E8" w:rsidRPr="001B7942">
        <w:t xml:space="preserve"> 1999)</w:t>
      </w:r>
      <w:r w:rsidRPr="001B7942">
        <w:t>.</w:t>
      </w:r>
      <w:r w:rsidRPr="00C716D5">
        <w:t xml:space="preserve"> In addition, this accumulation was only three percentages points more than that of negative cells incubated with DMSO (13%).</w:t>
      </w:r>
      <w:r w:rsidR="003954FF">
        <w:t xml:space="preserve"> It was previously shown that only those inhibitors kill </w:t>
      </w:r>
      <w:r w:rsidR="003954FF">
        <w:lastRenderedPageBreak/>
        <w:t xml:space="preserve">trypanosomes through inhibition of </w:t>
      </w:r>
      <w:r w:rsidR="003954FF" w:rsidRPr="00FD153B">
        <w:rPr>
          <w:i/>
        </w:rPr>
        <w:t>Tb</w:t>
      </w:r>
      <w:r w:rsidR="00577FC2">
        <w:t xml:space="preserve">CATL that </w:t>
      </w:r>
      <w:r w:rsidR="003954FF">
        <w:t>completely inac</w:t>
      </w:r>
      <w:r w:rsidR="00577FC2">
        <w:t>tivate the protease following</w:t>
      </w:r>
      <w:r w:rsidR="003954FF">
        <w:t xml:space="preserve"> accumulation of transferrin in the </w:t>
      </w:r>
      <w:r w:rsidR="003954FF" w:rsidRPr="001B7942">
        <w:t xml:space="preserve">lysosome (Steverding et </w:t>
      </w:r>
      <w:r w:rsidR="003954FF">
        <w:t>al.</w:t>
      </w:r>
      <w:r w:rsidR="003954FF" w:rsidRPr="001B7942">
        <w:t xml:space="preserve"> 2012a).</w:t>
      </w:r>
    </w:p>
    <w:p w:rsidR="00BB7BBD" w:rsidRDefault="00BB7BBD" w:rsidP="003445E8">
      <w:pPr>
        <w:spacing w:line="480" w:lineRule="exact"/>
        <w:jc w:val="both"/>
      </w:pPr>
    </w:p>
    <w:p w:rsidR="005105FC" w:rsidRDefault="005105FC" w:rsidP="003445E8">
      <w:pPr>
        <w:spacing w:line="480" w:lineRule="exact"/>
        <w:jc w:val="both"/>
      </w:pPr>
    </w:p>
    <w:p w:rsidR="005105FC" w:rsidRPr="00233917" w:rsidRDefault="00233917" w:rsidP="003445E8">
      <w:pPr>
        <w:spacing w:line="480" w:lineRule="exact"/>
        <w:jc w:val="both"/>
        <w:rPr>
          <w:b/>
          <w:sz w:val="28"/>
          <w:szCs w:val="28"/>
        </w:rPr>
      </w:pPr>
      <w:r w:rsidRPr="00233917">
        <w:rPr>
          <w:b/>
          <w:sz w:val="28"/>
          <w:szCs w:val="28"/>
        </w:rPr>
        <w:t>Conclusion</w:t>
      </w:r>
    </w:p>
    <w:p w:rsidR="003445E8" w:rsidRPr="003445E8" w:rsidRDefault="003445E8" w:rsidP="003445E8">
      <w:pPr>
        <w:spacing w:line="480" w:lineRule="exact"/>
        <w:jc w:val="both"/>
      </w:pPr>
    </w:p>
    <w:p w:rsidR="00B101F1" w:rsidRDefault="003E16E9" w:rsidP="00233917">
      <w:pPr>
        <w:spacing w:line="480" w:lineRule="exact"/>
        <w:jc w:val="both"/>
      </w:pPr>
      <w:r w:rsidRPr="00004D45">
        <w:t xml:space="preserve">Although isopentyl caffeate is an inhibitor of </w:t>
      </w:r>
      <w:r w:rsidRPr="00004D45">
        <w:rPr>
          <w:i/>
        </w:rPr>
        <w:t>Tb</w:t>
      </w:r>
      <w:r w:rsidRPr="00004D45">
        <w:t>CATL, its trypanocidal activity cannot be attributed to inhibition of this cysteine protease.</w:t>
      </w:r>
      <w:r>
        <w:t xml:space="preserve"> </w:t>
      </w:r>
      <w:r w:rsidR="00F177E9">
        <w:t xml:space="preserve">This is evident from the following findings. </w:t>
      </w:r>
      <w:r w:rsidR="000B77BC">
        <w:t xml:space="preserve">First, isopentyl caffeate was determined to be a non-competitive inhibitor of </w:t>
      </w:r>
      <w:r w:rsidR="000B77BC" w:rsidRPr="000B77BC">
        <w:rPr>
          <w:i/>
        </w:rPr>
        <w:t>Tb</w:t>
      </w:r>
      <w:r w:rsidR="00321AEB">
        <w:t>CATL. However,</w:t>
      </w:r>
      <w:r w:rsidR="000B77BC">
        <w:t xml:space="preserve"> </w:t>
      </w:r>
      <w:r w:rsidR="00321AEB">
        <w:t>n</w:t>
      </w:r>
      <w:r w:rsidR="000B77BC">
        <w:t xml:space="preserve">on-competitive inhibitors usually do not completely inactivate their </w:t>
      </w:r>
      <w:r w:rsidR="00FF2CA8">
        <w:t xml:space="preserve">target </w:t>
      </w:r>
      <w:r w:rsidR="000B77BC">
        <w:t>enzymes</w:t>
      </w:r>
      <w:r w:rsidR="00F177E9">
        <w:t xml:space="preserve"> but this was </w:t>
      </w:r>
      <w:r w:rsidR="00E9238C">
        <w:t xml:space="preserve">previously </w:t>
      </w:r>
      <w:r w:rsidR="00F177E9">
        <w:t>shown to be necessary</w:t>
      </w:r>
      <w:r w:rsidR="00D542D4">
        <w:t xml:space="preserve"> </w:t>
      </w:r>
      <w:r w:rsidR="00F177E9">
        <w:t>if</w:t>
      </w:r>
      <w:r w:rsidR="00D542D4">
        <w:t xml:space="preserve"> trypanosomes </w:t>
      </w:r>
      <w:r w:rsidR="00F177E9">
        <w:t xml:space="preserve">are to be killed </w:t>
      </w:r>
      <w:r w:rsidR="00D542D4">
        <w:t xml:space="preserve">through inhibition of </w:t>
      </w:r>
      <w:r w:rsidR="00FF2CA8" w:rsidRPr="00FF2CA8">
        <w:rPr>
          <w:i/>
        </w:rPr>
        <w:t>Tb</w:t>
      </w:r>
      <w:r w:rsidR="00FF2CA8">
        <w:t>CATL</w:t>
      </w:r>
      <w:r w:rsidR="00F177E9">
        <w:t xml:space="preserve"> (Steverding et al. 2012a). Second, incubation of trypanosomes with lethal concentration of isopentyl caffeate did not lead to a significant accumulation of fluorescent transferrin in the lysosome. However, </w:t>
      </w:r>
      <w:r w:rsidR="000A0226">
        <w:t xml:space="preserve">only cysteine protease inhibitors that cause substantial lysosomal accumulation of transferrin will kill trypanosomes through blocking of </w:t>
      </w:r>
      <w:r w:rsidR="000A0226" w:rsidRPr="000A0226">
        <w:rPr>
          <w:i/>
        </w:rPr>
        <w:t>Tb</w:t>
      </w:r>
      <w:r w:rsidR="000A0226">
        <w:t xml:space="preserve">CATL (Steverding et al. 2012a). Third, </w:t>
      </w:r>
      <w:r w:rsidR="00B101F1">
        <w:t xml:space="preserve">isopentyl caffeate was much more effective in inhibiting the growth of trypanosomes than the activity of </w:t>
      </w:r>
      <w:r w:rsidR="00B101F1" w:rsidRPr="00B101F1">
        <w:rPr>
          <w:i/>
        </w:rPr>
        <w:t>Tb</w:t>
      </w:r>
      <w:r w:rsidR="00B101F1">
        <w:t xml:space="preserve">CATL. </w:t>
      </w:r>
      <w:r w:rsidR="00E9238C" w:rsidRPr="00EA2465">
        <w:t>Usually</w:t>
      </w:r>
      <w:r w:rsidR="00B93116" w:rsidRPr="00EA2465">
        <w:t>,</w:t>
      </w:r>
      <w:r w:rsidR="00E9238C" w:rsidRPr="00EA2465">
        <w:t xml:space="preserve"> small</w:t>
      </w:r>
      <w:r w:rsidR="00E9238C">
        <w:t xml:space="preserve"> molecule inhibitors show reduced activity in cell-based assays compared to biochemical assays and not vice versa (An </w:t>
      </w:r>
      <w:r w:rsidR="00FF2CA8">
        <w:t>and Tolliday 2010</w:t>
      </w:r>
      <w:r w:rsidR="00775535">
        <w:t>).</w:t>
      </w:r>
    </w:p>
    <w:p w:rsidR="007353D1" w:rsidRPr="001B7942" w:rsidRDefault="00F2176D" w:rsidP="00775535">
      <w:pPr>
        <w:spacing w:line="480" w:lineRule="exact"/>
        <w:ind w:firstLine="426"/>
        <w:jc w:val="both"/>
      </w:pPr>
      <w:r>
        <w:t>On the other hand</w:t>
      </w:r>
      <w:r w:rsidR="00775535">
        <w:t>, isopentyl caffeate was shown to display promising antitrypanosomal activity. In fact, the compound near</w:t>
      </w:r>
      <w:r w:rsidR="00004D45">
        <w:t xml:space="preserve">ly </w:t>
      </w:r>
      <w:r w:rsidR="00004D45" w:rsidRPr="00004D45">
        <w:t>meets the activity and cytotoxicity criteria for drug candidates for African trypanosomiasis (GI</w:t>
      </w:r>
      <w:r w:rsidR="00004D45" w:rsidRPr="00004D45">
        <w:rPr>
          <w:vertAlign w:val="subscript"/>
        </w:rPr>
        <w:t>50</w:t>
      </w:r>
      <w:r w:rsidR="00004D45" w:rsidRPr="00004D45">
        <w:t xml:space="preserve"> &lt;0.2 μg/mL; selectivity &gt;100</w:t>
      </w:r>
      <w:r w:rsidR="00004D45" w:rsidRPr="001B7942">
        <w:t>) (</w:t>
      </w:r>
      <w:hyperlink r:id="rId8" w:history="1">
        <w:r w:rsidR="00004D45" w:rsidRPr="001B7942">
          <w:t xml:space="preserve">Nwaka </w:t>
        </w:r>
      </w:hyperlink>
      <w:r w:rsidR="00004D45" w:rsidRPr="001B7942">
        <w:t xml:space="preserve">and </w:t>
      </w:r>
      <w:hyperlink r:id="rId9" w:history="1">
        <w:r w:rsidR="00004D45" w:rsidRPr="001B7942">
          <w:t>Hudson</w:t>
        </w:r>
      </w:hyperlink>
      <w:r w:rsidR="00004D45" w:rsidRPr="001B7942">
        <w:t>, 2006).</w:t>
      </w:r>
      <w:r w:rsidR="00004D45">
        <w:t xml:space="preserve"> </w:t>
      </w:r>
      <w:r w:rsidR="006D6CDF">
        <w:t>In</w:t>
      </w:r>
      <w:r w:rsidR="00775535">
        <w:t xml:space="preserve"> addition, it should be easy</w:t>
      </w:r>
      <w:r w:rsidR="006D6CDF">
        <w:t xml:space="preserve"> to improve the trypanocidal activity of caffeic acid esters through structural </w:t>
      </w:r>
      <w:r w:rsidR="006D6CDF" w:rsidRPr="00EA2465">
        <w:t xml:space="preserve">modification. </w:t>
      </w:r>
      <w:r w:rsidR="00131D79" w:rsidRPr="00EA2465">
        <w:t>In particular</w:t>
      </w:r>
      <w:r w:rsidR="00131D79">
        <w:t xml:space="preserve">, long alkyl and aryl containing side chains seem to provide potent antitrypanosomal activity </w:t>
      </w:r>
      <w:r w:rsidR="00131D79" w:rsidRPr="001B7942">
        <w:t>(Otoguro et al., 2012).</w:t>
      </w:r>
      <w:r w:rsidR="00131D79">
        <w:t xml:space="preserve"> Ring substituents may be another possibility to increase the trypanocidal activity. For example, adding a third hydroxyl group to give either 2,3,4-trihydroxy or 3,4,5-trihydroxy derivatives </w:t>
      </w:r>
      <w:r w:rsidR="00E7574F">
        <w:t xml:space="preserve">has </w:t>
      </w:r>
      <w:r w:rsidR="00E64CAC">
        <w:t xml:space="preserve">previously </w:t>
      </w:r>
      <w:r w:rsidR="00E7574F">
        <w:t xml:space="preserve">been shown to increase the inhibitory activity against HIV-1 integrase </w:t>
      </w:r>
      <w:r w:rsidR="00E7574F" w:rsidRPr="001B7942">
        <w:t>(Burke et al., 1995).</w:t>
      </w:r>
    </w:p>
    <w:p w:rsidR="009D5149" w:rsidRDefault="009D5149" w:rsidP="009D5149">
      <w:pPr>
        <w:spacing w:line="480" w:lineRule="exact"/>
        <w:jc w:val="both"/>
      </w:pPr>
    </w:p>
    <w:p w:rsidR="00233917" w:rsidRDefault="00233917" w:rsidP="009D5149">
      <w:pPr>
        <w:spacing w:line="480" w:lineRule="exact"/>
        <w:jc w:val="both"/>
      </w:pPr>
    </w:p>
    <w:p w:rsidR="009D5149" w:rsidRPr="00233917" w:rsidRDefault="009D5149" w:rsidP="00233917">
      <w:pPr>
        <w:spacing w:line="480" w:lineRule="exact"/>
        <w:jc w:val="both"/>
        <w:rPr>
          <w:b/>
        </w:rPr>
      </w:pPr>
      <w:r w:rsidRPr="009D5149">
        <w:rPr>
          <w:b/>
        </w:rPr>
        <w:t>Acknowledgment</w:t>
      </w:r>
      <w:r w:rsidR="00233917">
        <w:rPr>
          <w:b/>
        </w:rPr>
        <w:t xml:space="preserve"> </w:t>
      </w:r>
      <w:r w:rsidR="00DF059E">
        <w:t>We thank Professor Conor R. Caffrey (</w:t>
      </w:r>
      <w:r w:rsidR="00DF059E" w:rsidRPr="00DF059E">
        <w:t>Center for Discovery and Innovation in Parasitic Diseases</w:t>
      </w:r>
      <w:r w:rsidR="00DF059E">
        <w:t xml:space="preserve">, </w:t>
      </w:r>
      <w:r w:rsidR="00DF059E" w:rsidRPr="00DF059E">
        <w:t>Skaggs School of Pharmacy and Pharmaceutical Sciences</w:t>
      </w:r>
      <w:r w:rsidR="00DF059E">
        <w:t xml:space="preserve">, </w:t>
      </w:r>
      <w:r w:rsidR="00DF059E" w:rsidRPr="00DF059E">
        <w:t>U</w:t>
      </w:r>
      <w:r w:rsidR="00DF059E">
        <w:t xml:space="preserve">niversity of </w:t>
      </w:r>
      <w:r w:rsidR="00DF059E" w:rsidRPr="00DF059E">
        <w:t>C</w:t>
      </w:r>
      <w:r w:rsidR="00DF059E">
        <w:t>alifornia</w:t>
      </w:r>
      <w:r w:rsidR="00DF059E" w:rsidRPr="00DF059E">
        <w:t xml:space="preserve"> San Dieg</w:t>
      </w:r>
      <w:r w:rsidR="00DF059E">
        <w:t>o) for providing rhodesain (</w:t>
      </w:r>
      <w:r w:rsidR="00DF059E" w:rsidRPr="00DF059E">
        <w:rPr>
          <w:i/>
        </w:rPr>
        <w:t>Tb</w:t>
      </w:r>
      <w:r w:rsidR="00DF059E">
        <w:t>CATL).</w:t>
      </w:r>
      <w:r w:rsidR="00AC3AB7">
        <w:t xml:space="preserve"> This study received financial support from CNPq (Brazilian National Council for Scientific and Technological Development).</w:t>
      </w:r>
    </w:p>
    <w:p w:rsidR="008D151F" w:rsidRPr="008110AC" w:rsidRDefault="008D151F" w:rsidP="008110AC">
      <w:pPr>
        <w:spacing w:line="480" w:lineRule="exact"/>
        <w:jc w:val="both"/>
      </w:pPr>
      <w:r w:rsidRPr="008110AC">
        <w:br w:type="page"/>
      </w:r>
    </w:p>
    <w:p w:rsidR="008D151F" w:rsidRPr="00D072DD" w:rsidRDefault="008D151F" w:rsidP="00C03920">
      <w:pPr>
        <w:spacing w:line="480" w:lineRule="exact"/>
        <w:jc w:val="both"/>
        <w:rPr>
          <w:b/>
        </w:rPr>
      </w:pPr>
      <w:r w:rsidRPr="00D072DD">
        <w:rPr>
          <w:b/>
        </w:rPr>
        <w:lastRenderedPageBreak/>
        <w:t>References</w:t>
      </w:r>
    </w:p>
    <w:p w:rsidR="00C81345" w:rsidRPr="00C81345" w:rsidRDefault="00C81345" w:rsidP="00C03920">
      <w:pPr>
        <w:spacing w:line="480" w:lineRule="exact"/>
        <w:jc w:val="both"/>
      </w:pPr>
    </w:p>
    <w:p w:rsidR="00FF2CA8" w:rsidRDefault="00FF2CA8" w:rsidP="006B0D03">
      <w:pPr>
        <w:spacing w:line="480" w:lineRule="exact"/>
        <w:ind w:left="426" w:hanging="426"/>
        <w:jc w:val="both"/>
        <w:rPr>
          <w:bCs/>
        </w:rPr>
      </w:pPr>
      <w:r>
        <w:rPr>
          <w:bCs/>
        </w:rPr>
        <w:t>An WF, Tolliday N (2010) Cell-based assays for high-throughput screening. Mol Biotechnol 45:180-186.</w:t>
      </w:r>
    </w:p>
    <w:p w:rsidR="00D87909" w:rsidRDefault="00D87909" w:rsidP="006B0D03">
      <w:pPr>
        <w:spacing w:line="480" w:lineRule="exact"/>
        <w:ind w:left="426" w:hanging="426"/>
        <w:jc w:val="both"/>
        <w:rPr>
          <w:bCs/>
        </w:rPr>
      </w:pPr>
      <w:r w:rsidRPr="00F61040">
        <w:t>Balt</w:t>
      </w:r>
      <w:r>
        <w:t>z T, Baltz D, Giroud C, Crockett J</w:t>
      </w:r>
      <w:r w:rsidRPr="00F61040">
        <w:t xml:space="preserve"> (1985) Cultivation in a semi-defined medium of animal infective forms of </w:t>
      </w:r>
      <w:r w:rsidRPr="00F61040">
        <w:rPr>
          <w:i/>
        </w:rPr>
        <w:t>Trypanosoma brucei</w:t>
      </w:r>
      <w:r w:rsidRPr="00F61040">
        <w:t xml:space="preserve">, </w:t>
      </w:r>
      <w:r w:rsidRPr="00F61040">
        <w:rPr>
          <w:i/>
        </w:rPr>
        <w:t>T. equiperdum</w:t>
      </w:r>
      <w:r w:rsidRPr="00F61040">
        <w:t xml:space="preserve">, </w:t>
      </w:r>
      <w:r w:rsidRPr="00F61040">
        <w:rPr>
          <w:i/>
        </w:rPr>
        <w:t>T. evansi</w:t>
      </w:r>
      <w:r w:rsidRPr="00F61040">
        <w:t xml:space="preserve">, </w:t>
      </w:r>
      <w:r w:rsidRPr="00F61040">
        <w:rPr>
          <w:i/>
        </w:rPr>
        <w:t>T. rhodesiense</w:t>
      </w:r>
      <w:r w:rsidRPr="00F61040">
        <w:t xml:space="preserve"> and </w:t>
      </w:r>
      <w:r w:rsidRPr="00F61040">
        <w:rPr>
          <w:i/>
        </w:rPr>
        <w:t>T. gambiense</w:t>
      </w:r>
      <w:r>
        <w:t>. EMBO J</w:t>
      </w:r>
      <w:r w:rsidRPr="00F61040">
        <w:t xml:space="preserve"> </w:t>
      </w:r>
      <w:r>
        <w:t>4:</w:t>
      </w:r>
      <w:r w:rsidRPr="00F61040">
        <w:t>1273-1277</w:t>
      </w:r>
    </w:p>
    <w:p w:rsidR="00D6692B" w:rsidRDefault="00D6692B" w:rsidP="006B0D03">
      <w:pPr>
        <w:spacing w:line="480" w:lineRule="exact"/>
        <w:ind w:left="426" w:hanging="426"/>
        <w:jc w:val="both"/>
        <w:rPr>
          <w:bCs/>
        </w:rPr>
      </w:pPr>
      <w:r w:rsidRPr="00D6692B">
        <w:rPr>
          <w:bCs/>
        </w:rPr>
        <w:t>Brandt RB, Laux JE, Yates S</w:t>
      </w:r>
      <w:r w:rsidR="00C41E58">
        <w:rPr>
          <w:bCs/>
        </w:rPr>
        <w:t>W</w:t>
      </w:r>
      <w:r>
        <w:rPr>
          <w:bCs/>
        </w:rPr>
        <w:t xml:space="preserve"> </w:t>
      </w:r>
      <w:r w:rsidR="00C41E58">
        <w:rPr>
          <w:bCs/>
        </w:rPr>
        <w:t>(1987)</w:t>
      </w:r>
      <w:r w:rsidRPr="00D6692B">
        <w:rPr>
          <w:bCs/>
        </w:rPr>
        <w:t xml:space="preserve"> Calculation of inhibitor </w:t>
      </w:r>
      <w:r w:rsidRPr="005157B7">
        <w:rPr>
          <w:bCs/>
          <w:i/>
        </w:rPr>
        <w:t>K</w:t>
      </w:r>
      <w:r w:rsidRPr="005157B7">
        <w:rPr>
          <w:bCs/>
          <w:vertAlign w:val="subscript"/>
        </w:rPr>
        <w:t>i</w:t>
      </w:r>
      <w:r w:rsidRPr="00D6692B">
        <w:rPr>
          <w:bCs/>
        </w:rPr>
        <w:t xml:space="preserve"> and inhibitor type from the concentration of inhibitor for 50% inhibition for Michaelis-Menton enzymes. Biochem Med Metab Biol 37</w:t>
      </w:r>
      <w:r w:rsidR="00C41E58">
        <w:rPr>
          <w:bCs/>
        </w:rPr>
        <w:t>:</w:t>
      </w:r>
      <w:r w:rsidRPr="00D6692B">
        <w:rPr>
          <w:bCs/>
        </w:rPr>
        <w:t>344-</w:t>
      </w:r>
      <w:r>
        <w:rPr>
          <w:bCs/>
        </w:rPr>
        <w:t>34</w:t>
      </w:r>
      <w:r w:rsidR="00C41E58">
        <w:rPr>
          <w:bCs/>
        </w:rPr>
        <w:t>9</w:t>
      </w:r>
    </w:p>
    <w:p w:rsidR="003B6946" w:rsidRDefault="00C41E58" w:rsidP="006B0D03">
      <w:pPr>
        <w:spacing w:line="480" w:lineRule="exact"/>
        <w:ind w:left="426" w:hanging="426"/>
        <w:jc w:val="both"/>
        <w:rPr>
          <w:bCs/>
        </w:rPr>
      </w:pPr>
      <w:r>
        <w:rPr>
          <w:bCs/>
        </w:rPr>
        <w:t>Burke TR Jr, Fesen MR, Mazumder A, Wang J, Carothers AM, Grunberger D, Driscoll J, Kohn K, Pommier Y</w:t>
      </w:r>
      <w:r w:rsidR="003B6946">
        <w:rPr>
          <w:bCs/>
        </w:rPr>
        <w:t xml:space="preserve"> </w:t>
      </w:r>
      <w:r>
        <w:rPr>
          <w:bCs/>
        </w:rPr>
        <w:t>(1995)</w:t>
      </w:r>
      <w:r w:rsidR="003B6946">
        <w:rPr>
          <w:bCs/>
        </w:rPr>
        <w:t xml:space="preserve"> Hydroxylated aromatic i</w:t>
      </w:r>
      <w:r>
        <w:rPr>
          <w:bCs/>
        </w:rPr>
        <w:t>nhibitors of HIV-1 integrase. J</w:t>
      </w:r>
      <w:r w:rsidR="003B6946">
        <w:rPr>
          <w:bCs/>
        </w:rPr>
        <w:t xml:space="preserve"> Med</w:t>
      </w:r>
      <w:r>
        <w:rPr>
          <w:bCs/>
        </w:rPr>
        <w:t xml:space="preserve"> Chem 38:4171-4178</w:t>
      </w:r>
    </w:p>
    <w:p w:rsidR="006B0D03" w:rsidRDefault="006B0D03" w:rsidP="006B0D03">
      <w:pPr>
        <w:spacing w:line="480" w:lineRule="exact"/>
        <w:ind w:left="426" w:hanging="426"/>
        <w:jc w:val="both"/>
        <w:rPr>
          <w:bCs/>
        </w:rPr>
      </w:pPr>
      <w:r w:rsidRPr="006B0D03">
        <w:rPr>
          <w:bCs/>
        </w:rPr>
        <w:t>Caffrey CR, Scory S, Steverding</w:t>
      </w:r>
      <w:r w:rsidR="00C41E58">
        <w:rPr>
          <w:bCs/>
        </w:rPr>
        <w:t xml:space="preserve"> D</w:t>
      </w:r>
      <w:r>
        <w:rPr>
          <w:bCs/>
        </w:rPr>
        <w:t xml:space="preserve"> </w:t>
      </w:r>
      <w:r w:rsidR="00C41E58">
        <w:rPr>
          <w:bCs/>
        </w:rPr>
        <w:t>(2000)</w:t>
      </w:r>
      <w:r>
        <w:rPr>
          <w:bCs/>
        </w:rPr>
        <w:t xml:space="preserve"> </w:t>
      </w:r>
      <w:r w:rsidRPr="006B0D03">
        <w:rPr>
          <w:bCs/>
        </w:rPr>
        <w:t>Cysteine proteinases of trypanosome parasites: novel targets for chemotherapy.</w:t>
      </w:r>
      <w:r w:rsidR="00C41E58">
        <w:rPr>
          <w:bCs/>
        </w:rPr>
        <w:t xml:space="preserve"> Curr Drug Targets 1:155-162</w:t>
      </w:r>
    </w:p>
    <w:p w:rsidR="00D87909" w:rsidRDefault="00D87909" w:rsidP="006B0D03">
      <w:pPr>
        <w:spacing w:line="480" w:lineRule="exact"/>
        <w:ind w:left="426" w:hanging="426"/>
        <w:jc w:val="both"/>
        <w:rPr>
          <w:bCs/>
        </w:rPr>
      </w:pPr>
      <w:r w:rsidRPr="00D87909">
        <w:t>Collins SJ, Gallo RC, Gallagher RE</w:t>
      </w:r>
      <w:r>
        <w:t xml:space="preserve"> (1977)</w:t>
      </w:r>
      <w:r w:rsidRPr="00D87909">
        <w:t xml:space="preserve"> Continuous</w:t>
      </w:r>
      <w:r w:rsidRPr="00037168">
        <w:t xml:space="preserve"> growth and differentiation of human myeloid leukae</w:t>
      </w:r>
      <w:r>
        <w:t>mic cells in suspension culture. Nature 270:</w:t>
      </w:r>
      <w:r w:rsidRPr="00037168">
        <w:t>347-349</w:t>
      </w:r>
    </w:p>
    <w:p w:rsidR="001D2167" w:rsidRDefault="001D2167" w:rsidP="00C81345">
      <w:pPr>
        <w:spacing w:line="480" w:lineRule="exact"/>
        <w:ind w:left="426" w:hanging="426"/>
        <w:jc w:val="both"/>
        <w:rPr>
          <w:bCs/>
        </w:rPr>
      </w:pPr>
      <w:r w:rsidRPr="001D2167">
        <w:rPr>
          <w:bCs/>
        </w:rPr>
        <w:t xml:space="preserve">Delespaux V, de </w:t>
      </w:r>
      <w:r w:rsidRPr="00EA2465">
        <w:rPr>
          <w:bCs/>
        </w:rPr>
        <w:t>Koning H</w:t>
      </w:r>
      <w:r w:rsidR="00C41E58" w:rsidRPr="00EA2465">
        <w:rPr>
          <w:bCs/>
        </w:rPr>
        <w:t>P</w:t>
      </w:r>
      <w:r w:rsidRPr="000B5AAD">
        <w:rPr>
          <w:bCs/>
          <w:color w:val="FF0000"/>
        </w:rPr>
        <w:t xml:space="preserve"> </w:t>
      </w:r>
      <w:r w:rsidR="00C41E58">
        <w:rPr>
          <w:bCs/>
        </w:rPr>
        <w:t>(2007)</w:t>
      </w:r>
      <w:r w:rsidRPr="001D2167">
        <w:rPr>
          <w:bCs/>
        </w:rPr>
        <w:t xml:space="preserve"> Drugs and drug resistance in African trypanosomiasis. Drug Resist Updat 10</w:t>
      </w:r>
      <w:r w:rsidR="00C41E58">
        <w:rPr>
          <w:bCs/>
        </w:rPr>
        <w:t>:30-50</w:t>
      </w:r>
    </w:p>
    <w:p w:rsidR="00C81345" w:rsidRDefault="00C81345" w:rsidP="00C81345">
      <w:pPr>
        <w:spacing w:line="480" w:lineRule="exact"/>
        <w:ind w:left="426" w:hanging="426"/>
        <w:jc w:val="both"/>
        <w:rPr>
          <w:bCs/>
        </w:rPr>
      </w:pPr>
      <w:r w:rsidRPr="00C81345">
        <w:rPr>
          <w:bCs/>
        </w:rPr>
        <w:t>Fairlamb A</w:t>
      </w:r>
      <w:r w:rsidR="00C41E58">
        <w:rPr>
          <w:bCs/>
        </w:rPr>
        <w:t>H</w:t>
      </w:r>
      <w:r>
        <w:rPr>
          <w:bCs/>
        </w:rPr>
        <w:t xml:space="preserve"> </w:t>
      </w:r>
      <w:r w:rsidR="00C41E58">
        <w:rPr>
          <w:bCs/>
        </w:rPr>
        <w:t>(2003)</w:t>
      </w:r>
      <w:r w:rsidRPr="00C81345">
        <w:rPr>
          <w:bCs/>
        </w:rPr>
        <w:t xml:space="preserve"> Chemotherapy of human African trypanosomiasis: current and future prospects. Trends Parasitol </w:t>
      </w:r>
      <w:r w:rsidRPr="001D2167">
        <w:rPr>
          <w:bCs/>
        </w:rPr>
        <w:t>19</w:t>
      </w:r>
      <w:r w:rsidR="00C41E58">
        <w:rPr>
          <w:bCs/>
        </w:rPr>
        <w:t>:</w:t>
      </w:r>
      <w:r w:rsidRPr="00C81345">
        <w:rPr>
          <w:bCs/>
        </w:rPr>
        <w:t>488-</w:t>
      </w:r>
      <w:r w:rsidR="001D2167">
        <w:rPr>
          <w:bCs/>
        </w:rPr>
        <w:t>4</w:t>
      </w:r>
      <w:r w:rsidR="00C41E58">
        <w:rPr>
          <w:bCs/>
        </w:rPr>
        <w:t>94</w:t>
      </w:r>
    </w:p>
    <w:p w:rsidR="00D6692B" w:rsidRDefault="00D6692B" w:rsidP="00C81345">
      <w:pPr>
        <w:spacing w:line="480" w:lineRule="exact"/>
        <w:ind w:left="426" w:hanging="426"/>
        <w:jc w:val="both"/>
        <w:rPr>
          <w:bCs/>
        </w:rPr>
      </w:pPr>
      <w:r w:rsidRPr="00D6692B">
        <w:rPr>
          <w:bCs/>
        </w:rPr>
        <w:t xml:space="preserve">Grab DJ, Wells </w:t>
      </w:r>
      <w:r w:rsidR="00C41E58">
        <w:rPr>
          <w:bCs/>
        </w:rPr>
        <w:t>CW, Shaw</w:t>
      </w:r>
      <w:r>
        <w:rPr>
          <w:bCs/>
        </w:rPr>
        <w:t xml:space="preserve"> </w:t>
      </w:r>
      <w:r w:rsidRPr="00D6692B">
        <w:rPr>
          <w:bCs/>
        </w:rPr>
        <w:t>MK</w:t>
      </w:r>
      <w:r>
        <w:rPr>
          <w:bCs/>
        </w:rPr>
        <w:t>,</w:t>
      </w:r>
      <w:r w:rsidR="0000051E">
        <w:rPr>
          <w:bCs/>
        </w:rPr>
        <w:t xml:space="preserve"> Webster P, </w:t>
      </w:r>
      <w:r w:rsidRPr="00D6692B">
        <w:rPr>
          <w:bCs/>
        </w:rPr>
        <w:t>Russo DC</w:t>
      </w:r>
      <w:r>
        <w:rPr>
          <w:bCs/>
        </w:rPr>
        <w:t xml:space="preserve"> </w:t>
      </w:r>
      <w:r w:rsidR="00C41E58">
        <w:rPr>
          <w:bCs/>
        </w:rPr>
        <w:t>(1992)</w:t>
      </w:r>
      <w:r w:rsidRPr="00D6692B">
        <w:rPr>
          <w:bCs/>
        </w:rPr>
        <w:t xml:space="preserve"> Endocytosed transferrin in African trypanosomes is delivered to lysosomes and may not be recycled. Eur J Cell Biol 59</w:t>
      </w:r>
      <w:r w:rsidR="00C41E58">
        <w:rPr>
          <w:bCs/>
        </w:rPr>
        <w:t>:398-404</w:t>
      </w:r>
    </w:p>
    <w:p w:rsidR="00D87909" w:rsidRDefault="00D87909" w:rsidP="00C81345">
      <w:pPr>
        <w:spacing w:line="480" w:lineRule="exact"/>
        <w:ind w:left="426" w:hanging="426"/>
        <w:jc w:val="both"/>
        <w:rPr>
          <w:bCs/>
        </w:rPr>
      </w:pPr>
      <w:r w:rsidRPr="00F61040">
        <w:t>Hi</w:t>
      </w:r>
      <w:r>
        <w:t>rumi H, Hirumi K, Doyle JJ, Cross GAM (1980)</w:t>
      </w:r>
      <w:r w:rsidRPr="00F61040">
        <w:t xml:space="preserve"> </w:t>
      </w:r>
      <w:r w:rsidRPr="00F61040">
        <w:rPr>
          <w:i/>
        </w:rPr>
        <w:t>In vitro</w:t>
      </w:r>
      <w:r w:rsidRPr="00F61040">
        <w:t xml:space="preserve"> cloning of animal-infective bloodstream forms of </w:t>
      </w:r>
      <w:r w:rsidRPr="00F61040">
        <w:rPr>
          <w:i/>
        </w:rPr>
        <w:t>Trypanosoma brucei</w:t>
      </w:r>
      <w:r w:rsidRPr="00F61040">
        <w:t xml:space="preserve">. Parasitology </w:t>
      </w:r>
      <w:r>
        <w:t>80:</w:t>
      </w:r>
      <w:r w:rsidRPr="00F61040">
        <w:t>371-382</w:t>
      </w:r>
    </w:p>
    <w:p w:rsidR="00D6692B" w:rsidRDefault="00D6692B" w:rsidP="00C81345">
      <w:pPr>
        <w:spacing w:line="480" w:lineRule="exact"/>
        <w:ind w:left="426" w:hanging="426"/>
        <w:jc w:val="both"/>
        <w:rPr>
          <w:bCs/>
        </w:rPr>
      </w:pPr>
      <w:r w:rsidRPr="00D6692B">
        <w:rPr>
          <w:bCs/>
        </w:rPr>
        <w:t>Huber W, Koella J</w:t>
      </w:r>
      <w:r w:rsidR="00C41E58">
        <w:rPr>
          <w:bCs/>
        </w:rPr>
        <w:t>C</w:t>
      </w:r>
      <w:r w:rsidRPr="00D6692B">
        <w:rPr>
          <w:bCs/>
        </w:rPr>
        <w:t xml:space="preserve"> </w:t>
      </w:r>
      <w:r w:rsidR="00C41E58">
        <w:rPr>
          <w:bCs/>
        </w:rPr>
        <w:t>(1993)</w:t>
      </w:r>
      <w:r>
        <w:rPr>
          <w:bCs/>
        </w:rPr>
        <w:t xml:space="preserve"> </w:t>
      </w:r>
      <w:r w:rsidRPr="00D6692B">
        <w:rPr>
          <w:bCs/>
        </w:rPr>
        <w:t>A comparison of three methods of estimating EC</w:t>
      </w:r>
      <w:r w:rsidRPr="005157B7">
        <w:rPr>
          <w:bCs/>
          <w:vertAlign w:val="subscript"/>
        </w:rPr>
        <w:t>50</w:t>
      </w:r>
      <w:r w:rsidRPr="00D6692B">
        <w:rPr>
          <w:bCs/>
        </w:rPr>
        <w:t xml:space="preserve"> in studies of drug resistance of malaria parasites. Acta Trop 55</w:t>
      </w:r>
      <w:r w:rsidR="00C41E58">
        <w:rPr>
          <w:bCs/>
        </w:rPr>
        <w:t>:</w:t>
      </w:r>
      <w:r w:rsidRPr="00D6692B">
        <w:rPr>
          <w:bCs/>
        </w:rPr>
        <w:t>257-</w:t>
      </w:r>
      <w:r>
        <w:rPr>
          <w:bCs/>
        </w:rPr>
        <w:t>2</w:t>
      </w:r>
      <w:r w:rsidR="00C41E58">
        <w:rPr>
          <w:bCs/>
        </w:rPr>
        <w:t>61</w:t>
      </w:r>
    </w:p>
    <w:p w:rsidR="008C219F" w:rsidRDefault="008C219F" w:rsidP="00C81345">
      <w:pPr>
        <w:spacing w:line="480" w:lineRule="exact"/>
        <w:ind w:left="426" w:hanging="426"/>
        <w:jc w:val="both"/>
        <w:rPr>
          <w:bCs/>
        </w:rPr>
      </w:pPr>
      <w:r w:rsidRPr="008C219F">
        <w:rPr>
          <w:bCs/>
        </w:rPr>
        <w:lastRenderedPageBreak/>
        <w:t>Lecaille F, Kaleta J, Brömme</w:t>
      </w:r>
      <w:r w:rsidR="00C41E58">
        <w:rPr>
          <w:bCs/>
        </w:rPr>
        <w:t xml:space="preserve"> D</w:t>
      </w:r>
      <w:r>
        <w:rPr>
          <w:bCs/>
        </w:rPr>
        <w:t xml:space="preserve"> </w:t>
      </w:r>
      <w:r w:rsidR="00C41E58">
        <w:rPr>
          <w:bCs/>
        </w:rPr>
        <w:t>(2002)</w:t>
      </w:r>
      <w:r w:rsidRPr="008C219F">
        <w:rPr>
          <w:bCs/>
        </w:rPr>
        <w:t xml:space="preserve"> Human and parasitic papain-like cysteine proteases: their role in physiology and pathology and recent developments in inhibitor design. Chem Rev 102</w:t>
      </w:r>
      <w:r w:rsidR="00C41E58">
        <w:rPr>
          <w:bCs/>
        </w:rPr>
        <w:t>:</w:t>
      </w:r>
      <w:r w:rsidRPr="008C219F">
        <w:rPr>
          <w:bCs/>
        </w:rPr>
        <w:t>4459-</w:t>
      </w:r>
      <w:r>
        <w:rPr>
          <w:bCs/>
        </w:rPr>
        <w:t>44</w:t>
      </w:r>
      <w:r w:rsidR="00C41E58">
        <w:rPr>
          <w:bCs/>
        </w:rPr>
        <w:t>88</w:t>
      </w:r>
    </w:p>
    <w:p w:rsidR="001D2167" w:rsidRDefault="001D2167" w:rsidP="00C81345">
      <w:pPr>
        <w:spacing w:line="480" w:lineRule="exact"/>
        <w:ind w:left="426" w:hanging="426"/>
        <w:jc w:val="both"/>
        <w:rPr>
          <w:bCs/>
        </w:rPr>
      </w:pPr>
      <w:r w:rsidRPr="001D2167">
        <w:rPr>
          <w:bCs/>
        </w:rPr>
        <w:t>Matovu E, Seebeck T, Enyaru JC</w:t>
      </w:r>
      <w:r w:rsidR="00297285">
        <w:rPr>
          <w:bCs/>
        </w:rPr>
        <w:t>, Kaminsky R</w:t>
      </w:r>
      <w:r>
        <w:rPr>
          <w:bCs/>
        </w:rPr>
        <w:t xml:space="preserve"> </w:t>
      </w:r>
      <w:r w:rsidR="00297285">
        <w:rPr>
          <w:bCs/>
        </w:rPr>
        <w:t>(2001)</w:t>
      </w:r>
      <w:r w:rsidRPr="001D2167">
        <w:rPr>
          <w:bCs/>
        </w:rPr>
        <w:t xml:space="preserve"> Drug resistance in </w:t>
      </w:r>
      <w:r w:rsidRPr="001D2167">
        <w:rPr>
          <w:bCs/>
          <w:i/>
        </w:rPr>
        <w:t>Trypanosoma brucei</w:t>
      </w:r>
      <w:r w:rsidRPr="001D2167">
        <w:rPr>
          <w:bCs/>
        </w:rPr>
        <w:t xml:space="preserve"> ssp., the causative agents of sleeping sickness in man and nagana in cattle. Microbes Infect 3</w:t>
      </w:r>
      <w:r w:rsidR="00297285">
        <w:rPr>
          <w:bCs/>
        </w:rPr>
        <w:t>:</w:t>
      </w:r>
      <w:r w:rsidRPr="001D2167">
        <w:rPr>
          <w:bCs/>
        </w:rPr>
        <w:t>763-</w:t>
      </w:r>
      <w:r>
        <w:rPr>
          <w:bCs/>
        </w:rPr>
        <w:t>7</w:t>
      </w:r>
      <w:r w:rsidR="00297285">
        <w:rPr>
          <w:bCs/>
        </w:rPr>
        <w:t>70</w:t>
      </w:r>
    </w:p>
    <w:p w:rsidR="00D979F1" w:rsidRDefault="00D979F1" w:rsidP="00C81345">
      <w:pPr>
        <w:spacing w:line="480" w:lineRule="exact"/>
        <w:ind w:left="426" w:hanging="426"/>
        <w:jc w:val="both"/>
        <w:rPr>
          <w:bCs/>
        </w:rPr>
      </w:pPr>
      <w:r w:rsidRPr="00D979F1">
        <w:t xml:space="preserve">Merschjohann K, </w:t>
      </w:r>
      <w:r>
        <w:t>Sporer F, Steverding D, Wink, M (2001)</w:t>
      </w:r>
      <w:r w:rsidRPr="00D979F1">
        <w:t xml:space="preserve"> </w:t>
      </w:r>
      <w:r w:rsidRPr="00037168">
        <w:rPr>
          <w:i/>
        </w:rPr>
        <w:t>In vitro</w:t>
      </w:r>
      <w:r w:rsidRPr="00037168">
        <w:t xml:space="preserve"> effect of alkaloids on bloodstream forms of </w:t>
      </w:r>
      <w:r w:rsidRPr="00037168">
        <w:rPr>
          <w:i/>
        </w:rPr>
        <w:t>Trypanosoma brucei</w:t>
      </w:r>
      <w:r w:rsidRPr="00037168">
        <w:t xml:space="preserve"> and </w:t>
      </w:r>
      <w:r w:rsidRPr="00037168">
        <w:rPr>
          <w:i/>
        </w:rPr>
        <w:t>T. congolense</w:t>
      </w:r>
      <w:r>
        <w:t xml:space="preserve">. Planta Med </w:t>
      </w:r>
      <w:r w:rsidR="0061100A">
        <w:t>67:</w:t>
      </w:r>
      <w:r w:rsidRPr="00037168">
        <w:t>623-627</w:t>
      </w:r>
    </w:p>
    <w:p w:rsidR="008167E7" w:rsidRDefault="00CC1A7F" w:rsidP="00C81345">
      <w:pPr>
        <w:spacing w:line="480" w:lineRule="exact"/>
        <w:ind w:left="426" w:hanging="426"/>
        <w:jc w:val="both"/>
        <w:rPr>
          <w:bCs/>
        </w:rPr>
      </w:pPr>
      <w:r w:rsidRPr="00CC1A7F">
        <w:rPr>
          <w:bCs/>
        </w:rPr>
        <w:t>Molyneux DH, Pentreath V, Doua F</w:t>
      </w:r>
      <w:r w:rsidR="008167E7" w:rsidRPr="00CC1A7F">
        <w:rPr>
          <w:bCs/>
        </w:rPr>
        <w:t xml:space="preserve"> </w:t>
      </w:r>
      <w:r w:rsidRPr="00CC1A7F">
        <w:rPr>
          <w:bCs/>
        </w:rPr>
        <w:t>(1996)</w:t>
      </w:r>
      <w:r w:rsidR="008167E7" w:rsidRPr="00CC1A7F">
        <w:rPr>
          <w:bCs/>
        </w:rPr>
        <w:t xml:space="preserve"> African t</w:t>
      </w:r>
      <w:r w:rsidRPr="00CC1A7F">
        <w:rPr>
          <w:bCs/>
        </w:rPr>
        <w:t>rypanosomiasis in man. In: Cook GC (ed.)</w:t>
      </w:r>
      <w:r w:rsidR="008167E7" w:rsidRPr="00CC1A7F">
        <w:rPr>
          <w:bCs/>
        </w:rPr>
        <w:t xml:space="preserve"> Manson’s Tropical Diseases, 20th ed</w:t>
      </w:r>
      <w:r w:rsidRPr="00CC1A7F">
        <w:rPr>
          <w:bCs/>
        </w:rPr>
        <w:t>n</w:t>
      </w:r>
      <w:r w:rsidR="008167E7" w:rsidRPr="00CC1A7F">
        <w:rPr>
          <w:bCs/>
        </w:rPr>
        <w:t>. Saunders, Lo</w:t>
      </w:r>
      <w:r w:rsidRPr="00CC1A7F">
        <w:rPr>
          <w:bCs/>
        </w:rPr>
        <w:t>ndon, pp 1171-1196</w:t>
      </w:r>
    </w:p>
    <w:p w:rsidR="00D87909" w:rsidRPr="00CC1A7F" w:rsidRDefault="00D87909" w:rsidP="00C81345">
      <w:pPr>
        <w:spacing w:line="480" w:lineRule="exact"/>
        <w:ind w:left="426" w:hanging="426"/>
        <w:jc w:val="both"/>
        <w:rPr>
          <w:bCs/>
        </w:rPr>
      </w:pPr>
      <w:r w:rsidRPr="00D87909">
        <w:rPr>
          <w:iCs/>
        </w:rPr>
        <w:t>Moore GE, Gerner RE, Franklin HA</w:t>
      </w:r>
      <w:r>
        <w:t xml:space="preserve"> (1967)</w:t>
      </w:r>
      <w:r w:rsidRPr="00037168">
        <w:t xml:space="preserve"> Culture of normal human leukocy</w:t>
      </w:r>
      <w:r>
        <w:t>tes. J Am Med Assoc 199:</w:t>
      </w:r>
      <w:r w:rsidRPr="00037168">
        <w:t>519-524</w:t>
      </w:r>
    </w:p>
    <w:p w:rsidR="006B0D03" w:rsidRDefault="006B0D03" w:rsidP="00C81345">
      <w:pPr>
        <w:spacing w:line="480" w:lineRule="exact"/>
        <w:ind w:left="426" w:hanging="426"/>
        <w:jc w:val="both"/>
        <w:rPr>
          <w:bCs/>
        </w:rPr>
      </w:pPr>
      <w:r w:rsidRPr="006B0D03">
        <w:rPr>
          <w:bCs/>
        </w:rPr>
        <w:t>Nkemgu NJ, Grande R, Hansell E</w:t>
      </w:r>
      <w:r>
        <w:rPr>
          <w:bCs/>
        </w:rPr>
        <w:t xml:space="preserve">, </w:t>
      </w:r>
      <w:hyperlink r:id="rId10" w:history="1">
        <w:r w:rsidRPr="006B0D03">
          <w:rPr>
            <w:bCs/>
          </w:rPr>
          <w:t>McKerrow JH</w:t>
        </w:r>
      </w:hyperlink>
      <w:r w:rsidRPr="006B0D03">
        <w:rPr>
          <w:bCs/>
        </w:rPr>
        <w:t xml:space="preserve">, </w:t>
      </w:r>
      <w:hyperlink r:id="rId11" w:history="1">
        <w:r w:rsidRPr="006B0D03">
          <w:rPr>
            <w:bCs/>
          </w:rPr>
          <w:t>Caffrey CR</w:t>
        </w:r>
      </w:hyperlink>
      <w:r w:rsidRPr="006B0D03">
        <w:rPr>
          <w:bCs/>
        </w:rPr>
        <w:t xml:space="preserve">, </w:t>
      </w:r>
      <w:hyperlink r:id="rId12" w:history="1">
        <w:r w:rsidRPr="006B0D03">
          <w:rPr>
            <w:bCs/>
          </w:rPr>
          <w:t>Steverding D</w:t>
        </w:r>
      </w:hyperlink>
      <w:r w:rsidRPr="006B0D03">
        <w:rPr>
          <w:bCs/>
        </w:rPr>
        <w:t xml:space="preserve"> </w:t>
      </w:r>
      <w:r w:rsidR="00297285">
        <w:rPr>
          <w:bCs/>
        </w:rPr>
        <w:t>(</w:t>
      </w:r>
      <w:r>
        <w:rPr>
          <w:bCs/>
        </w:rPr>
        <w:t>2003</w:t>
      </w:r>
      <w:r w:rsidR="00297285">
        <w:rPr>
          <w:bCs/>
        </w:rPr>
        <w:t>)</w:t>
      </w:r>
      <w:r>
        <w:rPr>
          <w:bCs/>
        </w:rPr>
        <w:t xml:space="preserve">. </w:t>
      </w:r>
      <w:r w:rsidRPr="006B0D03">
        <w:rPr>
          <w:bCs/>
        </w:rPr>
        <w:t>Improved trypanocidal activities of cathepsin L inhibitors. Int J Antimicrob Agents 22</w:t>
      </w:r>
      <w:r w:rsidR="00297285">
        <w:rPr>
          <w:bCs/>
        </w:rPr>
        <w:t>:</w:t>
      </w:r>
      <w:r w:rsidRPr="006B0D03">
        <w:rPr>
          <w:bCs/>
        </w:rPr>
        <w:t>155-</w:t>
      </w:r>
      <w:r>
        <w:rPr>
          <w:bCs/>
        </w:rPr>
        <w:t>15</w:t>
      </w:r>
      <w:r w:rsidR="00297285">
        <w:rPr>
          <w:bCs/>
        </w:rPr>
        <w:t>9</w:t>
      </w:r>
    </w:p>
    <w:p w:rsidR="00004D45" w:rsidRDefault="00EA2465" w:rsidP="00C81345">
      <w:pPr>
        <w:spacing w:line="480" w:lineRule="exact"/>
        <w:ind w:left="426" w:hanging="426"/>
        <w:jc w:val="both"/>
        <w:rPr>
          <w:bCs/>
        </w:rPr>
      </w:pPr>
      <w:hyperlink r:id="rId13" w:history="1">
        <w:r w:rsidR="00004D45" w:rsidRPr="00004D45">
          <w:rPr>
            <w:bCs/>
          </w:rPr>
          <w:t>Nwaka S</w:t>
        </w:r>
      </w:hyperlink>
      <w:r w:rsidR="00004D45" w:rsidRPr="00004D45">
        <w:rPr>
          <w:bCs/>
        </w:rPr>
        <w:t xml:space="preserve">, </w:t>
      </w:r>
      <w:hyperlink r:id="rId14" w:history="1">
        <w:r w:rsidR="00004D45" w:rsidRPr="00004D45">
          <w:rPr>
            <w:bCs/>
          </w:rPr>
          <w:t>Hudson A</w:t>
        </w:r>
      </w:hyperlink>
      <w:r w:rsidR="00004D45">
        <w:rPr>
          <w:bCs/>
        </w:rPr>
        <w:t xml:space="preserve"> </w:t>
      </w:r>
      <w:r w:rsidR="00297285">
        <w:rPr>
          <w:bCs/>
        </w:rPr>
        <w:t>(2006)</w:t>
      </w:r>
      <w:r w:rsidR="00004D45" w:rsidRPr="00004D45">
        <w:rPr>
          <w:bCs/>
        </w:rPr>
        <w:t xml:space="preserve"> Innovative lead discovery strategies for tropical diseases. </w:t>
      </w:r>
      <w:hyperlink r:id="rId15" w:tooltip="Nature reviews. Drug discovery." w:history="1">
        <w:r w:rsidR="00004D45" w:rsidRPr="00004D45">
          <w:rPr>
            <w:bCs/>
          </w:rPr>
          <w:t>Nat Rev Drug Discov</w:t>
        </w:r>
      </w:hyperlink>
      <w:r w:rsidR="00004D45" w:rsidRPr="00004D45">
        <w:rPr>
          <w:bCs/>
        </w:rPr>
        <w:t xml:space="preserve"> </w:t>
      </w:r>
      <w:hyperlink r:id="rId16" w:tooltip="Nature reviews. Drug discovery." w:history="1"/>
      <w:r w:rsidR="00004D45" w:rsidRPr="00004D45">
        <w:rPr>
          <w:bCs/>
        </w:rPr>
        <w:t>5</w:t>
      </w:r>
      <w:r w:rsidR="00297285">
        <w:rPr>
          <w:bCs/>
        </w:rPr>
        <w:t>:</w:t>
      </w:r>
      <w:r w:rsidR="00004D45" w:rsidRPr="00004D45">
        <w:rPr>
          <w:bCs/>
        </w:rPr>
        <w:t>941-</w:t>
      </w:r>
      <w:r w:rsidR="00004D45">
        <w:rPr>
          <w:bCs/>
        </w:rPr>
        <w:t>9</w:t>
      </w:r>
      <w:r w:rsidR="00297285">
        <w:rPr>
          <w:bCs/>
        </w:rPr>
        <w:t>55</w:t>
      </w:r>
    </w:p>
    <w:p w:rsidR="000D1E7C" w:rsidRDefault="000D1E7C" w:rsidP="00C81345">
      <w:pPr>
        <w:spacing w:line="480" w:lineRule="exact"/>
        <w:ind w:left="426" w:hanging="426"/>
        <w:jc w:val="both"/>
        <w:rPr>
          <w:bCs/>
        </w:rPr>
      </w:pPr>
      <w:r w:rsidRPr="000D1E7C">
        <w:rPr>
          <w:bCs/>
        </w:rPr>
        <w:t>Ogungbe IV, Crouch RA, Haber WA</w:t>
      </w:r>
      <w:r w:rsidR="005157B7">
        <w:rPr>
          <w:bCs/>
        </w:rPr>
        <w:t>,</w:t>
      </w:r>
      <w:r w:rsidR="00297285">
        <w:rPr>
          <w:bCs/>
        </w:rPr>
        <w:t xml:space="preserve"> Setzer WN</w:t>
      </w:r>
      <w:r>
        <w:rPr>
          <w:bCs/>
        </w:rPr>
        <w:t xml:space="preserve"> </w:t>
      </w:r>
      <w:r w:rsidR="00297285">
        <w:rPr>
          <w:bCs/>
        </w:rPr>
        <w:t>(2010)</w:t>
      </w:r>
      <w:r w:rsidRPr="000D1E7C">
        <w:rPr>
          <w:bCs/>
        </w:rPr>
        <w:t xml:space="preserve"> Phytochemical investigation of </w:t>
      </w:r>
      <w:r w:rsidRPr="006B0D03">
        <w:rPr>
          <w:bCs/>
          <w:i/>
        </w:rPr>
        <w:t>Verbesina turbacensis</w:t>
      </w:r>
      <w:r w:rsidRPr="000D1E7C">
        <w:rPr>
          <w:bCs/>
        </w:rPr>
        <w:t xml:space="preserve"> Kunth: trypanosome cysteine protease inhibition by (-)-bornyl esters. Nat Prod Commun 5</w:t>
      </w:r>
      <w:r w:rsidR="00297285">
        <w:rPr>
          <w:bCs/>
        </w:rPr>
        <w:t>:</w:t>
      </w:r>
      <w:r w:rsidRPr="000D1E7C">
        <w:rPr>
          <w:bCs/>
        </w:rPr>
        <w:t>1161-</w:t>
      </w:r>
      <w:r>
        <w:rPr>
          <w:bCs/>
        </w:rPr>
        <w:t>116</w:t>
      </w:r>
      <w:r w:rsidR="00297285">
        <w:rPr>
          <w:bCs/>
        </w:rPr>
        <w:t>6</w:t>
      </w:r>
    </w:p>
    <w:p w:rsidR="000D1E7C" w:rsidRDefault="000D1E7C" w:rsidP="00C81345">
      <w:pPr>
        <w:spacing w:line="480" w:lineRule="exact"/>
        <w:ind w:left="426" w:hanging="426"/>
        <w:jc w:val="both"/>
        <w:rPr>
          <w:bCs/>
        </w:rPr>
      </w:pPr>
      <w:r w:rsidRPr="000D1E7C">
        <w:rPr>
          <w:bCs/>
        </w:rPr>
        <w:t>Otoguro K, Iwatsuki M, Ishiyama A</w:t>
      </w:r>
      <w:r w:rsidR="00297285">
        <w:rPr>
          <w:bCs/>
        </w:rPr>
        <w:t>, Namatame M, Nishihara-Tsukashima A, Kiyohara H, Hashimoto T, Asakawa Y</w:t>
      </w:r>
      <w:r>
        <w:rPr>
          <w:bCs/>
        </w:rPr>
        <w:t xml:space="preserve">, </w:t>
      </w:r>
      <w:r w:rsidR="00297285">
        <w:rPr>
          <w:bCs/>
        </w:rPr>
        <w:t>Omura S, Yamada H</w:t>
      </w:r>
      <w:r w:rsidR="006B0D03">
        <w:rPr>
          <w:bCs/>
        </w:rPr>
        <w:t xml:space="preserve"> </w:t>
      </w:r>
      <w:r w:rsidR="00297285">
        <w:rPr>
          <w:bCs/>
        </w:rPr>
        <w:t>(2012)</w:t>
      </w:r>
      <w:r w:rsidRPr="000D1E7C">
        <w:rPr>
          <w:bCs/>
        </w:rPr>
        <w:t xml:space="preserve"> </w:t>
      </w:r>
      <w:r w:rsidRPr="006B0D03">
        <w:rPr>
          <w:bCs/>
          <w:i/>
        </w:rPr>
        <w:t>In vitro</w:t>
      </w:r>
      <w:r w:rsidRPr="000D1E7C">
        <w:rPr>
          <w:bCs/>
        </w:rPr>
        <w:t xml:space="preserve"> antitrypanosomal activity of some phenolic compounds from propolis and lactones from Fijian Kawa (</w:t>
      </w:r>
      <w:r w:rsidRPr="006B0D03">
        <w:rPr>
          <w:bCs/>
          <w:i/>
        </w:rPr>
        <w:t>Piper methysticum</w:t>
      </w:r>
      <w:r w:rsidRPr="000D1E7C">
        <w:rPr>
          <w:bCs/>
        </w:rPr>
        <w:t>). J Nat Med 66</w:t>
      </w:r>
      <w:r w:rsidR="00297285">
        <w:rPr>
          <w:bCs/>
        </w:rPr>
        <w:t>:</w:t>
      </w:r>
      <w:r w:rsidRPr="000D1E7C">
        <w:rPr>
          <w:bCs/>
        </w:rPr>
        <w:t>558-</w:t>
      </w:r>
      <w:r w:rsidR="006B0D03">
        <w:rPr>
          <w:bCs/>
        </w:rPr>
        <w:t>5</w:t>
      </w:r>
      <w:r w:rsidR="00297285">
        <w:rPr>
          <w:bCs/>
        </w:rPr>
        <w:t>61</w:t>
      </w:r>
    </w:p>
    <w:p w:rsidR="008C219F" w:rsidRDefault="008C219F" w:rsidP="00C81345">
      <w:pPr>
        <w:spacing w:line="480" w:lineRule="exact"/>
        <w:ind w:left="426" w:hanging="426"/>
        <w:jc w:val="both"/>
        <w:rPr>
          <w:bCs/>
        </w:rPr>
      </w:pPr>
      <w:r w:rsidRPr="008C219F">
        <w:rPr>
          <w:bCs/>
        </w:rPr>
        <w:t>Otto HH, Schirmeister</w:t>
      </w:r>
      <w:r w:rsidR="00297285">
        <w:rPr>
          <w:bCs/>
        </w:rPr>
        <w:t xml:space="preserve"> T</w:t>
      </w:r>
      <w:r>
        <w:rPr>
          <w:bCs/>
        </w:rPr>
        <w:t xml:space="preserve"> </w:t>
      </w:r>
      <w:r w:rsidR="00297285">
        <w:rPr>
          <w:bCs/>
        </w:rPr>
        <w:t>(1997)</w:t>
      </w:r>
      <w:r w:rsidRPr="008C219F">
        <w:rPr>
          <w:bCs/>
        </w:rPr>
        <w:t xml:space="preserve"> Cysteine proteases and their inhibitor</w:t>
      </w:r>
      <w:r w:rsidR="005157B7">
        <w:rPr>
          <w:bCs/>
        </w:rPr>
        <w:t>s</w:t>
      </w:r>
      <w:r w:rsidRPr="008C219F">
        <w:rPr>
          <w:bCs/>
        </w:rPr>
        <w:t>. Chem Rev 97</w:t>
      </w:r>
      <w:r w:rsidR="00297285">
        <w:rPr>
          <w:bCs/>
        </w:rPr>
        <w:t>:</w:t>
      </w:r>
      <w:r w:rsidRPr="008C219F">
        <w:rPr>
          <w:bCs/>
        </w:rPr>
        <w:t>133-</w:t>
      </w:r>
      <w:r>
        <w:rPr>
          <w:bCs/>
        </w:rPr>
        <w:t>1</w:t>
      </w:r>
      <w:r w:rsidR="00297285">
        <w:rPr>
          <w:bCs/>
        </w:rPr>
        <w:t>72</w:t>
      </w:r>
    </w:p>
    <w:p w:rsidR="0018255B" w:rsidRPr="0018255B" w:rsidRDefault="0018255B" w:rsidP="002D2519">
      <w:pPr>
        <w:spacing w:line="480" w:lineRule="exact"/>
        <w:ind w:left="425" w:hanging="425"/>
        <w:jc w:val="both"/>
        <w:rPr>
          <w:bCs/>
        </w:rPr>
      </w:pPr>
      <w:r w:rsidRPr="0018255B">
        <w:rPr>
          <w:bCs/>
        </w:rPr>
        <w:t>Sanderson</w:t>
      </w:r>
      <w:r w:rsidR="00297285">
        <w:rPr>
          <w:bCs/>
        </w:rPr>
        <w:t xml:space="preserve"> JT</w:t>
      </w:r>
      <w:r>
        <w:rPr>
          <w:bCs/>
        </w:rPr>
        <w:t>,</w:t>
      </w:r>
      <w:r w:rsidRPr="0018255B">
        <w:rPr>
          <w:bCs/>
        </w:rPr>
        <w:t xml:space="preserve"> Clabault</w:t>
      </w:r>
      <w:r w:rsidR="00297285">
        <w:rPr>
          <w:bCs/>
        </w:rPr>
        <w:t xml:space="preserve"> H</w:t>
      </w:r>
      <w:r w:rsidRPr="0018255B">
        <w:rPr>
          <w:bCs/>
        </w:rPr>
        <w:t xml:space="preserve"> Patton</w:t>
      </w:r>
      <w:r w:rsidR="00297285">
        <w:rPr>
          <w:bCs/>
        </w:rPr>
        <w:t xml:space="preserve"> C</w:t>
      </w:r>
      <w:r>
        <w:rPr>
          <w:bCs/>
        </w:rPr>
        <w:t>,</w:t>
      </w:r>
      <w:r w:rsidRPr="0018255B">
        <w:rPr>
          <w:bCs/>
        </w:rPr>
        <w:t xml:space="preserve"> Lassalle-Claux</w:t>
      </w:r>
      <w:r w:rsidR="00297285">
        <w:rPr>
          <w:bCs/>
        </w:rPr>
        <w:t xml:space="preserve"> G</w:t>
      </w:r>
      <w:r>
        <w:rPr>
          <w:bCs/>
        </w:rPr>
        <w:t>,</w:t>
      </w:r>
      <w:r w:rsidRPr="0018255B">
        <w:rPr>
          <w:bCs/>
        </w:rPr>
        <w:t xml:space="preserve"> Jean-François</w:t>
      </w:r>
      <w:r w:rsidR="00297285">
        <w:rPr>
          <w:bCs/>
        </w:rPr>
        <w:t xml:space="preserve"> J</w:t>
      </w:r>
      <w:r>
        <w:rPr>
          <w:bCs/>
        </w:rPr>
        <w:t>,</w:t>
      </w:r>
      <w:r w:rsidRPr="0018255B">
        <w:rPr>
          <w:bCs/>
        </w:rPr>
        <w:t xml:space="preserve"> Paré</w:t>
      </w:r>
      <w:r w:rsidR="00646056">
        <w:rPr>
          <w:bCs/>
        </w:rPr>
        <w:t xml:space="preserve"> AF</w:t>
      </w:r>
      <w:r>
        <w:rPr>
          <w:bCs/>
        </w:rPr>
        <w:t>,</w:t>
      </w:r>
      <w:r w:rsidRPr="0018255B">
        <w:rPr>
          <w:bCs/>
        </w:rPr>
        <w:t xml:space="preserve"> Hébert</w:t>
      </w:r>
      <w:r w:rsidR="00646056">
        <w:rPr>
          <w:bCs/>
        </w:rPr>
        <w:t xml:space="preserve"> MJG</w:t>
      </w:r>
      <w:r>
        <w:rPr>
          <w:bCs/>
        </w:rPr>
        <w:t>,</w:t>
      </w:r>
      <w:r w:rsidRPr="0018255B">
        <w:rPr>
          <w:bCs/>
        </w:rPr>
        <w:t xml:space="preserve"> Surette</w:t>
      </w:r>
      <w:r w:rsidR="00646056">
        <w:rPr>
          <w:bCs/>
        </w:rPr>
        <w:t xml:space="preserve"> ME</w:t>
      </w:r>
      <w:r>
        <w:rPr>
          <w:bCs/>
        </w:rPr>
        <w:t>,</w:t>
      </w:r>
      <w:r w:rsidRPr="0018255B">
        <w:rPr>
          <w:bCs/>
        </w:rPr>
        <w:t xml:space="preserve"> Touaibia</w:t>
      </w:r>
      <w:r w:rsidR="00646056">
        <w:rPr>
          <w:bCs/>
        </w:rPr>
        <w:t xml:space="preserve"> M</w:t>
      </w:r>
      <w:r>
        <w:rPr>
          <w:bCs/>
        </w:rPr>
        <w:t xml:space="preserve"> </w:t>
      </w:r>
      <w:r w:rsidR="00646056">
        <w:rPr>
          <w:bCs/>
        </w:rPr>
        <w:t>(2013)</w:t>
      </w:r>
      <w:r w:rsidRPr="0018255B">
        <w:rPr>
          <w:bCs/>
        </w:rPr>
        <w:t xml:space="preserve"> Antiproliferative, antiandrogenic and cytotoxic </w:t>
      </w:r>
      <w:r w:rsidRPr="0018255B">
        <w:rPr>
          <w:bCs/>
        </w:rPr>
        <w:lastRenderedPageBreak/>
        <w:t>effects of novel caffeic acid derivatives in LNCaP human androgen-</w:t>
      </w:r>
      <w:r w:rsidR="00646056">
        <w:rPr>
          <w:bCs/>
        </w:rPr>
        <w:t>dependent prostate cancer cells. Bioorg Med Chem</w:t>
      </w:r>
      <w:r w:rsidRPr="0018255B">
        <w:rPr>
          <w:bCs/>
        </w:rPr>
        <w:t xml:space="preserve"> 21</w:t>
      </w:r>
      <w:r w:rsidR="00646056">
        <w:rPr>
          <w:bCs/>
        </w:rPr>
        <w:t>:</w:t>
      </w:r>
      <w:r w:rsidRPr="0018255B">
        <w:rPr>
          <w:bCs/>
        </w:rPr>
        <w:t>7182–7193</w:t>
      </w:r>
    </w:p>
    <w:p w:rsidR="001D2167" w:rsidRDefault="001D2167" w:rsidP="00C81345">
      <w:pPr>
        <w:spacing w:line="480" w:lineRule="exact"/>
        <w:ind w:left="426" w:hanging="426"/>
        <w:jc w:val="both"/>
        <w:rPr>
          <w:bCs/>
        </w:rPr>
      </w:pPr>
      <w:r w:rsidRPr="001D2167">
        <w:rPr>
          <w:bCs/>
        </w:rPr>
        <w:t>Scory S, Caffrey CR, Stierhof YD</w:t>
      </w:r>
      <w:r w:rsidR="00646056">
        <w:rPr>
          <w:bCs/>
        </w:rPr>
        <w:t>, Ruppel A, Steverding D</w:t>
      </w:r>
      <w:r>
        <w:rPr>
          <w:bCs/>
        </w:rPr>
        <w:t xml:space="preserve"> </w:t>
      </w:r>
      <w:r w:rsidR="00646056">
        <w:rPr>
          <w:bCs/>
        </w:rPr>
        <w:t>(</w:t>
      </w:r>
      <w:r>
        <w:rPr>
          <w:bCs/>
        </w:rPr>
        <w:t>1999</w:t>
      </w:r>
      <w:r w:rsidR="00646056">
        <w:rPr>
          <w:bCs/>
        </w:rPr>
        <w:t>)</w:t>
      </w:r>
      <w:r w:rsidRPr="001D2167">
        <w:rPr>
          <w:bCs/>
        </w:rPr>
        <w:t xml:space="preserve"> </w:t>
      </w:r>
      <w:r w:rsidRPr="001D2167">
        <w:rPr>
          <w:bCs/>
          <w:i/>
        </w:rPr>
        <w:t>Trypanosoma brucei</w:t>
      </w:r>
      <w:r w:rsidRPr="001D2167">
        <w:rPr>
          <w:bCs/>
        </w:rPr>
        <w:t xml:space="preserve">: killing of bloodstream forms </w:t>
      </w:r>
      <w:r w:rsidRPr="001D2167">
        <w:rPr>
          <w:bCs/>
          <w:i/>
        </w:rPr>
        <w:t>in vitro</w:t>
      </w:r>
      <w:r w:rsidRPr="001D2167">
        <w:rPr>
          <w:bCs/>
        </w:rPr>
        <w:t xml:space="preserve"> and </w:t>
      </w:r>
      <w:r w:rsidRPr="001D2167">
        <w:rPr>
          <w:bCs/>
          <w:i/>
        </w:rPr>
        <w:t>in vivo</w:t>
      </w:r>
      <w:r w:rsidRPr="001D2167">
        <w:rPr>
          <w:bCs/>
        </w:rPr>
        <w:t xml:space="preserve"> by the cysteine proteinase inhibitor Z-Phe-Ala-CHN</w:t>
      </w:r>
      <w:r w:rsidRPr="001D2167">
        <w:rPr>
          <w:bCs/>
          <w:vertAlign w:val="subscript"/>
        </w:rPr>
        <w:t>2</w:t>
      </w:r>
      <w:r w:rsidRPr="001D2167">
        <w:rPr>
          <w:bCs/>
        </w:rPr>
        <w:t>. Exp Parasitol</w:t>
      </w:r>
      <w:r>
        <w:rPr>
          <w:bCs/>
        </w:rPr>
        <w:t xml:space="preserve"> </w:t>
      </w:r>
      <w:r w:rsidRPr="001D2167">
        <w:rPr>
          <w:bCs/>
        </w:rPr>
        <w:t>91</w:t>
      </w:r>
      <w:r w:rsidR="00646056">
        <w:rPr>
          <w:bCs/>
        </w:rPr>
        <w:t>:</w:t>
      </w:r>
      <w:r w:rsidRPr="001D2167">
        <w:rPr>
          <w:bCs/>
        </w:rPr>
        <w:t>327-</w:t>
      </w:r>
      <w:r>
        <w:rPr>
          <w:bCs/>
        </w:rPr>
        <w:t>3</w:t>
      </w:r>
      <w:r w:rsidR="00646056">
        <w:rPr>
          <w:bCs/>
        </w:rPr>
        <w:t>33</w:t>
      </w:r>
    </w:p>
    <w:p w:rsidR="008E5A84" w:rsidRDefault="008E5A84" w:rsidP="00C81345">
      <w:pPr>
        <w:spacing w:line="480" w:lineRule="exact"/>
        <w:ind w:left="426" w:hanging="426"/>
        <w:jc w:val="both"/>
        <w:rPr>
          <w:bCs/>
        </w:rPr>
      </w:pPr>
      <w:r w:rsidRPr="008E5A84">
        <w:rPr>
          <w:bCs/>
        </w:rPr>
        <w:t>Steverding D, Stierhof YD, Fuchs H</w:t>
      </w:r>
      <w:r w:rsidR="00646056">
        <w:rPr>
          <w:bCs/>
        </w:rPr>
        <w:t>, Tauber R, Overath P</w:t>
      </w:r>
      <w:r>
        <w:rPr>
          <w:bCs/>
        </w:rPr>
        <w:t xml:space="preserve"> </w:t>
      </w:r>
      <w:r w:rsidR="00646056">
        <w:rPr>
          <w:bCs/>
        </w:rPr>
        <w:t>(</w:t>
      </w:r>
      <w:r>
        <w:rPr>
          <w:bCs/>
        </w:rPr>
        <w:t>1995</w:t>
      </w:r>
      <w:r w:rsidR="00646056">
        <w:rPr>
          <w:bCs/>
        </w:rPr>
        <w:t>)</w:t>
      </w:r>
      <w:r w:rsidRPr="008E5A84">
        <w:rPr>
          <w:bCs/>
        </w:rPr>
        <w:t xml:space="preserve"> Transferrin-binding protein complex is the receptor for transferrin uptake in </w:t>
      </w:r>
      <w:r w:rsidRPr="008E5A84">
        <w:rPr>
          <w:bCs/>
          <w:i/>
        </w:rPr>
        <w:t>Trypanosoma brucei</w:t>
      </w:r>
      <w:r w:rsidRPr="008E5A84">
        <w:rPr>
          <w:bCs/>
        </w:rPr>
        <w:t>. J Cell Biol 131</w:t>
      </w:r>
      <w:r w:rsidR="00646056">
        <w:rPr>
          <w:bCs/>
        </w:rPr>
        <w:t>:</w:t>
      </w:r>
      <w:r w:rsidRPr="008E5A84">
        <w:rPr>
          <w:bCs/>
        </w:rPr>
        <w:t>1173-</w:t>
      </w:r>
      <w:r>
        <w:rPr>
          <w:bCs/>
        </w:rPr>
        <w:t>11</w:t>
      </w:r>
      <w:r w:rsidR="00646056">
        <w:rPr>
          <w:bCs/>
        </w:rPr>
        <w:t>82</w:t>
      </w:r>
    </w:p>
    <w:p w:rsidR="008C219F" w:rsidRDefault="008C219F" w:rsidP="00C81345">
      <w:pPr>
        <w:spacing w:line="480" w:lineRule="exact"/>
        <w:ind w:left="426" w:hanging="426"/>
        <w:jc w:val="both"/>
        <w:rPr>
          <w:bCs/>
        </w:rPr>
      </w:pPr>
      <w:r w:rsidRPr="008C219F">
        <w:rPr>
          <w:bCs/>
        </w:rPr>
        <w:t>Steverding D, Caffrey CR, Said</w:t>
      </w:r>
      <w:r w:rsidR="00646056">
        <w:rPr>
          <w:bCs/>
        </w:rPr>
        <w:t xml:space="preserve"> M</w:t>
      </w:r>
      <w:r>
        <w:rPr>
          <w:bCs/>
        </w:rPr>
        <w:t xml:space="preserve"> </w:t>
      </w:r>
      <w:r w:rsidR="00646056">
        <w:rPr>
          <w:bCs/>
        </w:rPr>
        <w:t>(2006)</w:t>
      </w:r>
      <w:r w:rsidRPr="008C219F">
        <w:rPr>
          <w:bCs/>
        </w:rPr>
        <w:t xml:space="preserve"> Cysteine proteinase inhibitors as therapy for parasitic diseases: advances in inhibitor design. Mini Rev Med Chem</w:t>
      </w:r>
      <w:r w:rsidR="00646056">
        <w:rPr>
          <w:bCs/>
        </w:rPr>
        <w:t xml:space="preserve"> 6:</w:t>
      </w:r>
      <w:r w:rsidRPr="008C219F">
        <w:rPr>
          <w:bCs/>
        </w:rPr>
        <w:t>1025-</w:t>
      </w:r>
      <w:r>
        <w:rPr>
          <w:bCs/>
        </w:rPr>
        <w:t>10</w:t>
      </w:r>
      <w:r w:rsidR="00646056">
        <w:rPr>
          <w:bCs/>
        </w:rPr>
        <w:t>32</w:t>
      </w:r>
    </w:p>
    <w:p w:rsidR="00407123" w:rsidRDefault="00407123" w:rsidP="00407123">
      <w:pPr>
        <w:spacing w:line="480" w:lineRule="exact"/>
        <w:ind w:left="426" w:hanging="426"/>
        <w:jc w:val="both"/>
        <w:rPr>
          <w:bCs/>
        </w:rPr>
      </w:pPr>
      <w:r w:rsidRPr="001D2167">
        <w:rPr>
          <w:bCs/>
        </w:rPr>
        <w:t>Steverding D, Sexton DW, Wang X</w:t>
      </w:r>
      <w:r w:rsidR="00646056">
        <w:rPr>
          <w:bCs/>
        </w:rPr>
        <w:t>, Gehrke SS, Wagner GK, Caffrey</w:t>
      </w:r>
      <w:r>
        <w:rPr>
          <w:bCs/>
        </w:rPr>
        <w:t xml:space="preserve"> </w:t>
      </w:r>
      <w:r w:rsidR="00646056">
        <w:rPr>
          <w:bCs/>
        </w:rPr>
        <w:t>CR</w:t>
      </w:r>
      <w:r>
        <w:rPr>
          <w:bCs/>
        </w:rPr>
        <w:t xml:space="preserve"> </w:t>
      </w:r>
      <w:r w:rsidR="00646056">
        <w:rPr>
          <w:bCs/>
        </w:rPr>
        <w:t>(</w:t>
      </w:r>
      <w:r>
        <w:rPr>
          <w:bCs/>
        </w:rPr>
        <w:t>2012a</w:t>
      </w:r>
      <w:r w:rsidR="00646056">
        <w:rPr>
          <w:bCs/>
        </w:rPr>
        <w:t>)</w:t>
      </w:r>
      <w:r w:rsidRPr="001D2167">
        <w:rPr>
          <w:bCs/>
        </w:rPr>
        <w:t xml:space="preserve"> </w:t>
      </w:r>
      <w:r w:rsidRPr="001D2167">
        <w:rPr>
          <w:bCs/>
          <w:i/>
        </w:rPr>
        <w:t>Trypanosoma brucei</w:t>
      </w:r>
      <w:r w:rsidRPr="001D2167">
        <w:rPr>
          <w:bCs/>
        </w:rPr>
        <w:t>: chemical evidence that cathepsin L is essential for survival and a relevant drug target. Int J Parasitol 42</w:t>
      </w:r>
      <w:r w:rsidR="00646056">
        <w:rPr>
          <w:bCs/>
        </w:rPr>
        <w:t>:</w:t>
      </w:r>
      <w:r w:rsidRPr="001D2167">
        <w:rPr>
          <w:bCs/>
        </w:rPr>
        <w:t>481-</w:t>
      </w:r>
      <w:r>
        <w:rPr>
          <w:bCs/>
        </w:rPr>
        <w:t>48</w:t>
      </w:r>
      <w:r w:rsidR="00646056">
        <w:rPr>
          <w:bCs/>
        </w:rPr>
        <w:t>8</w:t>
      </w:r>
    </w:p>
    <w:p w:rsidR="00D6692B" w:rsidRPr="008E5A84" w:rsidRDefault="00D6692B" w:rsidP="00C81345">
      <w:pPr>
        <w:spacing w:line="480" w:lineRule="exact"/>
        <w:ind w:left="426" w:hanging="426"/>
        <w:jc w:val="both"/>
        <w:rPr>
          <w:bCs/>
        </w:rPr>
      </w:pPr>
      <w:r w:rsidRPr="00D6692B">
        <w:rPr>
          <w:bCs/>
        </w:rPr>
        <w:t>Steverding D, Sexton DW, Chrysochoidi N, Cao F</w:t>
      </w:r>
      <w:r w:rsidR="00407123">
        <w:rPr>
          <w:bCs/>
        </w:rPr>
        <w:t xml:space="preserve"> </w:t>
      </w:r>
      <w:r w:rsidR="00646056">
        <w:rPr>
          <w:bCs/>
        </w:rPr>
        <w:t>(</w:t>
      </w:r>
      <w:r w:rsidR="00407123">
        <w:rPr>
          <w:bCs/>
        </w:rPr>
        <w:t>2012b</w:t>
      </w:r>
      <w:r w:rsidR="00646056">
        <w:rPr>
          <w:bCs/>
        </w:rPr>
        <w:t>)</w:t>
      </w:r>
      <w:r w:rsidR="003B6946">
        <w:rPr>
          <w:bCs/>
        </w:rPr>
        <w:t xml:space="preserve"> </w:t>
      </w:r>
      <w:r w:rsidR="003B6946" w:rsidRPr="003B6946">
        <w:rPr>
          <w:bCs/>
          <w:i/>
        </w:rPr>
        <w:t>Trypanosoma brucei</w:t>
      </w:r>
      <w:r w:rsidR="003B6946" w:rsidRPr="003B6946">
        <w:rPr>
          <w:bCs/>
        </w:rPr>
        <w:t xml:space="preserve"> transferrin receptor can bind C-lobe and N-lobe fragments of transferrin</w:t>
      </w:r>
      <w:r w:rsidR="0061100A">
        <w:rPr>
          <w:bCs/>
        </w:rPr>
        <w:t>. Mol B</w:t>
      </w:r>
      <w:r w:rsidR="00646056">
        <w:rPr>
          <w:bCs/>
        </w:rPr>
        <w:t>iochem Parasitol 185:99-105</w:t>
      </w:r>
    </w:p>
    <w:p w:rsidR="000D1E7C" w:rsidRDefault="000D1E7C" w:rsidP="00C81345">
      <w:pPr>
        <w:spacing w:line="480" w:lineRule="exact"/>
        <w:ind w:left="426" w:hanging="426"/>
        <w:jc w:val="both"/>
        <w:rPr>
          <w:bCs/>
        </w:rPr>
      </w:pPr>
      <w:r w:rsidRPr="000D1E7C">
        <w:rPr>
          <w:bCs/>
        </w:rPr>
        <w:t>Troeberg L, Morty RE, Pike RN</w:t>
      </w:r>
      <w:r>
        <w:rPr>
          <w:bCs/>
        </w:rPr>
        <w:t xml:space="preserve">, </w:t>
      </w:r>
      <w:r w:rsidRPr="000D1E7C">
        <w:rPr>
          <w:bCs/>
        </w:rPr>
        <w:t>Lonsdale-Eccles JD, Palmer JT, McKerrow JH, Coetzer TH</w:t>
      </w:r>
      <w:r>
        <w:rPr>
          <w:bCs/>
        </w:rPr>
        <w:t xml:space="preserve"> </w:t>
      </w:r>
      <w:r w:rsidR="00646056">
        <w:rPr>
          <w:bCs/>
        </w:rPr>
        <w:t>(1999)</w:t>
      </w:r>
      <w:r w:rsidRPr="000D1E7C">
        <w:rPr>
          <w:bCs/>
        </w:rPr>
        <w:t xml:space="preserve"> Cysteine proteinase inhibitors kill cultured bloodstream forms of </w:t>
      </w:r>
      <w:r w:rsidRPr="000D1E7C">
        <w:rPr>
          <w:bCs/>
          <w:i/>
        </w:rPr>
        <w:t>Trypanosoma brucei brucei</w:t>
      </w:r>
      <w:r w:rsidRPr="000D1E7C">
        <w:rPr>
          <w:bCs/>
        </w:rPr>
        <w:t>. Exp Parasitol</w:t>
      </w:r>
      <w:r>
        <w:rPr>
          <w:bCs/>
        </w:rPr>
        <w:t xml:space="preserve"> </w:t>
      </w:r>
      <w:r w:rsidRPr="000D1E7C">
        <w:rPr>
          <w:bCs/>
        </w:rPr>
        <w:t>91</w:t>
      </w:r>
      <w:r w:rsidR="00646056">
        <w:rPr>
          <w:bCs/>
        </w:rPr>
        <w:t>:</w:t>
      </w:r>
      <w:r w:rsidRPr="000D1E7C">
        <w:rPr>
          <w:bCs/>
        </w:rPr>
        <w:t>349-</w:t>
      </w:r>
      <w:r>
        <w:rPr>
          <w:bCs/>
        </w:rPr>
        <w:t>3</w:t>
      </w:r>
      <w:r w:rsidRPr="000D1E7C">
        <w:rPr>
          <w:bCs/>
        </w:rPr>
        <w:t>55</w:t>
      </w:r>
    </w:p>
    <w:p w:rsidR="00CF3556" w:rsidRDefault="00646056" w:rsidP="00C81345">
      <w:pPr>
        <w:spacing w:line="480" w:lineRule="exact"/>
        <w:ind w:left="426" w:hanging="426"/>
        <w:jc w:val="both"/>
        <w:rPr>
          <w:bCs/>
        </w:rPr>
      </w:pPr>
      <w:r>
        <w:rPr>
          <w:bCs/>
        </w:rPr>
        <w:t>Vafiadi</w:t>
      </w:r>
      <w:r w:rsidR="00CF3556" w:rsidRPr="00CF3556">
        <w:rPr>
          <w:bCs/>
        </w:rPr>
        <w:t xml:space="preserve"> </w:t>
      </w:r>
      <w:r>
        <w:rPr>
          <w:bCs/>
        </w:rPr>
        <w:t>C, Topakas E, Wong KKY, Suckling</w:t>
      </w:r>
      <w:r w:rsidR="00CF3556">
        <w:rPr>
          <w:bCs/>
        </w:rPr>
        <w:t xml:space="preserve"> I</w:t>
      </w:r>
      <w:r>
        <w:rPr>
          <w:bCs/>
        </w:rPr>
        <w:t>D, Christakopoulos P</w:t>
      </w:r>
      <w:r w:rsidR="00CF3556" w:rsidRPr="00CF3556">
        <w:rPr>
          <w:bCs/>
        </w:rPr>
        <w:t xml:space="preserve"> </w:t>
      </w:r>
      <w:r>
        <w:rPr>
          <w:bCs/>
        </w:rPr>
        <w:t>(2005)</w:t>
      </w:r>
      <w:r w:rsidR="00CF3556">
        <w:rPr>
          <w:bCs/>
        </w:rPr>
        <w:t xml:space="preserve"> </w:t>
      </w:r>
      <w:r w:rsidR="00CF3556" w:rsidRPr="00CF3556">
        <w:rPr>
          <w:bCs/>
        </w:rPr>
        <w:t xml:space="preserve">Mapping the hydrolytic and synthetic selectivity of a type C feruloyl esterase (StFaeC) from </w:t>
      </w:r>
      <w:r w:rsidR="00CF3556" w:rsidRPr="00CF3556">
        <w:rPr>
          <w:bCs/>
          <w:i/>
        </w:rPr>
        <w:t>Sporotrichum thermophile</w:t>
      </w:r>
      <w:r>
        <w:rPr>
          <w:bCs/>
        </w:rPr>
        <w:t xml:space="preserve"> using alkyl ferulates.</w:t>
      </w:r>
      <w:r w:rsidR="00CF3556" w:rsidRPr="00CF3556">
        <w:rPr>
          <w:bCs/>
        </w:rPr>
        <w:t xml:space="preserve"> Tetrahed</w:t>
      </w:r>
      <w:r>
        <w:rPr>
          <w:bCs/>
        </w:rPr>
        <w:t>ron: Asymmetry 16:</w:t>
      </w:r>
      <w:r w:rsidR="00CF3556">
        <w:rPr>
          <w:bCs/>
        </w:rPr>
        <w:t>373–379</w:t>
      </w:r>
    </w:p>
    <w:p w:rsidR="00D87909" w:rsidRPr="00D87909" w:rsidRDefault="00D87909" w:rsidP="00D87909">
      <w:pPr>
        <w:spacing w:line="480" w:lineRule="exact"/>
        <w:ind w:left="284" w:hanging="284"/>
        <w:jc w:val="both"/>
      </w:pPr>
      <w:r>
        <w:t>Vicik R, Hoerr V, Glaser M</w:t>
      </w:r>
      <w:r w:rsidRPr="00F61040">
        <w:t>, Schultheis</w:t>
      </w:r>
      <w:r>
        <w:t xml:space="preserve"> M, Hansell E, McKerrow JH, Holzgrabe U, Caffrey CR, Ponte-Sucre A, Moll H. Stich A, Schirmeister T (2006)</w:t>
      </w:r>
      <w:r w:rsidRPr="00F61040">
        <w:t xml:space="preserve"> Aziridine-2,3-dicarboxylate inhibitors targeting the major cysteine protease of </w:t>
      </w:r>
      <w:r w:rsidRPr="00F61040">
        <w:rPr>
          <w:i/>
        </w:rPr>
        <w:t>Trypanosoma brucei</w:t>
      </w:r>
      <w:r w:rsidRPr="00F61040">
        <w:t xml:space="preserve"> as l</w:t>
      </w:r>
      <w:r>
        <w:t>ead trypanocidal agents. Bioorg Med Chem Lett</w:t>
      </w:r>
      <w:r w:rsidRPr="00F61040">
        <w:t xml:space="preserve"> </w:t>
      </w:r>
      <w:r>
        <w:t>16;</w:t>
      </w:r>
      <w:r w:rsidRPr="00F61040">
        <w:t>2753-2757</w:t>
      </w:r>
    </w:p>
    <w:p w:rsidR="00DC4719" w:rsidRPr="00CC1A7F" w:rsidRDefault="00DC4719" w:rsidP="00C81345">
      <w:pPr>
        <w:spacing w:line="480" w:lineRule="exact"/>
        <w:ind w:left="426" w:hanging="426"/>
        <w:jc w:val="both"/>
        <w:rPr>
          <w:bCs/>
        </w:rPr>
      </w:pPr>
      <w:r w:rsidRPr="00CC1A7F">
        <w:rPr>
          <w:bCs/>
        </w:rPr>
        <w:t xml:space="preserve">World Health Organization </w:t>
      </w:r>
      <w:r w:rsidR="00CC1A7F" w:rsidRPr="00CC1A7F">
        <w:rPr>
          <w:bCs/>
        </w:rPr>
        <w:t>(2005)</w:t>
      </w:r>
      <w:r w:rsidRPr="00CC1A7F">
        <w:rPr>
          <w:bCs/>
        </w:rPr>
        <w:t xml:space="preserve"> Control of human African trypanosomiasis: a strategy for the African region. AFRO (AFR/RC55/11)</w:t>
      </w:r>
      <w:r w:rsidR="00CC1A7F" w:rsidRPr="00CC1A7F">
        <w:rPr>
          <w:bCs/>
        </w:rPr>
        <w:t xml:space="preserve">. </w:t>
      </w:r>
      <w:hyperlink r:id="rId17" w:history="1">
        <w:r w:rsidR="005157B7" w:rsidRPr="00CC1A7F">
          <w:rPr>
            <w:rStyle w:val="Hyperlink"/>
            <w:bCs/>
            <w:color w:val="auto"/>
            <w:u w:val="none"/>
          </w:rPr>
          <w:t>http://www.who.int/trypanosomiasis_african/resources/afro_tryps_strategy.pdf</w:t>
        </w:r>
      </w:hyperlink>
      <w:r w:rsidR="00CC1A7F" w:rsidRPr="00CC1A7F">
        <w:rPr>
          <w:bCs/>
        </w:rPr>
        <w:t>. Accessed 10 June 2016</w:t>
      </w:r>
      <w:r w:rsidR="005157B7" w:rsidRPr="00CC1A7F">
        <w:rPr>
          <w:bCs/>
        </w:rPr>
        <w:t>.</w:t>
      </w:r>
    </w:p>
    <w:p w:rsidR="00DC4719" w:rsidRPr="00CC1A7F" w:rsidRDefault="00DC4719" w:rsidP="00C81345">
      <w:pPr>
        <w:spacing w:line="480" w:lineRule="exact"/>
        <w:ind w:left="426" w:hanging="426"/>
        <w:jc w:val="both"/>
        <w:rPr>
          <w:bCs/>
        </w:rPr>
      </w:pPr>
      <w:r w:rsidRPr="00CC1A7F">
        <w:rPr>
          <w:bCs/>
        </w:rPr>
        <w:t>World Health Organization</w:t>
      </w:r>
      <w:r w:rsidR="005157B7" w:rsidRPr="00CC1A7F">
        <w:rPr>
          <w:bCs/>
        </w:rPr>
        <w:t xml:space="preserve"> </w:t>
      </w:r>
      <w:r w:rsidR="00CC1A7F" w:rsidRPr="00CC1A7F">
        <w:rPr>
          <w:bCs/>
        </w:rPr>
        <w:t>(</w:t>
      </w:r>
      <w:r w:rsidR="005157B7" w:rsidRPr="00CC1A7F">
        <w:rPr>
          <w:bCs/>
        </w:rPr>
        <w:t>2016</w:t>
      </w:r>
      <w:r w:rsidR="00CC1A7F" w:rsidRPr="00CC1A7F">
        <w:rPr>
          <w:bCs/>
        </w:rPr>
        <w:t>)</w:t>
      </w:r>
      <w:r w:rsidRPr="00CC1A7F">
        <w:rPr>
          <w:bCs/>
        </w:rPr>
        <w:t xml:space="preserve"> African trypanosomiasis (sleep</w:t>
      </w:r>
      <w:r w:rsidR="0061100A">
        <w:rPr>
          <w:bCs/>
        </w:rPr>
        <w:t>ing sickness). World Health Org</w:t>
      </w:r>
      <w:r w:rsidR="00CC1A7F" w:rsidRPr="00CC1A7F">
        <w:rPr>
          <w:bCs/>
        </w:rPr>
        <w:t xml:space="preserve"> Fact Sheet 259. </w:t>
      </w:r>
      <w:hyperlink r:id="rId18" w:history="1">
        <w:r w:rsidRPr="00CC1A7F">
          <w:rPr>
            <w:bCs/>
          </w:rPr>
          <w:t>http://www.who.int/mediacentre/factsheets/fs259/en/</w:t>
        </w:r>
      </w:hyperlink>
      <w:r w:rsidR="00CC1A7F" w:rsidRPr="00CC1A7F">
        <w:rPr>
          <w:bCs/>
        </w:rPr>
        <w:t>. Accessed 10 June 2016</w:t>
      </w:r>
      <w:r w:rsidR="005157B7" w:rsidRPr="00CC1A7F">
        <w:rPr>
          <w:bCs/>
        </w:rPr>
        <w:t>.</w:t>
      </w:r>
    </w:p>
    <w:p w:rsidR="00796615" w:rsidRPr="008110AC" w:rsidRDefault="00796615" w:rsidP="0077176A">
      <w:pPr>
        <w:spacing w:line="480" w:lineRule="exact"/>
        <w:jc w:val="both"/>
      </w:pPr>
      <w:r w:rsidRPr="008110AC">
        <w:br w:type="page"/>
      </w:r>
    </w:p>
    <w:p w:rsidR="00796615" w:rsidRPr="00D072DD" w:rsidRDefault="00796615" w:rsidP="00C03920">
      <w:pPr>
        <w:spacing w:line="480" w:lineRule="exact"/>
        <w:jc w:val="both"/>
        <w:rPr>
          <w:b/>
        </w:rPr>
      </w:pPr>
      <w:r w:rsidRPr="00D072DD">
        <w:rPr>
          <w:b/>
        </w:rPr>
        <w:lastRenderedPageBreak/>
        <w:t>Figure Legends</w:t>
      </w:r>
    </w:p>
    <w:p w:rsidR="00796615" w:rsidRDefault="00796615" w:rsidP="00C03920">
      <w:pPr>
        <w:spacing w:line="480" w:lineRule="exact"/>
        <w:jc w:val="both"/>
      </w:pPr>
    </w:p>
    <w:p w:rsidR="004A020E" w:rsidRDefault="00504829" w:rsidP="00C03920">
      <w:pPr>
        <w:spacing w:line="480" w:lineRule="exact"/>
        <w:jc w:val="both"/>
      </w:pPr>
      <w:r>
        <w:rPr>
          <w:b/>
        </w:rPr>
        <w:t>Fig. 1</w:t>
      </w:r>
      <w:r w:rsidR="00D6483B">
        <w:t xml:space="preserve"> Structure of caffeic acid, isopentyl caffeate and ethyl ferulate.</w:t>
      </w:r>
      <w:r w:rsidR="004A020E">
        <w:t xml:space="preserve"> </w:t>
      </w:r>
      <w:r w:rsidR="004A020E" w:rsidRPr="004A020E">
        <w:t>The PubChem Compound Identifier (CID) for each compound is shown in parentheses</w:t>
      </w:r>
    </w:p>
    <w:p w:rsidR="004A020E" w:rsidRDefault="004A020E" w:rsidP="00C03920">
      <w:pPr>
        <w:spacing w:line="480" w:lineRule="exact"/>
        <w:jc w:val="both"/>
      </w:pPr>
    </w:p>
    <w:p w:rsidR="00825512" w:rsidRPr="00825512" w:rsidRDefault="00504829" w:rsidP="00825512">
      <w:pPr>
        <w:spacing w:line="480" w:lineRule="exact"/>
        <w:jc w:val="both"/>
      </w:pPr>
      <w:r>
        <w:rPr>
          <w:b/>
        </w:rPr>
        <w:t>Fig. 2</w:t>
      </w:r>
      <w:r w:rsidR="00357A9D">
        <w:t xml:space="preserve"> </w:t>
      </w:r>
      <w:r w:rsidR="00825512" w:rsidRPr="00825512">
        <w:t xml:space="preserve">Effect of </w:t>
      </w:r>
      <w:r w:rsidR="00825512">
        <w:t>isopentyl caffeate, ethyl ferulate and caffeic acid</w:t>
      </w:r>
      <w:r w:rsidR="00825512" w:rsidRPr="00825512">
        <w:t xml:space="preserve"> on the growth of bloodstream forms of </w:t>
      </w:r>
      <w:r w:rsidR="00825512" w:rsidRPr="00825512">
        <w:rPr>
          <w:i/>
        </w:rPr>
        <w:t>T. brucei</w:t>
      </w:r>
      <w:r w:rsidR="00825512" w:rsidRPr="00825512">
        <w:t xml:space="preserve"> and human </w:t>
      </w:r>
      <w:r w:rsidR="00825512">
        <w:t>myeloid leukaemia HL-60 cells. Trypanosomes (close</w:t>
      </w:r>
      <w:r w:rsidR="00B93116">
        <w:t>d</w:t>
      </w:r>
      <w:r w:rsidR="00825512">
        <w:t xml:space="preserve"> symbols) and HL-60 cells (open symbols</w:t>
      </w:r>
      <w:r w:rsidR="00825512" w:rsidRPr="00825512">
        <w:t>) were incubated wit</w:t>
      </w:r>
      <w:r w:rsidR="00825512">
        <w:t>h varying concentrations of isopentyl caffeate (circles), ethyl ferulate (squares</w:t>
      </w:r>
      <w:r w:rsidR="00357A9D">
        <w:t xml:space="preserve">) and caffeic acid (triangles). </w:t>
      </w:r>
      <w:r w:rsidR="00357A9D" w:rsidRPr="00357A9D">
        <w:t>After 72 h of culture, cell viability and proliferation were determined with the colorimetric dye resazurin</w:t>
      </w:r>
      <w:r w:rsidR="00357A9D">
        <w:t xml:space="preserve">. </w:t>
      </w:r>
      <w:r w:rsidR="00825512" w:rsidRPr="00825512">
        <w:t>The experiment was repeated three times and mean values are shown.</w:t>
      </w:r>
      <w:r w:rsidR="00357A9D">
        <w:t xml:space="preserve"> </w:t>
      </w:r>
      <w:r w:rsidR="00357A9D" w:rsidRPr="00580D51">
        <w:t>The standard deviation</w:t>
      </w:r>
      <w:r w:rsidR="00626C13">
        <w:t>s ranged between 0.6 to 9.1 percentage points</w:t>
      </w:r>
    </w:p>
    <w:p w:rsidR="00825512" w:rsidRDefault="00825512" w:rsidP="00C03920">
      <w:pPr>
        <w:spacing w:line="480" w:lineRule="exact"/>
        <w:jc w:val="both"/>
      </w:pPr>
    </w:p>
    <w:p w:rsidR="00FD3E7F" w:rsidRPr="00580D51" w:rsidRDefault="00580D51" w:rsidP="00FD3E7F">
      <w:pPr>
        <w:spacing w:line="480" w:lineRule="exact"/>
        <w:jc w:val="both"/>
      </w:pPr>
      <w:r>
        <w:rPr>
          <w:b/>
        </w:rPr>
        <w:t>Fig.</w:t>
      </w:r>
      <w:r w:rsidR="00437870">
        <w:rPr>
          <w:b/>
        </w:rPr>
        <w:t xml:space="preserve"> 3</w:t>
      </w:r>
      <w:r w:rsidR="00FD3E7F" w:rsidRPr="00580D51">
        <w:t xml:space="preserve"> Effect of </w:t>
      </w:r>
      <w:r w:rsidR="00FD3E7F" w:rsidRPr="00580D51">
        <w:rPr>
          <w:iCs/>
        </w:rPr>
        <w:t xml:space="preserve">isopentyl caffeate on the activity of </w:t>
      </w:r>
      <w:r w:rsidR="00FD3E7F" w:rsidRPr="00580D51">
        <w:rPr>
          <w:i/>
          <w:iCs/>
        </w:rPr>
        <w:t>Tb</w:t>
      </w:r>
      <w:r w:rsidR="00FD3E7F" w:rsidRPr="00580D51">
        <w:rPr>
          <w:iCs/>
        </w:rPr>
        <w:t>CATL and hCATL</w:t>
      </w:r>
      <w:r w:rsidR="00F2176D">
        <w:t>. Purified</w:t>
      </w:r>
      <w:r w:rsidR="00FD3E7F" w:rsidRPr="00580D51">
        <w:t xml:space="preserve"> </w:t>
      </w:r>
      <w:r w:rsidR="00FD3E7F" w:rsidRPr="00580D51">
        <w:rPr>
          <w:i/>
        </w:rPr>
        <w:t>Tb</w:t>
      </w:r>
      <w:r w:rsidR="00FD3E7F" w:rsidRPr="00580D51">
        <w:t>CATL (cirlces) and human liver CATL (squares) were incubated with varying concentrations of isopentyl caffeate in 100 mM citrate, pH 5.0, 2 mM DTT, 5</w:t>
      </w:r>
      <w:r w:rsidR="0026287A" w:rsidRPr="00580D51">
        <w:t xml:space="preserve"> </w:t>
      </w:r>
      <w:r w:rsidR="00FD3E7F" w:rsidRPr="00580D51">
        <w:t xml:space="preserve">μM Z-FR-AMC. After 10 min, the reaction was stopped by adding 5 mM </w:t>
      </w:r>
      <w:r w:rsidR="0026287A" w:rsidRPr="00580D51">
        <w:t>iodoacetic acid and the fluorescence of liberated AMC measured</w:t>
      </w:r>
      <w:r w:rsidR="00FD3E7F" w:rsidRPr="00580D51">
        <w:t>. The experiment was repeated three times and mean values</w:t>
      </w:r>
      <w:r w:rsidR="0026287A" w:rsidRPr="00580D51">
        <w:t xml:space="preserve"> ± SD</w:t>
      </w:r>
      <w:r w:rsidR="00504829">
        <w:t xml:space="preserve"> are shown</w:t>
      </w:r>
    </w:p>
    <w:p w:rsidR="00880C80" w:rsidRPr="00580D51" w:rsidRDefault="00880C80" w:rsidP="00FD3E7F">
      <w:pPr>
        <w:spacing w:line="480" w:lineRule="exact"/>
        <w:jc w:val="both"/>
      </w:pPr>
    </w:p>
    <w:p w:rsidR="00880C80" w:rsidRPr="00580D51" w:rsidRDefault="00580D51" w:rsidP="00FD3E7F">
      <w:pPr>
        <w:spacing w:line="480" w:lineRule="exact"/>
        <w:jc w:val="both"/>
      </w:pPr>
      <w:r>
        <w:rPr>
          <w:b/>
        </w:rPr>
        <w:t>Fig.</w:t>
      </w:r>
      <w:r w:rsidR="00437870">
        <w:rPr>
          <w:b/>
        </w:rPr>
        <w:t xml:space="preserve"> 4</w:t>
      </w:r>
      <w:r w:rsidR="00880C80" w:rsidRPr="00580D51">
        <w:t xml:space="preserve"> Determination of inhibitory type and inhibition constant of isopentyl caffeate.</w:t>
      </w:r>
      <w:r w:rsidR="00D918BB" w:rsidRPr="00580D51">
        <w:t xml:space="preserve"> (</w:t>
      </w:r>
      <w:r>
        <w:t>A</w:t>
      </w:r>
      <w:r w:rsidR="00D918BB" w:rsidRPr="00580D51">
        <w:t xml:space="preserve">) Lineweaver Burk plot for inhibition of </w:t>
      </w:r>
      <w:r w:rsidR="00D918BB" w:rsidRPr="00580D51">
        <w:rPr>
          <w:i/>
        </w:rPr>
        <w:t>Tb</w:t>
      </w:r>
      <w:r w:rsidR="004D3285" w:rsidRPr="00580D51">
        <w:t>CATL by isopentyl caffeate. The concentration of isopentyl caffeate were 0 μg/ml (open circles), 10 μg/ml (open squares), 20 μg/ml (open triangles) and 30 μg/lm (open diamonds). (</w:t>
      </w:r>
      <w:r>
        <w:t>B</w:t>
      </w:r>
      <w:r w:rsidR="004D3285" w:rsidRPr="00580D51">
        <w:t>)</w:t>
      </w:r>
      <w:r w:rsidR="00F33364" w:rsidRPr="00580D51">
        <w:t xml:space="preserve"> Dixon plot for determining the inhibition constant K</w:t>
      </w:r>
      <w:r w:rsidR="00F33364" w:rsidRPr="00580D51">
        <w:rPr>
          <w:vertAlign w:val="subscript"/>
        </w:rPr>
        <w:t>i</w:t>
      </w:r>
      <w:r w:rsidR="00F33364" w:rsidRPr="00580D51">
        <w:t>. The concentration of substrate were 0.125 μM (</w:t>
      </w:r>
      <w:r w:rsidR="0048107E" w:rsidRPr="00580D51">
        <w:t xml:space="preserve">closed triangle), 0.25 μM </w:t>
      </w:r>
      <w:bookmarkStart w:id="0" w:name="_GoBack"/>
      <w:r w:rsidR="0048107E" w:rsidRPr="00EA2465">
        <w:t>(close</w:t>
      </w:r>
      <w:r w:rsidR="00452785" w:rsidRPr="00EA2465">
        <w:t>d</w:t>
      </w:r>
      <w:r w:rsidR="0048107E" w:rsidRPr="00580D51">
        <w:t xml:space="preserve"> </w:t>
      </w:r>
      <w:bookmarkEnd w:id="0"/>
      <w:r w:rsidR="0048107E" w:rsidRPr="00580D51">
        <w:t>squares) and 0.5 μM (closed circles).</w:t>
      </w:r>
      <w:r w:rsidR="001019BF" w:rsidRPr="00580D51">
        <w:t xml:space="preserve"> The experiment was repeated three times and mean values are shown. The standard deviations ranged between 0 to 9.5% (avera</w:t>
      </w:r>
      <w:r w:rsidR="00504829">
        <w:t>ge 4.0±2.8%) of the mean values</w:t>
      </w:r>
    </w:p>
    <w:p w:rsidR="00945A22" w:rsidRPr="00580D51" w:rsidRDefault="00945A22" w:rsidP="00FD3E7F">
      <w:pPr>
        <w:spacing w:line="480" w:lineRule="exact"/>
        <w:jc w:val="both"/>
      </w:pPr>
    </w:p>
    <w:p w:rsidR="00702417" w:rsidRDefault="00437870" w:rsidP="00702417">
      <w:pPr>
        <w:spacing w:line="480" w:lineRule="exact"/>
        <w:jc w:val="both"/>
      </w:pPr>
      <w:r>
        <w:rPr>
          <w:b/>
        </w:rPr>
        <w:lastRenderedPageBreak/>
        <w:t>Fig. 5</w:t>
      </w:r>
      <w:r w:rsidR="00945A22" w:rsidRPr="00580D51">
        <w:t xml:space="preserve"> Accumulation of fluorescein-labelled transferrin in bloodstream forms of </w:t>
      </w:r>
      <w:r w:rsidR="00945A22" w:rsidRPr="00580D51">
        <w:rPr>
          <w:i/>
        </w:rPr>
        <w:t>T. brucei</w:t>
      </w:r>
      <w:r w:rsidR="00945A22" w:rsidRPr="00580D51">
        <w:t xml:space="preserve"> upon incubation with isopentyl caffeate. Trypanosomes were incubated with 50 μg/ml fluorescein-labelled transferrin in the absence (black line; negative control) or presence o</w:t>
      </w:r>
      <w:r w:rsidR="00756601">
        <w:t>f 100 μM isopentyl caffeate (blue line) or 100 μM Z-FA-DMK (red</w:t>
      </w:r>
      <w:r w:rsidR="00945A22" w:rsidRPr="00580D51">
        <w:t xml:space="preserve"> line; positive control) for 2 h. After washing and fixing of the cells, accumulated fluorescein-labelled transferrin was determined by flow cytometry</w:t>
      </w:r>
    </w:p>
    <w:p w:rsidR="00F2176D" w:rsidRDefault="00F2176D" w:rsidP="00F2176D">
      <w:pPr>
        <w:spacing w:line="480" w:lineRule="exact"/>
        <w:jc w:val="both"/>
      </w:pPr>
      <w:r>
        <w:br w:type="page"/>
      </w:r>
    </w:p>
    <w:p w:rsidR="00F2176D" w:rsidRPr="00437870" w:rsidRDefault="00F2176D" w:rsidP="00F2176D">
      <w:pPr>
        <w:rPr>
          <w:b/>
        </w:rPr>
      </w:pPr>
      <w:r w:rsidRPr="00437870">
        <w:rPr>
          <w:b/>
        </w:rPr>
        <w:lastRenderedPageBreak/>
        <w:t>Fig. 1</w:t>
      </w:r>
    </w:p>
    <w:p w:rsidR="00F2176D" w:rsidRDefault="00F2176D" w:rsidP="00F2176D"/>
    <w:p w:rsidR="00F2176D" w:rsidRDefault="00F2176D" w:rsidP="00F2176D">
      <w:pPr>
        <w:jc w:val="center"/>
      </w:pPr>
      <w:r>
        <w:rPr>
          <w:rFonts w:asciiTheme="minorHAnsi" w:eastAsiaTheme="minorHAnsi" w:hAnsiTheme="minorHAnsi" w:cstheme="minorBidi"/>
          <w:sz w:val="22"/>
          <w:szCs w:val="22"/>
          <w:lang w:eastAsia="en-US"/>
        </w:rPr>
        <w:object w:dxaOrig="3390" w:dyaOrig="15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9.35pt;height:79.5pt" o:ole="">
            <v:imagedata r:id="rId19" o:title=""/>
          </v:shape>
          <o:OLEObject Type="Embed" ProgID="ISISServer" ShapeID="_x0000_i1025" DrawAspect="Content" ObjectID="_1532161033" r:id="rId20">
            <o:FieldCodes>\s</o:FieldCodes>
          </o:OLEObject>
        </w:object>
      </w:r>
    </w:p>
    <w:p w:rsidR="00F2176D" w:rsidRDefault="00F2176D" w:rsidP="00F2176D"/>
    <w:p w:rsidR="00F2176D" w:rsidRDefault="00F2176D" w:rsidP="00F2176D">
      <w:pPr>
        <w:tabs>
          <w:tab w:val="left" w:pos="2268"/>
        </w:tabs>
        <w:spacing w:line="480" w:lineRule="exact"/>
      </w:pPr>
      <w:r>
        <w:tab/>
        <w:t>Caffeic acid: R</w:t>
      </w:r>
      <w:r w:rsidRPr="00D6483B">
        <w:rPr>
          <w:vertAlign w:val="subscript"/>
        </w:rPr>
        <w:t>1</w:t>
      </w:r>
      <w:r>
        <w:t xml:space="preserve"> = H, R</w:t>
      </w:r>
      <w:r w:rsidRPr="00D6483B">
        <w:rPr>
          <w:vertAlign w:val="subscript"/>
        </w:rPr>
        <w:t>2</w:t>
      </w:r>
      <w:r>
        <w:t xml:space="preserve"> = H (CID: 689043)</w:t>
      </w:r>
    </w:p>
    <w:p w:rsidR="00F2176D" w:rsidRPr="00D6483B" w:rsidRDefault="00F2176D" w:rsidP="00F2176D">
      <w:pPr>
        <w:tabs>
          <w:tab w:val="left" w:pos="2268"/>
        </w:tabs>
        <w:spacing w:line="480" w:lineRule="exact"/>
      </w:pPr>
      <w:r>
        <w:tab/>
        <w:t>Isopentyl caffeate: R</w:t>
      </w:r>
      <w:r w:rsidRPr="00D6483B">
        <w:rPr>
          <w:vertAlign w:val="subscript"/>
        </w:rPr>
        <w:t>1</w:t>
      </w:r>
      <w:r>
        <w:t xml:space="preserve"> = H, R</w:t>
      </w:r>
      <w:r w:rsidRPr="00D6483B">
        <w:rPr>
          <w:vertAlign w:val="subscript"/>
        </w:rPr>
        <w:t>2</w:t>
      </w:r>
      <w:r>
        <w:t xml:space="preserve"> = CH</w:t>
      </w:r>
      <w:r w:rsidRPr="00D6483B">
        <w:rPr>
          <w:vertAlign w:val="subscript"/>
        </w:rPr>
        <w:t>2</w:t>
      </w:r>
      <w:r>
        <w:t>CH</w:t>
      </w:r>
      <w:r w:rsidRPr="00D6483B">
        <w:rPr>
          <w:vertAlign w:val="subscript"/>
        </w:rPr>
        <w:t>2</w:t>
      </w:r>
      <w:r>
        <w:t>CH(CH</w:t>
      </w:r>
      <w:r w:rsidRPr="00D6483B">
        <w:rPr>
          <w:vertAlign w:val="subscript"/>
        </w:rPr>
        <w:t>3</w:t>
      </w:r>
      <w:r>
        <w:t>)</w:t>
      </w:r>
      <w:r w:rsidRPr="00D6483B">
        <w:rPr>
          <w:vertAlign w:val="subscript"/>
        </w:rPr>
        <w:t>2</w:t>
      </w:r>
      <w:r w:rsidRPr="00D6483B">
        <w:t xml:space="preserve"> </w:t>
      </w:r>
      <w:r>
        <w:t>(CID: 10264116)</w:t>
      </w:r>
    </w:p>
    <w:p w:rsidR="00F2176D" w:rsidRDefault="00F2176D" w:rsidP="00F2176D">
      <w:pPr>
        <w:tabs>
          <w:tab w:val="left" w:pos="2268"/>
        </w:tabs>
        <w:spacing w:line="480" w:lineRule="exact"/>
      </w:pPr>
      <w:r>
        <w:tab/>
        <w:t>Ethyl ferulate: R</w:t>
      </w:r>
      <w:r w:rsidRPr="00D6483B">
        <w:rPr>
          <w:vertAlign w:val="subscript"/>
        </w:rPr>
        <w:t>1</w:t>
      </w:r>
      <w:r>
        <w:t xml:space="preserve"> = CH</w:t>
      </w:r>
      <w:r w:rsidRPr="00D6483B">
        <w:rPr>
          <w:vertAlign w:val="subscript"/>
        </w:rPr>
        <w:t>3</w:t>
      </w:r>
      <w:r>
        <w:t>, R</w:t>
      </w:r>
      <w:r w:rsidRPr="00D6483B">
        <w:rPr>
          <w:vertAlign w:val="subscript"/>
        </w:rPr>
        <w:t>2</w:t>
      </w:r>
      <w:r>
        <w:t xml:space="preserve"> = CH</w:t>
      </w:r>
      <w:r w:rsidRPr="00D6483B">
        <w:rPr>
          <w:vertAlign w:val="subscript"/>
        </w:rPr>
        <w:t>2</w:t>
      </w:r>
      <w:r>
        <w:t>CH</w:t>
      </w:r>
      <w:r w:rsidRPr="00D6483B">
        <w:rPr>
          <w:vertAlign w:val="subscript"/>
        </w:rPr>
        <w:t>3</w:t>
      </w:r>
      <w:r w:rsidRPr="004A020E">
        <w:t xml:space="preserve"> (</w:t>
      </w:r>
      <w:r>
        <w:t>CID: 736681)</w:t>
      </w:r>
    </w:p>
    <w:p w:rsidR="00F2176D" w:rsidRDefault="00F2176D" w:rsidP="00F2176D">
      <w:pPr>
        <w:spacing w:line="480" w:lineRule="exact"/>
        <w:jc w:val="both"/>
      </w:pPr>
      <w:r>
        <w:br w:type="page"/>
      </w:r>
    </w:p>
    <w:p w:rsidR="00F2176D" w:rsidRPr="00437870" w:rsidRDefault="00F2176D" w:rsidP="00F2176D">
      <w:pPr>
        <w:rPr>
          <w:b/>
        </w:rPr>
      </w:pPr>
      <w:r w:rsidRPr="00437870">
        <w:rPr>
          <w:b/>
        </w:rPr>
        <w:lastRenderedPageBreak/>
        <w:t>Fig. 2</w:t>
      </w:r>
      <w:r>
        <w:rPr>
          <w:b/>
        </w:rPr>
        <w:t xml:space="preserve"> </w:t>
      </w:r>
    </w:p>
    <w:p w:rsidR="00F2176D" w:rsidRDefault="00F2176D" w:rsidP="00F2176D"/>
    <w:p w:rsidR="00F2176D" w:rsidRDefault="00F2176D" w:rsidP="00F2176D">
      <w:pPr>
        <w:jc w:val="center"/>
      </w:pPr>
    </w:p>
    <w:p w:rsidR="00640AD8" w:rsidRDefault="00640AD8" w:rsidP="00F2176D">
      <w:pPr>
        <w:jc w:val="center"/>
      </w:pPr>
      <w:r w:rsidRPr="00640AD8">
        <w:rPr>
          <w:noProof/>
        </w:rPr>
        <w:drawing>
          <wp:inline distT="0" distB="0" distL="0" distR="0">
            <wp:extent cx="3181985" cy="26701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181985" cy="2670175"/>
                    </a:xfrm>
                    <a:prstGeom prst="rect">
                      <a:avLst/>
                    </a:prstGeom>
                    <a:noFill/>
                    <a:ln>
                      <a:noFill/>
                    </a:ln>
                  </pic:spPr>
                </pic:pic>
              </a:graphicData>
            </a:graphic>
          </wp:inline>
        </w:drawing>
      </w:r>
    </w:p>
    <w:p w:rsidR="00F2176D" w:rsidRDefault="00F2176D" w:rsidP="00F2176D">
      <w:pPr>
        <w:spacing w:line="480" w:lineRule="exact"/>
        <w:jc w:val="both"/>
      </w:pPr>
      <w:r>
        <w:br w:type="page"/>
      </w:r>
    </w:p>
    <w:p w:rsidR="00F2176D" w:rsidRPr="00580D51" w:rsidRDefault="00F2176D" w:rsidP="00F2176D">
      <w:pPr>
        <w:rPr>
          <w:b/>
        </w:rPr>
      </w:pPr>
      <w:r w:rsidRPr="00580D51">
        <w:rPr>
          <w:b/>
        </w:rPr>
        <w:lastRenderedPageBreak/>
        <w:t>Fig.</w:t>
      </w:r>
      <w:r>
        <w:rPr>
          <w:b/>
        </w:rPr>
        <w:t xml:space="preserve"> 3</w:t>
      </w:r>
    </w:p>
    <w:p w:rsidR="00F2176D" w:rsidRDefault="00F2176D" w:rsidP="00F2176D"/>
    <w:p w:rsidR="00F2176D" w:rsidRDefault="006F2928" w:rsidP="00F2176D">
      <w:pPr>
        <w:jc w:val="center"/>
      </w:pPr>
      <w:r w:rsidRPr="006F2928">
        <w:rPr>
          <w:noProof/>
        </w:rPr>
        <w:drawing>
          <wp:inline distT="0" distB="0" distL="0" distR="0">
            <wp:extent cx="3181985" cy="26701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81985" cy="2670175"/>
                    </a:xfrm>
                    <a:prstGeom prst="rect">
                      <a:avLst/>
                    </a:prstGeom>
                    <a:noFill/>
                    <a:ln>
                      <a:noFill/>
                    </a:ln>
                  </pic:spPr>
                </pic:pic>
              </a:graphicData>
            </a:graphic>
          </wp:inline>
        </w:drawing>
      </w:r>
    </w:p>
    <w:p w:rsidR="00F2176D" w:rsidRDefault="00F2176D" w:rsidP="00F2176D">
      <w:pPr>
        <w:spacing w:line="480" w:lineRule="exact"/>
        <w:jc w:val="both"/>
      </w:pPr>
      <w:r>
        <w:br w:type="page"/>
      </w:r>
    </w:p>
    <w:p w:rsidR="00F2176D" w:rsidRPr="00530EDB" w:rsidRDefault="00F2176D" w:rsidP="00F2176D">
      <w:pPr>
        <w:rPr>
          <w:b/>
        </w:rPr>
      </w:pPr>
      <w:r w:rsidRPr="00530EDB">
        <w:rPr>
          <w:b/>
        </w:rPr>
        <w:lastRenderedPageBreak/>
        <w:t>Fig.</w:t>
      </w:r>
      <w:r>
        <w:rPr>
          <w:b/>
        </w:rPr>
        <w:t xml:space="preserve"> 4</w:t>
      </w:r>
    </w:p>
    <w:p w:rsidR="00F2176D" w:rsidRPr="00580D51" w:rsidRDefault="00F2176D" w:rsidP="00F2176D">
      <w:pPr>
        <w:tabs>
          <w:tab w:val="left" w:pos="1985"/>
        </w:tabs>
        <w:rPr>
          <w:rFonts w:ascii="Arial" w:hAnsi="Arial" w:cs="Arial"/>
          <w:b/>
          <w:sz w:val="32"/>
          <w:szCs w:val="32"/>
        </w:rPr>
      </w:pPr>
      <w:r>
        <w:rPr>
          <w:rFonts w:ascii="Arial" w:hAnsi="Arial" w:cs="Arial"/>
        </w:rPr>
        <w:tab/>
      </w:r>
      <w:r w:rsidRPr="00580D51">
        <w:rPr>
          <w:rFonts w:ascii="Arial" w:hAnsi="Arial" w:cs="Arial"/>
          <w:b/>
          <w:sz w:val="32"/>
          <w:szCs w:val="32"/>
        </w:rPr>
        <w:t>A</w:t>
      </w:r>
    </w:p>
    <w:p w:rsidR="00F2176D" w:rsidRPr="00580D51" w:rsidRDefault="009A50E4" w:rsidP="00F2176D">
      <w:pPr>
        <w:jc w:val="center"/>
      </w:pPr>
      <w:r w:rsidRPr="009A50E4">
        <w:rPr>
          <w:noProof/>
        </w:rPr>
        <w:drawing>
          <wp:inline distT="0" distB="0" distL="0" distR="0">
            <wp:extent cx="3181985" cy="360616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181985" cy="3606165"/>
                    </a:xfrm>
                    <a:prstGeom prst="rect">
                      <a:avLst/>
                    </a:prstGeom>
                    <a:noFill/>
                    <a:ln>
                      <a:noFill/>
                    </a:ln>
                  </pic:spPr>
                </pic:pic>
              </a:graphicData>
            </a:graphic>
          </wp:inline>
        </w:drawing>
      </w:r>
    </w:p>
    <w:p w:rsidR="00F2176D" w:rsidRPr="00580D51" w:rsidRDefault="00F2176D" w:rsidP="00F2176D"/>
    <w:p w:rsidR="00F2176D" w:rsidRPr="00580D51" w:rsidRDefault="00F2176D" w:rsidP="00F2176D">
      <w:pPr>
        <w:tabs>
          <w:tab w:val="left" w:pos="1985"/>
        </w:tabs>
        <w:rPr>
          <w:rFonts w:ascii="Arial" w:hAnsi="Arial" w:cs="Arial"/>
          <w:b/>
          <w:sz w:val="32"/>
          <w:szCs w:val="32"/>
        </w:rPr>
      </w:pPr>
      <w:r>
        <w:rPr>
          <w:rFonts w:ascii="Arial" w:hAnsi="Arial" w:cs="Arial"/>
        </w:rPr>
        <w:tab/>
      </w:r>
      <w:r w:rsidRPr="00580D51">
        <w:rPr>
          <w:rFonts w:ascii="Arial" w:hAnsi="Arial" w:cs="Arial"/>
          <w:b/>
          <w:sz w:val="32"/>
          <w:szCs w:val="32"/>
        </w:rPr>
        <w:t>B</w:t>
      </w:r>
    </w:p>
    <w:p w:rsidR="00F2176D" w:rsidRPr="00580D51" w:rsidRDefault="007402D8" w:rsidP="00F2176D">
      <w:pPr>
        <w:jc w:val="center"/>
      </w:pPr>
      <w:r w:rsidRPr="007402D8">
        <w:rPr>
          <w:noProof/>
        </w:rPr>
        <w:drawing>
          <wp:inline distT="0" distB="0" distL="0" distR="0">
            <wp:extent cx="3181985" cy="360616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181985" cy="3606165"/>
                    </a:xfrm>
                    <a:prstGeom prst="rect">
                      <a:avLst/>
                    </a:prstGeom>
                    <a:noFill/>
                    <a:ln>
                      <a:noFill/>
                    </a:ln>
                  </pic:spPr>
                </pic:pic>
              </a:graphicData>
            </a:graphic>
          </wp:inline>
        </w:drawing>
      </w:r>
    </w:p>
    <w:p w:rsidR="00F2176D" w:rsidRDefault="00F2176D" w:rsidP="00F2176D">
      <w:pPr>
        <w:spacing w:line="480" w:lineRule="exact"/>
        <w:jc w:val="both"/>
      </w:pPr>
      <w:r>
        <w:br w:type="page"/>
      </w:r>
    </w:p>
    <w:p w:rsidR="00F2176D" w:rsidRPr="001C6A1E" w:rsidRDefault="00F2176D" w:rsidP="00F2176D">
      <w:pPr>
        <w:rPr>
          <w:b/>
        </w:rPr>
      </w:pPr>
      <w:r w:rsidRPr="001C6A1E">
        <w:rPr>
          <w:b/>
        </w:rPr>
        <w:lastRenderedPageBreak/>
        <w:t>Fig. 5</w:t>
      </w:r>
    </w:p>
    <w:p w:rsidR="00F2176D" w:rsidRDefault="00F2176D" w:rsidP="00F2176D"/>
    <w:p w:rsidR="00F2176D" w:rsidRDefault="00F2176D" w:rsidP="00F2176D">
      <w:pPr>
        <w:jc w:val="center"/>
      </w:pPr>
      <w:r>
        <w:rPr>
          <w:noProof/>
        </w:rPr>
        <w:drawing>
          <wp:inline distT="0" distB="0" distL="0" distR="0" wp14:anchorId="59911A22" wp14:editId="2EA463E4">
            <wp:extent cx="3658346" cy="3138616"/>
            <wp:effectExtent l="0" t="0" r="0" b="508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5"/>
                    <a:srcRect l="54969" t="7901" b="33398"/>
                    <a:stretch/>
                  </pic:blipFill>
                  <pic:spPr>
                    <a:xfrm>
                      <a:off x="0" y="0"/>
                      <a:ext cx="3658346" cy="3138616"/>
                    </a:xfrm>
                    <a:prstGeom prst="rect">
                      <a:avLst/>
                    </a:prstGeom>
                  </pic:spPr>
                </pic:pic>
              </a:graphicData>
            </a:graphic>
          </wp:inline>
        </w:drawing>
      </w:r>
    </w:p>
    <w:p w:rsidR="00F2176D" w:rsidRDefault="00F2176D" w:rsidP="00702417">
      <w:pPr>
        <w:spacing w:line="480" w:lineRule="exact"/>
        <w:jc w:val="both"/>
      </w:pPr>
    </w:p>
    <w:sectPr w:rsidR="00F2176D" w:rsidSect="000064F2">
      <w:headerReference w:type="even" r:id="rId26"/>
      <w:headerReference w:type="default" r:id="rId27"/>
      <w:footerReference w:type="even" r:id="rId28"/>
      <w:footerReference w:type="default" r:id="rId29"/>
      <w:headerReference w:type="first" r:id="rId30"/>
      <w:footerReference w:type="first" r:id="rId31"/>
      <w:pgSz w:w="11906" w:h="16838"/>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75AE" w:rsidRDefault="002875AE" w:rsidP="001A3391">
      <w:r>
        <w:separator/>
      </w:r>
    </w:p>
  </w:endnote>
  <w:endnote w:type="continuationSeparator" w:id="0">
    <w:p w:rsidR="002875AE" w:rsidRDefault="002875AE" w:rsidP="001A33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inion">
    <w:altName w:val="Minio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75AE" w:rsidRDefault="002875A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84084463"/>
      <w:docPartObj>
        <w:docPartGallery w:val="Page Numbers (Bottom of Page)"/>
        <w:docPartUnique/>
      </w:docPartObj>
    </w:sdtPr>
    <w:sdtEndPr/>
    <w:sdtContent>
      <w:p w:rsidR="002875AE" w:rsidRDefault="002875AE">
        <w:pPr>
          <w:pStyle w:val="Footer"/>
          <w:jc w:val="center"/>
        </w:pPr>
        <w:r>
          <w:fldChar w:fldCharType="begin"/>
        </w:r>
        <w:r>
          <w:instrText xml:space="preserve"> PAGE   \* MERGEFORMAT </w:instrText>
        </w:r>
        <w:r>
          <w:fldChar w:fldCharType="separate"/>
        </w:r>
        <w:r w:rsidR="00EA2465">
          <w:rPr>
            <w:noProof/>
          </w:rPr>
          <w:t>16</w:t>
        </w:r>
        <w:r>
          <w:rPr>
            <w:noProof/>
          </w:rPr>
          <w:fldChar w:fldCharType="end"/>
        </w:r>
      </w:p>
    </w:sdtContent>
  </w:sdt>
  <w:p w:rsidR="002875AE" w:rsidRDefault="002875A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75AE" w:rsidRDefault="002875A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75AE" w:rsidRDefault="002875AE" w:rsidP="001A3391">
      <w:r>
        <w:separator/>
      </w:r>
    </w:p>
  </w:footnote>
  <w:footnote w:type="continuationSeparator" w:id="0">
    <w:p w:rsidR="002875AE" w:rsidRDefault="002875AE" w:rsidP="001A33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75AE" w:rsidRDefault="002875A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75AE" w:rsidRDefault="002875A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75AE" w:rsidRDefault="002875A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36F4B57"/>
    <w:multiLevelType w:val="hybridMultilevel"/>
    <w:tmpl w:val="2676C43E"/>
    <w:lvl w:ilvl="0" w:tplc="6A62A6D0">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D60CA9"/>
    <w:rsid w:val="0000051E"/>
    <w:rsid w:val="00000B11"/>
    <w:rsid w:val="00004D45"/>
    <w:rsid w:val="0000645F"/>
    <w:rsid w:val="000064F2"/>
    <w:rsid w:val="00007EBF"/>
    <w:rsid w:val="00011A3C"/>
    <w:rsid w:val="00013542"/>
    <w:rsid w:val="00013D50"/>
    <w:rsid w:val="0001451E"/>
    <w:rsid w:val="00015CD9"/>
    <w:rsid w:val="00022246"/>
    <w:rsid w:val="00022923"/>
    <w:rsid w:val="00027E26"/>
    <w:rsid w:val="00032C1E"/>
    <w:rsid w:val="00032F4A"/>
    <w:rsid w:val="000353C5"/>
    <w:rsid w:val="00035C80"/>
    <w:rsid w:val="00036D4D"/>
    <w:rsid w:val="00040A10"/>
    <w:rsid w:val="00045793"/>
    <w:rsid w:val="00051BCC"/>
    <w:rsid w:val="00062567"/>
    <w:rsid w:val="00064575"/>
    <w:rsid w:val="00066C39"/>
    <w:rsid w:val="000679F6"/>
    <w:rsid w:val="000722F6"/>
    <w:rsid w:val="0007356A"/>
    <w:rsid w:val="00074E05"/>
    <w:rsid w:val="00074FF5"/>
    <w:rsid w:val="00082333"/>
    <w:rsid w:val="000835F8"/>
    <w:rsid w:val="00085238"/>
    <w:rsid w:val="0008737A"/>
    <w:rsid w:val="000954C0"/>
    <w:rsid w:val="000A0226"/>
    <w:rsid w:val="000A1F64"/>
    <w:rsid w:val="000A49DB"/>
    <w:rsid w:val="000B1103"/>
    <w:rsid w:val="000B5AAD"/>
    <w:rsid w:val="000B77BC"/>
    <w:rsid w:val="000C0880"/>
    <w:rsid w:val="000C0A5E"/>
    <w:rsid w:val="000C2F86"/>
    <w:rsid w:val="000C59D2"/>
    <w:rsid w:val="000C5A14"/>
    <w:rsid w:val="000D1403"/>
    <w:rsid w:val="000D1E7C"/>
    <w:rsid w:val="000D5A3D"/>
    <w:rsid w:val="000D7169"/>
    <w:rsid w:val="000E0775"/>
    <w:rsid w:val="000E153C"/>
    <w:rsid w:val="000E4C80"/>
    <w:rsid w:val="000E7204"/>
    <w:rsid w:val="000F2577"/>
    <w:rsid w:val="000F3A74"/>
    <w:rsid w:val="001019BF"/>
    <w:rsid w:val="001070AD"/>
    <w:rsid w:val="00110206"/>
    <w:rsid w:val="00111071"/>
    <w:rsid w:val="00112E79"/>
    <w:rsid w:val="0011416A"/>
    <w:rsid w:val="001141C0"/>
    <w:rsid w:val="00120D39"/>
    <w:rsid w:val="0013039A"/>
    <w:rsid w:val="001316FF"/>
    <w:rsid w:val="00131D79"/>
    <w:rsid w:val="001327FB"/>
    <w:rsid w:val="00136284"/>
    <w:rsid w:val="0014211C"/>
    <w:rsid w:val="00143542"/>
    <w:rsid w:val="00143DA4"/>
    <w:rsid w:val="001506EE"/>
    <w:rsid w:val="00153A04"/>
    <w:rsid w:val="00156445"/>
    <w:rsid w:val="00157D29"/>
    <w:rsid w:val="00160039"/>
    <w:rsid w:val="001607DA"/>
    <w:rsid w:val="001625D7"/>
    <w:rsid w:val="001630EE"/>
    <w:rsid w:val="00172CC9"/>
    <w:rsid w:val="00172FF7"/>
    <w:rsid w:val="0018005A"/>
    <w:rsid w:val="001813C1"/>
    <w:rsid w:val="001816A8"/>
    <w:rsid w:val="0018255B"/>
    <w:rsid w:val="001848B9"/>
    <w:rsid w:val="00187184"/>
    <w:rsid w:val="001952CD"/>
    <w:rsid w:val="0019640A"/>
    <w:rsid w:val="00197DDC"/>
    <w:rsid w:val="001A0DDA"/>
    <w:rsid w:val="001A1345"/>
    <w:rsid w:val="001A3391"/>
    <w:rsid w:val="001A38AB"/>
    <w:rsid w:val="001A4463"/>
    <w:rsid w:val="001A6BF8"/>
    <w:rsid w:val="001B02A5"/>
    <w:rsid w:val="001B401E"/>
    <w:rsid w:val="001B7942"/>
    <w:rsid w:val="001C12C8"/>
    <w:rsid w:val="001C4007"/>
    <w:rsid w:val="001C6A1E"/>
    <w:rsid w:val="001D0C30"/>
    <w:rsid w:val="001D2167"/>
    <w:rsid w:val="001E3D7C"/>
    <w:rsid w:val="001E6D07"/>
    <w:rsid w:val="00202B3A"/>
    <w:rsid w:val="00204BB9"/>
    <w:rsid w:val="00206F58"/>
    <w:rsid w:val="0020736E"/>
    <w:rsid w:val="00207D09"/>
    <w:rsid w:val="00210540"/>
    <w:rsid w:val="00211F68"/>
    <w:rsid w:val="00213DEF"/>
    <w:rsid w:val="00214699"/>
    <w:rsid w:val="00215FFB"/>
    <w:rsid w:val="00217D2E"/>
    <w:rsid w:val="002253CA"/>
    <w:rsid w:val="0023138C"/>
    <w:rsid w:val="00233917"/>
    <w:rsid w:val="00233E23"/>
    <w:rsid w:val="00236523"/>
    <w:rsid w:val="00244F1A"/>
    <w:rsid w:val="00245D8C"/>
    <w:rsid w:val="00247471"/>
    <w:rsid w:val="00250000"/>
    <w:rsid w:val="00252DCC"/>
    <w:rsid w:val="002605C4"/>
    <w:rsid w:val="0026287A"/>
    <w:rsid w:val="00263CB4"/>
    <w:rsid w:val="0027198C"/>
    <w:rsid w:val="00272DED"/>
    <w:rsid w:val="00280378"/>
    <w:rsid w:val="00284F09"/>
    <w:rsid w:val="002875AE"/>
    <w:rsid w:val="00297285"/>
    <w:rsid w:val="002A4158"/>
    <w:rsid w:val="002A4264"/>
    <w:rsid w:val="002A73FE"/>
    <w:rsid w:val="002A78B2"/>
    <w:rsid w:val="002B063F"/>
    <w:rsid w:val="002B5CF2"/>
    <w:rsid w:val="002C31F1"/>
    <w:rsid w:val="002D03FD"/>
    <w:rsid w:val="002D2519"/>
    <w:rsid w:val="002E36F4"/>
    <w:rsid w:val="002E76CF"/>
    <w:rsid w:val="002F462D"/>
    <w:rsid w:val="00300760"/>
    <w:rsid w:val="0030260D"/>
    <w:rsid w:val="00310963"/>
    <w:rsid w:val="00314DC5"/>
    <w:rsid w:val="00321AEB"/>
    <w:rsid w:val="003243B2"/>
    <w:rsid w:val="00325E1E"/>
    <w:rsid w:val="0032617E"/>
    <w:rsid w:val="00327371"/>
    <w:rsid w:val="00330736"/>
    <w:rsid w:val="00333176"/>
    <w:rsid w:val="0033382E"/>
    <w:rsid w:val="00337585"/>
    <w:rsid w:val="00343CF8"/>
    <w:rsid w:val="003445E8"/>
    <w:rsid w:val="00350A7C"/>
    <w:rsid w:val="00351A79"/>
    <w:rsid w:val="00357A9D"/>
    <w:rsid w:val="003615DA"/>
    <w:rsid w:val="00361EF0"/>
    <w:rsid w:val="00367F1B"/>
    <w:rsid w:val="003714AC"/>
    <w:rsid w:val="00374618"/>
    <w:rsid w:val="0037590C"/>
    <w:rsid w:val="00382543"/>
    <w:rsid w:val="00382D42"/>
    <w:rsid w:val="003873EE"/>
    <w:rsid w:val="00393167"/>
    <w:rsid w:val="00393983"/>
    <w:rsid w:val="003954FF"/>
    <w:rsid w:val="0039673F"/>
    <w:rsid w:val="003A611D"/>
    <w:rsid w:val="003A79D7"/>
    <w:rsid w:val="003B0D44"/>
    <w:rsid w:val="003B5BFE"/>
    <w:rsid w:val="003B6946"/>
    <w:rsid w:val="003B7053"/>
    <w:rsid w:val="003C15A5"/>
    <w:rsid w:val="003C2193"/>
    <w:rsid w:val="003C45DE"/>
    <w:rsid w:val="003C4F9A"/>
    <w:rsid w:val="003C5E61"/>
    <w:rsid w:val="003C756D"/>
    <w:rsid w:val="003C7DDB"/>
    <w:rsid w:val="003D0323"/>
    <w:rsid w:val="003D080F"/>
    <w:rsid w:val="003D1F0B"/>
    <w:rsid w:val="003D1F7F"/>
    <w:rsid w:val="003D2B9A"/>
    <w:rsid w:val="003D3F4D"/>
    <w:rsid w:val="003E16E9"/>
    <w:rsid w:val="003E2DCE"/>
    <w:rsid w:val="003E76D0"/>
    <w:rsid w:val="003F0DCC"/>
    <w:rsid w:val="003F677C"/>
    <w:rsid w:val="003F73C4"/>
    <w:rsid w:val="003F7818"/>
    <w:rsid w:val="0040015D"/>
    <w:rsid w:val="00403E3F"/>
    <w:rsid w:val="00407123"/>
    <w:rsid w:val="00413E22"/>
    <w:rsid w:val="004154A6"/>
    <w:rsid w:val="004215D2"/>
    <w:rsid w:val="00422A05"/>
    <w:rsid w:val="00430D06"/>
    <w:rsid w:val="004348B3"/>
    <w:rsid w:val="00437870"/>
    <w:rsid w:val="00437DD5"/>
    <w:rsid w:val="00444C38"/>
    <w:rsid w:val="00447B73"/>
    <w:rsid w:val="00447C0C"/>
    <w:rsid w:val="00450DF7"/>
    <w:rsid w:val="00452785"/>
    <w:rsid w:val="0045426D"/>
    <w:rsid w:val="00455736"/>
    <w:rsid w:val="00464182"/>
    <w:rsid w:val="00464E66"/>
    <w:rsid w:val="00472595"/>
    <w:rsid w:val="00472831"/>
    <w:rsid w:val="00475A11"/>
    <w:rsid w:val="0048107E"/>
    <w:rsid w:val="00483028"/>
    <w:rsid w:val="004838C4"/>
    <w:rsid w:val="004873B5"/>
    <w:rsid w:val="0049106D"/>
    <w:rsid w:val="004917BD"/>
    <w:rsid w:val="004937C6"/>
    <w:rsid w:val="004A020E"/>
    <w:rsid w:val="004A0D60"/>
    <w:rsid w:val="004A0E93"/>
    <w:rsid w:val="004A4449"/>
    <w:rsid w:val="004A791E"/>
    <w:rsid w:val="004B24E4"/>
    <w:rsid w:val="004B2DBE"/>
    <w:rsid w:val="004B30E6"/>
    <w:rsid w:val="004B7EAB"/>
    <w:rsid w:val="004C361E"/>
    <w:rsid w:val="004C5750"/>
    <w:rsid w:val="004D010F"/>
    <w:rsid w:val="004D097C"/>
    <w:rsid w:val="004D1947"/>
    <w:rsid w:val="004D26FE"/>
    <w:rsid w:val="004D3285"/>
    <w:rsid w:val="004E1A5F"/>
    <w:rsid w:val="004E24BD"/>
    <w:rsid w:val="004E397D"/>
    <w:rsid w:val="004E7305"/>
    <w:rsid w:val="004E7E20"/>
    <w:rsid w:val="004F453C"/>
    <w:rsid w:val="00500DB3"/>
    <w:rsid w:val="0050445B"/>
    <w:rsid w:val="00504829"/>
    <w:rsid w:val="005058DC"/>
    <w:rsid w:val="00506959"/>
    <w:rsid w:val="00506C56"/>
    <w:rsid w:val="005071C2"/>
    <w:rsid w:val="005105FC"/>
    <w:rsid w:val="005118E3"/>
    <w:rsid w:val="00512DE2"/>
    <w:rsid w:val="005157B7"/>
    <w:rsid w:val="00515C5C"/>
    <w:rsid w:val="00523098"/>
    <w:rsid w:val="00527CAA"/>
    <w:rsid w:val="00530EDB"/>
    <w:rsid w:val="00540B63"/>
    <w:rsid w:val="00545451"/>
    <w:rsid w:val="0054743B"/>
    <w:rsid w:val="00555388"/>
    <w:rsid w:val="00556DA6"/>
    <w:rsid w:val="00574470"/>
    <w:rsid w:val="00575A56"/>
    <w:rsid w:val="0057660E"/>
    <w:rsid w:val="00577FC2"/>
    <w:rsid w:val="00580D51"/>
    <w:rsid w:val="00581555"/>
    <w:rsid w:val="0058356A"/>
    <w:rsid w:val="0058497E"/>
    <w:rsid w:val="00591128"/>
    <w:rsid w:val="005931C8"/>
    <w:rsid w:val="00595273"/>
    <w:rsid w:val="005971B4"/>
    <w:rsid w:val="005A2AE5"/>
    <w:rsid w:val="005B0BB1"/>
    <w:rsid w:val="005B4BD6"/>
    <w:rsid w:val="005B4F6F"/>
    <w:rsid w:val="005B5107"/>
    <w:rsid w:val="005B547F"/>
    <w:rsid w:val="005B553C"/>
    <w:rsid w:val="005C35BC"/>
    <w:rsid w:val="005C4230"/>
    <w:rsid w:val="005C710E"/>
    <w:rsid w:val="005D0DA4"/>
    <w:rsid w:val="005D17A2"/>
    <w:rsid w:val="005D1B0B"/>
    <w:rsid w:val="005D2703"/>
    <w:rsid w:val="005E06EA"/>
    <w:rsid w:val="005E35DA"/>
    <w:rsid w:val="005F1F6F"/>
    <w:rsid w:val="005F3ED1"/>
    <w:rsid w:val="005F493A"/>
    <w:rsid w:val="00601A2F"/>
    <w:rsid w:val="00605496"/>
    <w:rsid w:val="00607972"/>
    <w:rsid w:val="0061100A"/>
    <w:rsid w:val="006115D1"/>
    <w:rsid w:val="00611602"/>
    <w:rsid w:val="00614CB8"/>
    <w:rsid w:val="00616A08"/>
    <w:rsid w:val="00623316"/>
    <w:rsid w:val="00625341"/>
    <w:rsid w:val="00626C13"/>
    <w:rsid w:val="0062704B"/>
    <w:rsid w:val="00634739"/>
    <w:rsid w:val="00635750"/>
    <w:rsid w:val="00635AB3"/>
    <w:rsid w:val="00637B78"/>
    <w:rsid w:val="00640A9D"/>
    <w:rsid w:val="00640AD8"/>
    <w:rsid w:val="00642EFE"/>
    <w:rsid w:val="00645C47"/>
    <w:rsid w:val="00646056"/>
    <w:rsid w:val="00650B37"/>
    <w:rsid w:val="00654FDD"/>
    <w:rsid w:val="00664170"/>
    <w:rsid w:val="00665FDF"/>
    <w:rsid w:val="00672E13"/>
    <w:rsid w:val="0067777F"/>
    <w:rsid w:val="00685896"/>
    <w:rsid w:val="00687371"/>
    <w:rsid w:val="00690D76"/>
    <w:rsid w:val="00691972"/>
    <w:rsid w:val="00696AF7"/>
    <w:rsid w:val="006A31D6"/>
    <w:rsid w:val="006A6C05"/>
    <w:rsid w:val="006B0D03"/>
    <w:rsid w:val="006B1FA8"/>
    <w:rsid w:val="006B2087"/>
    <w:rsid w:val="006B5D2D"/>
    <w:rsid w:val="006B7566"/>
    <w:rsid w:val="006C0158"/>
    <w:rsid w:val="006C169D"/>
    <w:rsid w:val="006C6363"/>
    <w:rsid w:val="006C6503"/>
    <w:rsid w:val="006D0EF8"/>
    <w:rsid w:val="006D2899"/>
    <w:rsid w:val="006D4847"/>
    <w:rsid w:val="006D541C"/>
    <w:rsid w:val="006D60E4"/>
    <w:rsid w:val="006D6CDF"/>
    <w:rsid w:val="006E0712"/>
    <w:rsid w:val="006E2281"/>
    <w:rsid w:val="006E362E"/>
    <w:rsid w:val="006F1D4B"/>
    <w:rsid w:val="006F2928"/>
    <w:rsid w:val="00701729"/>
    <w:rsid w:val="00702417"/>
    <w:rsid w:val="00703743"/>
    <w:rsid w:val="00714E6F"/>
    <w:rsid w:val="00720ACC"/>
    <w:rsid w:val="00720C22"/>
    <w:rsid w:val="0072233D"/>
    <w:rsid w:val="0072351F"/>
    <w:rsid w:val="00727C10"/>
    <w:rsid w:val="0073260F"/>
    <w:rsid w:val="00733C3D"/>
    <w:rsid w:val="00734727"/>
    <w:rsid w:val="007353D1"/>
    <w:rsid w:val="007402D8"/>
    <w:rsid w:val="00741805"/>
    <w:rsid w:val="00745600"/>
    <w:rsid w:val="00745CC0"/>
    <w:rsid w:val="00747056"/>
    <w:rsid w:val="00747BFC"/>
    <w:rsid w:val="0075026B"/>
    <w:rsid w:val="00752D82"/>
    <w:rsid w:val="00756601"/>
    <w:rsid w:val="00756733"/>
    <w:rsid w:val="007576B8"/>
    <w:rsid w:val="00770367"/>
    <w:rsid w:val="007709C2"/>
    <w:rsid w:val="00770D34"/>
    <w:rsid w:val="0077176A"/>
    <w:rsid w:val="00772832"/>
    <w:rsid w:val="00775535"/>
    <w:rsid w:val="00777A2F"/>
    <w:rsid w:val="0078099B"/>
    <w:rsid w:val="00785123"/>
    <w:rsid w:val="00796615"/>
    <w:rsid w:val="00796C55"/>
    <w:rsid w:val="00797F6D"/>
    <w:rsid w:val="007A11AF"/>
    <w:rsid w:val="007B2BEC"/>
    <w:rsid w:val="007B35F6"/>
    <w:rsid w:val="007B6255"/>
    <w:rsid w:val="007B798D"/>
    <w:rsid w:val="007C4BB4"/>
    <w:rsid w:val="007C73E8"/>
    <w:rsid w:val="007D2844"/>
    <w:rsid w:val="007D56B1"/>
    <w:rsid w:val="007D5A60"/>
    <w:rsid w:val="007E717B"/>
    <w:rsid w:val="007F3B38"/>
    <w:rsid w:val="007F4968"/>
    <w:rsid w:val="00800F0C"/>
    <w:rsid w:val="00801970"/>
    <w:rsid w:val="00810D10"/>
    <w:rsid w:val="00810E97"/>
    <w:rsid w:val="008110AC"/>
    <w:rsid w:val="00812C34"/>
    <w:rsid w:val="008167E7"/>
    <w:rsid w:val="00825512"/>
    <w:rsid w:val="0082796B"/>
    <w:rsid w:val="00830DDB"/>
    <w:rsid w:val="00831DB3"/>
    <w:rsid w:val="008343E4"/>
    <w:rsid w:val="00836BE6"/>
    <w:rsid w:val="00837622"/>
    <w:rsid w:val="00843289"/>
    <w:rsid w:val="00843946"/>
    <w:rsid w:val="008462CE"/>
    <w:rsid w:val="00846FD3"/>
    <w:rsid w:val="00852FCC"/>
    <w:rsid w:val="008607CE"/>
    <w:rsid w:val="00861563"/>
    <w:rsid w:val="008623C6"/>
    <w:rsid w:val="00864631"/>
    <w:rsid w:val="00866F86"/>
    <w:rsid w:val="008719EC"/>
    <w:rsid w:val="00872B1E"/>
    <w:rsid w:val="008744C3"/>
    <w:rsid w:val="00880C80"/>
    <w:rsid w:val="00887F3E"/>
    <w:rsid w:val="008905F4"/>
    <w:rsid w:val="00894060"/>
    <w:rsid w:val="00894192"/>
    <w:rsid w:val="00895F8F"/>
    <w:rsid w:val="00897AF5"/>
    <w:rsid w:val="008B34D8"/>
    <w:rsid w:val="008B5F6A"/>
    <w:rsid w:val="008C1EB9"/>
    <w:rsid w:val="008C219F"/>
    <w:rsid w:val="008C287B"/>
    <w:rsid w:val="008C48C4"/>
    <w:rsid w:val="008C5947"/>
    <w:rsid w:val="008D077C"/>
    <w:rsid w:val="008D151F"/>
    <w:rsid w:val="008D5FD2"/>
    <w:rsid w:val="008E201C"/>
    <w:rsid w:val="008E4309"/>
    <w:rsid w:val="008E53AE"/>
    <w:rsid w:val="008E5A84"/>
    <w:rsid w:val="008E5D15"/>
    <w:rsid w:val="008E645C"/>
    <w:rsid w:val="008E6647"/>
    <w:rsid w:val="008F07CA"/>
    <w:rsid w:val="009004E4"/>
    <w:rsid w:val="009023AA"/>
    <w:rsid w:val="00905499"/>
    <w:rsid w:val="009062B9"/>
    <w:rsid w:val="00906AA3"/>
    <w:rsid w:val="00907E13"/>
    <w:rsid w:val="00911D46"/>
    <w:rsid w:val="009124DC"/>
    <w:rsid w:val="00917327"/>
    <w:rsid w:val="00920E72"/>
    <w:rsid w:val="00924309"/>
    <w:rsid w:val="00924DE3"/>
    <w:rsid w:val="00933A22"/>
    <w:rsid w:val="00936B3F"/>
    <w:rsid w:val="00945A22"/>
    <w:rsid w:val="00955C8A"/>
    <w:rsid w:val="00956AB8"/>
    <w:rsid w:val="00967919"/>
    <w:rsid w:val="00971EAA"/>
    <w:rsid w:val="0097783A"/>
    <w:rsid w:val="009831E5"/>
    <w:rsid w:val="00984D64"/>
    <w:rsid w:val="009859AE"/>
    <w:rsid w:val="009939A4"/>
    <w:rsid w:val="00993B3E"/>
    <w:rsid w:val="00993CE0"/>
    <w:rsid w:val="00994976"/>
    <w:rsid w:val="0099498A"/>
    <w:rsid w:val="0099539D"/>
    <w:rsid w:val="009A0026"/>
    <w:rsid w:val="009A50E4"/>
    <w:rsid w:val="009A7199"/>
    <w:rsid w:val="009A7DA2"/>
    <w:rsid w:val="009B08BC"/>
    <w:rsid w:val="009B48E4"/>
    <w:rsid w:val="009C0C0B"/>
    <w:rsid w:val="009C0FA1"/>
    <w:rsid w:val="009C2E03"/>
    <w:rsid w:val="009C52CD"/>
    <w:rsid w:val="009C64DF"/>
    <w:rsid w:val="009D5149"/>
    <w:rsid w:val="009D620D"/>
    <w:rsid w:val="009D6B21"/>
    <w:rsid w:val="009E0AD8"/>
    <w:rsid w:val="009E277B"/>
    <w:rsid w:val="009F4488"/>
    <w:rsid w:val="009F53FD"/>
    <w:rsid w:val="00A01C7C"/>
    <w:rsid w:val="00A04206"/>
    <w:rsid w:val="00A07C2F"/>
    <w:rsid w:val="00A11D25"/>
    <w:rsid w:val="00A209F6"/>
    <w:rsid w:val="00A21538"/>
    <w:rsid w:val="00A24EEC"/>
    <w:rsid w:val="00A342C3"/>
    <w:rsid w:val="00A43376"/>
    <w:rsid w:val="00A44D72"/>
    <w:rsid w:val="00A4529E"/>
    <w:rsid w:val="00A455B4"/>
    <w:rsid w:val="00A462C7"/>
    <w:rsid w:val="00A50380"/>
    <w:rsid w:val="00A51C12"/>
    <w:rsid w:val="00A5270D"/>
    <w:rsid w:val="00A603F1"/>
    <w:rsid w:val="00A6632B"/>
    <w:rsid w:val="00A72453"/>
    <w:rsid w:val="00A7570F"/>
    <w:rsid w:val="00A76B0E"/>
    <w:rsid w:val="00A81063"/>
    <w:rsid w:val="00A813FF"/>
    <w:rsid w:val="00A84803"/>
    <w:rsid w:val="00A85415"/>
    <w:rsid w:val="00A90EC4"/>
    <w:rsid w:val="00A93290"/>
    <w:rsid w:val="00AA0C96"/>
    <w:rsid w:val="00AA1C3A"/>
    <w:rsid w:val="00AA287F"/>
    <w:rsid w:val="00AA6F00"/>
    <w:rsid w:val="00AB4A47"/>
    <w:rsid w:val="00AB5F90"/>
    <w:rsid w:val="00AC01F0"/>
    <w:rsid w:val="00AC3AB7"/>
    <w:rsid w:val="00AD0BD8"/>
    <w:rsid w:val="00AD4516"/>
    <w:rsid w:val="00AE1998"/>
    <w:rsid w:val="00AF1233"/>
    <w:rsid w:val="00AF1544"/>
    <w:rsid w:val="00B07326"/>
    <w:rsid w:val="00B101F1"/>
    <w:rsid w:val="00B24E81"/>
    <w:rsid w:val="00B34037"/>
    <w:rsid w:val="00B36D02"/>
    <w:rsid w:val="00B4228D"/>
    <w:rsid w:val="00B42E78"/>
    <w:rsid w:val="00B4441D"/>
    <w:rsid w:val="00B50C00"/>
    <w:rsid w:val="00B561EF"/>
    <w:rsid w:val="00B61080"/>
    <w:rsid w:val="00B61BEE"/>
    <w:rsid w:val="00B61DC3"/>
    <w:rsid w:val="00B70326"/>
    <w:rsid w:val="00B71375"/>
    <w:rsid w:val="00B732E8"/>
    <w:rsid w:val="00B77C20"/>
    <w:rsid w:val="00B8141F"/>
    <w:rsid w:val="00B82BA6"/>
    <w:rsid w:val="00B85C82"/>
    <w:rsid w:val="00B93116"/>
    <w:rsid w:val="00BA0876"/>
    <w:rsid w:val="00BA11DE"/>
    <w:rsid w:val="00BA69E4"/>
    <w:rsid w:val="00BB2296"/>
    <w:rsid w:val="00BB2687"/>
    <w:rsid w:val="00BB27C1"/>
    <w:rsid w:val="00BB3DC1"/>
    <w:rsid w:val="00BB7BBD"/>
    <w:rsid w:val="00BC2690"/>
    <w:rsid w:val="00BC47BF"/>
    <w:rsid w:val="00BC4801"/>
    <w:rsid w:val="00BD0994"/>
    <w:rsid w:val="00BD54EF"/>
    <w:rsid w:val="00BE0BB4"/>
    <w:rsid w:val="00BF0496"/>
    <w:rsid w:val="00BF0CBC"/>
    <w:rsid w:val="00BF26AF"/>
    <w:rsid w:val="00BF301D"/>
    <w:rsid w:val="00C03920"/>
    <w:rsid w:val="00C03AE2"/>
    <w:rsid w:val="00C11C16"/>
    <w:rsid w:val="00C134DA"/>
    <w:rsid w:val="00C14D49"/>
    <w:rsid w:val="00C162C3"/>
    <w:rsid w:val="00C17879"/>
    <w:rsid w:val="00C17EBC"/>
    <w:rsid w:val="00C23921"/>
    <w:rsid w:val="00C24F94"/>
    <w:rsid w:val="00C24FE0"/>
    <w:rsid w:val="00C3097C"/>
    <w:rsid w:val="00C3196B"/>
    <w:rsid w:val="00C33491"/>
    <w:rsid w:val="00C41E58"/>
    <w:rsid w:val="00C44DF3"/>
    <w:rsid w:val="00C474C1"/>
    <w:rsid w:val="00C560C8"/>
    <w:rsid w:val="00C654EE"/>
    <w:rsid w:val="00C67450"/>
    <w:rsid w:val="00C716D5"/>
    <w:rsid w:val="00C7278E"/>
    <w:rsid w:val="00C80828"/>
    <w:rsid w:val="00C81345"/>
    <w:rsid w:val="00C813AA"/>
    <w:rsid w:val="00C83F4B"/>
    <w:rsid w:val="00C86416"/>
    <w:rsid w:val="00C90ADA"/>
    <w:rsid w:val="00C941AB"/>
    <w:rsid w:val="00C96EC5"/>
    <w:rsid w:val="00CA27F6"/>
    <w:rsid w:val="00CA333F"/>
    <w:rsid w:val="00CA7D4A"/>
    <w:rsid w:val="00CB212F"/>
    <w:rsid w:val="00CB314B"/>
    <w:rsid w:val="00CB36EE"/>
    <w:rsid w:val="00CB4391"/>
    <w:rsid w:val="00CB6028"/>
    <w:rsid w:val="00CB60A5"/>
    <w:rsid w:val="00CB6E84"/>
    <w:rsid w:val="00CB7799"/>
    <w:rsid w:val="00CC1A7F"/>
    <w:rsid w:val="00CC478F"/>
    <w:rsid w:val="00CC5CCC"/>
    <w:rsid w:val="00CC71C2"/>
    <w:rsid w:val="00CD21F2"/>
    <w:rsid w:val="00CD2B86"/>
    <w:rsid w:val="00CD5DC7"/>
    <w:rsid w:val="00CE1E69"/>
    <w:rsid w:val="00CE2C56"/>
    <w:rsid w:val="00CF3109"/>
    <w:rsid w:val="00CF3556"/>
    <w:rsid w:val="00CF3EE3"/>
    <w:rsid w:val="00CF4917"/>
    <w:rsid w:val="00CF4E65"/>
    <w:rsid w:val="00CF68D4"/>
    <w:rsid w:val="00CF7E70"/>
    <w:rsid w:val="00D072DD"/>
    <w:rsid w:val="00D11EE9"/>
    <w:rsid w:val="00D178ED"/>
    <w:rsid w:val="00D17E37"/>
    <w:rsid w:val="00D21977"/>
    <w:rsid w:val="00D2242C"/>
    <w:rsid w:val="00D23D20"/>
    <w:rsid w:val="00D26A0E"/>
    <w:rsid w:val="00D30B4B"/>
    <w:rsid w:val="00D32439"/>
    <w:rsid w:val="00D34210"/>
    <w:rsid w:val="00D3457E"/>
    <w:rsid w:val="00D37C48"/>
    <w:rsid w:val="00D42631"/>
    <w:rsid w:val="00D436B6"/>
    <w:rsid w:val="00D442A2"/>
    <w:rsid w:val="00D542D4"/>
    <w:rsid w:val="00D55472"/>
    <w:rsid w:val="00D600F4"/>
    <w:rsid w:val="00D60CA9"/>
    <w:rsid w:val="00D62CFC"/>
    <w:rsid w:val="00D633AE"/>
    <w:rsid w:val="00D6483B"/>
    <w:rsid w:val="00D65840"/>
    <w:rsid w:val="00D6692B"/>
    <w:rsid w:val="00D70259"/>
    <w:rsid w:val="00D74CA0"/>
    <w:rsid w:val="00D77A63"/>
    <w:rsid w:val="00D823B7"/>
    <w:rsid w:val="00D8270B"/>
    <w:rsid w:val="00D87909"/>
    <w:rsid w:val="00D918BB"/>
    <w:rsid w:val="00D94E5C"/>
    <w:rsid w:val="00D95E80"/>
    <w:rsid w:val="00D96113"/>
    <w:rsid w:val="00D979F1"/>
    <w:rsid w:val="00DA008C"/>
    <w:rsid w:val="00DB03CF"/>
    <w:rsid w:val="00DC099B"/>
    <w:rsid w:val="00DC4719"/>
    <w:rsid w:val="00DC6D91"/>
    <w:rsid w:val="00DD344C"/>
    <w:rsid w:val="00DD5FE8"/>
    <w:rsid w:val="00DD64BB"/>
    <w:rsid w:val="00DD7118"/>
    <w:rsid w:val="00DE789E"/>
    <w:rsid w:val="00DF059E"/>
    <w:rsid w:val="00DF6225"/>
    <w:rsid w:val="00E00863"/>
    <w:rsid w:val="00E01363"/>
    <w:rsid w:val="00E017E5"/>
    <w:rsid w:val="00E05FD6"/>
    <w:rsid w:val="00E253ED"/>
    <w:rsid w:val="00E25A8C"/>
    <w:rsid w:val="00E33BF7"/>
    <w:rsid w:val="00E37569"/>
    <w:rsid w:val="00E3770F"/>
    <w:rsid w:val="00E40277"/>
    <w:rsid w:val="00E41E2E"/>
    <w:rsid w:val="00E431E4"/>
    <w:rsid w:val="00E45623"/>
    <w:rsid w:val="00E472E4"/>
    <w:rsid w:val="00E60C32"/>
    <w:rsid w:val="00E64CAC"/>
    <w:rsid w:val="00E74E0F"/>
    <w:rsid w:val="00E7574F"/>
    <w:rsid w:val="00E760C7"/>
    <w:rsid w:val="00E80B53"/>
    <w:rsid w:val="00E81080"/>
    <w:rsid w:val="00E810DA"/>
    <w:rsid w:val="00E8532D"/>
    <w:rsid w:val="00E9238C"/>
    <w:rsid w:val="00E933CB"/>
    <w:rsid w:val="00EA1E95"/>
    <w:rsid w:val="00EA2465"/>
    <w:rsid w:val="00EA5621"/>
    <w:rsid w:val="00EA56B6"/>
    <w:rsid w:val="00EB0EA2"/>
    <w:rsid w:val="00EB165B"/>
    <w:rsid w:val="00EC14F5"/>
    <w:rsid w:val="00EC19D4"/>
    <w:rsid w:val="00EC226A"/>
    <w:rsid w:val="00EC33C9"/>
    <w:rsid w:val="00EC38D8"/>
    <w:rsid w:val="00ED12F4"/>
    <w:rsid w:val="00ED3639"/>
    <w:rsid w:val="00ED3DAD"/>
    <w:rsid w:val="00EE2A6C"/>
    <w:rsid w:val="00EE518B"/>
    <w:rsid w:val="00EE6CBE"/>
    <w:rsid w:val="00EE7D20"/>
    <w:rsid w:val="00F01A00"/>
    <w:rsid w:val="00F04948"/>
    <w:rsid w:val="00F1226A"/>
    <w:rsid w:val="00F12F3C"/>
    <w:rsid w:val="00F177E9"/>
    <w:rsid w:val="00F2047C"/>
    <w:rsid w:val="00F2176D"/>
    <w:rsid w:val="00F23DC8"/>
    <w:rsid w:val="00F31DC5"/>
    <w:rsid w:val="00F33364"/>
    <w:rsid w:val="00F36D39"/>
    <w:rsid w:val="00F44186"/>
    <w:rsid w:val="00F600A8"/>
    <w:rsid w:val="00F6081B"/>
    <w:rsid w:val="00F61222"/>
    <w:rsid w:val="00F643FD"/>
    <w:rsid w:val="00F762A6"/>
    <w:rsid w:val="00F76BF7"/>
    <w:rsid w:val="00F76E96"/>
    <w:rsid w:val="00F778C0"/>
    <w:rsid w:val="00F82813"/>
    <w:rsid w:val="00F83F90"/>
    <w:rsid w:val="00F90480"/>
    <w:rsid w:val="00F9274F"/>
    <w:rsid w:val="00F92E8A"/>
    <w:rsid w:val="00FA490E"/>
    <w:rsid w:val="00FA6E67"/>
    <w:rsid w:val="00FA7729"/>
    <w:rsid w:val="00FA7A81"/>
    <w:rsid w:val="00FB15CF"/>
    <w:rsid w:val="00FB430F"/>
    <w:rsid w:val="00FB4711"/>
    <w:rsid w:val="00FB6C90"/>
    <w:rsid w:val="00FC0062"/>
    <w:rsid w:val="00FC20A8"/>
    <w:rsid w:val="00FC3723"/>
    <w:rsid w:val="00FC5A97"/>
    <w:rsid w:val="00FD153B"/>
    <w:rsid w:val="00FD3E7F"/>
    <w:rsid w:val="00FD4A2A"/>
    <w:rsid w:val="00FD6253"/>
    <w:rsid w:val="00FD6867"/>
    <w:rsid w:val="00FE2850"/>
    <w:rsid w:val="00FE41BF"/>
    <w:rsid w:val="00FE6158"/>
    <w:rsid w:val="00FE7DBF"/>
    <w:rsid w:val="00FF2CA8"/>
    <w:rsid w:val="00FF60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198B5565-87BA-4A48-B40F-126595BDF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0CA9"/>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link w:val="Heading1Char"/>
    <w:uiPriority w:val="9"/>
    <w:qFormat/>
    <w:rsid w:val="00506C56"/>
    <w:pPr>
      <w:spacing w:before="240" w:after="120"/>
      <w:outlineLvl w:val="0"/>
    </w:pPr>
    <w:rPr>
      <w:b/>
      <w:bCs/>
      <w:color w:val="000000"/>
      <w:kern w:val="36"/>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D60CA9"/>
    <w:rPr>
      <w:color w:val="0000FF"/>
      <w:u w:val="single"/>
    </w:rPr>
  </w:style>
  <w:style w:type="paragraph" w:styleId="BalloonText">
    <w:name w:val="Balloon Text"/>
    <w:basedOn w:val="Normal"/>
    <w:link w:val="BalloonTextChar"/>
    <w:uiPriority w:val="99"/>
    <w:semiHidden/>
    <w:unhideWhenUsed/>
    <w:rsid w:val="00574470"/>
    <w:rPr>
      <w:rFonts w:ascii="Tahoma" w:hAnsi="Tahoma" w:cs="Tahoma"/>
      <w:sz w:val="16"/>
      <w:szCs w:val="16"/>
    </w:rPr>
  </w:style>
  <w:style w:type="character" w:customStyle="1" w:styleId="BalloonTextChar">
    <w:name w:val="Balloon Text Char"/>
    <w:basedOn w:val="DefaultParagraphFont"/>
    <w:link w:val="BalloonText"/>
    <w:uiPriority w:val="99"/>
    <w:semiHidden/>
    <w:rsid w:val="00574470"/>
    <w:rPr>
      <w:rFonts w:ascii="Tahoma" w:eastAsia="Times New Roman" w:hAnsi="Tahoma" w:cs="Tahoma"/>
      <w:sz w:val="16"/>
      <w:szCs w:val="16"/>
      <w:lang w:eastAsia="en-GB"/>
    </w:rPr>
  </w:style>
  <w:style w:type="table" w:styleId="TableGrid">
    <w:name w:val="Table Grid"/>
    <w:basedOn w:val="TableNormal"/>
    <w:uiPriority w:val="59"/>
    <w:rsid w:val="0057447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4348B3"/>
    <w:pPr>
      <w:ind w:left="720"/>
      <w:contextualSpacing/>
    </w:pPr>
  </w:style>
  <w:style w:type="paragraph" w:styleId="Header">
    <w:name w:val="header"/>
    <w:basedOn w:val="Normal"/>
    <w:link w:val="HeaderChar"/>
    <w:uiPriority w:val="99"/>
    <w:semiHidden/>
    <w:unhideWhenUsed/>
    <w:rsid w:val="001A3391"/>
    <w:pPr>
      <w:tabs>
        <w:tab w:val="center" w:pos="4513"/>
        <w:tab w:val="right" w:pos="9026"/>
      </w:tabs>
    </w:pPr>
  </w:style>
  <w:style w:type="character" w:customStyle="1" w:styleId="HeaderChar">
    <w:name w:val="Header Char"/>
    <w:basedOn w:val="DefaultParagraphFont"/>
    <w:link w:val="Header"/>
    <w:uiPriority w:val="99"/>
    <w:semiHidden/>
    <w:rsid w:val="001A3391"/>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1A3391"/>
    <w:pPr>
      <w:tabs>
        <w:tab w:val="center" w:pos="4513"/>
        <w:tab w:val="right" w:pos="9026"/>
      </w:tabs>
    </w:pPr>
  </w:style>
  <w:style w:type="character" w:customStyle="1" w:styleId="FooterChar">
    <w:name w:val="Footer Char"/>
    <w:basedOn w:val="DefaultParagraphFont"/>
    <w:link w:val="Footer"/>
    <w:uiPriority w:val="99"/>
    <w:rsid w:val="001A3391"/>
    <w:rPr>
      <w:rFonts w:ascii="Times New Roman" w:eastAsia="Times New Roman" w:hAnsi="Times New Roman" w:cs="Times New Roman"/>
      <w:sz w:val="24"/>
      <w:szCs w:val="24"/>
      <w:lang w:eastAsia="en-GB"/>
    </w:rPr>
  </w:style>
  <w:style w:type="character" w:styleId="LineNumber">
    <w:name w:val="line number"/>
    <w:basedOn w:val="DefaultParagraphFont"/>
    <w:uiPriority w:val="99"/>
    <w:semiHidden/>
    <w:unhideWhenUsed/>
    <w:rsid w:val="00E60C32"/>
  </w:style>
  <w:style w:type="table" w:styleId="LightList">
    <w:name w:val="Light List"/>
    <w:basedOn w:val="TableNormal"/>
    <w:uiPriority w:val="61"/>
    <w:rsid w:val="00831DB3"/>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CommentReference">
    <w:name w:val="annotation reference"/>
    <w:basedOn w:val="DefaultParagraphFont"/>
    <w:uiPriority w:val="99"/>
    <w:semiHidden/>
    <w:unhideWhenUsed/>
    <w:rsid w:val="00D42631"/>
    <w:rPr>
      <w:sz w:val="16"/>
      <w:szCs w:val="16"/>
    </w:rPr>
  </w:style>
  <w:style w:type="paragraph" w:styleId="CommentText">
    <w:name w:val="annotation text"/>
    <w:basedOn w:val="Normal"/>
    <w:link w:val="CommentTextChar"/>
    <w:uiPriority w:val="99"/>
    <w:semiHidden/>
    <w:unhideWhenUsed/>
    <w:rsid w:val="00D42631"/>
    <w:rPr>
      <w:sz w:val="20"/>
      <w:szCs w:val="20"/>
    </w:rPr>
  </w:style>
  <w:style w:type="character" w:customStyle="1" w:styleId="CommentTextChar">
    <w:name w:val="Comment Text Char"/>
    <w:basedOn w:val="DefaultParagraphFont"/>
    <w:link w:val="CommentText"/>
    <w:uiPriority w:val="99"/>
    <w:semiHidden/>
    <w:rsid w:val="00D42631"/>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D42631"/>
    <w:rPr>
      <w:b/>
      <w:bCs/>
    </w:rPr>
  </w:style>
  <w:style w:type="character" w:customStyle="1" w:styleId="CommentSubjectChar">
    <w:name w:val="Comment Subject Char"/>
    <w:basedOn w:val="CommentTextChar"/>
    <w:link w:val="CommentSubject"/>
    <w:uiPriority w:val="99"/>
    <w:semiHidden/>
    <w:rsid w:val="00D42631"/>
    <w:rPr>
      <w:rFonts w:ascii="Times New Roman" w:eastAsia="Times New Roman" w:hAnsi="Times New Roman" w:cs="Times New Roman"/>
      <w:b/>
      <w:bCs/>
      <w:sz w:val="20"/>
      <w:szCs w:val="20"/>
      <w:lang w:eastAsia="en-GB"/>
    </w:rPr>
  </w:style>
  <w:style w:type="character" w:customStyle="1" w:styleId="highlight2">
    <w:name w:val="highlight2"/>
    <w:basedOn w:val="DefaultParagraphFont"/>
    <w:rsid w:val="003F0DCC"/>
  </w:style>
  <w:style w:type="character" w:customStyle="1" w:styleId="jrnl">
    <w:name w:val="jrnl"/>
    <w:basedOn w:val="DefaultParagraphFont"/>
    <w:rsid w:val="003C15A5"/>
  </w:style>
  <w:style w:type="paragraph" w:customStyle="1" w:styleId="title1">
    <w:name w:val="title1"/>
    <w:basedOn w:val="Normal"/>
    <w:rsid w:val="003C15A5"/>
    <w:rPr>
      <w:sz w:val="27"/>
      <w:szCs w:val="27"/>
    </w:rPr>
  </w:style>
  <w:style w:type="paragraph" w:customStyle="1" w:styleId="desc2">
    <w:name w:val="desc2"/>
    <w:basedOn w:val="Normal"/>
    <w:rsid w:val="006D60E4"/>
    <w:rPr>
      <w:sz w:val="26"/>
      <w:szCs w:val="26"/>
    </w:rPr>
  </w:style>
  <w:style w:type="paragraph" w:customStyle="1" w:styleId="details1">
    <w:name w:val="details1"/>
    <w:basedOn w:val="Normal"/>
    <w:rsid w:val="006D60E4"/>
    <w:rPr>
      <w:sz w:val="22"/>
      <w:szCs w:val="22"/>
    </w:rPr>
  </w:style>
  <w:style w:type="character" w:customStyle="1" w:styleId="Heading1Char">
    <w:name w:val="Heading 1 Char"/>
    <w:basedOn w:val="DefaultParagraphFont"/>
    <w:link w:val="Heading1"/>
    <w:uiPriority w:val="9"/>
    <w:rsid w:val="00506C56"/>
    <w:rPr>
      <w:rFonts w:ascii="Times New Roman" w:eastAsia="Times New Roman" w:hAnsi="Times New Roman" w:cs="Times New Roman"/>
      <w:b/>
      <w:bCs/>
      <w:color w:val="000000"/>
      <w:kern w:val="36"/>
      <w:sz w:val="33"/>
      <w:szCs w:val="33"/>
      <w:lang w:eastAsia="en-GB"/>
    </w:rPr>
  </w:style>
  <w:style w:type="character" w:styleId="Strong">
    <w:name w:val="Strong"/>
    <w:basedOn w:val="DefaultParagraphFont"/>
    <w:uiPriority w:val="22"/>
    <w:qFormat/>
    <w:rsid w:val="001B401E"/>
    <w:rPr>
      <w:b/>
      <w:bCs/>
    </w:rPr>
  </w:style>
  <w:style w:type="character" w:styleId="Emphasis">
    <w:name w:val="Emphasis"/>
    <w:basedOn w:val="DefaultParagraphFont"/>
    <w:uiPriority w:val="20"/>
    <w:qFormat/>
    <w:rsid w:val="005A2AE5"/>
    <w:rPr>
      <w:i/>
      <w:iCs/>
      <w:sz w:val="24"/>
      <w:szCs w:val="24"/>
      <w:bdr w:val="none" w:sz="0" w:space="0" w:color="auto" w:frame="1"/>
      <w:vertAlign w:val="baseline"/>
    </w:rPr>
  </w:style>
  <w:style w:type="character" w:customStyle="1" w:styleId="html-italic2">
    <w:name w:val="html-italic2"/>
    <w:basedOn w:val="DefaultParagraphFont"/>
    <w:rsid w:val="00B561EF"/>
    <w:rPr>
      <w:i/>
      <w:iCs/>
    </w:rPr>
  </w:style>
  <w:style w:type="character" w:customStyle="1" w:styleId="A9">
    <w:name w:val="A9"/>
    <w:uiPriority w:val="99"/>
    <w:rsid w:val="003D2B9A"/>
    <w:rPr>
      <w:rFonts w:cs="Minion"/>
      <w:color w:val="000000"/>
      <w:sz w:val="13"/>
      <w:szCs w:val="13"/>
    </w:rPr>
  </w:style>
  <w:style w:type="character" w:customStyle="1" w:styleId="A3">
    <w:name w:val="A3"/>
    <w:uiPriority w:val="99"/>
    <w:rsid w:val="003D2B9A"/>
    <w:rPr>
      <w:rFonts w:cs="Minion"/>
      <w:color w:val="000000"/>
      <w:sz w:val="13"/>
      <w:szCs w:val="13"/>
    </w:rPr>
  </w:style>
  <w:style w:type="character" w:customStyle="1" w:styleId="apple-converted-space">
    <w:name w:val="apple-converted-space"/>
    <w:basedOn w:val="DefaultParagraphFont"/>
    <w:rsid w:val="00C178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929076">
      <w:bodyDiv w:val="1"/>
      <w:marLeft w:val="0"/>
      <w:marRight w:val="0"/>
      <w:marTop w:val="0"/>
      <w:marBottom w:val="0"/>
      <w:divBdr>
        <w:top w:val="none" w:sz="0" w:space="0" w:color="auto"/>
        <w:left w:val="none" w:sz="0" w:space="0" w:color="auto"/>
        <w:bottom w:val="none" w:sz="0" w:space="0" w:color="auto"/>
        <w:right w:val="none" w:sz="0" w:space="0" w:color="auto"/>
      </w:divBdr>
    </w:div>
    <w:div w:id="86343649">
      <w:bodyDiv w:val="1"/>
      <w:marLeft w:val="0"/>
      <w:marRight w:val="0"/>
      <w:marTop w:val="0"/>
      <w:marBottom w:val="0"/>
      <w:divBdr>
        <w:top w:val="none" w:sz="0" w:space="0" w:color="auto"/>
        <w:left w:val="none" w:sz="0" w:space="0" w:color="auto"/>
        <w:bottom w:val="none" w:sz="0" w:space="0" w:color="auto"/>
        <w:right w:val="none" w:sz="0" w:space="0" w:color="auto"/>
      </w:divBdr>
      <w:divsChild>
        <w:div w:id="1815217566">
          <w:marLeft w:val="0"/>
          <w:marRight w:val="1"/>
          <w:marTop w:val="0"/>
          <w:marBottom w:val="0"/>
          <w:divBdr>
            <w:top w:val="none" w:sz="0" w:space="0" w:color="auto"/>
            <w:left w:val="none" w:sz="0" w:space="0" w:color="auto"/>
            <w:bottom w:val="none" w:sz="0" w:space="0" w:color="auto"/>
            <w:right w:val="none" w:sz="0" w:space="0" w:color="auto"/>
          </w:divBdr>
          <w:divsChild>
            <w:div w:id="287930686">
              <w:marLeft w:val="0"/>
              <w:marRight w:val="0"/>
              <w:marTop w:val="0"/>
              <w:marBottom w:val="0"/>
              <w:divBdr>
                <w:top w:val="none" w:sz="0" w:space="0" w:color="auto"/>
                <w:left w:val="none" w:sz="0" w:space="0" w:color="auto"/>
                <w:bottom w:val="none" w:sz="0" w:space="0" w:color="auto"/>
                <w:right w:val="none" w:sz="0" w:space="0" w:color="auto"/>
              </w:divBdr>
              <w:divsChild>
                <w:div w:id="341781010">
                  <w:marLeft w:val="0"/>
                  <w:marRight w:val="1"/>
                  <w:marTop w:val="0"/>
                  <w:marBottom w:val="0"/>
                  <w:divBdr>
                    <w:top w:val="none" w:sz="0" w:space="0" w:color="auto"/>
                    <w:left w:val="none" w:sz="0" w:space="0" w:color="auto"/>
                    <w:bottom w:val="none" w:sz="0" w:space="0" w:color="auto"/>
                    <w:right w:val="none" w:sz="0" w:space="0" w:color="auto"/>
                  </w:divBdr>
                  <w:divsChild>
                    <w:div w:id="1794714958">
                      <w:marLeft w:val="0"/>
                      <w:marRight w:val="0"/>
                      <w:marTop w:val="0"/>
                      <w:marBottom w:val="0"/>
                      <w:divBdr>
                        <w:top w:val="none" w:sz="0" w:space="0" w:color="auto"/>
                        <w:left w:val="none" w:sz="0" w:space="0" w:color="auto"/>
                        <w:bottom w:val="none" w:sz="0" w:space="0" w:color="auto"/>
                        <w:right w:val="none" w:sz="0" w:space="0" w:color="auto"/>
                      </w:divBdr>
                      <w:divsChild>
                        <w:div w:id="37241853">
                          <w:marLeft w:val="0"/>
                          <w:marRight w:val="0"/>
                          <w:marTop w:val="0"/>
                          <w:marBottom w:val="0"/>
                          <w:divBdr>
                            <w:top w:val="none" w:sz="0" w:space="0" w:color="auto"/>
                            <w:left w:val="none" w:sz="0" w:space="0" w:color="auto"/>
                            <w:bottom w:val="none" w:sz="0" w:space="0" w:color="auto"/>
                            <w:right w:val="none" w:sz="0" w:space="0" w:color="auto"/>
                          </w:divBdr>
                          <w:divsChild>
                            <w:div w:id="363406343">
                              <w:marLeft w:val="0"/>
                              <w:marRight w:val="0"/>
                              <w:marTop w:val="120"/>
                              <w:marBottom w:val="360"/>
                              <w:divBdr>
                                <w:top w:val="none" w:sz="0" w:space="0" w:color="auto"/>
                                <w:left w:val="none" w:sz="0" w:space="0" w:color="auto"/>
                                <w:bottom w:val="none" w:sz="0" w:space="0" w:color="auto"/>
                                <w:right w:val="none" w:sz="0" w:space="0" w:color="auto"/>
                              </w:divBdr>
                              <w:divsChild>
                                <w:div w:id="1240406542">
                                  <w:marLeft w:val="420"/>
                                  <w:marRight w:val="0"/>
                                  <w:marTop w:val="0"/>
                                  <w:marBottom w:val="0"/>
                                  <w:divBdr>
                                    <w:top w:val="none" w:sz="0" w:space="0" w:color="auto"/>
                                    <w:left w:val="none" w:sz="0" w:space="0" w:color="auto"/>
                                    <w:bottom w:val="none" w:sz="0" w:space="0" w:color="auto"/>
                                    <w:right w:val="none" w:sz="0" w:space="0" w:color="auto"/>
                                  </w:divBdr>
                                  <w:divsChild>
                                    <w:div w:id="189873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981733">
                              <w:marLeft w:val="0"/>
                              <w:marRight w:val="0"/>
                              <w:marTop w:val="120"/>
                              <w:marBottom w:val="360"/>
                              <w:divBdr>
                                <w:top w:val="none" w:sz="0" w:space="0" w:color="auto"/>
                                <w:left w:val="none" w:sz="0" w:space="0" w:color="auto"/>
                                <w:bottom w:val="none" w:sz="0" w:space="0" w:color="auto"/>
                                <w:right w:val="none" w:sz="0" w:space="0" w:color="auto"/>
                              </w:divBdr>
                              <w:divsChild>
                                <w:div w:id="797114382">
                                  <w:marLeft w:val="0"/>
                                  <w:marRight w:val="0"/>
                                  <w:marTop w:val="0"/>
                                  <w:marBottom w:val="0"/>
                                  <w:divBdr>
                                    <w:top w:val="none" w:sz="0" w:space="0" w:color="auto"/>
                                    <w:left w:val="none" w:sz="0" w:space="0" w:color="auto"/>
                                    <w:bottom w:val="none" w:sz="0" w:space="0" w:color="auto"/>
                                    <w:right w:val="none" w:sz="0" w:space="0" w:color="auto"/>
                                  </w:divBdr>
                                </w:div>
                                <w:div w:id="513152824">
                                  <w:marLeft w:val="4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708158">
      <w:bodyDiv w:val="1"/>
      <w:marLeft w:val="0"/>
      <w:marRight w:val="0"/>
      <w:marTop w:val="0"/>
      <w:marBottom w:val="0"/>
      <w:divBdr>
        <w:top w:val="none" w:sz="0" w:space="0" w:color="auto"/>
        <w:left w:val="none" w:sz="0" w:space="0" w:color="auto"/>
        <w:bottom w:val="none" w:sz="0" w:space="0" w:color="auto"/>
        <w:right w:val="none" w:sz="0" w:space="0" w:color="auto"/>
      </w:divBdr>
      <w:divsChild>
        <w:div w:id="182520362">
          <w:marLeft w:val="0"/>
          <w:marRight w:val="0"/>
          <w:marTop w:val="0"/>
          <w:marBottom w:val="0"/>
          <w:divBdr>
            <w:top w:val="single" w:sz="2" w:space="0" w:color="2E2E2E"/>
            <w:left w:val="single" w:sz="2" w:space="0" w:color="2E2E2E"/>
            <w:bottom w:val="single" w:sz="2" w:space="0" w:color="2E2E2E"/>
            <w:right w:val="single" w:sz="2" w:space="0" w:color="2E2E2E"/>
          </w:divBdr>
          <w:divsChild>
            <w:div w:id="557591498">
              <w:marLeft w:val="0"/>
              <w:marRight w:val="0"/>
              <w:marTop w:val="0"/>
              <w:marBottom w:val="0"/>
              <w:divBdr>
                <w:top w:val="single" w:sz="6" w:space="0" w:color="C9C9C9"/>
                <w:left w:val="none" w:sz="0" w:space="0" w:color="auto"/>
                <w:bottom w:val="none" w:sz="0" w:space="0" w:color="auto"/>
                <w:right w:val="none" w:sz="0" w:space="0" w:color="auto"/>
              </w:divBdr>
              <w:divsChild>
                <w:div w:id="1880700202">
                  <w:marLeft w:val="0"/>
                  <w:marRight w:val="0"/>
                  <w:marTop w:val="0"/>
                  <w:marBottom w:val="0"/>
                  <w:divBdr>
                    <w:top w:val="none" w:sz="0" w:space="0" w:color="auto"/>
                    <w:left w:val="none" w:sz="0" w:space="0" w:color="auto"/>
                    <w:bottom w:val="none" w:sz="0" w:space="0" w:color="auto"/>
                    <w:right w:val="none" w:sz="0" w:space="0" w:color="auto"/>
                  </w:divBdr>
                  <w:divsChild>
                    <w:div w:id="1016884478">
                      <w:marLeft w:val="0"/>
                      <w:marRight w:val="0"/>
                      <w:marTop w:val="0"/>
                      <w:marBottom w:val="0"/>
                      <w:divBdr>
                        <w:top w:val="none" w:sz="0" w:space="0" w:color="auto"/>
                        <w:left w:val="none" w:sz="0" w:space="0" w:color="auto"/>
                        <w:bottom w:val="none" w:sz="0" w:space="0" w:color="auto"/>
                        <w:right w:val="none" w:sz="0" w:space="0" w:color="auto"/>
                      </w:divBdr>
                      <w:divsChild>
                        <w:div w:id="190082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516217">
      <w:bodyDiv w:val="1"/>
      <w:marLeft w:val="0"/>
      <w:marRight w:val="0"/>
      <w:marTop w:val="0"/>
      <w:marBottom w:val="0"/>
      <w:divBdr>
        <w:top w:val="none" w:sz="0" w:space="0" w:color="auto"/>
        <w:left w:val="none" w:sz="0" w:space="0" w:color="auto"/>
        <w:bottom w:val="none" w:sz="0" w:space="0" w:color="auto"/>
        <w:right w:val="none" w:sz="0" w:space="0" w:color="auto"/>
      </w:divBdr>
    </w:div>
    <w:div w:id="202451207">
      <w:bodyDiv w:val="1"/>
      <w:marLeft w:val="0"/>
      <w:marRight w:val="0"/>
      <w:marTop w:val="0"/>
      <w:marBottom w:val="0"/>
      <w:divBdr>
        <w:top w:val="none" w:sz="0" w:space="0" w:color="auto"/>
        <w:left w:val="none" w:sz="0" w:space="0" w:color="auto"/>
        <w:bottom w:val="none" w:sz="0" w:space="0" w:color="auto"/>
        <w:right w:val="none" w:sz="0" w:space="0" w:color="auto"/>
      </w:divBdr>
      <w:divsChild>
        <w:div w:id="2120027471">
          <w:marLeft w:val="0"/>
          <w:marRight w:val="1"/>
          <w:marTop w:val="0"/>
          <w:marBottom w:val="0"/>
          <w:divBdr>
            <w:top w:val="none" w:sz="0" w:space="0" w:color="auto"/>
            <w:left w:val="none" w:sz="0" w:space="0" w:color="auto"/>
            <w:bottom w:val="none" w:sz="0" w:space="0" w:color="auto"/>
            <w:right w:val="none" w:sz="0" w:space="0" w:color="auto"/>
          </w:divBdr>
          <w:divsChild>
            <w:div w:id="1489517902">
              <w:marLeft w:val="0"/>
              <w:marRight w:val="0"/>
              <w:marTop w:val="0"/>
              <w:marBottom w:val="0"/>
              <w:divBdr>
                <w:top w:val="none" w:sz="0" w:space="0" w:color="auto"/>
                <w:left w:val="none" w:sz="0" w:space="0" w:color="auto"/>
                <w:bottom w:val="none" w:sz="0" w:space="0" w:color="auto"/>
                <w:right w:val="none" w:sz="0" w:space="0" w:color="auto"/>
              </w:divBdr>
              <w:divsChild>
                <w:div w:id="413943431">
                  <w:marLeft w:val="0"/>
                  <w:marRight w:val="1"/>
                  <w:marTop w:val="0"/>
                  <w:marBottom w:val="0"/>
                  <w:divBdr>
                    <w:top w:val="none" w:sz="0" w:space="0" w:color="auto"/>
                    <w:left w:val="none" w:sz="0" w:space="0" w:color="auto"/>
                    <w:bottom w:val="none" w:sz="0" w:space="0" w:color="auto"/>
                    <w:right w:val="none" w:sz="0" w:space="0" w:color="auto"/>
                  </w:divBdr>
                  <w:divsChild>
                    <w:div w:id="2004892703">
                      <w:marLeft w:val="0"/>
                      <w:marRight w:val="0"/>
                      <w:marTop w:val="0"/>
                      <w:marBottom w:val="0"/>
                      <w:divBdr>
                        <w:top w:val="none" w:sz="0" w:space="0" w:color="auto"/>
                        <w:left w:val="none" w:sz="0" w:space="0" w:color="auto"/>
                        <w:bottom w:val="none" w:sz="0" w:space="0" w:color="auto"/>
                        <w:right w:val="none" w:sz="0" w:space="0" w:color="auto"/>
                      </w:divBdr>
                      <w:divsChild>
                        <w:div w:id="1074208750">
                          <w:marLeft w:val="0"/>
                          <w:marRight w:val="0"/>
                          <w:marTop w:val="0"/>
                          <w:marBottom w:val="0"/>
                          <w:divBdr>
                            <w:top w:val="none" w:sz="0" w:space="0" w:color="auto"/>
                            <w:left w:val="none" w:sz="0" w:space="0" w:color="auto"/>
                            <w:bottom w:val="none" w:sz="0" w:space="0" w:color="auto"/>
                            <w:right w:val="none" w:sz="0" w:space="0" w:color="auto"/>
                          </w:divBdr>
                          <w:divsChild>
                            <w:div w:id="1350640668">
                              <w:marLeft w:val="0"/>
                              <w:marRight w:val="0"/>
                              <w:marTop w:val="120"/>
                              <w:marBottom w:val="360"/>
                              <w:divBdr>
                                <w:top w:val="none" w:sz="0" w:space="0" w:color="auto"/>
                                <w:left w:val="none" w:sz="0" w:space="0" w:color="auto"/>
                                <w:bottom w:val="none" w:sz="0" w:space="0" w:color="auto"/>
                                <w:right w:val="none" w:sz="0" w:space="0" w:color="auto"/>
                              </w:divBdr>
                              <w:divsChild>
                                <w:div w:id="393091159">
                                  <w:marLeft w:val="420"/>
                                  <w:marRight w:val="0"/>
                                  <w:marTop w:val="0"/>
                                  <w:marBottom w:val="0"/>
                                  <w:divBdr>
                                    <w:top w:val="none" w:sz="0" w:space="0" w:color="auto"/>
                                    <w:left w:val="none" w:sz="0" w:space="0" w:color="auto"/>
                                    <w:bottom w:val="none" w:sz="0" w:space="0" w:color="auto"/>
                                    <w:right w:val="none" w:sz="0" w:space="0" w:color="auto"/>
                                  </w:divBdr>
                                  <w:divsChild>
                                    <w:div w:id="89327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036147">
                              <w:marLeft w:val="0"/>
                              <w:marRight w:val="0"/>
                              <w:marTop w:val="120"/>
                              <w:marBottom w:val="360"/>
                              <w:divBdr>
                                <w:top w:val="none" w:sz="0" w:space="0" w:color="auto"/>
                                <w:left w:val="none" w:sz="0" w:space="0" w:color="auto"/>
                                <w:bottom w:val="none" w:sz="0" w:space="0" w:color="auto"/>
                                <w:right w:val="none" w:sz="0" w:space="0" w:color="auto"/>
                              </w:divBdr>
                              <w:divsChild>
                                <w:div w:id="1264806508">
                                  <w:marLeft w:val="0"/>
                                  <w:marRight w:val="0"/>
                                  <w:marTop w:val="0"/>
                                  <w:marBottom w:val="0"/>
                                  <w:divBdr>
                                    <w:top w:val="none" w:sz="0" w:space="0" w:color="auto"/>
                                    <w:left w:val="none" w:sz="0" w:space="0" w:color="auto"/>
                                    <w:bottom w:val="none" w:sz="0" w:space="0" w:color="auto"/>
                                    <w:right w:val="none" w:sz="0" w:space="0" w:color="auto"/>
                                  </w:divBdr>
                                </w:div>
                                <w:div w:id="1230849539">
                                  <w:marLeft w:val="4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5673417">
      <w:bodyDiv w:val="1"/>
      <w:marLeft w:val="0"/>
      <w:marRight w:val="0"/>
      <w:marTop w:val="0"/>
      <w:marBottom w:val="0"/>
      <w:divBdr>
        <w:top w:val="none" w:sz="0" w:space="0" w:color="auto"/>
        <w:left w:val="none" w:sz="0" w:space="0" w:color="auto"/>
        <w:bottom w:val="none" w:sz="0" w:space="0" w:color="auto"/>
        <w:right w:val="none" w:sz="0" w:space="0" w:color="auto"/>
      </w:divBdr>
    </w:div>
    <w:div w:id="312683619">
      <w:bodyDiv w:val="1"/>
      <w:marLeft w:val="0"/>
      <w:marRight w:val="0"/>
      <w:marTop w:val="0"/>
      <w:marBottom w:val="0"/>
      <w:divBdr>
        <w:top w:val="none" w:sz="0" w:space="0" w:color="auto"/>
        <w:left w:val="none" w:sz="0" w:space="0" w:color="auto"/>
        <w:bottom w:val="none" w:sz="0" w:space="0" w:color="auto"/>
        <w:right w:val="none" w:sz="0" w:space="0" w:color="auto"/>
      </w:divBdr>
      <w:divsChild>
        <w:div w:id="577136921">
          <w:marLeft w:val="0"/>
          <w:marRight w:val="0"/>
          <w:marTop w:val="0"/>
          <w:marBottom w:val="0"/>
          <w:divBdr>
            <w:top w:val="none" w:sz="0" w:space="0" w:color="auto"/>
            <w:left w:val="none" w:sz="0" w:space="0" w:color="auto"/>
            <w:bottom w:val="none" w:sz="0" w:space="0" w:color="auto"/>
            <w:right w:val="none" w:sz="0" w:space="0" w:color="auto"/>
          </w:divBdr>
          <w:divsChild>
            <w:div w:id="243102052">
              <w:marLeft w:val="0"/>
              <w:marRight w:val="0"/>
              <w:marTop w:val="0"/>
              <w:marBottom w:val="0"/>
              <w:divBdr>
                <w:top w:val="none" w:sz="0" w:space="0" w:color="auto"/>
                <w:left w:val="none" w:sz="0" w:space="0" w:color="auto"/>
                <w:bottom w:val="none" w:sz="0" w:space="0" w:color="auto"/>
                <w:right w:val="none" w:sz="0" w:space="0" w:color="auto"/>
              </w:divBdr>
              <w:divsChild>
                <w:div w:id="1986547187">
                  <w:marLeft w:val="0"/>
                  <w:marRight w:val="0"/>
                  <w:marTop w:val="100"/>
                  <w:marBottom w:val="100"/>
                  <w:divBdr>
                    <w:top w:val="none" w:sz="0" w:space="0" w:color="auto"/>
                    <w:left w:val="none" w:sz="0" w:space="0" w:color="auto"/>
                    <w:bottom w:val="none" w:sz="0" w:space="0" w:color="auto"/>
                    <w:right w:val="none" w:sz="0" w:space="0" w:color="auto"/>
                  </w:divBdr>
                  <w:divsChild>
                    <w:div w:id="542252898">
                      <w:marLeft w:val="0"/>
                      <w:marRight w:val="0"/>
                      <w:marTop w:val="0"/>
                      <w:marBottom w:val="0"/>
                      <w:divBdr>
                        <w:top w:val="none" w:sz="0" w:space="0" w:color="auto"/>
                        <w:left w:val="none" w:sz="0" w:space="0" w:color="auto"/>
                        <w:bottom w:val="none" w:sz="0" w:space="0" w:color="auto"/>
                        <w:right w:val="none" w:sz="0" w:space="0" w:color="auto"/>
                      </w:divBdr>
                      <w:divsChild>
                        <w:div w:id="993605947">
                          <w:marLeft w:val="0"/>
                          <w:marRight w:val="0"/>
                          <w:marTop w:val="0"/>
                          <w:marBottom w:val="0"/>
                          <w:divBdr>
                            <w:top w:val="none" w:sz="0" w:space="0" w:color="auto"/>
                            <w:left w:val="none" w:sz="0" w:space="0" w:color="auto"/>
                            <w:bottom w:val="none" w:sz="0" w:space="0" w:color="auto"/>
                            <w:right w:val="none" w:sz="0" w:space="0" w:color="auto"/>
                          </w:divBdr>
                          <w:divsChild>
                            <w:div w:id="1505512895">
                              <w:marLeft w:val="0"/>
                              <w:marRight w:val="0"/>
                              <w:marTop w:val="0"/>
                              <w:marBottom w:val="0"/>
                              <w:divBdr>
                                <w:top w:val="none" w:sz="0" w:space="0" w:color="auto"/>
                                <w:left w:val="none" w:sz="0" w:space="0" w:color="auto"/>
                                <w:bottom w:val="none" w:sz="0" w:space="0" w:color="auto"/>
                                <w:right w:val="none" w:sz="0" w:space="0" w:color="auto"/>
                              </w:divBdr>
                              <w:divsChild>
                                <w:div w:id="1817064130">
                                  <w:marLeft w:val="0"/>
                                  <w:marRight w:val="0"/>
                                  <w:marTop w:val="0"/>
                                  <w:marBottom w:val="0"/>
                                  <w:divBdr>
                                    <w:top w:val="none" w:sz="0" w:space="0" w:color="auto"/>
                                    <w:left w:val="none" w:sz="0" w:space="0" w:color="auto"/>
                                    <w:bottom w:val="none" w:sz="0" w:space="0" w:color="auto"/>
                                    <w:right w:val="none" w:sz="0" w:space="0" w:color="auto"/>
                                  </w:divBdr>
                                  <w:divsChild>
                                    <w:div w:id="2109962721">
                                      <w:marLeft w:val="0"/>
                                      <w:marRight w:val="0"/>
                                      <w:marTop w:val="0"/>
                                      <w:marBottom w:val="0"/>
                                      <w:divBdr>
                                        <w:top w:val="none" w:sz="0" w:space="0" w:color="auto"/>
                                        <w:left w:val="none" w:sz="0" w:space="0" w:color="auto"/>
                                        <w:bottom w:val="none" w:sz="0" w:space="0" w:color="auto"/>
                                        <w:right w:val="none" w:sz="0" w:space="0" w:color="auto"/>
                                      </w:divBdr>
                                      <w:divsChild>
                                        <w:div w:id="1133861757">
                                          <w:marLeft w:val="0"/>
                                          <w:marRight w:val="0"/>
                                          <w:marTop w:val="0"/>
                                          <w:marBottom w:val="0"/>
                                          <w:divBdr>
                                            <w:top w:val="none" w:sz="0" w:space="0" w:color="auto"/>
                                            <w:left w:val="none" w:sz="0" w:space="0" w:color="auto"/>
                                            <w:bottom w:val="none" w:sz="0" w:space="0" w:color="auto"/>
                                            <w:right w:val="none" w:sz="0" w:space="0" w:color="auto"/>
                                          </w:divBdr>
                                          <w:divsChild>
                                            <w:div w:id="290137442">
                                              <w:marLeft w:val="0"/>
                                              <w:marRight w:val="0"/>
                                              <w:marTop w:val="0"/>
                                              <w:marBottom w:val="0"/>
                                              <w:divBdr>
                                                <w:top w:val="none" w:sz="0" w:space="0" w:color="auto"/>
                                                <w:left w:val="none" w:sz="0" w:space="0" w:color="auto"/>
                                                <w:bottom w:val="none" w:sz="0" w:space="0" w:color="auto"/>
                                                <w:right w:val="none" w:sz="0" w:space="0" w:color="auto"/>
                                              </w:divBdr>
                                              <w:divsChild>
                                                <w:div w:id="1580211546">
                                                  <w:marLeft w:val="0"/>
                                                  <w:marRight w:val="300"/>
                                                  <w:marTop w:val="0"/>
                                                  <w:marBottom w:val="0"/>
                                                  <w:divBdr>
                                                    <w:top w:val="none" w:sz="0" w:space="0" w:color="auto"/>
                                                    <w:left w:val="none" w:sz="0" w:space="0" w:color="auto"/>
                                                    <w:bottom w:val="none" w:sz="0" w:space="0" w:color="auto"/>
                                                    <w:right w:val="none" w:sz="0" w:space="0" w:color="auto"/>
                                                  </w:divBdr>
                                                  <w:divsChild>
                                                    <w:div w:id="698624529">
                                                      <w:marLeft w:val="0"/>
                                                      <w:marRight w:val="0"/>
                                                      <w:marTop w:val="0"/>
                                                      <w:marBottom w:val="0"/>
                                                      <w:divBdr>
                                                        <w:top w:val="none" w:sz="0" w:space="0" w:color="auto"/>
                                                        <w:left w:val="none" w:sz="0" w:space="0" w:color="auto"/>
                                                        <w:bottom w:val="none" w:sz="0" w:space="0" w:color="auto"/>
                                                        <w:right w:val="none" w:sz="0" w:space="0" w:color="auto"/>
                                                      </w:divBdr>
                                                      <w:divsChild>
                                                        <w:div w:id="1820727035">
                                                          <w:marLeft w:val="0"/>
                                                          <w:marRight w:val="0"/>
                                                          <w:marTop w:val="0"/>
                                                          <w:marBottom w:val="300"/>
                                                          <w:divBdr>
                                                            <w:top w:val="single" w:sz="6" w:space="0" w:color="CCCCCC"/>
                                                            <w:left w:val="none" w:sz="0" w:space="0" w:color="auto"/>
                                                            <w:bottom w:val="none" w:sz="0" w:space="0" w:color="auto"/>
                                                            <w:right w:val="none" w:sz="0" w:space="0" w:color="auto"/>
                                                          </w:divBdr>
                                                          <w:divsChild>
                                                            <w:div w:id="444155745">
                                                              <w:marLeft w:val="0"/>
                                                              <w:marRight w:val="0"/>
                                                              <w:marTop w:val="0"/>
                                                              <w:marBottom w:val="0"/>
                                                              <w:divBdr>
                                                                <w:top w:val="none" w:sz="0" w:space="0" w:color="auto"/>
                                                                <w:left w:val="none" w:sz="0" w:space="0" w:color="auto"/>
                                                                <w:bottom w:val="none" w:sz="0" w:space="0" w:color="auto"/>
                                                                <w:right w:val="none" w:sz="0" w:space="0" w:color="auto"/>
                                                              </w:divBdr>
                                                              <w:divsChild>
                                                                <w:div w:id="1040324367">
                                                                  <w:marLeft w:val="0"/>
                                                                  <w:marRight w:val="0"/>
                                                                  <w:marTop w:val="0"/>
                                                                  <w:marBottom w:val="0"/>
                                                                  <w:divBdr>
                                                                    <w:top w:val="none" w:sz="0" w:space="0" w:color="auto"/>
                                                                    <w:left w:val="none" w:sz="0" w:space="0" w:color="auto"/>
                                                                    <w:bottom w:val="none" w:sz="0" w:space="0" w:color="auto"/>
                                                                    <w:right w:val="none" w:sz="0" w:space="0" w:color="auto"/>
                                                                  </w:divBdr>
                                                                  <w:divsChild>
                                                                    <w:div w:id="1485119025">
                                                                      <w:marLeft w:val="0"/>
                                                                      <w:marRight w:val="0"/>
                                                                      <w:marTop w:val="0"/>
                                                                      <w:marBottom w:val="0"/>
                                                                      <w:divBdr>
                                                                        <w:top w:val="none" w:sz="0" w:space="0" w:color="auto"/>
                                                                        <w:left w:val="none" w:sz="0" w:space="0" w:color="auto"/>
                                                                        <w:bottom w:val="none" w:sz="0" w:space="0" w:color="auto"/>
                                                                        <w:right w:val="none" w:sz="0" w:space="0" w:color="auto"/>
                                                                      </w:divBdr>
                                                                      <w:divsChild>
                                                                        <w:div w:id="1950162131">
                                                                          <w:marLeft w:val="0"/>
                                                                          <w:marRight w:val="0"/>
                                                                          <w:marTop w:val="0"/>
                                                                          <w:marBottom w:val="0"/>
                                                                          <w:divBdr>
                                                                            <w:top w:val="none" w:sz="0" w:space="0" w:color="auto"/>
                                                                            <w:left w:val="none" w:sz="0" w:space="0" w:color="auto"/>
                                                                            <w:bottom w:val="none" w:sz="0" w:space="0" w:color="auto"/>
                                                                            <w:right w:val="none" w:sz="0" w:space="0" w:color="auto"/>
                                                                          </w:divBdr>
                                                                          <w:divsChild>
                                                                            <w:div w:id="52122706">
                                                                              <w:marLeft w:val="0"/>
                                                                              <w:marRight w:val="0"/>
                                                                              <w:marTop w:val="0"/>
                                                                              <w:marBottom w:val="0"/>
                                                                              <w:divBdr>
                                                                                <w:top w:val="none" w:sz="0" w:space="0" w:color="auto"/>
                                                                                <w:left w:val="none" w:sz="0" w:space="0" w:color="auto"/>
                                                                                <w:bottom w:val="none" w:sz="0" w:space="0" w:color="auto"/>
                                                                                <w:right w:val="none" w:sz="0" w:space="0" w:color="auto"/>
                                                                              </w:divBdr>
                                                                              <w:divsChild>
                                                                                <w:div w:id="219102406">
                                                                                  <w:marLeft w:val="0"/>
                                                                                  <w:marRight w:val="0"/>
                                                                                  <w:marTop w:val="0"/>
                                                                                  <w:marBottom w:val="0"/>
                                                                                  <w:divBdr>
                                                                                    <w:top w:val="none" w:sz="0" w:space="0" w:color="auto"/>
                                                                                    <w:left w:val="none" w:sz="0" w:space="0" w:color="auto"/>
                                                                                    <w:bottom w:val="none" w:sz="0" w:space="0" w:color="auto"/>
                                                                                    <w:right w:val="none" w:sz="0" w:space="0" w:color="auto"/>
                                                                                  </w:divBdr>
                                                                                  <w:divsChild>
                                                                                    <w:div w:id="1386172889">
                                                                                      <w:marLeft w:val="0"/>
                                                                                      <w:marRight w:val="0"/>
                                                                                      <w:marTop w:val="0"/>
                                                                                      <w:marBottom w:val="0"/>
                                                                                      <w:divBdr>
                                                                                        <w:top w:val="none" w:sz="0" w:space="0" w:color="auto"/>
                                                                                        <w:left w:val="none" w:sz="0" w:space="0" w:color="auto"/>
                                                                                        <w:bottom w:val="none" w:sz="0" w:space="0" w:color="auto"/>
                                                                                        <w:right w:val="none" w:sz="0" w:space="0" w:color="auto"/>
                                                                                      </w:divBdr>
                                                                                      <w:divsChild>
                                                                                        <w:div w:id="772283329">
                                                                                          <w:marLeft w:val="0"/>
                                                                                          <w:marRight w:val="0"/>
                                                                                          <w:marTop w:val="0"/>
                                                                                          <w:marBottom w:val="0"/>
                                                                                          <w:divBdr>
                                                                                            <w:top w:val="none" w:sz="0" w:space="0" w:color="auto"/>
                                                                                            <w:left w:val="none" w:sz="0" w:space="0" w:color="auto"/>
                                                                                            <w:bottom w:val="none" w:sz="0" w:space="0" w:color="auto"/>
                                                                                            <w:right w:val="none" w:sz="0" w:space="0" w:color="auto"/>
                                                                                          </w:divBdr>
                                                                                        </w:div>
                                                                                        <w:div w:id="1535075925">
                                                                                          <w:marLeft w:val="0"/>
                                                                                          <w:marRight w:val="0"/>
                                                                                          <w:marTop w:val="0"/>
                                                                                          <w:marBottom w:val="0"/>
                                                                                          <w:divBdr>
                                                                                            <w:top w:val="none" w:sz="0" w:space="0" w:color="auto"/>
                                                                                            <w:left w:val="none" w:sz="0" w:space="0" w:color="auto"/>
                                                                                            <w:bottom w:val="none" w:sz="0" w:space="0" w:color="auto"/>
                                                                                            <w:right w:val="none" w:sz="0" w:space="0" w:color="auto"/>
                                                                                          </w:divBdr>
                                                                                        </w:div>
                                                                                        <w:div w:id="2133595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9731201">
      <w:bodyDiv w:val="1"/>
      <w:marLeft w:val="0"/>
      <w:marRight w:val="0"/>
      <w:marTop w:val="0"/>
      <w:marBottom w:val="0"/>
      <w:divBdr>
        <w:top w:val="none" w:sz="0" w:space="0" w:color="auto"/>
        <w:left w:val="none" w:sz="0" w:space="0" w:color="auto"/>
        <w:bottom w:val="none" w:sz="0" w:space="0" w:color="auto"/>
        <w:right w:val="none" w:sz="0" w:space="0" w:color="auto"/>
      </w:divBdr>
      <w:divsChild>
        <w:div w:id="1397045293">
          <w:marLeft w:val="0"/>
          <w:marRight w:val="1"/>
          <w:marTop w:val="0"/>
          <w:marBottom w:val="0"/>
          <w:divBdr>
            <w:top w:val="none" w:sz="0" w:space="0" w:color="auto"/>
            <w:left w:val="none" w:sz="0" w:space="0" w:color="auto"/>
            <w:bottom w:val="none" w:sz="0" w:space="0" w:color="auto"/>
            <w:right w:val="none" w:sz="0" w:space="0" w:color="auto"/>
          </w:divBdr>
          <w:divsChild>
            <w:div w:id="844051188">
              <w:marLeft w:val="0"/>
              <w:marRight w:val="0"/>
              <w:marTop w:val="0"/>
              <w:marBottom w:val="0"/>
              <w:divBdr>
                <w:top w:val="none" w:sz="0" w:space="0" w:color="auto"/>
                <w:left w:val="none" w:sz="0" w:space="0" w:color="auto"/>
                <w:bottom w:val="none" w:sz="0" w:space="0" w:color="auto"/>
                <w:right w:val="none" w:sz="0" w:space="0" w:color="auto"/>
              </w:divBdr>
              <w:divsChild>
                <w:div w:id="1328360819">
                  <w:marLeft w:val="0"/>
                  <w:marRight w:val="1"/>
                  <w:marTop w:val="0"/>
                  <w:marBottom w:val="0"/>
                  <w:divBdr>
                    <w:top w:val="none" w:sz="0" w:space="0" w:color="auto"/>
                    <w:left w:val="none" w:sz="0" w:space="0" w:color="auto"/>
                    <w:bottom w:val="none" w:sz="0" w:space="0" w:color="auto"/>
                    <w:right w:val="none" w:sz="0" w:space="0" w:color="auto"/>
                  </w:divBdr>
                  <w:divsChild>
                    <w:div w:id="1324505220">
                      <w:marLeft w:val="0"/>
                      <w:marRight w:val="0"/>
                      <w:marTop w:val="0"/>
                      <w:marBottom w:val="0"/>
                      <w:divBdr>
                        <w:top w:val="none" w:sz="0" w:space="0" w:color="auto"/>
                        <w:left w:val="none" w:sz="0" w:space="0" w:color="auto"/>
                        <w:bottom w:val="none" w:sz="0" w:space="0" w:color="auto"/>
                        <w:right w:val="none" w:sz="0" w:space="0" w:color="auto"/>
                      </w:divBdr>
                      <w:divsChild>
                        <w:div w:id="1873112951">
                          <w:marLeft w:val="0"/>
                          <w:marRight w:val="0"/>
                          <w:marTop w:val="0"/>
                          <w:marBottom w:val="0"/>
                          <w:divBdr>
                            <w:top w:val="none" w:sz="0" w:space="0" w:color="auto"/>
                            <w:left w:val="none" w:sz="0" w:space="0" w:color="auto"/>
                            <w:bottom w:val="none" w:sz="0" w:space="0" w:color="auto"/>
                            <w:right w:val="none" w:sz="0" w:space="0" w:color="auto"/>
                          </w:divBdr>
                          <w:divsChild>
                            <w:div w:id="717357768">
                              <w:marLeft w:val="0"/>
                              <w:marRight w:val="0"/>
                              <w:marTop w:val="120"/>
                              <w:marBottom w:val="360"/>
                              <w:divBdr>
                                <w:top w:val="none" w:sz="0" w:space="0" w:color="auto"/>
                                <w:left w:val="none" w:sz="0" w:space="0" w:color="auto"/>
                                <w:bottom w:val="none" w:sz="0" w:space="0" w:color="auto"/>
                                <w:right w:val="none" w:sz="0" w:space="0" w:color="auto"/>
                              </w:divBdr>
                              <w:divsChild>
                                <w:div w:id="1255818446">
                                  <w:marLeft w:val="420"/>
                                  <w:marRight w:val="0"/>
                                  <w:marTop w:val="0"/>
                                  <w:marBottom w:val="0"/>
                                  <w:divBdr>
                                    <w:top w:val="none" w:sz="0" w:space="0" w:color="auto"/>
                                    <w:left w:val="none" w:sz="0" w:space="0" w:color="auto"/>
                                    <w:bottom w:val="none" w:sz="0" w:space="0" w:color="auto"/>
                                    <w:right w:val="none" w:sz="0" w:space="0" w:color="auto"/>
                                  </w:divBdr>
                                  <w:divsChild>
                                    <w:div w:id="14601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414102">
                              <w:marLeft w:val="0"/>
                              <w:marRight w:val="0"/>
                              <w:marTop w:val="120"/>
                              <w:marBottom w:val="360"/>
                              <w:divBdr>
                                <w:top w:val="none" w:sz="0" w:space="0" w:color="auto"/>
                                <w:left w:val="none" w:sz="0" w:space="0" w:color="auto"/>
                                <w:bottom w:val="none" w:sz="0" w:space="0" w:color="auto"/>
                                <w:right w:val="none" w:sz="0" w:space="0" w:color="auto"/>
                              </w:divBdr>
                              <w:divsChild>
                                <w:div w:id="913658852">
                                  <w:marLeft w:val="0"/>
                                  <w:marRight w:val="0"/>
                                  <w:marTop w:val="0"/>
                                  <w:marBottom w:val="0"/>
                                  <w:divBdr>
                                    <w:top w:val="none" w:sz="0" w:space="0" w:color="auto"/>
                                    <w:left w:val="none" w:sz="0" w:space="0" w:color="auto"/>
                                    <w:bottom w:val="none" w:sz="0" w:space="0" w:color="auto"/>
                                    <w:right w:val="none" w:sz="0" w:space="0" w:color="auto"/>
                                  </w:divBdr>
                                </w:div>
                                <w:div w:id="1689599665">
                                  <w:marLeft w:val="4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056584">
      <w:bodyDiv w:val="1"/>
      <w:marLeft w:val="0"/>
      <w:marRight w:val="0"/>
      <w:marTop w:val="0"/>
      <w:marBottom w:val="0"/>
      <w:divBdr>
        <w:top w:val="none" w:sz="0" w:space="0" w:color="auto"/>
        <w:left w:val="none" w:sz="0" w:space="0" w:color="auto"/>
        <w:bottom w:val="none" w:sz="0" w:space="0" w:color="auto"/>
        <w:right w:val="none" w:sz="0" w:space="0" w:color="auto"/>
      </w:divBdr>
      <w:divsChild>
        <w:div w:id="1296833131">
          <w:marLeft w:val="0"/>
          <w:marRight w:val="1"/>
          <w:marTop w:val="0"/>
          <w:marBottom w:val="0"/>
          <w:divBdr>
            <w:top w:val="none" w:sz="0" w:space="0" w:color="auto"/>
            <w:left w:val="none" w:sz="0" w:space="0" w:color="auto"/>
            <w:bottom w:val="none" w:sz="0" w:space="0" w:color="auto"/>
            <w:right w:val="none" w:sz="0" w:space="0" w:color="auto"/>
          </w:divBdr>
          <w:divsChild>
            <w:div w:id="2142725736">
              <w:marLeft w:val="0"/>
              <w:marRight w:val="0"/>
              <w:marTop w:val="0"/>
              <w:marBottom w:val="0"/>
              <w:divBdr>
                <w:top w:val="none" w:sz="0" w:space="0" w:color="auto"/>
                <w:left w:val="none" w:sz="0" w:space="0" w:color="auto"/>
                <w:bottom w:val="none" w:sz="0" w:space="0" w:color="auto"/>
                <w:right w:val="none" w:sz="0" w:space="0" w:color="auto"/>
              </w:divBdr>
              <w:divsChild>
                <w:div w:id="373892699">
                  <w:marLeft w:val="0"/>
                  <w:marRight w:val="1"/>
                  <w:marTop w:val="0"/>
                  <w:marBottom w:val="0"/>
                  <w:divBdr>
                    <w:top w:val="none" w:sz="0" w:space="0" w:color="auto"/>
                    <w:left w:val="none" w:sz="0" w:space="0" w:color="auto"/>
                    <w:bottom w:val="none" w:sz="0" w:space="0" w:color="auto"/>
                    <w:right w:val="none" w:sz="0" w:space="0" w:color="auto"/>
                  </w:divBdr>
                  <w:divsChild>
                    <w:div w:id="522597824">
                      <w:marLeft w:val="0"/>
                      <w:marRight w:val="0"/>
                      <w:marTop w:val="0"/>
                      <w:marBottom w:val="0"/>
                      <w:divBdr>
                        <w:top w:val="none" w:sz="0" w:space="0" w:color="auto"/>
                        <w:left w:val="none" w:sz="0" w:space="0" w:color="auto"/>
                        <w:bottom w:val="none" w:sz="0" w:space="0" w:color="auto"/>
                        <w:right w:val="none" w:sz="0" w:space="0" w:color="auto"/>
                      </w:divBdr>
                      <w:divsChild>
                        <w:div w:id="1248031556">
                          <w:marLeft w:val="0"/>
                          <w:marRight w:val="0"/>
                          <w:marTop w:val="0"/>
                          <w:marBottom w:val="0"/>
                          <w:divBdr>
                            <w:top w:val="none" w:sz="0" w:space="0" w:color="auto"/>
                            <w:left w:val="none" w:sz="0" w:space="0" w:color="auto"/>
                            <w:bottom w:val="none" w:sz="0" w:space="0" w:color="auto"/>
                            <w:right w:val="none" w:sz="0" w:space="0" w:color="auto"/>
                          </w:divBdr>
                          <w:divsChild>
                            <w:div w:id="168302813">
                              <w:marLeft w:val="0"/>
                              <w:marRight w:val="0"/>
                              <w:marTop w:val="120"/>
                              <w:marBottom w:val="360"/>
                              <w:divBdr>
                                <w:top w:val="none" w:sz="0" w:space="0" w:color="auto"/>
                                <w:left w:val="none" w:sz="0" w:space="0" w:color="auto"/>
                                <w:bottom w:val="none" w:sz="0" w:space="0" w:color="auto"/>
                                <w:right w:val="none" w:sz="0" w:space="0" w:color="auto"/>
                              </w:divBdr>
                              <w:divsChild>
                                <w:div w:id="786580578">
                                  <w:marLeft w:val="420"/>
                                  <w:marRight w:val="0"/>
                                  <w:marTop w:val="0"/>
                                  <w:marBottom w:val="0"/>
                                  <w:divBdr>
                                    <w:top w:val="none" w:sz="0" w:space="0" w:color="auto"/>
                                    <w:left w:val="none" w:sz="0" w:space="0" w:color="auto"/>
                                    <w:bottom w:val="none" w:sz="0" w:space="0" w:color="auto"/>
                                    <w:right w:val="none" w:sz="0" w:space="0" w:color="auto"/>
                                  </w:divBdr>
                                  <w:divsChild>
                                    <w:div w:id="8108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076611">
                              <w:marLeft w:val="0"/>
                              <w:marRight w:val="0"/>
                              <w:marTop w:val="120"/>
                              <w:marBottom w:val="360"/>
                              <w:divBdr>
                                <w:top w:val="none" w:sz="0" w:space="0" w:color="auto"/>
                                <w:left w:val="none" w:sz="0" w:space="0" w:color="auto"/>
                                <w:bottom w:val="none" w:sz="0" w:space="0" w:color="auto"/>
                                <w:right w:val="none" w:sz="0" w:space="0" w:color="auto"/>
                              </w:divBdr>
                              <w:divsChild>
                                <w:div w:id="1465781199">
                                  <w:marLeft w:val="0"/>
                                  <w:marRight w:val="0"/>
                                  <w:marTop w:val="0"/>
                                  <w:marBottom w:val="0"/>
                                  <w:divBdr>
                                    <w:top w:val="none" w:sz="0" w:space="0" w:color="auto"/>
                                    <w:left w:val="none" w:sz="0" w:space="0" w:color="auto"/>
                                    <w:bottom w:val="none" w:sz="0" w:space="0" w:color="auto"/>
                                    <w:right w:val="none" w:sz="0" w:space="0" w:color="auto"/>
                                  </w:divBdr>
                                </w:div>
                                <w:div w:id="69206041">
                                  <w:marLeft w:val="4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5072539">
      <w:bodyDiv w:val="1"/>
      <w:marLeft w:val="0"/>
      <w:marRight w:val="0"/>
      <w:marTop w:val="0"/>
      <w:marBottom w:val="0"/>
      <w:divBdr>
        <w:top w:val="none" w:sz="0" w:space="0" w:color="auto"/>
        <w:left w:val="none" w:sz="0" w:space="0" w:color="auto"/>
        <w:bottom w:val="none" w:sz="0" w:space="0" w:color="auto"/>
        <w:right w:val="none" w:sz="0" w:space="0" w:color="auto"/>
      </w:divBdr>
      <w:divsChild>
        <w:div w:id="490876592">
          <w:marLeft w:val="0"/>
          <w:marRight w:val="1"/>
          <w:marTop w:val="0"/>
          <w:marBottom w:val="0"/>
          <w:divBdr>
            <w:top w:val="none" w:sz="0" w:space="0" w:color="auto"/>
            <w:left w:val="none" w:sz="0" w:space="0" w:color="auto"/>
            <w:bottom w:val="none" w:sz="0" w:space="0" w:color="auto"/>
            <w:right w:val="none" w:sz="0" w:space="0" w:color="auto"/>
          </w:divBdr>
          <w:divsChild>
            <w:div w:id="1755398966">
              <w:marLeft w:val="0"/>
              <w:marRight w:val="0"/>
              <w:marTop w:val="0"/>
              <w:marBottom w:val="0"/>
              <w:divBdr>
                <w:top w:val="none" w:sz="0" w:space="0" w:color="auto"/>
                <w:left w:val="none" w:sz="0" w:space="0" w:color="auto"/>
                <w:bottom w:val="none" w:sz="0" w:space="0" w:color="auto"/>
                <w:right w:val="none" w:sz="0" w:space="0" w:color="auto"/>
              </w:divBdr>
              <w:divsChild>
                <w:div w:id="1120614553">
                  <w:marLeft w:val="0"/>
                  <w:marRight w:val="1"/>
                  <w:marTop w:val="0"/>
                  <w:marBottom w:val="0"/>
                  <w:divBdr>
                    <w:top w:val="none" w:sz="0" w:space="0" w:color="auto"/>
                    <w:left w:val="none" w:sz="0" w:space="0" w:color="auto"/>
                    <w:bottom w:val="none" w:sz="0" w:space="0" w:color="auto"/>
                    <w:right w:val="none" w:sz="0" w:space="0" w:color="auto"/>
                  </w:divBdr>
                  <w:divsChild>
                    <w:div w:id="28645646">
                      <w:marLeft w:val="0"/>
                      <w:marRight w:val="0"/>
                      <w:marTop w:val="0"/>
                      <w:marBottom w:val="0"/>
                      <w:divBdr>
                        <w:top w:val="none" w:sz="0" w:space="0" w:color="auto"/>
                        <w:left w:val="none" w:sz="0" w:space="0" w:color="auto"/>
                        <w:bottom w:val="none" w:sz="0" w:space="0" w:color="auto"/>
                        <w:right w:val="none" w:sz="0" w:space="0" w:color="auto"/>
                      </w:divBdr>
                      <w:divsChild>
                        <w:div w:id="1121412214">
                          <w:marLeft w:val="0"/>
                          <w:marRight w:val="0"/>
                          <w:marTop w:val="216"/>
                          <w:marBottom w:val="312"/>
                          <w:divBdr>
                            <w:top w:val="none" w:sz="0" w:space="0" w:color="auto"/>
                            <w:left w:val="none" w:sz="0" w:space="0" w:color="auto"/>
                            <w:bottom w:val="none" w:sz="0" w:space="0" w:color="auto"/>
                            <w:right w:val="none" w:sz="0" w:space="0" w:color="auto"/>
                          </w:divBdr>
                          <w:divsChild>
                            <w:div w:id="445658698">
                              <w:marLeft w:val="0"/>
                              <w:marRight w:val="0"/>
                              <w:marTop w:val="0"/>
                              <w:marBottom w:val="0"/>
                              <w:divBdr>
                                <w:top w:val="none" w:sz="0" w:space="0" w:color="auto"/>
                                <w:left w:val="none" w:sz="0" w:space="0" w:color="auto"/>
                                <w:bottom w:val="none" w:sz="0" w:space="0" w:color="auto"/>
                                <w:right w:val="none" w:sz="0" w:space="0" w:color="auto"/>
                              </w:divBdr>
                            </w:div>
                          </w:divsChild>
                        </w:div>
                        <w:div w:id="193927143">
                          <w:marLeft w:val="0"/>
                          <w:marRight w:val="0"/>
                          <w:marTop w:val="0"/>
                          <w:marBottom w:val="0"/>
                          <w:divBdr>
                            <w:top w:val="none" w:sz="0" w:space="0" w:color="auto"/>
                            <w:left w:val="none" w:sz="0" w:space="0" w:color="auto"/>
                            <w:bottom w:val="none" w:sz="0" w:space="0" w:color="auto"/>
                            <w:right w:val="none" w:sz="0" w:space="0" w:color="auto"/>
                          </w:divBdr>
                          <w:divsChild>
                            <w:div w:id="147790797">
                              <w:marLeft w:val="0"/>
                              <w:marRight w:val="0"/>
                              <w:marTop w:val="120"/>
                              <w:marBottom w:val="360"/>
                              <w:divBdr>
                                <w:top w:val="none" w:sz="0" w:space="0" w:color="auto"/>
                                <w:left w:val="none" w:sz="0" w:space="0" w:color="auto"/>
                                <w:bottom w:val="none" w:sz="0" w:space="0" w:color="auto"/>
                                <w:right w:val="none" w:sz="0" w:space="0" w:color="auto"/>
                              </w:divBdr>
                              <w:divsChild>
                                <w:div w:id="526408001">
                                  <w:marLeft w:val="0"/>
                                  <w:marRight w:val="0"/>
                                  <w:marTop w:val="0"/>
                                  <w:marBottom w:val="0"/>
                                  <w:divBdr>
                                    <w:top w:val="none" w:sz="0" w:space="0" w:color="auto"/>
                                    <w:left w:val="none" w:sz="0" w:space="0" w:color="auto"/>
                                    <w:bottom w:val="none" w:sz="0" w:space="0" w:color="auto"/>
                                    <w:right w:val="none" w:sz="0" w:space="0" w:color="auto"/>
                                  </w:divBdr>
                                </w:div>
                                <w:div w:id="1566525041">
                                  <w:marLeft w:val="420"/>
                                  <w:marRight w:val="0"/>
                                  <w:marTop w:val="0"/>
                                  <w:marBottom w:val="0"/>
                                  <w:divBdr>
                                    <w:top w:val="none" w:sz="0" w:space="0" w:color="auto"/>
                                    <w:left w:val="none" w:sz="0" w:space="0" w:color="auto"/>
                                    <w:bottom w:val="none" w:sz="0" w:space="0" w:color="auto"/>
                                    <w:right w:val="none" w:sz="0" w:space="0" w:color="auto"/>
                                  </w:divBdr>
                                  <w:divsChild>
                                    <w:div w:id="909000344">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9215281">
      <w:bodyDiv w:val="1"/>
      <w:marLeft w:val="0"/>
      <w:marRight w:val="0"/>
      <w:marTop w:val="0"/>
      <w:marBottom w:val="0"/>
      <w:divBdr>
        <w:top w:val="none" w:sz="0" w:space="0" w:color="auto"/>
        <w:left w:val="none" w:sz="0" w:space="0" w:color="auto"/>
        <w:bottom w:val="none" w:sz="0" w:space="0" w:color="auto"/>
        <w:right w:val="none" w:sz="0" w:space="0" w:color="auto"/>
      </w:divBdr>
      <w:divsChild>
        <w:div w:id="769818093">
          <w:marLeft w:val="0"/>
          <w:marRight w:val="1"/>
          <w:marTop w:val="0"/>
          <w:marBottom w:val="0"/>
          <w:divBdr>
            <w:top w:val="none" w:sz="0" w:space="0" w:color="auto"/>
            <w:left w:val="none" w:sz="0" w:space="0" w:color="auto"/>
            <w:bottom w:val="none" w:sz="0" w:space="0" w:color="auto"/>
            <w:right w:val="none" w:sz="0" w:space="0" w:color="auto"/>
          </w:divBdr>
          <w:divsChild>
            <w:div w:id="190002164">
              <w:marLeft w:val="0"/>
              <w:marRight w:val="0"/>
              <w:marTop w:val="0"/>
              <w:marBottom w:val="0"/>
              <w:divBdr>
                <w:top w:val="none" w:sz="0" w:space="0" w:color="auto"/>
                <w:left w:val="none" w:sz="0" w:space="0" w:color="auto"/>
                <w:bottom w:val="none" w:sz="0" w:space="0" w:color="auto"/>
                <w:right w:val="none" w:sz="0" w:space="0" w:color="auto"/>
              </w:divBdr>
              <w:divsChild>
                <w:div w:id="637032701">
                  <w:marLeft w:val="0"/>
                  <w:marRight w:val="1"/>
                  <w:marTop w:val="0"/>
                  <w:marBottom w:val="0"/>
                  <w:divBdr>
                    <w:top w:val="none" w:sz="0" w:space="0" w:color="auto"/>
                    <w:left w:val="none" w:sz="0" w:space="0" w:color="auto"/>
                    <w:bottom w:val="none" w:sz="0" w:space="0" w:color="auto"/>
                    <w:right w:val="none" w:sz="0" w:space="0" w:color="auto"/>
                  </w:divBdr>
                  <w:divsChild>
                    <w:div w:id="427240625">
                      <w:marLeft w:val="0"/>
                      <w:marRight w:val="0"/>
                      <w:marTop w:val="0"/>
                      <w:marBottom w:val="0"/>
                      <w:divBdr>
                        <w:top w:val="none" w:sz="0" w:space="0" w:color="auto"/>
                        <w:left w:val="none" w:sz="0" w:space="0" w:color="auto"/>
                        <w:bottom w:val="none" w:sz="0" w:space="0" w:color="auto"/>
                        <w:right w:val="none" w:sz="0" w:space="0" w:color="auto"/>
                      </w:divBdr>
                      <w:divsChild>
                        <w:div w:id="664474306">
                          <w:marLeft w:val="0"/>
                          <w:marRight w:val="0"/>
                          <w:marTop w:val="0"/>
                          <w:marBottom w:val="0"/>
                          <w:divBdr>
                            <w:top w:val="none" w:sz="0" w:space="0" w:color="auto"/>
                            <w:left w:val="none" w:sz="0" w:space="0" w:color="auto"/>
                            <w:bottom w:val="none" w:sz="0" w:space="0" w:color="auto"/>
                            <w:right w:val="none" w:sz="0" w:space="0" w:color="auto"/>
                          </w:divBdr>
                          <w:divsChild>
                            <w:div w:id="1640307391">
                              <w:marLeft w:val="0"/>
                              <w:marRight w:val="0"/>
                              <w:marTop w:val="120"/>
                              <w:marBottom w:val="360"/>
                              <w:divBdr>
                                <w:top w:val="none" w:sz="0" w:space="0" w:color="auto"/>
                                <w:left w:val="none" w:sz="0" w:space="0" w:color="auto"/>
                                <w:bottom w:val="none" w:sz="0" w:space="0" w:color="auto"/>
                                <w:right w:val="none" w:sz="0" w:space="0" w:color="auto"/>
                              </w:divBdr>
                              <w:divsChild>
                                <w:div w:id="1362826117">
                                  <w:marLeft w:val="0"/>
                                  <w:marRight w:val="0"/>
                                  <w:marTop w:val="0"/>
                                  <w:marBottom w:val="0"/>
                                  <w:divBdr>
                                    <w:top w:val="none" w:sz="0" w:space="0" w:color="auto"/>
                                    <w:left w:val="none" w:sz="0" w:space="0" w:color="auto"/>
                                    <w:bottom w:val="none" w:sz="0" w:space="0" w:color="auto"/>
                                    <w:right w:val="none" w:sz="0" w:space="0" w:color="auto"/>
                                  </w:divBdr>
                                </w:div>
                                <w:div w:id="1735082008">
                                  <w:marLeft w:val="4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7861442">
      <w:bodyDiv w:val="1"/>
      <w:marLeft w:val="0"/>
      <w:marRight w:val="0"/>
      <w:marTop w:val="0"/>
      <w:marBottom w:val="0"/>
      <w:divBdr>
        <w:top w:val="none" w:sz="0" w:space="0" w:color="auto"/>
        <w:left w:val="none" w:sz="0" w:space="0" w:color="auto"/>
        <w:bottom w:val="none" w:sz="0" w:space="0" w:color="auto"/>
        <w:right w:val="none" w:sz="0" w:space="0" w:color="auto"/>
      </w:divBdr>
    </w:div>
    <w:div w:id="693194624">
      <w:bodyDiv w:val="1"/>
      <w:marLeft w:val="0"/>
      <w:marRight w:val="0"/>
      <w:marTop w:val="0"/>
      <w:marBottom w:val="0"/>
      <w:divBdr>
        <w:top w:val="none" w:sz="0" w:space="0" w:color="auto"/>
        <w:left w:val="none" w:sz="0" w:space="0" w:color="auto"/>
        <w:bottom w:val="none" w:sz="0" w:space="0" w:color="auto"/>
        <w:right w:val="none" w:sz="0" w:space="0" w:color="auto"/>
      </w:divBdr>
      <w:divsChild>
        <w:div w:id="359817217">
          <w:marLeft w:val="0"/>
          <w:marRight w:val="1"/>
          <w:marTop w:val="0"/>
          <w:marBottom w:val="0"/>
          <w:divBdr>
            <w:top w:val="none" w:sz="0" w:space="0" w:color="auto"/>
            <w:left w:val="none" w:sz="0" w:space="0" w:color="auto"/>
            <w:bottom w:val="none" w:sz="0" w:space="0" w:color="auto"/>
            <w:right w:val="none" w:sz="0" w:space="0" w:color="auto"/>
          </w:divBdr>
          <w:divsChild>
            <w:div w:id="1285619949">
              <w:marLeft w:val="0"/>
              <w:marRight w:val="0"/>
              <w:marTop w:val="0"/>
              <w:marBottom w:val="0"/>
              <w:divBdr>
                <w:top w:val="none" w:sz="0" w:space="0" w:color="auto"/>
                <w:left w:val="none" w:sz="0" w:space="0" w:color="auto"/>
                <w:bottom w:val="none" w:sz="0" w:space="0" w:color="auto"/>
                <w:right w:val="none" w:sz="0" w:space="0" w:color="auto"/>
              </w:divBdr>
              <w:divsChild>
                <w:div w:id="920412769">
                  <w:marLeft w:val="0"/>
                  <w:marRight w:val="1"/>
                  <w:marTop w:val="0"/>
                  <w:marBottom w:val="0"/>
                  <w:divBdr>
                    <w:top w:val="none" w:sz="0" w:space="0" w:color="auto"/>
                    <w:left w:val="none" w:sz="0" w:space="0" w:color="auto"/>
                    <w:bottom w:val="none" w:sz="0" w:space="0" w:color="auto"/>
                    <w:right w:val="none" w:sz="0" w:space="0" w:color="auto"/>
                  </w:divBdr>
                  <w:divsChild>
                    <w:div w:id="803617928">
                      <w:marLeft w:val="0"/>
                      <w:marRight w:val="0"/>
                      <w:marTop w:val="0"/>
                      <w:marBottom w:val="0"/>
                      <w:divBdr>
                        <w:top w:val="none" w:sz="0" w:space="0" w:color="auto"/>
                        <w:left w:val="none" w:sz="0" w:space="0" w:color="auto"/>
                        <w:bottom w:val="none" w:sz="0" w:space="0" w:color="auto"/>
                        <w:right w:val="none" w:sz="0" w:space="0" w:color="auto"/>
                      </w:divBdr>
                      <w:divsChild>
                        <w:div w:id="1689604166">
                          <w:marLeft w:val="0"/>
                          <w:marRight w:val="0"/>
                          <w:marTop w:val="0"/>
                          <w:marBottom w:val="0"/>
                          <w:divBdr>
                            <w:top w:val="none" w:sz="0" w:space="0" w:color="auto"/>
                            <w:left w:val="none" w:sz="0" w:space="0" w:color="auto"/>
                            <w:bottom w:val="none" w:sz="0" w:space="0" w:color="auto"/>
                            <w:right w:val="none" w:sz="0" w:space="0" w:color="auto"/>
                          </w:divBdr>
                          <w:divsChild>
                            <w:div w:id="962885784">
                              <w:marLeft w:val="0"/>
                              <w:marRight w:val="0"/>
                              <w:marTop w:val="120"/>
                              <w:marBottom w:val="360"/>
                              <w:divBdr>
                                <w:top w:val="none" w:sz="0" w:space="0" w:color="auto"/>
                                <w:left w:val="none" w:sz="0" w:space="0" w:color="auto"/>
                                <w:bottom w:val="none" w:sz="0" w:space="0" w:color="auto"/>
                                <w:right w:val="none" w:sz="0" w:space="0" w:color="auto"/>
                              </w:divBdr>
                              <w:divsChild>
                                <w:div w:id="1216699557">
                                  <w:marLeft w:val="420"/>
                                  <w:marRight w:val="0"/>
                                  <w:marTop w:val="0"/>
                                  <w:marBottom w:val="0"/>
                                  <w:divBdr>
                                    <w:top w:val="none" w:sz="0" w:space="0" w:color="auto"/>
                                    <w:left w:val="none" w:sz="0" w:space="0" w:color="auto"/>
                                    <w:bottom w:val="none" w:sz="0" w:space="0" w:color="auto"/>
                                    <w:right w:val="none" w:sz="0" w:space="0" w:color="auto"/>
                                  </w:divBdr>
                                  <w:divsChild>
                                    <w:div w:id="57747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272264">
                              <w:marLeft w:val="0"/>
                              <w:marRight w:val="0"/>
                              <w:marTop w:val="120"/>
                              <w:marBottom w:val="360"/>
                              <w:divBdr>
                                <w:top w:val="none" w:sz="0" w:space="0" w:color="auto"/>
                                <w:left w:val="none" w:sz="0" w:space="0" w:color="auto"/>
                                <w:bottom w:val="none" w:sz="0" w:space="0" w:color="auto"/>
                                <w:right w:val="none" w:sz="0" w:space="0" w:color="auto"/>
                              </w:divBdr>
                              <w:divsChild>
                                <w:div w:id="248464770">
                                  <w:marLeft w:val="0"/>
                                  <w:marRight w:val="0"/>
                                  <w:marTop w:val="0"/>
                                  <w:marBottom w:val="0"/>
                                  <w:divBdr>
                                    <w:top w:val="none" w:sz="0" w:space="0" w:color="auto"/>
                                    <w:left w:val="none" w:sz="0" w:space="0" w:color="auto"/>
                                    <w:bottom w:val="none" w:sz="0" w:space="0" w:color="auto"/>
                                    <w:right w:val="none" w:sz="0" w:space="0" w:color="auto"/>
                                  </w:divBdr>
                                </w:div>
                                <w:div w:id="992295714">
                                  <w:marLeft w:val="4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5126180">
      <w:bodyDiv w:val="1"/>
      <w:marLeft w:val="0"/>
      <w:marRight w:val="0"/>
      <w:marTop w:val="0"/>
      <w:marBottom w:val="0"/>
      <w:divBdr>
        <w:top w:val="none" w:sz="0" w:space="0" w:color="auto"/>
        <w:left w:val="none" w:sz="0" w:space="0" w:color="auto"/>
        <w:bottom w:val="none" w:sz="0" w:space="0" w:color="auto"/>
        <w:right w:val="none" w:sz="0" w:space="0" w:color="auto"/>
      </w:divBdr>
    </w:div>
    <w:div w:id="845939930">
      <w:bodyDiv w:val="1"/>
      <w:marLeft w:val="0"/>
      <w:marRight w:val="0"/>
      <w:marTop w:val="0"/>
      <w:marBottom w:val="0"/>
      <w:divBdr>
        <w:top w:val="none" w:sz="0" w:space="0" w:color="auto"/>
        <w:left w:val="none" w:sz="0" w:space="0" w:color="auto"/>
        <w:bottom w:val="none" w:sz="0" w:space="0" w:color="auto"/>
        <w:right w:val="none" w:sz="0" w:space="0" w:color="auto"/>
      </w:divBdr>
      <w:divsChild>
        <w:div w:id="692998898">
          <w:marLeft w:val="0"/>
          <w:marRight w:val="1"/>
          <w:marTop w:val="0"/>
          <w:marBottom w:val="0"/>
          <w:divBdr>
            <w:top w:val="none" w:sz="0" w:space="0" w:color="auto"/>
            <w:left w:val="none" w:sz="0" w:space="0" w:color="auto"/>
            <w:bottom w:val="none" w:sz="0" w:space="0" w:color="auto"/>
            <w:right w:val="none" w:sz="0" w:space="0" w:color="auto"/>
          </w:divBdr>
          <w:divsChild>
            <w:div w:id="1901669270">
              <w:marLeft w:val="0"/>
              <w:marRight w:val="0"/>
              <w:marTop w:val="0"/>
              <w:marBottom w:val="0"/>
              <w:divBdr>
                <w:top w:val="none" w:sz="0" w:space="0" w:color="auto"/>
                <w:left w:val="none" w:sz="0" w:space="0" w:color="auto"/>
                <w:bottom w:val="none" w:sz="0" w:space="0" w:color="auto"/>
                <w:right w:val="none" w:sz="0" w:space="0" w:color="auto"/>
              </w:divBdr>
              <w:divsChild>
                <w:div w:id="1945071413">
                  <w:marLeft w:val="0"/>
                  <w:marRight w:val="1"/>
                  <w:marTop w:val="0"/>
                  <w:marBottom w:val="0"/>
                  <w:divBdr>
                    <w:top w:val="none" w:sz="0" w:space="0" w:color="auto"/>
                    <w:left w:val="none" w:sz="0" w:space="0" w:color="auto"/>
                    <w:bottom w:val="none" w:sz="0" w:space="0" w:color="auto"/>
                    <w:right w:val="none" w:sz="0" w:space="0" w:color="auto"/>
                  </w:divBdr>
                  <w:divsChild>
                    <w:div w:id="325326332">
                      <w:marLeft w:val="0"/>
                      <w:marRight w:val="0"/>
                      <w:marTop w:val="0"/>
                      <w:marBottom w:val="0"/>
                      <w:divBdr>
                        <w:top w:val="none" w:sz="0" w:space="0" w:color="auto"/>
                        <w:left w:val="none" w:sz="0" w:space="0" w:color="auto"/>
                        <w:bottom w:val="none" w:sz="0" w:space="0" w:color="auto"/>
                        <w:right w:val="none" w:sz="0" w:space="0" w:color="auto"/>
                      </w:divBdr>
                      <w:divsChild>
                        <w:div w:id="1205605388">
                          <w:marLeft w:val="0"/>
                          <w:marRight w:val="0"/>
                          <w:marTop w:val="0"/>
                          <w:marBottom w:val="0"/>
                          <w:divBdr>
                            <w:top w:val="none" w:sz="0" w:space="0" w:color="auto"/>
                            <w:left w:val="none" w:sz="0" w:space="0" w:color="auto"/>
                            <w:bottom w:val="none" w:sz="0" w:space="0" w:color="auto"/>
                            <w:right w:val="none" w:sz="0" w:space="0" w:color="auto"/>
                          </w:divBdr>
                          <w:divsChild>
                            <w:div w:id="1825316032">
                              <w:marLeft w:val="0"/>
                              <w:marRight w:val="0"/>
                              <w:marTop w:val="120"/>
                              <w:marBottom w:val="360"/>
                              <w:divBdr>
                                <w:top w:val="none" w:sz="0" w:space="0" w:color="auto"/>
                                <w:left w:val="none" w:sz="0" w:space="0" w:color="auto"/>
                                <w:bottom w:val="none" w:sz="0" w:space="0" w:color="auto"/>
                                <w:right w:val="none" w:sz="0" w:space="0" w:color="auto"/>
                              </w:divBdr>
                              <w:divsChild>
                                <w:div w:id="276299979">
                                  <w:marLeft w:val="420"/>
                                  <w:marRight w:val="0"/>
                                  <w:marTop w:val="0"/>
                                  <w:marBottom w:val="0"/>
                                  <w:divBdr>
                                    <w:top w:val="none" w:sz="0" w:space="0" w:color="auto"/>
                                    <w:left w:val="none" w:sz="0" w:space="0" w:color="auto"/>
                                    <w:bottom w:val="none" w:sz="0" w:space="0" w:color="auto"/>
                                    <w:right w:val="none" w:sz="0" w:space="0" w:color="auto"/>
                                  </w:divBdr>
                                  <w:divsChild>
                                    <w:div w:id="11626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2301">
                              <w:marLeft w:val="0"/>
                              <w:marRight w:val="0"/>
                              <w:marTop w:val="120"/>
                              <w:marBottom w:val="360"/>
                              <w:divBdr>
                                <w:top w:val="none" w:sz="0" w:space="0" w:color="auto"/>
                                <w:left w:val="none" w:sz="0" w:space="0" w:color="auto"/>
                                <w:bottom w:val="none" w:sz="0" w:space="0" w:color="auto"/>
                                <w:right w:val="none" w:sz="0" w:space="0" w:color="auto"/>
                              </w:divBdr>
                              <w:divsChild>
                                <w:div w:id="225456442">
                                  <w:marLeft w:val="0"/>
                                  <w:marRight w:val="0"/>
                                  <w:marTop w:val="0"/>
                                  <w:marBottom w:val="0"/>
                                  <w:divBdr>
                                    <w:top w:val="none" w:sz="0" w:space="0" w:color="auto"/>
                                    <w:left w:val="none" w:sz="0" w:space="0" w:color="auto"/>
                                    <w:bottom w:val="none" w:sz="0" w:space="0" w:color="auto"/>
                                    <w:right w:val="none" w:sz="0" w:space="0" w:color="auto"/>
                                  </w:divBdr>
                                </w:div>
                                <w:div w:id="649137496">
                                  <w:marLeft w:val="4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1538434">
      <w:bodyDiv w:val="1"/>
      <w:marLeft w:val="0"/>
      <w:marRight w:val="0"/>
      <w:marTop w:val="0"/>
      <w:marBottom w:val="0"/>
      <w:divBdr>
        <w:top w:val="none" w:sz="0" w:space="0" w:color="auto"/>
        <w:left w:val="none" w:sz="0" w:space="0" w:color="auto"/>
        <w:bottom w:val="none" w:sz="0" w:space="0" w:color="auto"/>
        <w:right w:val="none" w:sz="0" w:space="0" w:color="auto"/>
      </w:divBdr>
    </w:div>
    <w:div w:id="1124734296">
      <w:bodyDiv w:val="1"/>
      <w:marLeft w:val="0"/>
      <w:marRight w:val="0"/>
      <w:marTop w:val="0"/>
      <w:marBottom w:val="0"/>
      <w:divBdr>
        <w:top w:val="none" w:sz="0" w:space="0" w:color="auto"/>
        <w:left w:val="none" w:sz="0" w:space="0" w:color="auto"/>
        <w:bottom w:val="none" w:sz="0" w:space="0" w:color="auto"/>
        <w:right w:val="none" w:sz="0" w:space="0" w:color="auto"/>
      </w:divBdr>
    </w:div>
    <w:div w:id="1132670435">
      <w:bodyDiv w:val="1"/>
      <w:marLeft w:val="0"/>
      <w:marRight w:val="0"/>
      <w:marTop w:val="0"/>
      <w:marBottom w:val="0"/>
      <w:divBdr>
        <w:top w:val="none" w:sz="0" w:space="0" w:color="auto"/>
        <w:left w:val="none" w:sz="0" w:space="0" w:color="auto"/>
        <w:bottom w:val="none" w:sz="0" w:space="0" w:color="auto"/>
        <w:right w:val="none" w:sz="0" w:space="0" w:color="auto"/>
      </w:divBdr>
    </w:div>
    <w:div w:id="1216772791">
      <w:bodyDiv w:val="1"/>
      <w:marLeft w:val="0"/>
      <w:marRight w:val="0"/>
      <w:marTop w:val="0"/>
      <w:marBottom w:val="0"/>
      <w:divBdr>
        <w:top w:val="none" w:sz="0" w:space="0" w:color="auto"/>
        <w:left w:val="none" w:sz="0" w:space="0" w:color="auto"/>
        <w:bottom w:val="none" w:sz="0" w:space="0" w:color="auto"/>
        <w:right w:val="none" w:sz="0" w:space="0" w:color="auto"/>
      </w:divBdr>
      <w:divsChild>
        <w:div w:id="221524967">
          <w:marLeft w:val="0"/>
          <w:marRight w:val="1"/>
          <w:marTop w:val="0"/>
          <w:marBottom w:val="0"/>
          <w:divBdr>
            <w:top w:val="none" w:sz="0" w:space="0" w:color="auto"/>
            <w:left w:val="none" w:sz="0" w:space="0" w:color="auto"/>
            <w:bottom w:val="none" w:sz="0" w:space="0" w:color="auto"/>
            <w:right w:val="none" w:sz="0" w:space="0" w:color="auto"/>
          </w:divBdr>
          <w:divsChild>
            <w:div w:id="657851896">
              <w:marLeft w:val="0"/>
              <w:marRight w:val="0"/>
              <w:marTop w:val="0"/>
              <w:marBottom w:val="0"/>
              <w:divBdr>
                <w:top w:val="none" w:sz="0" w:space="0" w:color="auto"/>
                <w:left w:val="none" w:sz="0" w:space="0" w:color="auto"/>
                <w:bottom w:val="none" w:sz="0" w:space="0" w:color="auto"/>
                <w:right w:val="none" w:sz="0" w:space="0" w:color="auto"/>
              </w:divBdr>
              <w:divsChild>
                <w:div w:id="1681927028">
                  <w:marLeft w:val="0"/>
                  <w:marRight w:val="1"/>
                  <w:marTop w:val="0"/>
                  <w:marBottom w:val="0"/>
                  <w:divBdr>
                    <w:top w:val="none" w:sz="0" w:space="0" w:color="auto"/>
                    <w:left w:val="none" w:sz="0" w:space="0" w:color="auto"/>
                    <w:bottom w:val="none" w:sz="0" w:space="0" w:color="auto"/>
                    <w:right w:val="none" w:sz="0" w:space="0" w:color="auto"/>
                  </w:divBdr>
                  <w:divsChild>
                    <w:div w:id="731659871">
                      <w:marLeft w:val="0"/>
                      <w:marRight w:val="0"/>
                      <w:marTop w:val="0"/>
                      <w:marBottom w:val="0"/>
                      <w:divBdr>
                        <w:top w:val="none" w:sz="0" w:space="0" w:color="auto"/>
                        <w:left w:val="none" w:sz="0" w:space="0" w:color="auto"/>
                        <w:bottom w:val="none" w:sz="0" w:space="0" w:color="auto"/>
                        <w:right w:val="none" w:sz="0" w:space="0" w:color="auto"/>
                      </w:divBdr>
                      <w:divsChild>
                        <w:div w:id="228197184">
                          <w:marLeft w:val="0"/>
                          <w:marRight w:val="0"/>
                          <w:marTop w:val="0"/>
                          <w:marBottom w:val="0"/>
                          <w:divBdr>
                            <w:top w:val="none" w:sz="0" w:space="0" w:color="auto"/>
                            <w:left w:val="none" w:sz="0" w:space="0" w:color="auto"/>
                            <w:bottom w:val="none" w:sz="0" w:space="0" w:color="auto"/>
                            <w:right w:val="none" w:sz="0" w:space="0" w:color="auto"/>
                          </w:divBdr>
                          <w:divsChild>
                            <w:div w:id="1872302233">
                              <w:marLeft w:val="0"/>
                              <w:marRight w:val="0"/>
                              <w:marTop w:val="120"/>
                              <w:marBottom w:val="360"/>
                              <w:divBdr>
                                <w:top w:val="none" w:sz="0" w:space="0" w:color="auto"/>
                                <w:left w:val="none" w:sz="0" w:space="0" w:color="auto"/>
                                <w:bottom w:val="none" w:sz="0" w:space="0" w:color="auto"/>
                                <w:right w:val="none" w:sz="0" w:space="0" w:color="auto"/>
                              </w:divBdr>
                              <w:divsChild>
                                <w:div w:id="771776885">
                                  <w:marLeft w:val="420"/>
                                  <w:marRight w:val="0"/>
                                  <w:marTop w:val="0"/>
                                  <w:marBottom w:val="0"/>
                                  <w:divBdr>
                                    <w:top w:val="none" w:sz="0" w:space="0" w:color="auto"/>
                                    <w:left w:val="none" w:sz="0" w:space="0" w:color="auto"/>
                                    <w:bottom w:val="none" w:sz="0" w:space="0" w:color="auto"/>
                                    <w:right w:val="none" w:sz="0" w:space="0" w:color="auto"/>
                                  </w:divBdr>
                                  <w:divsChild>
                                    <w:div w:id="53990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549862">
                              <w:marLeft w:val="0"/>
                              <w:marRight w:val="0"/>
                              <w:marTop w:val="120"/>
                              <w:marBottom w:val="360"/>
                              <w:divBdr>
                                <w:top w:val="none" w:sz="0" w:space="0" w:color="auto"/>
                                <w:left w:val="none" w:sz="0" w:space="0" w:color="auto"/>
                                <w:bottom w:val="none" w:sz="0" w:space="0" w:color="auto"/>
                                <w:right w:val="none" w:sz="0" w:space="0" w:color="auto"/>
                              </w:divBdr>
                              <w:divsChild>
                                <w:div w:id="954169051">
                                  <w:marLeft w:val="0"/>
                                  <w:marRight w:val="0"/>
                                  <w:marTop w:val="0"/>
                                  <w:marBottom w:val="0"/>
                                  <w:divBdr>
                                    <w:top w:val="none" w:sz="0" w:space="0" w:color="auto"/>
                                    <w:left w:val="none" w:sz="0" w:space="0" w:color="auto"/>
                                    <w:bottom w:val="none" w:sz="0" w:space="0" w:color="auto"/>
                                    <w:right w:val="none" w:sz="0" w:space="0" w:color="auto"/>
                                  </w:divBdr>
                                </w:div>
                                <w:div w:id="1293748404">
                                  <w:marLeft w:val="4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0911369">
      <w:bodyDiv w:val="1"/>
      <w:marLeft w:val="0"/>
      <w:marRight w:val="0"/>
      <w:marTop w:val="0"/>
      <w:marBottom w:val="0"/>
      <w:divBdr>
        <w:top w:val="none" w:sz="0" w:space="0" w:color="auto"/>
        <w:left w:val="none" w:sz="0" w:space="0" w:color="auto"/>
        <w:bottom w:val="none" w:sz="0" w:space="0" w:color="auto"/>
        <w:right w:val="none" w:sz="0" w:space="0" w:color="auto"/>
      </w:divBdr>
      <w:divsChild>
        <w:div w:id="519391179">
          <w:marLeft w:val="0"/>
          <w:marRight w:val="1"/>
          <w:marTop w:val="0"/>
          <w:marBottom w:val="0"/>
          <w:divBdr>
            <w:top w:val="none" w:sz="0" w:space="0" w:color="auto"/>
            <w:left w:val="none" w:sz="0" w:space="0" w:color="auto"/>
            <w:bottom w:val="none" w:sz="0" w:space="0" w:color="auto"/>
            <w:right w:val="none" w:sz="0" w:space="0" w:color="auto"/>
          </w:divBdr>
          <w:divsChild>
            <w:div w:id="317543060">
              <w:marLeft w:val="0"/>
              <w:marRight w:val="0"/>
              <w:marTop w:val="0"/>
              <w:marBottom w:val="0"/>
              <w:divBdr>
                <w:top w:val="none" w:sz="0" w:space="0" w:color="auto"/>
                <w:left w:val="none" w:sz="0" w:space="0" w:color="auto"/>
                <w:bottom w:val="none" w:sz="0" w:space="0" w:color="auto"/>
                <w:right w:val="none" w:sz="0" w:space="0" w:color="auto"/>
              </w:divBdr>
              <w:divsChild>
                <w:div w:id="1280526615">
                  <w:marLeft w:val="0"/>
                  <w:marRight w:val="1"/>
                  <w:marTop w:val="0"/>
                  <w:marBottom w:val="0"/>
                  <w:divBdr>
                    <w:top w:val="none" w:sz="0" w:space="0" w:color="auto"/>
                    <w:left w:val="none" w:sz="0" w:space="0" w:color="auto"/>
                    <w:bottom w:val="none" w:sz="0" w:space="0" w:color="auto"/>
                    <w:right w:val="none" w:sz="0" w:space="0" w:color="auto"/>
                  </w:divBdr>
                  <w:divsChild>
                    <w:div w:id="312877033">
                      <w:marLeft w:val="0"/>
                      <w:marRight w:val="0"/>
                      <w:marTop w:val="0"/>
                      <w:marBottom w:val="0"/>
                      <w:divBdr>
                        <w:top w:val="none" w:sz="0" w:space="0" w:color="auto"/>
                        <w:left w:val="none" w:sz="0" w:space="0" w:color="auto"/>
                        <w:bottom w:val="none" w:sz="0" w:space="0" w:color="auto"/>
                        <w:right w:val="none" w:sz="0" w:space="0" w:color="auto"/>
                      </w:divBdr>
                      <w:divsChild>
                        <w:div w:id="830490613">
                          <w:marLeft w:val="0"/>
                          <w:marRight w:val="0"/>
                          <w:marTop w:val="0"/>
                          <w:marBottom w:val="0"/>
                          <w:divBdr>
                            <w:top w:val="none" w:sz="0" w:space="0" w:color="auto"/>
                            <w:left w:val="none" w:sz="0" w:space="0" w:color="auto"/>
                            <w:bottom w:val="none" w:sz="0" w:space="0" w:color="auto"/>
                            <w:right w:val="none" w:sz="0" w:space="0" w:color="auto"/>
                          </w:divBdr>
                          <w:divsChild>
                            <w:div w:id="1582527077">
                              <w:marLeft w:val="0"/>
                              <w:marRight w:val="0"/>
                              <w:marTop w:val="120"/>
                              <w:marBottom w:val="360"/>
                              <w:divBdr>
                                <w:top w:val="none" w:sz="0" w:space="0" w:color="auto"/>
                                <w:left w:val="none" w:sz="0" w:space="0" w:color="auto"/>
                                <w:bottom w:val="none" w:sz="0" w:space="0" w:color="auto"/>
                                <w:right w:val="none" w:sz="0" w:space="0" w:color="auto"/>
                              </w:divBdr>
                              <w:divsChild>
                                <w:div w:id="1088499339">
                                  <w:marLeft w:val="0"/>
                                  <w:marRight w:val="0"/>
                                  <w:marTop w:val="0"/>
                                  <w:marBottom w:val="0"/>
                                  <w:divBdr>
                                    <w:top w:val="none" w:sz="0" w:space="0" w:color="auto"/>
                                    <w:left w:val="none" w:sz="0" w:space="0" w:color="auto"/>
                                    <w:bottom w:val="none" w:sz="0" w:space="0" w:color="auto"/>
                                    <w:right w:val="none" w:sz="0" w:space="0" w:color="auto"/>
                                  </w:divBdr>
                                </w:div>
                                <w:div w:id="532572023">
                                  <w:marLeft w:val="4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1846522">
      <w:bodyDiv w:val="1"/>
      <w:marLeft w:val="0"/>
      <w:marRight w:val="0"/>
      <w:marTop w:val="0"/>
      <w:marBottom w:val="0"/>
      <w:divBdr>
        <w:top w:val="none" w:sz="0" w:space="0" w:color="auto"/>
        <w:left w:val="none" w:sz="0" w:space="0" w:color="auto"/>
        <w:bottom w:val="none" w:sz="0" w:space="0" w:color="auto"/>
        <w:right w:val="none" w:sz="0" w:space="0" w:color="auto"/>
      </w:divBdr>
      <w:divsChild>
        <w:div w:id="266498345">
          <w:marLeft w:val="0"/>
          <w:marRight w:val="1"/>
          <w:marTop w:val="0"/>
          <w:marBottom w:val="0"/>
          <w:divBdr>
            <w:top w:val="none" w:sz="0" w:space="0" w:color="auto"/>
            <w:left w:val="none" w:sz="0" w:space="0" w:color="auto"/>
            <w:bottom w:val="none" w:sz="0" w:space="0" w:color="auto"/>
            <w:right w:val="none" w:sz="0" w:space="0" w:color="auto"/>
          </w:divBdr>
          <w:divsChild>
            <w:div w:id="200285787">
              <w:marLeft w:val="0"/>
              <w:marRight w:val="0"/>
              <w:marTop w:val="0"/>
              <w:marBottom w:val="0"/>
              <w:divBdr>
                <w:top w:val="none" w:sz="0" w:space="0" w:color="auto"/>
                <w:left w:val="none" w:sz="0" w:space="0" w:color="auto"/>
                <w:bottom w:val="none" w:sz="0" w:space="0" w:color="auto"/>
                <w:right w:val="none" w:sz="0" w:space="0" w:color="auto"/>
              </w:divBdr>
              <w:divsChild>
                <w:div w:id="529031639">
                  <w:marLeft w:val="0"/>
                  <w:marRight w:val="1"/>
                  <w:marTop w:val="0"/>
                  <w:marBottom w:val="0"/>
                  <w:divBdr>
                    <w:top w:val="none" w:sz="0" w:space="0" w:color="auto"/>
                    <w:left w:val="none" w:sz="0" w:space="0" w:color="auto"/>
                    <w:bottom w:val="none" w:sz="0" w:space="0" w:color="auto"/>
                    <w:right w:val="none" w:sz="0" w:space="0" w:color="auto"/>
                  </w:divBdr>
                  <w:divsChild>
                    <w:div w:id="261035974">
                      <w:marLeft w:val="0"/>
                      <w:marRight w:val="0"/>
                      <w:marTop w:val="0"/>
                      <w:marBottom w:val="0"/>
                      <w:divBdr>
                        <w:top w:val="none" w:sz="0" w:space="0" w:color="auto"/>
                        <w:left w:val="none" w:sz="0" w:space="0" w:color="auto"/>
                        <w:bottom w:val="none" w:sz="0" w:space="0" w:color="auto"/>
                        <w:right w:val="none" w:sz="0" w:space="0" w:color="auto"/>
                      </w:divBdr>
                      <w:divsChild>
                        <w:div w:id="1279601517">
                          <w:marLeft w:val="0"/>
                          <w:marRight w:val="0"/>
                          <w:marTop w:val="0"/>
                          <w:marBottom w:val="0"/>
                          <w:divBdr>
                            <w:top w:val="none" w:sz="0" w:space="0" w:color="auto"/>
                            <w:left w:val="none" w:sz="0" w:space="0" w:color="auto"/>
                            <w:bottom w:val="none" w:sz="0" w:space="0" w:color="auto"/>
                            <w:right w:val="none" w:sz="0" w:space="0" w:color="auto"/>
                          </w:divBdr>
                          <w:divsChild>
                            <w:div w:id="1166239513">
                              <w:marLeft w:val="0"/>
                              <w:marRight w:val="0"/>
                              <w:marTop w:val="120"/>
                              <w:marBottom w:val="360"/>
                              <w:divBdr>
                                <w:top w:val="none" w:sz="0" w:space="0" w:color="auto"/>
                                <w:left w:val="none" w:sz="0" w:space="0" w:color="auto"/>
                                <w:bottom w:val="none" w:sz="0" w:space="0" w:color="auto"/>
                                <w:right w:val="none" w:sz="0" w:space="0" w:color="auto"/>
                              </w:divBdr>
                              <w:divsChild>
                                <w:div w:id="159934513">
                                  <w:marLeft w:val="420"/>
                                  <w:marRight w:val="0"/>
                                  <w:marTop w:val="0"/>
                                  <w:marBottom w:val="0"/>
                                  <w:divBdr>
                                    <w:top w:val="none" w:sz="0" w:space="0" w:color="auto"/>
                                    <w:left w:val="none" w:sz="0" w:space="0" w:color="auto"/>
                                    <w:bottom w:val="none" w:sz="0" w:space="0" w:color="auto"/>
                                    <w:right w:val="none" w:sz="0" w:space="0" w:color="auto"/>
                                  </w:divBdr>
                                  <w:divsChild>
                                    <w:div w:id="1139809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499899">
                              <w:marLeft w:val="0"/>
                              <w:marRight w:val="0"/>
                              <w:marTop w:val="120"/>
                              <w:marBottom w:val="360"/>
                              <w:divBdr>
                                <w:top w:val="none" w:sz="0" w:space="0" w:color="auto"/>
                                <w:left w:val="none" w:sz="0" w:space="0" w:color="auto"/>
                                <w:bottom w:val="none" w:sz="0" w:space="0" w:color="auto"/>
                                <w:right w:val="none" w:sz="0" w:space="0" w:color="auto"/>
                              </w:divBdr>
                              <w:divsChild>
                                <w:div w:id="1385907102">
                                  <w:marLeft w:val="0"/>
                                  <w:marRight w:val="0"/>
                                  <w:marTop w:val="0"/>
                                  <w:marBottom w:val="0"/>
                                  <w:divBdr>
                                    <w:top w:val="none" w:sz="0" w:space="0" w:color="auto"/>
                                    <w:left w:val="none" w:sz="0" w:space="0" w:color="auto"/>
                                    <w:bottom w:val="none" w:sz="0" w:space="0" w:color="auto"/>
                                    <w:right w:val="none" w:sz="0" w:space="0" w:color="auto"/>
                                  </w:divBdr>
                                </w:div>
                                <w:div w:id="462432391">
                                  <w:marLeft w:val="4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0657578">
      <w:bodyDiv w:val="1"/>
      <w:marLeft w:val="0"/>
      <w:marRight w:val="0"/>
      <w:marTop w:val="0"/>
      <w:marBottom w:val="0"/>
      <w:divBdr>
        <w:top w:val="none" w:sz="0" w:space="0" w:color="auto"/>
        <w:left w:val="none" w:sz="0" w:space="0" w:color="auto"/>
        <w:bottom w:val="none" w:sz="0" w:space="0" w:color="auto"/>
        <w:right w:val="none" w:sz="0" w:space="0" w:color="auto"/>
      </w:divBdr>
      <w:divsChild>
        <w:div w:id="396055390">
          <w:marLeft w:val="0"/>
          <w:marRight w:val="0"/>
          <w:marTop w:val="0"/>
          <w:marBottom w:val="0"/>
          <w:divBdr>
            <w:top w:val="none" w:sz="0" w:space="0" w:color="auto"/>
            <w:left w:val="none" w:sz="0" w:space="0" w:color="auto"/>
            <w:bottom w:val="none" w:sz="0" w:space="0" w:color="auto"/>
            <w:right w:val="none" w:sz="0" w:space="0" w:color="auto"/>
          </w:divBdr>
          <w:divsChild>
            <w:div w:id="368260234">
              <w:marLeft w:val="2940"/>
              <w:marRight w:val="0"/>
              <w:marTop w:val="0"/>
              <w:marBottom w:val="0"/>
              <w:divBdr>
                <w:top w:val="none" w:sz="0" w:space="0" w:color="auto"/>
                <w:left w:val="none" w:sz="0" w:space="0" w:color="auto"/>
                <w:bottom w:val="none" w:sz="0" w:space="0" w:color="auto"/>
                <w:right w:val="none" w:sz="0" w:space="0" w:color="auto"/>
              </w:divBdr>
              <w:divsChild>
                <w:div w:id="586613807">
                  <w:marLeft w:val="0"/>
                  <w:marRight w:val="0"/>
                  <w:marTop w:val="0"/>
                  <w:marBottom w:val="0"/>
                  <w:divBdr>
                    <w:top w:val="none" w:sz="0" w:space="0" w:color="auto"/>
                    <w:left w:val="none" w:sz="0" w:space="0" w:color="auto"/>
                    <w:bottom w:val="none" w:sz="0" w:space="0" w:color="auto"/>
                    <w:right w:val="none" w:sz="0" w:space="0" w:color="auto"/>
                  </w:divBdr>
                  <w:divsChild>
                    <w:div w:id="1234120771">
                      <w:marLeft w:val="0"/>
                      <w:marRight w:val="0"/>
                      <w:marTop w:val="300"/>
                      <w:marBottom w:val="0"/>
                      <w:divBdr>
                        <w:top w:val="single" w:sz="6" w:space="0" w:color="AAAAAA"/>
                        <w:left w:val="single" w:sz="6" w:space="0" w:color="AAAAAA"/>
                        <w:bottom w:val="single" w:sz="6" w:space="0" w:color="AAAAAA"/>
                        <w:right w:val="single" w:sz="6" w:space="0" w:color="AAAAAA"/>
                      </w:divBdr>
                    </w:div>
                  </w:divsChild>
                </w:div>
              </w:divsChild>
            </w:div>
          </w:divsChild>
        </w:div>
      </w:divsChild>
    </w:div>
    <w:div w:id="1871798649">
      <w:bodyDiv w:val="1"/>
      <w:marLeft w:val="0"/>
      <w:marRight w:val="0"/>
      <w:marTop w:val="0"/>
      <w:marBottom w:val="0"/>
      <w:divBdr>
        <w:top w:val="none" w:sz="0" w:space="0" w:color="auto"/>
        <w:left w:val="none" w:sz="0" w:space="0" w:color="auto"/>
        <w:bottom w:val="none" w:sz="0" w:space="0" w:color="auto"/>
        <w:right w:val="none" w:sz="0" w:space="0" w:color="auto"/>
      </w:divBdr>
    </w:div>
    <w:div w:id="1953436513">
      <w:bodyDiv w:val="1"/>
      <w:marLeft w:val="0"/>
      <w:marRight w:val="0"/>
      <w:marTop w:val="0"/>
      <w:marBottom w:val="0"/>
      <w:divBdr>
        <w:top w:val="none" w:sz="0" w:space="0" w:color="auto"/>
        <w:left w:val="none" w:sz="0" w:space="0" w:color="auto"/>
        <w:bottom w:val="none" w:sz="0" w:space="0" w:color="auto"/>
        <w:right w:val="none" w:sz="0" w:space="0" w:color="auto"/>
      </w:divBdr>
    </w:div>
    <w:div w:id="2029329931">
      <w:bodyDiv w:val="1"/>
      <w:marLeft w:val="0"/>
      <w:marRight w:val="0"/>
      <w:marTop w:val="0"/>
      <w:marBottom w:val="0"/>
      <w:divBdr>
        <w:top w:val="none" w:sz="0" w:space="0" w:color="auto"/>
        <w:left w:val="none" w:sz="0" w:space="0" w:color="auto"/>
        <w:bottom w:val="none" w:sz="0" w:space="0" w:color="auto"/>
        <w:right w:val="none" w:sz="0" w:space="0" w:color="auto"/>
      </w:divBdr>
    </w:div>
    <w:div w:id="2034530905">
      <w:bodyDiv w:val="1"/>
      <w:marLeft w:val="0"/>
      <w:marRight w:val="0"/>
      <w:marTop w:val="0"/>
      <w:marBottom w:val="0"/>
      <w:divBdr>
        <w:top w:val="none" w:sz="0" w:space="0" w:color="auto"/>
        <w:left w:val="none" w:sz="0" w:space="0" w:color="auto"/>
        <w:bottom w:val="none" w:sz="0" w:space="0" w:color="auto"/>
        <w:right w:val="none" w:sz="0" w:space="0" w:color="auto"/>
      </w:divBdr>
    </w:div>
    <w:div w:id="2035811088">
      <w:bodyDiv w:val="1"/>
      <w:marLeft w:val="0"/>
      <w:marRight w:val="0"/>
      <w:marTop w:val="0"/>
      <w:marBottom w:val="0"/>
      <w:divBdr>
        <w:top w:val="none" w:sz="0" w:space="0" w:color="auto"/>
        <w:left w:val="none" w:sz="0" w:space="0" w:color="auto"/>
        <w:bottom w:val="none" w:sz="0" w:space="0" w:color="auto"/>
        <w:right w:val="none" w:sz="0" w:space="0" w:color="auto"/>
      </w:divBdr>
      <w:divsChild>
        <w:div w:id="388070809">
          <w:marLeft w:val="0"/>
          <w:marRight w:val="1"/>
          <w:marTop w:val="0"/>
          <w:marBottom w:val="0"/>
          <w:divBdr>
            <w:top w:val="none" w:sz="0" w:space="0" w:color="auto"/>
            <w:left w:val="none" w:sz="0" w:space="0" w:color="auto"/>
            <w:bottom w:val="none" w:sz="0" w:space="0" w:color="auto"/>
            <w:right w:val="none" w:sz="0" w:space="0" w:color="auto"/>
          </w:divBdr>
          <w:divsChild>
            <w:div w:id="549926746">
              <w:marLeft w:val="0"/>
              <w:marRight w:val="0"/>
              <w:marTop w:val="0"/>
              <w:marBottom w:val="0"/>
              <w:divBdr>
                <w:top w:val="none" w:sz="0" w:space="0" w:color="auto"/>
                <w:left w:val="none" w:sz="0" w:space="0" w:color="auto"/>
                <w:bottom w:val="none" w:sz="0" w:space="0" w:color="auto"/>
                <w:right w:val="none" w:sz="0" w:space="0" w:color="auto"/>
              </w:divBdr>
              <w:divsChild>
                <w:div w:id="1097167434">
                  <w:marLeft w:val="0"/>
                  <w:marRight w:val="1"/>
                  <w:marTop w:val="0"/>
                  <w:marBottom w:val="0"/>
                  <w:divBdr>
                    <w:top w:val="none" w:sz="0" w:space="0" w:color="auto"/>
                    <w:left w:val="none" w:sz="0" w:space="0" w:color="auto"/>
                    <w:bottom w:val="none" w:sz="0" w:space="0" w:color="auto"/>
                    <w:right w:val="none" w:sz="0" w:space="0" w:color="auto"/>
                  </w:divBdr>
                  <w:divsChild>
                    <w:div w:id="208298900">
                      <w:marLeft w:val="0"/>
                      <w:marRight w:val="0"/>
                      <w:marTop w:val="0"/>
                      <w:marBottom w:val="0"/>
                      <w:divBdr>
                        <w:top w:val="none" w:sz="0" w:space="0" w:color="auto"/>
                        <w:left w:val="none" w:sz="0" w:space="0" w:color="auto"/>
                        <w:bottom w:val="none" w:sz="0" w:space="0" w:color="auto"/>
                        <w:right w:val="none" w:sz="0" w:space="0" w:color="auto"/>
                      </w:divBdr>
                      <w:divsChild>
                        <w:div w:id="1246110362">
                          <w:marLeft w:val="0"/>
                          <w:marRight w:val="0"/>
                          <w:marTop w:val="0"/>
                          <w:marBottom w:val="0"/>
                          <w:divBdr>
                            <w:top w:val="none" w:sz="0" w:space="0" w:color="auto"/>
                            <w:left w:val="none" w:sz="0" w:space="0" w:color="auto"/>
                            <w:bottom w:val="none" w:sz="0" w:space="0" w:color="auto"/>
                            <w:right w:val="none" w:sz="0" w:space="0" w:color="auto"/>
                          </w:divBdr>
                          <w:divsChild>
                            <w:div w:id="708606787">
                              <w:marLeft w:val="0"/>
                              <w:marRight w:val="0"/>
                              <w:marTop w:val="120"/>
                              <w:marBottom w:val="360"/>
                              <w:divBdr>
                                <w:top w:val="none" w:sz="0" w:space="0" w:color="auto"/>
                                <w:left w:val="none" w:sz="0" w:space="0" w:color="auto"/>
                                <w:bottom w:val="none" w:sz="0" w:space="0" w:color="auto"/>
                                <w:right w:val="none" w:sz="0" w:space="0" w:color="auto"/>
                              </w:divBdr>
                              <w:divsChild>
                                <w:div w:id="187136733">
                                  <w:marLeft w:val="420"/>
                                  <w:marRight w:val="0"/>
                                  <w:marTop w:val="0"/>
                                  <w:marBottom w:val="0"/>
                                  <w:divBdr>
                                    <w:top w:val="none" w:sz="0" w:space="0" w:color="auto"/>
                                    <w:left w:val="none" w:sz="0" w:space="0" w:color="auto"/>
                                    <w:bottom w:val="none" w:sz="0" w:space="0" w:color="auto"/>
                                    <w:right w:val="none" w:sz="0" w:space="0" w:color="auto"/>
                                  </w:divBdr>
                                  <w:divsChild>
                                    <w:div w:id="7413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105679">
                              <w:marLeft w:val="0"/>
                              <w:marRight w:val="0"/>
                              <w:marTop w:val="120"/>
                              <w:marBottom w:val="360"/>
                              <w:divBdr>
                                <w:top w:val="none" w:sz="0" w:space="0" w:color="auto"/>
                                <w:left w:val="none" w:sz="0" w:space="0" w:color="auto"/>
                                <w:bottom w:val="none" w:sz="0" w:space="0" w:color="auto"/>
                                <w:right w:val="none" w:sz="0" w:space="0" w:color="auto"/>
                              </w:divBdr>
                              <w:divsChild>
                                <w:div w:id="1677421746">
                                  <w:marLeft w:val="0"/>
                                  <w:marRight w:val="0"/>
                                  <w:marTop w:val="0"/>
                                  <w:marBottom w:val="0"/>
                                  <w:divBdr>
                                    <w:top w:val="none" w:sz="0" w:space="0" w:color="auto"/>
                                    <w:left w:val="none" w:sz="0" w:space="0" w:color="auto"/>
                                    <w:bottom w:val="none" w:sz="0" w:space="0" w:color="auto"/>
                                    <w:right w:val="none" w:sz="0" w:space="0" w:color="auto"/>
                                  </w:divBdr>
                                </w:div>
                                <w:div w:id="79060750">
                                  <w:marLeft w:val="4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608098">
      <w:bodyDiv w:val="1"/>
      <w:marLeft w:val="0"/>
      <w:marRight w:val="0"/>
      <w:marTop w:val="0"/>
      <w:marBottom w:val="0"/>
      <w:divBdr>
        <w:top w:val="none" w:sz="0" w:space="0" w:color="auto"/>
        <w:left w:val="none" w:sz="0" w:space="0" w:color="auto"/>
        <w:bottom w:val="none" w:sz="0" w:space="0" w:color="auto"/>
        <w:right w:val="none" w:sz="0" w:space="0" w:color="auto"/>
      </w:divBdr>
    </w:div>
    <w:div w:id="2076972904">
      <w:bodyDiv w:val="1"/>
      <w:marLeft w:val="0"/>
      <w:marRight w:val="0"/>
      <w:marTop w:val="0"/>
      <w:marBottom w:val="0"/>
      <w:divBdr>
        <w:top w:val="none" w:sz="0" w:space="0" w:color="auto"/>
        <w:left w:val="none" w:sz="0" w:space="0" w:color="auto"/>
        <w:bottom w:val="none" w:sz="0" w:space="0" w:color="auto"/>
        <w:right w:val="none" w:sz="0" w:space="0" w:color="auto"/>
      </w:divBdr>
      <w:divsChild>
        <w:div w:id="1933049892">
          <w:marLeft w:val="0"/>
          <w:marRight w:val="1"/>
          <w:marTop w:val="0"/>
          <w:marBottom w:val="0"/>
          <w:divBdr>
            <w:top w:val="none" w:sz="0" w:space="0" w:color="auto"/>
            <w:left w:val="none" w:sz="0" w:space="0" w:color="auto"/>
            <w:bottom w:val="none" w:sz="0" w:space="0" w:color="auto"/>
            <w:right w:val="none" w:sz="0" w:space="0" w:color="auto"/>
          </w:divBdr>
          <w:divsChild>
            <w:div w:id="729692300">
              <w:marLeft w:val="0"/>
              <w:marRight w:val="0"/>
              <w:marTop w:val="0"/>
              <w:marBottom w:val="0"/>
              <w:divBdr>
                <w:top w:val="none" w:sz="0" w:space="0" w:color="auto"/>
                <w:left w:val="none" w:sz="0" w:space="0" w:color="auto"/>
                <w:bottom w:val="none" w:sz="0" w:space="0" w:color="auto"/>
                <w:right w:val="none" w:sz="0" w:space="0" w:color="auto"/>
              </w:divBdr>
              <w:divsChild>
                <w:div w:id="1142425028">
                  <w:marLeft w:val="0"/>
                  <w:marRight w:val="1"/>
                  <w:marTop w:val="0"/>
                  <w:marBottom w:val="0"/>
                  <w:divBdr>
                    <w:top w:val="none" w:sz="0" w:space="0" w:color="auto"/>
                    <w:left w:val="none" w:sz="0" w:space="0" w:color="auto"/>
                    <w:bottom w:val="none" w:sz="0" w:space="0" w:color="auto"/>
                    <w:right w:val="none" w:sz="0" w:space="0" w:color="auto"/>
                  </w:divBdr>
                  <w:divsChild>
                    <w:div w:id="1976909540">
                      <w:marLeft w:val="0"/>
                      <w:marRight w:val="0"/>
                      <w:marTop w:val="0"/>
                      <w:marBottom w:val="0"/>
                      <w:divBdr>
                        <w:top w:val="none" w:sz="0" w:space="0" w:color="auto"/>
                        <w:left w:val="none" w:sz="0" w:space="0" w:color="auto"/>
                        <w:bottom w:val="none" w:sz="0" w:space="0" w:color="auto"/>
                        <w:right w:val="none" w:sz="0" w:space="0" w:color="auto"/>
                      </w:divBdr>
                      <w:divsChild>
                        <w:div w:id="1715039526">
                          <w:marLeft w:val="0"/>
                          <w:marRight w:val="0"/>
                          <w:marTop w:val="0"/>
                          <w:marBottom w:val="0"/>
                          <w:divBdr>
                            <w:top w:val="none" w:sz="0" w:space="0" w:color="auto"/>
                            <w:left w:val="none" w:sz="0" w:space="0" w:color="auto"/>
                            <w:bottom w:val="none" w:sz="0" w:space="0" w:color="auto"/>
                            <w:right w:val="none" w:sz="0" w:space="0" w:color="auto"/>
                          </w:divBdr>
                          <w:divsChild>
                            <w:div w:id="406342277">
                              <w:marLeft w:val="0"/>
                              <w:marRight w:val="0"/>
                              <w:marTop w:val="120"/>
                              <w:marBottom w:val="360"/>
                              <w:divBdr>
                                <w:top w:val="none" w:sz="0" w:space="0" w:color="auto"/>
                                <w:left w:val="none" w:sz="0" w:space="0" w:color="auto"/>
                                <w:bottom w:val="none" w:sz="0" w:space="0" w:color="auto"/>
                                <w:right w:val="none" w:sz="0" w:space="0" w:color="auto"/>
                              </w:divBdr>
                              <w:divsChild>
                                <w:div w:id="1296567460">
                                  <w:marLeft w:val="0"/>
                                  <w:marRight w:val="0"/>
                                  <w:marTop w:val="0"/>
                                  <w:marBottom w:val="0"/>
                                  <w:divBdr>
                                    <w:top w:val="none" w:sz="0" w:space="0" w:color="auto"/>
                                    <w:left w:val="none" w:sz="0" w:space="0" w:color="auto"/>
                                    <w:bottom w:val="none" w:sz="0" w:space="0" w:color="auto"/>
                                    <w:right w:val="none" w:sz="0" w:space="0" w:color="auto"/>
                                  </w:divBdr>
                                </w:div>
                                <w:div w:id="192236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1316358">
      <w:bodyDiv w:val="1"/>
      <w:marLeft w:val="0"/>
      <w:marRight w:val="0"/>
      <w:marTop w:val="0"/>
      <w:marBottom w:val="0"/>
      <w:divBdr>
        <w:top w:val="none" w:sz="0" w:space="0" w:color="auto"/>
        <w:left w:val="none" w:sz="0" w:space="0" w:color="auto"/>
        <w:bottom w:val="none" w:sz="0" w:space="0" w:color="auto"/>
        <w:right w:val="none" w:sz="0" w:space="0" w:color="auto"/>
      </w:divBdr>
      <w:divsChild>
        <w:div w:id="351418368">
          <w:marLeft w:val="0"/>
          <w:marRight w:val="1"/>
          <w:marTop w:val="0"/>
          <w:marBottom w:val="0"/>
          <w:divBdr>
            <w:top w:val="none" w:sz="0" w:space="0" w:color="auto"/>
            <w:left w:val="none" w:sz="0" w:space="0" w:color="auto"/>
            <w:bottom w:val="none" w:sz="0" w:space="0" w:color="auto"/>
            <w:right w:val="none" w:sz="0" w:space="0" w:color="auto"/>
          </w:divBdr>
          <w:divsChild>
            <w:div w:id="1774326212">
              <w:marLeft w:val="0"/>
              <w:marRight w:val="0"/>
              <w:marTop w:val="0"/>
              <w:marBottom w:val="0"/>
              <w:divBdr>
                <w:top w:val="none" w:sz="0" w:space="0" w:color="auto"/>
                <w:left w:val="none" w:sz="0" w:space="0" w:color="auto"/>
                <w:bottom w:val="none" w:sz="0" w:space="0" w:color="auto"/>
                <w:right w:val="none" w:sz="0" w:space="0" w:color="auto"/>
              </w:divBdr>
              <w:divsChild>
                <w:div w:id="267542240">
                  <w:marLeft w:val="0"/>
                  <w:marRight w:val="1"/>
                  <w:marTop w:val="0"/>
                  <w:marBottom w:val="0"/>
                  <w:divBdr>
                    <w:top w:val="none" w:sz="0" w:space="0" w:color="auto"/>
                    <w:left w:val="none" w:sz="0" w:space="0" w:color="auto"/>
                    <w:bottom w:val="none" w:sz="0" w:space="0" w:color="auto"/>
                    <w:right w:val="none" w:sz="0" w:space="0" w:color="auto"/>
                  </w:divBdr>
                  <w:divsChild>
                    <w:div w:id="795638429">
                      <w:marLeft w:val="0"/>
                      <w:marRight w:val="0"/>
                      <w:marTop w:val="0"/>
                      <w:marBottom w:val="0"/>
                      <w:divBdr>
                        <w:top w:val="none" w:sz="0" w:space="0" w:color="auto"/>
                        <w:left w:val="none" w:sz="0" w:space="0" w:color="auto"/>
                        <w:bottom w:val="none" w:sz="0" w:space="0" w:color="auto"/>
                        <w:right w:val="none" w:sz="0" w:space="0" w:color="auto"/>
                      </w:divBdr>
                      <w:divsChild>
                        <w:div w:id="1063061462">
                          <w:marLeft w:val="0"/>
                          <w:marRight w:val="0"/>
                          <w:marTop w:val="0"/>
                          <w:marBottom w:val="0"/>
                          <w:divBdr>
                            <w:top w:val="none" w:sz="0" w:space="0" w:color="auto"/>
                            <w:left w:val="none" w:sz="0" w:space="0" w:color="auto"/>
                            <w:bottom w:val="none" w:sz="0" w:space="0" w:color="auto"/>
                            <w:right w:val="none" w:sz="0" w:space="0" w:color="auto"/>
                          </w:divBdr>
                          <w:divsChild>
                            <w:div w:id="405151436">
                              <w:marLeft w:val="0"/>
                              <w:marRight w:val="0"/>
                              <w:marTop w:val="120"/>
                              <w:marBottom w:val="360"/>
                              <w:divBdr>
                                <w:top w:val="none" w:sz="0" w:space="0" w:color="auto"/>
                                <w:left w:val="none" w:sz="0" w:space="0" w:color="auto"/>
                                <w:bottom w:val="none" w:sz="0" w:space="0" w:color="auto"/>
                                <w:right w:val="none" w:sz="0" w:space="0" w:color="auto"/>
                              </w:divBdr>
                              <w:divsChild>
                                <w:div w:id="1120565847">
                                  <w:marLeft w:val="420"/>
                                  <w:marRight w:val="0"/>
                                  <w:marTop w:val="0"/>
                                  <w:marBottom w:val="0"/>
                                  <w:divBdr>
                                    <w:top w:val="none" w:sz="0" w:space="0" w:color="auto"/>
                                    <w:left w:val="none" w:sz="0" w:space="0" w:color="auto"/>
                                    <w:bottom w:val="none" w:sz="0" w:space="0" w:color="auto"/>
                                    <w:right w:val="none" w:sz="0" w:space="0" w:color="auto"/>
                                  </w:divBdr>
                                  <w:divsChild>
                                    <w:div w:id="1731070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004460">
                              <w:marLeft w:val="0"/>
                              <w:marRight w:val="0"/>
                              <w:marTop w:val="120"/>
                              <w:marBottom w:val="360"/>
                              <w:divBdr>
                                <w:top w:val="none" w:sz="0" w:space="0" w:color="auto"/>
                                <w:left w:val="none" w:sz="0" w:space="0" w:color="auto"/>
                                <w:bottom w:val="none" w:sz="0" w:space="0" w:color="auto"/>
                                <w:right w:val="none" w:sz="0" w:space="0" w:color="auto"/>
                              </w:divBdr>
                              <w:divsChild>
                                <w:div w:id="249045410">
                                  <w:marLeft w:val="0"/>
                                  <w:marRight w:val="0"/>
                                  <w:marTop w:val="0"/>
                                  <w:marBottom w:val="0"/>
                                  <w:divBdr>
                                    <w:top w:val="none" w:sz="0" w:space="0" w:color="auto"/>
                                    <w:left w:val="none" w:sz="0" w:space="0" w:color="auto"/>
                                    <w:bottom w:val="none" w:sz="0" w:space="0" w:color="auto"/>
                                    <w:right w:val="none" w:sz="0" w:space="0" w:color="auto"/>
                                  </w:divBdr>
                                </w:div>
                                <w:div w:id="1365448891">
                                  <w:marLeft w:val="4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cbi.nlm.nih.gov/pubmed/?term=Nwaka%20S%5BAuthor%5D&amp;cauthor=true&amp;cauthor_uid=17080030" TargetMode="External"/><Relationship Id="rId13" Type="http://schemas.openxmlformats.org/officeDocument/2006/relationships/hyperlink" Target="http://www.ncbi.nlm.nih.gov/pubmed/?term=Nwaka%20S%5BAuthor%5D&amp;cauthor=true&amp;cauthor_uid=17080030" TargetMode="External"/><Relationship Id="rId18" Type="http://schemas.openxmlformats.org/officeDocument/2006/relationships/hyperlink" Target="http://www.who.int/mediacentre/factsheets/fs259/en/"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2.emf"/><Relationship Id="rId7" Type="http://schemas.openxmlformats.org/officeDocument/2006/relationships/endnotes" Target="endnotes.xml"/><Relationship Id="rId12" Type="http://schemas.openxmlformats.org/officeDocument/2006/relationships/hyperlink" Target="http://www.ncbi.nlm.nih.gov/pubmed/?term=Steverding%20D%5BAuthor%5D&amp;cauthor=true&amp;cauthor_uid=12927956" TargetMode="External"/><Relationship Id="rId17" Type="http://schemas.openxmlformats.org/officeDocument/2006/relationships/hyperlink" Target="http://www.who.int/trypanosomiasis_african/resources/afro_tryps_strategy.pdf" TargetMode="External"/><Relationship Id="rId25" Type="http://schemas.openxmlformats.org/officeDocument/2006/relationships/image" Target="media/image6.emf"/><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ncbi.nlm.nih.gov/pubmed/17080030" TargetMode="External"/><Relationship Id="rId20" Type="http://schemas.openxmlformats.org/officeDocument/2006/relationships/oleObject" Target="embeddings/oleObject1.bin"/><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cbi.nlm.nih.gov/pubmed/?term=Caffrey%20CR%5BAuthor%5D&amp;cauthor=true&amp;cauthor_uid=12927956" TargetMode="External"/><Relationship Id="rId24" Type="http://schemas.openxmlformats.org/officeDocument/2006/relationships/image" Target="media/image5.emf"/><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ncbi.nlm.nih.gov/pubmed/17080030" TargetMode="External"/><Relationship Id="rId23" Type="http://schemas.openxmlformats.org/officeDocument/2006/relationships/image" Target="media/image4.emf"/><Relationship Id="rId28" Type="http://schemas.openxmlformats.org/officeDocument/2006/relationships/footer" Target="footer1.xml"/><Relationship Id="rId10" Type="http://schemas.openxmlformats.org/officeDocument/2006/relationships/hyperlink" Target="http://www.ncbi.nlm.nih.gov/pubmed/?term=McKerrow%20JH%5BAuthor%5D&amp;cauthor=true&amp;cauthor_uid=12927956" TargetMode="External"/><Relationship Id="rId19" Type="http://schemas.openxmlformats.org/officeDocument/2006/relationships/image" Target="media/image1.emf"/><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www.ncbi.nlm.nih.gov/pubmed/?term=Hudson%20A%5BAuthor%5D&amp;cauthor=true&amp;cauthor_uid=17080030" TargetMode="External"/><Relationship Id="rId14" Type="http://schemas.openxmlformats.org/officeDocument/2006/relationships/hyperlink" Target="http://www.ncbi.nlm.nih.gov/pubmed/?term=Hudson%20A%5BAuthor%5D&amp;cauthor=true&amp;cauthor_uid=17080030" TargetMode="External"/><Relationship Id="rId22" Type="http://schemas.openxmlformats.org/officeDocument/2006/relationships/image" Target="media/image3.emf"/><Relationship Id="rId27" Type="http://schemas.openxmlformats.org/officeDocument/2006/relationships/header" Target="header2.xml"/><Relationship Id="rId30"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593503-6039-41D5-BBD9-A365CDC828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47E67DED</Template>
  <TotalTime>7</TotalTime>
  <Pages>22</Pages>
  <Words>4339</Words>
  <Characters>24737</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The University of East Anglia</Company>
  <LinksUpToDate>false</LinksUpToDate>
  <CharactersWithSpaces>29018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wm026</dc:creator>
  <cp:keywords/>
  <dc:description/>
  <cp:lastModifiedBy>Dietmar Steverding (MED)</cp:lastModifiedBy>
  <cp:revision>3</cp:revision>
  <cp:lastPrinted>2016-04-19T09:50:00Z</cp:lastPrinted>
  <dcterms:created xsi:type="dcterms:W3CDTF">2016-08-08T10:23:00Z</dcterms:created>
  <dcterms:modified xsi:type="dcterms:W3CDTF">2016-08-08T10:31:00Z</dcterms:modified>
</cp:coreProperties>
</file>