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Default Extension="emf" ContentType="image/x-emf"/>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5481E46" w14:textId="77777777" w:rsidR="00F62C8B" w:rsidRPr="00270DD5" w:rsidRDefault="000F3A41" w:rsidP="004C531E">
      <w:pPr>
        <w:pStyle w:val="RSCM01ReceivedAccepted"/>
      </w:pPr>
      <w:r w:rsidRPr="00270DD5">
        <w:rPr>
          <w:lang w:val="en-US" w:eastAsia="en-US"/>
        </w:rPr>
        <mc:AlternateContent>
          <mc:Choice Requires="wps">
            <w:drawing>
              <wp:anchor distT="180340" distB="0" distL="114300" distR="114300" simplePos="0" relativeHeight="251662336" behindDoc="1" locked="1" layoutInCell="0" allowOverlap="0" wp14:anchorId="5DFA45D8" wp14:editId="65564975">
                <wp:simplePos x="0" y="0"/>
                <wp:positionH relativeFrom="column">
                  <wp:posOffset>-58</wp:posOffset>
                </wp:positionH>
                <wp:positionV relativeFrom="margin">
                  <wp:align>bottom</wp:align>
                </wp:positionV>
                <wp:extent cx="3158490" cy="763905"/>
                <wp:effectExtent l="0" t="0" r="3810" b="0"/>
                <wp:wrapTopAndBottom/>
                <wp:docPr id="7" name="Text Box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3158490" cy="763905"/>
                        </a:xfrm>
                        <a:prstGeom prst="rect">
                          <a:avLst/>
                        </a:prstGeom>
                        <a:solidFill>
                          <a:srgbClr val="FFFFFF"/>
                        </a:solidFill>
                        <a:ln w="9525">
                          <a:noFill/>
                          <a:miter lim="800000"/>
                          <a:headEnd/>
                          <a:tailEnd/>
                        </a:ln>
                      </wps:spPr>
                      <wps:txbx>
                        <w:txbxContent>
                          <w:p w14:paraId="14B4FB77" w14:textId="50D81CF2" w:rsidR="007D4FBB" w:rsidRPr="00C405FD" w:rsidRDefault="007D4FBB" w:rsidP="00C405FD">
                            <w:pPr>
                              <w:pStyle w:val="RSCF01FootnoteAuthorAddress"/>
                            </w:pPr>
                            <w:r>
                              <w:t>School of Pharmacy, University of East Anglia, Norwich Research Park, Norwich NR4 7TJ</w:t>
                            </w:r>
                            <w:r w:rsidR="00627D9A">
                              <w:t xml:space="preserve">. </w:t>
                            </w:r>
                            <w:r>
                              <w:t xml:space="preserve"> email: </w:t>
                            </w:r>
                            <w:hyperlink r:id="rId8" w:history="1">
                              <w:r w:rsidRPr="0092219C">
                                <w:rPr>
                                  <w:rStyle w:val="Hyperlink"/>
                                </w:rPr>
                                <w:t>m.searcey@uea.ac.uk</w:t>
                              </w:r>
                            </w:hyperlink>
                            <w:r>
                              <w:t xml:space="preserve">. </w:t>
                            </w:r>
                            <w:r w:rsidR="00627D9A">
                              <w:t>Phone 01603 592026, fax 01603 592003</w:t>
                            </w:r>
                            <w:r w:rsidRPr="00C405FD">
                              <w:t>.</w:t>
                            </w:r>
                          </w:p>
                          <w:p w14:paraId="22222911" w14:textId="2EE08BAE" w:rsidR="007D4FBB" w:rsidRPr="00C405FD" w:rsidRDefault="00627D9A" w:rsidP="00627D9A">
                            <w:pPr>
                              <w:pStyle w:val="RSCF01FootnoteAuthorAddress"/>
                            </w:pPr>
                            <w:r w:rsidRPr="00673BA5">
                              <w:t>Department of Bio</w:t>
                            </w:r>
                            <w:r>
                              <w:t>logical Chemistry</w:t>
                            </w:r>
                            <w:r w:rsidRPr="00673BA5">
                              <w:t>, John Innes Centre, Norwich Research Park,</w:t>
                            </w:r>
                            <w:r>
                              <w:t xml:space="preserve"> Norwich NR4 7UH,</w:t>
                            </w:r>
                            <w:r w:rsidRPr="00673BA5">
                              <w:t xml:space="preserve"> Norfolk</w:t>
                            </w:r>
                            <w:r>
                              <w:t>. email:tony.maxwell@jic.ac.uk. Phone 01603 450771</w:t>
                            </w:r>
                          </w:p>
                          <w:p w14:paraId="50405F68" w14:textId="7B4974E4" w:rsidR="007D4FBB" w:rsidRPr="00241ACD" w:rsidRDefault="007D4FBB" w:rsidP="00241ACD">
                            <w:pPr>
                              <w:pStyle w:val="RSCF02FootnotestoTitleAuthors"/>
                            </w:pPr>
                            <w:r w:rsidRPr="00241ACD">
                              <w:t xml:space="preserve">Electronic Supplementary Information (ESI) available: </w:t>
                            </w:r>
                            <w:r w:rsidR="00627D9A" w:rsidRPr="00A51CC2">
                              <w:t xml:space="preserve">Full experimental and characterisation data can be found in the </w:t>
                            </w:r>
                            <w:r w:rsidR="00627D9A">
                              <w:t>ESI</w:t>
                            </w:r>
                            <w:r w:rsidR="00627D9A" w:rsidRPr="00A51CC2">
                              <w:t>.</w:t>
                            </w:r>
                            <w:r w:rsidR="00627D9A">
                              <w:t xml:space="preserve"> </w:t>
                            </w:r>
                            <w:r w:rsidRPr="00241ACD">
                              <w:t>See DOI: 10.1039/x0xx00000x</w:t>
                            </w:r>
                          </w:p>
                        </w:txbxContent>
                      </wps:txbx>
                      <wps:bodyPr rot="0" vert="horz" wrap="square" lIns="0" tIns="36000" rIns="0" bIns="36000" anchor="b" anchorCtr="0">
                        <a:spAutoFit/>
                      </wps:bodyPr>
                    </wps:wsp>
                  </a:graphicData>
                </a:graphic>
                <wp14:sizeRelH relativeFrom="margin">
                  <wp14:pctWidth>0</wp14:pctWidth>
                </wp14:sizeRelH>
                <wp14:sizeRelV relativeFrom="margin">
                  <wp14:pctHeight>20000</wp14:pctHeight>
                </wp14:sizeRelV>
              </wp:anchor>
            </w:drawing>
          </mc:Choice>
          <mc:Fallback>
            <w:pict>
              <v:shapetype w14:anchorId="5DFA45D8" id="_x0000_t202" coordsize="21600,21600" o:spt="202" path="m0,0l0,21600,21600,21600,21600,0xe">
                <v:stroke joinstyle="miter"/>
                <v:path gradientshapeok="t" o:connecttype="rect"/>
              </v:shapetype>
              <v:shape id="Text_x0020_Box_x0020_2" o:spid="_x0000_s1026" type="#_x0000_t202" style="position:absolute;margin-left:0;margin-top:0;width:248.7pt;height:60.15pt;z-index:-251654144;visibility:visible;mso-wrap-style:square;mso-width-percent:0;mso-height-percent:200;mso-wrap-distance-left:9pt;mso-wrap-distance-top:14.2pt;mso-wrap-distance-right:9pt;mso-wrap-distance-bottom:0;mso-position-horizontal:absolute;mso-position-horizontal-relative:text;mso-position-vertical:bottom;mso-position-vertical-relative:margin;mso-width-percent:0;mso-height-percent:200;mso-width-relative:margin;mso-height-relative:margin;v-text-anchor:bottom"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" o:allowincell="f" o:allowoverlap="f" stroked="f">
                <o:lock v:ext="edit" aspectratio="t"/>
                <v:textbox style="mso-fit-shape-to-text:t" inset="0,1mm,0,1mm">
                  <w:txbxContent>
                    <w:p w14:paraId="14B4FB77" w14:textId="50D81CF2" w:rsidR="007D4FBB" w:rsidRPr="00C405FD" w:rsidRDefault="007D4FBB" w:rsidP="00C405FD">
                      <w:pPr>
                        <w:pStyle w:val="RSCF01FootnoteAuthorAddress"/>
                      </w:pPr>
                      <w:r>
                        <w:t>School of Pharmacy, University of East Anglia, Norwich Research Park, Norwich NR4 7TJ</w:t>
                      </w:r>
                      <w:r w:rsidR="00627D9A">
                        <w:t xml:space="preserve">. </w:t>
                      </w:r>
                      <w:r>
                        <w:t xml:space="preserve"> email: </w:t>
                      </w:r>
                      <w:hyperlink r:id="rId9" w:history="1">
                        <w:r w:rsidRPr="0092219C">
                          <w:rPr>
                            <w:rStyle w:val="Hyperlink"/>
                          </w:rPr>
                          <w:t>m.searcey@uea.ac.uk</w:t>
                        </w:r>
                      </w:hyperlink>
                      <w:r>
                        <w:t xml:space="preserve">. </w:t>
                      </w:r>
                      <w:r w:rsidR="00627D9A">
                        <w:t>Phone 01603 592026, fax 01603 592003</w:t>
                      </w:r>
                      <w:r w:rsidRPr="00C405FD">
                        <w:t>.</w:t>
                      </w:r>
                    </w:p>
                    <w:p w14:paraId="22222911" w14:textId="2EE08BAE" w:rsidR="007D4FBB" w:rsidRPr="00C405FD" w:rsidRDefault="00627D9A" w:rsidP="00627D9A">
                      <w:pPr>
                        <w:pStyle w:val="RSCF01FootnoteAuthorAddress"/>
                      </w:pPr>
                      <w:r w:rsidRPr="00673BA5">
                        <w:t>Department of Bio</w:t>
                      </w:r>
                      <w:r>
                        <w:t>logical Chemistry</w:t>
                      </w:r>
                      <w:r w:rsidRPr="00673BA5">
                        <w:t>, John Innes Centre, Norwich Research Park,</w:t>
                      </w:r>
                      <w:r>
                        <w:t xml:space="preserve"> Norwich NR4 7UH,</w:t>
                      </w:r>
                      <w:r w:rsidRPr="00673BA5">
                        <w:t xml:space="preserve"> Norfolk</w:t>
                      </w:r>
                      <w:r>
                        <w:t>. email:tony.maxwell@jic.ac.uk. Phone 01603 450771</w:t>
                      </w:r>
                    </w:p>
                    <w:p w14:paraId="50405F68" w14:textId="7B4974E4" w:rsidR="007D4FBB" w:rsidRPr="00241ACD" w:rsidRDefault="007D4FBB" w:rsidP="00241ACD">
                      <w:pPr>
                        <w:pStyle w:val="RSCF02FootnotestoTitleAuthors"/>
                      </w:pPr>
                      <w:r w:rsidRPr="00241ACD">
                        <w:t xml:space="preserve">Electronic Supplementary Information (ESI) available: </w:t>
                      </w:r>
                      <w:r w:rsidR="00627D9A" w:rsidRPr="00A51CC2">
                        <w:t xml:space="preserve">Full experimental and characterisation data can be found in the </w:t>
                      </w:r>
                      <w:r w:rsidR="00627D9A">
                        <w:t>ESI</w:t>
                      </w:r>
                      <w:r w:rsidR="00627D9A" w:rsidRPr="00A51CC2">
                        <w:t>.</w:t>
                      </w:r>
                      <w:r w:rsidR="00627D9A">
                        <w:t xml:space="preserve"> </w:t>
                      </w:r>
                      <w:r w:rsidRPr="00241ACD">
                        <w:t>See DOI: 10.1039/x0xx00000x</w:t>
                      </w:r>
                    </w:p>
                  </w:txbxContent>
                </v:textbox>
                <w10:wrap type="topAndBottom" anchory="margin"/>
                <w10:anchorlock/>
              </v:shape>
            </w:pict>
          </mc:Fallback>
        </mc:AlternateContent>
      </w:r>
      <w:r w:rsidR="00F62C8B" w:rsidRPr="00270DD5">
        <w:t>Received 00th January 20</w:t>
      </w:r>
      <w:r w:rsidR="00F15F90" w:rsidRPr="00270DD5">
        <w:t>xx</w:t>
      </w:r>
      <w:r w:rsidR="00F62C8B" w:rsidRPr="00270DD5">
        <w:t>,</w:t>
      </w:r>
    </w:p>
    <w:p w14:paraId="4ABE4283" w14:textId="77777777" w:rsidR="00F62C8B" w:rsidRPr="00270DD5" w:rsidRDefault="00F62C8B" w:rsidP="004C531E">
      <w:pPr>
        <w:pStyle w:val="RSCM01ReceivedAccepted"/>
      </w:pPr>
      <w:r w:rsidRPr="00270DD5">
        <w:t>Accepted 00th January 20</w:t>
      </w:r>
      <w:r w:rsidR="00F15F90" w:rsidRPr="00270DD5">
        <w:t>xx</w:t>
      </w:r>
    </w:p>
    <w:p w14:paraId="000A88B1" w14:textId="77777777" w:rsidR="00F62C8B" w:rsidRPr="00794787" w:rsidRDefault="00F62C8B" w:rsidP="004C531E">
      <w:pPr>
        <w:pStyle w:val="RSCM02DOI"/>
      </w:pPr>
      <w:r w:rsidRPr="00794787">
        <w:t>DOI: 10.1039/x0xx00000x</w:t>
      </w:r>
    </w:p>
    <w:p w14:paraId="2F2A8D66" w14:textId="77777777" w:rsidR="00A9649E" w:rsidRPr="00794787" w:rsidRDefault="00A9649E" w:rsidP="004C531E">
      <w:pPr>
        <w:pStyle w:val="RSCM03Website"/>
      </w:pPr>
      <w:r w:rsidRPr="00794787">
        <w:t>www.rsc.org/</w:t>
      </w:r>
    </w:p>
    <w:p w14:paraId="0E7F4425" w14:textId="06D55C59" w:rsidR="004414A5" w:rsidRPr="00C32EDF" w:rsidRDefault="00F62C8B" w:rsidP="00C32EDF">
      <w:pPr>
        <w:pStyle w:val="RSCH01PaperTitle"/>
      </w:pPr>
      <w:r w:rsidRPr="004414A5">
        <w:br w:type="column"/>
      </w:r>
      <w:r w:rsidR="00A80581" w:rsidRPr="00A80581">
        <w:lastRenderedPageBreak/>
        <w:t xml:space="preserve">A </w:t>
      </w:r>
      <w:r w:rsidR="009E66F9">
        <w:t xml:space="preserve">natural product inspired </w:t>
      </w:r>
      <w:r w:rsidR="00A80581" w:rsidRPr="00A80581">
        <w:t xml:space="preserve">fragment-based approach towards the development of novel anti-bacterial agents </w:t>
      </w:r>
    </w:p>
    <w:p w14:paraId="4366087F" w14:textId="77777777" w:rsidR="00670ED4" w:rsidRPr="0006198F" w:rsidRDefault="003941B8" w:rsidP="00F21465">
      <w:pPr>
        <w:pStyle w:val="RSCH02PaperAuthorsandByline"/>
        <w:rPr>
          <w:vertAlign w:val="superscript"/>
        </w:rPr>
        <w:sectPr w:rsidR="00670ED4" w:rsidRPr="0006198F" w:rsidSect="00514CBA">
          <w:headerReference w:type="even" r:id="rId10"/>
          <w:headerReference w:type="default" r:id="rId11"/>
          <w:footerReference w:type="even" r:id="rId12"/>
          <w:footerReference w:type="default" r:id="rId13"/>
          <w:headerReference w:type="first" r:id="rId14"/>
          <w:footerReference w:type="first" r:id="rId15"/>
          <w:pgSz w:w="11907" w:h="16840" w:code="9"/>
          <w:pgMar w:top="1009" w:right="851" w:bottom="1758" w:left="851" w:header="851" w:footer="1049" w:gutter="0"/>
          <w:cols w:num="2" w:space="227" w:equalWidth="0">
            <w:col w:w="1985" w:space="227"/>
            <w:col w:w="7993"/>
          </w:cols>
          <w:titlePg/>
          <w:docGrid w:linePitch="360"/>
        </w:sectPr>
      </w:pPr>
      <w:r w:rsidRPr="00673BA5">
        <w:t>Michael J. Austin,</w:t>
      </w:r>
      <w:r w:rsidR="0006198F">
        <w:rPr>
          <w:vertAlign w:val="superscript"/>
        </w:rPr>
        <w:t>a</w:t>
      </w:r>
      <w:r w:rsidRPr="00673BA5">
        <w:t xml:space="preserve"> Stephen</w:t>
      </w:r>
      <w:r>
        <w:t xml:space="preserve"> J.</w:t>
      </w:r>
      <w:r w:rsidRPr="00673BA5">
        <w:t xml:space="preserve"> Hearnshaw,</w:t>
      </w:r>
      <w:r w:rsidR="0006198F">
        <w:rPr>
          <w:vertAlign w:val="superscript"/>
        </w:rPr>
        <w:t>b</w:t>
      </w:r>
      <w:r>
        <w:t xml:space="preserve"> Lesley A Mitchenall,</w:t>
      </w:r>
      <w:r w:rsidR="0006198F">
        <w:rPr>
          <w:vertAlign w:val="superscript"/>
        </w:rPr>
        <w:t>b</w:t>
      </w:r>
      <w:r>
        <w:t xml:space="preserve"> Paul J. McDermott,</w:t>
      </w:r>
      <w:r w:rsidR="0006198F">
        <w:rPr>
          <w:vertAlign w:val="superscript"/>
        </w:rPr>
        <w:t>a</w:t>
      </w:r>
      <w:r>
        <w:t xml:space="preserve"> </w:t>
      </w:r>
      <w:r w:rsidRPr="00673BA5">
        <w:t>Lesley</w:t>
      </w:r>
      <w:r>
        <w:t xml:space="preserve"> A.</w:t>
      </w:r>
      <w:r w:rsidRPr="00673BA5">
        <w:t xml:space="preserve"> Howell</w:t>
      </w:r>
      <w:r>
        <w:t>,</w:t>
      </w:r>
      <w:r w:rsidR="0006198F">
        <w:rPr>
          <w:vertAlign w:val="superscript"/>
        </w:rPr>
        <w:t>a</w:t>
      </w:r>
      <w:r>
        <w:t xml:space="preserve"> </w:t>
      </w:r>
      <w:r w:rsidRPr="00673BA5">
        <w:t>Anthony Maxwell</w:t>
      </w:r>
      <w:r w:rsidR="0006198F">
        <w:rPr>
          <w:vertAlign w:val="superscript"/>
        </w:rPr>
        <w:t>b</w:t>
      </w:r>
      <w:r>
        <w:rPr>
          <w:vertAlign w:val="superscript"/>
        </w:rPr>
        <w:t>*</w:t>
      </w:r>
      <w:r w:rsidRPr="00673BA5">
        <w:t xml:space="preserve"> </w:t>
      </w:r>
      <w:r>
        <w:t xml:space="preserve">and </w:t>
      </w:r>
      <w:r w:rsidRPr="00673BA5">
        <w:t>Mark Searcey</w:t>
      </w:r>
      <w:r w:rsidR="00AB64F9">
        <w:rPr>
          <w:vertAlign w:val="superscript"/>
        </w:rPr>
        <w:t>a</w:t>
      </w:r>
      <w:r w:rsidRPr="00C850D9">
        <w:rPr>
          <w:vertAlign w:val="superscript"/>
        </w:rPr>
        <w:t>*</w:t>
      </w:r>
    </w:p>
    <w:p w14:paraId="3C60CDCC" w14:textId="0BC7B57F" w:rsidR="00180ABE" w:rsidRPr="0025490A" w:rsidRDefault="008D1135" w:rsidP="0025490A">
      <w:pPr>
        <w:pStyle w:val="RSCB01COMAbstract"/>
        <w:rPr>
          <w:rStyle w:val="06CHeading"/>
          <w:rFonts w:asciiTheme="minorHAnsi" w:hAnsiTheme="minorHAnsi" w:cstheme="minorBidi"/>
          <w:b/>
          <w:smallCaps w:val="0"/>
          <w:w w:val="100"/>
          <w:szCs w:val="22"/>
        </w:rPr>
      </w:pPr>
      <w:r>
        <w:lastRenderedPageBreak/>
        <w:t>The discovery of new antibiotics with novel modes of action to combat a</w:t>
      </w:r>
      <w:r w:rsidRPr="00673BA5">
        <w:t xml:space="preserve">ntimicrobial resistance (AMR) </w:t>
      </w:r>
      <w:r>
        <w:t>is of vital importance. The natural product s</w:t>
      </w:r>
      <w:r w:rsidRPr="00673BA5">
        <w:t>imocyclinone D8</w:t>
      </w:r>
      <w:r>
        <w:t xml:space="preserve"> (SD8) is</w:t>
      </w:r>
      <w:r w:rsidRPr="00673BA5">
        <w:t xml:space="preserve"> a potent inhibitor of DNA gyrase</w:t>
      </w:r>
      <w:r>
        <w:t>. Its</w:t>
      </w:r>
      <w:r w:rsidRPr="00673BA5">
        <w:t xml:space="preserve"> bi-functional structure </w:t>
      </w:r>
      <w:r>
        <w:t>and novel mode of action serve</w:t>
      </w:r>
      <w:r w:rsidRPr="00673BA5">
        <w:t xml:space="preserve"> as an inspiring lead for antibiotic development. Herein we describe a proof of principle fragment-based approach towards the development of a new class of coumarin-quinolone hybrids. We demonstrate </w:t>
      </w:r>
      <w:r>
        <w:t xml:space="preserve">that </w:t>
      </w:r>
      <w:r w:rsidRPr="00673BA5">
        <w:t xml:space="preserve">the coumarin moiety is </w:t>
      </w:r>
      <w:r>
        <w:t>required</w:t>
      </w:r>
      <w:r w:rsidRPr="00673BA5">
        <w:t xml:space="preserve"> for </w:t>
      </w:r>
      <w:r>
        <w:t xml:space="preserve">the </w:t>
      </w:r>
      <w:r w:rsidRPr="00673BA5">
        <w:t>observed inhibitory activity</w:t>
      </w:r>
      <w:r>
        <w:t xml:space="preserve"> (</w:t>
      </w:r>
      <w:r w:rsidRPr="000C69CF">
        <w:t>IC</w:t>
      </w:r>
      <w:r w:rsidRPr="000C69CF">
        <w:rPr>
          <w:vertAlign w:val="subscript"/>
        </w:rPr>
        <w:t>50</w:t>
      </w:r>
      <w:r w:rsidRPr="009A3701">
        <w:t xml:space="preserve"> ~</w:t>
      </w:r>
      <w:r w:rsidRPr="000C69CF">
        <w:t>3</w:t>
      </w:r>
      <w:r>
        <w:t xml:space="preserve"> </w:t>
      </w:r>
      <w:r>
        <w:sym w:font="Symbol" w:char="F06D"/>
      </w:r>
      <w:r>
        <w:t>M)</w:t>
      </w:r>
      <w:r w:rsidRPr="000C69CF">
        <w:t xml:space="preserve"> </w:t>
      </w:r>
      <w:r w:rsidRPr="00673BA5">
        <w:t>of the hybrid compound, which is in part mediated through stabilisation of</w:t>
      </w:r>
      <w:r>
        <w:t xml:space="preserve"> a cleaved-</w:t>
      </w:r>
      <w:r w:rsidRPr="00673BA5">
        <w:t>DNA</w:t>
      </w:r>
      <w:r>
        <w:t xml:space="preserve"> intermediate</w:t>
      </w:r>
      <w:r w:rsidRPr="00673BA5">
        <w:t>.</w:t>
      </w:r>
    </w:p>
    <w:p w14:paraId="7E659ABC" w14:textId="7D0F2D23" w:rsidR="00506565" w:rsidRDefault="00D51CE0" w:rsidP="0051710A">
      <w:pPr>
        <w:pStyle w:val="RSCB02ArticleText"/>
      </w:pPr>
      <w:r>
        <w:t xml:space="preserve">Antimicrobial resistance </w:t>
      </w:r>
      <w:r w:rsidRPr="003D5809">
        <w:t>and the emergence of drug-resistant</w:t>
      </w:r>
      <w:r>
        <w:t xml:space="preserve"> </w:t>
      </w:r>
      <w:r w:rsidRPr="003D5809">
        <w:t>pathogens is a major health concern that threatens the society that we live in.</w:t>
      </w:r>
      <w:r>
        <w:fldChar w:fldCharType="begin"/>
      </w:r>
      <w:r>
        <w:instrText xml:space="preserve"> ADDIN EN.CITE &lt;EndNote&gt;&lt;Cite&gt;&lt;Author&gt;Boucher&lt;/Author&gt;&lt;Year&gt;2009&lt;/Year&gt;&lt;RecNum&gt;273&lt;/RecNum&gt;&lt;DisplayText&gt;&lt;style face="superscript"&gt;1&lt;/style&gt;&lt;/DisplayText&gt;&lt;record&gt;&lt;rec-number&gt;273&lt;/rec-number&gt;&lt;foreign-keys&gt;&lt;key app="EN" db-id="pvw2520eus0fw9epf9bxrdvg20edaxsp5axs" timestamp="1427354147"&gt;273&lt;/key&gt;&lt;/foreign-keys&gt;&lt;ref-type name="Journal Article"&gt;17&lt;/ref-type&gt;&lt;contributors&gt;&lt;authors&gt;&lt;author&gt;Boucher, Helen W.&lt;/author&gt;&lt;author&gt;Talbot, George H.&lt;/author&gt;&lt;author&gt;Bradley, John S.&lt;/author&gt;&lt;author&gt;Edwards, John E.&lt;/author&gt;&lt;author&gt;Gilbert, David&lt;/author&gt;&lt;author&gt;Rice, Louis B.&lt;/author&gt;&lt;author&gt;Scheld, Michael&lt;/author&gt;&lt;author&gt;Spellberg, Brad&lt;/author&gt;&lt;author&gt;Bartlett, John&lt;/author&gt;&lt;/authors&gt;&lt;/contributors&gt;&lt;titles&gt;&lt;title&gt;Bad Bugs, No Drugs: No ESKAPE! An Update from the Infectious Diseases Society of America&lt;/title&gt;&lt;secondary-title&gt;Clinical Infectious Diseases&lt;/secondary-title&gt;&lt;/titles&gt;&lt;periodical&gt;&lt;full-title&gt;Clinical Infectious Diseases&lt;/full-title&gt;&lt;abbr-1&gt;Clin Infect Dis&lt;/abbr-1&gt;&lt;/periodical&gt;&lt;pages&gt;1-12&lt;/pages&gt;&lt;volume&gt;48&lt;/volume&gt;&lt;number&gt;1&lt;/number&gt;&lt;dates&gt;&lt;year&gt;2009&lt;/year&gt;&lt;pub-dates&gt;&lt;date&gt;January 1, 2009&lt;/date&gt;&lt;/pub-dates&gt;&lt;/dates&gt;&lt;urls&gt;&lt;related-urls&gt;&lt;url&gt;http://cid.oxfordjournals.org/content/48/1/1.abstract&lt;/url&gt;&lt;/related-urls&gt;&lt;/urls&gt;&lt;electronic-resource-num&gt;10.1086/595011&lt;/electronic-resource-num&gt;&lt;/record&gt;&lt;/Cite&gt;&lt;Cite&gt;&lt;Author&gt;World Health Organization&lt;/Author&gt;&lt;Year&gt;2014&lt;/Year&gt;&lt;RecNum&gt;274&lt;/RecNum&gt;&lt;record&gt;&lt;rec-number&gt;274&lt;/rec-number&gt;&lt;foreign-keys&gt;&lt;key app="EN" db-id="pvw2520eus0fw9epf9bxrdvg20edaxsp5axs" timestamp="1427354841"&gt;274&lt;/key&gt;&lt;/foreign-keys&gt;&lt;ref-type name="Report"&gt;27&lt;/ref-type&gt;&lt;contributors&gt;&lt;authors&gt;&lt;author&gt;World Health Organization,&lt;/author&gt;&lt;/authors&gt;&lt;/contributors&gt;&lt;titles&gt;&lt;title&gt;Antimicrobial Resistance: Global Report on Surveillance&lt;/title&gt;&lt;/titles&gt;&lt;pages&gt;1-256&lt;/pages&gt;&lt;dates&gt;&lt;year&gt;2014&lt;/year&gt;&lt;/dates&gt;&lt;pub-location&gt;Geneva, Switzerland&lt;/pub-location&gt;&lt;urls&gt;&lt;/urls&gt;&lt;access-date&gt;26 March 2015&lt;/access-date&gt;&lt;/record&gt;&lt;/Cite&gt;&lt;/EndNote&gt;</w:instrText>
      </w:r>
      <w:r>
        <w:fldChar w:fldCharType="separate"/>
      </w:r>
      <w:r w:rsidRPr="00E53E09">
        <w:rPr>
          <w:noProof/>
          <w:vertAlign w:val="superscript"/>
        </w:rPr>
        <w:t>1</w:t>
      </w:r>
      <w:r>
        <w:fldChar w:fldCharType="end"/>
      </w:r>
      <w:r>
        <w:t xml:space="preserve"> Consequently,</w:t>
      </w:r>
      <w:r w:rsidRPr="003D5809">
        <w:t xml:space="preserve"> there is an urgent </w:t>
      </w:r>
      <w:r>
        <w:t>need</w:t>
      </w:r>
      <w:r w:rsidRPr="003D5809">
        <w:t xml:space="preserve"> to identify compounds with novel modes of action to treat drug-resistant infec</w:t>
      </w:r>
      <w:r>
        <w:t>tions.</w:t>
      </w:r>
      <w:r w:rsidR="00FF4293">
        <w:t xml:space="preserve"> Fragment-based drug design has been utilised in the design and development of new anti-microbial agents and is a technique based upon the use of small molecular weight fragments, typically with low binding affinities for their targets, that can be combined to generate </w:t>
      </w:r>
      <w:r w:rsidR="00506565">
        <w:t>selective and high affinity molecules with therapeutic potential.</w:t>
      </w:r>
      <w:r w:rsidR="00ED0939">
        <w:rPr>
          <w:vertAlign w:val="superscript"/>
        </w:rPr>
        <w:t>2</w:t>
      </w:r>
      <w:r w:rsidR="00506565">
        <w:t xml:space="preserve"> The main drawback to this approach is the requirement for access to techniques such as crystallography or high field protein NMR in order to identify the fragments.</w:t>
      </w:r>
    </w:p>
    <w:p w14:paraId="442CB555" w14:textId="7A2E7DA2" w:rsidR="00506565" w:rsidRDefault="00506565" w:rsidP="0051710A">
      <w:pPr>
        <w:pStyle w:val="RSCB02ArticleText"/>
      </w:pPr>
      <w:r>
        <w:t>Nature has provided a number of compounds that appear to derive from a natural “fragment-based” approach to inhibitor design. The MDM2/p53 inhibitor chlorofusin combines an azaphilone and a cyclic peptide structure, neither of which bind to their target individually but which together generated the first natural product identified through a screen for inhibitors for this protein-protein interaction.</w:t>
      </w:r>
      <w:r w:rsidR="00ED0939">
        <w:rPr>
          <w:vertAlign w:val="superscript"/>
        </w:rPr>
        <w:t>3</w:t>
      </w:r>
      <w:r>
        <w:t xml:space="preserve"> This has led to the development of further inhibitors that target this </w:t>
      </w:r>
      <w:r>
        <w:lastRenderedPageBreak/>
        <w:t>interaction and take their inspiration from chlorofusin.</w:t>
      </w:r>
      <w:r w:rsidR="00ED0939">
        <w:rPr>
          <w:vertAlign w:val="superscript"/>
        </w:rPr>
        <w:t>4,5</w:t>
      </w:r>
      <w:r>
        <w:t xml:space="preserve"> </w:t>
      </w:r>
    </w:p>
    <w:p w14:paraId="38A2D8E8" w14:textId="61D4F1A7" w:rsidR="00506565" w:rsidRDefault="00506565" w:rsidP="0051710A">
      <w:pPr>
        <w:pStyle w:val="RSCB02ArticleText"/>
      </w:pPr>
      <w:r>
        <w:t>Simocyclinone D8 (SD8</w:t>
      </w:r>
      <w:r w:rsidR="00877880">
        <w:t xml:space="preserve">, </w:t>
      </w:r>
      <w:r w:rsidR="00877880">
        <w:rPr>
          <w:b/>
        </w:rPr>
        <w:t>1</w:t>
      </w:r>
      <w:r w:rsidR="00877880">
        <w:t>, Fig 1</w:t>
      </w:r>
      <w:r>
        <w:t>) is a further example of nature</w:t>
      </w:r>
      <w:r w:rsidR="00DB4B66">
        <w:t>’</w:t>
      </w:r>
      <w:r>
        <w:t xml:space="preserve">s use of fragments to generate a new </w:t>
      </w:r>
      <w:r w:rsidR="00D35127">
        <w:t>molecule, in this case an antib</w:t>
      </w:r>
      <w:r>
        <w:t>iotic</w:t>
      </w:r>
      <w:r w:rsidR="00D35127">
        <w:t xml:space="preserve"> that acts as an</w:t>
      </w:r>
      <w:r>
        <w:t xml:space="preserve"> inhibitor of DNA gyrase.</w:t>
      </w:r>
      <w:r w:rsidR="00ED0939">
        <w:rPr>
          <w:vertAlign w:val="superscript"/>
        </w:rPr>
        <w:t>6</w:t>
      </w:r>
      <w:r>
        <w:t xml:space="preserve">  </w:t>
      </w:r>
      <w:r w:rsidR="00FF4293">
        <w:t xml:space="preserve"> </w:t>
      </w:r>
      <w:r w:rsidR="00D51CE0">
        <w:t>DNA gyrase is a type IIA topoisomerase that regulates the topology of DNA.</w:t>
      </w:r>
      <w:r w:rsidR="004B5DF8">
        <w:rPr>
          <w:vertAlign w:val="superscript"/>
        </w:rPr>
        <w:t>7</w:t>
      </w:r>
      <w:r w:rsidR="00D51CE0">
        <w:t xml:space="preserve"> All topoisome</w:t>
      </w:r>
      <w:r w:rsidR="0044075F">
        <w:t>rases can relax supercoiled DNA but</w:t>
      </w:r>
      <w:r w:rsidR="00D51CE0" w:rsidRPr="00673BA5">
        <w:t xml:space="preserve"> DNA gyrase</w:t>
      </w:r>
      <w:r w:rsidR="00D51CE0">
        <w:t xml:space="preserve"> is </w:t>
      </w:r>
      <w:r w:rsidR="00D51CE0" w:rsidRPr="00673BA5">
        <w:t>unique in its ability to introduce negative supercoils</w:t>
      </w:r>
      <w:r w:rsidR="00D51CE0">
        <w:t xml:space="preserve"> at the expense of ATP hydrolysis.</w:t>
      </w:r>
      <w:r w:rsidR="004B5DF8">
        <w:rPr>
          <w:vertAlign w:val="superscript"/>
        </w:rPr>
        <w:t>8</w:t>
      </w:r>
      <w:r w:rsidR="00D51CE0">
        <w:t xml:space="preserve"> </w:t>
      </w:r>
      <w:r w:rsidR="00D51CE0" w:rsidRPr="00673BA5">
        <w:t>The enzyme is exclusively found in bacterial cells and thus is a rational drug target.</w:t>
      </w:r>
      <w:r w:rsidR="00ED0939" w:rsidRPr="00ED0939">
        <w:rPr>
          <w:vertAlign w:val="superscript"/>
        </w:rPr>
        <w:t xml:space="preserve"> </w:t>
      </w:r>
      <w:r w:rsidR="00982304">
        <w:rPr>
          <w:vertAlign w:val="superscript"/>
        </w:rPr>
        <w:t>9</w:t>
      </w:r>
    </w:p>
    <w:p w14:paraId="4F0BD516" w14:textId="13FA9FB6" w:rsidR="00D35127" w:rsidRDefault="00D35127" w:rsidP="00D35127">
      <w:r>
        <w:rPr>
          <w:b/>
          <w:noProof/>
          <w:lang w:val="en-US"/>
        </w:rPr>
        <w:drawing>
          <wp:inline distT="0" distB="0" distL="0" distR="0" wp14:anchorId="10CDC01E" wp14:editId="404FFED0">
            <wp:extent cx="3044825" cy="3685279"/>
            <wp:effectExtent l="0" t="0" r="3175" b="0"/>
            <wp:docPr id="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044825" cy="3685279"/>
                    </a:xfrm>
                    <a:prstGeom prst="rect">
                      <a:avLst/>
                    </a:prstGeom>
                    <a:noFill/>
                    <a:ln>
                      <a:noFill/>
                    </a:ln>
                  </pic:spPr>
                </pic:pic>
              </a:graphicData>
            </a:graphic>
          </wp:inline>
        </w:drawing>
      </w:r>
    </w:p>
    <w:p w14:paraId="07BC8572" w14:textId="77777777" w:rsidR="00D35127" w:rsidRDefault="00D35127" w:rsidP="00D35127">
      <w:pPr>
        <w:pStyle w:val="RSCI04CaptiontoFigureSchemeChart"/>
      </w:pPr>
      <w:r>
        <w:rPr>
          <w:b/>
        </w:rPr>
        <w:t>Figure 1</w:t>
      </w:r>
      <w:r>
        <w:t xml:space="preserve">. SD8 </w:t>
      </w:r>
      <w:r>
        <w:rPr>
          <w:b/>
        </w:rPr>
        <w:t>1</w:t>
      </w:r>
      <w:r>
        <w:t xml:space="preserve"> and constituent fragments </w:t>
      </w:r>
      <w:r w:rsidRPr="0025238B">
        <w:rPr>
          <w:b/>
        </w:rPr>
        <w:t>2</w:t>
      </w:r>
      <w:r>
        <w:t xml:space="preserve"> and </w:t>
      </w:r>
      <w:r w:rsidRPr="007E3BED">
        <w:rPr>
          <w:b/>
        </w:rPr>
        <w:t>3</w:t>
      </w:r>
      <w:r w:rsidRPr="007E3BED">
        <w:t>.</w:t>
      </w:r>
      <w:r>
        <w:rPr>
          <w:b/>
        </w:rPr>
        <w:t xml:space="preserve"> </w:t>
      </w:r>
      <w:r w:rsidRPr="007E3BED">
        <w:t xml:space="preserve">Compound </w:t>
      </w:r>
      <w:r>
        <w:rPr>
          <w:b/>
        </w:rPr>
        <w:t>4</w:t>
      </w:r>
      <w:r w:rsidRPr="007E3BED">
        <w:t xml:space="preserve"> designed </w:t>
      </w:r>
      <w:r>
        <w:t>in this study and inspired by SD</w:t>
      </w:r>
      <w:r w:rsidRPr="007E3BED">
        <w:t>8</w:t>
      </w:r>
    </w:p>
    <w:p w14:paraId="57EF4914" w14:textId="77777777" w:rsidR="00D35127" w:rsidRDefault="00D35127" w:rsidP="00D35127"/>
    <w:p w14:paraId="66581BFC" w14:textId="77777777" w:rsidR="00D35127" w:rsidRDefault="00D35127" w:rsidP="0051710A">
      <w:pPr>
        <w:pStyle w:val="RSCB02ArticleText"/>
      </w:pPr>
    </w:p>
    <w:p w14:paraId="058E01AB" w14:textId="61C4CC7E" w:rsidR="006343FD" w:rsidRDefault="006343FD" w:rsidP="006343FD">
      <w:r>
        <w:rPr>
          <w:noProof/>
          <w:lang w:val="en-US"/>
        </w:rPr>
        <w:drawing>
          <wp:inline distT="0" distB="0" distL="0" distR="0" wp14:anchorId="55E5DF41" wp14:editId="6EB2A683">
            <wp:extent cx="3044825" cy="1533365"/>
            <wp:effectExtent l="0" t="0" r="3175" b="0"/>
            <wp:docPr id="2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044825" cy="1533365"/>
                    </a:xfrm>
                    <a:prstGeom prst="rect">
                      <a:avLst/>
                    </a:prstGeom>
                    <a:noFill/>
                    <a:ln>
                      <a:noFill/>
                    </a:ln>
                  </pic:spPr>
                </pic:pic>
              </a:graphicData>
            </a:graphic>
          </wp:inline>
        </w:drawing>
      </w:r>
    </w:p>
    <w:p w14:paraId="57C99B97" w14:textId="77777777" w:rsidR="006343FD" w:rsidRDefault="006343FD" w:rsidP="006343FD"/>
    <w:p w14:paraId="56AAF0FD" w14:textId="4C623E14" w:rsidR="006343FD" w:rsidRDefault="006343FD" w:rsidP="006343FD">
      <w:pPr>
        <w:pStyle w:val="RSCI04CaptiontoFigureSchemeChart"/>
      </w:pPr>
      <w:r>
        <w:rPr>
          <w:b/>
        </w:rPr>
        <w:t xml:space="preserve">Figure 2. </w:t>
      </w:r>
      <w:r w:rsidRPr="005677B6">
        <w:t xml:space="preserve">Key bonding interactions for </w:t>
      </w:r>
      <w:r>
        <w:t>SD8</w:t>
      </w:r>
      <w:r w:rsidRPr="005677B6">
        <w:t>, dashed lines represent hydrogen bonds, blue lines hydrophobic interactions and blue circles water molecules</w:t>
      </w:r>
      <w:r>
        <w:t>.</w:t>
      </w:r>
      <w:r w:rsidR="008F14E4" w:rsidRPr="008F14E4">
        <w:rPr>
          <w:vertAlign w:val="superscript"/>
        </w:rPr>
        <w:t>16</w:t>
      </w:r>
      <w:r>
        <w:t xml:space="preserve"> For clarity the hydrogen atoms are not shown on amino acid residue</w:t>
      </w:r>
      <w:bookmarkStart w:id="0" w:name="_GoBack"/>
      <w:bookmarkEnd w:id="0"/>
    </w:p>
    <w:p w14:paraId="4C5EFB12" w14:textId="09156685" w:rsidR="0051710A" w:rsidRDefault="0044075F" w:rsidP="00D35127">
      <w:pPr>
        <w:pStyle w:val="RSCB02ArticleText"/>
      </w:pPr>
      <w:r>
        <w:t>Classical DNA gyrase inhibitors such as</w:t>
      </w:r>
      <w:r w:rsidRPr="00673BA5">
        <w:t xml:space="preserve"> </w:t>
      </w:r>
      <w:r>
        <w:t>the fluoro</w:t>
      </w:r>
      <w:r w:rsidRPr="00673BA5">
        <w:t>quin</w:t>
      </w:r>
      <w:r>
        <w:t>olones, stabilise the enzyme-DNA cleavage complex by intercalating into double strand breaks.</w:t>
      </w:r>
      <w:r w:rsidR="00982304">
        <w:rPr>
          <w:vertAlign w:val="superscript"/>
        </w:rPr>
        <w:t>10</w:t>
      </w:r>
      <w:r>
        <w:t xml:space="preserve"> Conversely, the </w:t>
      </w:r>
      <w:r w:rsidRPr="00673BA5">
        <w:t>aminocouma</w:t>
      </w:r>
      <w:r>
        <w:t>rin antibiotics inhibit the ATPase activity of the GyrB subunit.</w:t>
      </w:r>
      <w:r w:rsidR="00982304" w:rsidRPr="00982304">
        <w:rPr>
          <w:vertAlign w:val="superscript"/>
        </w:rPr>
        <w:t>11</w:t>
      </w:r>
      <w:r w:rsidR="00D51CE0">
        <w:t xml:space="preserve"> </w:t>
      </w:r>
    </w:p>
    <w:p w14:paraId="13725027" w14:textId="2D854EA4" w:rsidR="00DB4B66" w:rsidRDefault="00D51CE0" w:rsidP="00DB4B66">
      <w:pPr>
        <w:pStyle w:val="RSCB02ArticleText"/>
      </w:pPr>
      <w:r>
        <w:t xml:space="preserve">SD8, </w:t>
      </w:r>
      <w:r>
        <w:rPr>
          <w:b/>
        </w:rPr>
        <w:t>1</w:t>
      </w:r>
      <w:r w:rsidR="0044075F">
        <w:t>,</w:t>
      </w:r>
      <w:r w:rsidRPr="00673BA5">
        <w:t xml:space="preserve"> isolated from the mycelium of </w:t>
      </w:r>
      <w:r w:rsidRPr="00BE45AE">
        <w:rPr>
          <w:i/>
        </w:rPr>
        <w:t>Streptomyces antibioticus</w:t>
      </w:r>
      <w:r w:rsidRPr="00673BA5">
        <w:t xml:space="preserve"> Tü 6040</w:t>
      </w:r>
      <w:r w:rsidR="0044075F">
        <w:t>,</w:t>
      </w:r>
      <w:r w:rsidR="00982304">
        <w:rPr>
          <w:vertAlign w:val="superscript"/>
        </w:rPr>
        <w:t>6</w:t>
      </w:r>
      <w:r w:rsidRPr="00673BA5">
        <w:t xml:space="preserve"> consists of </w:t>
      </w:r>
      <w:r w:rsidRPr="001C3030">
        <w:t>an aminocoumarin</w:t>
      </w:r>
      <w:r>
        <w:t xml:space="preserve"> </w:t>
      </w:r>
      <w:r w:rsidRPr="001C3030">
        <w:t>(AC) attached through an amide linkage to a rigid polyene chain, which, in turn, is connected to an</w:t>
      </w:r>
      <w:r>
        <w:t xml:space="preserve"> </w:t>
      </w:r>
      <w:r w:rsidRPr="001C3030">
        <w:t>angucyclic polyketide (PK) through a D-olivose sugar moiety</w:t>
      </w:r>
      <w:r w:rsidRPr="00673BA5">
        <w:t xml:space="preserve">. </w:t>
      </w:r>
      <w:r w:rsidR="0044075F">
        <w:t xml:space="preserve">It works as a DNA gyrase inhibitor through a novel mechanism </w:t>
      </w:r>
      <w:r>
        <w:t>preventing the</w:t>
      </w:r>
      <w:r w:rsidRPr="00673BA5">
        <w:t xml:space="preserve"> binding of DNA to the </w:t>
      </w:r>
      <w:r w:rsidRPr="00E818F5">
        <w:t>N</w:t>
      </w:r>
      <w:r>
        <w:t>-terminus</w:t>
      </w:r>
      <w:r w:rsidRPr="00673BA5">
        <w:t xml:space="preserve"> of GyrA.</w:t>
      </w:r>
      <w:r w:rsidR="00982304" w:rsidRPr="00982304">
        <w:rPr>
          <w:vertAlign w:val="superscript"/>
        </w:rPr>
        <w:t>12</w:t>
      </w:r>
      <w:r w:rsidR="00DB4B66">
        <w:t xml:space="preserve"> DNA gyrase comprises two subunits GyrA (97 kDa in </w:t>
      </w:r>
      <w:r w:rsidR="00DB4B66" w:rsidRPr="00F606B8">
        <w:rPr>
          <w:i/>
        </w:rPr>
        <w:t>E. coli</w:t>
      </w:r>
      <w:r w:rsidR="00DB4B66">
        <w:t xml:space="preserve">) and GyrB (90 kDa in </w:t>
      </w:r>
      <w:r w:rsidR="00DB4B66" w:rsidRPr="00F606B8">
        <w:rPr>
          <w:i/>
        </w:rPr>
        <w:t>E. coli</w:t>
      </w:r>
      <w:r w:rsidR="00DB4B66">
        <w:t>). The enzyme binds to DNA as an A</w:t>
      </w:r>
      <w:r w:rsidR="00DB4B66">
        <w:rPr>
          <w:vertAlign w:val="subscript"/>
        </w:rPr>
        <w:t>2</w:t>
      </w:r>
      <w:r w:rsidR="00DB4B66">
        <w:t>B</w:t>
      </w:r>
      <w:r w:rsidR="00DB4B66">
        <w:rPr>
          <w:vertAlign w:val="subscript"/>
        </w:rPr>
        <w:t>2</w:t>
      </w:r>
      <w:r w:rsidR="00DB4B66">
        <w:t xml:space="preserve"> complex.</w:t>
      </w:r>
      <w:r w:rsidR="00982304" w:rsidRPr="00982304">
        <w:rPr>
          <w:vertAlign w:val="superscript"/>
        </w:rPr>
        <w:t>13</w:t>
      </w:r>
      <w:r w:rsidR="00DB4B66">
        <w:t xml:space="preserve"> DNA binds to the N-terminal domain of GyrA </w:t>
      </w:r>
      <w:r w:rsidR="00DB4B66">
        <w:rPr>
          <w:rFonts w:hint="eastAsia"/>
        </w:rPr>
        <w:t>and</w:t>
      </w:r>
      <w:r w:rsidR="00DB4B66">
        <w:t xml:space="preserve"> the TOPRIM domain of GyrB comprising a ‘Gate’ segment (G-segment).</w:t>
      </w:r>
      <w:r w:rsidR="00982304" w:rsidRPr="00982304">
        <w:rPr>
          <w:vertAlign w:val="superscript"/>
        </w:rPr>
        <w:t>14</w:t>
      </w:r>
      <w:r w:rsidR="00DB4B66">
        <w:t xml:space="preserve"> </w:t>
      </w:r>
      <w:r w:rsidR="0044075F">
        <w:t xml:space="preserve"> </w:t>
      </w:r>
      <w:r w:rsidRPr="00673BA5">
        <w:t xml:space="preserve">A crystal structure of </w:t>
      </w:r>
      <w:r>
        <w:t>the</w:t>
      </w:r>
      <w:r w:rsidRPr="00673BA5">
        <w:t xml:space="preserve"> 5</w:t>
      </w:r>
      <w:r>
        <w:t>9</w:t>
      </w:r>
      <w:r w:rsidRPr="00673BA5">
        <w:t xml:space="preserve">-kDa GyrA </w:t>
      </w:r>
      <w:r w:rsidRPr="00E818F5">
        <w:t>N</w:t>
      </w:r>
      <w:r w:rsidRPr="00673BA5">
        <w:t xml:space="preserve">-terminal domain </w:t>
      </w:r>
      <w:r>
        <w:t>complexed to SD8 showed two binding pockets in GyrA that could accommodate the AC and PK moieties</w:t>
      </w:r>
      <w:r w:rsidR="00877880">
        <w:t xml:space="preserve"> (Fig 2 and 3)</w:t>
      </w:r>
      <w:r>
        <w:t>.</w:t>
      </w:r>
      <w:r w:rsidR="00D41EE6" w:rsidRPr="00D41EE6">
        <w:rPr>
          <w:vertAlign w:val="superscript"/>
        </w:rPr>
        <w:t>15</w:t>
      </w:r>
      <w:r>
        <w:t xml:space="preserve"> A subsequent structure of a 55-kDa GyrA N-terminal </w:t>
      </w:r>
      <w:r w:rsidRPr="00673BA5">
        <w:t>fragment</w:t>
      </w:r>
      <w:r>
        <w:t xml:space="preserve"> </w:t>
      </w:r>
      <w:r w:rsidRPr="00673BA5">
        <w:t>reveal</w:t>
      </w:r>
      <w:r>
        <w:t>ed</w:t>
      </w:r>
      <w:r w:rsidRPr="00673BA5">
        <w:t xml:space="preserve"> two </w:t>
      </w:r>
      <w:r>
        <w:t>SD8 molecules were responsible for binding</w:t>
      </w:r>
      <w:r w:rsidRPr="00673BA5">
        <w:t xml:space="preserve"> to the </w:t>
      </w:r>
      <w:r>
        <w:t xml:space="preserve">GyrA55 dimer and inhibiting the topoisomerase enzyme. </w:t>
      </w:r>
      <w:r w:rsidR="00DB4B66">
        <w:t>The AC and the PK lie in distinct binding pockets joined through the tetraene linker, each PK spans</w:t>
      </w:r>
      <w:r w:rsidR="00DB4B66" w:rsidRPr="00673BA5">
        <w:t xml:space="preserve"> </w:t>
      </w:r>
      <w:r w:rsidR="00DB4B66">
        <w:t>the</w:t>
      </w:r>
      <w:r w:rsidR="00DB4B66" w:rsidRPr="00673BA5">
        <w:t xml:space="preserve"> GyrA</w:t>
      </w:r>
      <w:r w:rsidR="00DB4B66">
        <w:t>55 dimer interface</w:t>
      </w:r>
      <w:r w:rsidR="00DB4B66" w:rsidRPr="00673BA5">
        <w:t>.</w:t>
      </w:r>
      <w:r w:rsidR="00D41EE6" w:rsidRPr="00D41EE6">
        <w:rPr>
          <w:vertAlign w:val="superscript"/>
        </w:rPr>
        <w:t>16</w:t>
      </w:r>
    </w:p>
    <w:p w14:paraId="46BE2999" w14:textId="32678FF0" w:rsidR="00DB4B66" w:rsidRDefault="00DB4B66" w:rsidP="00DB4B66">
      <w:pPr>
        <w:pStyle w:val="RSCB02ArticleText"/>
      </w:pPr>
      <w:r>
        <w:t>SD8</w:t>
      </w:r>
      <w:r w:rsidRPr="00673BA5">
        <w:t xml:space="preserve"> itself is not drug-like due to poor s</w:t>
      </w:r>
      <w:r>
        <w:t>olubility and cell permeability. However,</w:t>
      </w:r>
      <w:r w:rsidRPr="00673BA5">
        <w:t xml:space="preserve"> its novel mode of action serves as an exciting lead for drug development</w:t>
      </w:r>
      <w:r>
        <w:t xml:space="preserve"> as an example of nature’s approach to fragment-based chemistry</w:t>
      </w:r>
      <w:r w:rsidRPr="00673BA5">
        <w:t>. Individu</w:t>
      </w:r>
      <w:r>
        <w:t xml:space="preserve">al mono-functional fragments </w:t>
      </w:r>
      <w:r>
        <w:rPr>
          <w:b/>
        </w:rPr>
        <w:t>2</w:t>
      </w:r>
      <w:r w:rsidRPr="00673BA5">
        <w:t xml:space="preserve"> (</w:t>
      </w:r>
      <w:r>
        <w:t xml:space="preserve">Fig. 1, </w:t>
      </w:r>
      <w:r w:rsidRPr="00673BA5">
        <w:t>IC</w:t>
      </w:r>
      <w:r w:rsidRPr="00673BA5">
        <w:rPr>
          <w:vertAlign w:val="subscript"/>
        </w:rPr>
        <w:t>50</w:t>
      </w:r>
      <w:r w:rsidRPr="00673BA5">
        <w:t xml:space="preserve"> </w:t>
      </w:r>
      <w:r>
        <w:t>~</w:t>
      </w:r>
      <w:r w:rsidRPr="00673BA5">
        <w:t xml:space="preserve">70 </w:t>
      </w:r>
      <w:r w:rsidRPr="00673BA5">
        <w:sym w:font="Symbol" w:char="F06D"/>
      </w:r>
      <w:r>
        <w:t xml:space="preserve">M) and </w:t>
      </w:r>
      <w:r>
        <w:rPr>
          <w:b/>
        </w:rPr>
        <w:t>3</w:t>
      </w:r>
      <w:r w:rsidRPr="00673BA5">
        <w:t xml:space="preserve"> (IC</w:t>
      </w:r>
      <w:r>
        <w:rPr>
          <w:vertAlign w:val="subscript"/>
        </w:rPr>
        <w:t>50</w:t>
      </w:r>
      <w:r w:rsidRPr="00673BA5">
        <w:t xml:space="preserve"> </w:t>
      </w:r>
      <w:r>
        <w:t>~</w:t>
      </w:r>
      <w:r w:rsidRPr="00673BA5">
        <w:t xml:space="preserve">50 </w:t>
      </w:r>
      <w:r w:rsidRPr="00673BA5">
        <w:sym w:font="Symbol" w:char="F06D"/>
      </w:r>
      <w:r>
        <w:t xml:space="preserve">M) were shown to be considerably less effective as DNA gyrase inhibitors </w:t>
      </w:r>
      <w:r w:rsidRPr="00673BA5">
        <w:t xml:space="preserve">than the </w:t>
      </w:r>
      <w:r>
        <w:t xml:space="preserve">parent compound </w:t>
      </w:r>
      <w:r>
        <w:rPr>
          <w:b/>
        </w:rPr>
        <w:t>1</w:t>
      </w:r>
      <w:r w:rsidRPr="00673BA5">
        <w:t>. Cr</w:t>
      </w:r>
      <w:r>
        <w:t>ucially, when used together there</w:t>
      </w:r>
      <w:r w:rsidRPr="00673BA5">
        <w:t xml:space="preserve"> was no increased inhibition</w:t>
      </w:r>
      <w:r>
        <w:t>,</w:t>
      </w:r>
      <w:r w:rsidRPr="00673BA5">
        <w:t xml:space="preserve"> signifying </w:t>
      </w:r>
      <w:r>
        <w:t xml:space="preserve">that </w:t>
      </w:r>
      <w:r w:rsidRPr="00673BA5">
        <w:t>unification is vital for the observed potent activity.</w:t>
      </w:r>
      <w:r w:rsidRPr="00686CDC">
        <w:rPr>
          <w:vertAlign w:val="superscript"/>
        </w:rPr>
        <w:t>1</w:t>
      </w:r>
      <w:r w:rsidR="00D41EE6">
        <w:rPr>
          <w:vertAlign w:val="superscript"/>
        </w:rPr>
        <w:t>6</w:t>
      </w:r>
      <w:r>
        <w:t xml:space="preserve"> </w:t>
      </w:r>
      <w:r w:rsidR="006343FD">
        <w:t xml:space="preserve">Analysis of the structure of ciprofloxacin with DNA bound to </w:t>
      </w:r>
      <w:r w:rsidR="006343FD">
        <w:rPr>
          <w:i/>
        </w:rPr>
        <w:t>S. a</w:t>
      </w:r>
      <w:r w:rsidR="006343FD" w:rsidRPr="001A26E3">
        <w:rPr>
          <w:i/>
        </w:rPr>
        <w:t xml:space="preserve">ureus </w:t>
      </w:r>
      <w:r w:rsidR="006343FD" w:rsidRPr="00AC310B">
        <w:t>gyrase</w:t>
      </w:r>
      <w:r w:rsidR="006343FD">
        <w:t xml:space="preserve"> (PDB ref 2XCT</w:t>
      </w:r>
      <w:r w:rsidR="006343FD" w:rsidRPr="00673BA5">
        <w:t>)</w:t>
      </w:r>
      <w:r w:rsidR="006343FD">
        <w:t xml:space="preserve"> </w:t>
      </w:r>
      <w:r w:rsidR="006343FD" w:rsidRPr="00673BA5">
        <w:t>re</w:t>
      </w:r>
      <w:r w:rsidR="006343FD">
        <w:t xml:space="preserve">vealed the </w:t>
      </w:r>
      <w:r w:rsidR="006343FD" w:rsidRPr="00673BA5">
        <w:t>quinolone binding</w:t>
      </w:r>
      <w:r w:rsidR="006343FD">
        <w:t xml:space="preserve"> pocket</w:t>
      </w:r>
      <w:r w:rsidR="006343FD" w:rsidRPr="00673BA5">
        <w:t xml:space="preserve"> is in close proximity to the </w:t>
      </w:r>
      <w:r w:rsidR="006343FD">
        <w:t>D-olivose sugar of SD8</w:t>
      </w:r>
      <w:r w:rsidR="006343FD" w:rsidRPr="00673BA5">
        <w:t xml:space="preserve"> </w:t>
      </w:r>
      <w:r w:rsidR="006343FD">
        <w:t xml:space="preserve">(Fig. 3), as it has previously been shown that close sequence similarity exists between </w:t>
      </w:r>
      <w:r w:rsidR="006343FD" w:rsidRPr="00AC310B">
        <w:rPr>
          <w:i/>
        </w:rPr>
        <w:t>S. aureus</w:t>
      </w:r>
      <w:r w:rsidR="006343FD">
        <w:t xml:space="preserve"> and </w:t>
      </w:r>
      <w:r w:rsidR="006343FD" w:rsidRPr="00AC310B">
        <w:rPr>
          <w:i/>
        </w:rPr>
        <w:t>E. coli</w:t>
      </w:r>
      <w:r w:rsidR="006343FD">
        <w:t xml:space="preserve"> </w:t>
      </w:r>
      <w:r w:rsidR="006343FD" w:rsidRPr="00FE2FA5">
        <w:t>gyrase.</w:t>
      </w:r>
      <w:r w:rsidR="006343FD">
        <w:rPr>
          <w:vertAlign w:val="superscript"/>
        </w:rPr>
        <w:t>17</w:t>
      </w:r>
    </w:p>
    <w:p w14:paraId="2BEBE30E" w14:textId="0D59BD41" w:rsidR="00DB4B66" w:rsidRDefault="00DB4B66" w:rsidP="00DB4B66">
      <w:pPr>
        <w:pStyle w:val="RSCB02ArticleText"/>
      </w:pPr>
    </w:p>
    <w:p w14:paraId="2F1A9166" w14:textId="77777777" w:rsidR="00877880" w:rsidRDefault="00877880" w:rsidP="0051710A"/>
    <w:p w14:paraId="02F5D6A9" w14:textId="77777777" w:rsidR="00877880" w:rsidRDefault="00877880" w:rsidP="0051710A"/>
    <w:p w14:paraId="1A88E09B" w14:textId="2B309CA3" w:rsidR="0051710A" w:rsidRDefault="0051710A" w:rsidP="0051710A">
      <w:r w:rsidRPr="005677B6">
        <w:rPr>
          <w:rFonts w:eastAsiaTheme="minorEastAsia"/>
          <w:noProof/>
          <w:lang w:val="en-US"/>
        </w:rPr>
        <w:drawing>
          <wp:inline distT="0" distB="0" distL="0" distR="0" wp14:anchorId="6E2A9ABF" wp14:editId="737F8BBE">
            <wp:extent cx="2736364" cy="1080249"/>
            <wp:effectExtent l="0" t="0" r="6985" b="12065"/>
            <wp:docPr id="21" name="Picture 21" descr="cropSd8vscipr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649" name="Picture 6" descr="cropSd8vscipro.png"/>
                    <pic:cNvPicPr>
                      <a:picLocks noChangeAspect="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740273" cy="1081792"/>
                    </a:xfrm>
                    <a:prstGeom prst="rect">
                      <a:avLst/>
                    </a:prstGeom>
                    <a:noFill/>
                    <a:ln>
                      <a:noFill/>
                    </a:ln>
                    <a:extLst>
                      <a:ext uri="{FAA26D3D-D897-4be2-8F04-BA451C77F1D7}">
                        <ma14:placeholderFlag xmlns:ma14="http://schemas.microsoft.com/office/mac/drawingml/2011/main"/>
                      </a:ext>
                    </a:extLst>
                  </pic:spPr>
                </pic:pic>
              </a:graphicData>
            </a:graphic>
          </wp:inline>
        </w:drawing>
      </w:r>
    </w:p>
    <w:p w14:paraId="66CFBA8B" w14:textId="1B3CD3E9" w:rsidR="0041752B" w:rsidRPr="0041752B" w:rsidRDefault="0041752B" w:rsidP="0041752B">
      <w:pPr>
        <w:pStyle w:val="RSCI04CaptiontoFigureSchemeChart"/>
      </w:pPr>
      <w:r w:rsidRPr="0041752B">
        <w:rPr>
          <w:b/>
        </w:rPr>
        <w:t>Figure 3</w:t>
      </w:r>
      <w:r w:rsidRPr="0041752B">
        <w:t>. Crystal structure of SD8 (magenta) in complex with GyrA55.</w:t>
      </w:r>
      <w:r w:rsidR="0071392B" w:rsidRPr="0071392B">
        <w:rPr>
          <w:vertAlign w:val="superscript"/>
        </w:rPr>
        <w:t>16</w:t>
      </w:r>
      <w:r w:rsidRPr="0041752B">
        <w:t xml:space="preserve"> The position of ciprofloxacin (yellow), from the </w:t>
      </w:r>
      <w:r w:rsidRPr="0041752B">
        <w:rPr>
          <w:i/>
        </w:rPr>
        <w:t>S. aureus</w:t>
      </w:r>
      <w:r w:rsidRPr="0041752B">
        <w:t xml:space="preserve"> gyrase structure, is obtained by superposition of the </w:t>
      </w:r>
      <w:r w:rsidRPr="0041752B">
        <w:rPr>
          <w:i/>
        </w:rPr>
        <w:t>E. coli</w:t>
      </w:r>
      <w:r w:rsidRPr="0041752B">
        <w:t xml:space="preserve"> and </w:t>
      </w:r>
      <w:r w:rsidRPr="0041752B">
        <w:rPr>
          <w:i/>
        </w:rPr>
        <w:t>S. aureus</w:t>
      </w:r>
      <w:r w:rsidR="0071392B">
        <w:t xml:space="preserve"> gyrase structures</w:t>
      </w:r>
      <w:r w:rsidRPr="0041752B">
        <w:t>.</w:t>
      </w:r>
      <w:r w:rsidR="0071392B">
        <w:rPr>
          <w:vertAlign w:val="superscript"/>
        </w:rPr>
        <w:t>14</w:t>
      </w:r>
      <w:r w:rsidR="0071392B" w:rsidRPr="0041752B">
        <w:t xml:space="preserve"> </w:t>
      </w:r>
    </w:p>
    <w:p w14:paraId="16850A4C" w14:textId="12571905" w:rsidR="00D51CE0" w:rsidRDefault="00D51CE0" w:rsidP="0025490A">
      <w:pPr>
        <w:pStyle w:val="RSCB02ArticleText"/>
      </w:pPr>
      <w:r>
        <w:t xml:space="preserve">Using an SD8-inspired fragment-based approach to the design of new DNA gyrase inhibitors, </w:t>
      </w:r>
      <w:r w:rsidRPr="00673BA5">
        <w:t xml:space="preserve">it was </w:t>
      </w:r>
      <w:r>
        <w:t xml:space="preserve">predicted </w:t>
      </w:r>
      <w:r w:rsidRPr="00673BA5">
        <w:t>a</w:t>
      </w:r>
      <w:r>
        <w:t xml:space="preserve"> simple</w:t>
      </w:r>
      <w:r w:rsidRPr="00673BA5">
        <w:t xml:space="preserve"> co</w:t>
      </w:r>
      <w:r>
        <w:t>umarin could be tethered via a 15-</w:t>
      </w:r>
      <w:r w:rsidRPr="00673BA5">
        <w:t>Å l</w:t>
      </w:r>
      <w:r>
        <w:t xml:space="preserve">inker to </w:t>
      </w:r>
      <w:r w:rsidRPr="00673BA5">
        <w:t>ciprofloxacin to generate an asymmetric hy</w:t>
      </w:r>
      <w:r>
        <w:t>brid. The</w:t>
      </w:r>
      <w:r w:rsidRPr="00673BA5">
        <w:t xml:space="preserve"> </w:t>
      </w:r>
      <w:r>
        <w:t>unfunctionalised coumarin was hypothesised</w:t>
      </w:r>
      <w:r w:rsidRPr="00673BA5">
        <w:t xml:space="preserve"> to </w:t>
      </w:r>
      <w:r>
        <w:t xml:space="preserve">still </w:t>
      </w:r>
      <w:r w:rsidRPr="00673BA5">
        <w:t xml:space="preserve">be able to form </w:t>
      </w:r>
      <w:r>
        <w:t xml:space="preserve">a hydrogen </w:t>
      </w:r>
      <w:r w:rsidRPr="00673BA5">
        <w:t>bond</w:t>
      </w:r>
      <w:r>
        <w:t xml:space="preserve"> with Arg91 </w:t>
      </w:r>
      <w:r w:rsidRPr="00673BA5">
        <w:t>present in the coumarin pocket on GyrA</w:t>
      </w:r>
      <w:r>
        <w:t xml:space="preserve"> as well as a hydrophobic interaction with Ser171 (Fig. 2)</w:t>
      </w:r>
      <w:r w:rsidRPr="00673BA5">
        <w:t xml:space="preserve">. It was </w:t>
      </w:r>
      <w:r>
        <w:t xml:space="preserve">theorised that </w:t>
      </w:r>
      <w:r w:rsidRPr="00673BA5">
        <w:t>synthetic analogue</w:t>
      </w:r>
      <w:r>
        <w:t xml:space="preserve"> </w:t>
      </w:r>
      <w:r>
        <w:rPr>
          <w:b/>
        </w:rPr>
        <w:t>4</w:t>
      </w:r>
      <w:r w:rsidR="006A4C46">
        <w:rPr>
          <w:b/>
        </w:rPr>
        <w:t xml:space="preserve"> </w:t>
      </w:r>
      <w:r w:rsidR="006A4C46">
        <w:t>(Fig.</w:t>
      </w:r>
      <w:r w:rsidR="006A4C46" w:rsidRPr="006A4C46">
        <w:t xml:space="preserve"> 1)</w:t>
      </w:r>
      <w:r w:rsidRPr="00673BA5">
        <w:t xml:space="preserve"> </w:t>
      </w:r>
      <w:r>
        <w:t xml:space="preserve">would be able to </w:t>
      </w:r>
      <w:r w:rsidRPr="00673BA5">
        <w:t>adopt a favourable conformation to take advantage of both binding sites.</w:t>
      </w:r>
    </w:p>
    <w:p w14:paraId="14D784B3" w14:textId="26E43ED8" w:rsidR="00D51CE0" w:rsidRDefault="00D51CE0" w:rsidP="0025490A">
      <w:pPr>
        <w:pStyle w:val="RSCB02ArticleText"/>
      </w:pPr>
      <w:r>
        <w:t xml:space="preserve">The synthesis of </w:t>
      </w:r>
      <w:r>
        <w:rPr>
          <w:b/>
        </w:rPr>
        <w:t xml:space="preserve">4 </w:t>
      </w:r>
      <w:r>
        <w:t xml:space="preserve">began from the simple salicylaldehyde </w:t>
      </w:r>
      <w:r>
        <w:rPr>
          <w:b/>
        </w:rPr>
        <w:t>5</w:t>
      </w:r>
      <w:r w:rsidR="00FF4293">
        <w:rPr>
          <w:b/>
        </w:rPr>
        <w:t xml:space="preserve"> </w:t>
      </w:r>
      <w:r w:rsidR="00FF4293" w:rsidRPr="00FF4293">
        <w:t>(Scheme 1)</w:t>
      </w:r>
      <w:r>
        <w:t xml:space="preserve">. </w:t>
      </w:r>
      <w:r w:rsidRPr="00673BA5">
        <w:t>A modified Perkin co</w:t>
      </w:r>
      <w:r>
        <w:t>ndensation afforded the acetate-</w:t>
      </w:r>
      <w:r w:rsidRPr="00673BA5">
        <w:t xml:space="preserve">protected 3-aminocoumarin </w:t>
      </w:r>
      <w:r>
        <w:rPr>
          <w:b/>
        </w:rPr>
        <w:t>6</w:t>
      </w:r>
      <w:r w:rsidRPr="00673BA5">
        <w:t xml:space="preserve"> without the need for purification.</w:t>
      </w:r>
      <w:r w:rsidR="00D41EE6">
        <w:rPr>
          <w:vertAlign w:val="superscript"/>
        </w:rPr>
        <w:t>18</w:t>
      </w:r>
      <w:r w:rsidRPr="00673BA5">
        <w:t xml:space="preserve"> Deprotection of the acetat</w:t>
      </w:r>
      <w:r>
        <w:t>e was achieved through heating</w:t>
      </w:r>
      <w:r w:rsidRPr="00673BA5">
        <w:t xml:space="preserve"> </w:t>
      </w:r>
      <w:r>
        <w:rPr>
          <w:b/>
        </w:rPr>
        <w:t>6</w:t>
      </w:r>
      <w:r w:rsidRPr="00673BA5">
        <w:t xml:space="preserve"> in concentrated HCl and ethanol as previously described</w:t>
      </w:r>
      <w:r>
        <w:t>.</w:t>
      </w:r>
      <w:r w:rsidR="00D41EE6">
        <w:rPr>
          <w:vertAlign w:val="superscript"/>
        </w:rPr>
        <w:t>19</w:t>
      </w:r>
      <w:r>
        <w:t xml:space="preserve"> </w:t>
      </w:r>
      <w:r w:rsidRPr="00673BA5">
        <w:t>After cooling, the pH wa</w:t>
      </w:r>
      <w:r>
        <w:t>s adjusted to neutral giving</w:t>
      </w:r>
      <w:r w:rsidRPr="00673BA5">
        <w:t xml:space="preserve"> the free amine </w:t>
      </w:r>
      <w:r>
        <w:rPr>
          <w:b/>
        </w:rPr>
        <w:t>7</w:t>
      </w:r>
      <w:r w:rsidRPr="00673BA5">
        <w:rPr>
          <w:b/>
        </w:rPr>
        <w:t xml:space="preserve"> </w:t>
      </w:r>
      <w:r w:rsidRPr="00673BA5">
        <w:t xml:space="preserve">in a 54% yield. The mono-functionalised product </w:t>
      </w:r>
      <w:r>
        <w:rPr>
          <w:b/>
        </w:rPr>
        <w:t>8</w:t>
      </w:r>
      <w:r w:rsidRPr="00673BA5">
        <w:rPr>
          <w:b/>
        </w:rPr>
        <w:t xml:space="preserve"> </w:t>
      </w:r>
      <w:r w:rsidRPr="00673BA5">
        <w:t>was obtained</w:t>
      </w:r>
      <w:r w:rsidRPr="00673BA5">
        <w:rPr>
          <w:b/>
        </w:rPr>
        <w:t xml:space="preserve"> </w:t>
      </w:r>
      <w:r w:rsidRPr="00673BA5">
        <w:t xml:space="preserve">using previously reported </w:t>
      </w:r>
      <w:r>
        <w:t>conditions in pyridine,</w:t>
      </w:r>
      <w:r w:rsidRPr="00673BA5">
        <w:t xml:space="preserve"> with </w:t>
      </w:r>
      <w:r>
        <w:t>s</w:t>
      </w:r>
      <w:r w:rsidRPr="00673BA5">
        <w:t>ebac</w:t>
      </w:r>
      <w:r>
        <w:t>oyl chloride</w:t>
      </w:r>
      <w:r w:rsidRPr="00673BA5">
        <w:t xml:space="preserve"> and </w:t>
      </w:r>
      <w:r>
        <w:rPr>
          <w:b/>
        </w:rPr>
        <w:t>7</w:t>
      </w:r>
      <w:r w:rsidRPr="00854925">
        <w:t>.</w:t>
      </w:r>
      <w:r w:rsidR="00F9570A" w:rsidRPr="00F9570A">
        <w:rPr>
          <w:vertAlign w:val="superscript"/>
        </w:rPr>
        <w:t>2</w:t>
      </w:r>
      <w:r w:rsidR="00D41EE6">
        <w:rPr>
          <w:vertAlign w:val="superscript"/>
        </w:rPr>
        <w:t>0</w:t>
      </w:r>
      <w:r w:rsidRPr="00673BA5">
        <w:t xml:space="preserve"> The piperazine ring on</w:t>
      </w:r>
      <w:r>
        <w:t xml:space="preserve"> commercially available</w:t>
      </w:r>
      <w:r w:rsidRPr="00673BA5">
        <w:t xml:space="preserve"> ciprofloxacin</w:t>
      </w:r>
      <w:r>
        <w:t xml:space="preserve"> </w:t>
      </w:r>
      <w:r>
        <w:rPr>
          <w:b/>
        </w:rPr>
        <w:t>9</w:t>
      </w:r>
      <w:r w:rsidRPr="00673BA5">
        <w:t xml:space="preserve"> serves as a useful functional handle for coupling. To prevent undesired side reactions from the carboxylic acid and to enhance the so</w:t>
      </w:r>
      <w:r>
        <w:t>lubility of the parent compound</w:t>
      </w:r>
      <w:r w:rsidRPr="00673BA5">
        <w:t xml:space="preserve"> in organic solvents the carboxylic acid of ciprofloxacin</w:t>
      </w:r>
      <w:r>
        <w:t xml:space="preserve"> </w:t>
      </w:r>
      <w:r>
        <w:rPr>
          <w:b/>
        </w:rPr>
        <w:t>9</w:t>
      </w:r>
      <w:r w:rsidRPr="00673BA5">
        <w:t xml:space="preserve"> was protected as an ester </w:t>
      </w:r>
      <w:r>
        <w:rPr>
          <w:b/>
        </w:rPr>
        <w:t>10</w:t>
      </w:r>
      <w:r>
        <w:t>.</w:t>
      </w:r>
      <w:r w:rsidR="00F9570A" w:rsidRPr="00F9570A">
        <w:rPr>
          <w:vertAlign w:val="superscript"/>
        </w:rPr>
        <w:t>2</w:t>
      </w:r>
      <w:r w:rsidR="00D41EE6">
        <w:rPr>
          <w:vertAlign w:val="superscript"/>
        </w:rPr>
        <w:t>1</w:t>
      </w:r>
      <w:r w:rsidRPr="00673BA5">
        <w:t xml:space="preserve"> Coupling of the protec</w:t>
      </w:r>
      <w:r>
        <w:t xml:space="preserve">ted ciprofloxacin fragment using standard peptide coupling conditions provided </w:t>
      </w:r>
      <w:r>
        <w:rPr>
          <w:b/>
        </w:rPr>
        <w:t>11</w:t>
      </w:r>
      <w:r w:rsidRPr="00673BA5">
        <w:rPr>
          <w:b/>
        </w:rPr>
        <w:t xml:space="preserve"> </w:t>
      </w:r>
      <w:r w:rsidRPr="00673BA5">
        <w:t xml:space="preserve">in a 45% yield. Deprotection of the ester under basic conditions gave hybrid </w:t>
      </w:r>
      <w:r>
        <w:rPr>
          <w:b/>
        </w:rPr>
        <w:t>4</w:t>
      </w:r>
      <w:r w:rsidR="00FF4293">
        <w:t xml:space="preserve"> in a 40% yield</w:t>
      </w:r>
      <w:r w:rsidRPr="00673BA5">
        <w:t>.</w:t>
      </w:r>
    </w:p>
    <w:p w14:paraId="7CFDC42B" w14:textId="77777777" w:rsidR="004C3829" w:rsidRDefault="004C3829" w:rsidP="004C3829">
      <w:pPr>
        <w:pStyle w:val="RSCB02ArticleText"/>
      </w:pPr>
      <w:r w:rsidRPr="00673BA5">
        <w:t xml:space="preserve">To establish the effect of the coumarin on </w:t>
      </w:r>
      <w:r>
        <w:t xml:space="preserve">DNA gyrase </w:t>
      </w:r>
      <w:r w:rsidRPr="00673BA5">
        <w:t>inhibitory activity</w:t>
      </w:r>
      <w:r>
        <w:t>,</w:t>
      </w:r>
      <w:r w:rsidRPr="00673BA5">
        <w:t xml:space="preserve"> two controls were synthesised </w:t>
      </w:r>
      <w:r>
        <w:t xml:space="preserve">using the same peptide coupling conditions </w:t>
      </w:r>
      <w:r w:rsidRPr="00673BA5">
        <w:t>(schemes 2 &amp; 3). Aniline</w:t>
      </w:r>
      <w:r>
        <w:t xml:space="preserve"> </w:t>
      </w:r>
      <w:r>
        <w:rPr>
          <w:b/>
        </w:rPr>
        <w:t>12</w:t>
      </w:r>
      <w:r w:rsidRPr="00673BA5">
        <w:t xml:space="preserve"> was chosen to ensure the binding affinity</w:t>
      </w:r>
      <w:r>
        <w:t xml:space="preserve"> of </w:t>
      </w:r>
      <w:r>
        <w:rPr>
          <w:b/>
        </w:rPr>
        <w:t>4</w:t>
      </w:r>
      <w:r w:rsidRPr="00673BA5">
        <w:t xml:space="preserve"> was driven by the ability of the coumarin to hydrogen bond to GyrA</w:t>
      </w:r>
      <w:r>
        <w:t xml:space="preserve"> (through the lactone)</w:t>
      </w:r>
      <w:r w:rsidRPr="00673BA5">
        <w:t>. Aniline</w:t>
      </w:r>
      <w:r>
        <w:t xml:space="preserve"> </w:t>
      </w:r>
      <w:r>
        <w:rPr>
          <w:b/>
        </w:rPr>
        <w:t>12</w:t>
      </w:r>
      <w:r w:rsidRPr="00673BA5">
        <w:t xml:space="preserve"> was coupled with the mono-protected sebacic acid to give </w:t>
      </w:r>
      <w:r>
        <w:rPr>
          <w:b/>
        </w:rPr>
        <w:t>13</w:t>
      </w:r>
      <w:r w:rsidRPr="00673BA5">
        <w:t xml:space="preserve"> in 83% yield and then deprotected </w:t>
      </w:r>
      <w:r>
        <w:t>under basic conditions to generate</w:t>
      </w:r>
      <w:r w:rsidRPr="00673BA5">
        <w:t xml:space="preserve"> the free carboxylic acid </w:t>
      </w:r>
      <w:r>
        <w:rPr>
          <w:b/>
        </w:rPr>
        <w:t>14</w:t>
      </w:r>
      <w:r w:rsidRPr="00673BA5">
        <w:t>. Subsequent attachment to the ethyl ester of ciprofloxacin</w:t>
      </w:r>
      <w:r>
        <w:t xml:space="preserve"> </w:t>
      </w:r>
      <w:r>
        <w:rPr>
          <w:b/>
        </w:rPr>
        <w:t>10</w:t>
      </w:r>
      <w:r w:rsidRPr="00673BA5">
        <w:t xml:space="preserve"> and a final deprot</w:t>
      </w:r>
      <w:r>
        <w:t>ection gave</w:t>
      </w:r>
      <w:r w:rsidRPr="00673BA5">
        <w:t xml:space="preserve"> compound </w:t>
      </w:r>
      <w:r>
        <w:rPr>
          <w:b/>
        </w:rPr>
        <w:t>16</w:t>
      </w:r>
      <w:r w:rsidRPr="00673BA5">
        <w:t xml:space="preserve"> in 64% yield.</w:t>
      </w:r>
      <w:r w:rsidRPr="00F9570A">
        <w:rPr>
          <w:vertAlign w:val="superscript"/>
        </w:rPr>
        <w:t>2</w:t>
      </w:r>
      <w:r>
        <w:rPr>
          <w:vertAlign w:val="superscript"/>
        </w:rPr>
        <w:t>2</w:t>
      </w:r>
      <w:r w:rsidRPr="00673BA5">
        <w:t xml:space="preserve"> </w:t>
      </w:r>
    </w:p>
    <w:p w14:paraId="2CE8E09D" w14:textId="77777777" w:rsidR="004C3829" w:rsidRDefault="004C3829" w:rsidP="0025490A">
      <w:pPr>
        <w:pStyle w:val="RSCB02ArticleText"/>
      </w:pPr>
    </w:p>
    <w:p w14:paraId="02E12750" w14:textId="12ADDCAA" w:rsidR="00F82A7B" w:rsidRDefault="00F82A7B" w:rsidP="00F82A7B">
      <w:r>
        <w:rPr>
          <w:noProof/>
          <w:lang w:val="en-US"/>
        </w:rPr>
        <w:lastRenderedPageBreak/>
        <w:drawing>
          <wp:inline distT="0" distB="0" distL="0" distR="0" wp14:anchorId="32F72CDE" wp14:editId="4F811996">
            <wp:extent cx="2499360" cy="3406140"/>
            <wp:effectExtent l="0" t="0" r="0" b="0"/>
            <wp:docPr id="1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499360" cy="3406140"/>
                    </a:xfrm>
                    <a:prstGeom prst="rect">
                      <a:avLst/>
                    </a:prstGeom>
                    <a:noFill/>
                    <a:ln>
                      <a:noFill/>
                    </a:ln>
                  </pic:spPr>
                </pic:pic>
              </a:graphicData>
            </a:graphic>
          </wp:inline>
        </w:drawing>
      </w:r>
    </w:p>
    <w:p w14:paraId="26BF80A3" w14:textId="6D3CF364" w:rsidR="00F82A7B" w:rsidRDefault="00F82A7B" w:rsidP="00F82A7B">
      <w:pPr>
        <w:pStyle w:val="RSCI04CaptiontoFigureSchemeChart"/>
      </w:pPr>
      <w:r w:rsidRPr="00A52DBF">
        <w:rPr>
          <w:b/>
        </w:rPr>
        <w:t>Scheme 1.</w:t>
      </w:r>
      <w:r>
        <w:t xml:space="preserve"> </w:t>
      </w:r>
      <w:r w:rsidRPr="005677B6">
        <w:t>Synthesis of asymmetric coumarin-quinolone hybrid. (a) Ac</w:t>
      </w:r>
      <w:r w:rsidRPr="005677B6">
        <w:rPr>
          <w:vertAlign w:val="subscript"/>
        </w:rPr>
        <w:t>2</w:t>
      </w:r>
      <w:r w:rsidRPr="005677B6">
        <w:t xml:space="preserve">O, NaOAc, N-acetylglycine, reflux, 5 h, 14%; (b) conc. HCl, EtOH, Reflux, 5 h, 54%; (c) </w:t>
      </w:r>
      <w:r>
        <w:t>pyridine,</w:t>
      </w:r>
      <w:r w:rsidRPr="005677B6">
        <w:t xml:space="preserve"> sebac</w:t>
      </w:r>
      <w:r>
        <w:t>oyl</w:t>
      </w:r>
      <w:r w:rsidRPr="005677B6">
        <w:t xml:space="preserve"> </w:t>
      </w:r>
      <w:r>
        <w:t>chloride</w:t>
      </w:r>
      <w:r w:rsidRPr="005677B6">
        <w:t>,</w:t>
      </w:r>
      <w:r>
        <w:t xml:space="preserve"> 7, reflux, 16 h, 26% </w:t>
      </w:r>
      <w:r w:rsidRPr="005677B6">
        <w:t>(d) SOCl</w:t>
      </w:r>
      <w:r w:rsidRPr="005677B6">
        <w:rPr>
          <w:vertAlign w:val="subscript"/>
        </w:rPr>
        <w:t>2</w:t>
      </w:r>
      <w:r w:rsidRPr="005677B6">
        <w:t xml:space="preserve">, EtOH, reflux, 30 </w:t>
      </w:r>
      <w:r>
        <w:t>h, 60%; (e) 8</w:t>
      </w:r>
      <w:r w:rsidRPr="005677B6">
        <w:t>, EDC, 30% pyridine/DCM, 12 h, 45% (f) LiOH monohydrate, THF/MeOH/H</w:t>
      </w:r>
      <w:r w:rsidRPr="005677B6">
        <w:rPr>
          <w:vertAlign w:val="subscript"/>
        </w:rPr>
        <w:t>2</w:t>
      </w:r>
      <w:r w:rsidRPr="005677B6">
        <w:t>O (3:2:1), 73 h, 40%</w:t>
      </w:r>
    </w:p>
    <w:p w14:paraId="038A827A" w14:textId="77777777" w:rsidR="00A52DBF" w:rsidRDefault="00A52DBF" w:rsidP="00A52DBF"/>
    <w:p w14:paraId="13E90ACB" w14:textId="1993C238" w:rsidR="00A52DBF" w:rsidRDefault="00F82A7B" w:rsidP="00A52DBF">
      <w:r>
        <w:rPr>
          <w:noProof/>
          <w:lang w:val="en-US"/>
        </w:rPr>
        <w:drawing>
          <wp:inline distT="0" distB="0" distL="0" distR="0" wp14:anchorId="548E99E9" wp14:editId="7DB368FE">
            <wp:extent cx="2712720" cy="1775460"/>
            <wp:effectExtent l="0" t="0" r="5080" b="2540"/>
            <wp:docPr id="1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712720" cy="1775460"/>
                    </a:xfrm>
                    <a:prstGeom prst="rect">
                      <a:avLst/>
                    </a:prstGeom>
                    <a:noFill/>
                    <a:ln>
                      <a:noFill/>
                    </a:ln>
                  </pic:spPr>
                </pic:pic>
              </a:graphicData>
            </a:graphic>
          </wp:inline>
        </w:drawing>
      </w:r>
    </w:p>
    <w:p w14:paraId="4095D035" w14:textId="77777777" w:rsidR="00F82A7B" w:rsidRDefault="00F82A7B" w:rsidP="00F82A7B">
      <w:pPr>
        <w:pStyle w:val="RSCI04CaptiontoFigureSchemeChart"/>
      </w:pPr>
      <w:r w:rsidRPr="00DD3279">
        <w:rPr>
          <w:b/>
        </w:rPr>
        <w:t>Scheme 2.</w:t>
      </w:r>
      <w:r>
        <w:t xml:space="preserve"> Synthesis of aniline control. </w:t>
      </w:r>
      <w:r w:rsidRPr="009037D9">
        <w:t>(a) EDC, sebacic acid monomethyl ester, 30% pyridine/DCM, 19 h, 83%; (b) LiOH monohydrate, EtOH, H</w:t>
      </w:r>
      <w:r w:rsidRPr="009037D9">
        <w:rPr>
          <w:vertAlign w:val="subscript"/>
        </w:rPr>
        <w:t>2</w:t>
      </w:r>
      <w:r w:rsidRPr="009037D9">
        <w:t xml:space="preserve">O (2:1), 20 h, 66%; (c) </w:t>
      </w:r>
      <w:r>
        <w:t>10</w:t>
      </w:r>
      <w:r w:rsidRPr="009037D9">
        <w:t>, EDC, 30% pyridine/DCM, 19 h, 22%; (e) LiOH monohydrate, THF/MeOH/H</w:t>
      </w:r>
      <w:r w:rsidRPr="009037D9">
        <w:rPr>
          <w:vertAlign w:val="subscript"/>
        </w:rPr>
        <w:t>2</w:t>
      </w:r>
      <w:r w:rsidRPr="009037D9">
        <w:t>O (3:2:1), 20.5 h, 64%</w:t>
      </w:r>
    </w:p>
    <w:p w14:paraId="0F9488A4" w14:textId="77777777" w:rsidR="004C3829" w:rsidRDefault="004C3829" w:rsidP="004C3829">
      <w:pPr>
        <w:pStyle w:val="RSCB02ArticleText"/>
      </w:pPr>
      <w:r w:rsidRPr="00673BA5">
        <w:t>Conversely ciprofloxacin with a</w:t>
      </w:r>
      <w:r>
        <w:t>n unsubstituted</w:t>
      </w:r>
      <w:r w:rsidRPr="00673BA5">
        <w:t xml:space="preserve"> linker served as a quinolone control. Coupling of the ester protected fragment </w:t>
      </w:r>
      <w:r>
        <w:rPr>
          <w:b/>
        </w:rPr>
        <w:t>10</w:t>
      </w:r>
      <w:r w:rsidRPr="00673BA5">
        <w:t xml:space="preserve"> to monomethyl sebacate gave the penultimate compound </w:t>
      </w:r>
      <w:r>
        <w:rPr>
          <w:b/>
        </w:rPr>
        <w:t>17</w:t>
      </w:r>
      <w:r w:rsidRPr="00673BA5">
        <w:t xml:space="preserve"> in a 65% yield. Ester hydrolysis with base gave the control </w:t>
      </w:r>
      <w:r>
        <w:rPr>
          <w:b/>
        </w:rPr>
        <w:t>18</w:t>
      </w:r>
      <w:r w:rsidRPr="00673BA5">
        <w:t xml:space="preserve"> in a 64% yield. All final compounds had greater than 95% purity as assessed by NMR and RP-HPLC prior to performing biological work (supporting information).</w:t>
      </w:r>
    </w:p>
    <w:p w14:paraId="0BB09017" w14:textId="77777777" w:rsidR="004C3829" w:rsidRDefault="004C3829" w:rsidP="00F82A7B">
      <w:pPr>
        <w:pStyle w:val="RSCI04CaptiontoFigureSchemeChart"/>
      </w:pPr>
    </w:p>
    <w:p w14:paraId="248294DE" w14:textId="1CB3763D" w:rsidR="00F82A7B" w:rsidRDefault="009E66F9" w:rsidP="00A52DBF">
      <w:r>
        <w:rPr>
          <w:noProof/>
          <w:lang w:val="en-US"/>
        </w:rPr>
        <w:lastRenderedPageBreak/>
        <w:drawing>
          <wp:inline distT="0" distB="0" distL="0" distR="0" wp14:anchorId="2BCBC393" wp14:editId="431AA7D5">
            <wp:extent cx="2087880" cy="1821180"/>
            <wp:effectExtent l="0" t="0" r="0" b="7620"/>
            <wp:docPr id="1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087880" cy="1821180"/>
                    </a:xfrm>
                    <a:prstGeom prst="rect">
                      <a:avLst/>
                    </a:prstGeom>
                    <a:noFill/>
                    <a:ln>
                      <a:noFill/>
                    </a:ln>
                  </pic:spPr>
                </pic:pic>
              </a:graphicData>
            </a:graphic>
          </wp:inline>
        </w:drawing>
      </w:r>
    </w:p>
    <w:p w14:paraId="70A57084" w14:textId="3CB320E7" w:rsidR="009E66F9" w:rsidRPr="009E66F9" w:rsidRDefault="009E66F9" w:rsidP="009E66F9">
      <w:pPr>
        <w:pStyle w:val="RSCI04CaptiontoFigureSchemeChart"/>
        <w:rPr>
          <w:lang w:val="en-US"/>
        </w:rPr>
      </w:pPr>
      <w:r w:rsidRPr="00DD3279">
        <w:rPr>
          <w:b/>
          <w:lang w:val="en-US"/>
        </w:rPr>
        <w:t>Scheme 3</w:t>
      </w:r>
      <w:r w:rsidRPr="00DD3279">
        <w:rPr>
          <w:lang w:val="en-US"/>
        </w:rPr>
        <w:t xml:space="preserve">. </w:t>
      </w:r>
      <w:r w:rsidRPr="00DD3279">
        <w:t>(a) EDC, monomethyl sebacate, 30% pyridine/DCM, 21 h, 65%;</w:t>
      </w:r>
      <w:r w:rsidRPr="00DD3279">
        <w:rPr>
          <w:lang w:val="en-US"/>
        </w:rPr>
        <w:t xml:space="preserve"> </w:t>
      </w:r>
      <w:r w:rsidRPr="00DD3279">
        <w:t>(b) LiOH monohydrate, EtOH/H</w:t>
      </w:r>
      <w:r w:rsidRPr="00DD3279">
        <w:rPr>
          <w:vertAlign w:val="subscript"/>
        </w:rPr>
        <w:t>2</w:t>
      </w:r>
      <w:r w:rsidRPr="00DD3279">
        <w:t>O (2:1) 168 h, 51%.</w:t>
      </w:r>
    </w:p>
    <w:p w14:paraId="344B836A" w14:textId="5350B99A" w:rsidR="00D51CE0" w:rsidRDefault="00D51CE0" w:rsidP="0025490A">
      <w:pPr>
        <w:pStyle w:val="RSCB02ArticleText"/>
      </w:pPr>
      <w:r w:rsidRPr="00673BA5">
        <w:t xml:space="preserve">Compounds </w:t>
      </w:r>
      <w:r w:rsidRPr="00A51CC2">
        <w:rPr>
          <w:b/>
        </w:rPr>
        <w:t>4</w:t>
      </w:r>
      <w:r w:rsidRPr="00A51CC2">
        <w:t xml:space="preserve">, </w:t>
      </w:r>
      <w:r w:rsidRPr="00A51CC2">
        <w:rPr>
          <w:b/>
        </w:rPr>
        <w:t>6</w:t>
      </w:r>
      <w:r w:rsidRPr="00A51CC2">
        <w:t>,</w:t>
      </w:r>
      <w:r w:rsidRPr="00A51CC2">
        <w:rPr>
          <w:b/>
        </w:rPr>
        <w:t xml:space="preserve"> 7</w:t>
      </w:r>
      <w:r w:rsidRPr="00A51CC2">
        <w:t>,</w:t>
      </w:r>
      <w:r>
        <w:t xml:space="preserve"> </w:t>
      </w:r>
      <w:r w:rsidRPr="00A51CC2">
        <w:rPr>
          <w:b/>
        </w:rPr>
        <w:t>10</w:t>
      </w:r>
      <w:r w:rsidRPr="00A51CC2">
        <w:t xml:space="preserve">, </w:t>
      </w:r>
      <w:r w:rsidRPr="00A51CC2">
        <w:rPr>
          <w:b/>
        </w:rPr>
        <w:t>1</w:t>
      </w:r>
      <w:r>
        <w:rPr>
          <w:b/>
        </w:rPr>
        <w:t>1</w:t>
      </w:r>
      <w:r>
        <w:t xml:space="preserve">, </w:t>
      </w:r>
      <w:r w:rsidRPr="0019489F">
        <w:rPr>
          <w:b/>
        </w:rPr>
        <w:t>15</w:t>
      </w:r>
      <w:r>
        <w:t xml:space="preserve">, </w:t>
      </w:r>
      <w:r w:rsidRPr="00A51CC2">
        <w:rPr>
          <w:b/>
        </w:rPr>
        <w:t>16</w:t>
      </w:r>
      <w:r>
        <w:rPr>
          <w:b/>
        </w:rPr>
        <w:t>, 17</w:t>
      </w:r>
      <w:r w:rsidRPr="00A51CC2">
        <w:t xml:space="preserve"> and </w:t>
      </w:r>
      <w:r w:rsidRPr="00A51CC2">
        <w:rPr>
          <w:b/>
        </w:rPr>
        <w:t>1</w:t>
      </w:r>
      <w:r>
        <w:rPr>
          <w:b/>
        </w:rPr>
        <w:t>8</w:t>
      </w:r>
      <w:r w:rsidRPr="00673BA5">
        <w:t xml:space="preserve"> were evaluated for their ability to inhibit DNA supercoiling. DNA gyrase activity is determined using a supercoiling assay. The individual A and B </w:t>
      </w:r>
      <w:r>
        <w:t>g</w:t>
      </w:r>
      <w:r w:rsidRPr="00673BA5">
        <w:t>yrase subunits can be overexpressed, purified and mixed together to give an active species.</w:t>
      </w:r>
      <w:r w:rsidR="00F9570A" w:rsidRPr="00F9570A">
        <w:rPr>
          <w:vertAlign w:val="superscript"/>
        </w:rPr>
        <w:t>2</w:t>
      </w:r>
      <w:r w:rsidR="00877A79">
        <w:rPr>
          <w:vertAlign w:val="superscript"/>
        </w:rPr>
        <w:t>3</w:t>
      </w:r>
      <w:r w:rsidRPr="00673BA5">
        <w:t xml:space="preserve"> The A</w:t>
      </w:r>
      <w:r w:rsidRPr="00673BA5">
        <w:rPr>
          <w:vertAlign w:val="subscript"/>
        </w:rPr>
        <w:t>2</w:t>
      </w:r>
      <w:r w:rsidRPr="00673BA5">
        <w:t>B</w:t>
      </w:r>
      <w:r w:rsidRPr="00673BA5">
        <w:rPr>
          <w:vertAlign w:val="subscript"/>
        </w:rPr>
        <w:t>2</w:t>
      </w:r>
      <w:r w:rsidRPr="00673BA5">
        <w:t xml:space="preserve"> heterotetramer is incubated with relaxed plasmid DNA in the presence of 1 mM of ATP. In the absence of an inhibitor</w:t>
      </w:r>
      <w:r>
        <w:t>,</w:t>
      </w:r>
      <w:r w:rsidRPr="00673BA5">
        <w:t xml:space="preserve"> the en</w:t>
      </w:r>
      <w:r>
        <w:t xml:space="preserve">zyme </w:t>
      </w:r>
      <w:r w:rsidRPr="00673BA5">
        <w:t xml:space="preserve">will supercoil the relaxed DNA, altering the linking number and therefore changing the topological state. The supercoiled form of plasmid DNA has a different </w:t>
      </w:r>
      <w:r>
        <w:t>mobility</w:t>
      </w:r>
      <w:r w:rsidRPr="00673BA5">
        <w:t xml:space="preserve"> through the gel</w:t>
      </w:r>
      <w:r>
        <w:t>;</w:t>
      </w:r>
      <w:r w:rsidRPr="00673BA5">
        <w:t xml:space="preserve"> the condensed arrangement allows the DNA to migrate more quickly compared to its relaxed counterpart.  Thus the level of supercoiling or lack thereof can be visually determined by separating relaxed and supercoiled DNA, staining with ethidium bromide and imaging under UV light. The (</w:t>
      </w:r>
      <w:r>
        <w:t>~</w:t>
      </w:r>
      <w:r w:rsidRPr="00673BA5">
        <w:t xml:space="preserve">4.3-Kb) plasmid pBR322 is derived from </w:t>
      </w:r>
      <w:r w:rsidRPr="00673BA5">
        <w:rPr>
          <w:i/>
        </w:rPr>
        <w:t xml:space="preserve">E. </w:t>
      </w:r>
      <w:r>
        <w:rPr>
          <w:i/>
        </w:rPr>
        <w:t>c</w:t>
      </w:r>
      <w:r w:rsidRPr="00673BA5">
        <w:rPr>
          <w:i/>
        </w:rPr>
        <w:t>oli</w:t>
      </w:r>
      <w:r w:rsidRPr="00673BA5">
        <w:t xml:space="preserve"> and has become a standard substrate for the assay</w:t>
      </w:r>
      <w:r>
        <w:t>.</w:t>
      </w:r>
      <w:r w:rsidR="00F9570A" w:rsidRPr="00F9570A">
        <w:rPr>
          <w:vertAlign w:val="superscript"/>
        </w:rPr>
        <w:t>2</w:t>
      </w:r>
      <w:r w:rsidR="00CE7A29">
        <w:rPr>
          <w:vertAlign w:val="superscript"/>
        </w:rPr>
        <w:t>4</w:t>
      </w:r>
    </w:p>
    <w:p w14:paraId="7BE1DA04" w14:textId="7216C08E" w:rsidR="00FD7AA2" w:rsidRPr="00FD7AA2" w:rsidRDefault="00FD7AA2" w:rsidP="0025490A">
      <w:pPr>
        <w:pStyle w:val="RSCB02ArticleText"/>
      </w:pPr>
      <w:r>
        <w:t xml:space="preserve">The inhibition of DNA supercoiling by compounds </w:t>
      </w:r>
      <w:r>
        <w:rPr>
          <w:b/>
        </w:rPr>
        <w:t xml:space="preserve">4, 16 </w:t>
      </w:r>
      <w:r w:rsidRPr="00FD7AA2">
        <w:t>and</w:t>
      </w:r>
      <w:r>
        <w:rPr>
          <w:b/>
        </w:rPr>
        <w:t xml:space="preserve"> 18</w:t>
      </w:r>
      <w:r>
        <w:t xml:space="preserve"> is shown in Fig 4. T</w:t>
      </w:r>
      <w:r w:rsidRPr="00673BA5">
        <w:t xml:space="preserve">he aniline control </w:t>
      </w:r>
      <w:r>
        <w:rPr>
          <w:b/>
        </w:rPr>
        <w:t>16</w:t>
      </w:r>
      <w:r w:rsidRPr="00673BA5">
        <w:t xml:space="preserve"> </w:t>
      </w:r>
      <w:r>
        <w:t>still had significantly poor inhibition</w:t>
      </w:r>
      <w:r w:rsidRPr="00673BA5">
        <w:t xml:space="preserve"> at 100 </w:t>
      </w:r>
      <w:r w:rsidRPr="00673BA5">
        <w:sym w:font="Symbol" w:char="F06D"/>
      </w:r>
      <w:r>
        <w:t>M, suggesting</w:t>
      </w:r>
      <w:r w:rsidRPr="00673BA5">
        <w:t xml:space="preserve"> that it cannot make favourable contacts in the </w:t>
      </w:r>
      <w:r>
        <w:t xml:space="preserve">AC </w:t>
      </w:r>
      <w:r w:rsidRPr="00673BA5">
        <w:t xml:space="preserve">binding site. </w:t>
      </w:r>
    </w:p>
    <w:p w14:paraId="3C145114" w14:textId="57EBDC9C" w:rsidR="00E94A67" w:rsidRDefault="00E94A67" w:rsidP="00E94A67">
      <w:r>
        <w:rPr>
          <w:noProof/>
          <w:lang w:val="en-US"/>
        </w:rPr>
        <w:drawing>
          <wp:inline distT="0" distB="0" distL="0" distR="0" wp14:anchorId="0E7B3E1E" wp14:editId="290AB887">
            <wp:extent cx="3044825" cy="2085975"/>
            <wp:effectExtent l="0" t="0" r="317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l1finaljune.tiff"/>
                    <pic:cNvPicPr/>
                  </pic:nvPicPr>
                  <pic:blipFill>
                    <a:blip r:embed="rId22">
                      <a:extLst>
                        <a:ext uri="{28A0092B-C50C-407E-A947-70E740481C1C}">
                          <a14:useLocalDpi xmlns:a14="http://schemas.microsoft.com/office/drawing/2010/main" val="0"/>
                        </a:ext>
                      </a:extLst>
                    </a:blip>
                    <a:stretch>
                      <a:fillRect/>
                    </a:stretch>
                  </pic:blipFill>
                  <pic:spPr>
                    <a:xfrm>
                      <a:off x="0" y="0"/>
                      <a:ext cx="3044825" cy="2085975"/>
                    </a:xfrm>
                    <a:prstGeom prst="rect">
                      <a:avLst/>
                    </a:prstGeom>
                  </pic:spPr>
                </pic:pic>
              </a:graphicData>
            </a:graphic>
          </wp:inline>
        </w:drawing>
      </w:r>
    </w:p>
    <w:p w14:paraId="1B55CC4A" w14:textId="1B88CDAB" w:rsidR="00E94A67" w:rsidRDefault="00E94A67" w:rsidP="00E94A67">
      <w:pPr>
        <w:pStyle w:val="RSCI04CaptiontoFigureSchemeChart"/>
      </w:pPr>
      <w:r w:rsidRPr="00FD7AA2">
        <w:rPr>
          <w:b/>
        </w:rPr>
        <w:t xml:space="preserve">Figure 4. </w:t>
      </w:r>
      <w:r w:rsidRPr="00FD7AA2">
        <w:t xml:space="preserve">Effects of Compounds, </w:t>
      </w:r>
      <w:r w:rsidRPr="00FD7AA2">
        <w:rPr>
          <w:b/>
        </w:rPr>
        <w:t>4</w:t>
      </w:r>
      <w:r w:rsidRPr="00FD7AA2">
        <w:t xml:space="preserve">, </w:t>
      </w:r>
      <w:r w:rsidRPr="00FD7AA2">
        <w:rPr>
          <w:b/>
        </w:rPr>
        <w:t>16</w:t>
      </w:r>
      <w:r w:rsidRPr="00FD7AA2">
        <w:t xml:space="preserve"> and </w:t>
      </w:r>
      <w:r w:rsidRPr="00FD7AA2">
        <w:rPr>
          <w:b/>
        </w:rPr>
        <w:t>18</w:t>
      </w:r>
      <w:r w:rsidRPr="00FD7AA2">
        <w:t xml:space="preserve"> on DNA supercoiling by wild type </w:t>
      </w:r>
      <w:r w:rsidRPr="00FD7AA2">
        <w:rPr>
          <w:i/>
        </w:rPr>
        <w:t>E. coli</w:t>
      </w:r>
      <w:r w:rsidRPr="00FD7AA2">
        <w:t xml:space="preserve"> gyrase. Relaxed pBR322 plasmid DNA is used as a negative control (-), and incubated in the presence of gyrase as a positive control (+). SD8 is used as a comparator at a concentration of 1 </w:t>
      </w:r>
      <w:r w:rsidRPr="00FD7AA2">
        <w:sym w:font="Symbol" w:char="F06D"/>
      </w:r>
      <w:r w:rsidRPr="00FD7AA2">
        <w:t xml:space="preserve">M. NC indicates nicked circle DNA; R, relaxed DNA; SC, supercoiled. </w:t>
      </w:r>
    </w:p>
    <w:p w14:paraId="422B87A3" w14:textId="6DE5F282" w:rsidR="00C01E12" w:rsidRDefault="004C3829" w:rsidP="00C01E12">
      <w:pPr>
        <w:pStyle w:val="RSCB02ArticleText"/>
      </w:pPr>
      <w:r w:rsidRPr="00673BA5">
        <w:lastRenderedPageBreak/>
        <w:t xml:space="preserve">The efficacy of ciprofloxacin </w:t>
      </w:r>
      <w:r>
        <w:rPr>
          <w:b/>
        </w:rPr>
        <w:t>9</w:t>
      </w:r>
      <w:r w:rsidRPr="00673BA5">
        <w:t xml:space="preserve"> (IC</w:t>
      </w:r>
      <w:r w:rsidRPr="00673BA5">
        <w:rPr>
          <w:vertAlign w:val="subscript"/>
        </w:rPr>
        <w:t>50</w:t>
      </w:r>
      <w:r w:rsidRPr="00673BA5">
        <w:t xml:space="preserve"> 0.5 </w:t>
      </w:r>
      <w:r w:rsidRPr="00673BA5">
        <w:sym w:font="Symbol" w:char="F06D"/>
      </w:r>
      <w:r w:rsidRPr="00673BA5">
        <w:t xml:space="preserve">M) was severely attenuated with the introduction of the linker onto the piperazine ring, with complete supercoiling observable at 25 </w:t>
      </w:r>
      <w:r w:rsidRPr="00673BA5">
        <w:sym w:font="Symbol" w:char="F06D"/>
      </w:r>
      <w:r w:rsidRPr="00673BA5">
        <w:t xml:space="preserve">M for compound </w:t>
      </w:r>
      <w:r>
        <w:rPr>
          <w:b/>
        </w:rPr>
        <w:t>18</w:t>
      </w:r>
      <w:r w:rsidRPr="00673BA5">
        <w:t xml:space="preserve">. </w:t>
      </w:r>
      <w:r>
        <w:t>A</w:t>
      </w:r>
      <w:r w:rsidRPr="00673BA5">
        <w:t xml:space="preserve"> restoration of activity is observed when the coumarin is present with an IC</w:t>
      </w:r>
      <w:r w:rsidRPr="00673BA5">
        <w:rPr>
          <w:vertAlign w:val="subscript"/>
        </w:rPr>
        <w:t>50</w:t>
      </w:r>
      <w:r w:rsidRPr="00673BA5">
        <w:t xml:space="preserve"> of 3 </w:t>
      </w:r>
      <w:r w:rsidRPr="00673BA5">
        <w:sym w:font="Symbol" w:char="F06D"/>
      </w:r>
      <w:r w:rsidRPr="00673BA5">
        <w:t xml:space="preserve">M for compound </w:t>
      </w:r>
      <w:r>
        <w:rPr>
          <w:b/>
        </w:rPr>
        <w:t>4</w:t>
      </w:r>
      <w:r w:rsidRPr="00673BA5">
        <w:t>, compara</w:t>
      </w:r>
      <w:r>
        <w:t>ble to SD8</w:t>
      </w:r>
      <w:r w:rsidRPr="00673BA5">
        <w:t xml:space="preserve"> (Figure 4).</w:t>
      </w:r>
      <w:r>
        <w:t xml:space="preserve"> These results demonstrate a </w:t>
      </w:r>
      <w:r>
        <w:rPr>
          <w:rFonts w:hint="eastAsia"/>
        </w:rPr>
        <w:t>favourable</w:t>
      </w:r>
      <w:r>
        <w:t xml:space="preserve"> interaction when fragments </w:t>
      </w:r>
      <w:r>
        <w:rPr>
          <w:b/>
        </w:rPr>
        <w:t>7</w:t>
      </w:r>
      <w:r>
        <w:t xml:space="preserve"> and </w:t>
      </w:r>
      <w:r>
        <w:rPr>
          <w:b/>
        </w:rPr>
        <w:t>18</w:t>
      </w:r>
      <w:r>
        <w:t xml:space="preserve"> are combined that is not seen with a simple aromatic ring. This is in contrast to the poor </w:t>
      </w:r>
      <w:r>
        <w:rPr>
          <w:rFonts w:hint="eastAsia"/>
        </w:rPr>
        <w:t>inhibition</w:t>
      </w:r>
      <w:r>
        <w:t xml:space="preserve"> displayed by each fragment individually; indicating a synergistic effect is vital for the observed </w:t>
      </w:r>
      <w:r>
        <w:rPr>
          <w:rFonts w:hint="eastAsia"/>
        </w:rPr>
        <w:t>activity</w:t>
      </w:r>
      <w:r>
        <w:t xml:space="preserve">. </w:t>
      </w:r>
      <w:r w:rsidR="00D51CE0" w:rsidRPr="00673BA5">
        <w:t xml:space="preserve">The coumarins </w:t>
      </w:r>
      <w:r w:rsidR="00D51CE0">
        <w:rPr>
          <w:b/>
        </w:rPr>
        <w:t xml:space="preserve">6 </w:t>
      </w:r>
      <w:r w:rsidR="00D51CE0" w:rsidRPr="0019489F">
        <w:t>and</w:t>
      </w:r>
      <w:r w:rsidR="00D51CE0">
        <w:rPr>
          <w:b/>
        </w:rPr>
        <w:t xml:space="preserve"> 7</w:t>
      </w:r>
      <w:r w:rsidR="00D51CE0">
        <w:t xml:space="preserve"> </w:t>
      </w:r>
      <w:r w:rsidR="00D51CE0" w:rsidRPr="00673BA5">
        <w:t>show</w:t>
      </w:r>
      <w:r w:rsidR="00D51CE0">
        <w:t>ed</w:t>
      </w:r>
      <w:r w:rsidR="00D51CE0" w:rsidRPr="00673BA5">
        <w:t xml:space="preserve"> no appreciable effect at 50 </w:t>
      </w:r>
      <w:r w:rsidR="00D51CE0" w:rsidRPr="00D918E2">
        <w:sym w:font="Symbol" w:char="F06D"/>
      </w:r>
      <w:r w:rsidR="00D51CE0" w:rsidRPr="00D918E2">
        <w:t>M</w:t>
      </w:r>
      <w:r w:rsidR="00D51CE0" w:rsidRPr="00E660EF">
        <w:t>.</w:t>
      </w:r>
      <w:r w:rsidR="00D51CE0">
        <w:t xml:space="preserve"> Furthermore, the free amine </w:t>
      </w:r>
      <w:r w:rsidR="00D51CE0">
        <w:rPr>
          <w:b/>
        </w:rPr>
        <w:t>7</w:t>
      </w:r>
      <w:r w:rsidR="00D51CE0">
        <w:t xml:space="preserve"> failed to cause inhibition at physiologically irrelevant concentrations of 300 </w:t>
      </w:r>
      <w:r w:rsidR="00D51CE0" w:rsidRPr="00D918E2">
        <w:sym w:font="Symbol" w:char="F06D"/>
      </w:r>
      <w:r w:rsidR="00D51CE0" w:rsidRPr="00D918E2">
        <w:t>M</w:t>
      </w:r>
      <w:r w:rsidR="00D51CE0">
        <w:t xml:space="preserve"> (data not shown). </w:t>
      </w:r>
      <w:r w:rsidR="00C01E12">
        <w:t>Of t</w:t>
      </w:r>
      <w:r w:rsidR="00D51CE0">
        <w:t xml:space="preserve">he ester protected analogues </w:t>
      </w:r>
      <w:r w:rsidR="00D51CE0" w:rsidRPr="0019489F">
        <w:rPr>
          <w:b/>
        </w:rPr>
        <w:t>10</w:t>
      </w:r>
      <w:r w:rsidR="00D51CE0">
        <w:t xml:space="preserve">, </w:t>
      </w:r>
      <w:r w:rsidR="00D51CE0" w:rsidRPr="0019489F">
        <w:rPr>
          <w:b/>
        </w:rPr>
        <w:t>11</w:t>
      </w:r>
      <w:r w:rsidR="00D51CE0">
        <w:t>,</w:t>
      </w:r>
      <w:r w:rsidR="00D51CE0" w:rsidRPr="0019489F">
        <w:rPr>
          <w:b/>
        </w:rPr>
        <w:t xml:space="preserve"> 15</w:t>
      </w:r>
      <w:r w:rsidR="00D51CE0">
        <w:t xml:space="preserve"> and </w:t>
      </w:r>
      <w:r w:rsidR="00D51CE0" w:rsidRPr="0019489F">
        <w:rPr>
          <w:b/>
        </w:rPr>
        <w:t>17</w:t>
      </w:r>
      <w:r w:rsidR="00C01E12">
        <w:t>, o</w:t>
      </w:r>
      <w:r w:rsidR="00D51CE0">
        <w:t xml:space="preserve">nly the esterified ciprofloxacin fragment </w:t>
      </w:r>
      <w:r w:rsidR="00D51CE0">
        <w:rPr>
          <w:b/>
        </w:rPr>
        <w:t>10</w:t>
      </w:r>
      <w:r w:rsidR="00D51CE0">
        <w:t xml:space="preserve"> retained </w:t>
      </w:r>
      <w:r w:rsidR="00D51CE0">
        <w:rPr>
          <w:rFonts w:hint="eastAsia"/>
        </w:rPr>
        <w:t>inhibition</w:t>
      </w:r>
      <w:r w:rsidR="00D51CE0">
        <w:t xml:space="preserve">, </w:t>
      </w:r>
      <w:r w:rsidR="00D51CE0">
        <w:rPr>
          <w:rFonts w:hint="eastAsia"/>
        </w:rPr>
        <w:t>albeit</w:t>
      </w:r>
      <w:r w:rsidR="00D51CE0">
        <w:t xml:space="preserve"> with attenuated efficacy. Supercoiling was inhibited from 3-50 </w:t>
      </w:r>
      <w:r w:rsidR="00D51CE0" w:rsidRPr="00D918E2">
        <w:sym w:font="Symbol" w:char="F06D"/>
      </w:r>
      <w:r w:rsidR="00D51CE0" w:rsidRPr="00D918E2">
        <w:t>M</w:t>
      </w:r>
      <w:r w:rsidR="00D51CE0">
        <w:t xml:space="preserve"> with an IC</w:t>
      </w:r>
      <w:r w:rsidR="00D51CE0">
        <w:rPr>
          <w:vertAlign w:val="subscript"/>
        </w:rPr>
        <w:t>50</w:t>
      </w:r>
      <w:r w:rsidR="00D51CE0">
        <w:t xml:space="preserve"> of ~10 </w:t>
      </w:r>
      <w:r w:rsidR="00D51CE0" w:rsidRPr="00D918E2">
        <w:sym w:font="Symbol" w:char="F06D"/>
      </w:r>
      <w:r w:rsidR="00D51CE0" w:rsidRPr="00D918E2">
        <w:t>M</w:t>
      </w:r>
      <w:r w:rsidR="00D51CE0">
        <w:t xml:space="preserve"> (S</w:t>
      </w:r>
      <w:r w:rsidR="00D51CE0">
        <w:rPr>
          <w:rFonts w:hint="eastAsia"/>
        </w:rPr>
        <w:t>upplementary</w:t>
      </w:r>
      <w:r w:rsidR="00D51CE0">
        <w:t xml:space="preserve"> Information Fig. 1S). </w:t>
      </w:r>
      <w:r w:rsidR="00C01E12">
        <w:t xml:space="preserve">Compounds </w:t>
      </w:r>
      <w:r w:rsidR="00C01E12" w:rsidRPr="0019489F">
        <w:rPr>
          <w:b/>
        </w:rPr>
        <w:t>11</w:t>
      </w:r>
      <w:r w:rsidR="00C01E12">
        <w:t xml:space="preserve">, </w:t>
      </w:r>
      <w:r w:rsidR="00C01E12" w:rsidRPr="0019489F">
        <w:rPr>
          <w:b/>
        </w:rPr>
        <w:t>15</w:t>
      </w:r>
      <w:r w:rsidR="00C01E12">
        <w:t xml:space="preserve"> and </w:t>
      </w:r>
      <w:r w:rsidR="00C01E12" w:rsidRPr="0019489F">
        <w:rPr>
          <w:b/>
        </w:rPr>
        <w:t>17</w:t>
      </w:r>
      <w:r w:rsidR="00C01E12">
        <w:t xml:space="preserve"> showed no effect at maximal concentrations of 100 </w:t>
      </w:r>
      <w:r w:rsidR="00C01E12" w:rsidRPr="00D918E2">
        <w:sym w:font="Symbol" w:char="F06D"/>
      </w:r>
      <w:r w:rsidR="00C01E12" w:rsidRPr="00D918E2">
        <w:t>M</w:t>
      </w:r>
      <w:r w:rsidR="00C01E12">
        <w:t xml:space="preserve"> (</w:t>
      </w:r>
      <w:r w:rsidR="00C01E12">
        <w:rPr>
          <w:rFonts w:hint="eastAsia"/>
        </w:rPr>
        <w:t>supplementary</w:t>
      </w:r>
      <w:r w:rsidR="00C01E12">
        <w:t xml:space="preserve"> information Figure 1S).</w:t>
      </w:r>
    </w:p>
    <w:p w14:paraId="4BA6BDE9" w14:textId="76359926" w:rsidR="004C3829" w:rsidRDefault="00D51CE0" w:rsidP="00F9570A">
      <w:pPr>
        <w:pStyle w:val="RSCB02ArticleText"/>
      </w:pPr>
      <w:r w:rsidRPr="00673BA5">
        <w:t xml:space="preserve">To study the mode of action, </w:t>
      </w:r>
      <w:r>
        <w:t xml:space="preserve">we investigated the effect of the compounds </w:t>
      </w:r>
      <w:r w:rsidRPr="008E1359">
        <w:rPr>
          <w:b/>
        </w:rPr>
        <w:t>4</w:t>
      </w:r>
      <w:r>
        <w:t xml:space="preserve">, </w:t>
      </w:r>
      <w:r w:rsidRPr="008E1359">
        <w:rPr>
          <w:b/>
        </w:rPr>
        <w:t>16</w:t>
      </w:r>
      <w:r>
        <w:t xml:space="preserve"> and </w:t>
      </w:r>
      <w:r w:rsidRPr="008E1359">
        <w:rPr>
          <w:b/>
        </w:rPr>
        <w:t>18</w:t>
      </w:r>
      <w:r>
        <w:t xml:space="preserve"> on the gyrase cleavage-religation equilibrium</w:t>
      </w:r>
      <w:r w:rsidR="00C01E12">
        <w:t xml:space="preserve"> (Fig 5)</w:t>
      </w:r>
      <w:r w:rsidRPr="00673BA5">
        <w:t>.</w:t>
      </w:r>
      <w:r w:rsidR="00C01E12">
        <w:t xml:space="preserve"> This would demonstrate that</w:t>
      </w:r>
      <w:r>
        <w:t xml:space="preserve"> the compounds were able to inhibit gyrase through the same mechanism as ciprofloxacin. If a reaction between gyrase and DNA in the presence of </w:t>
      </w:r>
      <w:r w:rsidR="004C3829">
        <w:t>ciprofloxacin</w:t>
      </w:r>
      <w:r>
        <w:t xml:space="preserve"> is terminated by the addition of SDS and proteinase K, cleaved DNA is revealed. This is a manifestation of the covalent bonds formed between </w:t>
      </w:r>
      <w:r>
        <w:rPr>
          <w:rFonts w:hint="eastAsia"/>
        </w:rPr>
        <w:t>the</w:t>
      </w:r>
      <w:r>
        <w:t xml:space="preserve"> enzyme and the DNA, which are stabilised by intercalation of the quinolone drug into strand breaks.</w:t>
      </w:r>
      <w:r w:rsidR="00F9570A" w:rsidRPr="00F9570A">
        <w:rPr>
          <w:vertAlign w:val="superscript"/>
        </w:rPr>
        <w:t>2</w:t>
      </w:r>
      <w:r w:rsidR="007C39A2">
        <w:rPr>
          <w:vertAlign w:val="superscript"/>
        </w:rPr>
        <w:t>5</w:t>
      </w:r>
      <w:r w:rsidR="00F9570A" w:rsidRPr="00384BFD">
        <w:t xml:space="preserve"> </w:t>
      </w:r>
      <w:r w:rsidR="004C3829">
        <w:t xml:space="preserve">Experimentally, when supercoiled DNA is used as the substrate, this is represented by the presence of a linear band. SD8 </w:t>
      </w:r>
      <w:r w:rsidR="004C3829" w:rsidRPr="00673BA5">
        <w:t>was used as a nega</w:t>
      </w:r>
      <w:r w:rsidR="004C3829">
        <w:t>tive control, no linear</w:t>
      </w:r>
      <w:r w:rsidR="004C3829" w:rsidRPr="00673BA5">
        <w:t xml:space="preserve"> band being visible due</w:t>
      </w:r>
      <w:r w:rsidR="004C3829">
        <w:t xml:space="preserve"> to its ability to block DNA binding</w:t>
      </w:r>
      <w:r w:rsidR="004C3829" w:rsidRPr="00673BA5">
        <w:t xml:space="preserve"> and prevent</w:t>
      </w:r>
      <w:r w:rsidR="004C3829" w:rsidRPr="004C3829">
        <w:t xml:space="preserve"> </w:t>
      </w:r>
      <w:r w:rsidR="004C3829">
        <w:t xml:space="preserve">strand passage cycle </w:t>
      </w:r>
      <w:r w:rsidR="004C3829" w:rsidRPr="00673BA5">
        <w:t>taking place.</w:t>
      </w:r>
      <w:r w:rsidR="004C3829">
        <w:t xml:space="preserve"> Ciprofloxacin </w:t>
      </w:r>
      <w:r w:rsidR="004C3829">
        <w:rPr>
          <w:b/>
        </w:rPr>
        <w:t>9</w:t>
      </w:r>
      <w:r w:rsidR="004C3829">
        <w:t xml:space="preserve"> was used as positive control with strong linear bands visible down to 0.3 </w:t>
      </w:r>
      <w:r w:rsidR="004C3829" w:rsidRPr="00942A38">
        <w:sym w:font="Symbol" w:char="F06D"/>
      </w:r>
      <w:r w:rsidR="004C3829" w:rsidRPr="00942A38">
        <w:t>M</w:t>
      </w:r>
      <w:r w:rsidR="004C3829">
        <w:t>. Linear</w:t>
      </w:r>
      <w:r w:rsidR="004C3829" w:rsidRPr="00673BA5">
        <w:t xml:space="preserve"> bands are visible</w:t>
      </w:r>
      <w:r w:rsidR="004C3829">
        <w:t xml:space="preserve"> only at 100 </w:t>
      </w:r>
      <w:r w:rsidR="004C3829" w:rsidRPr="00942A38">
        <w:sym w:font="Symbol" w:char="F06D"/>
      </w:r>
      <w:r w:rsidR="004C3829" w:rsidRPr="00942A38">
        <w:t>M</w:t>
      </w:r>
      <w:r w:rsidR="004C3829">
        <w:t xml:space="preserve"> for </w:t>
      </w:r>
      <w:r w:rsidR="004C3829" w:rsidRPr="00577D92">
        <w:rPr>
          <w:b/>
        </w:rPr>
        <w:t>16</w:t>
      </w:r>
      <w:r w:rsidR="004C3829">
        <w:t xml:space="preserve"> and from 100 </w:t>
      </w:r>
      <w:r w:rsidR="004C3829" w:rsidRPr="00942A38">
        <w:sym w:font="Symbol" w:char="F06D"/>
      </w:r>
      <w:r w:rsidR="004C3829" w:rsidRPr="00942A38">
        <w:t>M</w:t>
      </w:r>
      <w:r w:rsidR="004C3829" w:rsidRPr="00673BA5">
        <w:t xml:space="preserve"> </w:t>
      </w:r>
      <w:r w:rsidR="004C3829">
        <w:t xml:space="preserve">to 50 </w:t>
      </w:r>
      <w:r w:rsidR="004C3829" w:rsidRPr="00942A38">
        <w:sym w:font="Symbol" w:char="F06D"/>
      </w:r>
      <w:r w:rsidR="004C3829" w:rsidRPr="00942A38">
        <w:t>M</w:t>
      </w:r>
      <w:r w:rsidR="004C3829" w:rsidRPr="00673BA5">
        <w:t xml:space="preserve"> for </w:t>
      </w:r>
      <w:r w:rsidR="004C3829">
        <w:rPr>
          <w:b/>
        </w:rPr>
        <w:t>18.</w:t>
      </w:r>
      <w:r w:rsidR="004C3829" w:rsidRPr="00673BA5">
        <w:t xml:space="preserve"> </w:t>
      </w:r>
    </w:p>
    <w:p w14:paraId="347D24A8" w14:textId="3FF41254" w:rsidR="00556985" w:rsidRDefault="00556985" w:rsidP="00556985">
      <w:r>
        <w:rPr>
          <w:noProof/>
          <w:lang w:val="en-US"/>
        </w:rPr>
        <w:drawing>
          <wp:inline distT="0" distB="0" distL="0" distR="0" wp14:anchorId="116FFD6E" wp14:editId="105A216E">
            <wp:extent cx="3044825" cy="1854835"/>
            <wp:effectExtent l="0" t="0" r="317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l2finaljune.tiff"/>
                    <pic:cNvPicPr/>
                  </pic:nvPicPr>
                  <pic:blipFill>
                    <a:blip r:embed="rId23" cstate="print">
                      <a:extLst>
                        <a:ext uri="{28A0092B-C50C-407E-A947-70E740481C1C}">
                          <a14:useLocalDpi xmlns:a14="http://schemas.microsoft.com/office/drawing/2010/main" val="0"/>
                        </a:ext>
                      </a:extLst>
                    </a:blip>
                    <a:stretch>
                      <a:fillRect/>
                    </a:stretch>
                  </pic:blipFill>
                  <pic:spPr>
                    <a:xfrm>
                      <a:off x="0" y="0"/>
                      <a:ext cx="3044825" cy="1854835"/>
                    </a:xfrm>
                    <a:prstGeom prst="rect">
                      <a:avLst/>
                    </a:prstGeom>
                  </pic:spPr>
                </pic:pic>
              </a:graphicData>
            </a:graphic>
          </wp:inline>
        </w:drawing>
      </w:r>
    </w:p>
    <w:p w14:paraId="5CD8A4BC" w14:textId="77777777" w:rsidR="00556985" w:rsidRPr="009037D9" w:rsidRDefault="00556985" w:rsidP="00556985">
      <w:pPr>
        <w:pStyle w:val="RSCI04CaptiontoFigureSchemeChart"/>
        <w:rPr>
          <w:b/>
        </w:rPr>
      </w:pPr>
      <w:r>
        <w:t xml:space="preserve">Figure 5.  Effects of compounds </w:t>
      </w:r>
      <w:r w:rsidRPr="00444BEB">
        <w:t>4</w:t>
      </w:r>
      <w:r>
        <w:t xml:space="preserve">, </w:t>
      </w:r>
      <w:r w:rsidRPr="00444BEB">
        <w:t>16</w:t>
      </w:r>
      <w:r>
        <w:t xml:space="preserve"> and </w:t>
      </w:r>
      <w:r w:rsidRPr="00444BEB">
        <w:t>18</w:t>
      </w:r>
      <w:r>
        <w:t xml:space="preserve"> on cleavage-complex formation by wild type </w:t>
      </w:r>
      <w:r w:rsidRPr="001A26E3">
        <w:rPr>
          <w:i/>
        </w:rPr>
        <w:t xml:space="preserve">E. </w:t>
      </w:r>
      <w:r>
        <w:rPr>
          <w:i/>
        </w:rPr>
        <w:t>c</w:t>
      </w:r>
      <w:r w:rsidRPr="001A26E3">
        <w:rPr>
          <w:i/>
        </w:rPr>
        <w:t>oli</w:t>
      </w:r>
      <w:r>
        <w:t xml:space="preserve"> gyrase in the absence of ATP. Supercoiled </w:t>
      </w:r>
      <w:r w:rsidRPr="0032584A">
        <w:t>pBR322</w:t>
      </w:r>
      <w:r>
        <w:t xml:space="preserve"> plasmid (DNA) is used as a negative control (-), and incubated in the presence of gyrase as a positive control (+). SD8 is used as an additional negative control at a concentration of 1 </w:t>
      </w:r>
      <w:r>
        <w:sym w:font="Symbol" w:char="F06D"/>
      </w:r>
      <w:r>
        <w:t>M. Ciprofloxacin (</w:t>
      </w:r>
      <w:r w:rsidRPr="00F06942">
        <w:t>9</w:t>
      </w:r>
      <w:r>
        <w:t xml:space="preserve">) is used as a comparator. </w:t>
      </w:r>
      <w:r w:rsidRPr="00F06942">
        <w:t>NC</w:t>
      </w:r>
      <w:r>
        <w:t>, nicked circle; L, linear band; SC, supercoiled.</w:t>
      </w:r>
    </w:p>
    <w:p w14:paraId="769E7B53" w14:textId="01413135" w:rsidR="00D51CE0" w:rsidRDefault="004C3829" w:rsidP="0025490A">
      <w:pPr>
        <w:pStyle w:val="RSCB02ArticleText"/>
      </w:pPr>
      <w:r>
        <w:lastRenderedPageBreak/>
        <w:t>Compound</w:t>
      </w:r>
      <w:r w:rsidRPr="00673BA5">
        <w:t xml:space="preserve"> </w:t>
      </w:r>
      <w:r>
        <w:rPr>
          <w:b/>
        </w:rPr>
        <w:t>4</w:t>
      </w:r>
      <w:r>
        <w:t xml:space="preserve"> displays</w:t>
      </w:r>
      <w:r w:rsidRPr="00673BA5">
        <w:t xml:space="preserve"> a</w:t>
      </w:r>
      <w:r>
        <w:t xml:space="preserve"> strong linear</w:t>
      </w:r>
      <w:r w:rsidRPr="00673BA5">
        <w:t xml:space="preserve"> band from 100</w:t>
      </w:r>
      <w:r>
        <w:t xml:space="preserve"> </w:t>
      </w:r>
      <w:r w:rsidRPr="00673BA5">
        <w:sym w:font="Symbol" w:char="F06D"/>
      </w:r>
      <w:r>
        <w:t>M to 10</w:t>
      </w:r>
      <w:r w:rsidRPr="00673BA5">
        <w:t xml:space="preserve"> </w:t>
      </w:r>
      <w:r w:rsidRPr="00673BA5">
        <w:sym w:font="Symbol" w:char="F06D"/>
      </w:r>
      <w:r w:rsidRPr="00673BA5">
        <w:t>M</w:t>
      </w:r>
      <w:r>
        <w:t xml:space="preserve"> with a faint band </w:t>
      </w:r>
      <w:r>
        <w:rPr>
          <w:rFonts w:hint="eastAsia"/>
        </w:rPr>
        <w:t>occurring</w:t>
      </w:r>
      <w:r>
        <w:t xml:space="preserve"> at 3 </w:t>
      </w:r>
      <w:r w:rsidRPr="00673BA5">
        <w:sym w:font="Symbol" w:char="F06D"/>
      </w:r>
      <w:r w:rsidRPr="00673BA5">
        <w:t>M (</w:t>
      </w:r>
      <w:r>
        <w:t>Fig.</w:t>
      </w:r>
      <w:r w:rsidRPr="00673BA5">
        <w:t xml:space="preserve"> 5).</w:t>
      </w:r>
      <w:r w:rsidR="00D51CE0" w:rsidRPr="00673BA5">
        <w:t>The loss of</w:t>
      </w:r>
      <w:r w:rsidR="00D51CE0">
        <w:t xml:space="preserve"> the linear</w:t>
      </w:r>
      <w:r w:rsidR="00D51CE0" w:rsidRPr="00673BA5">
        <w:t xml:space="preserve"> </w:t>
      </w:r>
      <w:r w:rsidR="00D51CE0">
        <w:t>band</w:t>
      </w:r>
      <w:r w:rsidR="00D51CE0" w:rsidRPr="00673BA5">
        <w:t xml:space="preserve"> occurs at</w:t>
      </w:r>
      <w:r w:rsidR="00D51CE0">
        <w:t xml:space="preserve"> approximately the same concentration</w:t>
      </w:r>
      <w:r w:rsidR="00D51CE0" w:rsidRPr="00673BA5">
        <w:t xml:space="preserve"> as inhibition in the corresponding supercoiling assay</w:t>
      </w:r>
      <w:r w:rsidR="00D51CE0">
        <w:t xml:space="preserve"> (Fig. 4)</w:t>
      </w:r>
      <w:r w:rsidR="00D51CE0" w:rsidRPr="00673BA5">
        <w:t xml:space="preserve">. This </w:t>
      </w:r>
      <w:r w:rsidR="00D51CE0">
        <w:t xml:space="preserve">is consistent with observations of </w:t>
      </w:r>
      <w:r w:rsidR="00D51CE0" w:rsidRPr="00673BA5">
        <w:t>ciprofloxacin</w:t>
      </w:r>
      <w:r w:rsidR="00D51CE0">
        <w:t>, which exhibits a correlation between</w:t>
      </w:r>
      <w:r w:rsidR="00D51CE0" w:rsidRPr="00673BA5">
        <w:t xml:space="preserve"> supercoiling and cleavage stabilisation</w:t>
      </w:r>
      <w:r w:rsidR="00D51CE0">
        <w:t xml:space="preserve"> inhibitory</w:t>
      </w:r>
      <w:r w:rsidR="00D51CE0" w:rsidRPr="00673BA5">
        <w:t xml:space="preserve"> concentrations</w:t>
      </w:r>
      <w:r w:rsidR="00D51CE0">
        <w:t>.</w:t>
      </w:r>
    </w:p>
    <w:p w14:paraId="67731424" w14:textId="44D88936" w:rsidR="00800FB7" w:rsidRDefault="00D51CE0" w:rsidP="0025490A">
      <w:pPr>
        <w:pStyle w:val="RSCB02ArticleText"/>
      </w:pPr>
      <w:r w:rsidRPr="00673BA5">
        <w:t>These results illustrate</w:t>
      </w:r>
      <w:r>
        <w:t xml:space="preserve"> that </w:t>
      </w:r>
      <w:r w:rsidRPr="00673BA5">
        <w:t>the coumarin</w:t>
      </w:r>
      <w:r>
        <w:t xml:space="preserve"> fragment </w:t>
      </w:r>
      <w:r w:rsidRPr="00673BA5">
        <w:t>contributes to th</w:t>
      </w:r>
      <w:r>
        <w:t xml:space="preserve">e inhibitory efficacy of </w:t>
      </w:r>
      <w:r w:rsidRPr="00673BA5">
        <w:t xml:space="preserve">hybrid </w:t>
      </w:r>
      <w:r>
        <w:rPr>
          <w:b/>
        </w:rPr>
        <w:t xml:space="preserve">4. </w:t>
      </w:r>
      <w:r>
        <w:t xml:space="preserve">The poor inhibition displayed by each constituent fragment of </w:t>
      </w:r>
      <w:r>
        <w:rPr>
          <w:b/>
        </w:rPr>
        <w:t>4</w:t>
      </w:r>
      <w:r>
        <w:t xml:space="preserve"> shows a synergistic effect is vital for the observed </w:t>
      </w:r>
      <w:r>
        <w:rPr>
          <w:rFonts w:hint="eastAsia"/>
        </w:rPr>
        <w:t>activity</w:t>
      </w:r>
      <w:r>
        <w:t>.</w:t>
      </w:r>
      <w:r>
        <w:rPr>
          <w:b/>
        </w:rPr>
        <w:t xml:space="preserve"> </w:t>
      </w:r>
      <w:r w:rsidRPr="00C23D54">
        <w:t>Moreover</w:t>
      </w:r>
      <w:r>
        <w:t>,</w:t>
      </w:r>
      <w:r w:rsidRPr="00C23D54">
        <w:t xml:space="preserve"> it</w:t>
      </w:r>
      <w:r w:rsidRPr="00673BA5">
        <w:t xml:space="preserve"> preserves the ability to stabilise </w:t>
      </w:r>
      <w:r>
        <w:t>the gyrase-DNA covalent complex</w:t>
      </w:r>
      <w:r w:rsidRPr="00673BA5">
        <w:t>.</w:t>
      </w:r>
      <w:r>
        <w:t xml:space="preserve"> The un</w:t>
      </w:r>
      <w:r w:rsidRPr="00673BA5">
        <w:t xml:space="preserve">functionalised scaffold will </w:t>
      </w:r>
      <w:r>
        <w:t>act</w:t>
      </w:r>
      <w:r w:rsidRPr="00673BA5">
        <w:t xml:space="preserve"> as a suitable te</w:t>
      </w:r>
      <w:r>
        <w:t>mplate from which future structure activity relationships</w:t>
      </w:r>
      <w:r w:rsidRPr="00673BA5">
        <w:t xml:space="preserve"> can be explored. This proof of concept work serves as an example of a </w:t>
      </w:r>
      <w:r>
        <w:t xml:space="preserve">natural product-guided </w:t>
      </w:r>
      <w:r w:rsidRPr="00673BA5">
        <w:t>fragment-based approach to developing novel inhibitors</w:t>
      </w:r>
      <w:r>
        <w:t xml:space="preserve"> of DNA gyrase.</w:t>
      </w:r>
    </w:p>
    <w:p w14:paraId="1575E8DD" w14:textId="2FEA9534" w:rsidR="00800FB7" w:rsidRPr="00EF6BD4" w:rsidRDefault="00800FB7" w:rsidP="00800FB7">
      <w:pPr>
        <w:pStyle w:val="RSCB04SectionHeading"/>
      </w:pPr>
      <w:r>
        <w:t>Acknowledgements</w:t>
      </w:r>
    </w:p>
    <w:p w14:paraId="5679B086" w14:textId="77777777" w:rsidR="00800FB7" w:rsidRDefault="00800FB7" w:rsidP="0025490A">
      <w:pPr>
        <w:pStyle w:val="RSCB02ArticleText"/>
      </w:pPr>
    </w:p>
    <w:p w14:paraId="75049390" w14:textId="77777777" w:rsidR="00800FB7" w:rsidRPr="00800FB7" w:rsidRDefault="00800FB7" w:rsidP="00800FB7">
      <w:pPr>
        <w:pStyle w:val="RSCB02ArticleText"/>
        <w:rPr>
          <w:lang w:val="en-US"/>
        </w:rPr>
      </w:pPr>
      <w:r w:rsidRPr="00800FB7">
        <w:rPr>
          <w:lang w:val="en-US"/>
        </w:rPr>
        <w:t>MJA was funded by a Dean’s studentship. SJH was funded by BBSRC (Grant no. BB/I002049/1). Work in AM’s lab is supported by grant BB/J004561/1 from BBSRC and the John Innes Foundation.</w:t>
      </w:r>
      <w:r>
        <w:rPr>
          <w:lang w:val="en-US"/>
        </w:rPr>
        <w:t xml:space="preserve"> </w:t>
      </w:r>
      <w:r w:rsidRPr="00800FB7">
        <w:rPr>
          <w:lang w:val="en-US"/>
        </w:rPr>
        <w:t>We thank the EPSRC Mass spectrometry service (Swansea) for HRMS.</w:t>
      </w:r>
    </w:p>
    <w:p w14:paraId="5AE7B19E" w14:textId="77777777" w:rsidR="00D010E8" w:rsidRPr="00EF6BD4" w:rsidRDefault="00E61949" w:rsidP="00EF6BD4">
      <w:pPr>
        <w:pStyle w:val="RSCB04SectionHeading"/>
      </w:pPr>
      <w:r w:rsidRPr="00EF6BD4">
        <w:t>Notes and references</w:t>
      </w:r>
    </w:p>
    <w:p w14:paraId="705922BE" w14:textId="3696AFDE" w:rsidR="002A5421" w:rsidRPr="00556985" w:rsidRDefault="002A5421" w:rsidP="00241ACD">
      <w:pPr>
        <w:pStyle w:val="RSCF02FootnotestoTitleAuthors"/>
        <w:spacing w:line="200" w:lineRule="exact"/>
        <w:rPr>
          <w:b/>
          <w:sz w:val="18"/>
          <w:szCs w:val="18"/>
        </w:rPr>
      </w:pPr>
    </w:p>
    <w:p w14:paraId="247D1F1E" w14:textId="77777777" w:rsidR="00994D28" w:rsidRPr="00F95167" w:rsidRDefault="00A15DA0" w:rsidP="00994D28">
      <w:pPr>
        <w:pStyle w:val="RSCR02References"/>
      </w:pPr>
      <w:r w:rsidRPr="00A15DA0">
        <w:rPr>
          <w:lang w:val="en-US"/>
        </w:rPr>
        <w:t xml:space="preserve">H. W. Boucher, G.H. Talbot, J. S. Bradley, J. E. Edwards, D. Gilbert, L. B. Rice, M. Scheld, B. Spellberg, and J. Bartlett, </w:t>
      </w:r>
      <w:r w:rsidRPr="00A15DA0">
        <w:rPr>
          <w:i/>
          <w:lang w:val="en-US"/>
        </w:rPr>
        <w:t xml:space="preserve">Clin Infect Dis </w:t>
      </w:r>
      <w:r w:rsidRPr="00A15DA0">
        <w:rPr>
          <w:lang w:val="en-US"/>
        </w:rPr>
        <w:t xml:space="preserve">2009, </w:t>
      </w:r>
      <w:r w:rsidRPr="00A15DA0">
        <w:rPr>
          <w:b/>
          <w:lang w:val="en-US"/>
        </w:rPr>
        <w:t>48</w:t>
      </w:r>
      <w:r w:rsidRPr="00A15DA0">
        <w:rPr>
          <w:lang w:val="en-US"/>
        </w:rPr>
        <w:t>, 1</w:t>
      </w:r>
      <w:r>
        <w:rPr>
          <w:lang w:val="en-US"/>
        </w:rPr>
        <w:t xml:space="preserve">; </w:t>
      </w:r>
      <w:r w:rsidRPr="00A15DA0">
        <w:rPr>
          <w:lang w:val="en-US"/>
        </w:rPr>
        <w:t xml:space="preserve">World Health Organization </w:t>
      </w:r>
      <w:r w:rsidRPr="00A15DA0">
        <w:rPr>
          <w:i/>
          <w:lang w:val="en-US"/>
        </w:rPr>
        <w:t>Antimicrobial Resistance: Global Report on Surveillance</w:t>
      </w:r>
      <w:r w:rsidRPr="00A15DA0">
        <w:rPr>
          <w:lang w:val="en-US"/>
        </w:rPr>
        <w:t>; Geneva, Switzerland, 2014; pp 1-256.</w:t>
      </w:r>
    </w:p>
    <w:p w14:paraId="4C84049B" w14:textId="79FE1995" w:rsidR="00F95167" w:rsidRPr="00F95167" w:rsidRDefault="00C93456" w:rsidP="00994D28">
      <w:pPr>
        <w:pStyle w:val="RSCR02References"/>
      </w:pPr>
      <w:r>
        <w:rPr>
          <w:lang w:val="en-US"/>
        </w:rPr>
        <w:t xml:space="preserve">J. B. Cross, J. Zhang, M. F. Mesleh, J. A. Romero, </w:t>
      </w:r>
      <w:r w:rsidR="00AE12DF">
        <w:rPr>
          <w:lang w:val="en-US"/>
        </w:rPr>
        <w:t>B. Wang, D. Bevan</w:t>
      </w:r>
      <w:r w:rsidR="00AE12DF" w:rsidRPr="00AE12DF">
        <w:rPr>
          <w:lang w:val="en-US"/>
        </w:rPr>
        <w:t>,</w:t>
      </w:r>
      <w:r w:rsidR="00AE12DF">
        <w:rPr>
          <w:lang w:val="en-US"/>
        </w:rPr>
        <w:t xml:space="preserve"> K. M. Poutsiaka</w:t>
      </w:r>
      <w:r w:rsidR="00AE12DF" w:rsidRPr="00AE12DF">
        <w:rPr>
          <w:lang w:val="en-US"/>
        </w:rPr>
        <w:t>,</w:t>
      </w:r>
      <w:r w:rsidR="00AE12DF">
        <w:rPr>
          <w:lang w:val="en-US"/>
        </w:rPr>
        <w:t xml:space="preserve"> F. Epie</w:t>
      </w:r>
      <w:r w:rsidR="00AE12DF" w:rsidRPr="00AE12DF">
        <w:rPr>
          <w:lang w:val="en-US"/>
        </w:rPr>
        <w:t xml:space="preserve">, </w:t>
      </w:r>
      <w:r w:rsidR="00AE12DF">
        <w:rPr>
          <w:lang w:val="en-US"/>
        </w:rPr>
        <w:t>T. Moy</w:t>
      </w:r>
      <w:r w:rsidR="00AE12DF" w:rsidRPr="00AE12DF">
        <w:rPr>
          <w:lang w:val="en-US"/>
        </w:rPr>
        <w:t>,</w:t>
      </w:r>
      <w:r w:rsidR="00AE12DF">
        <w:rPr>
          <w:lang w:val="en-US"/>
        </w:rPr>
        <w:t xml:space="preserve"> A.</w:t>
      </w:r>
      <w:r w:rsidR="00AE12DF" w:rsidRPr="00AE12DF">
        <w:rPr>
          <w:lang w:val="en-US"/>
        </w:rPr>
        <w:t xml:space="preserve"> Daniel,</w:t>
      </w:r>
      <w:r w:rsidR="00AE12DF">
        <w:rPr>
          <w:lang w:val="en-US"/>
        </w:rPr>
        <w:t xml:space="preserve"> J. Shotwell</w:t>
      </w:r>
      <w:r w:rsidR="00AE12DF" w:rsidRPr="00AE12DF">
        <w:rPr>
          <w:lang w:val="en-US"/>
        </w:rPr>
        <w:t xml:space="preserve">, </w:t>
      </w:r>
      <w:r w:rsidR="00AE12DF">
        <w:rPr>
          <w:lang w:val="en-US"/>
        </w:rPr>
        <w:t xml:space="preserve">B. </w:t>
      </w:r>
      <w:r w:rsidR="00AE12DF" w:rsidRPr="00AE12DF">
        <w:rPr>
          <w:lang w:val="en-US"/>
        </w:rPr>
        <w:t>Chamberlain,</w:t>
      </w:r>
      <w:r w:rsidR="00AE12DF">
        <w:rPr>
          <w:lang w:val="en-US"/>
        </w:rPr>
        <w:t xml:space="preserve"> N.</w:t>
      </w:r>
      <w:r w:rsidR="00AE12DF" w:rsidRPr="00AE12DF">
        <w:rPr>
          <w:lang w:val="en-US"/>
        </w:rPr>
        <w:t xml:space="preserve"> Carter, </w:t>
      </w:r>
      <w:r w:rsidR="00AE12DF">
        <w:rPr>
          <w:lang w:val="en-US"/>
        </w:rPr>
        <w:t xml:space="preserve">O. </w:t>
      </w:r>
      <w:r w:rsidR="00AE12DF" w:rsidRPr="00AE12DF">
        <w:rPr>
          <w:lang w:val="en-US"/>
        </w:rPr>
        <w:t>Andersen,</w:t>
      </w:r>
      <w:r w:rsidR="00AE12DF">
        <w:rPr>
          <w:lang w:val="en-US"/>
        </w:rPr>
        <w:t xml:space="preserve"> J.</w:t>
      </w:r>
      <w:r w:rsidR="00AE12DF" w:rsidRPr="00AE12DF">
        <w:rPr>
          <w:lang w:val="en-US"/>
        </w:rPr>
        <w:t xml:space="preserve"> Barker,</w:t>
      </w:r>
      <w:r w:rsidR="00AE12DF">
        <w:rPr>
          <w:lang w:val="en-US"/>
        </w:rPr>
        <w:t xml:space="preserve"> M. D.</w:t>
      </w:r>
      <w:r w:rsidR="00AE12DF" w:rsidRPr="00AE12DF">
        <w:rPr>
          <w:lang w:val="en-US"/>
        </w:rPr>
        <w:t xml:space="preserve"> Ryan, </w:t>
      </w:r>
      <w:r w:rsidR="00AE12DF">
        <w:rPr>
          <w:lang w:val="en-US"/>
        </w:rPr>
        <w:t xml:space="preserve">C. A. </w:t>
      </w:r>
      <w:r w:rsidR="00AE12DF" w:rsidRPr="00AE12DF">
        <w:rPr>
          <w:lang w:val="en-US"/>
        </w:rPr>
        <w:t>Metcalf 3rd,</w:t>
      </w:r>
      <w:r w:rsidR="00AE12DF">
        <w:rPr>
          <w:lang w:val="en-US"/>
        </w:rPr>
        <w:t xml:space="preserve"> J.</w:t>
      </w:r>
      <w:r w:rsidR="00AE12DF" w:rsidRPr="00AE12DF">
        <w:rPr>
          <w:lang w:val="en-US"/>
        </w:rPr>
        <w:t xml:space="preserve"> Silverman,</w:t>
      </w:r>
      <w:r w:rsidR="00AE12DF">
        <w:rPr>
          <w:lang w:val="en-US"/>
        </w:rPr>
        <w:t xml:space="preserve"> K.</w:t>
      </w:r>
      <w:r w:rsidR="00AE12DF" w:rsidRPr="00AE12DF">
        <w:rPr>
          <w:lang w:val="en-US"/>
        </w:rPr>
        <w:t xml:space="preserve"> Nguyen,</w:t>
      </w:r>
      <w:r w:rsidR="00AE12DF">
        <w:rPr>
          <w:lang w:val="en-US"/>
        </w:rPr>
        <w:t xml:space="preserve"> B.</w:t>
      </w:r>
      <w:r w:rsidR="00AE12DF" w:rsidRPr="00AE12DF">
        <w:rPr>
          <w:lang w:val="en-US"/>
        </w:rPr>
        <w:t xml:space="preserve"> Lippa,</w:t>
      </w:r>
      <w:r w:rsidR="00AE12DF">
        <w:rPr>
          <w:lang w:val="en-US"/>
        </w:rPr>
        <w:t xml:space="preserve"> R. E.</w:t>
      </w:r>
      <w:r w:rsidR="00AE12DF" w:rsidRPr="00AE12DF">
        <w:rPr>
          <w:lang w:val="en-US"/>
        </w:rPr>
        <w:t xml:space="preserve"> Dolle</w:t>
      </w:r>
      <w:r w:rsidR="00AE12DF">
        <w:rPr>
          <w:lang w:val="en-US"/>
        </w:rPr>
        <w:t xml:space="preserve">, </w:t>
      </w:r>
      <w:r w:rsidR="00AE12DF">
        <w:rPr>
          <w:i/>
          <w:lang w:val="en-US"/>
        </w:rPr>
        <w:t xml:space="preserve">ACS Med. Chem. Lett. </w:t>
      </w:r>
      <w:r w:rsidR="00AE12DF">
        <w:rPr>
          <w:lang w:val="en-US"/>
        </w:rPr>
        <w:t xml:space="preserve">2016, </w:t>
      </w:r>
      <w:r w:rsidR="00AE12DF">
        <w:rPr>
          <w:b/>
          <w:lang w:val="en-US"/>
        </w:rPr>
        <w:t>7</w:t>
      </w:r>
      <w:r w:rsidR="00AE12DF">
        <w:rPr>
          <w:lang w:val="en-US"/>
        </w:rPr>
        <w:t>, 374.</w:t>
      </w:r>
    </w:p>
    <w:p w14:paraId="7FB19ABA" w14:textId="14946971" w:rsidR="00F95167" w:rsidRPr="00F95167" w:rsidRDefault="00AE12DF" w:rsidP="00994D28">
      <w:pPr>
        <w:pStyle w:val="RSCR02References"/>
      </w:pPr>
      <w:r>
        <w:t xml:space="preserve">R. C. Clark, S. Y. Lee, M. Searcey, D. L. Boger, </w:t>
      </w:r>
      <w:r>
        <w:rPr>
          <w:i/>
        </w:rPr>
        <w:t xml:space="preserve">Nat. Prod. Rep. </w:t>
      </w:r>
      <w:r>
        <w:t xml:space="preserve">2009, </w:t>
      </w:r>
      <w:r>
        <w:rPr>
          <w:b/>
        </w:rPr>
        <w:t>26</w:t>
      </w:r>
      <w:r>
        <w:t>, 465.</w:t>
      </w:r>
    </w:p>
    <w:p w14:paraId="52D4233D" w14:textId="5FF3975D" w:rsidR="00AE12DF" w:rsidRPr="00AE12DF" w:rsidRDefault="00AE12DF" w:rsidP="00994D28">
      <w:pPr>
        <w:pStyle w:val="RSCR02References"/>
      </w:pPr>
      <w:r>
        <w:rPr>
          <w:lang w:val="en-US"/>
        </w:rPr>
        <w:t xml:space="preserve">M. </w:t>
      </w:r>
      <w:proofErr w:type="gramStart"/>
      <w:r>
        <w:rPr>
          <w:lang w:val="en-US"/>
        </w:rPr>
        <w:t>M.Cominetti</w:t>
      </w:r>
      <w:proofErr w:type="gramEnd"/>
      <w:r w:rsidRPr="00AE12DF">
        <w:rPr>
          <w:lang w:val="en-US"/>
        </w:rPr>
        <w:t>,</w:t>
      </w:r>
      <w:r>
        <w:rPr>
          <w:lang w:val="en-US"/>
        </w:rPr>
        <w:t xml:space="preserve"> S. A. Goffin</w:t>
      </w:r>
      <w:r w:rsidRPr="00AE12DF">
        <w:rPr>
          <w:lang w:val="en-US"/>
        </w:rPr>
        <w:t>,</w:t>
      </w:r>
      <w:r>
        <w:rPr>
          <w:lang w:val="en-US"/>
        </w:rPr>
        <w:t xml:space="preserve"> E. Raffel</w:t>
      </w:r>
      <w:r w:rsidRPr="00AE12DF">
        <w:rPr>
          <w:lang w:val="en-US"/>
        </w:rPr>
        <w:t>,</w:t>
      </w:r>
      <w:r>
        <w:rPr>
          <w:lang w:val="en-US"/>
        </w:rPr>
        <w:t xml:space="preserve"> K. D.</w:t>
      </w:r>
      <w:r w:rsidRPr="00AE12DF">
        <w:rPr>
          <w:lang w:val="en-US"/>
        </w:rPr>
        <w:t xml:space="preserve"> Turner,</w:t>
      </w:r>
      <w:r>
        <w:rPr>
          <w:lang w:val="en-US"/>
        </w:rPr>
        <w:t xml:space="preserve"> J. C. Ramoutar</w:t>
      </w:r>
      <w:r w:rsidRPr="00AE12DF">
        <w:rPr>
          <w:lang w:val="en-US"/>
        </w:rPr>
        <w:t>,</w:t>
      </w:r>
      <w:r>
        <w:rPr>
          <w:lang w:val="en-US"/>
        </w:rPr>
        <w:t xml:space="preserve"> M .A.</w:t>
      </w:r>
      <w:r w:rsidRPr="00AE12DF">
        <w:rPr>
          <w:lang w:val="en-US"/>
        </w:rPr>
        <w:t xml:space="preserve"> O'Connell, </w:t>
      </w:r>
      <w:r>
        <w:rPr>
          <w:lang w:val="en-US"/>
        </w:rPr>
        <w:t xml:space="preserve">L. A. </w:t>
      </w:r>
      <w:r w:rsidRPr="00AE12DF">
        <w:rPr>
          <w:lang w:val="en-US"/>
        </w:rPr>
        <w:t>Howell,</w:t>
      </w:r>
      <w:r>
        <w:rPr>
          <w:lang w:val="en-US"/>
        </w:rPr>
        <w:t xml:space="preserve"> M. Searcey. </w:t>
      </w:r>
      <w:r>
        <w:rPr>
          <w:i/>
          <w:lang w:val="en-US"/>
        </w:rPr>
        <w:t xml:space="preserve">Bioorg. Med. Chem. Lett. </w:t>
      </w:r>
      <w:r>
        <w:rPr>
          <w:lang w:val="en-US"/>
        </w:rPr>
        <w:t xml:space="preserve">2015, </w:t>
      </w:r>
      <w:r>
        <w:rPr>
          <w:b/>
          <w:lang w:val="en-US"/>
        </w:rPr>
        <w:t>25</w:t>
      </w:r>
      <w:r>
        <w:rPr>
          <w:lang w:val="en-US"/>
        </w:rPr>
        <w:t>, 4878.</w:t>
      </w:r>
    </w:p>
    <w:p w14:paraId="0D801D45" w14:textId="7E19B22E" w:rsidR="00F95167" w:rsidRPr="003C4D16" w:rsidRDefault="008731E2" w:rsidP="003C4D16">
      <w:pPr>
        <w:pStyle w:val="RSCR02References"/>
        <w:rPr>
          <w:lang w:val="en-US"/>
        </w:rPr>
      </w:pPr>
      <w:r>
        <w:rPr>
          <w:lang w:val="en-US"/>
        </w:rPr>
        <w:t>H.</w:t>
      </w:r>
      <w:r w:rsidR="003C4D16">
        <w:rPr>
          <w:lang w:val="en-US"/>
        </w:rPr>
        <w:t xml:space="preserve"> </w:t>
      </w:r>
      <w:r>
        <w:rPr>
          <w:lang w:val="en-US"/>
        </w:rPr>
        <w:t>B. Qiu, X.</w:t>
      </w:r>
      <w:r w:rsidR="003C4D16">
        <w:rPr>
          <w:lang w:val="en-US"/>
        </w:rPr>
        <w:t xml:space="preserve"> </w:t>
      </w:r>
      <w:r>
        <w:rPr>
          <w:lang w:val="en-US"/>
        </w:rPr>
        <w:t>Y. Chen, Q. Li, W.</w:t>
      </w:r>
      <w:r w:rsidR="003C4D16">
        <w:rPr>
          <w:lang w:val="en-US"/>
        </w:rPr>
        <w:t xml:space="preserve"> </w:t>
      </w:r>
      <w:r>
        <w:rPr>
          <w:lang w:val="en-US"/>
        </w:rPr>
        <w:t>J. Qian, S.</w:t>
      </w:r>
      <w:r w:rsidR="003C4D16">
        <w:rPr>
          <w:lang w:val="en-US"/>
        </w:rPr>
        <w:t xml:space="preserve"> </w:t>
      </w:r>
      <w:r>
        <w:rPr>
          <w:lang w:val="en-US"/>
        </w:rPr>
        <w:t>M. Yu, G.</w:t>
      </w:r>
      <w:r w:rsidR="003C4D16">
        <w:rPr>
          <w:lang w:val="en-US"/>
        </w:rPr>
        <w:t xml:space="preserve"> </w:t>
      </w:r>
      <w:r>
        <w:rPr>
          <w:lang w:val="en-US"/>
        </w:rPr>
        <w:t xml:space="preserve">L. Tang, </w:t>
      </w:r>
      <w:r w:rsidR="003C4D16">
        <w:rPr>
          <w:lang w:val="en-US"/>
        </w:rPr>
        <w:t xml:space="preserve">Z. </w:t>
      </w:r>
      <w:r>
        <w:rPr>
          <w:lang w:val="en-US"/>
        </w:rPr>
        <w:t>J. Yao</w:t>
      </w:r>
      <w:r w:rsidR="003C4D16">
        <w:rPr>
          <w:lang w:val="en-US"/>
        </w:rPr>
        <w:t xml:space="preserve">, </w:t>
      </w:r>
      <w:r w:rsidRPr="003C4D16">
        <w:rPr>
          <w:i/>
          <w:lang w:val="en-US"/>
        </w:rPr>
        <w:t>Tetrahedron Lett.</w:t>
      </w:r>
      <w:r w:rsidRPr="003C4D16">
        <w:rPr>
          <w:lang w:val="en-US"/>
        </w:rPr>
        <w:t>,</w:t>
      </w:r>
      <w:r w:rsidR="003C4D16">
        <w:rPr>
          <w:lang w:val="en-US"/>
        </w:rPr>
        <w:t xml:space="preserve"> 2014,</w:t>
      </w:r>
      <w:r w:rsidRPr="003C4D16">
        <w:rPr>
          <w:lang w:val="en-US"/>
        </w:rPr>
        <w:t xml:space="preserve"> </w:t>
      </w:r>
      <w:r w:rsidRPr="003C4D16">
        <w:rPr>
          <w:b/>
          <w:lang w:val="en-US"/>
        </w:rPr>
        <w:t>55</w:t>
      </w:r>
      <w:r w:rsidR="003C4D16">
        <w:rPr>
          <w:lang w:val="en-US"/>
        </w:rPr>
        <w:t>,</w:t>
      </w:r>
      <w:r w:rsidRPr="003C4D16">
        <w:rPr>
          <w:lang w:val="en-US"/>
        </w:rPr>
        <w:t xml:space="preserve"> 6055</w:t>
      </w:r>
      <w:r w:rsidR="003C4D16">
        <w:rPr>
          <w:lang w:val="en-US"/>
        </w:rPr>
        <w:t>.</w:t>
      </w:r>
    </w:p>
    <w:p w14:paraId="105CE92A" w14:textId="77777777" w:rsidR="00F95167" w:rsidRDefault="00F95167" w:rsidP="00F95167">
      <w:pPr>
        <w:pStyle w:val="RSCR02References"/>
      </w:pPr>
      <w:r>
        <w:rPr>
          <w:lang w:val="en-US"/>
        </w:rPr>
        <w:t>J. Schimana, H. P.</w:t>
      </w:r>
      <w:r w:rsidRPr="008730E4">
        <w:rPr>
          <w:lang w:val="en-US"/>
        </w:rPr>
        <w:t xml:space="preserve"> Fiedler, </w:t>
      </w:r>
      <w:r>
        <w:rPr>
          <w:lang w:val="en-US"/>
        </w:rPr>
        <w:t>I.</w:t>
      </w:r>
      <w:r w:rsidRPr="008730E4">
        <w:rPr>
          <w:lang w:val="en-US"/>
        </w:rPr>
        <w:t xml:space="preserve"> Groth, </w:t>
      </w:r>
      <w:r>
        <w:rPr>
          <w:lang w:val="en-US"/>
        </w:rPr>
        <w:t>R.</w:t>
      </w:r>
      <w:r w:rsidRPr="008730E4">
        <w:rPr>
          <w:lang w:val="en-US"/>
        </w:rPr>
        <w:t xml:space="preserve"> Sussmuth, </w:t>
      </w:r>
      <w:r>
        <w:rPr>
          <w:lang w:val="en-US"/>
        </w:rPr>
        <w:t>W.</w:t>
      </w:r>
      <w:r w:rsidRPr="008730E4">
        <w:rPr>
          <w:lang w:val="en-US"/>
        </w:rPr>
        <w:t xml:space="preserve"> Beil, </w:t>
      </w:r>
      <w:r>
        <w:rPr>
          <w:lang w:val="en-US"/>
        </w:rPr>
        <w:t>M.</w:t>
      </w:r>
      <w:r w:rsidRPr="008730E4">
        <w:rPr>
          <w:lang w:val="en-US"/>
        </w:rPr>
        <w:t xml:space="preserve"> Walker</w:t>
      </w:r>
      <w:r>
        <w:rPr>
          <w:lang w:val="en-US"/>
        </w:rPr>
        <w:t xml:space="preserve"> and A.</w:t>
      </w:r>
      <w:r w:rsidRPr="008730E4">
        <w:rPr>
          <w:lang w:val="en-US"/>
        </w:rPr>
        <w:t xml:space="preserve"> Zeeck, </w:t>
      </w:r>
      <w:r w:rsidRPr="008730E4">
        <w:rPr>
          <w:i/>
          <w:lang w:val="en-US"/>
        </w:rPr>
        <w:t xml:space="preserve">J. Antibiot. </w:t>
      </w:r>
      <w:r w:rsidRPr="008730E4">
        <w:rPr>
          <w:lang w:val="en-US"/>
        </w:rPr>
        <w:t xml:space="preserve">2000, </w:t>
      </w:r>
      <w:r w:rsidRPr="008730E4">
        <w:rPr>
          <w:b/>
          <w:lang w:val="en-US"/>
        </w:rPr>
        <w:t>53</w:t>
      </w:r>
      <w:r>
        <w:rPr>
          <w:lang w:val="en-US"/>
        </w:rPr>
        <w:t>, 779</w:t>
      </w:r>
      <w:r w:rsidRPr="008730E4">
        <w:rPr>
          <w:lang w:val="en-US"/>
        </w:rPr>
        <w:t>.</w:t>
      </w:r>
    </w:p>
    <w:p w14:paraId="6C0C82A3" w14:textId="77777777" w:rsidR="004B5DF8" w:rsidRDefault="004B5DF8" w:rsidP="004B5DF8">
      <w:pPr>
        <w:pStyle w:val="RSCR02References"/>
      </w:pPr>
      <w:r>
        <w:t xml:space="preserve">J. J. </w:t>
      </w:r>
      <w:r w:rsidRPr="00994D28">
        <w:rPr>
          <w:lang w:val="en-US"/>
        </w:rPr>
        <w:t xml:space="preserve">Champoux, </w:t>
      </w:r>
      <w:r w:rsidRPr="00994D28">
        <w:rPr>
          <w:i/>
          <w:lang w:val="en-US"/>
        </w:rPr>
        <w:t xml:space="preserve">Annu. Rev. Biochem. </w:t>
      </w:r>
      <w:r w:rsidRPr="00994D28">
        <w:rPr>
          <w:lang w:val="en-US"/>
        </w:rPr>
        <w:t xml:space="preserve">2001, </w:t>
      </w:r>
      <w:r w:rsidRPr="00994D28">
        <w:rPr>
          <w:b/>
          <w:lang w:val="en-US"/>
        </w:rPr>
        <w:t>70</w:t>
      </w:r>
      <w:r>
        <w:rPr>
          <w:lang w:val="en-US"/>
        </w:rPr>
        <w:t>, 369</w:t>
      </w:r>
      <w:r w:rsidRPr="00994D28">
        <w:rPr>
          <w:lang w:val="en-US"/>
        </w:rPr>
        <w:t>.</w:t>
      </w:r>
    </w:p>
    <w:p w14:paraId="3B949321" w14:textId="77777777" w:rsidR="005023A0" w:rsidRDefault="005023A0" w:rsidP="005023A0">
      <w:pPr>
        <w:pStyle w:val="RSCR02References"/>
      </w:pPr>
      <w:r>
        <w:t xml:space="preserve">M. </w:t>
      </w:r>
      <w:r>
        <w:rPr>
          <w:lang w:val="en-US"/>
        </w:rPr>
        <w:t>Gellert, K. Mizuuchi, M. H.</w:t>
      </w:r>
      <w:r w:rsidRPr="00994D28">
        <w:rPr>
          <w:lang w:val="en-US"/>
        </w:rPr>
        <w:t xml:space="preserve"> O'Dea, </w:t>
      </w:r>
      <w:r>
        <w:rPr>
          <w:lang w:val="en-US"/>
        </w:rPr>
        <w:t>and H. A.</w:t>
      </w:r>
      <w:r w:rsidRPr="00994D28">
        <w:rPr>
          <w:lang w:val="en-US"/>
        </w:rPr>
        <w:t xml:space="preserve"> Nash, </w:t>
      </w:r>
      <w:r w:rsidRPr="00994D28">
        <w:rPr>
          <w:i/>
          <w:lang w:val="en-US"/>
        </w:rPr>
        <w:t xml:space="preserve">P. Natl. Acad. Sci. USA </w:t>
      </w:r>
      <w:r w:rsidRPr="00994D28">
        <w:rPr>
          <w:lang w:val="en-US"/>
        </w:rPr>
        <w:t>1976</w:t>
      </w:r>
      <w:r w:rsidRPr="00994D28">
        <w:rPr>
          <w:b/>
          <w:lang w:val="en-US"/>
        </w:rPr>
        <w:t>,</w:t>
      </w:r>
      <w:r w:rsidRPr="00994D28">
        <w:rPr>
          <w:lang w:val="en-US"/>
        </w:rPr>
        <w:t xml:space="preserve"> </w:t>
      </w:r>
      <w:r w:rsidRPr="00994D28">
        <w:rPr>
          <w:b/>
          <w:lang w:val="en-US"/>
        </w:rPr>
        <w:t>73</w:t>
      </w:r>
      <w:r>
        <w:rPr>
          <w:lang w:val="en-US"/>
        </w:rPr>
        <w:t>, 3872</w:t>
      </w:r>
    </w:p>
    <w:p w14:paraId="6D6BD872" w14:textId="77777777" w:rsidR="00982304" w:rsidRPr="00ED0939" w:rsidRDefault="00982304" w:rsidP="00982304">
      <w:pPr>
        <w:pStyle w:val="RSCR02References"/>
      </w:pPr>
      <w:r>
        <w:t xml:space="preserve">F. </w:t>
      </w:r>
      <w:r w:rsidRPr="00CF17C2">
        <w:rPr>
          <w:lang w:val="en-US"/>
        </w:rPr>
        <w:t xml:space="preserve">Collin, </w:t>
      </w:r>
      <w:r>
        <w:rPr>
          <w:lang w:val="en-US"/>
        </w:rPr>
        <w:t>S. Karkare and</w:t>
      </w:r>
      <w:r w:rsidRPr="00CF17C2">
        <w:rPr>
          <w:lang w:val="en-US"/>
        </w:rPr>
        <w:t xml:space="preserve"> </w:t>
      </w:r>
      <w:r>
        <w:rPr>
          <w:lang w:val="en-US"/>
        </w:rPr>
        <w:t>A.</w:t>
      </w:r>
      <w:r w:rsidRPr="00CF17C2">
        <w:rPr>
          <w:lang w:val="en-US"/>
        </w:rPr>
        <w:t xml:space="preserve"> Maxwell, </w:t>
      </w:r>
      <w:r w:rsidRPr="00CF17C2">
        <w:rPr>
          <w:i/>
          <w:lang w:val="en-US"/>
        </w:rPr>
        <w:t xml:space="preserve">Appl. Microbiol. Biot. </w:t>
      </w:r>
      <w:r w:rsidRPr="00CF17C2">
        <w:rPr>
          <w:lang w:val="en-US"/>
        </w:rPr>
        <w:t>2011</w:t>
      </w:r>
      <w:r w:rsidRPr="00CF17C2">
        <w:rPr>
          <w:b/>
          <w:lang w:val="en-US"/>
        </w:rPr>
        <w:t>,</w:t>
      </w:r>
      <w:r w:rsidRPr="00CF17C2">
        <w:rPr>
          <w:lang w:val="en-US"/>
        </w:rPr>
        <w:t xml:space="preserve"> </w:t>
      </w:r>
      <w:r w:rsidRPr="00CF17C2">
        <w:rPr>
          <w:b/>
          <w:lang w:val="en-US"/>
        </w:rPr>
        <w:t>92</w:t>
      </w:r>
      <w:r>
        <w:rPr>
          <w:lang w:val="en-US"/>
        </w:rPr>
        <w:t>, 479</w:t>
      </w:r>
      <w:r w:rsidRPr="00CF17C2">
        <w:rPr>
          <w:lang w:val="en-US"/>
        </w:rPr>
        <w:t>.</w:t>
      </w:r>
    </w:p>
    <w:p w14:paraId="57993E50" w14:textId="77777777" w:rsidR="00982304" w:rsidRDefault="00982304" w:rsidP="00982304">
      <w:pPr>
        <w:pStyle w:val="RSCR02References"/>
      </w:pPr>
      <w:r>
        <w:rPr>
          <w:lang w:val="en-US"/>
        </w:rPr>
        <w:t xml:space="preserve">A. </w:t>
      </w:r>
      <w:r w:rsidRPr="00FD7713">
        <w:rPr>
          <w:lang w:val="en-US"/>
        </w:rPr>
        <w:t xml:space="preserve">Wohlkonig, </w:t>
      </w:r>
      <w:r>
        <w:rPr>
          <w:lang w:val="en-US"/>
        </w:rPr>
        <w:t xml:space="preserve">P. F. </w:t>
      </w:r>
      <w:r w:rsidRPr="00FD7713">
        <w:rPr>
          <w:lang w:val="en-US"/>
        </w:rPr>
        <w:t xml:space="preserve">Chan, </w:t>
      </w:r>
      <w:r>
        <w:rPr>
          <w:lang w:val="en-US"/>
        </w:rPr>
        <w:t>A. P.</w:t>
      </w:r>
      <w:r w:rsidRPr="00FD7713">
        <w:rPr>
          <w:lang w:val="en-US"/>
        </w:rPr>
        <w:t xml:space="preserve"> Fosberry,</w:t>
      </w:r>
      <w:r>
        <w:rPr>
          <w:lang w:val="en-US"/>
        </w:rPr>
        <w:t xml:space="preserve"> P.</w:t>
      </w:r>
      <w:r w:rsidRPr="00FD7713">
        <w:rPr>
          <w:lang w:val="en-US"/>
        </w:rPr>
        <w:t xml:space="preserve"> Homes, </w:t>
      </w:r>
      <w:r>
        <w:rPr>
          <w:lang w:val="en-US"/>
        </w:rPr>
        <w:t>J.</w:t>
      </w:r>
      <w:r w:rsidRPr="00FD7713">
        <w:rPr>
          <w:lang w:val="en-US"/>
        </w:rPr>
        <w:t xml:space="preserve"> Huang, </w:t>
      </w:r>
      <w:r>
        <w:rPr>
          <w:lang w:val="en-US"/>
        </w:rPr>
        <w:t>M.</w:t>
      </w:r>
      <w:r w:rsidRPr="00FD7713">
        <w:rPr>
          <w:lang w:val="en-US"/>
        </w:rPr>
        <w:t xml:space="preserve"> Kranz, </w:t>
      </w:r>
      <w:r>
        <w:rPr>
          <w:lang w:val="en-US"/>
        </w:rPr>
        <w:t>V. R.</w:t>
      </w:r>
      <w:r w:rsidRPr="00FD7713">
        <w:rPr>
          <w:lang w:val="en-US"/>
        </w:rPr>
        <w:t xml:space="preserve"> Leydon, </w:t>
      </w:r>
      <w:r>
        <w:rPr>
          <w:lang w:val="en-US"/>
        </w:rPr>
        <w:t>T. J.</w:t>
      </w:r>
      <w:r w:rsidRPr="00FD7713">
        <w:rPr>
          <w:lang w:val="en-US"/>
        </w:rPr>
        <w:t xml:space="preserve"> Miles, </w:t>
      </w:r>
      <w:r>
        <w:rPr>
          <w:lang w:val="en-US"/>
        </w:rPr>
        <w:t>N. D.</w:t>
      </w:r>
      <w:r w:rsidRPr="00FD7713">
        <w:rPr>
          <w:lang w:val="en-US"/>
        </w:rPr>
        <w:t xml:space="preserve"> Pearson, </w:t>
      </w:r>
      <w:r>
        <w:rPr>
          <w:lang w:val="en-US"/>
        </w:rPr>
        <w:t>R. L.</w:t>
      </w:r>
      <w:r w:rsidRPr="00FD7713">
        <w:rPr>
          <w:lang w:val="en-US"/>
        </w:rPr>
        <w:t xml:space="preserve"> Perera, </w:t>
      </w:r>
      <w:r>
        <w:rPr>
          <w:lang w:val="en-US"/>
        </w:rPr>
        <w:t>A. J.</w:t>
      </w:r>
      <w:r w:rsidRPr="00FD7713">
        <w:rPr>
          <w:lang w:val="en-US"/>
        </w:rPr>
        <w:t xml:space="preserve"> Shillings, </w:t>
      </w:r>
      <w:r>
        <w:rPr>
          <w:lang w:val="en-US"/>
        </w:rPr>
        <w:t>M. N.</w:t>
      </w:r>
      <w:r w:rsidRPr="00FD7713">
        <w:rPr>
          <w:lang w:val="en-US"/>
        </w:rPr>
        <w:t xml:space="preserve"> Gwynn, </w:t>
      </w:r>
      <w:r>
        <w:rPr>
          <w:lang w:val="en-US"/>
        </w:rPr>
        <w:t>B. D.</w:t>
      </w:r>
      <w:r w:rsidRPr="00FD7713">
        <w:rPr>
          <w:lang w:val="en-US"/>
        </w:rPr>
        <w:t xml:space="preserve"> Bax, </w:t>
      </w:r>
      <w:r w:rsidRPr="00FD7713">
        <w:rPr>
          <w:i/>
          <w:lang w:val="en-US"/>
        </w:rPr>
        <w:t xml:space="preserve">Nat. Struct. Mol. Biol. </w:t>
      </w:r>
      <w:r w:rsidRPr="00E34619">
        <w:rPr>
          <w:lang w:val="en-US"/>
        </w:rPr>
        <w:t>2010,</w:t>
      </w:r>
      <w:r w:rsidRPr="00FD7713">
        <w:rPr>
          <w:lang w:val="en-US"/>
        </w:rPr>
        <w:t xml:space="preserve"> </w:t>
      </w:r>
      <w:r w:rsidRPr="00E34619">
        <w:rPr>
          <w:b/>
          <w:lang w:val="en-US"/>
        </w:rPr>
        <w:t>17</w:t>
      </w:r>
      <w:r>
        <w:rPr>
          <w:lang w:val="en-US"/>
        </w:rPr>
        <w:t xml:space="preserve">, 1152; I. </w:t>
      </w:r>
      <w:r w:rsidRPr="00FD7713">
        <w:rPr>
          <w:lang w:val="en-US"/>
        </w:rPr>
        <w:t xml:space="preserve">Laponogov, </w:t>
      </w:r>
      <w:r>
        <w:rPr>
          <w:lang w:val="en-US"/>
        </w:rPr>
        <w:t>M. K.</w:t>
      </w:r>
      <w:r w:rsidRPr="00FD7713">
        <w:rPr>
          <w:lang w:val="en-US"/>
        </w:rPr>
        <w:t xml:space="preserve"> Sohi, </w:t>
      </w:r>
      <w:r>
        <w:rPr>
          <w:lang w:val="en-US"/>
        </w:rPr>
        <w:t>D. A.</w:t>
      </w:r>
      <w:r w:rsidRPr="00FD7713">
        <w:rPr>
          <w:lang w:val="en-US"/>
        </w:rPr>
        <w:t xml:space="preserve"> Veselkov, </w:t>
      </w:r>
      <w:r>
        <w:rPr>
          <w:lang w:val="en-US"/>
        </w:rPr>
        <w:t>X. S.</w:t>
      </w:r>
      <w:r w:rsidRPr="00FD7713">
        <w:rPr>
          <w:lang w:val="en-US"/>
        </w:rPr>
        <w:t xml:space="preserve"> Pan, </w:t>
      </w:r>
      <w:r>
        <w:rPr>
          <w:lang w:val="en-US"/>
        </w:rPr>
        <w:t>R.</w:t>
      </w:r>
      <w:r w:rsidRPr="00FD7713">
        <w:rPr>
          <w:lang w:val="en-US"/>
        </w:rPr>
        <w:t xml:space="preserve"> Sawhney, </w:t>
      </w:r>
      <w:r>
        <w:rPr>
          <w:lang w:val="en-US"/>
        </w:rPr>
        <w:t>A. W.</w:t>
      </w:r>
      <w:r w:rsidRPr="00FD7713">
        <w:rPr>
          <w:lang w:val="en-US"/>
        </w:rPr>
        <w:t xml:space="preserve"> Thompson, </w:t>
      </w:r>
      <w:r>
        <w:rPr>
          <w:lang w:val="en-US"/>
        </w:rPr>
        <w:t>K. E.</w:t>
      </w:r>
      <w:r w:rsidRPr="00FD7713">
        <w:rPr>
          <w:lang w:val="en-US"/>
        </w:rPr>
        <w:t xml:space="preserve"> McAuley, </w:t>
      </w:r>
      <w:r>
        <w:rPr>
          <w:lang w:val="en-US"/>
        </w:rPr>
        <w:t>L. M. Fisher</w:t>
      </w:r>
      <w:r w:rsidRPr="00FD7713">
        <w:rPr>
          <w:lang w:val="en-US"/>
        </w:rPr>
        <w:t xml:space="preserve"> </w:t>
      </w:r>
      <w:r>
        <w:rPr>
          <w:lang w:val="en-US"/>
        </w:rPr>
        <w:t>and M. R.</w:t>
      </w:r>
      <w:r w:rsidRPr="00FD7713">
        <w:rPr>
          <w:lang w:val="en-US"/>
        </w:rPr>
        <w:t xml:space="preserve"> Sanderson, </w:t>
      </w:r>
      <w:r w:rsidRPr="00FD7713">
        <w:rPr>
          <w:i/>
          <w:lang w:val="en-US"/>
        </w:rPr>
        <w:t xml:space="preserve">Nat. Struct. Mol. Biol. </w:t>
      </w:r>
      <w:r w:rsidRPr="00E34619">
        <w:rPr>
          <w:lang w:val="en-US"/>
        </w:rPr>
        <w:t>2009,</w:t>
      </w:r>
      <w:r w:rsidRPr="00FD7713">
        <w:rPr>
          <w:lang w:val="en-US"/>
        </w:rPr>
        <w:t xml:space="preserve"> </w:t>
      </w:r>
      <w:r w:rsidRPr="00E34619">
        <w:rPr>
          <w:b/>
          <w:lang w:val="en-US"/>
        </w:rPr>
        <w:t>16</w:t>
      </w:r>
      <w:r>
        <w:rPr>
          <w:lang w:val="en-US"/>
        </w:rPr>
        <w:t xml:space="preserve">, 667; I. </w:t>
      </w:r>
      <w:r w:rsidRPr="00FD7713">
        <w:rPr>
          <w:lang w:val="en-US"/>
        </w:rPr>
        <w:t xml:space="preserve">Laponogov, </w:t>
      </w:r>
      <w:r>
        <w:rPr>
          <w:lang w:val="en-US"/>
        </w:rPr>
        <w:t>X.-S</w:t>
      </w:r>
      <w:r w:rsidRPr="00FD7713">
        <w:rPr>
          <w:lang w:val="en-US"/>
        </w:rPr>
        <w:t xml:space="preserve"> Pan, </w:t>
      </w:r>
      <w:r>
        <w:rPr>
          <w:lang w:val="en-US"/>
        </w:rPr>
        <w:t>D. A.</w:t>
      </w:r>
      <w:r w:rsidRPr="00FD7713">
        <w:rPr>
          <w:lang w:val="en-US"/>
        </w:rPr>
        <w:t xml:space="preserve"> Veselkov, </w:t>
      </w:r>
      <w:r>
        <w:rPr>
          <w:lang w:val="en-US"/>
        </w:rPr>
        <w:t>K. E.</w:t>
      </w:r>
      <w:r w:rsidRPr="00FD7713">
        <w:rPr>
          <w:lang w:val="en-US"/>
        </w:rPr>
        <w:t xml:space="preserve"> McAuley, </w:t>
      </w:r>
      <w:r>
        <w:rPr>
          <w:lang w:val="en-US"/>
        </w:rPr>
        <w:t>L. M. Fisher and</w:t>
      </w:r>
      <w:r w:rsidRPr="00FD7713">
        <w:rPr>
          <w:lang w:val="en-US"/>
        </w:rPr>
        <w:t xml:space="preserve"> </w:t>
      </w:r>
      <w:r>
        <w:rPr>
          <w:lang w:val="en-US"/>
        </w:rPr>
        <w:t>M. R.</w:t>
      </w:r>
      <w:r w:rsidRPr="00FD7713">
        <w:rPr>
          <w:lang w:val="en-US"/>
        </w:rPr>
        <w:t xml:space="preserve"> Sanderson, </w:t>
      </w:r>
      <w:r>
        <w:rPr>
          <w:i/>
          <w:lang w:val="en-US"/>
        </w:rPr>
        <w:t>PloS O</w:t>
      </w:r>
      <w:r w:rsidRPr="00FD7713">
        <w:rPr>
          <w:i/>
          <w:lang w:val="en-US"/>
        </w:rPr>
        <w:t xml:space="preserve">ne </w:t>
      </w:r>
      <w:r w:rsidRPr="00E34619">
        <w:rPr>
          <w:lang w:val="en-US"/>
        </w:rPr>
        <w:t>2010,</w:t>
      </w:r>
      <w:r w:rsidRPr="00FD7713">
        <w:rPr>
          <w:lang w:val="en-US"/>
        </w:rPr>
        <w:t xml:space="preserve"> </w:t>
      </w:r>
      <w:r w:rsidRPr="00E34619">
        <w:rPr>
          <w:b/>
          <w:lang w:val="en-US"/>
        </w:rPr>
        <w:t>5</w:t>
      </w:r>
      <w:r w:rsidRPr="00FD7713">
        <w:rPr>
          <w:lang w:val="en-US"/>
        </w:rPr>
        <w:t>, e11338.</w:t>
      </w:r>
    </w:p>
    <w:p w14:paraId="4EC61EF4" w14:textId="77777777" w:rsidR="00982304" w:rsidRDefault="00982304" w:rsidP="00982304">
      <w:pPr>
        <w:pStyle w:val="RSCR02References"/>
      </w:pPr>
      <w:r>
        <w:lastRenderedPageBreak/>
        <w:t xml:space="preserve">M. </w:t>
      </w:r>
      <w:r w:rsidRPr="0019253B">
        <w:rPr>
          <w:lang w:val="en-US"/>
        </w:rPr>
        <w:t xml:space="preserve">Gellert, </w:t>
      </w:r>
      <w:r>
        <w:rPr>
          <w:lang w:val="en-US"/>
        </w:rPr>
        <w:t>M. H.</w:t>
      </w:r>
      <w:r w:rsidRPr="0019253B">
        <w:rPr>
          <w:lang w:val="en-US"/>
        </w:rPr>
        <w:t xml:space="preserve"> O'Dea, </w:t>
      </w:r>
      <w:r>
        <w:rPr>
          <w:lang w:val="en-US"/>
        </w:rPr>
        <w:t>T. Itoh and</w:t>
      </w:r>
      <w:r w:rsidRPr="0019253B">
        <w:rPr>
          <w:lang w:val="en-US"/>
        </w:rPr>
        <w:t xml:space="preserve"> </w:t>
      </w:r>
      <w:r>
        <w:rPr>
          <w:lang w:val="en-US"/>
        </w:rPr>
        <w:t>J.</w:t>
      </w:r>
      <w:r w:rsidRPr="0019253B">
        <w:rPr>
          <w:lang w:val="en-US"/>
        </w:rPr>
        <w:t xml:space="preserve"> Tomizawa, J., </w:t>
      </w:r>
      <w:r w:rsidRPr="0019253B">
        <w:rPr>
          <w:i/>
          <w:lang w:val="en-US"/>
        </w:rPr>
        <w:t>P</w:t>
      </w:r>
      <w:r>
        <w:rPr>
          <w:i/>
          <w:lang w:val="en-US"/>
        </w:rPr>
        <w:t>roc. Natl. Acad. Sci.</w:t>
      </w:r>
      <w:r w:rsidRPr="0019253B">
        <w:rPr>
          <w:i/>
          <w:lang w:val="en-US"/>
        </w:rPr>
        <w:t xml:space="preserve"> </w:t>
      </w:r>
      <w:r w:rsidRPr="009D5AAF">
        <w:rPr>
          <w:lang w:val="en-US"/>
        </w:rPr>
        <w:t>1976,</w:t>
      </w:r>
      <w:r w:rsidRPr="0019253B">
        <w:rPr>
          <w:lang w:val="en-US"/>
        </w:rPr>
        <w:t xml:space="preserve"> </w:t>
      </w:r>
      <w:r w:rsidRPr="009D5AAF">
        <w:rPr>
          <w:b/>
          <w:lang w:val="en-US"/>
        </w:rPr>
        <w:t>73</w:t>
      </w:r>
      <w:r>
        <w:rPr>
          <w:lang w:val="en-US"/>
        </w:rPr>
        <w:t>, 4474</w:t>
      </w:r>
      <w:r w:rsidRPr="0019253B">
        <w:rPr>
          <w:lang w:val="en-US"/>
        </w:rPr>
        <w:t xml:space="preserve">; </w:t>
      </w:r>
      <w:r>
        <w:rPr>
          <w:lang w:val="en-US"/>
        </w:rPr>
        <w:t>K.</w:t>
      </w:r>
      <w:r w:rsidRPr="0019253B">
        <w:rPr>
          <w:lang w:val="en-US"/>
        </w:rPr>
        <w:t xml:space="preserve"> Mizuuchi, </w:t>
      </w:r>
      <w:r>
        <w:rPr>
          <w:lang w:val="en-US"/>
        </w:rPr>
        <w:t xml:space="preserve">M. H. </w:t>
      </w:r>
      <w:r w:rsidRPr="0019253B">
        <w:rPr>
          <w:lang w:val="en-US"/>
        </w:rPr>
        <w:t xml:space="preserve">O'Dea, </w:t>
      </w:r>
      <w:r>
        <w:rPr>
          <w:lang w:val="en-US"/>
        </w:rPr>
        <w:t>and M.</w:t>
      </w:r>
      <w:r w:rsidRPr="0019253B">
        <w:rPr>
          <w:lang w:val="en-US"/>
        </w:rPr>
        <w:t xml:space="preserve"> Gellert, </w:t>
      </w:r>
      <w:r w:rsidRPr="0019253B">
        <w:rPr>
          <w:i/>
          <w:lang w:val="en-US"/>
        </w:rPr>
        <w:t>P</w:t>
      </w:r>
      <w:r>
        <w:rPr>
          <w:i/>
          <w:lang w:val="en-US"/>
        </w:rPr>
        <w:t>roc</w:t>
      </w:r>
      <w:r w:rsidRPr="0019253B">
        <w:rPr>
          <w:i/>
          <w:lang w:val="en-US"/>
        </w:rPr>
        <w:t xml:space="preserve">. Natl. Acad. Sci. </w:t>
      </w:r>
      <w:r w:rsidRPr="009D5AAF">
        <w:rPr>
          <w:lang w:val="en-US"/>
        </w:rPr>
        <w:t>1978,</w:t>
      </w:r>
      <w:r w:rsidRPr="0019253B">
        <w:rPr>
          <w:lang w:val="en-US"/>
        </w:rPr>
        <w:t xml:space="preserve"> </w:t>
      </w:r>
      <w:r w:rsidRPr="009D5AAF">
        <w:rPr>
          <w:b/>
          <w:lang w:val="en-US"/>
        </w:rPr>
        <w:t>75</w:t>
      </w:r>
      <w:r>
        <w:rPr>
          <w:lang w:val="en-US"/>
        </w:rPr>
        <w:t xml:space="preserve">, 5960; A. </w:t>
      </w:r>
      <w:r w:rsidRPr="0019253B">
        <w:rPr>
          <w:lang w:val="en-US"/>
        </w:rPr>
        <w:t xml:space="preserve">Sugino, </w:t>
      </w:r>
      <w:r>
        <w:rPr>
          <w:lang w:val="en-US"/>
        </w:rPr>
        <w:t>N. P.</w:t>
      </w:r>
      <w:r w:rsidRPr="0019253B">
        <w:rPr>
          <w:lang w:val="en-US"/>
        </w:rPr>
        <w:t xml:space="preserve"> Higgins, </w:t>
      </w:r>
      <w:r>
        <w:rPr>
          <w:lang w:val="en-US"/>
        </w:rPr>
        <w:t>P. O.</w:t>
      </w:r>
      <w:r w:rsidRPr="0019253B">
        <w:rPr>
          <w:lang w:val="en-US"/>
        </w:rPr>
        <w:t xml:space="preserve"> Brown, </w:t>
      </w:r>
      <w:r>
        <w:rPr>
          <w:lang w:val="en-US"/>
        </w:rPr>
        <w:t>C. L. Peebles and</w:t>
      </w:r>
      <w:r w:rsidRPr="0019253B">
        <w:rPr>
          <w:lang w:val="en-US"/>
        </w:rPr>
        <w:t xml:space="preserve"> </w:t>
      </w:r>
      <w:r>
        <w:rPr>
          <w:lang w:val="en-US"/>
        </w:rPr>
        <w:t>N. R.</w:t>
      </w:r>
      <w:r w:rsidRPr="0019253B">
        <w:rPr>
          <w:lang w:val="en-US"/>
        </w:rPr>
        <w:t xml:space="preserve"> Cozzarelli, </w:t>
      </w:r>
      <w:r w:rsidRPr="0019253B">
        <w:rPr>
          <w:i/>
          <w:lang w:val="en-US"/>
        </w:rPr>
        <w:t>P</w:t>
      </w:r>
      <w:r>
        <w:rPr>
          <w:i/>
          <w:lang w:val="en-US"/>
        </w:rPr>
        <w:t>roc</w:t>
      </w:r>
      <w:r w:rsidRPr="0019253B">
        <w:rPr>
          <w:i/>
          <w:lang w:val="en-US"/>
        </w:rPr>
        <w:t xml:space="preserve">. Natl. Acad. Sci. </w:t>
      </w:r>
      <w:r w:rsidRPr="00686CDC">
        <w:rPr>
          <w:lang w:val="en-US"/>
        </w:rPr>
        <w:t>1978,</w:t>
      </w:r>
      <w:r w:rsidRPr="0019253B">
        <w:rPr>
          <w:lang w:val="en-US"/>
        </w:rPr>
        <w:t xml:space="preserve"> </w:t>
      </w:r>
      <w:r w:rsidRPr="00686CDC">
        <w:rPr>
          <w:b/>
          <w:lang w:val="en-US"/>
        </w:rPr>
        <w:t>75</w:t>
      </w:r>
      <w:r>
        <w:rPr>
          <w:lang w:val="en-US"/>
        </w:rPr>
        <w:t>, 4838</w:t>
      </w:r>
      <w:r w:rsidRPr="0019253B">
        <w:rPr>
          <w:lang w:val="en-US"/>
        </w:rPr>
        <w:t>.</w:t>
      </w:r>
    </w:p>
    <w:p w14:paraId="107FC2F6" w14:textId="77777777" w:rsidR="00982304" w:rsidRDefault="00982304" w:rsidP="00982304">
      <w:pPr>
        <w:pStyle w:val="RSCR02References"/>
      </w:pPr>
      <w:r>
        <w:rPr>
          <w:lang w:val="en-US"/>
        </w:rPr>
        <w:t xml:space="preserve">R. H. </w:t>
      </w:r>
      <w:r w:rsidRPr="00686CDC">
        <w:rPr>
          <w:lang w:val="en-US"/>
        </w:rPr>
        <w:t xml:space="preserve">Flatman, </w:t>
      </w:r>
      <w:r>
        <w:rPr>
          <w:lang w:val="en-US"/>
        </w:rPr>
        <w:t>A. J.</w:t>
      </w:r>
      <w:r w:rsidRPr="00686CDC">
        <w:rPr>
          <w:lang w:val="en-US"/>
        </w:rPr>
        <w:t xml:space="preserve"> Howells,</w:t>
      </w:r>
      <w:r>
        <w:rPr>
          <w:lang w:val="en-US"/>
        </w:rPr>
        <w:t xml:space="preserve"> L. </w:t>
      </w:r>
      <w:r w:rsidRPr="00686CDC">
        <w:rPr>
          <w:lang w:val="en-US"/>
        </w:rPr>
        <w:t xml:space="preserve">Heide, </w:t>
      </w:r>
      <w:r>
        <w:rPr>
          <w:lang w:val="en-US"/>
        </w:rPr>
        <w:t>H. P.</w:t>
      </w:r>
      <w:r w:rsidRPr="00686CDC">
        <w:rPr>
          <w:lang w:val="en-US"/>
        </w:rPr>
        <w:t xml:space="preserve"> Fiedler</w:t>
      </w:r>
      <w:r>
        <w:rPr>
          <w:lang w:val="en-US"/>
        </w:rPr>
        <w:t xml:space="preserve"> </w:t>
      </w:r>
      <w:proofErr w:type="gramStart"/>
      <w:r>
        <w:rPr>
          <w:lang w:val="en-US"/>
        </w:rPr>
        <w:t xml:space="preserve">and </w:t>
      </w:r>
      <w:r w:rsidRPr="00686CDC">
        <w:rPr>
          <w:lang w:val="en-US"/>
        </w:rPr>
        <w:t xml:space="preserve"> </w:t>
      </w:r>
      <w:r>
        <w:rPr>
          <w:lang w:val="en-US"/>
        </w:rPr>
        <w:t>A.</w:t>
      </w:r>
      <w:proofErr w:type="gramEnd"/>
      <w:r>
        <w:rPr>
          <w:lang w:val="en-US"/>
        </w:rPr>
        <w:t xml:space="preserve"> </w:t>
      </w:r>
      <w:r w:rsidRPr="00686CDC">
        <w:rPr>
          <w:lang w:val="en-US"/>
        </w:rPr>
        <w:t xml:space="preserve">Maxwell, </w:t>
      </w:r>
      <w:r w:rsidRPr="00686CDC">
        <w:rPr>
          <w:i/>
          <w:lang w:val="en-US"/>
        </w:rPr>
        <w:t xml:space="preserve">Antimicrob. Agents Chemother. </w:t>
      </w:r>
      <w:r w:rsidRPr="00686CDC">
        <w:rPr>
          <w:lang w:val="en-US"/>
        </w:rPr>
        <w:t xml:space="preserve">2005, </w:t>
      </w:r>
      <w:r w:rsidRPr="00686CDC">
        <w:rPr>
          <w:b/>
          <w:lang w:val="en-US"/>
        </w:rPr>
        <w:t>49</w:t>
      </w:r>
      <w:r>
        <w:rPr>
          <w:lang w:val="en-US"/>
        </w:rPr>
        <w:t>, 1093</w:t>
      </w:r>
      <w:r w:rsidRPr="00686CDC">
        <w:rPr>
          <w:lang w:val="en-US"/>
        </w:rPr>
        <w:t>.</w:t>
      </w:r>
    </w:p>
    <w:p w14:paraId="2123B371" w14:textId="77777777" w:rsidR="00982304" w:rsidRDefault="00982304" w:rsidP="00982304">
      <w:pPr>
        <w:pStyle w:val="RSCR02References"/>
      </w:pPr>
      <w:r>
        <w:t xml:space="preserve">R. J. </w:t>
      </w:r>
      <w:r w:rsidRPr="00A0301B">
        <w:rPr>
          <w:lang w:val="en-US"/>
        </w:rPr>
        <w:t xml:space="preserve">Reece, </w:t>
      </w:r>
      <w:r>
        <w:rPr>
          <w:lang w:val="en-US"/>
        </w:rPr>
        <w:t>A.</w:t>
      </w:r>
      <w:r w:rsidRPr="00A0301B">
        <w:rPr>
          <w:lang w:val="en-US"/>
        </w:rPr>
        <w:t xml:space="preserve"> Maxwell</w:t>
      </w:r>
      <w:r>
        <w:rPr>
          <w:lang w:val="en-US"/>
        </w:rPr>
        <w:t xml:space="preserve"> and</w:t>
      </w:r>
      <w:r w:rsidRPr="00A0301B">
        <w:rPr>
          <w:lang w:val="en-US"/>
        </w:rPr>
        <w:t xml:space="preserve"> </w:t>
      </w:r>
      <w:r>
        <w:rPr>
          <w:lang w:val="en-US"/>
        </w:rPr>
        <w:t xml:space="preserve">J. C. </w:t>
      </w:r>
      <w:r w:rsidRPr="00A0301B">
        <w:rPr>
          <w:lang w:val="en-US"/>
        </w:rPr>
        <w:t xml:space="preserve">Wang, </w:t>
      </w:r>
      <w:r w:rsidRPr="00A0301B">
        <w:rPr>
          <w:i/>
          <w:lang w:val="en-US"/>
        </w:rPr>
        <w:t xml:space="preserve">Crit. Rev. Biochem. Mol. </w:t>
      </w:r>
      <w:r w:rsidRPr="00A0301B">
        <w:rPr>
          <w:lang w:val="en-US"/>
        </w:rPr>
        <w:t xml:space="preserve">1991, </w:t>
      </w:r>
      <w:r w:rsidRPr="00A0301B">
        <w:rPr>
          <w:b/>
          <w:lang w:val="en-US"/>
        </w:rPr>
        <w:t>26</w:t>
      </w:r>
      <w:r>
        <w:rPr>
          <w:lang w:val="en-US"/>
        </w:rPr>
        <w:t>, 335</w:t>
      </w:r>
      <w:r w:rsidRPr="00A0301B">
        <w:rPr>
          <w:lang w:val="en-US"/>
        </w:rPr>
        <w:t>.</w:t>
      </w:r>
    </w:p>
    <w:p w14:paraId="2FD3CEFB" w14:textId="311DAE6D" w:rsidR="00F95167" w:rsidRPr="00D41EE6" w:rsidRDefault="00AF706B" w:rsidP="00994D28">
      <w:pPr>
        <w:pStyle w:val="RSCR02References"/>
      </w:pPr>
      <w:r>
        <w:t xml:space="preserve">B. D. </w:t>
      </w:r>
      <w:r w:rsidRPr="00A0301B">
        <w:rPr>
          <w:lang w:val="en-US"/>
        </w:rPr>
        <w:t xml:space="preserve">Bax, </w:t>
      </w:r>
      <w:r>
        <w:rPr>
          <w:lang w:val="en-US"/>
        </w:rPr>
        <w:t>p. F.</w:t>
      </w:r>
      <w:r w:rsidRPr="00A0301B">
        <w:rPr>
          <w:lang w:val="en-US"/>
        </w:rPr>
        <w:t xml:space="preserve"> Chan, </w:t>
      </w:r>
      <w:r>
        <w:rPr>
          <w:lang w:val="en-US"/>
        </w:rPr>
        <w:t>D. S.</w:t>
      </w:r>
      <w:r w:rsidRPr="00A0301B">
        <w:rPr>
          <w:lang w:val="en-US"/>
        </w:rPr>
        <w:t xml:space="preserve"> Eggleston, </w:t>
      </w:r>
      <w:r>
        <w:rPr>
          <w:lang w:val="en-US"/>
        </w:rPr>
        <w:t>A.</w:t>
      </w:r>
      <w:r w:rsidRPr="00A0301B">
        <w:rPr>
          <w:lang w:val="en-US"/>
        </w:rPr>
        <w:t xml:space="preserve"> Fosberry, </w:t>
      </w:r>
      <w:r>
        <w:rPr>
          <w:lang w:val="en-US"/>
        </w:rPr>
        <w:t>D. R.</w:t>
      </w:r>
      <w:r w:rsidRPr="00A0301B">
        <w:rPr>
          <w:lang w:val="en-US"/>
        </w:rPr>
        <w:t xml:space="preserve"> Gentry, </w:t>
      </w:r>
      <w:r>
        <w:rPr>
          <w:lang w:val="en-US"/>
        </w:rPr>
        <w:t>F.</w:t>
      </w:r>
      <w:r w:rsidRPr="00A0301B">
        <w:rPr>
          <w:lang w:val="en-US"/>
        </w:rPr>
        <w:t xml:space="preserve"> Gorrec, </w:t>
      </w:r>
      <w:r>
        <w:rPr>
          <w:lang w:val="en-US"/>
        </w:rPr>
        <w:t>I.</w:t>
      </w:r>
      <w:r w:rsidRPr="00A0301B">
        <w:rPr>
          <w:lang w:val="en-US"/>
        </w:rPr>
        <w:t xml:space="preserve"> Giordano, </w:t>
      </w:r>
      <w:r>
        <w:rPr>
          <w:lang w:val="en-US"/>
        </w:rPr>
        <w:t>M. M.</w:t>
      </w:r>
      <w:r w:rsidRPr="00A0301B">
        <w:rPr>
          <w:lang w:val="en-US"/>
        </w:rPr>
        <w:t xml:space="preserve"> Hann, </w:t>
      </w:r>
      <w:r>
        <w:rPr>
          <w:lang w:val="en-US"/>
        </w:rPr>
        <w:t>A.</w:t>
      </w:r>
      <w:r w:rsidRPr="00A0301B">
        <w:rPr>
          <w:lang w:val="en-US"/>
        </w:rPr>
        <w:t xml:space="preserve"> Hennessy, </w:t>
      </w:r>
      <w:r>
        <w:rPr>
          <w:lang w:val="en-US"/>
        </w:rPr>
        <w:t>M.</w:t>
      </w:r>
      <w:r w:rsidRPr="00A0301B">
        <w:rPr>
          <w:lang w:val="en-US"/>
        </w:rPr>
        <w:t xml:space="preserve"> Hibbs, </w:t>
      </w:r>
      <w:r>
        <w:rPr>
          <w:lang w:val="en-US"/>
        </w:rPr>
        <w:t>J.</w:t>
      </w:r>
      <w:r w:rsidRPr="00A0301B">
        <w:rPr>
          <w:lang w:val="en-US"/>
        </w:rPr>
        <w:t xml:space="preserve"> Huang, </w:t>
      </w:r>
      <w:r>
        <w:rPr>
          <w:lang w:val="en-US"/>
        </w:rPr>
        <w:t>E.</w:t>
      </w:r>
      <w:r w:rsidRPr="00A0301B">
        <w:rPr>
          <w:lang w:val="en-US"/>
        </w:rPr>
        <w:t xml:space="preserve"> Jones, </w:t>
      </w:r>
      <w:r>
        <w:rPr>
          <w:lang w:val="en-US"/>
        </w:rPr>
        <w:t>J.</w:t>
      </w:r>
      <w:r w:rsidRPr="00A0301B">
        <w:rPr>
          <w:lang w:val="en-US"/>
        </w:rPr>
        <w:t xml:space="preserve"> Jones, </w:t>
      </w:r>
      <w:r>
        <w:rPr>
          <w:lang w:val="en-US"/>
        </w:rPr>
        <w:t>K. K.</w:t>
      </w:r>
      <w:r w:rsidRPr="00A0301B">
        <w:rPr>
          <w:lang w:val="en-US"/>
        </w:rPr>
        <w:t xml:space="preserve"> Brown, </w:t>
      </w:r>
      <w:r>
        <w:rPr>
          <w:lang w:val="en-US"/>
        </w:rPr>
        <w:t>C. J.</w:t>
      </w:r>
      <w:r w:rsidRPr="00A0301B">
        <w:rPr>
          <w:lang w:val="en-US"/>
        </w:rPr>
        <w:t xml:space="preserve"> Lewis, </w:t>
      </w:r>
      <w:r>
        <w:rPr>
          <w:lang w:val="en-US"/>
        </w:rPr>
        <w:t>E. W.</w:t>
      </w:r>
      <w:r w:rsidRPr="00A0301B">
        <w:rPr>
          <w:lang w:val="en-US"/>
        </w:rPr>
        <w:t xml:space="preserve"> May, </w:t>
      </w:r>
      <w:r>
        <w:rPr>
          <w:lang w:val="en-US"/>
        </w:rPr>
        <w:t>M. R.</w:t>
      </w:r>
      <w:r w:rsidRPr="00A0301B">
        <w:rPr>
          <w:lang w:val="en-US"/>
        </w:rPr>
        <w:t xml:space="preserve"> Saunders, </w:t>
      </w:r>
      <w:r>
        <w:rPr>
          <w:lang w:val="en-US"/>
        </w:rPr>
        <w:t>O.</w:t>
      </w:r>
      <w:r w:rsidRPr="00A0301B">
        <w:rPr>
          <w:lang w:val="en-US"/>
        </w:rPr>
        <w:t xml:space="preserve"> Singh, </w:t>
      </w:r>
      <w:r>
        <w:rPr>
          <w:lang w:val="en-US"/>
        </w:rPr>
        <w:t>C. E.</w:t>
      </w:r>
      <w:r w:rsidRPr="00A0301B">
        <w:rPr>
          <w:lang w:val="en-US"/>
        </w:rPr>
        <w:t xml:space="preserve"> Spitzfaden, </w:t>
      </w:r>
      <w:r>
        <w:rPr>
          <w:lang w:val="en-US"/>
        </w:rPr>
        <w:t>C.</w:t>
      </w:r>
      <w:r w:rsidRPr="00A0301B">
        <w:rPr>
          <w:lang w:val="en-US"/>
        </w:rPr>
        <w:t xml:space="preserve"> Shen, </w:t>
      </w:r>
      <w:r>
        <w:rPr>
          <w:lang w:val="en-US"/>
        </w:rPr>
        <w:t>A.</w:t>
      </w:r>
      <w:r w:rsidRPr="00A0301B">
        <w:rPr>
          <w:lang w:val="en-US"/>
        </w:rPr>
        <w:t xml:space="preserve"> Shillings, </w:t>
      </w:r>
      <w:r>
        <w:rPr>
          <w:lang w:val="en-US"/>
        </w:rPr>
        <w:t>A. J.</w:t>
      </w:r>
      <w:r w:rsidRPr="00A0301B">
        <w:rPr>
          <w:lang w:val="en-US"/>
        </w:rPr>
        <w:t xml:space="preserve"> Theobald, </w:t>
      </w:r>
      <w:r>
        <w:rPr>
          <w:lang w:val="en-US"/>
        </w:rPr>
        <w:t>A.</w:t>
      </w:r>
      <w:r w:rsidRPr="00A0301B">
        <w:rPr>
          <w:lang w:val="en-US"/>
        </w:rPr>
        <w:t xml:space="preserve"> Wohlkonig, </w:t>
      </w:r>
      <w:r>
        <w:rPr>
          <w:lang w:val="en-US"/>
        </w:rPr>
        <w:t>N. D.</w:t>
      </w:r>
      <w:r w:rsidRPr="00A0301B">
        <w:rPr>
          <w:lang w:val="en-US"/>
        </w:rPr>
        <w:t xml:space="preserve"> Pearson, </w:t>
      </w:r>
      <w:r>
        <w:rPr>
          <w:lang w:val="en-US"/>
        </w:rPr>
        <w:t>and M. N.</w:t>
      </w:r>
      <w:r w:rsidRPr="00A0301B">
        <w:rPr>
          <w:lang w:val="en-US"/>
        </w:rPr>
        <w:t xml:space="preserve"> Gwynn, </w:t>
      </w:r>
      <w:r w:rsidRPr="00A0301B">
        <w:rPr>
          <w:i/>
          <w:lang w:val="en-US"/>
        </w:rPr>
        <w:t xml:space="preserve">Nature </w:t>
      </w:r>
      <w:r w:rsidRPr="00A0301B">
        <w:rPr>
          <w:lang w:val="en-US"/>
        </w:rPr>
        <w:t xml:space="preserve">2010, </w:t>
      </w:r>
      <w:r w:rsidRPr="00A0301B">
        <w:rPr>
          <w:b/>
          <w:lang w:val="en-US"/>
        </w:rPr>
        <w:t>466</w:t>
      </w:r>
      <w:r>
        <w:rPr>
          <w:lang w:val="en-US"/>
        </w:rPr>
        <w:t>, 935</w:t>
      </w:r>
      <w:r w:rsidRPr="00A0301B">
        <w:rPr>
          <w:lang w:val="en-US"/>
        </w:rPr>
        <w:t>.</w:t>
      </w:r>
    </w:p>
    <w:p w14:paraId="26D4F1E4" w14:textId="77777777" w:rsidR="00D41EE6" w:rsidRDefault="00D41EE6" w:rsidP="00D41EE6">
      <w:pPr>
        <w:pStyle w:val="RSCR02References"/>
      </w:pPr>
      <w:r>
        <w:t xml:space="preserve">M. J. </w:t>
      </w:r>
      <w:r w:rsidRPr="00686CDC">
        <w:rPr>
          <w:lang w:val="en-US"/>
        </w:rPr>
        <w:t xml:space="preserve">Edwards, </w:t>
      </w:r>
      <w:r>
        <w:rPr>
          <w:lang w:val="en-US"/>
        </w:rPr>
        <w:t xml:space="preserve">R. H. </w:t>
      </w:r>
      <w:r w:rsidRPr="00686CDC">
        <w:rPr>
          <w:lang w:val="en-US"/>
        </w:rPr>
        <w:t xml:space="preserve"> Flatman, </w:t>
      </w:r>
      <w:r>
        <w:rPr>
          <w:lang w:val="en-US"/>
        </w:rPr>
        <w:t>L. A.</w:t>
      </w:r>
      <w:r w:rsidRPr="00686CDC">
        <w:rPr>
          <w:lang w:val="en-US"/>
        </w:rPr>
        <w:t xml:space="preserve"> Mitchenall, </w:t>
      </w:r>
      <w:r>
        <w:rPr>
          <w:lang w:val="en-US"/>
        </w:rPr>
        <w:t>C. E. M.</w:t>
      </w:r>
      <w:r w:rsidRPr="00686CDC">
        <w:rPr>
          <w:lang w:val="en-US"/>
        </w:rPr>
        <w:t xml:space="preserve"> Stevenson, </w:t>
      </w:r>
      <w:r>
        <w:rPr>
          <w:lang w:val="en-US"/>
        </w:rPr>
        <w:t>T. B. K.</w:t>
      </w:r>
      <w:r w:rsidRPr="00686CDC">
        <w:rPr>
          <w:lang w:val="en-US"/>
        </w:rPr>
        <w:t xml:space="preserve"> Le, </w:t>
      </w:r>
      <w:r>
        <w:rPr>
          <w:lang w:val="en-US"/>
        </w:rPr>
        <w:t>T. A.</w:t>
      </w:r>
      <w:r w:rsidRPr="00686CDC">
        <w:rPr>
          <w:lang w:val="en-US"/>
        </w:rPr>
        <w:t xml:space="preserve"> Clarke,</w:t>
      </w:r>
      <w:r>
        <w:rPr>
          <w:lang w:val="en-US"/>
        </w:rPr>
        <w:t xml:space="preserve"> A. R.</w:t>
      </w:r>
      <w:r w:rsidRPr="00686CDC">
        <w:rPr>
          <w:lang w:val="en-US"/>
        </w:rPr>
        <w:t xml:space="preserve"> McKay, </w:t>
      </w:r>
      <w:r>
        <w:rPr>
          <w:lang w:val="en-US"/>
        </w:rPr>
        <w:t>H. -P.</w:t>
      </w:r>
      <w:r w:rsidRPr="00686CDC">
        <w:rPr>
          <w:lang w:val="en-US"/>
        </w:rPr>
        <w:t xml:space="preserve"> Fiedler, </w:t>
      </w:r>
      <w:r>
        <w:rPr>
          <w:lang w:val="en-US"/>
        </w:rPr>
        <w:t>M. J.</w:t>
      </w:r>
      <w:r w:rsidRPr="00686CDC">
        <w:rPr>
          <w:lang w:val="en-US"/>
        </w:rPr>
        <w:t xml:space="preserve"> Buttner, </w:t>
      </w:r>
      <w:r>
        <w:rPr>
          <w:lang w:val="en-US"/>
        </w:rPr>
        <w:t>D. M. Lawson and</w:t>
      </w:r>
      <w:r w:rsidRPr="00686CDC">
        <w:rPr>
          <w:lang w:val="en-US"/>
        </w:rPr>
        <w:t xml:space="preserve"> </w:t>
      </w:r>
      <w:r>
        <w:rPr>
          <w:lang w:val="en-US"/>
        </w:rPr>
        <w:t>A.</w:t>
      </w:r>
      <w:r w:rsidRPr="00686CDC">
        <w:rPr>
          <w:lang w:val="en-US"/>
        </w:rPr>
        <w:t xml:space="preserve"> Maxwell, </w:t>
      </w:r>
      <w:r w:rsidRPr="00686CDC">
        <w:rPr>
          <w:i/>
          <w:lang w:val="en-US"/>
        </w:rPr>
        <w:t xml:space="preserve">Science </w:t>
      </w:r>
      <w:r w:rsidRPr="00686CDC">
        <w:rPr>
          <w:lang w:val="en-US"/>
        </w:rPr>
        <w:t xml:space="preserve">2009, </w:t>
      </w:r>
      <w:r w:rsidRPr="00686CDC">
        <w:rPr>
          <w:b/>
          <w:lang w:val="en-US"/>
        </w:rPr>
        <w:t>326</w:t>
      </w:r>
      <w:r>
        <w:rPr>
          <w:lang w:val="en-US"/>
        </w:rPr>
        <w:t>, 1415</w:t>
      </w:r>
      <w:r w:rsidRPr="00686CDC">
        <w:rPr>
          <w:lang w:val="en-US"/>
        </w:rPr>
        <w:t>.</w:t>
      </w:r>
    </w:p>
    <w:p w14:paraId="73791243" w14:textId="77777777" w:rsidR="00D41EE6" w:rsidRDefault="00D41EE6" w:rsidP="00D41EE6">
      <w:pPr>
        <w:pStyle w:val="RSCR02References"/>
      </w:pPr>
      <w:r>
        <w:rPr>
          <w:lang w:val="en-US"/>
        </w:rPr>
        <w:t xml:space="preserve">S. J. </w:t>
      </w:r>
      <w:r w:rsidRPr="00686CDC">
        <w:rPr>
          <w:lang w:val="en-US"/>
        </w:rPr>
        <w:t xml:space="preserve">Hearnshaw, </w:t>
      </w:r>
      <w:r>
        <w:rPr>
          <w:lang w:val="en-US"/>
        </w:rPr>
        <w:t>M. J.</w:t>
      </w:r>
      <w:r w:rsidRPr="00686CDC">
        <w:rPr>
          <w:lang w:val="en-US"/>
        </w:rPr>
        <w:t xml:space="preserve"> Edwards, </w:t>
      </w:r>
      <w:r>
        <w:rPr>
          <w:lang w:val="en-US"/>
        </w:rPr>
        <w:t>C. E.</w:t>
      </w:r>
      <w:r w:rsidRPr="00686CDC">
        <w:rPr>
          <w:lang w:val="en-US"/>
        </w:rPr>
        <w:t xml:space="preserve"> Stevenson, </w:t>
      </w:r>
      <w:r>
        <w:rPr>
          <w:lang w:val="en-US"/>
        </w:rPr>
        <w:t>D. M. Lawson and</w:t>
      </w:r>
      <w:r w:rsidRPr="00686CDC">
        <w:rPr>
          <w:lang w:val="en-US"/>
        </w:rPr>
        <w:t xml:space="preserve"> </w:t>
      </w:r>
      <w:r>
        <w:rPr>
          <w:lang w:val="en-US"/>
        </w:rPr>
        <w:t>A.</w:t>
      </w:r>
      <w:r w:rsidRPr="00686CDC">
        <w:rPr>
          <w:lang w:val="en-US"/>
        </w:rPr>
        <w:t xml:space="preserve"> Maxwell, </w:t>
      </w:r>
      <w:r w:rsidRPr="00686CDC">
        <w:rPr>
          <w:i/>
          <w:lang w:val="en-US"/>
        </w:rPr>
        <w:t xml:space="preserve">J. Mol. Biol. </w:t>
      </w:r>
      <w:r w:rsidRPr="00686CDC">
        <w:rPr>
          <w:lang w:val="en-US"/>
        </w:rPr>
        <w:t xml:space="preserve">2014, </w:t>
      </w:r>
      <w:r w:rsidRPr="00686CDC">
        <w:rPr>
          <w:b/>
          <w:lang w:val="en-US"/>
        </w:rPr>
        <w:t>426</w:t>
      </w:r>
      <w:r>
        <w:rPr>
          <w:lang w:val="en-US"/>
        </w:rPr>
        <w:t>, 2023</w:t>
      </w:r>
      <w:r w:rsidRPr="00686CDC">
        <w:rPr>
          <w:lang w:val="en-US"/>
        </w:rPr>
        <w:t>.</w:t>
      </w:r>
    </w:p>
    <w:p w14:paraId="06E8D81E" w14:textId="6DDE8B32" w:rsidR="00D41EE6" w:rsidRDefault="00D41EE6" w:rsidP="00D41EE6">
      <w:pPr>
        <w:pStyle w:val="RSCR02References"/>
      </w:pPr>
      <w:r>
        <w:rPr>
          <w:lang w:val="en-US"/>
        </w:rPr>
        <w:t>R. Hopewell, M. Oram, R.</w:t>
      </w:r>
      <w:r w:rsidRPr="00F9570A">
        <w:rPr>
          <w:lang w:val="en-US"/>
        </w:rPr>
        <w:t xml:space="preserve"> Briesewitz, </w:t>
      </w:r>
      <w:r>
        <w:rPr>
          <w:lang w:val="en-US"/>
        </w:rPr>
        <w:t>and L. M.</w:t>
      </w:r>
      <w:r w:rsidRPr="00F9570A">
        <w:rPr>
          <w:lang w:val="en-US"/>
        </w:rPr>
        <w:t xml:space="preserve"> Fisher, </w:t>
      </w:r>
      <w:r w:rsidRPr="00F9570A">
        <w:rPr>
          <w:i/>
          <w:lang w:val="en-US"/>
        </w:rPr>
        <w:t xml:space="preserve">J. Bacteriol. </w:t>
      </w:r>
      <w:r w:rsidRPr="00F9570A">
        <w:rPr>
          <w:lang w:val="en-US"/>
        </w:rPr>
        <w:t>1990</w:t>
      </w:r>
      <w:r w:rsidRPr="00F9570A">
        <w:rPr>
          <w:b/>
          <w:lang w:val="en-US"/>
        </w:rPr>
        <w:t>,</w:t>
      </w:r>
      <w:r w:rsidRPr="00F9570A">
        <w:rPr>
          <w:lang w:val="en-US"/>
        </w:rPr>
        <w:t xml:space="preserve"> </w:t>
      </w:r>
      <w:r w:rsidRPr="00F9570A">
        <w:rPr>
          <w:b/>
          <w:lang w:val="en-US"/>
        </w:rPr>
        <w:t>172</w:t>
      </w:r>
      <w:r w:rsidRPr="00F9570A">
        <w:rPr>
          <w:lang w:val="en-US"/>
        </w:rPr>
        <w:t>, 3481.</w:t>
      </w:r>
    </w:p>
    <w:p w14:paraId="72FE0E0F" w14:textId="076DA1BE" w:rsidR="00D41EE6" w:rsidRDefault="00D41EE6" w:rsidP="00D41EE6">
      <w:pPr>
        <w:pStyle w:val="RSCR02References"/>
      </w:pPr>
      <w:r>
        <w:rPr>
          <w:lang w:val="en-US"/>
        </w:rPr>
        <w:t xml:space="preserve">A. A. </w:t>
      </w:r>
      <w:r w:rsidRPr="00506808">
        <w:rPr>
          <w:lang w:val="en-US"/>
        </w:rPr>
        <w:t xml:space="preserve">Kudale, </w:t>
      </w:r>
      <w:r>
        <w:rPr>
          <w:lang w:val="en-US"/>
        </w:rPr>
        <w:t>J.</w:t>
      </w:r>
      <w:r w:rsidRPr="00506808">
        <w:rPr>
          <w:lang w:val="en-US"/>
        </w:rPr>
        <w:t xml:space="preserve"> Kendall, </w:t>
      </w:r>
      <w:r>
        <w:rPr>
          <w:lang w:val="en-US"/>
        </w:rPr>
        <w:t>C. C.</w:t>
      </w:r>
      <w:r w:rsidRPr="00506808">
        <w:rPr>
          <w:lang w:val="en-US"/>
        </w:rPr>
        <w:t xml:space="preserve"> Warford, </w:t>
      </w:r>
      <w:r>
        <w:rPr>
          <w:lang w:val="en-US"/>
        </w:rPr>
        <w:t>N. D.</w:t>
      </w:r>
      <w:r w:rsidRPr="00506808">
        <w:rPr>
          <w:lang w:val="en-US"/>
        </w:rPr>
        <w:t xml:space="preserve"> Wilkins, </w:t>
      </w:r>
      <w:r>
        <w:rPr>
          <w:lang w:val="en-US"/>
        </w:rPr>
        <w:t>and G. J.</w:t>
      </w:r>
      <w:r w:rsidRPr="00506808">
        <w:rPr>
          <w:lang w:val="en-US"/>
        </w:rPr>
        <w:t xml:space="preserve"> Bodwell, </w:t>
      </w:r>
      <w:r w:rsidRPr="00506808">
        <w:rPr>
          <w:i/>
          <w:lang w:val="en-US"/>
        </w:rPr>
        <w:t xml:space="preserve">Tetrahedron Lett. </w:t>
      </w:r>
      <w:r w:rsidRPr="00506808">
        <w:rPr>
          <w:lang w:val="en-US"/>
        </w:rPr>
        <w:t xml:space="preserve">2007, </w:t>
      </w:r>
      <w:r w:rsidRPr="00506808">
        <w:rPr>
          <w:b/>
          <w:lang w:val="en-US"/>
        </w:rPr>
        <w:t>48</w:t>
      </w:r>
      <w:r w:rsidRPr="00506808">
        <w:rPr>
          <w:lang w:val="en-US"/>
        </w:rPr>
        <w:t>, 5077.</w:t>
      </w:r>
    </w:p>
    <w:p w14:paraId="176E4073" w14:textId="77777777" w:rsidR="00D41EE6" w:rsidRDefault="00D41EE6" w:rsidP="00D41EE6">
      <w:pPr>
        <w:pStyle w:val="RSCR02References"/>
      </w:pPr>
      <w:r>
        <w:rPr>
          <w:lang w:val="en-US"/>
        </w:rPr>
        <w:t xml:space="preserve">H. Y. </w:t>
      </w:r>
      <w:r w:rsidRPr="00506808">
        <w:rPr>
          <w:lang w:val="en-US"/>
        </w:rPr>
        <w:t xml:space="preserve">Li, </w:t>
      </w:r>
      <w:r>
        <w:rPr>
          <w:lang w:val="en-US"/>
        </w:rPr>
        <w:t>S. Gao and</w:t>
      </w:r>
      <w:r w:rsidRPr="00506808">
        <w:rPr>
          <w:lang w:val="en-US"/>
        </w:rPr>
        <w:t xml:space="preserve"> </w:t>
      </w:r>
      <w:r>
        <w:rPr>
          <w:lang w:val="en-US"/>
        </w:rPr>
        <w:t xml:space="preserve">Z. </w:t>
      </w:r>
      <w:r w:rsidRPr="00506808">
        <w:rPr>
          <w:lang w:val="en-US"/>
        </w:rPr>
        <w:t xml:space="preserve">Xi, </w:t>
      </w:r>
      <w:r w:rsidRPr="00506808">
        <w:rPr>
          <w:i/>
          <w:lang w:val="en-US"/>
        </w:rPr>
        <w:t xml:space="preserve">Inorg. Chem. Commun. </w:t>
      </w:r>
      <w:r w:rsidRPr="00506808">
        <w:rPr>
          <w:lang w:val="en-US"/>
        </w:rPr>
        <w:t xml:space="preserve">2009, </w:t>
      </w:r>
      <w:r w:rsidRPr="00506808">
        <w:rPr>
          <w:b/>
          <w:lang w:val="en-US"/>
        </w:rPr>
        <w:t>12</w:t>
      </w:r>
      <w:r>
        <w:rPr>
          <w:lang w:val="en-US"/>
        </w:rPr>
        <w:t>, 300</w:t>
      </w:r>
      <w:r w:rsidRPr="00506808">
        <w:rPr>
          <w:lang w:val="en-US"/>
        </w:rPr>
        <w:t>.</w:t>
      </w:r>
    </w:p>
    <w:p w14:paraId="7BAB3DF0" w14:textId="77777777" w:rsidR="00D41EE6" w:rsidRDefault="00D41EE6" w:rsidP="00D41EE6">
      <w:pPr>
        <w:pStyle w:val="RSCR02References"/>
      </w:pPr>
      <w:r>
        <w:rPr>
          <w:lang w:val="en-US"/>
        </w:rPr>
        <w:t xml:space="preserve">K. C. </w:t>
      </w:r>
      <w:r w:rsidRPr="009342C5">
        <w:rPr>
          <w:lang w:val="en-US"/>
        </w:rPr>
        <w:t xml:space="preserve">Ellis, </w:t>
      </w:r>
      <w:r>
        <w:rPr>
          <w:lang w:val="en-US"/>
        </w:rPr>
        <w:t>L. M.</w:t>
      </w:r>
      <w:r w:rsidRPr="009342C5">
        <w:rPr>
          <w:lang w:val="en-US"/>
        </w:rPr>
        <w:t xml:space="preserve"> Gaskell, </w:t>
      </w:r>
      <w:r>
        <w:rPr>
          <w:lang w:val="en-US"/>
        </w:rPr>
        <w:t>C. J. Bottonel and</w:t>
      </w:r>
      <w:r w:rsidRPr="009342C5">
        <w:rPr>
          <w:lang w:val="en-US"/>
        </w:rPr>
        <w:t xml:space="preserve"> </w:t>
      </w:r>
      <w:r>
        <w:rPr>
          <w:lang w:val="en-US"/>
        </w:rPr>
        <w:t>H.</w:t>
      </w:r>
      <w:r w:rsidRPr="009342C5">
        <w:rPr>
          <w:lang w:val="en-US"/>
        </w:rPr>
        <w:t xml:space="preserve"> Hiasa, H., </w:t>
      </w:r>
      <w:r w:rsidRPr="009342C5">
        <w:rPr>
          <w:i/>
          <w:lang w:val="en-US"/>
        </w:rPr>
        <w:t>Abstr. Pap. Am. Chem. S</w:t>
      </w:r>
      <w:r>
        <w:rPr>
          <w:i/>
          <w:lang w:val="en-US"/>
        </w:rPr>
        <w:t>oc</w:t>
      </w:r>
      <w:r w:rsidRPr="009342C5">
        <w:rPr>
          <w:i/>
          <w:lang w:val="en-US"/>
        </w:rPr>
        <w:t xml:space="preserve">. </w:t>
      </w:r>
      <w:r w:rsidRPr="009342C5">
        <w:rPr>
          <w:b/>
          <w:lang w:val="en-US"/>
        </w:rPr>
        <w:t>2009,</w:t>
      </w:r>
      <w:r w:rsidRPr="009342C5">
        <w:rPr>
          <w:lang w:val="en-US"/>
        </w:rPr>
        <w:t xml:space="preserve"> </w:t>
      </w:r>
      <w:r w:rsidRPr="009342C5">
        <w:rPr>
          <w:i/>
          <w:lang w:val="en-US"/>
        </w:rPr>
        <w:t>238</w:t>
      </w:r>
      <w:r w:rsidRPr="009342C5">
        <w:rPr>
          <w:lang w:val="en-US"/>
        </w:rPr>
        <w:t>.</w:t>
      </w:r>
    </w:p>
    <w:p w14:paraId="737408EF" w14:textId="77777777" w:rsidR="00D41EE6" w:rsidRDefault="00D41EE6" w:rsidP="00D41EE6">
      <w:pPr>
        <w:pStyle w:val="RSCR02References"/>
      </w:pPr>
      <w:r>
        <w:rPr>
          <w:lang w:val="en-US"/>
        </w:rPr>
        <w:t xml:space="preserve">J. I. Ambrus, </w:t>
      </w:r>
      <w:r w:rsidRPr="009342C5">
        <w:rPr>
          <w:lang w:val="en-US"/>
        </w:rPr>
        <w:t>Development of Potential Dual-action Antibacterial Agents. Ph.D. Thesis. University of Wollongong, Australia 2008.</w:t>
      </w:r>
    </w:p>
    <w:p w14:paraId="4587B6A1" w14:textId="77777777" w:rsidR="00D41EE6" w:rsidRPr="00A6057E" w:rsidRDefault="00D41EE6" w:rsidP="00D41EE6">
      <w:pPr>
        <w:pStyle w:val="RSCR02References"/>
        <w:rPr>
          <w:lang w:val="en-US"/>
        </w:rPr>
      </w:pPr>
      <w:r>
        <w:t xml:space="preserve">S. –K </w:t>
      </w:r>
      <w:r w:rsidRPr="009342C5">
        <w:rPr>
          <w:lang w:val="en-US"/>
        </w:rPr>
        <w:t xml:space="preserve">Anandan, </w:t>
      </w:r>
      <w:r>
        <w:rPr>
          <w:lang w:val="en-US"/>
        </w:rPr>
        <w:t>J. S.</w:t>
      </w:r>
      <w:r w:rsidRPr="009342C5">
        <w:rPr>
          <w:lang w:val="en-US"/>
        </w:rPr>
        <w:t xml:space="preserve"> Ward, </w:t>
      </w:r>
      <w:r>
        <w:rPr>
          <w:lang w:val="en-US"/>
        </w:rPr>
        <w:t>R. D.</w:t>
      </w:r>
      <w:r w:rsidRPr="009342C5">
        <w:rPr>
          <w:lang w:val="en-US"/>
        </w:rPr>
        <w:t xml:space="preserve"> Brokx, </w:t>
      </w:r>
      <w:r>
        <w:rPr>
          <w:lang w:val="en-US"/>
        </w:rPr>
        <w:t>M. R.</w:t>
      </w:r>
      <w:r w:rsidRPr="009342C5">
        <w:rPr>
          <w:lang w:val="en-US"/>
        </w:rPr>
        <w:t xml:space="preserve"> Bray, </w:t>
      </w:r>
      <w:r>
        <w:rPr>
          <w:lang w:val="en-US"/>
        </w:rPr>
        <w:t>D. V.</w:t>
      </w:r>
      <w:r w:rsidRPr="009342C5">
        <w:rPr>
          <w:lang w:val="en-US"/>
        </w:rPr>
        <w:t xml:space="preserve"> Patel, </w:t>
      </w:r>
      <w:r>
        <w:rPr>
          <w:lang w:val="en-US"/>
        </w:rPr>
        <w:t>and X. -X</w:t>
      </w:r>
      <w:r w:rsidRPr="009342C5">
        <w:rPr>
          <w:lang w:val="en-US"/>
        </w:rPr>
        <w:t xml:space="preserve"> Xiao, </w:t>
      </w:r>
      <w:r w:rsidRPr="00A6057E">
        <w:rPr>
          <w:i/>
          <w:lang w:val="en-US"/>
        </w:rPr>
        <w:t xml:space="preserve">Bioorg. Med. Chem. Lett. </w:t>
      </w:r>
      <w:r w:rsidRPr="00A6057E">
        <w:rPr>
          <w:lang w:val="en-US"/>
        </w:rPr>
        <w:t xml:space="preserve">2005, </w:t>
      </w:r>
      <w:r w:rsidRPr="00A6057E">
        <w:rPr>
          <w:b/>
          <w:lang w:val="en-US"/>
        </w:rPr>
        <w:t>15</w:t>
      </w:r>
      <w:r>
        <w:rPr>
          <w:lang w:val="en-US"/>
        </w:rPr>
        <w:t>, 1969</w:t>
      </w:r>
      <w:r w:rsidRPr="00A6057E">
        <w:rPr>
          <w:lang w:val="en-US"/>
        </w:rPr>
        <w:t>.</w:t>
      </w:r>
    </w:p>
    <w:p w14:paraId="0276176F" w14:textId="77777777" w:rsidR="00D41EE6" w:rsidRPr="00A6057E" w:rsidRDefault="00D41EE6" w:rsidP="00D41EE6">
      <w:pPr>
        <w:pStyle w:val="RSCR02References"/>
        <w:rPr>
          <w:lang w:val="en-US"/>
        </w:rPr>
      </w:pPr>
      <w:r>
        <w:rPr>
          <w:lang w:val="en-US"/>
        </w:rPr>
        <w:t xml:space="preserve">P. </w:t>
      </w:r>
      <w:r w:rsidRPr="00A6057E">
        <w:rPr>
          <w:lang w:val="en-US"/>
        </w:rPr>
        <w:t xml:space="preserve">Hallett, </w:t>
      </w:r>
      <w:r>
        <w:rPr>
          <w:lang w:val="en-US"/>
        </w:rPr>
        <w:t>A. J.</w:t>
      </w:r>
      <w:r w:rsidRPr="00A6057E">
        <w:rPr>
          <w:lang w:val="en-US"/>
        </w:rPr>
        <w:t xml:space="preserve"> Grimshaw, </w:t>
      </w:r>
      <w:r>
        <w:rPr>
          <w:lang w:val="en-US"/>
        </w:rPr>
        <w:t>D. B. Wigley, and A.</w:t>
      </w:r>
      <w:r w:rsidRPr="00A6057E">
        <w:rPr>
          <w:lang w:val="en-US"/>
        </w:rPr>
        <w:t xml:space="preserve"> Maxwell, </w:t>
      </w:r>
      <w:r w:rsidRPr="00A6057E">
        <w:rPr>
          <w:i/>
          <w:lang w:val="en-US"/>
        </w:rPr>
        <w:t xml:space="preserve">Gene </w:t>
      </w:r>
      <w:r w:rsidRPr="00A6057E">
        <w:rPr>
          <w:lang w:val="en-US"/>
        </w:rPr>
        <w:t xml:space="preserve">1990, </w:t>
      </w:r>
      <w:r w:rsidRPr="00A6057E">
        <w:rPr>
          <w:b/>
          <w:lang w:val="en-US"/>
        </w:rPr>
        <w:t>93</w:t>
      </w:r>
      <w:r w:rsidRPr="00A6057E">
        <w:rPr>
          <w:lang w:val="en-US"/>
        </w:rPr>
        <w:t>, 139.</w:t>
      </w:r>
    </w:p>
    <w:p w14:paraId="0D8EDFD9" w14:textId="2FCF5FF8" w:rsidR="00D41EE6" w:rsidRPr="00CE7A29" w:rsidRDefault="00CE7A29" w:rsidP="00D41EE6">
      <w:pPr>
        <w:pStyle w:val="RSCR02References"/>
      </w:pPr>
      <w:r>
        <w:rPr>
          <w:lang w:val="en-US"/>
        </w:rPr>
        <w:t xml:space="preserve">N. </w:t>
      </w:r>
      <w:r w:rsidRPr="00A6057E">
        <w:rPr>
          <w:lang w:val="en-US"/>
        </w:rPr>
        <w:t xml:space="preserve">Osheroff, </w:t>
      </w:r>
      <w:r>
        <w:rPr>
          <w:lang w:val="en-US"/>
        </w:rPr>
        <w:t>M. -A</w:t>
      </w:r>
      <w:r w:rsidRPr="00A6057E">
        <w:rPr>
          <w:lang w:val="en-US"/>
        </w:rPr>
        <w:t xml:space="preserve"> Bjornsti, </w:t>
      </w:r>
      <w:r w:rsidRPr="00A6057E">
        <w:rPr>
          <w:i/>
          <w:lang w:val="en-US"/>
        </w:rPr>
        <w:t>Methods in Molecular Biology</w:t>
      </w:r>
      <w:r w:rsidRPr="00A6057E">
        <w:rPr>
          <w:lang w:val="en-US"/>
        </w:rPr>
        <w:t>, Walker, J., Ed. Humana Press: 2001; Vol. 95, pp 25-33.</w:t>
      </w:r>
    </w:p>
    <w:p w14:paraId="43BD90B9" w14:textId="77777777" w:rsidR="007C39A2" w:rsidRPr="00A6057E" w:rsidRDefault="007C39A2" w:rsidP="007C39A2">
      <w:pPr>
        <w:pStyle w:val="RSCR02References"/>
        <w:rPr>
          <w:lang w:val="en-US"/>
        </w:rPr>
      </w:pPr>
      <w:r>
        <w:rPr>
          <w:lang w:val="en-US"/>
        </w:rPr>
        <w:t>M.</w:t>
      </w:r>
      <w:r w:rsidRPr="00A6057E">
        <w:rPr>
          <w:lang w:val="en-US"/>
        </w:rPr>
        <w:t xml:space="preserve"> Gellert, </w:t>
      </w:r>
      <w:r>
        <w:rPr>
          <w:lang w:val="en-US"/>
        </w:rPr>
        <w:t>K.</w:t>
      </w:r>
      <w:r w:rsidRPr="00A6057E">
        <w:rPr>
          <w:lang w:val="en-US"/>
        </w:rPr>
        <w:t xml:space="preserve"> Mizuuchi, </w:t>
      </w:r>
      <w:r>
        <w:rPr>
          <w:lang w:val="en-US"/>
        </w:rPr>
        <w:t>M. H.</w:t>
      </w:r>
      <w:r w:rsidRPr="00A6057E">
        <w:rPr>
          <w:lang w:val="en-US"/>
        </w:rPr>
        <w:t xml:space="preserve"> O'Dea, </w:t>
      </w:r>
      <w:r>
        <w:rPr>
          <w:lang w:val="en-US"/>
        </w:rPr>
        <w:t>T. Itoh and</w:t>
      </w:r>
      <w:r w:rsidRPr="00A6057E">
        <w:rPr>
          <w:lang w:val="en-US"/>
        </w:rPr>
        <w:t xml:space="preserve"> </w:t>
      </w:r>
      <w:r>
        <w:rPr>
          <w:lang w:val="en-US"/>
        </w:rPr>
        <w:t>J. –I.</w:t>
      </w:r>
      <w:r w:rsidRPr="00A6057E">
        <w:rPr>
          <w:lang w:val="en-US"/>
        </w:rPr>
        <w:t xml:space="preserve"> Tomizawa, </w:t>
      </w:r>
      <w:r w:rsidRPr="00A6057E">
        <w:rPr>
          <w:i/>
          <w:lang w:val="en-US"/>
        </w:rPr>
        <w:t>P</w:t>
      </w:r>
      <w:r>
        <w:rPr>
          <w:i/>
          <w:lang w:val="en-US"/>
        </w:rPr>
        <w:t>roc</w:t>
      </w:r>
      <w:r w:rsidRPr="00A6057E">
        <w:rPr>
          <w:i/>
          <w:lang w:val="en-US"/>
        </w:rPr>
        <w:t xml:space="preserve">. Natl. Acad. Sci. </w:t>
      </w:r>
      <w:r w:rsidRPr="00A6057E">
        <w:rPr>
          <w:lang w:val="en-US"/>
        </w:rPr>
        <w:t>1977</w:t>
      </w:r>
      <w:r w:rsidRPr="00A6057E">
        <w:rPr>
          <w:b/>
          <w:lang w:val="en-US"/>
        </w:rPr>
        <w:t>,</w:t>
      </w:r>
      <w:r w:rsidRPr="00A6057E">
        <w:rPr>
          <w:lang w:val="en-US"/>
        </w:rPr>
        <w:t xml:space="preserve"> </w:t>
      </w:r>
      <w:r w:rsidRPr="00A6057E">
        <w:rPr>
          <w:b/>
          <w:lang w:val="en-US"/>
        </w:rPr>
        <w:t>74</w:t>
      </w:r>
      <w:r w:rsidRPr="00A6057E">
        <w:rPr>
          <w:lang w:val="en-US"/>
        </w:rPr>
        <w:t xml:space="preserve">, 4772; </w:t>
      </w:r>
      <w:r>
        <w:rPr>
          <w:lang w:val="en-US"/>
        </w:rPr>
        <w:t>A.</w:t>
      </w:r>
      <w:r w:rsidRPr="00A6057E">
        <w:rPr>
          <w:lang w:val="en-US"/>
        </w:rPr>
        <w:t xml:space="preserve"> Sugino, </w:t>
      </w:r>
      <w:r>
        <w:rPr>
          <w:lang w:val="en-US"/>
        </w:rPr>
        <w:t>C. L.</w:t>
      </w:r>
      <w:r w:rsidRPr="00A6057E">
        <w:rPr>
          <w:lang w:val="en-US"/>
        </w:rPr>
        <w:t xml:space="preserve"> Peebles, </w:t>
      </w:r>
      <w:r>
        <w:rPr>
          <w:lang w:val="en-US"/>
        </w:rPr>
        <w:t>K. N.</w:t>
      </w:r>
      <w:r w:rsidRPr="00A6057E">
        <w:rPr>
          <w:lang w:val="en-US"/>
        </w:rPr>
        <w:t xml:space="preserve"> Kreuzer, </w:t>
      </w:r>
      <w:r>
        <w:rPr>
          <w:lang w:val="en-US"/>
        </w:rPr>
        <w:t>and N. R.</w:t>
      </w:r>
      <w:r w:rsidRPr="00A6057E">
        <w:rPr>
          <w:lang w:val="en-US"/>
        </w:rPr>
        <w:t xml:space="preserve"> Cozzarelli, </w:t>
      </w:r>
      <w:r w:rsidRPr="00A6057E">
        <w:rPr>
          <w:i/>
          <w:lang w:val="en-US"/>
        </w:rPr>
        <w:t>P</w:t>
      </w:r>
      <w:r>
        <w:rPr>
          <w:i/>
          <w:lang w:val="en-US"/>
        </w:rPr>
        <w:t>roc</w:t>
      </w:r>
      <w:r w:rsidRPr="00A6057E">
        <w:rPr>
          <w:i/>
          <w:lang w:val="en-US"/>
        </w:rPr>
        <w:t xml:space="preserve">. Natl. Acad. Sci. </w:t>
      </w:r>
      <w:r w:rsidRPr="00A6057E">
        <w:rPr>
          <w:lang w:val="en-US"/>
        </w:rPr>
        <w:t xml:space="preserve">1977, </w:t>
      </w:r>
      <w:r w:rsidRPr="00A6057E">
        <w:rPr>
          <w:b/>
          <w:lang w:val="en-US"/>
        </w:rPr>
        <w:t>74</w:t>
      </w:r>
      <w:r w:rsidRPr="00A6057E">
        <w:rPr>
          <w:lang w:val="en-US"/>
        </w:rPr>
        <w:t xml:space="preserve">, 4767; (c) </w:t>
      </w:r>
      <w:r>
        <w:rPr>
          <w:lang w:val="en-US"/>
        </w:rPr>
        <w:t xml:space="preserve">H. </w:t>
      </w:r>
      <w:r w:rsidRPr="00A6057E">
        <w:rPr>
          <w:lang w:val="en-US"/>
        </w:rPr>
        <w:t xml:space="preserve">Hiasa, </w:t>
      </w:r>
      <w:r>
        <w:rPr>
          <w:lang w:val="en-US"/>
        </w:rPr>
        <w:t>D. O.</w:t>
      </w:r>
      <w:r w:rsidRPr="00A6057E">
        <w:rPr>
          <w:lang w:val="en-US"/>
        </w:rPr>
        <w:t xml:space="preserve"> Yousef, </w:t>
      </w:r>
      <w:r>
        <w:rPr>
          <w:lang w:val="en-US"/>
        </w:rPr>
        <w:t>and K. J.</w:t>
      </w:r>
      <w:r w:rsidRPr="00A6057E">
        <w:rPr>
          <w:lang w:val="en-US"/>
        </w:rPr>
        <w:t xml:space="preserve"> Marians, </w:t>
      </w:r>
      <w:r w:rsidRPr="00A6057E">
        <w:rPr>
          <w:i/>
          <w:lang w:val="en-US"/>
        </w:rPr>
        <w:t xml:space="preserve">J. Biol. Chem. </w:t>
      </w:r>
      <w:r w:rsidRPr="00A6057E">
        <w:rPr>
          <w:lang w:val="en-US"/>
        </w:rPr>
        <w:t>1996</w:t>
      </w:r>
      <w:r w:rsidRPr="00A6057E">
        <w:rPr>
          <w:b/>
          <w:lang w:val="en-US"/>
        </w:rPr>
        <w:t>,</w:t>
      </w:r>
      <w:r w:rsidRPr="00A6057E">
        <w:rPr>
          <w:lang w:val="en-US"/>
        </w:rPr>
        <w:t xml:space="preserve"> </w:t>
      </w:r>
      <w:r w:rsidRPr="00A6057E">
        <w:rPr>
          <w:b/>
          <w:lang w:val="en-US"/>
        </w:rPr>
        <w:t>271</w:t>
      </w:r>
      <w:r>
        <w:rPr>
          <w:lang w:val="en-US"/>
        </w:rPr>
        <w:t>, 26424</w:t>
      </w:r>
      <w:r w:rsidRPr="00A6057E">
        <w:rPr>
          <w:lang w:val="en-US"/>
        </w:rPr>
        <w:t>.</w:t>
      </w:r>
    </w:p>
    <w:p w14:paraId="75669D35" w14:textId="5C1D927C" w:rsidR="00A6057E" w:rsidRPr="00A6057E" w:rsidRDefault="00A6057E" w:rsidP="00062EF3">
      <w:pPr>
        <w:pStyle w:val="RSCR02References"/>
        <w:numPr>
          <w:ilvl w:val="0"/>
          <w:numId w:val="0"/>
        </w:numPr>
        <w:ind w:left="284"/>
        <w:rPr>
          <w:lang w:val="en-US"/>
        </w:rPr>
      </w:pPr>
    </w:p>
    <w:sectPr w:rsidR="00A6057E" w:rsidRPr="00A6057E" w:rsidSect="00514CBA">
      <w:type w:val="continuous"/>
      <w:pgSz w:w="11907" w:h="16840" w:code="9"/>
      <w:pgMar w:top="1009" w:right="851" w:bottom="1758" w:left="851" w:header="851" w:footer="1049" w:gutter="0"/>
      <w:cols w:num="2" w:space="227"/>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E44800E" w14:textId="77777777" w:rsidR="00467CBD" w:rsidRDefault="00467CBD" w:rsidP="00E547DB">
      <w:pPr>
        <w:spacing w:after="0" w:line="240" w:lineRule="auto"/>
      </w:pPr>
      <w:r>
        <w:separator/>
      </w:r>
    </w:p>
    <w:p w14:paraId="34F176E6" w14:textId="77777777" w:rsidR="00467CBD" w:rsidRDefault="00467CBD"/>
    <w:p w14:paraId="2E6B18EB" w14:textId="77777777" w:rsidR="00467CBD" w:rsidRDefault="00467CBD"/>
    <w:p w14:paraId="5DA7AE29" w14:textId="77777777" w:rsidR="00467CBD" w:rsidRDefault="00467CBD"/>
    <w:p w14:paraId="04D13CFB" w14:textId="77777777" w:rsidR="00467CBD" w:rsidRDefault="00467CBD"/>
    <w:p w14:paraId="6A1D13BE" w14:textId="77777777" w:rsidR="00467CBD" w:rsidRDefault="00467CBD"/>
  </w:endnote>
  <w:endnote w:type="continuationSeparator" w:id="0">
    <w:p w14:paraId="11349994" w14:textId="77777777" w:rsidR="00467CBD" w:rsidRDefault="00467CBD" w:rsidP="00E547DB">
      <w:pPr>
        <w:spacing w:after="0" w:line="240" w:lineRule="auto"/>
      </w:pPr>
      <w:r>
        <w:continuationSeparator/>
      </w:r>
    </w:p>
    <w:p w14:paraId="29F48AEC" w14:textId="77777777" w:rsidR="00467CBD" w:rsidRDefault="00467CBD"/>
    <w:p w14:paraId="25825681" w14:textId="77777777" w:rsidR="00467CBD" w:rsidRDefault="00467CBD"/>
    <w:p w14:paraId="143D5361" w14:textId="77777777" w:rsidR="00467CBD" w:rsidRDefault="00467CBD"/>
    <w:p w14:paraId="0FB472C7" w14:textId="77777777" w:rsidR="00467CBD" w:rsidRDefault="00467CBD"/>
    <w:p w14:paraId="18A3FB29" w14:textId="77777777" w:rsidR="00467CBD" w:rsidRDefault="00467CB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Tahoma">
    <w:panose1 w:val="020B0604030504040204"/>
    <w:charset w:val="00"/>
    <w:family w:val="auto"/>
    <w:pitch w:val="variable"/>
    <w:sig w:usb0="E1002EFF" w:usb1="C000605B" w:usb2="00000029" w:usb3="00000000" w:csb0="000101FF" w:csb1="00000000"/>
  </w:font>
  <w:font w:name="Arno Pro">
    <w:altName w:val="Times New Roman"/>
    <w:charset w:val="00"/>
    <w:family w:val="roman"/>
    <w:pitch w:val="variable"/>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A82483" w14:textId="77777777" w:rsidR="007D4FBB" w:rsidRPr="006602F1" w:rsidRDefault="007D4FBB" w:rsidP="00D45ADF">
    <w:pPr>
      <w:pStyle w:val="Footer"/>
      <w:tabs>
        <w:tab w:val="clear" w:pos="4513"/>
        <w:tab w:val="clear" w:pos="9026"/>
        <w:tab w:val="right" w:pos="10206"/>
      </w:tabs>
      <w:spacing w:before="480"/>
      <w:rPr>
        <w:spacing w:val="10"/>
        <w:sz w:val="16"/>
        <w:szCs w:val="16"/>
      </w:rPr>
    </w:pPr>
    <w:r w:rsidRPr="006602F1">
      <w:rPr>
        <w:b/>
        <w:spacing w:val="10"/>
        <w:sz w:val="16"/>
        <w:szCs w:val="16"/>
      </w:rPr>
      <w:fldChar w:fldCharType="begin"/>
    </w:r>
    <w:r w:rsidRPr="006602F1">
      <w:rPr>
        <w:b/>
        <w:spacing w:val="10"/>
        <w:sz w:val="16"/>
        <w:szCs w:val="16"/>
      </w:rPr>
      <w:instrText xml:space="preserve"> PAGE   \* MERGEFORMAT </w:instrText>
    </w:r>
    <w:r w:rsidRPr="006602F1">
      <w:rPr>
        <w:b/>
        <w:spacing w:val="10"/>
        <w:sz w:val="16"/>
        <w:szCs w:val="16"/>
      </w:rPr>
      <w:fldChar w:fldCharType="separate"/>
    </w:r>
    <w:r w:rsidR="008F14E4">
      <w:rPr>
        <w:b/>
        <w:noProof/>
        <w:spacing w:val="10"/>
        <w:sz w:val="16"/>
        <w:szCs w:val="16"/>
      </w:rPr>
      <w:t>2</w:t>
    </w:r>
    <w:r w:rsidRPr="006602F1">
      <w:rPr>
        <w:b/>
        <w:noProof/>
        <w:spacing w:val="10"/>
        <w:sz w:val="16"/>
        <w:szCs w:val="16"/>
      </w:rPr>
      <w:fldChar w:fldCharType="end"/>
    </w:r>
    <w:r w:rsidRPr="006602F1">
      <w:rPr>
        <w:noProof/>
        <w:spacing w:val="10"/>
        <w:sz w:val="16"/>
        <w:szCs w:val="16"/>
      </w:rPr>
      <w:t xml:space="preserve"> | </w:t>
    </w:r>
    <w:r>
      <w:rPr>
        <w:i/>
        <w:noProof/>
        <w:spacing w:val="10"/>
        <w:sz w:val="16"/>
        <w:szCs w:val="16"/>
      </w:rPr>
      <w:t>J</w:t>
    </w:r>
    <w:r w:rsidRPr="006602F1">
      <w:rPr>
        <w:i/>
        <w:noProof/>
        <w:spacing w:val="10"/>
        <w:sz w:val="16"/>
        <w:szCs w:val="16"/>
      </w:rPr>
      <w:t xml:space="preserve">. </w:t>
    </w:r>
    <w:r>
      <w:rPr>
        <w:i/>
        <w:noProof/>
        <w:spacing w:val="10"/>
        <w:sz w:val="16"/>
        <w:szCs w:val="16"/>
      </w:rPr>
      <w:t>Name</w:t>
    </w:r>
    <w:r w:rsidRPr="006602F1">
      <w:rPr>
        <w:noProof/>
        <w:spacing w:val="10"/>
        <w:sz w:val="16"/>
        <w:szCs w:val="16"/>
      </w:rPr>
      <w:t xml:space="preserve">., 2012, </w:t>
    </w:r>
    <w:r w:rsidRPr="006602F1">
      <w:rPr>
        <w:b/>
        <w:noProof/>
        <w:spacing w:val="10"/>
        <w:sz w:val="16"/>
        <w:szCs w:val="16"/>
      </w:rPr>
      <w:t>00</w:t>
    </w:r>
    <w:r w:rsidRPr="006602F1">
      <w:rPr>
        <w:noProof/>
        <w:spacing w:val="10"/>
        <w:sz w:val="16"/>
        <w:szCs w:val="16"/>
      </w:rPr>
      <w:t>, 1-3</w:t>
    </w:r>
    <w:r w:rsidRPr="006602F1">
      <w:rPr>
        <w:noProof/>
        <w:spacing w:val="10"/>
        <w:sz w:val="16"/>
        <w:szCs w:val="16"/>
      </w:rPr>
      <w:tab/>
    </w:r>
    <w:r w:rsidRPr="00AC3BF2">
      <w:rPr>
        <w:noProof/>
        <w:spacing w:val="2"/>
        <w:sz w:val="16"/>
        <w:szCs w:val="16"/>
      </w:rPr>
      <w:t xml:space="preserve">This journal is </w:t>
    </w:r>
    <w:r w:rsidRPr="00AC3BF2">
      <w:rPr>
        <w:rFonts w:cstheme="minorHAnsi"/>
        <w:noProof/>
        <w:spacing w:val="2"/>
        <w:sz w:val="16"/>
        <w:szCs w:val="16"/>
      </w:rPr>
      <w:t>©</w:t>
    </w:r>
    <w:r w:rsidRPr="00AC3BF2">
      <w:rPr>
        <w:noProof/>
        <w:spacing w:val="2"/>
        <w:sz w:val="16"/>
        <w:szCs w:val="16"/>
      </w:rPr>
      <w:t xml:space="preserve"> The Royal Society of Chemistry 20</w:t>
    </w:r>
    <w:r>
      <w:rPr>
        <w:noProof/>
        <w:spacing w:val="2"/>
        <w:sz w:val="16"/>
        <w:szCs w:val="16"/>
      </w:rPr>
      <w:t>xx</w:t>
    </w: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E9BAB6D" w14:textId="77777777" w:rsidR="007D4FBB" w:rsidRPr="006602F1" w:rsidRDefault="007D4FBB" w:rsidP="00D45ADF">
    <w:pPr>
      <w:pStyle w:val="Footer"/>
      <w:tabs>
        <w:tab w:val="clear" w:pos="4513"/>
        <w:tab w:val="clear" w:pos="9026"/>
        <w:tab w:val="right" w:pos="10205"/>
      </w:tabs>
      <w:spacing w:before="480"/>
      <w:rPr>
        <w:sz w:val="16"/>
        <w:szCs w:val="16"/>
      </w:rPr>
    </w:pPr>
    <w:r w:rsidRPr="00AC3BF2">
      <w:rPr>
        <w:noProof/>
        <w:spacing w:val="2"/>
        <w:sz w:val="16"/>
        <w:szCs w:val="16"/>
      </w:rPr>
      <w:t xml:space="preserve">This journal is </w:t>
    </w:r>
    <w:r w:rsidRPr="00AC3BF2">
      <w:rPr>
        <w:rFonts w:cstheme="minorHAnsi"/>
        <w:noProof/>
        <w:spacing w:val="2"/>
        <w:sz w:val="16"/>
        <w:szCs w:val="16"/>
      </w:rPr>
      <w:t>©</w:t>
    </w:r>
    <w:r w:rsidRPr="00AC3BF2">
      <w:rPr>
        <w:noProof/>
        <w:spacing w:val="2"/>
        <w:sz w:val="16"/>
        <w:szCs w:val="16"/>
      </w:rPr>
      <w:t xml:space="preserve"> The</w:t>
    </w:r>
    <w:r>
      <w:rPr>
        <w:noProof/>
        <w:spacing w:val="2"/>
        <w:sz w:val="16"/>
        <w:szCs w:val="16"/>
      </w:rPr>
      <w:t xml:space="preserve"> Royal Society of Chemistry 20xx</w:t>
    </w:r>
    <w:r>
      <w:rPr>
        <w:i/>
        <w:noProof/>
        <w:spacing w:val="10"/>
        <w:sz w:val="16"/>
        <w:szCs w:val="16"/>
      </w:rPr>
      <w:tab/>
      <w:t>J</w:t>
    </w:r>
    <w:r w:rsidRPr="002C0803">
      <w:rPr>
        <w:i/>
        <w:noProof/>
        <w:spacing w:val="10"/>
        <w:sz w:val="16"/>
        <w:szCs w:val="16"/>
      </w:rPr>
      <w:t xml:space="preserve">. </w:t>
    </w:r>
    <w:r>
      <w:rPr>
        <w:i/>
        <w:noProof/>
        <w:spacing w:val="10"/>
        <w:sz w:val="16"/>
        <w:szCs w:val="16"/>
      </w:rPr>
      <w:t>Name</w:t>
    </w:r>
    <w:r w:rsidRPr="002C0803">
      <w:rPr>
        <w:noProof/>
        <w:spacing w:val="10"/>
        <w:sz w:val="16"/>
        <w:szCs w:val="16"/>
      </w:rPr>
      <w:t>., 201</w:t>
    </w:r>
    <w:r>
      <w:rPr>
        <w:noProof/>
        <w:spacing w:val="10"/>
        <w:sz w:val="16"/>
        <w:szCs w:val="16"/>
      </w:rPr>
      <w:t>3</w:t>
    </w:r>
    <w:r w:rsidRPr="002C0803">
      <w:rPr>
        <w:noProof/>
        <w:spacing w:val="10"/>
        <w:sz w:val="16"/>
        <w:szCs w:val="16"/>
      </w:rPr>
      <w:t xml:space="preserve">, </w:t>
    </w:r>
    <w:r w:rsidRPr="002C0803">
      <w:rPr>
        <w:b/>
        <w:noProof/>
        <w:spacing w:val="10"/>
        <w:sz w:val="16"/>
        <w:szCs w:val="16"/>
      </w:rPr>
      <w:t>00</w:t>
    </w:r>
    <w:r w:rsidRPr="002C0803">
      <w:rPr>
        <w:noProof/>
        <w:spacing w:val="10"/>
        <w:sz w:val="16"/>
        <w:szCs w:val="16"/>
      </w:rPr>
      <w:t>, 1-3</w:t>
    </w:r>
    <w:r w:rsidRPr="002C0803">
      <w:rPr>
        <w:spacing w:val="10"/>
        <w:sz w:val="16"/>
        <w:szCs w:val="16"/>
      </w:rPr>
      <w:t xml:space="preserve"> | </w:t>
    </w:r>
    <w:r w:rsidRPr="008C1387">
      <w:rPr>
        <w:b/>
        <w:spacing w:val="10"/>
        <w:sz w:val="16"/>
        <w:szCs w:val="16"/>
      </w:rPr>
      <w:fldChar w:fldCharType="begin"/>
    </w:r>
    <w:r w:rsidRPr="008C1387">
      <w:rPr>
        <w:b/>
        <w:spacing w:val="10"/>
        <w:sz w:val="16"/>
        <w:szCs w:val="16"/>
      </w:rPr>
      <w:instrText xml:space="preserve"> PAGE   \* MERGEFORMAT </w:instrText>
    </w:r>
    <w:r w:rsidRPr="008C1387">
      <w:rPr>
        <w:b/>
        <w:spacing w:val="10"/>
        <w:sz w:val="16"/>
        <w:szCs w:val="16"/>
      </w:rPr>
      <w:fldChar w:fldCharType="separate"/>
    </w:r>
    <w:r w:rsidR="008F14E4">
      <w:rPr>
        <w:b/>
        <w:noProof/>
        <w:spacing w:val="10"/>
        <w:sz w:val="16"/>
        <w:szCs w:val="16"/>
      </w:rPr>
      <w:t>3</w:t>
    </w:r>
    <w:r w:rsidRPr="008C1387">
      <w:rPr>
        <w:b/>
        <w:noProof/>
        <w:spacing w:val="10"/>
        <w:sz w:val="16"/>
        <w:szCs w:val="16"/>
      </w:rPr>
      <w:fldChar w:fldCharType="end"/>
    </w: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A08353" w14:textId="77777777" w:rsidR="007D4FBB" w:rsidRPr="006602F1" w:rsidRDefault="007D4FBB" w:rsidP="00D45ADF">
    <w:pPr>
      <w:pStyle w:val="Footer"/>
      <w:tabs>
        <w:tab w:val="clear" w:pos="4513"/>
        <w:tab w:val="clear" w:pos="9026"/>
        <w:tab w:val="right" w:pos="10206"/>
      </w:tabs>
      <w:spacing w:before="480"/>
      <w:rPr>
        <w:sz w:val="16"/>
        <w:szCs w:val="16"/>
      </w:rPr>
    </w:pPr>
    <w:r>
      <w:rPr>
        <w:noProof/>
        <w:lang w:val="en-US"/>
      </w:rPr>
      <mc:AlternateContent>
        <mc:Choice Requires="wps">
          <w:drawing>
            <wp:anchor distT="0" distB="0" distL="114300" distR="114300" simplePos="0" relativeHeight="251664384" behindDoc="0" locked="0" layoutInCell="1" allowOverlap="1" wp14:anchorId="2E82A5F7" wp14:editId="6525BAB6">
              <wp:simplePos x="0" y="0"/>
              <wp:positionH relativeFrom="column">
                <wp:align>center</wp:align>
              </wp:positionH>
              <wp:positionV relativeFrom="page">
                <wp:align>bottom</wp:align>
              </wp:positionV>
              <wp:extent cx="7700400" cy="396000"/>
              <wp:effectExtent l="0" t="0" r="0" b="444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00400" cy="396000"/>
                      </a:xfrm>
                      <a:prstGeom prst="rect">
                        <a:avLst/>
                      </a:prstGeom>
                      <a:solidFill>
                        <a:schemeClr val="bg1">
                          <a:lumMod val="65000"/>
                        </a:schemeClr>
                      </a:solidFill>
                      <a:ln w="9525">
                        <a:noFill/>
                        <a:miter lim="800000"/>
                        <a:headEnd/>
                        <a:tailEnd/>
                      </a:ln>
                    </wps:spPr>
                    <wps:txbx>
                      <w:txbxContent>
                        <w:p w14:paraId="0CBB40B0" w14:textId="77777777" w:rsidR="007D4FBB" w:rsidRPr="00F20A7C" w:rsidRDefault="007D4FBB" w:rsidP="00514CBA">
                          <w:pPr>
                            <w:spacing w:after="0"/>
                            <w:jc w:val="center"/>
                            <w:rPr>
                              <w:color w:val="FFFFFF" w:themeColor="background1"/>
                            </w:rPr>
                          </w:pPr>
                          <w:r w:rsidRPr="00514CBA">
                            <w:rPr>
                              <w:color w:val="FFFFFF" w:themeColor="background1"/>
                            </w:rPr>
                            <w:t>Please</w:t>
                          </w:r>
                          <w:r w:rsidRPr="00F20A7C">
                            <w:rPr>
                              <w:color w:val="FFFFFF" w:themeColor="background1"/>
                            </w:rPr>
                            <w:t xml:space="preserve"> do not adjust margins</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2E82A5F7" id="_x0000_t202" coordsize="21600,21600" o:spt="202" path="m0,0l0,21600,21600,21600,21600,0xe">
              <v:stroke joinstyle="miter"/>
              <v:path gradientshapeok="t" o:connecttype="rect"/>
            </v:shapetype>
            <v:shape id="_x0000_s1032" type="#_x0000_t202" style="position:absolute;margin-left:0;margin-top:0;width:606.35pt;height:31.2pt;z-index:251664384;visibility:visible;mso-wrap-style:square;mso-width-percent:0;mso-height-percent:0;mso-wrap-distance-left:9pt;mso-wrap-distance-top:0;mso-wrap-distance-right:9pt;mso-wrap-distance-bottom:0;mso-position-horizontal:center;mso-position-horizontal-relative:text;mso-position-vertical:bottom;mso-position-vertical-relative:page;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" fillcolor="#a5a5a5 [2092]" stroked="f">
              <v:textbox>
                <w:txbxContent>
                  <w:p w14:paraId="0CBB40B0" w14:textId="77777777" w:rsidR="007D4FBB" w:rsidRPr="00F20A7C" w:rsidRDefault="007D4FBB" w:rsidP="00514CBA">
                    <w:pPr>
                      <w:spacing w:after="0"/>
                      <w:jc w:val="center"/>
                      <w:rPr>
                        <w:color w:val="FFFFFF" w:themeColor="background1"/>
                      </w:rPr>
                    </w:pPr>
                    <w:r w:rsidRPr="00514CBA">
                      <w:rPr>
                        <w:color w:val="FFFFFF" w:themeColor="background1"/>
                      </w:rPr>
                      <w:t>Please</w:t>
                    </w:r>
                    <w:r w:rsidRPr="00F20A7C">
                      <w:rPr>
                        <w:color w:val="FFFFFF" w:themeColor="background1"/>
                      </w:rPr>
                      <w:t xml:space="preserve"> do not adjust margins</w:t>
                    </w:r>
                  </w:p>
                </w:txbxContent>
              </v:textbox>
              <w10:wrap anchory="page"/>
            </v:shape>
          </w:pict>
        </mc:Fallback>
      </mc:AlternateContent>
    </w:r>
    <w:r w:rsidRPr="002C0803">
      <w:rPr>
        <w:noProof/>
        <w:spacing w:val="2"/>
        <w:sz w:val="16"/>
        <w:szCs w:val="16"/>
      </w:rPr>
      <w:t xml:space="preserve">This journal is </w:t>
    </w:r>
    <w:r w:rsidRPr="002C0803">
      <w:rPr>
        <w:rFonts w:cstheme="minorHAnsi"/>
        <w:noProof/>
        <w:spacing w:val="2"/>
        <w:sz w:val="16"/>
        <w:szCs w:val="16"/>
      </w:rPr>
      <w:t>©</w:t>
    </w:r>
    <w:r w:rsidRPr="002C0803">
      <w:rPr>
        <w:noProof/>
        <w:spacing w:val="2"/>
        <w:sz w:val="16"/>
        <w:szCs w:val="16"/>
      </w:rPr>
      <w:t xml:space="preserve"> The</w:t>
    </w:r>
    <w:r>
      <w:rPr>
        <w:noProof/>
        <w:spacing w:val="2"/>
        <w:sz w:val="16"/>
        <w:szCs w:val="16"/>
      </w:rPr>
      <w:t xml:space="preserve"> Royal Society of Chemistry 20xx</w:t>
    </w:r>
    <w:r w:rsidRPr="006602F1">
      <w:rPr>
        <w:i/>
        <w:noProof/>
        <w:sz w:val="16"/>
        <w:szCs w:val="16"/>
      </w:rPr>
      <w:tab/>
    </w:r>
    <w:r>
      <w:rPr>
        <w:i/>
        <w:noProof/>
        <w:spacing w:val="10"/>
        <w:sz w:val="16"/>
        <w:szCs w:val="16"/>
      </w:rPr>
      <w:t>J</w:t>
    </w:r>
    <w:r w:rsidRPr="002C0803">
      <w:rPr>
        <w:i/>
        <w:noProof/>
        <w:spacing w:val="10"/>
        <w:sz w:val="16"/>
        <w:szCs w:val="16"/>
      </w:rPr>
      <w:t xml:space="preserve">. </w:t>
    </w:r>
    <w:r>
      <w:rPr>
        <w:i/>
        <w:noProof/>
        <w:spacing w:val="10"/>
        <w:sz w:val="16"/>
        <w:szCs w:val="16"/>
      </w:rPr>
      <w:t>Name</w:t>
    </w:r>
    <w:r w:rsidRPr="002C0803">
      <w:rPr>
        <w:noProof/>
        <w:spacing w:val="10"/>
        <w:sz w:val="16"/>
        <w:szCs w:val="16"/>
      </w:rPr>
      <w:t>., 201</w:t>
    </w:r>
    <w:r>
      <w:rPr>
        <w:noProof/>
        <w:spacing w:val="10"/>
        <w:sz w:val="16"/>
        <w:szCs w:val="16"/>
      </w:rPr>
      <w:t>3</w:t>
    </w:r>
    <w:r w:rsidRPr="002C0803">
      <w:rPr>
        <w:noProof/>
        <w:spacing w:val="10"/>
        <w:sz w:val="16"/>
        <w:szCs w:val="16"/>
      </w:rPr>
      <w:t xml:space="preserve">, </w:t>
    </w:r>
    <w:r w:rsidRPr="002C0803">
      <w:rPr>
        <w:b/>
        <w:noProof/>
        <w:spacing w:val="10"/>
        <w:sz w:val="16"/>
        <w:szCs w:val="16"/>
      </w:rPr>
      <w:t>00</w:t>
    </w:r>
    <w:r w:rsidRPr="002C0803">
      <w:rPr>
        <w:noProof/>
        <w:spacing w:val="10"/>
        <w:sz w:val="16"/>
        <w:szCs w:val="16"/>
      </w:rPr>
      <w:t>, 1-3</w:t>
    </w:r>
    <w:r w:rsidRPr="002C0803">
      <w:rPr>
        <w:spacing w:val="10"/>
        <w:sz w:val="16"/>
        <w:szCs w:val="16"/>
      </w:rPr>
      <w:t xml:space="preserve"> | </w:t>
    </w:r>
    <w:r w:rsidRPr="008C1387">
      <w:rPr>
        <w:b/>
        <w:spacing w:val="10"/>
        <w:sz w:val="16"/>
        <w:szCs w:val="16"/>
      </w:rPr>
      <w:fldChar w:fldCharType="begin"/>
    </w:r>
    <w:r w:rsidRPr="008C1387">
      <w:rPr>
        <w:b/>
        <w:spacing w:val="10"/>
        <w:sz w:val="16"/>
        <w:szCs w:val="16"/>
      </w:rPr>
      <w:instrText xml:space="preserve"> PAGE   \* MERGEFORMAT </w:instrText>
    </w:r>
    <w:r w:rsidRPr="008C1387">
      <w:rPr>
        <w:b/>
        <w:spacing w:val="10"/>
        <w:sz w:val="16"/>
        <w:szCs w:val="16"/>
      </w:rPr>
      <w:fldChar w:fldCharType="separate"/>
    </w:r>
    <w:r w:rsidR="008F14E4">
      <w:rPr>
        <w:b/>
        <w:noProof/>
        <w:spacing w:val="10"/>
        <w:sz w:val="16"/>
        <w:szCs w:val="16"/>
      </w:rPr>
      <w:t>1</w:t>
    </w:r>
    <w:r w:rsidRPr="008C1387">
      <w:rPr>
        <w:b/>
        <w:noProof/>
        <w:spacing w:val="10"/>
        <w:sz w:val="16"/>
        <w:szCs w:val="16"/>
      </w:rPr>
      <w:fldChar w:fldCharType="end"/>
    </w:r>
    <w:r w:rsidRPr="00CC2E25">
      <w:rPr>
        <w:noProof/>
        <w:spacing w:val="2"/>
        <w:sz w:val="16"/>
        <w:szCs w:val="16"/>
      </w:rPr>
      <w:t xml:space="preserve"> </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C67FC5C" w14:textId="77777777" w:rsidR="00467CBD" w:rsidRDefault="00467CBD" w:rsidP="00E547DB">
      <w:pPr>
        <w:spacing w:after="0" w:line="240" w:lineRule="auto"/>
      </w:pPr>
      <w:r>
        <w:separator/>
      </w:r>
    </w:p>
    <w:p w14:paraId="2C492BAA" w14:textId="77777777" w:rsidR="00467CBD" w:rsidRDefault="00467CBD"/>
    <w:p w14:paraId="0E1CF539" w14:textId="77777777" w:rsidR="00467CBD" w:rsidRDefault="00467CBD"/>
    <w:p w14:paraId="07F844BB" w14:textId="77777777" w:rsidR="00467CBD" w:rsidRDefault="00467CBD"/>
    <w:p w14:paraId="5A71762D" w14:textId="77777777" w:rsidR="00467CBD" w:rsidRDefault="00467CBD"/>
    <w:p w14:paraId="4DCF77AF" w14:textId="77777777" w:rsidR="00467CBD" w:rsidRDefault="00467CBD"/>
  </w:footnote>
  <w:footnote w:type="continuationSeparator" w:id="0">
    <w:p w14:paraId="534A0E60" w14:textId="77777777" w:rsidR="00467CBD" w:rsidRDefault="00467CBD" w:rsidP="00E547DB">
      <w:pPr>
        <w:spacing w:after="0" w:line="240" w:lineRule="auto"/>
      </w:pPr>
      <w:r>
        <w:continuationSeparator/>
      </w:r>
    </w:p>
    <w:p w14:paraId="5B164E97" w14:textId="77777777" w:rsidR="00467CBD" w:rsidRDefault="00467CBD"/>
    <w:p w14:paraId="01D1EF45" w14:textId="77777777" w:rsidR="00467CBD" w:rsidRDefault="00467CBD"/>
    <w:p w14:paraId="6DD4D992" w14:textId="77777777" w:rsidR="00467CBD" w:rsidRDefault="00467CBD"/>
    <w:p w14:paraId="19AB9607" w14:textId="77777777" w:rsidR="00467CBD" w:rsidRDefault="00467CBD"/>
    <w:p w14:paraId="66A748CE" w14:textId="77777777" w:rsidR="00467CBD" w:rsidRDefault="00467CBD"/>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5537FA7" w14:textId="77777777" w:rsidR="007D4FBB" w:rsidRPr="00E70DCE" w:rsidRDefault="007D4FBB" w:rsidP="00D45ADF">
    <w:pPr>
      <w:pStyle w:val="Header"/>
      <w:tabs>
        <w:tab w:val="clear" w:pos="4513"/>
        <w:tab w:val="clear" w:pos="9026"/>
        <w:tab w:val="right" w:pos="10206"/>
      </w:tabs>
      <w:spacing w:after="240"/>
      <w:rPr>
        <w:rFonts w:cstheme="minorHAnsi"/>
        <w:color w:val="999999"/>
        <w:sz w:val="20"/>
        <w:szCs w:val="20"/>
      </w:rPr>
    </w:pPr>
    <w:r w:rsidRPr="00E70DCE">
      <w:rPr>
        <w:rFonts w:cstheme="minorHAnsi"/>
        <w:b/>
        <w:color w:val="999999"/>
        <w:sz w:val="20"/>
        <w:szCs w:val="20"/>
      </w:rPr>
      <w:t>COMMUNICATION</w:t>
    </w:r>
    <w:r>
      <w:rPr>
        <w:noProof/>
        <w:lang w:val="en-US"/>
      </w:rPr>
      <mc:AlternateContent>
        <mc:Choice Requires="wps">
          <w:drawing>
            <wp:anchor distT="0" distB="0" distL="114300" distR="114300" simplePos="0" relativeHeight="251668480" behindDoc="0" locked="0" layoutInCell="1" allowOverlap="1" wp14:anchorId="7BF2EBFE" wp14:editId="3154606B">
              <wp:simplePos x="0" y="0"/>
              <wp:positionH relativeFrom="column">
                <wp:align>center</wp:align>
              </wp:positionH>
              <wp:positionV relativeFrom="page">
                <wp:align>bottom</wp:align>
              </wp:positionV>
              <wp:extent cx="7700400" cy="396000"/>
              <wp:effectExtent l="0" t="0" r="0" b="4445"/>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00400" cy="396000"/>
                      </a:xfrm>
                      <a:prstGeom prst="rect">
                        <a:avLst/>
                      </a:prstGeom>
                      <a:solidFill>
                        <a:schemeClr val="bg1">
                          <a:lumMod val="65000"/>
                        </a:schemeClr>
                      </a:solidFill>
                      <a:ln w="9525">
                        <a:noFill/>
                        <a:miter lim="800000"/>
                        <a:headEnd/>
                        <a:tailEnd/>
                      </a:ln>
                    </wps:spPr>
                    <wps:txbx>
                      <w:txbxContent>
                        <w:p w14:paraId="7352AA40" w14:textId="77777777" w:rsidR="007D4FBB" w:rsidRPr="00F20A7C" w:rsidRDefault="007D4FBB" w:rsidP="00514CBA">
                          <w:pPr>
                            <w:spacing w:after="0"/>
                            <w:jc w:val="center"/>
                            <w:rPr>
                              <w:color w:val="FFFFFF" w:themeColor="background1"/>
                            </w:rPr>
                          </w:pPr>
                          <w:r w:rsidRPr="00F20A7C">
                            <w:rPr>
                              <w:color w:val="FFFFFF" w:themeColor="background1"/>
                            </w:rPr>
                            <w:t>Please do not adjust margins</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7BF2EBFE" id="_x0000_t202" coordsize="21600,21600" o:spt="202" path="m0,0l0,21600,21600,21600,21600,0xe">
              <v:stroke joinstyle="miter"/>
              <v:path gradientshapeok="t" o:connecttype="rect"/>
            </v:shapetype>
            <v:shape id="_x0000_s1027" type="#_x0000_t202" style="position:absolute;margin-left:0;margin-top:0;width:606.35pt;height:31.2pt;z-index:251668480;visibility:visible;mso-wrap-style:square;mso-width-percent:0;mso-height-percent:0;mso-wrap-distance-left:9pt;mso-wrap-distance-top:0;mso-wrap-distance-right:9pt;mso-wrap-distance-bottom:0;mso-position-horizontal:center;mso-position-horizontal-relative:text;mso-position-vertical:bottom;mso-position-vertical-relative:page;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" fillcolor="#a5a5a5 [2092]" stroked="f">
              <v:textbox>
                <w:txbxContent>
                  <w:p w14:paraId="7352AA40" w14:textId="77777777" w:rsidR="007D4FBB" w:rsidRPr="00F20A7C" w:rsidRDefault="007D4FBB" w:rsidP="00514CBA">
                    <w:pPr>
                      <w:spacing w:after="0"/>
                      <w:jc w:val="center"/>
                      <w:rPr>
                        <w:color w:val="FFFFFF" w:themeColor="background1"/>
                      </w:rPr>
                    </w:pPr>
                    <w:r w:rsidRPr="00F20A7C">
                      <w:rPr>
                        <w:color w:val="FFFFFF" w:themeColor="background1"/>
                      </w:rPr>
                      <w:t>Please do not adjust margins</w:t>
                    </w:r>
                  </w:p>
                </w:txbxContent>
              </v:textbox>
              <w10:wrap anchory="page"/>
            </v:shape>
          </w:pict>
        </mc:Fallback>
      </mc:AlternateContent>
    </w:r>
    <w:r>
      <w:rPr>
        <w:noProof/>
        <w:lang w:val="en-US"/>
      </w:rPr>
      <mc:AlternateContent>
        <mc:Choice Requires="wps">
          <w:drawing>
            <wp:anchor distT="0" distB="0" distL="114300" distR="114300" simplePos="0" relativeHeight="251666432" behindDoc="0" locked="0" layoutInCell="1" allowOverlap="1" wp14:anchorId="0D03A724" wp14:editId="602FC161">
              <wp:simplePos x="0" y="0"/>
              <wp:positionH relativeFrom="column">
                <wp:align>center</wp:align>
              </wp:positionH>
              <wp:positionV relativeFrom="page">
                <wp:align>top</wp:align>
              </wp:positionV>
              <wp:extent cx="7700400" cy="396000"/>
              <wp:effectExtent l="0" t="0" r="0" b="444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00400" cy="396000"/>
                      </a:xfrm>
                      <a:prstGeom prst="rect">
                        <a:avLst/>
                      </a:prstGeom>
                      <a:solidFill>
                        <a:schemeClr val="bg1">
                          <a:lumMod val="65000"/>
                        </a:schemeClr>
                      </a:solidFill>
                      <a:ln w="9525">
                        <a:noFill/>
                        <a:miter lim="800000"/>
                        <a:headEnd/>
                        <a:tailEnd/>
                      </a:ln>
                    </wps:spPr>
                    <wps:txbx>
                      <w:txbxContent>
                        <w:p w14:paraId="368E043C" w14:textId="77777777" w:rsidR="007D4FBB" w:rsidRPr="00F20A7C" w:rsidRDefault="007D4FBB" w:rsidP="00514CBA">
                          <w:pPr>
                            <w:spacing w:after="0"/>
                            <w:jc w:val="center"/>
                            <w:rPr>
                              <w:color w:val="FFFFFF" w:themeColor="background1"/>
                            </w:rPr>
                          </w:pPr>
                          <w:r w:rsidRPr="00F20A7C">
                            <w:rPr>
                              <w:color w:val="FFFFFF" w:themeColor="background1"/>
                            </w:rPr>
                            <w:t>Please do not adjust margins</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0D03A724" id="_x0000_s1028" type="#_x0000_t202" style="position:absolute;margin-left:0;margin-top:0;width:606.35pt;height:31.2pt;z-index:251666432;visibility:visible;mso-wrap-style:square;mso-width-percent:0;mso-height-percent:0;mso-wrap-distance-left:9pt;mso-wrap-distance-top:0;mso-wrap-distance-right:9pt;mso-wrap-distance-bottom:0;mso-position-horizontal:center;mso-position-horizontal-relative:text;mso-position-vertical:top;mso-position-vertical-relative:page;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" fillcolor="#a5a5a5 [2092]" stroked="f">
              <v:textbox>
                <w:txbxContent>
                  <w:p w14:paraId="368E043C" w14:textId="77777777" w:rsidR="007D4FBB" w:rsidRPr="00F20A7C" w:rsidRDefault="007D4FBB" w:rsidP="00514CBA">
                    <w:pPr>
                      <w:spacing w:after="0"/>
                      <w:jc w:val="center"/>
                      <w:rPr>
                        <w:color w:val="FFFFFF" w:themeColor="background1"/>
                      </w:rPr>
                    </w:pPr>
                    <w:r w:rsidRPr="00F20A7C">
                      <w:rPr>
                        <w:color w:val="FFFFFF" w:themeColor="background1"/>
                      </w:rPr>
                      <w:t>Please do not adjust margins</w:t>
                    </w:r>
                  </w:p>
                </w:txbxContent>
              </v:textbox>
              <w10:wrap anchory="page"/>
            </v:shape>
          </w:pict>
        </mc:Fallback>
      </mc:AlternateContent>
    </w:r>
    <w:r w:rsidRPr="00E70DCE">
      <w:rPr>
        <w:rFonts w:cstheme="minorHAnsi"/>
        <w:color w:val="999999"/>
        <w:sz w:val="20"/>
        <w:szCs w:val="20"/>
      </w:rPr>
      <w:tab/>
    </w:r>
    <w:r>
      <w:rPr>
        <w:rFonts w:cstheme="minorHAnsi"/>
        <w:b/>
        <w:color w:val="999999"/>
        <w:sz w:val="20"/>
        <w:szCs w:val="20"/>
      </w:rPr>
      <w:t>Journal Name</w:t>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F683661" w14:textId="77777777" w:rsidR="007D4FBB" w:rsidRPr="009316A6" w:rsidRDefault="007D4FBB" w:rsidP="00D45ADF">
    <w:pPr>
      <w:pStyle w:val="Header"/>
      <w:tabs>
        <w:tab w:val="clear" w:pos="4513"/>
        <w:tab w:val="clear" w:pos="9026"/>
        <w:tab w:val="right" w:pos="10206"/>
      </w:tabs>
      <w:spacing w:after="240"/>
      <w:rPr>
        <w:rFonts w:cstheme="minorHAnsi"/>
        <w:b/>
        <w:color w:val="999999"/>
        <w:sz w:val="20"/>
        <w:szCs w:val="20"/>
      </w:rPr>
    </w:pPr>
    <w:r>
      <w:rPr>
        <w:noProof/>
        <w:lang w:val="en-US"/>
      </w:rPr>
      <mc:AlternateContent>
        <mc:Choice Requires="wps">
          <w:drawing>
            <wp:anchor distT="0" distB="0" distL="114300" distR="114300" simplePos="0" relativeHeight="251672576" behindDoc="0" locked="0" layoutInCell="1" allowOverlap="1" wp14:anchorId="231A9403" wp14:editId="4DACEE89">
              <wp:simplePos x="0" y="0"/>
              <wp:positionH relativeFrom="column">
                <wp:align>center</wp:align>
              </wp:positionH>
              <wp:positionV relativeFrom="page">
                <wp:align>bottom</wp:align>
              </wp:positionV>
              <wp:extent cx="7700400" cy="399600"/>
              <wp:effectExtent l="0" t="0" r="0" b="635"/>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00400" cy="399600"/>
                      </a:xfrm>
                      <a:prstGeom prst="rect">
                        <a:avLst/>
                      </a:prstGeom>
                      <a:solidFill>
                        <a:schemeClr val="bg1">
                          <a:lumMod val="65000"/>
                        </a:schemeClr>
                      </a:solidFill>
                      <a:ln w="9525">
                        <a:noFill/>
                        <a:miter lim="800000"/>
                        <a:headEnd/>
                        <a:tailEnd/>
                      </a:ln>
                    </wps:spPr>
                    <wps:txbx>
                      <w:txbxContent>
                        <w:p w14:paraId="56714C0E" w14:textId="77777777" w:rsidR="007D4FBB" w:rsidRPr="00F20A7C" w:rsidRDefault="007D4FBB" w:rsidP="00514CBA">
                          <w:pPr>
                            <w:spacing w:after="0"/>
                            <w:jc w:val="center"/>
                            <w:rPr>
                              <w:color w:val="FFFFFF" w:themeColor="background1"/>
                            </w:rPr>
                          </w:pPr>
                          <w:r w:rsidRPr="00F20A7C">
                            <w:rPr>
                              <w:color w:val="FFFFFF" w:themeColor="background1"/>
                            </w:rPr>
                            <w:t>Please do not adjust margins</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231A9403" id="_x0000_t202" coordsize="21600,21600" o:spt="202" path="m0,0l0,21600,21600,21600,21600,0xe">
              <v:stroke joinstyle="miter"/>
              <v:path gradientshapeok="t" o:connecttype="rect"/>
            </v:shapetype>
            <v:shape id="_x0000_s1029" type="#_x0000_t202" style="position:absolute;margin-left:0;margin-top:0;width:606.35pt;height:31.45pt;z-index:251672576;visibility:visible;mso-wrap-style:square;mso-width-percent:0;mso-height-percent:0;mso-wrap-distance-left:9pt;mso-wrap-distance-top:0;mso-wrap-distance-right:9pt;mso-wrap-distance-bottom:0;mso-position-horizontal:center;mso-position-horizontal-relative:text;mso-position-vertical:bottom;mso-position-vertical-relative:page;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" fillcolor="#a5a5a5 [2092]" stroked="f">
              <v:textbox>
                <w:txbxContent>
                  <w:p w14:paraId="56714C0E" w14:textId="77777777" w:rsidR="007D4FBB" w:rsidRPr="00F20A7C" w:rsidRDefault="007D4FBB" w:rsidP="00514CBA">
                    <w:pPr>
                      <w:spacing w:after="0"/>
                      <w:jc w:val="center"/>
                      <w:rPr>
                        <w:color w:val="FFFFFF" w:themeColor="background1"/>
                      </w:rPr>
                    </w:pPr>
                    <w:r w:rsidRPr="00F20A7C">
                      <w:rPr>
                        <w:color w:val="FFFFFF" w:themeColor="background1"/>
                      </w:rPr>
                      <w:t>Please do not adjust margins</w:t>
                    </w:r>
                  </w:p>
                </w:txbxContent>
              </v:textbox>
              <w10:wrap anchory="page"/>
            </v:shape>
          </w:pict>
        </mc:Fallback>
      </mc:AlternateContent>
    </w:r>
    <w:r>
      <w:rPr>
        <w:rFonts w:cstheme="minorHAnsi"/>
        <w:b/>
        <w:color w:val="999999"/>
        <w:sz w:val="20"/>
        <w:szCs w:val="20"/>
      </w:rPr>
      <w:t>Journal Name</w:t>
    </w:r>
    <w:r>
      <w:rPr>
        <w:noProof/>
        <w:lang w:val="en-US"/>
      </w:rPr>
      <mc:AlternateContent>
        <mc:Choice Requires="wps">
          <w:drawing>
            <wp:anchor distT="0" distB="0" distL="114300" distR="114300" simplePos="0" relativeHeight="251670528" behindDoc="0" locked="0" layoutInCell="1" allowOverlap="1" wp14:anchorId="7E47E77D" wp14:editId="2788B1EE">
              <wp:simplePos x="0" y="0"/>
              <wp:positionH relativeFrom="column">
                <wp:align>center</wp:align>
              </wp:positionH>
              <wp:positionV relativeFrom="page">
                <wp:align>top</wp:align>
              </wp:positionV>
              <wp:extent cx="7700400" cy="424800"/>
              <wp:effectExtent l="0" t="0" r="0" b="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00400" cy="424800"/>
                      </a:xfrm>
                      <a:prstGeom prst="rect">
                        <a:avLst/>
                      </a:prstGeom>
                      <a:solidFill>
                        <a:schemeClr val="bg1">
                          <a:lumMod val="65000"/>
                        </a:schemeClr>
                      </a:solidFill>
                      <a:ln w="9525">
                        <a:noFill/>
                        <a:miter lim="800000"/>
                        <a:headEnd/>
                        <a:tailEnd/>
                      </a:ln>
                    </wps:spPr>
                    <wps:txbx>
                      <w:txbxContent>
                        <w:p w14:paraId="618C40DC" w14:textId="77777777" w:rsidR="007D4FBB" w:rsidRPr="00F20A7C" w:rsidRDefault="007D4FBB" w:rsidP="00514CBA">
                          <w:pPr>
                            <w:spacing w:after="0"/>
                            <w:jc w:val="center"/>
                            <w:rPr>
                              <w:color w:val="FFFFFF" w:themeColor="background1"/>
                            </w:rPr>
                          </w:pPr>
                          <w:r w:rsidRPr="00F20A7C">
                            <w:rPr>
                              <w:color w:val="FFFFFF" w:themeColor="background1"/>
                            </w:rPr>
                            <w:t>Please do not adjust margins</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7E47E77D" id="_x0000_s1030" type="#_x0000_t202" style="position:absolute;margin-left:0;margin-top:0;width:606.35pt;height:33.45pt;z-index:251670528;visibility:visible;mso-wrap-style:square;mso-width-percent:0;mso-height-percent:0;mso-wrap-distance-left:9pt;mso-wrap-distance-top:0;mso-wrap-distance-right:9pt;mso-wrap-distance-bottom:0;mso-position-horizontal:center;mso-position-horizontal-relative:text;mso-position-vertical:top;mso-position-vertical-relative:page;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" fillcolor="#a5a5a5 [2092]" stroked="f">
              <v:textbox>
                <w:txbxContent>
                  <w:p w14:paraId="618C40DC" w14:textId="77777777" w:rsidR="007D4FBB" w:rsidRPr="00F20A7C" w:rsidRDefault="007D4FBB" w:rsidP="00514CBA">
                    <w:pPr>
                      <w:spacing w:after="0"/>
                      <w:jc w:val="center"/>
                      <w:rPr>
                        <w:color w:val="FFFFFF" w:themeColor="background1"/>
                      </w:rPr>
                    </w:pPr>
                    <w:r w:rsidRPr="00F20A7C">
                      <w:rPr>
                        <w:color w:val="FFFFFF" w:themeColor="background1"/>
                      </w:rPr>
                      <w:t>Please do not adjust margins</w:t>
                    </w:r>
                  </w:p>
                </w:txbxContent>
              </v:textbox>
              <w10:wrap anchory="page"/>
            </v:shape>
          </w:pict>
        </mc:Fallback>
      </mc:AlternateContent>
    </w:r>
    <w:r>
      <w:rPr>
        <w:rFonts w:cstheme="minorHAnsi"/>
        <w:b/>
        <w:color w:val="999999"/>
        <w:sz w:val="20"/>
        <w:szCs w:val="20"/>
      </w:rPr>
      <w:ptab w:relativeTo="margin" w:alignment="right" w:leader="none"/>
    </w:r>
    <w:r w:rsidRPr="00E46BDF">
      <w:rPr>
        <w:rFonts w:cstheme="minorHAnsi"/>
        <w:b/>
        <w:color w:val="999999"/>
        <w:sz w:val="20"/>
        <w:szCs w:val="20"/>
      </w:rPr>
      <w:t xml:space="preserve"> </w:t>
    </w:r>
    <w:r w:rsidRPr="00E70DCE">
      <w:rPr>
        <w:rFonts w:cstheme="minorHAnsi"/>
        <w:b/>
        <w:color w:val="999999"/>
        <w:sz w:val="20"/>
        <w:szCs w:val="20"/>
      </w:rPr>
      <w:t>COMMUNICATION</w:t>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8C5A00" w14:textId="77777777" w:rsidR="007D4FBB" w:rsidRDefault="007D4FBB" w:rsidP="00180ABE">
    <w:pPr>
      <w:pStyle w:val="Header"/>
      <w:shd w:val="clear" w:color="auto" w:fill="FFFFFF" w:themeFill="background1"/>
      <w:tabs>
        <w:tab w:val="clear" w:pos="4513"/>
        <w:tab w:val="clear" w:pos="9026"/>
        <w:tab w:val="right" w:pos="10205"/>
      </w:tabs>
      <w:spacing w:after="240"/>
      <w:rPr>
        <w:b/>
        <w:sz w:val="32"/>
        <w:szCs w:val="32"/>
      </w:rPr>
    </w:pPr>
    <w:r>
      <w:rPr>
        <w:noProof/>
        <w:lang w:val="en-US"/>
      </w:rPr>
      <mc:AlternateContent>
        <mc:Choice Requires="wps">
          <w:drawing>
            <wp:anchor distT="0" distB="0" distL="114300" distR="114300" simplePos="0" relativeHeight="251662336" behindDoc="0" locked="0" layoutInCell="1" allowOverlap="1" wp14:anchorId="421EB354" wp14:editId="2ED27C60">
              <wp:simplePos x="0" y="0"/>
              <wp:positionH relativeFrom="column">
                <wp:align>center</wp:align>
              </wp:positionH>
              <wp:positionV relativeFrom="page">
                <wp:align>top</wp:align>
              </wp:positionV>
              <wp:extent cx="7700400" cy="399600"/>
              <wp:effectExtent l="0" t="0" r="0" b="635"/>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00400" cy="399600"/>
                      </a:xfrm>
                      <a:prstGeom prst="rect">
                        <a:avLst/>
                      </a:prstGeom>
                      <a:solidFill>
                        <a:schemeClr val="bg1">
                          <a:lumMod val="65000"/>
                        </a:schemeClr>
                      </a:solidFill>
                      <a:ln w="9525">
                        <a:noFill/>
                        <a:miter lim="800000"/>
                        <a:headEnd/>
                        <a:tailEnd/>
                      </a:ln>
                    </wps:spPr>
                    <wps:txbx>
                      <w:txbxContent>
                        <w:p w14:paraId="2B52AA95" w14:textId="77777777" w:rsidR="007D4FBB" w:rsidRPr="00F20A7C" w:rsidRDefault="007D4FBB" w:rsidP="00514CBA">
                          <w:pPr>
                            <w:spacing w:after="0"/>
                            <w:jc w:val="center"/>
                            <w:rPr>
                              <w:color w:val="FFFFFF" w:themeColor="background1"/>
                            </w:rPr>
                          </w:pPr>
                          <w:r w:rsidRPr="00F20A7C">
                            <w:rPr>
                              <w:color w:val="FFFFFF" w:themeColor="background1"/>
                            </w:rPr>
                            <w:t>Please do not adjust margins</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421EB354" id="_x0000_t202" coordsize="21600,21600" o:spt="202" path="m0,0l0,21600,21600,21600,21600,0xe">
              <v:stroke joinstyle="miter"/>
              <v:path gradientshapeok="t" o:connecttype="rect"/>
            </v:shapetype>
            <v:shape id="_x0000_s1031" type="#_x0000_t202" style="position:absolute;margin-left:0;margin-top:0;width:606.35pt;height:31.45pt;z-index:251662336;visibility:visible;mso-wrap-style:square;mso-width-percent:0;mso-height-percent:0;mso-wrap-distance-left:9pt;mso-wrap-distance-top:0;mso-wrap-distance-right:9pt;mso-wrap-distance-bottom:0;mso-position-horizontal:center;mso-position-horizontal-relative:text;mso-position-vertical:top;mso-position-vertical-relative:page;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" fillcolor="#a5a5a5 [2092]" stroked="f">
              <v:textbox>
                <w:txbxContent>
                  <w:p w14:paraId="2B52AA95" w14:textId="77777777" w:rsidR="007D4FBB" w:rsidRPr="00F20A7C" w:rsidRDefault="007D4FBB" w:rsidP="00514CBA">
                    <w:pPr>
                      <w:spacing w:after="0"/>
                      <w:jc w:val="center"/>
                      <w:rPr>
                        <w:color w:val="FFFFFF" w:themeColor="background1"/>
                      </w:rPr>
                    </w:pPr>
                    <w:r w:rsidRPr="00F20A7C">
                      <w:rPr>
                        <w:color w:val="FFFFFF" w:themeColor="background1"/>
                      </w:rPr>
                      <w:t>Please do not adjust margins</w:t>
                    </w:r>
                  </w:p>
                </w:txbxContent>
              </v:textbox>
              <w10:wrap anchory="page"/>
            </v:shape>
          </w:pict>
        </mc:Fallback>
      </mc:AlternateContent>
    </w:r>
    <w:r>
      <w:rPr>
        <w:b/>
        <w:sz w:val="32"/>
        <w:szCs w:val="32"/>
      </w:rPr>
      <w:t>Journal Name</w:t>
    </w:r>
    <w:r>
      <w:rPr>
        <w:b/>
        <w:sz w:val="32"/>
        <w:szCs w:val="32"/>
      </w:rPr>
      <w:tab/>
    </w:r>
    <w:r>
      <w:rPr>
        <w:b/>
        <w:noProof/>
        <w:sz w:val="32"/>
        <w:szCs w:val="32"/>
        <w:lang w:val="en-US"/>
      </w:rPr>
      <w:drawing>
        <wp:inline distT="0" distB="0" distL="0" distR="0" wp14:anchorId="5BFA4710" wp14:editId="2B852900">
          <wp:extent cx="972312" cy="649224"/>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SC_LOGO_CORPORATE_CMYK.tif"/>
                  <pic:cNvPicPr/>
                </pic:nvPicPr>
                <pic:blipFill>
                  <a:blip r:embed="rId1" cstate="print">
                    <a:extLst>
                      <a:ext uri="{28A0092B-C50C-407E-A947-70E740481C1C}">
                        <a14:useLocalDpi xmlns:a14="http://schemas.microsoft.com/office/drawing/2010/main" val="0"/>
                      </a:ext>
                    </a:extLst>
                  </a:blip>
                  <a:stretch>
                    <a:fillRect/>
                  </a:stretch>
                </pic:blipFill>
                <pic:spPr>
                  <a:xfrm>
                    <a:off x="0" y="0"/>
                    <a:ext cx="972312" cy="649224"/>
                  </a:xfrm>
                  <a:prstGeom prst="rect">
                    <a:avLst/>
                  </a:prstGeom>
                </pic:spPr>
              </pic:pic>
            </a:graphicData>
          </a:graphic>
        </wp:inline>
      </w:drawing>
    </w:r>
  </w:p>
  <w:p w14:paraId="0365A206" w14:textId="77777777" w:rsidR="007D4FBB" w:rsidRPr="00180ABE" w:rsidRDefault="007D4FBB" w:rsidP="00180ABE">
    <w:pPr>
      <w:pStyle w:val="Header"/>
      <w:pBdr>
        <w:top w:val="single" w:sz="4" w:space="9" w:color="9CB8C7"/>
        <w:left w:val="single" w:sz="4" w:space="6" w:color="9CB8C7"/>
        <w:bottom w:val="single" w:sz="4" w:space="9" w:color="9CB8C7"/>
        <w:right w:val="single" w:sz="4" w:space="6" w:color="9CB8C7"/>
      </w:pBdr>
      <w:shd w:val="clear" w:color="auto" w:fill="9CB8C7"/>
      <w:spacing w:after="240"/>
      <w:ind w:left="170" w:right="170"/>
      <w:rPr>
        <w:rFonts w:cstheme="minorHAnsi"/>
        <w:color w:val="FFFFFF" w:themeColor="background1"/>
        <w:sz w:val="32"/>
        <w:szCs w:val="32"/>
      </w:rPr>
    </w:pPr>
    <w:r w:rsidRPr="00180ABE">
      <w:rPr>
        <w:rFonts w:cstheme="minorHAnsi"/>
        <w:color w:val="FFFFFF" w:themeColor="background1"/>
        <w:sz w:val="32"/>
        <w:szCs w:val="32"/>
      </w:rPr>
      <w:t>COMMUNICATION</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DE0C09A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127A02B7"/>
    <w:multiLevelType w:val="hybridMultilevel"/>
    <w:tmpl w:val="1A9AFCFC"/>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25CE18C1"/>
    <w:multiLevelType w:val="hybridMultilevel"/>
    <w:tmpl w:val="AD16986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3C2B0EBB"/>
    <w:multiLevelType w:val="hybridMultilevel"/>
    <w:tmpl w:val="AAD643F4"/>
    <w:lvl w:ilvl="0" w:tplc="54A6E152">
      <w:start w:val="1"/>
      <w:numFmt w:val="lowerLetter"/>
      <w:pStyle w:val="RSCF01FootnoteAuthorAddress"/>
      <w:lvlText w:val="%1."/>
      <w:lvlJc w:val="left"/>
      <w:pPr>
        <w:ind w:left="720" w:hanging="360"/>
      </w:pPr>
      <w:rPr>
        <w:rFonts w:ascii="Calibri" w:hAnsi="Calibri" w:hint="default"/>
        <w:b w:val="0"/>
        <w:i/>
        <w:vertAlign w:val="superscrip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3CC4793E"/>
    <w:multiLevelType w:val="hybridMultilevel"/>
    <w:tmpl w:val="1E5E52AA"/>
    <w:lvl w:ilvl="0" w:tplc="A2DA1DF6">
      <w:start w:val="1"/>
      <w:numFmt w:val="decimal"/>
      <w:pStyle w:val="RSCR02References"/>
      <w:lvlText w:val="%1"/>
      <w:lvlJc w:val="left"/>
      <w:pPr>
        <w:ind w:left="81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41DB2E3C"/>
    <w:multiLevelType w:val="singleLevel"/>
    <w:tmpl w:val="E5E28CB0"/>
    <w:lvl w:ilvl="0">
      <w:start w:val="1"/>
      <w:numFmt w:val="lowerLetter"/>
      <w:lvlText w:val="%1."/>
      <w:lvlJc w:val="left"/>
      <w:pPr>
        <w:tabs>
          <w:tab w:val="num" w:pos="1080"/>
        </w:tabs>
        <w:ind w:left="1080" w:hanging="360"/>
      </w:pPr>
      <w:rPr>
        <w:rFonts w:hint="default"/>
      </w:rPr>
    </w:lvl>
  </w:abstractNum>
  <w:abstractNum w:abstractNumId="7">
    <w:nsid w:val="4DDD5E67"/>
    <w:multiLevelType w:val="hybridMultilevel"/>
    <w:tmpl w:val="918C1248"/>
    <w:lvl w:ilvl="0" w:tplc="F11A06DC">
      <w:start w:val="1"/>
      <w:numFmt w:val="bullet"/>
      <w:lvlText w:val="§"/>
      <w:lvlJc w:val="left"/>
      <w:pPr>
        <w:ind w:left="720" w:hanging="360"/>
      </w:pPr>
      <w:rPr>
        <w:rFonts w:ascii="Calibri" w:hAnsi="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7A2E7F39"/>
    <w:multiLevelType w:val="hybridMultilevel"/>
    <w:tmpl w:val="14BA6562"/>
    <w:lvl w:ilvl="0" w:tplc="98B861D8">
      <w:start w:val="1"/>
      <w:numFmt w:val="bullet"/>
      <w:lvlText w:val="‡"/>
      <w:lvlJc w:val="left"/>
      <w:pPr>
        <w:ind w:left="720" w:hanging="360"/>
      </w:pPr>
      <w:rPr>
        <w:rFonts w:ascii="Calibri" w:hAnsi="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5"/>
  </w:num>
  <w:num w:numId="3">
    <w:abstractNumId w:val="4"/>
  </w:num>
  <w:num w:numId="4">
    <w:abstractNumId w:val="8"/>
  </w:num>
  <w:num w:numId="5">
    <w:abstractNumId w:val="7"/>
  </w:num>
  <w:num w:numId="6">
    <w:abstractNumId w:val="3"/>
  </w:num>
  <w:num w:numId="7">
    <w:abstractNumId w:val="6"/>
  </w:num>
  <w:num w:numId="8">
    <w:abstractNumId w:val="0"/>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95"/>
  <w:embedTrueTypeFonts/>
  <w:proofState w:grammar="clean"/>
  <w:stylePaneSortMethod w:val="0000"/>
  <w:defaultTabStop w:val="284"/>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142A"/>
    <w:rsid w:val="00005B8A"/>
    <w:rsid w:val="000207B6"/>
    <w:rsid w:val="00022D8A"/>
    <w:rsid w:val="0006198F"/>
    <w:rsid w:val="000622D1"/>
    <w:rsid w:val="00062EF3"/>
    <w:rsid w:val="00071E41"/>
    <w:rsid w:val="00073639"/>
    <w:rsid w:val="00091689"/>
    <w:rsid w:val="000A2670"/>
    <w:rsid w:val="000C0A9D"/>
    <w:rsid w:val="000D2FAC"/>
    <w:rsid w:val="000D5891"/>
    <w:rsid w:val="000D6963"/>
    <w:rsid w:val="000E7A32"/>
    <w:rsid w:val="000F0959"/>
    <w:rsid w:val="000F3A41"/>
    <w:rsid w:val="0011709F"/>
    <w:rsid w:val="00120227"/>
    <w:rsid w:val="00126027"/>
    <w:rsid w:val="001508E9"/>
    <w:rsid w:val="001633D9"/>
    <w:rsid w:val="00180ABE"/>
    <w:rsid w:val="001923AB"/>
    <w:rsid w:val="0019253B"/>
    <w:rsid w:val="001A0794"/>
    <w:rsid w:val="001C1EB8"/>
    <w:rsid w:val="00206A82"/>
    <w:rsid w:val="00224CBA"/>
    <w:rsid w:val="00237C8A"/>
    <w:rsid w:val="00241ACD"/>
    <w:rsid w:val="00243D3C"/>
    <w:rsid w:val="00253551"/>
    <w:rsid w:val="0025490A"/>
    <w:rsid w:val="00270DD5"/>
    <w:rsid w:val="00271235"/>
    <w:rsid w:val="00272D6F"/>
    <w:rsid w:val="002A5421"/>
    <w:rsid w:val="002C0803"/>
    <w:rsid w:val="002C3D7C"/>
    <w:rsid w:val="002E5B1D"/>
    <w:rsid w:val="002F52C3"/>
    <w:rsid w:val="00342C47"/>
    <w:rsid w:val="00344C2D"/>
    <w:rsid w:val="00352AA4"/>
    <w:rsid w:val="00354579"/>
    <w:rsid w:val="00356F00"/>
    <w:rsid w:val="00362C6E"/>
    <w:rsid w:val="00377481"/>
    <w:rsid w:val="003941B8"/>
    <w:rsid w:val="003A7E95"/>
    <w:rsid w:val="003B739C"/>
    <w:rsid w:val="003C4D16"/>
    <w:rsid w:val="003C6313"/>
    <w:rsid w:val="003D4ECA"/>
    <w:rsid w:val="003E4631"/>
    <w:rsid w:val="003E55B2"/>
    <w:rsid w:val="0041752B"/>
    <w:rsid w:val="0043180D"/>
    <w:rsid w:val="0044075F"/>
    <w:rsid w:val="004414A5"/>
    <w:rsid w:val="0044700B"/>
    <w:rsid w:val="00456785"/>
    <w:rsid w:val="00467C80"/>
    <w:rsid w:val="00467CBD"/>
    <w:rsid w:val="00474052"/>
    <w:rsid w:val="00485FDB"/>
    <w:rsid w:val="004877C8"/>
    <w:rsid w:val="004901D3"/>
    <w:rsid w:val="004A2E86"/>
    <w:rsid w:val="004B5DF8"/>
    <w:rsid w:val="004B5EA4"/>
    <w:rsid w:val="004C3829"/>
    <w:rsid w:val="004C531E"/>
    <w:rsid w:val="004C6C90"/>
    <w:rsid w:val="004F4285"/>
    <w:rsid w:val="005023A0"/>
    <w:rsid w:val="005037CD"/>
    <w:rsid w:val="00504795"/>
    <w:rsid w:val="00506565"/>
    <w:rsid w:val="00506808"/>
    <w:rsid w:val="00514CBA"/>
    <w:rsid w:val="0051710A"/>
    <w:rsid w:val="0052630A"/>
    <w:rsid w:val="00530B0A"/>
    <w:rsid w:val="0053177A"/>
    <w:rsid w:val="00533EA1"/>
    <w:rsid w:val="00556985"/>
    <w:rsid w:val="005771C3"/>
    <w:rsid w:val="00577B54"/>
    <w:rsid w:val="00590F6D"/>
    <w:rsid w:val="005A5ED7"/>
    <w:rsid w:val="005C1A41"/>
    <w:rsid w:val="005C4565"/>
    <w:rsid w:val="005E05CD"/>
    <w:rsid w:val="006140DC"/>
    <w:rsid w:val="00627D9A"/>
    <w:rsid w:val="006343FD"/>
    <w:rsid w:val="00641030"/>
    <w:rsid w:val="00645D52"/>
    <w:rsid w:val="0065133B"/>
    <w:rsid w:val="006602F1"/>
    <w:rsid w:val="00670ED4"/>
    <w:rsid w:val="00671D6D"/>
    <w:rsid w:val="00672928"/>
    <w:rsid w:val="00686CDC"/>
    <w:rsid w:val="006A4C46"/>
    <w:rsid w:val="006A69C8"/>
    <w:rsid w:val="006D6163"/>
    <w:rsid w:val="006E58B1"/>
    <w:rsid w:val="006F01C4"/>
    <w:rsid w:val="006F487B"/>
    <w:rsid w:val="006F740B"/>
    <w:rsid w:val="00705B00"/>
    <w:rsid w:val="0071392B"/>
    <w:rsid w:val="00744A41"/>
    <w:rsid w:val="00750017"/>
    <w:rsid w:val="0076538E"/>
    <w:rsid w:val="00780A41"/>
    <w:rsid w:val="00794787"/>
    <w:rsid w:val="007A37D8"/>
    <w:rsid w:val="007C39A2"/>
    <w:rsid w:val="007C3D03"/>
    <w:rsid w:val="007D1EFA"/>
    <w:rsid w:val="007D4FBB"/>
    <w:rsid w:val="007D5FE4"/>
    <w:rsid w:val="00800FB7"/>
    <w:rsid w:val="00810C18"/>
    <w:rsid w:val="008231B7"/>
    <w:rsid w:val="008344D7"/>
    <w:rsid w:val="00841DAE"/>
    <w:rsid w:val="008560DE"/>
    <w:rsid w:val="008730E4"/>
    <w:rsid w:val="008731E2"/>
    <w:rsid w:val="00877880"/>
    <w:rsid w:val="00877A79"/>
    <w:rsid w:val="0088525A"/>
    <w:rsid w:val="00885A3F"/>
    <w:rsid w:val="008A0D60"/>
    <w:rsid w:val="008C1387"/>
    <w:rsid w:val="008C682F"/>
    <w:rsid w:val="008D1135"/>
    <w:rsid w:val="008E509B"/>
    <w:rsid w:val="008F14E4"/>
    <w:rsid w:val="008F4811"/>
    <w:rsid w:val="008F525A"/>
    <w:rsid w:val="009026D4"/>
    <w:rsid w:val="00922105"/>
    <w:rsid w:val="0092763E"/>
    <w:rsid w:val="009316A6"/>
    <w:rsid w:val="009342C5"/>
    <w:rsid w:val="00936114"/>
    <w:rsid w:val="009400E9"/>
    <w:rsid w:val="00946830"/>
    <w:rsid w:val="00962779"/>
    <w:rsid w:val="009654EC"/>
    <w:rsid w:val="00982304"/>
    <w:rsid w:val="009872D4"/>
    <w:rsid w:val="009918D9"/>
    <w:rsid w:val="00994D28"/>
    <w:rsid w:val="009A392D"/>
    <w:rsid w:val="009C3F0B"/>
    <w:rsid w:val="009D17C3"/>
    <w:rsid w:val="009D47C2"/>
    <w:rsid w:val="009D5AAF"/>
    <w:rsid w:val="009E51F8"/>
    <w:rsid w:val="009E66F9"/>
    <w:rsid w:val="009F2649"/>
    <w:rsid w:val="00A0301B"/>
    <w:rsid w:val="00A074D7"/>
    <w:rsid w:val="00A15DA0"/>
    <w:rsid w:val="00A16A99"/>
    <w:rsid w:val="00A17D23"/>
    <w:rsid w:val="00A208E1"/>
    <w:rsid w:val="00A24F39"/>
    <w:rsid w:val="00A521AB"/>
    <w:rsid w:val="00A52DBF"/>
    <w:rsid w:val="00A56CD0"/>
    <w:rsid w:val="00A6057E"/>
    <w:rsid w:val="00A61D3E"/>
    <w:rsid w:val="00A7643E"/>
    <w:rsid w:val="00A80581"/>
    <w:rsid w:val="00A9649E"/>
    <w:rsid w:val="00AA1341"/>
    <w:rsid w:val="00AB16D0"/>
    <w:rsid w:val="00AB2C1B"/>
    <w:rsid w:val="00AB64F9"/>
    <w:rsid w:val="00AC0C5A"/>
    <w:rsid w:val="00AC3BF2"/>
    <w:rsid w:val="00AD5483"/>
    <w:rsid w:val="00AE12DF"/>
    <w:rsid w:val="00AF0249"/>
    <w:rsid w:val="00AF150F"/>
    <w:rsid w:val="00AF4737"/>
    <w:rsid w:val="00AF706B"/>
    <w:rsid w:val="00B0470A"/>
    <w:rsid w:val="00B06557"/>
    <w:rsid w:val="00B2364D"/>
    <w:rsid w:val="00B53582"/>
    <w:rsid w:val="00B6239D"/>
    <w:rsid w:val="00B67630"/>
    <w:rsid w:val="00B722DE"/>
    <w:rsid w:val="00B745CC"/>
    <w:rsid w:val="00B80DDB"/>
    <w:rsid w:val="00B8142A"/>
    <w:rsid w:val="00B81EE1"/>
    <w:rsid w:val="00B861B7"/>
    <w:rsid w:val="00B86598"/>
    <w:rsid w:val="00BA761E"/>
    <w:rsid w:val="00BB3FBE"/>
    <w:rsid w:val="00BC603D"/>
    <w:rsid w:val="00C016FB"/>
    <w:rsid w:val="00C01E12"/>
    <w:rsid w:val="00C3016F"/>
    <w:rsid w:val="00C31922"/>
    <w:rsid w:val="00C32EDF"/>
    <w:rsid w:val="00C405FD"/>
    <w:rsid w:val="00C42573"/>
    <w:rsid w:val="00C5024A"/>
    <w:rsid w:val="00C57107"/>
    <w:rsid w:val="00C62C2D"/>
    <w:rsid w:val="00C9227C"/>
    <w:rsid w:val="00C93456"/>
    <w:rsid w:val="00CA2740"/>
    <w:rsid w:val="00CC12E6"/>
    <w:rsid w:val="00CC2E25"/>
    <w:rsid w:val="00CC7C64"/>
    <w:rsid w:val="00CD0B47"/>
    <w:rsid w:val="00CE7A29"/>
    <w:rsid w:val="00CF17C2"/>
    <w:rsid w:val="00D010E8"/>
    <w:rsid w:val="00D02C04"/>
    <w:rsid w:val="00D0336E"/>
    <w:rsid w:val="00D138E8"/>
    <w:rsid w:val="00D208BA"/>
    <w:rsid w:val="00D21668"/>
    <w:rsid w:val="00D216BC"/>
    <w:rsid w:val="00D22497"/>
    <w:rsid w:val="00D23C87"/>
    <w:rsid w:val="00D35127"/>
    <w:rsid w:val="00D41EE6"/>
    <w:rsid w:val="00D42F8F"/>
    <w:rsid w:val="00D45ADF"/>
    <w:rsid w:val="00D51CE0"/>
    <w:rsid w:val="00DA07F1"/>
    <w:rsid w:val="00DB4B66"/>
    <w:rsid w:val="00DD06F4"/>
    <w:rsid w:val="00DD3279"/>
    <w:rsid w:val="00DD500F"/>
    <w:rsid w:val="00DF53E4"/>
    <w:rsid w:val="00E2136E"/>
    <w:rsid w:val="00E2419E"/>
    <w:rsid w:val="00E25AF8"/>
    <w:rsid w:val="00E31A6A"/>
    <w:rsid w:val="00E34619"/>
    <w:rsid w:val="00E46BDF"/>
    <w:rsid w:val="00E547DB"/>
    <w:rsid w:val="00E555BF"/>
    <w:rsid w:val="00E61949"/>
    <w:rsid w:val="00E70DCE"/>
    <w:rsid w:val="00E94A67"/>
    <w:rsid w:val="00EA446A"/>
    <w:rsid w:val="00EA7DC1"/>
    <w:rsid w:val="00EB5BA2"/>
    <w:rsid w:val="00EB5C28"/>
    <w:rsid w:val="00ED0939"/>
    <w:rsid w:val="00EF0D19"/>
    <w:rsid w:val="00EF1577"/>
    <w:rsid w:val="00EF6BD4"/>
    <w:rsid w:val="00F02296"/>
    <w:rsid w:val="00F15F90"/>
    <w:rsid w:val="00F21465"/>
    <w:rsid w:val="00F46E1D"/>
    <w:rsid w:val="00F6065C"/>
    <w:rsid w:val="00F61EB1"/>
    <w:rsid w:val="00F62C8B"/>
    <w:rsid w:val="00F802D4"/>
    <w:rsid w:val="00F82A7B"/>
    <w:rsid w:val="00F91982"/>
    <w:rsid w:val="00F95167"/>
    <w:rsid w:val="00F9570A"/>
    <w:rsid w:val="00FA311A"/>
    <w:rsid w:val="00FC1AAD"/>
    <w:rsid w:val="00FD7713"/>
    <w:rsid w:val="00FD7AA2"/>
    <w:rsid w:val="00FE0FE8"/>
    <w:rsid w:val="00FF4293"/>
    <w:rsid w:val="00FF45F8"/>
    <w:rsid w:val="00FF56AA"/>
    <w:rsid w:val="00FF75B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8E1D71"/>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80">
    <w:lsdException w:name="Normal" w:uiPriority="0"/>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EF157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547DB"/>
    <w:pPr>
      <w:tabs>
        <w:tab w:val="center" w:pos="4513"/>
        <w:tab w:val="right" w:pos="9026"/>
      </w:tabs>
      <w:spacing w:after="0" w:line="240" w:lineRule="auto"/>
    </w:pPr>
  </w:style>
  <w:style w:type="character" w:customStyle="1" w:styleId="HeaderChar">
    <w:name w:val="Header Char"/>
    <w:basedOn w:val="DefaultParagraphFont"/>
    <w:link w:val="Header"/>
    <w:uiPriority w:val="99"/>
    <w:rsid w:val="00E547DB"/>
  </w:style>
  <w:style w:type="paragraph" w:styleId="Footer">
    <w:name w:val="footer"/>
    <w:basedOn w:val="Normal"/>
    <w:link w:val="FooterChar"/>
    <w:uiPriority w:val="99"/>
    <w:unhideWhenUsed/>
    <w:rsid w:val="00E547DB"/>
    <w:pPr>
      <w:tabs>
        <w:tab w:val="center" w:pos="4513"/>
        <w:tab w:val="right" w:pos="9026"/>
      </w:tabs>
      <w:spacing w:after="0" w:line="240" w:lineRule="auto"/>
    </w:pPr>
  </w:style>
  <w:style w:type="character" w:customStyle="1" w:styleId="FooterChar">
    <w:name w:val="Footer Char"/>
    <w:basedOn w:val="DefaultParagraphFont"/>
    <w:link w:val="Footer"/>
    <w:uiPriority w:val="99"/>
    <w:rsid w:val="00E547DB"/>
  </w:style>
  <w:style w:type="paragraph" w:styleId="BalloonText">
    <w:name w:val="Balloon Text"/>
    <w:basedOn w:val="Normal"/>
    <w:link w:val="BalloonTextChar"/>
    <w:uiPriority w:val="99"/>
    <w:semiHidden/>
    <w:unhideWhenUsed/>
    <w:rsid w:val="00E547D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47DB"/>
    <w:rPr>
      <w:rFonts w:ascii="Tahoma" w:hAnsi="Tahoma" w:cs="Tahoma"/>
      <w:sz w:val="16"/>
      <w:szCs w:val="16"/>
    </w:rPr>
  </w:style>
  <w:style w:type="paragraph" w:customStyle="1" w:styleId="RSCH01PaperTitle">
    <w:name w:val="RSC H01 Paper Title"/>
    <w:basedOn w:val="Normal"/>
    <w:next w:val="Normal"/>
    <w:link w:val="RSCH01PaperTitleChar"/>
    <w:qFormat/>
    <w:rsid w:val="00C32EDF"/>
    <w:pPr>
      <w:tabs>
        <w:tab w:val="left" w:pos="284"/>
      </w:tabs>
      <w:spacing w:before="400" w:after="160" w:line="240" w:lineRule="auto"/>
    </w:pPr>
    <w:rPr>
      <w:rFonts w:cs="Times New Roman"/>
      <w:b/>
      <w:sz w:val="29"/>
      <w:szCs w:val="32"/>
    </w:rPr>
  </w:style>
  <w:style w:type="paragraph" w:customStyle="1" w:styleId="RSCH02PaperAuthorsandByline">
    <w:name w:val="RSC H02 Paper Authors and Byline"/>
    <w:basedOn w:val="Normal"/>
    <w:link w:val="RSCH02PaperAuthorsandBylineChar"/>
    <w:qFormat/>
    <w:rsid w:val="001633D9"/>
    <w:pPr>
      <w:spacing w:after="120" w:line="240" w:lineRule="exact"/>
    </w:pPr>
    <w:rPr>
      <w:rFonts w:cs="Times New Roman"/>
      <w:sz w:val="20"/>
    </w:rPr>
  </w:style>
  <w:style w:type="paragraph" w:customStyle="1" w:styleId="RSCB01COMAbstract">
    <w:name w:val="RSC B01 COM Abstract"/>
    <w:basedOn w:val="Normal"/>
    <w:link w:val="RSCB01COMAbstractChar"/>
    <w:qFormat/>
    <w:rsid w:val="0025490A"/>
    <w:pPr>
      <w:spacing w:line="240" w:lineRule="exact"/>
      <w:jc w:val="both"/>
    </w:pPr>
    <w:rPr>
      <w:b/>
      <w:noProof/>
      <w:sz w:val="18"/>
      <w:lang w:eastAsia="en-GB"/>
    </w:rPr>
  </w:style>
  <w:style w:type="table" w:styleId="TableGrid">
    <w:name w:val="Table Grid"/>
    <w:basedOn w:val="TableNormal"/>
    <w:uiPriority w:val="59"/>
    <w:rsid w:val="005771C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05BHeading">
    <w:name w:val="05 B Heading"/>
    <w:basedOn w:val="RSCB04SectionHeading"/>
    <w:link w:val="05BHeadingChar"/>
    <w:rsid w:val="00AB16D0"/>
    <w:pPr>
      <w:spacing w:before="160" w:line="240" w:lineRule="exact"/>
    </w:pPr>
    <w:rPr>
      <w:rFonts w:ascii="Times New Roman" w:hAnsi="Times New Roman" w:cs="Times New Roman"/>
      <w:sz w:val="18"/>
      <w:szCs w:val="18"/>
    </w:rPr>
  </w:style>
  <w:style w:type="paragraph" w:customStyle="1" w:styleId="RSCB02ArticleText">
    <w:name w:val="RSC B02 Article Text"/>
    <w:basedOn w:val="Normal"/>
    <w:link w:val="RSCB02ArticleTextChar"/>
    <w:qFormat/>
    <w:rsid w:val="002C3D7C"/>
    <w:pPr>
      <w:tabs>
        <w:tab w:val="left" w:pos="284"/>
      </w:tabs>
      <w:spacing w:after="0" w:line="240" w:lineRule="exact"/>
      <w:jc w:val="both"/>
    </w:pPr>
    <w:rPr>
      <w:rFonts w:cs="Times New Roman"/>
      <w:w w:val="108"/>
      <w:sz w:val="18"/>
      <w:szCs w:val="18"/>
    </w:rPr>
  </w:style>
  <w:style w:type="character" w:customStyle="1" w:styleId="06CHeading">
    <w:name w:val="06 C Heading"/>
    <w:basedOn w:val="RSCB02ArticleTextChar"/>
    <w:uiPriority w:val="1"/>
    <w:rsid w:val="00EF1577"/>
    <w:rPr>
      <w:rFonts w:ascii="Times New Roman" w:hAnsi="Times New Roman" w:cs="Times New Roman"/>
      <w:b/>
      <w:smallCaps/>
      <w:w w:val="108"/>
      <w:sz w:val="18"/>
      <w:szCs w:val="18"/>
    </w:rPr>
  </w:style>
  <w:style w:type="character" w:customStyle="1" w:styleId="RSCB02ArticleTextChar">
    <w:name w:val="RSC B02 Article Text Char"/>
    <w:basedOn w:val="DefaultParagraphFont"/>
    <w:link w:val="RSCB02ArticleText"/>
    <w:rsid w:val="002C3D7C"/>
    <w:rPr>
      <w:rFonts w:cs="Times New Roman"/>
      <w:w w:val="108"/>
      <w:sz w:val="18"/>
      <w:szCs w:val="18"/>
    </w:rPr>
  </w:style>
  <w:style w:type="paragraph" w:customStyle="1" w:styleId="09ListText">
    <w:name w:val="09 List Text"/>
    <w:basedOn w:val="RSCB02ArticleText"/>
    <w:link w:val="09ListTextChar"/>
    <w:rsid w:val="00EF1577"/>
    <w:pPr>
      <w:widowControl w:val="0"/>
      <w:spacing w:line="230" w:lineRule="exact"/>
      <w:ind w:left="284" w:hanging="284"/>
    </w:pPr>
    <w:rPr>
      <w:rFonts w:eastAsia="Times New Roman"/>
      <w:lang w:eastAsia="en-GB"/>
    </w:rPr>
  </w:style>
  <w:style w:type="paragraph" w:customStyle="1" w:styleId="RSCF01FootnoteAuthorAddress">
    <w:name w:val="RSC F01 Footnote Author Address"/>
    <w:link w:val="RSCF01FootnoteAuthorAddressChar"/>
    <w:qFormat/>
    <w:rsid w:val="00485FDB"/>
    <w:pPr>
      <w:numPr>
        <w:numId w:val="3"/>
      </w:numPr>
      <w:pBdr>
        <w:top w:val="single" w:sz="12" w:space="1" w:color="A6A6A6" w:themeColor="background1" w:themeShade="A6"/>
      </w:pBdr>
      <w:spacing w:after="0" w:line="240" w:lineRule="auto"/>
      <w:ind w:left="85" w:hanging="85"/>
      <w:suppressOverlap/>
    </w:pPr>
    <w:rPr>
      <w:rFonts w:cs="Times New Roman"/>
      <w:i/>
      <w:w w:val="105"/>
      <w:sz w:val="14"/>
      <w:szCs w:val="14"/>
    </w:rPr>
  </w:style>
  <w:style w:type="paragraph" w:customStyle="1" w:styleId="RSCI02FigureSchemeChartwithtopbar">
    <w:name w:val="RSC I02 Figure/Scheme/Chart with top bar"/>
    <w:basedOn w:val="Normal"/>
    <w:link w:val="RSCI02FigureSchemeChartwithtopbarChar"/>
    <w:qFormat/>
    <w:rsid w:val="00485FDB"/>
    <w:pPr>
      <w:pBdr>
        <w:top w:val="single" w:sz="12" w:space="5" w:color="999999"/>
      </w:pBdr>
      <w:spacing w:before="120" w:after="40" w:line="240" w:lineRule="auto"/>
      <w:jc w:val="both"/>
    </w:pPr>
    <w:rPr>
      <w:rFonts w:cs="Times New Roman"/>
      <w:w w:val="108"/>
      <w:sz w:val="14"/>
      <w:szCs w:val="18"/>
    </w:rPr>
  </w:style>
  <w:style w:type="paragraph" w:customStyle="1" w:styleId="RSCI01FigureSchemeChartwithbottombar">
    <w:name w:val="RSC I01 Figure/Scheme/Chart with bottom bar"/>
    <w:basedOn w:val="Normal"/>
    <w:link w:val="RSCI01FigureSchemeChartwithbottombarChar"/>
    <w:qFormat/>
    <w:rsid w:val="002E5B1D"/>
    <w:pPr>
      <w:pBdr>
        <w:bottom w:val="single" w:sz="12" w:space="5" w:color="999999"/>
      </w:pBdr>
      <w:spacing w:before="40" w:after="120" w:line="120" w:lineRule="exact"/>
      <w:jc w:val="both"/>
    </w:pPr>
    <w:rPr>
      <w:rFonts w:cstheme="minorHAnsi"/>
      <w:w w:val="108"/>
      <w:sz w:val="14"/>
      <w:szCs w:val="14"/>
    </w:rPr>
  </w:style>
  <w:style w:type="paragraph" w:customStyle="1" w:styleId="RSCI03FigureSchemeChartUncaptioned">
    <w:name w:val="RSC I03 Figure/Scheme/Chart Uncaptioned"/>
    <w:basedOn w:val="Normal"/>
    <w:link w:val="RSCI03FigureSchemeChartUncaptionedChar"/>
    <w:qFormat/>
    <w:rsid w:val="002E5B1D"/>
    <w:pPr>
      <w:spacing w:before="160" w:after="160" w:line="240" w:lineRule="auto"/>
      <w:jc w:val="center"/>
    </w:pPr>
    <w:rPr>
      <w:rFonts w:cs="Times New Roman"/>
      <w:sz w:val="16"/>
      <w:szCs w:val="16"/>
    </w:rPr>
  </w:style>
  <w:style w:type="paragraph" w:customStyle="1" w:styleId="RSCB03MathematicsGreeketc">
    <w:name w:val="RSC B03 Mathematics/Greek etc"/>
    <w:basedOn w:val="Normal"/>
    <w:link w:val="RSCB03MathematicsGreeketcChar"/>
    <w:qFormat/>
    <w:rsid w:val="007A37D8"/>
    <w:pPr>
      <w:tabs>
        <w:tab w:val="center" w:pos="2268"/>
        <w:tab w:val="right" w:pos="4536"/>
      </w:tabs>
      <w:spacing w:before="160" w:after="160" w:line="240" w:lineRule="auto"/>
    </w:pPr>
    <w:rPr>
      <w:rFonts w:ascii="Times New Roman" w:hAnsi="Times New Roman"/>
      <w:sz w:val="18"/>
    </w:rPr>
  </w:style>
  <w:style w:type="paragraph" w:customStyle="1" w:styleId="RSCB09Biography">
    <w:name w:val="RSC B09 Biography"/>
    <w:basedOn w:val="RSCB02ArticleText"/>
    <w:link w:val="RSCB09BiographyChar"/>
    <w:qFormat/>
    <w:rsid w:val="002E5B1D"/>
    <w:pPr>
      <w:pBdr>
        <w:top w:val="single" w:sz="6" w:space="1" w:color="auto"/>
      </w:pBdr>
    </w:pPr>
    <w:rPr>
      <w:i/>
    </w:rPr>
  </w:style>
  <w:style w:type="character" w:customStyle="1" w:styleId="RSCB09BiographyChar">
    <w:name w:val="RSC B09 Biography Char"/>
    <w:basedOn w:val="RSCB02ArticleTextChar"/>
    <w:link w:val="RSCB09Biography"/>
    <w:rsid w:val="002E5B1D"/>
    <w:rPr>
      <w:rFonts w:cs="Times New Roman"/>
      <w:i/>
      <w:w w:val="108"/>
      <w:sz w:val="18"/>
      <w:szCs w:val="18"/>
    </w:rPr>
  </w:style>
  <w:style w:type="paragraph" w:customStyle="1" w:styleId="RSCF02FootnotestoTitleAuthors">
    <w:name w:val="RSC F02 Footnotes to Title/Authors"/>
    <w:basedOn w:val="Normal"/>
    <w:link w:val="RSCF02FootnotestoTitleAuthorsChar"/>
    <w:qFormat/>
    <w:rsid w:val="00485FDB"/>
    <w:pPr>
      <w:tabs>
        <w:tab w:val="left" w:pos="284"/>
      </w:tabs>
      <w:spacing w:after="0" w:line="240" w:lineRule="auto"/>
      <w:suppressOverlap/>
      <w:jc w:val="both"/>
    </w:pPr>
    <w:rPr>
      <w:rFonts w:cs="Times New Roman"/>
      <w:w w:val="105"/>
      <w:sz w:val="14"/>
      <w:szCs w:val="14"/>
    </w:rPr>
  </w:style>
  <w:style w:type="character" w:customStyle="1" w:styleId="RSCF01FootnoteAuthorAddressChar">
    <w:name w:val="RSC F01 Footnote Author Address Char"/>
    <w:basedOn w:val="DefaultParagraphFont"/>
    <w:link w:val="RSCF01FootnoteAuthorAddress"/>
    <w:rsid w:val="00485FDB"/>
    <w:rPr>
      <w:rFonts w:cs="Times New Roman"/>
      <w:i/>
      <w:w w:val="105"/>
      <w:sz w:val="14"/>
      <w:szCs w:val="14"/>
    </w:rPr>
  </w:style>
  <w:style w:type="paragraph" w:customStyle="1" w:styleId="RSCR02References">
    <w:name w:val="RSC R02 References"/>
    <w:link w:val="RSCR02ReferencesChar"/>
    <w:qFormat/>
    <w:rsid w:val="00243D3C"/>
    <w:pPr>
      <w:numPr>
        <w:numId w:val="2"/>
      </w:numPr>
      <w:tabs>
        <w:tab w:val="left" w:pos="284"/>
      </w:tabs>
      <w:spacing w:after="0" w:line="200" w:lineRule="exact"/>
      <w:ind w:left="284" w:hanging="284"/>
    </w:pPr>
    <w:rPr>
      <w:rFonts w:cs="Times New Roman"/>
      <w:w w:val="105"/>
      <w:sz w:val="18"/>
      <w:szCs w:val="18"/>
    </w:rPr>
  </w:style>
  <w:style w:type="character" w:customStyle="1" w:styleId="RSCF02FootnotestoTitleAuthorsChar">
    <w:name w:val="RSC F02 Footnotes to Title/Authors Char"/>
    <w:basedOn w:val="DefaultParagraphFont"/>
    <w:link w:val="RSCF02FootnotestoTitleAuthors"/>
    <w:rsid w:val="00485FDB"/>
    <w:rPr>
      <w:rFonts w:cs="Times New Roman"/>
      <w:w w:val="105"/>
      <w:sz w:val="14"/>
      <w:szCs w:val="14"/>
    </w:rPr>
  </w:style>
  <w:style w:type="paragraph" w:styleId="NoSpacing">
    <w:name w:val="No Spacing"/>
    <w:uiPriority w:val="1"/>
    <w:rsid w:val="00272D6F"/>
    <w:pPr>
      <w:spacing w:after="0" w:line="240" w:lineRule="auto"/>
    </w:pPr>
  </w:style>
  <w:style w:type="character" w:customStyle="1" w:styleId="RSCR02ReferencesChar">
    <w:name w:val="RSC R02 References Char"/>
    <w:basedOn w:val="DefaultParagraphFont"/>
    <w:link w:val="RSCR02References"/>
    <w:rsid w:val="00243D3C"/>
    <w:rPr>
      <w:rFonts w:cs="Times New Roman"/>
      <w:w w:val="105"/>
      <w:sz w:val="18"/>
      <w:szCs w:val="18"/>
    </w:rPr>
  </w:style>
  <w:style w:type="paragraph" w:customStyle="1" w:styleId="RSCB04SectionHeading">
    <w:name w:val="RSC B04 Section Heading"/>
    <w:basedOn w:val="Normal"/>
    <w:link w:val="RSCB04SectionHeadingChar"/>
    <w:qFormat/>
    <w:rsid w:val="00EF6BD4"/>
    <w:pPr>
      <w:spacing w:before="400" w:after="80" w:line="240" w:lineRule="auto"/>
    </w:pPr>
    <w:rPr>
      <w:b/>
      <w:sz w:val="24"/>
    </w:rPr>
  </w:style>
  <w:style w:type="character" w:customStyle="1" w:styleId="RSCH01PaperTitleChar">
    <w:name w:val="RSC H01 Paper Title Char"/>
    <w:basedOn w:val="DefaultParagraphFont"/>
    <w:link w:val="RSCH01PaperTitle"/>
    <w:rsid w:val="00C32EDF"/>
    <w:rPr>
      <w:rFonts w:cs="Times New Roman"/>
      <w:b/>
      <w:sz w:val="29"/>
      <w:szCs w:val="32"/>
    </w:rPr>
  </w:style>
  <w:style w:type="character" w:customStyle="1" w:styleId="RSCH02PaperAuthorsandBylineChar">
    <w:name w:val="RSC H02 Paper Authors and Byline Char"/>
    <w:basedOn w:val="DefaultParagraphFont"/>
    <w:link w:val="RSCH02PaperAuthorsandByline"/>
    <w:rsid w:val="001633D9"/>
    <w:rPr>
      <w:rFonts w:cs="Times New Roman"/>
      <w:sz w:val="20"/>
    </w:rPr>
  </w:style>
  <w:style w:type="character" w:customStyle="1" w:styleId="RSCB01COMAbstractChar">
    <w:name w:val="RSC B01 COM Abstract Char"/>
    <w:basedOn w:val="DefaultParagraphFont"/>
    <w:link w:val="RSCB01COMAbstract"/>
    <w:rsid w:val="0025490A"/>
    <w:rPr>
      <w:b/>
      <w:noProof/>
      <w:sz w:val="18"/>
      <w:lang w:eastAsia="en-GB"/>
    </w:rPr>
  </w:style>
  <w:style w:type="character" w:customStyle="1" w:styleId="09ListTextChar">
    <w:name w:val="09 List Text Char"/>
    <w:basedOn w:val="RSCB02ArticleTextChar"/>
    <w:link w:val="09ListText"/>
    <w:rsid w:val="00EF1577"/>
    <w:rPr>
      <w:rFonts w:ascii="Times New Roman" w:eastAsia="Times New Roman" w:hAnsi="Times New Roman" w:cs="Times New Roman"/>
      <w:w w:val="108"/>
      <w:sz w:val="18"/>
      <w:szCs w:val="18"/>
      <w:lang w:eastAsia="en-GB"/>
    </w:rPr>
  </w:style>
  <w:style w:type="character" w:customStyle="1" w:styleId="RSCB04SectionHeadingChar">
    <w:name w:val="RSC B04 Section Heading Char"/>
    <w:basedOn w:val="DefaultParagraphFont"/>
    <w:link w:val="RSCB04SectionHeading"/>
    <w:rsid w:val="00EF6BD4"/>
    <w:rPr>
      <w:b/>
      <w:sz w:val="24"/>
    </w:rPr>
  </w:style>
  <w:style w:type="character" w:customStyle="1" w:styleId="05BHeadingChar">
    <w:name w:val="05 B Heading Char"/>
    <w:basedOn w:val="RSCB04SectionHeadingChar"/>
    <w:link w:val="05BHeading"/>
    <w:rsid w:val="00AB16D0"/>
    <w:rPr>
      <w:rFonts w:ascii="Times New Roman" w:hAnsi="Times New Roman" w:cs="Times New Roman"/>
      <w:b/>
      <w:sz w:val="18"/>
      <w:szCs w:val="18"/>
    </w:rPr>
  </w:style>
  <w:style w:type="paragraph" w:customStyle="1" w:styleId="RSCT01TableTitlewithtopbar">
    <w:name w:val="RSC T01 Table Title with top bar"/>
    <w:basedOn w:val="Normal"/>
    <w:link w:val="RSCT01TableTitlewithtopbarChar"/>
    <w:qFormat/>
    <w:rsid w:val="00485FDB"/>
    <w:pPr>
      <w:keepNext/>
      <w:keepLines/>
      <w:pBdr>
        <w:top w:val="single" w:sz="12" w:space="1" w:color="999999"/>
        <w:bottom w:val="single" w:sz="6" w:space="1" w:color="auto"/>
      </w:pBdr>
      <w:spacing w:before="120" w:after="120" w:line="200" w:lineRule="exact"/>
      <w:jc w:val="both"/>
    </w:pPr>
    <w:rPr>
      <w:rFonts w:eastAsia="Times New Roman" w:cs="Times New Roman"/>
      <w:sz w:val="14"/>
      <w:szCs w:val="20"/>
      <w:lang w:eastAsia="en-GB"/>
    </w:rPr>
  </w:style>
  <w:style w:type="character" w:customStyle="1" w:styleId="RSCI02FigureSchemeChartwithtopbarChar">
    <w:name w:val="RSC I02 Figure/Scheme/Chart with top bar Char"/>
    <w:basedOn w:val="DefaultParagraphFont"/>
    <w:link w:val="RSCI02FigureSchemeChartwithtopbar"/>
    <w:rsid w:val="00485FDB"/>
    <w:rPr>
      <w:rFonts w:cs="Times New Roman"/>
      <w:w w:val="108"/>
      <w:sz w:val="14"/>
      <w:szCs w:val="18"/>
    </w:rPr>
  </w:style>
  <w:style w:type="character" w:customStyle="1" w:styleId="RSCI01FigureSchemeChartwithbottombarChar">
    <w:name w:val="RSC I01 Figure/Scheme/Chart with bottom bar Char"/>
    <w:basedOn w:val="DefaultParagraphFont"/>
    <w:link w:val="RSCI01FigureSchemeChartwithbottombar"/>
    <w:rsid w:val="002E5B1D"/>
    <w:rPr>
      <w:rFonts w:cstheme="minorHAnsi"/>
      <w:w w:val="108"/>
      <w:sz w:val="14"/>
      <w:szCs w:val="14"/>
    </w:rPr>
  </w:style>
  <w:style w:type="character" w:customStyle="1" w:styleId="RSCI03FigureSchemeChartUncaptionedChar">
    <w:name w:val="RSC I03 Figure/Scheme/Chart Uncaptioned Char"/>
    <w:basedOn w:val="DefaultParagraphFont"/>
    <w:link w:val="RSCI03FigureSchemeChartUncaptioned"/>
    <w:rsid w:val="002E5B1D"/>
    <w:rPr>
      <w:rFonts w:cs="Times New Roman"/>
      <w:sz w:val="16"/>
      <w:szCs w:val="16"/>
    </w:rPr>
  </w:style>
  <w:style w:type="character" w:customStyle="1" w:styleId="RSCB03MathematicsGreeketcChar">
    <w:name w:val="RSC B03 Mathematics/Greek etc Char"/>
    <w:basedOn w:val="DefaultParagraphFont"/>
    <w:link w:val="RSCB03MathematicsGreeketc"/>
    <w:rsid w:val="007A37D8"/>
    <w:rPr>
      <w:rFonts w:ascii="Times New Roman" w:hAnsi="Times New Roman"/>
      <w:sz w:val="18"/>
    </w:rPr>
  </w:style>
  <w:style w:type="paragraph" w:customStyle="1" w:styleId="RSCT03TableBody">
    <w:name w:val="RSC T03 Table Body"/>
    <w:basedOn w:val="Normal"/>
    <w:link w:val="RSCT03TableBodyChar"/>
    <w:qFormat/>
    <w:rsid w:val="00B0470A"/>
    <w:pPr>
      <w:keepNext/>
      <w:keepLines/>
      <w:spacing w:after="0" w:line="220" w:lineRule="exact"/>
      <w:jc w:val="center"/>
    </w:pPr>
    <w:rPr>
      <w:rFonts w:eastAsia="Times New Roman" w:cs="Times New Roman"/>
      <w:sz w:val="16"/>
      <w:szCs w:val="16"/>
      <w:lang w:eastAsia="en-GB"/>
    </w:rPr>
  </w:style>
  <w:style w:type="character" w:customStyle="1" w:styleId="RSCT01TableTitlewithtopbarChar">
    <w:name w:val="RSC T01 Table Title with top bar Char"/>
    <w:basedOn w:val="DefaultParagraphFont"/>
    <w:link w:val="RSCT01TableTitlewithtopbar"/>
    <w:rsid w:val="00485FDB"/>
    <w:rPr>
      <w:rFonts w:eastAsia="Times New Roman" w:cs="Times New Roman"/>
      <w:sz w:val="14"/>
      <w:szCs w:val="20"/>
      <w:lang w:eastAsia="en-GB"/>
    </w:rPr>
  </w:style>
  <w:style w:type="paragraph" w:customStyle="1" w:styleId="RSCT04TableFootnotewithbottombar">
    <w:name w:val="RSC T04 Table Footnote with bottom bar"/>
    <w:basedOn w:val="Normal"/>
    <w:link w:val="RSCT04TableFootnotewithbottombarChar"/>
    <w:qFormat/>
    <w:rsid w:val="00485FDB"/>
    <w:pPr>
      <w:keepLines/>
      <w:pBdr>
        <w:bottom w:val="single" w:sz="12" w:space="1" w:color="999999"/>
      </w:pBdr>
      <w:spacing w:before="120" w:after="160" w:line="200" w:lineRule="exact"/>
      <w:jc w:val="both"/>
    </w:pPr>
    <w:rPr>
      <w:rFonts w:eastAsia="Times New Roman" w:cs="Times New Roman"/>
      <w:sz w:val="15"/>
      <w:szCs w:val="20"/>
      <w:lang w:eastAsia="en-GB"/>
    </w:rPr>
  </w:style>
  <w:style w:type="character" w:customStyle="1" w:styleId="RSCT03TableBodyChar">
    <w:name w:val="RSC T03 Table Body Char"/>
    <w:basedOn w:val="DefaultParagraphFont"/>
    <w:link w:val="RSCT03TableBody"/>
    <w:rsid w:val="00B0470A"/>
    <w:rPr>
      <w:rFonts w:eastAsia="Times New Roman" w:cs="Times New Roman"/>
      <w:sz w:val="16"/>
      <w:szCs w:val="16"/>
      <w:lang w:eastAsia="en-GB"/>
    </w:rPr>
  </w:style>
  <w:style w:type="character" w:customStyle="1" w:styleId="RSCT04TableFootnotewithbottombarChar">
    <w:name w:val="RSC T04 Table Footnote with bottom bar Char"/>
    <w:basedOn w:val="DefaultParagraphFont"/>
    <w:link w:val="RSCT04TableFootnotewithbottombar"/>
    <w:rsid w:val="00485FDB"/>
    <w:rPr>
      <w:rFonts w:eastAsia="Times New Roman" w:cs="Times New Roman"/>
      <w:sz w:val="15"/>
      <w:szCs w:val="20"/>
      <w:lang w:eastAsia="en-GB"/>
    </w:rPr>
  </w:style>
  <w:style w:type="character" w:styleId="Hyperlink">
    <w:name w:val="Hyperlink"/>
    <w:basedOn w:val="DefaultParagraphFont"/>
    <w:uiPriority w:val="99"/>
    <w:unhideWhenUsed/>
    <w:rsid w:val="005037CD"/>
    <w:rPr>
      <w:color w:val="0000FF" w:themeColor="hyperlink"/>
      <w:u w:val="single"/>
    </w:rPr>
  </w:style>
  <w:style w:type="paragraph" w:styleId="ListParagraph">
    <w:name w:val="List Paragraph"/>
    <w:basedOn w:val="Normal"/>
    <w:uiPriority w:val="34"/>
    <w:rsid w:val="00F15F90"/>
    <w:pPr>
      <w:ind w:left="720"/>
      <w:contextualSpacing/>
    </w:pPr>
  </w:style>
  <w:style w:type="paragraph" w:styleId="Revision">
    <w:name w:val="Revision"/>
    <w:hidden/>
    <w:uiPriority w:val="99"/>
    <w:semiHidden/>
    <w:rsid w:val="000D5891"/>
    <w:pPr>
      <w:spacing w:after="0" w:line="240" w:lineRule="auto"/>
    </w:pPr>
  </w:style>
  <w:style w:type="paragraph" w:styleId="FootnoteText">
    <w:name w:val="footnote text"/>
    <w:basedOn w:val="Normal"/>
    <w:link w:val="FootnoteTextChar"/>
    <w:uiPriority w:val="99"/>
    <w:semiHidden/>
    <w:unhideWhenUsed/>
    <w:rsid w:val="00CA274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A2740"/>
    <w:rPr>
      <w:sz w:val="20"/>
      <w:szCs w:val="20"/>
    </w:rPr>
  </w:style>
  <w:style w:type="character" w:styleId="FootnoteReference">
    <w:name w:val="footnote reference"/>
    <w:basedOn w:val="DefaultParagraphFont"/>
    <w:uiPriority w:val="99"/>
    <w:semiHidden/>
    <w:unhideWhenUsed/>
    <w:rsid w:val="00CA2740"/>
    <w:rPr>
      <w:vertAlign w:val="superscript"/>
    </w:rPr>
  </w:style>
  <w:style w:type="paragraph" w:styleId="NormalWeb">
    <w:name w:val="Normal (Web)"/>
    <w:basedOn w:val="Normal"/>
    <w:uiPriority w:val="99"/>
    <w:semiHidden/>
    <w:unhideWhenUsed/>
    <w:rsid w:val="00946830"/>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Caption">
    <w:name w:val="caption"/>
    <w:basedOn w:val="Normal"/>
    <w:next w:val="Normal"/>
    <w:uiPriority w:val="35"/>
    <w:unhideWhenUsed/>
    <w:rsid w:val="00B0470A"/>
    <w:pPr>
      <w:spacing w:line="200" w:lineRule="exact"/>
    </w:pPr>
    <w:rPr>
      <w:bCs/>
      <w:sz w:val="14"/>
      <w:szCs w:val="18"/>
    </w:rPr>
  </w:style>
  <w:style w:type="paragraph" w:customStyle="1" w:styleId="Style1">
    <w:name w:val="Style1"/>
    <w:basedOn w:val="RSCB02ArticleText"/>
    <w:link w:val="Style1Char"/>
    <w:rsid w:val="00B0470A"/>
  </w:style>
  <w:style w:type="paragraph" w:customStyle="1" w:styleId="RSCT05TableFootnotewithoutbottombar">
    <w:name w:val="RSC T05 Table Footnote without bottom bar"/>
    <w:basedOn w:val="RSCT04TableFootnotewithbottombar"/>
    <w:link w:val="RSCT05TableFootnotewithoutbottombarChar"/>
    <w:qFormat/>
    <w:rsid w:val="00B0470A"/>
    <w:pPr>
      <w:pBdr>
        <w:bottom w:val="none" w:sz="0" w:space="0" w:color="auto"/>
      </w:pBdr>
    </w:pPr>
  </w:style>
  <w:style w:type="character" w:customStyle="1" w:styleId="Style1Char">
    <w:name w:val="Style1 Char"/>
    <w:basedOn w:val="RSCB02ArticleTextChar"/>
    <w:link w:val="Style1"/>
    <w:rsid w:val="00B0470A"/>
    <w:rPr>
      <w:rFonts w:cs="Times New Roman"/>
      <w:w w:val="108"/>
      <w:sz w:val="18"/>
      <w:szCs w:val="18"/>
    </w:rPr>
  </w:style>
  <w:style w:type="paragraph" w:customStyle="1" w:styleId="RSCT02Tabletitlewithouttopbar">
    <w:name w:val="RSC T02 Table title without top bar"/>
    <w:basedOn w:val="RSCT01TableTitlewithtopbar"/>
    <w:link w:val="RSCT02TabletitlewithouttopbarChar"/>
    <w:qFormat/>
    <w:rsid w:val="00B0470A"/>
    <w:pPr>
      <w:pBdr>
        <w:top w:val="none" w:sz="0" w:space="0" w:color="auto"/>
      </w:pBdr>
    </w:pPr>
  </w:style>
  <w:style w:type="character" w:customStyle="1" w:styleId="RSCT05TableFootnotewithoutbottombarChar">
    <w:name w:val="RSC T05 Table Footnote without bottom bar Char"/>
    <w:basedOn w:val="RSCT04TableFootnotewithbottombarChar"/>
    <w:link w:val="RSCT05TableFootnotewithoutbottombar"/>
    <w:rsid w:val="00B0470A"/>
    <w:rPr>
      <w:rFonts w:eastAsia="Times New Roman" w:cs="Times New Roman"/>
      <w:sz w:val="15"/>
      <w:szCs w:val="20"/>
      <w:lang w:eastAsia="en-GB"/>
    </w:rPr>
  </w:style>
  <w:style w:type="paragraph" w:customStyle="1" w:styleId="RSCI04CaptiontoFigureSchemeChart">
    <w:name w:val="RSC I04 Caption to Figure/Scheme/Chart"/>
    <w:link w:val="RSCI04CaptiontoFigureSchemeChartChar"/>
    <w:qFormat/>
    <w:rsid w:val="00485FDB"/>
    <w:pPr>
      <w:spacing w:line="200" w:lineRule="exact"/>
      <w:jc w:val="both"/>
    </w:pPr>
    <w:rPr>
      <w:bCs/>
      <w:sz w:val="14"/>
      <w:szCs w:val="18"/>
    </w:rPr>
  </w:style>
  <w:style w:type="character" w:customStyle="1" w:styleId="RSCT02TabletitlewithouttopbarChar">
    <w:name w:val="RSC T02 Table title without top bar Char"/>
    <w:basedOn w:val="RSCT01TableTitlewithtopbarChar"/>
    <w:link w:val="RSCT02Tabletitlewithouttopbar"/>
    <w:rsid w:val="00B0470A"/>
    <w:rPr>
      <w:rFonts w:eastAsia="Times New Roman" w:cs="Times New Roman"/>
      <w:sz w:val="14"/>
      <w:szCs w:val="20"/>
      <w:lang w:eastAsia="en-GB"/>
    </w:rPr>
  </w:style>
  <w:style w:type="paragraph" w:customStyle="1" w:styleId="RSCR01Footnotestomaintext">
    <w:name w:val="RSC R01 Footnotes to main text"/>
    <w:link w:val="RSCR01FootnotestomaintextChar"/>
    <w:qFormat/>
    <w:rsid w:val="00485FDB"/>
    <w:pPr>
      <w:spacing w:line="200" w:lineRule="exact"/>
      <w:jc w:val="both"/>
    </w:pPr>
    <w:rPr>
      <w:bCs/>
      <w:sz w:val="18"/>
      <w:szCs w:val="18"/>
    </w:rPr>
  </w:style>
  <w:style w:type="character" w:customStyle="1" w:styleId="RSCI04CaptiontoFigureSchemeChartChar">
    <w:name w:val="RSC I04 Caption to Figure/Scheme/Chart Char"/>
    <w:basedOn w:val="DefaultParagraphFont"/>
    <w:link w:val="RSCI04CaptiontoFigureSchemeChart"/>
    <w:rsid w:val="00485FDB"/>
    <w:rPr>
      <w:bCs/>
      <w:sz w:val="14"/>
      <w:szCs w:val="18"/>
    </w:rPr>
  </w:style>
  <w:style w:type="paragraph" w:customStyle="1" w:styleId="RSCM01ReceivedAccepted">
    <w:name w:val="RSC M01 Received/Accepted"/>
    <w:basedOn w:val="Normal"/>
    <w:link w:val="RSCM01ReceivedAcceptedChar"/>
    <w:qFormat/>
    <w:rsid w:val="004C531E"/>
    <w:pPr>
      <w:spacing w:before="960" w:after="0" w:line="180" w:lineRule="exact"/>
      <w:contextualSpacing/>
    </w:pPr>
    <w:rPr>
      <w:rFonts w:eastAsiaTheme="minorEastAsia"/>
      <w:noProof/>
      <w:sz w:val="14"/>
      <w:szCs w:val="14"/>
      <w:lang w:eastAsia="en-GB"/>
    </w:rPr>
  </w:style>
  <w:style w:type="character" w:customStyle="1" w:styleId="RSCR01FootnotestomaintextChar">
    <w:name w:val="RSC R01 Footnotes to main text Char"/>
    <w:basedOn w:val="RSCI04CaptiontoFigureSchemeChartChar"/>
    <w:link w:val="RSCR01Footnotestomaintext"/>
    <w:rsid w:val="00485FDB"/>
    <w:rPr>
      <w:bCs/>
      <w:sz w:val="18"/>
      <w:szCs w:val="18"/>
    </w:rPr>
  </w:style>
  <w:style w:type="paragraph" w:customStyle="1" w:styleId="RSCM02DOI">
    <w:name w:val="RSC M02 DOI"/>
    <w:basedOn w:val="Normal"/>
    <w:link w:val="RSCM02DOIChar"/>
    <w:qFormat/>
    <w:rsid w:val="004C531E"/>
    <w:pPr>
      <w:spacing w:before="180" w:after="0" w:line="180" w:lineRule="exact"/>
    </w:pPr>
    <w:rPr>
      <w:sz w:val="14"/>
      <w:szCs w:val="14"/>
    </w:rPr>
  </w:style>
  <w:style w:type="character" w:customStyle="1" w:styleId="RSCM01ReceivedAcceptedChar">
    <w:name w:val="RSC M01 Received/Accepted Char"/>
    <w:basedOn w:val="DefaultParagraphFont"/>
    <w:link w:val="RSCM01ReceivedAccepted"/>
    <w:rsid w:val="004C531E"/>
    <w:rPr>
      <w:rFonts w:eastAsiaTheme="minorEastAsia"/>
      <w:noProof/>
      <w:sz w:val="14"/>
      <w:szCs w:val="14"/>
      <w:lang w:eastAsia="en-GB"/>
    </w:rPr>
  </w:style>
  <w:style w:type="paragraph" w:customStyle="1" w:styleId="RSCM03Website">
    <w:name w:val="RSC M03 Website"/>
    <w:basedOn w:val="Normal"/>
    <w:link w:val="RSCM03WebsiteChar"/>
    <w:qFormat/>
    <w:rsid w:val="004C531E"/>
    <w:pPr>
      <w:spacing w:line="400" w:lineRule="exact"/>
    </w:pPr>
    <w:rPr>
      <w:b/>
      <w:sz w:val="14"/>
      <w:szCs w:val="14"/>
    </w:rPr>
  </w:style>
  <w:style w:type="character" w:customStyle="1" w:styleId="RSCM02DOIChar">
    <w:name w:val="RSC M02 DOI Char"/>
    <w:basedOn w:val="DefaultParagraphFont"/>
    <w:link w:val="RSCM02DOI"/>
    <w:rsid w:val="004C531E"/>
    <w:rPr>
      <w:sz w:val="14"/>
      <w:szCs w:val="14"/>
    </w:rPr>
  </w:style>
  <w:style w:type="paragraph" w:customStyle="1" w:styleId="RSCB05SectionHeadingstandalone">
    <w:name w:val="RSC B05 Section Heading (stand alone)"/>
    <w:link w:val="RSCB05SectionHeadingstandaloneChar"/>
    <w:qFormat/>
    <w:rsid w:val="00EF6BD4"/>
    <w:pPr>
      <w:spacing w:before="400" w:after="160" w:line="240" w:lineRule="auto"/>
    </w:pPr>
    <w:rPr>
      <w:rFonts w:cs="Times New Roman"/>
      <w:sz w:val="24"/>
    </w:rPr>
  </w:style>
  <w:style w:type="character" w:customStyle="1" w:styleId="RSCM03WebsiteChar">
    <w:name w:val="RSC M03 Website Char"/>
    <w:basedOn w:val="DefaultParagraphFont"/>
    <w:link w:val="RSCM03Website"/>
    <w:rsid w:val="004C531E"/>
    <w:rPr>
      <w:b/>
      <w:sz w:val="14"/>
      <w:szCs w:val="14"/>
    </w:rPr>
  </w:style>
  <w:style w:type="paragraph" w:customStyle="1" w:styleId="RSCB06Sub-SectionHeading">
    <w:name w:val="RSC B06 Sub-Section Heading"/>
    <w:link w:val="RSCB06Sub-SectionHeadingChar"/>
    <w:qFormat/>
    <w:rsid w:val="00EF6BD4"/>
    <w:pPr>
      <w:spacing w:after="80" w:line="240" w:lineRule="exact"/>
    </w:pPr>
    <w:rPr>
      <w:b/>
      <w:sz w:val="18"/>
    </w:rPr>
  </w:style>
  <w:style w:type="character" w:customStyle="1" w:styleId="RSCB05SectionHeadingstandaloneChar">
    <w:name w:val="RSC B05 Section Heading (stand alone) Char"/>
    <w:basedOn w:val="RSCH02PaperAuthorsandBylineChar"/>
    <w:link w:val="RSCB05SectionHeadingstandalone"/>
    <w:rsid w:val="00EF6BD4"/>
    <w:rPr>
      <w:rFonts w:cs="Times New Roman"/>
      <w:sz w:val="24"/>
    </w:rPr>
  </w:style>
  <w:style w:type="paragraph" w:customStyle="1" w:styleId="RSCB07Sub-SectionHeadingstandalone">
    <w:name w:val="RSC B07 Sub-Section Heading (stand alone)"/>
    <w:link w:val="RSCB07Sub-SectionHeadingstandaloneChar"/>
    <w:qFormat/>
    <w:rsid w:val="00EF6BD4"/>
    <w:pPr>
      <w:spacing w:before="160" w:after="80" w:line="240" w:lineRule="exact"/>
    </w:pPr>
    <w:rPr>
      <w:b/>
      <w:sz w:val="18"/>
    </w:rPr>
  </w:style>
  <w:style w:type="character" w:customStyle="1" w:styleId="RSCB06Sub-SectionHeadingChar">
    <w:name w:val="RSC B06 Sub-Section Heading Char"/>
    <w:basedOn w:val="DefaultParagraphFont"/>
    <w:link w:val="RSCB06Sub-SectionHeading"/>
    <w:rsid w:val="00EF6BD4"/>
    <w:rPr>
      <w:b/>
      <w:sz w:val="18"/>
    </w:rPr>
  </w:style>
  <w:style w:type="paragraph" w:customStyle="1" w:styleId="RSCB08In-lineHeading">
    <w:name w:val="RSC B08 In-line Heading"/>
    <w:link w:val="RSCB08In-lineHeadingChar"/>
    <w:qFormat/>
    <w:rsid w:val="00EF6BD4"/>
    <w:pPr>
      <w:spacing w:after="0"/>
    </w:pPr>
    <w:rPr>
      <w:b/>
      <w:sz w:val="18"/>
    </w:rPr>
  </w:style>
  <w:style w:type="character" w:customStyle="1" w:styleId="RSCB07Sub-SectionHeadingstandaloneChar">
    <w:name w:val="RSC B07 Sub-Section Heading (stand alone) Char"/>
    <w:basedOn w:val="DefaultParagraphFont"/>
    <w:link w:val="RSCB07Sub-SectionHeadingstandalone"/>
    <w:rsid w:val="00EF6BD4"/>
    <w:rPr>
      <w:b/>
      <w:sz w:val="18"/>
    </w:rPr>
  </w:style>
  <w:style w:type="character" w:customStyle="1" w:styleId="RSCB08In-lineHeadingChar">
    <w:name w:val="RSC B08 In-line Heading Char"/>
    <w:basedOn w:val="DefaultParagraphFont"/>
    <w:link w:val="RSCB08In-lineHeading"/>
    <w:rsid w:val="00EF6BD4"/>
    <w:rPr>
      <w:b/>
      <w:sz w:val="18"/>
    </w:rPr>
  </w:style>
  <w:style w:type="paragraph" w:customStyle="1" w:styleId="RSCI05CaptiontoFigureSchemeChartwithbottombar">
    <w:name w:val="RSC I05 Caption to Figure/Scheme/Chart with bottom bar"/>
    <w:link w:val="RSCI05CaptiontoFigureSchemeChartwithbottombarChar"/>
    <w:qFormat/>
    <w:rsid w:val="00485FDB"/>
    <w:pPr>
      <w:pBdr>
        <w:bottom w:val="single" w:sz="12" w:space="1" w:color="A6A6A6" w:themeColor="background1" w:themeShade="A6"/>
      </w:pBdr>
      <w:jc w:val="both"/>
    </w:pPr>
    <w:rPr>
      <w:bCs/>
      <w:sz w:val="14"/>
      <w:szCs w:val="18"/>
    </w:rPr>
  </w:style>
  <w:style w:type="character" w:customStyle="1" w:styleId="RSCI05CaptiontoFigureSchemeChartwithbottombarChar">
    <w:name w:val="RSC I05 Caption to Figure/Scheme/Chart with bottom bar Char"/>
    <w:basedOn w:val="RSCI04CaptiontoFigureSchemeChartChar"/>
    <w:link w:val="RSCI05CaptiontoFigureSchemeChartwithbottombar"/>
    <w:rsid w:val="00485FDB"/>
    <w:rPr>
      <w:bCs/>
      <w:sz w:val="14"/>
      <w:szCs w:val="18"/>
    </w:rPr>
  </w:style>
  <w:style w:type="paragraph" w:customStyle="1" w:styleId="TAMainText">
    <w:name w:val="TA_Main_Text"/>
    <w:basedOn w:val="Normal"/>
    <w:autoRedefine/>
    <w:rsid w:val="00D51CE0"/>
    <w:pPr>
      <w:spacing w:after="60" w:line="240" w:lineRule="auto"/>
      <w:ind w:firstLine="180"/>
      <w:jc w:val="both"/>
    </w:pPr>
    <w:rPr>
      <w:rFonts w:ascii="Arno Pro" w:eastAsia="Times New Roman" w:hAnsi="Arno Pro" w:cs="Times New Roman"/>
      <w:kern w:val="21"/>
      <w:sz w:val="19"/>
      <w:szCs w:val="20"/>
      <w:lang w:val="en-US"/>
    </w:rPr>
  </w:style>
  <w:style w:type="paragraph" w:customStyle="1" w:styleId="BCAuthorAddress">
    <w:name w:val="BC_Author_Address"/>
    <w:basedOn w:val="Normal"/>
    <w:next w:val="Normal"/>
    <w:autoRedefine/>
    <w:rsid w:val="00627D9A"/>
    <w:pPr>
      <w:spacing w:after="60" w:line="240" w:lineRule="auto"/>
    </w:pPr>
    <w:rPr>
      <w:rFonts w:ascii="Arno Pro" w:eastAsia="Times New Roman" w:hAnsi="Arno Pro" w:cs="Times New Roman"/>
      <w:kern w:val="22"/>
      <w:sz w:val="20"/>
      <w:szCs w:val="20"/>
      <w:lang w:val="en-US"/>
    </w:rPr>
  </w:style>
  <w:style w:type="paragraph" w:customStyle="1" w:styleId="BGKeywords">
    <w:name w:val="BG_Keywords"/>
    <w:basedOn w:val="Normal"/>
    <w:next w:val="Normal"/>
    <w:autoRedefine/>
    <w:rsid w:val="00627D9A"/>
    <w:pPr>
      <w:spacing w:after="220" w:line="240" w:lineRule="auto"/>
    </w:pPr>
    <w:rPr>
      <w:rFonts w:ascii="Arno Pro" w:eastAsia="Times New Roman" w:hAnsi="Arno Pro" w:cs="Times New Roman"/>
      <w:i/>
      <w:kern w:val="22"/>
      <w:sz w:val="20"/>
      <w:szCs w:val="20"/>
      <w:lang w:val="en-US"/>
    </w:rPr>
  </w:style>
  <w:style w:type="paragraph" w:customStyle="1" w:styleId="VCSchemeTitle">
    <w:name w:val="VC_Scheme_Title"/>
    <w:basedOn w:val="Normal"/>
    <w:next w:val="Normal"/>
    <w:autoRedefine/>
    <w:rsid w:val="00556985"/>
    <w:pPr>
      <w:spacing w:after="180" w:line="240" w:lineRule="auto"/>
      <w:jc w:val="both"/>
    </w:pPr>
    <w:rPr>
      <w:rFonts w:ascii="Arno Pro" w:eastAsia="Times New Roman" w:hAnsi="Arno Pro" w:cs="Times New Roman"/>
      <w:b/>
      <w:kern w:val="21"/>
      <w:sz w:val="19"/>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56077340">
      <w:bodyDiv w:val="1"/>
      <w:marLeft w:val="0"/>
      <w:marRight w:val="0"/>
      <w:marTop w:val="0"/>
      <w:marBottom w:val="0"/>
      <w:divBdr>
        <w:top w:val="none" w:sz="0" w:space="0" w:color="auto"/>
        <w:left w:val="none" w:sz="0" w:space="0" w:color="auto"/>
        <w:bottom w:val="none" w:sz="0" w:space="0" w:color="auto"/>
        <w:right w:val="none" w:sz="0" w:space="0" w:color="auto"/>
      </w:divBdr>
    </w:div>
    <w:div w:id="404305591">
      <w:bodyDiv w:val="1"/>
      <w:marLeft w:val="0"/>
      <w:marRight w:val="0"/>
      <w:marTop w:val="0"/>
      <w:marBottom w:val="0"/>
      <w:divBdr>
        <w:top w:val="none" w:sz="0" w:space="0" w:color="auto"/>
        <w:left w:val="none" w:sz="0" w:space="0" w:color="auto"/>
        <w:bottom w:val="none" w:sz="0" w:space="0" w:color="auto"/>
        <w:right w:val="none" w:sz="0" w:space="0" w:color="auto"/>
      </w:divBdr>
    </w:div>
    <w:div w:id="494418786">
      <w:bodyDiv w:val="1"/>
      <w:marLeft w:val="0"/>
      <w:marRight w:val="0"/>
      <w:marTop w:val="0"/>
      <w:marBottom w:val="0"/>
      <w:divBdr>
        <w:top w:val="none" w:sz="0" w:space="0" w:color="auto"/>
        <w:left w:val="none" w:sz="0" w:space="0" w:color="auto"/>
        <w:bottom w:val="none" w:sz="0" w:space="0" w:color="auto"/>
        <w:right w:val="none" w:sz="0" w:space="0" w:color="auto"/>
      </w:divBdr>
    </w:div>
    <w:div w:id="623387460">
      <w:bodyDiv w:val="1"/>
      <w:marLeft w:val="0"/>
      <w:marRight w:val="0"/>
      <w:marTop w:val="0"/>
      <w:marBottom w:val="0"/>
      <w:divBdr>
        <w:top w:val="none" w:sz="0" w:space="0" w:color="auto"/>
        <w:left w:val="none" w:sz="0" w:space="0" w:color="auto"/>
        <w:bottom w:val="none" w:sz="0" w:space="0" w:color="auto"/>
        <w:right w:val="none" w:sz="0" w:space="0" w:color="auto"/>
      </w:divBdr>
    </w:div>
    <w:div w:id="833884671">
      <w:bodyDiv w:val="1"/>
      <w:marLeft w:val="0"/>
      <w:marRight w:val="0"/>
      <w:marTop w:val="0"/>
      <w:marBottom w:val="0"/>
      <w:divBdr>
        <w:top w:val="none" w:sz="0" w:space="0" w:color="auto"/>
        <w:left w:val="none" w:sz="0" w:space="0" w:color="auto"/>
        <w:bottom w:val="none" w:sz="0" w:space="0" w:color="auto"/>
        <w:right w:val="none" w:sz="0" w:space="0" w:color="auto"/>
      </w:divBdr>
    </w:div>
    <w:div w:id="1056196653">
      <w:bodyDiv w:val="1"/>
      <w:marLeft w:val="0"/>
      <w:marRight w:val="0"/>
      <w:marTop w:val="0"/>
      <w:marBottom w:val="0"/>
      <w:divBdr>
        <w:top w:val="none" w:sz="0" w:space="0" w:color="auto"/>
        <w:left w:val="none" w:sz="0" w:space="0" w:color="auto"/>
        <w:bottom w:val="none" w:sz="0" w:space="0" w:color="auto"/>
        <w:right w:val="none" w:sz="0" w:space="0" w:color="auto"/>
      </w:divBdr>
    </w:div>
    <w:div w:id="1380132816">
      <w:bodyDiv w:val="1"/>
      <w:marLeft w:val="0"/>
      <w:marRight w:val="0"/>
      <w:marTop w:val="0"/>
      <w:marBottom w:val="0"/>
      <w:divBdr>
        <w:top w:val="none" w:sz="0" w:space="0" w:color="auto"/>
        <w:left w:val="none" w:sz="0" w:space="0" w:color="auto"/>
        <w:bottom w:val="none" w:sz="0" w:space="0" w:color="auto"/>
        <w:right w:val="none" w:sz="0" w:space="0" w:color="auto"/>
      </w:divBdr>
    </w:div>
    <w:div w:id="14091078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mailto:m.searcey@uea.ac.uk" TargetMode="External"/><Relationship Id="rId20" Type="http://schemas.openxmlformats.org/officeDocument/2006/relationships/image" Target="media/image6.emf"/><Relationship Id="rId21" Type="http://schemas.openxmlformats.org/officeDocument/2006/relationships/image" Target="media/image7.emf"/><Relationship Id="rId22" Type="http://schemas.openxmlformats.org/officeDocument/2006/relationships/image" Target="media/image8.tiff"/><Relationship Id="rId23" Type="http://schemas.openxmlformats.org/officeDocument/2006/relationships/image" Target="media/image9.tiff"/><Relationship Id="rId24" Type="http://schemas.openxmlformats.org/officeDocument/2006/relationships/fontTable" Target="fontTable.xml"/><Relationship Id="rId25" Type="http://schemas.openxmlformats.org/officeDocument/2006/relationships/theme" Target="theme/theme1.xml"/><Relationship Id="rId10" Type="http://schemas.openxmlformats.org/officeDocument/2006/relationships/header" Target="header1.xml"/><Relationship Id="rId11" Type="http://schemas.openxmlformats.org/officeDocument/2006/relationships/header" Target="header2.xml"/><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header" Target="header3.xml"/><Relationship Id="rId15" Type="http://schemas.openxmlformats.org/officeDocument/2006/relationships/footer" Target="footer3.xml"/><Relationship Id="rId16" Type="http://schemas.openxmlformats.org/officeDocument/2006/relationships/image" Target="media/image2.emf"/><Relationship Id="rId17" Type="http://schemas.openxmlformats.org/officeDocument/2006/relationships/image" Target="media/image3.emf"/><Relationship Id="rId18" Type="http://schemas.openxmlformats.org/officeDocument/2006/relationships/image" Target="media/image4.png"/><Relationship Id="rId19" Type="http://schemas.openxmlformats.org/officeDocument/2006/relationships/image" Target="media/image5.emf"/><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m.searcey@uea.ac.uk"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1.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733DEF3-33A4-FD49-BE98-ACB13CD250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5</Pages>
  <Words>3024</Words>
  <Characters>17240</Characters>
  <Application>Microsoft Macintosh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The Royal Society of Chemistry</Company>
  <LinksUpToDate>false</LinksUpToDate>
  <CharactersWithSpaces>20224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 Searcey (PHA)</dc:creator>
  <cp:lastModifiedBy>Mark Searcey (PHA)</cp:lastModifiedBy>
  <cp:revision>5</cp:revision>
  <cp:lastPrinted>2014-10-09T15:34:00Z</cp:lastPrinted>
  <dcterms:created xsi:type="dcterms:W3CDTF">2016-04-23T13:32:00Z</dcterms:created>
  <dcterms:modified xsi:type="dcterms:W3CDTF">2016-05-16T18:15:00Z</dcterms:modified>
</cp:coreProperties>
</file>