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5397" w:rsidRDefault="00B05397">
      <w:pPr>
        <w:pStyle w:val="BodyText"/>
        <w:spacing w:before="5"/>
        <w:rPr>
          <w:sz w:val="10"/>
        </w:rPr>
      </w:pPr>
    </w:p>
    <w:p w:rsidR="00B05397" w:rsidRDefault="00B05397">
      <w:pPr>
        <w:pStyle w:val="BodyText"/>
        <w:spacing w:line="30" w:lineRule="exact"/>
        <w:ind w:left="665"/>
        <w:rPr>
          <w:sz w:val="3"/>
        </w:rPr>
      </w:pPr>
    </w:p>
    <w:p w:rsidR="00B05397" w:rsidRDefault="00B05397">
      <w:pPr>
        <w:pStyle w:val="BodyText"/>
        <w:spacing w:before="2"/>
        <w:rPr>
          <w:sz w:val="23"/>
        </w:rPr>
      </w:pPr>
    </w:p>
    <w:p w:rsidR="00B05397" w:rsidRDefault="00856287">
      <w:pPr>
        <w:pStyle w:val="Heading2"/>
        <w:tabs>
          <w:tab w:val="right" w:pos="7434"/>
        </w:tabs>
        <w:spacing w:before="55"/>
        <w:ind w:left="680"/>
        <w:rPr>
          <w:rFonts w:ascii="Times New Roman"/>
          <w:sz w:val="16"/>
        </w:rPr>
      </w:pPr>
      <w:r>
        <w:rPr>
          <w:rFonts w:ascii="Tahoma"/>
          <w:color w:val="231F20"/>
        </w:rPr>
        <w:t>Luna</w:t>
      </w:r>
      <w:r>
        <w:rPr>
          <w:rFonts w:ascii="Tahoma"/>
          <w:color w:val="231F20"/>
          <w:spacing w:val="3"/>
        </w:rPr>
        <w:t xml:space="preserve"> </w:t>
      </w:r>
      <w:r>
        <w:rPr>
          <w:rFonts w:ascii="Tahoma"/>
          <w:color w:val="231F20"/>
        </w:rPr>
        <w:t>Filipovic*</w:t>
      </w:r>
      <w:r>
        <w:rPr>
          <w:rFonts w:ascii="Times New Roman"/>
          <w:color w:val="231F20"/>
          <w:sz w:val="16"/>
        </w:rPr>
        <w:tab/>
        <w:t>1</w:t>
      </w:r>
    </w:p>
    <w:p w:rsidR="00B05397" w:rsidRDefault="00856287">
      <w:pPr>
        <w:spacing w:before="26" w:line="235" w:lineRule="auto"/>
        <w:ind w:left="680" w:right="191"/>
        <w:rPr>
          <w:sz w:val="16"/>
        </w:rPr>
      </w:pPr>
      <w:r>
        <w:rPr>
          <w:rFonts w:ascii="Arial"/>
          <w:i/>
          <w:color w:val="231F20"/>
          <w:sz w:val="34"/>
        </w:rPr>
        <w:t xml:space="preserve">May </w:t>
      </w:r>
      <w:r>
        <w:rPr>
          <w:rFonts w:ascii="Trebuchet MS"/>
          <w:color w:val="231F20"/>
          <w:sz w:val="34"/>
        </w:rPr>
        <w:t xml:space="preserve">vs. </w:t>
      </w:r>
      <w:r>
        <w:rPr>
          <w:rFonts w:ascii="Arial"/>
          <w:i/>
          <w:color w:val="231F20"/>
          <w:sz w:val="34"/>
        </w:rPr>
        <w:t xml:space="preserve">Might </w:t>
      </w:r>
      <w:r>
        <w:rPr>
          <w:rFonts w:ascii="Trebuchet MS"/>
          <w:color w:val="231F20"/>
          <w:sz w:val="34"/>
        </w:rPr>
        <w:t>in native vs. non-native English: Implications for inference and judgement</w:t>
      </w:r>
      <w:r>
        <w:rPr>
          <w:rFonts w:ascii="Trebuchet MS"/>
          <w:color w:val="231F20"/>
          <w:spacing w:val="-42"/>
          <w:sz w:val="34"/>
        </w:rPr>
        <w:t xml:space="preserve"> </w:t>
      </w:r>
      <w:r>
        <w:rPr>
          <w:rFonts w:ascii="Trebuchet MS"/>
          <w:color w:val="231F20"/>
          <w:sz w:val="34"/>
        </w:rPr>
        <w:t>in</w:t>
      </w:r>
      <w:r>
        <w:rPr>
          <w:rFonts w:ascii="Trebuchet MS"/>
          <w:color w:val="231F20"/>
          <w:spacing w:val="-43"/>
          <w:sz w:val="34"/>
        </w:rPr>
        <w:t xml:space="preserve"> </w:t>
      </w:r>
      <w:r>
        <w:rPr>
          <w:rFonts w:ascii="Trebuchet MS"/>
          <w:color w:val="231F20"/>
          <w:sz w:val="34"/>
        </w:rPr>
        <w:t>legal</w:t>
      </w:r>
      <w:r>
        <w:rPr>
          <w:rFonts w:ascii="Trebuchet MS"/>
          <w:color w:val="231F20"/>
          <w:spacing w:val="-43"/>
          <w:sz w:val="34"/>
        </w:rPr>
        <w:t xml:space="preserve"> </w:t>
      </w:r>
      <w:r>
        <w:rPr>
          <w:rFonts w:ascii="Trebuchet MS"/>
          <w:color w:val="231F20"/>
          <w:sz w:val="34"/>
        </w:rPr>
        <w:t>and</w:t>
      </w:r>
      <w:r>
        <w:rPr>
          <w:rFonts w:ascii="Trebuchet MS"/>
          <w:color w:val="231F20"/>
          <w:spacing w:val="-43"/>
          <w:sz w:val="34"/>
        </w:rPr>
        <w:t xml:space="preserve"> </w:t>
      </w:r>
      <w:r>
        <w:rPr>
          <w:rFonts w:ascii="Trebuchet MS"/>
          <w:color w:val="231F20"/>
          <w:sz w:val="34"/>
        </w:rPr>
        <w:t>educational</w:t>
      </w:r>
      <w:r>
        <w:rPr>
          <w:rFonts w:ascii="Trebuchet MS"/>
          <w:color w:val="231F20"/>
          <w:spacing w:val="-42"/>
          <w:sz w:val="34"/>
        </w:rPr>
        <w:t xml:space="preserve"> </w:t>
      </w:r>
      <w:r>
        <w:rPr>
          <w:rFonts w:ascii="Trebuchet MS"/>
          <w:color w:val="231F20"/>
          <w:sz w:val="34"/>
        </w:rPr>
        <w:t>contexts</w:t>
      </w:r>
      <w:r>
        <w:rPr>
          <w:rFonts w:ascii="Trebuchet MS"/>
          <w:color w:val="231F20"/>
          <w:spacing w:val="-25"/>
          <w:sz w:val="34"/>
        </w:rPr>
        <w:t xml:space="preserve"> </w:t>
      </w:r>
      <w:r>
        <w:rPr>
          <w:color w:val="231F20"/>
          <w:position w:val="13"/>
          <w:sz w:val="16"/>
        </w:rPr>
        <w:t>5</w:t>
      </w:r>
    </w:p>
    <w:p w:rsidR="00B05397" w:rsidRDefault="00856287">
      <w:pPr>
        <w:spacing w:before="291"/>
        <w:ind w:left="680"/>
        <w:rPr>
          <w:rFonts w:ascii="Tahoma"/>
          <w:sz w:val="16"/>
        </w:rPr>
      </w:pPr>
      <w:r>
        <w:rPr>
          <w:rFonts w:ascii="Tahoma"/>
          <w:color w:val="231F20"/>
          <w:w w:val="95"/>
          <w:sz w:val="16"/>
        </w:rPr>
        <w:t>DOI 10.1515/applirev-2016-0008</w:t>
      </w:r>
    </w:p>
    <w:p w:rsidR="00B05397" w:rsidRDefault="00B05397">
      <w:pPr>
        <w:pStyle w:val="BodyText"/>
        <w:spacing w:before="1"/>
        <w:rPr>
          <w:rFonts w:ascii="Tahoma"/>
          <w:sz w:val="17"/>
        </w:rPr>
      </w:pPr>
    </w:p>
    <w:p w:rsidR="00B05397" w:rsidRDefault="00856287">
      <w:pPr>
        <w:pStyle w:val="BodyText"/>
        <w:spacing w:line="278" w:lineRule="auto"/>
        <w:ind w:left="680" w:right="119"/>
      </w:pPr>
      <w:r>
        <w:rPr>
          <w:rFonts w:ascii="Trebuchet MS"/>
          <w:color w:val="231F20"/>
          <w:w w:val="110"/>
        </w:rPr>
        <w:t xml:space="preserve">Abstract: </w:t>
      </w:r>
      <w:r>
        <w:rPr>
          <w:color w:val="231F20"/>
          <w:w w:val="110"/>
        </w:rPr>
        <w:t xml:space="preserve">In this paper we discuss the empirically documented difference in a mock-jury judgement task between native speakers of English and speakers of </w:t>
      </w:r>
      <w:r>
        <w:rPr>
          <w:color w:val="231F20"/>
          <w:w w:val="110"/>
          <w:position w:val="4"/>
          <w:sz w:val="16"/>
        </w:rPr>
        <w:t xml:space="preserve">10 </w:t>
      </w:r>
      <w:r>
        <w:rPr>
          <w:color w:val="231F20"/>
          <w:w w:val="110"/>
        </w:rPr>
        <w:t>English as a second language. We discovered a difference between these two populations in the understanding o</w:t>
      </w:r>
      <w:r>
        <w:rPr>
          <w:color w:val="231F20"/>
          <w:w w:val="110"/>
        </w:rPr>
        <w:t>f events described by witnesses with regard</w:t>
      </w:r>
    </w:p>
    <w:p w:rsidR="00B05397" w:rsidRDefault="00856287">
      <w:pPr>
        <w:pStyle w:val="BodyText"/>
        <w:spacing w:before="4" w:line="280" w:lineRule="auto"/>
        <w:ind w:left="680" w:right="117"/>
      </w:pPr>
      <w:r>
        <w:rPr>
          <w:color w:val="231F20"/>
          <w:w w:val="110"/>
        </w:rPr>
        <w:t xml:space="preserve">to the use of verbs </w:t>
      </w:r>
      <w:r>
        <w:rPr>
          <w:rFonts w:ascii="Cambria"/>
          <w:i/>
          <w:color w:val="231F20"/>
          <w:w w:val="110"/>
        </w:rPr>
        <w:t xml:space="preserve">may </w:t>
      </w:r>
      <w:r>
        <w:rPr>
          <w:color w:val="231F20"/>
          <w:w w:val="110"/>
        </w:rPr>
        <w:t xml:space="preserve">and </w:t>
      </w:r>
      <w:r>
        <w:rPr>
          <w:rFonts w:ascii="Cambria"/>
          <w:i/>
          <w:color w:val="231F20"/>
          <w:w w:val="110"/>
        </w:rPr>
        <w:t>might</w:t>
      </w:r>
      <w:r>
        <w:rPr>
          <w:color w:val="231F20"/>
          <w:w w:val="110"/>
        </w:rPr>
        <w:t xml:space="preserve">. The events described with </w:t>
      </w:r>
      <w:r>
        <w:rPr>
          <w:rFonts w:ascii="Cambria"/>
          <w:i/>
          <w:color w:val="231F20"/>
          <w:w w:val="110"/>
        </w:rPr>
        <w:t xml:space="preserve">may </w:t>
      </w:r>
      <w:r>
        <w:rPr>
          <w:color w:val="231F20"/>
          <w:w w:val="110"/>
        </w:rPr>
        <w:t>were scored much higher on the possibility and witness certainty scales than when the same events</w:t>
      </w:r>
      <w:r>
        <w:rPr>
          <w:color w:val="231F20"/>
          <w:spacing w:val="-22"/>
          <w:w w:val="110"/>
        </w:rPr>
        <w:t xml:space="preserve"> </w:t>
      </w:r>
      <w:r>
        <w:rPr>
          <w:color w:val="231F20"/>
          <w:w w:val="110"/>
        </w:rPr>
        <w:t>were</w:t>
      </w:r>
      <w:r>
        <w:rPr>
          <w:color w:val="231F20"/>
          <w:spacing w:val="-21"/>
          <w:w w:val="110"/>
        </w:rPr>
        <w:t xml:space="preserve"> </w:t>
      </w:r>
      <w:r>
        <w:rPr>
          <w:color w:val="231F20"/>
          <w:w w:val="110"/>
        </w:rPr>
        <w:t>described</w:t>
      </w:r>
      <w:r>
        <w:rPr>
          <w:color w:val="231F20"/>
          <w:spacing w:val="-21"/>
          <w:w w:val="110"/>
        </w:rPr>
        <w:t xml:space="preserve"> </w:t>
      </w:r>
      <w:r>
        <w:rPr>
          <w:color w:val="231F20"/>
          <w:w w:val="110"/>
        </w:rPr>
        <w:t>by</w:t>
      </w:r>
      <w:r>
        <w:rPr>
          <w:color w:val="231F20"/>
          <w:spacing w:val="-22"/>
          <w:w w:val="110"/>
        </w:rPr>
        <w:t xml:space="preserve"> </w:t>
      </w:r>
      <w:r>
        <w:rPr>
          <w:rFonts w:ascii="Cambria"/>
          <w:i/>
          <w:color w:val="231F20"/>
          <w:w w:val="110"/>
        </w:rPr>
        <w:t>might</w:t>
      </w:r>
      <w:r>
        <w:rPr>
          <w:rFonts w:ascii="Cambria"/>
          <w:i/>
          <w:color w:val="231F20"/>
          <w:spacing w:val="-15"/>
          <w:w w:val="110"/>
        </w:rPr>
        <w:t xml:space="preserve"> </w:t>
      </w:r>
      <w:r>
        <w:rPr>
          <w:color w:val="231F20"/>
          <w:w w:val="110"/>
        </w:rPr>
        <w:t>for</w:t>
      </w:r>
      <w:r>
        <w:rPr>
          <w:color w:val="231F20"/>
          <w:spacing w:val="-21"/>
          <w:w w:val="110"/>
        </w:rPr>
        <w:t xml:space="preserve"> </w:t>
      </w:r>
      <w:r>
        <w:rPr>
          <w:color w:val="231F20"/>
          <w:w w:val="110"/>
        </w:rPr>
        <w:t>the</w:t>
      </w:r>
      <w:r>
        <w:rPr>
          <w:color w:val="231F20"/>
          <w:spacing w:val="-21"/>
          <w:w w:val="110"/>
        </w:rPr>
        <w:t xml:space="preserve"> </w:t>
      </w:r>
      <w:r>
        <w:rPr>
          <w:color w:val="231F20"/>
          <w:w w:val="110"/>
        </w:rPr>
        <w:t>non-native</w:t>
      </w:r>
      <w:r>
        <w:rPr>
          <w:color w:val="231F20"/>
          <w:spacing w:val="-21"/>
          <w:w w:val="110"/>
        </w:rPr>
        <w:t xml:space="preserve"> </w:t>
      </w:r>
      <w:r>
        <w:rPr>
          <w:color w:val="231F20"/>
          <w:w w:val="110"/>
        </w:rPr>
        <w:t>Englis</w:t>
      </w:r>
      <w:r>
        <w:rPr>
          <w:color w:val="231F20"/>
          <w:w w:val="110"/>
        </w:rPr>
        <w:t>h</w:t>
      </w:r>
      <w:r>
        <w:rPr>
          <w:color w:val="231F20"/>
          <w:spacing w:val="-21"/>
          <w:w w:val="110"/>
        </w:rPr>
        <w:t xml:space="preserve"> </w:t>
      </w:r>
      <w:r>
        <w:rPr>
          <w:color w:val="231F20"/>
          <w:w w:val="110"/>
        </w:rPr>
        <w:t>speakers.</w:t>
      </w:r>
      <w:r>
        <w:rPr>
          <w:color w:val="231F20"/>
          <w:spacing w:val="-21"/>
          <w:w w:val="110"/>
        </w:rPr>
        <w:t xml:space="preserve"> </w:t>
      </w:r>
      <w:r>
        <w:rPr>
          <w:color w:val="231F20"/>
          <w:w w:val="110"/>
        </w:rPr>
        <w:t>On</w:t>
      </w:r>
      <w:r>
        <w:rPr>
          <w:color w:val="231F20"/>
          <w:spacing w:val="-21"/>
          <w:w w:val="110"/>
        </w:rPr>
        <w:t xml:space="preserve"> </w:t>
      </w:r>
      <w:r>
        <w:rPr>
          <w:color w:val="231F20"/>
          <w:w w:val="110"/>
        </w:rPr>
        <w:t>the</w:t>
      </w:r>
      <w:r>
        <w:rPr>
          <w:color w:val="231F20"/>
          <w:spacing w:val="-21"/>
          <w:w w:val="110"/>
        </w:rPr>
        <w:t xml:space="preserve"> </w:t>
      </w:r>
      <w:r>
        <w:rPr>
          <w:color w:val="231F20"/>
          <w:w w:val="110"/>
        </w:rPr>
        <w:t>other</w:t>
      </w:r>
      <w:r>
        <w:rPr>
          <w:color w:val="231F20"/>
          <w:spacing w:val="22"/>
          <w:w w:val="110"/>
        </w:rPr>
        <w:t xml:space="preserve"> </w:t>
      </w:r>
      <w:r>
        <w:rPr>
          <w:color w:val="231F20"/>
          <w:w w:val="110"/>
          <w:position w:val="4"/>
          <w:sz w:val="16"/>
        </w:rPr>
        <w:t xml:space="preserve">15 </w:t>
      </w:r>
      <w:r>
        <w:rPr>
          <w:color w:val="231F20"/>
          <w:w w:val="110"/>
        </w:rPr>
        <w:t xml:space="preserve">hand, the native speakers of English did not judge the events described with    </w:t>
      </w:r>
      <w:r>
        <w:rPr>
          <w:rFonts w:ascii="Cambria"/>
          <w:i/>
          <w:color w:val="231F20"/>
          <w:w w:val="110"/>
        </w:rPr>
        <w:t xml:space="preserve">may </w:t>
      </w:r>
      <w:r>
        <w:rPr>
          <w:color w:val="231F20"/>
          <w:w w:val="110"/>
        </w:rPr>
        <w:t xml:space="preserve">and those with </w:t>
      </w:r>
      <w:r>
        <w:rPr>
          <w:rFonts w:ascii="Cambria"/>
          <w:i/>
          <w:color w:val="231F20"/>
          <w:w w:val="110"/>
        </w:rPr>
        <w:t xml:space="preserve">might </w:t>
      </w:r>
      <w:r>
        <w:rPr>
          <w:color w:val="231F20"/>
          <w:w w:val="110"/>
        </w:rPr>
        <w:t xml:space="preserve">differently. Further, the results for the non-native speakers did not vary based on their L1. A closer look at a sample of </w:t>
      </w:r>
      <w:r>
        <w:rPr>
          <w:color w:val="231F20"/>
          <w:w w:val="110"/>
        </w:rPr>
        <w:t xml:space="preserve">textbooks has provided support for the hypothesis that it is the L2 instruction materials     and a specific learner strategy that are the most likely causes of the significant </w:t>
      </w:r>
      <w:r>
        <w:rPr>
          <w:color w:val="231F20"/>
          <w:w w:val="110"/>
          <w:position w:val="4"/>
          <w:sz w:val="16"/>
        </w:rPr>
        <w:t xml:space="preserve">20 </w:t>
      </w:r>
      <w:r>
        <w:rPr>
          <w:color w:val="231F20"/>
          <w:w w:val="110"/>
        </w:rPr>
        <w:t>difference in inference and judgement between the  two  speaker  groups.  We</w:t>
      </w:r>
      <w:r>
        <w:rPr>
          <w:color w:val="231F20"/>
          <w:w w:val="110"/>
        </w:rPr>
        <w:t xml:space="preserve"> discuss these findings in light of their applicability in, and their relevance for, legal contexts of witness testimony and jury judgement as well as their pedago- gical implications and</w:t>
      </w:r>
      <w:r>
        <w:rPr>
          <w:color w:val="231F20"/>
          <w:spacing w:val="-11"/>
          <w:w w:val="110"/>
        </w:rPr>
        <w:t xml:space="preserve"> </w:t>
      </w:r>
      <w:r>
        <w:rPr>
          <w:color w:val="231F20"/>
          <w:w w:val="110"/>
        </w:rPr>
        <w:t>applications.</w:t>
      </w:r>
    </w:p>
    <w:p w:rsidR="00B05397" w:rsidRDefault="00856287">
      <w:pPr>
        <w:spacing w:line="155" w:lineRule="exact"/>
        <w:ind w:right="130"/>
        <w:jc w:val="right"/>
        <w:rPr>
          <w:sz w:val="16"/>
        </w:rPr>
      </w:pPr>
      <w:r>
        <w:rPr>
          <w:color w:val="231F20"/>
          <w:w w:val="90"/>
          <w:sz w:val="16"/>
        </w:rPr>
        <w:t>25</w:t>
      </w:r>
    </w:p>
    <w:p w:rsidR="00B05397" w:rsidRDefault="00856287">
      <w:pPr>
        <w:pStyle w:val="BodyText"/>
        <w:spacing w:line="198" w:lineRule="exact"/>
        <w:ind w:left="680"/>
      </w:pPr>
      <w:r>
        <w:rPr>
          <w:rFonts w:ascii="Trebuchet MS"/>
          <w:color w:val="231F20"/>
        </w:rPr>
        <w:t xml:space="preserve">Keywords: </w:t>
      </w:r>
      <w:r>
        <w:rPr>
          <w:color w:val="231F20"/>
        </w:rPr>
        <w:t xml:space="preserve">jury judgement, L1 English vs. L2 English, </w:t>
      </w:r>
      <w:r>
        <w:rPr>
          <w:rFonts w:ascii="Cambria"/>
          <w:i/>
          <w:color w:val="231F20"/>
        </w:rPr>
        <w:t xml:space="preserve">may </w:t>
      </w:r>
      <w:r>
        <w:rPr>
          <w:color w:val="231F20"/>
        </w:rPr>
        <w:t xml:space="preserve">vs. </w:t>
      </w:r>
      <w:r>
        <w:rPr>
          <w:rFonts w:ascii="Cambria"/>
          <w:i/>
          <w:color w:val="231F20"/>
        </w:rPr>
        <w:t>might</w:t>
      </w:r>
      <w:r>
        <w:rPr>
          <w:color w:val="231F20"/>
        </w:rPr>
        <w:t>, modality</w:t>
      </w:r>
    </w:p>
    <w:p w:rsidR="00B05397" w:rsidRDefault="00B05397">
      <w:pPr>
        <w:pStyle w:val="BodyText"/>
        <w:rPr>
          <w:sz w:val="18"/>
        </w:rPr>
      </w:pPr>
    </w:p>
    <w:p w:rsidR="00B05397" w:rsidRDefault="00B05397">
      <w:pPr>
        <w:pStyle w:val="BodyText"/>
        <w:spacing w:before="1"/>
        <w:rPr>
          <w:sz w:val="17"/>
        </w:rPr>
      </w:pPr>
    </w:p>
    <w:p w:rsidR="00B05397" w:rsidRDefault="00856287">
      <w:pPr>
        <w:pStyle w:val="Heading1"/>
        <w:ind w:left="680"/>
      </w:pPr>
      <w:r>
        <w:rPr>
          <w:color w:val="231F20"/>
        </w:rPr>
        <w:t>1 Introduction</w:t>
      </w:r>
    </w:p>
    <w:p w:rsidR="00B05397" w:rsidRDefault="00856287">
      <w:pPr>
        <w:pStyle w:val="BodyText"/>
        <w:spacing w:before="182" w:line="283" w:lineRule="auto"/>
        <w:ind w:left="680" w:right="191"/>
      </w:pPr>
      <w:r>
        <w:rPr>
          <w:color w:val="231F20"/>
          <w:w w:val="105"/>
        </w:rPr>
        <w:t xml:space="preserve">The English language is the main second language for most of the population of </w:t>
      </w:r>
      <w:r>
        <w:rPr>
          <w:color w:val="231F20"/>
          <w:w w:val="105"/>
          <w:position w:val="12"/>
          <w:sz w:val="16"/>
        </w:rPr>
        <w:t xml:space="preserve">30 </w:t>
      </w:r>
      <w:r>
        <w:rPr>
          <w:color w:val="231F20"/>
          <w:w w:val="105"/>
        </w:rPr>
        <w:t xml:space="preserve">the world. The number of speakers for whom English is the second language has overtaken the number of L1 English speakers. According to Ethnologue (2015), English was the first language for 335 million people and second for 505 </w:t>
      </w:r>
      <w:r>
        <w:rPr>
          <w:color w:val="231F20"/>
          <w:spacing w:val="26"/>
          <w:w w:val="105"/>
        </w:rPr>
        <w:t xml:space="preserve"> </w:t>
      </w:r>
      <w:r>
        <w:rPr>
          <w:color w:val="231F20"/>
          <w:w w:val="105"/>
        </w:rPr>
        <w:t>million,</w:t>
      </w:r>
    </w:p>
    <w:p w:rsidR="00B05397" w:rsidRDefault="00856287">
      <w:pPr>
        <w:pStyle w:val="BodyText"/>
        <w:spacing w:before="46" w:line="182" w:lineRule="auto"/>
        <w:ind w:left="680" w:right="122"/>
        <w:rPr>
          <w:sz w:val="16"/>
        </w:rPr>
      </w:pPr>
      <w:r>
        <w:rPr>
          <w:color w:val="231F20"/>
          <w:w w:val="110"/>
        </w:rPr>
        <w:t xml:space="preserve">and those numbers </w:t>
      </w:r>
      <w:r>
        <w:rPr>
          <w:color w:val="231F20"/>
          <w:w w:val="110"/>
        </w:rPr>
        <w:t>are constantly growing. Most countries where English is the first</w:t>
      </w:r>
      <w:r>
        <w:rPr>
          <w:color w:val="231F20"/>
          <w:spacing w:val="-16"/>
          <w:w w:val="110"/>
        </w:rPr>
        <w:t xml:space="preserve"> </w:t>
      </w:r>
      <w:r>
        <w:rPr>
          <w:color w:val="231F20"/>
          <w:w w:val="110"/>
        </w:rPr>
        <w:t>official</w:t>
      </w:r>
      <w:r>
        <w:rPr>
          <w:color w:val="231F20"/>
          <w:spacing w:val="-16"/>
          <w:w w:val="110"/>
        </w:rPr>
        <w:t xml:space="preserve"> </w:t>
      </w:r>
      <w:r>
        <w:rPr>
          <w:color w:val="231F20"/>
          <w:w w:val="110"/>
        </w:rPr>
        <w:t>language</w:t>
      </w:r>
      <w:r>
        <w:rPr>
          <w:color w:val="231F20"/>
          <w:spacing w:val="-15"/>
          <w:w w:val="110"/>
        </w:rPr>
        <w:t xml:space="preserve"> </w:t>
      </w:r>
      <w:r>
        <w:rPr>
          <w:color w:val="231F20"/>
          <w:w w:val="110"/>
        </w:rPr>
        <w:t>also</w:t>
      </w:r>
      <w:r>
        <w:rPr>
          <w:color w:val="231F20"/>
          <w:spacing w:val="-16"/>
          <w:w w:val="110"/>
        </w:rPr>
        <w:t xml:space="preserve"> </w:t>
      </w:r>
      <w:r>
        <w:rPr>
          <w:color w:val="231F20"/>
          <w:w w:val="110"/>
        </w:rPr>
        <w:t>have</w:t>
      </w:r>
      <w:r>
        <w:rPr>
          <w:color w:val="231F20"/>
          <w:spacing w:val="-16"/>
          <w:w w:val="110"/>
        </w:rPr>
        <w:t xml:space="preserve"> </w:t>
      </w:r>
      <w:r>
        <w:rPr>
          <w:color w:val="231F20"/>
          <w:w w:val="110"/>
        </w:rPr>
        <w:t>a</w:t>
      </w:r>
      <w:r>
        <w:rPr>
          <w:color w:val="231F20"/>
          <w:spacing w:val="-16"/>
          <w:w w:val="110"/>
        </w:rPr>
        <w:t xml:space="preserve"> </w:t>
      </w:r>
      <w:r>
        <w:rPr>
          <w:color w:val="231F20"/>
          <w:w w:val="110"/>
        </w:rPr>
        <w:t>large</w:t>
      </w:r>
      <w:r>
        <w:rPr>
          <w:color w:val="231F20"/>
          <w:spacing w:val="-16"/>
          <w:w w:val="110"/>
        </w:rPr>
        <w:t xml:space="preserve"> </w:t>
      </w:r>
      <w:r>
        <w:rPr>
          <w:color w:val="231F20"/>
          <w:w w:val="110"/>
        </w:rPr>
        <w:t>number</w:t>
      </w:r>
      <w:r>
        <w:rPr>
          <w:color w:val="231F20"/>
          <w:spacing w:val="-16"/>
          <w:w w:val="110"/>
        </w:rPr>
        <w:t xml:space="preserve"> </w:t>
      </w:r>
      <w:r>
        <w:rPr>
          <w:color w:val="231F20"/>
          <w:w w:val="110"/>
        </w:rPr>
        <w:t>of</w:t>
      </w:r>
      <w:r>
        <w:rPr>
          <w:color w:val="231F20"/>
          <w:spacing w:val="-16"/>
          <w:w w:val="110"/>
        </w:rPr>
        <w:t xml:space="preserve"> </w:t>
      </w:r>
      <w:r>
        <w:rPr>
          <w:color w:val="231F20"/>
          <w:w w:val="110"/>
        </w:rPr>
        <w:t>L2</w:t>
      </w:r>
      <w:r>
        <w:rPr>
          <w:color w:val="231F20"/>
          <w:spacing w:val="-16"/>
          <w:w w:val="110"/>
        </w:rPr>
        <w:t xml:space="preserve"> </w:t>
      </w:r>
      <w:r>
        <w:rPr>
          <w:color w:val="231F20"/>
          <w:w w:val="110"/>
        </w:rPr>
        <w:t>English</w:t>
      </w:r>
      <w:r>
        <w:rPr>
          <w:color w:val="231F20"/>
          <w:spacing w:val="-16"/>
          <w:w w:val="110"/>
        </w:rPr>
        <w:t xml:space="preserve"> </w:t>
      </w:r>
      <w:r>
        <w:rPr>
          <w:color w:val="231F20"/>
          <w:w w:val="110"/>
        </w:rPr>
        <w:t>speakers</w:t>
      </w:r>
      <w:r>
        <w:rPr>
          <w:color w:val="231F20"/>
          <w:spacing w:val="-16"/>
          <w:w w:val="110"/>
        </w:rPr>
        <w:t xml:space="preserve"> </w:t>
      </w:r>
      <w:r>
        <w:rPr>
          <w:color w:val="231F20"/>
          <w:w w:val="110"/>
        </w:rPr>
        <w:t>due</w:t>
      </w:r>
      <w:r>
        <w:rPr>
          <w:color w:val="231F20"/>
          <w:spacing w:val="-17"/>
          <w:w w:val="110"/>
        </w:rPr>
        <w:t xml:space="preserve"> </w:t>
      </w:r>
      <w:r>
        <w:rPr>
          <w:color w:val="231F20"/>
          <w:w w:val="110"/>
        </w:rPr>
        <w:t>to</w:t>
      </w:r>
      <w:r>
        <w:rPr>
          <w:color w:val="231F20"/>
          <w:spacing w:val="-16"/>
          <w:w w:val="110"/>
        </w:rPr>
        <w:t xml:space="preserve"> </w:t>
      </w:r>
      <w:r>
        <w:rPr>
          <w:color w:val="231F20"/>
          <w:w w:val="110"/>
        </w:rPr>
        <w:t>the</w:t>
      </w:r>
      <w:r>
        <w:rPr>
          <w:color w:val="231F20"/>
          <w:spacing w:val="33"/>
          <w:w w:val="110"/>
        </w:rPr>
        <w:t xml:space="preserve"> </w:t>
      </w:r>
      <w:r>
        <w:rPr>
          <w:color w:val="231F20"/>
          <w:w w:val="110"/>
          <w:position w:val="12"/>
          <w:sz w:val="16"/>
        </w:rPr>
        <w:t>35</w:t>
      </w:r>
    </w:p>
    <w:p w:rsidR="00B05397" w:rsidRDefault="00856287">
      <w:pPr>
        <w:pStyle w:val="BodyText"/>
        <w:spacing w:before="50" w:line="285" w:lineRule="auto"/>
        <w:ind w:left="680" w:right="191"/>
      </w:pPr>
      <w:r>
        <w:rPr>
          <w:color w:val="231F20"/>
          <w:w w:val="110"/>
        </w:rPr>
        <w:t>ever increasing migration. Historically, the colonisation by English speakers in the past, the globalisation through cultural exports and the recent advancement</w:t>
      </w:r>
    </w:p>
    <w:p w:rsidR="00B05397" w:rsidRDefault="00856287">
      <w:pPr>
        <w:pStyle w:val="BodyText"/>
        <w:spacing w:before="2"/>
        <w:rPr>
          <w:sz w:val="26"/>
        </w:rPr>
      </w:pPr>
      <w:r>
        <w:pict>
          <v:line id="_x0000_s1077" style="position:absolute;z-index:1048;mso-wrap-distance-left:0;mso-wrap-distance-right:0;mso-position-horizontal-relative:page" from="51pt,17.8pt" to="80.9pt,17.8pt" strokecolor="#231f20" strokeweight=".54mm">
            <w10:wrap type="topAndBottom" anchorx="page"/>
          </v:line>
        </w:pict>
      </w:r>
    </w:p>
    <w:p w:rsidR="00B05397" w:rsidRDefault="00856287">
      <w:pPr>
        <w:tabs>
          <w:tab w:val="left" w:pos="680"/>
          <w:tab w:val="right" w:pos="7546"/>
        </w:tabs>
        <w:spacing w:before="22"/>
        <w:ind w:left="101"/>
        <w:rPr>
          <w:sz w:val="16"/>
        </w:rPr>
      </w:pPr>
      <w:bookmarkStart w:id="0" w:name="_GoBack"/>
      <w:bookmarkEnd w:id="0"/>
      <w:r>
        <w:rPr>
          <w:rFonts w:ascii="Arial"/>
          <w:color w:val="231F20"/>
          <w:sz w:val="18"/>
        </w:rPr>
        <w:tab/>
      </w:r>
      <w:r>
        <w:rPr>
          <w:rFonts w:ascii="Trebuchet MS"/>
          <w:color w:val="231F20"/>
          <w:sz w:val="16"/>
        </w:rPr>
        <w:t xml:space="preserve">*Corresponding author: Luna Filipovic, </w:t>
      </w:r>
      <w:r>
        <w:rPr>
          <w:rFonts w:ascii="Tahoma"/>
          <w:color w:val="231F20"/>
          <w:sz w:val="16"/>
        </w:rPr>
        <w:t>University of East Anglia,</w:t>
      </w:r>
      <w:r>
        <w:rPr>
          <w:rFonts w:ascii="Tahoma"/>
          <w:color w:val="231F20"/>
          <w:spacing w:val="-8"/>
          <w:sz w:val="16"/>
        </w:rPr>
        <w:t xml:space="preserve"> </w:t>
      </w:r>
      <w:r>
        <w:rPr>
          <w:rFonts w:ascii="Tahoma"/>
          <w:color w:val="231F20"/>
          <w:sz w:val="16"/>
        </w:rPr>
        <w:t>Norwich,</w:t>
      </w:r>
      <w:r>
        <w:rPr>
          <w:rFonts w:ascii="Tahoma"/>
          <w:color w:val="231F20"/>
          <w:spacing w:val="-3"/>
          <w:sz w:val="16"/>
        </w:rPr>
        <w:t xml:space="preserve"> </w:t>
      </w:r>
      <w:r>
        <w:rPr>
          <w:rFonts w:ascii="Tahoma"/>
          <w:color w:val="231F20"/>
          <w:sz w:val="16"/>
        </w:rPr>
        <w:t>England</w:t>
      </w:r>
      <w:r>
        <w:rPr>
          <w:color w:val="231F20"/>
          <w:position w:val="1"/>
          <w:sz w:val="16"/>
        </w:rPr>
        <w:tab/>
        <w:t>40</w:t>
      </w:r>
    </w:p>
    <w:p w:rsidR="00B05397" w:rsidRDefault="00B05397">
      <w:pPr>
        <w:rPr>
          <w:sz w:val="16"/>
        </w:rPr>
        <w:sectPr w:rsidR="00B05397">
          <w:headerReference w:type="even" r:id="rId7"/>
          <w:headerReference w:type="default" r:id="rId8"/>
          <w:type w:val="continuous"/>
          <w:pgSz w:w="8790" w:h="13040"/>
          <w:pgMar w:top="700" w:right="800" w:bottom="280" w:left="340" w:header="538" w:footer="720" w:gutter="0"/>
          <w:cols w:space="720"/>
        </w:sectPr>
      </w:pPr>
    </w:p>
    <w:p w:rsidR="00B05397" w:rsidRDefault="00B05397">
      <w:pPr>
        <w:pStyle w:val="BodyText"/>
        <w:rPr>
          <w:sz w:val="18"/>
        </w:rPr>
      </w:pPr>
    </w:p>
    <w:p w:rsidR="00B05397" w:rsidRDefault="00B05397">
      <w:pPr>
        <w:pStyle w:val="BodyText"/>
        <w:rPr>
          <w:sz w:val="18"/>
        </w:rPr>
      </w:pPr>
    </w:p>
    <w:p w:rsidR="00B05397" w:rsidRDefault="00856287">
      <w:pPr>
        <w:pStyle w:val="BodyText"/>
        <w:spacing w:before="104" w:line="285" w:lineRule="auto"/>
        <w:ind w:left="110" w:right="300"/>
      </w:pPr>
      <w:r>
        <w:rPr>
          <w:color w:val="231F20"/>
          <w:w w:val="105"/>
        </w:rPr>
        <w:t xml:space="preserve">in technological development have contributed to the spread of English world- </w:t>
      </w:r>
      <w:r>
        <w:rPr>
          <w:color w:val="231F20"/>
          <w:w w:val="105"/>
          <w:position w:val="1"/>
          <w:sz w:val="16"/>
        </w:rPr>
        <w:t xml:space="preserve">1 </w:t>
      </w:r>
      <w:r>
        <w:rPr>
          <w:color w:val="231F20"/>
          <w:w w:val="105"/>
        </w:rPr>
        <w:t>wide. One  consequence  of  these  developments  is  the  creation  of  multilingual and multicultural societies whereby English language reigns supreme as the common communication  code  in  the  midst  of  linguistic  and  cultural  diversity. The learni</w:t>
      </w:r>
      <w:r>
        <w:rPr>
          <w:color w:val="231F20"/>
          <w:w w:val="105"/>
        </w:rPr>
        <w:t xml:space="preserve">ng of English is now a global industry, both in English-speaking </w:t>
      </w:r>
      <w:r>
        <w:rPr>
          <w:color w:val="231F20"/>
          <w:w w:val="105"/>
          <w:position w:val="1"/>
          <w:sz w:val="16"/>
        </w:rPr>
        <w:t xml:space="preserve">5 </w:t>
      </w:r>
      <w:r>
        <w:rPr>
          <w:color w:val="231F20"/>
          <w:w w:val="105"/>
        </w:rPr>
        <w:t xml:space="preserve">countries and in a great many other countries of the world. It is a prerequisite        for further economic or academic migration and it is viewed as one of  the conditions for individual </w:t>
      </w:r>
      <w:r>
        <w:rPr>
          <w:color w:val="231F20"/>
          <w:w w:val="105"/>
        </w:rPr>
        <w:t xml:space="preserve">prosperity due to  education  possibilities  and  job  pro- spects available to people who master the    </w:t>
      </w:r>
      <w:r>
        <w:rPr>
          <w:color w:val="231F20"/>
          <w:spacing w:val="19"/>
          <w:w w:val="105"/>
        </w:rPr>
        <w:t xml:space="preserve"> </w:t>
      </w:r>
      <w:r>
        <w:rPr>
          <w:color w:val="231F20"/>
          <w:w w:val="105"/>
        </w:rPr>
        <w:t>language.</w:t>
      </w:r>
    </w:p>
    <w:p w:rsidR="00B05397" w:rsidRDefault="00856287">
      <w:pPr>
        <w:pStyle w:val="BodyText"/>
        <w:spacing w:line="285" w:lineRule="auto"/>
        <w:ind w:left="110" w:right="126" w:firstLine="339"/>
      </w:pPr>
      <w:r>
        <w:rPr>
          <w:color w:val="231F20"/>
          <w:w w:val="105"/>
        </w:rPr>
        <w:t xml:space="preserve">This context is important for the present paper since our goal here is to </w:t>
      </w:r>
      <w:r>
        <w:rPr>
          <w:color w:val="231F20"/>
          <w:w w:val="105"/>
          <w:position w:val="1"/>
          <w:sz w:val="16"/>
        </w:rPr>
        <w:t xml:space="preserve">10 </w:t>
      </w:r>
      <w:r>
        <w:rPr>
          <w:color w:val="231F20"/>
          <w:w w:val="105"/>
        </w:rPr>
        <w:t>examine judgements related to possibility and witness   certain</w:t>
      </w:r>
      <w:r>
        <w:rPr>
          <w:color w:val="231F20"/>
          <w:w w:val="105"/>
        </w:rPr>
        <w:t>ty   based   on whether a mock juror is an L1 or and L2 English speaker. There are areas in English-speaking  countries  with  a  very  high  presence  of  L2  speakers    (e. g.</w:t>
      </w:r>
    </w:p>
    <w:p w:rsidR="00B05397" w:rsidRDefault="00856287">
      <w:pPr>
        <w:pStyle w:val="BodyText"/>
        <w:spacing w:line="285" w:lineRule="auto"/>
        <w:ind w:left="110" w:right="126"/>
      </w:pPr>
      <w:r>
        <w:rPr>
          <w:color w:val="231F20"/>
          <w:w w:val="110"/>
        </w:rPr>
        <w:t>Spanish speakers in Florida and California). This is also true for many inter</w:t>
      </w:r>
      <w:r>
        <w:rPr>
          <w:color w:val="231F20"/>
          <w:w w:val="110"/>
        </w:rPr>
        <w:t xml:space="preserve">- nationalized cities that house universities, research parks and business centres </w:t>
      </w:r>
      <w:r>
        <w:rPr>
          <w:color w:val="231F20"/>
          <w:w w:val="110"/>
          <w:position w:val="1"/>
          <w:sz w:val="16"/>
        </w:rPr>
        <w:t xml:space="preserve">15 </w:t>
      </w:r>
      <w:r>
        <w:rPr>
          <w:color w:val="231F20"/>
          <w:w w:val="110"/>
        </w:rPr>
        <w:t>in the UK, where we carried out our research. A possible difference in the L1 vs.</w:t>
      </w:r>
    </w:p>
    <w:p w:rsidR="00B05397" w:rsidRDefault="00856287">
      <w:pPr>
        <w:pStyle w:val="BodyText"/>
        <w:spacing w:before="1" w:line="283" w:lineRule="auto"/>
        <w:ind w:left="110" w:right="200"/>
      </w:pPr>
      <w:r>
        <w:rPr>
          <w:color w:val="231F20"/>
          <w:w w:val="110"/>
        </w:rPr>
        <w:t>L2 use of English, in the understanding of the relevant meanings, and in the drawn infer</w:t>
      </w:r>
      <w:r>
        <w:rPr>
          <w:color w:val="231F20"/>
          <w:w w:val="110"/>
        </w:rPr>
        <w:t xml:space="preserve">ences important for the law have never been investigated in detail in the past. Therefore, this study is aimed to shed new light on the possibility that the way English is acquired can have consequences for socially important </w:t>
      </w:r>
      <w:r>
        <w:rPr>
          <w:color w:val="231F20"/>
          <w:w w:val="110"/>
          <w:position w:val="1"/>
          <w:sz w:val="16"/>
        </w:rPr>
        <w:t xml:space="preserve">20 </w:t>
      </w:r>
      <w:r>
        <w:rPr>
          <w:color w:val="231F20"/>
          <w:w w:val="110"/>
        </w:rPr>
        <w:t>contexts, in this case,</w:t>
      </w:r>
      <w:r>
        <w:rPr>
          <w:color w:val="231F20"/>
          <w:spacing w:val="14"/>
          <w:w w:val="110"/>
        </w:rPr>
        <w:t xml:space="preserve"> </w:t>
      </w:r>
      <w:r>
        <w:rPr>
          <w:color w:val="231F20"/>
          <w:w w:val="110"/>
        </w:rPr>
        <w:t>leg</w:t>
      </w:r>
      <w:r>
        <w:rPr>
          <w:color w:val="231F20"/>
          <w:w w:val="110"/>
        </w:rPr>
        <w:t>al.</w:t>
      </w:r>
    </w:p>
    <w:p w:rsidR="00B05397" w:rsidRDefault="00856287">
      <w:pPr>
        <w:pStyle w:val="BodyText"/>
        <w:spacing w:before="3" w:line="283" w:lineRule="auto"/>
        <w:ind w:left="110" w:right="200" w:firstLine="339"/>
      </w:pPr>
      <w:r>
        <w:rPr>
          <w:color w:val="231F20"/>
          <w:w w:val="110"/>
        </w:rPr>
        <w:t>In the Section  2, we first briefly discuss the semantics of the two modal</w:t>
      </w:r>
      <w:r>
        <w:rPr>
          <w:color w:val="231F20"/>
          <w:spacing w:val="52"/>
          <w:w w:val="110"/>
        </w:rPr>
        <w:t xml:space="preserve"> </w:t>
      </w:r>
      <w:r>
        <w:rPr>
          <w:color w:val="231F20"/>
          <w:w w:val="110"/>
        </w:rPr>
        <w:t xml:space="preserve">verbs in focus, </w:t>
      </w:r>
      <w:r>
        <w:rPr>
          <w:rFonts w:ascii="Cambria"/>
          <w:i/>
          <w:color w:val="231F20"/>
          <w:w w:val="110"/>
        </w:rPr>
        <w:t xml:space="preserve">may </w:t>
      </w:r>
      <w:r>
        <w:rPr>
          <w:color w:val="231F20"/>
          <w:w w:val="110"/>
        </w:rPr>
        <w:t xml:space="preserve">and </w:t>
      </w:r>
      <w:r>
        <w:rPr>
          <w:rFonts w:ascii="Cambria"/>
          <w:i/>
          <w:color w:val="231F20"/>
          <w:w w:val="110"/>
        </w:rPr>
        <w:t>might</w:t>
      </w:r>
      <w:r>
        <w:rPr>
          <w:color w:val="231F20"/>
          <w:w w:val="110"/>
        </w:rPr>
        <w:t>, in relation to their meaning and use in different expressions related to possibility and speaker certainty. Then we provide some examples from Eng</w:t>
      </w:r>
      <w:r>
        <w:rPr>
          <w:color w:val="231F20"/>
          <w:w w:val="110"/>
        </w:rPr>
        <w:t xml:space="preserve">lish L2 teaching resources that illustrate how the relevant </w:t>
      </w:r>
      <w:r>
        <w:rPr>
          <w:color w:val="231F20"/>
          <w:w w:val="110"/>
          <w:position w:val="1"/>
          <w:sz w:val="16"/>
        </w:rPr>
        <w:t xml:space="preserve">25 </w:t>
      </w:r>
      <w:r>
        <w:rPr>
          <w:color w:val="231F20"/>
          <w:w w:val="110"/>
        </w:rPr>
        <w:t xml:space="preserve">differences in meaning between </w:t>
      </w:r>
      <w:r>
        <w:rPr>
          <w:rFonts w:ascii="Cambria"/>
          <w:i/>
          <w:color w:val="231F20"/>
          <w:w w:val="110"/>
        </w:rPr>
        <w:t xml:space="preserve">may </w:t>
      </w:r>
      <w:r>
        <w:rPr>
          <w:color w:val="231F20"/>
          <w:w w:val="110"/>
        </w:rPr>
        <w:t xml:space="preserve">and </w:t>
      </w:r>
      <w:r>
        <w:rPr>
          <w:rFonts w:ascii="Cambria"/>
          <w:i/>
          <w:color w:val="231F20"/>
          <w:w w:val="110"/>
        </w:rPr>
        <w:t xml:space="preserve">might </w:t>
      </w:r>
      <w:r>
        <w:rPr>
          <w:color w:val="231F20"/>
          <w:w w:val="110"/>
        </w:rPr>
        <w:t>are presented. In Section 3, we describe the experimental stimuli, study design and participant groups. We then discuss</w:t>
      </w:r>
      <w:r>
        <w:rPr>
          <w:color w:val="231F20"/>
          <w:spacing w:val="-5"/>
          <w:w w:val="110"/>
        </w:rPr>
        <w:t xml:space="preserve"> </w:t>
      </w:r>
      <w:r>
        <w:rPr>
          <w:color w:val="231F20"/>
          <w:w w:val="110"/>
        </w:rPr>
        <w:t>the</w:t>
      </w:r>
      <w:r>
        <w:rPr>
          <w:color w:val="231F20"/>
          <w:spacing w:val="-5"/>
          <w:w w:val="110"/>
        </w:rPr>
        <w:t xml:space="preserve"> </w:t>
      </w:r>
      <w:r>
        <w:rPr>
          <w:color w:val="231F20"/>
          <w:w w:val="110"/>
        </w:rPr>
        <w:t>results</w:t>
      </w:r>
      <w:r>
        <w:rPr>
          <w:color w:val="231F20"/>
          <w:spacing w:val="-5"/>
          <w:w w:val="110"/>
        </w:rPr>
        <w:t xml:space="preserve"> </w:t>
      </w:r>
      <w:r>
        <w:rPr>
          <w:color w:val="231F20"/>
          <w:w w:val="110"/>
        </w:rPr>
        <w:t>and</w:t>
      </w:r>
      <w:r>
        <w:rPr>
          <w:color w:val="231F20"/>
          <w:spacing w:val="-6"/>
          <w:w w:val="110"/>
        </w:rPr>
        <w:t xml:space="preserve"> </w:t>
      </w:r>
      <w:r>
        <w:rPr>
          <w:color w:val="231F20"/>
          <w:w w:val="110"/>
        </w:rPr>
        <w:t>the</w:t>
      </w:r>
      <w:r>
        <w:rPr>
          <w:color w:val="231F20"/>
          <w:spacing w:val="-5"/>
          <w:w w:val="110"/>
        </w:rPr>
        <w:t xml:space="preserve"> </w:t>
      </w:r>
      <w:r>
        <w:rPr>
          <w:color w:val="231F20"/>
          <w:w w:val="110"/>
        </w:rPr>
        <w:t>implications</w:t>
      </w:r>
      <w:r>
        <w:rPr>
          <w:color w:val="231F20"/>
          <w:spacing w:val="-5"/>
          <w:w w:val="110"/>
        </w:rPr>
        <w:t xml:space="preserve"> </w:t>
      </w:r>
      <w:r>
        <w:rPr>
          <w:color w:val="231F20"/>
          <w:w w:val="110"/>
        </w:rPr>
        <w:t>for</w:t>
      </w:r>
      <w:r>
        <w:rPr>
          <w:color w:val="231F20"/>
          <w:spacing w:val="-5"/>
          <w:w w:val="110"/>
        </w:rPr>
        <w:t xml:space="preserve"> </w:t>
      </w:r>
      <w:r>
        <w:rPr>
          <w:color w:val="231F20"/>
          <w:w w:val="110"/>
        </w:rPr>
        <w:t>the</w:t>
      </w:r>
      <w:r>
        <w:rPr>
          <w:color w:val="231F20"/>
          <w:spacing w:val="-5"/>
          <w:w w:val="110"/>
        </w:rPr>
        <w:t xml:space="preserve"> </w:t>
      </w:r>
      <w:r>
        <w:rPr>
          <w:color w:val="231F20"/>
          <w:w w:val="110"/>
        </w:rPr>
        <w:t>teaching</w:t>
      </w:r>
      <w:r>
        <w:rPr>
          <w:color w:val="231F20"/>
          <w:spacing w:val="-5"/>
          <w:w w:val="110"/>
        </w:rPr>
        <w:t xml:space="preserve"> </w:t>
      </w:r>
      <w:r>
        <w:rPr>
          <w:color w:val="231F20"/>
          <w:w w:val="110"/>
        </w:rPr>
        <w:t>and</w:t>
      </w:r>
      <w:r>
        <w:rPr>
          <w:color w:val="231F20"/>
          <w:spacing w:val="-6"/>
          <w:w w:val="110"/>
        </w:rPr>
        <w:t xml:space="preserve"> </w:t>
      </w:r>
      <w:r>
        <w:rPr>
          <w:color w:val="231F20"/>
          <w:w w:val="110"/>
        </w:rPr>
        <w:t>learning</w:t>
      </w:r>
      <w:r>
        <w:rPr>
          <w:color w:val="231F20"/>
          <w:spacing w:val="-5"/>
          <w:w w:val="110"/>
        </w:rPr>
        <w:t xml:space="preserve"> </w:t>
      </w:r>
      <w:r>
        <w:rPr>
          <w:color w:val="231F20"/>
          <w:w w:val="110"/>
        </w:rPr>
        <w:t>of</w:t>
      </w:r>
      <w:r>
        <w:rPr>
          <w:color w:val="231F20"/>
          <w:spacing w:val="-5"/>
          <w:w w:val="110"/>
        </w:rPr>
        <w:t xml:space="preserve"> </w:t>
      </w:r>
      <w:r>
        <w:rPr>
          <w:color w:val="231F20"/>
          <w:w w:val="110"/>
        </w:rPr>
        <w:t>English</w:t>
      </w:r>
    </w:p>
    <w:p w:rsidR="00B05397" w:rsidRDefault="00856287">
      <w:pPr>
        <w:pStyle w:val="BodyText"/>
        <w:spacing w:before="2" w:line="285" w:lineRule="auto"/>
        <w:ind w:left="110" w:right="126"/>
      </w:pPr>
      <w:r>
        <w:rPr>
          <w:color w:val="231F20"/>
          <w:w w:val="110"/>
        </w:rPr>
        <w:t xml:space="preserve">as an L2 as well as indicate  the  consequences  of  our  findings  for  different socially relevant contexts of communication (such as legal, educational, and </w:t>
      </w:r>
      <w:r>
        <w:rPr>
          <w:color w:val="231F20"/>
          <w:w w:val="110"/>
          <w:position w:val="1"/>
          <w:sz w:val="16"/>
        </w:rPr>
        <w:t xml:space="preserve">30 </w:t>
      </w:r>
      <w:r>
        <w:rPr>
          <w:color w:val="231F20"/>
          <w:w w:val="110"/>
        </w:rPr>
        <w:t>also medical). The last part of the pap</w:t>
      </w:r>
      <w:r>
        <w:rPr>
          <w:color w:val="231F20"/>
          <w:w w:val="110"/>
        </w:rPr>
        <w:t>er (§ 4) offers a conclusion and directions</w:t>
      </w:r>
    </w:p>
    <w:p w:rsidR="00B05397" w:rsidRDefault="00856287">
      <w:pPr>
        <w:pStyle w:val="BodyText"/>
        <w:ind w:left="110" w:right="126"/>
      </w:pPr>
      <w:r>
        <w:rPr>
          <w:color w:val="231F20"/>
          <w:w w:val="105"/>
        </w:rPr>
        <w:t>for  future research.</w:t>
      </w:r>
    </w:p>
    <w:p w:rsidR="00B05397" w:rsidRDefault="00B05397">
      <w:pPr>
        <w:pStyle w:val="BodyText"/>
        <w:rPr>
          <w:sz w:val="18"/>
        </w:rPr>
      </w:pPr>
    </w:p>
    <w:p w:rsidR="00B05397" w:rsidRDefault="00B05397">
      <w:pPr>
        <w:pStyle w:val="BodyText"/>
        <w:rPr>
          <w:sz w:val="18"/>
        </w:rPr>
      </w:pPr>
    </w:p>
    <w:p w:rsidR="00B05397" w:rsidRDefault="00856287">
      <w:pPr>
        <w:pStyle w:val="Heading1"/>
        <w:numPr>
          <w:ilvl w:val="0"/>
          <w:numId w:val="5"/>
        </w:numPr>
        <w:tabs>
          <w:tab w:val="left" w:pos="429"/>
          <w:tab w:val="left" w:pos="6800"/>
        </w:tabs>
        <w:spacing w:before="141"/>
        <w:rPr>
          <w:color w:val="231F20"/>
        </w:rPr>
      </w:pPr>
      <w:r>
        <w:rPr>
          <w:color w:val="231F20"/>
        </w:rPr>
        <w:t xml:space="preserve">May we use might? Meaning </w:t>
      </w:r>
      <w:r>
        <w:rPr>
          <w:color w:val="231F20"/>
          <w:spacing w:val="44"/>
        </w:rPr>
        <w:t xml:space="preserve"> </w:t>
      </w:r>
      <w:r>
        <w:rPr>
          <w:color w:val="231F20"/>
        </w:rPr>
        <w:t>and</w:t>
      </w:r>
      <w:r>
        <w:rPr>
          <w:color w:val="231F20"/>
          <w:spacing w:val="28"/>
        </w:rPr>
        <w:t xml:space="preserve"> </w:t>
      </w:r>
      <w:r>
        <w:rPr>
          <w:color w:val="231F20"/>
        </w:rPr>
        <w:t>usage</w:t>
      </w:r>
      <w:r>
        <w:rPr>
          <w:rFonts w:ascii="Times New Roman"/>
          <w:color w:val="231F20"/>
          <w:position w:val="11"/>
          <w:sz w:val="16"/>
        </w:rPr>
        <w:tab/>
        <w:t>35</w:t>
      </w:r>
    </w:p>
    <w:p w:rsidR="00B05397" w:rsidRDefault="00856287">
      <w:pPr>
        <w:spacing w:before="39"/>
        <w:ind w:left="428" w:right="126"/>
        <w:rPr>
          <w:rFonts w:ascii="Trebuchet MS"/>
          <w:sz w:val="30"/>
        </w:rPr>
      </w:pPr>
      <w:r>
        <w:rPr>
          <w:rFonts w:ascii="Trebuchet MS"/>
          <w:color w:val="231F20"/>
          <w:sz w:val="30"/>
        </w:rPr>
        <w:t>in different linguistic contexts</w:t>
      </w:r>
    </w:p>
    <w:p w:rsidR="00B05397" w:rsidRDefault="00B05397">
      <w:pPr>
        <w:pStyle w:val="BodyText"/>
        <w:spacing w:before="7"/>
        <w:rPr>
          <w:rFonts w:ascii="Trebuchet MS"/>
          <w:sz w:val="23"/>
        </w:rPr>
      </w:pPr>
    </w:p>
    <w:p w:rsidR="00B05397" w:rsidRDefault="00856287">
      <w:pPr>
        <w:pStyle w:val="BodyText"/>
        <w:spacing w:line="285" w:lineRule="auto"/>
        <w:ind w:left="110" w:right="126"/>
        <w:rPr>
          <w:sz w:val="16"/>
        </w:rPr>
      </w:pPr>
      <w:r>
        <w:rPr>
          <w:color w:val="231F20"/>
          <w:w w:val="105"/>
        </w:rPr>
        <w:t xml:space="preserve">Modality is studied as a range of different logical notions such as necessity and </w:t>
      </w:r>
      <w:r>
        <w:rPr>
          <w:color w:val="231F20"/>
          <w:w w:val="105"/>
          <w:position w:val="2"/>
        </w:rPr>
        <w:t xml:space="preserve">possibility (or lack thereof, e. g. see Carnap 1956). Necessity is expressed via  </w:t>
      </w:r>
      <w:r>
        <w:rPr>
          <w:color w:val="231F20"/>
          <w:w w:val="105"/>
          <w:sz w:val="16"/>
        </w:rPr>
        <w:t>40</w:t>
      </w:r>
    </w:p>
    <w:p w:rsidR="00B05397" w:rsidRDefault="00B05397">
      <w:pPr>
        <w:spacing w:line="285" w:lineRule="auto"/>
        <w:rPr>
          <w:sz w:val="16"/>
        </w:rPr>
        <w:sectPr w:rsidR="00B05397">
          <w:pgSz w:w="8790" w:h="13040"/>
          <w:pgMar w:top="720" w:right="620" w:bottom="280" w:left="1080" w:header="511" w:footer="0" w:gutter="0"/>
          <w:cols w:space="720"/>
        </w:sectPr>
      </w:pPr>
    </w:p>
    <w:p w:rsidR="00B05397" w:rsidRDefault="00B05397">
      <w:pPr>
        <w:pStyle w:val="BodyText"/>
        <w:rPr>
          <w:sz w:val="20"/>
        </w:rPr>
      </w:pPr>
    </w:p>
    <w:p w:rsidR="00B05397" w:rsidRDefault="00B05397">
      <w:pPr>
        <w:pStyle w:val="BodyText"/>
        <w:rPr>
          <w:sz w:val="20"/>
        </w:rPr>
      </w:pPr>
    </w:p>
    <w:p w:rsidR="00B05397" w:rsidRDefault="00856287">
      <w:pPr>
        <w:pStyle w:val="BodyText"/>
        <w:spacing w:before="71" w:line="280" w:lineRule="auto"/>
        <w:ind w:left="680" w:right="212"/>
      </w:pPr>
      <w:r>
        <w:rPr>
          <w:color w:val="231F20"/>
          <w:w w:val="105"/>
        </w:rPr>
        <w:t xml:space="preserve">deontic modality (e. g. </w:t>
      </w:r>
      <w:r>
        <w:rPr>
          <w:rFonts w:ascii="Cambria"/>
          <w:i/>
          <w:color w:val="231F20"/>
          <w:w w:val="105"/>
        </w:rPr>
        <w:t>You must study harder</w:t>
      </w:r>
      <w:r>
        <w:rPr>
          <w:color w:val="231F20"/>
          <w:w w:val="105"/>
        </w:rPr>
        <w:t xml:space="preserve">!) while possibility is conveyed by </w:t>
      </w:r>
      <w:r>
        <w:rPr>
          <w:color w:val="231F20"/>
          <w:w w:val="105"/>
          <w:position w:val="1"/>
          <w:sz w:val="16"/>
        </w:rPr>
        <w:t xml:space="preserve">1 </w:t>
      </w:r>
      <w:r>
        <w:rPr>
          <w:color w:val="231F20"/>
          <w:w w:val="105"/>
        </w:rPr>
        <w:t>epistemic modality (</w:t>
      </w:r>
      <w:r>
        <w:rPr>
          <w:rFonts w:ascii="Cambria"/>
          <w:i/>
          <w:color w:val="231F20"/>
          <w:w w:val="105"/>
        </w:rPr>
        <w:t>You must be studying real hard</w:t>
      </w:r>
      <w:r>
        <w:rPr>
          <w:color w:val="231F20"/>
          <w:w w:val="105"/>
        </w:rPr>
        <w:t xml:space="preserve">). Both </w:t>
      </w:r>
      <w:r>
        <w:rPr>
          <w:rFonts w:ascii="Cambria"/>
          <w:i/>
          <w:color w:val="231F20"/>
          <w:w w:val="105"/>
        </w:rPr>
        <w:t xml:space="preserve">may  </w:t>
      </w:r>
      <w:r>
        <w:rPr>
          <w:color w:val="231F20"/>
          <w:w w:val="105"/>
        </w:rPr>
        <w:t xml:space="preserve">and </w:t>
      </w:r>
      <w:r>
        <w:rPr>
          <w:rFonts w:ascii="Cambria"/>
          <w:i/>
          <w:color w:val="231F20"/>
          <w:w w:val="105"/>
        </w:rPr>
        <w:t xml:space="preserve">might  </w:t>
      </w:r>
      <w:r>
        <w:rPr>
          <w:color w:val="231F20"/>
          <w:w w:val="105"/>
        </w:rPr>
        <w:t>are modal verbs in English that can be used to express a certain degree of distancing  from the semantic content given in the verb phrase, which is their epistemic use    (</w:t>
      </w:r>
      <w:r>
        <w:rPr>
          <w:rFonts w:ascii="Cambria"/>
          <w:i/>
          <w:color w:val="231F20"/>
          <w:w w:val="105"/>
        </w:rPr>
        <w:t>You may/might want to think about it</w:t>
      </w:r>
      <w:r>
        <w:rPr>
          <w:color w:val="231F20"/>
          <w:w w:val="105"/>
        </w:rPr>
        <w:t xml:space="preserve">). One major difference is that </w:t>
      </w:r>
      <w:r>
        <w:rPr>
          <w:rFonts w:ascii="Cambria"/>
          <w:i/>
          <w:color w:val="231F20"/>
          <w:w w:val="105"/>
        </w:rPr>
        <w:t xml:space="preserve">may </w:t>
      </w:r>
      <w:r>
        <w:rPr>
          <w:color w:val="231F20"/>
          <w:w w:val="105"/>
        </w:rPr>
        <w:t>is al</w:t>
      </w:r>
      <w:r>
        <w:rPr>
          <w:color w:val="231F20"/>
          <w:w w:val="105"/>
        </w:rPr>
        <w:t xml:space="preserve">so </w:t>
      </w:r>
      <w:r>
        <w:rPr>
          <w:color w:val="231F20"/>
          <w:w w:val="105"/>
          <w:position w:val="1"/>
          <w:sz w:val="16"/>
        </w:rPr>
        <w:t xml:space="preserve">5 </w:t>
      </w:r>
      <w:r>
        <w:rPr>
          <w:color w:val="231F20"/>
          <w:w w:val="105"/>
        </w:rPr>
        <w:t xml:space="preserve">used to grant permission (e. g. </w:t>
      </w:r>
      <w:r>
        <w:rPr>
          <w:rFonts w:ascii="Cambria"/>
          <w:i/>
          <w:color w:val="231F20"/>
          <w:w w:val="105"/>
        </w:rPr>
        <w:t>You may go now</w:t>
      </w:r>
      <w:r>
        <w:rPr>
          <w:color w:val="231F20"/>
          <w:w w:val="105"/>
        </w:rPr>
        <w:t>) while might cannot be used on   such occasions (*</w:t>
      </w:r>
      <w:r>
        <w:rPr>
          <w:rFonts w:ascii="Cambria"/>
          <w:i/>
          <w:color w:val="231F20"/>
          <w:w w:val="105"/>
        </w:rPr>
        <w:t>You might go now</w:t>
      </w:r>
      <w:r>
        <w:rPr>
          <w:color w:val="231F20"/>
          <w:w w:val="105"/>
        </w:rPr>
        <w:t>). The deontic use of modal verbs is not the subject of inquiry at present so we shall not  discuss  it  further.  What  we  are primarily</w:t>
      </w:r>
      <w:r>
        <w:rPr>
          <w:color w:val="231F20"/>
          <w:w w:val="105"/>
        </w:rPr>
        <w:t xml:space="preserve"> interested in here is the </w:t>
      </w:r>
      <w:r>
        <w:rPr>
          <w:rFonts w:ascii="Cambria"/>
          <w:i/>
          <w:color w:val="231F20"/>
          <w:w w:val="105"/>
        </w:rPr>
        <w:t xml:space="preserve">epistemic  use  </w:t>
      </w:r>
      <w:r>
        <w:rPr>
          <w:color w:val="231F20"/>
          <w:w w:val="105"/>
        </w:rPr>
        <w:t xml:space="preserve">of modal verbs </w:t>
      </w:r>
      <w:r>
        <w:rPr>
          <w:rFonts w:ascii="Cambria"/>
          <w:i/>
          <w:color w:val="231F20"/>
          <w:w w:val="105"/>
        </w:rPr>
        <w:t xml:space="preserve">may  </w:t>
      </w:r>
      <w:r>
        <w:rPr>
          <w:color w:val="231F20"/>
          <w:w w:val="105"/>
        </w:rPr>
        <w:t xml:space="preserve">and </w:t>
      </w:r>
      <w:r>
        <w:rPr>
          <w:rFonts w:ascii="Cambria"/>
          <w:i/>
          <w:color w:val="231F20"/>
          <w:w w:val="105"/>
        </w:rPr>
        <w:t xml:space="preserve">might   </w:t>
      </w:r>
      <w:r>
        <w:rPr>
          <w:color w:val="231F20"/>
          <w:w w:val="105"/>
        </w:rPr>
        <w:t xml:space="preserve">and the similarities and differences in their meanings (see Nuyts 2001 for a </w:t>
      </w:r>
      <w:r>
        <w:rPr>
          <w:color w:val="231F20"/>
          <w:w w:val="105"/>
          <w:position w:val="1"/>
          <w:sz w:val="16"/>
        </w:rPr>
        <w:t xml:space="preserve">10 </w:t>
      </w:r>
      <w:r>
        <w:rPr>
          <w:color w:val="231F20"/>
          <w:w w:val="105"/>
        </w:rPr>
        <w:t xml:space="preserve">detailed study of epistemic modality in   </w:t>
      </w:r>
      <w:r>
        <w:rPr>
          <w:color w:val="231F20"/>
          <w:spacing w:val="6"/>
          <w:w w:val="105"/>
        </w:rPr>
        <w:t xml:space="preserve"> </w:t>
      </w:r>
      <w:r>
        <w:rPr>
          <w:color w:val="231F20"/>
          <w:w w:val="105"/>
        </w:rPr>
        <w:t>general).</w:t>
      </w:r>
    </w:p>
    <w:p w:rsidR="00B05397" w:rsidRDefault="00B05397">
      <w:pPr>
        <w:pStyle w:val="BodyText"/>
        <w:rPr>
          <w:sz w:val="18"/>
        </w:rPr>
      </w:pPr>
    </w:p>
    <w:p w:rsidR="00B05397" w:rsidRDefault="00B05397">
      <w:pPr>
        <w:pStyle w:val="BodyText"/>
        <w:spacing w:before="3"/>
        <w:rPr>
          <w:sz w:val="23"/>
        </w:rPr>
      </w:pPr>
    </w:p>
    <w:p w:rsidR="00B05397" w:rsidRDefault="00856287">
      <w:pPr>
        <w:pStyle w:val="Heading2"/>
        <w:numPr>
          <w:ilvl w:val="1"/>
          <w:numId w:val="5"/>
        </w:numPr>
        <w:tabs>
          <w:tab w:val="left" w:pos="1102"/>
        </w:tabs>
        <w:jc w:val="left"/>
      </w:pPr>
      <w:r>
        <w:rPr>
          <w:color w:val="231F20"/>
        </w:rPr>
        <w:t>On epistemic</w:t>
      </w:r>
      <w:r>
        <w:rPr>
          <w:color w:val="231F20"/>
          <w:spacing w:val="-43"/>
        </w:rPr>
        <w:t xml:space="preserve"> </w:t>
      </w:r>
      <w:r>
        <w:rPr>
          <w:color w:val="231F20"/>
        </w:rPr>
        <w:t>modality</w:t>
      </w:r>
    </w:p>
    <w:p w:rsidR="00B05397" w:rsidRDefault="00856287">
      <w:pPr>
        <w:spacing w:before="45"/>
        <w:ind w:right="135"/>
        <w:jc w:val="right"/>
        <w:rPr>
          <w:sz w:val="16"/>
        </w:rPr>
      </w:pPr>
      <w:r>
        <w:rPr>
          <w:color w:val="231F20"/>
          <w:w w:val="85"/>
          <w:sz w:val="16"/>
        </w:rPr>
        <w:t>15</w:t>
      </w:r>
    </w:p>
    <w:p w:rsidR="00B05397" w:rsidRDefault="00856287">
      <w:pPr>
        <w:pStyle w:val="BodyText"/>
        <w:spacing w:before="18" w:line="280" w:lineRule="auto"/>
        <w:ind w:left="680" w:right="191"/>
      </w:pPr>
      <w:r>
        <w:rPr>
          <w:color w:val="231F20"/>
          <w:w w:val="105"/>
        </w:rPr>
        <w:t>Modality is a linguis</w:t>
      </w:r>
      <w:r>
        <w:rPr>
          <w:color w:val="231F20"/>
          <w:w w:val="105"/>
        </w:rPr>
        <w:t>tic category, even though there is not a  uniform  view  in linguistics as to what kind of category it is precisely (see Matthews 1991 for an overview; see also van der Auwera and Plungian 1998 for a  semantic  map  of modality). It is often labelled  with</w:t>
      </w:r>
      <w:r>
        <w:rPr>
          <w:color w:val="231F20"/>
          <w:w w:val="105"/>
        </w:rPr>
        <w:t xml:space="preserve">  different  yet  related  terms,  such  as  mood, modus and modal fields, and many authors have tried (with different levels of </w:t>
      </w:r>
      <w:r>
        <w:rPr>
          <w:color w:val="231F20"/>
          <w:w w:val="105"/>
          <w:position w:val="-2"/>
          <w:sz w:val="16"/>
        </w:rPr>
        <w:t xml:space="preserve">20 </w:t>
      </w:r>
      <w:r>
        <w:rPr>
          <w:color w:val="231F20"/>
          <w:w w:val="105"/>
        </w:rPr>
        <w:t>success) to draw clear distinctions between the suggested labels. Palmer (1979,   1986) distinguished between mood on the on</w:t>
      </w:r>
      <w:r>
        <w:rPr>
          <w:color w:val="231F20"/>
          <w:w w:val="105"/>
        </w:rPr>
        <w:t xml:space="preserve">e  hand  as  a  grammatical  category marked inflectionally on the verbs in those languages that have grammars </w:t>
      </w:r>
      <w:r>
        <w:rPr>
          <w:color w:val="231F20"/>
          <w:spacing w:val="22"/>
          <w:w w:val="105"/>
        </w:rPr>
        <w:t xml:space="preserve"> </w:t>
      </w:r>
      <w:r>
        <w:rPr>
          <w:color w:val="231F20"/>
          <w:w w:val="105"/>
        </w:rPr>
        <w:t>similar</w:t>
      </w:r>
    </w:p>
    <w:p w:rsidR="00B05397" w:rsidRDefault="00856287">
      <w:pPr>
        <w:pStyle w:val="BodyText"/>
        <w:spacing w:before="5" w:line="276" w:lineRule="auto"/>
        <w:ind w:left="680" w:right="107"/>
      </w:pPr>
      <w:r>
        <w:rPr>
          <w:color w:val="231F20"/>
          <w:w w:val="110"/>
        </w:rPr>
        <w:t xml:space="preserve">to Greek and Latin, and modality on the other hand as a semantic/pragmatic category that can be expressed with different parts of speech (such as verbs, </w:t>
      </w:r>
      <w:r>
        <w:rPr>
          <w:color w:val="231F20"/>
          <w:w w:val="110"/>
          <w:position w:val="-2"/>
          <w:sz w:val="16"/>
        </w:rPr>
        <w:t xml:space="preserve">25 </w:t>
      </w:r>
      <w:r>
        <w:rPr>
          <w:color w:val="231F20"/>
          <w:w w:val="110"/>
        </w:rPr>
        <w:t>adjectives, adverbs). However, the grammaticalized moods can still perform the same pragmatic functi</w:t>
      </w:r>
      <w:r>
        <w:rPr>
          <w:color w:val="231F20"/>
          <w:w w:val="110"/>
        </w:rPr>
        <w:t>ons or have the same meanings as modality expressions so this distinction is not that clear-cut. Huddleston and Pullum (2002: 117) distin- guish</w:t>
      </w:r>
      <w:r>
        <w:rPr>
          <w:color w:val="231F20"/>
          <w:spacing w:val="-20"/>
          <w:w w:val="110"/>
        </w:rPr>
        <w:t xml:space="preserve"> </w:t>
      </w:r>
      <w:r>
        <w:rPr>
          <w:color w:val="231F20"/>
          <w:w w:val="110"/>
        </w:rPr>
        <w:t>between</w:t>
      </w:r>
      <w:r>
        <w:rPr>
          <w:color w:val="231F20"/>
          <w:spacing w:val="-20"/>
          <w:w w:val="110"/>
        </w:rPr>
        <w:t xml:space="preserve"> </w:t>
      </w:r>
      <w:r>
        <w:rPr>
          <w:color w:val="231F20"/>
          <w:w w:val="110"/>
        </w:rPr>
        <w:t>the</w:t>
      </w:r>
      <w:r>
        <w:rPr>
          <w:color w:val="231F20"/>
          <w:spacing w:val="-20"/>
          <w:w w:val="110"/>
        </w:rPr>
        <w:t xml:space="preserve"> </w:t>
      </w:r>
      <w:r>
        <w:rPr>
          <w:color w:val="231F20"/>
          <w:w w:val="110"/>
        </w:rPr>
        <w:t>unmarked,</w:t>
      </w:r>
      <w:r>
        <w:rPr>
          <w:color w:val="231F20"/>
          <w:spacing w:val="-20"/>
          <w:w w:val="110"/>
        </w:rPr>
        <w:t xml:space="preserve"> </w:t>
      </w:r>
      <w:r>
        <w:rPr>
          <w:color w:val="231F20"/>
          <w:w w:val="110"/>
        </w:rPr>
        <w:t>factual</w:t>
      </w:r>
      <w:r>
        <w:rPr>
          <w:color w:val="231F20"/>
          <w:spacing w:val="-20"/>
          <w:w w:val="110"/>
        </w:rPr>
        <w:t xml:space="preserve"> </w:t>
      </w:r>
      <w:r>
        <w:rPr>
          <w:color w:val="231F20"/>
          <w:w w:val="110"/>
        </w:rPr>
        <w:t>mood</w:t>
      </w:r>
      <w:r>
        <w:rPr>
          <w:color w:val="231F20"/>
          <w:spacing w:val="-20"/>
          <w:w w:val="110"/>
        </w:rPr>
        <w:t xml:space="preserve"> </w:t>
      </w:r>
      <w:r>
        <w:rPr>
          <w:color w:val="231F20"/>
          <w:w w:val="110"/>
        </w:rPr>
        <w:t>(as</w:t>
      </w:r>
      <w:r>
        <w:rPr>
          <w:color w:val="231F20"/>
          <w:spacing w:val="-20"/>
          <w:w w:val="110"/>
        </w:rPr>
        <w:t xml:space="preserve"> </w:t>
      </w:r>
      <w:r>
        <w:rPr>
          <w:color w:val="231F20"/>
          <w:w w:val="110"/>
        </w:rPr>
        <w:t>in</w:t>
      </w:r>
      <w:r>
        <w:rPr>
          <w:color w:val="231F20"/>
          <w:spacing w:val="-20"/>
          <w:w w:val="110"/>
        </w:rPr>
        <w:t xml:space="preserve"> </w:t>
      </w:r>
      <w:r>
        <w:rPr>
          <w:rFonts w:ascii="Cambria" w:hAnsi="Cambria"/>
          <w:i/>
          <w:color w:val="231F20"/>
          <w:w w:val="110"/>
        </w:rPr>
        <w:t>She</w:t>
      </w:r>
      <w:r>
        <w:rPr>
          <w:rFonts w:ascii="Cambria" w:hAnsi="Cambria"/>
          <w:i/>
          <w:color w:val="231F20"/>
          <w:spacing w:val="-13"/>
          <w:w w:val="110"/>
        </w:rPr>
        <w:t xml:space="preserve"> </w:t>
      </w:r>
      <w:r>
        <w:rPr>
          <w:rFonts w:ascii="Cambria" w:hAnsi="Cambria"/>
          <w:i/>
          <w:color w:val="231F20"/>
          <w:w w:val="110"/>
        </w:rPr>
        <w:t>goes</w:t>
      </w:r>
      <w:r>
        <w:rPr>
          <w:rFonts w:ascii="Cambria" w:hAnsi="Cambria"/>
          <w:i/>
          <w:color w:val="231F20"/>
          <w:spacing w:val="-14"/>
          <w:w w:val="110"/>
        </w:rPr>
        <w:t xml:space="preserve"> </w:t>
      </w:r>
      <w:r>
        <w:rPr>
          <w:rFonts w:ascii="Cambria" w:hAnsi="Cambria"/>
          <w:i/>
          <w:color w:val="231F20"/>
          <w:w w:val="110"/>
        </w:rPr>
        <w:t>to</w:t>
      </w:r>
      <w:r>
        <w:rPr>
          <w:rFonts w:ascii="Cambria" w:hAnsi="Cambria"/>
          <w:i/>
          <w:color w:val="231F20"/>
          <w:spacing w:val="-15"/>
          <w:w w:val="110"/>
        </w:rPr>
        <w:t xml:space="preserve"> </w:t>
      </w:r>
      <w:r>
        <w:rPr>
          <w:rFonts w:ascii="Cambria" w:hAnsi="Cambria"/>
          <w:i/>
          <w:color w:val="231F20"/>
          <w:w w:val="110"/>
        </w:rPr>
        <w:t>school</w:t>
      </w:r>
      <w:r>
        <w:rPr>
          <w:color w:val="231F20"/>
          <w:w w:val="110"/>
        </w:rPr>
        <w:t>)</w:t>
      </w:r>
      <w:r>
        <w:rPr>
          <w:color w:val="231F20"/>
          <w:spacing w:val="-19"/>
          <w:w w:val="110"/>
        </w:rPr>
        <w:t xml:space="preserve"> </w:t>
      </w:r>
      <w:r>
        <w:rPr>
          <w:color w:val="231F20"/>
          <w:w w:val="110"/>
        </w:rPr>
        <w:t>and</w:t>
      </w:r>
      <w:r>
        <w:rPr>
          <w:color w:val="231F20"/>
          <w:spacing w:val="-20"/>
          <w:w w:val="110"/>
        </w:rPr>
        <w:t xml:space="preserve"> </w:t>
      </w:r>
      <w:r>
        <w:rPr>
          <w:color w:val="231F20"/>
          <w:w w:val="110"/>
        </w:rPr>
        <w:t>marked, non-factual</w:t>
      </w:r>
      <w:r>
        <w:rPr>
          <w:color w:val="231F20"/>
          <w:spacing w:val="-17"/>
          <w:w w:val="110"/>
        </w:rPr>
        <w:t xml:space="preserve"> </w:t>
      </w:r>
      <w:r>
        <w:rPr>
          <w:color w:val="231F20"/>
          <w:w w:val="110"/>
        </w:rPr>
        <w:t>mood</w:t>
      </w:r>
      <w:r>
        <w:rPr>
          <w:color w:val="231F20"/>
          <w:spacing w:val="-18"/>
          <w:w w:val="110"/>
        </w:rPr>
        <w:t xml:space="preserve"> </w:t>
      </w:r>
      <w:r>
        <w:rPr>
          <w:color w:val="231F20"/>
          <w:w w:val="110"/>
        </w:rPr>
        <w:t>(as</w:t>
      </w:r>
      <w:r>
        <w:rPr>
          <w:color w:val="231F20"/>
          <w:spacing w:val="-17"/>
          <w:w w:val="110"/>
        </w:rPr>
        <w:t xml:space="preserve"> </w:t>
      </w:r>
      <w:r>
        <w:rPr>
          <w:color w:val="231F20"/>
          <w:w w:val="110"/>
        </w:rPr>
        <w:t>in</w:t>
      </w:r>
      <w:r>
        <w:rPr>
          <w:color w:val="231F20"/>
          <w:spacing w:val="-18"/>
          <w:w w:val="110"/>
        </w:rPr>
        <w:t xml:space="preserve"> </w:t>
      </w:r>
      <w:r>
        <w:rPr>
          <w:rFonts w:ascii="Cambria" w:hAnsi="Cambria"/>
          <w:i/>
          <w:color w:val="231F20"/>
          <w:w w:val="110"/>
        </w:rPr>
        <w:t>She</w:t>
      </w:r>
      <w:r>
        <w:rPr>
          <w:rFonts w:ascii="Cambria" w:hAnsi="Cambria"/>
          <w:i/>
          <w:color w:val="231F20"/>
          <w:spacing w:val="-10"/>
          <w:w w:val="110"/>
        </w:rPr>
        <w:t xml:space="preserve"> </w:t>
      </w:r>
      <w:r>
        <w:rPr>
          <w:rFonts w:ascii="Cambria" w:hAnsi="Cambria"/>
          <w:i/>
          <w:color w:val="231F20"/>
          <w:w w:val="110"/>
        </w:rPr>
        <w:t>may/must</w:t>
      </w:r>
      <w:r>
        <w:rPr>
          <w:rFonts w:ascii="Cambria" w:hAnsi="Cambria"/>
          <w:i/>
          <w:color w:val="231F20"/>
          <w:spacing w:val="-11"/>
          <w:w w:val="110"/>
        </w:rPr>
        <w:t xml:space="preserve"> </w:t>
      </w:r>
      <w:r>
        <w:rPr>
          <w:rFonts w:ascii="Cambria" w:hAnsi="Cambria"/>
          <w:i/>
          <w:color w:val="231F20"/>
          <w:w w:val="110"/>
        </w:rPr>
        <w:t>got</w:t>
      </w:r>
      <w:r>
        <w:rPr>
          <w:rFonts w:ascii="Cambria" w:hAnsi="Cambria"/>
          <w:i/>
          <w:color w:val="231F20"/>
          <w:spacing w:val="-11"/>
          <w:w w:val="110"/>
        </w:rPr>
        <w:t xml:space="preserve"> </w:t>
      </w:r>
      <w:r>
        <w:rPr>
          <w:rFonts w:ascii="Cambria" w:hAnsi="Cambria"/>
          <w:i/>
          <w:color w:val="231F20"/>
          <w:w w:val="110"/>
        </w:rPr>
        <w:t>the</w:t>
      </w:r>
      <w:r>
        <w:rPr>
          <w:rFonts w:ascii="Cambria" w:hAnsi="Cambria"/>
          <w:i/>
          <w:color w:val="231F20"/>
          <w:spacing w:val="-11"/>
          <w:w w:val="110"/>
        </w:rPr>
        <w:t xml:space="preserve"> </w:t>
      </w:r>
      <w:r>
        <w:rPr>
          <w:rFonts w:ascii="Cambria" w:hAnsi="Cambria"/>
          <w:i/>
          <w:color w:val="231F20"/>
          <w:w w:val="110"/>
        </w:rPr>
        <w:t>school</w:t>
      </w:r>
      <w:r>
        <w:rPr>
          <w:color w:val="231F20"/>
          <w:w w:val="110"/>
        </w:rPr>
        <w:t>),</w:t>
      </w:r>
      <w:r>
        <w:rPr>
          <w:color w:val="231F20"/>
          <w:spacing w:val="-18"/>
          <w:w w:val="110"/>
        </w:rPr>
        <w:t xml:space="preserve"> </w:t>
      </w:r>
      <w:r>
        <w:rPr>
          <w:color w:val="231F20"/>
          <w:w w:val="110"/>
        </w:rPr>
        <w:t>the</w:t>
      </w:r>
      <w:r>
        <w:rPr>
          <w:color w:val="231F20"/>
          <w:spacing w:val="-17"/>
          <w:w w:val="110"/>
        </w:rPr>
        <w:t xml:space="preserve"> </w:t>
      </w:r>
      <w:r>
        <w:rPr>
          <w:color w:val="231F20"/>
          <w:w w:val="110"/>
        </w:rPr>
        <w:t>latter</w:t>
      </w:r>
      <w:r>
        <w:rPr>
          <w:color w:val="231F20"/>
          <w:spacing w:val="-17"/>
          <w:w w:val="110"/>
        </w:rPr>
        <w:t xml:space="preserve"> </w:t>
      </w:r>
      <w:r>
        <w:rPr>
          <w:color w:val="231F20"/>
          <w:w w:val="110"/>
        </w:rPr>
        <w:t>involving</w:t>
      </w:r>
      <w:r>
        <w:rPr>
          <w:color w:val="231F20"/>
          <w:spacing w:val="-17"/>
          <w:w w:val="110"/>
        </w:rPr>
        <w:t xml:space="preserve"> </w:t>
      </w:r>
      <w:r>
        <w:rPr>
          <w:rFonts w:ascii="Calibri" w:hAnsi="Calibri"/>
          <w:color w:val="231F20"/>
          <w:w w:val="110"/>
        </w:rPr>
        <w:t>“</w:t>
      </w:r>
      <w:r>
        <w:rPr>
          <w:color w:val="231F20"/>
          <w:w w:val="110"/>
        </w:rPr>
        <w:t>var-</w:t>
      </w:r>
      <w:r>
        <w:rPr>
          <w:color w:val="231F20"/>
          <w:spacing w:val="8"/>
          <w:w w:val="110"/>
        </w:rPr>
        <w:t xml:space="preserve"> </w:t>
      </w:r>
      <w:r>
        <w:rPr>
          <w:color w:val="231F20"/>
          <w:w w:val="110"/>
          <w:position w:val="-2"/>
          <w:sz w:val="16"/>
        </w:rPr>
        <w:t xml:space="preserve">30 </w:t>
      </w:r>
      <w:r>
        <w:rPr>
          <w:color w:val="231F20"/>
          <w:w w:val="110"/>
        </w:rPr>
        <w:t>ious kinds of non-factuality and non-actuality, thereby indicating that the situa- tion</w:t>
      </w:r>
      <w:r>
        <w:rPr>
          <w:color w:val="231F20"/>
          <w:spacing w:val="-10"/>
          <w:w w:val="110"/>
        </w:rPr>
        <w:t xml:space="preserve"> </w:t>
      </w:r>
      <w:r>
        <w:rPr>
          <w:color w:val="231F20"/>
          <w:w w:val="110"/>
        </w:rPr>
        <w:t>is</w:t>
      </w:r>
      <w:r>
        <w:rPr>
          <w:color w:val="231F20"/>
          <w:spacing w:val="-10"/>
          <w:w w:val="110"/>
        </w:rPr>
        <w:t xml:space="preserve"> </w:t>
      </w:r>
      <w:r>
        <w:rPr>
          <w:color w:val="231F20"/>
          <w:w w:val="110"/>
        </w:rPr>
        <w:t>merely</w:t>
      </w:r>
      <w:r>
        <w:rPr>
          <w:color w:val="231F20"/>
          <w:spacing w:val="-11"/>
          <w:w w:val="110"/>
        </w:rPr>
        <w:t xml:space="preserve"> </w:t>
      </w:r>
      <w:r>
        <w:rPr>
          <w:color w:val="231F20"/>
          <w:w w:val="110"/>
        </w:rPr>
        <w:t>possible,</w:t>
      </w:r>
      <w:r>
        <w:rPr>
          <w:color w:val="231F20"/>
          <w:spacing w:val="-9"/>
          <w:w w:val="110"/>
        </w:rPr>
        <w:t xml:space="preserve"> </w:t>
      </w:r>
      <w:r>
        <w:rPr>
          <w:color w:val="231F20"/>
          <w:w w:val="110"/>
        </w:rPr>
        <w:t>predicted</w:t>
      </w:r>
      <w:r>
        <w:rPr>
          <w:color w:val="231F20"/>
          <w:spacing w:val="-10"/>
          <w:w w:val="110"/>
        </w:rPr>
        <w:t xml:space="preserve"> </w:t>
      </w:r>
      <w:r>
        <w:rPr>
          <w:color w:val="231F20"/>
          <w:w w:val="110"/>
        </w:rPr>
        <w:t>or</w:t>
      </w:r>
      <w:r>
        <w:rPr>
          <w:color w:val="231F20"/>
          <w:spacing w:val="-11"/>
          <w:w w:val="110"/>
        </w:rPr>
        <w:t xml:space="preserve"> </w:t>
      </w:r>
      <w:r>
        <w:rPr>
          <w:color w:val="231F20"/>
          <w:w w:val="110"/>
        </w:rPr>
        <w:t>inferred</w:t>
      </w:r>
      <w:r>
        <w:rPr>
          <w:color w:val="231F20"/>
          <w:spacing w:val="-11"/>
          <w:w w:val="110"/>
        </w:rPr>
        <w:t xml:space="preserve"> </w:t>
      </w:r>
      <w:r>
        <w:rPr>
          <w:color w:val="231F20"/>
          <w:w w:val="110"/>
        </w:rPr>
        <w:t>rather</w:t>
      </w:r>
      <w:r>
        <w:rPr>
          <w:color w:val="231F20"/>
          <w:spacing w:val="-10"/>
          <w:w w:val="110"/>
        </w:rPr>
        <w:t xml:space="preserve"> </w:t>
      </w:r>
      <w:r>
        <w:rPr>
          <w:color w:val="231F20"/>
          <w:w w:val="110"/>
        </w:rPr>
        <w:t>than</w:t>
      </w:r>
      <w:r>
        <w:rPr>
          <w:color w:val="231F20"/>
          <w:spacing w:val="-11"/>
          <w:w w:val="110"/>
        </w:rPr>
        <w:t xml:space="preserve"> </w:t>
      </w:r>
      <w:r>
        <w:rPr>
          <w:color w:val="231F20"/>
          <w:w w:val="110"/>
        </w:rPr>
        <w:t>known</w:t>
      </w:r>
      <w:r>
        <w:rPr>
          <w:rFonts w:ascii="Calibri" w:hAnsi="Calibri"/>
          <w:color w:val="231F20"/>
          <w:w w:val="110"/>
        </w:rPr>
        <w:t>”</w:t>
      </w:r>
      <w:r>
        <w:rPr>
          <w:color w:val="231F20"/>
          <w:w w:val="110"/>
        </w:rPr>
        <w:t>.</w:t>
      </w:r>
    </w:p>
    <w:p w:rsidR="00B05397" w:rsidRDefault="00856287">
      <w:pPr>
        <w:pStyle w:val="BodyText"/>
        <w:spacing w:line="273" w:lineRule="auto"/>
        <w:ind w:left="680" w:right="117" w:firstLine="339"/>
      </w:pPr>
      <w:r>
        <w:rPr>
          <w:color w:val="231F20"/>
          <w:w w:val="110"/>
        </w:rPr>
        <w:t>Modality can also be defined as the speaker</w:t>
      </w:r>
      <w:r>
        <w:rPr>
          <w:rFonts w:ascii="Calibri" w:hAnsi="Calibri"/>
          <w:color w:val="231F20"/>
          <w:w w:val="110"/>
        </w:rPr>
        <w:t>’</w:t>
      </w:r>
      <w:r>
        <w:rPr>
          <w:color w:val="231F20"/>
          <w:w w:val="110"/>
        </w:rPr>
        <w:t>s  attitude  to  the  utterance (Gordon and Krilova 1967) or the commitment towards the content of the expressed</w:t>
      </w:r>
      <w:r>
        <w:rPr>
          <w:color w:val="231F20"/>
          <w:spacing w:val="-22"/>
          <w:w w:val="110"/>
        </w:rPr>
        <w:t xml:space="preserve"> </w:t>
      </w:r>
      <w:r>
        <w:rPr>
          <w:color w:val="231F20"/>
          <w:w w:val="110"/>
        </w:rPr>
        <w:t>proposition</w:t>
      </w:r>
      <w:r>
        <w:rPr>
          <w:color w:val="231F20"/>
          <w:spacing w:val="-22"/>
          <w:w w:val="110"/>
        </w:rPr>
        <w:t xml:space="preserve"> </w:t>
      </w:r>
      <w:r>
        <w:rPr>
          <w:color w:val="231F20"/>
          <w:w w:val="110"/>
        </w:rPr>
        <w:t>(Bybee</w:t>
      </w:r>
      <w:r>
        <w:rPr>
          <w:color w:val="231F20"/>
          <w:spacing w:val="-22"/>
          <w:w w:val="110"/>
        </w:rPr>
        <w:t xml:space="preserve"> </w:t>
      </w:r>
      <w:r>
        <w:rPr>
          <w:color w:val="231F20"/>
          <w:w w:val="110"/>
        </w:rPr>
        <w:t>1985;</w:t>
      </w:r>
      <w:r>
        <w:rPr>
          <w:color w:val="231F20"/>
          <w:spacing w:val="-23"/>
          <w:w w:val="110"/>
        </w:rPr>
        <w:t xml:space="preserve"> </w:t>
      </w:r>
      <w:r>
        <w:rPr>
          <w:color w:val="231F20"/>
          <w:w w:val="110"/>
        </w:rPr>
        <w:t>Bybee</w:t>
      </w:r>
      <w:r>
        <w:rPr>
          <w:color w:val="231F20"/>
          <w:spacing w:val="-22"/>
          <w:w w:val="110"/>
        </w:rPr>
        <w:t xml:space="preserve"> </w:t>
      </w:r>
      <w:r>
        <w:rPr>
          <w:color w:val="231F20"/>
          <w:w w:val="110"/>
        </w:rPr>
        <w:t>et</w:t>
      </w:r>
      <w:r>
        <w:rPr>
          <w:color w:val="231F20"/>
          <w:spacing w:val="-31"/>
          <w:w w:val="110"/>
        </w:rPr>
        <w:t xml:space="preserve"> </w:t>
      </w:r>
      <w:r>
        <w:rPr>
          <w:color w:val="231F20"/>
          <w:w w:val="110"/>
        </w:rPr>
        <w:t>al.</w:t>
      </w:r>
      <w:r>
        <w:rPr>
          <w:color w:val="231F20"/>
          <w:spacing w:val="-21"/>
          <w:w w:val="110"/>
        </w:rPr>
        <w:t xml:space="preserve"> </w:t>
      </w:r>
      <w:r>
        <w:rPr>
          <w:color w:val="231F20"/>
          <w:w w:val="110"/>
        </w:rPr>
        <w:t>1994).</w:t>
      </w:r>
      <w:r>
        <w:rPr>
          <w:color w:val="231F20"/>
          <w:spacing w:val="-22"/>
          <w:w w:val="110"/>
        </w:rPr>
        <w:t xml:space="preserve"> </w:t>
      </w:r>
      <w:r>
        <w:rPr>
          <w:color w:val="231F20"/>
          <w:w w:val="110"/>
        </w:rPr>
        <w:t>There</w:t>
      </w:r>
      <w:r>
        <w:rPr>
          <w:color w:val="231F20"/>
          <w:spacing w:val="-23"/>
          <w:w w:val="110"/>
        </w:rPr>
        <w:t xml:space="preserve"> </w:t>
      </w:r>
      <w:r>
        <w:rPr>
          <w:color w:val="231F20"/>
          <w:w w:val="110"/>
        </w:rPr>
        <w:t>have</w:t>
      </w:r>
      <w:r>
        <w:rPr>
          <w:color w:val="231F20"/>
          <w:spacing w:val="-22"/>
          <w:w w:val="110"/>
        </w:rPr>
        <w:t xml:space="preserve"> </w:t>
      </w:r>
      <w:r>
        <w:rPr>
          <w:color w:val="231F20"/>
          <w:w w:val="110"/>
        </w:rPr>
        <w:t>been</w:t>
      </w:r>
      <w:r>
        <w:rPr>
          <w:color w:val="231F20"/>
          <w:spacing w:val="-22"/>
          <w:w w:val="110"/>
        </w:rPr>
        <w:t xml:space="preserve"> </w:t>
      </w:r>
      <w:r>
        <w:rPr>
          <w:color w:val="231F20"/>
          <w:w w:val="110"/>
        </w:rPr>
        <w:t>attempts</w:t>
      </w:r>
      <w:r>
        <w:rPr>
          <w:color w:val="231F20"/>
          <w:spacing w:val="13"/>
          <w:w w:val="110"/>
        </w:rPr>
        <w:t xml:space="preserve"> </w:t>
      </w:r>
      <w:r>
        <w:rPr>
          <w:color w:val="231F20"/>
          <w:w w:val="110"/>
          <w:position w:val="-2"/>
          <w:sz w:val="16"/>
        </w:rPr>
        <w:t xml:space="preserve">35 </w:t>
      </w:r>
      <w:r>
        <w:rPr>
          <w:color w:val="231F20"/>
          <w:w w:val="110"/>
        </w:rPr>
        <w:t>to come up with a unified theory of modal meanings, such as the view by Bybee et</w:t>
      </w:r>
      <w:r>
        <w:rPr>
          <w:color w:val="231F20"/>
          <w:spacing w:val="-24"/>
          <w:w w:val="110"/>
        </w:rPr>
        <w:t xml:space="preserve"> </w:t>
      </w:r>
      <w:r>
        <w:rPr>
          <w:color w:val="231F20"/>
          <w:w w:val="110"/>
        </w:rPr>
        <w:t>al.</w:t>
      </w:r>
      <w:r>
        <w:rPr>
          <w:color w:val="231F20"/>
          <w:spacing w:val="-6"/>
          <w:w w:val="110"/>
        </w:rPr>
        <w:t xml:space="preserve"> </w:t>
      </w:r>
      <w:r>
        <w:rPr>
          <w:color w:val="231F20"/>
          <w:w w:val="110"/>
        </w:rPr>
        <w:t>(1994)</w:t>
      </w:r>
      <w:r>
        <w:rPr>
          <w:color w:val="231F20"/>
          <w:spacing w:val="-6"/>
          <w:w w:val="110"/>
        </w:rPr>
        <w:t xml:space="preserve"> </w:t>
      </w:r>
      <w:r>
        <w:rPr>
          <w:color w:val="231F20"/>
          <w:w w:val="110"/>
        </w:rPr>
        <w:t>that</w:t>
      </w:r>
      <w:r>
        <w:rPr>
          <w:color w:val="231F20"/>
          <w:spacing w:val="-6"/>
          <w:w w:val="110"/>
        </w:rPr>
        <w:t xml:space="preserve"> </w:t>
      </w:r>
      <w:r>
        <w:rPr>
          <w:color w:val="231F20"/>
          <w:w w:val="110"/>
        </w:rPr>
        <w:t>the</w:t>
      </w:r>
      <w:r>
        <w:rPr>
          <w:color w:val="231F20"/>
          <w:spacing w:val="-7"/>
          <w:w w:val="110"/>
        </w:rPr>
        <w:t xml:space="preserve"> </w:t>
      </w:r>
      <w:r>
        <w:rPr>
          <w:color w:val="231F20"/>
          <w:w w:val="110"/>
        </w:rPr>
        <w:t>diachronic</w:t>
      </w:r>
      <w:r>
        <w:rPr>
          <w:color w:val="231F20"/>
          <w:spacing w:val="-6"/>
          <w:w w:val="110"/>
        </w:rPr>
        <w:t xml:space="preserve"> </w:t>
      </w:r>
      <w:r>
        <w:rPr>
          <w:color w:val="231F20"/>
          <w:w w:val="110"/>
        </w:rPr>
        <w:t>development</w:t>
      </w:r>
      <w:r>
        <w:rPr>
          <w:color w:val="231F20"/>
          <w:spacing w:val="-6"/>
          <w:w w:val="110"/>
        </w:rPr>
        <w:t xml:space="preserve"> </w:t>
      </w:r>
      <w:r>
        <w:rPr>
          <w:color w:val="231F20"/>
          <w:w w:val="110"/>
        </w:rPr>
        <w:t>of</w:t>
      </w:r>
      <w:r>
        <w:rPr>
          <w:color w:val="231F20"/>
          <w:spacing w:val="-6"/>
          <w:w w:val="110"/>
        </w:rPr>
        <w:t xml:space="preserve"> </w:t>
      </w:r>
      <w:r>
        <w:rPr>
          <w:color w:val="231F20"/>
          <w:w w:val="110"/>
        </w:rPr>
        <w:t>modality</w:t>
      </w:r>
      <w:r>
        <w:rPr>
          <w:color w:val="231F20"/>
          <w:spacing w:val="-6"/>
          <w:w w:val="110"/>
        </w:rPr>
        <w:t xml:space="preserve"> </w:t>
      </w:r>
      <w:r>
        <w:rPr>
          <w:color w:val="231F20"/>
          <w:w w:val="110"/>
        </w:rPr>
        <w:t>assumed</w:t>
      </w:r>
      <w:r>
        <w:rPr>
          <w:color w:val="231F20"/>
          <w:spacing w:val="-6"/>
          <w:w w:val="110"/>
        </w:rPr>
        <w:t xml:space="preserve"> </w:t>
      </w:r>
      <w:r>
        <w:rPr>
          <w:color w:val="231F20"/>
          <w:w w:val="110"/>
        </w:rPr>
        <w:t>the</w:t>
      </w:r>
      <w:r>
        <w:rPr>
          <w:color w:val="231F20"/>
          <w:spacing w:val="-7"/>
          <w:w w:val="110"/>
        </w:rPr>
        <w:t xml:space="preserve"> </w:t>
      </w:r>
      <w:r>
        <w:rPr>
          <w:color w:val="231F20"/>
          <w:w w:val="110"/>
        </w:rPr>
        <w:t>direction</w:t>
      </w:r>
    </w:p>
    <w:p w:rsidR="00B05397" w:rsidRDefault="00856287">
      <w:pPr>
        <w:pStyle w:val="BodyText"/>
        <w:spacing w:before="11" w:line="285" w:lineRule="auto"/>
        <w:ind w:left="680"/>
        <w:rPr>
          <w:sz w:val="16"/>
        </w:rPr>
      </w:pPr>
      <w:r>
        <w:rPr>
          <w:color w:val="231F20"/>
          <w:w w:val="110"/>
        </w:rPr>
        <w:t>of deontic to epistemic through conventionalisation of implicit meanings. Papafragou (2000) discus</w:t>
      </w:r>
      <w:r>
        <w:rPr>
          <w:color w:val="231F20"/>
          <w:w w:val="110"/>
        </w:rPr>
        <w:t>ses this and similar approaches that involve meaning extension, and proposes a theory of mind approach for the development of</w:t>
      </w:r>
      <w:r>
        <w:rPr>
          <w:color w:val="231F20"/>
          <w:spacing w:val="51"/>
          <w:w w:val="110"/>
        </w:rPr>
        <w:t xml:space="preserve"> </w:t>
      </w:r>
      <w:r>
        <w:rPr>
          <w:color w:val="231F20"/>
          <w:w w:val="110"/>
          <w:position w:val="-2"/>
          <w:sz w:val="16"/>
        </w:rPr>
        <w:t>40</w:t>
      </w:r>
    </w:p>
    <w:p w:rsidR="00B05397" w:rsidRDefault="00B05397">
      <w:pPr>
        <w:spacing w:line="285" w:lineRule="auto"/>
        <w:rPr>
          <w:sz w:val="16"/>
        </w:rPr>
        <w:sectPr w:rsidR="00B05397">
          <w:headerReference w:type="even" r:id="rId9"/>
          <w:headerReference w:type="default" r:id="rId10"/>
          <w:pgSz w:w="8790" w:h="13040"/>
          <w:pgMar w:top="720" w:right="800" w:bottom="280" w:left="340" w:header="521" w:footer="0" w:gutter="0"/>
          <w:pgNumType w:start="3"/>
          <w:cols w:space="720"/>
        </w:sectPr>
      </w:pPr>
    </w:p>
    <w:p w:rsidR="00B05397" w:rsidRDefault="00B05397">
      <w:pPr>
        <w:pStyle w:val="BodyText"/>
        <w:rPr>
          <w:sz w:val="20"/>
        </w:rPr>
      </w:pPr>
    </w:p>
    <w:p w:rsidR="00B05397" w:rsidRDefault="00B05397">
      <w:pPr>
        <w:pStyle w:val="BodyText"/>
        <w:spacing w:before="7"/>
        <w:rPr>
          <w:sz w:val="18"/>
        </w:rPr>
      </w:pPr>
    </w:p>
    <w:p w:rsidR="00B05397" w:rsidRDefault="00856287">
      <w:pPr>
        <w:pStyle w:val="BodyText"/>
        <w:tabs>
          <w:tab w:val="right" w:pos="6894"/>
        </w:tabs>
        <w:spacing w:before="74" w:line="285" w:lineRule="auto"/>
        <w:ind w:left="130" w:right="210"/>
        <w:rPr>
          <w:sz w:val="16"/>
        </w:rPr>
      </w:pPr>
      <w:r>
        <w:rPr>
          <w:color w:val="231F20"/>
          <w:w w:val="105"/>
        </w:rPr>
        <w:t xml:space="preserve">modal meanings, whereby both deontic and epistemic modality involve the </w:t>
      </w:r>
      <w:r>
        <w:rPr>
          <w:color w:val="231F20"/>
          <w:w w:val="105"/>
          <w:position w:val="1"/>
          <w:sz w:val="16"/>
        </w:rPr>
        <w:t xml:space="preserve">1 </w:t>
      </w:r>
      <w:r>
        <w:rPr>
          <w:color w:val="231F20"/>
          <w:w w:val="105"/>
        </w:rPr>
        <w:t>understanding  of  the  differentiation  between  the  individual  mental  states  that are the representation of reality and the reality itself that surrounds the indivi-   duals. F</w:t>
      </w:r>
      <w:r>
        <w:rPr>
          <w:color w:val="231F20"/>
          <w:w w:val="105"/>
        </w:rPr>
        <w:t xml:space="preserve">or us at present, it is less important to establish  which  of  the  two  meanings came first than to note that they  </w:t>
      </w:r>
      <w:r>
        <w:rPr>
          <w:color w:val="231F20"/>
          <w:spacing w:val="24"/>
          <w:w w:val="105"/>
        </w:rPr>
        <w:t xml:space="preserve"> </w:t>
      </w:r>
      <w:r>
        <w:rPr>
          <w:color w:val="231F20"/>
          <w:w w:val="105"/>
        </w:rPr>
        <w:t>are</w:t>
      </w:r>
      <w:r>
        <w:rPr>
          <w:color w:val="231F20"/>
          <w:spacing w:val="14"/>
          <w:w w:val="105"/>
        </w:rPr>
        <w:t xml:space="preserve"> </w:t>
      </w:r>
      <w:r>
        <w:rPr>
          <w:color w:val="231F20"/>
          <w:w w:val="105"/>
        </w:rPr>
        <w:t>distinct.</w:t>
      </w:r>
      <w:r>
        <w:rPr>
          <w:color w:val="231F20"/>
          <w:w w:val="105"/>
          <w:position w:val="1"/>
          <w:sz w:val="16"/>
        </w:rPr>
        <w:tab/>
        <w:t>5</w:t>
      </w:r>
    </w:p>
    <w:p w:rsidR="00B05397" w:rsidRDefault="00856287">
      <w:pPr>
        <w:pStyle w:val="BodyText"/>
        <w:spacing w:before="1" w:line="283" w:lineRule="auto"/>
        <w:ind w:left="130" w:right="397" w:firstLine="339"/>
        <w:jc w:val="both"/>
      </w:pPr>
      <w:r>
        <w:rPr>
          <w:color w:val="231F20"/>
          <w:w w:val="110"/>
        </w:rPr>
        <w:t>Another</w:t>
      </w:r>
      <w:r>
        <w:rPr>
          <w:color w:val="231F20"/>
          <w:spacing w:val="-17"/>
          <w:w w:val="110"/>
        </w:rPr>
        <w:t xml:space="preserve"> </w:t>
      </w:r>
      <w:r>
        <w:rPr>
          <w:color w:val="231F20"/>
          <w:w w:val="110"/>
        </w:rPr>
        <w:t>distinction</w:t>
      </w:r>
      <w:r>
        <w:rPr>
          <w:color w:val="231F20"/>
          <w:spacing w:val="-18"/>
          <w:w w:val="110"/>
        </w:rPr>
        <w:t xml:space="preserve"> </w:t>
      </w:r>
      <w:r>
        <w:rPr>
          <w:color w:val="231F20"/>
          <w:w w:val="110"/>
        </w:rPr>
        <w:t>in</w:t>
      </w:r>
      <w:r>
        <w:rPr>
          <w:color w:val="231F20"/>
          <w:spacing w:val="-17"/>
          <w:w w:val="110"/>
        </w:rPr>
        <w:t xml:space="preserve"> </w:t>
      </w:r>
      <w:r>
        <w:rPr>
          <w:color w:val="231F20"/>
          <w:w w:val="110"/>
        </w:rPr>
        <w:t>this</w:t>
      </w:r>
      <w:r>
        <w:rPr>
          <w:color w:val="231F20"/>
          <w:spacing w:val="-17"/>
          <w:w w:val="110"/>
        </w:rPr>
        <w:t xml:space="preserve"> </w:t>
      </w:r>
      <w:r>
        <w:rPr>
          <w:color w:val="231F20"/>
          <w:w w:val="110"/>
        </w:rPr>
        <w:t>area</w:t>
      </w:r>
      <w:r>
        <w:rPr>
          <w:color w:val="231F20"/>
          <w:spacing w:val="-18"/>
          <w:w w:val="110"/>
        </w:rPr>
        <w:t xml:space="preserve"> </w:t>
      </w:r>
      <w:r>
        <w:rPr>
          <w:color w:val="231F20"/>
          <w:w w:val="110"/>
        </w:rPr>
        <w:t>is</w:t>
      </w:r>
      <w:r>
        <w:rPr>
          <w:color w:val="231F20"/>
          <w:spacing w:val="-17"/>
          <w:w w:val="110"/>
        </w:rPr>
        <w:t xml:space="preserve"> </w:t>
      </w:r>
      <w:r>
        <w:rPr>
          <w:color w:val="231F20"/>
          <w:w w:val="110"/>
        </w:rPr>
        <w:t>that</w:t>
      </w:r>
      <w:r>
        <w:rPr>
          <w:color w:val="231F20"/>
          <w:spacing w:val="-17"/>
          <w:w w:val="110"/>
        </w:rPr>
        <w:t xml:space="preserve"> </w:t>
      </w:r>
      <w:r>
        <w:rPr>
          <w:color w:val="231F20"/>
          <w:w w:val="110"/>
        </w:rPr>
        <w:t>of</w:t>
      </w:r>
      <w:r>
        <w:rPr>
          <w:color w:val="231F20"/>
          <w:spacing w:val="-17"/>
          <w:w w:val="110"/>
        </w:rPr>
        <w:t xml:space="preserve"> </w:t>
      </w:r>
      <w:r>
        <w:rPr>
          <w:color w:val="231F20"/>
          <w:w w:val="110"/>
        </w:rPr>
        <w:t>subjective</w:t>
      </w:r>
      <w:r>
        <w:rPr>
          <w:color w:val="231F20"/>
          <w:spacing w:val="-18"/>
          <w:w w:val="110"/>
        </w:rPr>
        <w:t xml:space="preserve"> </w:t>
      </w:r>
      <w:r>
        <w:rPr>
          <w:color w:val="231F20"/>
          <w:w w:val="110"/>
        </w:rPr>
        <w:t>vs.</w:t>
      </w:r>
      <w:r>
        <w:rPr>
          <w:color w:val="231F20"/>
          <w:spacing w:val="-19"/>
          <w:w w:val="110"/>
        </w:rPr>
        <w:t xml:space="preserve"> </w:t>
      </w:r>
      <w:r>
        <w:rPr>
          <w:color w:val="231F20"/>
          <w:w w:val="110"/>
        </w:rPr>
        <w:t>objective</w:t>
      </w:r>
      <w:r>
        <w:rPr>
          <w:color w:val="231F20"/>
          <w:spacing w:val="-17"/>
          <w:w w:val="110"/>
        </w:rPr>
        <w:t xml:space="preserve"> </w:t>
      </w:r>
      <w:r>
        <w:rPr>
          <w:color w:val="231F20"/>
          <w:w w:val="110"/>
        </w:rPr>
        <w:t>modality.</w:t>
      </w:r>
      <w:r>
        <w:rPr>
          <w:color w:val="231F20"/>
          <w:spacing w:val="-17"/>
          <w:w w:val="110"/>
        </w:rPr>
        <w:t xml:space="preserve"> </w:t>
      </w:r>
      <w:r>
        <w:rPr>
          <w:color w:val="231F20"/>
          <w:w w:val="110"/>
        </w:rPr>
        <w:t>A detailed</w:t>
      </w:r>
      <w:r>
        <w:rPr>
          <w:color w:val="231F20"/>
          <w:spacing w:val="-17"/>
          <w:w w:val="110"/>
        </w:rPr>
        <w:t xml:space="preserve"> </w:t>
      </w:r>
      <w:r>
        <w:rPr>
          <w:color w:val="231F20"/>
          <w:w w:val="110"/>
        </w:rPr>
        <w:t>analysis</w:t>
      </w:r>
      <w:r>
        <w:rPr>
          <w:color w:val="231F20"/>
          <w:spacing w:val="-15"/>
          <w:w w:val="110"/>
        </w:rPr>
        <w:t xml:space="preserve"> </w:t>
      </w:r>
      <w:r>
        <w:rPr>
          <w:color w:val="231F20"/>
          <w:w w:val="110"/>
        </w:rPr>
        <w:t>in</w:t>
      </w:r>
      <w:r>
        <w:rPr>
          <w:color w:val="231F20"/>
          <w:spacing w:val="-16"/>
          <w:w w:val="110"/>
        </w:rPr>
        <w:t xml:space="preserve"> </w:t>
      </w:r>
      <w:r>
        <w:rPr>
          <w:color w:val="231F20"/>
          <w:w w:val="110"/>
        </w:rPr>
        <w:t>this</w:t>
      </w:r>
      <w:r>
        <w:rPr>
          <w:color w:val="231F20"/>
          <w:spacing w:val="-16"/>
          <w:w w:val="110"/>
        </w:rPr>
        <w:t xml:space="preserve"> </w:t>
      </w:r>
      <w:r>
        <w:rPr>
          <w:color w:val="231F20"/>
          <w:w w:val="110"/>
        </w:rPr>
        <w:t>vein</w:t>
      </w:r>
      <w:r>
        <w:rPr>
          <w:color w:val="231F20"/>
          <w:spacing w:val="-15"/>
          <w:w w:val="110"/>
        </w:rPr>
        <w:t xml:space="preserve"> </w:t>
      </w:r>
      <w:r>
        <w:rPr>
          <w:color w:val="231F20"/>
          <w:w w:val="110"/>
        </w:rPr>
        <w:t>is</w:t>
      </w:r>
      <w:r>
        <w:rPr>
          <w:color w:val="231F20"/>
          <w:spacing w:val="-16"/>
          <w:w w:val="110"/>
        </w:rPr>
        <w:t xml:space="preserve"> </w:t>
      </w:r>
      <w:r>
        <w:rPr>
          <w:color w:val="231F20"/>
          <w:w w:val="110"/>
        </w:rPr>
        <w:t>out</w:t>
      </w:r>
      <w:r>
        <w:rPr>
          <w:color w:val="231F20"/>
          <w:spacing w:val="-16"/>
          <w:w w:val="110"/>
        </w:rPr>
        <w:t xml:space="preserve"> </w:t>
      </w:r>
      <w:r>
        <w:rPr>
          <w:color w:val="231F20"/>
          <w:w w:val="110"/>
        </w:rPr>
        <w:t>of</w:t>
      </w:r>
      <w:r>
        <w:rPr>
          <w:color w:val="231F20"/>
          <w:spacing w:val="-15"/>
          <w:w w:val="110"/>
        </w:rPr>
        <w:t xml:space="preserve"> </w:t>
      </w:r>
      <w:r>
        <w:rPr>
          <w:color w:val="231F20"/>
          <w:w w:val="110"/>
        </w:rPr>
        <w:t>the</w:t>
      </w:r>
      <w:r>
        <w:rPr>
          <w:color w:val="231F20"/>
          <w:spacing w:val="-14"/>
          <w:w w:val="110"/>
        </w:rPr>
        <w:t xml:space="preserve"> </w:t>
      </w:r>
      <w:r>
        <w:rPr>
          <w:color w:val="231F20"/>
          <w:w w:val="110"/>
        </w:rPr>
        <w:t>scope</w:t>
      </w:r>
      <w:r>
        <w:rPr>
          <w:color w:val="231F20"/>
          <w:spacing w:val="-15"/>
          <w:w w:val="110"/>
        </w:rPr>
        <w:t xml:space="preserve"> </w:t>
      </w:r>
      <w:r>
        <w:rPr>
          <w:color w:val="231F20"/>
          <w:w w:val="110"/>
        </w:rPr>
        <w:t>of</w:t>
      </w:r>
      <w:r>
        <w:rPr>
          <w:color w:val="231F20"/>
          <w:spacing w:val="-16"/>
          <w:w w:val="110"/>
        </w:rPr>
        <w:t xml:space="preserve"> </w:t>
      </w:r>
      <w:r>
        <w:rPr>
          <w:color w:val="231F20"/>
          <w:w w:val="110"/>
        </w:rPr>
        <w:t>the</w:t>
      </w:r>
      <w:r>
        <w:rPr>
          <w:color w:val="231F20"/>
          <w:spacing w:val="-17"/>
          <w:w w:val="110"/>
        </w:rPr>
        <w:t xml:space="preserve"> </w:t>
      </w:r>
      <w:r>
        <w:rPr>
          <w:color w:val="231F20"/>
          <w:w w:val="110"/>
        </w:rPr>
        <w:t>present</w:t>
      </w:r>
      <w:r>
        <w:rPr>
          <w:color w:val="231F20"/>
          <w:spacing w:val="-17"/>
          <w:w w:val="110"/>
        </w:rPr>
        <w:t xml:space="preserve"> </w:t>
      </w:r>
      <w:r>
        <w:rPr>
          <w:color w:val="231F20"/>
          <w:w w:val="110"/>
        </w:rPr>
        <w:t>paper,</w:t>
      </w:r>
      <w:r>
        <w:rPr>
          <w:color w:val="231F20"/>
          <w:spacing w:val="-14"/>
          <w:w w:val="110"/>
        </w:rPr>
        <w:t xml:space="preserve"> </w:t>
      </w:r>
      <w:r>
        <w:rPr>
          <w:color w:val="231F20"/>
          <w:w w:val="110"/>
        </w:rPr>
        <w:t>but</w:t>
      </w:r>
      <w:r>
        <w:rPr>
          <w:color w:val="231F20"/>
          <w:spacing w:val="-14"/>
          <w:w w:val="110"/>
        </w:rPr>
        <w:t xml:space="preserve"> </w:t>
      </w:r>
      <w:r>
        <w:rPr>
          <w:color w:val="231F20"/>
          <w:w w:val="110"/>
        </w:rPr>
        <w:t>suffice</w:t>
      </w:r>
      <w:r>
        <w:rPr>
          <w:color w:val="231F20"/>
          <w:spacing w:val="-16"/>
          <w:w w:val="110"/>
        </w:rPr>
        <w:t xml:space="preserve"> </w:t>
      </w:r>
      <w:r>
        <w:rPr>
          <w:color w:val="231F20"/>
          <w:w w:val="110"/>
        </w:rPr>
        <w:t>it to</w:t>
      </w:r>
      <w:r>
        <w:rPr>
          <w:color w:val="231F20"/>
          <w:spacing w:val="-12"/>
          <w:w w:val="110"/>
        </w:rPr>
        <w:t xml:space="preserve"> </w:t>
      </w:r>
      <w:r>
        <w:rPr>
          <w:color w:val="231F20"/>
          <w:w w:val="110"/>
        </w:rPr>
        <w:t>say</w:t>
      </w:r>
      <w:r>
        <w:rPr>
          <w:color w:val="231F20"/>
          <w:spacing w:val="-11"/>
          <w:w w:val="110"/>
        </w:rPr>
        <w:t xml:space="preserve"> </w:t>
      </w:r>
      <w:r>
        <w:rPr>
          <w:color w:val="231F20"/>
          <w:w w:val="110"/>
        </w:rPr>
        <w:t>that</w:t>
      </w:r>
      <w:r>
        <w:rPr>
          <w:color w:val="231F20"/>
          <w:spacing w:val="-12"/>
          <w:w w:val="110"/>
        </w:rPr>
        <w:t xml:space="preserve"> </w:t>
      </w:r>
      <w:r>
        <w:rPr>
          <w:color w:val="231F20"/>
          <w:w w:val="110"/>
        </w:rPr>
        <w:t>opinions</w:t>
      </w:r>
      <w:r>
        <w:rPr>
          <w:color w:val="231F20"/>
          <w:spacing w:val="-11"/>
          <w:w w:val="110"/>
        </w:rPr>
        <w:t xml:space="preserve"> </w:t>
      </w:r>
      <w:r>
        <w:rPr>
          <w:color w:val="231F20"/>
          <w:w w:val="110"/>
        </w:rPr>
        <w:t>are</w:t>
      </w:r>
      <w:r>
        <w:rPr>
          <w:color w:val="231F20"/>
          <w:spacing w:val="-12"/>
          <w:w w:val="110"/>
        </w:rPr>
        <w:t xml:space="preserve"> </w:t>
      </w:r>
      <w:r>
        <w:rPr>
          <w:color w:val="231F20"/>
          <w:w w:val="110"/>
        </w:rPr>
        <w:t>very</w:t>
      </w:r>
      <w:r>
        <w:rPr>
          <w:color w:val="231F20"/>
          <w:spacing w:val="-12"/>
          <w:w w:val="110"/>
        </w:rPr>
        <w:t xml:space="preserve"> </w:t>
      </w:r>
      <w:r>
        <w:rPr>
          <w:color w:val="231F20"/>
          <w:w w:val="110"/>
        </w:rPr>
        <w:t>divided</w:t>
      </w:r>
      <w:r>
        <w:rPr>
          <w:color w:val="231F20"/>
          <w:spacing w:val="-11"/>
          <w:w w:val="110"/>
        </w:rPr>
        <w:t xml:space="preserve"> </w:t>
      </w:r>
      <w:r>
        <w:rPr>
          <w:color w:val="231F20"/>
          <w:w w:val="110"/>
        </w:rPr>
        <w:t>when</w:t>
      </w:r>
      <w:r>
        <w:rPr>
          <w:color w:val="231F20"/>
          <w:spacing w:val="-12"/>
          <w:w w:val="110"/>
        </w:rPr>
        <w:t xml:space="preserve"> </w:t>
      </w:r>
      <w:r>
        <w:rPr>
          <w:color w:val="231F20"/>
          <w:w w:val="110"/>
        </w:rPr>
        <w:t>it</w:t>
      </w:r>
      <w:r>
        <w:rPr>
          <w:color w:val="231F20"/>
          <w:spacing w:val="-12"/>
          <w:w w:val="110"/>
        </w:rPr>
        <w:t xml:space="preserve"> </w:t>
      </w:r>
      <w:r>
        <w:rPr>
          <w:color w:val="231F20"/>
          <w:w w:val="110"/>
        </w:rPr>
        <w:t>comes</w:t>
      </w:r>
      <w:r>
        <w:rPr>
          <w:color w:val="231F20"/>
          <w:spacing w:val="-12"/>
          <w:w w:val="110"/>
        </w:rPr>
        <w:t xml:space="preserve"> </w:t>
      </w:r>
      <w:r>
        <w:rPr>
          <w:color w:val="231F20"/>
          <w:w w:val="110"/>
        </w:rPr>
        <w:t>to</w:t>
      </w:r>
      <w:r>
        <w:rPr>
          <w:color w:val="231F20"/>
          <w:spacing w:val="-12"/>
          <w:w w:val="110"/>
        </w:rPr>
        <w:t xml:space="preserve"> </w:t>
      </w:r>
      <w:r>
        <w:rPr>
          <w:color w:val="231F20"/>
          <w:w w:val="110"/>
        </w:rPr>
        <w:t>this</w:t>
      </w:r>
      <w:r>
        <w:rPr>
          <w:color w:val="231F20"/>
          <w:spacing w:val="-12"/>
          <w:w w:val="110"/>
        </w:rPr>
        <w:t xml:space="preserve"> </w:t>
      </w:r>
      <w:r>
        <w:rPr>
          <w:color w:val="231F20"/>
          <w:w w:val="110"/>
        </w:rPr>
        <w:t>particular</w:t>
      </w:r>
      <w:r>
        <w:rPr>
          <w:color w:val="231F20"/>
          <w:spacing w:val="-13"/>
          <w:w w:val="110"/>
        </w:rPr>
        <w:t xml:space="preserve"> </w:t>
      </w:r>
      <w:r>
        <w:rPr>
          <w:color w:val="231F20"/>
          <w:w w:val="110"/>
        </w:rPr>
        <w:t xml:space="preserve">distinction. For instance, Halliday (1970) only considers epistemic modality as  </w:t>
      </w:r>
      <w:r>
        <w:rPr>
          <w:color w:val="231F20"/>
          <w:spacing w:val="8"/>
          <w:w w:val="110"/>
        </w:rPr>
        <w:t xml:space="preserve"> </w:t>
      </w:r>
      <w:r>
        <w:rPr>
          <w:color w:val="231F20"/>
          <w:w w:val="110"/>
        </w:rPr>
        <w:t>modality,</w:t>
      </w:r>
    </w:p>
    <w:p w:rsidR="00B05397" w:rsidRDefault="00856287">
      <w:pPr>
        <w:pStyle w:val="BodyText"/>
        <w:spacing w:before="2" w:line="280" w:lineRule="auto"/>
        <w:ind w:left="130" w:right="128"/>
      </w:pPr>
      <w:r>
        <w:rPr>
          <w:color w:val="231F20"/>
          <w:w w:val="110"/>
        </w:rPr>
        <w:t xml:space="preserve">namely the subjective estimate of the speaker about the possibility of event </w:t>
      </w:r>
      <w:r>
        <w:rPr>
          <w:color w:val="231F20"/>
          <w:w w:val="110"/>
          <w:position w:val="1"/>
          <w:sz w:val="16"/>
        </w:rPr>
        <w:t xml:space="preserve">10 </w:t>
      </w:r>
      <w:r>
        <w:rPr>
          <w:color w:val="231F20"/>
          <w:w w:val="110"/>
        </w:rPr>
        <w:t xml:space="preserve">occurrence or its truth, while the other uses of modal verbs related to permission, ability or obligation belong to a completely different system that he terms </w:t>
      </w:r>
      <w:r>
        <w:rPr>
          <w:rFonts w:ascii="Calibri" w:hAnsi="Calibri"/>
          <w:color w:val="231F20"/>
          <w:w w:val="110"/>
        </w:rPr>
        <w:t>“</w:t>
      </w:r>
      <w:r>
        <w:rPr>
          <w:color w:val="231F20"/>
          <w:w w:val="110"/>
        </w:rPr>
        <w:t>modulations</w:t>
      </w:r>
      <w:r>
        <w:rPr>
          <w:rFonts w:ascii="Calibri" w:hAnsi="Calibri"/>
          <w:color w:val="231F20"/>
          <w:w w:val="110"/>
        </w:rPr>
        <w:t>”</w:t>
      </w:r>
      <w:r>
        <w:rPr>
          <w:color w:val="231F20"/>
          <w:w w:val="110"/>
        </w:rPr>
        <w:t>.,t</w:t>
      </w:r>
      <w:r>
        <w:rPr>
          <w:color w:val="231F20"/>
          <w:w w:val="110"/>
        </w:rPr>
        <w:t>he source of which can be independent of the speaker. Lyons (1977) argues that both epistemic and deontic modality can each be both sub- jective</w:t>
      </w:r>
      <w:r>
        <w:rPr>
          <w:color w:val="231F20"/>
          <w:spacing w:val="-26"/>
          <w:w w:val="110"/>
        </w:rPr>
        <w:t xml:space="preserve"> </w:t>
      </w:r>
      <w:r>
        <w:rPr>
          <w:color w:val="231F20"/>
          <w:w w:val="110"/>
        </w:rPr>
        <w:t>and</w:t>
      </w:r>
      <w:r>
        <w:rPr>
          <w:color w:val="231F20"/>
          <w:spacing w:val="-26"/>
          <w:w w:val="110"/>
        </w:rPr>
        <w:t xml:space="preserve"> </w:t>
      </w:r>
      <w:r>
        <w:rPr>
          <w:color w:val="231F20"/>
          <w:w w:val="110"/>
        </w:rPr>
        <w:t>objective.</w:t>
      </w:r>
      <w:r>
        <w:rPr>
          <w:color w:val="231F20"/>
          <w:spacing w:val="-26"/>
          <w:w w:val="110"/>
        </w:rPr>
        <w:t xml:space="preserve"> </w:t>
      </w:r>
      <w:r>
        <w:rPr>
          <w:color w:val="231F20"/>
          <w:w w:val="110"/>
        </w:rPr>
        <w:t>Both</w:t>
      </w:r>
      <w:r>
        <w:rPr>
          <w:color w:val="231F20"/>
          <w:spacing w:val="-26"/>
          <w:w w:val="110"/>
        </w:rPr>
        <w:t xml:space="preserve"> </w:t>
      </w:r>
      <w:r>
        <w:rPr>
          <w:color w:val="231F20"/>
          <w:w w:val="110"/>
        </w:rPr>
        <w:t>Lyons</w:t>
      </w:r>
      <w:r>
        <w:rPr>
          <w:color w:val="231F20"/>
          <w:spacing w:val="-26"/>
          <w:w w:val="110"/>
        </w:rPr>
        <w:t xml:space="preserve"> </w:t>
      </w:r>
      <w:r>
        <w:rPr>
          <w:color w:val="231F20"/>
          <w:w w:val="110"/>
        </w:rPr>
        <w:t>(1977:</w:t>
      </w:r>
      <w:r>
        <w:rPr>
          <w:color w:val="231F20"/>
          <w:spacing w:val="-40"/>
          <w:w w:val="110"/>
        </w:rPr>
        <w:t xml:space="preserve"> </w:t>
      </w:r>
      <w:r>
        <w:rPr>
          <w:color w:val="231F20"/>
          <w:w w:val="110"/>
        </w:rPr>
        <w:t>739)</w:t>
      </w:r>
      <w:r>
        <w:rPr>
          <w:color w:val="231F20"/>
          <w:spacing w:val="-26"/>
          <w:w w:val="110"/>
        </w:rPr>
        <w:t xml:space="preserve"> </w:t>
      </w:r>
      <w:r>
        <w:rPr>
          <w:color w:val="231F20"/>
          <w:w w:val="110"/>
        </w:rPr>
        <w:t>and</w:t>
      </w:r>
      <w:r>
        <w:rPr>
          <w:color w:val="231F20"/>
          <w:spacing w:val="-27"/>
          <w:w w:val="110"/>
        </w:rPr>
        <w:t xml:space="preserve"> </w:t>
      </w:r>
      <w:r>
        <w:rPr>
          <w:color w:val="231F20"/>
          <w:w w:val="110"/>
        </w:rPr>
        <w:t>Palmer</w:t>
      </w:r>
      <w:r>
        <w:rPr>
          <w:color w:val="231F20"/>
          <w:spacing w:val="-26"/>
          <w:w w:val="110"/>
        </w:rPr>
        <w:t xml:space="preserve"> </w:t>
      </w:r>
      <w:r>
        <w:rPr>
          <w:color w:val="231F20"/>
          <w:w w:val="110"/>
        </w:rPr>
        <w:t>(1986:</w:t>
      </w:r>
      <w:r>
        <w:rPr>
          <w:color w:val="231F20"/>
          <w:spacing w:val="-39"/>
          <w:w w:val="110"/>
        </w:rPr>
        <w:t xml:space="preserve"> </w:t>
      </w:r>
      <w:r>
        <w:rPr>
          <w:color w:val="231F20"/>
          <w:w w:val="110"/>
        </w:rPr>
        <w:t>16)</w:t>
      </w:r>
      <w:r>
        <w:rPr>
          <w:color w:val="231F20"/>
          <w:spacing w:val="-26"/>
          <w:w w:val="110"/>
        </w:rPr>
        <w:t xml:space="preserve"> </w:t>
      </w:r>
      <w:r>
        <w:rPr>
          <w:color w:val="231F20"/>
          <w:w w:val="110"/>
        </w:rPr>
        <w:t>consider</w:t>
      </w:r>
      <w:r>
        <w:rPr>
          <w:color w:val="231F20"/>
          <w:spacing w:val="-27"/>
          <w:w w:val="110"/>
        </w:rPr>
        <w:t xml:space="preserve"> </w:t>
      </w:r>
      <w:r>
        <w:rPr>
          <w:color w:val="231F20"/>
          <w:w w:val="110"/>
        </w:rPr>
        <w:t>sub-</w:t>
      </w:r>
      <w:r>
        <w:rPr>
          <w:color w:val="231F20"/>
          <w:spacing w:val="-4"/>
          <w:w w:val="110"/>
        </w:rPr>
        <w:t xml:space="preserve"> </w:t>
      </w:r>
      <w:r>
        <w:rPr>
          <w:color w:val="231F20"/>
          <w:w w:val="110"/>
          <w:position w:val="1"/>
          <w:sz w:val="16"/>
        </w:rPr>
        <w:t xml:space="preserve">15 </w:t>
      </w:r>
      <w:r>
        <w:rPr>
          <w:color w:val="231F20"/>
          <w:w w:val="110"/>
        </w:rPr>
        <w:t>jectivity</w:t>
      </w:r>
      <w:r>
        <w:rPr>
          <w:color w:val="231F20"/>
          <w:spacing w:val="-15"/>
          <w:w w:val="110"/>
        </w:rPr>
        <w:t xml:space="preserve"> </w:t>
      </w:r>
      <w:r>
        <w:rPr>
          <w:color w:val="231F20"/>
          <w:w w:val="110"/>
        </w:rPr>
        <w:t>to</w:t>
      </w:r>
      <w:r>
        <w:rPr>
          <w:color w:val="231F20"/>
          <w:spacing w:val="-16"/>
          <w:w w:val="110"/>
        </w:rPr>
        <w:t xml:space="preserve"> </w:t>
      </w:r>
      <w:r>
        <w:rPr>
          <w:color w:val="231F20"/>
          <w:w w:val="110"/>
        </w:rPr>
        <w:t>be</w:t>
      </w:r>
      <w:r>
        <w:rPr>
          <w:color w:val="231F20"/>
          <w:spacing w:val="-15"/>
          <w:w w:val="110"/>
        </w:rPr>
        <w:t xml:space="preserve"> </w:t>
      </w:r>
      <w:r>
        <w:rPr>
          <w:color w:val="231F20"/>
          <w:w w:val="110"/>
        </w:rPr>
        <w:t>of</w:t>
      </w:r>
      <w:r>
        <w:rPr>
          <w:color w:val="231F20"/>
          <w:spacing w:val="-16"/>
          <w:w w:val="110"/>
        </w:rPr>
        <w:t xml:space="preserve"> </w:t>
      </w:r>
      <w:r>
        <w:rPr>
          <w:color w:val="231F20"/>
          <w:w w:val="110"/>
        </w:rPr>
        <w:t>the</w:t>
      </w:r>
      <w:r>
        <w:rPr>
          <w:color w:val="231F20"/>
          <w:spacing w:val="-17"/>
          <w:w w:val="110"/>
        </w:rPr>
        <w:t xml:space="preserve"> </w:t>
      </w:r>
      <w:r>
        <w:rPr>
          <w:color w:val="231F20"/>
          <w:w w:val="110"/>
        </w:rPr>
        <w:t>utmost</w:t>
      </w:r>
      <w:r>
        <w:rPr>
          <w:color w:val="231F20"/>
          <w:spacing w:val="-16"/>
          <w:w w:val="110"/>
        </w:rPr>
        <w:t xml:space="preserve"> </w:t>
      </w:r>
      <w:r>
        <w:rPr>
          <w:color w:val="231F20"/>
          <w:w w:val="110"/>
        </w:rPr>
        <w:t>importance</w:t>
      </w:r>
      <w:r>
        <w:rPr>
          <w:color w:val="231F20"/>
          <w:spacing w:val="-14"/>
          <w:w w:val="110"/>
        </w:rPr>
        <w:t xml:space="preserve"> </w:t>
      </w:r>
      <w:r>
        <w:rPr>
          <w:color w:val="231F20"/>
          <w:w w:val="110"/>
        </w:rPr>
        <w:t>for</w:t>
      </w:r>
      <w:r>
        <w:rPr>
          <w:color w:val="231F20"/>
          <w:spacing w:val="-17"/>
          <w:w w:val="110"/>
        </w:rPr>
        <w:t xml:space="preserve"> </w:t>
      </w:r>
      <w:r>
        <w:rPr>
          <w:color w:val="231F20"/>
          <w:w w:val="110"/>
        </w:rPr>
        <w:t>modality</w:t>
      </w:r>
      <w:r>
        <w:rPr>
          <w:color w:val="231F20"/>
          <w:spacing w:val="-15"/>
          <w:w w:val="110"/>
        </w:rPr>
        <w:t xml:space="preserve"> </w:t>
      </w:r>
      <w:r>
        <w:rPr>
          <w:color w:val="231F20"/>
          <w:w w:val="110"/>
        </w:rPr>
        <w:t>and</w:t>
      </w:r>
      <w:r>
        <w:rPr>
          <w:color w:val="231F20"/>
          <w:spacing w:val="-17"/>
          <w:w w:val="110"/>
        </w:rPr>
        <w:t xml:space="preserve"> </w:t>
      </w:r>
      <w:r>
        <w:rPr>
          <w:color w:val="231F20"/>
          <w:w w:val="110"/>
        </w:rPr>
        <w:t>one</w:t>
      </w:r>
      <w:r>
        <w:rPr>
          <w:color w:val="231F20"/>
          <w:spacing w:val="-16"/>
          <w:w w:val="110"/>
        </w:rPr>
        <w:t xml:space="preserve"> </w:t>
      </w:r>
      <w:r>
        <w:rPr>
          <w:color w:val="231F20"/>
          <w:w w:val="110"/>
        </w:rPr>
        <w:t>of</w:t>
      </w:r>
      <w:r>
        <w:rPr>
          <w:color w:val="231F20"/>
          <w:spacing w:val="-15"/>
          <w:w w:val="110"/>
        </w:rPr>
        <w:t xml:space="preserve"> </w:t>
      </w:r>
      <w:r>
        <w:rPr>
          <w:color w:val="231F20"/>
          <w:w w:val="110"/>
        </w:rPr>
        <w:t>the</w:t>
      </w:r>
      <w:r>
        <w:rPr>
          <w:color w:val="231F20"/>
          <w:spacing w:val="-14"/>
          <w:w w:val="110"/>
        </w:rPr>
        <w:t xml:space="preserve"> </w:t>
      </w:r>
      <w:r>
        <w:rPr>
          <w:color w:val="231F20"/>
          <w:w w:val="110"/>
        </w:rPr>
        <w:t>key</w:t>
      </w:r>
      <w:r>
        <w:rPr>
          <w:color w:val="231F20"/>
          <w:spacing w:val="-17"/>
          <w:w w:val="110"/>
        </w:rPr>
        <w:t xml:space="preserve"> </w:t>
      </w:r>
      <w:r>
        <w:rPr>
          <w:color w:val="231F20"/>
          <w:w w:val="110"/>
        </w:rPr>
        <w:t>criteria</w:t>
      </w:r>
      <w:r>
        <w:rPr>
          <w:color w:val="231F20"/>
          <w:spacing w:val="-15"/>
          <w:w w:val="110"/>
        </w:rPr>
        <w:t xml:space="preserve"> </w:t>
      </w:r>
      <w:r>
        <w:rPr>
          <w:color w:val="231F20"/>
          <w:w w:val="110"/>
        </w:rPr>
        <w:t>of relevance</w:t>
      </w:r>
      <w:r>
        <w:rPr>
          <w:color w:val="231F20"/>
          <w:spacing w:val="-23"/>
          <w:w w:val="110"/>
        </w:rPr>
        <w:t xml:space="preserve"> </w:t>
      </w:r>
      <w:r>
        <w:rPr>
          <w:color w:val="231F20"/>
          <w:w w:val="110"/>
        </w:rPr>
        <w:t>for</w:t>
      </w:r>
      <w:r>
        <w:rPr>
          <w:color w:val="231F20"/>
          <w:spacing w:val="-24"/>
          <w:w w:val="110"/>
        </w:rPr>
        <w:t xml:space="preserve"> </w:t>
      </w:r>
      <w:r>
        <w:rPr>
          <w:color w:val="231F20"/>
          <w:w w:val="110"/>
        </w:rPr>
        <w:t>this</w:t>
      </w:r>
      <w:r>
        <w:rPr>
          <w:color w:val="231F20"/>
          <w:spacing w:val="-23"/>
          <w:w w:val="110"/>
        </w:rPr>
        <w:t xml:space="preserve"> </w:t>
      </w:r>
      <w:r>
        <w:rPr>
          <w:color w:val="231F20"/>
          <w:w w:val="110"/>
        </w:rPr>
        <w:t>semantic</w:t>
      </w:r>
      <w:r>
        <w:rPr>
          <w:color w:val="231F20"/>
          <w:spacing w:val="-23"/>
          <w:w w:val="110"/>
        </w:rPr>
        <w:t xml:space="preserve"> </w:t>
      </w:r>
      <w:r>
        <w:rPr>
          <w:color w:val="231F20"/>
          <w:w w:val="110"/>
        </w:rPr>
        <w:t>category.</w:t>
      </w:r>
      <w:r>
        <w:rPr>
          <w:color w:val="231F20"/>
          <w:spacing w:val="-24"/>
          <w:w w:val="110"/>
        </w:rPr>
        <w:t xml:space="preserve"> </w:t>
      </w:r>
      <w:r>
        <w:rPr>
          <w:color w:val="231F20"/>
          <w:w w:val="110"/>
        </w:rPr>
        <w:t>Huddleston</w:t>
      </w:r>
      <w:r>
        <w:rPr>
          <w:color w:val="231F20"/>
          <w:spacing w:val="-24"/>
          <w:w w:val="110"/>
        </w:rPr>
        <w:t xml:space="preserve"> </w:t>
      </w:r>
      <w:r>
        <w:rPr>
          <w:color w:val="231F20"/>
          <w:w w:val="110"/>
        </w:rPr>
        <w:t>and</w:t>
      </w:r>
      <w:r>
        <w:rPr>
          <w:color w:val="231F20"/>
          <w:spacing w:val="-24"/>
          <w:w w:val="110"/>
        </w:rPr>
        <w:t xml:space="preserve"> </w:t>
      </w:r>
      <w:r>
        <w:rPr>
          <w:color w:val="231F20"/>
          <w:w w:val="110"/>
        </w:rPr>
        <w:t>Pullum</w:t>
      </w:r>
      <w:r>
        <w:rPr>
          <w:color w:val="231F20"/>
          <w:spacing w:val="-23"/>
          <w:w w:val="110"/>
        </w:rPr>
        <w:t xml:space="preserve"> </w:t>
      </w:r>
      <w:r>
        <w:rPr>
          <w:color w:val="231F20"/>
          <w:w w:val="110"/>
        </w:rPr>
        <w:t>(2002:</w:t>
      </w:r>
      <w:r>
        <w:rPr>
          <w:color w:val="231F20"/>
          <w:spacing w:val="-35"/>
          <w:w w:val="110"/>
        </w:rPr>
        <w:t xml:space="preserve"> </w:t>
      </w:r>
      <w:r>
        <w:rPr>
          <w:color w:val="231F20"/>
          <w:w w:val="110"/>
        </w:rPr>
        <w:t>181)</w:t>
      </w:r>
      <w:r>
        <w:rPr>
          <w:color w:val="231F20"/>
          <w:spacing w:val="-23"/>
          <w:w w:val="110"/>
        </w:rPr>
        <w:t xml:space="preserve"> </w:t>
      </w:r>
      <w:r>
        <w:rPr>
          <w:color w:val="231F20"/>
          <w:w w:val="110"/>
        </w:rPr>
        <w:t xml:space="preserve">illustrate the difference between subjective and objective epistemic modality for </w:t>
      </w:r>
      <w:r>
        <w:rPr>
          <w:rFonts w:ascii="Cambria" w:hAnsi="Cambria"/>
          <w:i/>
          <w:color w:val="231F20"/>
          <w:w w:val="110"/>
        </w:rPr>
        <w:t>may</w:t>
      </w:r>
      <w:r>
        <w:rPr>
          <w:color w:val="231F20"/>
          <w:w w:val="110"/>
        </w:rPr>
        <w:t>, for example,</w:t>
      </w:r>
      <w:r>
        <w:rPr>
          <w:color w:val="231F20"/>
          <w:spacing w:val="-6"/>
          <w:w w:val="110"/>
        </w:rPr>
        <w:t xml:space="preserve"> </w:t>
      </w:r>
      <w:r>
        <w:rPr>
          <w:color w:val="231F20"/>
          <w:w w:val="110"/>
        </w:rPr>
        <w:t>noting</w:t>
      </w:r>
      <w:r>
        <w:rPr>
          <w:color w:val="231F20"/>
          <w:spacing w:val="-6"/>
          <w:w w:val="110"/>
        </w:rPr>
        <w:t xml:space="preserve"> </w:t>
      </w:r>
      <w:r>
        <w:rPr>
          <w:color w:val="231F20"/>
          <w:w w:val="110"/>
        </w:rPr>
        <w:t>that</w:t>
      </w:r>
      <w:r>
        <w:rPr>
          <w:color w:val="231F20"/>
          <w:spacing w:val="-4"/>
          <w:w w:val="110"/>
        </w:rPr>
        <w:t xml:space="preserve"> </w:t>
      </w:r>
      <w:r>
        <w:rPr>
          <w:color w:val="231F20"/>
          <w:w w:val="110"/>
        </w:rPr>
        <w:t>the</w:t>
      </w:r>
      <w:r>
        <w:rPr>
          <w:color w:val="231F20"/>
          <w:spacing w:val="-5"/>
          <w:w w:val="110"/>
        </w:rPr>
        <w:t xml:space="preserve"> </w:t>
      </w:r>
      <w:r>
        <w:rPr>
          <w:color w:val="231F20"/>
          <w:w w:val="110"/>
        </w:rPr>
        <w:t>strength</w:t>
      </w:r>
      <w:r>
        <w:rPr>
          <w:color w:val="231F20"/>
          <w:spacing w:val="-4"/>
          <w:w w:val="110"/>
        </w:rPr>
        <w:t xml:space="preserve"> </w:t>
      </w:r>
      <w:r>
        <w:rPr>
          <w:color w:val="231F20"/>
          <w:w w:val="110"/>
        </w:rPr>
        <w:t>of</w:t>
      </w:r>
      <w:r>
        <w:rPr>
          <w:color w:val="231F20"/>
          <w:spacing w:val="-6"/>
          <w:w w:val="110"/>
        </w:rPr>
        <w:t xml:space="preserve"> </w:t>
      </w:r>
      <w:r>
        <w:rPr>
          <w:color w:val="231F20"/>
          <w:w w:val="110"/>
        </w:rPr>
        <w:t>m</w:t>
      </w:r>
      <w:r>
        <w:rPr>
          <w:color w:val="231F20"/>
          <w:w w:val="110"/>
        </w:rPr>
        <w:t>odality</w:t>
      </w:r>
      <w:r>
        <w:rPr>
          <w:color w:val="231F20"/>
          <w:spacing w:val="-5"/>
          <w:w w:val="110"/>
        </w:rPr>
        <w:t xml:space="preserve"> </w:t>
      </w:r>
      <w:r>
        <w:rPr>
          <w:color w:val="231F20"/>
          <w:w w:val="110"/>
        </w:rPr>
        <w:t>per</w:t>
      </w:r>
      <w:r>
        <w:rPr>
          <w:color w:val="231F20"/>
          <w:spacing w:val="-7"/>
          <w:w w:val="110"/>
        </w:rPr>
        <w:t xml:space="preserve"> </w:t>
      </w:r>
      <w:r>
        <w:rPr>
          <w:color w:val="231F20"/>
          <w:w w:val="110"/>
        </w:rPr>
        <w:t>se</w:t>
      </w:r>
      <w:r>
        <w:rPr>
          <w:color w:val="231F20"/>
          <w:spacing w:val="-5"/>
          <w:w w:val="110"/>
        </w:rPr>
        <w:t xml:space="preserve"> </w:t>
      </w:r>
      <w:r>
        <w:rPr>
          <w:color w:val="231F20"/>
          <w:w w:val="110"/>
        </w:rPr>
        <w:t>is</w:t>
      </w:r>
      <w:r>
        <w:rPr>
          <w:color w:val="231F20"/>
          <w:spacing w:val="-6"/>
          <w:w w:val="110"/>
        </w:rPr>
        <w:t xml:space="preserve"> </w:t>
      </w:r>
      <w:r>
        <w:rPr>
          <w:color w:val="231F20"/>
          <w:w w:val="110"/>
        </w:rPr>
        <w:t>not</w:t>
      </w:r>
      <w:r>
        <w:rPr>
          <w:color w:val="231F20"/>
          <w:spacing w:val="-5"/>
          <w:w w:val="110"/>
        </w:rPr>
        <w:t xml:space="preserve"> </w:t>
      </w:r>
      <w:r>
        <w:rPr>
          <w:color w:val="231F20"/>
          <w:w w:val="110"/>
        </w:rPr>
        <w:t>affected</w:t>
      </w:r>
      <w:r>
        <w:rPr>
          <w:color w:val="231F20"/>
          <w:w w:val="110"/>
          <w:position w:val="8"/>
          <w:sz w:val="12"/>
        </w:rPr>
        <w:t>1</w:t>
      </w:r>
      <w:r>
        <w:rPr>
          <w:color w:val="231F20"/>
          <w:w w:val="110"/>
        </w:rPr>
        <w:t>:</w:t>
      </w:r>
    </w:p>
    <w:p w:rsidR="00B05397" w:rsidRDefault="00856287">
      <w:pPr>
        <w:spacing w:before="20"/>
        <w:ind w:right="124"/>
        <w:jc w:val="right"/>
        <w:rPr>
          <w:sz w:val="16"/>
        </w:rPr>
      </w:pPr>
      <w:r>
        <w:rPr>
          <w:color w:val="231F20"/>
          <w:sz w:val="16"/>
        </w:rPr>
        <w:t>20</w:t>
      </w:r>
    </w:p>
    <w:p w:rsidR="00B05397" w:rsidRDefault="00856287">
      <w:pPr>
        <w:tabs>
          <w:tab w:val="left" w:pos="5766"/>
        </w:tabs>
        <w:spacing w:before="13"/>
        <w:ind w:left="130" w:right="210"/>
        <w:rPr>
          <w:sz w:val="19"/>
        </w:rPr>
      </w:pPr>
      <w:r>
        <w:rPr>
          <w:rFonts w:ascii="Arial" w:hAnsi="Arial"/>
          <w:color w:val="231F20"/>
          <w:sz w:val="19"/>
        </w:rPr>
        <w:t></w:t>
      </w:r>
      <w:r>
        <w:rPr>
          <w:color w:val="231F20"/>
          <w:sz w:val="19"/>
        </w:rPr>
        <w:t xml:space="preserve">a)   </w:t>
      </w:r>
      <w:r>
        <w:rPr>
          <w:rFonts w:ascii="Cambria" w:hAnsi="Cambria"/>
          <w:i/>
          <w:color w:val="231F20"/>
          <w:sz w:val="19"/>
        </w:rPr>
        <w:t>He may have left it downstairs: I</w:t>
      </w:r>
      <w:r>
        <w:rPr>
          <w:rFonts w:ascii="Calibri" w:hAnsi="Calibri"/>
          <w:color w:val="231F20"/>
          <w:sz w:val="19"/>
        </w:rPr>
        <w:t>’</w:t>
      </w:r>
      <w:r>
        <w:rPr>
          <w:rFonts w:ascii="Cambria" w:hAnsi="Cambria"/>
          <w:i/>
          <w:color w:val="231F20"/>
          <w:sz w:val="19"/>
        </w:rPr>
        <w:t xml:space="preserve">ll just go   </w:t>
      </w:r>
      <w:r>
        <w:rPr>
          <w:rFonts w:ascii="Cambria" w:hAnsi="Cambria"/>
          <w:i/>
          <w:color w:val="231F20"/>
          <w:spacing w:val="17"/>
          <w:sz w:val="19"/>
        </w:rPr>
        <w:t xml:space="preserve"> </w:t>
      </w:r>
      <w:r>
        <w:rPr>
          <w:rFonts w:ascii="Cambria" w:hAnsi="Cambria"/>
          <w:i/>
          <w:color w:val="231F20"/>
          <w:sz w:val="19"/>
        </w:rPr>
        <w:t>and</w:t>
      </w:r>
      <w:r>
        <w:rPr>
          <w:rFonts w:ascii="Cambria" w:hAnsi="Cambria"/>
          <w:i/>
          <w:color w:val="231F20"/>
          <w:spacing w:val="17"/>
          <w:sz w:val="19"/>
        </w:rPr>
        <w:t xml:space="preserve"> </w:t>
      </w:r>
      <w:r>
        <w:rPr>
          <w:rFonts w:ascii="Cambria" w:hAnsi="Cambria"/>
          <w:i/>
          <w:color w:val="231F20"/>
          <w:sz w:val="19"/>
        </w:rPr>
        <w:t>see</w:t>
      </w:r>
      <w:r>
        <w:rPr>
          <w:color w:val="231F20"/>
          <w:sz w:val="19"/>
        </w:rPr>
        <w:t>.</w:t>
      </w:r>
      <w:r>
        <w:rPr>
          <w:color w:val="231F20"/>
          <w:sz w:val="19"/>
        </w:rPr>
        <w:tab/>
        <w:t>(subjective)</w:t>
      </w:r>
    </w:p>
    <w:p w:rsidR="00B05397" w:rsidRDefault="00856287">
      <w:pPr>
        <w:spacing w:before="8"/>
        <w:ind w:left="130" w:right="210"/>
        <w:rPr>
          <w:sz w:val="19"/>
        </w:rPr>
      </w:pPr>
      <w:r>
        <w:rPr>
          <w:rFonts w:ascii="Arial" w:hAnsi="Arial"/>
          <w:color w:val="231F20"/>
          <w:sz w:val="19"/>
        </w:rPr>
        <w:t></w:t>
      </w:r>
      <w:r>
        <w:rPr>
          <w:color w:val="231F20"/>
          <w:sz w:val="19"/>
        </w:rPr>
        <w:t xml:space="preserve">b)  </w:t>
      </w:r>
      <w:r>
        <w:rPr>
          <w:rFonts w:ascii="Cambria" w:hAnsi="Cambria"/>
          <w:i/>
          <w:color w:val="231F20"/>
          <w:sz w:val="19"/>
        </w:rPr>
        <w:t>He may have misled the Parliament: there</w:t>
      </w:r>
      <w:r>
        <w:rPr>
          <w:rFonts w:ascii="Calibri" w:hAnsi="Calibri"/>
          <w:color w:val="231F20"/>
          <w:sz w:val="19"/>
        </w:rPr>
        <w:t>’</w:t>
      </w:r>
      <w:r>
        <w:rPr>
          <w:rFonts w:ascii="Cambria" w:hAnsi="Cambria"/>
          <w:i/>
          <w:color w:val="231F20"/>
          <w:sz w:val="19"/>
        </w:rPr>
        <w:t>s going to be an inquiry</w:t>
      </w:r>
      <w:r>
        <w:rPr>
          <w:color w:val="231F20"/>
          <w:sz w:val="19"/>
        </w:rPr>
        <w:t>.  (objective)</w:t>
      </w:r>
    </w:p>
    <w:p w:rsidR="00B05397" w:rsidRDefault="00856287">
      <w:pPr>
        <w:pStyle w:val="BodyText"/>
        <w:spacing w:before="188" w:line="260" w:lineRule="atLeast"/>
        <w:ind w:left="130" w:right="398" w:firstLine="339"/>
        <w:jc w:val="both"/>
      </w:pPr>
      <w:r>
        <w:rPr>
          <w:color w:val="231F20"/>
          <w:w w:val="105"/>
        </w:rPr>
        <w:t xml:space="preserve">For the purpose of the present paper it is important to emphasise that here    we do indeed focus on the subjectivity in the study of modal meanings. We  </w:t>
      </w:r>
      <w:r>
        <w:rPr>
          <w:color w:val="231F20"/>
          <w:spacing w:val="26"/>
          <w:w w:val="105"/>
        </w:rPr>
        <w:t xml:space="preserve"> </w:t>
      </w:r>
      <w:r>
        <w:rPr>
          <w:color w:val="231F20"/>
          <w:w w:val="105"/>
        </w:rPr>
        <w:t>want</w:t>
      </w:r>
    </w:p>
    <w:p w:rsidR="00B05397" w:rsidRDefault="00856287">
      <w:pPr>
        <w:spacing w:line="72" w:lineRule="exact"/>
        <w:ind w:right="140"/>
        <w:jc w:val="right"/>
        <w:rPr>
          <w:sz w:val="16"/>
        </w:rPr>
      </w:pPr>
      <w:r>
        <w:rPr>
          <w:color w:val="231F20"/>
          <w:w w:val="90"/>
          <w:sz w:val="16"/>
        </w:rPr>
        <w:t>25</w:t>
      </w:r>
    </w:p>
    <w:p w:rsidR="00B05397" w:rsidRDefault="00856287">
      <w:pPr>
        <w:pStyle w:val="BodyText"/>
        <w:spacing w:line="188" w:lineRule="exact"/>
        <w:ind w:left="130" w:right="210"/>
      </w:pPr>
      <w:r>
        <w:rPr>
          <w:color w:val="231F20"/>
          <w:w w:val="105"/>
        </w:rPr>
        <w:t>to  check  whether  the  subjective  perception  of  commitment  to  the   statement</w:t>
      </w:r>
    </w:p>
    <w:p w:rsidR="00B05397" w:rsidRDefault="00856287">
      <w:pPr>
        <w:pStyle w:val="BodyText"/>
        <w:spacing w:before="40" w:line="285" w:lineRule="auto"/>
        <w:ind w:left="130" w:right="398"/>
        <w:jc w:val="both"/>
      </w:pPr>
      <w:r>
        <w:rPr>
          <w:color w:val="231F20"/>
          <w:w w:val="110"/>
        </w:rPr>
        <w:t>expressed via constructions with modal verbs can vary based on how English was acquired, as a first or a second language. This subjective perception is not random,</w:t>
      </w:r>
      <w:r>
        <w:rPr>
          <w:color w:val="231F20"/>
          <w:spacing w:val="-20"/>
          <w:w w:val="110"/>
        </w:rPr>
        <w:t xml:space="preserve"> </w:t>
      </w:r>
      <w:r>
        <w:rPr>
          <w:color w:val="231F20"/>
          <w:w w:val="110"/>
        </w:rPr>
        <w:t>we</w:t>
      </w:r>
      <w:r>
        <w:rPr>
          <w:color w:val="231F20"/>
          <w:spacing w:val="-22"/>
          <w:w w:val="110"/>
        </w:rPr>
        <w:t xml:space="preserve"> </w:t>
      </w:r>
      <w:r>
        <w:rPr>
          <w:color w:val="231F20"/>
          <w:w w:val="110"/>
        </w:rPr>
        <w:t>hypothesize,</w:t>
      </w:r>
      <w:r>
        <w:rPr>
          <w:color w:val="231F20"/>
          <w:spacing w:val="-21"/>
          <w:w w:val="110"/>
        </w:rPr>
        <w:t xml:space="preserve"> </w:t>
      </w:r>
      <w:r>
        <w:rPr>
          <w:color w:val="231F20"/>
          <w:w w:val="110"/>
        </w:rPr>
        <w:t>but</w:t>
      </w:r>
      <w:r>
        <w:rPr>
          <w:color w:val="231F20"/>
          <w:spacing w:val="-21"/>
          <w:w w:val="110"/>
        </w:rPr>
        <w:t xml:space="preserve"> </w:t>
      </w:r>
      <w:r>
        <w:rPr>
          <w:color w:val="231F20"/>
          <w:w w:val="110"/>
        </w:rPr>
        <w:t>based</w:t>
      </w:r>
      <w:r>
        <w:rPr>
          <w:color w:val="231F20"/>
          <w:spacing w:val="-21"/>
          <w:w w:val="110"/>
        </w:rPr>
        <w:t xml:space="preserve"> </w:t>
      </w:r>
      <w:r>
        <w:rPr>
          <w:color w:val="231F20"/>
          <w:w w:val="110"/>
        </w:rPr>
        <w:t>on</w:t>
      </w:r>
      <w:r>
        <w:rPr>
          <w:color w:val="231F20"/>
          <w:spacing w:val="-22"/>
          <w:w w:val="110"/>
        </w:rPr>
        <w:t xml:space="preserve"> </w:t>
      </w:r>
      <w:r>
        <w:rPr>
          <w:color w:val="231F20"/>
          <w:w w:val="110"/>
        </w:rPr>
        <w:t>differences</w:t>
      </w:r>
      <w:r>
        <w:rPr>
          <w:color w:val="231F20"/>
          <w:spacing w:val="-20"/>
          <w:w w:val="110"/>
        </w:rPr>
        <w:t xml:space="preserve"> </w:t>
      </w:r>
      <w:r>
        <w:rPr>
          <w:color w:val="231F20"/>
          <w:w w:val="110"/>
        </w:rPr>
        <w:t>between</w:t>
      </w:r>
      <w:r>
        <w:rPr>
          <w:color w:val="231F20"/>
          <w:spacing w:val="-21"/>
          <w:w w:val="110"/>
        </w:rPr>
        <w:t xml:space="preserve"> </w:t>
      </w:r>
      <w:r>
        <w:rPr>
          <w:color w:val="231F20"/>
          <w:w w:val="110"/>
        </w:rPr>
        <w:t>L1</w:t>
      </w:r>
      <w:r>
        <w:rPr>
          <w:color w:val="231F20"/>
          <w:spacing w:val="-21"/>
          <w:w w:val="110"/>
        </w:rPr>
        <w:t xml:space="preserve"> </w:t>
      </w:r>
      <w:r>
        <w:rPr>
          <w:color w:val="231F20"/>
          <w:w w:val="110"/>
        </w:rPr>
        <w:t>and</w:t>
      </w:r>
      <w:r>
        <w:rPr>
          <w:color w:val="231F20"/>
          <w:spacing w:val="-21"/>
          <w:w w:val="110"/>
        </w:rPr>
        <w:t xml:space="preserve"> </w:t>
      </w:r>
      <w:r>
        <w:rPr>
          <w:color w:val="231F20"/>
          <w:w w:val="110"/>
        </w:rPr>
        <w:t>L2</w:t>
      </w:r>
      <w:r>
        <w:rPr>
          <w:color w:val="231F20"/>
          <w:spacing w:val="-21"/>
          <w:w w:val="110"/>
        </w:rPr>
        <w:t xml:space="preserve"> </w:t>
      </w:r>
      <w:r>
        <w:rPr>
          <w:color w:val="231F20"/>
          <w:w w:val="110"/>
        </w:rPr>
        <w:t>instruction</w:t>
      </w:r>
    </w:p>
    <w:p w:rsidR="00B05397" w:rsidRDefault="00856287">
      <w:pPr>
        <w:pStyle w:val="BodyText"/>
        <w:spacing w:before="1" w:line="177" w:lineRule="exact"/>
        <w:ind w:left="130" w:right="210"/>
      </w:pPr>
      <w:r>
        <w:rPr>
          <w:color w:val="231F20"/>
          <w:w w:val="110"/>
        </w:rPr>
        <w:t>and learning strategy.</w:t>
      </w:r>
    </w:p>
    <w:p w:rsidR="00B05397" w:rsidRDefault="00856287">
      <w:pPr>
        <w:spacing w:line="112" w:lineRule="exact"/>
        <w:ind w:right="117"/>
        <w:jc w:val="right"/>
        <w:rPr>
          <w:sz w:val="16"/>
        </w:rPr>
      </w:pPr>
      <w:r>
        <w:rPr>
          <w:color w:val="231F20"/>
          <w:sz w:val="16"/>
        </w:rPr>
        <w:t>30</w:t>
      </w:r>
    </w:p>
    <w:p w:rsidR="00B05397" w:rsidRDefault="00856287">
      <w:pPr>
        <w:pStyle w:val="BodyText"/>
        <w:spacing w:line="188" w:lineRule="exact"/>
        <w:ind w:left="469" w:right="210"/>
      </w:pPr>
      <w:r>
        <w:rPr>
          <w:color w:val="231F20"/>
          <w:w w:val="105"/>
        </w:rPr>
        <w:t>Finally, when it comes to the relative strength of modality regarding possi-</w:t>
      </w:r>
    </w:p>
    <w:p w:rsidR="00B05397" w:rsidRDefault="00856287">
      <w:pPr>
        <w:pStyle w:val="BodyText"/>
        <w:spacing w:before="40"/>
        <w:ind w:left="130" w:right="210"/>
      </w:pPr>
      <w:r>
        <w:rPr>
          <w:color w:val="231F20"/>
          <w:w w:val="110"/>
        </w:rPr>
        <w:t>bility, Huddleston and Pullum (2002: 177) offer a cline from strong to weak:</w:t>
      </w:r>
    </w:p>
    <w:p w:rsidR="00B05397" w:rsidRDefault="00B05397">
      <w:pPr>
        <w:pStyle w:val="BodyText"/>
        <w:spacing w:before="3"/>
        <w:rPr>
          <w:sz w:val="22"/>
        </w:rPr>
      </w:pPr>
    </w:p>
    <w:p w:rsidR="00B05397" w:rsidRDefault="00856287">
      <w:pPr>
        <w:tabs>
          <w:tab w:val="left" w:pos="3359"/>
        </w:tabs>
        <w:spacing w:before="1"/>
        <w:ind w:left="130" w:right="210"/>
        <w:rPr>
          <w:sz w:val="19"/>
        </w:rPr>
      </w:pPr>
      <w:r>
        <w:rPr>
          <w:rFonts w:ascii="Arial" w:hAnsi="Arial"/>
          <w:color w:val="231F20"/>
          <w:w w:val="105"/>
          <w:sz w:val="19"/>
        </w:rPr>
        <w:t></w:t>
      </w:r>
      <w:r>
        <w:rPr>
          <w:color w:val="231F20"/>
          <w:w w:val="105"/>
          <w:sz w:val="19"/>
        </w:rPr>
        <w:t xml:space="preserve">a)  </w:t>
      </w:r>
      <w:r>
        <w:rPr>
          <w:rFonts w:ascii="Cambria" w:hAnsi="Cambria"/>
          <w:i/>
          <w:color w:val="231F20"/>
          <w:w w:val="105"/>
          <w:sz w:val="19"/>
        </w:rPr>
        <w:t>The meeting must be</w:t>
      </w:r>
      <w:r>
        <w:rPr>
          <w:rFonts w:ascii="Cambria" w:hAnsi="Cambria"/>
          <w:i/>
          <w:color w:val="231F20"/>
          <w:spacing w:val="-15"/>
          <w:w w:val="105"/>
          <w:sz w:val="19"/>
        </w:rPr>
        <w:t xml:space="preserve"> </w:t>
      </w:r>
      <w:r>
        <w:rPr>
          <w:rFonts w:ascii="Cambria" w:hAnsi="Cambria"/>
          <w:i/>
          <w:color w:val="231F20"/>
          <w:w w:val="105"/>
          <w:sz w:val="19"/>
        </w:rPr>
        <w:t>over</w:t>
      </w:r>
      <w:r>
        <w:rPr>
          <w:rFonts w:ascii="Cambria" w:hAnsi="Cambria"/>
          <w:i/>
          <w:color w:val="231F20"/>
          <w:spacing w:val="-4"/>
          <w:w w:val="105"/>
          <w:sz w:val="19"/>
        </w:rPr>
        <w:t xml:space="preserve"> </w:t>
      </w:r>
      <w:r>
        <w:rPr>
          <w:rFonts w:ascii="Cambria" w:hAnsi="Cambria"/>
          <w:i/>
          <w:color w:val="231F20"/>
          <w:w w:val="105"/>
          <w:sz w:val="19"/>
        </w:rPr>
        <w:t>now</w:t>
      </w:r>
      <w:r>
        <w:rPr>
          <w:color w:val="231F20"/>
          <w:w w:val="105"/>
          <w:sz w:val="19"/>
        </w:rPr>
        <w:t>.</w:t>
      </w:r>
      <w:r>
        <w:rPr>
          <w:color w:val="231F20"/>
          <w:w w:val="105"/>
          <w:sz w:val="19"/>
        </w:rPr>
        <w:tab/>
        <w:t>(strong</w:t>
      </w:r>
      <w:r>
        <w:rPr>
          <w:color w:val="231F20"/>
          <w:spacing w:val="26"/>
          <w:w w:val="105"/>
          <w:sz w:val="19"/>
        </w:rPr>
        <w:t xml:space="preserve"> </w:t>
      </w:r>
      <w:r>
        <w:rPr>
          <w:color w:val="231F20"/>
          <w:w w:val="105"/>
          <w:sz w:val="19"/>
        </w:rPr>
        <w:t>possibility)</w:t>
      </w:r>
    </w:p>
    <w:p w:rsidR="00B05397" w:rsidRDefault="00856287">
      <w:pPr>
        <w:spacing w:before="17" w:line="212" w:lineRule="exact"/>
        <w:ind w:left="130" w:right="210"/>
        <w:rPr>
          <w:sz w:val="19"/>
        </w:rPr>
      </w:pPr>
      <w:r>
        <w:rPr>
          <w:rFonts w:ascii="Arial" w:hAnsi="Arial"/>
          <w:color w:val="231F20"/>
          <w:w w:val="105"/>
          <w:sz w:val="19"/>
        </w:rPr>
        <w:t></w:t>
      </w:r>
      <w:r>
        <w:rPr>
          <w:color w:val="231F20"/>
          <w:w w:val="105"/>
          <w:sz w:val="19"/>
        </w:rPr>
        <w:t xml:space="preserve">b)  </w:t>
      </w:r>
      <w:r>
        <w:rPr>
          <w:rFonts w:ascii="Cambria" w:hAnsi="Cambria"/>
          <w:i/>
          <w:color w:val="231F20"/>
          <w:w w:val="105"/>
          <w:sz w:val="19"/>
        </w:rPr>
        <w:t>The meeting should be over now</w:t>
      </w:r>
      <w:r>
        <w:rPr>
          <w:color w:val="231F20"/>
          <w:w w:val="105"/>
          <w:sz w:val="19"/>
        </w:rPr>
        <w:t>.  (medium possibility)</w:t>
      </w:r>
    </w:p>
    <w:p w:rsidR="00B05397" w:rsidRDefault="00856287">
      <w:pPr>
        <w:tabs>
          <w:tab w:val="left" w:pos="3359"/>
          <w:tab w:val="left" w:pos="6820"/>
        </w:tabs>
        <w:spacing w:line="250" w:lineRule="exact"/>
        <w:ind w:left="130" w:right="71"/>
        <w:rPr>
          <w:sz w:val="16"/>
        </w:rPr>
      </w:pPr>
      <w:r>
        <w:rPr>
          <w:rFonts w:ascii="Arial" w:hAnsi="Arial"/>
          <w:color w:val="231F20"/>
          <w:w w:val="105"/>
          <w:sz w:val="19"/>
        </w:rPr>
        <w:t></w:t>
      </w:r>
      <w:r>
        <w:rPr>
          <w:color w:val="231F20"/>
          <w:w w:val="105"/>
          <w:sz w:val="19"/>
        </w:rPr>
        <w:t xml:space="preserve">c)  </w:t>
      </w:r>
      <w:r>
        <w:rPr>
          <w:rFonts w:ascii="Cambria" w:hAnsi="Cambria"/>
          <w:i/>
          <w:color w:val="231F20"/>
          <w:w w:val="105"/>
          <w:sz w:val="19"/>
        </w:rPr>
        <w:t>The meeting may be</w:t>
      </w:r>
      <w:r>
        <w:rPr>
          <w:rFonts w:ascii="Cambria" w:hAnsi="Cambria"/>
          <w:i/>
          <w:color w:val="231F20"/>
          <w:spacing w:val="-4"/>
          <w:w w:val="105"/>
          <w:sz w:val="19"/>
        </w:rPr>
        <w:t xml:space="preserve"> </w:t>
      </w:r>
      <w:r>
        <w:rPr>
          <w:rFonts w:ascii="Cambria" w:hAnsi="Cambria"/>
          <w:i/>
          <w:color w:val="231F20"/>
          <w:w w:val="105"/>
          <w:sz w:val="19"/>
        </w:rPr>
        <w:t>over</w:t>
      </w:r>
      <w:r>
        <w:rPr>
          <w:rFonts w:ascii="Cambria" w:hAnsi="Cambria"/>
          <w:i/>
          <w:color w:val="231F20"/>
          <w:spacing w:val="-3"/>
          <w:w w:val="105"/>
          <w:sz w:val="19"/>
        </w:rPr>
        <w:t xml:space="preserve"> </w:t>
      </w:r>
      <w:r>
        <w:rPr>
          <w:rFonts w:ascii="Cambria" w:hAnsi="Cambria"/>
          <w:i/>
          <w:color w:val="231F20"/>
          <w:w w:val="105"/>
          <w:sz w:val="19"/>
        </w:rPr>
        <w:t>now</w:t>
      </w:r>
      <w:r>
        <w:rPr>
          <w:color w:val="231F20"/>
          <w:w w:val="105"/>
          <w:sz w:val="19"/>
        </w:rPr>
        <w:t>.</w:t>
      </w:r>
      <w:r>
        <w:rPr>
          <w:color w:val="231F20"/>
          <w:w w:val="105"/>
          <w:sz w:val="19"/>
        </w:rPr>
        <w:tab/>
        <w:t>(weak</w:t>
      </w:r>
      <w:r>
        <w:rPr>
          <w:color w:val="231F20"/>
          <w:spacing w:val="12"/>
          <w:w w:val="105"/>
          <w:sz w:val="19"/>
        </w:rPr>
        <w:t xml:space="preserve"> </w:t>
      </w:r>
      <w:r>
        <w:rPr>
          <w:color w:val="231F20"/>
          <w:w w:val="105"/>
          <w:sz w:val="19"/>
        </w:rPr>
        <w:t>possibility)</w:t>
      </w:r>
      <w:r>
        <w:rPr>
          <w:color w:val="231F20"/>
          <w:w w:val="105"/>
          <w:position w:val="7"/>
          <w:sz w:val="16"/>
        </w:rPr>
        <w:tab/>
        <w:t>35</w:t>
      </w:r>
    </w:p>
    <w:p w:rsidR="00B05397" w:rsidRDefault="00B05397">
      <w:pPr>
        <w:pStyle w:val="BodyText"/>
        <w:rPr>
          <w:sz w:val="20"/>
        </w:rPr>
      </w:pPr>
    </w:p>
    <w:p w:rsidR="00B05397" w:rsidRDefault="00856287">
      <w:pPr>
        <w:pStyle w:val="BodyText"/>
        <w:spacing w:before="1"/>
        <w:rPr>
          <w:sz w:val="20"/>
        </w:rPr>
      </w:pPr>
      <w:r>
        <w:pict>
          <v:line id="_x0000_s1076" style="position:absolute;z-index:1072;mso-wrap-distance-left:0;mso-wrap-distance-right:0;mso-position-horizontal-relative:page" from="59.55pt,14.3pt" to="89.4pt,14.3pt" strokecolor="#231f20" strokeweight=".52mm">
            <w10:wrap type="topAndBottom" anchorx="page"/>
          </v:line>
        </w:pict>
      </w:r>
    </w:p>
    <w:p w:rsidR="00B05397" w:rsidRDefault="00856287">
      <w:pPr>
        <w:spacing w:before="41" w:line="271" w:lineRule="auto"/>
        <w:ind w:left="130" w:right="109"/>
        <w:rPr>
          <w:sz w:val="16"/>
        </w:rPr>
      </w:pPr>
      <w:r>
        <w:rPr>
          <w:rFonts w:ascii="Calibri"/>
          <w:color w:val="231F20"/>
          <w:w w:val="105"/>
          <w:sz w:val="16"/>
        </w:rPr>
        <w:t xml:space="preserve">1  </w:t>
      </w:r>
      <w:r>
        <w:rPr>
          <w:color w:val="231F20"/>
          <w:w w:val="105"/>
          <w:sz w:val="16"/>
        </w:rPr>
        <w:t xml:space="preserve">Deontic modality, likewise, can be both subjective and  objective. Matthews (2003: 53)  pro-    vides the following examples to this effect: </w:t>
      </w:r>
      <w:r>
        <w:rPr>
          <w:rFonts w:ascii="Cambria"/>
          <w:i/>
          <w:color w:val="231F20"/>
          <w:w w:val="105"/>
          <w:sz w:val="16"/>
        </w:rPr>
        <w:t xml:space="preserve">You  may  go,  Jeeves!  </w:t>
      </w:r>
      <w:r>
        <w:rPr>
          <w:color w:val="231F20"/>
          <w:w w:val="105"/>
          <w:sz w:val="16"/>
        </w:rPr>
        <w:t xml:space="preserve">(subjective deontic; the speaker    as the source) and </w:t>
      </w:r>
      <w:r>
        <w:rPr>
          <w:rFonts w:ascii="Cambria"/>
          <w:i/>
          <w:color w:val="231F20"/>
          <w:w w:val="105"/>
          <w:sz w:val="16"/>
        </w:rPr>
        <w:t xml:space="preserve">You are permitted to go </w:t>
      </w:r>
      <w:r>
        <w:rPr>
          <w:color w:val="231F20"/>
          <w:w w:val="105"/>
          <w:sz w:val="16"/>
        </w:rPr>
        <w:t>(objective d</w:t>
      </w:r>
      <w:r>
        <w:rPr>
          <w:color w:val="231F20"/>
          <w:w w:val="105"/>
          <w:sz w:val="16"/>
        </w:rPr>
        <w:t xml:space="preserve">eontic; the source other than the speaker).  </w:t>
      </w:r>
      <w:r>
        <w:rPr>
          <w:color w:val="231F20"/>
          <w:spacing w:val="15"/>
          <w:w w:val="105"/>
          <w:sz w:val="16"/>
        </w:rPr>
        <w:t xml:space="preserve"> </w:t>
      </w:r>
      <w:r>
        <w:rPr>
          <w:color w:val="231F20"/>
          <w:w w:val="105"/>
          <w:position w:val="1"/>
          <w:sz w:val="16"/>
        </w:rPr>
        <w:t>40</w:t>
      </w:r>
    </w:p>
    <w:p w:rsidR="00B05397" w:rsidRDefault="00B05397">
      <w:pPr>
        <w:spacing w:line="271" w:lineRule="auto"/>
        <w:rPr>
          <w:sz w:val="16"/>
        </w:rPr>
        <w:sectPr w:rsidR="00B05397">
          <w:pgSz w:w="8790" w:h="13040"/>
          <w:pgMar w:top="720" w:right="620" w:bottom="280" w:left="1060" w:header="538" w:footer="0" w:gutter="0"/>
          <w:cols w:space="720"/>
        </w:sectPr>
      </w:pPr>
    </w:p>
    <w:p w:rsidR="00B05397" w:rsidRDefault="00B05397">
      <w:pPr>
        <w:pStyle w:val="BodyText"/>
        <w:rPr>
          <w:sz w:val="20"/>
        </w:rPr>
      </w:pPr>
    </w:p>
    <w:p w:rsidR="00B05397" w:rsidRDefault="00B05397">
      <w:pPr>
        <w:pStyle w:val="BodyText"/>
        <w:spacing w:before="4"/>
        <w:rPr>
          <w:sz w:val="20"/>
        </w:rPr>
      </w:pPr>
    </w:p>
    <w:p w:rsidR="00B05397" w:rsidRDefault="00856287">
      <w:pPr>
        <w:pStyle w:val="BodyText"/>
        <w:spacing w:before="71" w:line="283" w:lineRule="auto"/>
        <w:ind w:left="120" w:right="200" w:firstLine="339"/>
      </w:pPr>
      <w:r>
        <w:rPr>
          <w:color w:val="231F20"/>
          <w:w w:val="110"/>
        </w:rPr>
        <w:t>There</w:t>
      </w:r>
      <w:r>
        <w:rPr>
          <w:color w:val="231F20"/>
          <w:spacing w:val="-18"/>
          <w:w w:val="110"/>
        </w:rPr>
        <w:t xml:space="preserve"> </w:t>
      </w:r>
      <w:r>
        <w:rPr>
          <w:color w:val="231F20"/>
          <w:w w:val="110"/>
        </w:rPr>
        <w:t>is</w:t>
      </w:r>
      <w:r>
        <w:rPr>
          <w:color w:val="231F20"/>
          <w:spacing w:val="-18"/>
          <w:w w:val="110"/>
        </w:rPr>
        <w:t xml:space="preserve"> </w:t>
      </w:r>
      <w:r>
        <w:rPr>
          <w:color w:val="231F20"/>
          <w:w w:val="110"/>
        </w:rPr>
        <w:t>no</w:t>
      </w:r>
      <w:r>
        <w:rPr>
          <w:color w:val="231F20"/>
          <w:spacing w:val="-18"/>
          <w:w w:val="110"/>
        </w:rPr>
        <w:t xml:space="preserve"> </w:t>
      </w:r>
      <w:r>
        <w:rPr>
          <w:color w:val="231F20"/>
          <w:w w:val="110"/>
        </w:rPr>
        <w:t>specific</w:t>
      </w:r>
      <w:r>
        <w:rPr>
          <w:color w:val="231F20"/>
          <w:spacing w:val="-18"/>
          <w:w w:val="110"/>
        </w:rPr>
        <w:t xml:space="preserve"> </w:t>
      </w:r>
      <w:r>
        <w:rPr>
          <w:color w:val="231F20"/>
          <w:w w:val="110"/>
        </w:rPr>
        <w:t>difference</w:t>
      </w:r>
      <w:r>
        <w:rPr>
          <w:color w:val="231F20"/>
          <w:spacing w:val="-18"/>
          <w:w w:val="110"/>
        </w:rPr>
        <w:t xml:space="preserve"> </w:t>
      </w:r>
      <w:r>
        <w:rPr>
          <w:color w:val="231F20"/>
          <w:w w:val="110"/>
        </w:rPr>
        <w:t>noted</w:t>
      </w:r>
      <w:r>
        <w:rPr>
          <w:color w:val="231F20"/>
          <w:spacing w:val="-18"/>
          <w:w w:val="110"/>
        </w:rPr>
        <w:t xml:space="preserve"> </w:t>
      </w:r>
      <w:r>
        <w:rPr>
          <w:color w:val="231F20"/>
          <w:w w:val="110"/>
        </w:rPr>
        <w:t>for</w:t>
      </w:r>
      <w:r>
        <w:rPr>
          <w:color w:val="231F20"/>
          <w:spacing w:val="-17"/>
          <w:w w:val="110"/>
        </w:rPr>
        <w:t xml:space="preserve"> </w:t>
      </w:r>
      <w:r>
        <w:rPr>
          <w:rFonts w:ascii="Cambria"/>
          <w:i/>
          <w:color w:val="231F20"/>
          <w:w w:val="110"/>
        </w:rPr>
        <w:t>may</w:t>
      </w:r>
      <w:r>
        <w:rPr>
          <w:rFonts w:ascii="Cambria"/>
          <w:i/>
          <w:color w:val="231F20"/>
          <w:spacing w:val="-11"/>
          <w:w w:val="110"/>
        </w:rPr>
        <w:t xml:space="preserve"> </w:t>
      </w:r>
      <w:r>
        <w:rPr>
          <w:color w:val="231F20"/>
          <w:w w:val="110"/>
        </w:rPr>
        <w:t>vs.</w:t>
      </w:r>
      <w:r>
        <w:rPr>
          <w:color w:val="231F20"/>
          <w:spacing w:val="-18"/>
          <w:w w:val="110"/>
        </w:rPr>
        <w:t xml:space="preserve"> </w:t>
      </w:r>
      <w:r>
        <w:rPr>
          <w:rFonts w:ascii="Cambria"/>
          <w:i/>
          <w:color w:val="231F20"/>
          <w:w w:val="110"/>
        </w:rPr>
        <w:t>might</w:t>
      </w:r>
      <w:r>
        <w:rPr>
          <w:rFonts w:ascii="Cambria"/>
          <w:i/>
          <w:color w:val="231F20"/>
          <w:spacing w:val="-11"/>
          <w:w w:val="110"/>
        </w:rPr>
        <w:t xml:space="preserve"> </w:t>
      </w:r>
      <w:r>
        <w:rPr>
          <w:color w:val="231F20"/>
          <w:w w:val="110"/>
        </w:rPr>
        <w:t>in</w:t>
      </w:r>
      <w:r>
        <w:rPr>
          <w:color w:val="231F20"/>
          <w:spacing w:val="-18"/>
          <w:w w:val="110"/>
        </w:rPr>
        <w:t xml:space="preserve"> </w:t>
      </w:r>
      <w:r>
        <w:rPr>
          <w:color w:val="231F20"/>
          <w:w w:val="110"/>
        </w:rPr>
        <w:t>their</w:t>
      </w:r>
      <w:r>
        <w:rPr>
          <w:color w:val="231F20"/>
          <w:spacing w:val="-17"/>
          <w:w w:val="110"/>
        </w:rPr>
        <w:t xml:space="preserve"> </w:t>
      </w:r>
      <w:r>
        <w:rPr>
          <w:color w:val="231F20"/>
          <w:w w:val="110"/>
        </w:rPr>
        <w:t>discussion</w:t>
      </w:r>
      <w:r>
        <w:rPr>
          <w:color w:val="231F20"/>
          <w:spacing w:val="-17"/>
          <w:w w:val="110"/>
        </w:rPr>
        <w:t xml:space="preserve"> </w:t>
      </w:r>
      <w:r>
        <w:rPr>
          <w:color w:val="231F20"/>
          <w:w w:val="110"/>
        </w:rPr>
        <w:t>on</w:t>
      </w:r>
      <w:r>
        <w:rPr>
          <w:color w:val="231F20"/>
          <w:spacing w:val="23"/>
          <w:w w:val="110"/>
        </w:rPr>
        <w:t xml:space="preserve"> </w:t>
      </w:r>
      <w:r>
        <w:rPr>
          <w:color w:val="231F20"/>
          <w:w w:val="110"/>
          <w:position w:val="1"/>
          <w:sz w:val="16"/>
        </w:rPr>
        <w:t xml:space="preserve">1 </w:t>
      </w:r>
      <w:r>
        <w:rPr>
          <w:color w:val="231F20"/>
          <w:w w:val="110"/>
        </w:rPr>
        <w:t xml:space="preserve">strength of possibility and/or certainty but it is important to note here that the verb </w:t>
      </w:r>
      <w:r>
        <w:rPr>
          <w:rFonts w:ascii="Cambria"/>
          <w:i/>
          <w:color w:val="231F20"/>
          <w:w w:val="110"/>
        </w:rPr>
        <w:t>must</w:t>
      </w:r>
      <w:r>
        <w:rPr>
          <w:color w:val="231F20"/>
          <w:w w:val="110"/>
        </w:rPr>
        <w:t xml:space="preserve">, and also </w:t>
      </w:r>
      <w:r>
        <w:rPr>
          <w:rFonts w:ascii="Cambria"/>
          <w:i/>
          <w:color w:val="231F20"/>
          <w:w w:val="110"/>
        </w:rPr>
        <w:t>will</w:t>
      </w:r>
      <w:r>
        <w:rPr>
          <w:color w:val="231F20"/>
          <w:w w:val="110"/>
        </w:rPr>
        <w:t xml:space="preserve">, both indicate a stronger possibility than </w:t>
      </w:r>
      <w:r>
        <w:rPr>
          <w:rFonts w:ascii="Cambria"/>
          <w:i/>
          <w:color w:val="231F20"/>
          <w:w w:val="110"/>
        </w:rPr>
        <w:t xml:space="preserve">may </w:t>
      </w:r>
      <w:r>
        <w:rPr>
          <w:color w:val="231F20"/>
          <w:w w:val="110"/>
        </w:rPr>
        <w:t xml:space="preserve">or </w:t>
      </w:r>
      <w:r>
        <w:rPr>
          <w:rFonts w:ascii="Cambria"/>
          <w:i/>
          <w:color w:val="231F20"/>
          <w:w w:val="110"/>
        </w:rPr>
        <w:t>might</w:t>
      </w:r>
      <w:r>
        <w:rPr>
          <w:color w:val="231F20"/>
          <w:w w:val="110"/>
        </w:rPr>
        <w:t xml:space="preserve">. </w:t>
      </w:r>
      <w:r>
        <w:rPr>
          <w:rFonts w:ascii="Cambria"/>
          <w:i/>
          <w:color w:val="231F20"/>
          <w:w w:val="110"/>
        </w:rPr>
        <w:t>Will</w:t>
      </w:r>
      <w:r>
        <w:rPr>
          <w:color w:val="231F20"/>
          <w:w w:val="110"/>
        </w:rPr>
        <w:t xml:space="preserve">, like </w:t>
      </w:r>
      <w:r>
        <w:rPr>
          <w:rFonts w:ascii="Cambria"/>
          <w:i/>
          <w:color w:val="231F20"/>
          <w:w w:val="110"/>
        </w:rPr>
        <w:t>must</w:t>
      </w:r>
      <w:r>
        <w:rPr>
          <w:color w:val="231F20"/>
          <w:w w:val="110"/>
        </w:rPr>
        <w:t xml:space="preserve">, is used to refer to a very strong possibility with an additional meaning that this strong possibility is likely to be verified in the future (see </w:t>
      </w:r>
      <w:r>
        <w:rPr>
          <w:color w:val="231F20"/>
          <w:w w:val="110"/>
          <w:position w:val="1"/>
          <w:sz w:val="16"/>
        </w:rPr>
        <w:t xml:space="preserve">5 </w:t>
      </w:r>
      <w:r>
        <w:rPr>
          <w:color w:val="231F20"/>
          <w:w w:val="110"/>
        </w:rPr>
        <w:t>Huddlestone</w:t>
      </w:r>
      <w:r>
        <w:rPr>
          <w:color w:val="231F20"/>
          <w:spacing w:val="-21"/>
          <w:w w:val="110"/>
        </w:rPr>
        <w:t xml:space="preserve"> </w:t>
      </w:r>
      <w:r>
        <w:rPr>
          <w:color w:val="231F20"/>
          <w:w w:val="110"/>
        </w:rPr>
        <w:t>and</w:t>
      </w:r>
      <w:r>
        <w:rPr>
          <w:color w:val="231F20"/>
          <w:spacing w:val="-21"/>
          <w:w w:val="110"/>
        </w:rPr>
        <w:t xml:space="preserve"> </w:t>
      </w:r>
      <w:r>
        <w:rPr>
          <w:color w:val="231F20"/>
          <w:w w:val="110"/>
        </w:rPr>
        <w:t>Pullum</w:t>
      </w:r>
      <w:r>
        <w:rPr>
          <w:color w:val="231F20"/>
          <w:spacing w:val="-21"/>
          <w:w w:val="110"/>
        </w:rPr>
        <w:t xml:space="preserve"> </w:t>
      </w:r>
      <w:r>
        <w:rPr>
          <w:color w:val="231F20"/>
          <w:w w:val="110"/>
        </w:rPr>
        <w:t>2002:</w:t>
      </w:r>
      <w:r>
        <w:rPr>
          <w:color w:val="231F20"/>
          <w:spacing w:val="-36"/>
          <w:w w:val="110"/>
        </w:rPr>
        <w:t xml:space="preserve"> </w:t>
      </w:r>
      <w:r>
        <w:rPr>
          <w:color w:val="231F20"/>
          <w:w w:val="110"/>
        </w:rPr>
        <w:t>189).</w:t>
      </w:r>
    </w:p>
    <w:p w:rsidR="00B05397" w:rsidRDefault="00B05397">
      <w:pPr>
        <w:pStyle w:val="BodyText"/>
        <w:rPr>
          <w:sz w:val="18"/>
        </w:rPr>
      </w:pPr>
    </w:p>
    <w:p w:rsidR="00B05397" w:rsidRDefault="00B05397">
      <w:pPr>
        <w:pStyle w:val="BodyText"/>
        <w:rPr>
          <w:sz w:val="23"/>
        </w:rPr>
      </w:pPr>
    </w:p>
    <w:p w:rsidR="00B05397" w:rsidRDefault="00856287">
      <w:pPr>
        <w:pStyle w:val="ListParagraph"/>
        <w:numPr>
          <w:ilvl w:val="1"/>
          <w:numId w:val="5"/>
        </w:numPr>
        <w:tabs>
          <w:tab w:val="left" w:pos="577"/>
        </w:tabs>
        <w:spacing w:before="1"/>
        <w:ind w:left="576" w:hanging="456"/>
        <w:jc w:val="left"/>
        <w:rPr>
          <w:rFonts w:ascii="Trebuchet MS"/>
          <w:sz w:val="24"/>
        </w:rPr>
      </w:pPr>
      <w:r>
        <w:rPr>
          <w:rFonts w:ascii="Arial"/>
          <w:i/>
          <w:color w:val="231F20"/>
          <w:sz w:val="24"/>
        </w:rPr>
        <w:t xml:space="preserve">May </w:t>
      </w:r>
      <w:r>
        <w:rPr>
          <w:rFonts w:ascii="Trebuchet MS"/>
          <w:color w:val="231F20"/>
          <w:sz w:val="24"/>
        </w:rPr>
        <w:t xml:space="preserve">and </w:t>
      </w:r>
      <w:r>
        <w:rPr>
          <w:rFonts w:ascii="Arial"/>
          <w:i/>
          <w:color w:val="231F20"/>
          <w:sz w:val="24"/>
        </w:rPr>
        <w:t xml:space="preserve">might </w:t>
      </w:r>
      <w:r>
        <w:rPr>
          <w:rFonts w:ascii="Trebuchet MS"/>
          <w:color w:val="231F20"/>
          <w:sz w:val="24"/>
        </w:rPr>
        <w:t>in English</w:t>
      </w:r>
      <w:r>
        <w:rPr>
          <w:rFonts w:ascii="Trebuchet MS"/>
          <w:color w:val="231F20"/>
          <w:spacing w:val="66"/>
          <w:sz w:val="24"/>
        </w:rPr>
        <w:t xml:space="preserve"> </w:t>
      </w:r>
      <w:r>
        <w:rPr>
          <w:rFonts w:ascii="Trebuchet MS"/>
          <w:color w:val="231F20"/>
          <w:sz w:val="24"/>
        </w:rPr>
        <w:t>grammars</w:t>
      </w:r>
    </w:p>
    <w:p w:rsidR="00B05397" w:rsidRDefault="00856287">
      <w:pPr>
        <w:spacing w:before="45"/>
        <w:ind w:right="119"/>
        <w:jc w:val="right"/>
        <w:rPr>
          <w:sz w:val="16"/>
        </w:rPr>
      </w:pPr>
      <w:r>
        <w:rPr>
          <w:color w:val="231F20"/>
          <w:w w:val="95"/>
          <w:sz w:val="16"/>
        </w:rPr>
        <w:t>10</w:t>
      </w:r>
    </w:p>
    <w:p w:rsidR="00B05397" w:rsidRDefault="00856287">
      <w:pPr>
        <w:pStyle w:val="BodyText"/>
        <w:tabs>
          <w:tab w:val="right" w:pos="6970"/>
        </w:tabs>
        <w:spacing w:before="15" w:line="276" w:lineRule="auto"/>
        <w:ind w:left="120" w:right="114"/>
        <w:rPr>
          <w:sz w:val="16"/>
        </w:rPr>
      </w:pPr>
      <w:r>
        <w:rPr>
          <w:rFonts w:ascii="Cambria" w:hAnsi="Cambria"/>
          <w:i/>
          <w:color w:val="231F20"/>
          <w:w w:val="110"/>
        </w:rPr>
        <w:t>May</w:t>
      </w:r>
      <w:r>
        <w:rPr>
          <w:rFonts w:ascii="Cambria" w:hAnsi="Cambria"/>
          <w:i/>
          <w:color w:val="231F20"/>
          <w:spacing w:val="-14"/>
          <w:w w:val="110"/>
        </w:rPr>
        <w:t xml:space="preserve"> </w:t>
      </w:r>
      <w:r>
        <w:rPr>
          <w:color w:val="231F20"/>
          <w:w w:val="110"/>
        </w:rPr>
        <w:t>and</w:t>
      </w:r>
      <w:r>
        <w:rPr>
          <w:color w:val="231F20"/>
          <w:spacing w:val="-20"/>
          <w:w w:val="110"/>
        </w:rPr>
        <w:t xml:space="preserve"> </w:t>
      </w:r>
      <w:r>
        <w:rPr>
          <w:rFonts w:ascii="Cambria" w:hAnsi="Cambria"/>
          <w:i/>
          <w:color w:val="231F20"/>
          <w:w w:val="110"/>
        </w:rPr>
        <w:t>might</w:t>
      </w:r>
      <w:r>
        <w:rPr>
          <w:rFonts w:ascii="Cambria" w:hAnsi="Cambria"/>
          <w:i/>
          <w:color w:val="231F20"/>
          <w:spacing w:val="-14"/>
          <w:w w:val="110"/>
        </w:rPr>
        <w:t xml:space="preserve"> </w:t>
      </w:r>
      <w:r>
        <w:rPr>
          <w:color w:val="231F20"/>
          <w:w w:val="110"/>
        </w:rPr>
        <w:t>are</w:t>
      </w:r>
      <w:r>
        <w:rPr>
          <w:color w:val="231F20"/>
          <w:spacing w:val="-20"/>
          <w:w w:val="110"/>
        </w:rPr>
        <w:t xml:space="preserve"> </w:t>
      </w:r>
      <w:r>
        <w:rPr>
          <w:color w:val="231F20"/>
          <w:w w:val="110"/>
        </w:rPr>
        <w:t>closely</w:t>
      </w:r>
      <w:r>
        <w:rPr>
          <w:color w:val="231F20"/>
          <w:spacing w:val="-19"/>
          <w:w w:val="110"/>
        </w:rPr>
        <w:t xml:space="preserve"> </w:t>
      </w:r>
      <w:r>
        <w:rPr>
          <w:color w:val="231F20"/>
          <w:w w:val="110"/>
        </w:rPr>
        <w:t>and</w:t>
      </w:r>
      <w:r>
        <w:rPr>
          <w:color w:val="231F20"/>
          <w:spacing w:val="-20"/>
          <w:w w:val="110"/>
        </w:rPr>
        <w:t xml:space="preserve"> </w:t>
      </w:r>
      <w:r>
        <w:rPr>
          <w:color w:val="231F20"/>
          <w:w w:val="110"/>
        </w:rPr>
        <w:t>intimately</w:t>
      </w:r>
      <w:r>
        <w:rPr>
          <w:color w:val="231F20"/>
          <w:spacing w:val="-21"/>
          <w:w w:val="110"/>
        </w:rPr>
        <w:t xml:space="preserve"> </w:t>
      </w:r>
      <w:r>
        <w:rPr>
          <w:color w:val="231F20"/>
          <w:w w:val="110"/>
        </w:rPr>
        <w:t>related.</w:t>
      </w:r>
      <w:r>
        <w:rPr>
          <w:color w:val="231F20"/>
          <w:spacing w:val="-21"/>
          <w:w w:val="110"/>
        </w:rPr>
        <w:t xml:space="preserve"> </w:t>
      </w:r>
      <w:r>
        <w:rPr>
          <w:color w:val="231F20"/>
          <w:w w:val="110"/>
        </w:rPr>
        <w:t>Historically,</w:t>
      </w:r>
      <w:r>
        <w:rPr>
          <w:color w:val="231F20"/>
          <w:spacing w:val="-21"/>
          <w:w w:val="110"/>
        </w:rPr>
        <w:t xml:space="preserve"> </w:t>
      </w:r>
      <w:r>
        <w:rPr>
          <w:rFonts w:ascii="Cambria" w:hAnsi="Cambria"/>
          <w:i/>
          <w:color w:val="231F20"/>
          <w:w w:val="110"/>
        </w:rPr>
        <w:t>might</w:t>
      </w:r>
      <w:r>
        <w:rPr>
          <w:rFonts w:ascii="Cambria" w:hAnsi="Cambria"/>
          <w:i/>
          <w:color w:val="231F20"/>
          <w:spacing w:val="-14"/>
          <w:w w:val="110"/>
        </w:rPr>
        <w:t xml:space="preserve"> </w:t>
      </w:r>
      <w:r>
        <w:rPr>
          <w:color w:val="231F20"/>
          <w:w w:val="110"/>
        </w:rPr>
        <w:t>was</w:t>
      </w:r>
      <w:r>
        <w:rPr>
          <w:color w:val="231F20"/>
          <w:spacing w:val="-20"/>
          <w:w w:val="110"/>
        </w:rPr>
        <w:t xml:space="preserve"> </w:t>
      </w:r>
      <w:r>
        <w:rPr>
          <w:color w:val="231F20"/>
          <w:w w:val="110"/>
        </w:rPr>
        <w:t>the</w:t>
      </w:r>
      <w:r>
        <w:rPr>
          <w:color w:val="231F20"/>
          <w:spacing w:val="-19"/>
          <w:w w:val="110"/>
        </w:rPr>
        <w:t xml:space="preserve"> </w:t>
      </w:r>
      <w:r>
        <w:rPr>
          <w:color w:val="231F20"/>
          <w:w w:val="110"/>
        </w:rPr>
        <w:t xml:space="preserve">past tense of </w:t>
      </w:r>
      <w:r>
        <w:rPr>
          <w:rFonts w:ascii="Cambria" w:hAnsi="Cambria"/>
          <w:i/>
          <w:color w:val="231F20"/>
          <w:w w:val="110"/>
        </w:rPr>
        <w:t>may</w:t>
      </w:r>
      <w:r>
        <w:rPr>
          <w:color w:val="231F20"/>
          <w:w w:val="110"/>
        </w:rPr>
        <w:t>, but as the English language developed the two forms became interchangeable in many situations of use. In fact, the</w:t>
      </w:r>
      <w:r>
        <w:rPr>
          <w:color w:val="231F20"/>
          <w:w w:val="110"/>
        </w:rPr>
        <w:t xml:space="preserve"> initial distinction in the temporal features of the two modals seems to have been phased out and these   two</w:t>
      </w:r>
      <w:r>
        <w:rPr>
          <w:color w:val="231F20"/>
          <w:spacing w:val="-10"/>
          <w:w w:val="110"/>
        </w:rPr>
        <w:t xml:space="preserve"> </w:t>
      </w:r>
      <w:r>
        <w:rPr>
          <w:color w:val="231F20"/>
          <w:w w:val="110"/>
        </w:rPr>
        <w:t>modals</w:t>
      </w:r>
      <w:r>
        <w:rPr>
          <w:color w:val="231F20"/>
          <w:spacing w:val="-10"/>
          <w:w w:val="110"/>
        </w:rPr>
        <w:t xml:space="preserve"> </w:t>
      </w:r>
      <w:r>
        <w:rPr>
          <w:color w:val="231F20"/>
          <w:w w:val="110"/>
        </w:rPr>
        <w:t>are</w:t>
      </w:r>
      <w:r>
        <w:rPr>
          <w:color w:val="231F20"/>
          <w:spacing w:val="-10"/>
          <w:w w:val="110"/>
        </w:rPr>
        <w:t xml:space="preserve"> </w:t>
      </w:r>
      <w:r>
        <w:rPr>
          <w:color w:val="231F20"/>
          <w:w w:val="110"/>
        </w:rPr>
        <w:t>now</w:t>
      </w:r>
      <w:r>
        <w:rPr>
          <w:color w:val="231F20"/>
          <w:spacing w:val="-10"/>
          <w:w w:val="110"/>
        </w:rPr>
        <w:t xml:space="preserve"> </w:t>
      </w:r>
      <w:r>
        <w:rPr>
          <w:color w:val="231F20"/>
          <w:w w:val="110"/>
        </w:rPr>
        <w:t>perceived</w:t>
      </w:r>
      <w:r>
        <w:rPr>
          <w:color w:val="231F20"/>
          <w:spacing w:val="-10"/>
          <w:w w:val="110"/>
        </w:rPr>
        <w:t xml:space="preserve"> </w:t>
      </w:r>
      <w:r>
        <w:rPr>
          <w:color w:val="231F20"/>
          <w:w w:val="110"/>
        </w:rPr>
        <w:t>and</w:t>
      </w:r>
      <w:r>
        <w:rPr>
          <w:color w:val="231F20"/>
          <w:spacing w:val="-10"/>
          <w:w w:val="110"/>
        </w:rPr>
        <w:t xml:space="preserve"> </w:t>
      </w:r>
      <w:r>
        <w:rPr>
          <w:color w:val="231F20"/>
          <w:w w:val="110"/>
        </w:rPr>
        <w:t>used</w:t>
      </w:r>
      <w:r>
        <w:rPr>
          <w:color w:val="231F20"/>
          <w:spacing w:val="-11"/>
          <w:w w:val="110"/>
        </w:rPr>
        <w:t xml:space="preserve"> </w:t>
      </w:r>
      <w:r>
        <w:rPr>
          <w:color w:val="231F20"/>
          <w:w w:val="110"/>
        </w:rPr>
        <w:t>as</w:t>
      </w:r>
      <w:r>
        <w:rPr>
          <w:color w:val="231F20"/>
          <w:spacing w:val="-11"/>
          <w:w w:val="110"/>
        </w:rPr>
        <w:t xml:space="preserve"> </w:t>
      </w:r>
      <w:r>
        <w:rPr>
          <w:color w:val="231F20"/>
          <w:w w:val="110"/>
        </w:rPr>
        <w:t>two</w:t>
      </w:r>
      <w:r>
        <w:rPr>
          <w:color w:val="231F20"/>
          <w:spacing w:val="-10"/>
          <w:w w:val="110"/>
        </w:rPr>
        <w:t xml:space="preserve"> </w:t>
      </w:r>
      <w:r>
        <w:rPr>
          <w:color w:val="231F20"/>
          <w:w w:val="110"/>
        </w:rPr>
        <w:t>different</w:t>
      </w:r>
      <w:r>
        <w:rPr>
          <w:color w:val="231F20"/>
          <w:spacing w:val="-10"/>
          <w:w w:val="110"/>
        </w:rPr>
        <w:t xml:space="preserve"> </w:t>
      </w:r>
      <w:r>
        <w:rPr>
          <w:color w:val="231F20"/>
          <w:w w:val="110"/>
        </w:rPr>
        <w:t>verbs</w:t>
      </w:r>
      <w:r>
        <w:rPr>
          <w:color w:val="231F20"/>
          <w:spacing w:val="-10"/>
          <w:w w:val="110"/>
        </w:rPr>
        <w:t xml:space="preserve"> </w:t>
      </w:r>
      <w:r>
        <w:rPr>
          <w:color w:val="231F20"/>
          <w:w w:val="110"/>
        </w:rPr>
        <w:t>with</w:t>
      </w:r>
      <w:r>
        <w:rPr>
          <w:color w:val="231F20"/>
          <w:spacing w:val="-11"/>
          <w:w w:val="110"/>
        </w:rPr>
        <w:t xml:space="preserve"> </w:t>
      </w:r>
      <w:r>
        <w:rPr>
          <w:color w:val="231F20"/>
          <w:w w:val="110"/>
        </w:rPr>
        <w:t>pretty</w:t>
      </w:r>
      <w:r>
        <w:rPr>
          <w:color w:val="231F20"/>
          <w:spacing w:val="-11"/>
          <w:w w:val="110"/>
        </w:rPr>
        <w:t xml:space="preserve"> </w:t>
      </w:r>
      <w:r>
        <w:rPr>
          <w:color w:val="231F20"/>
          <w:w w:val="110"/>
        </w:rPr>
        <w:t>much</w:t>
      </w:r>
      <w:r>
        <w:rPr>
          <w:color w:val="231F20"/>
          <w:spacing w:val="30"/>
          <w:w w:val="110"/>
        </w:rPr>
        <w:t xml:space="preserve"> </w:t>
      </w:r>
      <w:r>
        <w:rPr>
          <w:color w:val="231F20"/>
          <w:w w:val="110"/>
          <w:position w:val="-2"/>
          <w:sz w:val="16"/>
        </w:rPr>
        <w:t xml:space="preserve">15 </w:t>
      </w:r>
      <w:r>
        <w:rPr>
          <w:color w:val="231F20"/>
          <w:w w:val="110"/>
        </w:rPr>
        <w:t xml:space="preserve">the same function. As Huddleston and Pullum (2002: 109) observe </w:t>
      </w:r>
      <w:r>
        <w:rPr>
          <w:rFonts w:ascii="Calibri" w:hAnsi="Calibri"/>
          <w:color w:val="231F20"/>
          <w:w w:val="110"/>
        </w:rPr>
        <w:t>“</w:t>
      </w:r>
      <w:r>
        <w:rPr>
          <w:color w:val="231F20"/>
          <w:w w:val="110"/>
        </w:rPr>
        <w:t xml:space="preserve">for some speakers </w:t>
      </w:r>
      <w:r>
        <w:rPr>
          <w:rFonts w:ascii="Cambria" w:hAnsi="Cambria"/>
          <w:i/>
          <w:color w:val="231F20"/>
          <w:w w:val="110"/>
        </w:rPr>
        <w:t xml:space="preserve">may </w:t>
      </w:r>
      <w:r>
        <w:rPr>
          <w:color w:val="231F20"/>
          <w:w w:val="110"/>
        </w:rPr>
        <w:t xml:space="preserve">and </w:t>
      </w:r>
      <w:r>
        <w:rPr>
          <w:rFonts w:ascii="Cambria" w:hAnsi="Cambria"/>
          <w:i/>
          <w:color w:val="231F20"/>
          <w:w w:val="110"/>
        </w:rPr>
        <w:t xml:space="preserve">might </w:t>
      </w:r>
      <w:r>
        <w:rPr>
          <w:color w:val="231F20"/>
          <w:w w:val="110"/>
        </w:rPr>
        <w:t>have diverged to the extent that they are no longer inflectional</w:t>
      </w:r>
      <w:r>
        <w:rPr>
          <w:color w:val="231F20"/>
          <w:spacing w:val="-25"/>
          <w:w w:val="110"/>
        </w:rPr>
        <w:t xml:space="preserve"> </w:t>
      </w:r>
      <w:r>
        <w:rPr>
          <w:color w:val="231F20"/>
          <w:w w:val="110"/>
        </w:rPr>
        <w:t>forms</w:t>
      </w:r>
      <w:r>
        <w:rPr>
          <w:color w:val="231F20"/>
          <w:spacing w:val="-24"/>
          <w:w w:val="110"/>
        </w:rPr>
        <w:t xml:space="preserve"> </w:t>
      </w:r>
      <w:r>
        <w:rPr>
          <w:color w:val="231F20"/>
          <w:w w:val="110"/>
        </w:rPr>
        <w:t>of</w:t>
      </w:r>
      <w:r>
        <w:rPr>
          <w:color w:val="231F20"/>
          <w:spacing w:val="-25"/>
          <w:w w:val="110"/>
        </w:rPr>
        <w:t xml:space="preserve"> </w:t>
      </w:r>
      <w:r>
        <w:rPr>
          <w:color w:val="231F20"/>
          <w:w w:val="110"/>
        </w:rPr>
        <w:t>a</w:t>
      </w:r>
      <w:r>
        <w:rPr>
          <w:color w:val="231F20"/>
          <w:spacing w:val="-24"/>
          <w:w w:val="110"/>
        </w:rPr>
        <w:t xml:space="preserve"> </w:t>
      </w:r>
      <w:r>
        <w:rPr>
          <w:color w:val="231F20"/>
          <w:w w:val="110"/>
        </w:rPr>
        <w:t>single</w:t>
      </w:r>
      <w:r>
        <w:rPr>
          <w:color w:val="231F20"/>
          <w:spacing w:val="-24"/>
          <w:w w:val="110"/>
        </w:rPr>
        <w:t xml:space="preserve"> </w:t>
      </w:r>
      <w:r>
        <w:rPr>
          <w:color w:val="231F20"/>
          <w:w w:val="110"/>
        </w:rPr>
        <w:t>lexeme</w:t>
      </w:r>
      <w:r>
        <w:rPr>
          <w:rFonts w:ascii="Calibri" w:hAnsi="Calibri"/>
          <w:color w:val="231F20"/>
          <w:w w:val="110"/>
        </w:rPr>
        <w:t>”</w:t>
      </w:r>
      <w:r>
        <w:rPr>
          <w:color w:val="231F20"/>
          <w:w w:val="110"/>
        </w:rPr>
        <w:t>.</w:t>
      </w:r>
      <w:r>
        <w:rPr>
          <w:color w:val="231F20"/>
          <w:spacing w:val="-24"/>
          <w:w w:val="110"/>
        </w:rPr>
        <w:t xml:space="preserve"> </w:t>
      </w:r>
      <w:r>
        <w:rPr>
          <w:color w:val="231F20"/>
          <w:w w:val="110"/>
        </w:rPr>
        <w:t>The</w:t>
      </w:r>
      <w:r>
        <w:rPr>
          <w:color w:val="231F20"/>
          <w:spacing w:val="-24"/>
          <w:w w:val="110"/>
        </w:rPr>
        <w:t xml:space="preserve"> </w:t>
      </w:r>
      <w:r>
        <w:rPr>
          <w:rFonts w:ascii="Cambria" w:hAnsi="Cambria"/>
          <w:i/>
          <w:color w:val="231F20"/>
          <w:w w:val="110"/>
        </w:rPr>
        <w:t>historical</w:t>
      </w:r>
      <w:r>
        <w:rPr>
          <w:rFonts w:ascii="Cambria" w:hAnsi="Cambria"/>
          <w:i/>
          <w:color w:val="231F20"/>
          <w:spacing w:val="-18"/>
          <w:w w:val="110"/>
        </w:rPr>
        <w:t xml:space="preserve"> </w:t>
      </w:r>
      <w:r>
        <w:rPr>
          <w:rFonts w:ascii="Cambria" w:hAnsi="Cambria"/>
          <w:i/>
          <w:color w:val="231F20"/>
          <w:w w:val="110"/>
        </w:rPr>
        <w:t>remoteness</w:t>
      </w:r>
      <w:r>
        <w:rPr>
          <w:rFonts w:ascii="Cambria" w:hAnsi="Cambria"/>
          <w:i/>
          <w:color w:val="231F20"/>
          <w:spacing w:val="-18"/>
          <w:w w:val="110"/>
        </w:rPr>
        <w:t xml:space="preserve"> </w:t>
      </w:r>
      <w:r>
        <w:rPr>
          <w:rFonts w:ascii="Cambria" w:hAnsi="Cambria"/>
          <w:i/>
          <w:color w:val="231F20"/>
          <w:w w:val="110"/>
        </w:rPr>
        <w:t>of</w:t>
      </w:r>
      <w:r>
        <w:rPr>
          <w:rFonts w:ascii="Cambria" w:hAnsi="Cambria"/>
          <w:i/>
          <w:color w:val="231F20"/>
          <w:spacing w:val="-18"/>
          <w:w w:val="110"/>
        </w:rPr>
        <w:t xml:space="preserve"> </w:t>
      </w:r>
      <w:r>
        <w:rPr>
          <w:rFonts w:ascii="Cambria" w:hAnsi="Cambria"/>
          <w:i/>
          <w:color w:val="231F20"/>
          <w:w w:val="110"/>
        </w:rPr>
        <w:t>might</w:t>
      </w:r>
      <w:r>
        <w:rPr>
          <w:rFonts w:ascii="Cambria" w:hAnsi="Cambria"/>
          <w:i/>
          <w:color w:val="231F20"/>
          <w:spacing w:val="-17"/>
          <w:w w:val="110"/>
        </w:rPr>
        <w:t xml:space="preserve"> </w:t>
      </w:r>
      <w:r>
        <w:rPr>
          <w:color w:val="231F20"/>
          <w:w w:val="110"/>
        </w:rPr>
        <w:t>persists only in very limited cases, for instance in the case of counterfactual expressions that refer to hypothetical events that we know did</w:t>
      </w:r>
      <w:r>
        <w:rPr>
          <w:color w:val="231F20"/>
          <w:spacing w:val="28"/>
          <w:w w:val="110"/>
        </w:rPr>
        <w:t xml:space="preserve"> </w:t>
      </w:r>
      <w:r>
        <w:rPr>
          <w:color w:val="231F20"/>
          <w:w w:val="110"/>
        </w:rPr>
        <w:t>not</w:t>
      </w:r>
      <w:r>
        <w:rPr>
          <w:color w:val="231F20"/>
          <w:spacing w:val="4"/>
          <w:w w:val="110"/>
        </w:rPr>
        <w:t xml:space="preserve"> </w:t>
      </w:r>
      <w:r>
        <w:rPr>
          <w:color w:val="231F20"/>
          <w:w w:val="110"/>
        </w:rPr>
        <w:t>occur.</w:t>
      </w:r>
      <w:r>
        <w:rPr>
          <w:color w:val="231F20"/>
          <w:w w:val="110"/>
          <w:position w:val="-2"/>
          <w:sz w:val="16"/>
        </w:rPr>
        <w:tab/>
        <w:t>20</w:t>
      </w:r>
    </w:p>
    <w:p w:rsidR="00B05397" w:rsidRDefault="00856287">
      <w:pPr>
        <w:pStyle w:val="BodyText"/>
        <w:spacing w:line="201" w:lineRule="exact"/>
        <w:ind w:left="459" w:right="126"/>
      </w:pPr>
      <w:r>
        <w:rPr>
          <w:color w:val="231F20"/>
          <w:w w:val="105"/>
        </w:rPr>
        <w:t xml:space="preserve">To illustrate, as seen in (3) and (4), in the context of possibility </w:t>
      </w:r>
      <w:r>
        <w:rPr>
          <w:rFonts w:ascii="Cambria"/>
          <w:i/>
          <w:color w:val="231F20"/>
          <w:w w:val="105"/>
        </w:rPr>
        <w:t xml:space="preserve">may </w:t>
      </w:r>
      <w:r>
        <w:rPr>
          <w:color w:val="231F20"/>
          <w:w w:val="105"/>
        </w:rPr>
        <w:t>and</w:t>
      </w:r>
    </w:p>
    <w:p w:rsidR="00B05397" w:rsidRDefault="00856287">
      <w:pPr>
        <w:spacing w:before="37"/>
        <w:ind w:left="120" w:right="126"/>
        <w:rPr>
          <w:sz w:val="19"/>
        </w:rPr>
      </w:pPr>
      <w:r>
        <w:rPr>
          <w:rFonts w:ascii="Cambria"/>
          <w:i/>
          <w:color w:val="231F20"/>
          <w:w w:val="110"/>
          <w:sz w:val="19"/>
        </w:rPr>
        <w:t xml:space="preserve">might </w:t>
      </w:r>
      <w:r>
        <w:rPr>
          <w:color w:val="231F20"/>
          <w:w w:val="110"/>
          <w:sz w:val="19"/>
        </w:rPr>
        <w:t>can be interchan</w:t>
      </w:r>
      <w:r>
        <w:rPr>
          <w:color w:val="231F20"/>
          <w:w w:val="110"/>
          <w:sz w:val="19"/>
        </w:rPr>
        <w:t>geable:</w:t>
      </w:r>
    </w:p>
    <w:p w:rsidR="00B05397" w:rsidRDefault="00B05397">
      <w:pPr>
        <w:pStyle w:val="BodyText"/>
        <w:spacing w:before="10"/>
        <w:rPr>
          <w:sz w:val="23"/>
        </w:rPr>
      </w:pPr>
    </w:p>
    <w:p w:rsidR="00B05397" w:rsidRDefault="00856287">
      <w:pPr>
        <w:pStyle w:val="ListParagraph"/>
        <w:numPr>
          <w:ilvl w:val="0"/>
          <w:numId w:val="4"/>
        </w:numPr>
        <w:tabs>
          <w:tab w:val="left" w:pos="588"/>
          <w:tab w:val="left" w:pos="589"/>
        </w:tabs>
        <w:ind w:hanging="468"/>
        <w:rPr>
          <w:sz w:val="19"/>
        </w:rPr>
      </w:pPr>
      <w:r>
        <w:rPr>
          <w:rFonts w:ascii="Cambria"/>
          <w:i/>
          <w:color w:val="231F20"/>
          <w:sz w:val="19"/>
        </w:rPr>
        <w:t xml:space="preserve">She may/might come to visit next </w:t>
      </w:r>
      <w:r>
        <w:rPr>
          <w:rFonts w:ascii="Cambria"/>
          <w:i/>
          <w:color w:val="231F20"/>
          <w:spacing w:val="32"/>
          <w:sz w:val="19"/>
        </w:rPr>
        <w:t xml:space="preserve"> </w:t>
      </w:r>
      <w:r>
        <w:rPr>
          <w:rFonts w:ascii="Cambria"/>
          <w:i/>
          <w:color w:val="231F20"/>
          <w:sz w:val="19"/>
        </w:rPr>
        <w:t>year</w:t>
      </w:r>
      <w:r>
        <w:rPr>
          <w:color w:val="231F20"/>
          <w:sz w:val="19"/>
        </w:rPr>
        <w:t>.</w:t>
      </w:r>
    </w:p>
    <w:p w:rsidR="00B05397" w:rsidRDefault="00856287">
      <w:pPr>
        <w:spacing w:before="117" w:line="181" w:lineRule="exact"/>
        <w:ind w:right="130"/>
        <w:jc w:val="right"/>
        <w:rPr>
          <w:sz w:val="16"/>
        </w:rPr>
      </w:pPr>
      <w:r>
        <w:rPr>
          <w:color w:val="231F20"/>
          <w:w w:val="90"/>
          <w:sz w:val="16"/>
        </w:rPr>
        <w:t>25</w:t>
      </w:r>
    </w:p>
    <w:p w:rsidR="00B05397" w:rsidRDefault="00856287">
      <w:pPr>
        <w:pStyle w:val="ListParagraph"/>
        <w:numPr>
          <w:ilvl w:val="0"/>
          <w:numId w:val="4"/>
        </w:numPr>
        <w:tabs>
          <w:tab w:val="left" w:pos="588"/>
          <w:tab w:val="left" w:pos="589"/>
        </w:tabs>
        <w:spacing w:line="220" w:lineRule="exact"/>
        <w:ind w:hanging="468"/>
        <w:rPr>
          <w:sz w:val="19"/>
        </w:rPr>
      </w:pPr>
      <w:r>
        <w:rPr>
          <w:rFonts w:ascii="Cambria"/>
          <w:i/>
          <w:color w:val="231F20"/>
          <w:sz w:val="19"/>
        </w:rPr>
        <w:t>She may/might have said that, I cannot remember    exactly</w:t>
      </w:r>
      <w:r>
        <w:rPr>
          <w:color w:val="231F20"/>
          <w:sz w:val="19"/>
        </w:rPr>
        <w:t>.</w:t>
      </w:r>
    </w:p>
    <w:p w:rsidR="00B05397" w:rsidRDefault="00B05397">
      <w:pPr>
        <w:pStyle w:val="BodyText"/>
        <w:spacing w:before="7"/>
        <w:rPr>
          <w:sz w:val="25"/>
        </w:rPr>
      </w:pPr>
    </w:p>
    <w:p w:rsidR="00B05397" w:rsidRDefault="00856287">
      <w:pPr>
        <w:pStyle w:val="BodyText"/>
        <w:spacing w:before="1" w:line="283" w:lineRule="auto"/>
        <w:ind w:left="120" w:right="107" w:firstLine="339"/>
        <w:rPr>
          <w:sz w:val="16"/>
        </w:rPr>
      </w:pPr>
      <w:r>
        <w:rPr>
          <w:color w:val="231F20"/>
          <w:w w:val="110"/>
        </w:rPr>
        <w:t xml:space="preserve">However, </w:t>
      </w:r>
      <w:r>
        <w:rPr>
          <w:rFonts w:ascii="Cambria"/>
          <w:i/>
          <w:color w:val="231F20"/>
          <w:w w:val="110"/>
        </w:rPr>
        <w:t xml:space="preserve">may </w:t>
      </w:r>
      <w:r>
        <w:rPr>
          <w:color w:val="231F20"/>
          <w:w w:val="110"/>
        </w:rPr>
        <w:t>cannot be used for a hypothetical situation that we know has not happened. For example, if we know that there has been a street fight and</w:t>
      </w:r>
      <w:r>
        <w:rPr>
          <w:color w:val="231F20"/>
          <w:spacing w:val="52"/>
          <w:w w:val="110"/>
        </w:rPr>
        <w:t xml:space="preserve"> </w:t>
      </w:r>
      <w:r>
        <w:rPr>
          <w:color w:val="231F20"/>
          <w:w w:val="110"/>
        </w:rPr>
        <w:t>there</w:t>
      </w:r>
      <w:r>
        <w:rPr>
          <w:color w:val="231F20"/>
          <w:spacing w:val="-14"/>
          <w:w w:val="110"/>
        </w:rPr>
        <w:t xml:space="preserve"> </w:t>
      </w:r>
      <w:r>
        <w:rPr>
          <w:color w:val="231F20"/>
          <w:w w:val="110"/>
        </w:rPr>
        <w:t>were</w:t>
      </w:r>
      <w:r>
        <w:rPr>
          <w:color w:val="231F20"/>
          <w:spacing w:val="-14"/>
          <w:w w:val="110"/>
        </w:rPr>
        <w:t xml:space="preserve"> </w:t>
      </w:r>
      <w:r>
        <w:rPr>
          <w:color w:val="231F20"/>
          <w:w w:val="110"/>
        </w:rPr>
        <w:t>some</w:t>
      </w:r>
      <w:r>
        <w:rPr>
          <w:color w:val="231F20"/>
          <w:spacing w:val="-14"/>
          <w:w w:val="110"/>
        </w:rPr>
        <w:t xml:space="preserve"> </w:t>
      </w:r>
      <w:r>
        <w:rPr>
          <w:color w:val="231F20"/>
          <w:w w:val="110"/>
        </w:rPr>
        <w:t>bottles</w:t>
      </w:r>
      <w:r>
        <w:rPr>
          <w:color w:val="231F20"/>
          <w:spacing w:val="-14"/>
          <w:w w:val="110"/>
        </w:rPr>
        <w:t xml:space="preserve"> </w:t>
      </w:r>
      <w:r>
        <w:rPr>
          <w:color w:val="231F20"/>
          <w:w w:val="110"/>
        </w:rPr>
        <w:t>flying</w:t>
      </w:r>
      <w:r>
        <w:rPr>
          <w:color w:val="231F20"/>
          <w:spacing w:val="-14"/>
          <w:w w:val="110"/>
        </w:rPr>
        <w:t xml:space="preserve"> </w:t>
      </w:r>
      <w:r>
        <w:rPr>
          <w:color w:val="231F20"/>
          <w:w w:val="110"/>
        </w:rPr>
        <w:t>but</w:t>
      </w:r>
      <w:r>
        <w:rPr>
          <w:color w:val="231F20"/>
          <w:spacing w:val="-14"/>
          <w:w w:val="110"/>
        </w:rPr>
        <w:t xml:space="preserve"> </w:t>
      </w:r>
      <w:r>
        <w:rPr>
          <w:color w:val="231F20"/>
          <w:w w:val="110"/>
        </w:rPr>
        <w:t>we</w:t>
      </w:r>
      <w:r>
        <w:rPr>
          <w:color w:val="231F20"/>
          <w:spacing w:val="-14"/>
          <w:w w:val="110"/>
        </w:rPr>
        <w:t xml:space="preserve"> </w:t>
      </w:r>
      <w:r>
        <w:rPr>
          <w:color w:val="231F20"/>
          <w:w w:val="110"/>
        </w:rPr>
        <w:t>are</w:t>
      </w:r>
      <w:r>
        <w:rPr>
          <w:color w:val="231F20"/>
          <w:spacing w:val="-14"/>
          <w:w w:val="110"/>
        </w:rPr>
        <w:t xml:space="preserve"> </w:t>
      </w:r>
      <w:r>
        <w:rPr>
          <w:color w:val="231F20"/>
          <w:w w:val="110"/>
        </w:rPr>
        <w:t>not</w:t>
      </w:r>
      <w:r>
        <w:rPr>
          <w:color w:val="231F20"/>
          <w:spacing w:val="-14"/>
          <w:w w:val="110"/>
        </w:rPr>
        <w:t xml:space="preserve"> </w:t>
      </w:r>
      <w:r>
        <w:rPr>
          <w:color w:val="231F20"/>
          <w:w w:val="110"/>
        </w:rPr>
        <w:t>sure</w:t>
      </w:r>
      <w:r>
        <w:rPr>
          <w:color w:val="231F20"/>
          <w:spacing w:val="-14"/>
          <w:w w:val="110"/>
        </w:rPr>
        <w:t xml:space="preserve"> </w:t>
      </w:r>
      <w:r>
        <w:rPr>
          <w:color w:val="231F20"/>
          <w:w w:val="110"/>
        </w:rPr>
        <w:t>if</w:t>
      </w:r>
      <w:r>
        <w:rPr>
          <w:color w:val="231F20"/>
          <w:spacing w:val="-14"/>
          <w:w w:val="110"/>
        </w:rPr>
        <w:t xml:space="preserve"> </w:t>
      </w:r>
      <w:r>
        <w:rPr>
          <w:color w:val="231F20"/>
          <w:w w:val="110"/>
        </w:rPr>
        <w:t>anybody</w:t>
      </w:r>
      <w:r>
        <w:rPr>
          <w:color w:val="231F20"/>
          <w:spacing w:val="-14"/>
          <w:w w:val="110"/>
        </w:rPr>
        <w:t xml:space="preserve"> </w:t>
      </w:r>
      <w:r>
        <w:rPr>
          <w:color w:val="231F20"/>
          <w:w w:val="110"/>
        </w:rPr>
        <w:t>got</w:t>
      </w:r>
      <w:r>
        <w:rPr>
          <w:color w:val="231F20"/>
          <w:spacing w:val="-14"/>
          <w:w w:val="110"/>
        </w:rPr>
        <w:t xml:space="preserve"> </w:t>
      </w:r>
      <w:r>
        <w:rPr>
          <w:color w:val="231F20"/>
          <w:w w:val="110"/>
        </w:rPr>
        <w:t>hit</w:t>
      </w:r>
      <w:r>
        <w:rPr>
          <w:color w:val="231F20"/>
          <w:spacing w:val="-14"/>
          <w:w w:val="110"/>
        </w:rPr>
        <w:t xml:space="preserve"> </w:t>
      </w:r>
      <w:r>
        <w:rPr>
          <w:color w:val="231F20"/>
          <w:w w:val="110"/>
        </w:rPr>
        <w:t>by</w:t>
      </w:r>
      <w:r>
        <w:rPr>
          <w:color w:val="231F20"/>
          <w:spacing w:val="-14"/>
          <w:w w:val="110"/>
        </w:rPr>
        <w:t xml:space="preserve"> </w:t>
      </w:r>
      <w:r>
        <w:rPr>
          <w:color w:val="231F20"/>
          <w:w w:val="110"/>
        </w:rPr>
        <w:t>them,</w:t>
      </w:r>
      <w:r>
        <w:rPr>
          <w:color w:val="231F20"/>
          <w:spacing w:val="-14"/>
          <w:w w:val="110"/>
        </w:rPr>
        <w:t xml:space="preserve"> </w:t>
      </w:r>
      <w:r>
        <w:rPr>
          <w:color w:val="231F20"/>
          <w:w w:val="110"/>
        </w:rPr>
        <w:t>we</w:t>
      </w:r>
      <w:r>
        <w:rPr>
          <w:color w:val="231F20"/>
          <w:spacing w:val="40"/>
          <w:w w:val="110"/>
        </w:rPr>
        <w:t xml:space="preserve"> </w:t>
      </w:r>
      <w:r>
        <w:rPr>
          <w:color w:val="231F20"/>
          <w:w w:val="110"/>
          <w:position w:val="-4"/>
          <w:sz w:val="16"/>
        </w:rPr>
        <w:t>30</w:t>
      </w:r>
    </w:p>
    <w:p w:rsidR="00B05397" w:rsidRDefault="00856287">
      <w:pPr>
        <w:pStyle w:val="BodyText"/>
        <w:spacing w:line="169" w:lineRule="exact"/>
        <w:ind w:left="120" w:right="126"/>
      </w:pPr>
      <w:r>
        <w:rPr>
          <w:color w:val="231F20"/>
          <w:w w:val="110"/>
        </w:rPr>
        <w:t>can report this situation as:</w:t>
      </w:r>
    </w:p>
    <w:p w:rsidR="00B05397" w:rsidRDefault="00B05397">
      <w:pPr>
        <w:pStyle w:val="BodyText"/>
        <w:rPr>
          <w:sz w:val="24"/>
        </w:rPr>
      </w:pPr>
    </w:p>
    <w:p w:rsidR="00B05397" w:rsidRDefault="00856287">
      <w:pPr>
        <w:pStyle w:val="ListParagraph"/>
        <w:numPr>
          <w:ilvl w:val="0"/>
          <w:numId w:val="4"/>
        </w:numPr>
        <w:tabs>
          <w:tab w:val="left" w:pos="588"/>
          <w:tab w:val="left" w:pos="589"/>
        </w:tabs>
        <w:ind w:hanging="468"/>
        <w:rPr>
          <w:sz w:val="19"/>
        </w:rPr>
      </w:pPr>
      <w:r>
        <w:rPr>
          <w:rFonts w:ascii="Cambria"/>
          <w:i/>
          <w:color w:val="231F20"/>
          <w:sz w:val="19"/>
        </w:rPr>
        <w:t>Some</w:t>
      </w:r>
      <w:r>
        <w:rPr>
          <w:rFonts w:ascii="Cambria"/>
          <w:i/>
          <w:color w:val="231F20"/>
          <w:spacing w:val="15"/>
          <w:sz w:val="19"/>
        </w:rPr>
        <w:t xml:space="preserve"> </w:t>
      </w:r>
      <w:r>
        <w:rPr>
          <w:rFonts w:ascii="Cambria"/>
          <w:i/>
          <w:color w:val="231F20"/>
          <w:sz w:val="19"/>
        </w:rPr>
        <w:t>people</w:t>
      </w:r>
      <w:r>
        <w:rPr>
          <w:rFonts w:ascii="Cambria"/>
          <w:i/>
          <w:color w:val="231F20"/>
          <w:spacing w:val="16"/>
          <w:sz w:val="19"/>
        </w:rPr>
        <w:t xml:space="preserve"> </w:t>
      </w:r>
      <w:r>
        <w:rPr>
          <w:rFonts w:ascii="Cambria"/>
          <w:i/>
          <w:color w:val="231F20"/>
          <w:sz w:val="19"/>
        </w:rPr>
        <w:t>may</w:t>
      </w:r>
      <w:r>
        <w:rPr>
          <w:rFonts w:ascii="Cambria"/>
          <w:i/>
          <w:color w:val="231F20"/>
          <w:spacing w:val="15"/>
          <w:sz w:val="19"/>
        </w:rPr>
        <w:t xml:space="preserve"> </w:t>
      </w:r>
      <w:r>
        <w:rPr>
          <w:rFonts w:ascii="Cambria"/>
          <w:i/>
          <w:color w:val="231F20"/>
          <w:sz w:val="19"/>
        </w:rPr>
        <w:t>have</w:t>
      </w:r>
      <w:r>
        <w:rPr>
          <w:rFonts w:ascii="Cambria"/>
          <w:i/>
          <w:color w:val="231F20"/>
          <w:spacing w:val="15"/>
          <w:sz w:val="19"/>
        </w:rPr>
        <w:t xml:space="preserve"> </w:t>
      </w:r>
      <w:r>
        <w:rPr>
          <w:rFonts w:ascii="Cambria"/>
          <w:i/>
          <w:color w:val="231F20"/>
          <w:sz w:val="19"/>
        </w:rPr>
        <w:t>been</w:t>
      </w:r>
      <w:r>
        <w:rPr>
          <w:rFonts w:ascii="Cambria"/>
          <w:i/>
          <w:color w:val="231F20"/>
          <w:spacing w:val="16"/>
          <w:sz w:val="19"/>
        </w:rPr>
        <w:t xml:space="preserve"> </w:t>
      </w:r>
      <w:r>
        <w:rPr>
          <w:rFonts w:ascii="Cambria"/>
          <w:i/>
          <w:color w:val="231F20"/>
          <w:sz w:val="19"/>
        </w:rPr>
        <w:t>hit</w:t>
      </w:r>
      <w:r>
        <w:rPr>
          <w:rFonts w:ascii="Cambria"/>
          <w:i/>
          <w:color w:val="231F20"/>
          <w:spacing w:val="15"/>
          <w:sz w:val="19"/>
        </w:rPr>
        <w:t xml:space="preserve"> </w:t>
      </w:r>
      <w:r>
        <w:rPr>
          <w:rFonts w:ascii="Cambria"/>
          <w:i/>
          <w:color w:val="231F20"/>
          <w:sz w:val="19"/>
        </w:rPr>
        <w:t>by</w:t>
      </w:r>
      <w:r>
        <w:rPr>
          <w:rFonts w:ascii="Cambria"/>
          <w:i/>
          <w:color w:val="231F20"/>
          <w:spacing w:val="15"/>
          <w:sz w:val="19"/>
        </w:rPr>
        <w:t xml:space="preserve"> </w:t>
      </w:r>
      <w:r>
        <w:rPr>
          <w:rFonts w:ascii="Cambria"/>
          <w:i/>
          <w:color w:val="231F20"/>
          <w:sz w:val="19"/>
        </w:rPr>
        <w:t>bottles</w:t>
      </w:r>
      <w:r>
        <w:rPr>
          <w:rFonts w:ascii="Cambria"/>
          <w:i/>
          <w:color w:val="231F20"/>
          <w:spacing w:val="16"/>
          <w:sz w:val="19"/>
        </w:rPr>
        <w:t xml:space="preserve"> </w:t>
      </w:r>
      <w:r>
        <w:rPr>
          <w:rFonts w:ascii="Cambria"/>
          <w:i/>
          <w:color w:val="231F20"/>
          <w:sz w:val="19"/>
        </w:rPr>
        <w:t>flying</w:t>
      </w:r>
      <w:r>
        <w:rPr>
          <w:rFonts w:ascii="Cambria"/>
          <w:i/>
          <w:color w:val="231F20"/>
          <w:spacing w:val="16"/>
          <w:sz w:val="19"/>
        </w:rPr>
        <w:t xml:space="preserve"> </w:t>
      </w:r>
      <w:r>
        <w:rPr>
          <w:rFonts w:ascii="Cambria"/>
          <w:i/>
          <w:color w:val="231F20"/>
          <w:sz w:val="19"/>
        </w:rPr>
        <w:t>around</w:t>
      </w:r>
      <w:r>
        <w:rPr>
          <w:rFonts w:ascii="Cambria"/>
          <w:i/>
          <w:color w:val="231F20"/>
          <w:spacing w:val="15"/>
          <w:sz w:val="19"/>
        </w:rPr>
        <w:t xml:space="preserve"> </w:t>
      </w:r>
      <w:r>
        <w:rPr>
          <w:rFonts w:ascii="Cambria"/>
          <w:i/>
          <w:color w:val="231F20"/>
          <w:sz w:val="19"/>
        </w:rPr>
        <w:t>during</w:t>
      </w:r>
      <w:r>
        <w:rPr>
          <w:rFonts w:ascii="Cambria"/>
          <w:i/>
          <w:color w:val="231F20"/>
          <w:spacing w:val="14"/>
          <w:sz w:val="19"/>
        </w:rPr>
        <w:t xml:space="preserve"> </w:t>
      </w:r>
      <w:r>
        <w:rPr>
          <w:rFonts w:ascii="Cambria"/>
          <w:i/>
          <w:color w:val="231F20"/>
          <w:sz w:val="19"/>
        </w:rPr>
        <w:t>the</w:t>
      </w:r>
      <w:r>
        <w:rPr>
          <w:rFonts w:ascii="Cambria"/>
          <w:i/>
          <w:color w:val="231F20"/>
          <w:spacing w:val="16"/>
          <w:sz w:val="19"/>
        </w:rPr>
        <w:t xml:space="preserve"> </w:t>
      </w:r>
      <w:r>
        <w:rPr>
          <w:rFonts w:ascii="Cambria"/>
          <w:i/>
          <w:color w:val="231F20"/>
          <w:sz w:val="19"/>
        </w:rPr>
        <w:t>fight</w:t>
      </w:r>
      <w:r>
        <w:rPr>
          <w:color w:val="231F20"/>
          <w:sz w:val="19"/>
        </w:rPr>
        <w:t>.</w:t>
      </w:r>
    </w:p>
    <w:p w:rsidR="00B05397" w:rsidRDefault="00B05397">
      <w:pPr>
        <w:pStyle w:val="BodyText"/>
        <w:spacing w:before="7"/>
        <w:rPr>
          <w:sz w:val="25"/>
        </w:rPr>
      </w:pPr>
    </w:p>
    <w:p w:rsidR="00B05397" w:rsidRDefault="00856287">
      <w:pPr>
        <w:pStyle w:val="BodyText"/>
        <w:spacing w:before="1" w:line="267" w:lineRule="exact"/>
        <w:ind w:left="119" w:right="107"/>
        <w:rPr>
          <w:sz w:val="16"/>
        </w:rPr>
      </w:pPr>
      <w:r>
        <w:rPr>
          <w:color w:val="231F20"/>
          <w:w w:val="110"/>
        </w:rPr>
        <w:t>If</w:t>
      </w:r>
      <w:r>
        <w:rPr>
          <w:color w:val="231F20"/>
          <w:spacing w:val="-13"/>
          <w:w w:val="110"/>
        </w:rPr>
        <w:t xml:space="preserve"> </w:t>
      </w:r>
      <w:r>
        <w:rPr>
          <w:color w:val="231F20"/>
          <w:w w:val="110"/>
        </w:rPr>
        <w:t>we</w:t>
      </w:r>
      <w:r>
        <w:rPr>
          <w:color w:val="231F20"/>
          <w:spacing w:val="-12"/>
          <w:w w:val="110"/>
        </w:rPr>
        <w:t xml:space="preserve"> </w:t>
      </w:r>
      <w:r>
        <w:rPr>
          <w:color w:val="231F20"/>
          <w:w w:val="110"/>
        </w:rPr>
        <w:t>find</w:t>
      </w:r>
      <w:r>
        <w:rPr>
          <w:color w:val="231F20"/>
          <w:spacing w:val="-12"/>
          <w:w w:val="110"/>
        </w:rPr>
        <w:t xml:space="preserve"> </w:t>
      </w:r>
      <w:r>
        <w:rPr>
          <w:color w:val="231F20"/>
          <w:w w:val="110"/>
        </w:rPr>
        <w:t>out</w:t>
      </w:r>
      <w:r>
        <w:rPr>
          <w:color w:val="231F20"/>
          <w:spacing w:val="-12"/>
          <w:w w:val="110"/>
        </w:rPr>
        <w:t xml:space="preserve"> </w:t>
      </w:r>
      <w:r>
        <w:rPr>
          <w:color w:val="231F20"/>
          <w:w w:val="110"/>
        </w:rPr>
        <w:t>that</w:t>
      </w:r>
      <w:r>
        <w:rPr>
          <w:color w:val="231F20"/>
          <w:spacing w:val="-12"/>
          <w:w w:val="110"/>
        </w:rPr>
        <w:t xml:space="preserve"> </w:t>
      </w:r>
      <w:r>
        <w:rPr>
          <w:color w:val="231F20"/>
          <w:w w:val="110"/>
        </w:rPr>
        <w:t>nobody</w:t>
      </w:r>
      <w:r>
        <w:rPr>
          <w:color w:val="231F20"/>
          <w:spacing w:val="-13"/>
          <w:w w:val="110"/>
        </w:rPr>
        <w:t xml:space="preserve"> </w:t>
      </w:r>
      <w:r>
        <w:rPr>
          <w:color w:val="231F20"/>
          <w:w w:val="110"/>
        </w:rPr>
        <w:t>in</w:t>
      </w:r>
      <w:r>
        <w:rPr>
          <w:color w:val="231F20"/>
          <w:spacing w:val="-13"/>
          <w:w w:val="110"/>
        </w:rPr>
        <w:t xml:space="preserve"> </w:t>
      </w:r>
      <w:r>
        <w:rPr>
          <w:color w:val="231F20"/>
          <w:w w:val="110"/>
        </w:rPr>
        <w:t>fact</w:t>
      </w:r>
      <w:r>
        <w:rPr>
          <w:color w:val="231F20"/>
          <w:spacing w:val="-12"/>
          <w:w w:val="110"/>
        </w:rPr>
        <w:t xml:space="preserve"> </w:t>
      </w:r>
      <w:r>
        <w:rPr>
          <w:color w:val="231F20"/>
          <w:w w:val="110"/>
        </w:rPr>
        <w:t>got</w:t>
      </w:r>
      <w:r>
        <w:rPr>
          <w:color w:val="231F20"/>
          <w:spacing w:val="-13"/>
          <w:w w:val="110"/>
        </w:rPr>
        <w:t xml:space="preserve"> </w:t>
      </w:r>
      <w:r>
        <w:rPr>
          <w:color w:val="231F20"/>
          <w:w w:val="110"/>
        </w:rPr>
        <w:t>hit</w:t>
      </w:r>
      <w:r>
        <w:rPr>
          <w:color w:val="231F20"/>
          <w:spacing w:val="-11"/>
          <w:w w:val="110"/>
        </w:rPr>
        <w:t xml:space="preserve"> </w:t>
      </w:r>
      <w:r>
        <w:rPr>
          <w:color w:val="231F20"/>
          <w:w w:val="110"/>
        </w:rPr>
        <w:t>by</w:t>
      </w:r>
      <w:r>
        <w:rPr>
          <w:color w:val="231F20"/>
          <w:spacing w:val="-13"/>
          <w:w w:val="110"/>
        </w:rPr>
        <w:t xml:space="preserve"> </w:t>
      </w:r>
      <w:r>
        <w:rPr>
          <w:color w:val="231F20"/>
          <w:w w:val="110"/>
        </w:rPr>
        <w:t>a</w:t>
      </w:r>
      <w:r>
        <w:rPr>
          <w:color w:val="231F20"/>
          <w:spacing w:val="-11"/>
          <w:w w:val="110"/>
        </w:rPr>
        <w:t xml:space="preserve"> </w:t>
      </w:r>
      <w:r>
        <w:rPr>
          <w:color w:val="231F20"/>
          <w:w w:val="110"/>
        </w:rPr>
        <w:t>bottle,</w:t>
      </w:r>
      <w:r>
        <w:rPr>
          <w:color w:val="231F20"/>
          <w:spacing w:val="-12"/>
          <w:w w:val="110"/>
        </w:rPr>
        <w:t xml:space="preserve"> </w:t>
      </w:r>
      <w:r>
        <w:rPr>
          <w:color w:val="231F20"/>
          <w:w w:val="110"/>
        </w:rPr>
        <w:t>then</w:t>
      </w:r>
      <w:r>
        <w:rPr>
          <w:color w:val="231F20"/>
          <w:spacing w:val="-12"/>
          <w:w w:val="110"/>
        </w:rPr>
        <w:t xml:space="preserve"> </w:t>
      </w:r>
      <w:r>
        <w:rPr>
          <w:color w:val="231F20"/>
          <w:w w:val="110"/>
        </w:rPr>
        <w:t>we</w:t>
      </w:r>
      <w:r>
        <w:rPr>
          <w:color w:val="231F20"/>
          <w:spacing w:val="-13"/>
          <w:w w:val="110"/>
        </w:rPr>
        <w:t xml:space="preserve"> </w:t>
      </w:r>
      <w:r>
        <w:rPr>
          <w:color w:val="231F20"/>
          <w:w w:val="110"/>
        </w:rPr>
        <w:t>cannot</w:t>
      </w:r>
      <w:r>
        <w:rPr>
          <w:color w:val="231F20"/>
          <w:spacing w:val="-13"/>
          <w:w w:val="110"/>
        </w:rPr>
        <w:t xml:space="preserve"> </w:t>
      </w:r>
      <w:r>
        <w:rPr>
          <w:color w:val="231F20"/>
          <w:w w:val="110"/>
        </w:rPr>
        <w:t>use</w:t>
      </w:r>
      <w:r>
        <w:rPr>
          <w:color w:val="231F20"/>
          <w:spacing w:val="-13"/>
          <w:w w:val="110"/>
        </w:rPr>
        <w:t xml:space="preserve"> </w:t>
      </w:r>
      <w:r>
        <w:rPr>
          <w:rFonts w:ascii="Cambria"/>
          <w:i/>
          <w:color w:val="231F20"/>
          <w:w w:val="110"/>
        </w:rPr>
        <w:t>may</w:t>
      </w:r>
      <w:r>
        <w:rPr>
          <w:rFonts w:ascii="Cambria"/>
          <w:i/>
          <w:color w:val="231F20"/>
          <w:spacing w:val="-6"/>
          <w:w w:val="110"/>
        </w:rPr>
        <w:t xml:space="preserve"> </w:t>
      </w:r>
      <w:r>
        <w:rPr>
          <w:color w:val="231F20"/>
          <w:w w:val="110"/>
        </w:rPr>
        <w:t>any</w:t>
      </w:r>
      <w:r>
        <w:rPr>
          <w:color w:val="231F20"/>
          <w:spacing w:val="39"/>
          <w:w w:val="110"/>
        </w:rPr>
        <w:t xml:space="preserve"> </w:t>
      </w:r>
      <w:r>
        <w:rPr>
          <w:color w:val="231F20"/>
          <w:w w:val="110"/>
          <w:position w:val="-6"/>
          <w:sz w:val="16"/>
        </w:rPr>
        <w:t>35</w:t>
      </w:r>
    </w:p>
    <w:p w:rsidR="00B05397" w:rsidRDefault="00856287">
      <w:pPr>
        <w:pStyle w:val="BodyText"/>
        <w:spacing w:line="216" w:lineRule="exact"/>
        <w:ind w:left="120" w:right="114"/>
      </w:pPr>
      <w:r>
        <w:rPr>
          <w:color w:val="231F20"/>
          <w:w w:val="110"/>
        </w:rPr>
        <w:t xml:space="preserve">more, we have to use </w:t>
      </w:r>
      <w:r>
        <w:rPr>
          <w:rFonts w:ascii="Cambria"/>
          <w:i/>
          <w:color w:val="231F20"/>
          <w:w w:val="110"/>
        </w:rPr>
        <w:t xml:space="preserve">might </w:t>
      </w:r>
      <w:r>
        <w:rPr>
          <w:color w:val="231F20"/>
          <w:w w:val="110"/>
        </w:rPr>
        <w:t>to talk about this counterfactual state or event, as in</w:t>
      </w:r>
      <w:r>
        <w:rPr>
          <w:color w:val="231F20"/>
          <w:w w:val="110"/>
          <w:position w:val="8"/>
          <w:sz w:val="12"/>
        </w:rPr>
        <w:t>2</w:t>
      </w:r>
      <w:r>
        <w:rPr>
          <w:color w:val="231F20"/>
          <w:w w:val="110"/>
        </w:rPr>
        <w:t>:</w:t>
      </w:r>
    </w:p>
    <w:p w:rsidR="00B05397" w:rsidRDefault="00856287">
      <w:pPr>
        <w:pStyle w:val="BodyText"/>
        <w:spacing w:before="10"/>
        <w:rPr>
          <w:sz w:val="29"/>
        </w:rPr>
      </w:pPr>
      <w:r>
        <w:pict>
          <v:line id="_x0000_s1075" style="position:absolute;z-index:1096;mso-wrap-distance-left:0;mso-wrap-distance-right:0;mso-position-horizontal-relative:page" from="51pt,19.9pt" to="80.9pt,19.9pt" strokecolor="#231f20" strokeweight=".52mm">
            <w10:wrap type="topAndBottom" anchorx="page"/>
          </v:line>
        </w:pict>
      </w:r>
    </w:p>
    <w:p w:rsidR="00B05397" w:rsidRDefault="00856287">
      <w:pPr>
        <w:spacing w:before="41" w:line="273" w:lineRule="auto"/>
        <w:ind w:left="120" w:right="244"/>
        <w:rPr>
          <w:sz w:val="16"/>
        </w:rPr>
      </w:pPr>
      <w:r>
        <w:rPr>
          <w:rFonts w:ascii="Calibri"/>
          <w:color w:val="231F20"/>
          <w:w w:val="110"/>
          <w:sz w:val="16"/>
        </w:rPr>
        <w:t>2</w:t>
      </w:r>
      <w:r>
        <w:rPr>
          <w:rFonts w:ascii="Calibri"/>
          <w:color w:val="231F20"/>
          <w:spacing w:val="25"/>
          <w:w w:val="110"/>
          <w:sz w:val="16"/>
        </w:rPr>
        <w:t xml:space="preserve"> </w:t>
      </w:r>
      <w:r>
        <w:rPr>
          <w:rFonts w:ascii="Cambria"/>
          <w:i/>
          <w:color w:val="231F20"/>
          <w:w w:val="110"/>
          <w:sz w:val="16"/>
        </w:rPr>
        <w:t>Might</w:t>
      </w:r>
      <w:r>
        <w:rPr>
          <w:rFonts w:ascii="Cambria"/>
          <w:i/>
          <w:color w:val="231F20"/>
          <w:spacing w:val="-7"/>
          <w:w w:val="110"/>
          <w:sz w:val="16"/>
        </w:rPr>
        <w:t xml:space="preserve"> </w:t>
      </w:r>
      <w:r>
        <w:rPr>
          <w:color w:val="231F20"/>
          <w:w w:val="110"/>
          <w:sz w:val="16"/>
        </w:rPr>
        <w:t>is</w:t>
      </w:r>
      <w:r>
        <w:rPr>
          <w:color w:val="231F20"/>
          <w:spacing w:val="-11"/>
          <w:w w:val="110"/>
          <w:sz w:val="16"/>
        </w:rPr>
        <w:t xml:space="preserve"> </w:t>
      </w:r>
      <w:r>
        <w:rPr>
          <w:color w:val="231F20"/>
          <w:w w:val="110"/>
          <w:sz w:val="16"/>
        </w:rPr>
        <w:t>used</w:t>
      </w:r>
      <w:r>
        <w:rPr>
          <w:color w:val="231F20"/>
          <w:spacing w:val="-10"/>
          <w:w w:val="110"/>
          <w:sz w:val="16"/>
        </w:rPr>
        <w:t xml:space="preserve"> </w:t>
      </w:r>
      <w:r>
        <w:rPr>
          <w:color w:val="231F20"/>
          <w:w w:val="110"/>
          <w:sz w:val="16"/>
        </w:rPr>
        <w:t>here</w:t>
      </w:r>
      <w:r>
        <w:rPr>
          <w:color w:val="231F20"/>
          <w:spacing w:val="-11"/>
          <w:w w:val="110"/>
          <w:sz w:val="16"/>
        </w:rPr>
        <w:t xml:space="preserve"> </w:t>
      </w:r>
      <w:r>
        <w:rPr>
          <w:color w:val="231F20"/>
          <w:w w:val="110"/>
          <w:sz w:val="16"/>
        </w:rPr>
        <w:t>to</w:t>
      </w:r>
      <w:r>
        <w:rPr>
          <w:color w:val="231F20"/>
          <w:spacing w:val="-11"/>
          <w:w w:val="110"/>
          <w:sz w:val="16"/>
        </w:rPr>
        <w:t xml:space="preserve"> </w:t>
      </w:r>
      <w:r>
        <w:rPr>
          <w:color w:val="231F20"/>
          <w:w w:val="110"/>
          <w:sz w:val="16"/>
        </w:rPr>
        <w:t>indicate</w:t>
      </w:r>
      <w:r>
        <w:rPr>
          <w:color w:val="231F20"/>
          <w:spacing w:val="-13"/>
          <w:w w:val="110"/>
          <w:sz w:val="16"/>
        </w:rPr>
        <w:t xml:space="preserve"> </w:t>
      </w:r>
      <w:r>
        <w:rPr>
          <w:color w:val="231F20"/>
          <w:w w:val="110"/>
          <w:sz w:val="16"/>
        </w:rPr>
        <w:t>the</w:t>
      </w:r>
      <w:r>
        <w:rPr>
          <w:color w:val="231F20"/>
          <w:spacing w:val="-13"/>
          <w:w w:val="110"/>
          <w:sz w:val="16"/>
        </w:rPr>
        <w:t xml:space="preserve"> </w:t>
      </w:r>
      <w:r>
        <w:rPr>
          <w:color w:val="231F20"/>
          <w:w w:val="110"/>
          <w:sz w:val="16"/>
        </w:rPr>
        <w:t>counter</w:t>
      </w:r>
      <w:r>
        <w:rPr>
          <w:color w:val="231F20"/>
          <w:spacing w:val="-12"/>
          <w:w w:val="110"/>
          <w:sz w:val="16"/>
        </w:rPr>
        <w:t xml:space="preserve"> </w:t>
      </w:r>
      <w:r>
        <w:rPr>
          <w:color w:val="231F20"/>
          <w:w w:val="110"/>
          <w:sz w:val="16"/>
        </w:rPr>
        <w:t>factual</w:t>
      </w:r>
      <w:r>
        <w:rPr>
          <w:color w:val="231F20"/>
          <w:spacing w:val="-11"/>
          <w:w w:val="110"/>
          <w:sz w:val="16"/>
        </w:rPr>
        <w:t xml:space="preserve"> </w:t>
      </w:r>
      <w:r>
        <w:rPr>
          <w:color w:val="231F20"/>
          <w:w w:val="110"/>
          <w:sz w:val="16"/>
        </w:rPr>
        <w:t>state,</w:t>
      </w:r>
      <w:r>
        <w:rPr>
          <w:color w:val="231F20"/>
          <w:spacing w:val="-12"/>
          <w:w w:val="110"/>
          <w:sz w:val="16"/>
        </w:rPr>
        <w:t xml:space="preserve"> </w:t>
      </w:r>
      <w:r>
        <w:rPr>
          <w:color w:val="231F20"/>
          <w:w w:val="110"/>
          <w:sz w:val="16"/>
        </w:rPr>
        <w:t>i.</w:t>
      </w:r>
      <w:r>
        <w:rPr>
          <w:color w:val="231F20"/>
          <w:spacing w:val="-19"/>
          <w:w w:val="110"/>
          <w:sz w:val="16"/>
        </w:rPr>
        <w:t xml:space="preserve"> </w:t>
      </w:r>
      <w:r>
        <w:rPr>
          <w:color w:val="231F20"/>
          <w:w w:val="110"/>
          <w:sz w:val="16"/>
        </w:rPr>
        <w:t>e.</w:t>
      </w:r>
      <w:r>
        <w:rPr>
          <w:color w:val="231F20"/>
          <w:spacing w:val="-12"/>
          <w:w w:val="110"/>
          <w:sz w:val="16"/>
        </w:rPr>
        <w:t xml:space="preserve"> </w:t>
      </w:r>
      <w:r>
        <w:rPr>
          <w:color w:val="231F20"/>
          <w:w w:val="110"/>
          <w:sz w:val="16"/>
        </w:rPr>
        <w:t>something</w:t>
      </w:r>
      <w:r>
        <w:rPr>
          <w:color w:val="231F20"/>
          <w:spacing w:val="-10"/>
          <w:w w:val="110"/>
          <w:sz w:val="16"/>
        </w:rPr>
        <w:t xml:space="preserve"> </w:t>
      </w:r>
      <w:r>
        <w:rPr>
          <w:color w:val="231F20"/>
          <w:w w:val="110"/>
          <w:sz w:val="16"/>
        </w:rPr>
        <w:t>that</w:t>
      </w:r>
      <w:r>
        <w:rPr>
          <w:color w:val="231F20"/>
          <w:spacing w:val="-11"/>
          <w:w w:val="110"/>
          <w:sz w:val="16"/>
        </w:rPr>
        <w:t xml:space="preserve"> </w:t>
      </w:r>
      <w:r>
        <w:rPr>
          <w:color w:val="231F20"/>
          <w:w w:val="110"/>
          <w:sz w:val="16"/>
        </w:rPr>
        <w:t>did</w:t>
      </w:r>
      <w:r>
        <w:rPr>
          <w:color w:val="231F20"/>
          <w:spacing w:val="-11"/>
          <w:w w:val="110"/>
          <w:sz w:val="16"/>
        </w:rPr>
        <w:t xml:space="preserve"> </w:t>
      </w:r>
      <w:r>
        <w:rPr>
          <w:color w:val="231F20"/>
          <w:w w:val="110"/>
          <w:sz w:val="16"/>
        </w:rPr>
        <w:t>not</w:t>
      </w:r>
      <w:r>
        <w:rPr>
          <w:color w:val="231F20"/>
          <w:spacing w:val="-11"/>
          <w:w w:val="110"/>
          <w:sz w:val="16"/>
        </w:rPr>
        <w:t xml:space="preserve"> </w:t>
      </w:r>
      <w:r>
        <w:rPr>
          <w:color w:val="231F20"/>
          <w:w w:val="110"/>
          <w:sz w:val="16"/>
        </w:rPr>
        <w:t>happen</w:t>
      </w:r>
      <w:r>
        <w:rPr>
          <w:color w:val="231F20"/>
          <w:spacing w:val="-10"/>
          <w:w w:val="110"/>
          <w:sz w:val="16"/>
        </w:rPr>
        <w:t xml:space="preserve"> </w:t>
      </w:r>
      <w:r>
        <w:rPr>
          <w:color w:val="231F20"/>
          <w:w w:val="110"/>
          <w:sz w:val="16"/>
        </w:rPr>
        <w:t>but for</w:t>
      </w:r>
      <w:r>
        <w:rPr>
          <w:color w:val="231F20"/>
          <w:spacing w:val="19"/>
          <w:w w:val="110"/>
          <w:sz w:val="16"/>
        </w:rPr>
        <w:t xml:space="preserve"> </w:t>
      </w:r>
      <w:r>
        <w:rPr>
          <w:color w:val="231F20"/>
          <w:w w:val="110"/>
          <w:sz w:val="16"/>
        </w:rPr>
        <w:t>which</w:t>
      </w:r>
      <w:r>
        <w:rPr>
          <w:color w:val="231F20"/>
          <w:spacing w:val="19"/>
          <w:w w:val="110"/>
          <w:sz w:val="16"/>
        </w:rPr>
        <w:t xml:space="preserve"> </w:t>
      </w:r>
      <w:r>
        <w:rPr>
          <w:color w:val="231F20"/>
          <w:w w:val="110"/>
          <w:sz w:val="16"/>
        </w:rPr>
        <w:t>the</w:t>
      </w:r>
      <w:r>
        <w:rPr>
          <w:color w:val="231F20"/>
          <w:spacing w:val="19"/>
          <w:w w:val="110"/>
          <w:sz w:val="16"/>
        </w:rPr>
        <w:t xml:space="preserve"> </w:t>
      </w:r>
      <w:r>
        <w:rPr>
          <w:color w:val="231F20"/>
          <w:w w:val="110"/>
          <w:sz w:val="16"/>
        </w:rPr>
        <w:t>possibility</w:t>
      </w:r>
      <w:r>
        <w:rPr>
          <w:color w:val="231F20"/>
          <w:spacing w:val="19"/>
          <w:w w:val="110"/>
          <w:sz w:val="16"/>
        </w:rPr>
        <w:t xml:space="preserve"> </w:t>
      </w:r>
      <w:r>
        <w:rPr>
          <w:color w:val="231F20"/>
          <w:w w:val="110"/>
          <w:sz w:val="16"/>
        </w:rPr>
        <w:t>of</w:t>
      </w:r>
      <w:r>
        <w:rPr>
          <w:color w:val="231F20"/>
          <w:spacing w:val="19"/>
          <w:w w:val="110"/>
          <w:sz w:val="16"/>
        </w:rPr>
        <w:t xml:space="preserve"> </w:t>
      </w:r>
      <w:r>
        <w:rPr>
          <w:color w:val="231F20"/>
          <w:w w:val="110"/>
          <w:sz w:val="16"/>
        </w:rPr>
        <w:t>happening</w:t>
      </w:r>
      <w:r>
        <w:rPr>
          <w:color w:val="231F20"/>
          <w:spacing w:val="19"/>
          <w:w w:val="110"/>
          <w:sz w:val="16"/>
        </w:rPr>
        <w:t xml:space="preserve"> </w:t>
      </w:r>
      <w:r>
        <w:rPr>
          <w:color w:val="231F20"/>
          <w:w w:val="110"/>
          <w:sz w:val="16"/>
        </w:rPr>
        <w:t>existed</w:t>
      </w:r>
      <w:r>
        <w:rPr>
          <w:color w:val="231F20"/>
          <w:spacing w:val="19"/>
          <w:w w:val="110"/>
          <w:sz w:val="16"/>
        </w:rPr>
        <w:t xml:space="preserve"> </w:t>
      </w:r>
      <w:r>
        <w:rPr>
          <w:color w:val="231F20"/>
          <w:w w:val="110"/>
          <w:sz w:val="16"/>
        </w:rPr>
        <w:t>in</w:t>
      </w:r>
      <w:r>
        <w:rPr>
          <w:color w:val="231F20"/>
          <w:spacing w:val="19"/>
          <w:w w:val="110"/>
          <w:sz w:val="16"/>
        </w:rPr>
        <w:t xml:space="preserve"> </w:t>
      </w:r>
      <w:r>
        <w:rPr>
          <w:color w:val="231F20"/>
          <w:w w:val="110"/>
          <w:sz w:val="16"/>
        </w:rPr>
        <w:t>the</w:t>
      </w:r>
      <w:r>
        <w:rPr>
          <w:color w:val="231F20"/>
          <w:spacing w:val="19"/>
          <w:w w:val="110"/>
          <w:sz w:val="16"/>
        </w:rPr>
        <w:t xml:space="preserve"> </w:t>
      </w:r>
      <w:r>
        <w:rPr>
          <w:color w:val="231F20"/>
          <w:w w:val="110"/>
          <w:sz w:val="16"/>
        </w:rPr>
        <w:t>past;</w:t>
      </w:r>
      <w:r>
        <w:rPr>
          <w:color w:val="231F20"/>
          <w:spacing w:val="19"/>
          <w:w w:val="110"/>
          <w:sz w:val="16"/>
        </w:rPr>
        <w:t xml:space="preserve"> </w:t>
      </w:r>
      <w:r>
        <w:rPr>
          <w:color w:val="231F20"/>
          <w:w w:val="110"/>
          <w:sz w:val="16"/>
        </w:rPr>
        <w:t>the</w:t>
      </w:r>
      <w:r>
        <w:rPr>
          <w:color w:val="231F20"/>
          <w:spacing w:val="19"/>
          <w:w w:val="110"/>
          <w:sz w:val="16"/>
        </w:rPr>
        <w:t xml:space="preserve"> </w:t>
      </w:r>
      <w:r>
        <w:rPr>
          <w:color w:val="231F20"/>
          <w:w w:val="110"/>
          <w:sz w:val="16"/>
        </w:rPr>
        <w:t>examples</w:t>
      </w:r>
      <w:r>
        <w:rPr>
          <w:color w:val="231F20"/>
          <w:spacing w:val="19"/>
          <w:w w:val="110"/>
          <w:sz w:val="16"/>
        </w:rPr>
        <w:t xml:space="preserve"> </w:t>
      </w:r>
      <w:r>
        <w:rPr>
          <w:color w:val="231F20"/>
          <w:w w:val="110"/>
          <w:sz w:val="16"/>
        </w:rPr>
        <w:t>are</w:t>
      </w:r>
      <w:r>
        <w:rPr>
          <w:color w:val="231F20"/>
          <w:spacing w:val="20"/>
          <w:w w:val="110"/>
          <w:sz w:val="16"/>
        </w:rPr>
        <w:t xml:space="preserve"> </w:t>
      </w:r>
      <w:r>
        <w:rPr>
          <w:color w:val="231F20"/>
          <w:w w:val="110"/>
          <w:sz w:val="16"/>
        </w:rPr>
        <w:t>not</w:t>
      </w:r>
      <w:r>
        <w:rPr>
          <w:color w:val="231F20"/>
          <w:spacing w:val="20"/>
          <w:w w:val="110"/>
          <w:sz w:val="16"/>
        </w:rPr>
        <w:t xml:space="preserve"> </w:t>
      </w:r>
      <w:r>
        <w:rPr>
          <w:color w:val="231F20"/>
          <w:w w:val="110"/>
          <w:sz w:val="16"/>
        </w:rPr>
        <w:t>extremely</w:t>
      </w:r>
    </w:p>
    <w:p w:rsidR="00B05397" w:rsidRDefault="00856287">
      <w:pPr>
        <w:tabs>
          <w:tab w:val="right" w:pos="6985"/>
        </w:tabs>
        <w:ind w:left="120"/>
        <w:rPr>
          <w:sz w:val="16"/>
        </w:rPr>
      </w:pPr>
      <w:r>
        <w:rPr>
          <w:color w:val="231F20"/>
          <w:w w:val="110"/>
          <w:sz w:val="16"/>
        </w:rPr>
        <w:t>frequent</w:t>
      </w:r>
      <w:r>
        <w:rPr>
          <w:color w:val="231F20"/>
          <w:spacing w:val="-12"/>
          <w:w w:val="110"/>
          <w:sz w:val="16"/>
        </w:rPr>
        <w:t xml:space="preserve"> </w:t>
      </w:r>
      <w:r>
        <w:rPr>
          <w:color w:val="231F20"/>
          <w:w w:val="110"/>
          <w:sz w:val="16"/>
        </w:rPr>
        <w:t>in</w:t>
      </w:r>
      <w:r>
        <w:rPr>
          <w:color w:val="231F20"/>
          <w:spacing w:val="-12"/>
          <w:w w:val="110"/>
          <w:sz w:val="16"/>
        </w:rPr>
        <w:t xml:space="preserve"> </w:t>
      </w:r>
      <w:r>
        <w:rPr>
          <w:color w:val="231F20"/>
          <w:w w:val="110"/>
          <w:sz w:val="16"/>
        </w:rPr>
        <w:t>use</w:t>
      </w:r>
      <w:r>
        <w:rPr>
          <w:color w:val="231F20"/>
          <w:spacing w:val="-12"/>
          <w:w w:val="110"/>
          <w:sz w:val="16"/>
        </w:rPr>
        <w:t xml:space="preserve"> </w:t>
      </w:r>
      <w:r>
        <w:rPr>
          <w:color w:val="231F20"/>
          <w:w w:val="110"/>
          <w:sz w:val="16"/>
        </w:rPr>
        <w:t>but</w:t>
      </w:r>
      <w:r>
        <w:rPr>
          <w:color w:val="231F20"/>
          <w:spacing w:val="-11"/>
          <w:w w:val="110"/>
          <w:sz w:val="16"/>
        </w:rPr>
        <w:t xml:space="preserve"> </w:t>
      </w:r>
      <w:r>
        <w:rPr>
          <w:color w:val="231F20"/>
          <w:w w:val="110"/>
          <w:sz w:val="16"/>
        </w:rPr>
        <w:t>they</w:t>
      </w:r>
      <w:r>
        <w:rPr>
          <w:color w:val="231F20"/>
          <w:spacing w:val="-13"/>
          <w:w w:val="110"/>
          <w:sz w:val="16"/>
        </w:rPr>
        <w:t xml:space="preserve"> </w:t>
      </w:r>
      <w:r>
        <w:rPr>
          <w:color w:val="231F20"/>
          <w:w w:val="110"/>
          <w:sz w:val="16"/>
        </w:rPr>
        <w:t>do</w:t>
      </w:r>
      <w:r>
        <w:rPr>
          <w:color w:val="231F20"/>
          <w:spacing w:val="-12"/>
          <w:w w:val="110"/>
          <w:sz w:val="16"/>
        </w:rPr>
        <w:t xml:space="preserve"> </w:t>
      </w:r>
      <w:r>
        <w:rPr>
          <w:color w:val="231F20"/>
          <w:w w:val="110"/>
          <w:sz w:val="16"/>
        </w:rPr>
        <w:t>exist</w:t>
      </w:r>
      <w:r>
        <w:rPr>
          <w:color w:val="231F20"/>
          <w:spacing w:val="-12"/>
          <w:w w:val="110"/>
          <w:sz w:val="16"/>
        </w:rPr>
        <w:t xml:space="preserve"> </w:t>
      </w:r>
      <w:r>
        <w:rPr>
          <w:color w:val="231F20"/>
          <w:w w:val="110"/>
          <w:sz w:val="16"/>
        </w:rPr>
        <w:t>and</w:t>
      </w:r>
      <w:r>
        <w:rPr>
          <w:color w:val="231F20"/>
          <w:spacing w:val="-12"/>
          <w:w w:val="110"/>
          <w:sz w:val="16"/>
        </w:rPr>
        <w:t xml:space="preserve"> </w:t>
      </w:r>
      <w:r>
        <w:rPr>
          <w:color w:val="231F20"/>
          <w:w w:val="110"/>
          <w:sz w:val="16"/>
        </w:rPr>
        <w:t>can</w:t>
      </w:r>
      <w:r>
        <w:rPr>
          <w:color w:val="231F20"/>
          <w:spacing w:val="-11"/>
          <w:w w:val="110"/>
          <w:sz w:val="16"/>
        </w:rPr>
        <w:t xml:space="preserve"> </w:t>
      </w:r>
      <w:r>
        <w:rPr>
          <w:color w:val="231F20"/>
          <w:w w:val="110"/>
          <w:sz w:val="16"/>
        </w:rPr>
        <w:t>easily</w:t>
      </w:r>
      <w:r>
        <w:rPr>
          <w:color w:val="231F20"/>
          <w:spacing w:val="-10"/>
          <w:w w:val="110"/>
          <w:sz w:val="16"/>
        </w:rPr>
        <w:t xml:space="preserve"> </w:t>
      </w:r>
      <w:r>
        <w:rPr>
          <w:color w:val="231F20"/>
          <w:w w:val="110"/>
          <w:sz w:val="16"/>
        </w:rPr>
        <w:t>be</w:t>
      </w:r>
      <w:r>
        <w:rPr>
          <w:color w:val="231F20"/>
          <w:spacing w:val="-12"/>
          <w:w w:val="110"/>
          <w:sz w:val="16"/>
        </w:rPr>
        <w:t xml:space="preserve"> </w:t>
      </w:r>
      <w:r>
        <w:rPr>
          <w:color w:val="231F20"/>
          <w:w w:val="110"/>
          <w:sz w:val="16"/>
        </w:rPr>
        <w:t>found</w:t>
      </w:r>
      <w:r>
        <w:rPr>
          <w:color w:val="231F20"/>
          <w:spacing w:val="-11"/>
          <w:w w:val="110"/>
          <w:sz w:val="16"/>
        </w:rPr>
        <w:t xml:space="preserve"> </w:t>
      </w:r>
      <w:r>
        <w:rPr>
          <w:color w:val="231F20"/>
          <w:w w:val="110"/>
          <w:sz w:val="16"/>
        </w:rPr>
        <w:t>electronically;</w:t>
      </w:r>
      <w:r>
        <w:rPr>
          <w:color w:val="231F20"/>
          <w:spacing w:val="-12"/>
          <w:w w:val="110"/>
          <w:sz w:val="16"/>
        </w:rPr>
        <w:t xml:space="preserve"> </w:t>
      </w:r>
      <w:r>
        <w:rPr>
          <w:color w:val="231F20"/>
          <w:w w:val="110"/>
          <w:sz w:val="16"/>
        </w:rPr>
        <w:t>here</w:t>
      </w:r>
      <w:r>
        <w:rPr>
          <w:color w:val="231F20"/>
          <w:spacing w:val="-10"/>
          <w:w w:val="110"/>
          <w:sz w:val="16"/>
        </w:rPr>
        <w:t xml:space="preserve"> </w:t>
      </w:r>
      <w:r>
        <w:rPr>
          <w:color w:val="231F20"/>
          <w:w w:val="110"/>
          <w:sz w:val="16"/>
        </w:rPr>
        <w:t>is</w:t>
      </w:r>
      <w:r>
        <w:rPr>
          <w:color w:val="231F20"/>
          <w:spacing w:val="-11"/>
          <w:w w:val="110"/>
          <w:sz w:val="16"/>
        </w:rPr>
        <w:t xml:space="preserve"> </w:t>
      </w:r>
      <w:r>
        <w:rPr>
          <w:color w:val="231F20"/>
          <w:w w:val="110"/>
          <w:sz w:val="16"/>
        </w:rPr>
        <w:t>an</w:t>
      </w:r>
      <w:r>
        <w:rPr>
          <w:color w:val="231F20"/>
          <w:spacing w:val="-11"/>
          <w:w w:val="110"/>
          <w:sz w:val="16"/>
        </w:rPr>
        <w:t xml:space="preserve"> </w:t>
      </w:r>
      <w:r>
        <w:rPr>
          <w:color w:val="231F20"/>
          <w:w w:val="110"/>
          <w:sz w:val="16"/>
        </w:rPr>
        <w:t>authentic</w:t>
      </w:r>
      <w:r>
        <w:rPr>
          <w:color w:val="231F20"/>
          <w:spacing w:val="-12"/>
          <w:w w:val="110"/>
          <w:sz w:val="16"/>
        </w:rPr>
        <w:t xml:space="preserve"> </w:t>
      </w:r>
      <w:r>
        <w:rPr>
          <w:color w:val="231F20"/>
          <w:w w:val="110"/>
          <w:sz w:val="16"/>
        </w:rPr>
        <w:t>one:</w:t>
      </w:r>
      <w:r>
        <w:rPr>
          <w:color w:val="231F20"/>
          <w:w w:val="110"/>
          <w:position w:val="1"/>
          <w:sz w:val="16"/>
        </w:rPr>
        <w:tab/>
        <w:t>40</w:t>
      </w:r>
    </w:p>
    <w:p w:rsidR="00B05397" w:rsidRDefault="00B05397">
      <w:pPr>
        <w:rPr>
          <w:sz w:val="16"/>
        </w:rPr>
        <w:sectPr w:rsidR="00B05397">
          <w:headerReference w:type="even" r:id="rId11"/>
          <w:headerReference w:type="default" r:id="rId12"/>
          <w:pgSz w:w="8790" w:h="13040"/>
          <w:pgMar w:top="700" w:right="800" w:bottom="280" w:left="900" w:header="517" w:footer="0" w:gutter="0"/>
          <w:pgNumType w:start="5"/>
          <w:cols w:space="720"/>
        </w:sectPr>
      </w:pPr>
    </w:p>
    <w:p w:rsidR="00B05397" w:rsidRDefault="00B05397">
      <w:pPr>
        <w:pStyle w:val="BodyText"/>
        <w:rPr>
          <w:sz w:val="20"/>
        </w:rPr>
      </w:pPr>
    </w:p>
    <w:p w:rsidR="00B05397" w:rsidRDefault="00B05397">
      <w:pPr>
        <w:pStyle w:val="BodyText"/>
        <w:rPr>
          <w:sz w:val="25"/>
        </w:rPr>
      </w:pPr>
    </w:p>
    <w:p w:rsidR="00B05397" w:rsidRDefault="00856287">
      <w:pPr>
        <w:pStyle w:val="ListParagraph"/>
        <w:numPr>
          <w:ilvl w:val="0"/>
          <w:numId w:val="4"/>
        </w:numPr>
        <w:tabs>
          <w:tab w:val="left" w:pos="598"/>
          <w:tab w:val="left" w:pos="599"/>
        </w:tabs>
        <w:spacing w:before="1"/>
        <w:ind w:left="598" w:hanging="468"/>
        <w:rPr>
          <w:sz w:val="16"/>
        </w:rPr>
      </w:pPr>
      <w:r>
        <w:rPr>
          <w:rFonts w:ascii="Cambria"/>
          <w:i/>
          <w:color w:val="231F20"/>
          <w:sz w:val="19"/>
        </w:rPr>
        <w:t>Some  people  might  have  been  hit  by  the  bottles  flying  around  during</w:t>
      </w:r>
      <w:r>
        <w:rPr>
          <w:rFonts w:ascii="Cambria"/>
          <w:i/>
          <w:color w:val="231F20"/>
          <w:spacing w:val="-13"/>
          <w:sz w:val="19"/>
        </w:rPr>
        <w:t xml:space="preserve"> </w:t>
      </w:r>
      <w:r>
        <w:rPr>
          <w:rFonts w:ascii="Cambria"/>
          <w:i/>
          <w:color w:val="231F20"/>
          <w:sz w:val="19"/>
        </w:rPr>
        <w:t xml:space="preserve">the  </w:t>
      </w:r>
      <w:r>
        <w:rPr>
          <w:color w:val="231F20"/>
          <w:position w:val="2"/>
          <w:sz w:val="16"/>
        </w:rPr>
        <w:t>1</w:t>
      </w:r>
    </w:p>
    <w:p w:rsidR="00B05397" w:rsidRDefault="00856287">
      <w:pPr>
        <w:spacing w:before="35"/>
        <w:ind w:left="598" w:right="210"/>
        <w:rPr>
          <w:sz w:val="19"/>
        </w:rPr>
      </w:pPr>
      <w:r>
        <w:rPr>
          <w:rFonts w:ascii="Cambria" w:hAnsi="Cambria"/>
          <w:i/>
          <w:color w:val="231F20"/>
          <w:sz w:val="19"/>
        </w:rPr>
        <w:t>fight, butluckily they weren</w:t>
      </w:r>
      <w:r>
        <w:rPr>
          <w:rFonts w:ascii="Calibri" w:hAnsi="Calibri"/>
          <w:color w:val="231F20"/>
          <w:sz w:val="19"/>
        </w:rPr>
        <w:t>’</w:t>
      </w:r>
      <w:r>
        <w:rPr>
          <w:rFonts w:ascii="Cambria" w:hAnsi="Cambria"/>
          <w:i/>
          <w:color w:val="231F20"/>
          <w:sz w:val="19"/>
        </w:rPr>
        <w:t>t</w:t>
      </w:r>
      <w:r>
        <w:rPr>
          <w:color w:val="231F20"/>
          <w:sz w:val="19"/>
        </w:rPr>
        <w:t>.</w:t>
      </w:r>
    </w:p>
    <w:p w:rsidR="00B05397" w:rsidRDefault="00B05397">
      <w:pPr>
        <w:pStyle w:val="BodyText"/>
        <w:spacing w:before="2"/>
        <w:rPr>
          <w:sz w:val="25"/>
        </w:rPr>
      </w:pPr>
    </w:p>
    <w:p w:rsidR="00B05397" w:rsidRDefault="00856287">
      <w:pPr>
        <w:pStyle w:val="BodyText"/>
        <w:spacing w:line="276" w:lineRule="auto"/>
        <w:ind w:left="130" w:right="129" w:hanging="2"/>
      </w:pPr>
      <w:r>
        <w:rPr>
          <w:color w:val="231F20"/>
          <w:w w:val="110"/>
        </w:rPr>
        <w:t xml:space="preserve">It is of crucial importance for our present goal to emphasise that grammatically, there is no hard and fast rule that qualifies </w:t>
      </w:r>
      <w:r>
        <w:rPr>
          <w:rFonts w:ascii="Cambria" w:hAnsi="Cambria"/>
          <w:i/>
          <w:color w:val="231F20"/>
          <w:w w:val="110"/>
        </w:rPr>
        <w:t xml:space="preserve">may </w:t>
      </w:r>
      <w:r>
        <w:rPr>
          <w:color w:val="231F20"/>
          <w:w w:val="110"/>
        </w:rPr>
        <w:t xml:space="preserve">and </w:t>
      </w:r>
      <w:r>
        <w:rPr>
          <w:rFonts w:ascii="Cambria" w:hAnsi="Cambria"/>
          <w:i/>
          <w:color w:val="231F20"/>
          <w:w w:val="110"/>
        </w:rPr>
        <w:t xml:space="preserve">might </w:t>
      </w:r>
      <w:r>
        <w:rPr>
          <w:color w:val="231F20"/>
          <w:w w:val="110"/>
        </w:rPr>
        <w:t xml:space="preserve">as having clearly </w:t>
      </w:r>
      <w:r>
        <w:rPr>
          <w:color w:val="231F20"/>
          <w:w w:val="110"/>
          <w:position w:val="2"/>
          <w:sz w:val="16"/>
        </w:rPr>
        <w:t xml:space="preserve">5 </w:t>
      </w:r>
      <w:r>
        <w:rPr>
          <w:color w:val="231F20"/>
          <w:w w:val="110"/>
        </w:rPr>
        <w:t>different meanings with regard to the expressed possibility/likelihood about the occurrence of</w:t>
      </w:r>
      <w:r>
        <w:rPr>
          <w:color w:val="231F20"/>
          <w:w w:val="110"/>
        </w:rPr>
        <w:t xml:space="preserve"> an event. Huddleston and Pullum (2002: 200) observe that </w:t>
      </w:r>
      <w:r>
        <w:rPr>
          <w:rFonts w:ascii="Calibri" w:hAnsi="Calibri"/>
          <w:color w:val="231F20"/>
          <w:w w:val="110"/>
        </w:rPr>
        <w:t>“</w:t>
      </w:r>
      <w:r>
        <w:rPr>
          <w:color w:val="231F20"/>
          <w:w w:val="110"/>
        </w:rPr>
        <w:t>for some speakers at least</w:t>
      </w:r>
      <w:r>
        <w:rPr>
          <w:rFonts w:ascii="Calibri" w:hAnsi="Calibri"/>
          <w:color w:val="231F20"/>
          <w:w w:val="110"/>
        </w:rPr>
        <w:t xml:space="preserve">” </w:t>
      </w:r>
      <w:r>
        <w:rPr>
          <w:rFonts w:ascii="Cambria" w:hAnsi="Cambria"/>
          <w:i/>
          <w:color w:val="231F20"/>
          <w:w w:val="110"/>
        </w:rPr>
        <w:t xml:space="preserve">might </w:t>
      </w:r>
      <w:r>
        <w:rPr>
          <w:color w:val="231F20"/>
          <w:w w:val="110"/>
        </w:rPr>
        <w:t xml:space="preserve">could be more tentative than </w:t>
      </w:r>
      <w:r>
        <w:rPr>
          <w:rFonts w:ascii="Cambria" w:hAnsi="Cambria"/>
          <w:i/>
          <w:color w:val="231F20"/>
          <w:w w:val="110"/>
        </w:rPr>
        <w:t xml:space="preserve">may </w:t>
      </w:r>
      <w:r>
        <w:rPr>
          <w:color w:val="231F20"/>
          <w:w w:val="110"/>
        </w:rPr>
        <w:t xml:space="preserve">and therefore interpreted as a marker for lower possibility/certainty  than  </w:t>
      </w:r>
      <w:r>
        <w:rPr>
          <w:rFonts w:ascii="Cambria" w:hAnsi="Cambria"/>
          <w:i/>
          <w:color w:val="231F20"/>
          <w:w w:val="110"/>
        </w:rPr>
        <w:t>may</w:t>
      </w:r>
      <w:r>
        <w:rPr>
          <w:color w:val="231F20"/>
          <w:w w:val="110"/>
        </w:rPr>
        <w:t>.  This  very hedged</w:t>
      </w:r>
      <w:r>
        <w:rPr>
          <w:color w:val="231F20"/>
          <w:spacing w:val="-11"/>
          <w:w w:val="110"/>
        </w:rPr>
        <w:t xml:space="preserve"> </w:t>
      </w:r>
      <w:r>
        <w:rPr>
          <w:color w:val="231F20"/>
          <w:w w:val="110"/>
        </w:rPr>
        <w:t>statement</w:t>
      </w:r>
      <w:r>
        <w:rPr>
          <w:color w:val="231F20"/>
          <w:spacing w:val="-12"/>
          <w:w w:val="110"/>
        </w:rPr>
        <w:t xml:space="preserve"> </w:t>
      </w:r>
      <w:r>
        <w:rPr>
          <w:color w:val="231F20"/>
          <w:w w:val="110"/>
        </w:rPr>
        <w:t>(</w:t>
      </w:r>
      <w:r>
        <w:rPr>
          <w:rFonts w:ascii="Cambria" w:hAnsi="Cambria"/>
          <w:i/>
          <w:color w:val="231F20"/>
          <w:w w:val="110"/>
        </w:rPr>
        <w:t>for</w:t>
      </w:r>
      <w:r>
        <w:rPr>
          <w:rFonts w:ascii="Cambria" w:hAnsi="Cambria"/>
          <w:i/>
          <w:color w:val="231F20"/>
          <w:spacing w:val="-6"/>
          <w:w w:val="110"/>
        </w:rPr>
        <w:t xml:space="preserve"> </w:t>
      </w:r>
      <w:r>
        <w:rPr>
          <w:rFonts w:ascii="Cambria" w:hAnsi="Cambria"/>
          <w:i/>
          <w:color w:val="231F20"/>
          <w:w w:val="110"/>
        </w:rPr>
        <w:t>some</w:t>
      </w:r>
      <w:r>
        <w:rPr>
          <w:rFonts w:ascii="Cambria" w:hAnsi="Cambria"/>
          <w:i/>
          <w:color w:val="231F20"/>
          <w:spacing w:val="-6"/>
          <w:w w:val="110"/>
        </w:rPr>
        <w:t xml:space="preserve"> </w:t>
      </w:r>
      <w:r>
        <w:rPr>
          <w:rFonts w:ascii="Cambria" w:hAnsi="Cambria"/>
          <w:i/>
          <w:color w:val="231F20"/>
          <w:w w:val="110"/>
        </w:rPr>
        <w:t>speakers</w:t>
      </w:r>
      <w:r>
        <w:rPr>
          <w:rFonts w:ascii="Cambria" w:hAnsi="Cambria"/>
          <w:i/>
          <w:color w:val="231F20"/>
          <w:spacing w:val="-5"/>
          <w:w w:val="110"/>
        </w:rPr>
        <w:t xml:space="preserve"> </w:t>
      </w:r>
      <w:r>
        <w:rPr>
          <w:rFonts w:ascii="Cambria" w:hAnsi="Cambria"/>
          <w:i/>
          <w:color w:val="231F20"/>
          <w:w w:val="110"/>
        </w:rPr>
        <w:t>at</w:t>
      </w:r>
      <w:r>
        <w:rPr>
          <w:rFonts w:ascii="Cambria" w:hAnsi="Cambria"/>
          <w:i/>
          <w:color w:val="231F20"/>
          <w:spacing w:val="-5"/>
          <w:w w:val="110"/>
        </w:rPr>
        <w:t xml:space="preserve"> </w:t>
      </w:r>
      <w:r>
        <w:rPr>
          <w:rFonts w:ascii="Cambria" w:hAnsi="Cambria"/>
          <w:i/>
          <w:color w:val="231F20"/>
          <w:w w:val="110"/>
        </w:rPr>
        <w:t>least</w:t>
      </w:r>
      <w:r>
        <w:rPr>
          <w:color w:val="231F20"/>
          <w:w w:val="110"/>
        </w:rPr>
        <w:t>)</w:t>
      </w:r>
      <w:r>
        <w:rPr>
          <w:color w:val="231F20"/>
          <w:spacing w:val="-12"/>
          <w:w w:val="110"/>
        </w:rPr>
        <w:t xml:space="preserve"> </w:t>
      </w:r>
      <w:r>
        <w:rPr>
          <w:color w:val="231F20"/>
          <w:w w:val="110"/>
        </w:rPr>
        <w:t>suggests</w:t>
      </w:r>
      <w:r>
        <w:rPr>
          <w:color w:val="231F20"/>
          <w:spacing w:val="-12"/>
          <w:w w:val="110"/>
        </w:rPr>
        <w:t xml:space="preserve"> </w:t>
      </w:r>
      <w:r>
        <w:rPr>
          <w:color w:val="231F20"/>
          <w:w w:val="110"/>
        </w:rPr>
        <w:t>that</w:t>
      </w:r>
      <w:r>
        <w:rPr>
          <w:color w:val="231F20"/>
          <w:spacing w:val="-12"/>
          <w:w w:val="110"/>
        </w:rPr>
        <w:t xml:space="preserve"> </w:t>
      </w:r>
      <w:r>
        <w:rPr>
          <w:color w:val="231F20"/>
          <w:w w:val="110"/>
        </w:rPr>
        <w:t>this</w:t>
      </w:r>
      <w:r>
        <w:rPr>
          <w:color w:val="231F20"/>
          <w:spacing w:val="-11"/>
          <w:w w:val="110"/>
        </w:rPr>
        <w:t xml:space="preserve"> </w:t>
      </w:r>
      <w:r>
        <w:rPr>
          <w:color w:val="231F20"/>
          <w:w w:val="110"/>
        </w:rPr>
        <w:t>possible</w:t>
      </w:r>
      <w:r>
        <w:rPr>
          <w:color w:val="231F20"/>
          <w:spacing w:val="-12"/>
          <w:w w:val="110"/>
        </w:rPr>
        <w:t xml:space="preserve"> </w:t>
      </w:r>
      <w:r>
        <w:rPr>
          <w:color w:val="231F20"/>
          <w:w w:val="110"/>
        </w:rPr>
        <w:t>differ-</w:t>
      </w:r>
      <w:r>
        <w:rPr>
          <w:color w:val="231F20"/>
          <w:spacing w:val="21"/>
          <w:w w:val="110"/>
        </w:rPr>
        <w:t xml:space="preserve"> </w:t>
      </w:r>
      <w:r>
        <w:rPr>
          <w:color w:val="231F20"/>
          <w:w w:val="110"/>
          <w:position w:val="2"/>
          <w:sz w:val="16"/>
        </w:rPr>
        <w:t xml:space="preserve">10 </w:t>
      </w:r>
      <w:r>
        <w:rPr>
          <w:color w:val="231F20"/>
          <w:w w:val="110"/>
        </w:rPr>
        <w:t>ence in meaning and use is far from established as a grammatical rule and it is  not a kind of prominent grammatical distinction explicitly taught to  native speakers. Similarly, Quirk et al. (1985: 223) not</w:t>
      </w:r>
      <w:r>
        <w:rPr>
          <w:color w:val="231F20"/>
          <w:w w:val="110"/>
        </w:rPr>
        <w:t xml:space="preserve">e that </w:t>
      </w:r>
      <w:r>
        <w:rPr>
          <w:rFonts w:ascii="Cambria" w:hAnsi="Cambria"/>
          <w:i/>
          <w:color w:val="231F20"/>
          <w:w w:val="110"/>
        </w:rPr>
        <w:t xml:space="preserve">might </w:t>
      </w:r>
      <w:r>
        <w:rPr>
          <w:rFonts w:ascii="Calibri" w:hAnsi="Calibri"/>
          <w:color w:val="231F20"/>
          <w:w w:val="110"/>
        </w:rPr>
        <w:t>“</w:t>
      </w:r>
      <w:r>
        <w:rPr>
          <w:color w:val="231F20"/>
          <w:w w:val="110"/>
        </w:rPr>
        <w:t xml:space="preserve">can be used as (somewhat more tentative) alternative to </w:t>
      </w:r>
      <w:r>
        <w:rPr>
          <w:rFonts w:ascii="Cambria" w:hAnsi="Cambria"/>
          <w:i/>
          <w:color w:val="231F20"/>
          <w:w w:val="110"/>
        </w:rPr>
        <w:t>may</w:t>
      </w:r>
      <w:r>
        <w:rPr>
          <w:rFonts w:ascii="Calibri" w:hAnsi="Calibri"/>
          <w:color w:val="231F20"/>
          <w:w w:val="110"/>
        </w:rPr>
        <w:t>”</w:t>
      </w:r>
      <w:r>
        <w:rPr>
          <w:color w:val="231F20"/>
          <w:w w:val="110"/>
        </w:rPr>
        <w:t>. However, they also point out (Quirk</w:t>
      </w:r>
      <w:r>
        <w:rPr>
          <w:color w:val="231F20"/>
          <w:spacing w:val="-8"/>
          <w:w w:val="110"/>
        </w:rPr>
        <w:t xml:space="preserve"> </w:t>
      </w:r>
      <w:r>
        <w:rPr>
          <w:color w:val="231F20"/>
          <w:w w:val="110"/>
        </w:rPr>
        <w:t>et</w:t>
      </w:r>
      <w:r>
        <w:rPr>
          <w:color w:val="231F20"/>
          <w:spacing w:val="-27"/>
          <w:w w:val="110"/>
        </w:rPr>
        <w:t xml:space="preserve"> </w:t>
      </w:r>
      <w:r>
        <w:rPr>
          <w:color w:val="231F20"/>
          <w:w w:val="110"/>
        </w:rPr>
        <w:t>al.</w:t>
      </w:r>
      <w:r>
        <w:rPr>
          <w:color w:val="231F20"/>
          <w:spacing w:val="-8"/>
          <w:w w:val="110"/>
        </w:rPr>
        <w:t xml:space="preserve"> </w:t>
      </w:r>
      <w:r>
        <w:rPr>
          <w:color w:val="231F20"/>
          <w:w w:val="110"/>
        </w:rPr>
        <w:t>1985:</w:t>
      </w:r>
      <w:r>
        <w:rPr>
          <w:color w:val="231F20"/>
          <w:spacing w:val="-31"/>
          <w:w w:val="110"/>
        </w:rPr>
        <w:t xml:space="preserve"> </w:t>
      </w:r>
      <w:r>
        <w:rPr>
          <w:color w:val="231F20"/>
          <w:w w:val="110"/>
        </w:rPr>
        <w:t>233)</w:t>
      </w:r>
      <w:r>
        <w:rPr>
          <w:color w:val="231F20"/>
          <w:spacing w:val="-8"/>
          <w:w w:val="110"/>
        </w:rPr>
        <w:t xml:space="preserve"> </w:t>
      </w:r>
      <w:r>
        <w:rPr>
          <w:color w:val="231F20"/>
          <w:w w:val="110"/>
        </w:rPr>
        <w:t>that</w:t>
      </w:r>
      <w:r>
        <w:rPr>
          <w:color w:val="231F20"/>
          <w:spacing w:val="-8"/>
          <w:w w:val="110"/>
        </w:rPr>
        <w:t xml:space="preserve"> </w:t>
      </w:r>
      <w:r>
        <w:rPr>
          <w:rFonts w:ascii="Calibri" w:hAnsi="Calibri"/>
          <w:color w:val="231F20"/>
          <w:w w:val="110"/>
        </w:rPr>
        <w:t>“</w:t>
      </w:r>
      <w:r>
        <w:rPr>
          <w:color w:val="231F20"/>
          <w:w w:val="110"/>
        </w:rPr>
        <w:t>there</w:t>
      </w:r>
      <w:r>
        <w:rPr>
          <w:color w:val="231F20"/>
          <w:spacing w:val="-8"/>
          <w:w w:val="110"/>
        </w:rPr>
        <w:t xml:space="preserve"> </w:t>
      </w:r>
      <w:r>
        <w:rPr>
          <w:color w:val="231F20"/>
          <w:w w:val="110"/>
        </w:rPr>
        <w:t>is</w:t>
      </w:r>
      <w:r>
        <w:rPr>
          <w:color w:val="231F20"/>
          <w:spacing w:val="-8"/>
          <w:w w:val="110"/>
        </w:rPr>
        <w:t xml:space="preserve"> </w:t>
      </w:r>
      <w:r>
        <w:rPr>
          <w:color w:val="231F20"/>
          <w:w w:val="110"/>
        </w:rPr>
        <w:t>a</w:t>
      </w:r>
      <w:r>
        <w:rPr>
          <w:color w:val="231F20"/>
          <w:spacing w:val="-8"/>
          <w:w w:val="110"/>
        </w:rPr>
        <w:t xml:space="preserve"> </w:t>
      </w:r>
      <w:r>
        <w:rPr>
          <w:color w:val="231F20"/>
          <w:w w:val="110"/>
        </w:rPr>
        <w:t>tendency</w:t>
      </w:r>
      <w:r>
        <w:rPr>
          <w:color w:val="231F20"/>
          <w:spacing w:val="-8"/>
          <w:w w:val="110"/>
        </w:rPr>
        <w:t xml:space="preserve"> </w:t>
      </w:r>
      <w:r>
        <w:rPr>
          <w:color w:val="231F20"/>
          <w:w w:val="110"/>
        </w:rPr>
        <w:t>for</w:t>
      </w:r>
      <w:r>
        <w:rPr>
          <w:color w:val="231F20"/>
          <w:spacing w:val="-8"/>
          <w:w w:val="110"/>
        </w:rPr>
        <w:t xml:space="preserve"> </w:t>
      </w:r>
      <w:r>
        <w:rPr>
          <w:color w:val="231F20"/>
          <w:w w:val="110"/>
        </w:rPr>
        <w:t>the</w:t>
      </w:r>
      <w:r>
        <w:rPr>
          <w:color w:val="231F20"/>
          <w:spacing w:val="-8"/>
          <w:w w:val="110"/>
        </w:rPr>
        <w:t xml:space="preserve"> </w:t>
      </w:r>
      <w:r>
        <w:rPr>
          <w:color w:val="231F20"/>
          <w:w w:val="110"/>
        </w:rPr>
        <w:t>difference</w:t>
      </w:r>
      <w:r>
        <w:rPr>
          <w:color w:val="231F20"/>
          <w:spacing w:val="-8"/>
          <w:w w:val="110"/>
        </w:rPr>
        <w:t xml:space="preserve"> </w:t>
      </w:r>
      <w:r>
        <w:rPr>
          <w:color w:val="231F20"/>
          <w:w w:val="110"/>
        </w:rPr>
        <w:t>between</w:t>
      </w:r>
      <w:r>
        <w:rPr>
          <w:color w:val="231F20"/>
          <w:spacing w:val="-8"/>
          <w:w w:val="110"/>
        </w:rPr>
        <w:t xml:space="preserve"> </w:t>
      </w:r>
      <w:r>
        <w:rPr>
          <w:rFonts w:ascii="Cambria" w:hAnsi="Cambria"/>
          <w:i/>
          <w:color w:val="231F20"/>
          <w:w w:val="110"/>
        </w:rPr>
        <w:t>may</w:t>
      </w:r>
      <w:r>
        <w:rPr>
          <w:rFonts w:ascii="Cambria" w:hAnsi="Cambria"/>
          <w:i/>
          <w:color w:val="231F20"/>
          <w:spacing w:val="33"/>
          <w:w w:val="110"/>
        </w:rPr>
        <w:t xml:space="preserve"> </w:t>
      </w:r>
      <w:r>
        <w:rPr>
          <w:color w:val="231F20"/>
          <w:w w:val="110"/>
          <w:position w:val="2"/>
          <w:sz w:val="16"/>
        </w:rPr>
        <w:t xml:space="preserve">15 </w:t>
      </w:r>
      <w:r>
        <w:rPr>
          <w:color w:val="231F20"/>
          <w:w w:val="110"/>
        </w:rPr>
        <w:t>and</w:t>
      </w:r>
      <w:r>
        <w:rPr>
          <w:color w:val="231F20"/>
          <w:spacing w:val="-8"/>
          <w:w w:val="110"/>
        </w:rPr>
        <w:t xml:space="preserve"> </w:t>
      </w:r>
      <w:r>
        <w:rPr>
          <w:rFonts w:ascii="Cambria" w:hAnsi="Cambria"/>
          <w:i/>
          <w:color w:val="231F20"/>
          <w:w w:val="110"/>
        </w:rPr>
        <w:t>might</w:t>
      </w:r>
      <w:r>
        <w:rPr>
          <w:rFonts w:ascii="Cambria" w:hAnsi="Cambria"/>
          <w:i/>
          <w:color w:val="231F20"/>
          <w:spacing w:val="-3"/>
          <w:w w:val="110"/>
        </w:rPr>
        <w:t xml:space="preserve"> </w:t>
      </w:r>
      <w:r>
        <w:rPr>
          <w:color w:val="231F20"/>
          <w:w w:val="110"/>
        </w:rPr>
        <w:t>(in</w:t>
      </w:r>
      <w:r>
        <w:rPr>
          <w:color w:val="231F20"/>
          <w:spacing w:val="-8"/>
          <w:w w:val="110"/>
        </w:rPr>
        <w:t xml:space="preserve"> </w:t>
      </w:r>
      <w:r>
        <w:rPr>
          <w:color w:val="231F20"/>
          <w:w w:val="110"/>
        </w:rPr>
        <w:t>a</w:t>
      </w:r>
      <w:r>
        <w:rPr>
          <w:color w:val="231F20"/>
          <w:spacing w:val="-9"/>
          <w:w w:val="110"/>
        </w:rPr>
        <w:t xml:space="preserve"> </w:t>
      </w:r>
      <w:r>
        <w:rPr>
          <w:color w:val="231F20"/>
          <w:w w:val="110"/>
        </w:rPr>
        <w:t>sense</w:t>
      </w:r>
      <w:r>
        <w:rPr>
          <w:color w:val="231F20"/>
          <w:spacing w:val="-8"/>
          <w:w w:val="110"/>
        </w:rPr>
        <w:t xml:space="preserve"> </w:t>
      </w:r>
      <w:r>
        <w:rPr>
          <w:color w:val="231F20"/>
          <w:w w:val="110"/>
        </w:rPr>
        <w:t>of</w:t>
      </w:r>
      <w:r>
        <w:rPr>
          <w:color w:val="231F20"/>
          <w:spacing w:val="-8"/>
          <w:w w:val="110"/>
        </w:rPr>
        <w:t xml:space="preserve"> </w:t>
      </w:r>
      <w:r>
        <w:rPr>
          <w:color w:val="231F20"/>
          <w:w w:val="110"/>
        </w:rPr>
        <w:t>tentative</w:t>
      </w:r>
      <w:r>
        <w:rPr>
          <w:color w:val="231F20"/>
          <w:spacing w:val="-9"/>
          <w:w w:val="110"/>
        </w:rPr>
        <w:t xml:space="preserve"> </w:t>
      </w:r>
      <w:r>
        <w:rPr>
          <w:color w:val="231F20"/>
          <w:w w:val="110"/>
        </w:rPr>
        <w:t>possibility)</w:t>
      </w:r>
      <w:r>
        <w:rPr>
          <w:color w:val="231F20"/>
          <w:spacing w:val="-8"/>
          <w:w w:val="110"/>
        </w:rPr>
        <w:t xml:space="preserve"> </w:t>
      </w:r>
      <w:r>
        <w:rPr>
          <w:color w:val="231F20"/>
          <w:w w:val="110"/>
        </w:rPr>
        <w:t>to</w:t>
      </w:r>
      <w:r>
        <w:rPr>
          <w:color w:val="231F20"/>
          <w:spacing w:val="-8"/>
          <w:w w:val="110"/>
        </w:rPr>
        <w:t xml:space="preserve"> </w:t>
      </w:r>
      <w:r>
        <w:rPr>
          <w:color w:val="231F20"/>
          <w:w w:val="110"/>
        </w:rPr>
        <w:t>be</w:t>
      </w:r>
      <w:r>
        <w:rPr>
          <w:color w:val="231F20"/>
          <w:spacing w:val="-8"/>
          <w:w w:val="110"/>
        </w:rPr>
        <w:t xml:space="preserve"> </w:t>
      </w:r>
      <w:r>
        <w:rPr>
          <w:color w:val="231F20"/>
          <w:w w:val="110"/>
        </w:rPr>
        <w:t>neutralized</w:t>
      </w:r>
      <w:r>
        <w:rPr>
          <w:rFonts w:ascii="Calibri" w:hAnsi="Calibri"/>
          <w:color w:val="231F20"/>
          <w:w w:val="110"/>
        </w:rPr>
        <w:t>”</w:t>
      </w:r>
      <w:r>
        <w:rPr>
          <w:color w:val="231F20"/>
          <w:w w:val="110"/>
        </w:rPr>
        <w:t>,</w:t>
      </w:r>
      <w:r>
        <w:rPr>
          <w:color w:val="231F20"/>
          <w:spacing w:val="-9"/>
          <w:w w:val="110"/>
        </w:rPr>
        <w:t xml:space="preserve"> </w:t>
      </w:r>
      <w:r>
        <w:rPr>
          <w:color w:val="231F20"/>
          <w:w w:val="110"/>
        </w:rPr>
        <w:t>since</w:t>
      </w:r>
      <w:r>
        <w:rPr>
          <w:color w:val="231F20"/>
          <w:spacing w:val="-8"/>
          <w:w w:val="110"/>
        </w:rPr>
        <w:t xml:space="preserve"> </w:t>
      </w:r>
      <w:r>
        <w:rPr>
          <w:color w:val="231F20"/>
          <w:w w:val="110"/>
        </w:rPr>
        <w:t>there</w:t>
      </w:r>
      <w:r>
        <w:rPr>
          <w:color w:val="231F20"/>
          <w:spacing w:val="-8"/>
          <w:w w:val="110"/>
        </w:rPr>
        <w:t xml:space="preserve"> </w:t>
      </w:r>
      <w:r>
        <w:rPr>
          <w:color w:val="231F20"/>
          <w:w w:val="110"/>
        </w:rPr>
        <w:t>can</w:t>
      </w:r>
    </w:p>
    <w:p w:rsidR="00B05397" w:rsidRDefault="00856287">
      <w:pPr>
        <w:pStyle w:val="BodyText"/>
        <w:spacing w:line="280" w:lineRule="auto"/>
        <w:ind w:left="130" w:right="71"/>
      </w:pPr>
      <w:r>
        <w:rPr>
          <w:color w:val="231F20"/>
          <w:w w:val="110"/>
        </w:rPr>
        <w:t xml:space="preserve">be little or no difference for some speakers between </w:t>
      </w:r>
      <w:r>
        <w:rPr>
          <w:rFonts w:ascii="Cambria"/>
          <w:i/>
          <w:color w:val="231F20"/>
          <w:w w:val="110"/>
        </w:rPr>
        <w:t xml:space="preserve">You may be wrong </w:t>
      </w:r>
      <w:r>
        <w:rPr>
          <w:color w:val="231F20"/>
          <w:w w:val="110"/>
        </w:rPr>
        <w:t xml:space="preserve">and </w:t>
      </w:r>
      <w:r>
        <w:rPr>
          <w:rFonts w:ascii="Cambria"/>
          <w:i/>
          <w:color w:val="231F20"/>
          <w:w w:val="110"/>
        </w:rPr>
        <w:t xml:space="preserve">You might be wrong </w:t>
      </w:r>
      <w:r>
        <w:rPr>
          <w:color w:val="231F20"/>
          <w:w w:val="110"/>
        </w:rPr>
        <w:t xml:space="preserve">(Quirk et al. 1985: 234). In many cases it may be just a matter of politeness, since </w:t>
      </w:r>
      <w:r>
        <w:rPr>
          <w:rFonts w:ascii="Cambria"/>
          <w:i/>
          <w:color w:val="231F20"/>
          <w:w w:val="110"/>
        </w:rPr>
        <w:t xml:space="preserve">might </w:t>
      </w:r>
      <w:r>
        <w:rPr>
          <w:color w:val="231F20"/>
          <w:w w:val="110"/>
        </w:rPr>
        <w:t>indicates more tentativeness, and thus more politeness</w:t>
      </w:r>
      <w:r>
        <w:rPr>
          <w:color w:val="231F20"/>
          <w:w w:val="110"/>
        </w:rPr>
        <w:t xml:space="preserve">, than </w:t>
      </w:r>
      <w:r>
        <w:rPr>
          <w:rFonts w:ascii="Cambria"/>
          <w:i/>
          <w:color w:val="231F20"/>
          <w:w w:val="110"/>
        </w:rPr>
        <w:t>may</w:t>
      </w:r>
      <w:r>
        <w:rPr>
          <w:color w:val="231F20"/>
          <w:w w:val="110"/>
        </w:rPr>
        <w:t xml:space="preserve">. However, in terms of the degree of perceived possibility (past or </w:t>
      </w:r>
      <w:r>
        <w:rPr>
          <w:color w:val="231F20"/>
          <w:w w:val="110"/>
          <w:position w:val="2"/>
          <w:sz w:val="16"/>
        </w:rPr>
        <w:t xml:space="preserve">20 </w:t>
      </w:r>
      <w:r>
        <w:rPr>
          <w:color w:val="231F20"/>
          <w:w w:val="110"/>
        </w:rPr>
        <w:t>future) there is no indication that any distinction could reliably be made and</w:t>
      </w:r>
    </w:p>
    <w:p w:rsidR="00B05397" w:rsidRDefault="00856287">
      <w:pPr>
        <w:pStyle w:val="BodyText"/>
        <w:spacing w:before="4" w:line="283" w:lineRule="auto"/>
        <w:ind w:left="130" w:right="128"/>
      </w:pPr>
      <w:r>
        <w:rPr>
          <w:color w:val="231F20"/>
          <w:w w:val="105"/>
        </w:rPr>
        <w:t>it is certainly not an area for discussion to which English grammars pay a lot of attention.  In</w:t>
      </w:r>
      <w:r>
        <w:rPr>
          <w:color w:val="231F20"/>
          <w:w w:val="105"/>
        </w:rPr>
        <w:t xml:space="preserve">  fact,  the  </w:t>
      </w:r>
      <w:r>
        <w:rPr>
          <w:rFonts w:ascii="Cambria"/>
          <w:i/>
          <w:color w:val="231F20"/>
          <w:w w:val="105"/>
        </w:rPr>
        <w:t xml:space="preserve">may/might  </w:t>
      </w:r>
      <w:r>
        <w:rPr>
          <w:color w:val="231F20"/>
          <w:w w:val="105"/>
        </w:rPr>
        <w:t xml:space="preserve">distinction  is  mentioned  almost  in  passing  in the key grammars written for English (or in the case of Quirk et al. 1985 as a footnote). We may conclude that this is not a very salient meaning distinction for </w:t>
      </w:r>
      <w:r>
        <w:rPr>
          <w:color w:val="231F20"/>
          <w:w w:val="105"/>
          <w:position w:val="2"/>
          <w:sz w:val="16"/>
        </w:rPr>
        <w:t xml:space="preserve">25 </w:t>
      </w:r>
      <w:r>
        <w:rPr>
          <w:color w:val="231F20"/>
          <w:w w:val="105"/>
        </w:rPr>
        <w:t>native speakers (see also Whittaker 1987, for a    discussion).</w:t>
      </w:r>
    </w:p>
    <w:p w:rsidR="00B05397" w:rsidRDefault="00856287">
      <w:pPr>
        <w:pStyle w:val="BodyText"/>
        <w:spacing w:line="280" w:lineRule="auto"/>
        <w:ind w:left="130" w:right="398" w:firstLine="339"/>
        <w:jc w:val="both"/>
      </w:pPr>
      <w:r>
        <w:rPr>
          <w:color w:val="231F20"/>
          <w:w w:val="105"/>
        </w:rPr>
        <w:t xml:space="preserve">The counterfactual use of </w:t>
      </w:r>
      <w:r>
        <w:rPr>
          <w:rFonts w:ascii="Cambria" w:hAnsi="Cambria"/>
          <w:i/>
          <w:color w:val="231F20"/>
          <w:w w:val="105"/>
        </w:rPr>
        <w:t xml:space="preserve">might </w:t>
      </w:r>
      <w:r>
        <w:rPr>
          <w:color w:val="231F20"/>
          <w:w w:val="105"/>
        </w:rPr>
        <w:t xml:space="preserve">+ </w:t>
      </w:r>
      <w:r>
        <w:rPr>
          <w:rFonts w:ascii="Cambria" w:hAnsi="Cambria"/>
          <w:i/>
          <w:color w:val="231F20"/>
          <w:w w:val="105"/>
        </w:rPr>
        <w:t xml:space="preserve">perfect infinitive </w:t>
      </w:r>
      <w:r>
        <w:rPr>
          <w:color w:val="231F20"/>
          <w:w w:val="105"/>
        </w:rPr>
        <w:t>as in example (6) above is comparatively rare, in contrast to its other, significantly more frequent mean- ing  of  expressing  possibility</w:t>
      </w:r>
      <w:r>
        <w:rPr>
          <w:color w:val="231F20"/>
          <w:w w:val="105"/>
        </w:rPr>
        <w:t xml:space="preserve">  in  the  past.  The  </w:t>
      </w:r>
      <w:r>
        <w:rPr>
          <w:rFonts w:ascii="Calibri" w:hAnsi="Calibri"/>
          <w:color w:val="231F20"/>
          <w:w w:val="105"/>
        </w:rPr>
        <w:t>‘</w:t>
      </w:r>
      <w:r>
        <w:rPr>
          <w:color w:val="231F20"/>
          <w:w w:val="105"/>
        </w:rPr>
        <w:t>past  possibility</w:t>
      </w:r>
      <w:r>
        <w:rPr>
          <w:rFonts w:ascii="Calibri" w:hAnsi="Calibri"/>
          <w:color w:val="231F20"/>
          <w:w w:val="105"/>
        </w:rPr>
        <w:t xml:space="preserve">’  </w:t>
      </w:r>
      <w:r>
        <w:rPr>
          <w:color w:val="231F20"/>
          <w:w w:val="105"/>
        </w:rPr>
        <w:t xml:space="preserve">(example   </w:t>
      </w:r>
      <w:r>
        <w:rPr>
          <w:color w:val="231F20"/>
          <w:spacing w:val="32"/>
          <w:w w:val="105"/>
        </w:rPr>
        <w:t xml:space="preserve"> </w:t>
      </w:r>
      <w:r>
        <w:rPr>
          <w:color w:val="231F20"/>
          <w:w w:val="105"/>
        </w:rPr>
        <w:t>4)</w:t>
      </w:r>
    </w:p>
    <w:p w:rsidR="00B05397" w:rsidRDefault="00856287">
      <w:pPr>
        <w:pStyle w:val="BodyText"/>
        <w:spacing w:line="219" w:lineRule="exact"/>
        <w:ind w:left="130" w:right="128"/>
        <w:rPr>
          <w:sz w:val="16"/>
        </w:rPr>
      </w:pPr>
      <w:r>
        <w:rPr>
          <w:color w:val="231F20"/>
          <w:w w:val="110"/>
        </w:rPr>
        <w:t xml:space="preserve">meaning is different from the </w:t>
      </w:r>
      <w:r>
        <w:rPr>
          <w:rFonts w:ascii="Calibri" w:hAnsi="Calibri"/>
          <w:color w:val="231F20"/>
          <w:w w:val="110"/>
        </w:rPr>
        <w:t>‘</w:t>
      </w:r>
      <w:r>
        <w:rPr>
          <w:color w:val="231F20"/>
          <w:w w:val="110"/>
        </w:rPr>
        <w:t>counterfactual past</w:t>
      </w:r>
      <w:r>
        <w:rPr>
          <w:rFonts w:ascii="Calibri" w:hAnsi="Calibri"/>
          <w:color w:val="231F20"/>
          <w:w w:val="110"/>
        </w:rPr>
        <w:t xml:space="preserve">’ </w:t>
      </w:r>
      <w:r>
        <w:rPr>
          <w:color w:val="231F20"/>
          <w:w w:val="110"/>
        </w:rPr>
        <w:t xml:space="preserve">meaning because it is used   </w:t>
      </w:r>
      <w:r>
        <w:rPr>
          <w:color w:val="231F20"/>
          <w:w w:val="110"/>
          <w:position w:val="2"/>
          <w:sz w:val="16"/>
        </w:rPr>
        <w:t>30</w:t>
      </w:r>
    </w:p>
    <w:p w:rsidR="00B05397" w:rsidRDefault="00856287">
      <w:pPr>
        <w:pStyle w:val="BodyText"/>
        <w:spacing w:before="31" w:line="280" w:lineRule="auto"/>
        <w:ind w:left="130" w:right="71"/>
      </w:pPr>
      <w:r>
        <w:rPr>
          <w:color w:val="231F20"/>
          <w:w w:val="110"/>
        </w:rPr>
        <w:t>in situations when an event has not been confirmed as either having occurred or not. Solely for the purpose of an</w:t>
      </w:r>
      <w:r>
        <w:rPr>
          <w:color w:val="231F20"/>
          <w:w w:val="110"/>
        </w:rPr>
        <w:t xml:space="preserve"> illustration, since this is not our main focus at present, we carried out a brief search of the British National Corpus for the instances of the structure </w:t>
      </w:r>
      <w:r>
        <w:rPr>
          <w:rFonts w:ascii="Calibri" w:hAnsi="Calibri"/>
          <w:color w:val="231F20"/>
          <w:w w:val="110"/>
        </w:rPr>
        <w:t>‘</w:t>
      </w:r>
      <w:r>
        <w:rPr>
          <w:color w:val="231F20"/>
          <w:w w:val="110"/>
        </w:rPr>
        <w:t>might have been</w:t>
      </w:r>
      <w:r>
        <w:rPr>
          <w:rFonts w:ascii="Calibri" w:hAnsi="Calibri"/>
          <w:color w:val="231F20"/>
          <w:w w:val="110"/>
        </w:rPr>
        <w:t xml:space="preserve">’ </w:t>
      </w:r>
      <w:r>
        <w:rPr>
          <w:color w:val="231F20"/>
          <w:w w:val="110"/>
        </w:rPr>
        <w:t>that we assumed is one of the most frequent might + perfect infinitive combination</w:t>
      </w:r>
      <w:r>
        <w:rPr>
          <w:color w:val="231F20"/>
          <w:w w:val="110"/>
        </w:rPr>
        <w:t xml:space="preserve">s. The number of occurrences is </w:t>
      </w:r>
      <w:r>
        <w:rPr>
          <w:color w:val="231F20"/>
          <w:w w:val="110"/>
          <w:position w:val="2"/>
          <w:sz w:val="16"/>
        </w:rPr>
        <w:t xml:space="preserve">35 </w:t>
      </w:r>
      <w:r>
        <w:rPr>
          <w:color w:val="231F20"/>
          <w:w w:val="110"/>
        </w:rPr>
        <w:t>2515  but  out  of  all  those,  the  occurrence  of  the  counterfactual   meaning</w:t>
      </w:r>
    </w:p>
    <w:p w:rsidR="00B05397" w:rsidRDefault="00856287">
      <w:pPr>
        <w:pStyle w:val="BodyText"/>
        <w:spacing w:before="3"/>
        <w:rPr>
          <w:sz w:val="17"/>
        </w:rPr>
      </w:pPr>
      <w:r>
        <w:pict>
          <v:line id="_x0000_s1074" style="position:absolute;z-index:1120;mso-wrap-distance-left:0;mso-wrap-distance-right:0;mso-position-horizontal-relative:page" from="59.55pt,12.65pt" to="89.4pt,12.65pt" strokecolor="#231f20" strokeweight=".52mm">
            <w10:wrap type="topAndBottom" anchorx="page"/>
          </v:line>
        </w:pict>
      </w:r>
    </w:p>
    <w:p w:rsidR="00B05397" w:rsidRDefault="00856287">
      <w:pPr>
        <w:tabs>
          <w:tab w:val="left" w:pos="6820"/>
        </w:tabs>
        <w:spacing w:before="37" w:line="271" w:lineRule="auto"/>
        <w:ind w:left="130" w:right="109"/>
        <w:rPr>
          <w:sz w:val="16"/>
        </w:rPr>
      </w:pPr>
      <w:r>
        <w:rPr>
          <w:color w:val="231F20"/>
          <w:w w:val="110"/>
          <w:sz w:val="19"/>
        </w:rPr>
        <w:t xml:space="preserve">(1) </w:t>
      </w:r>
      <w:r>
        <w:rPr>
          <w:rFonts w:ascii="Calibri" w:hAnsi="Calibri"/>
          <w:color w:val="231F20"/>
          <w:w w:val="110"/>
          <w:sz w:val="16"/>
        </w:rPr>
        <w:t xml:space="preserve">“The audacious rescue plan that might have saved space shuttle </w:t>
      </w:r>
      <w:r>
        <w:rPr>
          <w:rFonts w:ascii="Cambria" w:hAnsi="Cambria"/>
          <w:i/>
          <w:color w:val="231F20"/>
          <w:w w:val="110"/>
          <w:sz w:val="16"/>
        </w:rPr>
        <w:t>Columbia</w:t>
      </w:r>
      <w:r>
        <w:rPr>
          <w:rFonts w:ascii="Calibri" w:hAnsi="Calibri"/>
          <w:color w:val="231F20"/>
          <w:w w:val="110"/>
          <w:sz w:val="16"/>
        </w:rPr>
        <w:t xml:space="preserve">” </w:t>
      </w:r>
      <w:hyperlink r:id="rId13">
        <w:r>
          <w:rPr>
            <w:color w:val="231F20"/>
            <w:spacing w:val="3"/>
            <w:w w:val="110"/>
            <w:sz w:val="16"/>
          </w:rPr>
          <w:t>http://arstechnica.com/science/2016/02/the-audacious-rescue-plan-that-might-have-saved-</w:t>
        </w:r>
      </w:hyperlink>
      <w:r>
        <w:rPr>
          <w:color w:val="231F20"/>
          <w:spacing w:val="3"/>
          <w:w w:val="110"/>
          <w:sz w:val="16"/>
        </w:rPr>
        <w:t xml:space="preserve"> </w:t>
      </w:r>
      <w:hyperlink r:id="rId14">
        <w:r>
          <w:rPr>
            <w:color w:val="231F20"/>
            <w:w w:val="110"/>
            <w:sz w:val="16"/>
          </w:rPr>
          <w:t>space-shuttle-columbia/</w:t>
        </w:r>
      </w:hyperlink>
      <w:r>
        <w:rPr>
          <w:color w:val="231F20"/>
          <w:w w:val="110"/>
          <w:position w:val="1"/>
          <w:sz w:val="16"/>
        </w:rPr>
        <w:tab/>
        <w:t>40</w:t>
      </w:r>
    </w:p>
    <w:p w:rsidR="00B05397" w:rsidRDefault="00B05397">
      <w:pPr>
        <w:spacing w:line="271" w:lineRule="auto"/>
        <w:rPr>
          <w:sz w:val="16"/>
        </w:rPr>
        <w:sectPr w:rsidR="00B05397">
          <w:pgSz w:w="8790" w:h="13040"/>
          <w:pgMar w:top="720" w:right="620" w:bottom="280" w:left="1060" w:header="538" w:footer="0" w:gutter="0"/>
          <w:cols w:space="720"/>
        </w:sectPr>
      </w:pPr>
    </w:p>
    <w:p w:rsidR="00B05397" w:rsidRDefault="00B05397">
      <w:pPr>
        <w:pStyle w:val="BodyText"/>
        <w:rPr>
          <w:sz w:val="20"/>
        </w:rPr>
      </w:pPr>
    </w:p>
    <w:p w:rsidR="00B05397" w:rsidRDefault="00B05397">
      <w:pPr>
        <w:pStyle w:val="BodyText"/>
        <w:spacing w:before="4"/>
        <w:rPr>
          <w:sz w:val="20"/>
        </w:rPr>
      </w:pPr>
    </w:p>
    <w:p w:rsidR="00B05397" w:rsidRDefault="00856287">
      <w:pPr>
        <w:pStyle w:val="BodyText"/>
        <w:spacing w:before="74" w:line="283" w:lineRule="auto"/>
        <w:ind w:left="120" w:right="362"/>
      </w:pPr>
      <w:r>
        <w:rPr>
          <w:color w:val="231F20"/>
          <w:w w:val="110"/>
        </w:rPr>
        <w:t xml:space="preserve">contributes only 4 % to the sample. The majority of examples refer to the </w:t>
      </w:r>
      <w:r>
        <w:rPr>
          <w:color w:val="231F20"/>
          <w:w w:val="110"/>
          <w:position w:val="1"/>
          <w:sz w:val="16"/>
        </w:rPr>
        <w:t xml:space="preserve">1 </w:t>
      </w:r>
      <w:r>
        <w:rPr>
          <w:color w:val="231F20"/>
          <w:w w:val="110"/>
        </w:rPr>
        <w:t xml:space="preserve">unascertained past possibility (as in example 4). We suspect that other verbs,    in addition to the verb </w:t>
      </w:r>
      <w:r>
        <w:rPr>
          <w:rFonts w:ascii="Cambria"/>
          <w:i/>
          <w:color w:val="231F20"/>
          <w:w w:val="110"/>
        </w:rPr>
        <w:t>to be</w:t>
      </w:r>
      <w:r>
        <w:rPr>
          <w:color w:val="231F20"/>
          <w:w w:val="110"/>
        </w:rPr>
        <w:t>, when inserted in the construction might + perfect infinitive will show similar trends. This has not been verified and it may be an investigatio</w:t>
      </w:r>
      <w:r>
        <w:rPr>
          <w:color w:val="231F20"/>
          <w:w w:val="110"/>
        </w:rPr>
        <w:t xml:space="preserve">n worth carrying out in the future in order to document how the </w:t>
      </w:r>
      <w:r>
        <w:rPr>
          <w:color w:val="231F20"/>
          <w:w w:val="110"/>
          <w:position w:val="1"/>
          <w:sz w:val="16"/>
        </w:rPr>
        <w:t xml:space="preserve">5 </w:t>
      </w:r>
      <w:r>
        <w:rPr>
          <w:color w:val="231F20"/>
          <w:w w:val="110"/>
        </w:rPr>
        <w:t xml:space="preserve">meaning of </w:t>
      </w:r>
      <w:r>
        <w:rPr>
          <w:rFonts w:ascii="Cambria"/>
          <w:i/>
          <w:color w:val="231F20"/>
          <w:w w:val="110"/>
        </w:rPr>
        <w:t xml:space="preserve">might </w:t>
      </w:r>
      <w:r>
        <w:rPr>
          <w:color w:val="231F20"/>
          <w:w w:val="110"/>
        </w:rPr>
        <w:t xml:space="preserve">evolves. However, this is beyond the scope of the present paper. For our current purposes it is important to point out that the one construction that clearly indicates that </w:t>
      </w:r>
      <w:r>
        <w:rPr>
          <w:rFonts w:ascii="Cambria"/>
          <w:i/>
          <w:color w:val="231F20"/>
          <w:w w:val="110"/>
        </w:rPr>
        <w:t xml:space="preserve">may </w:t>
      </w:r>
      <w:r>
        <w:rPr>
          <w:color w:val="231F20"/>
          <w:w w:val="110"/>
        </w:rPr>
        <w:t xml:space="preserve">and </w:t>
      </w:r>
      <w:r>
        <w:rPr>
          <w:rFonts w:ascii="Cambria"/>
          <w:i/>
          <w:color w:val="231F20"/>
          <w:w w:val="110"/>
        </w:rPr>
        <w:t xml:space="preserve">might </w:t>
      </w:r>
      <w:r>
        <w:rPr>
          <w:color w:val="231F20"/>
          <w:w w:val="110"/>
        </w:rPr>
        <w:t>differ in meaning in certain</w:t>
      </w:r>
      <w:r>
        <w:rPr>
          <w:color w:val="231F20"/>
          <w:spacing w:val="-14"/>
          <w:w w:val="110"/>
        </w:rPr>
        <w:t xml:space="preserve"> </w:t>
      </w:r>
      <w:r>
        <w:rPr>
          <w:color w:val="231F20"/>
          <w:w w:val="110"/>
        </w:rPr>
        <w:t>contexts</w:t>
      </w:r>
      <w:r>
        <w:rPr>
          <w:color w:val="231F20"/>
          <w:spacing w:val="-15"/>
          <w:w w:val="110"/>
        </w:rPr>
        <w:t xml:space="preserve"> </w:t>
      </w:r>
      <w:r>
        <w:rPr>
          <w:color w:val="231F20"/>
          <w:w w:val="110"/>
        </w:rPr>
        <w:t>is</w:t>
      </w:r>
      <w:r>
        <w:rPr>
          <w:color w:val="231F20"/>
          <w:spacing w:val="-16"/>
          <w:w w:val="110"/>
        </w:rPr>
        <w:t xml:space="preserve"> </w:t>
      </w:r>
      <w:r>
        <w:rPr>
          <w:color w:val="231F20"/>
          <w:w w:val="110"/>
        </w:rPr>
        <w:t>the</w:t>
      </w:r>
      <w:r>
        <w:rPr>
          <w:color w:val="231F20"/>
          <w:spacing w:val="-15"/>
          <w:w w:val="110"/>
        </w:rPr>
        <w:t xml:space="preserve"> </w:t>
      </w:r>
      <w:r>
        <w:rPr>
          <w:color w:val="231F20"/>
          <w:w w:val="110"/>
        </w:rPr>
        <w:t>counterfactual</w:t>
      </w:r>
      <w:r>
        <w:rPr>
          <w:color w:val="231F20"/>
          <w:spacing w:val="-14"/>
          <w:w w:val="110"/>
        </w:rPr>
        <w:t xml:space="preserve"> </w:t>
      </w:r>
      <w:r>
        <w:rPr>
          <w:color w:val="231F20"/>
          <w:w w:val="110"/>
        </w:rPr>
        <w:t>construction</w:t>
      </w:r>
      <w:r>
        <w:rPr>
          <w:color w:val="231F20"/>
          <w:spacing w:val="-14"/>
          <w:w w:val="110"/>
        </w:rPr>
        <w:t xml:space="preserve"> </w:t>
      </w:r>
      <w:r>
        <w:rPr>
          <w:color w:val="231F20"/>
          <w:w w:val="110"/>
        </w:rPr>
        <w:t>with</w:t>
      </w:r>
      <w:r>
        <w:rPr>
          <w:color w:val="231F20"/>
          <w:spacing w:val="-15"/>
          <w:w w:val="110"/>
        </w:rPr>
        <w:t xml:space="preserve"> </w:t>
      </w:r>
      <w:r>
        <w:rPr>
          <w:rFonts w:ascii="Cambria"/>
          <w:i/>
          <w:color w:val="231F20"/>
          <w:w w:val="110"/>
        </w:rPr>
        <w:t>might</w:t>
      </w:r>
      <w:r>
        <w:rPr>
          <w:color w:val="231F20"/>
          <w:w w:val="110"/>
        </w:rPr>
        <w:t>.</w:t>
      </w:r>
      <w:r>
        <w:rPr>
          <w:color w:val="231F20"/>
          <w:spacing w:val="-15"/>
          <w:w w:val="110"/>
        </w:rPr>
        <w:t xml:space="preserve"> </w:t>
      </w:r>
      <w:r>
        <w:rPr>
          <w:color w:val="231F20"/>
          <w:w w:val="110"/>
        </w:rPr>
        <w:t>This</w:t>
      </w:r>
      <w:r>
        <w:rPr>
          <w:color w:val="231F20"/>
          <w:spacing w:val="-15"/>
          <w:w w:val="110"/>
        </w:rPr>
        <w:t xml:space="preserve"> </w:t>
      </w:r>
      <w:r>
        <w:rPr>
          <w:color w:val="231F20"/>
          <w:w w:val="110"/>
        </w:rPr>
        <w:t>construction</w:t>
      </w:r>
    </w:p>
    <w:p w:rsidR="00B05397" w:rsidRDefault="00856287">
      <w:pPr>
        <w:pStyle w:val="BodyText"/>
        <w:spacing w:line="283" w:lineRule="auto"/>
        <w:ind w:left="120" w:right="126"/>
      </w:pPr>
      <w:r>
        <w:rPr>
          <w:color w:val="231F20"/>
          <w:w w:val="110"/>
        </w:rPr>
        <w:t xml:space="preserve">cannot take </w:t>
      </w:r>
      <w:r>
        <w:rPr>
          <w:rFonts w:ascii="Cambria"/>
          <w:i/>
          <w:color w:val="231F20"/>
          <w:w w:val="110"/>
        </w:rPr>
        <w:t>may</w:t>
      </w:r>
      <w:r>
        <w:rPr>
          <w:color w:val="231F20"/>
          <w:w w:val="110"/>
        </w:rPr>
        <w:t xml:space="preserve">, but then again, the counterfactual </w:t>
      </w:r>
      <w:r>
        <w:rPr>
          <w:rFonts w:ascii="Cambria"/>
          <w:i/>
          <w:color w:val="231F20"/>
          <w:w w:val="110"/>
        </w:rPr>
        <w:t xml:space="preserve">might </w:t>
      </w:r>
      <w:r>
        <w:rPr>
          <w:color w:val="231F20"/>
          <w:w w:val="110"/>
        </w:rPr>
        <w:t xml:space="preserve">appears to be an </w:t>
      </w:r>
      <w:r>
        <w:rPr>
          <w:color w:val="231F20"/>
          <w:w w:val="110"/>
          <w:position w:val="1"/>
          <w:sz w:val="16"/>
        </w:rPr>
        <w:t xml:space="preserve">10 </w:t>
      </w:r>
      <w:r>
        <w:rPr>
          <w:color w:val="231F20"/>
          <w:w w:val="110"/>
        </w:rPr>
        <w:t xml:space="preserve">infrequent meaning of </w:t>
      </w:r>
      <w:r>
        <w:rPr>
          <w:rFonts w:ascii="Cambria"/>
          <w:i/>
          <w:color w:val="231F20"/>
          <w:w w:val="110"/>
        </w:rPr>
        <w:t>might</w:t>
      </w:r>
      <w:r>
        <w:rPr>
          <w:color w:val="231F20"/>
          <w:w w:val="110"/>
        </w:rPr>
        <w:t xml:space="preserve">. As pointed out by a reviewer of </w:t>
      </w:r>
      <w:r>
        <w:rPr>
          <w:color w:val="231F20"/>
          <w:w w:val="110"/>
        </w:rPr>
        <w:t>this paper, just because the usage is rare it does not mean that this difference should not be taught. It is important to explain to students that there is an extensive overlap in the  use  of  may  and  might  for  the  expression  of  epistemic       pos</w:t>
      </w:r>
      <w:r>
        <w:rPr>
          <w:color w:val="231F20"/>
          <w:w w:val="110"/>
        </w:rPr>
        <w:t>sibility.</w:t>
      </w:r>
    </w:p>
    <w:p w:rsidR="00B05397" w:rsidRDefault="00856287">
      <w:pPr>
        <w:pStyle w:val="BodyText"/>
        <w:spacing w:before="3" w:line="280" w:lineRule="auto"/>
        <w:ind w:left="120" w:right="114"/>
      </w:pPr>
      <w:r>
        <w:rPr>
          <w:color w:val="231F20"/>
          <w:w w:val="110"/>
        </w:rPr>
        <w:t xml:space="preserve">Furthermore, the choice between the two modals can be driven by politeness </w:t>
      </w:r>
      <w:r>
        <w:rPr>
          <w:color w:val="231F20"/>
          <w:w w:val="110"/>
          <w:position w:val="1"/>
          <w:sz w:val="16"/>
        </w:rPr>
        <w:t xml:space="preserve">15 </w:t>
      </w:r>
      <w:r>
        <w:rPr>
          <w:color w:val="231F20"/>
          <w:w w:val="110"/>
        </w:rPr>
        <w:t>considerations, and those could vary based on psychological distancing when using English as an L1 or an L2, something that should be taken up in future research.</w:t>
      </w:r>
      <w:r>
        <w:rPr>
          <w:color w:val="231F20"/>
          <w:w w:val="110"/>
          <w:position w:val="8"/>
          <w:sz w:val="12"/>
        </w:rPr>
        <w:t xml:space="preserve">3 </w:t>
      </w:r>
      <w:r>
        <w:rPr>
          <w:color w:val="231F20"/>
          <w:w w:val="110"/>
        </w:rPr>
        <w:t>At p</w:t>
      </w:r>
      <w:r>
        <w:rPr>
          <w:color w:val="231F20"/>
          <w:w w:val="110"/>
        </w:rPr>
        <w:t xml:space="preserve">resent we focus on the insight that the most frequent meaning of </w:t>
      </w:r>
      <w:r>
        <w:rPr>
          <w:rFonts w:ascii="Cambria"/>
          <w:i/>
          <w:color w:val="231F20"/>
          <w:w w:val="110"/>
        </w:rPr>
        <w:t xml:space="preserve">might </w:t>
      </w:r>
      <w:r>
        <w:rPr>
          <w:color w:val="231F20"/>
          <w:w w:val="110"/>
        </w:rPr>
        <w:t xml:space="preserve">seems to resemble closely that of </w:t>
      </w:r>
      <w:r>
        <w:rPr>
          <w:rFonts w:ascii="Cambria"/>
          <w:i/>
          <w:color w:val="231F20"/>
          <w:w w:val="110"/>
        </w:rPr>
        <w:t>may</w:t>
      </w:r>
      <w:r>
        <w:rPr>
          <w:color w:val="231F20"/>
          <w:w w:val="110"/>
        </w:rPr>
        <w:t xml:space="preserve">, as illustrated in examples (3) and (4), so is there any difference between </w:t>
      </w:r>
      <w:r>
        <w:rPr>
          <w:rFonts w:ascii="Cambria"/>
          <w:i/>
          <w:color w:val="231F20"/>
          <w:w w:val="110"/>
        </w:rPr>
        <w:t xml:space="preserve">may </w:t>
      </w:r>
      <w:r>
        <w:rPr>
          <w:color w:val="231F20"/>
          <w:w w:val="110"/>
        </w:rPr>
        <w:t xml:space="preserve">and </w:t>
      </w:r>
      <w:r>
        <w:rPr>
          <w:rFonts w:ascii="Cambria"/>
          <w:i/>
          <w:color w:val="231F20"/>
          <w:w w:val="110"/>
        </w:rPr>
        <w:t xml:space="preserve">might </w:t>
      </w:r>
      <w:r>
        <w:rPr>
          <w:color w:val="231F20"/>
          <w:w w:val="110"/>
        </w:rPr>
        <w:t xml:space="preserve">in cases like (3) and (4), </w:t>
      </w:r>
      <w:r>
        <w:rPr>
          <w:color w:val="231F20"/>
          <w:w w:val="110"/>
          <w:position w:val="1"/>
          <w:sz w:val="16"/>
        </w:rPr>
        <w:t xml:space="preserve">20 </w:t>
      </w:r>
      <w:r>
        <w:rPr>
          <w:color w:val="231F20"/>
          <w:w w:val="110"/>
        </w:rPr>
        <w:t>perhaps for some contexts at least?</w:t>
      </w:r>
    </w:p>
    <w:p w:rsidR="00B05397" w:rsidRDefault="00B05397">
      <w:pPr>
        <w:pStyle w:val="BodyText"/>
        <w:rPr>
          <w:sz w:val="18"/>
        </w:rPr>
      </w:pPr>
    </w:p>
    <w:p w:rsidR="00B05397" w:rsidRDefault="00B05397">
      <w:pPr>
        <w:pStyle w:val="BodyText"/>
        <w:spacing w:before="4"/>
        <w:rPr>
          <w:sz w:val="23"/>
        </w:rPr>
      </w:pPr>
    </w:p>
    <w:p w:rsidR="00B05397" w:rsidRDefault="00856287">
      <w:pPr>
        <w:pStyle w:val="ListParagraph"/>
        <w:numPr>
          <w:ilvl w:val="1"/>
          <w:numId w:val="5"/>
        </w:numPr>
        <w:tabs>
          <w:tab w:val="left" w:pos="570"/>
        </w:tabs>
        <w:ind w:left="569" w:hanging="449"/>
        <w:jc w:val="left"/>
        <w:rPr>
          <w:rFonts w:ascii="Trebuchet MS"/>
          <w:sz w:val="24"/>
        </w:rPr>
      </w:pPr>
      <w:r>
        <w:rPr>
          <w:rFonts w:ascii="Arial"/>
          <w:i/>
          <w:color w:val="231F20"/>
          <w:sz w:val="24"/>
        </w:rPr>
        <w:t xml:space="preserve">May </w:t>
      </w:r>
      <w:r>
        <w:rPr>
          <w:rFonts w:ascii="Trebuchet MS"/>
          <w:color w:val="231F20"/>
          <w:sz w:val="24"/>
        </w:rPr>
        <w:t xml:space="preserve">and </w:t>
      </w:r>
      <w:r>
        <w:rPr>
          <w:rFonts w:ascii="Arial"/>
          <w:i/>
          <w:color w:val="231F20"/>
          <w:sz w:val="24"/>
        </w:rPr>
        <w:t xml:space="preserve">might </w:t>
      </w:r>
      <w:r>
        <w:rPr>
          <w:rFonts w:ascii="Trebuchet MS"/>
          <w:color w:val="231F20"/>
          <w:sz w:val="24"/>
        </w:rPr>
        <w:t>in English L2 learning</w:t>
      </w:r>
      <w:r>
        <w:rPr>
          <w:rFonts w:ascii="Trebuchet MS"/>
          <w:color w:val="231F20"/>
          <w:spacing w:val="44"/>
          <w:sz w:val="24"/>
        </w:rPr>
        <w:t xml:space="preserve"> </w:t>
      </w:r>
      <w:r>
        <w:rPr>
          <w:rFonts w:ascii="Trebuchet MS"/>
          <w:color w:val="231F20"/>
          <w:sz w:val="24"/>
        </w:rPr>
        <w:t>materials</w:t>
      </w:r>
    </w:p>
    <w:p w:rsidR="00B05397" w:rsidRDefault="00856287">
      <w:pPr>
        <w:spacing w:before="45"/>
        <w:ind w:right="130"/>
        <w:jc w:val="right"/>
        <w:rPr>
          <w:sz w:val="16"/>
        </w:rPr>
      </w:pPr>
      <w:r>
        <w:rPr>
          <w:color w:val="231F20"/>
          <w:w w:val="90"/>
          <w:sz w:val="16"/>
        </w:rPr>
        <w:t>25</w:t>
      </w:r>
    </w:p>
    <w:p w:rsidR="00B05397" w:rsidRDefault="00856287">
      <w:pPr>
        <w:pStyle w:val="BodyText"/>
        <w:spacing w:before="14" w:line="273" w:lineRule="auto"/>
        <w:ind w:left="120" w:right="105"/>
      </w:pPr>
      <w:r>
        <w:rPr>
          <w:color w:val="231F20"/>
          <w:w w:val="110"/>
        </w:rPr>
        <w:t xml:space="preserve">While </w:t>
      </w:r>
      <w:r>
        <w:rPr>
          <w:rFonts w:ascii="Cambria" w:hAnsi="Cambria"/>
          <w:i/>
          <w:color w:val="231F20"/>
          <w:w w:val="110"/>
        </w:rPr>
        <w:t xml:space="preserve">may </w:t>
      </w:r>
      <w:r>
        <w:rPr>
          <w:color w:val="231F20"/>
          <w:w w:val="110"/>
        </w:rPr>
        <w:t xml:space="preserve">and </w:t>
      </w:r>
      <w:r>
        <w:rPr>
          <w:rFonts w:ascii="Cambria" w:hAnsi="Cambria"/>
          <w:i/>
          <w:color w:val="231F20"/>
          <w:w w:val="110"/>
        </w:rPr>
        <w:t xml:space="preserve">might </w:t>
      </w:r>
      <w:r>
        <w:rPr>
          <w:color w:val="231F20"/>
          <w:w w:val="110"/>
        </w:rPr>
        <w:t xml:space="preserve">are considered </w:t>
      </w:r>
      <w:r>
        <w:rPr>
          <w:color w:val="231F20"/>
          <w:spacing w:val="-3"/>
          <w:w w:val="110"/>
        </w:rPr>
        <w:t xml:space="preserve">interchangeable </w:t>
      </w:r>
      <w:r>
        <w:rPr>
          <w:color w:val="231F20"/>
          <w:w w:val="110"/>
        </w:rPr>
        <w:t>by and large in English grammars with regard to their use for expressing possibility or certainty (e. g. see Huddlest</w:t>
      </w:r>
      <w:r>
        <w:rPr>
          <w:color w:val="231F20"/>
          <w:w w:val="110"/>
        </w:rPr>
        <w:t xml:space="preserve">on and Pullum 2002; Quirk et al. 1985), as in the examples (3) and (4), English L2 textbooks make sure that this meaning distinction that exist only </w:t>
      </w:r>
      <w:r>
        <w:rPr>
          <w:rFonts w:ascii="Calibri" w:hAnsi="Calibri"/>
          <w:color w:val="231F20"/>
          <w:w w:val="110"/>
        </w:rPr>
        <w:t>“</w:t>
      </w:r>
      <w:r>
        <w:rPr>
          <w:color w:val="231F20"/>
          <w:w w:val="110"/>
        </w:rPr>
        <w:t>for some</w:t>
      </w:r>
      <w:r>
        <w:rPr>
          <w:color w:val="231F20"/>
          <w:spacing w:val="-20"/>
          <w:w w:val="110"/>
        </w:rPr>
        <w:t xml:space="preserve"> </w:t>
      </w:r>
      <w:r>
        <w:rPr>
          <w:color w:val="231F20"/>
          <w:spacing w:val="-3"/>
          <w:w w:val="110"/>
        </w:rPr>
        <w:t>speakers</w:t>
      </w:r>
      <w:r>
        <w:rPr>
          <w:rFonts w:ascii="Calibri" w:hAnsi="Calibri"/>
          <w:color w:val="231F20"/>
          <w:spacing w:val="-3"/>
          <w:w w:val="110"/>
        </w:rPr>
        <w:t>”</w:t>
      </w:r>
      <w:r>
        <w:rPr>
          <w:rFonts w:ascii="Calibri" w:hAnsi="Calibri"/>
          <w:color w:val="231F20"/>
          <w:spacing w:val="-15"/>
          <w:w w:val="110"/>
        </w:rPr>
        <w:t xml:space="preserve"> </w:t>
      </w:r>
      <w:r>
        <w:rPr>
          <w:color w:val="231F20"/>
          <w:w w:val="110"/>
        </w:rPr>
        <w:t>is</w:t>
      </w:r>
      <w:r>
        <w:rPr>
          <w:color w:val="231F20"/>
          <w:spacing w:val="-22"/>
          <w:w w:val="110"/>
        </w:rPr>
        <w:t xml:space="preserve"> </w:t>
      </w:r>
      <w:r>
        <w:rPr>
          <w:color w:val="231F20"/>
          <w:w w:val="110"/>
        </w:rPr>
        <w:t>highlighted.</w:t>
      </w:r>
      <w:r>
        <w:rPr>
          <w:color w:val="231F20"/>
          <w:spacing w:val="-20"/>
          <w:w w:val="110"/>
        </w:rPr>
        <w:t xml:space="preserve"> </w:t>
      </w:r>
      <w:r>
        <w:rPr>
          <w:color w:val="231F20"/>
          <w:w w:val="110"/>
        </w:rPr>
        <w:t>A</w:t>
      </w:r>
      <w:r>
        <w:rPr>
          <w:color w:val="231F20"/>
          <w:spacing w:val="-20"/>
          <w:w w:val="110"/>
        </w:rPr>
        <w:t xml:space="preserve"> </w:t>
      </w:r>
      <w:r>
        <w:rPr>
          <w:color w:val="231F20"/>
          <w:w w:val="110"/>
        </w:rPr>
        <w:t>selective</w:t>
      </w:r>
      <w:r>
        <w:rPr>
          <w:color w:val="231F20"/>
          <w:spacing w:val="-21"/>
          <w:w w:val="110"/>
        </w:rPr>
        <w:t xml:space="preserve"> </w:t>
      </w:r>
      <w:r>
        <w:rPr>
          <w:color w:val="231F20"/>
          <w:w w:val="110"/>
        </w:rPr>
        <w:t>look</w:t>
      </w:r>
      <w:r>
        <w:rPr>
          <w:color w:val="231F20"/>
          <w:spacing w:val="-21"/>
          <w:w w:val="110"/>
        </w:rPr>
        <w:t xml:space="preserve"> </w:t>
      </w:r>
      <w:r>
        <w:rPr>
          <w:color w:val="231F20"/>
          <w:w w:val="110"/>
        </w:rPr>
        <w:t>at</w:t>
      </w:r>
      <w:r>
        <w:rPr>
          <w:color w:val="231F20"/>
          <w:spacing w:val="-20"/>
          <w:w w:val="110"/>
        </w:rPr>
        <w:t xml:space="preserve"> </w:t>
      </w:r>
      <w:r>
        <w:rPr>
          <w:color w:val="231F20"/>
          <w:w w:val="110"/>
        </w:rPr>
        <w:t>a</w:t>
      </w:r>
      <w:r>
        <w:rPr>
          <w:color w:val="231F20"/>
          <w:spacing w:val="-20"/>
          <w:w w:val="110"/>
        </w:rPr>
        <w:t xml:space="preserve"> </w:t>
      </w:r>
      <w:r>
        <w:rPr>
          <w:color w:val="231F20"/>
          <w:w w:val="110"/>
        </w:rPr>
        <w:t>few</w:t>
      </w:r>
      <w:r>
        <w:rPr>
          <w:color w:val="231F20"/>
          <w:spacing w:val="-20"/>
          <w:w w:val="110"/>
        </w:rPr>
        <w:t xml:space="preserve"> </w:t>
      </w:r>
      <w:r>
        <w:rPr>
          <w:color w:val="231F20"/>
          <w:w w:val="110"/>
        </w:rPr>
        <w:t>resource</w:t>
      </w:r>
      <w:r>
        <w:rPr>
          <w:color w:val="231F20"/>
          <w:spacing w:val="-20"/>
          <w:w w:val="110"/>
        </w:rPr>
        <w:t xml:space="preserve"> </w:t>
      </w:r>
      <w:r>
        <w:rPr>
          <w:color w:val="231F20"/>
          <w:w w:val="110"/>
        </w:rPr>
        <w:t>materials</w:t>
      </w:r>
      <w:r>
        <w:rPr>
          <w:color w:val="231F20"/>
          <w:spacing w:val="-22"/>
          <w:w w:val="110"/>
        </w:rPr>
        <w:t xml:space="preserve"> </w:t>
      </w:r>
      <w:r>
        <w:rPr>
          <w:color w:val="231F20"/>
          <w:w w:val="110"/>
        </w:rPr>
        <w:t>widely</w:t>
      </w:r>
      <w:r>
        <w:rPr>
          <w:color w:val="231F20"/>
          <w:spacing w:val="17"/>
          <w:w w:val="110"/>
        </w:rPr>
        <w:t xml:space="preserve"> </w:t>
      </w:r>
      <w:r>
        <w:rPr>
          <w:color w:val="231F20"/>
          <w:w w:val="110"/>
          <w:position w:val="-2"/>
          <w:sz w:val="16"/>
        </w:rPr>
        <w:t xml:space="preserve">30 </w:t>
      </w:r>
      <w:r>
        <w:rPr>
          <w:color w:val="231F20"/>
          <w:w w:val="110"/>
        </w:rPr>
        <w:t>used</w:t>
      </w:r>
      <w:r>
        <w:rPr>
          <w:color w:val="231F20"/>
          <w:spacing w:val="-24"/>
          <w:w w:val="110"/>
        </w:rPr>
        <w:t xml:space="preserve"> </w:t>
      </w:r>
      <w:r>
        <w:rPr>
          <w:color w:val="231F20"/>
          <w:w w:val="110"/>
        </w:rPr>
        <w:t>for</w:t>
      </w:r>
      <w:r>
        <w:rPr>
          <w:color w:val="231F20"/>
          <w:spacing w:val="-23"/>
          <w:w w:val="110"/>
        </w:rPr>
        <w:t xml:space="preserve"> </w:t>
      </w:r>
      <w:r>
        <w:rPr>
          <w:color w:val="231F20"/>
          <w:w w:val="110"/>
        </w:rPr>
        <w:t>the</w:t>
      </w:r>
      <w:r>
        <w:rPr>
          <w:color w:val="231F20"/>
          <w:spacing w:val="-24"/>
          <w:w w:val="110"/>
        </w:rPr>
        <w:t xml:space="preserve"> </w:t>
      </w:r>
      <w:r>
        <w:rPr>
          <w:color w:val="231F20"/>
          <w:w w:val="110"/>
        </w:rPr>
        <w:t>learning</w:t>
      </w:r>
      <w:r>
        <w:rPr>
          <w:color w:val="231F20"/>
          <w:spacing w:val="-22"/>
          <w:w w:val="110"/>
        </w:rPr>
        <w:t xml:space="preserve"> </w:t>
      </w:r>
      <w:r>
        <w:rPr>
          <w:color w:val="231F20"/>
          <w:w w:val="110"/>
        </w:rPr>
        <w:t>of</w:t>
      </w:r>
      <w:r>
        <w:rPr>
          <w:color w:val="231F20"/>
          <w:spacing w:val="-22"/>
          <w:w w:val="110"/>
        </w:rPr>
        <w:t xml:space="preserve"> </w:t>
      </w:r>
      <w:r>
        <w:rPr>
          <w:color w:val="231F20"/>
          <w:w w:val="110"/>
        </w:rPr>
        <w:t>English</w:t>
      </w:r>
      <w:r>
        <w:rPr>
          <w:color w:val="231F20"/>
          <w:spacing w:val="-23"/>
          <w:w w:val="110"/>
        </w:rPr>
        <w:t xml:space="preserve"> </w:t>
      </w:r>
      <w:r>
        <w:rPr>
          <w:color w:val="231F20"/>
          <w:w w:val="110"/>
        </w:rPr>
        <w:t>can</w:t>
      </w:r>
      <w:r>
        <w:rPr>
          <w:color w:val="231F20"/>
          <w:spacing w:val="-23"/>
          <w:w w:val="110"/>
        </w:rPr>
        <w:t xml:space="preserve"> </w:t>
      </w:r>
      <w:r>
        <w:rPr>
          <w:color w:val="231F20"/>
          <w:w w:val="110"/>
        </w:rPr>
        <w:t>give</w:t>
      </w:r>
      <w:r>
        <w:rPr>
          <w:color w:val="231F20"/>
          <w:spacing w:val="-24"/>
          <w:w w:val="110"/>
        </w:rPr>
        <w:t xml:space="preserve"> </w:t>
      </w:r>
      <w:r>
        <w:rPr>
          <w:color w:val="231F20"/>
          <w:w w:val="110"/>
        </w:rPr>
        <w:t>us</w:t>
      </w:r>
      <w:r>
        <w:rPr>
          <w:color w:val="231F20"/>
          <w:spacing w:val="-23"/>
          <w:w w:val="110"/>
        </w:rPr>
        <w:t xml:space="preserve"> </w:t>
      </w:r>
      <w:r>
        <w:rPr>
          <w:color w:val="231F20"/>
          <w:w w:val="110"/>
        </w:rPr>
        <w:t>a</w:t>
      </w:r>
      <w:r>
        <w:rPr>
          <w:color w:val="231F20"/>
          <w:spacing w:val="-23"/>
          <w:w w:val="110"/>
        </w:rPr>
        <w:t xml:space="preserve"> </w:t>
      </w:r>
      <w:r>
        <w:rPr>
          <w:color w:val="231F20"/>
          <w:w w:val="110"/>
        </w:rPr>
        <w:t>strong</w:t>
      </w:r>
      <w:r>
        <w:rPr>
          <w:color w:val="231F20"/>
          <w:spacing w:val="-23"/>
          <w:w w:val="110"/>
        </w:rPr>
        <w:t xml:space="preserve"> </w:t>
      </w:r>
      <w:r>
        <w:rPr>
          <w:color w:val="231F20"/>
          <w:w w:val="110"/>
        </w:rPr>
        <w:t>confirmation</w:t>
      </w:r>
      <w:r>
        <w:rPr>
          <w:color w:val="231F20"/>
          <w:spacing w:val="-24"/>
          <w:w w:val="110"/>
        </w:rPr>
        <w:t xml:space="preserve"> </w:t>
      </w:r>
      <w:r>
        <w:rPr>
          <w:color w:val="231F20"/>
          <w:w w:val="110"/>
        </w:rPr>
        <w:t>of</w:t>
      </w:r>
      <w:r>
        <w:rPr>
          <w:color w:val="231F20"/>
          <w:spacing w:val="-24"/>
          <w:w w:val="110"/>
        </w:rPr>
        <w:t xml:space="preserve"> </w:t>
      </w:r>
      <w:r>
        <w:rPr>
          <w:color w:val="231F20"/>
          <w:w w:val="110"/>
        </w:rPr>
        <w:t>this</w:t>
      </w:r>
      <w:r>
        <w:rPr>
          <w:color w:val="231F20"/>
          <w:spacing w:val="-24"/>
          <w:w w:val="110"/>
        </w:rPr>
        <w:t xml:space="preserve"> </w:t>
      </w:r>
      <w:r>
        <w:rPr>
          <w:color w:val="231F20"/>
          <w:w w:val="110"/>
        </w:rPr>
        <w:t>tradition.</w:t>
      </w:r>
    </w:p>
    <w:p w:rsidR="00B05397" w:rsidRDefault="00856287">
      <w:pPr>
        <w:pStyle w:val="BodyText"/>
        <w:spacing w:before="10" w:line="268" w:lineRule="auto"/>
        <w:ind w:left="120" w:right="126"/>
      </w:pPr>
      <w:r>
        <w:rPr>
          <w:color w:val="231F20"/>
          <w:w w:val="105"/>
        </w:rPr>
        <w:t>We looked at most frequently cited resources by our L2 English study participants. For</w:t>
      </w:r>
      <w:r>
        <w:rPr>
          <w:color w:val="231F20"/>
          <w:spacing w:val="-19"/>
          <w:w w:val="105"/>
        </w:rPr>
        <w:t xml:space="preserve"> </w:t>
      </w:r>
      <w:r>
        <w:rPr>
          <w:color w:val="231F20"/>
          <w:w w:val="105"/>
        </w:rPr>
        <w:t>instance,</w:t>
      </w:r>
      <w:r>
        <w:rPr>
          <w:color w:val="231F20"/>
          <w:spacing w:val="-19"/>
          <w:w w:val="105"/>
        </w:rPr>
        <w:t xml:space="preserve"> </w:t>
      </w:r>
      <w:r>
        <w:rPr>
          <w:color w:val="231F20"/>
          <w:w w:val="105"/>
        </w:rPr>
        <w:t>Collins</w:t>
      </w:r>
      <w:r>
        <w:rPr>
          <w:rFonts w:ascii="Calibri" w:hAnsi="Calibri"/>
          <w:color w:val="231F20"/>
          <w:w w:val="105"/>
        </w:rPr>
        <w:t>’</w:t>
      </w:r>
      <w:r>
        <w:rPr>
          <w:rFonts w:ascii="Calibri" w:hAnsi="Calibri"/>
          <w:color w:val="231F20"/>
          <w:spacing w:val="-15"/>
          <w:w w:val="105"/>
        </w:rPr>
        <w:t xml:space="preserve"> </w:t>
      </w:r>
      <w:r>
        <w:rPr>
          <w:rFonts w:ascii="Cambria" w:hAnsi="Cambria"/>
          <w:i/>
          <w:color w:val="231F20"/>
          <w:w w:val="105"/>
        </w:rPr>
        <w:t>Easy</w:t>
      </w:r>
      <w:r>
        <w:rPr>
          <w:rFonts w:ascii="Cambria" w:hAnsi="Cambria"/>
          <w:i/>
          <w:color w:val="231F20"/>
          <w:spacing w:val="-14"/>
          <w:w w:val="105"/>
        </w:rPr>
        <w:t xml:space="preserve"> </w:t>
      </w:r>
      <w:r>
        <w:rPr>
          <w:rFonts w:ascii="Cambria" w:hAnsi="Cambria"/>
          <w:i/>
          <w:color w:val="231F20"/>
          <w:w w:val="105"/>
        </w:rPr>
        <w:t>Learning</w:t>
      </w:r>
      <w:r>
        <w:rPr>
          <w:rFonts w:ascii="Cambria" w:hAnsi="Cambria"/>
          <w:i/>
          <w:color w:val="231F20"/>
          <w:spacing w:val="-14"/>
          <w:w w:val="105"/>
        </w:rPr>
        <w:t xml:space="preserve"> </w:t>
      </w:r>
      <w:r>
        <w:rPr>
          <w:rFonts w:ascii="Cambria" w:hAnsi="Cambria"/>
          <w:i/>
          <w:color w:val="231F20"/>
          <w:w w:val="105"/>
        </w:rPr>
        <w:t>Grammar</w:t>
      </w:r>
      <w:r>
        <w:rPr>
          <w:rFonts w:ascii="Cambria" w:hAnsi="Cambria"/>
          <w:i/>
          <w:color w:val="231F20"/>
          <w:spacing w:val="-14"/>
          <w:w w:val="105"/>
        </w:rPr>
        <w:t xml:space="preserve"> </w:t>
      </w:r>
      <w:r>
        <w:rPr>
          <w:rFonts w:ascii="Cambria" w:hAnsi="Cambria"/>
          <w:i/>
          <w:color w:val="231F20"/>
          <w:w w:val="105"/>
        </w:rPr>
        <w:t>and</w:t>
      </w:r>
      <w:r>
        <w:rPr>
          <w:rFonts w:ascii="Cambria" w:hAnsi="Cambria"/>
          <w:i/>
          <w:color w:val="231F20"/>
          <w:spacing w:val="-13"/>
          <w:w w:val="105"/>
        </w:rPr>
        <w:t xml:space="preserve"> </w:t>
      </w:r>
      <w:r>
        <w:rPr>
          <w:rFonts w:ascii="Cambria" w:hAnsi="Cambria"/>
          <w:i/>
          <w:color w:val="231F20"/>
          <w:w w:val="105"/>
        </w:rPr>
        <w:t>Punctuation</w:t>
      </w:r>
      <w:r>
        <w:rPr>
          <w:rFonts w:ascii="Cambria" w:hAnsi="Cambria"/>
          <w:i/>
          <w:color w:val="231F20"/>
          <w:spacing w:val="-14"/>
          <w:w w:val="105"/>
        </w:rPr>
        <w:t xml:space="preserve"> </w:t>
      </w:r>
      <w:r>
        <w:rPr>
          <w:color w:val="231F20"/>
          <w:w w:val="105"/>
        </w:rPr>
        <w:t>(2015:</w:t>
      </w:r>
      <w:r>
        <w:rPr>
          <w:color w:val="231F20"/>
          <w:spacing w:val="-33"/>
          <w:w w:val="105"/>
        </w:rPr>
        <w:t xml:space="preserve"> </w:t>
      </w:r>
      <w:r>
        <w:rPr>
          <w:color w:val="231F20"/>
          <w:w w:val="105"/>
        </w:rPr>
        <w:t>61)</w:t>
      </w:r>
      <w:r>
        <w:rPr>
          <w:color w:val="231F20"/>
          <w:spacing w:val="-19"/>
          <w:w w:val="105"/>
        </w:rPr>
        <w:t xml:space="preserve"> </w:t>
      </w:r>
      <w:r>
        <w:rPr>
          <w:color w:val="231F20"/>
          <w:w w:val="105"/>
        </w:rPr>
        <w:t>state</w:t>
      </w:r>
      <w:r>
        <w:rPr>
          <w:color w:val="231F20"/>
          <w:spacing w:val="-20"/>
          <w:w w:val="105"/>
        </w:rPr>
        <w:t xml:space="preserve"> </w:t>
      </w:r>
      <w:r>
        <w:rPr>
          <w:color w:val="231F20"/>
          <w:w w:val="105"/>
        </w:rPr>
        <w:t xml:space="preserve">that </w:t>
      </w:r>
      <w:r>
        <w:rPr>
          <w:rFonts w:ascii="Calibri" w:hAnsi="Calibri"/>
          <w:color w:val="231F20"/>
          <w:w w:val="105"/>
        </w:rPr>
        <w:t>“</w:t>
      </w:r>
      <w:r>
        <w:rPr>
          <w:rFonts w:ascii="Cambria" w:hAnsi="Cambria"/>
          <w:i/>
          <w:color w:val="231F20"/>
          <w:w w:val="105"/>
        </w:rPr>
        <w:t xml:space="preserve">might </w:t>
      </w:r>
      <w:r>
        <w:rPr>
          <w:color w:val="231F20"/>
          <w:w w:val="105"/>
        </w:rPr>
        <w:t xml:space="preserve">is more tentative than </w:t>
      </w:r>
      <w:r>
        <w:rPr>
          <w:rFonts w:ascii="Cambria" w:hAnsi="Cambria"/>
          <w:i/>
          <w:color w:val="231F20"/>
          <w:w w:val="105"/>
        </w:rPr>
        <w:t>may</w:t>
      </w:r>
      <w:r>
        <w:rPr>
          <w:rFonts w:ascii="Calibri" w:hAnsi="Calibri"/>
          <w:color w:val="231F20"/>
          <w:w w:val="105"/>
        </w:rPr>
        <w:t>”</w:t>
      </w:r>
      <w:r>
        <w:rPr>
          <w:color w:val="231F20"/>
          <w:w w:val="105"/>
        </w:rPr>
        <w:t xml:space="preserve">.  By  the  same  token,  Swan  and  Walter  (2011a: 80) say that </w:t>
      </w:r>
      <w:r>
        <w:rPr>
          <w:rFonts w:ascii="Calibri" w:hAnsi="Calibri"/>
          <w:color w:val="231F20"/>
          <w:w w:val="105"/>
        </w:rPr>
        <w:t>“</w:t>
      </w:r>
      <w:r>
        <w:rPr>
          <w:rFonts w:ascii="Cambria" w:hAnsi="Cambria"/>
          <w:i/>
          <w:color w:val="231F20"/>
          <w:w w:val="105"/>
        </w:rPr>
        <w:t xml:space="preserve">might </w:t>
      </w:r>
      <w:r>
        <w:rPr>
          <w:color w:val="231F20"/>
          <w:w w:val="105"/>
        </w:rPr>
        <w:t>sometimes suggests smaller possibility</w:t>
      </w:r>
      <w:r>
        <w:rPr>
          <w:rFonts w:ascii="Calibri" w:hAnsi="Calibri"/>
          <w:color w:val="231F20"/>
          <w:w w:val="105"/>
        </w:rPr>
        <w:t xml:space="preserve">” </w:t>
      </w:r>
      <w:r>
        <w:rPr>
          <w:color w:val="231F20"/>
          <w:w w:val="105"/>
        </w:rPr>
        <w:t xml:space="preserve">and that </w:t>
      </w:r>
      <w:r>
        <w:rPr>
          <w:color w:val="231F20"/>
          <w:w w:val="105"/>
          <w:position w:val="-2"/>
          <w:sz w:val="16"/>
        </w:rPr>
        <w:t xml:space="preserve">35 </w:t>
      </w:r>
      <w:r>
        <w:rPr>
          <w:rFonts w:ascii="Calibri" w:hAnsi="Calibri"/>
          <w:color w:val="231F20"/>
          <w:w w:val="105"/>
        </w:rPr>
        <w:t>“</w:t>
      </w:r>
      <w:r>
        <w:rPr>
          <w:rFonts w:ascii="Cambria" w:hAnsi="Cambria"/>
          <w:i/>
          <w:color w:val="231F20"/>
          <w:w w:val="105"/>
        </w:rPr>
        <w:t xml:space="preserve">might </w:t>
      </w:r>
      <w:r>
        <w:rPr>
          <w:color w:val="231F20"/>
          <w:w w:val="105"/>
        </w:rPr>
        <w:t>could express a smaller probability</w:t>
      </w:r>
      <w:r>
        <w:rPr>
          <w:rFonts w:ascii="Calibri" w:hAnsi="Calibri"/>
          <w:color w:val="231F20"/>
          <w:w w:val="105"/>
        </w:rPr>
        <w:t xml:space="preserve">” </w:t>
      </w:r>
      <w:r>
        <w:rPr>
          <w:color w:val="231F20"/>
          <w:w w:val="105"/>
        </w:rPr>
        <w:t>(Swan et al. 2011b: 66). All of the L2 English</w:t>
      </w:r>
      <w:r>
        <w:rPr>
          <w:color w:val="231F20"/>
          <w:spacing w:val="19"/>
          <w:w w:val="105"/>
        </w:rPr>
        <w:t xml:space="preserve"> </w:t>
      </w:r>
      <w:r>
        <w:rPr>
          <w:color w:val="231F20"/>
          <w:spacing w:val="-3"/>
          <w:w w:val="105"/>
        </w:rPr>
        <w:t>speakers</w:t>
      </w:r>
      <w:r>
        <w:rPr>
          <w:color w:val="231F20"/>
          <w:spacing w:val="19"/>
          <w:w w:val="105"/>
        </w:rPr>
        <w:t xml:space="preserve"> </w:t>
      </w:r>
      <w:r>
        <w:rPr>
          <w:color w:val="231F20"/>
          <w:w w:val="105"/>
        </w:rPr>
        <w:t>part</w:t>
      </w:r>
      <w:r>
        <w:rPr>
          <w:color w:val="231F20"/>
          <w:w w:val="105"/>
        </w:rPr>
        <w:t>icipating</w:t>
      </w:r>
      <w:r>
        <w:rPr>
          <w:color w:val="231F20"/>
          <w:spacing w:val="17"/>
          <w:w w:val="105"/>
        </w:rPr>
        <w:t xml:space="preserve"> </w:t>
      </w:r>
      <w:r>
        <w:rPr>
          <w:color w:val="231F20"/>
          <w:w w:val="105"/>
        </w:rPr>
        <w:t>in</w:t>
      </w:r>
      <w:r>
        <w:rPr>
          <w:color w:val="231F20"/>
          <w:spacing w:val="17"/>
          <w:w w:val="105"/>
        </w:rPr>
        <w:t xml:space="preserve"> </w:t>
      </w:r>
      <w:r>
        <w:rPr>
          <w:color w:val="231F20"/>
          <w:w w:val="105"/>
        </w:rPr>
        <w:t>the</w:t>
      </w:r>
      <w:r>
        <w:rPr>
          <w:color w:val="231F20"/>
          <w:spacing w:val="17"/>
          <w:w w:val="105"/>
        </w:rPr>
        <w:t xml:space="preserve"> </w:t>
      </w:r>
      <w:r>
        <w:rPr>
          <w:color w:val="231F20"/>
          <w:w w:val="105"/>
        </w:rPr>
        <w:t>current</w:t>
      </w:r>
      <w:r>
        <w:rPr>
          <w:color w:val="231F20"/>
          <w:spacing w:val="16"/>
          <w:w w:val="105"/>
        </w:rPr>
        <w:t xml:space="preserve"> </w:t>
      </w:r>
      <w:r>
        <w:rPr>
          <w:color w:val="231F20"/>
          <w:w w:val="105"/>
        </w:rPr>
        <w:t>study</w:t>
      </w:r>
      <w:r>
        <w:rPr>
          <w:color w:val="231F20"/>
          <w:spacing w:val="16"/>
          <w:w w:val="105"/>
        </w:rPr>
        <w:t xml:space="preserve"> </w:t>
      </w:r>
      <w:r>
        <w:rPr>
          <w:color w:val="231F20"/>
          <w:w w:val="105"/>
        </w:rPr>
        <w:t>(as</w:t>
      </w:r>
      <w:r>
        <w:rPr>
          <w:color w:val="231F20"/>
          <w:spacing w:val="18"/>
          <w:w w:val="105"/>
        </w:rPr>
        <w:t xml:space="preserve"> </w:t>
      </w:r>
      <w:r>
        <w:rPr>
          <w:color w:val="231F20"/>
          <w:w w:val="105"/>
        </w:rPr>
        <w:t>well</w:t>
      </w:r>
      <w:r>
        <w:rPr>
          <w:color w:val="231F20"/>
          <w:spacing w:val="17"/>
          <w:w w:val="105"/>
        </w:rPr>
        <w:t xml:space="preserve"> </w:t>
      </w:r>
      <w:r>
        <w:rPr>
          <w:color w:val="231F20"/>
          <w:w w:val="105"/>
        </w:rPr>
        <w:t>as</w:t>
      </w:r>
      <w:r>
        <w:rPr>
          <w:color w:val="231F20"/>
          <w:spacing w:val="17"/>
          <w:w w:val="105"/>
        </w:rPr>
        <w:t xml:space="preserve"> </w:t>
      </w:r>
      <w:r>
        <w:rPr>
          <w:color w:val="231F20"/>
          <w:w w:val="105"/>
        </w:rPr>
        <w:t>numerous</w:t>
      </w:r>
      <w:r>
        <w:rPr>
          <w:color w:val="231F20"/>
          <w:spacing w:val="18"/>
          <w:w w:val="105"/>
        </w:rPr>
        <w:t xml:space="preserve"> </w:t>
      </w:r>
      <w:r>
        <w:rPr>
          <w:color w:val="231F20"/>
          <w:w w:val="105"/>
        </w:rPr>
        <w:t>English</w:t>
      </w:r>
    </w:p>
    <w:p w:rsidR="00B05397" w:rsidRDefault="00856287">
      <w:pPr>
        <w:pStyle w:val="BodyText"/>
        <w:spacing w:before="16"/>
        <w:ind w:left="120" w:right="126"/>
      </w:pPr>
      <w:r>
        <w:rPr>
          <w:color w:val="231F20"/>
          <w:w w:val="105"/>
        </w:rPr>
        <w:t>L2-speaking   colleagues   interviewed   in   preparation   for   this   research) have</w:t>
      </w:r>
    </w:p>
    <w:p w:rsidR="00B05397" w:rsidRDefault="00856287">
      <w:pPr>
        <w:pStyle w:val="ListParagraph"/>
        <w:numPr>
          <w:ilvl w:val="0"/>
          <w:numId w:val="5"/>
        </w:numPr>
        <w:tabs>
          <w:tab w:val="left" w:pos="279"/>
          <w:tab w:val="right" w:pos="6985"/>
        </w:tabs>
        <w:spacing w:before="358"/>
        <w:ind w:left="278" w:hanging="158"/>
        <w:rPr>
          <w:rFonts w:ascii="Calibri"/>
          <w:color w:val="231F20"/>
          <w:sz w:val="16"/>
        </w:rPr>
      </w:pPr>
      <w:r>
        <w:pict>
          <v:line id="_x0000_s1073" style="position:absolute;left:0;text-align:left;z-index:1144;mso-position-horizontal-relative:page" from="51pt,13.9pt" to="80.9pt,13.9pt" strokecolor="#231f20" strokeweight=".52mm">
            <w10:wrap anchorx="page"/>
          </v:line>
        </w:pict>
      </w:r>
      <w:r>
        <w:rPr>
          <w:color w:val="231F20"/>
          <w:w w:val="110"/>
          <w:sz w:val="16"/>
        </w:rPr>
        <w:t>We are particularly grateful to our anonymous reviewer who provided</w:t>
      </w:r>
      <w:r>
        <w:rPr>
          <w:color w:val="231F20"/>
          <w:spacing w:val="20"/>
          <w:w w:val="110"/>
          <w:sz w:val="16"/>
        </w:rPr>
        <w:t xml:space="preserve"> </w:t>
      </w:r>
      <w:r>
        <w:rPr>
          <w:color w:val="231F20"/>
          <w:w w:val="110"/>
          <w:sz w:val="16"/>
        </w:rPr>
        <w:t>this</w:t>
      </w:r>
      <w:r>
        <w:rPr>
          <w:color w:val="231F20"/>
          <w:spacing w:val="2"/>
          <w:w w:val="110"/>
          <w:sz w:val="16"/>
        </w:rPr>
        <w:t xml:space="preserve"> </w:t>
      </w:r>
      <w:r>
        <w:rPr>
          <w:color w:val="231F20"/>
          <w:w w:val="110"/>
          <w:sz w:val="16"/>
        </w:rPr>
        <w:t>insight.</w:t>
      </w:r>
      <w:r>
        <w:rPr>
          <w:color w:val="231F20"/>
          <w:w w:val="110"/>
          <w:position w:val="1"/>
          <w:sz w:val="16"/>
        </w:rPr>
        <w:tab/>
        <w:t>40</w:t>
      </w:r>
    </w:p>
    <w:p w:rsidR="00B05397" w:rsidRDefault="00B05397">
      <w:pPr>
        <w:rPr>
          <w:rFonts w:ascii="Calibri"/>
          <w:sz w:val="16"/>
        </w:rPr>
        <w:sectPr w:rsidR="00B05397">
          <w:pgSz w:w="8790" w:h="13040"/>
          <w:pgMar w:top="700" w:right="800" w:bottom="280" w:left="900" w:header="517" w:footer="0" w:gutter="0"/>
          <w:cols w:space="720"/>
        </w:sectPr>
      </w:pPr>
    </w:p>
    <w:p w:rsidR="00B05397" w:rsidRDefault="00B05397">
      <w:pPr>
        <w:pStyle w:val="BodyText"/>
        <w:rPr>
          <w:sz w:val="18"/>
        </w:rPr>
      </w:pPr>
    </w:p>
    <w:p w:rsidR="00B05397" w:rsidRDefault="00B05397">
      <w:pPr>
        <w:pStyle w:val="BodyText"/>
        <w:rPr>
          <w:sz w:val="18"/>
        </w:rPr>
      </w:pPr>
    </w:p>
    <w:p w:rsidR="00B05397" w:rsidRDefault="00856287">
      <w:pPr>
        <w:pStyle w:val="BodyText"/>
        <w:spacing w:before="104" w:line="280" w:lineRule="auto"/>
        <w:ind w:left="130" w:right="280"/>
      </w:pPr>
      <w:r>
        <w:rPr>
          <w:color w:val="231F20"/>
          <w:w w:val="105"/>
        </w:rPr>
        <w:t xml:space="preserve">confirmed unequivocally in a post-hoc questionnaire that they latched onto the </w:t>
      </w:r>
      <w:r>
        <w:rPr>
          <w:color w:val="231F20"/>
          <w:w w:val="105"/>
          <w:position w:val="1"/>
          <w:sz w:val="16"/>
        </w:rPr>
        <w:t xml:space="preserve">1 </w:t>
      </w:r>
      <w:r>
        <w:rPr>
          <w:color w:val="231F20"/>
          <w:w w:val="105"/>
        </w:rPr>
        <w:t xml:space="preserve">convenience of remembering that the two distinct forms, </w:t>
      </w:r>
      <w:r>
        <w:rPr>
          <w:rFonts w:ascii="Cambria"/>
          <w:i/>
          <w:color w:val="231F20"/>
          <w:w w:val="105"/>
        </w:rPr>
        <w:t xml:space="preserve">may </w:t>
      </w:r>
      <w:r>
        <w:rPr>
          <w:color w:val="231F20"/>
          <w:w w:val="105"/>
        </w:rPr>
        <w:t xml:space="preserve">and </w:t>
      </w:r>
      <w:r>
        <w:rPr>
          <w:rFonts w:ascii="Cambria"/>
          <w:i/>
          <w:color w:val="231F20"/>
          <w:w w:val="105"/>
        </w:rPr>
        <w:t xml:space="preserve">might </w:t>
      </w:r>
      <w:r>
        <w:rPr>
          <w:color w:val="231F20"/>
          <w:w w:val="105"/>
        </w:rPr>
        <w:t>express</w:t>
      </w:r>
      <w:r>
        <w:rPr>
          <w:color w:val="231F20"/>
          <w:spacing w:val="49"/>
          <w:w w:val="105"/>
        </w:rPr>
        <w:t xml:space="preserve"> </w:t>
      </w:r>
      <w:r>
        <w:rPr>
          <w:color w:val="231F20"/>
          <w:w w:val="105"/>
        </w:rPr>
        <w:t xml:space="preserve">two distinct meanings. This is not a surprising strategy adopted by L2 learners, </w:t>
      </w:r>
      <w:r>
        <w:rPr>
          <w:color w:val="231F20"/>
          <w:spacing w:val="49"/>
          <w:w w:val="105"/>
        </w:rPr>
        <w:t xml:space="preserve"> </w:t>
      </w:r>
      <w:r>
        <w:rPr>
          <w:color w:val="231F20"/>
          <w:w w:val="105"/>
        </w:rPr>
        <w:t>since the overl</w:t>
      </w:r>
      <w:r>
        <w:rPr>
          <w:color w:val="231F20"/>
          <w:w w:val="105"/>
        </w:rPr>
        <w:t xml:space="preserve">ap in meaning and use between any two distinct forms is uncom- fortable for learners in general and fossilizing </w:t>
      </w:r>
      <w:r>
        <w:rPr>
          <w:rFonts w:ascii="Cambria"/>
          <w:i/>
          <w:color w:val="231F20"/>
          <w:w w:val="105"/>
        </w:rPr>
        <w:t>may</w:t>
      </w:r>
      <w:r>
        <w:rPr>
          <w:color w:val="231F20"/>
          <w:w w:val="105"/>
        </w:rPr>
        <w:t>/</w:t>
      </w:r>
      <w:r>
        <w:rPr>
          <w:rFonts w:ascii="Cambria"/>
          <w:i/>
          <w:color w:val="231F20"/>
          <w:w w:val="105"/>
        </w:rPr>
        <w:t xml:space="preserve">might </w:t>
      </w:r>
      <w:r>
        <w:rPr>
          <w:color w:val="231F20"/>
          <w:spacing w:val="-3"/>
          <w:w w:val="105"/>
        </w:rPr>
        <w:t xml:space="preserve">distinction </w:t>
      </w:r>
      <w:r>
        <w:rPr>
          <w:color w:val="231F20"/>
          <w:w w:val="105"/>
        </w:rPr>
        <w:t xml:space="preserve">based on the </w:t>
      </w:r>
      <w:r>
        <w:rPr>
          <w:color w:val="231F20"/>
          <w:w w:val="105"/>
          <w:position w:val="1"/>
          <w:sz w:val="16"/>
        </w:rPr>
        <w:t xml:space="preserve">5 </w:t>
      </w:r>
      <w:r>
        <w:rPr>
          <w:color w:val="231F20"/>
          <w:w w:val="105"/>
        </w:rPr>
        <w:t xml:space="preserve">degree of possibility is a welcome </w:t>
      </w:r>
      <w:r>
        <w:rPr>
          <w:color w:val="231F20"/>
          <w:spacing w:val="-3"/>
          <w:w w:val="105"/>
        </w:rPr>
        <w:t>relief.</w:t>
      </w:r>
      <w:r>
        <w:rPr>
          <w:color w:val="231F20"/>
          <w:spacing w:val="-3"/>
          <w:w w:val="105"/>
          <w:position w:val="9"/>
          <w:sz w:val="12"/>
        </w:rPr>
        <w:t xml:space="preserve">4 </w:t>
      </w:r>
      <w:r>
        <w:rPr>
          <w:color w:val="231F20"/>
          <w:w w:val="105"/>
        </w:rPr>
        <w:t xml:space="preserve">In order to test the </w:t>
      </w:r>
      <w:r>
        <w:rPr>
          <w:color w:val="231F20"/>
          <w:spacing w:val="-3"/>
          <w:w w:val="105"/>
        </w:rPr>
        <w:t xml:space="preserve">assumption </w:t>
      </w:r>
      <w:r>
        <w:rPr>
          <w:color w:val="231F20"/>
          <w:w w:val="105"/>
        </w:rPr>
        <w:t xml:space="preserve">that it is indeed the learning of English as an L2 that makes this uncertain distinction in meaning pervasive and salient for second, but not first, language  </w:t>
      </w:r>
      <w:r>
        <w:rPr>
          <w:color w:val="231F20"/>
          <w:spacing w:val="-3"/>
          <w:w w:val="105"/>
        </w:rPr>
        <w:t xml:space="preserve">speakers  </w:t>
      </w:r>
      <w:r>
        <w:rPr>
          <w:color w:val="231F20"/>
          <w:w w:val="105"/>
        </w:rPr>
        <w:t xml:space="preserve">we collected and analysed empirical </w:t>
      </w:r>
      <w:r>
        <w:rPr>
          <w:color w:val="231F20"/>
          <w:spacing w:val="-3"/>
          <w:w w:val="105"/>
        </w:rPr>
        <w:t xml:space="preserve">experimental </w:t>
      </w:r>
      <w:r>
        <w:rPr>
          <w:color w:val="231F20"/>
          <w:w w:val="105"/>
        </w:rPr>
        <w:t xml:space="preserve">data (see Section  </w:t>
      </w:r>
      <w:r>
        <w:rPr>
          <w:color w:val="231F20"/>
          <w:spacing w:val="37"/>
          <w:w w:val="105"/>
        </w:rPr>
        <w:t xml:space="preserve"> </w:t>
      </w:r>
      <w:r>
        <w:rPr>
          <w:color w:val="231F20"/>
          <w:w w:val="105"/>
        </w:rPr>
        <w:t>3).</w:t>
      </w:r>
    </w:p>
    <w:p w:rsidR="00B05397" w:rsidRDefault="00856287">
      <w:pPr>
        <w:pStyle w:val="BodyText"/>
        <w:spacing w:before="4"/>
        <w:ind w:left="469" w:right="128"/>
        <w:rPr>
          <w:sz w:val="16"/>
        </w:rPr>
      </w:pPr>
      <w:r>
        <w:rPr>
          <w:color w:val="231F20"/>
          <w:w w:val="105"/>
        </w:rPr>
        <w:t>It is worth no</w:t>
      </w:r>
      <w:r>
        <w:rPr>
          <w:color w:val="231F20"/>
          <w:w w:val="105"/>
        </w:rPr>
        <w:t xml:space="preserve">ting that we were able to find only one website </w:t>
      </w:r>
      <w:hyperlink r:id="rId15">
        <w:r>
          <w:rPr>
            <w:color w:val="231F20"/>
            <w:w w:val="105"/>
          </w:rPr>
          <w:t>(www.learners</w:t>
        </w:r>
      </w:hyperlink>
      <w:r>
        <w:rPr>
          <w:color w:val="231F20"/>
          <w:w w:val="105"/>
        </w:rPr>
        <w:t xml:space="preserve">     </w:t>
      </w:r>
      <w:r>
        <w:rPr>
          <w:color w:val="231F20"/>
          <w:w w:val="105"/>
          <w:position w:val="1"/>
          <w:sz w:val="16"/>
        </w:rPr>
        <w:t>10</w:t>
      </w:r>
    </w:p>
    <w:p w:rsidR="00B05397" w:rsidRDefault="00856287">
      <w:pPr>
        <w:pStyle w:val="BodyText"/>
        <w:spacing w:before="41" w:line="280" w:lineRule="auto"/>
        <w:ind w:left="130" w:right="410"/>
      </w:pPr>
      <w:hyperlink r:id="rId16">
        <w:r>
          <w:rPr>
            <w:color w:val="231F20"/>
            <w:w w:val="105"/>
          </w:rPr>
          <w:t>dictionary.com)</w:t>
        </w:r>
      </w:hyperlink>
      <w:r>
        <w:rPr>
          <w:color w:val="231F20"/>
          <w:w w:val="105"/>
        </w:rPr>
        <w:t xml:space="preserve"> with explicit advice about the lack of a clear rule when it com</w:t>
      </w:r>
      <w:r>
        <w:rPr>
          <w:color w:val="231F20"/>
          <w:w w:val="105"/>
        </w:rPr>
        <w:t>es</w:t>
      </w:r>
      <w:r>
        <w:rPr>
          <w:color w:val="231F20"/>
          <w:spacing w:val="49"/>
          <w:w w:val="105"/>
        </w:rPr>
        <w:t xml:space="preserve"> </w:t>
      </w:r>
      <w:r>
        <w:rPr>
          <w:color w:val="231F20"/>
          <w:w w:val="105"/>
        </w:rPr>
        <w:t xml:space="preserve">to the use of </w:t>
      </w:r>
      <w:r>
        <w:rPr>
          <w:rFonts w:ascii="Cambria"/>
          <w:i/>
          <w:color w:val="231F20"/>
          <w:w w:val="105"/>
        </w:rPr>
        <w:t xml:space="preserve">may </w:t>
      </w:r>
      <w:r>
        <w:rPr>
          <w:color w:val="231F20"/>
          <w:w w:val="105"/>
        </w:rPr>
        <w:t xml:space="preserve">vs. </w:t>
      </w:r>
      <w:r>
        <w:rPr>
          <w:rFonts w:ascii="Cambria"/>
          <w:i/>
          <w:color w:val="231F20"/>
          <w:w w:val="105"/>
        </w:rPr>
        <w:t xml:space="preserve">might </w:t>
      </w:r>
      <w:r>
        <w:rPr>
          <w:color w:val="231F20"/>
          <w:w w:val="105"/>
        </w:rPr>
        <w:t xml:space="preserve">in expressions of  </w:t>
      </w:r>
      <w:r>
        <w:rPr>
          <w:color w:val="231F20"/>
          <w:spacing w:val="38"/>
          <w:w w:val="105"/>
        </w:rPr>
        <w:t xml:space="preserve"> </w:t>
      </w:r>
      <w:r>
        <w:rPr>
          <w:color w:val="231F20"/>
          <w:w w:val="105"/>
        </w:rPr>
        <w:t>possibility:</w:t>
      </w:r>
    </w:p>
    <w:p w:rsidR="00B05397" w:rsidRDefault="00856287">
      <w:pPr>
        <w:pStyle w:val="BodyText"/>
        <w:spacing w:line="266" w:lineRule="auto"/>
        <w:ind w:left="130" w:right="280" w:firstLine="339"/>
        <w:rPr>
          <w:rFonts w:ascii="Calibri" w:hAnsi="Calibri"/>
        </w:rPr>
      </w:pPr>
      <w:r>
        <w:rPr>
          <w:rFonts w:ascii="Calibri" w:hAnsi="Calibri"/>
          <w:color w:val="231F20"/>
          <w:w w:val="105"/>
        </w:rPr>
        <w:t>“</w:t>
      </w:r>
      <w:r>
        <w:rPr>
          <w:color w:val="231F20"/>
          <w:w w:val="105"/>
        </w:rPr>
        <w:t xml:space="preserve">Note that many grammar books say </w:t>
      </w:r>
      <w:r>
        <w:rPr>
          <w:rFonts w:ascii="Cambria" w:hAnsi="Cambria"/>
          <w:i/>
          <w:color w:val="231F20"/>
          <w:w w:val="105"/>
        </w:rPr>
        <w:t xml:space="preserve">it is better to use might </w:t>
      </w:r>
      <w:r>
        <w:rPr>
          <w:color w:val="231F20"/>
          <w:w w:val="105"/>
        </w:rPr>
        <w:t xml:space="preserve">when something is less likely, and </w:t>
      </w:r>
      <w:r>
        <w:rPr>
          <w:rFonts w:ascii="Cambria" w:hAnsi="Cambria"/>
          <w:i/>
          <w:color w:val="231F20"/>
          <w:w w:val="105"/>
        </w:rPr>
        <w:t xml:space="preserve">may </w:t>
      </w:r>
      <w:r>
        <w:rPr>
          <w:color w:val="231F20"/>
          <w:w w:val="105"/>
        </w:rPr>
        <w:t>when something is more likely, but this is a flexible   rule.</w:t>
      </w:r>
      <w:r>
        <w:rPr>
          <w:rFonts w:ascii="Calibri" w:hAnsi="Calibri"/>
          <w:color w:val="231F20"/>
          <w:w w:val="105"/>
        </w:rPr>
        <w:t>”</w:t>
      </w:r>
    </w:p>
    <w:p w:rsidR="00B05397" w:rsidRDefault="00856287">
      <w:pPr>
        <w:pStyle w:val="BodyText"/>
        <w:spacing w:before="5" w:line="278" w:lineRule="auto"/>
        <w:ind w:left="130" w:right="210" w:firstLine="339"/>
      </w:pPr>
      <w:r>
        <w:rPr>
          <w:color w:val="231F20"/>
          <w:w w:val="110"/>
        </w:rPr>
        <w:t>However, not even this resourc</w:t>
      </w:r>
      <w:r>
        <w:rPr>
          <w:color w:val="231F20"/>
          <w:w w:val="110"/>
        </w:rPr>
        <w:t xml:space="preserve">e offers helpful guidance as to how to deal </w:t>
      </w:r>
      <w:r>
        <w:rPr>
          <w:color w:val="231F20"/>
          <w:w w:val="110"/>
          <w:position w:val="1"/>
          <w:sz w:val="16"/>
        </w:rPr>
        <w:t xml:space="preserve">15 </w:t>
      </w:r>
      <w:r>
        <w:rPr>
          <w:color w:val="231F20"/>
          <w:w w:val="110"/>
        </w:rPr>
        <w:t xml:space="preserve">with this </w:t>
      </w:r>
      <w:r>
        <w:rPr>
          <w:rFonts w:ascii="Calibri" w:hAnsi="Calibri"/>
          <w:color w:val="231F20"/>
          <w:w w:val="110"/>
        </w:rPr>
        <w:t>“</w:t>
      </w:r>
      <w:r>
        <w:rPr>
          <w:color w:val="231F20"/>
          <w:w w:val="110"/>
        </w:rPr>
        <w:t>rule flexibility</w:t>
      </w:r>
      <w:r>
        <w:rPr>
          <w:rFonts w:ascii="Calibri" w:hAnsi="Calibri"/>
          <w:color w:val="231F20"/>
          <w:w w:val="110"/>
        </w:rPr>
        <w:t>”</w:t>
      </w:r>
      <w:r>
        <w:rPr>
          <w:color w:val="231F20"/>
          <w:w w:val="110"/>
        </w:rPr>
        <w:t xml:space="preserve">. In fact, the term </w:t>
      </w:r>
      <w:r>
        <w:rPr>
          <w:rFonts w:ascii="Calibri" w:hAnsi="Calibri"/>
          <w:color w:val="231F20"/>
          <w:w w:val="110"/>
        </w:rPr>
        <w:t>“</w:t>
      </w:r>
      <w:r>
        <w:rPr>
          <w:color w:val="231F20"/>
          <w:w w:val="110"/>
        </w:rPr>
        <w:t>flexible rule</w:t>
      </w:r>
      <w:r>
        <w:rPr>
          <w:rFonts w:ascii="Calibri" w:hAnsi="Calibri"/>
          <w:color w:val="231F20"/>
          <w:w w:val="110"/>
        </w:rPr>
        <w:t xml:space="preserve">” </w:t>
      </w:r>
      <w:r>
        <w:rPr>
          <w:color w:val="231F20"/>
          <w:w w:val="110"/>
        </w:rPr>
        <w:t>is a learner</w:t>
      </w:r>
      <w:r>
        <w:rPr>
          <w:rFonts w:ascii="Calibri" w:hAnsi="Calibri"/>
          <w:color w:val="231F20"/>
          <w:w w:val="110"/>
        </w:rPr>
        <w:t>’</w:t>
      </w:r>
      <w:r>
        <w:rPr>
          <w:color w:val="231F20"/>
          <w:w w:val="110"/>
        </w:rPr>
        <w:t>s worst nightmare at the time when he or she is desperately trying to find some fixed bearings to rely on in the learning process (i. e. unambiguous and steadfast rules</w:t>
      </w:r>
    </w:p>
    <w:p w:rsidR="00B05397" w:rsidRDefault="00856287">
      <w:pPr>
        <w:pStyle w:val="BodyText"/>
        <w:spacing w:before="6" w:line="283" w:lineRule="auto"/>
        <w:ind w:left="130" w:right="124"/>
      </w:pPr>
      <w:r>
        <w:rPr>
          <w:color w:val="231F20"/>
          <w:w w:val="110"/>
        </w:rPr>
        <w:t>to adhere to). We were therefore able to establish the initial background for our assum</w:t>
      </w:r>
      <w:r>
        <w:rPr>
          <w:color w:val="231F20"/>
          <w:w w:val="110"/>
        </w:rPr>
        <w:t>ption</w:t>
      </w:r>
      <w:r>
        <w:rPr>
          <w:color w:val="231F20"/>
          <w:spacing w:val="-19"/>
          <w:w w:val="110"/>
        </w:rPr>
        <w:t xml:space="preserve"> </w:t>
      </w:r>
      <w:r>
        <w:rPr>
          <w:color w:val="231F20"/>
          <w:w w:val="110"/>
        </w:rPr>
        <w:t>that</w:t>
      </w:r>
      <w:r>
        <w:rPr>
          <w:color w:val="231F20"/>
          <w:spacing w:val="-18"/>
          <w:w w:val="110"/>
        </w:rPr>
        <w:t xml:space="preserve"> </w:t>
      </w:r>
      <w:r>
        <w:rPr>
          <w:color w:val="231F20"/>
          <w:w w:val="110"/>
        </w:rPr>
        <w:t>the</w:t>
      </w:r>
      <w:r>
        <w:rPr>
          <w:color w:val="231F20"/>
          <w:spacing w:val="-19"/>
          <w:w w:val="110"/>
        </w:rPr>
        <w:t xml:space="preserve"> </w:t>
      </w:r>
      <w:r>
        <w:rPr>
          <w:color w:val="231F20"/>
          <w:w w:val="110"/>
        </w:rPr>
        <w:t>explicit</w:t>
      </w:r>
      <w:r>
        <w:rPr>
          <w:color w:val="231F20"/>
          <w:spacing w:val="-18"/>
          <w:w w:val="110"/>
        </w:rPr>
        <w:t xml:space="preserve"> </w:t>
      </w:r>
      <w:r>
        <w:rPr>
          <w:color w:val="231F20"/>
          <w:w w:val="110"/>
        </w:rPr>
        <w:t>learning</w:t>
      </w:r>
      <w:r>
        <w:rPr>
          <w:color w:val="231F20"/>
          <w:spacing w:val="-19"/>
          <w:w w:val="110"/>
        </w:rPr>
        <w:t xml:space="preserve"> </w:t>
      </w:r>
      <w:r>
        <w:rPr>
          <w:color w:val="231F20"/>
          <w:w w:val="110"/>
        </w:rPr>
        <w:t>of</w:t>
      </w:r>
      <w:r>
        <w:rPr>
          <w:color w:val="231F20"/>
          <w:spacing w:val="-18"/>
          <w:w w:val="110"/>
        </w:rPr>
        <w:t xml:space="preserve"> </w:t>
      </w:r>
      <w:r>
        <w:rPr>
          <w:color w:val="231F20"/>
          <w:w w:val="110"/>
        </w:rPr>
        <w:t>the</w:t>
      </w:r>
      <w:r>
        <w:rPr>
          <w:color w:val="231F20"/>
          <w:spacing w:val="-19"/>
          <w:w w:val="110"/>
        </w:rPr>
        <w:t xml:space="preserve"> </w:t>
      </w:r>
      <w:r>
        <w:rPr>
          <w:color w:val="231F20"/>
          <w:w w:val="110"/>
        </w:rPr>
        <w:t>two</w:t>
      </w:r>
      <w:r>
        <w:rPr>
          <w:color w:val="231F20"/>
          <w:spacing w:val="-18"/>
          <w:w w:val="110"/>
        </w:rPr>
        <w:t xml:space="preserve"> </w:t>
      </w:r>
      <w:r>
        <w:rPr>
          <w:color w:val="231F20"/>
          <w:w w:val="110"/>
        </w:rPr>
        <w:t>forms</w:t>
      </w:r>
      <w:r>
        <w:rPr>
          <w:color w:val="231F20"/>
          <w:spacing w:val="-19"/>
          <w:w w:val="110"/>
        </w:rPr>
        <w:t xml:space="preserve"> </w:t>
      </w:r>
      <w:r>
        <w:rPr>
          <w:rFonts w:ascii="Cambria"/>
          <w:i/>
          <w:color w:val="231F20"/>
          <w:w w:val="110"/>
        </w:rPr>
        <w:t>may</w:t>
      </w:r>
      <w:r>
        <w:rPr>
          <w:rFonts w:ascii="Cambria"/>
          <w:i/>
          <w:color w:val="231F20"/>
          <w:spacing w:val="-13"/>
          <w:w w:val="110"/>
        </w:rPr>
        <w:t xml:space="preserve"> </w:t>
      </w:r>
      <w:r>
        <w:rPr>
          <w:color w:val="231F20"/>
          <w:w w:val="110"/>
        </w:rPr>
        <w:t>and</w:t>
      </w:r>
      <w:r>
        <w:rPr>
          <w:color w:val="231F20"/>
          <w:spacing w:val="-19"/>
          <w:w w:val="110"/>
        </w:rPr>
        <w:t xml:space="preserve"> </w:t>
      </w:r>
      <w:r>
        <w:rPr>
          <w:rFonts w:ascii="Cambria"/>
          <w:i/>
          <w:color w:val="231F20"/>
          <w:w w:val="110"/>
        </w:rPr>
        <w:t>might</w:t>
      </w:r>
      <w:r>
        <w:rPr>
          <w:rFonts w:ascii="Cambria"/>
          <w:i/>
          <w:color w:val="231F20"/>
          <w:spacing w:val="-13"/>
          <w:w w:val="110"/>
        </w:rPr>
        <w:t xml:space="preserve"> </w:t>
      </w:r>
      <w:r>
        <w:rPr>
          <w:color w:val="231F20"/>
          <w:w w:val="110"/>
        </w:rPr>
        <w:t>as</w:t>
      </w:r>
      <w:r>
        <w:rPr>
          <w:color w:val="231F20"/>
          <w:spacing w:val="-19"/>
          <w:w w:val="110"/>
        </w:rPr>
        <w:t xml:space="preserve"> </w:t>
      </w:r>
      <w:r>
        <w:rPr>
          <w:color w:val="231F20"/>
          <w:w w:val="110"/>
        </w:rPr>
        <w:t>different</w:t>
      </w:r>
      <w:r>
        <w:rPr>
          <w:color w:val="231F20"/>
          <w:spacing w:val="29"/>
          <w:w w:val="110"/>
        </w:rPr>
        <w:t xml:space="preserve"> </w:t>
      </w:r>
      <w:r>
        <w:rPr>
          <w:color w:val="231F20"/>
          <w:w w:val="110"/>
          <w:position w:val="1"/>
          <w:sz w:val="16"/>
        </w:rPr>
        <w:t xml:space="preserve">20 </w:t>
      </w:r>
      <w:r>
        <w:rPr>
          <w:color w:val="231F20"/>
          <w:w w:val="110"/>
        </w:rPr>
        <w:t xml:space="preserve">with respect to the degree of possibility and certainty expressed is a feature of English L2 learning instruction and acquisition. The aim of the empirical part of the present </w:t>
      </w:r>
      <w:r>
        <w:rPr>
          <w:color w:val="231F20"/>
          <w:w w:val="110"/>
        </w:rPr>
        <w:t xml:space="preserve">research is to find out whether the speakers of English as an L1 have the same understanding of the two forms as their L2 counterparts in the experi- ment, and if not, whether this hypothesised difference has a bearing on impor- </w:t>
      </w:r>
      <w:r>
        <w:rPr>
          <w:color w:val="231F20"/>
          <w:w w:val="110"/>
          <w:position w:val="1"/>
          <w:sz w:val="16"/>
        </w:rPr>
        <w:t xml:space="preserve">25 </w:t>
      </w:r>
      <w:r>
        <w:rPr>
          <w:color w:val="231F20"/>
          <w:w w:val="110"/>
        </w:rPr>
        <w:t>tant inferences in a leg</w:t>
      </w:r>
      <w:r>
        <w:rPr>
          <w:color w:val="231F20"/>
          <w:w w:val="110"/>
        </w:rPr>
        <w:t>al context, such as those that regard witness certainty</w:t>
      </w:r>
      <w:r>
        <w:rPr>
          <w:color w:val="231F20"/>
          <w:spacing w:val="52"/>
          <w:w w:val="110"/>
        </w:rPr>
        <w:t xml:space="preserve"> </w:t>
      </w:r>
      <w:r>
        <w:rPr>
          <w:color w:val="231F20"/>
          <w:w w:val="110"/>
        </w:rPr>
        <w:t>made by jury</w:t>
      </w:r>
      <w:r>
        <w:rPr>
          <w:color w:val="231F20"/>
          <w:spacing w:val="-24"/>
          <w:w w:val="110"/>
        </w:rPr>
        <w:t xml:space="preserve"> </w:t>
      </w:r>
      <w:r>
        <w:rPr>
          <w:color w:val="231F20"/>
          <w:w w:val="110"/>
        </w:rPr>
        <w:t>members.</w:t>
      </w:r>
    </w:p>
    <w:p w:rsidR="00B05397" w:rsidRDefault="00B05397">
      <w:pPr>
        <w:pStyle w:val="BodyText"/>
        <w:rPr>
          <w:sz w:val="18"/>
        </w:rPr>
      </w:pPr>
    </w:p>
    <w:p w:rsidR="00B05397" w:rsidRDefault="00B05397">
      <w:pPr>
        <w:pStyle w:val="BodyText"/>
        <w:spacing w:before="2"/>
        <w:rPr>
          <w:sz w:val="18"/>
        </w:rPr>
      </w:pPr>
    </w:p>
    <w:p w:rsidR="00B05397" w:rsidRDefault="00856287">
      <w:pPr>
        <w:pStyle w:val="Heading1"/>
        <w:numPr>
          <w:ilvl w:val="0"/>
          <w:numId w:val="3"/>
        </w:numPr>
        <w:tabs>
          <w:tab w:val="left" w:pos="439"/>
          <w:tab w:val="left" w:pos="6820"/>
        </w:tabs>
        <w:ind w:firstLine="0"/>
        <w:rPr>
          <w:color w:val="231F20"/>
        </w:rPr>
      </w:pPr>
      <w:r>
        <w:rPr>
          <w:color w:val="231F20"/>
        </w:rPr>
        <w:t>The</w:t>
      </w:r>
      <w:r>
        <w:rPr>
          <w:color w:val="231F20"/>
          <w:spacing w:val="-5"/>
        </w:rPr>
        <w:t xml:space="preserve"> </w:t>
      </w:r>
      <w:r>
        <w:rPr>
          <w:color w:val="231F20"/>
        </w:rPr>
        <w:t>present</w:t>
      </w:r>
      <w:r>
        <w:rPr>
          <w:color w:val="231F20"/>
          <w:spacing w:val="-4"/>
        </w:rPr>
        <w:t xml:space="preserve"> </w:t>
      </w:r>
      <w:r>
        <w:rPr>
          <w:color w:val="231F20"/>
        </w:rPr>
        <w:t>study</w:t>
      </w:r>
      <w:r>
        <w:rPr>
          <w:rFonts w:ascii="Times New Roman"/>
          <w:color w:val="231F20"/>
          <w:position w:val="1"/>
          <w:sz w:val="16"/>
        </w:rPr>
        <w:tab/>
        <w:t>30</w:t>
      </w:r>
    </w:p>
    <w:p w:rsidR="00B05397" w:rsidRDefault="00B05397">
      <w:pPr>
        <w:pStyle w:val="BodyText"/>
        <w:rPr>
          <w:sz w:val="31"/>
        </w:rPr>
      </w:pPr>
    </w:p>
    <w:p w:rsidR="00B05397" w:rsidRDefault="00856287">
      <w:pPr>
        <w:pStyle w:val="Heading2"/>
        <w:ind w:left="130" w:right="210"/>
      </w:pPr>
      <w:r>
        <w:rPr>
          <w:color w:val="231F20"/>
        </w:rPr>
        <w:t>3.1 Hypothesis</w:t>
      </w:r>
    </w:p>
    <w:p w:rsidR="00B05397" w:rsidRDefault="00B05397">
      <w:pPr>
        <w:pStyle w:val="BodyText"/>
        <w:spacing w:before="7"/>
        <w:rPr>
          <w:rFonts w:ascii="Trebuchet MS"/>
          <w:sz w:val="18"/>
        </w:rPr>
      </w:pPr>
    </w:p>
    <w:p w:rsidR="00B05397" w:rsidRDefault="00856287">
      <w:pPr>
        <w:pStyle w:val="BodyText"/>
        <w:spacing w:line="260" w:lineRule="exact"/>
        <w:ind w:left="130" w:right="131"/>
        <w:rPr>
          <w:sz w:val="16"/>
        </w:rPr>
      </w:pPr>
      <w:r>
        <w:rPr>
          <w:color w:val="231F20"/>
          <w:w w:val="110"/>
        </w:rPr>
        <w:t xml:space="preserve">Our working hypothesis is that speakers of English as an L1 have a different understanding and patterns of use when it comes to the modal verbs </w:t>
      </w:r>
      <w:r>
        <w:rPr>
          <w:rFonts w:ascii="Cambria"/>
          <w:i/>
          <w:color w:val="231F20"/>
          <w:w w:val="110"/>
        </w:rPr>
        <w:t xml:space="preserve">may </w:t>
      </w:r>
      <w:r>
        <w:rPr>
          <w:color w:val="231F20"/>
          <w:w w:val="110"/>
        </w:rPr>
        <w:t xml:space="preserve">and    </w:t>
      </w:r>
      <w:r>
        <w:rPr>
          <w:color w:val="231F20"/>
          <w:w w:val="110"/>
          <w:position w:val="10"/>
          <w:sz w:val="16"/>
        </w:rPr>
        <w:t>35</w:t>
      </w:r>
    </w:p>
    <w:p w:rsidR="00B05397" w:rsidRDefault="00856287">
      <w:pPr>
        <w:pStyle w:val="BodyText"/>
        <w:spacing w:before="26"/>
        <w:ind w:left="130" w:right="210"/>
      </w:pPr>
      <w:r>
        <w:rPr>
          <w:rFonts w:ascii="Cambria"/>
          <w:i/>
          <w:color w:val="231F20"/>
          <w:w w:val="105"/>
        </w:rPr>
        <w:t xml:space="preserve">might </w:t>
      </w:r>
      <w:r>
        <w:rPr>
          <w:color w:val="231F20"/>
          <w:w w:val="105"/>
        </w:rPr>
        <w:t>from those of L2 English speakers, resulting in different inferences in the</w:t>
      </w:r>
    </w:p>
    <w:p w:rsidR="00B05397" w:rsidRDefault="00856287">
      <w:pPr>
        <w:pStyle w:val="BodyText"/>
        <w:spacing w:before="2"/>
        <w:rPr>
          <w:sz w:val="15"/>
        </w:rPr>
      </w:pPr>
      <w:r>
        <w:pict>
          <v:line id="_x0000_s1072" style="position:absolute;z-index:1168;mso-wrap-distance-left:0;mso-wrap-distance-right:0;mso-position-horizontal-relative:page" from="59.55pt,11.45pt" to="89.4pt,11.45pt" strokecolor="#231f20" strokeweight=".52mm">
            <w10:wrap type="topAndBottom" anchorx="page"/>
          </v:line>
        </w:pict>
      </w:r>
    </w:p>
    <w:p w:rsidR="00B05397" w:rsidRDefault="00856287">
      <w:pPr>
        <w:pStyle w:val="ListParagraph"/>
        <w:numPr>
          <w:ilvl w:val="0"/>
          <w:numId w:val="3"/>
        </w:numPr>
        <w:tabs>
          <w:tab w:val="left" w:pos="303"/>
        </w:tabs>
        <w:spacing w:before="41" w:line="273" w:lineRule="auto"/>
        <w:ind w:right="109" w:firstLine="0"/>
        <w:rPr>
          <w:rFonts w:ascii="Calibri" w:hAnsi="Calibri"/>
          <w:color w:val="231F20"/>
          <w:sz w:val="16"/>
        </w:rPr>
      </w:pPr>
      <w:r>
        <w:rPr>
          <w:color w:val="231F20"/>
          <w:w w:val="110"/>
          <w:sz w:val="16"/>
        </w:rPr>
        <w:t xml:space="preserve">We illustrate </w:t>
      </w:r>
      <w:r>
        <w:rPr>
          <w:color w:val="231F20"/>
          <w:w w:val="110"/>
          <w:sz w:val="16"/>
        </w:rPr>
        <w:t xml:space="preserve">here that it is probably a number of factors (e. g. learning </w:t>
      </w:r>
      <w:r>
        <w:rPr>
          <w:color w:val="231F20"/>
          <w:spacing w:val="-3"/>
          <w:w w:val="110"/>
          <w:sz w:val="16"/>
        </w:rPr>
        <w:t xml:space="preserve">materials, </w:t>
      </w:r>
      <w:r>
        <w:rPr>
          <w:color w:val="231F20"/>
          <w:w w:val="110"/>
          <w:sz w:val="16"/>
        </w:rPr>
        <w:t xml:space="preserve">teaching and learning strategies) that drive the </w:t>
      </w:r>
      <w:r>
        <w:rPr>
          <w:color w:val="231F20"/>
          <w:spacing w:val="-3"/>
          <w:w w:val="110"/>
          <w:sz w:val="16"/>
        </w:rPr>
        <w:t xml:space="preserve">phenomena </w:t>
      </w:r>
      <w:r>
        <w:rPr>
          <w:color w:val="231F20"/>
          <w:w w:val="110"/>
          <w:sz w:val="16"/>
        </w:rPr>
        <w:t xml:space="preserve">studied in this </w:t>
      </w:r>
      <w:r>
        <w:rPr>
          <w:color w:val="231F20"/>
          <w:spacing w:val="-2"/>
          <w:w w:val="110"/>
          <w:sz w:val="16"/>
        </w:rPr>
        <w:t xml:space="preserve">paper. </w:t>
      </w:r>
      <w:r>
        <w:rPr>
          <w:color w:val="231F20"/>
          <w:w w:val="110"/>
          <w:sz w:val="16"/>
        </w:rPr>
        <w:t>We do not intend to imply  that</w:t>
      </w:r>
      <w:r>
        <w:rPr>
          <w:color w:val="231F20"/>
          <w:spacing w:val="-17"/>
          <w:w w:val="110"/>
          <w:sz w:val="16"/>
        </w:rPr>
        <w:t xml:space="preserve"> </w:t>
      </w:r>
      <w:r>
        <w:rPr>
          <w:color w:val="231F20"/>
          <w:w w:val="110"/>
          <w:sz w:val="16"/>
        </w:rPr>
        <w:t>a</w:t>
      </w:r>
      <w:r>
        <w:rPr>
          <w:color w:val="231F20"/>
          <w:spacing w:val="-15"/>
          <w:w w:val="110"/>
          <w:sz w:val="16"/>
        </w:rPr>
        <w:t xml:space="preserve"> </w:t>
      </w:r>
      <w:r>
        <w:rPr>
          <w:color w:val="231F20"/>
          <w:spacing w:val="-2"/>
          <w:w w:val="110"/>
          <w:sz w:val="16"/>
        </w:rPr>
        <w:t>single</w:t>
      </w:r>
      <w:r>
        <w:rPr>
          <w:color w:val="231F20"/>
          <w:spacing w:val="-15"/>
          <w:w w:val="110"/>
          <w:sz w:val="16"/>
        </w:rPr>
        <w:t xml:space="preserve"> </w:t>
      </w:r>
      <w:r>
        <w:rPr>
          <w:color w:val="231F20"/>
          <w:w w:val="110"/>
          <w:sz w:val="16"/>
        </w:rPr>
        <w:t>factor</w:t>
      </w:r>
      <w:r>
        <w:rPr>
          <w:color w:val="231F20"/>
          <w:spacing w:val="-17"/>
          <w:w w:val="110"/>
          <w:sz w:val="16"/>
        </w:rPr>
        <w:t xml:space="preserve"> </w:t>
      </w:r>
      <w:r>
        <w:rPr>
          <w:color w:val="231F20"/>
          <w:w w:val="110"/>
          <w:sz w:val="16"/>
        </w:rPr>
        <w:t>(e.</w:t>
      </w:r>
      <w:r>
        <w:rPr>
          <w:color w:val="231F20"/>
          <w:spacing w:val="-22"/>
          <w:w w:val="110"/>
          <w:sz w:val="16"/>
        </w:rPr>
        <w:t xml:space="preserve"> </w:t>
      </w:r>
      <w:r>
        <w:rPr>
          <w:color w:val="231F20"/>
          <w:w w:val="110"/>
          <w:sz w:val="16"/>
        </w:rPr>
        <w:t>g.a</w:t>
      </w:r>
      <w:r>
        <w:rPr>
          <w:color w:val="231F20"/>
          <w:spacing w:val="-16"/>
          <w:w w:val="110"/>
          <w:sz w:val="16"/>
        </w:rPr>
        <w:t xml:space="preserve"> </w:t>
      </w:r>
      <w:r>
        <w:rPr>
          <w:color w:val="231F20"/>
          <w:spacing w:val="-3"/>
          <w:w w:val="110"/>
          <w:sz w:val="16"/>
        </w:rPr>
        <w:t>textbook)</w:t>
      </w:r>
      <w:r>
        <w:rPr>
          <w:color w:val="231F20"/>
          <w:spacing w:val="-15"/>
          <w:w w:val="110"/>
          <w:sz w:val="16"/>
        </w:rPr>
        <w:t xml:space="preserve"> </w:t>
      </w:r>
      <w:r>
        <w:rPr>
          <w:color w:val="231F20"/>
          <w:w w:val="110"/>
          <w:sz w:val="16"/>
        </w:rPr>
        <w:t>is</w:t>
      </w:r>
      <w:r>
        <w:rPr>
          <w:color w:val="231F20"/>
          <w:spacing w:val="-17"/>
          <w:w w:val="110"/>
          <w:sz w:val="16"/>
        </w:rPr>
        <w:t xml:space="preserve"> </w:t>
      </w:r>
      <w:r>
        <w:rPr>
          <w:color w:val="231F20"/>
          <w:w w:val="110"/>
          <w:sz w:val="16"/>
        </w:rPr>
        <w:t>the</w:t>
      </w:r>
      <w:r>
        <w:rPr>
          <w:color w:val="231F20"/>
          <w:spacing w:val="-15"/>
          <w:w w:val="110"/>
          <w:sz w:val="16"/>
        </w:rPr>
        <w:t xml:space="preserve"> </w:t>
      </w:r>
      <w:r>
        <w:rPr>
          <w:rFonts w:ascii="Calibri" w:hAnsi="Calibri"/>
          <w:color w:val="231F20"/>
          <w:spacing w:val="-3"/>
          <w:w w:val="110"/>
          <w:sz w:val="16"/>
        </w:rPr>
        <w:t>“</w:t>
      </w:r>
      <w:r>
        <w:rPr>
          <w:color w:val="231F20"/>
          <w:spacing w:val="-3"/>
          <w:w w:val="110"/>
          <w:sz w:val="16"/>
        </w:rPr>
        <w:t>culprit</w:t>
      </w:r>
      <w:r>
        <w:rPr>
          <w:rFonts w:ascii="Calibri" w:hAnsi="Calibri"/>
          <w:color w:val="231F20"/>
          <w:spacing w:val="-3"/>
          <w:w w:val="110"/>
          <w:sz w:val="16"/>
        </w:rPr>
        <w:t>”</w:t>
      </w:r>
      <w:r>
        <w:rPr>
          <w:color w:val="231F20"/>
          <w:spacing w:val="-3"/>
          <w:w w:val="110"/>
          <w:sz w:val="16"/>
        </w:rPr>
        <w:t>;</w:t>
      </w:r>
      <w:r>
        <w:rPr>
          <w:color w:val="231F20"/>
          <w:spacing w:val="-16"/>
          <w:w w:val="110"/>
          <w:sz w:val="16"/>
        </w:rPr>
        <w:t xml:space="preserve"> </w:t>
      </w:r>
      <w:r>
        <w:rPr>
          <w:color w:val="231F20"/>
          <w:w w:val="110"/>
          <w:sz w:val="16"/>
        </w:rPr>
        <w:t>please</w:t>
      </w:r>
      <w:r>
        <w:rPr>
          <w:color w:val="231F20"/>
          <w:spacing w:val="-15"/>
          <w:w w:val="110"/>
          <w:sz w:val="16"/>
        </w:rPr>
        <w:t xml:space="preserve"> </w:t>
      </w:r>
      <w:r>
        <w:rPr>
          <w:color w:val="231F20"/>
          <w:w w:val="110"/>
          <w:sz w:val="16"/>
        </w:rPr>
        <w:t>see</w:t>
      </w:r>
      <w:r>
        <w:rPr>
          <w:color w:val="231F20"/>
          <w:spacing w:val="-17"/>
          <w:w w:val="110"/>
          <w:sz w:val="16"/>
        </w:rPr>
        <w:t xml:space="preserve"> </w:t>
      </w:r>
      <w:r>
        <w:rPr>
          <w:color w:val="231F20"/>
          <w:w w:val="110"/>
          <w:sz w:val="16"/>
        </w:rPr>
        <w:t>the</w:t>
      </w:r>
      <w:r>
        <w:rPr>
          <w:color w:val="231F20"/>
          <w:spacing w:val="-15"/>
          <w:w w:val="110"/>
          <w:sz w:val="16"/>
        </w:rPr>
        <w:t xml:space="preserve"> </w:t>
      </w:r>
      <w:r>
        <w:rPr>
          <w:color w:val="231F20"/>
          <w:w w:val="110"/>
          <w:sz w:val="16"/>
        </w:rPr>
        <w:t>detailed</w:t>
      </w:r>
      <w:r>
        <w:rPr>
          <w:color w:val="231F20"/>
          <w:spacing w:val="-17"/>
          <w:w w:val="110"/>
          <w:sz w:val="16"/>
        </w:rPr>
        <w:t xml:space="preserve"> </w:t>
      </w:r>
      <w:r>
        <w:rPr>
          <w:color w:val="231F20"/>
          <w:spacing w:val="-3"/>
          <w:w w:val="110"/>
          <w:sz w:val="16"/>
        </w:rPr>
        <w:t>discussion</w:t>
      </w:r>
      <w:r>
        <w:rPr>
          <w:color w:val="231F20"/>
          <w:spacing w:val="-15"/>
          <w:w w:val="110"/>
          <w:sz w:val="16"/>
        </w:rPr>
        <w:t xml:space="preserve"> </w:t>
      </w:r>
      <w:r>
        <w:rPr>
          <w:color w:val="231F20"/>
          <w:w w:val="110"/>
          <w:sz w:val="16"/>
        </w:rPr>
        <w:t>in</w:t>
      </w:r>
      <w:r>
        <w:rPr>
          <w:color w:val="231F20"/>
          <w:spacing w:val="-15"/>
          <w:w w:val="110"/>
          <w:sz w:val="16"/>
        </w:rPr>
        <w:t xml:space="preserve"> </w:t>
      </w:r>
      <w:r>
        <w:rPr>
          <w:color w:val="231F20"/>
          <w:w w:val="110"/>
          <w:sz w:val="16"/>
        </w:rPr>
        <w:t>Section</w:t>
      </w:r>
      <w:r>
        <w:rPr>
          <w:color w:val="231F20"/>
          <w:spacing w:val="-16"/>
          <w:w w:val="110"/>
          <w:sz w:val="16"/>
        </w:rPr>
        <w:t xml:space="preserve"> </w:t>
      </w:r>
      <w:r>
        <w:rPr>
          <w:color w:val="231F20"/>
          <w:w w:val="110"/>
          <w:sz w:val="16"/>
        </w:rPr>
        <w:t>4.</w:t>
      </w:r>
      <w:r>
        <w:rPr>
          <w:color w:val="231F20"/>
          <w:spacing w:val="43"/>
          <w:w w:val="110"/>
          <w:sz w:val="16"/>
        </w:rPr>
        <w:t xml:space="preserve"> </w:t>
      </w:r>
      <w:r>
        <w:rPr>
          <w:color w:val="231F20"/>
          <w:w w:val="110"/>
          <w:position w:val="1"/>
          <w:sz w:val="16"/>
        </w:rPr>
        <w:t>40</w:t>
      </w:r>
    </w:p>
    <w:p w:rsidR="00B05397" w:rsidRDefault="00B05397">
      <w:pPr>
        <w:spacing w:line="273" w:lineRule="auto"/>
        <w:rPr>
          <w:rFonts w:ascii="Calibri" w:hAnsi="Calibri"/>
          <w:sz w:val="16"/>
        </w:rPr>
        <w:sectPr w:rsidR="00B05397">
          <w:pgSz w:w="8790" w:h="13040"/>
          <w:pgMar w:top="720" w:right="620" w:bottom="280" w:left="1060" w:header="538" w:footer="0" w:gutter="0"/>
          <w:cols w:space="720"/>
        </w:sectPr>
      </w:pPr>
    </w:p>
    <w:p w:rsidR="00B05397" w:rsidRDefault="00B05397">
      <w:pPr>
        <w:pStyle w:val="BodyText"/>
        <w:rPr>
          <w:sz w:val="20"/>
        </w:rPr>
      </w:pPr>
    </w:p>
    <w:p w:rsidR="00B05397" w:rsidRDefault="00B05397">
      <w:pPr>
        <w:pStyle w:val="BodyText"/>
        <w:spacing w:before="4"/>
        <w:rPr>
          <w:sz w:val="20"/>
        </w:rPr>
      </w:pPr>
    </w:p>
    <w:p w:rsidR="00B05397" w:rsidRDefault="00856287">
      <w:pPr>
        <w:pStyle w:val="BodyText"/>
        <w:spacing w:before="74" w:line="283" w:lineRule="auto"/>
        <w:ind w:left="120" w:right="151"/>
      </w:pPr>
      <w:r>
        <w:rPr>
          <w:color w:val="231F20"/>
          <w:w w:val="110"/>
        </w:rPr>
        <w:t xml:space="preserve">context of mock jury judgements. Namely, we wanted to probe for real-life </w:t>
      </w:r>
      <w:r>
        <w:rPr>
          <w:color w:val="231F20"/>
          <w:w w:val="110"/>
          <w:position w:val="1"/>
          <w:sz w:val="16"/>
        </w:rPr>
        <w:t xml:space="preserve">1 </w:t>
      </w:r>
      <w:r>
        <w:rPr>
          <w:color w:val="231F20"/>
          <w:w w:val="110"/>
        </w:rPr>
        <w:t xml:space="preserve">effects of differences in language use in this specific context and also to check whether there are potential consequences </w:t>
      </w:r>
      <w:r>
        <w:rPr>
          <w:color w:val="231F20"/>
          <w:w w:val="110"/>
        </w:rPr>
        <w:t xml:space="preserve">that can go beyond the mere detection of these differences. In fact, we wanted to test the possibility that decision- making with regard to the possibility that the events occurred as described and </w:t>
      </w:r>
      <w:r>
        <w:rPr>
          <w:color w:val="231F20"/>
          <w:w w:val="110"/>
          <w:position w:val="1"/>
          <w:sz w:val="16"/>
        </w:rPr>
        <w:t xml:space="preserve">5 </w:t>
      </w:r>
      <w:r>
        <w:rPr>
          <w:color w:val="231F20"/>
          <w:w w:val="110"/>
        </w:rPr>
        <w:t>witness confidence in their own descriptions can be sway</w:t>
      </w:r>
      <w:r>
        <w:rPr>
          <w:color w:val="231F20"/>
          <w:w w:val="110"/>
        </w:rPr>
        <w:t xml:space="preserve">ed as a direct conse- quence of the difference in how </w:t>
      </w:r>
      <w:r>
        <w:rPr>
          <w:rFonts w:ascii="Cambria"/>
          <w:i/>
          <w:color w:val="231F20"/>
          <w:w w:val="110"/>
        </w:rPr>
        <w:t xml:space="preserve">may </w:t>
      </w:r>
      <w:r>
        <w:rPr>
          <w:color w:val="231F20"/>
          <w:w w:val="110"/>
        </w:rPr>
        <w:t xml:space="preserve">and </w:t>
      </w:r>
      <w:r>
        <w:rPr>
          <w:rFonts w:ascii="Cambria"/>
          <w:i/>
          <w:color w:val="231F20"/>
          <w:w w:val="110"/>
        </w:rPr>
        <w:t xml:space="preserve">might </w:t>
      </w:r>
      <w:r>
        <w:rPr>
          <w:color w:val="231F20"/>
          <w:w w:val="110"/>
        </w:rPr>
        <w:t>are used and understood by the two different populations. We therefore hypothesized that the judgements of the speakers may differ based on whether they speak English as an L1 or an L2. This</w:t>
      </w:r>
    </w:p>
    <w:p w:rsidR="00B05397" w:rsidRDefault="00856287">
      <w:pPr>
        <w:pStyle w:val="BodyText"/>
        <w:spacing w:before="2" w:line="280" w:lineRule="auto"/>
        <w:ind w:left="120" w:right="119"/>
      </w:pPr>
      <w:r>
        <w:rPr>
          <w:color w:val="231F20"/>
          <w:w w:val="105"/>
        </w:rPr>
        <w:t>is due to the fact that the difference in the degree of possibili</w:t>
      </w:r>
      <w:r>
        <w:rPr>
          <w:color w:val="231F20"/>
          <w:w w:val="105"/>
        </w:rPr>
        <w:t xml:space="preserve">ty (higher if </w:t>
      </w:r>
      <w:r>
        <w:rPr>
          <w:color w:val="231F20"/>
          <w:w w:val="105"/>
          <w:position w:val="1"/>
          <w:sz w:val="16"/>
        </w:rPr>
        <w:t xml:space="preserve">10  </w:t>
      </w:r>
      <w:r>
        <w:rPr>
          <w:color w:val="231F20"/>
          <w:w w:val="105"/>
        </w:rPr>
        <w:t xml:space="preserve">expressed with </w:t>
      </w:r>
      <w:r>
        <w:rPr>
          <w:rFonts w:ascii="Cambria"/>
          <w:i/>
          <w:color w:val="231F20"/>
          <w:w w:val="105"/>
        </w:rPr>
        <w:t>may</w:t>
      </w:r>
      <w:r>
        <w:rPr>
          <w:color w:val="231F20"/>
          <w:w w:val="105"/>
        </w:rPr>
        <w:t xml:space="preserve">, lower with </w:t>
      </w:r>
      <w:r>
        <w:rPr>
          <w:rFonts w:ascii="Cambria"/>
          <w:i/>
          <w:color w:val="231F20"/>
          <w:w w:val="105"/>
        </w:rPr>
        <w:t>might</w:t>
      </w:r>
      <w:r>
        <w:rPr>
          <w:color w:val="231F20"/>
          <w:w w:val="105"/>
        </w:rPr>
        <w:t>) is given more prominence in L2 learning</w:t>
      </w:r>
      <w:r>
        <w:rPr>
          <w:color w:val="231F20"/>
          <w:spacing w:val="49"/>
          <w:w w:val="105"/>
        </w:rPr>
        <w:t xml:space="preserve"> </w:t>
      </w:r>
      <w:r>
        <w:rPr>
          <w:color w:val="231F20"/>
          <w:w w:val="105"/>
        </w:rPr>
        <w:t>than in English grammars or native speaker use. Nevertheless, we bore in mind      the possibility that (at least some) native speakers  may  also  have  the  u</w:t>
      </w:r>
      <w:r>
        <w:rPr>
          <w:color w:val="231F20"/>
          <w:w w:val="105"/>
        </w:rPr>
        <w:t xml:space="preserve">nder- standing of </w:t>
      </w:r>
      <w:r>
        <w:rPr>
          <w:rFonts w:ascii="Cambria"/>
          <w:i/>
          <w:color w:val="231F20"/>
          <w:w w:val="105"/>
        </w:rPr>
        <w:t xml:space="preserve">may  </w:t>
      </w:r>
      <w:r>
        <w:rPr>
          <w:color w:val="231F20"/>
          <w:w w:val="105"/>
        </w:rPr>
        <w:t xml:space="preserve">as more possible than </w:t>
      </w:r>
      <w:r>
        <w:rPr>
          <w:rFonts w:ascii="Cambria"/>
          <w:i/>
          <w:color w:val="231F20"/>
          <w:w w:val="105"/>
        </w:rPr>
        <w:t>might</w:t>
      </w:r>
      <w:r>
        <w:rPr>
          <w:color w:val="231F20"/>
          <w:w w:val="105"/>
        </w:rPr>
        <w:t xml:space="preserve">, since </w:t>
      </w:r>
      <w:r>
        <w:rPr>
          <w:rFonts w:ascii="Cambria"/>
          <w:i/>
          <w:color w:val="231F20"/>
          <w:w w:val="105"/>
        </w:rPr>
        <w:t xml:space="preserve">might  </w:t>
      </w:r>
      <w:r>
        <w:rPr>
          <w:color w:val="231F20"/>
          <w:w w:val="105"/>
        </w:rPr>
        <w:t>is historically a past</w:t>
      </w:r>
      <w:r>
        <w:rPr>
          <w:color w:val="231F20"/>
          <w:spacing w:val="49"/>
          <w:w w:val="105"/>
        </w:rPr>
        <w:t xml:space="preserve"> </w:t>
      </w:r>
      <w:r>
        <w:rPr>
          <w:color w:val="231F20"/>
          <w:w w:val="105"/>
        </w:rPr>
        <w:t xml:space="preserve">tense (and thus perhaps perceivable as more remote than </w:t>
      </w:r>
      <w:r>
        <w:rPr>
          <w:rFonts w:ascii="Cambria"/>
          <w:i/>
          <w:color w:val="231F20"/>
          <w:w w:val="105"/>
        </w:rPr>
        <w:t xml:space="preserve">may </w:t>
      </w:r>
      <w:r>
        <w:rPr>
          <w:color w:val="231F20"/>
          <w:w w:val="105"/>
        </w:rPr>
        <w:t>due to  some</w:t>
      </w:r>
      <w:r>
        <w:rPr>
          <w:color w:val="231F20"/>
          <w:spacing w:val="49"/>
          <w:w w:val="105"/>
        </w:rPr>
        <w:t xml:space="preserve"> </w:t>
      </w:r>
      <w:r>
        <w:rPr>
          <w:color w:val="231F20"/>
          <w:w w:val="105"/>
          <w:position w:val="1"/>
          <w:sz w:val="16"/>
        </w:rPr>
        <w:t xml:space="preserve">15 </w:t>
      </w:r>
      <w:r>
        <w:rPr>
          <w:color w:val="231F20"/>
          <w:w w:val="105"/>
        </w:rPr>
        <w:t xml:space="preserve">residual  usage  reasons  from  the  past  and  the  counterfactual  meaning  of  </w:t>
      </w:r>
      <w:r>
        <w:rPr>
          <w:rFonts w:ascii="Cambria"/>
          <w:i/>
          <w:color w:val="231F20"/>
          <w:w w:val="105"/>
        </w:rPr>
        <w:t xml:space="preserve">might </w:t>
      </w:r>
      <w:r>
        <w:rPr>
          <w:color w:val="231F20"/>
          <w:w w:val="105"/>
        </w:rPr>
        <w:t>stil</w:t>
      </w:r>
      <w:r>
        <w:rPr>
          <w:color w:val="231F20"/>
          <w:w w:val="105"/>
        </w:rPr>
        <w:t>l lingering on). Therefore, we also aimed to  check  how  widespread  this  potential</w:t>
      </w:r>
      <w:r>
        <w:rPr>
          <w:color w:val="231F20"/>
          <w:spacing w:val="33"/>
          <w:w w:val="105"/>
        </w:rPr>
        <w:t xml:space="preserve"> </w:t>
      </w:r>
      <w:r>
        <w:rPr>
          <w:color w:val="231F20"/>
          <w:w w:val="105"/>
        </w:rPr>
        <w:t>differentiation</w:t>
      </w:r>
      <w:r>
        <w:rPr>
          <w:color w:val="231F20"/>
          <w:spacing w:val="32"/>
          <w:w w:val="105"/>
        </w:rPr>
        <w:t xml:space="preserve"> </w:t>
      </w:r>
      <w:r>
        <w:rPr>
          <w:color w:val="231F20"/>
          <w:w w:val="105"/>
        </w:rPr>
        <w:t>is</w:t>
      </w:r>
      <w:r>
        <w:rPr>
          <w:color w:val="231F20"/>
          <w:spacing w:val="32"/>
          <w:w w:val="105"/>
        </w:rPr>
        <w:t xml:space="preserve"> </w:t>
      </w:r>
      <w:r>
        <w:rPr>
          <w:color w:val="231F20"/>
          <w:w w:val="105"/>
        </w:rPr>
        <w:t>among</w:t>
      </w:r>
      <w:r>
        <w:rPr>
          <w:color w:val="231F20"/>
          <w:spacing w:val="32"/>
          <w:w w:val="105"/>
        </w:rPr>
        <w:t xml:space="preserve"> </w:t>
      </w:r>
      <w:r>
        <w:rPr>
          <w:color w:val="231F20"/>
          <w:w w:val="105"/>
        </w:rPr>
        <w:t>native</w:t>
      </w:r>
      <w:r>
        <w:rPr>
          <w:color w:val="231F20"/>
          <w:spacing w:val="33"/>
          <w:w w:val="105"/>
        </w:rPr>
        <w:t xml:space="preserve"> </w:t>
      </w:r>
      <w:r>
        <w:rPr>
          <w:color w:val="231F20"/>
          <w:w w:val="105"/>
        </w:rPr>
        <w:t>speakers.</w:t>
      </w:r>
      <w:r>
        <w:rPr>
          <w:color w:val="231F20"/>
          <w:spacing w:val="32"/>
          <w:w w:val="105"/>
        </w:rPr>
        <w:t xml:space="preserve"> </w:t>
      </w:r>
      <w:r>
        <w:rPr>
          <w:color w:val="231F20"/>
          <w:w w:val="105"/>
        </w:rPr>
        <w:t>Furthermore,</w:t>
      </w:r>
      <w:r>
        <w:rPr>
          <w:color w:val="231F20"/>
          <w:spacing w:val="34"/>
          <w:w w:val="105"/>
        </w:rPr>
        <w:t xml:space="preserve"> </w:t>
      </w:r>
      <w:r>
        <w:rPr>
          <w:color w:val="231F20"/>
          <w:w w:val="105"/>
        </w:rPr>
        <w:t>there</w:t>
      </w:r>
      <w:r>
        <w:rPr>
          <w:color w:val="231F20"/>
          <w:spacing w:val="32"/>
          <w:w w:val="105"/>
        </w:rPr>
        <w:t xml:space="preserve"> </w:t>
      </w:r>
      <w:r>
        <w:rPr>
          <w:color w:val="231F20"/>
          <w:w w:val="105"/>
        </w:rPr>
        <w:t>seems</w:t>
      </w:r>
      <w:r>
        <w:rPr>
          <w:color w:val="231F20"/>
          <w:spacing w:val="32"/>
          <w:w w:val="105"/>
        </w:rPr>
        <w:t xml:space="preserve"> </w:t>
      </w:r>
      <w:r>
        <w:rPr>
          <w:color w:val="231F20"/>
          <w:w w:val="105"/>
        </w:rPr>
        <w:t>to</w:t>
      </w:r>
    </w:p>
    <w:p w:rsidR="00B05397" w:rsidRDefault="00856287">
      <w:pPr>
        <w:pStyle w:val="BodyText"/>
        <w:spacing w:before="1" w:line="283" w:lineRule="auto"/>
        <w:ind w:left="120" w:right="126"/>
        <w:rPr>
          <w:sz w:val="16"/>
        </w:rPr>
      </w:pPr>
      <w:r>
        <w:rPr>
          <w:color w:val="231F20"/>
          <w:w w:val="105"/>
        </w:rPr>
        <w:t xml:space="preserve">be a scale  of possibility  on  which  </w:t>
      </w:r>
      <w:r>
        <w:rPr>
          <w:rFonts w:ascii="Cambria"/>
          <w:i/>
          <w:color w:val="231F20"/>
          <w:w w:val="105"/>
        </w:rPr>
        <w:t xml:space="preserve">may  </w:t>
      </w:r>
      <w:r>
        <w:rPr>
          <w:color w:val="231F20"/>
          <w:w w:val="105"/>
        </w:rPr>
        <w:t xml:space="preserve">and  </w:t>
      </w:r>
      <w:r>
        <w:rPr>
          <w:rFonts w:ascii="Cambria"/>
          <w:i/>
          <w:color w:val="231F20"/>
          <w:w w:val="105"/>
        </w:rPr>
        <w:t xml:space="preserve">might  </w:t>
      </w:r>
      <w:r>
        <w:rPr>
          <w:color w:val="231F20"/>
          <w:w w:val="105"/>
        </w:rPr>
        <w:t>need  not always  occupy the same place. For</w:t>
      </w:r>
      <w:r>
        <w:rPr>
          <w:color w:val="231F20"/>
          <w:w w:val="105"/>
        </w:rPr>
        <w:t xml:space="preserve"> instance, consider the following examples (from Google search):   </w:t>
      </w:r>
      <w:r>
        <w:rPr>
          <w:color w:val="231F20"/>
          <w:w w:val="105"/>
          <w:position w:val="1"/>
          <w:sz w:val="16"/>
        </w:rPr>
        <w:t>20</w:t>
      </w:r>
    </w:p>
    <w:p w:rsidR="00B05397" w:rsidRDefault="00B05397">
      <w:pPr>
        <w:pStyle w:val="BodyText"/>
        <w:spacing w:before="8"/>
        <w:rPr>
          <w:sz w:val="20"/>
        </w:rPr>
      </w:pPr>
    </w:p>
    <w:p w:rsidR="00B05397" w:rsidRDefault="00856287">
      <w:pPr>
        <w:pStyle w:val="ListParagraph"/>
        <w:numPr>
          <w:ilvl w:val="0"/>
          <w:numId w:val="4"/>
        </w:numPr>
        <w:tabs>
          <w:tab w:val="left" w:pos="589"/>
        </w:tabs>
        <w:spacing w:line="276" w:lineRule="auto"/>
        <w:ind w:right="388" w:hanging="468"/>
        <w:jc w:val="both"/>
        <w:rPr>
          <w:sz w:val="19"/>
        </w:rPr>
      </w:pPr>
      <w:r>
        <w:rPr>
          <w:color w:val="231F20"/>
          <w:w w:val="110"/>
          <w:sz w:val="19"/>
        </w:rPr>
        <w:t xml:space="preserve">Our next prime minister </w:t>
      </w:r>
      <w:r>
        <w:rPr>
          <w:rFonts w:ascii="Cambria" w:hAnsi="Cambria"/>
          <w:i/>
          <w:color w:val="231F20"/>
          <w:w w:val="110"/>
          <w:sz w:val="19"/>
        </w:rPr>
        <w:t xml:space="preserve">will almost certainly have </w:t>
      </w:r>
      <w:r>
        <w:rPr>
          <w:color w:val="231F20"/>
          <w:w w:val="110"/>
          <w:sz w:val="19"/>
        </w:rPr>
        <w:t>gone to school with Boris. Isn</w:t>
      </w:r>
      <w:r>
        <w:rPr>
          <w:rFonts w:ascii="Calibri" w:hAnsi="Calibri"/>
          <w:color w:val="231F20"/>
          <w:w w:val="110"/>
          <w:sz w:val="19"/>
        </w:rPr>
        <w:t>’</w:t>
      </w:r>
      <w:r>
        <w:rPr>
          <w:color w:val="231F20"/>
          <w:w w:val="110"/>
          <w:sz w:val="19"/>
        </w:rPr>
        <w:t xml:space="preserve">t that a bit weird? </w:t>
      </w:r>
      <w:hyperlink r:id="rId17">
        <w:r>
          <w:rPr>
            <w:color w:val="231F20"/>
            <w:w w:val="110"/>
            <w:sz w:val="19"/>
          </w:rPr>
          <w:t>(http://www.qlmediation.com/author/andre</w:t>
        </w:r>
      </w:hyperlink>
      <w:r>
        <w:rPr>
          <w:color w:val="231F20"/>
          <w:w w:val="110"/>
          <w:sz w:val="19"/>
        </w:rPr>
        <w:t xml:space="preserve"> </w:t>
      </w:r>
      <w:hyperlink r:id="rId18">
        <w:r>
          <w:rPr>
            <w:color w:val="231F20"/>
            <w:w w:val="105"/>
            <w:sz w:val="19"/>
          </w:rPr>
          <w:t>whildebrand/</w:t>
        </w:r>
      </w:hyperlink>
      <w:r>
        <w:rPr>
          <w:color w:val="231F20"/>
          <w:w w:val="105"/>
          <w:sz w:val="19"/>
        </w:rPr>
        <w:t xml:space="preserve"> 27 April</w:t>
      </w:r>
      <w:r>
        <w:rPr>
          <w:color w:val="231F20"/>
          <w:spacing w:val="3"/>
          <w:w w:val="105"/>
          <w:sz w:val="19"/>
        </w:rPr>
        <w:t xml:space="preserve"> </w:t>
      </w:r>
      <w:r>
        <w:rPr>
          <w:color w:val="231F20"/>
          <w:w w:val="105"/>
          <w:sz w:val="19"/>
        </w:rPr>
        <w:t>2015)</w:t>
      </w:r>
    </w:p>
    <w:p w:rsidR="00B05397" w:rsidRDefault="00856287">
      <w:pPr>
        <w:spacing w:before="46"/>
        <w:ind w:right="130"/>
        <w:jc w:val="right"/>
        <w:rPr>
          <w:sz w:val="16"/>
        </w:rPr>
      </w:pPr>
      <w:r>
        <w:rPr>
          <w:color w:val="231F20"/>
          <w:w w:val="90"/>
          <w:sz w:val="16"/>
        </w:rPr>
        <w:t>25</w:t>
      </w:r>
    </w:p>
    <w:p w:rsidR="00B05397" w:rsidRDefault="00856287">
      <w:pPr>
        <w:pStyle w:val="ListParagraph"/>
        <w:numPr>
          <w:ilvl w:val="0"/>
          <w:numId w:val="4"/>
        </w:numPr>
        <w:tabs>
          <w:tab w:val="left" w:pos="589"/>
        </w:tabs>
        <w:spacing w:before="34" w:line="276" w:lineRule="auto"/>
        <w:ind w:right="388" w:hanging="468"/>
        <w:jc w:val="both"/>
        <w:rPr>
          <w:sz w:val="19"/>
        </w:rPr>
      </w:pPr>
      <w:r>
        <w:rPr>
          <w:rFonts w:ascii="Cambria" w:hAnsi="Cambria"/>
          <w:i/>
          <w:color w:val="231F20"/>
          <w:w w:val="105"/>
          <w:sz w:val="19"/>
        </w:rPr>
        <w:t xml:space="preserve">Liverpool may have almost certainly qualified for Europe </w:t>
      </w:r>
      <w:r>
        <w:rPr>
          <w:rFonts w:ascii="Calibri" w:hAnsi="Calibri"/>
          <w:color w:val="231F20"/>
          <w:w w:val="105"/>
          <w:sz w:val="19"/>
        </w:rPr>
        <w:t xml:space="preserve">– </w:t>
      </w:r>
      <w:r>
        <w:rPr>
          <w:rFonts w:ascii="Cambria" w:hAnsi="Cambria"/>
          <w:i/>
          <w:color w:val="231F20"/>
          <w:w w:val="105"/>
          <w:sz w:val="19"/>
        </w:rPr>
        <w:t>but they could face starting next season on July 2</w:t>
      </w:r>
      <w:r>
        <w:rPr>
          <w:color w:val="231F20"/>
          <w:w w:val="105"/>
          <w:sz w:val="19"/>
        </w:rPr>
        <w:t xml:space="preserve">. </w:t>
      </w:r>
      <w:hyperlink r:id="rId19">
        <w:r>
          <w:rPr>
            <w:color w:val="231F20"/>
            <w:w w:val="105"/>
            <w:sz w:val="19"/>
          </w:rPr>
          <w:t>(http://www.liverpoolecho.co.uk/sport/</w:t>
        </w:r>
      </w:hyperlink>
      <w:r>
        <w:rPr>
          <w:color w:val="231F20"/>
          <w:w w:val="105"/>
          <w:sz w:val="19"/>
        </w:rPr>
        <w:t xml:space="preserve"> </w:t>
      </w:r>
      <w:hyperlink r:id="rId20">
        <w:r>
          <w:rPr>
            <w:color w:val="231F20"/>
            <w:sz w:val="19"/>
          </w:rPr>
          <w:t>liverpool-fc-certainly-europe-next-9273951  17  May</w:t>
        </w:r>
        <w:r>
          <w:rPr>
            <w:color w:val="231F20"/>
            <w:spacing w:val="-12"/>
            <w:sz w:val="19"/>
          </w:rPr>
          <w:t xml:space="preserve"> </w:t>
        </w:r>
        <w:r>
          <w:rPr>
            <w:color w:val="231F20"/>
            <w:sz w:val="19"/>
          </w:rPr>
          <w:t>2015)</w:t>
        </w:r>
      </w:hyperlink>
    </w:p>
    <w:p w:rsidR="00B05397" w:rsidRDefault="00B05397">
      <w:pPr>
        <w:pStyle w:val="BodyText"/>
        <w:spacing w:before="10"/>
        <w:rPr>
          <w:sz w:val="22"/>
        </w:rPr>
      </w:pPr>
    </w:p>
    <w:p w:rsidR="00B05397" w:rsidRDefault="00856287">
      <w:pPr>
        <w:pStyle w:val="BodyText"/>
        <w:spacing w:line="278" w:lineRule="auto"/>
        <w:ind w:left="120" w:right="244" w:hanging="2"/>
      </w:pPr>
      <w:r>
        <w:rPr>
          <w:color w:val="231F20"/>
          <w:w w:val="105"/>
          <w:position w:val="1"/>
        </w:rPr>
        <w:t xml:space="preserve">We could not find any example for </w:t>
      </w:r>
      <w:r>
        <w:rPr>
          <w:rFonts w:ascii="Calibri" w:hAnsi="Calibri"/>
          <w:color w:val="231F20"/>
          <w:w w:val="105"/>
          <w:position w:val="1"/>
        </w:rPr>
        <w:t>‘</w:t>
      </w:r>
      <w:r>
        <w:rPr>
          <w:color w:val="231F20"/>
          <w:w w:val="105"/>
          <w:position w:val="1"/>
        </w:rPr>
        <w:t>might have almost certainly</w:t>
      </w:r>
      <w:r>
        <w:rPr>
          <w:rFonts w:ascii="Calibri" w:hAnsi="Calibri"/>
          <w:color w:val="231F20"/>
          <w:w w:val="105"/>
          <w:position w:val="1"/>
        </w:rPr>
        <w:t xml:space="preserve">’ </w:t>
      </w:r>
      <w:r>
        <w:rPr>
          <w:color w:val="231F20"/>
          <w:w w:val="105"/>
          <w:position w:val="1"/>
        </w:rPr>
        <w:t xml:space="preserve">either using the </w:t>
      </w:r>
      <w:r>
        <w:rPr>
          <w:color w:val="231F20"/>
          <w:w w:val="105"/>
          <w:sz w:val="16"/>
        </w:rPr>
        <w:t xml:space="preserve">30 </w:t>
      </w:r>
      <w:r>
        <w:rPr>
          <w:color w:val="231F20"/>
          <w:w w:val="105"/>
        </w:rPr>
        <w:t xml:space="preserve">Google search engine  or  the  British  National  Corpus  search,  so  it  seems  that </w:t>
      </w:r>
      <w:r>
        <w:rPr>
          <w:rFonts w:ascii="Cambria" w:hAnsi="Cambria"/>
          <w:i/>
          <w:color w:val="231F20"/>
          <w:w w:val="105"/>
        </w:rPr>
        <w:t xml:space="preserve">might </w:t>
      </w:r>
      <w:r>
        <w:rPr>
          <w:color w:val="231F20"/>
          <w:w w:val="105"/>
        </w:rPr>
        <w:t xml:space="preserve">does not collocate with adverbial phrases of very high certainty (such as </w:t>
      </w:r>
      <w:r>
        <w:rPr>
          <w:rFonts w:ascii="Calibri" w:hAnsi="Calibri"/>
          <w:color w:val="231F20"/>
          <w:w w:val="105"/>
        </w:rPr>
        <w:t>‘</w:t>
      </w:r>
      <w:r>
        <w:rPr>
          <w:color w:val="231F20"/>
          <w:w w:val="105"/>
        </w:rPr>
        <w:t>almost certainly</w:t>
      </w:r>
      <w:r>
        <w:rPr>
          <w:rFonts w:ascii="Calibri" w:hAnsi="Calibri"/>
          <w:color w:val="231F20"/>
          <w:w w:val="105"/>
        </w:rPr>
        <w:t>’</w:t>
      </w:r>
      <w:r>
        <w:rPr>
          <w:color w:val="231F20"/>
          <w:w w:val="105"/>
        </w:rPr>
        <w:t xml:space="preserve">), whereas </w:t>
      </w:r>
      <w:r>
        <w:rPr>
          <w:rFonts w:ascii="Cambria" w:hAnsi="Cambria"/>
          <w:i/>
          <w:color w:val="231F20"/>
          <w:w w:val="105"/>
        </w:rPr>
        <w:t xml:space="preserve">will </w:t>
      </w:r>
      <w:r>
        <w:rPr>
          <w:color w:val="231F20"/>
          <w:w w:val="105"/>
        </w:rPr>
        <w:t xml:space="preserve">and </w:t>
      </w:r>
      <w:r>
        <w:rPr>
          <w:rFonts w:ascii="Cambria" w:hAnsi="Cambria"/>
          <w:i/>
          <w:color w:val="231F20"/>
          <w:w w:val="105"/>
        </w:rPr>
        <w:t xml:space="preserve">may </w:t>
      </w:r>
      <w:r>
        <w:rPr>
          <w:color w:val="231F20"/>
          <w:w w:val="105"/>
        </w:rPr>
        <w:t>do. Modal verb combinability with adverbials is a good indication of their precise meaning and strength of commit-</w:t>
      </w:r>
      <w:r>
        <w:rPr>
          <w:color w:val="231F20"/>
          <w:spacing w:val="49"/>
          <w:w w:val="105"/>
        </w:rPr>
        <w:t xml:space="preserve"> </w:t>
      </w:r>
      <w:r>
        <w:rPr>
          <w:color w:val="231F20"/>
          <w:w w:val="105"/>
          <w:position w:val="1"/>
        </w:rPr>
        <w:t>ment (see Hoye 1997 for a</w:t>
      </w:r>
      <w:r>
        <w:rPr>
          <w:color w:val="231F20"/>
          <w:w w:val="105"/>
          <w:position w:val="1"/>
        </w:rPr>
        <w:t xml:space="preserve"> study on modals and modal adverbials in English). </w:t>
      </w:r>
      <w:r>
        <w:rPr>
          <w:color w:val="231F20"/>
          <w:w w:val="105"/>
          <w:sz w:val="16"/>
        </w:rPr>
        <w:t xml:space="preserve">35 </w:t>
      </w:r>
      <w:r>
        <w:rPr>
          <w:color w:val="231F20"/>
          <w:w w:val="105"/>
        </w:rPr>
        <w:t xml:space="preserve">Therefore, we cannot exclude the option that </w:t>
      </w:r>
      <w:r>
        <w:rPr>
          <w:rFonts w:ascii="Cambria" w:hAnsi="Cambria"/>
          <w:i/>
          <w:color w:val="231F20"/>
          <w:w w:val="105"/>
        </w:rPr>
        <w:t xml:space="preserve">may  </w:t>
      </w:r>
      <w:r>
        <w:rPr>
          <w:color w:val="231F20"/>
          <w:w w:val="105"/>
        </w:rPr>
        <w:t xml:space="preserve">may indeed express a higher   level of possibility and witness certainty than </w:t>
      </w:r>
      <w:r>
        <w:rPr>
          <w:rFonts w:ascii="Cambria" w:hAnsi="Cambria"/>
          <w:i/>
          <w:color w:val="231F20"/>
          <w:w w:val="105"/>
        </w:rPr>
        <w:t xml:space="preserve">might  </w:t>
      </w:r>
      <w:r>
        <w:rPr>
          <w:color w:val="231F20"/>
          <w:w w:val="105"/>
        </w:rPr>
        <w:t xml:space="preserve">for native speakers as   </w:t>
      </w:r>
      <w:r>
        <w:rPr>
          <w:color w:val="231F20"/>
          <w:spacing w:val="12"/>
          <w:w w:val="105"/>
        </w:rPr>
        <w:t xml:space="preserve"> </w:t>
      </w:r>
      <w:r>
        <w:rPr>
          <w:color w:val="231F20"/>
          <w:w w:val="105"/>
        </w:rPr>
        <w:t>well.</w:t>
      </w:r>
    </w:p>
    <w:p w:rsidR="00B05397" w:rsidRDefault="00856287">
      <w:pPr>
        <w:pStyle w:val="BodyText"/>
        <w:spacing w:before="3" w:line="285" w:lineRule="auto"/>
        <w:ind w:left="120" w:right="126"/>
      </w:pPr>
      <w:r>
        <w:rPr>
          <w:color w:val="231F20"/>
          <w:w w:val="110"/>
        </w:rPr>
        <w:t>This point adds value to the validi</w:t>
      </w:r>
      <w:r>
        <w:rPr>
          <w:color w:val="231F20"/>
          <w:w w:val="110"/>
        </w:rPr>
        <w:t>ty of the reasons for our experimental investigation.</w:t>
      </w:r>
    </w:p>
    <w:p w:rsidR="00B05397" w:rsidRDefault="00856287">
      <w:pPr>
        <w:spacing w:before="38"/>
        <w:ind w:right="99"/>
        <w:jc w:val="right"/>
        <w:rPr>
          <w:sz w:val="16"/>
        </w:rPr>
      </w:pPr>
      <w:r>
        <w:rPr>
          <w:color w:val="231F20"/>
          <w:w w:val="110"/>
          <w:sz w:val="16"/>
        </w:rPr>
        <w:t>40</w:t>
      </w:r>
    </w:p>
    <w:p w:rsidR="00B05397" w:rsidRDefault="00B05397">
      <w:pPr>
        <w:jc w:val="right"/>
        <w:rPr>
          <w:sz w:val="16"/>
        </w:rPr>
        <w:sectPr w:rsidR="00B05397">
          <w:pgSz w:w="8790" w:h="13040"/>
          <w:pgMar w:top="700" w:right="800" w:bottom="280" w:left="900" w:header="517" w:footer="0" w:gutter="0"/>
          <w:cols w:space="720"/>
        </w:sectPr>
      </w:pPr>
    </w:p>
    <w:p w:rsidR="00B05397" w:rsidRDefault="00B05397">
      <w:pPr>
        <w:pStyle w:val="BodyText"/>
        <w:rPr>
          <w:sz w:val="20"/>
        </w:rPr>
      </w:pPr>
    </w:p>
    <w:p w:rsidR="00B05397" w:rsidRDefault="00B05397">
      <w:pPr>
        <w:pStyle w:val="BodyText"/>
        <w:spacing w:before="10"/>
        <w:rPr>
          <w:sz w:val="17"/>
        </w:rPr>
      </w:pPr>
    </w:p>
    <w:p w:rsidR="00B05397" w:rsidRDefault="00856287">
      <w:pPr>
        <w:pStyle w:val="Heading2"/>
        <w:numPr>
          <w:ilvl w:val="1"/>
          <w:numId w:val="2"/>
        </w:numPr>
        <w:tabs>
          <w:tab w:val="left" w:pos="560"/>
          <w:tab w:val="right" w:pos="6864"/>
        </w:tabs>
        <w:spacing w:before="68"/>
        <w:rPr>
          <w:rFonts w:ascii="Times New Roman"/>
          <w:sz w:val="16"/>
        </w:rPr>
      </w:pPr>
      <w:r>
        <w:rPr>
          <w:color w:val="231F20"/>
        </w:rPr>
        <w:t>Study design: Materials</w:t>
      </w:r>
      <w:r>
        <w:rPr>
          <w:color w:val="231F20"/>
          <w:spacing w:val="21"/>
        </w:rPr>
        <w:t xml:space="preserve"> </w:t>
      </w:r>
      <w:r>
        <w:rPr>
          <w:color w:val="231F20"/>
        </w:rPr>
        <w:t>and</w:t>
      </w:r>
      <w:r>
        <w:rPr>
          <w:color w:val="231F20"/>
          <w:spacing w:val="5"/>
        </w:rPr>
        <w:t xml:space="preserve"> </w:t>
      </w:r>
      <w:r>
        <w:rPr>
          <w:color w:val="231F20"/>
        </w:rPr>
        <w:t>methodology</w:t>
      </w:r>
      <w:r>
        <w:rPr>
          <w:rFonts w:ascii="Times New Roman"/>
          <w:color w:val="231F20"/>
          <w:position w:val="4"/>
          <w:sz w:val="16"/>
        </w:rPr>
        <w:tab/>
        <w:t>1</w:t>
      </w:r>
    </w:p>
    <w:p w:rsidR="00B05397" w:rsidRDefault="00B05397">
      <w:pPr>
        <w:pStyle w:val="BodyText"/>
        <w:spacing w:before="6"/>
        <w:rPr>
          <w:sz w:val="21"/>
        </w:rPr>
      </w:pPr>
    </w:p>
    <w:p w:rsidR="00B05397" w:rsidRDefault="00856287">
      <w:pPr>
        <w:pStyle w:val="BodyText"/>
        <w:spacing w:line="285" w:lineRule="auto"/>
        <w:ind w:left="110" w:right="244"/>
      </w:pPr>
      <w:r>
        <w:rPr>
          <w:color w:val="231F20"/>
          <w:w w:val="105"/>
        </w:rPr>
        <w:t xml:space="preserve">This study consists of mock jury judgements collected experimentally based on 6 different  eliciting scenarios  that  were presented  as  witness statements  (included in the Appendix). Here are the target expressions, one from each of the 6 witness </w:t>
      </w:r>
      <w:r>
        <w:rPr>
          <w:color w:val="231F20"/>
          <w:w w:val="105"/>
          <w:sz w:val="16"/>
        </w:rPr>
        <w:t xml:space="preserve">5 </w:t>
      </w:r>
      <w:r>
        <w:rPr>
          <w:color w:val="231F20"/>
          <w:w w:val="105"/>
        </w:rPr>
        <w:t>stat</w:t>
      </w:r>
      <w:r>
        <w:rPr>
          <w:color w:val="231F20"/>
          <w:w w:val="105"/>
        </w:rPr>
        <w:t>ements:</w:t>
      </w:r>
    </w:p>
    <w:p w:rsidR="00B05397" w:rsidRDefault="00B05397">
      <w:pPr>
        <w:pStyle w:val="BodyText"/>
        <w:spacing w:before="9"/>
        <w:rPr>
          <w:sz w:val="17"/>
        </w:rPr>
      </w:pPr>
    </w:p>
    <w:p w:rsidR="00B05397" w:rsidRDefault="00856287">
      <w:pPr>
        <w:spacing w:line="280" w:lineRule="auto"/>
        <w:ind w:left="459" w:right="1474" w:hanging="10"/>
        <w:rPr>
          <w:sz w:val="16"/>
        </w:rPr>
      </w:pPr>
      <w:r>
        <w:rPr>
          <w:rFonts w:ascii="Cambria"/>
          <w:i/>
          <w:color w:val="231F20"/>
          <w:sz w:val="16"/>
        </w:rPr>
        <w:t>The man standing beside it may have been hit</w:t>
      </w:r>
      <w:r>
        <w:rPr>
          <w:color w:val="231F20"/>
          <w:sz w:val="16"/>
        </w:rPr>
        <w:t xml:space="preserve">. [version 2: </w:t>
      </w:r>
      <w:r>
        <w:rPr>
          <w:rFonts w:ascii="Cambria"/>
          <w:i/>
          <w:color w:val="231F20"/>
          <w:sz w:val="16"/>
        </w:rPr>
        <w:t>might have been</w:t>
      </w:r>
      <w:r>
        <w:rPr>
          <w:color w:val="231F20"/>
          <w:sz w:val="16"/>
        </w:rPr>
        <w:t xml:space="preserve">] </w:t>
      </w:r>
      <w:r>
        <w:rPr>
          <w:rFonts w:ascii="Cambria"/>
          <w:i/>
          <w:color w:val="231F20"/>
          <w:sz w:val="16"/>
        </w:rPr>
        <w:t xml:space="preserve">He must have collided with the  </w:t>
      </w:r>
      <w:r>
        <w:rPr>
          <w:rFonts w:ascii="Cambria"/>
          <w:i/>
          <w:color w:val="231F20"/>
          <w:spacing w:val="19"/>
          <w:sz w:val="16"/>
        </w:rPr>
        <w:t xml:space="preserve"> </w:t>
      </w:r>
      <w:r>
        <w:rPr>
          <w:rFonts w:ascii="Cambria"/>
          <w:i/>
          <w:color w:val="231F20"/>
          <w:sz w:val="16"/>
        </w:rPr>
        <w:t>postman</w:t>
      </w:r>
      <w:r>
        <w:rPr>
          <w:color w:val="231F20"/>
          <w:sz w:val="16"/>
        </w:rPr>
        <w:t>.</w:t>
      </w:r>
    </w:p>
    <w:p w:rsidR="00B05397" w:rsidRDefault="00856287">
      <w:pPr>
        <w:spacing w:line="175" w:lineRule="exact"/>
        <w:ind w:left="459" w:right="126"/>
        <w:rPr>
          <w:sz w:val="16"/>
        </w:rPr>
      </w:pPr>
      <w:r>
        <w:rPr>
          <w:rFonts w:ascii="Cambria"/>
          <w:i/>
          <w:color w:val="231F20"/>
          <w:sz w:val="16"/>
        </w:rPr>
        <w:t>He might have thrown the bag</w:t>
      </w:r>
      <w:r>
        <w:rPr>
          <w:color w:val="231F20"/>
          <w:sz w:val="16"/>
        </w:rPr>
        <w:t xml:space="preserve">. [version 2: </w:t>
      </w:r>
      <w:r>
        <w:rPr>
          <w:rFonts w:ascii="Cambria"/>
          <w:i/>
          <w:color w:val="231F20"/>
          <w:sz w:val="16"/>
        </w:rPr>
        <w:t>may have   thrown</w:t>
      </w:r>
      <w:r>
        <w:rPr>
          <w:color w:val="231F20"/>
          <w:sz w:val="16"/>
        </w:rPr>
        <w:t>]</w:t>
      </w:r>
    </w:p>
    <w:p w:rsidR="00B05397" w:rsidRDefault="00856287">
      <w:pPr>
        <w:tabs>
          <w:tab w:val="left" w:pos="6800"/>
        </w:tabs>
        <w:spacing w:line="232" w:lineRule="exact"/>
        <w:ind w:left="459"/>
        <w:rPr>
          <w:sz w:val="16"/>
        </w:rPr>
      </w:pPr>
      <w:r>
        <w:rPr>
          <w:rFonts w:ascii="Cambria"/>
          <w:i/>
          <w:color w:val="231F20"/>
          <w:sz w:val="16"/>
        </w:rPr>
        <w:t xml:space="preserve">He may have dropped the   </w:t>
      </w:r>
      <w:r>
        <w:rPr>
          <w:rFonts w:ascii="Cambria"/>
          <w:i/>
          <w:color w:val="231F20"/>
          <w:spacing w:val="33"/>
          <w:sz w:val="16"/>
        </w:rPr>
        <w:t xml:space="preserve"> </w:t>
      </w:r>
      <w:r>
        <w:rPr>
          <w:rFonts w:ascii="Cambria"/>
          <w:i/>
          <w:color w:val="231F20"/>
          <w:sz w:val="16"/>
        </w:rPr>
        <w:t>keys</w:t>
      </w:r>
      <w:r>
        <w:rPr>
          <w:color w:val="231F20"/>
          <w:sz w:val="16"/>
        </w:rPr>
        <w:t xml:space="preserve">. [version 2: </w:t>
      </w:r>
      <w:r>
        <w:rPr>
          <w:rFonts w:ascii="Cambria"/>
          <w:i/>
          <w:color w:val="231F20"/>
          <w:sz w:val="16"/>
        </w:rPr>
        <w:t>might have</w:t>
      </w:r>
      <w:r>
        <w:rPr>
          <w:rFonts w:ascii="Cambria"/>
          <w:i/>
          <w:color w:val="231F20"/>
          <w:spacing w:val="17"/>
          <w:sz w:val="16"/>
        </w:rPr>
        <w:t xml:space="preserve"> </w:t>
      </w:r>
      <w:r>
        <w:rPr>
          <w:rFonts w:ascii="Cambria"/>
          <w:i/>
          <w:color w:val="231F20"/>
          <w:sz w:val="16"/>
        </w:rPr>
        <w:t>dropped</w:t>
      </w:r>
      <w:r>
        <w:rPr>
          <w:color w:val="231F20"/>
          <w:sz w:val="16"/>
        </w:rPr>
        <w:t>]</w:t>
      </w:r>
      <w:r>
        <w:rPr>
          <w:color w:val="231F20"/>
          <w:position w:val="6"/>
          <w:sz w:val="16"/>
        </w:rPr>
        <w:tab/>
        <w:t>10</w:t>
      </w:r>
    </w:p>
    <w:p w:rsidR="00B05397" w:rsidRDefault="00856287">
      <w:pPr>
        <w:spacing w:before="31"/>
        <w:ind w:left="459" w:right="126"/>
        <w:rPr>
          <w:sz w:val="16"/>
        </w:rPr>
      </w:pPr>
      <w:r>
        <w:rPr>
          <w:rFonts w:ascii="Cambria"/>
          <w:i/>
          <w:color w:val="231F20"/>
          <w:sz w:val="16"/>
        </w:rPr>
        <w:t>It will have been a  prank</w:t>
      </w:r>
      <w:r>
        <w:rPr>
          <w:color w:val="231F20"/>
          <w:sz w:val="16"/>
        </w:rPr>
        <w:t>.</w:t>
      </w:r>
    </w:p>
    <w:p w:rsidR="00B05397" w:rsidRDefault="00856287">
      <w:pPr>
        <w:spacing w:before="32"/>
        <w:ind w:left="459" w:right="126"/>
        <w:rPr>
          <w:sz w:val="16"/>
        </w:rPr>
      </w:pPr>
      <w:r>
        <w:rPr>
          <w:rFonts w:ascii="Cambria"/>
          <w:i/>
          <w:color w:val="231F20"/>
          <w:sz w:val="16"/>
        </w:rPr>
        <w:t>He might have been younger</w:t>
      </w:r>
      <w:r>
        <w:rPr>
          <w:color w:val="231F20"/>
          <w:sz w:val="16"/>
        </w:rPr>
        <w:t xml:space="preserve">. [version 2: </w:t>
      </w:r>
      <w:r>
        <w:rPr>
          <w:rFonts w:ascii="Cambria"/>
          <w:i/>
          <w:color w:val="231F20"/>
          <w:sz w:val="16"/>
        </w:rPr>
        <w:t>may have    been</w:t>
      </w:r>
      <w:r>
        <w:rPr>
          <w:color w:val="231F20"/>
          <w:sz w:val="16"/>
        </w:rPr>
        <w:t>]</w:t>
      </w:r>
    </w:p>
    <w:p w:rsidR="00B05397" w:rsidRDefault="00856287">
      <w:pPr>
        <w:pStyle w:val="BodyText"/>
        <w:spacing w:before="103" w:line="340" w:lineRule="atLeast"/>
        <w:ind w:left="110" w:right="145"/>
        <w:rPr>
          <w:sz w:val="16"/>
        </w:rPr>
      </w:pPr>
      <w:r>
        <w:rPr>
          <w:color w:val="231F20"/>
          <w:w w:val="110"/>
        </w:rPr>
        <w:t>The participants were told that their task would be to read the witness state-</w:t>
      </w:r>
      <w:r>
        <w:rPr>
          <w:color w:val="231F20"/>
          <w:spacing w:val="52"/>
          <w:w w:val="110"/>
        </w:rPr>
        <w:t xml:space="preserve"> </w:t>
      </w:r>
      <w:r>
        <w:rPr>
          <w:color w:val="231F20"/>
          <w:w w:val="110"/>
        </w:rPr>
        <w:t>ments</w:t>
      </w:r>
      <w:r>
        <w:rPr>
          <w:color w:val="231F20"/>
          <w:spacing w:val="19"/>
          <w:w w:val="110"/>
        </w:rPr>
        <w:t xml:space="preserve"> </w:t>
      </w:r>
      <w:r>
        <w:rPr>
          <w:color w:val="231F20"/>
          <w:w w:val="110"/>
        </w:rPr>
        <w:t>and</w:t>
      </w:r>
      <w:r>
        <w:rPr>
          <w:color w:val="231F20"/>
          <w:spacing w:val="19"/>
          <w:w w:val="110"/>
        </w:rPr>
        <w:t xml:space="preserve"> </w:t>
      </w:r>
      <w:r>
        <w:rPr>
          <w:color w:val="231F20"/>
          <w:w w:val="110"/>
        </w:rPr>
        <w:t>give</w:t>
      </w:r>
      <w:r>
        <w:rPr>
          <w:color w:val="231F20"/>
          <w:spacing w:val="18"/>
          <w:w w:val="110"/>
        </w:rPr>
        <w:t xml:space="preserve"> </w:t>
      </w:r>
      <w:r>
        <w:rPr>
          <w:color w:val="231F20"/>
          <w:w w:val="110"/>
        </w:rPr>
        <w:t>their</w:t>
      </w:r>
      <w:r>
        <w:rPr>
          <w:color w:val="231F20"/>
          <w:spacing w:val="19"/>
          <w:w w:val="110"/>
        </w:rPr>
        <w:t xml:space="preserve"> </w:t>
      </w:r>
      <w:r>
        <w:rPr>
          <w:color w:val="231F20"/>
          <w:w w:val="110"/>
        </w:rPr>
        <w:t>ratings</w:t>
      </w:r>
      <w:r>
        <w:rPr>
          <w:color w:val="231F20"/>
          <w:spacing w:val="19"/>
          <w:w w:val="110"/>
        </w:rPr>
        <w:t xml:space="preserve"> </w:t>
      </w:r>
      <w:r>
        <w:rPr>
          <w:color w:val="231F20"/>
          <w:w w:val="110"/>
        </w:rPr>
        <w:t>after</w:t>
      </w:r>
      <w:r>
        <w:rPr>
          <w:color w:val="231F20"/>
          <w:spacing w:val="19"/>
          <w:w w:val="110"/>
        </w:rPr>
        <w:t xml:space="preserve"> </w:t>
      </w:r>
      <w:r>
        <w:rPr>
          <w:color w:val="231F20"/>
          <w:w w:val="110"/>
        </w:rPr>
        <w:t>each</w:t>
      </w:r>
      <w:r>
        <w:rPr>
          <w:color w:val="231F20"/>
          <w:spacing w:val="18"/>
          <w:w w:val="110"/>
        </w:rPr>
        <w:t xml:space="preserve"> </w:t>
      </w:r>
      <w:r>
        <w:rPr>
          <w:color w:val="231F20"/>
          <w:w w:val="110"/>
        </w:rPr>
        <w:t>one</w:t>
      </w:r>
      <w:r>
        <w:rPr>
          <w:color w:val="231F20"/>
          <w:spacing w:val="19"/>
          <w:w w:val="110"/>
        </w:rPr>
        <w:t xml:space="preserve"> </w:t>
      </w:r>
      <w:r>
        <w:rPr>
          <w:color w:val="231F20"/>
          <w:w w:val="110"/>
        </w:rPr>
        <w:t>on</w:t>
      </w:r>
      <w:r>
        <w:rPr>
          <w:color w:val="231F20"/>
          <w:spacing w:val="18"/>
          <w:w w:val="110"/>
        </w:rPr>
        <w:t xml:space="preserve"> </w:t>
      </w:r>
      <w:r>
        <w:rPr>
          <w:color w:val="231F20"/>
          <w:w w:val="110"/>
        </w:rPr>
        <w:t>a</w:t>
      </w:r>
      <w:r>
        <w:rPr>
          <w:color w:val="231F20"/>
          <w:spacing w:val="19"/>
          <w:w w:val="110"/>
        </w:rPr>
        <w:t xml:space="preserve"> </w:t>
      </w:r>
      <w:r>
        <w:rPr>
          <w:color w:val="231F20"/>
          <w:w w:val="110"/>
        </w:rPr>
        <w:t>0</w:t>
      </w:r>
      <w:r>
        <w:rPr>
          <w:color w:val="231F20"/>
          <w:spacing w:val="19"/>
          <w:w w:val="110"/>
        </w:rPr>
        <w:t xml:space="preserve"> </w:t>
      </w:r>
      <w:r>
        <w:rPr>
          <w:color w:val="231F20"/>
          <w:w w:val="110"/>
        </w:rPr>
        <w:t>to</w:t>
      </w:r>
      <w:r>
        <w:rPr>
          <w:color w:val="231F20"/>
          <w:spacing w:val="18"/>
          <w:w w:val="110"/>
        </w:rPr>
        <w:t xml:space="preserve"> </w:t>
      </w:r>
      <w:r>
        <w:rPr>
          <w:color w:val="231F20"/>
          <w:w w:val="110"/>
        </w:rPr>
        <w:t>7</w:t>
      </w:r>
      <w:r>
        <w:rPr>
          <w:color w:val="231F20"/>
          <w:spacing w:val="19"/>
          <w:w w:val="110"/>
        </w:rPr>
        <w:t xml:space="preserve"> </w:t>
      </w:r>
      <w:r>
        <w:rPr>
          <w:color w:val="231F20"/>
          <w:w w:val="110"/>
        </w:rPr>
        <w:t>Likert</w:t>
      </w:r>
      <w:r>
        <w:rPr>
          <w:color w:val="231F20"/>
          <w:spacing w:val="18"/>
          <w:w w:val="110"/>
        </w:rPr>
        <w:t xml:space="preserve"> </w:t>
      </w:r>
      <w:r>
        <w:rPr>
          <w:color w:val="231F20"/>
          <w:w w:val="110"/>
        </w:rPr>
        <w:t>scale</w:t>
      </w:r>
      <w:r>
        <w:rPr>
          <w:color w:val="231F20"/>
          <w:spacing w:val="19"/>
          <w:w w:val="110"/>
        </w:rPr>
        <w:t xml:space="preserve"> </w:t>
      </w:r>
      <w:r>
        <w:rPr>
          <w:color w:val="231F20"/>
          <w:w w:val="110"/>
        </w:rPr>
        <w:t>for</w:t>
      </w:r>
      <w:r>
        <w:rPr>
          <w:color w:val="231F20"/>
          <w:spacing w:val="18"/>
          <w:w w:val="110"/>
        </w:rPr>
        <w:t xml:space="preserve"> </w:t>
      </w:r>
      <w:r>
        <w:rPr>
          <w:color w:val="231F20"/>
          <w:w w:val="110"/>
        </w:rPr>
        <w:t>both</w:t>
      </w:r>
      <w:r>
        <w:rPr>
          <w:color w:val="231F20"/>
          <w:spacing w:val="49"/>
          <w:w w:val="110"/>
        </w:rPr>
        <w:t xml:space="preserve"> </w:t>
      </w:r>
      <w:r>
        <w:rPr>
          <w:color w:val="231F20"/>
          <w:w w:val="110"/>
          <w:position w:val="-8"/>
          <w:sz w:val="16"/>
        </w:rPr>
        <w:t>15</w:t>
      </w:r>
    </w:p>
    <w:p w:rsidR="00B05397" w:rsidRDefault="00856287">
      <w:pPr>
        <w:pStyle w:val="BodyText"/>
        <w:spacing w:line="185" w:lineRule="exact"/>
        <w:ind w:left="110" w:right="126"/>
      </w:pPr>
      <w:r>
        <w:rPr>
          <w:color w:val="231F20"/>
          <w:w w:val="105"/>
        </w:rPr>
        <w:t xml:space="preserve">possibility and witness certainty (with 0 meaning </w:t>
      </w:r>
      <w:r>
        <w:rPr>
          <w:rFonts w:ascii="Calibri" w:hAnsi="Calibri"/>
          <w:color w:val="231F20"/>
          <w:w w:val="105"/>
        </w:rPr>
        <w:t>‘</w:t>
      </w:r>
      <w:r>
        <w:rPr>
          <w:color w:val="231F20"/>
          <w:w w:val="105"/>
        </w:rPr>
        <w:t>witness most uncertain</w:t>
      </w:r>
      <w:r>
        <w:rPr>
          <w:rFonts w:ascii="Calibri" w:hAnsi="Calibri"/>
          <w:color w:val="231F20"/>
          <w:w w:val="105"/>
        </w:rPr>
        <w:t xml:space="preserve">’ </w:t>
      </w:r>
      <w:r>
        <w:rPr>
          <w:color w:val="231F20"/>
          <w:w w:val="105"/>
        </w:rPr>
        <w:t xml:space="preserve">&amp;   </w:t>
      </w:r>
      <w:r>
        <w:rPr>
          <w:rFonts w:ascii="Calibri" w:hAnsi="Calibri"/>
          <w:color w:val="231F20"/>
          <w:w w:val="105"/>
        </w:rPr>
        <w:t>‘</w:t>
      </w:r>
      <w:r>
        <w:rPr>
          <w:color w:val="231F20"/>
          <w:w w:val="105"/>
        </w:rPr>
        <w:t>not</w:t>
      </w:r>
    </w:p>
    <w:p w:rsidR="00B05397" w:rsidRDefault="00856287">
      <w:pPr>
        <w:pStyle w:val="BodyText"/>
        <w:spacing w:before="27" w:line="268" w:lineRule="auto"/>
        <w:ind w:left="110" w:right="244"/>
      </w:pPr>
      <w:r>
        <w:rPr>
          <w:color w:val="231F20"/>
          <w:w w:val="110"/>
        </w:rPr>
        <w:t>at all possible</w:t>
      </w:r>
      <w:r>
        <w:rPr>
          <w:rFonts w:ascii="Calibri" w:hAnsi="Calibri"/>
          <w:color w:val="231F20"/>
          <w:w w:val="110"/>
        </w:rPr>
        <w:t xml:space="preserve">’ </w:t>
      </w:r>
      <w:r>
        <w:rPr>
          <w:color w:val="231F20"/>
          <w:w w:val="110"/>
        </w:rPr>
        <w:t xml:space="preserve">and 7 meaning </w:t>
      </w:r>
      <w:r>
        <w:rPr>
          <w:rFonts w:ascii="Calibri" w:hAnsi="Calibri"/>
          <w:color w:val="231F20"/>
          <w:w w:val="110"/>
        </w:rPr>
        <w:t>‘</w:t>
      </w:r>
      <w:r>
        <w:rPr>
          <w:color w:val="231F20"/>
          <w:w w:val="110"/>
        </w:rPr>
        <w:t>almost certainly possible</w:t>
      </w:r>
      <w:r>
        <w:rPr>
          <w:rFonts w:ascii="Calibri" w:hAnsi="Calibri"/>
          <w:color w:val="231F20"/>
          <w:w w:val="110"/>
        </w:rPr>
        <w:t xml:space="preserve">’ </w:t>
      </w:r>
      <w:r>
        <w:rPr>
          <w:color w:val="231F20"/>
          <w:w w:val="110"/>
        </w:rPr>
        <w:t xml:space="preserve">&amp;  </w:t>
      </w:r>
      <w:r>
        <w:rPr>
          <w:rFonts w:ascii="Calibri" w:hAnsi="Calibri"/>
          <w:color w:val="231F20"/>
          <w:w w:val="110"/>
        </w:rPr>
        <w:t>‘</w:t>
      </w:r>
      <w:r>
        <w:rPr>
          <w:color w:val="231F20"/>
          <w:w w:val="110"/>
        </w:rPr>
        <w:t>witness  highly certain</w:t>
      </w:r>
      <w:r>
        <w:rPr>
          <w:rFonts w:ascii="Calibri" w:hAnsi="Calibri"/>
          <w:color w:val="231F20"/>
          <w:w w:val="110"/>
        </w:rPr>
        <w:t>’</w:t>
      </w:r>
      <w:r>
        <w:rPr>
          <w:color w:val="231F20"/>
          <w:w w:val="110"/>
        </w:rPr>
        <w:t xml:space="preserve">). We also asked for witness reliability ratings in percentages and all </w:t>
      </w:r>
      <w:r>
        <w:rPr>
          <w:color w:val="231F20"/>
          <w:spacing w:val="52"/>
          <w:w w:val="110"/>
        </w:rPr>
        <w:t xml:space="preserve"> </w:t>
      </w:r>
      <w:r>
        <w:rPr>
          <w:color w:val="231F20"/>
          <w:w w:val="110"/>
        </w:rPr>
        <w:t>three experi</w:t>
      </w:r>
      <w:r>
        <w:rPr>
          <w:color w:val="231F20"/>
          <w:w w:val="110"/>
        </w:rPr>
        <w:t xml:space="preserve">mental prompt questions are given below. The reading of the </w:t>
      </w:r>
      <w:r>
        <w:rPr>
          <w:color w:val="231F20"/>
          <w:spacing w:val="43"/>
          <w:w w:val="110"/>
        </w:rPr>
        <w:t xml:space="preserve"> </w:t>
      </w:r>
      <w:r>
        <w:rPr>
          <w:color w:val="231F20"/>
          <w:w w:val="110"/>
        </w:rPr>
        <w:t>wit-</w:t>
      </w:r>
    </w:p>
    <w:p w:rsidR="00B05397" w:rsidRDefault="00856287">
      <w:pPr>
        <w:pStyle w:val="BodyText"/>
        <w:spacing w:before="14" w:line="285" w:lineRule="exact"/>
        <w:ind w:left="110"/>
        <w:rPr>
          <w:sz w:val="16"/>
        </w:rPr>
      </w:pPr>
      <w:r>
        <w:rPr>
          <w:color w:val="231F20"/>
          <w:w w:val="110"/>
        </w:rPr>
        <w:t xml:space="preserve">ness statements rather than listening to the witnesses providing the descriptions </w:t>
      </w:r>
      <w:r>
        <w:rPr>
          <w:color w:val="231F20"/>
          <w:w w:val="110"/>
          <w:position w:val="-9"/>
          <w:sz w:val="16"/>
        </w:rPr>
        <w:t>20</w:t>
      </w:r>
    </w:p>
    <w:p w:rsidR="00B05397" w:rsidRDefault="00856287">
      <w:pPr>
        <w:pStyle w:val="BodyText"/>
        <w:spacing w:line="192" w:lineRule="exact"/>
        <w:ind w:left="110" w:right="126"/>
      </w:pPr>
      <w:r>
        <w:rPr>
          <w:color w:val="231F20"/>
          <w:w w:val="110"/>
        </w:rPr>
        <w:t>was chosen as an approach in order to avoid any kind of possible verbal</w:t>
      </w:r>
    </w:p>
    <w:p w:rsidR="00B05397" w:rsidRDefault="00856287">
      <w:pPr>
        <w:pStyle w:val="BodyText"/>
        <w:spacing w:before="41" w:line="285" w:lineRule="auto"/>
        <w:ind w:left="110" w:right="244"/>
      </w:pPr>
      <w:r>
        <w:rPr>
          <w:color w:val="231F20"/>
          <w:w w:val="110"/>
        </w:rPr>
        <w:t xml:space="preserve">influence on judgement, such as enhanced perceived witness reliability due to  the confidence level in speaking or spoken fluency. It has been demonstrated in recent psycholinguistic research that speakers who are fluent are judged to </w:t>
      </w:r>
      <w:r>
        <w:rPr>
          <w:color w:val="231F20"/>
          <w:spacing w:val="49"/>
          <w:w w:val="110"/>
        </w:rPr>
        <w:t xml:space="preserve"> </w:t>
      </w:r>
      <w:r>
        <w:rPr>
          <w:color w:val="231F20"/>
          <w:w w:val="110"/>
        </w:rPr>
        <w:t>be</w:t>
      </w:r>
    </w:p>
    <w:p w:rsidR="00B05397" w:rsidRDefault="00856287">
      <w:pPr>
        <w:pStyle w:val="BodyText"/>
        <w:spacing w:line="286" w:lineRule="exact"/>
        <w:ind w:left="110" w:right="126"/>
        <w:rPr>
          <w:sz w:val="16"/>
        </w:rPr>
      </w:pPr>
      <w:r>
        <w:rPr>
          <w:color w:val="231F20"/>
          <w:w w:val="105"/>
        </w:rPr>
        <w:t xml:space="preserve">more trustworthy (Lick and Johnson 2015). This finding itself has serious impli-    </w:t>
      </w:r>
      <w:r>
        <w:rPr>
          <w:color w:val="231F20"/>
          <w:w w:val="105"/>
          <w:position w:val="-9"/>
          <w:sz w:val="16"/>
        </w:rPr>
        <w:t>25</w:t>
      </w:r>
    </w:p>
    <w:p w:rsidR="00B05397" w:rsidRDefault="00856287">
      <w:pPr>
        <w:pStyle w:val="BodyText"/>
        <w:spacing w:line="192" w:lineRule="exact"/>
        <w:ind w:left="110" w:right="126"/>
      </w:pPr>
      <w:r>
        <w:rPr>
          <w:color w:val="231F20"/>
          <w:w w:val="110"/>
        </w:rPr>
        <w:t>cations for language and communication effects in legal contexts, but for   our</w:t>
      </w:r>
    </w:p>
    <w:p w:rsidR="00B05397" w:rsidRDefault="00856287">
      <w:pPr>
        <w:pStyle w:val="BodyText"/>
        <w:spacing w:before="40" w:line="280" w:lineRule="auto"/>
        <w:ind w:left="110" w:right="126"/>
      </w:pPr>
      <w:r>
        <w:rPr>
          <w:color w:val="231F20"/>
          <w:w w:val="110"/>
        </w:rPr>
        <w:t>purposes it was important to eliminate any potential other effect on judgement except the</w:t>
      </w:r>
      <w:r>
        <w:rPr>
          <w:color w:val="231F20"/>
          <w:w w:val="110"/>
        </w:rPr>
        <w:t xml:space="preserve"> specific </w:t>
      </w:r>
      <w:r>
        <w:rPr>
          <w:rFonts w:ascii="Cambria"/>
          <w:i/>
          <w:color w:val="231F20"/>
          <w:w w:val="110"/>
        </w:rPr>
        <w:t xml:space="preserve">semantic component </w:t>
      </w:r>
      <w:r>
        <w:rPr>
          <w:color w:val="231F20"/>
          <w:w w:val="110"/>
        </w:rPr>
        <w:t>in modal meanings.</w:t>
      </w:r>
    </w:p>
    <w:p w:rsidR="00B05397" w:rsidRDefault="00856287">
      <w:pPr>
        <w:pStyle w:val="BodyText"/>
        <w:spacing w:before="1"/>
        <w:ind w:left="449" w:right="126"/>
      </w:pPr>
      <w:r>
        <w:rPr>
          <w:color w:val="231F20"/>
          <w:w w:val="110"/>
        </w:rPr>
        <w:t>After reading each witness statement the participants were asked to answer</w:t>
      </w:r>
    </w:p>
    <w:p w:rsidR="00B05397" w:rsidRDefault="00856287">
      <w:pPr>
        <w:pStyle w:val="BodyText"/>
        <w:tabs>
          <w:tab w:val="left" w:pos="6800"/>
        </w:tabs>
        <w:spacing w:before="40" w:line="286" w:lineRule="exact"/>
        <w:ind w:left="110"/>
        <w:rPr>
          <w:sz w:val="16"/>
        </w:rPr>
      </w:pPr>
      <w:r>
        <w:rPr>
          <w:color w:val="231F20"/>
          <w:w w:val="110"/>
        </w:rPr>
        <w:t>the following</w:t>
      </w:r>
      <w:r>
        <w:rPr>
          <w:color w:val="231F20"/>
          <w:spacing w:val="-5"/>
          <w:w w:val="110"/>
        </w:rPr>
        <w:t xml:space="preserve"> </w:t>
      </w:r>
      <w:r>
        <w:rPr>
          <w:color w:val="231F20"/>
          <w:w w:val="110"/>
        </w:rPr>
        <w:t>experimental</w:t>
      </w:r>
      <w:r>
        <w:rPr>
          <w:color w:val="231F20"/>
          <w:spacing w:val="-2"/>
          <w:w w:val="110"/>
        </w:rPr>
        <w:t xml:space="preserve"> </w:t>
      </w:r>
      <w:r>
        <w:rPr>
          <w:color w:val="231F20"/>
          <w:w w:val="110"/>
        </w:rPr>
        <w:t>questions:</w:t>
      </w:r>
      <w:r>
        <w:rPr>
          <w:color w:val="231F20"/>
          <w:w w:val="110"/>
          <w:position w:val="-9"/>
          <w:sz w:val="16"/>
        </w:rPr>
        <w:tab/>
        <w:t>30</w:t>
      </w:r>
    </w:p>
    <w:p w:rsidR="00B05397" w:rsidRDefault="00856287">
      <w:pPr>
        <w:pStyle w:val="ListParagraph"/>
        <w:numPr>
          <w:ilvl w:val="0"/>
          <w:numId w:val="1"/>
        </w:numPr>
        <w:tabs>
          <w:tab w:val="left" w:pos="626"/>
          <w:tab w:val="left" w:pos="627"/>
        </w:tabs>
        <w:spacing w:line="192" w:lineRule="exact"/>
        <w:jc w:val="left"/>
        <w:rPr>
          <w:sz w:val="19"/>
        </w:rPr>
      </w:pPr>
      <w:r>
        <w:rPr>
          <w:color w:val="231F20"/>
          <w:w w:val="105"/>
          <w:sz w:val="19"/>
        </w:rPr>
        <w:t>How</w:t>
      </w:r>
      <w:r>
        <w:rPr>
          <w:color w:val="231F20"/>
          <w:spacing w:val="21"/>
          <w:w w:val="105"/>
          <w:sz w:val="19"/>
        </w:rPr>
        <w:t xml:space="preserve"> </w:t>
      </w:r>
      <w:r>
        <w:rPr>
          <w:color w:val="231F20"/>
          <w:w w:val="105"/>
          <w:sz w:val="19"/>
        </w:rPr>
        <w:t>certain</w:t>
      </w:r>
      <w:r>
        <w:rPr>
          <w:color w:val="231F20"/>
          <w:spacing w:val="20"/>
          <w:w w:val="105"/>
          <w:sz w:val="19"/>
        </w:rPr>
        <w:t xml:space="preserve"> </w:t>
      </w:r>
      <w:r>
        <w:rPr>
          <w:color w:val="231F20"/>
          <w:w w:val="105"/>
          <w:sz w:val="19"/>
        </w:rPr>
        <w:t>and</w:t>
      </w:r>
      <w:r>
        <w:rPr>
          <w:color w:val="231F20"/>
          <w:spacing w:val="21"/>
          <w:w w:val="105"/>
          <w:sz w:val="19"/>
        </w:rPr>
        <w:t xml:space="preserve"> </w:t>
      </w:r>
      <w:r>
        <w:rPr>
          <w:color w:val="231F20"/>
          <w:w w:val="105"/>
          <w:sz w:val="19"/>
        </w:rPr>
        <w:t>reliable</w:t>
      </w:r>
      <w:r>
        <w:rPr>
          <w:color w:val="231F20"/>
          <w:spacing w:val="21"/>
          <w:w w:val="105"/>
          <w:sz w:val="19"/>
        </w:rPr>
        <w:t xml:space="preserve"> </w:t>
      </w:r>
      <w:r>
        <w:rPr>
          <w:color w:val="231F20"/>
          <w:w w:val="105"/>
          <w:sz w:val="19"/>
        </w:rPr>
        <w:t>do</w:t>
      </w:r>
      <w:r>
        <w:rPr>
          <w:color w:val="231F20"/>
          <w:spacing w:val="20"/>
          <w:w w:val="105"/>
          <w:sz w:val="19"/>
        </w:rPr>
        <w:t xml:space="preserve"> </w:t>
      </w:r>
      <w:r>
        <w:rPr>
          <w:color w:val="231F20"/>
          <w:w w:val="105"/>
          <w:sz w:val="19"/>
        </w:rPr>
        <w:t>you</w:t>
      </w:r>
      <w:r>
        <w:rPr>
          <w:color w:val="231F20"/>
          <w:spacing w:val="21"/>
          <w:w w:val="105"/>
          <w:sz w:val="19"/>
        </w:rPr>
        <w:t xml:space="preserve"> </w:t>
      </w:r>
      <w:r>
        <w:rPr>
          <w:color w:val="231F20"/>
          <w:w w:val="105"/>
          <w:sz w:val="19"/>
        </w:rPr>
        <w:t>believe</w:t>
      </w:r>
      <w:r>
        <w:rPr>
          <w:color w:val="231F20"/>
          <w:spacing w:val="20"/>
          <w:w w:val="105"/>
          <w:sz w:val="19"/>
        </w:rPr>
        <w:t xml:space="preserve"> </w:t>
      </w:r>
      <w:r>
        <w:rPr>
          <w:color w:val="231F20"/>
          <w:w w:val="105"/>
          <w:sz w:val="19"/>
        </w:rPr>
        <w:t>the</w:t>
      </w:r>
      <w:r>
        <w:rPr>
          <w:color w:val="231F20"/>
          <w:spacing w:val="21"/>
          <w:w w:val="105"/>
          <w:sz w:val="19"/>
        </w:rPr>
        <w:t xml:space="preserve"> </w:t>
      </w:r>
      <w:r>
        <w:rPr>
          <w:color w:val="231F20"/>
          <w:w w:val="105"/>
          <w:sz w:val="19"/>
        </w:rPr>
        <w:t>witness</w:t>
      </w:r>
      <w:r>
        <w:rPr>
          <w:color w:val="231F20"/>
          <w:spacing w:val="20"/>
          <w:w w:val="105"/>
          <w:sz w:val="19"/>
        </w:rPr>
        <w:t xml:space="preserve"> </w:t>
      </w:r>
      <w:r>
        <w:rPr>
          <w:color w:val="231F20"/>
          <w:w w:val="105"/>
          <w:sz w:val="19"/>
        </w:rPr>
        <w:t>is?</w:t>
      </w:r>
    </w:p>
    <w:p w:rsidR="00B05397" w:rsidRDefault="00856287">
      <w:pPr>
        <w:pStyle w:val="ListParagraph"/>
        <w:numPr>
          <w:ilvl w:val="0"/>
          <w:numId w:val="1"/>
        </w:numPr>
        <w:tabs>
          <w:tab w:val="left" w:pos="626"/>
          <w:tab w:val="left" w:pos="627"/>
        </w:tabs>
        <w:spacing w:before="40" w:line="285" w:lineRule="auto"/>
        <w:ind w:right="399" w:hanging="448"/>
        <w:jc w:val="left"/>
        <w:rPr>
          <w:sz w:val="19"/>
        </w:rPr>
      </w:pPr>
      <w:r>
        <w:rPr>
          <w:color w:val="231F20"/>
          <w:w w:val="105"/>
          <w:sz w:val="19"/>
        </w:rPr>
        <w:t>What is the possibility of the event</w:t>
      </w:r>
      <w:r>
        <w:rPr>
          <w:color w:val="231F20"/>
          <w:w w:val="105"/>
          <w:sz w:val="19"/>
        </w:rPr>
        <w:t>s having occurred exactly  as  the</w:t>
      </w:r>
      <w:r>
        <w:rPr>
          <w:color w:val="231F20"/>
          <w:spacing w:val="49"/>
          <w:w w:val="105"/>
          <w:sz w:val="19"/>
        </w:rPr>
        <w:t xml:space="preserve"> </w:t>
      </w:r>
      <w:r>
        <w:rPr>
          <w:color w:val="231F20"/>
          <w:w w:val="105"/>
          <w:sz w:val="19"/>
        </w:rPr>
        <w:t>witness  described</w:t>
      </w:r>
      <w:r>
        <w:rPr>
          <w:color w:val="231F20"/>
          <w:spacing w:val="19"/>
          <w:w w:val="105"/>
          <w:sz w:val="19"/>
        </w:rPr>
        <w:t xml:space="preserve"> </w:t>
      </w:r>
      <w:r>
        <w:rPr>
          <w:color w:val="231F20"/>
          <w:w w:val="105"/>
          <w:sz w:val="19"/>
        </w:rPr>
        <w:t>them?</w:t>
      </w:r>
    </w:p>
    <w:p w:rsidR="00B05397" w:rsidRDefault="00856287">
      <w:pPr>
        <w:pStyle w:val="ListParagraph"/>
        <w:numPr>
          <w:ilvl w:val="0"/>
          <w:numId w:val="1"/>
        </w:numPr>
        <w:tabs>
          <w:tab w:val="left" w:pos="626"/>
          <w:tab w:val="left" w:pos="627"/>
          <w:tab w:val="left" w:pos="6800"/>
        </w:tabs>
        <w:spacing w:line="285" w:lineRule="auto"/>
        <w:ind w:right="134" w:hanging="501"/>
        <w:jc w:val="left"/>
        <w:rPr>
          <w:sz w:val="16"/>
        </w:rPr>
      </w:pPr>
      <w:r>
        <w:rPr>
          <w:color w:val="231F20"/>
          <w:w w:val="105"/>
          <w:sz w:val="19"/>
        </w:rPr>
        <w:t>What is in your estimate the possibility of this witness being right (in percentages)?</w:t>
      </w:r>
      <w:r>
        <w:rPr>
          <w:color w:val="231F20"/>
          <w:w w:val="105"/>
          <w:position w:val="-8"/>
          <w:sz w:val="16"/>
        </w:rPr>
        <w:tab/>
      </w:r>
      <w:r>
        <w:rPr>
          <w:color w:val="231F20"/>
          <w:w w:val="95"/>
          <w:position w:val="-8"/>
          <w:sz w:val="16"/>
        </w:rPr>
        <w:t>35</w:t>
      </w:r>
    </w:p>
    <w:p w:rsidR="00B05397" w:rsidRDefault="00856287">
      <w:pPr>
        <w:pStyle w:val="BodyText"/>
        <w:spacing w:before="160" w:line="283" w:lineRule="auto"/>
        <w:ind w:left="110" w:right="126"/>
        <w:rPr>
          <w:sz w:val="16"/>
        </w:rPr>
      </w:pPr>
      <w:r>
        <w:rPr>
          <w:color w:val="231F20"/>
          <w:w w:val="110"/>
        </w:rPr>
        <w:t>The reason why the participants were asked to answer these questions in succession after each statement was to enable them to make judgements without going back and forth and making direct  comparisons  between  the  different modals used in each statement</w:t>
      </w:r>
      <w:r>
        <w:rPr>
          <w:color w:val="231F20"/>
          <w:w w:val="110"/>
        </w:rPr>
        <w:t xml:space="preserve">. In this way, the participants were able to  </w:t>
      </w:r>
      <w:r>
        <w:rPr>
          <w:color w:val="231F20"/>
          <w:w w:val="110"/>
          <w:position w:val="-9"/>
          <w:sz w:val="16"/>
        </w:rPr>
        <w:t>40</w:t>
      </w:r>
    </w:p>
    <w:p w:rsidR="00B05397" w:rsidRDefault="00B05397">
      <w:pPr>
        <w:spacing w:line="283" w:lineRule="auto"/>
        <w:rPr>
          <w:sz w:val="16"/>
        </w:rPr>
        <w:sectPr w:rsidR="00B05397">
          <w:headerReference w:type="even" r:id="rId21"/>
          <w:headerReference w:type="default" r:id="rId22"/>
          <w:pgSz w:w="8790" w:h="13040"/>
          <w:pgMar w:top="720" w:right="620" w:bottom="280" w:left="1080" w:header="538" w:footer="0" w:gutter="0"/>
          <w:cols w:space="720"/>
        </w:sectPr>
      </w:pPr>
    </w:p>
    <w:p w:rsidR="00B05397" w:rsidRDefault="00B05397">
      <w:pPr>
        <w:pStyle w:val="BodyText"/>
        <w:rPr>
          <w:sz w:val="20"/>
        </w:rPr>
      </w:pPr>
    </w:p>
    <w:p w:rsidR="00B05397" w:rsidRDefault="00B05397">
      <w:pPr>
        <w:pStyle w:val="BodyText"/>
        <w:spacing w:before="4"/>
        <w:rPr>
          <w:sz w:val="20"/>
        </w:rPr>
      </w:pPr>
    </w:p>
    <w:p w:rsidR="00B05397" w:rsidRDefault="00856287">
      <w:pPr>
        <w:pStyle w:val="BodyText"/>
        <w:spacing w:before="74" w:line="285" w:lineRule="auto"/>
        <w:ind w:left="100" w:right="135"/>
      </w:pPr>
      <w:r>
        <w:rPr>
          <w:color w:val="231F20"/>
          <w:w w:val="110"/>
        </w:rPr>
        <w:t xml:space="preserve">focus on each statement individually and not be concerned with their ratings for </w:t>
      </w:r>
      <w:r>
        <w:rPr>
          <w:color w:val="231F20"/>
          <w:w w:val="110"/>
          <w:position w:val="1"/>
          <w:sz w:val="16"/>
        </w:rPr>
        <w:t xml:space="preserve">1 </w:t>
      </w:r>
      <w:r>
        <w:rPr>
          <w:color w:val="231F20"/>
          <w:w w:val="110"/>
        </w:rPr>
        <w:t>the other statements (which could have influenced their judgements) or with the specific differences in the words and constructions used.</w:t>
      </w:r>
    </w:p>
    <w:p w:rsidR="00B05397" w:rsidRDefault="00856287">
      <w:pPr>
        <w:pStyle w:val="BodyText"/>
        <w:spacing w:before="1" w:line="280" w:lineRule="auto"/>
        <w:ind w:left="100" w:right="200" w:firstLine="339"/>
      </w:pPr>
      <w:r>
        <w:rPr>
          <w:color w:val="231F20"/>
          <w:w w:val="110"/>
        </w:rPr>
        <w:t>The presentation of the 6 witness statements was in a randomised order. Each</w:t>
      </w:r>
      <w:r>
        <w:rPr>
          <w:color w:val="231F20"/>
          <w:spacing w:val="-8"/>
          <w:w w:val="110"/>
        </w:rPr>
        <w:t xml:space="preserve"> </w:t>
      </w:r>
      <w:r>
        <w:rPr>
          <w:color w:val="231F20"/>
          <w:w w:val="110"/>
        </w:rPr>
        <w:t>sentence</w:t>
      </w:r>
      <w:r>
        <w:rPr>
          <w:color w:val="231F20"/>
          <w:spacing w:val="-8"/>
          <w:w w:val="110"/>
        </w:rPr>
        <w:t xml:space="preserve"> </w:t>
      </w:r>
      <w:r>
        <w:rPr>
          <w:color w:val="231F20"/>
          <w:w w:val="110"/>
        </w:rPr>
        <w:t>with</w:t>
      </w:r>
      <w:r>
        <w:rPr>
          <w:color w:val="231F20"/>
          <w:spacing w:val="-8"/>
          <w:w w:val="110"/>
        </w:rPr>
        <w:t xml:space="preserve"> </w:t>
      </w:r>
      <w:r>
        <w:rPr>
          <w:color w:val="231F20"/>
          <w:w w:val="110"/>
        </w:rPr>
        <w:t>the</w:t>
      </w:r>
      <w:r>
        <w:rPr>
          <w:color w:val="231F20"/>
          <w:spacing w:val="-9"/>
          <w:w w:val="110"/>
        </w:rPr>
        <w:t xml:space="preserve"> </w:t>
      </w:r>
      <w:r>
        <w:rPr>
          <w:color w:val="231F20"/>
          <w:w w:val="110"/>
        </w:rPr>
        <w:t>verb</w:t>
      </w:r>
      <w:r>
        <w:rPr>
          <w:color w:val="231F20"/>
          <w:spacing w:val="-8"/>
          <w:w w:val="110"/>
        </w:rPr>
        <w:t xml:space="preserve"> </w:t>
      </w:r>
      <w:r>
        <w:rPr>
          <w:rFonts w:ascii="Cambria"/>
          <w:i/>
          <w:color w:val="231F20"/>
          <w:w w:val="110"/>
        </w:rPr>
        <w:t>may</w:t>
      </w:r>
      <w:r>
        <w:rPr>
          <w:rFonts w:ascii="Cambria"/>
          <w:i/>
          <w:color w:val="231F20"/>
          <w:spacing w:val="-2"/>
          <w:w w:val="110"/>
        </w:rPr>
        <w:t xml:space="preserve"> </w:t>
      </w:r>
      <w:r>
        <w:rPr>
          <w:color w:val="231F20"/>
          <w:w w:val="110"/>
        </w:rPr>
        <w:t>was</w:t>
      </w:r>
      <w:r>
        <w:rPr>
          <w:color w:val="231F20"/>
          <w:spacing w:val="-9"/>
          <w:w w:val="110"/>
        </w:rPr>
        <w:t xml:space="preserve"> </w:t>
      </w:r>
      <w:r>
        <w:rPr>
          <w:color w:val="231F20"/>
          <w:w w:val="110"/>
        </w:rPr>
        <w:t>also</w:t>
      </w:r>
      <w:r>
        <w:rPr>
          <w:color w:val="231F20"/>
          <w:spacing w:val="-8"/>
          <w:w w:val="110"/>
        </w:rPr>
        <w:t xml:space="preserve"> </w:t>
      </w:r>
      <w:r>
        <w:rPr>
          <w:color w:val="231F20"/>
          <w:w w:val="110"/>
        </w:rPr>
        <w:t>seen</w:t>
      </w:r>
      <w:r>
        <w:rPr>
          <w:color w:val="231F20"/>
          <w:spacing w:val="-8"/>
          <w:w w:val="110"/>
        </w:rPr>
        <w:t xml:space="preserve"> </w:t>
      </w:r>
      <w:r>
        <w:rPr>
          <w:color w:val="231F20"/>
          <w:w w:val="110"/>
        </w:rPr>
        <w:t>with</w:t>
      </w:r>
      <w:r>
        <w:rPr>
          <w:color w:val="231F20"/>
          <w:spacing w:val="-8"/>
          <w:w w:val="110"/>
        </w:rPr>
        <w:t xml:space="preserve"> </w:t>
      </w:r>
      <w:r>
        <w:rPr>
          <w:color w:val="231F20"/>
          <w:w w:val="110"/>
        </w:rPr>
        <w:t>the</w:t>
      </w:r>
      <w:r>
        <w:rPr>
          <w:color w:val="231F20"/>
          <w:spacing w:val="-9"/>
          <w:w w:val="110"/>
        </w:rPr>
        <w:t xml:space="preserve"> </w:t>
      </w:r>
      <w:r>
        <w:rPr>
          <w:color w:val="231F20"/>
          <w:w w:val="110"/>
        </w:rPr>
        <w:t>verb</w:t>
      </w:r>
      <w:r>
        <w:rPr>
          <w:color w:val="231F20"/>
          <w:spacing w:val="-8"/>
          <w:w w:val="110"/>
        </w:rPr>
        <w:t xml:space="preserve"> </w:t>
      </w:r>
      <w:r>
        <w:rPr>
          <w:rFonts w:ascii="Cambria"/>
          <w:i/>
          <w:color w:val="231F20"/>
          <w:w w:val="110"/>
        </w:rPr>
        <w:t>might</w:t>
      </w:r>
      <w:r>
        <w:rPr>
          <w:rFonts w:ascii="Cambria"/>
          <w:i/>
          <w:color w:val="231F20"/>
          <w:spacing w:val="-2"/>
          <w:w w:val="110"/>
        </w:rPr>
        <w:t xml:space="preserve"> </w:t>
      </w:r>
      <w:r>
        <w:rPr>
          <w:color w:val="231F20"/>
          <w:w w:val="110"/>
        </w:rPr>
        <w:t>within</w:t>
      </w:r>
      <w:r>
        <w:rPr>
          <w:color w:val="231F20"/>
          <w:spacing w:val="-7"/>
          <w:w w:val="110"/>
        </w:rPr>
        <w:t xml:space="preserve"> </w:t>
      </w:r>
      <w:r>
        <w:rPr>
          <w:color w:val="231F20"/>
          <w:w w:val="110"/>
        </w:rPr>
        <w:t>both</w:t>
      </w:r>
      <w:r>
        <w:rPr>
          <w:color w:val="231F20"/>
          <w:spacing w:val="35"/>
          <w:w w:val="110"/>
        </w:rPr>
        <w:t xml:space="preserve"> </w:t>
      </w:r>
      <w:r>
        <w:rPr>
          <w:color w:val="231F20"/>
          <w:w w:val="110"/>
          <w:position w:val="1"/>
          <w:sz w:val="16"/>
        </w:rPr>
        <w:t xml:space="preserve">5 </w:t>
      </w:r>
      <w:r>
        <w:rPr>
          <w:color w:val="231F20"/>
          <w:w w:val="110"/>
        </w:rPr>
        <w:t xml:space="preserve">populations. Both non-native and native speakers were divided into two groups so that one half of each group read scenarios 1 and 4 with the verb </w:t>
      </w:r>
      <w:r>
        <w:rPr>
          <w:rFonts w:ascii="Cambria"/>
          <w:i/>
          <w:color w:val="231F20"/>
          <w:w w:val="110"/>
        </w:rPr>
        <w:t xml:space="preserve">may </w:t>
      </w:r>
      <w:r>
        <w:rPr>
          <w:color w:val="231F20"/>
          <w:w w:val="110"/>
        </w:rPr>
        <w:t xml:space="preserve">in the relevant points in the texts and 3 and 6 with the verb </w:t>
      </w:r>
      <w:r>
        <w:rPr>
          <w:rFonts w:ascii="Cambria"/>
          <w:i/>
          <w:color w:val="231F20"/>
          <w:w w:val="110"/>
        </w:rPr>
        <w:t xml:space="preserve">might </w:t>
      </w:r>
      <w:r>
        <w:rPr>
          <w:color w:val="231F20"/>
          <w:w w:val="110"/>
        </w:rPr>
        <w:t>(see</w:t>
      </w:r>
      <w:r>
        <w:rPr>
          <w:color w:val="231F20"/>
          <w:w w:val="110"/>
        </w:rPr>
        <w:t xml:space="preserve"> Appendix), while the other half of the participants read the reverse, i. e. texts 1 and 4</w:t>
      </w:r>
      <w:r>
        <w:rPr>
          <w:color w:val="231F20"/>
          <w:spacing w:val="49"/>
          <w:w w:val="110"/>
        </w:rPr>
        <w:t xml:space="preserve"> </w:t>
      </w:r>
      <w:r>
        <w:rPr>
          <w:color w:val="231F20"/>
          <w:w w:val="110"/>
        </w:rPr>
        <w:t>with</w:t>
      </w:r>
    </w:p>
    <w:p w:rsidR="00B05397" w:rsidRDefault="00856287">
      <w:pPr>
        <w:spacing w:before="1"/>
        <w:ind w:left="100" w:right="107"/>
        <w:rPr>
          <w:sz w:val="16"/>
        </w:rPr>
      </w:pPr>
      <w:r>
        <w:rPr>
          <w:rFonts w:ascii="Cambria"/>
          <w:i/>
          <w:color w:val="231F20"/>
          <w:sz w:val="19"/>
        </w:rPr>
        <w:t xml:space="preserve">might  </w:t>
      </w:r>
      <w:r>
        <w:rPr>
          <w:color w:val="231F20"/>
          <w:sz w:val="19"/>
        </w:rPr>
        <w:t xml:space="preserve">and texts 3 and 6 with may. The examples with </w:t>
      </w:r>
      <w:r>
        <w:rPr>
          <w:rFonts w:ascii="Cambria"/>
          <w:i/>
          <w:color w:val="231F20"/>
          <w:sz w:val="19"/>
        </w:rPr>
        <w:t xml:space="preserve">must  </w:t>
      </w:r>
      <w:r>
        <w:rPr>
          <w:color w:val="231F20"/>
          <w:sz w:val="19"/>
        </w:rPr>
        <w:t xml:space="preserve">and </w:t>
      </w:r>
      <w:r>
        <w:rPr>
          <w:rFonts w:ascii="Cambria"/>
          <w:i/>
          <w:color w:val="231F20"/>
          <w:sz w:val="19"/>
        </w:rPr>
        <w:t xml:space="preserve">will  </w:t>
      </w:r>
      <w:r>
        <w:rPr>
          <w:color w:val="231F20"/>
          <w:sz w:val="19"/>
        </w:rPr>
        <w:t xml:space="preserve">(scenarios 2        </w:t>
      </w:r>
      <w:r>
        <w:rPr>
          <w:color w:val="231F20"/>
          <w:position w:val="1"/>
          <w:sz w:val="16"/>
        </w:rPr>
        <w:t>10</w:t>
      </w:r>
    </w:p>
    <w:p w:rsidR="00B05397" w:rsidRDefault="00856287">
      <w:pPr>
        <w:pStyle w:val="BodyText"/>
        <w:spacing w:before="40" w:line="283" w:lineRule="auto"/>
        <w:ind w:left="100" w:right="388"/>
        <w:jc w:val="both"/>
      </w:pPr>
      <w:r>
        <w:rPr>
          <w:color w:val="231F20"/>
          <w:w w:val="110"/>
        </w:rPr>
        <w:t>and</w:t>
      </w:r>
      <w:r>
        <w:rPr>
          <w:color w:val="231F20"/>
          <w:spacing w:val="-7"/>
          <w:w w:val="110"/>
        </w:rPr>
        <w:t xml:space="preserve"> </w:t>
      </w:r>
      <w:r>
        <w:rPr>
          <w:color w:val="231F20"/>
          <w:w w:val="110"/>
        </w:rPr>
        <w:t>5</w:t>
      </w:r>
      <w:r>
        <w:rPr>
          <w:color w:val="231F20"/>
          <w:spacing w:val="-7"/>
          <w:w w:val="110"/>
        </w:rPr>
        <w:t xml:space="preserve"> </w:t>
      </w:r>
      <w:r>
        <w:rPr>
          <w:color w:val="231F20"/>
          <w:w w:val="110"/>
        </w:rPr>
        <w:t>respectively)</w:t>
      </w:r>
      <w:r>
        <w:rPr>
          <w:color w:val="231F20"/>
          <w:spacing w:val="-7"/>
          <w:w w:val="110"/>
        </w:rPr>
        <w:t xml:space="preserve"> </w:t>
      </w:r>
      <w:r>
        <w:rPr>
          <w:color w:val="231F20"/>
          <w:w w:val="110"/>
        </w:rPr>
        <w:t>were</w:t>
      </w:r>
      <w:r>
        <w:rPr>
          <w:color w:val="231F20"/>
          <w:spacing w:val="-7"/>
          <w:w w:val="110"/>
        </w:rPr>
        <w:t xml:space="preserve"> </w:t>
      </w:r>
      <w:r>
        <w:rPr>
          <w:color w:val="231F20"/>
          <w:w w:val="110"/>
        </w:rPr>
        <w:t>always</w:t>
      </w:r>
      <w:r>
        <w:rPr>
          <w:color w:val="231F20"/>
          <w:spacing w:val="-7"/>
          <w:w w:val="110"/>
        </w:rPr>
        <w:t xml:space="preserve"> </w:t>
      </w:r>
      <w:r>
        <w:rPr>
          <w:color w:val="231F20"/>
          <w:w w:val="110"/>
        </w:rPr>
        <w:t>the</w:t>
      </w:r>
      <w:r>
        <w:rPr>
          <w:color w:val="231F20"/>
          <w:spacing w:val="-7"/>
          <w:w w:val="110"/>
        </w:rPr>
        <w:t xml:space="preserve"> </w:t>
      </w:r>
      <w:r>
        <w:rPr>
          <w:color w:val="231F20"/>
          <w:w w:val="110"/>
        </w:rPr>
        <w:t>same</w:t>
      </w:r>
      <w:r>
        <w:rPr>
          <w:color w:val="231F20"/>
          <w:spacing w:val="-7"/>
          <w:w w:val="110"/>
        </w:rPr>
        <w:t xml:space="preserve"> </w:t>
      </w:r>
      <w:r>
        <w:rPr>
          <w:color w:val="231F20"/>
          <w:w w:val="110"/>
        </w:rPr>
        <w:t>and</w:t>
      </w:r>
      <w:r>
        <w:rPr>
          <w:color w:val="231F20"/>
          <w:spacing w:val="-7"/>
          <w:w w:val="110"/>
        </w:rPr>
        <w:t xml:space="preserve"> </w:t>
      </w:r>
      <w:r>
        <w:rPr>
          <w:color w:val="231F20"/>
          <w:w w:val="110"/>
        </w:rPr>
        <w:t>were</w:t>
      </w:r>
      <w:r>
        <w:rPr>
          <w:color w:val="231F20"/>
          <w:spacing w:val="-7"/>
          <w:w w:val="110"/>
        </w:rPr>
        <w:t xml:space="preserve"> </w:t>
      </w:r>
      <w:r>
        <w:rPr>
          <w:color w:val="231F20"/>
          <w:w w:val="110"/>
        </w:rPr>
        <w:t>included</w:t>
      </w:r>
      <w:r>
        <w:rPr>
          <w:color w:val="231F20"/>
          <w:spacing w:val="-7"/>
          <w:w w:val="110"/>
        </w:rPr>
        <w:t xml:space="preserve"> </w:t>
      </w:r>
      <w:r>
        <w:rPr>
          <w:color w:val="231F20"/>
          <w:w w:val="110"/>
        </w:rPr>
        <w:t>as</w:t>
      </w:r>
      <w:r>
        <w:rPr>
          <w:color w:val="231F20"/>
          <w:spacing w:val="-7"/>
          <w:w w:val="110"/>
        </w:rPr>
        <w:t xml:space="preserve"> </w:t>
      </w:r>
      <w:r>
        <w:rPr>
          <w:color w:val="231F20"/>
          <w:w w:val="110"/>
        </w:rPr>
        <w:t>control</w:t>
      </w:r>
      <w:r>
        <w:rPr>
          <w:color w:val="231F20"/>
          <w:spacing w:val="-7"/>
          <w:w w:val="110"/>
        </w:rPr>
        <w:t xml:space="preserve"> </w:t>
      </w:r>
      <w:r>
        <w:rPr>
          <w:color w:val="231F20"/>
          <w:w w:val="110"/>
        </w:rPr>
        <w:t xml:space="preserve">samples in order to attest the general understanding of the English modal meanings other than </w:t>
      </w:r>
      <w:r>
        <w:rPr>
          <w:rFonts w:ascii="Cambria"/>
          <w:i/>
          <w:color w:val="231F20"/>
          <w:w w:val="110"/>
        </w:rPr>
        <w:t xml:space="preserve">may </w:t>
      </w:r>
      <w:r>
        <w:rPr>
          <w:color w:val="231F20"/>
          <w:w w:val="110"/>
        </w:rPr>
        <w:t xml:space="preserve">and </w:t>
      </w:r>
      <w:r>
        <w:rPr>
          <w:rFonts w:ascii="Cambria"/>
          <w:i/>
          <w:color w:val="231F20"/>
          <w:w w:val="110"/>
        </w:rPr>
        <w:t xml:space="preserve">might </w:t>
      </w:r>
      <w:r>
        <w:rPr>
          <w:color w:val="231F20"/>
          <w:w w:val="110"/>
        </w:rPr>
        <w:t>by the participants (i. e. the difference in possibility and certainty levels expressed with must/will compared to</w:t>
      </w:r>
      <w:r>
        <w:rPr>
          <w:color w:val="231F20"/>
          <w:spacing w:val="-15"/>
          <w:w w:val="110"/>
        </w:rPr>
        <w:t xml:space="preserve"> </w:t>
      </w:r>
      <w:r>
        <w:rPr>
          <w:color w:val="231F20"/>
          <w:w w:val="110"/>
        </w:rPr>
        <w:t>may/might).</w:t>
      </w:r>
    </w:p>
    <w:p w:rsidR="00B05397" w:rsidRDefault="00856287">
      <w:pPr>
        <w:spacing w:before="20"/>
        <w:ind w:right="135"/>
        <w:jc w:val="right"/>
        <w:rPr>
          <w:sz w:val="16"/>
        </w:rPr>
      </w:pPr>
      <w:r>
        <w:rPr>
          <w:color w:val="231F20"/>
          <w:w w:val="85"/>
          <w:sz w:val="16"/>
        </w:rPr>
        <w:t>15</w:t>
      </w:r>
    </w:p>
    <w:p w:rsidR="00B05397" w:rsidRDefault="00B05397">
      <w:pPr>
        <w:pStyle w:val="BodyText"/>
        <w:spacing w:before="5"/>
        <w:rPr>
          <w:sz w:val="23"/>
        </w:rPr>
      </w:pPr>
    </w:p>
    <w:p w:rsidR="00B05397" w:rsidRDefault="00856287">
      <w:pPr>
        <w:pStyle w:val="Heading2"/>
        <w:numPr>
          <w:ilvl w:val="1"/>
          <w:numId w:val="2"/>
        </w:numPr>
        <w:tabs>
          <w:tab w:val="left" w:pos="542"/>
        </w:tabs>
        <w:ind w:left="541" w:hanging="441"/>
      </w:pPr>
      <w:r>
        <w:rPr>
          <w:color w:val="231F20"/>
        </w:rPr>
        <w:t>Participa</w:t>
      </w:r>
      <w:r>
        <w:rPr>
          <w:color w:val="231F20"/>
        </w:rPr>
        <w:t>nts</w:t>
      </w:r>
    </w:p>
    <w:p w:rsidR="00B05397" w:rsidRDefault="00B05397">
      <w:pPr>
        <w:pStyle w:val="BodyText"/>
        <w:spacing w:before="10"/>
        <w:rPr>
          <w:rFonts w:ascii="Trebuchet MS"/>
          <w:sz w:val="20"/>
        </w:rPr>
      </w:pPr>
    </w:p>
    <w:p w:rsidR="00B05397" w:rsidRDefault="00856287">
      <w:pPr>
        <w:pStyle w:val="BodyText"/>
        <w:spacing w:before="1" w:line="276" w:lineRule="auto"/>
        <w:ind w:left="100" w:right="107"/>
      </w:pPr>
      <w:r>
        <w:rPr>
          <w:color w:val="231F20"/>
          <w:w w:val="105"/>
        </w:rPr>
        <w:t>The participants for this study were volunteering MA  students  (2011</w:t>
      </w:r>
      <w:r>
        <w:rPr>
          <w:rFonts w:ascii="Calibri" w:hAnsi="Calibri"/>
          <w:color w:val="231F20"/>
          <w:w w:val="105"/>
        </w:rPr>
        <w:t>–</w:t>
      </w:r>
      <w:r>
        <w:rPr>
          <w:color w:val="231F20"/>
          <w:w w:val="105"/>
        </w:rPr>
        <w:t xml:space="preserve">2014)  enrolled on a taught graduate programmes at the Faculty of Humanities, </w:t>
      </w:r>
      <w:r>
        <w:rPr>
          <w:color w:val="231F20"/>
          <w:w w:val="105"/>
          <w:position w:val="-2"/>
          <w:sz w:val="16"/>
        </w:rPr>
        <w:t xml:space="preserve">20  </w:t>
      </w:r>
      <w:r>
        <w:rPr>
          <w:color w:val="231F20"/>
          <w:w w:val="105"/>
        </w:rPr>
        <w:t>University of XXX  (Author</w:t>
      </w:r>
      <w:r>
        <w:rPr>
          <w:rFonts w:ascii="Calibri" w:hAnsi="Calibri"/>
          <w:color w:val="231F20"/>
          <w:w w:val="105"/>
        </w:rPr>
        <w:t>’</w:t>
      </w:r>
      <w:r>
        <w:rPr>
          <w:color w:val="231F20"/>
          <w:w w:val="105"/>
        </w:rPr>
        <w:t>s  Affiliation).  The  balance  of  students  attending these MA courses</w:t>
      </w:r>
      <w:r>
        <w:rPr>
          <w:color w:val="231F20"/>
          <w:w w:val="105"/>
        </w:rPr>
        <w:t xml:space="preserve"> was ideal for this experiment, because the ratio  of  native/ non-native English speakers is almost 50/50. To be precise, a total of 57 parti-   cipants took part in this study, 30 of whom were non-native speakers of English     and 27 of whom were native</w:t>
      </w:r>
      <w:r>
        <w:rPr>
          <w:color w:val="231F20"/>
          <w:w w:val="105"/>
        </w:rPr>
        <w:t xml:space="preserve"> speakers of English. Another important feature was </w:t>
      </w:r>
      <w:r>
        <w:rPr>
          <w:color w:val="231F20"/>
          <w:w w:val="105"/>
          <w:position w:val="-2"/>
          <w:sz w:val="16"/>
        </w:rPr>
        <w:t xml:space="preserve">25 </w:t>
      </w:r>
      <w:r>
        <w:rPr>
          <w:color w:val="231F20"/>
          <w:w w:val="105"/>
        </w:rPr>
        <w:t>the mean age of each group, which were very similar for both populations (26        and 27  years  of  age  respectively).  Among  the  non-native  speakers  of  English there was a wide distribution o</w:t>
      </w:r>
      <w:r>
        <w:rPr>
          <w:color w:val="231F20"/>
          <w:w w:val="105"/>
        </w:rPr>
        <w:t xml:space="preserve">f L1s, which included Japanese (8), Spanish (6), Chinese (9), Polish (2), Russian (1), Hungarian (1), German (2), French (1). All participants were asked to fill in personal questionnaires for data regarding age, </w:t>
      </w:r>
      <w:r>
        <w:rPr>
          <w:color w:val="231F20"/>
          <w:w w:val="105"/>
          <w:position w:val="-2"/>
          <w:sz w:val="16"/>
        </w:rPr>
        <w:t xml:space="preserve">30 </w:t>
      </w:r>
      <w:r>
        <w:rPr>
          <w:color w:val="231F20"/>
          <w:w w:val="105"/>
        </w:rPr>
        <w:t>gender, first language and years of form</w:t>
      </w:r>
      <w:r>
        <w:rPr>
          <w:color w:val="231F20"/>
          <w:w w:val="105"/>
        </w:rPr>
        <w:t>al tuition of English. Further, the IELTS results</w:t>
      </w:r>
      <w:r>
        <w:rPr>
          <w:color w:val="231F20"/>
          <w:spacing w:val="34"/>
          <w:w w:val="105"/>
        </w:rPr>
        <w:t xml:space="preserve"> </w:t>
      </w:r>
      <w:r>
        <w:rPr>
          <w:color w:val="231F20"/>
          <w:w w:val="105"/>
        </w:rPr>
        <w:t>of</w:t>
      </w:r>
      <w:r>
        <w:rPr>
          <w:color w:val="231F20"/>
          <w:spacing w:val="32"/>
          <w:w w:val="105"/>
        </w:rPr>
        <w:t xml:space="preserve"> </w:t>
      </w:r>
      <w:r>
        <w:rPr>
          <w:color w:val="231F20"/>
          <w:w w:val="105"/>
        </w:rPr>
        <w:t>the</w:t>
      </w:r>
      <w:r>
        <w:rPr>
          <w:color w:val="231F20"/>
          <w:spacing w:val="34"/>
          <w:w w:val="105"/>
        </w:rPr>
        <w:t xml:space="preserve"> </w:t>
      </w:r>
      <w:r>
        <w:rPr>
          <w:color w:val="231F20"/>
          <w:w w:val="105"/>
        </w:rPr>
        <w:t>non-native</w:t>
      </w:r>
      <w:r>
        <w:rPr>
          <w:color w:val="231F20"/>
          <w:spacing w:val="34"/>
          <w:w w:val="105"/>
        </w:rPr>
        <w:t xml:space="preserve"> </w:t>
      </w:r>
      <w:r>
        <w:rPr>
          <w:color w:val="231F20"/>
          <w:w w:val="105"/>
        </w:rPr>
        <w:t>speakers</w:t>
      </w:r>
      <w:r>
        <w:rPr>
          <w:color w:val="231F20"/>
          <w:spacing w:val="32"/>
          <w:w w:val="105"/>
        </w:rPr>
        <w:t xml:space="preserve"> </w:t>
      </w:r>
      <w:r>
        <w:rPr>
          <w:color w:val="231F20"/>
          <w:w w:val="105"/>
        </w:rPr>
        <w:t>(obtained</w:t>
      </w:r>
      <w:r>
        <w:rPr>
          <w:color w:val="231F20"/>
          <w:spacing w:val="34"/>
          <w:w w:val="105"/>
        </w:rPr>
        <w:t xml:space="preserve"> </w:t>
      </w:r>
      <w:r>
        <w:rPr>
          <w:color w:val="231F20"/>
          <w:w w:val="105"/>
        </w:rPr>
        <w:t>by</w:t>
      </w:r>
      <w:r>
        <w:rPr>
          <w:color w:val="231F20"/>
          <w:spacing w:val="34"/>
          <w:w w:val="105"/>
        </w:rPr>
        <w:t xml:space="preserve"> </w:t>
      </w:r>
      <w:r>
        <w:rPr>
          <w:color w:val="231F20"/>
          <w:w w:val="105"/>
        </w:rPr>
        <w:t>each</w:t>
      </w:r>
      <w:r>
        <w:rPr>
          <w:color w:val="231F20"/>
          <w:spacing w:val="34"/>
          <w:w w:val="105"/>
        </w:rPr>
        <w:t xml:space="preserve"> </w:t>
      </w:r>
      <w:r>
        <w:rPr>
          <w:color w:val="231F20"/>
          <w:w w:val="105"/>
        </w:rPr>
        <w:t>participant</w:t>
      </w:r>
      <w:r>
        <w:rPr>
          <w:color w:val="231F20"/>
          <w:spacing w:val="34"/>
          <w:w w:val="105"/>
        </w:rPr>
        <w:t xml:space="preserve"> </w:t>
      </w:r>
      <w:r>
        <w:rPr>
          <w:color w:val="231F20"/>
          <w:w w:val="105"/>
        </w:rPr>
        <w:t>as</w:t>
      </w:r>
      <w:r>
        <w:rPr>
          <w:color w:val="231F20"/>
          <w:spacing w:val="32"/>
          <w:w w:val="105"/>
        </w:rPr>
        <w:t xml:space="preserve"> </w:t>
      </w:r>
      <w:r>
        <w:rPr>
          <w:color w:val="231F20"/>
          <w:w w:val="105"/>
        </w:rPr>
        <w:t>a</w:t>
      </w:r>
      <w:r>
        <w:rPr>
          <w:color w:val="231F20"/>
          <w:spacing w:val="34"/>
          <w:w w:val="105"/>
        </w:rPr>
        <w:t xml:space="preserve"> </w:t>
      </w:r>
      <w:r>
        <w:rPr>
          <w:color w:val="231F20"/>
          <w:w w:val="105"/>
        </w:rPr>
        <w:t>condition</w:t>
      </w:r>
    </w:p>
    <w:p w:rsidR="00B05397" w:rsidRDefault="00856287">
      <w:pPr>
        <w:pStyle w:val="BodyText"/>
        <w:spacing w:before="9" w:line="283" w:lineRule="auto"/>
        <w:ind w:left="100" w:right="135"/>
      </w:pPr>
      <w:r>
        <w:rPr>
          <w:color w:val="231F20"/>
          <w:w w:val="105"/>
        </w:rPr>
        <w:t>of entry at the MA level) were also included in the study as a control measure for English L2 proficiency.</w:t>
      </w:r>
    </w:p>
    <w:p w:rsidR="00B05397" w:rsidRDefault="00856287">
      <w:pPr>
        <w:spacing w:before="59"/>
        <w:ind w:right="124"/>
        <w:jc w:val="right"/>
        <w:rPr>
          <w:sz w:val="16"/>
        </w:rPr>
      </w:pPr>
      <w:r>
        <w:rPr>
          <w:color w:val="231F20"/>
          <w:w w:val="95"/>
          <w:sz w:val="16"/>
        </w:rPr>
        <w:t>35</w:t>
      </w:r>
    </w:p>
    <w:p w:rsidR="00B05397" w:rsidRDefault="00B05397">
      <w:pPr>
        <w:pStyle w:val="BodyText"/>
        <w:spacing w:before="10"/>
      </w:pPr>
    </w:p>
    <w:p w:rsidR="00B05397" w:rsidRDefault="00856287">
      <w:pPr>
        <w:pStyle w:val="Heading2"/>
        <w:numPr>
          <w:ilvl w:val="1"/>
          <w:numId w:val="2"/>
        </w:numPr>
        <w:tabs>
          <w:tab w:val="left" w:pos="550"/>
        </w:tabs>
        <w:ind w:left="549"/>
      </w:pPr>
      <w:r>
        <w:rPr>
          <w:color w:val="231F20"/>
        </w:rPr>
        <w:t>Results</w:t>
      </w:r>
    </w:p>
    <w:p w:rsidR="00B05397" w:rsidRDefault="00B05397">
      <w:pPr>
        <w:pStyle w:val="BodyText"/>
        <w:spacing w:before="3"/>
        <w:rPr>
          <w:rFonts w:ascii="Trebuchet MS"/>
          <w:sz w:val="21"/>
        </w:rPr>
      </w:pPr>
    </w:p>
    <w:p w:rsidR="00B05397" w:rsidRDefault="00856287">
      <w:pPr>
        <w:pStyle w:val="BodyText"/>
        <w:spacing w:before="1" w:line="285" w:lineRule="auto"/>
        <w:ind w:left="100"/>
        <w:rPr>
          <w:sz w:val="16"/>
        </w:rPr>
      </w:pPr>
      <w:r>
        <w:rPr>
          <w:color w:val="231F20"/>
          <w:w w:val="110"/>
        </w:rPr>
        <w:t xml:space="preserve">The experimental results were shown to support the hypothesis that the mock witness judgement depended on how English was acquired, as an L1 or an L2.  </w:t>
      </w:r>
      <w:r>
        <w:rPr>
          <w:color w:val="231F20"/>
          <w:w w:val="110"/>
          <w:position w:val="-6"/>
          <w:sz w:val="16"/>
        </w:rPr>
        <w:t>40</w:t>
      </w:r>
    </w:p>
    <w:p w:rsidR="00B05397" w:rsidRDefault="00B05397">
      <w:pPr>
        <w:spacing w:line="285" w:lineRule="auto"/>
        <w:rPr>
          <w:sz w:val="16"/>
        </w:rPr>
        <w:sectPr w:rsidR="00B05397">
          <w:pgSz w:w="8790" w:h="13040"/>
          <w:pgMar w:top="700" w:right="800" w:bottom="280" w:left="920" w:header="517" w:footer="0" w:gutter="0"/>
          <w:cols w:space="720"/>
        </w:sectPr>
      </w:pPr>
    </w:p>
    <w:p w:rsidR="00B05397" w:rsidRDefault="00B05397">
      <w:pPr>
        <w:pStyle w:val="BodyText"/>
        <w:rPr>
          <w:sz w:val="20"/>
        </w:rPr>
      </w:pPr>
    </w:p>
    <w:p w:rsidR="00B05397" w:rsidRDefault="00B05397">
      <w:pPr>
        <w:pStyle w:val="BodyText"/>
        <w:spacing w:before="7"/>
        <w:rPr>
          <w:sz w:val="18"/>
        </w:rPr>
      </w:pPr>
    </w:p>
    <w:p w:rsidR="00B05397" w:rsidRDefault="00856287">
      <w:pPr>
        <w:pStyle w:val="BodyText"/>
        <w:spacing w:before="74" w:line="283" w:lineRule="auto"/>
        <w:ind w:left="110" w:right="210"/>
      </w:pPr>
      <w:r>
        <w:rPr>
          <w:color w:val="231F20"/>
          <w:w w:val="105"/>
        </w:rPr>
        <w:t xml:space="preserve">The statistics for mock judgements show a very clear difference between these </w:t>
      </w:r>
      <w:r>
        <w:rPr>
          <w:color w:val="231F20"/>
          <w:w w:val="105"/>
          <w:position w:val="1"/>
          <w:sz w:val="16"/>
        </w:rPr>
        <w:t xml:space="preserve">1  </w:t>
      </w:r>
      <w:r>
        <w:rPr>
          <w:color w:val="231F20"/>
          <w:w w:val="105"/>
        </w:rPr>
        <w:t xml:space="preserve">two populations with respect to the meaning of, and the judgements related to,      the verbs </w:t>
      </w:r>
      <w:r>
        <w:rPr>
          <w:rFonts w:ascii="Cambria"/>
          <w:i/>
          <w:color w:val="231F20"/>
          <w:w w:val="105"/>
        </w:rPr>
        <w:t xml:space="preserve">may </w:t>
      </w:r>
      <w:r>
        <w:rPr>
          <w:color w:val="231F20"/>
          <w:w w:val="105"/>
        </w:rPr>
        <w:t xml:space="preserve">and </w:t>
      </w:r>
      <w:r>
        <w:rPr>
          <w:rFonts w:ascii="Cambria"/>
          <w:i/>
          <w:color w:val="231F20"/>
          <w:w w:val="105"/>
        </w:rPr>
        <w:t>might</w:t>
      </w:r>
      <w:r>
        <w:rPr>
          <w:color w:val="231F20"/>
          <w:w w:val="105"/>
        </w:rPr>
        <w:t>. Native speakers of English are uniform in  their</w:t>
      </w:r>
      <w:r>
        <w:rPr>
          <w:color w:val="231F20"/>
          <w:spacing w:val="49"/>
          <w:w w:val="105"/>
        </w:rPr>
        <w:t xml:space="preserve"> </w:t>
      </w:r>
      <w:r>
        <w:rPr>
          <w:color w:val="231F20"/>
          <w:w w:val="105"/>
        </w:rPr>
        <w:t>judgement related to the possibility  of  event  occurrence  and  witness  certainty when it comes</w:t>
      </w:r>
      <w:r>
        <w:rPr>
          <w:color w:val="231F20"/>
          <w:w w:val="105"/>
        </w:rPr>
        <w:t xml:space="preserve"> to the descriptions with </w:t>
      </w:r>
      <w:r>
        <w:rPr>
          <w:rFonts w:ascii="Cambria"/>
          <w:i/>
          <w:color w:val="231F20"/>
          <w:w w:val="105"/>
        </w:rPr>
        <w:t xml:space="preserve">may </w:t>
      </w:r>
      <w:r>
        <w:rPr>
          <w:color w:val="231F20"/>
          <w:w w:val="105"/>
        </w:rPr>
        <w:t xml:space="preserve">and </w:t>
      </w:r>
      <w:r>
        <w:rPr>
          <w:rFonts w:ascii="Cambria"/>
          <w:i/>
          <w:color w:val="231F20"/>
          <w:w w:val="105"/>
        </w:rPr>
        <w:t>might</w:t>
      </w:r>
      <w:r>
        <w:rPr>
          <w:color w:val="231F20"/>
          <w:w w:val="105"/>
        </w:rPr>
        <w:t xml:space="preserve">: expressions with both </w:t>
      </w:r>
      <w:r>
        <w:rPr>
          <w:color w:val="231F20"/>
          <w:w w:val="105"/>
          <w:position w:val="1"/>
          <w:sz w:val="16"/>
        </w:rPr>
        <w:t xml:space="preserve">5 </w:t>
      </w:r>
      <w:r>
        <w:rPr>
          <w:color w:val="231F20"/>
          <w:w w:val="105"/>
        </w:rPr>
        <w:t>modals score the same on the witness  certainty  and  possibility  scales  (experi- mental questions (i) and (ii) respectively). In other words, there is no difference      in the degree of p</w:t>
      </w:r>
      <w:r>
        <w:rPr>
          <w:color w:val="231F20"/>
          <w:w w:val="105"/>
        </w:rPr>
        <w:t xml:space="preserve">ossibility or certainty expressed between expressions with </w:t>
      </w:r>
      <w:r>
        <w:rPr>
          <w:rFonts w:ascii="Cambria"/>
          <w:i/>
          <w:color w:val="231F20"/>
          <w:w w:val="105"/>
        </w:rPr>
        <w:t xml:space="preserve">may  </w:t>
      </w:r>
      <w:r>
        <w:rPr>
          <w:color w:val="231F20"/>
          <w:w w:val="105"/>
        </w:rPr>
        <w:t xml:space="preserve">and  expressions  with  </w:t>
      </w:r>
      <w:r>
        <w:rPr>
          <w:rFonts w:ascii="Cambria"/>
          <w:i/>
          <w:color w:val="231F20"/>
          <w:w w:val="105"/>
        </w:rPr>
        <w:t xml:space="preserve">might  </w:t>
      </w:r>
      <w:r>
        <w:rPr>
          <w:color w:val="231F20"/>
          <w:w w:val="105"/>
        </w:rPr>
        <w:t xml:space="preserve">for  the  English  native  speakers.  The </w:t>
      </w:r>
      <w:r>
        <w:rPr>
          <w:color w:val="231F20"/>
          <w:spacing w:val="44"/>
          <w:w w:val="105"/>
        </w:rPr>
        <w:t xml:space="preserve"> </w:t>
      </w:r>
      <w:r>
        <w:rPr>
          <w:color w:val="231F20"/>
          <w:w w:val="105"/>
        </w:rPr>
        <w:t>non-native</w:t>
      </w:r>
    </w:p>
    <w:p w:rsidR="00B05397" w:rsidRDefault="00856287">
      <w:pPr>
        <w:pStyle w:val="BodyText"/>
        <w:spacing w:line="218" w:lineRule="exact"/>
        <w:ind w:left="110"/>
        <w:rPr>
          <w:sz w:val="16"/>
        </w:rPr>
      </w:pPr>
      <w:r>
        <w:rPr>
          <w:color w:val="231F20"/>
          <w:w w:val="110"/>
        </w:rPr>
        <w:t xml:space="preserve">speakers, in contrast, rated the expressions containing the verb </w:t>
      </w:r>
      <w:r>
        <w:rPr>
          <w:rFonts w:ascii="Cambria"/>
          <w:i/>
          <w:color w:val="231F20"/>
          <w:w w:val="110"/>
        </w:rPr>
        <w:t xml:space="preserve">may </w:t>
      </w:r>
      <w:r>
        <w:rPr>
          <w:color w:val="231F20"/>
          <w:w w:val="110"/>
        </w:rPr>
        <w:t xml:space="preserve">as referring </w:t>
      </w:r>
      <w:r>
        <w:rPr>
          <w:color w:val="231F20"/>
          <w:w w:val="110"/>
          <w:position w:val="1"/>
          <w:sz w:val="16"/>
        </w:rPr>
        <w:t>10</w:t>
      </w:r>
    </w:p>
    <w:p w:rsidR="00B05397" w:rsidRDefault="00856287">
      <w:pPr>
        <w:pStyle w:val="BodyText"/>
        <w:spacing w:before="40" w:line="283" w:lineRule="auto"/>
        <w:ind w:left="110" w:right="220"/>
      </w:pPr>
      <w:r>
        <w:rPr>
          <w:color w:val="231F20"/>
          <w:w w:val="105"/>
        </w:rPr>
        <w:t>to events much more likely to have happened than those expressed with might. Nonparametric pairwise comparisons of the two populations (L1 English vs. L2 English) using  the Mann-Whitney  test showed that the groups did not  differ in</w:t>
      </w:r>
      <w:r>
        <w:rPr>
          <w:color w:val="231F20"/>
          <w:spacing w:val="49"/>
          <w:w w:val="105"/>
        </w:rPr>
        <w:t xml:space="preserve"> </w:t>
      </w:r>
      <w:r>
        <w:rPr>
          <w:color w:val="231F20"/>
          <w:w w:val="105"/>
        </w:rPr>
        <w:t>their understanding o</w:t>
      </w:r>
      <w:r>
        <w:rPr>
          <w:color w:val="231F20"/>
          <w:w w:val="105"/>
        </w:rPr>
        <w:t xml:space="preserve">f </w:t>
      </w:r>
      <w:r>
        <w:rPr>
          <w:rFonts w:ascii="Cambria"/>
          <w:i/>
          <w:color w:val="231F20"/>
          <w:w w:val="105"/>
        </w:rPr>
        <w:t xml:space="preserve">may </w:t>
      </w:r>
      <w:r>
        <w:rPr>
          <w:color w:val="231F20"/>
          <w:w w:val="105"/>
        </w:rPr>
        <w:t xml:space="preserve">(sig. 0.295 for possibility of occurrence and sig. 0.329  for estimated witness certainty), but they differ significantly  when it comes  to  </w:t>
      </w:r>
      <w:r>
        <w:rPr>
          <w:color w:val="231F20"/>
          <w:w w:val="105"/>
          <w:position w:val="1"/>
          <w:sz w:val="16"/>
        </w:rPr>
        <w:t xml:space="preserve">15  </w:t>
      </w:r>
      <w:r>
        <w:rPr>
          <w:color w:val="231F20"/>
          <w:w w:val="105"/>
        </w:rPr>
        <w:t xml:space="preserve">the  understanding  of  </w:t>
      </w:r>
      <w:r>
        <w:rPr>
          <w:rFonts w:ascii="Cambria"/>
          <w:i/>
          <w:color w:val="231F20"/>
          <w:w w:val="105"/>
        </w:rPr>
        <w:t xml:space="preserve">might  </w:t>
      </w:r>
      <w:r>
        <w:rPr>
          <w:color w:val="231F20"/>
          <w:w w:val="105"/>
        </w:rPr>
        <w:t>(high  significant  difference  between  groups  of.000 for both possibil</w:t>
      </w:r>
      <w:r>
        <w:rPr>
          <w:color w:val="231F20"/>
          <w:w w:val="105"/>
        </w:rPr>
        <w:t xml:space="preserve">ity of  occurrence  and  estimated  witness  certainty).  The  confi- dence interval level is 95 %. Thus, for L2 speakers of English </w:t>
      </w:r>
      <w:r>
        <w:rPr>
          <w:rFonts w:ascii="Cambria"/>
          <w:i/>
          <w:color w:val="231F20"/>
          <w:w w:val="105"/>
        </w:rPr>
        <w:t xml:space="preserve">might </w:t>
      </w:r>
      <w:r>
        <w:rPr>
          <w:color w:val="231F20"/>
          <w:w w:val="105"/>
        </w:rPr>
        <w:t>clearly</w:t>
      </w:r>
      <w:r>
        <w:rPr>
          <w:color w:val="231F20"/>
          <w:spacing w:val="-22"/>
          <w:w w:val="105"/>
        </w:rPr>
        <w:t xml:space="preserve"> </w:t>
      </w:r>
      <w:r>
        <w:rPr>
          <w:color w:val="231F20"/>
          <w:w w:val="105"/>
        </w:rPr>
        <w:t>seems</w:t>
      </w:r>
    </w:p>
    <w:p w:rsidR="00B05397" w:rsidRDefault="00856287">
      <w:pPr>
        <w:pStyle w:val="BodyText"/>
        <w:spacing w:line="280" w:lineRule="auto"/>
        <w:ind w:left="110" w:right="183"/>
      </w:pPr>
      <w:r>
        <w:rPr>
          <w:color w:val="231F20"/>
          <w:w w:val="105"/>
        </w:rPr>
        <w:t>to refer to situations that are  less  likely  to  have  occurred  as  described  by  a witness and the</w:t>
      </w:r>
      <w:r>
        <w:rPr>
          <w:color w:val="231F20"/>
          <w:w w:val="105"/>
        </w:rPr>
        <w:t xml:space="preserve"> estimated witness certainty is significantly lower if </w:t>
      </w:r>
      <w:r>
        <w:rPr>
          <w:rFonts w:ascii="Cambria" w:hAnsi="Cambria"/>
          <w:i/>
          <w:color w:val="231F20"/>
          <w:w w:val="105"/>
        </w:rPr>
        <w:t xml:space="preserve">might </w:t>
      </w:r>
      <w:r>
        <w:rPr>
          <w:color w:val="231F20"/>
          <w:w w:val="105"/>
        </w:rPr>
        <w:t xml:space="preserve">is used </w:t>
      </w:r>
      <w:r>
        <w:rPr>
          <w:color w:val="231F20"/>
          <w:w w:val="105"/>
          <w:position w:val="1"/>
          <w:sz w:val="16"/>
        </w:rPr>
        <w:t xml:space="preserve">20 </w:t>
      </w:r>
      <w:r>
        <w:rPr>
          <w:color w:val="231F20"/>
          <w:w w:val="105"/>
        </w:rPr>
        <w:t xml:space="preserve">instead  of  </w:t>
      </w:r>
      <w:r>
        <w:rPr>
          <w:rFonts w:ascii="Cambria" w:hAnsi="Cambria"/>
          <w:i/>
          <w:color w:val="231F20"/>
          <w:w w:val="105"/>
        </w:rPr>
        <w:t xml:space="preserve">may  </w:t>
      </w:r>
      <w:r>
        <w:rPr>
          <w:color w:val="231F20"/>
          <w:w w:val="105"/>
        </w:rPr>
        <w:t>in  witness  statements.  The  two  versions  of  the  same  statement (see Appendix) were rated differently by L2 English speakers, namely scoring consistently highe</w:t>
      </w:r>
      <w:r>
        <w:rPr>
          <w:color w:val="231F20"/>
          <w:w w:val="105"/>
        </w:rPr>
        <w:t xml:space="preserve">r if they contained </w:t>
      </w:r>
      <w:r>
        <w:rPr>
          <w:rFonts w:ascii="Cambria" w:hAnsi="Cambria"/>
          <w:i/>
          <w:color w:val="231F20"/>
          <w:w w:val="105"/>
        </w:rPr>
        <w:t xml:space="preserve">may </w:t>
      </w:r>
      <w:r>
        <w:rPr>
          <w:color w:val="231F20"/>
          <w:w w:val="105"/>
        </w:rPr>
        <w:t xml:space="preserve">and  lower  if  they  contained  </w:t>
      </w:r>
      <w:r>
        <w:rPr>
          <w:rFonts w:ascii="Cambria" w:hAnsi="Cambria"/>
          <w:i/>
          <w:color w:val="231F20"/>
          <w:w w:val="105"/>
        </w:rPr>
        <w:t>might</w:t>
      </w:r>
      <w:r>
        <w:rPr>
          <w:color w:val="231F20"/>
          <w:w w:val="105"/>
        </w:rPr>
        <w:t xml:space="preserve">, whereas the absence of this variation in rating is noticeable among the English  </w:t>
      </w:r>
      <w:r>
        <w:rPr>
          <w:color w:val="231F20"/>
          <w:spacing w:val="49"/>
          <w:w w:val="105"/>
        </w:rPr>
        <w:t xml:space="preserve"> </w:t>
      </w:r>
      <w:r>
        <w:rPr>
          <w:color w:val="231F20"/>
          <w:w w:val="105"/>
        </w:rPr>
        <w:t>native speakers. There  was also  a consistency within each subject</w:t>
      </w:r>
      <w:r>
        <w:rPr>
          <w:rFonts w:ascii="Calibri" w:hAnsi="Calibri"/>
          <w:color w:val="231F20"/>
          <w:w w:val="105"/>
        </w:rPr>
        <w:t>’</w:t>
      </w:r>
      <w:r>
        <w:rPr>
          <w:color w:val="231F20"/>
          <w:w w:val="105"/>
        </w:rPr>
        <w:t xml:space="preserve">s rating for  </w:t>
      </w:r>
      <w:r>
        <w:rPr>
          <w:color w:val="231F20"/>
          <w:w w:val="105"/>
          <w:position w:val="1"/>
          <w:sz w:val="16"/>
        </w:rPr>
        <w:t xml:space="preserve">25  </w:t>
      </w:r>
      <w:r>
        <w:rPr>
          <w:rFonts w:ascii="Cambria" w:hAnsi="Cambria"/>
          <w:i/>
          <w:color w:val="231F20"/>
          <w:w w:val="105"/>
        </w:rPr>
        <w:t xml:space="preserve">may </w:t>
      </w:r>
      <w:r>
        <w:rPr>
          <w:color w:val="231F20"/>
          <w:w w:val="105"/>
        </w:rPr>
        <w:t xml:space="preserve">and </w:t>
      </w:r>
      <w:r>
        <w:rPr>
          <w:rFonts w:ascii="Cambria" w:hAnsi="Cambria"/>
          <w:i/>
          <w:color w:val="231F20"/>
          <w:w w:val="105"/>
        </w:rPr>
        <w:t xml:space="preserve">might </w:t>
      </w:r>
      <w:r>
        <w:rPr>
          <w:color w:val="231F20"/>
          <w:w w:val="105"/>
        </w:rPr>
        <w:t>(i. e. two</w:t>
      </w:r>
      <w:r>
        <w:rPr>
          <w:color w:val="231F20"/>
          <w:w w:val="105"/>
        </w:rPr>
        <w:t xml:space="preserve"> statements  containing  </w:t>
      </w:r>
      <w:r>
        <w:rPr>
          <w:rFonts w:ascii="Cambria" w:hAnsi="Cambria"/>
          <w:i/>
          <w:color w:val="231F20"/>
          <w:w w:val="105"/>
        </w:rPr>
        <w:t xml:space="preserve">may  </w:t>
      </w:r>
      <w:r>
        <w:rPr>
          <w:color w:val="231F20"/>
          <w:w w:val="105"/>
        </w:rPr>
        <w:t xml:space="preserve">will  be  given  the  same ratings  as  would  the  two  statements  containing  </w:t>
      </w:r>
      <w:r>
        <w:rPr>
          <w:rFonts w:ascii="Cambria" w:hAnsi="Cambria"/>
          <w:i/>
          <w:color w:val="231F20"/>
          <w:w w:val="105"/>
        </w:rPr>
        <w:t xml:space="preserve">might   </w:t>
      </w:r>
      <w:r>
        <w:rPr>
          <w:color w:val="231F20"/>
          <w:w w:val="105"/>
        </w:rPr>
        <w:t xml:space="preserve">in  98 %  of  the  cases;    2 % of the cases had only a slight 1-point difference and  those  scores  were averaged). The difference in </w:t>
      </w:r>
      <w:r>
        <w:rPr>
          <w:color w:val="231F20"/>
          <w:w w:val="105"/>
        </w:rPr>
        <w:t xml:space="preserve">the mean values  for the raw scores on the possibi-      lity of occurrence scale are shown in Figure 1. The values are 2.63 for both </w:t>
      </w:r>
      <w:r>
        <w:rPr>
          <w:rFonts w:ascii="Cambria" w:hAnsi="Cambria"/>
          <w:i/>
          <w:color w:val="231F20"/>
          <w:w w:val="105"/>
        </w:rPr>
        <w:t xml:space="preserve">may </w:t>
      </w:r>
      <w:r>
        <w:rPr>
          <w:color w:val="231F20"/>
          <w:w w:val="105"/>
          <w:position w:val="1"/>
          <w:sz w:val="16"/>
        </w:rPr>
        <w:t xml:space="preserve">30 </w:t>
      </w:r>
      <w:r>
        <w:rPr>
          <w:color w:val="231F20"/>
          <w:w w:val="105"/>
        </w:rPr>
        <w:t xml:space="preserve">and </w:t>
      </w:r>
      <w:r>
        <w:rPr>
          <w:rFonts w:ascii="Cambria" w:hAnsi="Cambria"/>
          <w:i/>
          <w:color w:val="231F20"/>
          <w:w w:val="105"/>
        </w:rPr>
        <w:t xml:space="preserve">might </w:t>
      </w:r>
      <w:r>
        <w:rPr>
          <w:color w:val="231F20"/>
          <w:w w:val="105"/>
        </w:rPr>
        <w:t xml:space="preserve">in L1 English. For L2 English those values are 3.03 for </w:t>
      </w:r>
      <w:r>
        <w:rPr>
          <w:rFonts w:ascii="Cambria" w:hAnsi="Cambria"/>
          <w:i/>
          <w:color w:val="231F20"/>
          <w:w w:val="105"/>
        </w:rPr>
        <w:t xml:space="preserve">may </w:t>
      </w:r>
      <w:r>
        <w:rPr>
          <w:color w:val="231F20"/>
          <w:w w:val="105"/>
        </w:rPr>
        <w:t xml:space="preserve">and 1.66 for </w:t>
      </w:r>
      <w:r>
        <w:rPr>
          <w:rFonts w:ascii="Cambria" w:hAnsi="Cambria"/>
          <w:i/>
          <w:color w:val="231F20"/>
          <w:w w:val="105"/>
        </w:rPr>
        <w:t>might</w:t>
      </w:r>
      <w:r>
        <w:rPr>
          <w:color w:val="231F20"/>
          <w:w w:val="105"/>
        </w:rPr>
        <w:t>.</w:t>
      </w:r>
      <w:r>
        <w:rPr>
          <w:color w:val="231F20"/>
          <w:spacing w:val="33"/>
          <w:w w:val="105"/>
        </w:rPr>
        <w:t xml:space="preserve"> </w:t>
      </w:r>
      <w:r>
        <w:rPr>
          <w:color w:val="231F20"/>
          <w:w w:val="105"/>
        </w:rPr>
        <w:t>The</w:t>
      </w:r>
      <w:r>
        <w:rPr>
          <w:color w:val="231F20"/>
          <w:spacing w:val="33"/>
          <w:w w:val="105"/>
        </w:rPr>
        <w:t xml:space="preserve"> </w:t>
      </w:r>
      <w:r>
        <w:rPr>
          <w:color w:val="231F20"/>
          <w:w w:val="105"/>
        </w:rPr>
        <w:t>differences</w:t>
      </w:r>
      <w:r>
        <w:rPr>
          <w:color w:val="231F20"/>
          <w:spacing w:val="33"/>
          <w:w w:val="105"/>
        </w:rPr>
        <w:t xml:space="preserve"> </w:t>
      </w:r>
      <w:r>
        <w:rPr>
          <w:color w:val="231F20"/>
          <w:w w:val="105"/>
        </w:rPr>
        <w:t>in</w:t>
      </w:r>
      <w:r>
        <w:rPr>
          <w:color w:val="231F20"/>
          <w:spacing w:val="32"/>
          <w:w w:val="105"/>
        </w:rPr>
        <w:t xml:space="preserve"> </w:t>
      </w:r>
      <w:r>
        <w:rPr>
          <w:color w:val="231F20"/>
          <w:w w:val="105"/>
        </w:rPr>
        <w:t>mean</w:t>
      </w:r>
      <w:r>
        <w:rPr>
          <w:color w:val="231F20"/>
          <w:spacing w:val="33"/>
          <w:w w:val="105"/>
        </w:rPr>
        <w:t xml:space="preserve"> </w:t>
      </w:r>
      <w:r>
        <w:rPr>
          <w:color w:val="231F20"/>
          <w:w w:val="105"/>
        </w:rPr>
        <w:t>raw</w:t>
      </w:r>
      <w:r>
        <w:rPr>
          <w:color w:val="231F20"/>
          <w:spacing w:val="32"/>
          <w:w w:val="105"/>
        </w:rPr>
        <w:t xml:space="preserve"> </w:t>
      </w:r>
      <w:r>
        <w:rPr>
          <w:color w:val="231F20"/>
          <w:w w:val="105"/>
        </w:rPr>
        <w:t>scores</w:t>
      </w:r>
      <w:r>
        <w:rPr>
          <w:color w:val="231F20"/>
          <w:spacing w:val="33"/>
          <w:w w:val="105"/>
        </w:rPr>
        <w:t xml:space="preserve"> </w:t>
      </w:r>
      <w:r>
        <w:rPr>
          <w:color w:val="231F20"/>
          <w:w w:val="105"/>
        </w:rPr>
        <w:t>for</w:t>
      </w:r>
      <w:r>
        <w:rPr>
          <w:color w:val="231F20"/>
          <w:spacing w:val="32"/>
          <w:w w:val="105"/>
        </w:rPr>
        <w:t xml:space="preserve"> </w:t>
      </w:r>
      <w:r>
        <w:rPr>
          <w:color w:val="231F20"/>
          <w:w w:val="105"/>
        </w:rPr>
        <w:t>estimated</w:t>
      </w:r>
      <w:r>
        <w:rPr>
          <w:color w:val="231F20"/>
          <w:spacing w:val="33"/>
          <w:w w:val="105"/>
        </w:rPr>
        <w:t xml:space="preserve"> </w:t>
      </w:r>
      <w:r>
        <w:rPr>
          <w:color w:val="231F20"/>
          <w:w w:val="105"/>
        </w:rPr>
        <w:t>witness</w:t>
      </w:r>
      <w:r>
        <w:rPr>
          <w:color w:val="231F20"/>
          <w:spacing w:val="32"/>
          <w:w w:val="105"/>
        </w:rPr>
        <w:t xml:space="preserve"> </w:t>
      </w:r>
      <w:r>
        <w:rPr>
          <w:color w:val="231F20"/>
          <w:w w:val="105"/>
        </w:rPr>
        <w:t>certainty</w:t>
      </w:r>
      <w:r>
        <w:rPr>
          <w:color w:val="231F20"/>
          <w:spacing w:val="33"/>
          <w:w w:val="105"/>
        </w:rPr>
        <w:t xml:space="preserve"> </w:t>
      </w:r>
      <w:r>
        <w:rPr>
          <w:color w:val="231F20"/>
          <w:w w:val="105"/>
        </w:rPr>
        <w:t>are</w:t>
      </w:r>
    </w:p>
    <w:p w:rsidR="00B05397" w:rsidRDefault="00856287">
      <w:pPr>
        <w:pStyle w:val="BodyText"/>
        <w:spacing w:line="280" w:lineRule="auto"/>
        <w:ind w:left="110" w:right="126"/>
      </w:pPr>
      <w:r>
        <w:rPr>
          <w:color w:val="231F20"/>
        </w:rPr>
        <w:t xml:space="preserve">2.66 for </w:t>
      </w:r>
      <w:r>
        <w:rPr>
          <w:rFonts w:ascii="Cambria"/>
          <w:i/>
          <w:color w:val="231F20"/>
        </w:rPr>
        <w:t xml:space="preserve">may </w:t>
      </w:r>
      <w:r>
        <w:rPr>
          <w:color w:val="231F20"/>
        </w:rPr>
        <w:t xml:space="preserve">and 2.53 for </w:t>
      </w:r>
      <w:r>
        <w:rPr>
          <w:rFonts w:ascii="Cambria"/>
          <w:i/>
          <w:color w:val="231F20"/>
        </w:rPr>
        <w:t xml:space="preserve">might </w:t>
      </w:r>
      <w:r>
        <w:rPr>
          <w:color w:val="231F20"/>
        </w:rPr>
        <w:t>in L1 English and 2.93 and 1.40 in L2 English respectively,  as  presented  in  Figure  2.</w:t>
      </w:r>
    </w:p>
    <w:p w:rsidR="00B05397" w:rsidRDefault="00856287">
      <w:pPr>
        <w:pStyle w:val="BodyText"/>
        <w:spacing w:before="5" w:line="280" w:lineRule="auto"/>
        <w:ind w:left="110" w:right="109" w:firstLine="339"/>
        <w:rPr>
          <w:sz w:val="16"/>
        </w:rPr>
      </w:pPr>
      <w:r>
        <w:rPr>
          <w:color w:val="231F20"/>
          <w:w w:val="105"/>
        </w:rPr>
        <w:t xml:space="preserve">Finally, the percentages related to the possibility that the event occurred as </w:t>
      </w:r>
      <w:r>
        <w:rPr>
          <w:color w:val="231F20"/>
          <w:w w:val="105"/>
          <w:position w:val="1"/>
          <w:sz w:val="16"/>
        </w:rPr>
        <w:t xml:space="preserve">35 </w:t>
      </w:r>
      <w:r>
        <w:rPr>
          <w:color w:val="231F20"/>
          <w:w w:val="105"/>
        </w:rPr>
        <w:t>desc</w:t>
      </w:r>
      <w:r>
        <w:rPr>
          <w:color w:val="231F20"/>
          <w:w w:val="105"/>
        </w:rPr>
        <w:t xml:space="preserve">ribed (experimental question (iii)) further  support  the  dichotomy  in  our  results. English speakers rated  both  events  described  with  </w:t>
      </w:r>
      <w:r>
        <w:rPr>
          <w:rFonts w:ascii="Cambria"/>
          <w:i/>
          <w:color w:val="231F20"/>
          <w:w w:val="105"/>
        </w:rPr>
        <w:t xml:space="preserve">may  </w:t>
      </w:r>
      <w:r>
        <w:rPr>
          <w:color w:val="231F20"/>
          <w:w w:val="105"/>
        </w:rPr>
        <w:t xml:space="preserve">and  </w:t>
      </w:r>
      <w:r>
        <w:rPr>
          <w:rFonts w:ascii="Cambria"/>
          <w:i/>
          <w:color w:val="231F20"/>
          <w:w w:val="105"/>
        </w:rPr>
        <w:t xml:space="preserve">might  </w:t>
      </w:r>
      <w:r>
        <w:rPr>
          <w:color w:val="231F20"/>
          <w:w w:val="105"/>
        </w:rPr>
        <w:t xml:space="preserve">roughly  the  same  in  terms  of  possibility  of  occurrence  (average  of  50 %  for </w:t>
      </w:r>
      <w:r>
        <w:rPr>
          <w:rFonts w:ascii="Cambria"/>
          <w:i/>
          <w:color w:val="231F20"/>
          <w:w w:val="105"/>
        </w:rPr>
        <w:t xml:space="preserve">may  </w:t>
      </w:r>
      <w:r>
        <w:rPr>
          <w:color w:val="231F20"/>
          <w:w w:val="105"/>
        </w:rPr>
        <w:t>and</w:t>
      </w:r>
      <w:r>
        <w:rPr>
          <w:color w:val="231F20"/>
          <w:w w:val="105"/>
        </w:rPr>
        <w:t xml:space="preserve">  46 %  for  </w:t>
      </w:r>
      <w:r>
        <w:rPr>
          <w:rFonts w:ascii="Cambria"/>
          <w:i/>
          <w:color w:val="231F20"/>
          <w:w w:val="105"/>
        </w:rPr>
        <w:t>might</w:t>
      </w:r>
      <w:r>
        <w:rPr>
          <w:color w:val="231F20"/>
          <w:w w:val="105"/>
        </w:rPr>
        <w:t xml:space="preserve">),  while  non-native  speakers  rate  the  events  expressed with </w:t>
      </w:r>
      <w:r>
        <w:rPr>
          <w:rFonts w:ascii="Cambria"/>
          <w:i/>
          <w:color w:val="231F20"/>
          <w:w w:val="105"/>
        </w:rPr>
        <w:t xml:space="preserve">may  </w:t>
      </w:r>
      <w:r>
        <w:rPr>
          <w:color w:val="231F20"/>
          <w:w w:val="105"/>
        </w:rPr>
        <w:t xml:space="preserve">much more possible (47 % average) than those with </w:t>
      </w:r>
      <w:r>
        <w:rPr>
          <w:rFonts w:ascii="Cambria"/>
          <w:i/>
          <w:color w:val="231F20"/>
          <w:w w:val="105"/>
        </w:rPr>
        <w:t xml:space="preserve">might  </w:t>
      </w:r>
      <w:r>
        <w:rPr>
          <w:color w:val="231F20"/>
          <w:w w:val="105"/>
        </w:rPr>
        <w:t xml:space="preserve">(27 %). In    </w:t>
      </w:r>
      <w:r>
        <w:rPr>
          <w:color w:val="231F20"/>
          <w:spacing w:val="2"/>
          <w:w w:val="105"/>
        </w:rPr>
        <w:t xml:space="preserve"> </w:t>
      </w:r>
      <w:r>
        <w:rPr>
          <w:color w:val="231F20"/>
          <w:w w:val="105"/>
          <w:position w:val="1"/>
          <w:sz w:val="16"/>
        </w:rPr>
        <w:t>40</w:t>
      </w:r>
    </w:p>
    <w:p w:rsidR="00B05397" w:rsidRDefault="00B05397">
      <w:pPr>
        <w:spacing w:line="280" w:lineRule="auto"/>
        <w:rPr>
          <w:sz w:val="16"/>
        </w:rPr>
        <w:sectPr w:rsidR="00B05397">
          <w:headerReference w:type="even" r:id="rId23"/>
          <w:headerReference w:type="default" r:id="rId24"/>
          <w:pgSz w:w="8790" w:h="13040"/>
          <w:pgMar w:top="720" w:right="620" w:bottom="280" w:left="1080" w:header="538" w:footer="0" w:gutter="0"/>
          <w:pgNumType w:start="12"/>
          <w:cols w:space="720"/>
        </w:sectPr>
      </w:pPr>
    </w:p>
    <w:p w:rsidR="00B05397" w:rsidRDefault="00B05397">
      <w:pPr>
        <w:pStyle w:val="BodyText"/>
        <w:rPr>
          <w:sz w:val="20"/>
        </w:rPr>
      </w:pPr>
    </w:p>
    <w:p w:rsidR="00B05397" w:rsidRDefault="00B05397">
      <w:pPr>
        <w:pStyle w:val="BodyText"/>
        <w:spacing w:before="6"/>
        <w:rPr>
          <w:sz w:val="21"/>
        </w:rPr>
      </w:pPr>
    </w:p>
    <w:p w:rsidR="00B05397" w:rsidRDefault="00B05397">
      <w:pPr>
        <w:rPr>
          <w:sz w:val="21"/>
        </w:rPr>
        <w:sectPr w:rsidR="00B05397">
          <w:pgSz w:w="8790" w:h="13040"/>
          <w:pgMar w:top="700" w:right="800" w:bottom="280" w:left="920" w:header="517" w:footer="0" w:gutter="0"/>
          <w:cols w:space="720"/>
        </w:sectPr>
      </w:pPr>
    </w:p>
    <w:p w:rsidR="00B05397" w:rsidRDefault="00B05397">
      <w:pPr>
        <w:pStyle w:val="BodyText"/>
        <w:rPr>
          <w:sz w:val="16"/>
        </w:rPr>
      </w:pPr>
    </w:p>
    <w:p w:rsidR="00B05397" w:rsidRDefault="00B05397">
      <w:pPr>
        <w:pStyle w:val="BodyText"/>
        <w:spacing w:before="6"/>
        <w:rPr>
          <w:sz w:val="12"/>
        </w:rPr>
      </w:pPr>
    </w:p>
    <w:p w:rsidR="00B05397" w:rsidRDefault="00856287">
      <w:pPr>
        <w:jc w:val="right"/>
        <w:rPr>
          <w:rFonts w:ascii="Calibri"/>
          <w:sz w:val="16"/>
        </w:rPr>
      </w:pPr>
      <w:r>
        <w:rPr>
          <w:rFonts w:ascii="Calibri"/>
          <w:color w:val="77787B"/>
          <w:sz w:val="16"/>
        </w:rPr>
        <w:t>3.5</w:t>
      </w:r>
    </w:p>
    <w:p w:rsidR="00B05397" w:rsidRDefault="00B05397">
      <w:pPr>
        <w:pStyle w:val="BodyText"/>
        <w:spacing w:before="4"/>
        <w:rPr>
          <w:rFonts w:ascii="Calibri"/>
          <w:sz w:val="14"/>
        </w:rPr>
      </w:pPr>
    </w:p>
    <w:p w:rsidR="00B05397" w:rsidRDefault="00856287">
      <w:pPr>
        <w:jc w:val="right"/>
        <w:rPr>
          <w:rFonts w:ascii="Calibri"/>
          <w:sz w:val="16"/>
        </w:rPr>
      </w:pPr>
      <w:r>
        <w:rPr>
          <w:rFonts w:ascii="Calibri"/>
          <w:color w:val="77787B"/>
          <w:w w:val="101"/>
          <w:sz w:val="16"/>
        </w:rPr>
        <w:t>3</w:t>
      </w:r>
    </w:p>
    <w:p w:rsidR="00B05397" w:rsidRDefault="00B05397">
      <w:pPr>
        <w:pStyle w:val="BodyText"/>
        <w:spacing w:before="4"/>
        <w:rPr>
          <w:rFonts w:ascii="Calibri"/>
          <w:sz w:val="14"/>
        </w:rPr>
      </w:pPr>
    </w:p>
    <w:p w:rsidR="00B05397" w:rsidRDefault="00856287">
      <w:pPr>
        <w:spacing w:before="1"/>
        <w:jc w:val="right"/>
        <w:rPr>
          <w:rFonts w:ascii="Calibri"/>
          <w:sz w:val="16"/>
        </w:rPr>
      </w:pPr>
      <w:r>
        <w:rPr>
          <w:rFonts w:ascii="Calibri"/>
          <w:color w:val="77787B"/>
          <w:sz w:val="16"/>
        </w:rPr>
        <w:t>2.5</w:t>
      </w:r>
    </w:p>
    <w:p w:rsidR="00B05397" w:rsidRDefault="00B05397">
      <w:pPr>
        <w:pStyle w:val="BodyText"/>
        <w:spacing w:before="4"/>
        <w:rPr>
          <w:rFonts w:ascii="Calibri"/>
          <w:sz w:val="14"/>
        </w:rPr>
      </w:pPr>
    </w:p>
    <w:p w:rsidR="00B05397" w:rsidRDefault="00856287">
      <w:pPr>
        <w:spacing w:before="1"/>
        <w:jc w:val="right"/>
        <w:rPr>
          <w:rFonts w:ascii="Calibri"/>
          <w:sz w:val="16"/>
        </w:rPr>
      </w:pPr>
      <w:r>
        <w:rPr>
          <w:rFonts w:ascii="Calibri"/>
          <w:color w:val="77787B"/>
          <w:w w:val="101"/>
          <w:sz w:val="16"/>
        </w:rPr>
        <w:t>2</w:t>
      </w:r>
    </w:p>
    <w:p w:rsidR="00B05397" w:rsidRDefault="00856287">
      <w:pPr>
        <w:tabs>
          <w:tab w:val="right" w:pos="4251"/>
        </w:tabs>
        <w:spacing w:before="75"/>
        <w:ind w:left="100"/>
        <w:rPr>
          <w:sz w:val="16"/>
        </w:rPr>
      </w:pPr>
      <w:r>
        <w:br w:type="column"/>
      </w:r>
      <w:r>
        <w:rPr>
          <w:rFonts w:ascii="Calibri"/>
          <w:color w:val="77787B"/>
          <w:sz w:val="16"/>
        </w:rPr>
        <w:t>Possibility</w:t>
      </w:r>
      <w:r>
        <w:rPr>
          <w:rFonts w:ascii="Calibri"/>
          <w:color w:val="77787B"/>
          <w:spacing w:val="-1"/>
          <w:sz w:val="16"/>
        </w:rPr>
        <w:t xml:space="preserve"> </w:t>
      </w:r>
      <w:r>
        <w:rPr>
          <w:rFonts w:ascii="Calibri"/>
          <w:color w:val="77787B"/>
          <w:sz w:val="16"/>
        </w:rPr>
        <w:t>of Occurrence</w:t>
      </w:r>
      <w:r>
        <w:rPr>
          <w:color w:val="231F20"/>
          <w:position w:val="2"/>
          <w:sz w:val="16"/>
        </w:rPr>
        <w:tab/>
        <w:t>1</w:t>
      </w:r>
    </w:p>
    <w:p w:rsidR="00B05397" w:rsidRDefault="00856287">
      <w:pPr>
        <w:spacing w:before="827"/>
        <w:ind w:right="200"/>
        <w:jc w:val="right"/>
        <w:rPr>
          <w:sz w:val="16"/>
        </w:rPr>
      </w:pPr>
      <w:r>
        <w:pict>
          <v:group id="_x0000_s1053" style="position:absolute;left:0;text-align:left;margin-left:63.8pt;margin-top:24.5pt;width:316.4pt;height:112.85pt;z-index:-61288;mso-position-horizontal-relative:page" coordorigin="1276,490" coordsize="6328,2257">
            <v:shape id="_x0000_s1071" style="position:absolute;left:2382;top:11556;width:3931;height:2" coordorigin="2382,11556" coordsize="3931,0" o:spt="100" adj="0,,0" path="m6821,2368r776,m5922,2368r192,m3666,2368r1549,e" filled="f" strokecolor="#dcddde" strokeweight=".24836mm">
              <v:stroke joinstyle="round"/>
              <v:formulas/>
              <v:path arrowok="t" o:connecttype="segments"/>
            </v:shape>
            <v:shape id="_x0000_s1070" style="position:absolute;left:2382;top:11556;width:2448;height:2" coordorigin="2382,11556" coordsize="2448,0" o:spt="100" adj="0,,0" path="m5922,1998r192,m3666,1998r1549,e" filled="f" strokecolor="#dcddde" strokeweight=".24836mm">
              <v:stroke joinstyle="round"/>
              <v:formulas/>
              <v:path arrowok="t" o:connecttype="segments"/>
            </v:shape>
            <v:shape id="_x0000_s1069" style="position:absolute;left:2382;top:11556;width:2448;height:2" coordorigin="2382,11556" coordsize="2448,0" o:spt="100" adj="0,,0" path="m5922,1626r192,m3666,1626r1549,e" filled="f" strokecolor="#dcddde" strokeweight=".24836mm">
              <v:stroke joinstyle="round"/>
              <v:formulas/>
              <v:path arrowok="t" o:connecttype="segments"/>
            </v:shape>
            <v:shape id="_x0000_s1068" style="position:absolute;left:2382;top:11556;width:3931;height:2" coordorigin="2382,11556" coordsize="3931,0" o:spt="100" adj="0,,0" path="m5922,1255r1675,m3666,1255r1549,e" filled="f" strokecolor="#dcddde" strokeweight=".24836mm">
              <v:stroke joinstyle="round"/>
              <v:formulas/>
              <v:path arrowok="t" o:connecttype="segments"/>
            </v:shape>
            <v:shape id="_x0000_s1067" style="position:absolute;left:2382;top:11556;width:3931;height:2" coordorigin="2382,11556" coordsize="3931,0" o:spt="100" adj="0,,0" path="m5922,884r1675,m3666,884r1549,e" filled="f" strokecolor="#dcddde" strokeweight=".24836mm">
              <v:stroke joinstyle="round"/>
              <v:formulas/>
              <v:path arrowok="t" o:connecttype="segments"/>
            </v:shape>
            <v:line id="_x0000_s1066" style="position:absolute" from="1284,512" to="7597,512" strokecolor="#dcddde" strokeweight=".24836mm"/>
            <v:rect id="_x0000_s1065" style="position:absolute;left:5215;top:490;width:708;height:2249" fillcolor="#5698d2" stroked="f"/>
            <v:shape id="_x0000_s1064" style="position:absolute;top:11556;width:1675;height:2" coordorigin=",11556" coordsize="1675,0" o:spt="100" adj="0,,0" path="m2767,2368r191,m1284,2368r776,e" filled="f" strokecolor="#dcddde" strokeweight=".24836mm">
              <v:stroke joinstyle="round"/>
              <v:formulas/>
              <v:path arrowok="t" o:connecttype="segments"/>
            </v:shape>
            <v:shape id="_x0000_s1063" style="position:absolute;top:11556;width:1675;height:2" coordorigin=",11556" coordsize="1675,0" o:spt="100" adj="0,,0" path="m2767,1998r191,m1284,1998r776,e" filled="f" strokecolor="#dcddde" strokeweight=".24836mm">
              <v:stroke joinstyle="round"/>
              <v:formulas/>
              <v:path arrowok="t" o:connecttype="segments"/>
            </v:shape>
            <v:shape id="_x0000_s1062" style="position:absolute;top:11556;width:1675;height:2" coordorigin=",11556" coordsize="1675,0" o:spt="100" adj="0,,0" path="m2767,1626r191,m1284,1626r776,e" filled="f" strokecolor="#dcddde" strokeweight=".24836mm">
              <v:stroke joinstyle="round"/>
              <v:formulas/>
              <v:path arrowok="t" o:connecttype="segments"/>
            </v:shape>
            <v:shape id="_x0000_s1061" style="position:absolute;top:11556;width:1675;height:2" coordorigin=",11556" coordsize="1675,0" o:spt="100" adj="0,,0" path="m2767,1255r191,m1284,1255r776,e" filled="f" strokecolor="#dcddde" strokeweight=".24836mm">
              <v:stroke joinstyle="round"/>
              <v:formulas/>
              <v:path arrowok="t" o:connecttype="segments"/>
            </v:shape>
            <v:shape id="_x0000_s1060" style="position:absolute;top:11556;width:1675;height:2" coordorigin=",11556" coordsize="1675,0" o:spt="100" adj="0,,0" path="m2767,884r191,m1284,884r776,e" filled="f" strokecolor="#dcddde" strokeweight=".24836mm">
              <v:stroke joinstyle="round"/>
              <v:formulas/>
              <v:path arrowok="t" o:connecttype="segments"/>
            </v:shape>
            <v:rect id="_x0000_s1059" style="position:absolute;left:2060;top:787;width:708;height:1953" fillcolor="#5698d2" stroked="f"/>
            <v:rect id="_x0000_s1058" style="position:absolute;left:2958;top:787;width:708;height:1953" fillcolor="#f0813d" stroked="f"/>
            <v:line id="_x0000_s1057" style="position:absolute" from="6821,1998" to="7597,1998" strokecolor="#dcddde" strokeweight=".24836mm"/>
            <v:line id="_x0000_s1056" style="position:absolute" from="6821,1626" to="7597,1626" strokecolor="#dcddde" strokeweight=".24836mm"/>
            <v:rect id="_x0000_s1055" style="position:absolute;left:6114;top:1507;width:708;height:1232" fillcolor="#f0813d" stroked="f"/>
            <v:line id="_x0000_s1054" style="position:absolute" from="1284,2739" to="7597,2739" strokecolor="#dcddde" strokeweight=".24836mm"/>
            <w10:wrap anchorx="page"/>
          </v:group>
        </w:pict>
      </w:r>
      <w:r>
        <w:pict>
          <v:line id="_x0000_s1052" style="position:absolute;left:0;text-align:left;z-index:1216;mso-position-horizontal-relative:page" from="64.2pt,7.05pt" to="379.85pt,7.05pt" strokecolor="#dcddde" strokeweight=".24836mm">
            <w10:wrap anchorx="page"/>
          </v:line>
        </w:pict>
      </w:r>
      <w:r>
        <w:rPr>
          <w:color w:val="231F20"/>
          <w:w w:val="93"/>
          <w:sz w:val="16"/>
        </w:rPr>
        <w:t>5</w:t>
      </w:r>
    </w:p>
    <w:p w:rsidR="00B05397" w:rsidRDefault="00B05397">
      <w:pPr>
        <w:jc w:val="right"/>
        <w:rPr>
          <w:sz w:val="16"/>
        </w:rPr>
        <w:sectPr w:rsidR="00B05397">
          <w:type w:val="continuous"/>
          <w:pgSz w:w="8790" w:h="13040"/>
          <w:pgMar w:top="700" w:right="800" w:bottom="280" w:left="920" w:header="720" w:footer="720" w:gutter="0"/>
          <w:cols w:num="2" w:space="720" w:equalWidth="0">
            <w:col w:w="307" w:space="2296"/>
            <w:col w:w="4467"/>
          </w:cols>
        </w:sectPr>
      </w:pPr>
    </w:p>
    <w:p w:rsidR="00B05397" w:rsidRDefault="00856287">
      <w:pPr>
        <w:spacing w:before="176"/>
        <w:ind w:left="100" w:right="135"/>
        <w:rPr>
          <w:rFonts w:ascii="Calibri"/>
          <w:sz w:val="16"/>
        </w:rPr>
      </w:pPr>
      <w:r>
        <w:rPr>
          <w:rFonts w:ascii="Calibri"/>
          <w:color w:val="77787B"/>
          <w:sz w:val="16"/>
        </w:rPr>
        <w:t>1.5</w:t>
      </w:r>
    </w:p>
    <w:p w:rsidR="00B05397" w:rsidRDefault="00B05397">
      <w:pPr>
        <w:rPr>
          <w:rFonts w:ascii="Calibri"/>
          <w:sz w:val="16"/>
        </w:rPr>
        <w:sectPr w:rsidR="00B05397">
          <w:type w:val="continuous"/>
          <w:pgSz w:w="8790" w:h="13040"/>
          <w:pgMar w:top="700" w:right="800" w:bottom="280" w:left="920" w:header="720" w:footer="720" w:gutter="0"/>
          <w:cols w:space="720"/>
        </w:sectPr>
      </w:pPr>
    </w:p>
    <w:p w:rsidR="00B05397" w:rsidRDefault="00B05397">
      <w:pPr>
        <w:pStyle w:val="BodyText"/>
        <w:spacing w:before="5"/>
        <w:rPr>
          <w:rFonts w:ascii="Calibri"/>
          <w:sz w:val="14"/>
        </w:rPr>
      </w:pPr>
    </w:p>
    <w:p w:rsidR="00B05397" w:rsidRDefault="00856287">
      <w:pPr>
        <w:jc w:val="right"/>
        <w:rPr>
          <w:rFonts w:ascii="Calibri"/>
          <w:sz w:val="16"/>
        </w:rPr>
      </w:pPr>
      <w:r>
        <w:rPr>
          <w:rFonts w:ascii="Calibri"/>
          <w:color w:val="77787B"/>
          <w:w w:val="101"/>
          <w:sz w:val="16"/>
        </w:rPr>
        <w:t>1</w:t>
      </w:r>
    </w:p>
    <w:p w:rsidR="00B05397" w:rsidRDefault="00B05397">
      <w:pPr>
        <w:pStyle w:val="BodyText"/>
        <w:spacing w:before="4"/>
        <w:rPr>
          <w:rFonts w:ascii="Calibri"/>
          <w:sz w:val="14"/>
        </w:rPr>
      </w:pPr>
    </w:p>
    <w:p w:rsidR="00B05397" w:rsidRDefault="00856287">
      <w:pPr>
        <w:spacing w:before="1"/>
        <w:jc w:val="right"/>
        <w:rPr>
          <w:rFonts w:ascii="Calibri"/>
          <w:sz w:val="16"/>
        </w:rPr>
      </w:pPr>
      <w:r>
        <w:rPr>
          <w:rFonts w:ascii="Calibri"/>
          <w:color w:val="77787B"/>
          <w:sz w:val="16"/>
        </w:rPr>
        <w:t>0.5</w:t>
      </w:r>
    </w:p>
    <w:p w:rsidR="00B05397" w:rsidRDefault="00B05397">
      <w:pPr>
        <w:pStyle w:val="BodyText"/>
        <w:spacing w:before="4"/>
        <w:rPr>
          <w:rFonts w:ascii="Calibri"/>
          <w:sz w:val="14"/>
        </w:rPr>
      </w:pPr>
    </w:p>
    <w:p w:rsidR="00B05397" w:rsidRDefault="00856287">
      <w:pPr>
        <w:spacing w:before="1"/>
        <w:jc w:val="right"/>
        <w:rPr>
          <w:rFonts w:ascii="Calibri"/>
          <w:sz w:val="16"/>
        </w:rPr>
      </w:pPr>
      <w:r>
        <w:rPr>
          <w:rFonts w:ascii="Calibri"/>
          <w:color w:val="77787B"/>
          <w:w w:val="101"/>
          <w:sz w:val="16"/>
        </w:rPr>
        <w:t>0</w:t>
      </w:r>
    </w:p>
    <w:p w:rsidR="00B05397" w:rsidRDefault="00856287">
      <w:pPr>
        <w:pStyle w:val="BodyText"/>
        <w:rPr>
          <w:rFonts w:ascii="Calibri"/>
          <w:sz w:val="16"/>
        </w:rPr>
      </w:pPr>
      <w:r>
        <w:br w:type="column"/>
      </w:r>
    </w:p>
    <w:p w:rsidR="00B05397" w:rsidRDefault="00B05397">
      <w:pPr>
        <w:pStyle w:val="BodyText"/>
        <w:spacing w:before="11"/>
        <w:rPr>
          <w:rFonts w:ascii="Calibri"/>
          <w:sz w:val="16"/>
        </w:rPr>
      </w:pPr>
    </w:p>
    <w:p w:rsidR="00B05397" w:rsidRDefault="00856287">
      <w:pPr>
        <w:ind w:right="119"/>
        <w:jc w:val="right"/>
        <w:rPr>
          <w:sz w:val="16"/>
        </w:rPr>
      </w:pPr>
      <w:r>
        <w:rPr>
          <w:color w:val="231F20"/>
          <w:w w:val="95"/>
          <w:sz w:val="16"/>
        </w:rPr>
        <w:t>10</w:t>
      </w:r>
    </w:p>
    <w:p w:rsidR="00B05397" w:rsidRDefault="00B05397">
      <w:pPr>
        <w:pStyle w:val="BodyText"/>
        <w:rPr>
          <w:sz w:val="16"/>
        </w:rPr>
      </w:pPr>
    </w:p>
    <w:p w:rsidR="00B05397" w:rsidRDefault="00B05397">
      <w:pPr>
        <w:pStyle w:val="BodyText"/>
        <w:spacing w:before="2"/>
        <w:rPr>
          <w:sz w:val="22"/>
        </w:rPr>
      </w:pPr>
    </w:p>
    <w:p w:rsidR="00B05397" w:rsidRDefault="00856287">
      <w:pPr>
        <w:tabs>
          <w:tab w:val="left" w:pos="3256"/>
        </w:tabs>
        <w:ind w:left="100"/>
        <w:rPr>
          <w:rFonts w:ascii="Calibri"/>
          <w:sz w:val="16"/>
        </w:rPr>
      </w:pPr>
      <w:r>
        <w:rPr>
          <w:rFonts w:ascii="Calibri"/>
          <w:color w:val="77787B"/>
          <w:sz w:val="16"/>
        </w:rPr>
        <w:t>L1</w:t>
      </w:r>
      <w:r>
        <w:rPr>
          <w:rFonts w:ascii="Calibri"/>
          <w:color w:val="77787B"/>
          <w:spacing w:val="1"/>
          <w:sz w:val="16"/>
        </w:rPr>
        <w:t xml:space="preserve"> </w:t>
      </w:r>
      <w:r>
        <w:rPr>
          <w:rFonts w:ascii="Calibri"/>
          <w:color w:val="77787B"/>
          <w:sz w:val="16"/>
        </w:rPr>
        <w:t>English</w:t>
      </w:r>
      <w:r>
        <w:rPr>
          <w:rFonts w:ascii="Calibri"/>
          <w:color w:val="77787B"/>
          <w:sz w:val="16"/>
        </w:rPr>
        <w:tab/>
        <w:t>L2</w:t>
      </w:r>
      <w:r>
        <w:rPr>
          <w:rFonts w:ascii="Calibri"/>
          <w:color w:val="77787B"/>
          <w:spacing w:val="3"/>
          <w:sz w:val="16"/>
        </w:rPr>
        <w:t xml:space="preserve"> </w:t>
      </w:r>
      <w:r>
        <w:rPr>
          <w:rFonts w:ascii="Calibri"/>
          <w:color w:val="77787B"/>
          <w:sz w:val="16"/>
        </w:rPr>
        <w:t>English</w:t>
      </w:r>
    </w:p>
    <w:p w:rsidR="00B05397" w:rsidRDefault="00B05397">
      <w:pPr>
        <w:rPr>
          <w:rFonts w:ascii="Calibri"/>
          <w:sz w:val="16"/>
        </w:rPr>
        <w:sectPr w:rsidR="00B05397">
          <w:type w:val="continuous"/>
          <w:pgSz w:w="8790" w:h="13040"/>
          <w:pgMar w:top="700" w:right="800" w:bottom="280" w:left="920" w:header="720" w:footer="720" w:gutter="0"/>
          <w:cols w:num="2" w:space="720" w:equalWidth="0">
            <w:col w:w="307" w:space="1181"/>
            <w:col w:w="5582"/>
          </w:cols>
        </w:sectPr>
      </w:pPr>
    </w:p>
    <w:p w:rsidR="00B05397" w:rsidRDefault="00B05397">
      <w:pPr>
        <w:pStyle w:val="BodyText"/>
        <w:spacing w:before="9"/>
        <w:rPr>
          <w:rFonts w:ascii="Calibri"/>
        </w:rPr>
      </w:pPr>
    </w:p>
    <w:p w:rsidR="00B05397" w:rsidRDefault="00856287">
      <w:pPr>
        <w:tabs>
          <w:tab w:val="left" w:pos="613"/>
        </w:tabs>
        <w:spacing w:before="84" w:line="174" w:lineRule="exact"/>
        <w:ind w:right="151"/>
        <w:jc w:val="center"/>
        <w:rPr>
          <w:rFonts w:ascii="Calibri"/>
          <w:sz w:val="16"/>
        </w:rPr>
      </w:pPr>
      <w:r>
        <w:pict>
          <v:line id="_x0000_s1051" style="position:absolute;left:0;text-align:left;z-index:1240;mso-position-horizontal-relative:page" from="187.45pt,6.45pt" to="187.45pt,11.3pt" strokecolor="#5698d2" strokeweight="1.71764mm">
            <w10:wrap anchorx="page"/>
          </v:line>
        </w:pict>
      </w:r>
      <w:r>
        <w:pict>
          <v:line id="_x0000_s1050" style="position:absolute;left:0;text-align:left;z-index:-61216;mso-position-horizontal-relative:page" from="218.1pt,6.45pt" to="218.1pt,11.3pt" strokecolor="#f0813d" strokeweight="1.69722mm">
            <w10:wrap anchorx="page"/>
          </v:line>
        </w:pict>
      </w:r>
      <w:r>
        <w:rPr>
          <w:rFonts w:ascii="Calibri"/>
          <w:color w:val="77787B"/>
          <w:sz w:val="16"/>
        </w:rPr>
        <w:t>MAY</w:t>
      </w:r>
      <w:r>
        <w:rPr>
          <w:rFonts w:ascii="Calibri"/>
          <w:color w:val="77787B"/>
          <w:sz w:val="16"/>
        </w:rPr>
        <w:tab/>
        <w:t>MIGHT</w:t>
      </w:r>
    </w:p>
    <w:p w:rsidR="00B05397" w:rsidRDefault="00856287">
      <w:pPr>
        <w:spacing w:line="162" w:lineRule="exact"/>
        <w:ind w:right="135"/>
        <w:jc w:val="right"/>
        <w:rPr>
          <w:sz w:val="16"/>
        </w:rPr>
      </w:pPr>
      <w:r>
        <w:rPr>
          <w:color w:val="231F20"/>
          <w:w w:val="85"/>
          <w:sz w:val="16"/>
        </w:rPr>
        <w:t>15</w:t>
      </w:r>
    </w:p>
    <w:p w:rsidR="00B05397" w:rsidRDefault="00856287">
      <w:pPr>
        <w:spacing w:before="60"/>
        <w:ind w:left="100" w:right="135"/>
        <w:rPr>
          <w:rFonts w:ascii="Tahoma"/>
          <w:sz w:val="16"/>
        </w:rPr>
      </w:pPr>
      <w:r>
        <w:rPr>
          <w:rFonts w:ascii="Trebuchet MS"/>
          <w:color w:val="231F20"/>
          <w:sz w:val="16"/>
        </w:rPr>
        <w:t xml:space="preserve">Figure 1: </w:t>
      </w:r>
      <w:r>
        <w:rPr>
          <w:rFonts w:ascii="Tahoma"/>
          <w:color w:val="231F20"/>
          <w:sz w:val="16"/>
        </w:rPr>
        <w:t>Mean raw scores for possibility of occurrence.</w:t>
      </w:r>
    </w:p>
    <w:p w:rsidR="00B05397" w:rsidRDefault="00B05397">
      <w:pPr>
        <w:pStyle w:val="BodyText"/>
        <w:spacing w:before="5"/>
        <w:rPr>
          <w:rFonts w:ascii="Tahoma"/>
          <w:sz w:val="26"/>
        </w:rPr>
      </w:pPr>
    </w:p>
    <w:p w:rsidR="00B05397" w:rsidRDefault="00B05397">
      <w:pPr>
        <w:rPr>
          <w:rFonts w:ascii="Tahoma"/>
          <w:sz w:val="26"/>
        </w:rPr>
        <w:sectPr w:rsidR="00B05397">
          <w:type w:val="continuous"/>
          <w:pgSz w:w="8790" w:h="13040"/>
          <w:pgMar w:top="700" w:right="800" w:bottom="280" w:left="920" w:header="720" w:footer="720" w:gutter="0"/>
          <w:cols w:space="720"/>
        </w:sectPr>
      </w:pPr>
    </w:p>
    <w:p w:rsidR="00B05397" w:rsidRDefault="00B05397">
      <w:pPr>
        <w:pStyle w:val="BodyText"/>
        <w:rPr>
          <w:rFonts w:ascii="Tahoma"/>
          <w:sz w:val="16"/>
        </w:rPr>
      </w:pPr>
    </w:p>
    <w:p w:rsidR="00B05397" w:rsidRDefault="00856287">
      <w:pPr>
        <w:spacing w:before="117"/>
        <w:jc w:val="right"/>
        <w:rPr>
          <w:rFonts w:ascii="Calibri"/>
          <w:sz w:val="16"/>
        </w:rPr>
      </w:pPr>
      <w:r>
        <w:rPr>
          <w:rFonts w:ascii="Calibri"/>
          <w:color w:val="77787B"/>
          <w:sz w:val="16"/>
        </w:rPr>
        <w:t>3.5</w:t>
      </w:r>
    </w:p>
    <w:p w:rsidR="00B05397" w:rsidRDefault="00B05397">
      <w:pPr>
        <w:pStyle w:val="BodyText"/>
        <w:spacing w:before="5"/>
        <w:rPr>
          <w:rFonts w:ascii="Calibri"/>
          <w:sz w:val="14"/>
        </w:rPr>
      </w:pPr>
    </w:p>
    <w:p w:rsidR="00B05397" w:rsidRDefault="00856287">
      <w:pPr>
        <w:jc w:val="right"/>
        <w:rPr>
          <w:rFonts w:ascii="Calibri"/>
          <w:sz w:val="16"/>
        </w:rPr>
      </w:pPr>
      <w:r>
        <w:rPr>
          <w:rFonts w:ascii="Calibri"/>
          <w:color w:val="77787B"/>
          <w:w w:val="101"/>
          <w:sz w:val="16"/>
        </w:rPr>
        <w:t>3</w:t>
      </w:r>
    </w:p>
    <w:p w:rsidR="00B05397" w:rsidRDefault="00856287">
      <w:pPr>
        <w:spacing w:before="83"/>
        <w:ind w:left="100"/>
        <w:rPr>
          <w:rFonts w:ascii="Calibri"/>
          <w:sz w:val="16"/>
        </w:rPr>
      </w:pPr>
      <w:r>
        <w:br w:type="column"/>
      </w:r>
      <w:r>
        <w:rPr>
          <w:rFonts w:ascii="Calibri"/>
          <w:color w:val="77787B"/>
          <w:sz w:val="16"/>
        </w:rPr>
        <w:t>Estimated Witness Certainty</w:t>
      </w:r>
    </w:p>
    <w:p w:rsidR="00B05397" w:rsidRDefault="00B05397">
      <w:pPr>
        <w:pStyle w:val="BodyText"/>
        <w:spacing w:before="2"/>
        <w:rPr>
          <w:rFonts w:ascii="Calibri"/>
          <w:sz w:val="21"/>
        </w:rPr>
      </w:pPr>
    </w:p>
    <w:p w:rsidR="00B05397" w:rsidRDefault="00856287">
      <w:pPr>
        <w:ind w:right="114"/>
        <w:jc w:val="right"/>
        <w:rPr>
          <w:sz w:val="16"/>
        </w:rPr>
      </w:pPr>
      <w:r>
        <w:pict>
          <v:line id="_x0000_s1049" style="position:absolute;left:0;text-align:left;z-index:1312;mso-position-horizontal-relative:page" from="64.2pt,-6.3pt" to="379.85pt,-6.3pt" strokecolor="#dcddde" strokeweight=".24836mm">
            <w10:wrap anchorx="page"/>
          </v:line>
        </w:pict>
      </w:r>
      <w:r>
        <w:rPr>
          <w:color w:val="231F20"/>
          <w:sz w:val="16"/>
        </w:rPr>
        <w:t>20</w:t>
      </w:r>
    </w:p>
    <w:p w:rsidR="00B05397" w:rsidRDefault="00B05397">
      <w:pPr>
        <w:jc w:val="right"/>
        <w:rPr>
          <w:sz w:val="16"/>
        </w:rPr>
        <w:sectPr w:rsidR="00B05397">
          <w:type w:val="continuous"/>
          <w:pgSz w:w="8790" w:h="13040"/>
          <w:pgMar w:top="700" w:right="800" w:bottom="280" w:left="920" w:header="720" w:footer="720" w:gutter="0"/>
          <w:cols w:num="2" w:space="720" w:equalWidth="0">
            <w:col w:w="307" w:space="2173"/>
            <w:col w:w="4590"/>
          </w:cols>
        </w:sectPr>
      </w:pPr>
    </w:p>
    <w:p w:rsidR="00B05397" w:rsidRDefault="00B05397">
      <w:pPr>
        <w:pStyle w:val="BodyText"/>
        <w:spacing w:before="3"/>
        <w:rPr>
          <w:sz w:val="15"/>
        </w:rPr>
      </w:pPr>
    </w:p>
    <w:p w:rsidR="00B05397" w:rsidRDefault="00856287">
      <w:pPr>
        <w:ind w:left="100" w:right="135"/>
        <w:rPr>
          <w:rFonts w:ascii="Calibri"/>
          <w:sz w:val="16"/>
        </w:rPr>
      </w:pPr>
      <w:r>
        <w:pict>
          <v:group id="_x0000_s1031" style="position:absolute;left:0;text-align:left;margin-left:63.8pt;margin-top:-13.9pt;width:316.4pt;height:112.15pt;z-index:-61192;mso-position-horizontal-relative:page" coordorigin="1276,-278" coordsize="6328,2243">
            <v:shape id="_x0000_s1048" style="position:absolute;left:2382;top:6328;width:3931;height:2" coordorigin="2382,6328" coordsize="3931,0" o:spt="100" adj="0,,0" path="m6821,1586r776,m5922,1586r192,m3666,1586r1549,e" filled="f" strokecolor="#dcddde" strokeweight=".24836mm">
              <v:stroke joinstyle="round"/>
              <v:formulas/>
              <v:path arrowok="t" o:connecttype="segments"/>
            </v:shape>
            <v:shape id="_x0000_s1047" style="position:absolute;left:2382;top:6328;width:2448;height:2" coordorigin="2382,6328" coordsize="2448,0" o:spt="100" adj="0,,0" path="m5922,1215r192,m3666,1215r1549,e" filled="f" strokecolor="#dcddde" strokeweight=".24836mm">
              <v:stroke joinstyle="round"/>
              <v:formulas/>
              <v:path arrowok="t" o:connecttype="segments"/>
            </v:shape>
            <v:shape id="_x0000_s1046" style="position:absolute;left:2382;top:6328;width:3931;height:2" coordorigin="2382,6328" coordsize="3931,0" o:spt="100" adj="0,,0" path="m5922,843r1675,m3666,843r1549,e" filled="f" strokecolor="#dcddde" strokeweight=".24836mm">
              <v:stroke joinstyle="round"/>
              <v:formulas/>
              <v:path arrowok="t" o:connecttype="segments"/>
            </v:shape>
            <v:shape id="_x0000_s1045" style="position:absolute;left:2382;top:6328;width:3931;height:2" coordorigin="2382,6328" coordsize="3931,0" o:spt="100" adj="0,,0" path="m5922,473r1675,m3666,473r1549,e" filled="f" strokecolor="#dcddde" strokeweight=".24836mm">
              <v:stroke joinstyle="round"/>
              <v:formulas/>
              <v:path arrowok="t" o:connecttype="segments"/>
            </v:shape>
            <v:line id="_x0000_s1044" style="position:absolute" from="3666,102" to="7597,102" strokecolor="#dcddde" strokeweight=".24836mm"/>
            <v:rect id="_x0000_s1043" style="position:absolute;left:5215;top:80;width:708;height:1877" fillcolor="#5698d2" stroked="f"/>
            <v:shape id="_x0000_s1042" style="position:absolute;top:6328;width:1675;height:2" coordorigin=",6328" coordsize="1675,0" o:spt="100" adj="0,,0" path="m2767,1586r191,m1284,1586r776,e" filled="f" strokecolor="#dcddde" strokeweight=".24836mm">
              <v:stroke joinstyle="round"/>
              <v:formulas/>
              <v:path arrowok="t" o:connecttype="segments"/>
            </v:shape>
            <v:shape id="_x0000_s1041" style="position:absolute;top:6328;width:1675;height:2" coordorigin=",6328" coordsize="1675,0" o:spt="100" adj="0,,0" path="m2767,1215r191,m1284,1215r776,e" filled="f" strokecolor="#dcddde" strokeweight=".24836mm">
              <v:stroke joinstyle="round"/>
              <v:formulas/>
              <v:path arrowok="t" o:connecttype="segments"/>
            </v:shape>
            <v:shape id="_x0000_s1040" style="position:absolute;top:6328;width:1675;height:2" coordorigin=",6328" coordsize="1675,0" o:spt="100" adj="0,,0" path="m2767,843r191,m1284,843r776,e" filled="f" strokecolor="#dcddde" strokeweight=".24836mm">
              <v:stroke joinstyle="round"/>
              <v:formulas/>
              <v:path arrowok="t" o:connecttype="segments"/>
            </v:shape>
            <v:shape id="_x0000_s1039" style="position:absolute;top:6328;width:1675;height:2" coordorigin=",6328" coordsize="1675,0" o:spt="100" adj="0,,0" path="m2767,473r191,m1284,473r776,e" filled="f" strokecolor="#dcddde" strokeweight=".24836mm">
              <v:stroke joinstyle="round"/>
              <v:formulas/>
              <v:path arrowok="t" o:connecttype="segments"/>
            </v:shape>
            <v:shape id="_x0000_s1038" style="position:absolute;top:6328;width:1675;height:2" coordorigin=",6328" coordsize="1675,0" o:spt="100" adj="0,,0" path="m2767,102r191,m1284,102r776,e" filled="f" strokecolor="#dcddde" strokeweight=".24836mm">
              <v:stroke joinstyle="round"/>
              <v:formulas/>
              <v:path arrowok="t" o:connecttype="segments"/>
            </v:shape>
            <v:rect id="_x0000_s1037" style="position:absolute;left:2060;top:-17;width:708;height:1974" fillcolor="#5698d2" stroked="f"/>
            <v:line id="_x0000_s1036" style="position:absolute" from="1284,-270" to="7597,-270" strokecolor="#dcddde" strokeweight=".24836mm"/>
            <v:rect id="_x0000_s1035" style="position:absolute;left:2958;top:-217;width:708;height:2174" fillcolor="#f0813d" stroked="f"/>
            <v:line id="_x0000_s1034" style="position:absolute" from="6821,1215" to="7597,1215" strokecolor="#dcddde" strokeweight=".24836mm"/>
            <v:rect id="_x0000_s1033" style="position:absolute;left:6114;top:919;width:708;height:1038" fillcolor="#f0813d" stroked="f"/>
            <v:line id="_x0000_s1032" style="position:absolute" from="1284,1957" to="7597,1957" strokecolor="#dcddde" strokeweight=".24836mm"/>
            <w10:wrap anchorx="page"/>
          </v:group>
        </w:pict>
      </w:r>
      <w:r>
        <w:rPr>
          <w:rFonts w:ascii="Calibri"/>
          <w:color w:val="77787B"/>
          <w:sz w:val="16"/>
        </w:rPr>
        <w:t>2.5</w:t>
      </w:r>
    </w:p>
    <w:p w:rsidR="00B05397" w:rsidRDefault="00B05397">
      <w:pPr>
        <w:pStyle w:val="BodyText"/>
        <w:spacing w:before="5"/>
        <w:rPr>
          <w:rFonts w:ascii="Calibri"/>
          <w:sz w:val="14"/>
        </w:rPr>
      </w:pPr>
    </w:p>
    <w:p w:rsidR="00B05397" w:rsidRDefault="00856287">
      <w:pPr>
        <w:ind w:left="224"/>
        <w:rPr>
          <w:rFonts w:ascii="Calibri"/>
          <w:sz w:val="16"/>
        </w:rPr>
      </w:pPr>
      <w:r>
        <w:rPr>
          <w:rFonts w:ascii="Calibri"/>
          <w:color w:val="77787B"/>
          <w:w w:val="101"/>
          <w:sz w:val="16"/>
        </w:rPr>
        <w:t>2</w:t>
      </w:r>
    </w:p>
    <w:p w:rsidR="00B05397" w:rsidRDefault="00856287">
      <w:pPr>
        <w:tabs>
          <w:tab w:val="left" w:pos="6790"/>
        </w:tabs>
        <w:spacing w:before="176"/>
        <w:ind w:left="100"/>
        <w:rPr>
          <w:sz w:val="16"/>
        </w:rPr>
      </w:pPr>
      <w:r>
        <w:rPr>
          <w:rFonts w:ascii="Calibri"/>
          <w:color w:val="77787B"/>
          <w:sz w:val="16"/>
        </w:rPr>
        <w:t>1.5</w:t>
      </w:r>
      <w:r>
        <w:rPr>
          <w:rFonts w:ascii="Calibri"/>
          <w:color w:val="77787B"/>
          <w:sz w:val="16"/>
        </w:rPr>
        <w:tab/>
      </w:r>
      <w:r>
        <w:rPr>
          <w:color w:val="231F20"/>
          <w:position w:val="-2"/>
          <w:sz w:val="16"/>
        </w:rPr>
        <w:t>25</w:t>
      </w:r>
    </w:p>
    <w:p w:rsidR="00B05397" w:rsidRDefault="00B05397">
      <w:pPr>
        <w:pStyle w:val="BodyText"/>
        <w:spacing w:before="4"/>
        <w:rPr>
          <w:sz w:val="13"/>
        </w:rPr>
      </w:pPr>
    </w:p>
    <w:p w:rsidR="00B05397" w:rsidRDefault="00856287">
      <w:pPr>
        <w:ind w:left="224"/>
        <w:rPr>
          <w:rFonts w:ascii="Calibri"/>
          <w:sz w:val="16"/>
        </w:rPr>
      </w:pPr>
      <w:r>
        <w:rPr>
          <w:rFonts w:ascii="Calibri"/>
          <w:color w:val="77787B"/>
          <w:w w:val="101"/>
          <w:sz w:val="16"/>
        </w:rPr>
        <w:t>1</w:t>
      </w:r>
    </w:p>
    <w:p w:rsidR="00B05397" w:rsidRDefault="00B05397">
      <w:pPr>
        <w:rPr>
          <w:rFonts w:ascii="Calibri"/>
          <w:sz w:val="16"/>
        </w:rPr>
        <w:sectPr w:rsidR="00B05397">
          <w:type w:val="continuous"/>
          <w:pgSz w:w="8790" w:h="13040"/>
          <w:pgMar w:top="700" w:right="800" w:bottom="280" w:left="920" w:header="720" w:footer="720" w:gutter="0"/>
          <w:cols w:space="720"/>
        </w:sectPr>
      </w:pPr>
    </w:p>
    <w:p w:rsidR="00B05397" w:rsidRDefault="00B05397">
      <w:pPr>
        <w:pStyle w:val="BodyText"/>
        <w:spacing w:before="4"/>
        <w:rPr>
          <w:rFonts w:ascii="Calibri"/>
          <w:sz w:val="14"/>
        </w:rPr>
      </w:pPr>
    </w:p>
    <w:p w:rsidR="00B05397" w:rsidRDefault="00856287">
      <w:pPr>
        <w:spacing w:before="1"/>
        <w:jc w:val="right"/>
        <w:rPr>
          <w:rFonts w:ascii="Calibri"/>
          <w:sz w:val="16"/>
        </w:rPr>
      </w:pPr>
      <w:r>
        <w:rPr>
          <w:rFonts w:ascii="Calibri"/>
          <w:color w:val="77787B"/>
          <w:sz w:val="16"/>
        </w:rPr>
        <w:t>0.5</w:t>
      </w:r>
    </w:p>
    <w:p w:rsidR="00B05397" w:rsidRDefault="00B05397">
      <w:pPr>
        <w:pStyle w:val="BodyText"/>
        <w:spacing w:before="5"/>
        <w:rPr>
          <w:rFonts w:ascii="Calibri"/>
          <w:sz w:val="14"/>
        </w:rPr>
      </w:pPr>
    </w:p>
    <w:p w:rsidR="00B05397" w:rsidRDefault="00856287">
      <w:pPr>
        <w:jc w:val="right"/>
        <w:rPr>
          <w:rFonts w:ascii="Calibri"/>
          <w:sz w:val="16"/>
        </w:rPr>
      </w:pPr>
      <w:r>
        <w:rPr>
          <w:rFonts w:ascii="Calibri"/>
          <w:color w:val="77787B"/>
          <w:w w:val="101"/>
          <w:sz w:val="16"/>
        </w:rPr>
        <w:t>0</w:t>
      </w:r>
    </w:p>
    <w:p w:rsidR="00B05397" w:rsidRDefault="00856287">
      <w:pPr>
        <w:pStyle w:val="BodyText"/>
        <w:rPr>
          <w:rFonts w:ascii="Calibri"/>
          <w:sz w:val="16"/>
        </w:rPr>
      </w:pPr>
      <w:r>
        <w:br w:type="column"/>
      </w:r>
    </w:p>
    <w:p w:rsidR="00B05397" w:rsidRDefault="00B05397">
      <w:pPr>
        <w:pStyle w:val="BodyText"/>
        <w:rPr>
          <w:rFonts w:ascii="Calibri"/>
          <w:sz w:val="16"/>
        </w:rPr>
      </w:pPr>
    </w:p>
    <w:p w:rsidR="00B05397" w:rsidRDefault="00B05397">
      <w:pPr>
        <w:pStyle w:val="BodyText"/>
        <w:spacing w:before="6"/>
        <w:rPr>
          <w:rFonts w:ascii="Calibri"/>
          <w:sz w:val="21"/>
        </w:rPr>
      </w:pPr>
    </w:p>
    <w:p w:rsidR="00B05397" w:rsidRDefault="00856287">
      <w:pPr>
        <w:tabs>
          <w:tab w:val="left" w:pos="3075"/>
        </w:tabs>
        <w:spacing w:line="154" w:lineRule="exact"/>
        <w:ind w:right="1652"/>
        <w:jc w:val="center"/>
        <w:rPr>
          <w:rFonts w:ascii="Calibri"/>
          <w:sz w:val="16"/>
        </w:rPr>
      </w:pPr>
      <w:r>
        <w:rPr>
          <w:rFonts w:ascii="Calibri"/>
          <w:color w:val="77787B"/>
          <w:sz w:val="16"/>
        </w:rPr>
        <w:t>MAY</w:t>
      </w:r>
      <w:r>
        <w:rPr>
          <w:rFonts w:ascii="Calibri"/>
          <w:color w:val="77787B"/>
          <w:sz w:val="16"/>
        </w:rPr>
        <w:tab/>
        <w:t>MIGHT</w:t>
      </w:r>
    </w:p>
    <w:p w:rsidR="00B05397" w:rsidRDefault="00856287">
      <w:pPr>
        <w:spacing w:line="142" w:lineRule="exact"/>
        <w:ind w:right="107"/>
        <w:jc w:val="right"/>
        <w:rPr>
          <w:sz w:val="16"/>
        </w:rPr>
      </w:pPr>
      <w:r>
        <w:rPr>
          <w:color w:val="231F20"/>
          <w:sz w:val="16"/>
        </w:rPr>
        <w:t>30</w:t>
      </w:r>
    </w:p>
    <w:p w:rsidR="00B05397" w:rsidRDefault="00856287">
      <w:pPr>
        <w:tabs>
          <w:tab w:val="left" w:pos="1064"/>
        </w:tabs>
        <w:spacing w:before="95"/>
        <w:ind w:right="1805"/>
        <w:jc w:val="center"/>
        <w:rPr>
          <w:rFonts w:ascii="Calibri"/>
          <w:sz w:val="16"/>
        </w:rPr>
      </w:pPr>
      <w:r>
        <w:pict>
          <v:line id="_x0000_s1030" style="position:absolute;left:0;text-align:left;z-index:1336;mso-position-horizontal-relative:page" from="170.05pt,7.35pt" to="170.05pt,12.2pt" strokecolor="#5698d2" strokeweight="1.69722mm">
            <w10:wrap anchorx="page"/>
          </v:line>
        </w:pict>
      </w:r>
      <w:r>
        <w:pict>
          <v:line id="_x0000_s1029" style="position:absolute;left:0;text-align:left;z-index:-61120;mso-position-horizontal-relative:page" from="223.25pt,7.35pt" to="223.25pt,12.2pt" strokecolor="#f0813d" strokeweight="1.69722mm">
            <w10:wrap anchorx="page"/>
          </v:line>
        </w:pict>
      </w:r>
      <w:r>
        <w:rPr>
          <w:rFonts w:ascii="Calibri"/>
          <w:color w:val="77787B"/>
          <w:sz w:val="16"/>
        </w:rPr>
        <w:t>L1</w:t>
      </w:r>
      <w:r>
        <w:rPr>
          <w:rFonts w:ascii="Calibri"/>
          <w:color w:val="77787B"/>
          <w:spacing w:val="1"/>
          <w:sz w:val="16"/>
        </w:rPr>
        <w:t xml:space="preserve"> </w:t>
      </w:r>
      <w:r>
        <w:rPr>
          <w:rFonts w:ascii="Calibri"/>
          <w:color w:val="77787B"/>
          <w:sz w:val="16"/>
        </w:rPr>
        <w:t>English</w:t>
      </w:r>
      <w:r>
        <w:rPr>
          <w:rFonts w:ascii="Calibri"/>
          <w:color w:val="77787B"/>
          <w:sz w:val="16"/>
        </w:rPr>
        <w:tab/>
        <w:t>L2</w:t>
      </w:r>
      <w:r>
        <w:rPr>
          <w:rFonts w:ascii="Calibri"/>
          <w:color w:val="77787B"/>
          <w:spacing w:val="5"/>
          <w:sz w:val="16"/>
        </w:rPr>
        <w:t xml:space="preserve"> </w:t>
      </w:r>
      <w:r>
        <w:rPr>
          <w:rFonts w:ascii="Calibri"/>
          <w:color w:val="77787B"/>
          <w:sz w:val="16"/>
        </w:rPr>
        <w:t>English</w:t>
      </w:r>
    </w:p>
    <w:p w:rsidR="00B05397" w:rsidRDefault="00B05397">
      <w:pPr>
        <w:jc w:val="center"/>
        <w:rPr>
          <w:rFonts w:ascii="Calibri"/>
          <w:sz w:val="16"/>
        </w:rPr>
        <w:sectPr w:rsidR="00B05397">
          <w:type w:val="continuous"/>
          <w:pgSz w:w="8790" w:h="13040"/>
          <w:pgMar w:top="700" w:right="800" w:bottom="280" w:left="920" w:header="720" w:footer="720" w:gutter="0"/>
          <w:cols w:num="2" w:space="720" w:equalWidth="0">
            <w:col w:w="307" w:space="1366"/>
            <w:col w:w="5397"/>
          </w:cols>
        </w:sectPr>
      </w:pPr>
    </w:p>
    <w:p w:rsidR="00B05397" w:rsidRDefault="00B05397">
      <w:pPr>
        <w:pStyle w:val="BodyText"/>
        <w:spacing w:before="10"/>
        <w:rPr>
          <w:rFonts w:ascii="Calibri"/>
          <w:sz w:val="11"/>
        </w:rPr>
      </w:pPr>
    </w:p>
    <w:p w:rsidR="00B05397" w:rsidRDefault="00856287">
      <w:pPr>
        <w:spacing w:before="70"/>
        <w:ind w:left="100" w:right="135"/>
        <w:rPr>
          <w:rFonts w:ascii="Tahoma"/>
          <w:sz w:val="16"/>
        </w:rPr>
      </w:pPr>
      <w:r>
        <w:rPr>
          <w:rFonts w:ascii="Trebuchet MS"/>
          <w:color w:val="231F20"/>
          <w:sz w:val="16"/>
        </w:rPr>
        <w:t xml:space="preserve">Figure 2: </w:t>
      </w:r>
      <w:r>
        <w:rPr>
          <w:rFonts w:ascii="Tahoma"/>
          <w:color w:val="231F20"/>
          <w:sz w:val="16"/>
        </w:rPr>
        <w:t>Mean raw scores for estimated witness certainty scale.</w:t>
      </w:r>
    </w:p>
    <w:p w:rsidR="00B05397" w:rsidRDefault="00B05397">
      <w:pPr>
        <w:pStyle w:val="BodyText"/>
        <w:spacing w:before="1"/>
        <w:rPr>
          <w:rFonts w:ascii="Tahoma"/>
          <w:sz w:val="24"/>
        </w:rPr>
      </w:pPr>
    </w:p>
    <w:p w:rsidR="00B05397" w:rsidRDefault="00856287">
      <w:pPr>
        <w:pStyle w:val="BodyText"/>
        <w:spacing w:before="71"/>
        <w:ind w:left="100"/>
        <w:jc w:val="both"/>
        <w:rPr>
          <w:sz w:val="16"/>
        </w:rPr>
      </w:pPr>
      <w:r>
        <w:rPr>
          <w:color w:val="231F20"/>
          <w:w w:val="105"/>
          <w:position w:val="2"/>
        </w:rPr>
        <w:t xml:space="preserve">addition to this main finding, we also discovered that there was another clear  </w:t>
      </w:r>
      <w:r>
        <w:rPr>
          <w:color w:val="231F20"/>
          <w:w w:val="105"/>
          <w:sz w:val="16"/>
        </w:rPr>
        <w:t>35</w:t>
      </w:r>
    </w:p>
    <w:p w:rsidR="00B05397" w:rsidRDefault="00856287">
      <w:pPr>
        <w:pStyle w:val="BodyText"/>
        <w:spacing w:before="30" w:line="280" w:lineRule="auto"/>
        <w:ind w:left="100" w:right="388"/>
        <w:jc w:val="both"/>
      </w:pPr>
      <w:r>
        <w:rPr>
          <w:color w:val="231F20"/>
          <w:w w:val="110"/>
        </w:rPr>
        <w:t>and</w:t>
      </w:r>
      <w:r>
        <w:rPr>
          <w:color w:val="231F20"/>
          <w:spacing w:val="-14"/>
          <w:w w:val="110"/>
        </w:rPr>
        <w:t xml:space="preserve"> </w:t>
      </w:r>
      <w:r>
        <w:rPr>
          <w:color w:val="231F20"/>
          <w:w w:val="110"/>
        </w:rPr>
        <w:t>significant</w:t>
      </w:r>
      <w:r>
        <w:rPr>
          <w:color w:val="231F20"/>
          <w:spacing w:val="-14"/>
          <w:w w:val="110"/>
        </w:rPr>
        <w:t xml:space="preserve"> </w:t>
      </w:r>
      <w:r>
        <w:rPr>
          <w:color w:val="231F20"/>
          <w:w w:val="110"/>
        </w:rPr>
        <w:t>distinction</w:t>
      </w:r>
      <w:r>
        <w:rPr>
          <w:color w:val="231F20"/>
          <w:spacing w:val="-14"/>
          <w:w w:val="110"/>
        </w:rPr>
        <w:t xml:space="preserve"> </w:t>
      </w:r>
      <w:r>
        <w:rPr>
          <w:color w:val="231F20"/>
          <w:w w:val="110"/>
        </w:rPr>
        <w:t>in</w:t>
      </w:r>
      <w:r>
        <w:rPr>
          <w:color w:val="231F20"/>
          <w:spacing w:val="-14"/>
          <w:w w:val="110"/>
        </w:rPr>
        <w:t xml:space="preserve"> </w:t>
      </w:r>
      <w:r>
        <w:rPr>
          <w:color w:val="231F20"/>
          <w:w w:val="110"/>
        </w:rPr>
        <w:t>the</w:t>
      </w:r>
      <w:r>
        <w:rPr>
          <w:color w:val="231F20"/>
          <w:spacing w:val="-15"/>
          <w:w w:val="110"/>
        </w:rPr>
        <w:t xml:space="preserve"> </w:t>
      </w:r>
      <w:r>
        <w:rPr>
          <w:color w:val="231F20"/>
          <w:w w:val="110"/>
        </w:rPr>
        <w:t>possibility</w:t>
      </w:r>
      <w:r>
        <w:rPr>
          <w:color w:val="231F20"/>
          <w:spacing w:val="-14"/>
          <w:w w:val="110"/>
        </w:rPr>
        <w:t xml:space="preserve"> </w:t>
      </w:r>
      <w:r>
        <w:rPr>
          <w:color w:val="231F20"/>
          <w:w w:val="110"/>
        </w:rPr>
        <w:t>rating</w:t>
      </w:r>
      <w:r>
        <w:rPr>
          <w:color w:val="231F20"/>
          <w:spacing w:val="-14"/>
          <w:w w:val="110"/>
        </w:rPr>
        <w:t xml:space="preserve"> </w:t>
      </w:r>
      <w:r>
        <w:rPr>
          <w:color w:val="231F20"/>
          <w:w w:val="110"/>
        </w:rPr>
        <w:t>between</w:t>
      </w:r>
      <w:r>
        <w:rPr>
          <w:color w:val="231F20"/>
          <w:spacing w:val="-14"/>
          <w:w w:val="110"/>
        </w:rPr>
        <w:t xml:space="preserve"> </w:t>
      </w:r>
      <w:r>
        <w:rPr>
          <w:color w:val="231F20"/>
          <w:w w:val="110"/>
        </w:rPr>
        <w:t>the</w:t>
      </w:r>
      <w:r>
        <w:rPr>
          <w:color w:val="231F20"/>
          <w:spacing w:val="-14"/>
          <w:w w:val="110"/>
        </w:rPr>
        <w:t xml:space="preserve"> </w:t>
      </w:r>
      <w:r>
        <w:rPr>
          <w:color w:val="231F20"/>
          <w:w w:val="110"/>
        </w:rPr>
        <w:t>two</w:t>
      </w:r>
      <w:r>
        <w:rPr>
          <w:color w:val="231F20"/>
          <w:spacing w:val="-14"/>
          <w:w w:val="110"/>
        </w:rPr>
        <w:t xml:space="preserve"> </w:t>
      </w:r>
      <w:r>
        <w:rPr>
          <w:color w:val="231F20"/>
          <w:w w:val="110"/>
        </w:rPr>
        <w:t>control</w:t>
      </w:r>
      <w:r>
        <w:rPr>
          <w:color w:val="231F20"/>
          <w:spacing w:val="-14"/>
          <w:w w:val="110"/>
        </w:rPr>
        <w:t xml:space="preserve"> </w:t>
      </w:r>
      <w:r>
        <w:rPr>
          <w:color w:val="231F20"/>
          <w:w w:val="110"/>
        </w:rPr>
        <w:t xml:space="preserve">items in our stimuli </w:t>
      </w:r>
      <w:r>
        <w:rPr>
          <w:rFonts w:ascii="Cambria"/>
          <w:i/>
          <w:color w:val="231F20"/>
          <w:w w:val="110"/>
        </w:rPr>
        <w:t xml:space="preserve">will have been </w:t>
      </w:r>
      <w:r>
        <w:rPr>
          <w:color w:val="231F20"/>
          <w:w w:val="110"/>
        </w:rPr>
        <w:t xml:space="preserve">and </w:t>
      </w:r>
      <w:r>
        <w:rPr>
          <w:rFonts w:ascii="Cambria"/>
          <w:i/>
          <w:color w:val="231F20"/>
          <w:w w:val="110"/>
        </w:rPr>
        <w:t>must have collided</w:t>
      </w:r>
      <w:r>
        <w:rPr>
          <w:color w:val="231F20"/>
          <w:w w:val="110"/>
        </w:rPr>
        <w:t>, independent of L1 (And with no significant difference in ratings between the groups). Both our</w:t>
      </w:r>
      <w:r>
        <w:rPr>
          <w:color w:val="231F20"/>
          <w:spacing w:val="-8"/>
          <w:w w:val="110"/>
        </w:rPr>
        <w:t xml:space="preserve"> </w:t>
      </w:r>
      <w:r>
        <w:rPr>
          <w:color w:val="231F20"/>
          <w:w w:val="110"/>
        </w:rPr>
        <w:t>speaker groups</w:t>
      </w:r>
      <w:r>
        <w:rPr>
          <w:color w:val="231F20"/>
          <w:spacing w:val="-10"/>
          <w:w w:val="110"/>
        </w:rPr>
        <w:t xml:space="preserve"> </w:t>
      </w:r>
      <w:r>
        <w:rPr>
          <w:color w:val="231F20"/>
          <w:w w:val="110"/>
        </w:rPr>
        <w:t>rated</w:t>
      </w:r>
      <w:r>
        <w:rPr>
          <w:color w:val="231F20"/>
          <w:spacing w:val="-11"/>
          <w:w w:val="110"/>
        </w:rPr>
        <w:t xml:space="preserve"> </w:t>
      </w:r>
      <w:r>
        <w:rPr>
          <w:color w:val="231F20"/>
          <w:w w:val="110"/>
        </w:rPr>
        <w:t>expressions</w:t>
      </w:r>
      <w:r>
        <w:rPr>
          <w:color w:val="231F20"/>
          <w:spacing w:val="-10"/>
          <w:w w:val="110"/>
        </w:rPr>
        <w:t xml:space="preserve"> </w:t>
      </w:r>
      <w:r>
        <w:rPr>
          <w:color w:val="231F20"/>
          <w:w w:val="110"/>
        </w:rPr>
        <w:t>with</w:t>
      </w:r>
      <w:r>
        <w:rPr>
          <w:color w:val="231F20"/>
          <w:spacing w:val="-10"/>
          <w:w w:val="110"/>
        </w:rPr>
        <w:t xml:space="preserve"> </w:t>
      </w:r>
      <w:r>
        <w:rPr>
          <w:color w:val="231F20"/>
          <w:w w:val="110"/>
        </w:rPr>
        <w:t>w</w:t>
      </w:r>
      <w:r>
        <w:rPr>
          <w:rFonts w:ascii="Cambria"/>
          <w:i/>
          <w:color w:val="231F20"/>
          <w:w w:val="110"/>
        </w:rPr>
        <w:t>ill</w:t>
      </w:r>
      <w:r>
        <w:rPr>
          <w:rFonts w:ascii="Cambria"/>
          <w:i/>
          <w:color w:val="231F20"/>
          <w:spacing w:val="-4"/>
          <w:w w:val="110"/>
        </w:rPr>
        <w:t xml:space="preserve"> </w:t>
      </w:r>
      <w:r>
        <w:rPr>
          <w:color w:val="231F20"/>
          <w:w w:val="110"/>
        </w:rPr>
        <w:t>and</w:t>
      </w:r>
      <w:r>
        <w:rPr>
          <w:color w:val="231F20"/>
          <w:spacing w:val="-10"/>
          <w:w w:val="110"/>
        </w:rPr>
        <w:t xml:space="preserve"> </w:t>
      </w:r>
      <w:r>
        <w:rPr>
          <w:rFonts w:ascii="Cambria"/>
          <w:i/>
          <w:color w:val="231F20"/>
          <w:w w:val="110"/>
        </w:rPr>
        <w:t>must</w:t>
      </w:r>
      <w:r>
        <w:rPr>
          <w:rFonts w:ascii="Cambria"/>
          <w:i/>
          <w:color w:val="231F20"/>
          <w:spacing w:val="-4"/>
          <w:w w:val="110"/>
        </w:rPr>
        <w:t xml:space="preserve"> </w:t>
      </w:r>
      <w:r>
        <w:rPr>
          <w:color w:val="231F20"/>
          <w:w w:val="110"/>
        </w:rPr>
        <w:t>higher</w:t>
      </w:r>
      <w:r>
        <w:rPr>
          <w:color w:val="231F20"/>
          <w:spacing w:val="-11"/>
          <w:w w:val="110"/>
        </w:rPr>
        <w:t xml:space="preserve"> </w:t>
      </w:r>
      <w:r>
        <w:rPr>
          <w:color w:val="231F20"/>
          <w:w w:val="110"/>
        </w:rPr>
        <w:t>than</w:t>
      </w:r>
      <w:r>
        <w:rPr>
          <w:color w:val="231F20"/>
          <w:spacing w:val="-10"/>
          <w:w w:val="110"/>
        </w:rPr>
        <w:t xml:space="preserve"> </w:t>
      </w:r>
      <w:r>
        <w:rPr>
          <w:rFonts w:ascii="Cambria"/>
          <w:i/>
          <w:color w:val="231F20"/>
          <w:w w:val="110"/>
        </w:rPr>
        <w:t>may</w:t>
      </w:r>
      <w:r>
        <w:rPr>
          <w:rFonts w:ascii="Cambria"/>
          <w:i/>
          <w:color w:val="231F20"/>
          <w:spacing w:val="-4"/>
          <w:w w:val="110"/>
        </w:rPr>
        <w:t xml:space="preserve"> </w:t>
      </w:r>
      <w:r>
        <w:rPr>
          <w:color w:val="231F20"/>
          <w:w w:val="110"/>
        </w:rPr>
        <w:t>and</w:t>
      </w:r>
      <w:r>
        <w:rPr>
          <w:color w:val="231F20"/>
          <w:spacing w:val="-10"/>
          <w:w w:val="110"/>
        </w:rPr>
        <w:t xml:space="preserve"> </w:t>
      </w:r>
      <w:r>
        <w:rPr>
          <w:color w:val="231F20"/>
          <w:w w:val="110"/>
        </w:rPr>
        <w:t>might</w:t>
      </w:r>
      <w:r>
        <w:rPr>
          <w:color w:val="231F20"/>
          <w:spacing w:val="-10"/>
          <w:w w:val="110"/>
        </w:rPr>
        <w:t xml:space="preserve"> </w:t>
      </w:r>
      <w:r>
        <w:rPr>
          <w:color w:val="231F20"/>
          <w:w w:val="110"/>
        </w:rPr>
        <w:t>on</w:t>
      </w:r>
      <w:r>
        <w:rPr>
          <w:color w:val="231F20"/>
          <w:spacing w:val="-10"/>
          <w:w w:val="110"/>
        </w:rPr>
        <w:t xml:space="preserve"> </w:t>
      </w:r>
      <w:r>
        <w:rPr>
          <w:color w:val="231F20"/>
          <w:w w:val="110"/>
        </w:rPr>
        <w:t>both</w:t>
      </w:r>
    </w:p>
    <w:p w:rsidR="00B05397" w:rsidRDefault="00856287">
      <w:pPr>
        <w:pStyle w:val="BodyText"/>
        <w:spacing w:line="231" w:lineRule="exact"/>
        <w:ind w:left="100"/>
        <w:jc w:val="both"/>
        <w:rPr>
          <w:sz w:val="16"/>
        </w:rPr>
      </w:pPr>
      <w:r>
        <w:rPr>
          <w:color w:val="231F20"/>
          <w:w w:val="110"/>
          <w:position w:val="2"/>
        </w:rPr>
        <w:t>scales (see the</w:t>
      </w:r>
      <w:r>
        <w:rPr>
          <w:color w:val="231F20"/>
          <w:w w:val="110"/>
          <w:position w:val="2"/>
        </w:rPr>
        <w:t xml:space="preserve"> tables in the Appendix). This confirms the assumption that all     </w:t>
      </w:r>
      <w:r>
        <w:rPr>
          <w:color w:val="231F20"/>
          <w:w w:val="110"/>
          <w:sz w:val="16"/>
        </w:rPr>
        <w:t>40</w:t>
      </w:r>
    </w:p>
    <w:p w:rsidR="00B05397" w:rsidRDefault="00B05397">
      <w:pPr>
        <w:spacing w:line="231" w:lineRule="exact"/>
        <w:jc w:val="both"/>
        <w:rPr>
          <w:sz w:val="16"/>
        </w:rPr>
        <w:sectPr w:rsidR="00B05397">
          <w:type w:val="continuous"/>
          <w:pgSz w:w="8790" w:h="13040"/>
          <w:pgMar w:top="700" w:right="800" w:bottom="280" w:left="920" w:header="720" w:footer="720" w:gutter="0"/>
          <w:cols w:space="720"/>
        </w:sectPr>
      </w:pPr>
    </w:p>
    <w:p w:rsidR="00B05397" w:rsidRDefault="00B05397">
      <w:pPr>
        <w:pStyle w:val="BodyText"/>
        <w:rPr>
          <w:sz w:val="20"/>
        </w:rPr>
      </w:pPr>
    </w:p>
    <w:p w:rsidR="00B05397" w:rsidRDefault="00B05397">
      <w:pPr>
        <w:pStyle w:val="BodyText"/>
        <w:spacing w:before="7"/>
        <w:rPr>
          <w:sz w:val="18"/>
        </w:rPr>
      </w:pPr>
    </w:p>
    <w:p w:rsidR="00B05397" w:rsidRDefault="00856287">
      <w:pPr>
        <w:pStyle w:val="BodyText"/>
        <w:spacing w:before="74" w:line="283" w:lineRule="auto"/>
        <w:ind w:left="110" w:right="210"/>
      </w:pPr>
      <w:r>
        <w:rPr>
          <w:color w:val="231F20"/>
          <w:w w:val="105"/>
        </w:rPr>
        <w:t xml:space="preserve">speakers have the necessary general understanding of the different levels of </w:t>
      </w:r>
      <w:r>
        <w:rPr>
          <w:color w:val="231F20"/>
          <w:w w:val="105"/>
          <w:position w:val="1"/>
          <w:sz w:val="16"/>
        </w:rPr>
        <w:t xml:space="preserve">1 </w:t>
      </w:r>
      <w:r>
        <w:rPr>
          <w:color w:val="231F20"/>
          <w:w w:val="105"/>
        </w:rPr>
        <w:t xml:space="preserve">likelihood that can be expressed using the paradigm of the English modal verbs. Where the two populations differ sharply is therefore only in the interpretation       of expressions with </w:t>
      </w:r>
      <w:r>
        <w:rPr>
          <w:rFonts w:ascii="Cambria"/>
          <w:i/>
          <w:color w:val="231F20"/>
          <w:w w:val="105"/>
        </w:rPr>
        <w:t xml:space="preserve">may </w:t>
      </w:r>
      <w:r>
        <w:rPr>
          <w:color w:val="231F20"/>
          <w:w w:val="105"/>
        </w:rPr>
        <w:t xml:space="preserve">and </w:t>
      </w:r>
      <w:r>
        <w:rPr>
          <w:rFonts w:ascii="Cambria"/>
          <w:i/>
          <w:color w:val="231F20"/>
          <w:w w:val="105"/>
        </w:rPr>
        <w:t>might</w:t>
      </w:r>
      <w:r>
        <w:rPr>
          <w:color w:val="231F20"/>
          <w:w w:val="105"/>
        </w:rPr>
        <w:t>. This difference is not due to the general lack   of L2</w:t>
      </w:r>
      <w:r>
        <w:rPr>
          <w:color w:val="231F20"/>
          <w:w w:val="105"/>
        </w:rPr>
        <w:t xml:space="preserve"> knowledge about the meaning and use of English modal verbs. The L2 </w:t>
      </w:r>
      <w:r>
        <w:rPr>
          <w:color w:val="231F20"/>
          <w:w w:val="105"/>
          <w:position w:val="1"/>
          <w:sz w:val="16"/>
        </w:rPr>
        <w:t xml:space="preserve">5 </w:t>
      </w:r>
      <w:r>
        <w:rPr>
          <w:color w:val="231F20"/>
          <w:w w:val="105"/>
        </w:rPr>
        <w:t xml:space="preserve">learners have  clearly  understood  that  </w:t>
      </w:r>
      <w:r>
        <w:rPr>
          <w:rFonts w:ascii="Cambria"/>
          <w:i/>
          <w:color w:val="231F20"/>
          <w:w w:val="105"/>
        </w:rPr>
        <w:t xml:space="preserve">will  </w:t>
      </w:r>
      <w:r>
        <w:rPr>
          <w:color w:val="231F20"/>
          <w:w w:val="105"/>
        </w:rPr>
        <w:t xml:space="preserve">and  </w:t>
      </w:r>
      <w:r>
        <w:rPr>
          <w:rFonts w:ascii="Cambria"/>
          <w:i/>
          <w:color w:val="231F20"/>
          <w:w w:val="105"/>
        </w:rPr>
        <w:t xml:space="preserve">must  </w:t>
      </w:r>
      <w:r>
        <w:rPr>
          <w:color w:val="231F20"/>
          <w:w w:val="105"/>
        </w:rPr>
        <w:t xml:space="preserve">refer  to  higher  possibility and </w:t>
      </w:r>
      <w:r>
        <w:rPr>
          <w:color w:val="231F20"/>
          <w:spacing w:val="4"/>
          <w:w w:val="105"/>
        </w:rPr>
        <w:t xml:space="preserve"> </w:t>
      </w:r>
      <w:r>
        <w:rPr>
          <w:color w:val="231F20"/>
          <w:w w:val="105"/>
        </w:rPr>
        <w:t>certainty.</w:t>
      </w:r>
    </w:p>
    <w:p w:rsidR="00B05397" w:rsidRDefault="00856287">
      <w:pPr>
        <w:pStyle w:val="BodyText"/>
        <w:spacing w:line="283" w:lineRule="auto"/>
        <w:ind w:left="110" w:right="126" w:firstLine="339"/>
        <w:rPr>
          <w:rFonts w:ascii="Cambria"/>
          <w:i/>
        </w:rPr>
      </w:pPr>
      <w:r>
        <w:rPr>
          <w:color w:val="231F20"/>
          <w:w w:val="110"/>
        </w:rPr>
        <w:t xml:space="preserve">The non-native population was uniform in their ratings for </w:t>
      </w:r>
      <w:r>
        <w:rPr>
          <w:rFonts w:ascii="Cambria"/>
          <w:i/>
          <w:color w:val="231F20"/>
          <w:w w:val="110"/>
        </w:rPr>
        <w:t xml:space="preserve">may </w:t>
      </w:r>
      <w:r>
        <w:rPr>
          <w:color w:val="231F20"/>
          <w:w w:val="110"/>
        </w:rPr>
        <w:t xml:space="preserve">vs. </w:t>
      </w:r>
      <w:r>
        <w:rPr>
          <w:rFonts w:ascii="Cambria"/>
          <w:i/>
          <w:color w:val="231F20"/>
          <w:w w:val="110"/>
        </w:rPr>
        <w:t xml:space="preserve">might </w:t>
      </w:r>
      <w:r>
        <w:rPr>
          <w:color w:val="231F20"/>
          <w:w w:val="110"/>
        </w:rPr>
        <w:t>regardl</w:t>
      </w:r>
      <w:r>
        <w:rPr>
          <w:color w:val="231F20"/>
          <w:w w:val="110"/>
        </w:rPr>
        <w:t xml:space="preserve">ess of the different L1s. We acknowledge the fact that we did not have a substantial number of representatives for each language within our participant </w:t>
      </w:r>
      <w:r>
        <w:rPr>
          <w:color w:val="231F20"/>
          <w:w w:val="110"/>
          <w:position w:val="1"/>
          <w:sz w:val="16"/>
        </w:rPr>
        <w:t xml:space="preserve">10 </w:t>
      </w:r>
      <w:r>
        <w:rPr>
          <w:color w:val="231F20"/>
          <w:w w:val="110"/>
        </w:rPr>
        <w:t>pool but that does not affect our main claim at present since all of the native speakers rated expres</w:t>
      </w:r>
      <w:r>
        <w:rPr>
          <w:color w:val="231F20"/>
          <w:w w:val="110"/>
        </w:rPr>
        <w:t xml:space="preserve">sions with </w:t>
      </w:r>
      <w:r>
        <w:rPr>
          <w:rFonts w:ascii="Cambria"/>
          <w:i/>
          <w:color w:val="231F20"/>
          <w:w w:val="110"/>
        </w:rPr>
        <w:t xml:space="preserve">may </w:t>
      </w:r>
      <w:r>
        <w:rPr>
          <w:color w:val="231F20"/>
          <w:w w:val="110"/>
        </w:rPr>
        <w:t xml:space="preserve">substantially higher than those with </w:t>
      </w:r>
      <w:r>
        <w:rPr>
          <w:rFonts w:ascii="Cambria"/>
          <w:i/>
          <w:color w:val="231F20"/>
          <w:w w:val="110"/>
        </w:rPr>
        <w:t>might</w:t>
      </w:r>
    </w:p>
    <w:p w:rsidR="00B05397" w:rsidRDefault="00856287">
      <w:pPr>
        <w:pStyle w:val="BodyText"/>
        <w:spacing w:line="283" w:lineRule="auto"/>
        <w:ind w:left="110" w:right="124"/>
      </w:pPr>
      <w:r>
        <w:rPr>
          <w:color w:val="231F20"/>
          <w:w w:val="105"/>
        </w:rPr>
        <w:t>on the possibility and witness certainty scales, with  no  significant  individual variation within the sample. In any case,  differences  among  L1s  may  also  be unlikely to significantly influen</w:t>
      </w:r>
      <w:r>
        <w:rPr>
          <w:color w:val="231F20"/>
          <w:w w:val="105"/>
        </w:rPr>
        <w:t xml:space="preserve">ce the results in individual ways (e. g. via the L1- </w:t>
      </w:r>
      <w:r>
        <w:rPr>
          <w:color w:val="231F20"/>
          <w:w w:val="105"/>
          <w:position w:val="1"/>
          <w:sz w:val="16"/>
        </w:rPr>
        <w:t xml:space="preserve">15 </w:t>
      </w:r>
      <w:r>
        <w:rPr>
          <w:color w:val="231F20"/>
          <w:w w:val="105"/>
        </w:rPr>
        <w:t xml:space="preserve">specific transfer)  since </w:t>
      </w:r>
      <w:r>
        <w:rPr>
          <w:rFonts w:ascii="Cambria" w:hAnsi="Cambria"/>
          <w:i/>
          <w:color w:val="231F20"/>
          <w:w w:val="105"/>
        </w:rPr>
        <w:t xml:space="preserve">may  </w:t>
      </w:r>
      <w:r>
        <w:rPr>
          <w:color w:val="231F20"/>
          <w:w w:val="105"/>
        </w:rPr>
        <w:t xml:space="preserve">and </w:t>
      </w:r>
      <w:r>
        <w:rPr>
          <w:rFonts w:ascii="Cambria" w:hAnsi="Cambria"/>
          <w:i/>
          <w:color w:val="231F20"/>
          <w:w w:val="105"/>
        </w:rPr>
        <w:t>might</w:t>
      </w:r>
      <w:r>
        <w:rPr>
          <w:color w:val="231F20"/>
          <w:w w:val="105"/>
        </w:rPr>
        <w:t>, and English modal verbs in general,  do    not quite have adequate equivalents in other L1s. For example, as pointed out in Rabadán (2006), in Spanish (and mo</w:t>
      </w:r>
      <w:r>
        <w:rPr>
          <w:color w:val="231F20"/>
          <w:w w:val="105"/>
        </w:rPr>
        <w:t>st  other  languages  as  well)  there  are  no speci</w:t>
      </w:r>
      <w:r>
        <w:rPr>
          <w:rFonts w:ascii="Trebuchet MS" w:hAnsi="Trebuchet MS"/>
          <w:color w:val="231F20"/>
          <w:w w:val="105"/>
        </w:rPr>
        <w:t>ﬁ</w:t>
      </w:r>
      <w:r>
        <w:rPr>
          <w:color w:val="231F20"/>
          <w:w w:val="105"/>
        </w:rPr>
        <w:t>c  linguistic  forms  systematically  associated  with  modal  meanings,  and thus modality is interpreted in a number of di</w:t>
      </w:r>
      <w:r>
        <w:rPr>
          <w:rFonts w:ascii="Trebuchet MS" w:hAnsi="Trebuchet MS"/>
          <w:color w:val="231F20"/>
          <w:w w:val="105"/>
        </w:rPr>
        <w:t>ﬀ</w:t>
      </w:r>
      <w:r>
        <w:rPr>
          <w:color w:val="231F20"/>
          <w:w w:val="105"/>
        </w:rPr>
        <w:t>erent ways. Thus, when it comes</w:t>
      </w:r>
      <w:r>
        <w:rPr>
          <w:color w:val="231F20"/>
          <w:spacing w:val="49"/>
          <w:w w:val="105"/>
        </w:rPr>
        <w:t xml:space="preserve"> </w:t>
      </w:r>
      <w:r>
        <w:rPr>
          <w:color w:val="231F20"/>
          <w:w w:val="105"/>
          <w:position w:val="1"/>
          <w:sz w:val="16"/>
        </w:rPr>
        <w:t xml:space="preserve">20   </w:t>
      </w:r>
      <w:r>
        <w:rPr>
          <w:color w:val="231F20"/>
          <w:w w:val="105"/>
        </w:rPr>
        <w:t>to  English  modal  verbs,  there  is  h</w:t>
      </w:r>
      <w:r>
        <w:rPr>
          <w:color w:val="231F20"/>
          <w:w w:val="105"/>
        </w:rPr>
        <w:t xml:space="preserve">ardly  anything  adequate  to  transfer  from  the L1s. This is another reason why the way </w:t>
      </w:r>
      <w:r>
        <w:rPr>
          <w:rFonts w:ascii="Cambria" w:hAnsi="Cambria"/>
          <w:i/>
          <w:color w:val="231F20"/>
          <w:w w:val="105"/>
        </w:rPr>
        <w:t>may</w:t>
      </w:r>
      <w:r>
        <w:rPr>
          <w:color w:val="231F20"/>
          <w:w w:val="105"/>
        </w:rPr>
        <w:t xml:space="preserve">, </w:t>
      </w:r>
      <w:r>
        <w:rPr>
          <w:rFonts w:ascii="Cambria" w:hAnsi="Cambria"/>
          <w:i/>
          <w:color w:val="231F20"/>
          <w:w w:val="105"/>
        </w:rPr>
        <w:t xml:space="preserve">might </w:t>
      </w:r>
      <w:r>
        <w:rPr>
          <w:color w:val="231F20"/>
          <w:w w:val="105"/>
        </w:rPr>
        <w:t xml:space="preserve">and other modals are taught  and learnt by an L2 speaker is likely to be the central  factor  in  how  they  are understood  and </w:t>
      </w:r>
      <w:r>
        <w:rPr>
          <w:color w:val="231F20"/>
          <w:spacing w:val="10"/>
          <w:w w:val="105"/>
        </w:rPr>
        <w:t xml:space="preserve"> </w:t>
      </w:r>
      <w:r>
        <w:rPr>
          <w:color w:val="231F20"/>
          <w:w w:val="105"/>
        </w:rPr>
        <w:t>used.</w:t>
      </w:r>
    </w:p>
    <w:p w:rsidR="00B05397" w:rsidRDefault="00856287">
      <w:pPr>
        <w:spacing w:before="20"/>
        <w:ind w:right="140"/>
        <w:jc w:val="right"/>
        <w:rPr>
          <w:sz w:val="16"/>
        </w:rPr>
      </w:pPr>
      <w:r>
        <w:rPr>
          <w:color w:val="231F20"/>
          <w:w w:val="90"/>
          <w:sz w:val="16"/>
        </w:rPr>
        <w:t>25</w:t>
      </w:r>
    </w:p>
    <w:p w:rsidR="00B05397" w:rsidRDefault="00B05397">
      <w:pPr>
        <w:pStyle w:val="BodyText"/>
        <w:spacing w:before="5"/>
        <w:rPr>
          <w:sz w:val="18"/>
        </w:rPr>
      </w:pPr>
    </w:p>
    <w:p w:rsidR="00B05397" w:rsidRDefault="00856287">
      <w:pPr>
        <w:pStyle w:val="Heading1"/>
        <w:numPr>
          <w:ilvl w:val="0"/>
          <w:numId w:val="2"/>
        </w:numPr>
        <w:tabs>
          <w:tab w:val="left" w:pos="429"/>
        </w:tabs>
        <w:ind w:left="428" w:hanging="318"/>
        <w:rPr>
          <w:color w:val="231F20"/>
        </w:rPr>
      </w:pPr>
      <w:r>
        <w:rPr>
          <w:color w:val="231F20"/>
          <w:w w:val="105"/>
        </w:rPr>
        <w:t>Discussion</w:t>
      </w:r>
    </w:p>
    <w:p w:rsidR="00B05397" w:rsidRDefault="00B05397">
      <w:pPr>
        <w:pStyle w:val="BodyText"/>
        <w:spacing w:before="7"/>
        <w:rPr>
          <w:rFonts w:ascii="Trebuchet MS"/>
          <w:sz w:val="23"/>
        </w:rPr>
      </w:pPr>
    </w:p>
    <w:p w:rsidR="00B05397" w:rsidRDefault="00856287">
      <w:pPr>
        <w:pStyle w:val="BodyText"/>
        <w:spacing w:line="280" w:lineRule="auto"/>
        <w:ind w:left="110" w:right="151"/>
      </w:pPr>
      <w:r>
        <w:rPr>
          <w:color w:val="231F20"/>
          <w:w w:val="110"/>
        </w:rPr>
        <w:t xml:space="preserve">Our focus in this empirical study was to target a potential difference in inter- pretation between expressions containing the modal verb </w:t>
      </w:r>
      <w:r>
        <w:rPr>
          <w:rFonts w:ascii="Cambria"/>
          <w:i/>
          <w:color w:val="231F20"/>
          <w:w w:val="110"/>
        </w:rPr>
        <w:t xml:space="preserve">may </w:t>
      </w:r>
      <w:r>
        <w:rPr>
          <w:color w:val="231F20"/>
          <w:w w:val="110"/>
        </w:rPr>
        <w:t xml:space="preserve">and expressions </w:t>
      </w:r>
      <w:r>
        <w:rPr>
          <w:color w:val="231F20"/>
          <w:w w:val="110"/>
          <w:position w:val="1"/>
          <w:sz w:val="16"/>
        </w:rPr>
        <w:t xml:space="preserve">30 </w:t>
      </w:r>
      <w:r>
        <w:rPr>
          <w:color w:val="231F20"/>
          <w:w w:val="110"/>
        </w:rPr>
        <w:t xml:space="preserve">containing the modal verb </w:t>
      </w:r>
      <w:r>
        <w:rPr>
          <w:rFonts w:ascii="Cambria"/>
          <w:i/>
          <w:color w:val="231F20"/>
          <w:w w:val="110"/>
        </w:rPr>
        <w:t>might</w:t>
      </w:r>
      <w:r>
        <w:rPr>
          <w:color w:val="231F20"/>
          <w:w w:val="110"/>
        </w:rPr>
        <w:t>. Non-native speakers of English appear con- sistent in judging e</w:t>
      </w:r>
      <w:r>
        <w:rPr>
          <w:color w:val="231F20"/>
          <w:w w:val="110"/>
        </w:rPr>
        <w:t xml:space="preserve">vents described using </w:t>
      </w:r>
      <w:r>
        <w:rPr>
          <w:rFonts w:ascii="Cambria"/>
          <w:i/>
          <w:color w:val="231F20"/>
          <w:w w:val="110"/>
        </w:rPr>
        <w:t xml:space="preserve">may </w:t>
      </w:r>
      <w:r>
        <w:rPr>
          <w:color w:val="231F20"/>
          <w:w w:val="110"/>
        </w:rPr>
        <w:t xml:space="preserve">as more likely to have happened than events expressed using </w:t>
      </w:r>
      <w:r>
        <w:rPr>
          <w:rFonts w:ascii="Cambria"/>
          <w:i/>
          <w:color w:val="231F20"/>
          <w:w w:val="110"/>
        </w:rPr>
        <w:t>might</w:t>
      </w:r>
      <w:r>
        <w:rPr>
          <w:color w:val="231F20"/>
          <w:w w:val="110"/>
        </w:rPr>
        <w:t>. No such difference in the understanding of language use is registered among the native  speakers  of  English.  Similarly, witness certainty is rated higher by the</w:t>
      </w:r>
      <w:r>
        <w:rPr>
          <w:color w:val="231F20"/>
          <w:w w:val="110"/>
        </w:rPr>
        <w:t xml:space="preserve"> non-native speakers if the verb </w:t>
      </w:r>
      <w:r>
        <w:rPr>
          <w:rFonts w:ascii="Cambria"/>
          <w:i/>
          <w:color w:val="231F20"/>
          <w:w w:val="110"/>
        </w:rPr>
        <w:t xml:space="preserve">may </w:t>
      </w:r>
      <w:r>
        <w:rPr>
          <w:color w:val="231F20"/>
          <w:w w:val="110"/>
          <w:position w:val="1"/>
          <w:sz w:val="16"/>
        </w:rPr>
        <w:t xml:space="preserve">35  </w:t>
      </w:r>
      <w:r>
        <w:rPr>
          <w:color w:val="231F20"/>
          <w:w w:val="110"/>
        </w:rPr>
        <w:t xml:space="preserve">was used than if </w:t>
      </w:r>
      <w:r>
        <w:rPr>
          <w:rFonts w:ascii="Cambria"/>
          <w:i/>
          <w:color w:val="231F20"/>
          <w:w w:val="110"/>
        </w:rPr>
        <w:t xml:space="preserve">might </w:t>
      </w:r>
      <w:r>
        <w:rPr>
          <w:color w:val="231F20"/>
          <w:w w:val="110"/>
        </w:rPr>
        <w:t>was used. Again, no such difference is observed among the native speakers of English tested in this</w:t>
      </w:r>
      <w:r>
        <w:rPr>
          <w:color w:val="231F20"/>
          <w:spacing w:val="-2"/>
          <w:w w:val="110"/>
        </w:rPr>
        <w:t xml:space="preserve"> </w:t>
      </w:r>
      <w:r>
        <w:rPr>
          <w:color w:val="231F20"/>
          <w:w w:val="110"/>
        </w:rPr>
        <w:t>experiment.</w:t>
      </w:r>
    </w:p>
    <w:p w:rsidR="00B05397" w:rsidRDefault="00856287">
      <w:pPr>
        <w:pStyle w:val="BodyText"/>
        <w:spacing w:before="4" w:line="283" w:lineRule="auto"/>
        <w:ind w:left="110" w:right="126" w:firstLine="339"/>
        <w:rPr>
          <w:sz w:val="16"/>
        </w:rPr>
      </w:pPr>
      <w:r>
        <w:rPr>
          <w:color w:val="231F20"/>
          <w:w w:val="105"/>
        </w:rPr>
        <w:t>The motivation for this finding can be found in the English L2 teaching and lear</w:t>
      </w:r>
      <w:r>
        <w:rPr>
          <w:color w:val="231F20"/>
          <w:w w:val="105"/>
        </w:rPr>
        <w:t xml:space="preserve">ning  approach,  as  we  hypothesised.  The  insistence  on  drawing  the  distinc- tion between </w:t>
      </w:r>
      <w:r>
        <w:rPr>
          <w:rFonts w:ascii="Cambria"/>
          <w:i/>
          <w:color w:val="231F20"/>
          <w:w w:val="105"/>
        </w:rPr>
        <w:t xml:space="preserve">may </w:t>
      </w:r>
      <w:r>
        <w:rPr>
          <w:color w:val="231F20"/>
          <w:w w:val="105"/>
        </w:rPr>
        <w:t xml:space="preserve">and </w:t>
      </w:r>
      <w:r>
        <w:rPr>
          <w:rFonts w:ascii="Cambria"/>
          <w:i/>
          <w:color w:val="231F20"/>
          <w:w w:val="105"/>
        </w:rPr>
        <w:t xml:space="preserve">might </w:t>
      </w:r>
      <w:r>
        <w:rPr>
          <w:color w:val="231F20"/>
          <w:w w:val="105"/>
        </w:rPr>
        <w:t xml:space="preserve">for English L2 learners in pedagogical resources  </w:t>
      </w:r>
      <w:r>
        <w:rPr>
          <w:color w:val="231F20"/>
          <w:w w:val="105"/>
          <w:position w:val="1"/>
          <w:sz w:val="16"/>
        </w:rPr>
        <w:t>40</w:t>
      </w:r>
    </w:p>
    <w:p w:rsidR="00B05397" w:rsidRDefault="00B05397">
      <w:pPr>
        <w:spacing w:line="283" w:lineRule="auto"/>
        <w:rPr>
          <w:sz w:val="16"/>
        </w:rPr>
        <w:sectPr w:rsidR="00B05397">
          <w:pgSz w:w="8790" w:h="13040"/>
          <w:pgMar w:top="720" w:right="620" w:bottom="280" w:left="1080" w:header="538" w:footer="0" w:gutter="0"/>
          <w:cols w:space="720"/>
        </w:sectPr>
      </w:pPr>
    </w:p>
    <w:p w:rsidR="00B05397" w:rsidRDefault="00B05397">
      <w:pPr>
        <w:pStyle w:val="BodyText"/>
        <w:rPr>
          <w:sz w:val="20"/>
        </w:rPr>
      </w:pPr>
    </w:p>
    <w:p w:rsidR="00B05397" w:rsidRDefault="00B05397">
      <w:pPr>
        <w:pStyle w:val="BodyText"/>
        <w:spacing w:before="4"/>
        <w:rPr>
          <w:sz w:val="20"/>
        </w:rPr>
      </w:pPr>
    </w:p>
    <w:p w:rsidR="00B05397" w:rsidRDefault="00856287">
      <w:pPr>
        <w:pStyle w:val="BodyText"/>
        <w:spacing w:before="71" w:line="280" w:lineRule="auto"/>
        <w:ind w:left="120" w:right="359"/>
      </w:pPr>
      <w:r>
        <w:rPr>
          <w:color w:val="231F20"/>
          <w:w w:val="105"/>
        </w:rPr>
        <w:t xml:space="preserve">seems quite pervasive and perhaps not completely unjustified. Namely, </w:t>
      </w:r>
      <w:r>
        <w:rPr>
          <w:rFonts w:ascii="Cambria"/>
          <w:i/>
          <w:color w:val="231F20"/>
          <w:w w:val="105"/>
        </w:rPr>
        <w:t>ma</w:t>
      </w:r>
      <w:r>
        <w:rPr>
          <w:rFonts w:ascii="Cambria"/>
          <w:i/>
          <w:color w:val="231F20"/>
          <w:w w:val="105"/>
        </w:rPr>
        <w:t xml:space="preserve">y </w:t>
      </w:r>
      <w:r>
        <w:rPr>
          <w:color w:val="231F20"/>
          <w:w w:val="105"/>
        </w:rPr>
        <w:t xml:space="preserve">and </w:t>
      </w:r>
      <w:r>
        <w:rPr>
          <w:color w:val="231F20"/>
          <w:w w:val="105"/>
          <w:position w:val="1"/>
          <w:sz w:val="16"/>
        </w:rPr>
        <w:t xml:space="preserve">1 </w:t>
      </w:r>
      <w:r>
        <w:rPr>
          <w:rFonts w:ascii="Cambria"/>
          <w:i/>
          <w:color w:val="231F20"/>
          <w:w w:val="105"/>
        </w:rPr>
        <w:t xml:space="preserve">might </w:t>
      </w:r>
      <w:r>
        <w:rPr>
          <w:color w:val="231F20"/>
          <w:w w:val="105"/>
        </w:rPr>
        <w:t xml:space="preserve">do have their differential uses, as we saw in our introductory sections. For example, the counterfactual </w:t>
      </w:r>
      <w:r>
        <w:rPr>
          <w:rFonts w:ascii="Cambria"/>
          <w:i/>
          <w:color w:val="231F20"/>
          <w:w w:val="105"/>
        </w:rPr>
        <w:t xml:space="preserve">might </w:t>
      </w:r>
      <w:r>
        <w:rPr>
          <w:color w:val="231F20"/>
          <w:w w:val="105"/>
        </w:rPr>
        <w:t>is the only possible option out of the two in</w:t>
      </w:r>
      <w:r>
        <w:rPr>
          <w:color w:val="231F20"/>
          <w:spacing w:val="49"/>
          <w:w w:val="105"/>
        </w:rPr>
        <w:t xml:space="preserve"> </w:t>
      </w:r>
      <w:r>
        <w:rPr>
          <w:color w:val="231F20"/>
          <w:w w:val="105"/>
        </w:rPr>
        <w:t>cases</w:t>
      </w:r>
      <w:r>
        <w:rPr>
          <w:color w:val="231F20"/>
          <w:spacing w:val="21"/>
          <w:w w:val="105"/>
        </w:rPr>
        <w:t xml:space="preserve"> </w:t>
      </w:r>
      <w:r>
        <w:rPr>
          <w:color w:val="231F20"/>
          <w:w w:val="105"/>
        </w:rPr>
        <w:t>where</w:t>
      </w:r>
      <w:r>
        <w:rPr>
          <w:color w:val="231F20"/>
          <w:spacing w:val="21"/>
          <w:w w:val="105"/>
        </w:rPr>
        <w:t xml:space="preserve"> </w:t>
      </w:r>
      <w:r>
        <w:rPr>
          <w:color w:val="231F20"/>
          <w:w w:val="105"/>
        </w:rPr>
        <w:t>we</w:t>
      </w:r>
      <w:r>
        <w:rPr>
          <w:color w:val="231F20"/>
          <w:spacing w:val="23"/>
          <w:w w:val="105"/>
        </w:rPr>
        <w:t xml:space="preserve"> </w:t>
      </w:r>
      <w:r>
        <w:rPr>
          <w:color w:val="231F20"/>
          <w:w w:val="105"/>
        </w:rPr>
        <w:t>know</w:t>
      </w:r>
      <w:r>
        <w:rPr>
          <w:color w:val="231F20"/>
          <w:spacing w:val="23"/>
          <w:w w:val="105"/>
        </w:rPr>
        <w:t xml:space="preserve"> </w:t>
      </w:r>
      <w:r>
        <w:rPr>
          <w:color w:val="231F20"/>
          <w:w w:val="105"/>
        </w:rPr>
        <w:t>the</w:t>
      </w:r>
      <w:r>
        <w:rPr>
          <w:color w:val="231F20"/>
          <w:spacing w:val="20"/>
          <w:w w:val="105"/>
        </w:rPr>
        <w:t xml:space="preserve"> </w:t>
      </w:r>
      <w:r>
        <w:rPr>
          <w:color w:val="231F20"/>
          <w:w w:val="105"/>
        </w:rPr>
        <w:t>outcome</w:t>
      </w:r>
      <w:r>
        <w:rPr>
          <w:color w:val="231F20"/>
          <w:spacing w:val="21"/>
          <w:w w:val="105"/>
        </w:rPr>
        <w:t xml:space="preserve"> </w:t>
      </w:r>
      <w:r>
        <w:rPr>
          <w:color w:val="231F20"/>
          <w:w w:val="105"/>
        </w:rPr>
        <w:t>expressed</w:t>
      </w:r>
      <w:r>
        <w:rPr>
          <w:color w:val="231F20"/>
          <w:spacing w:val="23"/>
          <w:w w:val="105"/>
        </w:rPr>
        <w:t xml:space="preserve"> </w:t>
      </w:r>
      <w:r>
        <w:rPr>
          <w:color w:val="231F20"/>
          <w:w w:val="105"/>
        </w:rPr>
        <w:t>actually</w:t>
      </w:r>
      <w:r>
        <w:rPr>
          <w:color w:val="231F20"/>
          <w:spacing w:val="21"/>
          <w:w w:val="105"/>
        </w:rPr>
        <w:t xml:space="preserve"> </w:t>
      </w:r>
      <w:r>
        <w:rPr>
          <w:color w:val="231F20"/>
          <w:w w:val="105"/>
        </w:rPr>
        <w:t>did</w:t>
      </w:r>
      <w:r>
        <w:rPr>
          <w:color w:val="231F20"/>
          <w:spacing w:val="21"/>
          <w:w w:val="105"/>
        </w:rPr>
        <w:t xml:space="preserve"> </w:t>
      </w:r>
      <w:r>
        <w:rPr>
          <w:color w:val="231F20"/>
          <w:w w:val="105"/>
        </w:rPr>
        <w:t>not</w:t>
      </w:r>
      <w:r>
        <w:rPr>
          <w:color w:val="231F20"/>
          <w:spacing w:val="21"/>
          <w:w w:val="105"/>
        </w:rPr>
        <w:t xml:space="preserve"> </w:t>
      </w:r>
      <w:r>
        <w:rPr>
          <w:color w:val="231F20"/>
          <w:w w:val="105"/>
        </w:rPr>
        <w:t>materialise</w:t>
      </w:r>
      <w:r>
        <w:rPr>
          <w:color w:val="231F20"/>
          <w:spacing w:val="23"/>
          <w:w w:val="105"/>
        </w:rPr>
        <w:t xml:space="preserve"> </w:t>
      </w:r>
      <w:r>
        <w:rPr>
          <w:color w:val="231F20"/>
          <w:w w:val="105"/>
        </w:rPr>
        <w:t>(as</w:t>
      </w:r>
      <w:r>
        <w:rPr>
          <w:color w:val="231F20"/>
          <w:spacing w:val="23"/>
          <w:w w:val="105"/>
        </w:rPr>
        <w:t xml:space="preserve"> </w:t>
      </w:r>
      <w:r>
        <w:rPr>
          <w:color w:val="231F20"/>
          <w:w w:val="105"/>
        </w:rPr>
        <w:t>in</w:t>
      </w:r>
    </w:p>
    <w:p w:rsidR="00B05397" w:rsidRDefault="00856287">
      <w:pPr>
        <w:spacing w:before="1"/>
        <w:ind w:left="120" w:right="126"/>
        <w:rPr>
          <w:sz w:val="16"/>
        </w:rPr>
      </w:pPr>
      <w:r>
        <w:rPr>
          <w:rFonts w:ascii="Cambria"/>
          <w:i/>
          <w:color w:val="231F20"/>
          <w:sz w:val="19"/>
        </w:rPr>
        <w:t xml:space="preserve">It might have been you who got caught and punished, you can count your lucky  </w:t>
      </w:r>
      <w:r>
        <w:rPr>
          <w:color w:val="231F20"/>
          <w:position w:val="1"/>
          <w:sz w:val="16"/>
        </w:rPr>
        <w:t>5</w:t>
      </w:r>
    </w:p>
    <w:p w:rsidR="00B05397" w:rsidRDefault="00856287">
      <w:pPr>
        <w:spacing w:before="37" w:line="280" w:lineRule="auto"/>
        <w:ind w:left="120" w:right="388"/>
        <w:jc w:val="both"/>
        <w:rPr>
          <w:sz w:val="19"/>
        </w:rPr>
      </w:pPr>
      <w:r>
        <w:rPr>
          <w:rFonts w:ascii="Cambria"/>
          <w:i/>
          <w:color w:val="231F20"/>
          <w:w w:val="105"/>
          <w:sz w:val="19"/>
        </w:rPr>
        <w:t>stars!</w:t>
      </w:r>
      <w:r>
        <w:rPr>
          <w:color w:val="231F20"/>
          <w:w w:val="105"/>
          <w:sz w:val="19"/>
        </w:rPr>
        <w:t xml:space="preserve">). However, when it comes to the context of future and past possibility (e. g. </w:t>
      </w:r>
      <w:r>
        <w:rPr>
          <w:rFonts w:ascii="Cambria"/>
          <w:i/>
          <w:color w:val="231F20"/>
          <w:w w:val="105"/>
          <w:sz w:val="19"/>
        </w:rPr>
        <w:t>It</w:t>
      </w:r>
      <w:r>
        <w:rPr>
          <w:rFonts w:ascii="Cambria"/>
          <w:i/>
          <w:color w:val="231F20"/>
          <w:spacing w:val="-9"/>
          <w:w w:val="105"/>
          <w:sz w:val="19"/>
        </w:rPr>
        <w:t xml:space="preserve"> </w:t>
      </w:r>
      <w:r>
        <w:rPr>
          <w:rFonts w:ascii="Cambria"/>
          <w:i/>
          <w:color w:val="231F20"/>
          <w:w w:val="105"/>
          <w:sz w:val="19"/>
        </w:rPr>
        <w:t>may/might</w:t>
      </w:r>
      <w:r>
        <w:rPr>
          <w:rFonts w:ascii="Cambria"/>
          <w:i/>
          <w:color w:val="231F20"/>
          <w:spacing w:val="-10"/>
          <w:w w:val="105"/>
          <w:sz w:val="19"/>
        </w:rPr>
        <w:t xml:space="preserve"> </w:t>
      </w:r>
      <w:r>
        <w:rPr>
          <w:rFonts w:ascii="Cambria"/>
          <w:i/>
          <w:color w:val="231F20"/>
          <w:w w:val="105"/>
          <w:sz w:val="19"/>
        </w:rPr>
        <w:t>rain</w:t>
      </w:r>
      <w:r>
        <w:rPr>
          <w:rFonts w:ascii="Cambria"/>
          <w:i/>
          <w:color w:val="231F20"/>
          <w:spacing w:val="-10"/>
          <w:w w:val="105"/>
          <w:sz w:val="19"/>
        </w:rPr>
        <w:t xml:space="preserve"> </w:t>
      </w:r>
      <w:r>
        <w:rPr>
          <w:color w:val="231F20"/>
          <w:w w:val="105"/>
          <w:sz w:val="19"/>
        </w:rPr>
        <w:t>and</w:t>
      </w:r>
      <w:r>
        <w:rPr>
          <w:color w:val="231F20"/>
          <w:spacing w:val="-16"/>
          <w:w w:val="105"/>
          <w:sz w:val="19"/>
        </w:rPr>
        <w:t xml:space="preserve"> </w:t>
      </w:r>
      <w:r>
        <w:rPr>
          <w:rFonts w:ascii="Cambria"/>
          <w:i/>
          <w:color w:val="231F20"/>
          <w:w w:val="105"/>
          <w:sz w:val="19"/>
        </w:rPr>
        <w:t>It</w:t>
      </w:r>
      <w:r>
        <w:rPr>
          <w:rFonts w:ascii="Cambria"/>
          <w:i/>
          <w:color w:val="231F20"/>
          <w:spacing w:val="-9"/>
          <w:w w:val="105"/>
          <w:sz w:val="19"/>
        </w:rPr>
        <w:t xml:space="preserve"> </w:t>
      </w:r>
      <w:r>
        <w:rPr>
          <w:rFonts w:ascii="Cambria"/>
          <w:i/>
          <w:color w:val="231F20"/>
          <w:w w:val="105"/>
          <w:sz w:val="19"/>
        </w:rPr>
        <w:t>may/might</w:t>
      </w:r>
      <w:r>
        <w:rPr>
          <w:rFonts w:ascii="Cambria"/>
          <w:i/>
          <w:color w:val="231F20"/>
          <w:spacing w:val="-10"/>
          <w:w w:val="105"/>
          <w:sz w:val="19"/>
        </w:rPr>
        <w:t xml:space="preserve"> </w:t>
      </w:r>
      <w:r>
        <w:rPr>
          <w:rFonts w:ascii="Cambria"/>
          <w:i/>
          <w:color w:val="231F20"/>
          <w:w w:val="105"/>
          <w:sz w:val="19"/>
        </w:rPr>
        <w:t>have</w:t>
      </w:r>
      <w:r>
        <w:rPr>
          <w:rFonts w:ascii="Cambria"/>
          <w:i/>
          <w:color w:val="231F20"/>
          <w:spacing w:val="-10"/>
          <w:w w:val="105"/>
          <w:sz w:val="19"/>
        </w:rPr>
        <w:t xml:space="preserve"> </w:t>
      </w:r>
      <w:r>
        <w:rPr>
          <w:rFonts w:ascii="Cambria"/>
          <w:i/>
          <w:color w:val="231F20"/>
          <w:w w:val="105"/>
          <w:sz w:val="19"/>
        </w:rPr>
        <w:t>been</w:t>
      </w:r>
      <w:r>
        <w:rPr>
          <w:rFonts w:ascii="Cambria"/>
          <w:i/>
          <w:color w:val="231F20"/>
          <w:spacing w:val="-10"/>
          <w:w w:val="105"/>
          <w:sz w:val="19"/>
        </w:rPr>
        <w:t xml:space="preserve"> </w:t>
      </w:r>
      <w:r>
        <w:rPr>
          <w:rFonts w:ascii="Cambria"/>
          <w:i/>
          <w:color w:val="231F20"/>
          <w:w w:val="105"/>
          <w:sz w:val="19"/>
        </w:rPr>
        <w:t>George</w:t>
      </w:r>
      <w:r>
        <w:rPr>
          <w:rFonts w:ascii="Cambria"/>
          <w:i/>
          <w:color w:val="231F20"/>
          <w:spacing w:val="-9"/>
          <w:w w:val="105"/>
          <w:sz w:val="19"/>
        </w:rPr>
        <w:t xml:space="preserve"> </w:t>
      </w:r>
      <w:r>
        <w:rPr>
          <w:rFonts w:ascii="Cambria"/>
          <w:i/>
          <w:color w:val="231F20"/>
          <w:w w:val="105"/>
          <w:sz w:val="19"/>
        </w:rPr>
        <w:t>who</w:t>
      </w:r>
      <w:r>
        <w:rPr>
          <w:rFonts w:ascii="Cambria"/>
          <w:i/>
          <w:color w:val="231F20"/>
          <w:spacing w:val="-10"/>
          <w:w w:val="105"/>
          <w:sz w:val="19"/>
        </w:rPr>
        <w:t xml:space="preserve"> </w:t>
      </w:r>
      <w:r>
        <w:rPr>
          <w:rFonts w:ascii="Cambria"/>
          <w:i/>
          <w:color w:val="231F20"/>
          <w:w w:val="105"/>
          <w:sz w:val="19"/>
        </w:rPr>
        <w:t>knocked</w:t>
      </w:r>
      <w:r>
        <w:rPr>
          <w:rFonts w:ascii="Cambria"/>
          <w:i/>
          <w:color w:val="231F20"/>
          <w:spacing w:val="-10"/>
          <w:w w:val="105"/>
          <w:sz w:val="19"/>
        </w:rPr>
        <w:t xml:space="preserve"> </w:t>
      </w:r>
      <w:r>
        <w:rPr>
          <w:rFonts w:ascii="Cambria"/>
          <w:i/>
          <w:color w:val="231F20"/>
          <w:w w:val="105"/>
          <w:sz w:val="19"/>
        </w:rPr>
        <w:t>on</w:t>
      </w:r>
      <w:r>
        <w:rPr>
          <w:rFonts w:ascii="Cambria"/>
          <w:i/>
          <w:color w:val="231F20"/>
          <w:spacing w:val="-9"/>
          <w:w w:val="105"/>
          <w:sz w:val="19"/>
        </w:rPr>
        <w:t xml:space="preserve"> </w:t>
      </w:r>
      <w:r>
        <w:rPr>
          <w:rFonts w:ascii="Cambria"/>
          <w:i/>
          <w:color w:val="231F20"/>
          <w:w w:val="105"/>
          <w:sz w:val="19"/>
        </w:rPr>
        <w:t>the</w:t>
      </w:r>
      <w:r>
        <w:rPr>
          <w:rFonts w:ascii="Cambria"/>
          <w:i/>
          <w:color w:val="231F20"/>
          <w:spacing w:val="-10"/>
          <w:w w:val="105"/>
          <w:sz w:val="19"/>
        </w:rPr>
        <w:t xml:space="preserve"> </w:t>
      </w:r>
      <w:r>
        <w:rPr>
          <w:rFonts w:ascii="Cambria"/>
          <w:i/>
          <w:color w:val="231F20"/>
          <w:w w:val="105"/>
          <w:sz w:val="19"/>
        </w:rPr>
        <w:t>door</w:t>
      </w:r>
      <w:r>
        <w:rPr>
          <w:color w:val="231F20"/>
          <w:w w:val="105"/>
          <w:sz w:val="19"/>
        </w:rPr>
        <w:t xml:space="preserve">) there appears to be no clearly and consistently observed difference in meaning   for the native speakers of English. We cannot really blame the learning  </w:t>
      </w:r>
      <w:r>
        <w:rPr>
          <w:color w:val="231F20"/>
          <w:spacing w:val="14"/>
          <w:w w:val="105"/>
          <w:sz w:val="19"/>
        </w:rPr>
        <w:t xml:space="preserve"> </w:t>
      </w:r>
      <w:r>
        <w:rPr>
          <w:color w:val="231F20"/>
          <w:w w:val="105"/>
          <w:sz w:val="19"/>
        </w:rPr>
        <w:t>materials</w:t>
      </w:r>
    </w:p>
    <w:p w:rsidR="00B05397" w:rsidRDefault="00856287">
      <w:pPr>
        <w:pStyle w:val="BodyText"/>
        <w:spacing w:before="4" w:line="285" w:lineRule="auto"/>
        <w:ind w:left="120" w:right="114"/>
      </w:pPr>
      <w:r>
        <w:rPr>
          <w:color w:val="231F20"/>
          <w:w w:val="110"/>
        </w:rPr>
        <w:t xml:space="preserve">such as textbooks, which we looked at in this study for the point of illustration </w:t>
      </w:r>
      <w:r>
        <w:rPr>
          <w:color w:val="231F20"/>
          <w:w w:val="110"/>
          <w:position w:val="1"/>
          <w:sz w:val="16"/>
        </w:rPr>
        <w:t xml:space="preserve">10 </w:t>
      </w:r>
      <w:r>
        <w:rPr>
          <w:color w:val="231F20"/>
          <w:w w:val="110"/>
        </w:rPr>
        <w:t>only</w:t>
      </w:r>
      <w:r>
        <w:rPr>
          <w:color w:val="231F20"/>
          <w:w w:val="110"/>
        </w:rPr>
        <w:t>. Learners nowadays use many  different  materials  and  resources  and  it would be impossible to determine one source as the key motivator of the learner behaviour. This was definitely not our intention in this paper. In fact, we have to emphasise that i</w:t>
      </w:r>
      <w:r>
        <w:rPr>
          <w:color w:val="231F20"/>
          <w:w w:val="110"/>
        </w:rPr>
        <w:t xml:space="preserve">t is indeed multiple factors and their interactions (sometimes cooperating, sometimes competing) that impact learning of a foreign language, </w:t>
      </w:r>
      <w:r>
        <w:rPr>
          <w:color w:val="231F20"/>
          <w:w w:val="110"/>
          <w:position w:val="1"/>
          <w:sz w:val="16"/>
        </w:rPr>
        <w:t xml:space="preserve">15 </w:t>
      </w:r>
      <w:r>
        <w:rPr>
          <w:color w:val="231F20"/>
          <w:w w:val="110"/>
        </w:rPr>
        <w:t>as Filipovi</w:t>
      </w:r>
      <w:r>
        <w:rPr>
          <w:rFonts w:ascii="Arial" w:hAnsi="Arial"/>
          <w:color w:val="231F20"/>
          <w:w w:val="110"/>
        </w:rPr>
        <w:t xml:space="preserve">ć </w:t>
      </w:r>
      <w:r>
        <w:rPr>
          <w:color w:val="231F20"/>
          <w:w w:val="110"/>
        </w:rPr>
        <w:t>and Hawkins (2013) demonstrate in their extensive empirical study</w:t>
      </w:r>
    </w:p>
    <w:p w:rsidR="00B05397" w:rsidRDefault="00856287">
      <w:pPr>
        <w:pStyle w:val="BodyText"/>
        <w:spacing w:line="280" w:lineRule="auto"/>
        <w:ind w:left="120" w:right="114"/>
        <w:rPr>
          <w:sz w:val="12"/>
        </w:rPr>
      </w:pPr>
      <w:r>
        <w:rPr>
          <w:color w:val="231F20"/>
          <w:w w:val="105"/>
        </w:rPr>
        <w:t>of L2 English acquisition. For in</w:t>
      </w:r>
      <w:r>
        <w:rPr>
          <w:color w:val="231F20"/>
          <w:w w:val="105"/>
        </w:rPr>
        <w:t>stance, in this study, we mentioned a learning strategy of latching onto a difference no matter how small (Section 2.3). This is something that may be helpful in the beginning (i. e. a convenient one-to-one form-meaning mapping for ease of processing and r</w:t>
      </w:r>
      <w:r>
        <w:rPr>
          <w:color w:val="231F20"/>
          <w:w w:val="105"/>
        </w:rPr>
        <w:t xml:space="preserve">emembering), but this </w:t>
      </w:r>
      <w:r>
        <w:rPr>
          <w:color w:val="231F20"/>
          <w:w w:val="105"/>
          <w:position w:val="1"/>
          <w:sz w:val="16"/>
        </w:rPr>
        <w:t xml:space="preserve">20  </w:t>
      </w:r>
      <w:r>
        <w:rPr>
          <w:color w:val="231F20"/>
          <w:w w:val="105"/>
        </w:rPr>
        <w:t>certainly needs to be addressed later via increased focus on teaching pragmatic competence,</w:t>
      </w:r>
      <w:r>
        <w:rPr>
          <w:color w:val="231F20"/>
          <w:spacing w:val="28"/>
          <w:w w:val="105"/>
        </w:rPr>
        <w:t xml:space="preserve"> </w:t>
      </w:r>
      <w:r>
        <w:rPr>
          <w:color w:val="231F20"/>
          <w:w w:val="105"/>
        </w:rPr>
        <w:t>still</w:t>
      </w:r>
      <w:r>
        <w:rPr>
          <w:color w:val="231F20"/>
          <w:spacing w:val="28"/>
          <w:w w:val="105"/>
        </w:rPr>
        <w:t xml:space="preserve"> </w:t>
      </w:r>
      <w:r>
        <w:rPr>
          <w:color w:val="231F20"/>
          <w:w w:val="105"/>
        </w:rPr>
        <w:t>not</w:t>
      </w:r>
      <w:r>
        <w:rPr>
          <w:color w:val="231F20"/>
          <w:spacing w:val="26"/>
          <w:w w:val="105"/>
        </w:rPr>
        <w:t xml:space="preserve"> </w:t>
      </w:r>
      <w:r>
        <w:rPr>
          <w:color w:val="231F20"/>
          <w:w w:val="105"/>
        </w:rPr>
        <w:t>a</w:t>
      </w:r>
      <w:r>
        <w:rPr>
          <w:color w:val="231F20"/>
          <w:spacing w:val="28"/>
          <w:w w:val="105"/>
        </w:rPr>
        <w:t xml:space="preserve"> </w:t>
      </w:r>
      <w:r>
        <w:rPr>
          <w:color w:val="231F20"/>
          <w:w w:val="105"/>
        </w:rPr>
        <w:t>widely</w:t>
      </w:r>
      <w:r>
        <w:rPr>
          <w:color w:val="231F20"/>
          <w:spacing w:val="26"/>
          <w:w w:val="105"/>
        </w:rPr>
        <w:t xml:space="preserve"> </w:t>
      </w:r>
      <w:r>
        <w:rPr>
          <w:color w:val="231F20"/>
          <w:w w:val="105"/>
        </w:rPr>
        <w:t>diffused</w:t>
      </w:r>
      <w:r>
        <w:rPr>
          <w:color w:val="231F20"/>
          <w:spacing w:val="28"/>
          <w:w w:val="105"/>
        </w:rPr>
        <w:t xml:space="preserve"> </w:t>
      </w:r>
      <w:r>
        <w:rPr>
          <w:color w:val="231F20"/>
          <w:w w:val="105"/>
        </w:rPr>
        <w:t>teaching</w:t>
      </w:r>
      <w:r>
        <w:rPr>
          <w:color w:val="231F20"/>
          <w:spacing w:val="28"/>
          <w:w w:val="105"/>
        </w:rPr>
        <w:t xml:space="preserve"> </w:t>
      </w:r>
      <w:r>
        <w:rPr>
          <w:color w:val="231F20"/>
          <w:w w:val="105"/>
        </w:rPr>
        <w:t>and</w:t>
      </w:r>
      <w:r>
        <w:rPr>
          <w:color w:val="231F20"/>
          <w:spacing w:val="26"/>
          <w:w w:val="105"/>
        </w:rPr>
        <w:t xml:space="preserve"> </w:t>
      </w:r>
      <w:r>
        <w:rPr>
          <w:color w:val="231F20"/>
          <w:w w:val="105"/>
        </w:rPr>
        <w:t>learning</w:t>
      </w:r>
      <w:r>
        <w:rPr>
          <w:color w:val="231F20"/>
          <w:spacing w:val="28"/>
          <w:w w:val="105"/>
        </w:rPr>
        <w:t xml:space="preserve"> </w:t>
      </w:r>
      <w:r>
        <w:rPr>
          <w:color w:val="231F20"/>
          <w:w w:val="105"/>
        </w:rPr>
        <w:t>priority.</w:t>
      </w:r>
      <w:r>
        <w:rPr>
          <w:color w:val="231F20"/>
          <w:w w:val="105"/>
          <w:position w:val="8"/>
          <w:sz w:val="12"/>
        </w:rPr>
        <w:t>5</w:t>
      </w:r>
    </w:p>
    <w:p w:rsidR="00B05397" w:rsidRDefault="00856287">
      <w:pPr>
        <w:pStyle w:val="BodyText"/>
        <w:spacing w:line="280" w:lineRule="auto"/>
        <w:ind w:left="120" w:right="107" w:firstLine="339"/>
        <w:rPr>
          <w:sz w:val="16"/>
        </w:rPr>
      </w:pPr>
      <w:r>
        <w:rPr>
          <w:color w:val="231F20"/>
          <w:w w:val="105"/>
        </w:rPr>
        <w:t xml:space="preserve">We noted in the beginning that </w:t>
      </w:r>
      <w:r>
        <w:rPr>
          <w:rFonts w:ascii="Cambria" w:hAnsi="Cambria"/>
          <w:i/>
          <w:color w:val="231F20"/>
          <w:w w:val="105"/>
        </w:rPr>
        <w:t xml:space="preserve">might </w:t>
      </w:r>
      <w:r>
        <w:rPr>
          <w:color w:val="231F20"/>
          <w:w w:val="105"/>
        </w:rPr>
        <w:t xml:space="preserve">could legitimately  be  seen  as  an indicator of a more remote possibility than </w:t>
      </w:r>
      <w:r>
        <w:rPr>
          <w:rFonts w:ascii="Cambria" w:hAnsi="Cambria"/>
          <w:i/>
          <w:color w:val="231F20"/>
          <w:w w:val="105"/>
        </w:rPr>
        <w:t xml:space="preserve">may  </w:t>
      </w:r>
      <w:r>
        <w:rPr>
          <w:color w:val="231F20"/>
          <w:w w:val="105"/>
        </w:rPr>
        <w:t>due to its historical status as a      past tense form (and thus more removed as a possibility). It can also sometimes</w:t>
      </w:r>
      <w:r>
        <w:rPr>
          <w:color w:val="231F20"/>
          <w:spacing w:val="49"/>
          <w:w w:val="105"/>
        </w:rPr>
        <w:t xml:space="preserve"> </w:t>
      </w:r>
      <w:r>
        <w:rPr>
          <w:color w:val="231F20"/>
          <w:w w:val="105"/>
          <w:position w:val="1"/>
          <w:sz w:val="16"/>
        </w:rPr>
        <w:t xml:space="preserve">25  </w:t>
      </w:r>
      <w:r>
        <w:rPr>
          <w:color w:val="231F20"/>
          <w:w w:val="105"/>
        </w:rPr>
        <w:t>be understood as</w:t>
      </w:r>
      <w:r>
        <w:rPr>
          <w:color w:val="231F20"/>
          <w:spacing w:val="49"/>
          <w:w w:val="105"/>
        </w:rPr>
        <w:t xml:space="preserve"> </w:t>
      </w:r>
      <w:r>
        <w:rPr>
          <w:color w:val="231F20"/>
          <w:w w:val="105"/>
        </w:rPr>
        <w:t>more</w:t>
      </w:r>
      <w:r>
        <w:rPr>
          <w:color w:val="231F20"/>
          <w:spacing w:val="49"/>
          <w:w w:val="105"/>
        </w:rPr>
        <w:t xml:space="preserve"> </w:t>
      </w:r>
      <w:r>
        <w:rPr>
          <w:color w:val="231F20"/>
          <w:w w:val="105"/>
        </w:rPr>
        <w:t>tentative</w:t>
      </w:r>
      <w:r>
        <w:rPr>
          <w:color w:val="231F20"/>
          <w:spacing w:val="49"/>
          <w:w w:val="105"/>
        </w:rPr>
        <w:t xml:space="preserve"> </w:t>
      </w:r>
      <w:r>
        <w:rPr>
          <w:color w:val="231F20"/>
          <w:w w:val="105"/>
        </w:rPr>
        <w:t>than</w:t>
      </w:r>
      <w:r>
        <w:rPr>
          <w:color w:val="231F20"/>
          <w:spacing w:val="49"/>
          <w:w w:val="105"/>
        </w:rPr>
        <w:t xml:space="preserve"> </w:t>
      </w:r>
      <w:r>
        <w:rPr>
          <w:rFonts w:ascii="Cambria" w:hAnsi="Cambria"/>
          <w:i/>
          <w:color w:val="231F20"/>
          <w:w w:val="105"/>
        </w:rPr>
        <w:t xml:space="preserve">may  </w:t>
      </w:r>
      <w:r>
        <w:rPr>
          <w:color w:val="231F20"/>
          <w:w w:val="105"/>
        </w:rPr>
        <w:t>at</w:t>
      </w:r>
      <w:r>
        <w:rPr>
          <w:color w:val="231F20"/>
          <w:spacing w:val="49"/>
          <w:w w:val="105"/>
        </w:rPr>
        <w:t xml:space="preserve"> </w:t>
      </w:r>
      <w:r>
        <w:rPr>
          <w:color w:val="231F20"/>
          <w:w w:val="105"/>
        </w:rPr>
        <w:t>le</w:t>
      </w:r>
      <w:r>
        <w:rPr>
          <w:color w:val="231F20"/>
          <w:w w:val="105"/>
        </w:rPr>
        <w:t>ast</w:t>
      </w:r>
      <w:r>
        <w:rPr>
          <w:color w:val="231F20"/>
          <w:spacing w:val="49"/>
          <w:w w:val="105"/>
        </w:rPr>
        <w:t xml:space="preserve"> </w:t>
      </w:r>
      <w:r>
        <w:rPr>
          <w:color w:val="231F20"/>
          <w:w w:val="105"/>
        </w:rPr>
        <w:t>by</w:t>
      </w:r>
      <w:r>
        <w:rPr>
          <w:color w:val="231F20"/>
          <w:spacing w:val="49"/>
          <w:w w:val="105"/>
        </w:rPr>
        <w:t xml:space="preserve"> </w:t>
      </w:r>
      <w:r>
        <w:rPr>
          <w:color w:val="231F20"/>
          <w:w w:val="105"/>
        </w:rPr>
        <w:t>some</w:t>
      </w:r>
      <w:r>
        <w:rPr>
          <w:color w:val="231F20"/>
          <w:spacing w:val="49"/>
          <w:w w:val="105"/>
        </w:rPr>
        <w:t xml:space="preserve"> </w:t>
      </w:r>
      <w:r>
        <w:rPr>
          <w:color w:val="231F20"/>
          <w:w w:val="105"/>
        </w:rPr>
        <w:t xml:space="preserve">speakers  (Huddleston and Pullum 2002: 200). In any case, it seems that the L2 instruction   with regard to </w:t>
      </w:r>
      <w:r>
        <w:rPr>
          <w:rFonts w:ascii="Cambria" w:hAnsi="Cambria"/>
          <w:i/>
          <w:color w:val="231F20"/>
          <w:w w:val="105"/>
        </w:rPr>
        <w:t xml:space="preserve">may </w:t>
      </w:r>
      <w:r>
        <w:rPr>
          <w:color w:val="231F20"/>
          <w:w w:val="105"/>
        </w:rPr>
        <w:t xml:space="preserve">and </w:t>
      </w:r>
      <w:r>
        <w:rPr>
          <w:rFonts w:ascii="Cambria" w:hAnsi="Cambria"/>
          <w:i/>
          <w:color w:val="231F20"/>
          <w:w w:val="105"/>
        </w:rPr>
        <w:t xml:space="preserve">might </w:t>
      </w:r>
      <w:r>
        <w:rPr>
          <w:color w:val="231F20"/>
          <w:w w:val="105"/>
        </w:rPr>
        <w:t>needs to be more subtle and much more context-</w:t>
      </w:r>
      <w:r>
        <w:rPr>
          <w:color w:val="231F20"/>
          <w:spacing w:val="49"/>
          <w:w w:val="105"/>
        </w:rPr>
        <w:t xml:space="preserve"> </w:t>
      </w:r>
      <w:r>
        <w:rPr>
          <w:color w:val="231F20"/>
          <w:w w:val="105"/>
        </w:rPr>
        <w:t>driven so that the (non)equivalence in meaning and use is given and explain</w:t>
      </w:r>
      <w:r>
        <w:rPr>
          <w:color w:val="231F20"/>
          <w:w w:val="105"/>
        </w:rPr>
        <w:t xml:space="preserve">ed   </w:t>
      </w:r>
      <w:r>
        <w:rPr>
          <w:color w:val="231F20"/>
          <w:spacing w:val="49"/>
          <w:w w:val="105"/>
        </w:rPr>
        <w:t xml:space="preserve"> </w:t>
      </w:r>
      <w:r>
        <w:rPr>
          <w:color w:val="231F20"/>
          <w:w w:val="105"/>
        </w:rPr>
        <w:t>more accurately to the learners, whereby there is a clear  indication  of  the</w:t>
      </w:r>
      <w:r>
        <w:rPr>
          <w:color w:val="231F20"/>
          <w:spacing w:val="49"/>
          <w:w w:val="105"/>
        </w:rPr>
        <w:t xml:space="preserve"> </w:t>
      </w:r>
      <w:r>
        <w:rPr>
          <w:color w:val="231F20"/>
          <w:w w:val="105"/>
          <w:position w:val="1"/>
          <w:sz w:val="16"/>
        </w:rPr>
        <w:t xml:space="preserve">30  </w:t>
      </w:r>
      <w:r>
        <w:rPr>
          <w:color w:val="231F20"/>
          <w:w w:val="105"/>
        </w:rPr>
        <w:t xml:space="preserve">context  in  which  any  two  forms  are  interchangeable  and  those  when  they  are not. The indiscriminate differentiation  of  </w:t>
      </w:r>
      <w:r>
        <w:rPr>
          <w:rFonts w:ascii="Cambria" w:hAnsi="Cambria"/>
          <w:i/>
          <w:color w:val="231F20"/>
          <w:w w:val="105"/>
        </w:rPr>
        <w:t xml:space="preserve">may  </w:t>
      </w:r>
      <w:r>
        <w:rPr>
          <w:color w:val="231F20"/>
          <w:w w:val="105"/>
        </w:rPr>
        <w:t xml:space="preserve">vs.  </w:t>
      </w:r>
      <w:r>
        <w:rPr>
          <w:rFonts w:ascii="Cambria" w:hAnsi="Cambria"/>
          <w:i/>
          <w:color w:val="231F20"/>
          <w:w w:val="105"/>
        </w:rPr>
        <w:t xml:space="preserve">might  </w:t>
      </w:r>
      <w:r>
        <w:rPr>
          <w:color w:val="231F20"/>
          <w:w w:val="105"/>
        </w:rPr>
        <w:t xml:space="preserve">based  on  higher </w:t>
      </w:r>
      <w:r>
        <w:rPr>
          <w:color w:val="231F20"/>
          <w:w w:val="105"/>
        </w:rPr>
        <w:t xml:space="preserve"> vs. lower possibility respectively gets instilled in the L2 learners</w:t>
      </w:r>
      <w:r>
        <w:rPr>
          <w:rFonts w:ascii="Calibri" w:hAnsi="Calibri"/>
          <w:color w:val="231F20"/>
          <w:w w:val="105"/>
        </w:rPr>
        <w:t xml:space="preserve">’ </w:t>
      </w:r>
      <w:r>
        <w:rPr>
          <w:color w:val="231F20"/>
          <w:w w:val="105"/>
        </w:rPr>
        <w:t xml:space="preserve">minds, persists throughout the life span and may (or might!) be hard to shake off. As we saw in     this empirical study, it can have significant practical consequences in different    </w:t>
      </w:r>
      <w:r>
        <w:rPr>
          <w:color w:val="231F20"/>
          <w:w w:val="105"/>
        </w:rPr>
        <w:t xml:space="preserve">   </w:t>
      </w:r>
      <w:r>
        <w:rPr>
          <w:color w:val="231F20"/>
          <w:spacing w:val="15"/>
          <w:w w:val="105"/>
        </w:rPr>
        <w:t xml:space="preserve"> </w:t>
      </w:r>
      <w:r>
        <w:rPr>
          <w:color w:val="231F20"/>
          <w:w w:val="105"/>
          <w:position w:val="1"/>
          <w:sz w:val="16"/>
        </w:rPr>
        <w:t>35</w:t>
      </w:r>
    </w:p>
    <w:p w:rsidR="00B05397" w:rsidRDefault="00856287">
      <w:pPr>
        <w:pStyle w:val="ListParagraph"/>
        <w:numPr>
          <w:ilvl w:val="0"/>
          <w:numId w:val="2"/>
        </w:numPr>
        <w:tabs>
          <w:tab w:val="left" w:pos="279"/>
          <w:tab w:val="right" w:pos="6985"/>
        </w:tabs>
        <w:spacing w:before="409" w:line="271" w:lineRule="auto"/>
        <w:ind w:right="99" w:firstLine="0"/>
        <w:rPr>
          <w:rFonts w:ascii="Calibri" w:hAnsi="Calibri"/>
          <w:color w:val="231F20"/>
          <w:sz w:val="16"/>
        </w:rPr>
      </w:pPr>
      <w:r>
        <w:pict>
          <v:line id="_x0000_s1028" style="position:absolute;left:0;text-align:left;z-index:1384;mso-position-horizontal-relative:page" from="51pt,16.1pt" to="80.9pt,16.1pt" strokecolor="#231f20" strokeweight=".52mm">
            <w10:wrap anchorx="page"/>
          </v:line>
        </w:pict>
      </w:r>
      <w:r>
        <w:rPr>
          <w:color w:val="231F20"/>
          <w:w w:val="105"/>
          <w:sz w:val="16"/>
        </w:rPr>
        <w:t xml:space="preserve">The need for more emphasis on pragmatics  in  L2  instruction  is  not  relevant  just  for  the </w:t>
      </w:r>
      <w:r>
        <w:rPr>
          <w:rFonts w:ascii="Calibri" w:hAnsi="Calibri"/>
          <w:color w:val="231F20"/>
          <w:w w:val="105"/>
          <w:sz w:val="16"/>
        </w:rPr>
        <w:t>“</w:t>
      </w:r>
      <w:r>
        <w:rPr>
          <w:color w:val="231F20"/>
          <w:w w:val="105"/>
          <w:sz w:val="16"/>
        </w:rPr>
        <w:t>English  as  an  L2</w:t>
      </w:r>
      <w:r>
        <w:rPr>
          <w:rFonts w:ascii="Calibri" w:hAnsi="Calibri"/>
          <w:color w:val="231F20"/>
          <w:w w:val="105"/>
          <w:sz w:val="16"/>
        </w:rPr>
        <w:t xml:space="preserve">”  </w:t>
      </w:r>
      <w:r>
        <w:rPr>
          <w:color w:val="231F20"/>
          <w:w w:val="105"/>
          <w:sz w:val="16"/>
        </w:rPr>
        <w:t xml:space="preserve">context,  but  also  for  other  languages  taught  as  L2s.  A  rare  and  excellent effort resulting in a book that addresses </w:t>
      </w:r>
      <w:r>
        <w:rPr>
          <w:color w:val="231F20"/>
          <w:w w:val="105"/>
          <w:sz w:val="16"/>
        </w:rPr>
        <w:t xml:space="preserve">this particular need is found in the context of teaching Spanish as an L2, by Pinto and de </w:t>
      </w:r>
      <w:r>
        <w:rPr>
          <w:color w:val="231F20"/>
          <w:spacing w:val="39"/>
          <w:w w:val="105"/>
          <w:sz w:val="16"/>
        </w:rPr>
        <w:t xml:space="preserve"> </w:t>
      </w:r>
      <w:r>
        <w:rPr>
          <w:color w:val="231F20"/>
          <w:w w:val="105"/>
          <w:sz w:val="16"/>
        </w:rPr>
        <w:t>Pablos-Ortega</w:t>
      </w:r>
      <w:r>
        <w:rPr>
          <w:color w:val="231F20"/>
          <w:spacing w:val="10"/>
          <w:w w:val="105"/>
          <w:sz w:val="16"/>
        </w:rPr>
        <w:t xml:space="preserve"> </w:t>
      </w:r>
      <w:r>
        <w:rPr>
          <w:color w:val="231F20"/>
          <w:w w:val="105"/>
          <w:sz w:val="16"/>
        </w:rPr>
        <w:t>2014).</w:t>
      </w:r>
      <w:r>
        <w:rPr>
          <w:color w:val="231F20"/>
          <w:w w:val="105"/>
          <w:position w:val="1"/>
          <w:sz w:val="16"/>
        </w:rPr>
        <w:tab/>
        <w:t>40</w:t>
      </w:r>
    </w:p>
    <w:p w:rsidR="00B05397" w:rsidRDefault="00B05397">
      <w:pPr>
        <w:spacing w:line="271" w:lineRule="auto"/>
        <w:rPr>
          <w:rFonts w:ascii="Calibri" w:hAnsi="Calibri"/>
          <w:sz w:val="16"/>
        </w:rPr>
        <w:sectPr w:rsidR="00B05397">
          <w:pgSz w:w="8790" w:h="13040"/>
          <w:pgMar w:top="700" w:right="800" w:bottom="280" w:left="900" w:header="517" w:footer="0" w:gutter="0"/>
          <w:cols w:space="720"/>
        </w:sectPr>
      </w:pPr>
    </w:p>
    <w:p w:rsidR="00B05397" w:rsidRDefault="00B05397">
      <w:pPr>
        <w:pStyle w:val="BodyText"/>
        <w:rPr>
          <w:sz w:val="18"/>
        </w:rPr>
      </w:pPr>
    </w:p>
    <w:p w:rsidR="00B05397" w:rsidRDefault="00B05397">
      <w:pPr>
        <w:pStyle w:val="BodyText"/>
        <w:rPr>
          <w:sz w:val="18"/>
        </w:rPr>
      </w:pPr>
    </w:p>
    <w:p w:rsidR="00B05397" w:rsidRDefault="00856287">
      <w:pPr>
        <w:pStyle w:val="BodyText"/>
        <w:spacing w:before="104" w:line="285" w:lineRule="auto"/>
        <w:ind w:left="110" w:right="220"/>
      </w:pPr>
      <w:r>
        <w:rPr>
          <w:color w:val="231F20"/>
          <w:w w:val="110"/>
        </w:rPr>
        <w:t xml:space="preserve">contexts of communication, in this case, legal in relation to witness assessment </w:t>
      </w:r>
      <w:r>
        <w:rPr>
          <w:color w:val="231F20"/>
          <w:w w:val="110"/>
          <w:position w:val="1"/>
          <w:sz w:val="16"/>
        </w:rPr>
        <w:t xml:space="preserve">1 </w:t>
      </w:r>
      <w:r>
        <w:rPr>
          <w:color w:val="231F20"/>
          <w:w w:val="110"/>
        </w:rPr>
        <w:t>but these findings can easily be extended to medical and educational contexts,  for example, as well as contexts of general social, professional and personal information exchange.</w:t>
      </w:r>
    </w:p>
    <w:p w:rsidR="00B05397" w:rsidRDefault="00856287">
      <w:pPr>
        <w:spacing w:before="18"/>
        <w:ind w:right="210"/>
        <w:jc w:val="right"/>
        <w:rPr>
          <w:sz w:val="16"/>
        </w:rPr>
      </w:pPr>
      <w:r>
        <w:rPr>
          <w:color w:val="231F20"/>
          <w:w w:val="93"/>
          <w:sz w:val="16"/>
        </w:rPr>
        <w:t>5</w:t>
      </w:r>
    </w:p>
    <w:p w:rsidR="00B05397" w:rsidRDefault="00B05397">
      <w:pPr>
        <w:pStyle w:val="BodyText"/>
        <w:rPr>
          <w:sz w:val="16"/>
        </w:rPr>
      </w:pPr>
    </w:p>
    <w:p w:rsidR="00B05397" w:rsidRDefault="00B05397">
      <w:pPr>
        <w:pStyle w:val="BodyText"/>
        <w:spacing w:before="6"/>
        <w:rPr>
          <w:sz w:val="14"/>
        </w:rPr>
      </w:pPr>
    </w:p>
    <w:p w:rsidR="00B05397" w:rsidRDefault="00856287">
      <w:pPr>
        <w:pStyle w:val="Heading1"/>
        <w:ind w:left="110"/>
        <w:jc w:val="both"/>
      </w:pPr>
      <w:r>
        <w:rPr>
          <w:color w:val="231F20"/>
        </w:rPr>
        <w:t>5</w:t>
      </w:r>
      <w:r>
        <w:rPr>
          <w:color w:val="231F20"/>
          <w:spacing w:val="51"/>
        </w:rPr>
        <w:t xml:space="preserve"> </w:t>
      </w:r>
      <w:r>
        <w:rPr>
          <w:color w:val="231F20"/>
        </w:rPr>
        <w:t>Conclusion</w:t>
      </w:r>
    </w:p>
    <w:p w:rsidR="00B05397" w:rsidRDefault="00B05397">
      <w:pPr>
        <w:pStyle w:val="BodyText"/>
        <w:spacing w:before="7"/>
        <w:rPr>
          <w:rFonts w:ascii="Trebuchet MS"/>
          <w:sz w:val="23"/>
        </w:rPr>
      </w:pPr>
    </w:p>
    <w:p w:rsidR="00B05397" w:rsidRDefault="00856287">
      <w:pPr>
        <w:pStyle w:val="BodyText"/>
        <w:spacing w:line="178" w:lineRule="exact"/>
        <w:ind w:left="110"/>
        <w:jc w:val="both"/>
      </w:pPr>
      <w:r>
        <w:rPr>
          <w:color w:val="231F20"/>
          <w:w w:val="110"/>
        </w:rPr>
        <w:t>Our aim in this paper was to determine whether there was a</w:t>
      </w:r>
      <w:r>
        <w:rPr>
          <w:color w:val="231F20"/>
          <w:w w:val="110"/>
        </w:rPr>
        <w:t>ny perceived</w:t>
      </w:r>
    </w:p>
    <w:p w:rsidR="00B05397" w:rsidRDefault="00856287">
      <w:pPr>
        <w:spacing w:line="110" w:lineRule="exact"/>
        <w:ind w:right="129"/>
        <w:jc w:val="right"/>
        <w:rPr>
          <w:sz w:val="16"/>
        </w:rPr>
      </w:pPr>
      <w:r>
        <w:rPr>
          <w:color w:val="231F20"/>
          <w:w w:val="95"/>
          <w:sz w:val="16"/>
        </w:rPr>
        <w:t>10</w:t>
      </w:r>
    </w:p>
    <w:p w:rsidR="00B05397" w:rsidRDefault="00856287">
      <w:pPr>
        <w:pStyle w:val="BodyText"/>
        <w:spacing w:line="190" w:lineRule="exact"/>
        <w:ind w:left="110"/>
        <w:jc w:val="both"/>
      </w:pPr>
      <w:r>
        <w:rPr>
          <w:color w:val="231F20"/>
          <w:w w:val="110"/>
        </w:rPr>
        <w:t xml:space="preserve">difference in the interpretation of expressions using </w:t>
      </w:r>
      <w:r>
        <w:rPr>
          <w:rFonts w:ascii="Cambria"/>
          <w:i/>
          <w:color w:val="231F20"/>
          <w:w w:val="110"/>
        </w:rPr>
        <w:t xml:space="preserve">may </w:t>
      </w:r>
      <w:r>
        <w:rPr>
          <w:color w:val="231F20"/>
          <w:w w:val="110"/>
        </w:rPr>
        <w:t xml:space="preserve">vs. </w:t>
      </w:r>
      <w:r>
        <w:rPr>
          <w:rFonts w:ascii="Cambria"/>
          <w:i/>
          <w:color w:val="231F20"/>
          <w:w w:val="110"/>
        </w:rPr>
        <w:t xml:space="preserve">might </w:t>
      </w:r>
      <w:r>
        <w:rPr>
          <w:color w:val="231F20"/>
          <w:w w:val="110"/>
        </w:rPr>
        <w:t>and whether</w:t>
      </w:r>
    </w:p>
    <w:p w:rsidR="00B05397" w:rsidRDefault="00856287">
      <w:pPr>
        <w:pStyle w:val="BodyText"/>
        <w:spacing w:before="40" w:line="285" w:lineRule="auto"/>
        <w:ind w:left="110" w:right="398"/>
        <w:jc w:val="both"/>
      </w:pPr>
      <w:r>
        <w:rPr>
          <w:color w:val="231F20"/>
          <w:w w:val="110"/>
        </w:rPr>
        <w:t>the difference, if any, was observed in both native and non-native English- speaking populations. Our results clearly indicate that there is indeed a signifi- cant</w:t>
      </w:r>
      <w:r>
        <w:rPr>
          <w:color w:val="231F20"/>
          <w:spacing w:val="-16"/>
          <w:w w:val="110"/>
        </w:rPr>
        <w:t xml:space="preserve"> </w:t>
      </w:r>
      <w:r>
        <w:rPr>
          <w:color w:val="231F20"/>
          <w:w w:val="110"/>
        </w:rPr>
        <w:t>difference</w:t>
      </w:r>
      <w:r>
        <w:rPr>
          <w:color w:val="231F20"/>
          <w:spacing w:val="-17"/>
          <w:w w:val="110"/>
        </w:rPr>
        <w:t xml:space="preserve"> </w:t>
      </w:r>
      <w:r>
        <w:rPr>
          <w:color w:val="231F20"/>
          <w:w w:val="110"/>
        </w:rPr>
        <w:t>and</w:t>
      </w:r>
      <w:r>
        <w:rPr>
          <w:color w:val="231F20"/>
          <w:spacing w:val="-17"/>
          <w:w w:val="110"/>
        </w:rPr>
        <w:t xml:space="preserve"> </w:t>
      </w:r>
      <w:r>
        <w:rPr>
          <w:color w:val="231F20"/>
          <w:w w:val="110"/>
        </w:rPr>
        <w:t>that</w:t>
      </w:r>
      <w:r>
        <w:rPr>
          <w:color w:val="231F20"/>
          <w:spacing w:val="-17"/>
          <w:w w:val="110"/>
        </w:rPr>
        <w:t xml:space="preserve"> </w:t>
      </w:r>
      <w:r>
        <w:rPr>
          <w:color w:val="231F20"/>
          <w:w w:val="110"/>
        </w:rPr>
        <w:t>it</w:t>
      </w:r>
      <w:r>
        <w:rPr>
          <w:color w:val="231F20"/>
          <w:spacing w:val="-16"/>
          <w:w w:val="110"/>
        </w:rPr>
        <w:t xml:space="preserve"> </w:t>
      </w:r>
      <w:r>
        <w:rPr>
          <w:color w:val="231F20"/>
          <w:w w:val="110"/>
        </w:rPr>
        <w:t>is</w:t>
      </w:r>
      <w:r>
        <w:rPr>
          <w:color w:val="231F20"/>
          <w:spacing w:val="-17"/>
          <w:w w:val="110"/>
        </w:rPr>
        <w:t xml:space="preserve"> </w:t>
      </w:r>
      <w:r>
        <w:rPr>
          <w:color w:val="231F20"/>
          <w:w w:val="110"/>
        </w:rPr>
        <w:t>motivated</w:t>
      </w:r>
      <w:r>
        <w:rPr>
          <w:color w:val="231F20"/>
          <w:spacing w:val="-17"/>
          <w:w w:val="110"/>
        </w:rPr>
        <w:t xml:space="preserve"> </w:t>
      </w:r>
      <w:r>
        <w:rPr>
          <w:color w:val="231F20"/>
          <w:w w:val="110"/>
        </w:rPr>
        <w:t>by</w:t>
      </w:r>
      <w:r>
        <w:rPr>
          <w:color w:val="231F20"/>
          <w:spacing w:val="-17"/>
          <w:w w:val="110"/>
        </w:rPr>
        <w:t xml:space="preserve"> </w:t>
      </w:r>
      <w:r>
        <w:rPr>
          <w:color w:val="231F20"/>
          <w:w w:val="110"/>
        </w:rPr>
        <w:t>the</w:t>
      </w:r>
      <w:r>
        <w:rPr>
          <w:color w:val="231F20"/>
          <w:spacing w:val="-17"/>
          <w:w w:val="110"/>
        </w:rPr>
        <w:t xml:space="preserve"> </w:t>
      </w:r>
      <w:r>
        <w:rPr>
          <w:color w:val="231F20"/>
          <w:w w:val="110"/>
        </w:rPr>
        <w:t>L1</w:t>
      </w:r>
      <w:r>
        <w:rPr>
          <w:color w:val="231F20"/>
          <w:spacing w:val="-16"/>
          <w:w w:val="110"/>
        </w:rPr>
        <w:t xml:space="preserve"> </w:t>
      </w:r>
      <w:r>
        <w:rPr>
          <w:color w:val="231F20"/>
          <w:w w:val="110"/>
        </w:rPr>
        <w:t>vs.</w:t>
      </w:r>
      <w:r>
        <w:rPr>
          <w:color w:val="231F20"/>
          <w:spacing w:val="-17"/>
          <w:w w:val="110"/>
        </w:rPr>
        <w:t xml:space="preserve"> </w:t>
      </w:r>
      <w:r>
        <w:rPr>
          <w:color w:val="231F20"/>
          <w:w w:val="110"/>
        </w:rPr>
        <w:t>L2</w:t>
      </w:r>
      <w:r>
        <w:rPr>
          <w:color w:val="231F20"/>
          <w:spacing w:val="-16"/>
          <w:w w:val="110"/>
        </w:rPr>
        <w:t xml:space="preserve"> </w:t>
      </w:r>
      <w:r>
        <w:rPr>
          <w:color w:val="231F20"/>
          <w:w w:val="110"/>
        </w:rPr>
        <w:t>English</w:t>
      </w:r>
      <w:r>
        <w:rPr>
          <w:color w:val="231F20"/>
          <w:spacing w:val="-17"/>
          <w:w w:val="110"/>
        </w:rPr>
        <w:t xml:space="preserve"> </w:t>
      </w:r>
      <w:r>
        <w:rPr>
          <w:color w:val="231F20"/>
          <w:w w:val="110"/>
        </w:rPr>
        <w:t>learning</w:t>
      </w:r>
      <w:r>
        <w:rPr>
          <w:color w:val="231F20"/>
          <w:spacing w:val="-17"/>
          <w:w w:val="110"/>
        </w:rPr>
        <w:t xml:space="preserve"> </w:t>
      </w:r>
      <w:r>
        <w:rPr>
          <w:color w:val="231F20"/>
          <w:w w:val="110"/>
        </w:rPr>
        <w:t>and</w:t>
      </w:r>
      <w:r>
        <w:rPr>
          <w:color w:val="231F20"/>
          <w:spacing w:val="-17"/>
          <w:w w:val="110"/>
        </w:rPr>
        <w:t xml:space="preserve"> </w:t>
      </w:r>
      <w:r>
        <w:rPr>
          <w:color w:val="231F20"/>
          <w:w w:val="110"/>
        </w:rPr>
        <w:t>use.</w:t>
      </w:r>
    </w:p>
    <w:p w:rsidR="00B05397" w:rsidRDefault="00856287">
      <w:pPr>
        <w:pStyle w:val="BodyText"/>
        <w:spacing w:line="178" w:lineRule="exact"/>
        <w:ind w:left="110"/>
        <w:jc w:val="both"/>
      </w:pPr>
      <w:r>
        <w:rPr>
          <w:color w:val="231F20"/>
          <w:w w:val="110"/>
        </w:rPr>
        <w:t xml:space="preserve">Non-native speakers judge expressions with </w:t>
      </w:r>
      <w:r>
        <w:rPr>
          <w:rFonts w:ascii="Cambria"/>
          <w:i/>
          <w:color w:val="231F20"/>
          <w:w w:val="110"/>
        </w:rPr>
        <w:t xml:space="preserve">may </w:t>
      </w:r>
      <w:r>
        <w:rPr>
          <w:color w:val="231F20"/>
          <w:w w:val="110"/>
        </w:rPr>
        <w:t>to be referring to a higher</w:t>
      </w:r>
    </w:p>
    <w:p w:rsidR="00B05397" w:rsidRDefault="00856287">
      <w:pPr>
        <w:spacing w:line="110" w:lineRule="exact"/>
        <w:ind w:right="145"/>
        <w:jc w:val="right"/>
        <w:rPr>
          <w:sz w:val="16"/>
        </w:rPr>
      </w:pPr>
      <w:r>
        <w:rPr>
          <w:color w:val="231F20"/>
          <w:w w:val="85"/>
          <w:sz w:val="16"/>
        </w:rPr>
        <w:t>15</w:t>
      </w:r>
    </w:p>
    <w:p w:rsidR="00B05397" w:rsidRDefault="00856287">
      <w:pPr>
        <w:pStyle w:val="BodyText"/>
        <w:spacing w:line="191" w:lineRule="exact"/>
        <w:ind w:left="110"/>
        <w:jc w:val="both"/>
      </w:pPr>
      <w:r>
        <w:rPr>
          <w:color w:val="231F20"/>
          <w:w w:val="105"/>
        </w:rPr>
        <w:t xml:space="preserve">possibility  of  occurrence  than  those  with  </w:t>
      </w:r>
      <w:r>
        <w:rPr>
          <w:rFonts w:ascii="Cambria"/>
          <w:i/>
          <w:color w:val="231F20"/>
          <w:w w:val="105"/>
        </w:rPr>
        <w:t>might</w:t>
      </w:r>
      <w:r>
        <w:rPr>
          <w:color w:val="231F20"/>
          <w:w w:val="105"/>
        </w:rPr>
        <w:t>,  unlike  their  native  English-</w:t>
      </w:r>
    </w:p>
    <w:p w:rsidR="00B05397" w:rsidRDefault="00856287">
      <w:pPr>
        <w:pStyle w:val="BodyText"/>
        <w:spacing w:before="39" w:line="280" w:lineRule="auto"/>
        <w:ind w:left="110" w:right="398"/>
        <w:jc w:val="both"/>
      </w:pPr>
      <w:r>
        <w:rPr>
          <w:color w:val="231F20"/>
          <w:w w:val="110"/>
        </w:rPr>
        <w:t>speaking peers, who draw no such distinction. By the same token, witnesses using</w:t>
      </w:r>
      <w:r>
        <w:rPr>
          <w:color w:val="231F20"/>
          <w:spacing w:val="-9"/>
          <w:w w:val="110"/>
        </w:rPr>
        <w:t xml:space="preserve"> </w:t>
      </w:r>
      <w:r>
        <w:rPr>
          <w:rFonts w:ascii="Cambria"/>
          <w:i/>
          <w:color w:val="231F20"/>
          <w:w w:val="110"/>
        </w:rPr>
        <w:t>may</w:t>
      </w:r>
      <w:r>
        <w:rPr>
          <w:rFonts w:ascii="Cambria"/>
          <w:i/>
          <w:color w:val="231F20"/>
          <w:spacing w:val="-4"/>
          <w:w w:val="110"/>
        </w:rPr>
        <w:t xml:space="preserve"> </w:t>
      </w:r>
      <w:r>
        <w:rPr>
          <w:color w:val="231F20"/>
          <w:w w:val="110"/>
        </w:rPr>
        <w:t>are</w:t>
      </w:r>
      <w:r>
        <w:rPr>
          <w:color w:val="231F20"/>
          <w:spacing w:val="-10"/>
          <w:w w:val="110"/>
        </w:rPr>
        <w:t xml:space="preserve"> </w:t>
      </w:r>
      <w:r>
        <w:rPr>
          <w:color w:val="231F20"/>
          <w:w w:val="110"/>
        </w:rPr>
        <w:t>c</w:t>
      </w:r>
      <w:r>
        <w:rPr>
          <w:color w:val="231F20"/>
          <w:w w:val="110"/>
        </w:rPr>
        <w:t>onsidered</w:t>
      </w:r>
      <w:r>
        <w:rPr>
          <w:color w:val="231F20"/>
          <w:spacing w:val="-10"/>
          <w:w w:val="110"/>
        </w:rPr>
        <w:t xml:space="preserve"> </w:t>
      </w:r>
      <w:r>
        <w:rPr>
          <w:color w:val="231F20"/>
          <w:w w:val="110"/>
        </w:rPr>
        <w:t>more</w:t>
      </w:r>
      <w:r>
        <w:rPr>
          <w:color w:val="231F20"/>
          <w:spacing w:val="-9"/>
          <w:w w:val="110"/>
        </w:rPr>
        <w:t xml:space="preserve"> </w:t>
      </w:r>
      <w:r>
        <w:rPr>
          <w:color w:val="231F20"/>
          <w:w w:val="110"/>
        </w:rPr>
        <w:t>certain</w:t>
      </w:r>
      <w:r>
        <w:rPr>
          <w:color w:val="231F20"/>
          <w:spacing w:val="-9"/>
          <w:w w:val="110"/>
        </w:rPr>
        <w:t xml:space="preserve"> </w:t>
      </w:r>
      <w:r>
        <w:rPr>
          <w:color w:val="231F20"/>
          <w:w w:val="110"/>
        </w:rPr>
        <w:t>and</w:t>
      </w:r>
      <w:r>
        <w:rPr>
          <w:color w:val="231F20"/>
          <w:spacing w:val="-10"/>
          <w:w w:val="110"/>
        </w:rPr>
        <w:t xml:space="preserve"> </w:t>
      </w:r>
      <w:r>
        <w:rPr>
          <w:color w:val="231F20"/>
          <w:w w:val="110"/>
        </w:rPr>
        <w:t>reliable</w:t>
      </w:r>
      <w:r>
        <w:rPr>
          <w:color w:val="231F20"/>
          <w:spacing w:val="-10"/>
          <w:w w:val="110"/>
        </w:rPr>
        <w:t xml:space="preserve"> </w:t>
      </w:r>
      <w:r>
        <w:rPr>
          <w:color w:val="231F20"/>
          <w:w w:val="110"/>
        </w:rPr>
        <w:t>than</w:t>
      </w:r>
      <w:r>
        <w:rPr>
          <w:color w:val="231F20"/>
          <w:spacing w:val="-10"/>
          <w:w w:val="110"/>
        </w:rPr>
        <w:t xml:space="preserve"> </w:t>
      </w:r>
      <w:r>
        <w:rPr>
          <w:color w:val="231F20"/>
          <w:w w:val="110"/>
        </w:rPr>
        <w:t>those</w:t>
      </w:r>
      <w:r>
        <w:rPr>
          <w:color w:val="231F20"/>
          <w:spacing w:val="-10"/>
          <w:w w:val="110"/>
        </w:rPr>
        <w:t xml:space="preserve"> </w:t>
      </w:r>
      <w:r>
        <w:rPr>
          <w:color w:val="231F20"/>
          <w:w w:val="110"/>
        </w:rPr>
        <w:t>using</w:t>
      </w:r>
      <w:r>
        <w:rPr>
          <w:color w:val="231F20"/>
          <w:spacing w:val="-9"/>
          <w:w w:val="110"/>
        </w:rPr>
        <w:t xml:space="preserve"> </w:t>
      </w:r>
      <w:r>
        <w:rPr>
          <w:rFonts w:ascii="Cambria"/>
          <w:i/>
          <w:color w:val="231F20"/>
          <w:w w:val="110"/>
        </w:rPr>
        <w:t>might</w:t>
      </w:r>
      <w:r>
        <w:rPr>
          <w:rFonts w:ascii="Cambria"/>
          <w:i/>
          <w:color w:val="231F20"/>
          <w:spacing w:val="-3"/>
          <w:w w:val="110"/>
        </w:rPr>
        <w:t xml:space="preserve"> </w:t>
      </w:r>
      <w:r>
        <w:rPr>
          <w:color w:val="231F20"/>
          <w:w w:val="110"/>
        </w:rPr>
        <w:t>only by  the  non-native  speakers  while  this  is  not  the  judgement  of  the</w:t>
      </w:r>
      <w:r>
        <w:rPr>
          <w:color w:val="231F20"/>
          <w:spacing w:val="39"/>
          <w:w w:val="110"/>
        </w:rPr>
        <w:t xml:space="preserve"> </w:t>
      </w:r>
      <w:r>
        <w:rPr>
          <w:color w:val="231F20"/>
          <w:w w:val="110"/>
        </w:rPr>
        <w:t>native</w:t>
      </w:r>
    </w:p>
    <w:p w:rsidR="00B05397" w:rsidRDefault="00856287">
      <w:pPr>
        <w:pStyle w:val="BodyText"/>
        <w:spacing w:before="4" w:line="178" w:lineRule="exact"/>
        <w:ind w:left="110"/>
        <w:jc w:val="both"/>
      </w:pPr>
      <w:r>
        <w:rPr>
          <w:color w:val="231F20"/>
          <w:w w:val="110"/>
        </w:rPr>
        <w:t>speakers.</w:t>
      </w:r>
    </w:p>
    <w:p w:rsidR="00B05397" w:rsidRDefault="00856287">
      <w:pPr>
        <w:spacing w:line="113" w:lineRule="exact"/>
        <w:ind w:right="124"/>
        <w:jc w:val="right"/>
        <w:rPr>
          <w:sz w:val="16"/>
        </w:rPr>
      </w:pPr>
      <w:r>
        <w:rPr>
          <w:color w:val="231F20"/>
          <w:sz w:val="16"/>
        </w:rPr>
        <w:t>20</w:t>
      </w:r>
    </w:p>
    <w:p w:rsidR="00B05397" w:rsidRDefault="00856287">
      <w:pPr>
        <w:pStyle w:val="BodyText"/>
        <w:spacing w:line="187" w:lineRule="exact"/>
        <w:ind w:left="110" w:right="126" w:firstLine="339"/>
      </w:pPr>
      <w:r>
        <w:rPr>
          <w:color w:val="231F20"/>
          <w:w w:val="105"/>
        </w:rPr>
        <w:t>This finding has serious implications for many contexts of communication</w:t>
      </w:r>
    </w:p>
    <w:p w:rsidR="00B05397" w:rsidRDefault="00856287">
      <w:pPr>
        <w:pStyle w:val="BodyText"/>
        <w:spacing w:before="40" w:line="285" w:lineRule="auto"/>
        <w:ind w:left="110" w:right="398"/>
        <w:jc w:val="both"/>
      </w:pPr>
      <w:r>
        <w:rPr>
          <w:color w:val="231F20"/>
          <w:w w:val="105"/>
        </w:rPr>
        <w:t>and social activity. As we pointed out in the Introduction, the percentage of non- native English speakers in an English-speaking society is significant and thus it   is very likely that many non-native speakers of English will be assuming   socially</w:t>
      </w:r>
    </w:p>
    <w:p w:rsidR="00B05397" w:rsidRDefault="00856287">
      <w:pPr>
        <w:pStyle w:val="BodyText"/>
        <w:spacing w:before="1" w:line="178" w:lineRule="exact"/>
        <w:ind w:left="110"/>
        <w:jc w:val="both"/>
      </w:pPr>
      <w:r>
        <w:rPr>
          <w:color w:val="231F20"/>
          <w:w w:val="105"/>
        </w:rPr>
        <w:t>impor</w:t>
      </w:r>
      <w:r>
        <w:rPr>
          <w:color w:val="231F20"/>
          <w:w w:val="105"/>
        </w:rPr>
        <w:t>tant roles, jurors being just one of them. It is therefore important to draw</w:t>
      </w:r>
    </w:p>
    <w:p w:rsidR="00B05397" w:rsidRDefault="00856287">
      <w:pPr>
        <w:spacing w:line="112" w:lineRule="exact"/>
        <w:ind w:right="140"/>
        <w:jc w:val="right"/>
        <w:rPr>
          <w:sz w:val="16"/>
        </w:rPr>
      </w:pPr>
      <w:r>
        <w:rPr>
          <w:color w:val="231F20"/>
          <w:w w:val="90"/>
          <w:sz w:val="16"/>
        </w:rPr>
        <w:t>25</w:t>
      </w:r>
    </w:p>
    <w:p w:rsidR="00B05397" w:rsidRDefault="00856287">
      <w:pPr>
        <w:pStyle w:val="BodyText"/>
        <w:spacing w:line="187" w:lineRule="exact"/>
        <w:ind w:left="110"/>
        <w:jc w:val="both"/>
      </w:pPr>
      <w:r>
        <w:rPr>
          <w:color w:val="231F20"/>
          <w:w w:val="110"/>
        </w:rPr>
        <w:t>attention to the possibility that certain differences in meaning and    communi-</w:t>
      </w:r>
    </w:p>
    <w:p w:rsidR="00B05397" w:rsidRDefault="00856287">
      <w:pPr>
        <w:pStyle w:val="BodyText"/>
        <w:spacing w:before="41" w:line="285" w:lineRule="auto"/>
        <w:ind w:left="110" w:right="398"/>
        <w:jc w:val="both"/>
      </w:pPr>
      <w:r>
        <w:rPr>
          <w:color w:val="231F20"/>
          <w:w w:val="105"/>
        </w:rPr>
        <w:t>cated information may be caused by how English was acquired. One of such aspects of English was illustrated in the present study in the  context  of  mock jury judgement. The effect of the differences we revealed and discussed here   can</w:t>
      </w:r>
    </w:p>
    <w:p w:rsidR="00B05397" w:rsidRDefault="00856287">
      <w:pPr>
        <w:pStyle w:val="BodyText"/>
        <w:spacing w:line="178" w:lineRule="exact"/>
        <w:ind w:left="110"/>
        <w:jc w:val="both"/>
      </w:pPr>
      <w:r>
        <w:rPr>
          <w:color w:val="231F20"/>
          <w:w w:val="110"/>
        </w:rPr>
        <w:t>have a  bearing  o</w:t>
      </w:r>
      <w:r>
        <w:rPr>
          <w:color w:val="231F20"/>
          <w:w w:val="110"/>
        </w:rPr>
        <w:t>n how  we  form our  beliefs  and  pass  judgement in   many</w:t>
      </w:r>
    </w:p>
    <w:p w:rsidR="00B05397" w:rsidRDefault="00856287">
      <w:pPr>
        <w:spacing w:line="112" w:lineRule="exact"/>
        <w:ind w:right="117"/>
        <w:jc w:val="right"/>
        <w:rPr>
          <w:sz w:val="16"/>
        </w:rPr>
      </w:pPr>
      <w:r>
        <w:rPr>
          <w:color w:val="231F20"/>
          <w:sz w:val="16"/>
        </w:rPr>
        <w:t>30</w:t>
      </w:r>
    </w:p>
    <w:p w:rsidR="00B05397" w:rsidRDefault="00856287">
      <w:pPr>
        <w:pStyle w:val="BodyText"/>
        <w:spacing w:line="187" w:lineRule="exact"/>
        <w:ind w:left="110"/>
        <w:jc w:val="both"/>
      </w:pPr>
      <w:r>
        <w:rPr>
          <w:color w:val="231F20"/>
          <w:w w:val="105"/>
        </w:rPr>
        <w:t>different  circumstances.  For  instance,  we  can  decide  which  witness  we  trust</w:t>
      </w:r>
    </w:p>
    <w:p w:rsidR="00B05397" w:rsidRDefault="00856287">
      <w:pPr>
        <w:pStyle w:val="BodyText"/>
        <w:spacing w:before="41" w:line="285" w:lineRule="auto"/>
        <w:ind w:left="110" w:right="398"/>
        <w:jc w:val="both"/>
      </w:pPr>
      <w:r>
        <w:rPr>
          <w:color w:val="231F20"/>
          <w:w w:val="105"/>
        </w:rPr>
        <w:t>more or which version of an event is more persuasive. In other contexts, we can perhaps interpret medicall</w:t>
      </w:r>
      <w:r>
        <w:rPr>
          <w:color w:val="231F20"/>
          <w:w w:val="105"/>
        </w:rPr>
        <w:t xml:space="preserve">y relevant information as more or less likely to affect </w:t>
      </w:r>
      <w:r>
        <w:rPr>
          <w:color w:val="231F20"/>
          <w:spacing w:val="49"/>
          <w:w w:val="105"/>
        </w:rPr>
        <w:t xml:space="preserve"> </w:t>
      </w:r>
      <w:r>
        <w:rPr>
          <w:color w:val="231F20"/>
          <w:w w:val="105"/>
        </w:rPr>
        <w:t xml:space="preserve">us (see Trbojevic  for a  cross-linguistic study  on modality in  this area).  We </w:t>
      </w:r>
      <w:r>
        <w:rPr>
          <w:color w:val="231F20"/>
          <w:spacing w:val="19"/>
          <w:w w:val="105"/>
        </w:rPr>
        <w:t xml:space="preserve"> </w:t>
      </w:r>
      <w:r>
        <w:rPr>
          <w:color w:val="231F20"/>
          <w:w w:val="105"/>
        </w:rPr>
        <w:t>can</w:t>
      </w:r>
    </w:p>
    <w:p w:rsidR="00B05397" w:rsidRDefault="00856287">
      <w:pPr>
        <w:pStyle w:val="BodyText"/>
        <w:spacing w:line="178" w:lineRule="exact"/>
        <w:ind w:left="110"/>
        <w:jc w:val="both"/>
      </w:pPr>
      <w:r>
        <w:rPr>
          <w:color w:val="231F20"/>
          <w:w w:val="105"/>
        </w:rPr>
        <w:t>envisage further studies looking into potential and real effects of many more</w:t>
      </w:r>
    </w:p>
    <w:p w:rsidR="00B05397" w:rsidRDefault="00856287">
      <w:pPr>
        <w:spacing w:line="113" w:lineRule="exact"/>
        <w:ind w:right="134"/>
        <w:jc w:val="right"/>
        <w:rPr>
          <w:sz w:val="16"/>
        </w:rPr>
      </w:pPr>
      <w:r>
        <w:rPr>
          <w:color w:val="231F20"/>
          <w:w w:val="95"/>
          <w:sz w:val="16"/>
        </w:rPr>
        <w:t>35</w:t>
      </w:r>
    </w:p>
    <w:p w:rsidR="00B05397" w:rsidRDefault="00856287">
      <w:pPr>
        <w:pStyle w:val="BodyText"/>
        <w:spacing w:line="188" w:lineRule="exact"/>
        <w:ind w:left="110"/>
        <w:jc w:val="both"/>
      </w:pPr>
      <w:r>
        <w:rPr>
          <w:color w:val="231F20"/>
          <w:w w:val="110"/>
        </w:rPr>
        <w:t>aspects of native vs. non-nativ</w:t>
      </w:r>
      <w:r>
        <w:rPr>
          <w:color w:val="231F20"/>
          <w:w w:val="110"/>
        </w:rPr>
        <w:t>e English use, as well as the relevant cross-</w:t>
      </w:r>
    </w:p>
    <w:p w:rsidR="00B05397" w:rsidRDefault="00856287">
      <w:pPr>
        <w:pStyle w:val="BodyText"/>
        <w:spacing w:before="40" w:line="285" w:lineRule="auto"/>
        <w:ind w:left="110" w:right="398"/>
        <w:jc w:val="both"/>
      </w:pPr>
      <w:r>
        <w:rPr>
          <w:color w:val="231F20"/>
          <w:w w:val="110"/>
        </w:rPr>
        <w:t>linguistic contrasts in grammar and use that have impact for education and language-driven activities, such as translation (see Filipovic in press for more details).</w:t>
      </w:r>
    </w:p>
    <w:p w:rsidR="00B05397" w:rsidRDefault="00856287">
      <w:pPr>
        <w:spacing w:before="138"/>
        <w:ind w:right="109"/>
        <w:jc w:val="right"/>
        <w:rPr>
          <w:sz w:val="16"/>
        </w:rPr>
      </w:pPr>
      <w:r>
        <w:rPr>
          <w:color w:val="231F20"/>
          <w:w w:val="110"/>
          <w:sz w:val="16"/>
        </w:rPr>
        <w:t>40</w:t>
      </w:r>
    </w:p>
    <w:p w:rsidR="00B05397" w:rsidRDefault="00B05397">
      <w:pPr>
        <w:jc w:val="right"/>
        <w:rPr>
          <w:sz w:val="16"/>
        </w:rPr>
        <w:sectPr w:rsidR="00B05397">
          <w:pgSz w:w="8790" w:h="13040"/>
          <w:pgMar w:top="720" w:right="620" w:bottom="280" w:left="1080" w:header="538" w:footer="0" w:gutter="0"/>
          <w:cols w:space="720"/>
        </w:sectPr>
      </w:pPr>
    </w:p>
    <w:p w:rsidR="00B05397" w:rsidRDefault="00B05397">
      <w:pPr>
        <w:pStyle w:val="BodyText"/>
        <w:rPr>
          <w:sz w:val="20"/>
        </w:rPr>
      </w:pPr>
    </w:p>
    <w:p w:rsidR="00B05397" w:rsidRDefault="00B05397">
      <w:pPr>
        <w:pStyle w:val="BodyText"/>
        <w:spacing w:before="4"/>
        <w:rPr>
          <w:sz w:val="20"/>
        </w:rPr>
      </w:pPr>
    </w:p>
    <w:p w:rsidR="00B05397" w:rsidRDefault="00856287">
      <w:pPr>
        <w:pStyle w:val="BodyText"/>
        <w:spacing w:before="74" w:line="278" w:lineRule="auto"/>
        <w:ind w:left="100" w:right="275" w:firstLine="339"/>
      </w:pPr>
      <w:r>
        <w:rPr>
          <w:color w:val="231F20"/>
          <w:w w:val="110"/>
        </w:rPr>
        <w:t xml:space="preserve">We have pointed out that in some cases there is clearly no overlap in the </w:t>
      </w:r>
      <w:r>
        <w:rPr>
          <w:color w:val="231F20"/>
          <w:w w:val="110"/>
          <w:position w:val="1"/>
          <w:sz w:val="16"/>
        </w:rPr>
        <w:t xml:space="preserve">1 </w:t>
      </w:r>
      <w:r>
        <w:rPr>
          <w:color w:val="231F20"/>
          <w:w w:val="110"/>
        </w:rPr>
        <w:t xml:space="preserve">meaning and use of </w:t>
      </w:r>
      <w:r>
        <w:rPr>
          <w:rFonts w:ascii="Cambria" w:hAnsi="Cambria"/>
          <w:i/>
          <w:color w:val="231F20"/>
          <w:w w:val="110"/>
        </w:rPr>
        <w:t xml:space="preserve">may </w:t>
      </w:r>
      <w:r>
        <w:rPr>
          <w:color w:val="231F20"/>
          <w:w w:val="110"/>
        </w:rPr>
        <w:t xml:space="preserve">and </w:t>
      </w:r>
      <w:r>
        <w:rPr>
          <w:rFonts w:ascii="Cambria" w:hAnsi="Cambria"/>
          <w:i/>
          <w:color w:val="231F20"/>
          <w:w w:val="110"/>
        </w:rPr>
        <w:t xml:space="preserve">might </w:t>
      </w:r>
      <w:r>
        <w:rPr>
          <w:color w:val="231F20"/>
          <w:w w:val="110"/>
        </w:rPr>
        <w:t xml:space="preserve">(e. g. counterfactual). We can also say that, grammatically, it may be possible to argue that </w:t>
      </w:r>
      <w:r>
        <w:rPr>
          <w:rFonts w:ascii="Cambria" w:hAnsi="Cambria"/>
          <w:i/>
          <w:color w:val="231F20"/>
          <w:w w:val="110"/>
        </w:rPr>
        <w:t xml:space="preserve">may </w:t>
      </w:r>
      <w:r>
        <w:rPr>
          <w:color w:val="231F20"/>
          <w:w w:val="110"/>
        </w:rPr>
        <w:t xml:space="preserve">can indeed sometimes be understood to refer to a higher probability than </w:t>
      </w:r>
      <w:r>
        <w:rPr>
          <w:rFonts w:ascii="Cambria" w:hAnsi="Cambria"/>
          <w:i/>
          <w:color w:val="231F20"/>
          <w:w w:val="110"/>
        </w:rPr>
        <w:t xml:space="preserve">might </w:t>
      </w:r>
      <w:r>
        <w:rPr>
          <w:color w:val="231F20"/>
          <w:w w:val="110"/>
        </w:rPr>
        <w:t xml:space="preserve">(for historical and prag- matic reasons related to tentativeness and politeness, as discussed). Possibly, </w:t>
      </w:r>
      <w:r>
        <w:rPr>
          <w:color w:val="231F20"/>
          <w:w w:val="110"/>
          <w:position w:val="1"/>
          <w:sz w:val="16"/>
        </w:rPr>
        <w:t xml:space="preserve">5 </w:t>
      </w:r>
      <w:r>
        <w:rPr>
          <w:color w:val="231F20"/>
          <w:w w:val="110"/>
        </w:rPr>
        <w:t>this may be the case at the highest end of scale, as in example (8) a</w:t>
      </w:r>
      <w:r>
        <w:rPr>
          <w:color w:val="231F20"/>
          <w:w w:val="110"/>
        </w:rPr>
        <w:t xml:space="preserve">bove. The construction in that example, if changed from </w:t>
      </w:r>
      <w:r>
        <w:rPr>
          <w:rFonts w:ascii="Calibri" w:hAnsi="Calibri"/>
          <w:color w:val="231F20"/>
          <w:w w:val="110"/>
        </w:rPr>
        <w:t>‘</w:t>
      </w:r>
      <w:r>
        <w:rPr>
          <w:color w:val="231F20"/>
          <w:w w:val="110"/>
        </w:rPr>
        <w:t>may almost certainly have qualified</w:t>
      </w:r>
      <w:r>
        <w:rPr>
          <w:rFonts w:ascii="Calibri" w:hAnsi="Calibri"/>
          <w:color w:val="231F20"/>
          <w:w w:val="110"/>
        </w:rPr>
        <w:t xml:space="preserve">’ </w:t>
      </w:r>
      <w:r>
        <w:rPr>
          <w:color w:val="231F20"/>
          <w:w w:val="110"/>
        </w:rPr>
        <w:t xml:space="preserve">to </w:t>
      </w:r>
      <w:r>
        <w:rPr>
          <w:rFonts w:ascii="Calibri" w:hAnsi="Calibri"/>
          <w:color w:val="231F20"/>
          <w:w w:val="110"/>
        </w:rPr>
        <w:t>‘</w:t>
      </w:r>
      <w:r>
        <w:rPr>
          <w:color w:val="231F20"/>
          <w:w w:val="110"/>
        </w:rPr>
        <w:t>might almost certainly have qualified</w:t>
      </w:r>
      <w:r>
        <w:rPr>
          <w:rFonts w:ascii="Calibri" w:hAnsi="Calibri"/>
          <w:color w:val="231F20"/>
          <w:w w:val="110"/>
        </w:rPr>
        <w:t>’</w:t>
      </w:r>
      <w:r>
        <w:rPr>
          <w:color w:val="231F20"/>
          <w:w w:val="110"/>
        </w:rPr>
        <w:t>, would sound unacceptable or</w:t>
      </w:r>
      <w:r>
        <w:rPr>
          <w:color w:val="231F20"/>
          <w:spacing w:val="-17"/>
          <w:w w:val="110"/>
        </w:rPr>
        <w:t xml:space="preserve"> </w:t>
      </w:r>
      <w:r>
        <w:rPr>
          <w:color w:val="231F20"/>
          <w:w w:val="110"/>
        </w:rPr>
        <w:t>at</w:t>
      </w:r>
      <w:r>
        <w:rPr>
          <w:color w:val="231F20"/>
          <w:spacing w:val="-17"/>
          <w:w w:val="110"/>
        </w:rPr>
        <w:t xml:space="preserve"> </w:t>
      </w:r>
      <w:r>
        <w:rPr>
          <w:color w:val="231F20"/>
          <w:w w:val="110"/>
        </w:rPr>
        <w:t>least,</w:t>
      </w:r>
      <w:r>
        <w:rPr>
          <w:color w:val="231F20"/>
          <w:spacing w:val="-17"/>
          <w:w w:val="110"/>
        </w:rPr>
        <w:t xml:space="preserve"> </w:t>
      </w:r>
      <w:r>
        <w:rPr>
          <w:color w:val="231F20"/>
          <w:w w:val="110"/>
        </w:rPr>
        <w:t>inadequate,</w:t>
      </w:r>
      <w:r>
        <w:rPr>
          <w:color w:val="231F20"/>
          <w:spacing w:val="-17"/>
          <w:w w:val="110"/>
        </w:rPr>
        <w:t xml:space="preserve"> </w:t>
      </w:r>
      <w:r>
        <w:rPr>
          <w:color w:val="231F20"/>
          <w:w w:val="110"/>
        </w:rPr>
        <w:t>and</w:t>
      </w:r>
      <w:r>
        <w:rPr>
          <w:color w:val="231F20"/>
          <w:spacing w:val="-17"/>
          <w:w w:val="110"/>
        </w:rPr>
        <w:t xml:space="preserve"> </w:t>
      </w:r>
      <w:r>
        <w:rPr>
          <w:color w:val="231F20"/>
          <w:w w:val="110"/>
        </w:rPr>
        <w:t>in</w:t>
      </w:r>
      <w:r>
        <w:rPr>
          <w:color w:val="231F20"/>
          <w:spacing w:val="-17"/>
          <w:w w:val="110"/>
        </w:rPr>
        <w:t xml:space="preserve"> </w:t>
      </w:r>
      <w:r>
        <w:rPr>
          <w:color w:val="231F20"/>
          <w:w w:val="110"/>
        </w:rPr>
        <w:t>fact</w:t>
      </w:r>
      <w:r>
        <w:rPr>
          <w:color w:val="231F20"/>
          <w:spacing w:val="-17"/>
          <w:w w:val="110"/>
        </w:rPr>
        <w:t xml:space="preserve"> </w:t>
      </w:r>
      <w:r>
        <w:rPr>
          <w:color w:val="231F20"/>
          <w:w w:val="110"/>
        </w:rPr>
        <w:t>there</w:t>
      </w:r>
      <w:r>
        <w:rPr>
          <w:color w:val="231F20"/>
          <w:spacing w:val="-17"/>
          <w:w w:val="110"/>
        </w:rPr>
        <w:t xml:space="preserve"> </w:t>
      </w:r>
      <w:r>
        <w:rPr>
          <w:color w:val="231F20"/>
          <w:w w:val="110"/>
        </w:rPr>
        <w:t>are</w:t>
      </w:r>
      <w:r>
        <w:rPr>
          <w:color w:val="231F20"/>
          <w:spacing w:val="-17"/>
          <w:w w:val="110"/>
        </w:rPr>
        <w:t xml:space="preserve"> </w:t>
      </w:r>
      <w:r>
        <w:rPr>
          <w:color w:val="231F20"/>
          <w:w w:val="110"/>
        </w:rPr>
        <w:t>no</w:t>
      </w:r>
      <w:r>
        <w:rPr>
          <w:color w:val="231F20"/>
          <w:spacing w:val="-17"/>
          <w:w w:val="110"/>
        </w:rPr>
        <w:t xml:space="preserve"> </w:t>
      </w:r>
      <w:r>
        <w:rPr>
          <w:color w:val="231F20"/>
          <w:w w:val="110"/>
        </w:rPr>
        <w:t>BNC</w:t>
      </w:r>
      <w:r>
        <w:rPr>
          <w:color w:val="231F20"/>
          <w:spacing w:val="-17"/>
          <w:w w:val="110"/>
        </w:rPr>
        <w:t xml:space="preserve"> </w:t>
      </w:r>
      <w:r>
        <w:rPr>
          <w:color w:val="231F20"/>
          <w:w w:val="110"/>
        </w:rPr>
        <w:t>examples</w:t>
      </w:r>
      <w:r>
        <w:rPr>
          <w:color w:val="231F20"/>
          <w:spacing w:val="-17"/>
          <w:w w:val="110"/>
        </w:rPr>
        <w:t xml:space="preserve"> </w:t>
      </w:r>
      <w:r>
        <w:rPr>
          <w:color w:val="231F20"/>
          <w:w w:val="110"/>
        </w:rPr>
        <w:t>with</w:t>
      </w:r>
      <w:r>
        <w:rPr>
          <w:color w:val="231F20"/>
          <w:spacing w:val="-17"/>
          <w:w w:val="110"/>
        </w:rPr>
        <w:t xml:space="preserve"> </w:t>
      </w:r>
      <w:r>
        <w:rPr>
          <w:rFonts w:ascii="Cambria" w:hAnsi="Cambria"/>
          <w:i/>
          <w:color w:val="231F20"/>
          <w:w w:val="110"/>
        </w:rPr>
        <w:t>might</w:t>
      </w:r>
      <w:r>
        <w:rPr>
          <w:rFonts w:ascii="Cambria" w:hAnsi="Cambria"/>
          <w:i/>
          <w:color w:val="231F20"/>
          <w:spacing w:val="-10"/>
          <w:w w:val="110"/>
        </w:rPr>
        <w:t xml:space="preserve"> </w:t>
      </w:r>
      <w:r>
        <w:rPr>
          <w:color w:val="231F20"/>
          <w:w w:val="110"/>
        </w:rPr>
        <w:t>in</w:t>
      </w:r>
      <w:r>
        <w:rPr>
          <w:color w:val="231F20"/>
          <w:spacing w:val="-17"/>
          <w:w w:val="110"/>
        </w:rPr>
        <w:t xml:space="preserve"> </w:t>
      </w:r>
      <w:r>
        <w:rPr>
          <w:color w:val="231F20"/>
          <w:w w:val="110"/>
        </w:rPr>
        <w:t>such</w:t>
      </w:r>
    </w:p>
    <w:p w:rsidR="00B05397" w:rsidRDefault="00856287">
      <w:pPr>
        <w:pStyle w:val="BodyText"/>
        <w:spacing w:before="3" w:line="283" w:lineRule="auto"/>
        <w:ind w:left="100" w:right="114"/>
      </w:pPr>
      <w:r>
        <w:rPr>
          <w:color w:val="231F20"/>
          <w:w w:val="110"/>
        </w:rPr>
        <w:t>contexts</w:t>
      </w:r>
      <w:r>
        <w:rPr>
          <w:color w:val="231F20"/>
          <w:spacing w:val="-12"/>
          <w:w w:val="110"/>
        </w:rPr>
        <w:t xml:space="preserve"> </w:t>
      </w:r>
      <w:r>
        <w:rPr>
          <w:color w:val="231F20"/>
          <w:w w:val="110"/>
        </w:rPr>
        <w:t>of</w:t>
      </w:r>
      <w:r>
        <w:rPr>
          <w:color w:val="231F20"/>
          <w:spacing w:val="-13"/>
          <w:w w:val="110"/>
        </w:rPr>
        <w:t xml:space="preserve"> </w:t>
      </w:r>
      <w:r>
        <w:rPr>
          <w:color w:val="231F20"/>
          <w:w w:val="110"/>
        </w:rPr>
        <w:t>high</w:t>
      </w:r>
      <w:r>
        <w:rPr>
          <w:color w:val="231F20"/>
          <w:spacing w:val="-11"/>
          <w:w w:val="110"/>
        </w:rPr>
        <w:t xml:space="preserve"> </w:t>
      </w:r>
      <w:r>
        <w:rPr>
          <w:color w:val="231F20"/>
          <w:w w:val="110"/>
        </w:rPr>
        <w:t>certainty.</w:t>
      </w:r>
      <w:r>
        <w:rPr>
          <w:color w:val="231F20"/>
          <w:spacing w:val="-13"/>
          <w:w w:val="110"/>
        </w:rPr>
        <w:t xml:space="preserve"> </w:t>
      </w:r>
      <w:r>
        <w:rPr>
          <w:color w:val="231F20"/>
          <w:w w:val="110"/>
        </w:rPr>
        <w:t>However,</w:t>
      </w:r>
      <w:r>
        <w:rPr>
          <w:color w:val="231F20"/>
          <w:spacing w:val="-12"/>
          <w:w w:val="110"/>
        </w:rPr>
        <w:t xml:space="preserve"> </w:t>
      </w:r>
      <w:r>
        <w:rPr>
          <w:color w:val="231F20"/>
          <w:w w:val="110"/>
        </w:rPr>
        <w:t>there</w:t>
      </w:r>
      <w:r>
        <w:rPr>
          <w:color w:val="231F20"/>
          <w:spacing w:val="-11"/>
          <w:w w:val="110"/>
        </w:rPr>
        <w:t xml:space="preserve"> </w:t>
      </w:r>
      <w:r>
        <w:rPr>
          <w:color w:val="231F20"/>
          <w:w w:val="110"/>
        </w:rPr>
        <w:t>seems</w:t>
      </w:r>
      <w:r>
        <w:rPr>
          <w:color w:val="231F20"/>
          <w:spacing w:val="-13"/>
          <w:w w:val="110"/>
        </w:rPr>
        <w:t xml:space="preserve"> </w:t>
      </w:r>
      <w:r>
        <w:rPr>
          <w:color w:val="231F20"/>
          <w:w w:val="110"/>
        </w:rPr>
        <w:t>to</w:t>
      </w:r>
      <w:r>
        <w:rPr>
          <w:color w:val="231F20"/>
          <w:spacing w:val="-13"/>
          <w:w w:val="110"/>
        </w:rPr>
        <w:t xml:space="preserve"> </w:t>
      </w:r>
      <w:r>
        <w:rPr>
          <w:color w:val="231F20"/>
          <w:w w:val="110"/>
        </w:rPr>
        <w:t>be</w:t>
      </w:r>
      <w:r>
        <w:rPr>
          <w:color w:val="231F20"/>
          <w:spacing w:val="-12"/>
          <w:w w:val="110"/>
        </w:rPr>
        <w:t xml:space="preserve"> </w:t>
      </w:r>
      <w:r>
        <w:rPr>
          <w:color w:val="231F20"/>
          <w:w w:val="110"/>
        </w:rPr>
        <w:t>no</w:t>
      </w:r>
      <w:r>
        <w:rPr>
          <w:color w:val="231F20"/>
          <w:spacing w:val="-12"/>
          <w:w w:val="110"/>
        </w:rPr>
        <w:t xml:space="preserve"> </w:t>
      </w:r>
      <w:r>
        <w:rPr>
          <w:color w:val="231F20"/>
          <w:w w:val="110"/>
        </w:rPr>
        <w:t>difference</w:t>
      </w:r>
      <w:r>
        <w:rPr>
          <w:color w:val="231F20"/>
          <w:spacing w:val="-13"/>
          <w:w w:val="110"/>
        </w:rPr>
        <w:t xml:space="preserve"> </w:t>
      </w:r>
      <w:r>
        <w:rPr>
          <w:color w:val="231F20"/>
          <w:w w:val="110"/>
        </w:rPr>
        <w:t>in,</w:t>
      </w:r>
      <w:r>
        <w:rPr>
          <w:color w:val="231F20"/>
          <w:spacing w:val="-12"/>
          <w:w w:val="110"/>
        </w:rPr>
        <w:t xml:space="preserve"> </w:t>
      </w:r>
      <w:r>
        <w:rPr>
          <w:color w:val="231F20"/>
          <w:w w:val="110"/>
        </w:rPr>
        <w:t>what</w:t>
      </w:r>
      <w:r>
        <w:rPr>
          <w:color w:val="231F20"/>
          <w:spacing w:val="-12"/>
          <w:w w:val="110"/>
        </w:rPr>
        <w:t xml:space="preserve"> </w:t>
      </w:r>
      <w:r>
        <w:rPr>
          <w:color w:val="231F20"/>
          <w:w w:val="110"/>
        </w:rPr>
        <w:t>we</w:t>
      </w:r>
      <w:r>
        <w:rPr>
          <w:color w:val="231F20"/>
          <w:spacing w:val="34"/>
          <w:w w:val="110"/>
        </w:rPr>
        <w:t xml:space="preserve"> </w:t>
      </w:r>
      <w:r>
        <w:rPr>
          <w:color w:val="231F20"/>
          <w:w w:val="110"/>
          <w:position w:val="1"/>
          <w:sz w:val="16"/>
        </w:rPr>
        <w:t xml:space="preserve">10 </w:t>
      </w:r>
      <w:r>
        <w:rPr>
          <w:color w:val="231F20"/>
          <w:w w:val="110"/>
        </w:rPr>
        <w:t xml:space="preserve">provisionally term here, the </w:t>
      </w:r>
      <w:r>
        <w:rPr>
          <w:rFonts w:ascii="Cambria"/>
          <w:i/>
          <w:color w:val="231F20"/>
          <w:w w:val="110"/>
        </w:rPr>
        <w:t xml:space="preserve">middle possibility zone </w:t>
      </w:r>
      <w:r>
        <w:rPr>
          <w:color w:val="231F20"/>
          <w:w w:val="110"/>
        </w:rPr>
        <w:t>for L1 English speakers, where the possibility is not characterised as convincingly a very high one. This middle zone elicits the difference in interpretation in L2 English speakers and because it was no particular L1 that seems to be causing this differen</w:t>
      </w:r>
      <w:r>
        <w:rPr>
          <w:color w:val="231F20"/>
          <w:w w:val="110"/>
        </w:rPr>
        <w:t>ce we concluded that it must be the teaching and learning of English as an L2 that</w:t>
      </w:r>
      <w:r>
        <w:rPr>
          <w:color w:val="231F20"/>
          <w:spacing w:val="-36"/>
          <w:w w:val="110"/>
        </w:rPr>
        <w:t xml:space="preserve"> </w:t>
      </w:r>
      <w:r>
        <w:rPr>
          <w:color w:val="231F20"/>
          <w:w w:val="110"/>
        </w:rPr>
        <w:t xml:space="preserve">has </w:t>
      </w:r>
      <w:r>
        <w:rPr>
          <w:color w:val="231F20"/>
          <w:w w:val="110"/>
          <w:position w:val="1"/>
          <w:sz w:val="16"/>
        </w:rPr>
        <w:t xml:space="preserve">15 </w:t>
      </w:r>
      <w:r>
        <w:rPr>
          <w:color w:val="231F20"/>
          <w:w w:val="110"/>
        </w:rPr>
        <w:t>affected this outcome. Our study demonstrates the  need  for  subtle,  context- driven, explicit instruction with regard to when there is and when there is no overlap</w:t>
      </w:r>
      <w:r>
        <w:rPr>
          <w:color w:val="231F20"/>
          <w:w w:val="110"/>
        </w:rPr>
        <w:t xml:space="preserve"> in the meaning and use of modal verbs (and grammatical and lexical constructions),</w:t>
      </w:r>
      <w:r>
        <w:rPr>
          <w:color w:val="231F20"/>
          <w:spacing w:val="-8"/>
          <w:w w:val="110"/>
        </w:rPr>
        <w:t xml:space="preserve"> </w:t>
      </w:r>
      <w:r>
        <w:rPr>
          <w:color w:val="231F20"/>
          <w:w w:val="110"/>
        </w:rPr>
        <w:t>in</w:t>
      </w:r>
      <w:r>
        <w:rPr>
          <w:color w:val="231F20"/>
          <w:spacing w:val="-8"/>
          <w:w w:val="110"/>
        </w:rPr>
        <w:t xml:space="preserve"> </w:t>
      </w:r>
      <w:r>
        <w:rPr>
          <w:color w:val="231F20"/>
          <w:w w:val="110"/>
        </w:rPr>
        <w:t>this</w:t>
      </w:r>
      <w:r>
        <w:rPr>
          <w:color w:val="231F20"/>
          <w:spacing w:val="-8"/>
          <w:w w:val="110"/>
        </w:rPr>
        <w:t xml:space="preserve"> </w:t>
      </w:r>
      <w:r>
        <w:rPr>
          <w:color w:val="231F20"/>
          <w:w w:val="110"/>
        </w:rPr>
        <w:t>case,</w:t>
      </w:r>
      <w:r>
        <w:rPr>
          <w:color w:val="231F20"/>
          <w:spacing w:val="-8"/>
          <w:w w:val="110"/>
        </w:rPr>
        <w:t xml:space="preserve"> </w:t>
      </w:r>
      <w:r>
        <w:rPr>
          <w:color w:val="231F20"/>
          <w:w w:val="110"/>
        </w:rPr>
        <w:t>expressions</w:t>
      </w:r>
      <w:r>
        <w:rPr>
          <w:color w:val="231F20"/>
          <w:spacing w:val="-8"/>
          <w:w w:val="110"/>
        </w:rPr>
        <w:t xml:space="preserve"> </w:t>
      </w:r>
      <w:r>
        <w:rPr>
          <w:color w:val="231F20"/>
          <w:w w:val="110"/>
        </w:rPr>
        <w:t>with</w:t>
      </w:r>
      <w:r>
        <w:rPr>
          <w:color w:val="231F20"/>
          <w:spacing w:val="-8"/>
          <w:w w:val="110"/>
        </w:rPr>
        <w:t xml:space="preserve"> </w:t>
      </w:r>
      <w:r>
        <w:rPr>
          <w:rFonts w:ascii="Cambria"/>
          <w:i/>
          <w:color w:val="231F20"/>
          <w:w w:val="110"/>
        </w:rPr>
        <w:t>may</w:t>
      </w:r>
      <w:r>
        <w:rPr>
          <w:rFonts w:ascii="Cambria"/>
          <w:i/>
          <w:color w:val="231F20"/>
          <w:spacing w:val="-3"/>
          <w:w w:val="110"/>
        </w:rPr>
        <w:t xml:space="preserve"> </w:t>
      </w:r>
      <w:r>
        <w:rPr>
          <w:color w:val="231F20"/>
          <w:w w:val="110"/>
        </w:rPr>
        <w:t>and</w:t>
      </w:r>
      <w:r>
        <w:rPr>
          <w:color w:val="231F20"/>
          <w:spacing w:val="-9"/>
          <w:w w:val="110"/>
        </w:rPr>
        <w:t xml:space="preserve"> </w:t>
      </w:r>
      <w:r>
        <w:rPr>
          <w:rFonts w:ascii="Cambria"/>
          <w:i/>
          <w:color w:val="231F20"/>
          <w:w w:val="110"/>
        </w:rPr>
        <w:t>might</w:t>
      </w:r>
      <w:r>
        <w:rPr>
          <w:color w:val="231F20"/>
          <w:w w:val="110"/>
        </w:rPr>
        <w:t>.</w:t>
      </w:r>
    </w:p>
    <w:p w:rsidR="00B05397" w:rsidRDefault="00856287">
      <w:pPr>
        <w:pStyle w:val="BodyText"/>
        <w:spacing w:line="285" w:lineRule="auto"/>
        <w:ind w:left="100" w:right="107" w:firstLine="339"/>
      </w:pPr>
      <w:r>
        <w:rPr>
          <w:color w:val="231F20"/>
          <w:w w:val="110"/>
        </w:rPr>
        <w:t>Finally,</w:t>
      </w:r>
      <w:r>
        <w:rPr>
          <w:color w:val="231F20"/>
          <w:spacing w:val="-12"/>
          <w:w w:val="110"/>
        </w:rPr>
        <w:t xml:space="preserve"> </w:t>
      </w:r>
      <w:r>
        <w:rPr>
          <w:color w:val="231F20"/>
          <w:w w:val="110"/>
        </w:rPr>
        <w:t>this</w:t>
      </w:r>
      <w:r>
        <w:rPr>
          <w:color w:val="231F20"/>
          <w:spacing w:val="-10"/>
          <w:w w:val="110"/>
        </w:rPr>
        <w:t xml:space="preserve"> </w:t>
      </w:r>
      <w:r>
        <w:rPr>
          <w:color w:val="231F20"/>
          <w:w w:val="110"/>
        </w:rPr>
        <w:t>paper</w:t>
      </w:r>
      <w:r>
        <w:rPr>
          <w:color w:val="231F20"/>
          <w:spacing w:val="-11"/>
          <w:w w:val="110"/>
        </w:rPr>
        <w:t xml:space="preserve"> </w:t>
      </w:r>
      <w:r>
        <w:rPr>
          <w:color w:val="231F20"/>
          <w:w w:val="110"/>
        </w:rPr>
        <w:t>serves</w:t>
      </w:r>
      <w:r>
        <w:rPr>
          <w:color w:val="231F20"/>
          <w:spacing w:val="-12"/>
          <w:w w:val="110"/>
        </w:rPr>
        <w:t xml:space="preserve"> </w:t>
      </w:r>
      <w:r>
        <w:rPr>
          <w:color w:val="231F20"/>
          <w:w w:val="110"/>
        </w:rPr>
        <w:t>as</w:t>
      </w:r>
      <w:r>
        <w:rPr>
          <w:color w:val="231F20"/>
          <w:spacing w:val="-12"/>
          <w:w w:val="110"/>
        </w:rPr>
        <w:t xml:space="preserve"> </w:t>
      </w:r>
      <w:r>
        <w:rPr>
          <w:color w:val="231F20"/>
          <w:w w:val="110"/>
        </w:rPr>
        <w:t>a</w:t>
      </w:r>
      <w:r>
        <w:rPr>
          <w:color w:val="231F20"/>
          <w:spacing w:val="-10"/>
          <w:w w:val="110"/>
        </w:rPr>
        <w:t xml:space="preserve"> </w:t>
      </w:r>
      <w:r>
        <w:rPr>
          <w:color w:val="231F20"/>
          <w:spacing w:val="-3"/>
          <w:w w:val="110"/>
        </w:rPr>
        <w:t>demonstration</w:t>
      </w:r>
      <w:r>
        <w:rPr>
          <w:color w:val="231F20"/>
          <w:spacing w:val="-11"/>
          <w:w w:val="110"/>
        </w:rPr>
        <w:t xml:space="preserve"> </w:t>
      </w:r>
      <w:r>
        <w:rPr>
          <w:color w:val="231F20"/>
          <w:w w:val="110"/>
        </w:rPr>
        <w:t>of</w:t>
      </w:r>
      <w:r>
        <w:rPr>
          <w:color w:val="231F20"/>
          <w:spacing w:val="-12"/>
          <w:w w:val="110"/>
        </w:rPr>
        <w:t xml:space="preserve"> </w:t>
      </w:r>
      <w:r>
        <w:rPr>
          <w:color w:val="231F20"/>
          <w:w w:val="110"/>
        </w:rPr>
        <w:t>how</w:t>
      </w:r>
      <w:r>
        <w:rPr>
          <w:color w:val="231F20"/>
          <w:spacing w:val="-11"/>
          <w:w w:val="110"/>
        </w:rPr>
        <w:t xml:space="preserve"> </w:t>
      </w:r>
      <w:r>
        <w:rPr>
          <w:color w:val="231F20"/>
          <w:w w:val="110"/>
        </w:rPr>
        <w:t>intuitions,</w:t>
      </w:r>
      <w:r>
        <w:rPr>
          <w:color w:val="231F20"/>
          <w:spacing w:val="-11"/>
          <w:w w:val="110"/>
        </w:rPr>
        <w:t xml:space="preserve"> </w:t>
      </w:r>
      <w:r>
        <w:rPr>
          <w:color w:val="231F20"/>
          <w:w w:val="110"/>
        </w:rPr>
        <w:t>experimental</w:t>
      </w:r>
      <w:r>
        <w:rPr>
          <w:color w:val="231F20"/>
          <w:spacing w:val="31"/>
          <w:w w:val="110"/>
        </w:rPr>
        <w:t xml:space="preserve"> </w:t>
      </w:r>
      <w:r>
        <w:rPr>
          <w:color w:val="231F20"/>
          <w:w w:val="110"/>
          <w:position w:val="1"/>
          <w:sz w:val="16"/>
        </w:rPr>
        <w:t xml:space="preserve">20 </w:t>
      </w:r>
      <w:r>
        <w:rPr>
          <w:color w:val="231F20"/>
          <w:w w:val="110"/>
        </w:rPr>
        <w:t xml:space="preserve">and corpus evidence can work together for the purpose of revealing aspects of English grammar in use that may have further consequences for the understand- ing of interactions in both L1 and L2 in </w:t>
      </w:r>
      <w:r>
        <w:rPr>
          <w:color w:val="231F20"/>
          <w:spacing w:val="-3"/>
          <w:w w:val="110"/>
        </w:rPr>
        <w:t xml:space="preserve">practical </w:t>
      </w:r>
      <w:r>
        <w:rPr>
          <w:color w:val="231F20"/>
          <w:w w:val="110"/>
        </w:rPr>
        <w:t xml:space="preserve">and professional contexts of communication, such </w:t>
      </w:r>
      <w:r>
        <w:rPr>
          <w:color w:val="231F20"/>
          <w:w w:val="110"/>
        </w:rPr>
        <w:t>as witness testimony and jury judgement. We hope that this approach</w:t>
      </w:r>
      <w:r>
        <w:rPr>
          <w:color w:val="231F20"/>
          <w:spacing w:val="-19"/>
          <w:w w:val="110"/>
        </w:rPr>
        <w:t xml:space="preserve"> </w:t>
      </w:r>
      <w:r>
        <w:rPr>
          <w:color w:val="231F20"/>
          <w:w w:val="110"/>
        </w:rPr>
        <w:t>will</w:t>
      </w:r>
      <w:r>
        <w:rPr>
          <w:color w:val="231F20"/>
          <w:spacing w:val="-20"/>
          <w:w w:val="110"/>
        </w:rPr>
        <w:t xml:space="preserve"> </w:t>
      </w:r>
      <w:r>
        <w:rPr>
          <w:color w:val="231F20"/>
          <w:w w:val="110"/>
        </w:rPr>
        <w:t>inspire</w:t>
      </w:r>
      <w:r>
        <w:rPr>
          <w:color w:val="231F20"/>
          <w:spacing w:val="-19"/>
          <w:w w:val="110"/>
        </w:rPr>
        <w:t xml:space="preserve"> </w:t>
      </w:r>
      <w:r>
        <w:rPr>
          <w:color w:val="231F20"/>
          <w:w w:val="110"/>
        </w:rPr>
        <w:t>further</w:t>
      </w:r>
      <w:r>
        <w:rPr>
          <w:color w:val="231F20"/>
          <w:spacing w:val="-20"/>
          <w:w w:val="110"/>
        </w:rPr>
        <w:t xml:space="preserve"> </w:t>
      </w:r>
      <w:r>
        <w:rPr>
          <w:color w:val="231F20"/>
          <w:w w:val="110"/>
        </w:rPr>
        <w:t>research</w:t>
      </w:r>
      <w:r>
        <w:rPr>
          <w:color w:val="231F20"/>
          <w:spacing w:val="-19"/>
          <w:w w:val="110"/>
        </w:rPr>
        <w:t xml:space="preserve"> </w:t>
      </w:r>
      <w:r>
        <w:rPr>
          <w:color w:val="231F20"/>
          <w:w w:val="110"/>
        </w:rPr>
        <w:t>in</w:t>
      </w:r>
      <w:r>
        <w:rPr>
          <w:color w:val="231F20"/>
          <w:spacing w:val="-20"/>
          <w:w w:val="110"/>
        </w:rPr>
        <w:t xml:space="preserve"> </w:t>
      </w:r>
      <w:r>
        <w:rPr>
          <w:color w:val="231F20"/>
          <w:w w:val="110"/>
        </w:rPr>
        <w:t>the</w:t>
      </w:r>
      <w:r>
        <w:rPr>
          <w:color w:val="231F20"/>
          <w:spacing w:val="-19"/>
          <w:w w:val="110"/>
        </w:rPr>
        <w:t xml:space="preserve"> </w:t>
      </w:r>
      <w:r>
        <w:rPr>
          <w:color w:val="231F20"/>
          <w:w w:val="110"/>
        </w:rPr>
        <w:t>first</w:t>
      </w:r>
      <w:r>
        <w:rPr>
          <w:color w:val="231F20"/>
          <w:spacing w:val="-18"/>
          <w:w w:val="110"/>
        </w:rPr>
        <w:t xml:space="preserve"> </w:t>
      </w:r>
      <w:r>
        <w:rPr>
          <w:color w:val="231F20"/>
          <w:w w:val="110"/>
        </w:rPr>
        <w:t>and</w:t>
      </w:r>
      <w:r>
        <w:rPr>
          <w:color w:val="231F20"/>
          <w:spacing w:val="-19"/>
          <w:w w:val="110"/>
        </w:rPr>
        <w:t xml:space="preserve"> </w:t>
      </w:r>
      <w:r>
        <w:rPr>
          <w:color w:val="231F20"/>
          <w:w w:val="110"/>
        </w:rPr>
        <w:t>second</w:t>
      </w:r>
      <w:r>
        <w:rPr>
          <w:color w:val="231F20"/>
          <w:spacing w:val="-18"/>
          <w:w w:val="110"/>
        </w:rPr>
        <w:t xml:space="preserve"> </w:t>
      </w:r>
      <w:r>
        <w:rPr>
          <w:color w:val="231F20"/>
          <w:w w:val="110"/>
        </w:rPr>
        <w:t>language</w:t>
      </w:r>
      <w:r>
        <w:rPr>
          <w:color w:val="231F20"/>
          <w:spacing w:val="-19"/>
          <w:w w:val="110"/>
        </w:rPr>
        <w:t xml:space="preserve"> </w:t>
      </w:r>
      <w:r>
        <w:rPr>
          <w:color w:val="231F20"/>
          <w:spacing w:val="-3"/>
          <w:w w:val="110"/>
        </w:rPr>
        <w:t>acquisition</w:t>
      </w:r>
      <w:r>
        <w:rPr>
          <w:color w:val="231F20"/>
          <w:spacing w:val="29"/>
          <w:w w:val="110"/>
        </w:rPr>
        <w:t xml:space="preserve"> </w:t>
      </w:r>
      <w:r>
        <w:rPr>
          <w:color w:val="231F20"/>
          <w:w w:val="110"/>
          <w:position w:val="1"/>
          <w:sz w:val="16"/>
        </w:rPr>
        <w:t xml:space="preserve">25 </w:t>
      </w:r>
      <w:r>
        <w:rPr>
          <w:color w:val="231F20"/>
          <w:w w:val="110"/>
        </w:rPr>
        <w:t>in different applied contexts of language research and practice, legal, medical, pedagogical,</w:t>
      </w:r>
      <w:r>
        <w:rPr>
          <w:color w:val="231F20"/>
          <w:spacing w:val="-17"/>
          <w:w w:val="110"/>
        </w:rPr>
        <w:t xml:space="preserve"> </w:t>
      </w:r>
      <w:r>
        <w:rPr>
          <w:color w:val="231F20"/>
          <w:w w:val="110"/>
        </w:rPr>
        <w:t>scientific</w:t>
      </w:r>
      <w:r>
        <w:rPr>
          <w:color w:val="231F20"/>
          <w:spacing w:val="-17"/>
          <w:w w:val="110"/>
        </w:rPr>
        <w:t xml:space="preserve"> </w:t>
      </w:r>
      <w:r>
        <w:rPr>
          <w:color w:val="231F20"/>
          <w:w w:val="110"/>
        </w:rPr>
        <w:t>and</w:t>
      </w:r>
      <w:r>
        <w:rPr>
          <w:color w:val="231F20"/>
          <w:spacing w:val="-17"/>
          <w:w w:val="110"/>
        </w:rPr>
        <w:t xml:space="preserve"> </w:t>
      </w:r>
      <w:r>
        <w:rPr>
          <w:color w:val="231F20"/>
          <w:w w:val="110"/>
        </w:rPr>
        <w:t>o</w:t>
      </w:r>
      <w:r>
        <w:rPr>
          <w:color w:val="231F20"/>
          <w:w w:val="110"/>
        </w:rPr>
        <w:t>ther</w:t>
      </w:r>
      <w:r>
        <w:rPr>
          <w:color w:val="231F20"/>
          <w:spacing w:val="-17"/>
          <w:w w:val="110"/>
        </w:rPr>
        <w:t xml:space="preserve"> </w:t>
      </w:r>
      <w:r>
        <w:rPr>
          <w:color w:val="231F20"/>
          <w:w w:val="110"/>
        </w:rPr>
        <w:t>contexts</w:t>
      </w:r>
      <w:r>
        <w:rPr>
          <w:color w:val="231F20"/>
          <w:spacing w:val="-17"/>
          <w:w w:val="110"/>
        </w:rPr>
        <w:t xml:space="preserve"> </w:t>
      </w:r>
      <w:r>
        <w:rPr>
          <w:color w:val="231F20"/>
          <w:w w:val="110"/>
        </w:rPr>
        <w:t>of</w:t>
      </w:r>
      <w:r>
        <w:rPr>
          <w:color w:val="231F20"/>
          <w:spacing w:val="-17"/>
          <w:w w:val="110"/>
        </w:rPr>
        <w:t xml:space="preserve"> </w:t>
      </w:r>
      <w:r>
        <w:rPr>
          <w:color w:val="231F20"/>
          <w:w w:val="110"/>
        </w:rPr>
        <w:t>spoken</w:t>
      </w:r>
      <w:r>
        <w:rPr>
          <w:color w:val="231F20"/>
          <w:spacing w:val="-16"/>
          <w:w w:val="110"/>
        </w:rPr>
        <w:t xml:space="preserve"> </w:t>
      </w:r>
      <w:r>
        <w:rPr>
          <w:color w:val="231F20"/>
          <w:w w:val="110"/>
        </w:rPr>
        <w:t>and</w:t>
      </w:r>
      <w:r>
        <w:rPr>
          <w:color w:val="231F20"/>
          <w:spacing w:val="-17"/>
          <w:w w:val="110"/>
        </w:rPr>
        <w:t xml:space="preserve"> </w:t>
      </w:r>
      <w:r>
        <w:rPr>
          <w:color w:val="231F20"/>
          <w:w w:val="110"/>
        </w:rPr>
        <w:t>written</w:t>
      </w:r>
      <w:r>
        <w:rPr>
          <w:color w:val="231F20"/>
          <w:spacing w:val="-17"/>
          <w:w w:val="110"/>
        </w:rPr>
        <w:t xml:space="preserve"> </w:t>
      </w:r>
      <w:r>
        <w:rPr>
          <w:color w:val="231F20"/>
          <w:w w:val="110"/>
        </w:rPr>
        <w:t>interaction.</w:t>
      </w:r>
    </w:p>
    <w:p w:rsidR="00B05397" w:rsidRDefault="00B05397">
      <w:pPr>
        <w:pStyle w:val="BodyText"/>
        <w:spacing w:before="5"/>
        <w:rPr>
          <w:sz w:val="22"/>
        </w:rPr>
      </w:pPr>
    </w:p>
    <w:p w:rsidR="00B05397" w:rsidRDefault="00856287">
      <w:pPr>
        <w:pStyle w:val="BodyText"/>
        <w:spacing w:line="283" w:lineRule="auto"/>
        <w:ind w:left="100"/>
      </w:pPr>
      <w:r>
        <w:rPr>
          <w:rFonts w:ascii="Trebuchet MS"/>
          <w:color w:val="231F20"/>
          <w:w w:val="110"/>
        </w:rPr>
        <w:t xml:space="preserve">Acknowledgment: </w:t>
      </w:r>
      <w:r>
        <w:rPr>
          <w:color w:val="231F20"/>
          <w:w w:val="110"/>
        </w:rPr>
        <w:t xml:space="preserve">The author hereby expresses gratitude to the anonymous reviewers who have been extremely helpful and whose comments have inspired </w:t>
      </w:r>
      <w:r>
        <w:rPr>
          <w:color w:val="231F20"/>
          <w:w w:val="110"/>
          <w:position w:val="1"/>
          <w:sz w:val="16"/>
        </w:rPr>
        <w:t xml:space="preserve">30 </w:t>
      </w:r>
      <w:r>
        <w:rPr>
          <w:color w:val="231F20"/>
          <w:w w:val="110"/>
        </w:rPr>
        <w:t>numerous improvements in the paper. Thanks are also due to the journal editor,</w:t>
      </w:r>
    </w:p>
    <w:p w:rsidR="00B05397" w:rsidRDefault="00856287">
      <w:pPr>
        <w:pStyle w:val="BodyText"/>
        <w:spacing w:before="2" w:line="280" w:lineRule="auto"/>
        <w:ind w:left="100" w:right="275"/>
      </w:pPr>
      <w:r>
        <w:rPr>
          <w:color w:val="231F20"/>
          <w:w w:val="105"/>
        </w:rPr>
        <w:t>Li Wei, for providing an impressively expedient and supportive review process. Any remaining errors are exclusively the   author</w:t>
      </w:r>
      <w:r>
        <w:rPr>
          <w:rFonts w:ascii="Calibri" w:hAnsi="Calibri"/>
          <w:color w:val="231F20"/>
          <w:w w:val="105"/>
        </w:rPr>
        <w:t>’</w:t>
      </w:r>
      <w:r>
        <w:rPr>
          <w:color w:val="231F20"/>
          <w:w w:val="105"/>
        </w:rPr>
        <w:t>s.</w:t>
      </w:r>
    </w:p>
    <w:p w:rsidR="00B05397" w:rsidRDefault="00B05397">
      <w:pPr>
        <w:pStyle w:val="BodyText"/>
        <w:spacing w:before="2"/>
        <w:rPr>
          <w:sz w:val="23"/>
        </w:rPr>
      </w:pPr>
    </w:p>
    <w:p w:rsidR="00B05397" w:rsidRDefault="00856287">
      <w:pPr>
        <w:spacing w:line="166" w:lineRule="exact"/>
        <w:ind w:right="124"/>
        <w:jc w:val="right"/>
        <w:rPr>
          <w:sz w:val="16"/>
        </w:rPr>
      </w:pPr>
      <w:r>
        <w:rPr>
          <w:color w:val="231F20"/>
          <w:w w:val="95"/>
          <w:sz w:val="16"/>
        </w:rPr>
        <w:t>35</w:t>
      </w:r>
    </w:p>
    <w:p w:rsidR="00B05397" w:rsidRDefault="00856287">
      <w:pPr>
        <w:pStyle w:val="Heading1"/>
        <w:spacing w:line="330" w:lineRule="exact"/>
        <w:ind w:left="100" w:right="135"/>
      </w:pPr>
      <w:r>
        <w:rPr>
          <w:color w:val="231F20"/>
        </w:rPr>
        <w:t>References</w:t>
      </w:r>
    </w:p>
    <w:p w:rsidR="00B05397" w:rsidRDefault="00856287">
      <w:pPr>
        <w:spacing w:before="251"/>
        <w:ind w:left="101" w:right="135"/>
        <w:rPr>
          <w:rFonts w:ascii="Tahoma"/>
          <w:sz w:val="16"/>
        </w:rPr>
      </w:pPr>
      <w:r>
        <w:rPr>
          <w:rFonts w:ascii="Tahoma"/>
          <w:color w:val="231F20"/>
          <w:sz w:val="16"/>
        </w:rPr>
        <w:t xml:space="preserve">Bybee, J. 1985. </w:t>
      </w:r>
      <w:r>
        <w:rPr>
          <w:rFonts w:ascii="Trebuchet MS"/>
          <w:i/>
          <w:color w:val="231F20"/>
          <w:sz w:val="16"/>
        </w:rPr>
        <w:t>Morphology</w:t>
      </w:r>
      <w:r>
        <w:rPr>
          <w:rFonts w:ascii="Tahoma"/>
          <w:color w:val="231F20"/>
          <w:sz w:val="16"/>
        </w:rPr>
        <w:t>. Am</w:t>
      </w:r>
      <w:r>
        <w:rPr>
          <w:rFonts w:ascii="Tahoma"/>
          <w:color w:val="231F20"/>
          <w:sz w:val="16"/>
        </w:rPr>
        <w:t>sterdam: John Benjamins.</w:t>
      </w:r>
    </w:p>
    <w:p w:rsidR="00B05397" w:rsidRDefault="00856287">
      <w:pPr>
        <w:spacing w:before="23"/>
        <w:ind w:left="101" w:right="135"/>
        <w:rPr>
          <w:rFonts w:ascii="Trebuchet MS"/>
          <w:i/>
          <w:sz w:val="16"/>
        </w:rPr>
      </w:pPr>
      <w:r>
        <w:rPr>
          <w:rFonts w:ascii="Tahoma"/>
          <w:color w:val="231F20"/>
          <w:sz w:val="16"/>
        </w:rPr>
        <w:t xml:space="preserve">Bybee, J., R. Parkins &amp; W. Pagliuca. 1994. </w:t>
      </w:r>
      <w:r>
        <w:rPr>
          <w:rFonts w:ascii="Trebuchet MS"/>
          <w:i/>
          <w:color w:val="231F20"/>
          <w:sz w:val="16"/>
        </w:rPr>
        <w:t>The evolution of grammar: Tense, aspect and</w:t>
      </w:r>
    </w:p>
    <w:p w:rsidR="00B05397" w:rsidRDefault="00856287">
      <w:pPr>
        <w:tabs>
          <w:tab w:val="right" w:pos="6965"/>
        </w:tabs>
        <w:spacing w:before="23"/>
        <w:ind w:left="440"/>
        <w:rPr>
          <w:sz w:val="16"/>
        </w:rPr>
      </w:pPr>
      <w:r>
        <w:rPr>
          <w:rFonts w:ascii="Trebuchet MS"/>
          <w:i/>
          <w:color w:val="231F20"/>
          <w:sz w:val="16"/>
        </w:rPr>
        <w:t>modality in the languages and of the world</w:t>
      </w:r>
      <w:r>
        <w:rPr>
          <w:rFonts w:ascii="Tahoma"/>
          <w:color w:val="231F20"/>
          <w:sz w:val="16"/>
        </w:rPr>
        <w:t>. Chicago: University of</w:t>
      </w:r>
      <w:r>
        <w:rPr>
          <w:rFonts w:ascii="Tahoma"/>
          <w:color w:val="231F20"/>
          <w:spacing w:val="-34"/>
          <w:sz w:val="16"/>
        </w:rPr>
        <w:t xml:space="preserve"> </w:t>
      </w:r>
      <w:r>
        <w:rPr>
          <w:rFonts w:ascii="Tahoma"/>
          <w:color w:val="231F20"/>
          <w:sz w:val="16"/>
        </w:rPr>
        <w:t>Chicago</w:t>
      </w:r>
      <w:r>
        <w:rPr>
          <w:rFonts w:ascii="Tahoma"/>
          <w:color w:val="231F20"/>
          <w:spacing w:val="-5"/>
          <w:sz w:val="16"/>
        </w:rPr>
        <w:t xml:space="preserve"> </w:t>
      </w:r>
      <w:r>
        <w:rPr>
          <w:rFonts w:ascii="Tahoma"/>
          <w:color w:val="231F20"/>
          <w:sz w:val="16"/>
        </w:rPr>
        <w:t>Press.</w:t>
      </w:r>
      <w:r>
        <w:rPr>
          <w:color w:val="231F20"/>
          <w:position w:val="-9"/>
          <w:sz w:val="16"/>
        </w:rPr>
        <w:tab/>
        <w:t>40</w:t>
      </w:r>
    </w:p>
    <w:p w:rsidR="00B05397" w:rsidRDefault="00B05397">
      <w:pPr>
        <w:rPr>
          <w:sz w:val="16"/>
        </w:rPr>
        <w:sectPr w:rsidR="00B05397">
          <w:pgSz w:w="8790" w:h="13040"/>
          <w:pgMar w:top="700" w:right="800" w:bottom="280" w:left="920" w:header="517" w:footer="0" w:gutter="0"/>
          <w:cols w:space="720"/>
        </w:sectPr>
      </w:pPr>
    </w:p>
    <w:p w:rsidR="00B05397" w:rsidRDefault="00856287">
      <w:pPr>
        <w:tabs>
          <w:tab w:val="right" w:pos="6864"/>
        </w:tabs>
        <w:spacing w:before="515"/>
        <w:ind w:left="111"/>
        <w:rPr>
          <w:sz w:val="16"/>
        </w:rPr>
      </w:pPr>
      <w:r>
        <w:rPr>
          <w:rFonts w:ascii="Tahoma"/>
          <w:color w:val="231F20"/>
          <w:position w:val="1"/>
          <w:sz w:val="16"/>
        </w:rPr>
        <w:t xml:space="preserve">Carnap, R. 1956. </w:t>
      </w:r>
      <w:r>
        <w:rPr>
          <w:rFonts w:ascii="Trebuchet MS"/>
          <w:i/>
          <w:color w:val="231F20"/>
          <w:position w:val="1"/>
          <w:sz w:val="16"/>
        </w:rPr>
        <w:t>Meaning and necessity</w:t>
      </w:r>
      <w:r>
        <w:rPr>
          <w:rFonts w:ascii="Tahoma"/>
          <w:color w:val="231F20"/>
          <w:position w:val="1"/>
          <w:sz w:val="16"/>
        </w:rPr>
        <w:t>. Chicago: University of</w:t>
      </w:r>
      <w:r>
        <w:rPr>
          <w:rFonts w:ascii="Tahoma"/>
          <w:color w:val="231F20"/>
          <w:spacing w:val="-12"/>
          <w:position w:val="1"/>
          <w:sz w:val="16"/>
        </w:rPr>
        <w:t xml:space="preserve"> </w:t>
      </w:r>
      <w:r>
        <w:rPr>
          <w:rFonts w:ascii="Tahoma"/>
          <w:color w:val="231F20"/>
          <w:position w:val="1"/>
          <w:sz w:val="16"/>
        </w:rPr>
        <w:t>Chicago</w:t>
      </w:r>
      <w:r>
        <w:rPr>
          <w:rFonts w:ascii="Tahoma"/>
          <w:color w:val="231F20"/>
          <w:spacing w:val="-1"/>
          <w:position w:val="1"/>
          <w:sz w:val="16"/>
        </w:rPr>
        <w:t xml:space="preserve"> </w:t>
      </w:r>
      <w:r>
        <w:rPr>
          <w:rFonts w:ascii="Tahoma"/>
          <w:color w:val="231F20"/>
          <w:position w:val="1"/>
          <w:sz w:val="16"/>
        </w:rPr>
        <w:t>Press.</w:t>
      </w:r>
      <w:r>
        <w:rPr>
          <w:color w:val="231F20"/>
          <w:sz w:val="16"/>
        </w:rPr>
        <w:tab/>
        <w:t>1</w:t>
      </w:r>
    </w:p>
    <w:p w:rsidR="00B05397" w:rsidRDefault="00856287">
      <w:pPr>
        <w:spacing w:before="15"/>
        <w:ind w:left="111" w:right="126"/>
        <w:rPr>
          <w:rFonts w:ascii="Tahoma" w:hAnsi="Tahoma"/>
          <w:sz w:val="16"/>
        </w:rPr>
      </w:pPr>
      <w:r>
        <w:rPr>
          <w:rFonts w:ascii="Tahoma" w:hAnsi="Tahoma"/>
          <w:color w:val="231F20"/>
          <w:sz w:val="16"/>
        </w:rPr>
        <w:t>Collins</w:t>
      </w:r>
      <w:r>
        <w:rPr>
          <w:rFonts w:ascii="Calibri" w:hAnsi="Calibri"/>
          <w:color w:val="231F20"/>
          <w:sz w:val="16"/>
        </w:rPr>
        <w:t xml:space="preserve">’ </w:t>
      </w:r>
      <w:r>
        <w:rPr>
          <w:rFonts w:ascii="Trebuchet MS" w:hAnsi="Trebuchet MS"/>
          <w:i/>
          <w:color w:val="231F20"/>
          <w:sz w:val="16"/>
        </w:rPr>
        <w:t>Easy learning grammar and punctuation</w:t>
      </w:r>
      <w:r>
        <w:rPr>
          <w:rFonts w:ascii="Tahoma" w:hAnsi="Tahoma"/>
          <w:color w:val="231F20"/>
          <w:sz w:val="16"/>
        </w:rPr>
        <w:t>. 2015. Birmingham: Collins.</w:t>
      </w:r>
    </w:p>
    <w:p w:rsidR="00B05397" w:rsidRDefault="00856287">
      <w:pPr>
        <w:spacing w:before="15" w:line="268" w:lineRule="auto"/>
        <w:ind w:left="450" w:right="449" w:hanging="340"/>
        <w:rPr>
          <w:rFonts w:ascii="Tahoma"/>
          <w:sz w:val="16"/>
        </w:rPr>
      </w:pPr>
      <w:r>
        <w:rPr>
          <w:rFonts w:ascii="Tahoma"/>
          <w:color w:val="231F20"/>
          <w:sz w:val="16"/>
        </w:rPr>
        <w:t>Gordon,</w:t>
      </w:r>
      <w:r>
        <w:rPr>
          <w:rFonts w:ascii="Tahoma"/>
          <w:color w:val="231F20"/>
          <w:spacing w:val="-10"/>
          <w:sz w:val="16"/>
        </w:rPr>
        <w:t xml:space="preserve"> </w:t>
      </w:r>
      <w:r>
        <w:rPr>
          <w:rFonts w:ascii="Tahoma"/>
          <w:color w:val="231F20"/>
          <w:sz w:val="16"/>
        </w:rPr>
        <w:t>E.</w:t>
      </w:r>
      <w:r>
        <w:rPr>
          <w:rFonts w:ascii="Tahoma"/>
          <w:color w:val="231F20"/>
          <w:spacing w:val="-9"/>
          <w:sz w:val="16"/>
        </w:rPr>
        <w:t xml:space="preserve"> </w:t>
      </w:r>
      <w:r>
        <w:rPr>
          <w:rFonts w:ascii="Tahoma"/>
          <w:color w:val="231F20"/>
          <w:sz w:val="16"/>
        </w:rPr>
        <w:t>M.</w:t>
      </w:r>
      <w:r>
        <w:rPr>
          <w:rFonts w:ascii="Tahoma"/>
          <w:color w:val="231F20"/>
          <w:spacing w:val="-9"/>
          <w:sz w:val="16"/>
        </w:rPr>
        <w:t xml:space="preserve"> </w:t>
      </w:r>
      <w:r>
        <w:rPr>
          <w:rFonts w:ascii="Tahoma"/>
          <w:color w:val="231F20"/>
          <w:sz w:val="16"/>
        </w:rPr>
        <w:t>&amp;</w:t>
      </w:r>
      <w:r>
        <w:rPr>
          <w:rFonts w:ascii="Tahoma"/>
          <w:color w:val="231F20"/>
          <w:spacing w:val="-9"/>
          <w:sz w:val="16"/>
        </w:rPr>
        <w:t xml:space="preserve"> </w:t>
      </w:r>
      <w:r>
        <w:rPr>
          <w:rFonts w:ascii="Tahoma"/>
          <w:color w:val="231F20"/>
          <w:sz w:val="16"/>
        </w:rPr>
        <w:t>I.</w:t>
      </w:r>
      <w:r>
        <w:rPr>
          <w:rFonts w:ascii="Tahoma"/>
          <w:color w:val="231F20"/>
          <w:spacing w:val="-9"/>
          <w:sz w:val="16"/>
        </w:rPr>
        <w:t xml:space="preserve"> </w:t>
      </w:r>
      <w:r>
        <w:rPr>
          <w:rFonts w:ascii="Tahoma"/>
          <w:color w:val="231F20"/>
          <w:sz w:val="16"/>
        </w:rPr>
        <w:t>P.</w:t>
      </w:r>
      <w:r>
        <w:rPr>
          <w:rFonts w:ascii="Tahoma"/>
          <w:color w:val="231F20"/>
          <w:spacing w:val="-9"/>
          <w:sz w:val="16"/>
        </w:rPr>
        <w:t xml:space="preserve"> </w:t>
      </w:r>
      <w:r>
        <w:rPr>
          <w:rFonts w:ascii="Tahoma"/>
          <w:color w:val="231F20"/>
          <w:sz w:val="16"/>
        </w:rPr>
        <w:t>Krilova.</w:t>
      </w:r>
      <w:r>
        <w:rPr>
          <w:rFonts w:ascii="Tahoma"/>
          <w:color w:val="231F20"/>
          <w:spacing w:val="-10"/>
          <w:sz w:val="16"/>
        </w:rPr>
        <w:t xml:space="preserve"> </w:t>
      </w:r>
      <w:r>
        <w:rPr>
          <w:rFonts w:ascii="Tahoma"/>
          <w:color w:val="231F20"/>
          <w:sz w:val="16"/>
        </w:rPr>
        <w:t>1967.</w:t>
      </w:r>
      <w:r>
        <w:rPr>
          <w:rFonts w:ascii="Tahoma"/>
          <w:color w:val="231F20"/>
          <w:spacing w:val="-9"/>
          <w:sz w:val="16"/>
        </w:rPr>
        <w:t xml:space="preserve"> </w:t>
      </w:r>
      <w:r>
        <w:rPr>
          <w:rFonts w:ascii="Trebuchet MS"/>
          <w:i/>
          <w:color w:val="231F20"/>
          <w:sz w:val="16"/>
        </w:rPr>
        <w:t>Modality</w:t>
      </w:r>
      <w:r>
        <w:rPr>
          <w:rFonts w:ascii="Trebuchet MS"/>
          <w:i/>
          <w:color w:val="231F20"/>
          <w:spacing w:val="-8"/>
          <w:sz w:val="16"/>
        </w:rPr>
        <w:t xml:space="preserve"> </w:t>
      </w:r>
      <w:r>
        <w:rPr>
          <w:rFonts w:ascii="Trebuchet MS"/>
          <w:i/>
          <w:color w:val="231F20"/>
          <w:sz w:val="16"/>
        </w:rPr>
        <w:t>in</w:t>
      </w:r>
      <w:r>
        <w:rPr>
          <w:rFonts w:ascii="Trebuchet MS"/>
          <w:i/>
          <w:color w:val="231F20"/>
          <w:spacing w:val="-7"/>
          <w:sz w:val="16"/>
        </w:rPr>
        <w:t xml:space="preserve"> </w:t>
      </w:r>
      <w:r>
        <w:rPr>
          <w:rFonts w:ascii="Trebuchet MS"/>
          <w:i/>
          <w:color w:val="231F20"/>
          <w:sz w:val="16"/>
        </w:rPr>
        <w:t>modern</w:t>
      </w:r>
      <w:r>
        <w:rPr>
          <w:rFonts w:ascii="Trebuchet MS"/>
          <w:i/>
          <w:color w:val="231F20"/>
          <w:spacing w:val="-9"/>
          <w:sz w:val="16"/>
        </w:rPr>
        <w:t xml:space="preserve"> </w:t>
      </w:r>
      <w:r>
        <w:rPr>
          <w:rFonts w:ascii="Trebuchet MS"/>
          <w:i/>
          <w:color w:val="231F20"/>
          <w:sz w:val="16"/>
        </w:rPr>
        <w:t>English</w:t>
      </w:r>
      <w:r>
        <w:rPr>
          <w:rFonts w:ascii="Tahoma"/>
          <w:color w:val="231F20"/>
          <w:sz w:val="16"/>
        </w:rPr>
        <w:t>.</w:t>
      </w:r>
      <w:r>
        <w:rPr>
          <w:rFonts w:ascii="Tahoma"/>
          <w:color w:val="231F20"/>
          <w:spacing w:val="-9"/>
          <w:sz w:val="16"/>
        </w:rPr>
        <w:t xml:space="preserve"> </w:t>
      </w:r>
      <w:r>
        <w:rPr>
          <w:rFonts w:ascii="Tahoma"/>
          <w:color w:val="231F20"/>
          <w:sz w:val="16"/>
        </w:rPr>
        <w:t>Hilssdale:</w:t>
      </w:r>
      <w:r>
        <w:rPr>
          <w:rFonts w:ascii="Tahoma"/>
          <w:color w:val="231F20"/>
          <w:spacing w:val="-10"/>
          <w:sz w:val="16"/>
        </w:rPr>
        <w:t xml:space="preserve"> </w:t>
      </w:r>
      <w:r>
        <w:rPr>
          <w:rFonts w:ascii="Tahoma"/>
          <w:color w:val="231F20"/>
          <w:sz w:val="16"/>
        </w:rPr>
        <w:t>Lawrence</w:t>
      </w:r>
      <w:r>
        <w:rPr>
          <w:rFonts w:ascii="Tahoma"/>
          <w:color w:val="231F20"/>
          <w:spacing w:val="-9"/>
          <w:sz w:val="16"/>
        </w:rPr>
        <w:t xml:space="preserve"> </w:t>
      </w:r>
      <w:r>
        <w:rPr>
          <w:rFonts w:ascii="Tahoma"/>
          <w:color w:val="231F20"/>
          <w:sz w:val="16"/>
        </w:rPr>
        <w:t>Erlbaum Publishers.</w:t>
      </w:r>
    </w:p>
    <w:p w:rsidR="00B05397" w:rsidRDefault="00856287">
      <w:pPr>
        <w:tabs>
          <w:tab w:val="right" w:pos="6874"/>
        </w:tabs>
        <w:spacing w:before="15" w:line="223" w:lineRule="auto"/>
        <w:ind w:left="450" w:right="210" w:hanging="340"/>
        <w:rPr>
          <w:sz w:val="16"/>
        </w:rPr>
      </w:pPr>
      <w:r>
        <w:rPr>
          <w:rFonts w:ascii="Tahoma" w:hAnsi="Tahoma"/>
          <w:color w:val="231F20"/>
          <w:sz w:val="16"/>
        </w:rPr>
        <w:t>Filipovi</w:t>
      </w:r>
      <w:r>
        <w:rPr>
          <w:rFonts w:ascii="Arial" w:hAnsi="Arial"/>
          <w:color w:val="231F20"/>
          <w:sz w:val="16"/>
        </w:rPr>
        <w:t>ć</w:t>
      </w:r>
      <w:r>
        <w:rPr>
          <w:rFonts w:ascii="Tahoma" w:hAnsi="Tahoma"/>
          <w:color w:val="231F20"/>
          <w:sz w:val="16"/>
        </w:rPr>
        <w:t>, L. (in press). Applying language typology: Practical applications of research on typological</w:t>
      </w:r>
      <w:r>
        <w:rPr>
          <w:rFonts w:ascii="Tahoma" w:hAnsi="Tahoma"/>
          <w:color w:val="231F20"/>
          <w:spacing w:val="-10"/>
          <w:sz w:val="16"/>
        </w:rPr>
        <w:t xml:space="preserve"> </w:t>
      </w:r>
      <w:r>
        <w:rPr>
          <w:rFonts w:ascii="Tahoma" w:hAnsi="Tahoma"/>
          <w:color w:val="231F20"/>
          <w:sz w:val="16"/>
        </w:rPr>
        <w:t>contrasts</w:t>
      </w:r>
      <w:r>
        <w:rPr>
          <w:rFonts w:ascii="Tahoma" w:hAnsi="Tahoma"/>
          <w:color w:val="231F20"/>
          <w:spacing w:val="-12"/>
          <w:sz w:val="16"/>
        </w:rPr>
        <w:t xml:space="preserve"> </w:t>
      </w:r>
      <w:r>
        <w:rPr>
          <w:rFonts w:ascii="Tahoma" w:hAnsi="Tahoma"/>
          <w:color w:val="231F20"/>
          <w:sz w:val="16"/>
        </w:rPr>
        <w:t>between</w:t>
      </w:r>
      <w:r>
        <w:rPr>
          <w:rFonts w:ascii="Tahoma" w:hAnsi="Tahoma"/>
          <w:color w:val="231F20"/>
          <w:spacing w:val="-12"/>
          <w:sz w:val="16"/>
        </w:rPr>
        <w:t xml:space="preserve"> </w:t>
      </w:r>
      <w:r>
        <w:rPr>
          <w:rFonts w:ascii="Tahoma" w:hAnsi="Tahoma"/>
          <w:color w:val="231F20"/>
          <w:sz w:val="16"/>
        </w:rPr>
        <w:t>languages.</w:t>
      </w:r>
      <w:r>
        <w:rPr>
          <w:rFonts w:ascii="Tahoma" w:hAnsi="Tahoma"/>
          <w:color w:val="231F20"/>
          <w:spacing w:val="-12"/>
          <w:sz w:val="16"/>
        </w:rPr>
        <w:t xml:space="preserve"> </w:t>
      </w:r>
      <w:r>
        <w:rPr>
          <w:rFonts w:ascii="Tahoma" w:hAnsi="Tahoma"/>
          <w:color w:val="231F20"/>
          <w:sz w:val="16"/>
        </w:rPr>
        <w:t>In</w:t>
      </w:r>
      <w:r>
        <w:rPr>
          <w:rFonts w:ascii="Tahoma" w:hAnsi="Tahoma"/>
          <w:color w:val="231F20"/>
          <w:spacing w:val="-11"/>
          <w:sz w:val="16"/>
        </w:rPr>
        <w:t xml:space="preserve"> </w:t>
      </w:r>
      <w:r>
        <w:rPr>
          <w:rFonts w:ascii="Tahoma" w:hAnsi="Tahoma"/>
          <w:color w:val="231F20"/>
          <w:sz w:val="16"/>
        </w:rPr>
        <w:t>I.</w:t>
      </w:r>
      <w:r>
        <w:rPr>
          <w:rFonts w:ascii="Tahoma" w:hAnsi="Tahoma"/>
          <w:color w:val="231F20"/>
          <w:spacing w:val="-11"/>
          <w:sz w:val="16"/>
        </w:rPr>
        <w:t xml:space="preserve"> </w:t>
      </w:r>
      <w:r>
        <w:rPr>
          <w:rFonts w:ascii="Tahoma" w:hAnsi="Tahoma"/>
          <w:color w:val="231F20"/>
          <w:sz w:val="16"/>
        </w:rPr>
        <w:t>IbarretxeAntuñano</w:t>
      </w:r>
      <w:r>
        <w:rPr>
          <w:rFonts w:ascii="Tahoma" w:hAnsi="Tahoma"/>
          <w:color w:val="231F20"/>
          <w:spacing w:val="-12"/>
          <w:sz w:val="16"/>
        </w:rPr>
        <w:t xml:space="preserve"> </w:t>
      </w:r>
      <w:r>
        <w:rPr>
          <w:rFonts w:ascii="Tahoma" w:hAnsi="Tahoma"/>
          <w:color w:val="231F20"/>
          <w:sz w:val="16"/>
        </w:rPr>
        <w:t>(ed.)</w:t>
      </w:r>
      <w:r>
        <w:rPr>
          <w:rFonts w:ascii="Tahoma" w:hAnsi="Tahoma"/>
          <w:color w:val="231F20"/>
          <w:spacing w:val="-12"/>
          <w:sz w:val="16"/>
        </w:rPr>
        <w:t xml:space="preserve"> </w:t>
      </w:r>
      <w:r>
        <w:rPr>
          <w:rFonts w:ascii="Trebuchet MS" w:hAnsi="Trebuchet MS"/>
          <w:i/>
          <w:color w:val="231F20"/>
          <w:sz w:val="16"/>
        </w:rPr>
        <w:t>Motion</w:t>
      </w:r>
      <w:r>
        <w:rPr>
          <w:rFonts w:ascii="Trebuchet MS" w:hAnsi="Trebuchet MS"/>
          <w:i/>
          <w:color w:val="231F20"/>
          <w:spacing w:val="-10"/>
          <w:sz w:val="16"/>
        </w:rPr>
        <w:t xml:space="preserve"> </w:t>
      </w:r>
      <w:r>
        <w:rPr>
          <w:rFonts w:ascii="Trebuchet MS" w:hAnsi="Trebuchet MS"/>
          <w:i/>
          <w:color w:val="231F20"/>
          <w:sz w:val="16"/>
        </w:rPr>
        <w:t>and</w:t>
      </w:r>
      <w:r>
        <w:rPr>
          <w:rFonts w:ascii="Trebuchet MS" w:hAnsi="Trebuchet MS"/>
          <w:i/>
          <w:color w:val="231F20"/>
          <w:spacing w:val="-9"/>
          <w:sz w:val="16"/>
        </w:rPr>
        <w:t xml:space="preserve"> </w:t>
      </w:r>
      <w:r>
        <w:rPr>
          <w:rFonts w:ascii="Trebuchet MS" w:hAnsi="Trebuchet MS"/>
          <w:i/>
          <w:color w:val="231F20"/>
          <w:sz w:val="16"/>
        </w:rPr>
        <w:t>space</w:t>
      </w:r>
      <w:r>
        <w:rPr>
          <w:color w:val="231F20"/>
          <w:position w:val="5"/>
          <w:sz w:val="16"/>
        </w:rPr>
        <w:tab/>
        <w:t>5</w:t>
      </w:r>
    </w:p>
    <w:p w:rsidR="00B05397" w:rsidRDefault="00856287">
      <w:pPr>
        <w:spacing w:before="25" w:line="268" w:lineRule="auto"/>
        <w:ind w:left="450" w:right="387"/>
        <w:rPr>
          <w:rFonts w:ascii="Tahoma"/>
          <w:sz w:val="16"/>
        </w:rPr>
      </w:pPr>
      <w:r>
        <w:rPr>
          <w:rFonts w:ascii="Trebuchet MS"/>
          <w:i/>
          <w:color w:val="231F20"/>
          <w:sz w:val="16"/>
        </w:rPr>
        <w:t>across</w:t>
      </w:r>
      <w:r>
        <w:rPr>
          <w:rFonts w:ascii="Trebuchet MS"/>
          <w:i/>
          <w:color w:val="231F20"/>
          <w:spacing w:val="-19"/>
          <w:sz w:val="16"/>
        </w:rPr>
        <w:t xml:space="preserve"> </w:t>
      </w:r>
      <w:r>
        <w:rPr>
          <w:rFonts w:ascii="Trebuchet MS"/>
          <w:i/>
          <w:color w:val="231F20"/>
          <w:sz w:val="16"/>
        </w:rPr>
        <w:t>languages</w:t>
      </w:r>
      <w:r>
        <w:rPr>
          <w:rFonts w:ascii="Trebuchet MS"/>
          <w:i/>
          <w:color w:val="231F20"/>
          <w:spacing w:val="-19"/>
          <w:sz w:val="16"/>
        </w:rPr>
        <w:t xml:space="preserve"> </w:t>
      </w:r>
      <w:r>
        <w:rPr>
          <w:rFonts w:ascii="Trebuchet MS"/>
          <w:i/>
          <w:color w:val="231F20"/>
          <w:sz w:val="16"/>
        </w:rPr>
        <w:t>and</w:t>
      </w:r>
      <w:r>
        <w:rPr>
          <w:rFonts w:ascii="Trebuchet MS"/>
          <w:i/>
          <w:color w:val="231F20"/>
          <w:spacing w:val="-19"/>
          <w:sz w:val="16"/>
        </w:rPr>
        <w:t xml:space="preserve"> </w:t>
      </w:r>
      <w:r>
        <w:rPr>
          <w:rFonts w:ascii="Trebuchet MS"/>
          <w:i/>
          <w:color w:val="231F20"/>
          <w:sz w:val="16"/>
        </w:rPr>
        <w:t>applications</w:t>
      </w:r>
      <w:r>
        <w:rPr>
          <w:rFonts w:ascii="Trebuchet MS"/>
          <w:i/>
          <w:color w:val="231F20"/>
          <w:spacing w:val="-19"/>
          <w:sz w:val="16"/>
        </w:rPr>
        <w:t xml:space="preserve"> </w:t>
      </w:r>
      <w:r>
        <w:rPr>
          <w:rFonts w:ascii="Tahoma"/>
          <w:color w:val="231F20"/>
          <w:sz w:val="16"/>
        </w:rPr>
        <w:t>[Human</w:t>
      </w:r>
      <w:r>
        <w:rPr>
          <w:rFonts w:ascii="Tahoma"/>
          <w:color w:val="231F20"/>
          <w:spacing w:val="-23"/>
          <w:sz w:val="16"/>
        </w:rPr>
        <w:t xml:space="preserve"> </w:t>
      </w:r>
      <w:r>
        <w:rPr>
          <w:rFonts w:ascii="Tahoma"/>
          <w:color w:val="231F20"/>
          <w:sz w:val="16"/>
        </w:rPr>
        <w:t>Cognitive</w:t>
      </w:r>
      <w:r>
        <w:rPr>
          <w:rFonts w:ascii="Tahoma"/>
          <w:color w:val="231F20"/>
          <w:spacing w:val="-21"/>
          <w:sz w:val="16"/>
        </w:rPr>
        <w:t xml:space="preserve"> </w:t>
      </w:r>
      <w:r>
        <w:rPr>
          <w:rFonts w:ascii="Tahoma"/>
          <w:color w:val="231F20"/>
          <w:sz w:val="16"/>
        </w:rPr>
        <w:t>Processing</w:t>
      </w:r>
      <w:r>
        <w:rPr>
          <w:rFonts w:ascii="Tahoma"/>
          <w:color w:val="231F20"/>
          <w:spacing w:val="-21"/>
          <w:sz w:val="16"/>
        </w:rPr>
        <w:t xml:space="preserve"> </w:t>
      </w:r>
      <w:r>
        <w:rPr>
          <w:rFonts w:ascii="Tahoma"/>
          <w:color w:val="231F20"/>
          <w:sz w:val="16"/>
        </w:rPr>
        <w:t>Series].</w:t>
      </w:r>
      <w:r>
        <w:rPr>
          <w:rFonts w:ascii="Tahoma"/>
          <w:color w:val="231F20"/>
          <w:spacing w:val="-21"/>
          <w:sz w:val="16"/>
        </w:rPr>
        <w:t xml:space="preserve"> </w:t>
      </w:r>
      <w:r>
        <w:rPr>
          <w:rFonts w:ascii="Tahoma"/>
          <w:color w:val="231F20"/>
          <w:sz w:val="16"/>
        </w:rPr>
        <w:t>Amsterdam:</w:t>
      </w:r>
      <w:r>
        <w:rPr>
          <w:rFonts w:ascii="Tahoma"/>
          <w:color w:val="231F20"/>
          <w:spacing w:val="-21"/>
          <w:sz w:val="16"/>
        </w:rPr>
        <w:t xml:space="preserve"> </w:t>
      </w:r>
      <w:r>
        <w:rPr>
          <w:rFonts w:ascii="Tahoma"/>
          <w:color w:val="231F20"/>
          <w:sz w:val="16"/>
        </w:rPr>
        <w:t>John Benjamins.</w:t>
      </w:r>
    </w:p>
    <w:p w:rsidR="00B05397" w:rsidRDefault="00856287">
      <w:pPr>
        <w:spacing w:before="3" w:line="271" w:lineRule="auto"/>
        <w:ind w:left="450" w:right="388" w:hanging="340"/>
        <w:rPr>
          <w:rFonts w:ascii="Tahoma" w:hAnsi="Tahoma"/>
          <w:sz w:val="16"/>
        </w:rPr>
      </w:pPr>
      <w:r>
        <w:rPr>
          <w:rFonts w:ascii="Tahoma" w:hAnsi="Tahoma"/>
          <w:color w:val="231F20"/>
          <w:sz w:val="16"/>
        </w:rPr>
        <w:t>Filipovi</w:t>
      </w:r>
      <w:r>
        <w:rPr>
          <w:rFonts w:ascii="Arial" w:hAnsi="Arial"/>
          <w:color w:val="231F20"/>
          <w:sz w:val="16"/>
        </w:rPr>
        <w:t>ć</w:t>
      </w:r>
      <w:r>
        <w:rPr>
          <w:rFonts w:ascii="Tahoma" w:hAnsi="Tahoma"/>
          <w:color w:val="231F20"/>
          <w:sz w:val="16"/>
        </w:rPr>
        <w:t xml:space="preserve">, L. &amp; J. A. Hawkins. 2013. Multiple factors in second language acquisition: The CASP </w:t>
      </w:r>
      <w:r>
        <w:rPr>
          <w:rFonts w:ascii="Tahoma" w:hAnsi="Tahoma"/>
          <w:color w:val="231F20"/>
          <w:w w:val="95"/>
          <w:sz w:val="16"/>
        </w:rPr>
        <w:t xml:space="preserve">model. </w:t>
      </w:r>
      <w:r>
        <w:rPr>
          <w:rFonts w:ascii="Trebuchet MS" w:hAnsi="Trebuchet MS"/>
          <w:i/>
          <w:color w:val="231F20"/>
          <w:w w:val="95"/>
          <w:sz w:val="16"/>
        </w:rPr>
        <w:t xml:space="preserve">Linguistics </w:t>
      </w:r>
      <w:r>
        <w:rPr>
          <w:rFonts w:ascii="Tahoma" w:hAnsi="Tahoma"/>
          <w:color w:val="231F20"/>
          <w:w w:val="95"/>
          <w:sz w:val="16"/>
        </w:rPr>
        <w:t>51(1). 145</w:t>
      </w:r>
      <w:r>
        <w:rPr>
          <w:rFonts w:ascii="Calibri" w:hAnsi="Calibri"/>
          <w:color w:val="231F20"/>
          <w:w w:val="95"/>
          <w:sz w:val="16"/>
        </w:rPr>
        <w:t>–</w:t>
      </w:r>
      <w:r>
        <w:rPr>
          <w:rFonts w:ascii="Tahoma" w:hAnsi="Tahoma"/>
          <w:color w:val="231F20"/>
          <w:w w:val="95"/>
          <w:sz w:val="16"/>
        </w:rPr>
        <w:t>176.</w:t>
      </w:r>
    </w:p>
    <w:p w:rsidR="00B05397" w:rsidRDefault="00856287">
      <w:pPr>
        <w:spacing w:line="166" w:lineRule="exact"/>
        <w:ind w:left="111" w:right="126"/>
        <w:rPr>
          <w:rFonts w:ascii="Tahoma"/>
          <w:sz w:val="16"/>
        </w:rPr>
      </w:pPr>
      <w:r>
        <w:rPr>
          <w:rFonts w:ascii="Tahoma"/>
          <w:color w:val="231F20"/>
          <w:sz w:val="16"/>
        </w:rPr>
        <w:t>Halliday, M. A. K. 1970. Functional diversity in language as seen from a consideration of</w:t>
      </w:r>
    </w:p>
    <w:p w:rsidR="00B05397" w:rsidRDefault="00856287">
      <w:pPr>
        <w:tabs>
          <w:tab w:val="left" w:pos="6800"/>
        </w:tabs>
        <w:spacing w:line="246" w:lineRule="exact"/>
        <w:ind w:left="450"/>
        <w:rPr>
          <w:sz w:val="16"/>
        </w:rPr>
      </w:pPr>
      <w:r>
        <w:rPr>
          <w:rFonts w:ascii="Tahoma" w:hAnsi="Tahoma"/>
          <w:color w:val="231F20"/>
          <w:sz w:val="16"/>
        </w:rPr>
        <w:t xml:space="preserve">modality and mood in English. </w:t>
      </w:r>
      <w:r>
        <w:rPr>
          <w:rFonts w:ascii="Trebuchet MS" w:hAnsi="Trebuchet MS"/>
          <w:i/>
          <w:color w:val="231F20"/>
          <w:sz w:val="16"/>
        </w:rPr>
        <w:t>Foundation of Language</w:t>
      </w:r>
      <w:r>
        <w:rPr>
          <w:rFonts w:ascii="Trebuchet MS" w:hAnsi="Trebuchet MS"/>
          <w:i/>
          <w:color w:val="231F20"/>
          <w:spacing w:val="-31"/>
          <w:sz w:val="16"/>
        </w:rPr>
        <w:t xml:space="preserve"> </w:t>
      </w:r>
      <w:r>
        <w:rPr>
          <w:rFonts w:ascii="Tahoma" w:hAnsi="Tahoma"/>
          <w:color w:val="231F20"/>
          <w:sz w:val="16"/>
        </w:rPr>
        <w:t>6.</w:t>
      </w:r>
      <w:r>
        <w:rPr>
          <w:rFonts w:ascii="Tahoma" w:hAnsi="Tahoma"/>
          <w:color w:val="231F20"/>
          <w:spacing w:val="-5"/>
          <w:sz w:val="16"/>
        </w:rPr>
        <w:t xml:space="preserve"> </w:t>
      </w:r>
      <w:r>
        <w:rPr>
          <w:rFonts w:ascii="Tahoma" w:hAnsi="Tahoma"/>
          <w:color w:val="231F20"/>
          <w:sz w:val="16"/>
        </w:rPr>
        <w:t>322</w:t>
      </w:r>
      <w:r>
        <w:rPr>
          <w:rFonts w:ascii="Calibri" w:hAnsi="Calibri"/>
          <w:color w:val="231F20"/>
          <w:sz w:val="16"/>
        </w:rPr>
        <w:t>–</w:t>
      </w:r>
      <w:r>
        <w:rPr>
          <w:rFonts w:ascii="Tahoma" w:hAnsi="Tahoma"/>
          <w:color w:val="231F20"/>
          <w:sz w:val="16"/>
        </w:rPr>
        <w:t>361.</w:t>
      </w:r>
      <w:r>
        <w:rPr>
          <w:color w:val="231F20"/>
          <w:position w:val="7"/>
          <w:sz w:val="16"/>
        </w:rPr>
        <w:tab/>
        <w:t>10</w:t>
      </w:r>
    </w:p>
    <w:p w:rsidR="00B05397" w:rsidRDefault="00856287">
      <w:pPr>
        <w:spacing w:before="15" w:line="268" w:lineRule="auto"/>
        <w:ind w:left="111" w:right="824"/>
        <w:rPr>
          <w:rFonts w:ascii="Tahoma"/>
          <w:sz w:val="16"/>
        </w:rPr>
      </w:pPr>
      <w:r>
        <w:rPr>
          <w:rFonts w:ascii="Tahoma"/>
          <w:color w:val="231F20"/>
          <w:sz w:val="16"/>
        </w:rPr>
        <w:t xml:space="preserve">Hoye, L. 1997. </w:t>
      </w:r>
      <w:r>
        <w:rPr>
          <w:rFonts w:ascii="Trebuchet MS"/>
          <w:i/>
          <w:color w:val="231F20"/>
          <w:sz w:val="16"/>
        </w:rPr>
        <w:t>Adverbs and modality in English</w:t>
      </w:r>
      <w:r>
        <w:rPr>
          <w:rFonts w:ascii="Tahoma"/>
          <w:color w:val="231F20"/>
          <w:sz w:val="16"/>
        </w:rPr>
        <w:t>. London &amp; New York: Longman. Huddleston,</w:t>
      </w:r>
      <w:r>
        <w:rPr>
          <w:rFonts w:ascii="Tahoma"/>
          <w:color w:val="231F20"/>
          <w:spacing w:val="-9"/>
          <w:sz w:val="16"/>
        </w:rPr>
        <w:t xml:space="preserve"> </w:t>
      </w:r>
      <w:r>
        <w:rPr>
          <w:rFonts w:ascii="Tahoma"/>
          <w:color w:val="231F20"/>
          <w:sz w:val="16"/>
        </w:rPr>
        <w:t>R.</w:t>
      </w:r>
      <w:r>
        <w:rPr>
          <w:rFonts w:ascii="Tahoma"/>
          <w:color w:val="231F20"/>
          <w:spacing w:val="-8"/>
          <w:sz w:val="16"/>
        </w:rPr>
        <w:t xml:space="preserve"> </w:t>
      </w:r>
      <w:r>
        <w:rPr>
          <w:rFonts w:ascii="Tahoma"/>
          <w:color w:val="231F20"/>
          <w:sz w:val="16"/>
        </w:rPr>
        <w:t>&amp;</w:t>
      </w:r>
      <w:r>
        <w:rPr>
          <w:rFonts w:ascii="Tahoma"/>
          <w:color w:val="231F20"/>
          <w:spacing w:val="-8"/>
          <w:sz w:val="16"/>
        </w:rPr>
        <w:t xml:space="preserve"> </w:t>
      </w:r>
      <w:r>
        <w:rPr>
          <w:rFonts w:ascii="Tahoma"/>
          <w:color w:val="231F20"/>
          <w:sz w:val="16"/>
        </w:rPr>
        <w:t>G.</w:t>
      </w:r>
      <w:r>
        <w:rPr>
          <w:rFonts w:ascii="Tahoma"/>
          <w:color w:val="231F20"/>
          <w:spacing w:val="-8"/>
          <w:sz w:val="16"/>
        </w:rPr>
        <w:t xml:space="preserve"> </w:t>
      </w:r>
      <w:r>
        <w:rPr>
          <w:rFonts w:ascii="Tahoma"/>
          <w:color w:val="231F20"/>
          <w:sz w:val="16"/>
        </w:rPr>
        <w:t>K.</w:t>
      </w:r>
      <w:r>
        <w:rPr>
          <w:rFonts w:ascii="Tahoma"/>
          <w:color w:val="231F20"/>
          <w:spacing w:val="-9"/>
          <w:sz w:val="16"/>
        </w:rPr>
        <w:t xml:space="preserve"> </w:t>
      </w:r>
      <w:r>
        <w:rPr>
          <w:rFonts w:ascii="Tahoma"/>
          <w:color w:val="231F20"/>
          <w:sz w:val="16"/>
        </w:rPr>
        <w:t>Pullum.</w:t>
      </w:r>
      <w:r>
        <w:rPr>
          <w:rFonts w:ascii="Tahoma"/>
          <w:color w:val="231F20"/>
          <w:spacing w:val="-9"/>
          <w:sz w:val="16"/>
        </w:rPr>
        <w:t xml:space="preserve"> </w:t>
      </w:r>
      <w:r>
        <w:rPr>
          <w:rFonts w:ascii="Tahoma"/>
          <w:color w:val="231F20"/>
          <w:sz w:val="16"/>
        </w:rPr>
        <w:t>2002.</w:t>
      </w:r>
      <w:r>
        <w:rPr>
          <w:rFonts w:ascii="Tahoma"/>
          <w:color w:val="231F20"/>
          <w:spacing w:val="-8"/>
          <w:sz w:val="16"/>
        </w:rPr>
        <w:t xml:space="preserve"> </w:t>
      </w:r>
      <w:r>
        <w:rPr>
          <w:rFonts w:ascii="Trebuchet MS"/>
          <w:i/>
          <w:color w:val="231F20"/>
          <w:sz w:val="16"/>
        </w:rPr>
        <w:t>The</w:t>
      </w:r>
      <w:r>
        <w:rPr>
          <w:rFonts w:ascii="Trebuchet MS"/>
          <w:i/>
          <w:color w:val="231F20"/>
          <w:spacing w:val="-7"/>
          <w:sz w:val="16"/>
        </w:rPr>
        <w:t xml:space="preserve"> </w:t>
      </w:r>
      <w:r>
        <w:rPr>
          <w:rFonts w:ascii="Trebuchet MS"/>
          <w:i/>
          <w:color w:val="231F20"/>
          <w:sz w:val="16"/>
        </w:rPr>
        <w:t>Cambridge</w:t>
      </w:r>
      <w:r>
        <w:rPr>
          <w:rFonts w:ascii="Trebuchet MS"/>
          <w:i/>
          <w:color w:val="231F20"/>
          <w:spacing w:val="-8"/>
          <w:sz w:val="16"/>
        </w:rPr>
        <w:t xml:space="preserve"> </w:t>
      </w:r>
      <w:r>
        <w:rPr>
          <w:rFonts w:ascii="Trebuchet MS"/>
          <w:i/>
          <w:color w:val="231F20"/>
          <w:sz w:val="16"/>
        </w:rPr>
        <w:t>grammar</w:t>
      </w:r>
      <w:r>
        <w:rPr>
          <w:rFonts w:ascii="Trebuchet MS"/>
          <w:i/>
          <w:color w:val="231F20"/>
          <w:spacing w:val="-7"/>
          <w:sz w:val="16"/>
        </w:rPr>
        <w:t xml:space="preserve"> </w:t>
      </w:r>
      <w:r>
        <w:rPr>
          <w:rFonts w:ascii="Trebuchet MS"/>
          <w:i/>
          <w:color w:val="231F20"/>
          <w:sz w:val="16"/>
        </w:rPr>
        <w:t>of</w:t>
      </w:r>
      <w:r>
        <w:rPr>
          <w:rFonts w:ascii="Trebuchet MS"/>
          <w:i/>
          <w:color w:val="231F20"/>
          <w:spacing w:val="-7"/>
          <w:sz w:val="16"/>
        </w:rPr>
        <w:t xml:space="preserve"> </w:t>
      </w:r>
      <w:r>
        <w:rPr>
          <w:rFonts w:ascii="Trebuchet MS"/>
          <w:i/>
          <w:color w:val="231F20"/>
          <w:sz w:val="16"/>
        </w:rPr>
        <w:t>the</w:t>
      </w:r>
      <w:r>
        <w:rPr>
          <w:rFonts w:ascii="Trebuchet MS"/>
          <w:i/>
          <w:color w:val="231F20"/>
          <w:spacing w:val="-7"/>
          <w:sz w:val="16"/>
        </w:rPr>
        <w:t xml:space="preserve"> </w:t>
      </w:r>
      <w:r>
        <w:rPr>
          <w:rFonts w:ascii="Trebuchet MS"/>
          <w:i/>
          <w:color w:val="231F20"/>
          <w:sz w:val="16"/>
        </w:rPr>
        <w:t>English</w:t>
      </w:r>
      <w:r>
        <w:rPr>
          <w:rFonts w:ascii="Trebuchet MS"/>
          <w:i/>
          <w:color w:val="231F20"/>
          <w:spacing w:val="-7"/>
          <w:sz w:val="16"/>
        </w:rPr>
        <w:t xml:space="preserve"> </w:t>
      </w:r>
      <w:r>
        <w:rPr>
          <w:rFonts w:ascii="Trebuchet MS"/>
          <w:i/>
          <w:color w:val="231F20"/>
          <w:sz w:val="16"/>
        </w:rPr>
        <w:t>language</w:t>
      </w:r>
      <w:r>
        <w:rPr>
          <w:rFonts w:ascii="Tahoma"/>
          <w:color w:val="231F20"/>
          <w:sz w:val="16"/>
        </w:rPr>
        <w:t>.</w:t>
      </w:r>
    </w:p>
    <w:p w:rsidR="00B05397" w:rsidRDefault="00856287">
      <w:pPr>
        <w:spacing w:before="1"/>
        <w:ind w:left="450" w:right="126"/>
        <w:rPr>
          <w:rFonts w:ascii="Tahoma"/>
          <w:sz w:val="16"/>
        </w:rPr>
      </w:pPr>
      <w:r>
        <w:rPr>
          <w:rFonts w:ascii="Tahoma"/>
          <w:color w:val="231F20"/>
          <w:sz w:val="16"/>
        </w:rPr>
        <w:t>Cambridge: Cambridge University Press.</w:t>
      </w:r>
    </w:p>
    <w:p w:rsidR="00B05397" w:rsidRDefault="00856287">
      <w:pPr>
        <w:spacing w:before="11" w:line="218" w:lineRule="exact"/>
        <w:ind w:left="450" w:right="429" w:hanging="339"/>
        <w:rPr>
          <w:rFonts w:ascii="Trebuchet MS"/>
          <w:i/>
          <w:sz w:val="16"/>
        </w:rPr>
      </w:pPr>
      <w:r>
        <w:rPr>
          <w:rFonts w:ascii="Tahoma"/>
          <w:color w:val="231F20"/>
          <w:sz w:val="16"/>
        </w:rPr>
        <w:t>Lick,</w:t>
      </w:r>
      <w:r>
        <w:rPr>
          <w:rFonts w:ascii="Tahoma"/>
          <w:color w:val="231F20"/>
          <w:spacing w:val="-10"/>
          <w:sz w:val="16"/>
        </w:rPr>
        <w:t xml:space="preserve"> </w:t>
      </w:r>
      <w:r>
        <w:rPr>
          <w:rFonts w:ascii="Tahoma"/>
          <w:color w:val="231F20"/>
          <w:sz w:val="16"/>
        </w:rPr>
        <w:t>D.</w:t>
      </w:r>
      <w:r>
        <w:rPr>
          <w:rFonts w:ascii="Tahoma"/>
          <w:color w:val="231F20"/>
          <w:spacing w:val="-10"/>
          <w:sz w:val="16"/>
        </w:rPr>
        <w:t xml:space="preserve"> </w:t>
      </w:r>
      <w:r>
        <w:rPr>
          <w:rFonts w:ascii="Tahoma"/>
          <w:color w:val="231F20"/>
          <w:sz w:val="16"/>
        </w:rPr>
        <w:t>J.</w:t>
      </w:r>
      <w:r>
        <w:rPr>
          <w:rFonts w:ascii="Tahoma"/>
          <w:color w:val="231F20"/>
          <w:spacing w:val="-10"/>
          <w:sz w:val="16"/>
        </w:rPr>
        <w:t xml:space="preserve"> </w:t>
      </w:r>
      <w:r>
        <w:rPr>
          <w:rFonts w:ascii="Tahoma"/>
          <w:color w:val="231F20"/>
          <w:sz w:val="16"/>
        </w:rPr>
        <w:t>&amp;</w:t>
      </w:r>
      <w:r>
        <w:rPr>
          <w:rFonts w:ascii="Tahoma"/>
          <w:color w:val="231F20"/>
          <w:spacing w:val="-10"/>
          <w:sz w:val="16"/>
        </w:rPr>
        <w:t xml:space="preserve"> </w:t>
      </w:r>
      <w:r>
        <w:rPr>
          <w:rFonts w:ascii="Tahoma"/>
          <w:color w:val="231F20"/>
          <w:sz w:val="16"/>
        </w:rPr>
        <w:t>K.</w:t>
      </w:r>
      <w:r>
        <w:rPr>
          <w:rFonts w:ascii="Tahoma"/>
          <w:color w:val="231F20"/>
          <w:spacing w:val="-10"/>
          <w:sz w:val="16"/>
        </w:rPr>
        <w:t xml:space="preserve"> </w:t>
      </w:r>
      <w:r>
        <w:rPr>
          <w:rFonts w:ascii="Tahoma"/>
          <w:color w:val="231F20"/>
          <w:sz w:val="16"/>
        </w:rPr>
        <w:t>L.</w:t>
      </w:r>
      <w:r>
        <w:rPr>
          <w:rFonts w:ascii="Tahoma"/>
          <w:color w:val="231F20"/>
          <w:spacing w:val="-10"/>
          <w:sz w:val="16"/>
        </w:rPr>
        <w:t xml:space="preserve"> </w:t>
      </w:r>
      <w:r>
        <w:rPr>
          <w:rFonts w:ascii="Tahoma"/>
          <w:color w:val="231F20"/>
          <w:sz w:val="16"/>
        </w:rPr>
        <w:t>Johnson.</w:t>
      </w:r>
      <w:r>
        <w:rPr>
          <w:rFonts w:ascii="Tahoma"/>
          <w:color w:val="231F20"/>
          <w:spacing w:val="-11"/>
          <w:sz w:val="16"/>
        </w:rPr>
        <w:t xml:space="preserve"> </w:t>
      </w:r>
      <w:r>
        <w:rPr>
          <w:rFonts w:ascii="Tahoma"/>
          <w:color w:val="231F20"/>
          <w:sz w:val="16"/>
        </w:rPr>
        <w:t>2015.</w:t>
      </w:r>
      <w:r>
        <w:rPr>
          <w:rFonts w:ascii="Tahoma"/>
          <w:color w:val="231F20"/>
          <w:spacing w:val="-10"/>
          <w:sz w:val="16"/>
        </w:rPr>
        <w:t xml:space="preserve"> </w:t>
      </w:r>
      <w:r>
        <w:rPr>
          <w:rFonts w:ascii="Tahoma"/>
          <w:color w:val="231F20"/>
          <w:sz w:val="16"/>
        </w:rPr>
        <w:t>The</w:t>
      </w:r>
      <w:r>
        <w:rPr>
          <w:rFonts w:ascii="Tahoma"/>
          <w:color w:val="231F20"/>
          <w:spacing w:val="-10"/>
          <w:sz w:val="16"/>
        </w:rPr>
        <w:t xml:space="preserve"> </w:t>
      </w:r>
      <w:r>
        <w:rPr>
          <w:rFonts w:ascii="Tahoma"/>
          <w:color w:val="231F20"/>
          <w:sz w:val="16"/>
        </w:rPr>
        <w:t>interpersonal</w:t>
      </w:r>
      <w:r>
        <w:rPr>
          <w:rFonts w:ascii="Tahoma"/>
          <w:color w:val="231F20"/>
          <w:spacing w:val="-10"/>
          <w:sz w:val="16"/>
        </w:rPr>
        <w:t xml:space="preserve"> </w:t>
      </w:r>
      <w:r>
        <w:rPr>
          <w:rFonts w:ascii="Tahoma"/>
          <w:color w:val="231F20"/>
          <w:sz w:val="16"/>
        </w:rPr>
        <w:t>consequences</w:t>
      </w:r>
      <w:r>
        <w:rPr>
          <w:rFonts w:ascii="Tahoma"/>
          <w:color w:val="231F20"/>
          <w:spacing w:val="-9"/>
          <w:sz w:val="16"/>
        </w:rPr>
        <w:t xml:space="preserve"> </w:t>
      </w:r>
      <w:r>
        <w:rPr>
          <w:rFonts w:ascii="Tahoma"/>
          <w:color w:val="231F20"/>
          <w:sz w:val="16"/>
        </w:rPr>
        <w:t>of</w:t>
      </w:r>
      <w:r>
        <w:rPr>
          <w:rFonts w:ascii="Tahoma"/>
          <w:color w:val="231F20"/>
          <w:spacing w:val="-10"/>
          <w:sz w:val="16"/>
        </w:rPr>
        <w:t xml:space="preserve"> </w:t>
      </w:r>
      <w:r>
        <w:rPr>
          <w:rFonts w:ascii="Tahoma"/>
          <w:color w:val="231F20"/>
          <w:sz w:val="16"/>
        </w:rPr>
        <w:t>processing</w:t>
      </w:r>
      <w:r>
        <w:rPr>
          <w:rFonts w:ascii="Tahoma"/>
          <w:color w:val="231F20"/>
          <w:spacing w:val="-10"/>
          <w:sz w:val="16"/>
        </w:rPr>
        <w:t xml:space="preserve"> </w:t>
      </w:r>
      <w:r>
        <w:rPr>
          <w:rFonts w:ascii="Tahoma"/>
          <w:color w:val="231F20"/>
          <w:sz w:val="16"/>
        </w:rPr>
        <w:t>ease:</w:t>
      </w:r>
      <w:r>
        <w:rPr>
          <w:rFonts w:ascii="Tahoma"/>
          <w:color w:val="231F20"/>
          <w:spacing w:val="-10"/>
          <w:sz w:val="16"/>
        </w:rPr>
        <w:t xml:space="preserve"> </w:t>
      </w:r>
      <w:r>
        <w:rPr>
          <w:rFonts w:ascii="Tahoma"/>
          <w:color w:val="231F20"/>
          <w:sz w:val="16"/>
        </w:rPr>
        <w:t>Fluency as</w:t>
      </w:r>
      <w:r>
        <w:rPr>
          <w:rFonts w:ascii="Tahoma"/>
          <w:color w:val="231F20"/>
          <w:spacing w:val="-14"/>
          <w:sz w:val="16"/>
        </w:rPr>
        <w:t xml:space="preserve"> </w:t>
      </w:r>
      <w:r>
        <w:rPr>
          <w:rFonts w:ascii="Tahoma"/>
          <w:color w:val="231F20"/>
          <w:sz w:val="16"/>
        </w:rPr>
        <w:t>a</w:t>
      </w:r>
      <w:r>
        <w:rPr>
          <w:rFonts w:ascii="Tahoma"/>
          <w:color w:val="231F20"/>
          <w:spacing w:val="-14"/>
          <w:sz w:val="16"/>
        </w:rPr>
        <w:t xml:space="preserve"> </w:t>
      </w:r>
      <w:r>
        <w:rPr>
          <w:rFonts w:ascii="Tahoma"/>
          <w:color w:val="231F20"/>
          <w:sz w:val="16"/>
        </w:rPr>
        <w:t>metacognitive</w:t>
      </w:r>
      <w:r>
        <w:rPr>
          <w:rFonts w:ascii="Tahoma"/>
          <w:color w:val="231F20"/>
          <w:spacing w:val="-14"/>
          <w:sz w:val="16"/>
        </w:rPr>
        <w:t xml:space="preserve"> </w:t>
      </w:r>
      <w:r>
        <w:rPr>
          <w:rFonts w:ascii="Tahoma"/>
          <w:color w:val="231F20"/>
          <w:sz w:val="16"/>
        </w:rPr>
        <w:t>foundation</w:t>
      </w:r>
      <w:r>
        <w:rPr>
          <w:rFonts w:ascii="Tahoma"/>
          <w:color w:val="231F20"/>
          <w:spacing w:val="-14"/>
          <w:sz w:val="16"/>
        </w:rPr>
        <w:t xml:space="preserve"> </w:t>
      </w:r>
      <w:r>
        <w:rPr>
          <w:rFonts w:ascii="Tahoma"/>
          <w:color w:val="231F20"/>
          <w:sz w:val="16"/>
        </w:rPr>
        <w:t>for</w:t>
      </w:r>
      <w:r>
        <w:rPr>
          <w:rFonts w:ascii="Tahoma"/>
          <w:color w:val="231F20"/>
          <w:spacing w:val="-14"/>
          <w:sz w:val="16"/>
        </w:rPr>
        <w:t xml:space="preserve"> </w:t>
      </w:r>
      <w:r>
        <w:rPr>
          <w:rFonts w:ascii="Tahoma"/>
          <w:color w:val="231F20"/>
          <w:sz w:val="16"/>
        </w:rPr>
        <w:t>prejudice.</w:t>
      </w:r>
      <w:r>
        <w:rPr>
          <w:rFonts w:ascii="Tahoma"/>
          <w:color w:val="231F20"/>
          <w:spacing w:val="-15"/>
          <w:sz w:val="16"/>
        </w:rPr>
        <w:t xml:space="preserve"> </w:t>
      </w:r>
      <w:r>
        <w:rPr>
          <w:rFonts w:ascii="Trebuchet MS"/>
          <w:i/>
          <w:color w:val="231F20"/>
          <w:sz w:val="16"/>
        </w:rPr>
        <w:t>Current</w:t>
      </w:r>
      <w:r>
        <w:rPr>
          <w:rFonts w:ascii="Trebuchet MS"/>
          <w:i/>
          <w:color w:val="231F20"/>
          <w:spacing w:val="-13"/>
          <w:sz w:val="16"/>
        </w:rPr>
        <w:t xml:space="preserve"> </w:t>
      </w:r>
      <w:r>
        <w:rPr>
          <w:rFonts w:ascii="Trebuchet MS"/>
          <w:i/>
          <w:color w:val="231F20"/>
          <w:sz w:val="16"/>
        </w:rPr>
        <w:t>Directions</w:t>
      </w:r>
      <w:r>
        <w:rPr>
          <w:rFonts w:ascii="Trebuchet MS"/>
          <w:i/>
          <w:color w:val="231F20"/>
          <w:spacing w:val="-13"/>
          <w:sz w:val="16"/>
        </w:rPr>
        <w:t xml:space="preserve"> </w:t>
      </w:r>
      <w:r>
        <w:rPr>
          <w:rFonts w:ascii="Trebuchet MS"/>
          <w:i/>
          <w:color w:val="231F20"/>
          <w:sz w:val="16"/>
        </w:rPr>
        <w:t>in</w:t>
      </w:r>
      <w:r>
        <w:rPr>
          <w:rFonts w:ascii="Trebuchet MS"/>
          <w:i/>
          <w:color w:val="231F20"/>
          <w:spacing w:val="-12"/>
          <w:sz w:val="16"/>
        </w:rPr>
        <w:t xml:space="preserve"> </w:t>
      </w:r>
      <w:r>
        <w:rPr>
          <w:rFonts w:ascii="Trebuchet MS"/>
          <w:i/>
          <w:color w:val="231F20"/>
          <w:sz w:val="16"/>
        </w:rPr>
        <w:t>Psychological</w:t>
      </w:r>
      <w:r>
        <w:rPr>
          <w:rFonts w:ascii="Trebuchet MS"/>
          <w:i/>
          <w:color w:val="231F20"/>
          <w:spacing w:val="-12"/>
          <w:sz w:val="16"/>
        </w:rPr>
        <w:t xml:space="preserve"> </w:t>
      </w:r>
      <w:r>
        <w:rPr>
          <w:rFonts w:ascii="Trebuchet MS"/>
          <w:i/>
          <w:color w:val="231F20"/>
          <w:sz w:val="16"/>
        </w:rPr>
        <w:t>Science</w:t>
      </w:r>
    </w:p>
    <w:p w:rsidR="00B05397" w:rsidRDefault="00856287">
      <w:pPr>
        <w:tabs>
          <w:tab w:val="left" w:pos="6800"/>
        </w:tabs>
        <w:spacing w:line="218" w:lineRule="exact"/>
        <w:ind w:left="450"/>
        <w:rPr>
          <w:sz w:val="16"/>
        </w:rPr>
      </w:pPr>
      <w:r>
        <w:rPr>
          <w:rFonts w:ascii="Tahoma" w:hAnsi="Tahoma"/>
          <w:color w:val="231F20"/>
          <w:sz w:val="16"/>
        </w:rPr>
        <w:t>24(2).</w:t>
      </w:r>
      <w:r>
        <w:rPr>
          <w:rFonts w:ascii="Tahoma" w:hAnsi="Tahoma"/>
          <w:color w:val="231F20"/>
          <w:spacing w:val="-12"/>
          <w:sz w:val="16"/>
        </w:rPr>
        <w:t xml:space="preserve"> </w:t>
      </w:r>
      <w:r>
        <w:rPr>
          <w:rFonts w:ascii="Tahoma" w:hAnsi="Tahoma"/>
          <w:color w:val="231F20"/>
          <w:sz w:val="16"/>
        </w:rPr>
        <w:t>143</w:t>
      </w:r>
      <w:r>
        <w:rPr>
          <w:rFonts w:ascii="Calibri" w:hAnsi="Calibri"/>
          <w:color w:val="231F20"/>
          <w:sz w:val="16"/>
        </w:rPr>
        <w:t>–</w:t>
      </w:r>
      <w:r>
        <w:rPr>
          <w:rFonts w:ascii="Tahoma" w:hAnsi="Tahoma"/>
          <w:color w:val="231F20"/>
          <w:sz w:val="16"/>
        </w:rPr>
        <w:t>148.</w:t>
      </w:r>
      <w:r>
        <w:rPr>
          <w:rFonts w:ascii="Tahoma" w:hAnsi="Tahoma"/>
          <w:color w:val="231F20"/>
          <w:sz w:val="16"/>
        </w:rPr>
        <w:tab/>
      </w:r>
      <w:r>
        <w:rPr>
          <w:color w:val="231F20"/>
          <w:position w:val="9"/>
          <w:sz w:val="16"/>
        </w:rPr>
        <w:t>15</w:t>
      </w:r>
    </w:p>
    <w:p w:rsidR="00B05397" w:rsidRDefault="00856287">
      <w:pPr>
        <w:spacing w:before="17" w:line="268" w:lineRule="auto"/>
        <w:ind w:left="111" w:right="1084"/>
        <w:rPr>
          <w:rFonts w:ascii="Tahoma"/>
          <w:sz w:val="16"/>
        </w:rPr>
      </w:pPr>
      <w:r>
        <w:rPr>
          <w:rFonts w:ascii="Tahoma"/>
          <w:color w:val="231F20"/>
          <w:sz w:val="16"/>
        </w:rPr>
        <w:t xml:space="preserve">Lyons, J. 1977. </w:t>
      </w:r>
      <w:r>
        <w:rPr>
          <w:rFonts w:ascii="Trebuchet MS"/>
          <w:i/>
          <w:color w:val="231F20"/>
          <w:sz w:val="16"/>
        </w:rPr>
        <w:t>Semantics</w:t>
      </w:r>
      <w:r>
        <w:rPr>
          <w:rFonts w:ascii="Tahoma"/>
          <w:color w:val="231F20"/>
          <w:sz w:val="16"/>
        </w:rPr>
        <w:t>, vol. 2. Cambridge: Cambridge University Press. Matthews,</w:t>
      </w:r>
      <w:r>
        <w:rPr>
          <w:rFonts w:ascii="Tahoma"/>
          <w:color w:val="231F20"/>
          <w:spacing w:val="-16"/>
          <w:sz w:val="16"/>
        </w:rPr>
        <w:t xml:space="preserve"> </w:t>
      </w:r>
      <w:r>
        <w:rPr>
          <w:rFonts w:ascii="Tahoma"/>
          <w:color w:val="231F20"/>
          <w:sz w:val="16"/>
        </w:rPr>
        <w:t>R.</w:t>
      </w:r>
      <w:r>
        <w:rPr>
          <w:rFonts w:ascii="Tahoma"/>
          <w:color w:val="231F20"/>
          <w:spacing w:val="-16"/>
          <w:sz w:val="16"/>
        </w:rPr>
        <w:t xml:space="preserve"> </w:t>
      </w:r>
      <w:r>
        <w:rPr>
          <w:rFonts w:ascii="Tahoma"/>
          <w:color w:val="231F20"/>
          <w:sz w:val="16"/>
        </w:rPr>
        <w:t>1991.</w:t>
      </w:r>
      <w:r>
        <w:rPr>
          <w:rFonts w:ascii="Tahoma"/>
          <w:color w:val="231F20"/>
          <w:spacing w:val="-16"/>
          <w:sz w:val="16"/>
        </w:rPr>
        <w:t xml:space="preserve"> </w:t>
      </w:r>
      <w:r>
        <w:rPr>
          <w:rFonts w:ascii="Trebuchet MS"/>
          <w:i/>
          <w:color w:val="231F20"/>
          <w:sz w:val="16"/>
        </w:rPr>
        <w:t>Words</w:t>
      </w:r>
      <w:r>
        <w:rPr>
          <w:rFonts w:ascii="Trebuchet MS"/>
          <w:i/>
          <w:color w:val="231F20"/>
          <w:spacing w:val="-14"/>
          <w:sz w:val="16"/>
        </w:rPr>
        <w:t xml:space="preserve"> </w:t>
      </w:r>
      <w:r>
        <w:rPr>
          <w:rFonts w:ascii="Trebuchet MS"/>
          <w:i/>
          <w:color w:val="231F20"/>
          <w:sz w:val="16"/>
        </w:rPr>
        <w:t>and</w:t>
      </w:r>
      <w:r>
        <w:rPr>
          <w:rFonts w:ascii="Trebuchet MS"/>
          <w:i/>
          <w:color w:val="231F20"/>
          <w:spacing w:val="-14"/>
          <w:sz w:val="16"/>
        </w:rPr>
        <w:t xml:space="preserve"> </w:t>
      </w:r>
      <w:r>
        <w:rPr>
          <w:rFonts w:ascii="Trebuchet MS"/>
          <w:i/>
          <w:color w:val="231F20"/>
          <w:sz w:val="16"/>
        </w:rPr>
        <w:t>worlds:</w:t>
      </w:r>
      <w:r>
        <w:rPr>
          <w:rFonts w:ascii="Trebuchet MS"/>
          <w:i/>
          <w:color w:val="231F20"/>
          <w:spacing w:val="-14"/>
          <w:sz w:val="16"/>
        </w:rPr>
        <w:t xml:space="preserve"> </w:t>
      </w:r>
      <w:r>
        <w:rPr>
          <w:rFonts w:ascii="Trebuchet MS"/>
          <w:i/>
          <w:color w:val="231F20"/>
          <w:sz w:val="16"/>
        </w:rPr>
        <w:t>On</w:t>
      </w:r>
      <w:r>
        <w:rPr>
          <w:rFonts w:ascii="Trebuchet MS"/>
          <w:i/>
          <w:color w:val="231F20"/>
          <w:spacing w:val="-14"/>
          <w:sz w:val="16"/>
        </w:rPr>
        <w:t xml:space="preserve"> </w:t>
      </w:r>
      <w:r>
        <w:rPr>
          <w:rFonts w:ascii="Trebuchet MS"/>
          <w:i/>
          <w:color w:val="231F20"/>
          <w:sz w:val="16"/>
        </w:rPr>
        <w:t>the</w:t>
      </w:r>
      <w:r>
        <w:rPr>
          <w:rFonts w:ascii="Trebuchet MS"/>
          <w:i/>
          <w:color w:val="231F20"/>
          <w:spacing w:val="-14"/>
          <w:sz w:val="16"/>
        </w:rPr>
        <w:t xml:space="preserve"> </w:t>
      </w:r>
      <w:r>
        <w:rPr>
          <w:rFonts w:ascii="Trebuchet MS"/>
          <w:i/>
          <w:color w:val="231F20"/>
          <w:sz w:val="16"/>
        </w:rPr>
        <w:t>linguistic</w:t>
      </w:r>
      <w:r>
        <w:rPr>
          <w:rFonts w:ascii="Trebuchet MS"/>
          <w:i/>
          <w:color w:val="231F20"/>
          <w:spacing w:val="-14"/>
          <w:sz w:val="16"/>
        </w:rPr>
        <w:t xml:space="preserve"> </w:t>
      </w:r>
      <w:r>
        <w:rPr>
          <w:rFonts w:ascii="Trebuchet MS"/>
          <w:i/>
          <w:color w:val="231F20"/>
          <w:sz w:val="16"/>
        </w:rPr>
        <w:t>analysis</w:t>
      </w:r>
      <w:r>
        <w:rPr>
          <w:rFonts w:ascii="Trebuchet MS"/>
          <w:i/>
          <w:color w:val="231F20"/>
          <w:spacing w:val="-15"/>
          <w:sz w:val="16"/>
        </w:rPr>
        <w:t xml:space="preserve"> </w:t>
      </w:r>
      <w:r>
        <w:rPr>
          <w:rFonts w:ascii="Trebuchet MS"/>
          <w:i/>
          <w:color w:val="231F20"/>
          <w:sz w:val="16"/>
        </w:rPr>
        <w:t>of</w:t>
      </w:r>
      <w:r>
        <w:rPr>
          <w:rFonts w:ascii="Trebuchet MS"/>
          <w:i/>
          <w:color w:val="231F20"/>
          <w:spacing w:val="-14"/>
          <w:sz w:val="16"/>
        </w:rPr>
        <w:t xml:space="preserve"> </w:t>
      </w:r>
      <w:r>
        <w:rPr>
          <w:rFonts w:ascii="Trebuchet MS"/>
          <w:i/>
          <w:color w:val="231F20"/>
          <w:sz w:val="16"/>
        </w:rPr>
        <w:t>modality</w:t>
      </w:r>
      <w:r>
        <w:rPr>
          <w:rFonts w:ascii="Tahoma"/>
          <w:color w:val="231F20"/>
          <w:sz w:val="16"/>
        </w:rPr>
        <w:t>.</w:t>
      </w:r>
      <w:r>
        <w:rPr>
          <w:rFonts w:ascii="Tahoma"/>
          <w:color w:val="231F20"/>
          <w:spacing w:val="-15"/>
          <w:sz w:val="16"/>
        </w:rPr>
        <w:t xml:space="preserve"> </w:t>
      </w:r>
      <w:r>
        <w:rPr>
          <w:rFonts w:ascii="Tahoma"/>
          <w:color w:val="231F20"/>
          <w:sz w:val="16"/>
        </w:rPr>
        <w:t>Berlin:</w:t>
      </w:r>
    </w:p>
    <w:p w:rsidR="00B05397" w:rsidRDefault="00856287">
      <w:pPr>
        <w:spacing w:line="193" w:lineRule="exact"/>
        <w:ind w:left="450" w:right="126"/>
        <w:rPr>
          <w:rFonts w:ascii="Tahoma"/>
          <w:sz w:val="16"/>
        </w:rPr>
      </w:pPr>
      <w:r>
        <w:rPr>
          <w:rFonts w:ascii="Tahoma"/>
          <w:color w:val="231F20"/>
          <w:sz w:val="16"/>
        </w:rPr>
        <w:t>Peter Lang.</w:t>
      </w:r>
    </w:p>
    <w:p w:rsidR="00B05397" w:rsidRDefault="00856287">
      <w:pPr>
        <w:spacing w:before="27"/>
        <w:ind w:left="111" w:right="126"/>
        <w:rPr>
          <w:rFonts w:ascii="Tahoma"/>
          <w:sz w:val="16"/>
        </w:rPr>
      </w:pPr>
      <w:r>
        <w:rPr>
          <w:rFonts w:ascii="Tahoma"/>
          <w:color w:val="231F20"/>
          <w:sz w:val="16"/>
        </w:rPr>
        <w:t>Matthews, R. 2003. Modal auxiliary constructions, TAM and interrogatives. In R. Facch</w:t>
      </w:r>
      <w:r>
        <w:rPr>
          <w:rFonts w:ascii="Tahoma"/>
          <w:color w:val="231F20"/>
          <w:sz w:val="16"/>
        </w:rPr>
        <w:t>inetti,</w:t>
      </w:r>
    </w:p>
    <w:p w:rsidR="00B05397" w:rsidRDefault="00856287">
      <w:pPr>
        <w:tabs>
          <w:tab w:val="left" w:pos="6800"/>
        </w:tabs>
        <w:spacing w:before="91" w:line="141" w:lineRule="auto"/>
        <w:ind w:left="450" w:right="124"/>
        <w:rPr>
          <w:sz w:val="16"/>
        </w:rPr>
      </w:pPr>
      <w:r>
        <w:rPr>
          <w:rFonts w:ascii="Tahoma" w:hAnsi="Tahoma"/>
          <w:color w:val="231F20"/>
          <w:sz w:val="16"/>
        </w:rPr>
        <w:t xml:space="preserve">M. Krug &amp; F. Palmer (eds.), </w:t>
      </w:r>
      <w:r>
        <w:rPr>
          <w:rFonts w:ascii="Trebuchet MS" w:hAnsi="Trebuchet MS"/>
          <w:i/>
          <w:color w:val="231F20"/>
          <w:sz w:val="16"/>
        </w:rPr>
        <w:t>Modality in contemporary English</w:t>
      </w:r>
      <w:r>
        <w:rPr>
          <w:rFonts w:ascii="Tahoma" w:hAnsi="Tahoma"/>
          <w:color w:val="231F20"/>
          <w:sz w:val="16"/>
        </w:rPr>
        <w:t>, 47</w:t>
      </w:r>
      <w:r>
        <w:rPr>
          <w:rFonts w:ascii="Calibri" w:hAnsi="Calibri"/>
          <w:color w:val="231F20"/>
          <w:sz w:val="16"/>
        </w:rPr>
        <w:t>–</w:t>
      </w:r>
      <w:r>
        <w:rPr>
          <w:rFonts w:ascii="Tahoma" w:hAnsi="Tahoma"/>
          <w:color w:val="231F20"/>
          <w:sz w:val="16"/>
        </w:rPr>
        <w:t>70. Berlin &amp; New York: Mouton</w:t>
      </w:r>
      <w:r>
        <w:rPr>
          <w:rFonts w:ascii="Tahoma" w:hAnsi="Tahoma"/>
          <w:color w:val="231F20"/>
          <w:spacing w:val="-5"/>
          <w:sz w:val="16"/>
        </w:rPr>
        <w:t xml:space="preserve"> </w:t>
      </w:r>
      <w:r>
        <w:rPr>
          <w:rFonts w:ascii="Tahoma" w:hAnsi="Tahoma"/>
          <w:color w:val="231F20"/>
          <w:sz w:val="16"/>
        </w:rPr>
        <w:t>de</w:t>
      </w:r>
      <w:r>
        <w:rPr>
          <w:rFonts w:ascii="Tahoma" w:hAnsi="Tahoma"/>
          <w:color w:val="231F20"/>
          <w:spacing w:val="-5"/>
          <w:sz w:val="16"/>
        </w:rPr>
        <w:t xml:space="preserve"> </w:t>
      </w:r>
      <w:r>
        <w:rPr>
          <w:rFonts w:ascii="Tahoma" w:hAnsi="Tahoma"/>
          <w:color w:val="231F20"/>
          <w:sz w:val="16"/>
        </w:rPr>
        <w:t>Gruyter.</w:t>
      </w:r>
      <w:r>
        <w:rPr>
          <w:color w:val="231F20"/>
          <w:position w:val="11"/>
          <w:sz w:val="16"/>
        </w:rPr>
        <w:tab/>
        <w:t>20</w:t>
      </w:r>
    </w:p>
    <w:p w:rsidR="00B05397" w:rsidRDefault="00856287">
      <w:pPr>
        <w:spacing w:before="41" w:line="268" w:lineRule="auto"/>
        <w:ind w:left="450" w:right="936" w:hanging="339"/>
        <w:rPr>
          <w:rFonts w:ascii="Tahoma"/>
          <w:sz w:val="16"/>
        </w:rPr>
      </w:pPr>
      <w:r>
        <w:rPr>
          <w:rFonts w:ascii="Tahoma"/>
          <w:color w:val="231F20"/>
          <w:sz w:val="16"/>
        </w:rPr>
        <w:t>Nuyts,</w:t>
      </w:r>
      <w:r>
        <w:rPr>
          <w:rFonts w:ascii="Tahoma"/>
          <w:color w:val="231F20"/>
          <w:spacing w:val="-30"/>
          <w:sz w:val="16"/>
        </w:rPr>
        <w:t xml:space="preserve"> </w:t>
      </w:r>
      <w:r>
        <w:rPr>
          <w:rFonts w:ascii="Tahoma"/>
          <w:color w:val="231F20"/>
          <w:sz w:val="16"/>
        </w:rPr>
        <w:t>J.</w:t>
      </w:r>
      <w:r>
        <w:rPr>
          <w:rFonts w:ascii="Tahoma"/>
          <w:color w:val="231F20"/>
          <w:spacing w:val="-31"/>
          <w:sz w:val="16"/>
        </w:rPr>
        <w:t xml:space="preserve"> </w:t>
      </w:r>
      <w:r>
        <w:rPr>
          <w:rFonts w:ascii="Tahoma"/>
          <w:color w:val="231F20"/>
          <w:sz w:val="16"/>
        </w:rPr>
        <w:t>2001.</w:t>
      </w:r>
      <w:r>
        <w:rPr>
          <w:rFonts w:ascii="Tahoma"/>
          <w:color w:val="231F20"/>
          <w:spacing w:val="-30"/>
          <w:sz w:val="16"/>
        </w:rPr>
        <w:t xml:space="preserve"> </w:t>
      </w:r>
      <w:r>
        <w:rPr>
          <w:rFonts w:ascii="Trebuchet MS"/>
          <w:i/>
          <w:color w:val="231F20"/>
          <w:sz w:val="16"/>
        </w:rPr>
        <w:t>Epistemic</w:t>
      </w:r>
      <w:r>
        <w:rPr>
          <w:rFonts w:ascii="Trebuchet MS"/>
          <w:i/>
          <w:color w:val="231F20"/>
          <w:spacing w:val="-29"/>
          <w:sz w:val="16"/>
        </w:rPr>
        <w:t xml:space="preserve"> </w:t>
      </w:r>
      <w:r>
        <w:rPr>
          <w:rFonts w:ascii="Trebuchet MS"/>
          <w:i/>
          <w:color w:val="231F20"/>
          <w:sz w:val="16"/>
        </w:rPr>
        <w:t>modality,</w:t>
      </w:r>
      <w:r>
        <w:rPr>
          <w:rFonts w:ascii="Trebuchet MS"/>
          <w:i/>
          <w:color w:val="231F20"/>
          <w:spacing w:val="-29"/>
          <w:sz w:val="16"/>
        </w:rPr>
        <w:t xml:space="preserve"> </w:t>
      </w:r>
      <w:r>
        <w:rPr>
          <w:rFonts w:ascii="Trebuchet MS"/>
          <w:i/>
          <w:color w:val="231F20"/>
          <w:sz w:val="16"/>
        </w:rPr>
        <w:t>language,</w:t>
      </w:r>
      <w:r>
        <w:rPr>
          <w:rFonts w:ascii="Trebuchet MS"/>
          <w:i/>
          <w:color w:val="231F20"/>
          <w:spacing w:val="-28"/>
          <w:sz w:val="16"/>
        </w:rPr>
        <w:t xml:space="preserve"> </w:t>
      </w:r>
      <w:r>
        <w:rPr>
          <w:rFonts w:ascii="Trebuchet MS"/>
          <w:i/>
          <w:color w:val="231F20"/>
          <w:sz w:val="16"/>
        </w:rPr>
        <w:t>and</w:t>
      </w:r>
      <w:r>
        <w:rPr>
          <w:rFonts w:ascii="Trebuchet MS"/>
          <w:i/>
          <w:color w:val="231F20"/>
          <w:spacing w:val="-28"/>
          <w:sz w:val="16"/>
        </w:rPr>
        <w:t xml:space="preserve"> </w:t>
      </w:r>
      <w:r>
        <w:rPr>
          <w:rFonts w:ascii="Trebuchet MS"/>
          <w:i/>
          <w:color w:val="231F20"/>
          <w:sz w:val="16"/>
        </w:rPr>
        <w:t>conceptualization</w:t>
      </w:r>
      <w:r>
        <w:rPr>
          <w:rFonts w:ascii="Tahoma"/>
          <w:color w:val="231F20"/>
          <w:sz w:val="16"/>
        </w:rPr>
        <w:t>.</w:t>
      </w:r>
      <w:r>
        <w:rPr>
          <w:rFonts w:ascii="Tahoma"/>
          <w:color w:val="231F20"/>
          <w:spacing w:val="-30"/>
          <w:sz w:val="16"/>
        </w:rPr>
        <w:t xml:space="preserve"> </w:t>
      </w:r>
      <w:r>
        <w:rPr>
          <w:rFonts w:ascii="Tahoma"/>
          <w:color w:val="231F20"/>
          <w:sz w:val="16"/>
        </w:rPr>
        <w:t>Amsterdam:</w:t>
      </w:r>
      <w:r>
        <w:rPr>
          <w:rFonts w:ascii="Tahoma"/>
          <w:color w:val="231F20"/>
          <w:spacing w:val="-30"/>
          <w:sz w:val="16"/>
        </w:rPr>
        <w:t xml:space="preserve"> </w:t>
      </w:r>
      <w:r>
        <w:rPr>
          <w:rFonts w:ascii="Tahoma"/>
          <w:color w:val="231F20"/>
          <w:sz w:val="16"/>
        </w:rPr>
        <w:t>John Benjamins.</w:t>
      </w:r>
    </w:p>
    <w:p w:rsidR="00B05397" w:rsidRDefault="00856287">
      <w:pPr>
        <w:spacing w:before="2"/>
        <w:ind w:left="111" w:right="126"/>
        <w:rPr>
          <w:rFonts w:ascii="Tahoma"/>
          <w:sz w:val="16"/>
        </w:rPr>
      </w:pPr>
      <w:r>
        <w:rPr>
          <w:rFonts w:ascii="Tahoma"/>
          <w:color w:val="231F20"/>
          <w:sz w:val="16"/>
        </w:rPr>
        <w:t xml:space="preserve">Palmer, F. R. 1979. </w:t>
      </w:r>
      <w:r>
        <w:rPr>
          <w:rFonts w:ascii="Trebuchet MS"/>
          <w:i/>
          <w:color w:val="231F20"/>
          <w:sz w:val="16"/>
        </w:rPr>
        <w:t>Modality and the English modals</w:t>
      </w:r>
      <w:r>
        <w:rPr>
          <w:rFonts w:ascii="Tahoma"/>
          <w:color w:val="231F20"/>
          <w:sz w:val="16"/>
        </w:rPr>
        <w:t>. London: Longman.</w:t>
      </w:r>
    </w:p>
    <w:p w:rsidR="00B05397" w:rsidRDefault="00856287">
      <w:pPr>
        <w:spacing w:before="24"/>
        <w:ind w:left="111" w:right="126"/>
        <w:rPr>
          <w:rFonts w:ascii="Tahoma"/>
          <w:sz w:val="16"/>
        </w:rPr>
      </w:pPr>
      <w:r>
        <w:rPr>
          <w:rFonts w:ascii="Tahoma"/>
          <w:color w:val="231F20"/>
          <w:sz w:val="16"/>
        </w:rPr>
        <w:t xml:space="preserve">Palmer, F. R. 1986. </w:t>
      </w:r>
      <w:r>
        <w:rPr>
          <w:rFonts w:ascii="Trebuchet MS"/>
          <w:i/>
          <w:color w:val="231F20"/>
          <w:sz w:val="16"/>
        </w:rPr>
        <w:t>Mood and modality</w:t>
      </w:r>
      <w:r>
        <w:rPr>
          <w:rFonts w:ascii="Tahoma"/>
          <w:color w:val="231F20"/>
          <w:sz w:val="16"/>
        </w:rPr>
        <w:t>. Cambridge: Cambridge University Press.</w:t>
      </w:r>
    </w:p>
    <w:p w:rsidR="00B05397" w:rsidRDefault="00856287">
      <w:pPr>
        <w:spacing w:before="23" w:line="252" w:lineRule="exact"/>
        <w:ind w:left="111" w:right="-7"/>
        <w:rPr>
          <w:sz w:val="16"/>
        </w:rPr>
      </w:pPr>
      <w:r>
        <w:rPr>
          <w:rFonts w:ascii="Tahoma"/>
          <w:color w:val="231F20"/>
          <w:sz w:val="16"/>
        </w:rPr>
        <w:t xml:space="preserve">Papafragou, A. 2000. </w:t>
      </w:r>
      <w:r>
        <w:rPr>
          <w:rFonts w:ascii="Trebuchet MS"/>
          <w:i/>
          <w:color w:val="231F20"/>
          <w:sz w:val="16"/>
        </w:rPr>
        <w:t>Modality: Issues in the semantics-pragmatics interface</w:t>
      </w:r>
      <w:r>
        <w:rPr>
          <w:rFonts w:ascii="Tahoma"/>
          <w:color w:val="231F20"/>
          <w:sz w:val="16"/>
        </w:rPr>
        <w:t xml:space="preserve">. Oxford: Elsevier. </w:t>
      </w:r>
      <w:r>
        <w:rPr>
          <w:color w:val="231F20"/>
          <w:position w:val="-8"/>
          <w:sz w:val="16"/>
        </w:rPr>
        <w:t>25</w:t>
      </w:r>
    </w:p>
    <w:p w:rsidR="00B05397" w:rsidRDefault="00856287">
      <w:pPr>
        <w:spacing w:line="163" w:lineRule="exact"/>
        <w:ind w:left="111" w:right="126"/>
        <w:rPr>
          <w:rFonts w:ascii="Trebuchet MS" w:hAnsi="Trebuchet MS"/>
          <w:i/>
          <w:sz w:val="16"/>
        </w:rPr>
      </w:pPr>
      <w:r>
        <w:rPr>
          <w:rFonts w:ascii="Tahoma" w:hAnsi="Tahoma"/>
          <w:color w:val="231F20"/>
          <w:sz w:val="16"/>
        </w:rPr>
        <w:t>Pinto, D. &amp;</w:t>
      </w:r>
      <w:r>
        <w:rPr>
          <w:rFonts w:ascii="Tahoma" w:hAnsi="Tahoma"/>
          <w:color w:val="231F20"/>
          <w:sz w:val="16"/>
        </w:rPr>
        <w:t xml:space="preserve"> C. de Pablos-Ortega. 2014. </w:t>
      </w:r>
      <w:r>
        <w:rPr>
          <w:rFonts w:ascii="Trebuchet MS" w:hAnsi="Trebuchet MS"/>
          <w:i/>
          <w:color w:val="231F20"/>
          <w:sz w:val="16"/>
        </w:rPr>
        <w:t>Seamos pragmaticos: Introducción a la pragmática</w:t>
      </w:r>
    </w:p>
    <w:p w:rsidR="00B05397" w:rsidRDefault="00856287">
      <w:pPr>
        <w:spacing w:before="23"/>
        <w:ind w:left="450" w:right="126"/>
        <w:rPr>
          <w:rFonts w:ascii="Tahoma" w:hAnsi="Tahoma"/>
          <w:sz w:val="16"/>
        </w:rPr>
      </w:pPr>
      <w:r>
        <w:rPr>
          <w:rFonts w:ascii="Trebuchet MS" w:hAnsi="Trebuchet MS"/>
          <w:i/>
          <w:color w:val="231F20"/>
          <w:sz w:val="16"/>
        </w:rPr>
        <w:t>española</w:t>
      </w:r>
      <w:r>
        <w:rPr>
          <w:rFonts w:ascii="Tahoma" w:hAnsi="Tahoma"/>
          <w:color w:val="231F20"/>
          <w:sz w:val="16"/>
        </w:rPr>
        <w:t>. New Haven &amp; London: Yale University Press.</w:t>
      </w:r>
    </w:p>
    <w:p w:rsidR="00B05397" w:rsidRDefault="00856287">
      <w:pPr>
        <w:spacing w:before="24" w:line="268" w:lineRule="auto"/>
        <w:ind w:left="450" w:right="394" w:hanging="339"/>
        <w:rPr>
          <w:rFonts w:ascii="Tahoma"/>
          <w:sz w:val="16"/>
        </w:rPr>
      </w:pPr>
      <w:r>
        <w:rPr>
          <w:rFonts w:ascii="Tahoma"/>
          <w:color w:val="231F20"/>
          <w:sz w:val="16"/>
        </w:rPr>
        <w:t>Quirk,</w:t>
      </w:r>
      <w:r>
        <w:rPr>
          <w:rFonts w:ascii="Tahoma"/>
          <w:color w:val="231F20"/>
          <w:spacing w:val="-23"/>
          <w:sz w:val="16"/>
        </w:rPr>
        <w:t xml:space="preserve"> </w:t>
      </w:r>
      <w:r>
        <w:rPr>
          <w:rFonts w:ascii="Tahoma"/>
          <w:color w:val="231F20"/>
          <w:sz w:val="16"/>
        </w:rPr>
        <w:t>Randolph,</w:t>
      </w:r>
      <w:r>
        <w:rPr>
          <w:rFonts w:ascii="Tahoma"/>
          <w:color w:val="231F20"/>
          <w:spacing w:val="-23"/>
          <w:sz w:val="16"/>
        </w:rPr>
        <w:t xml:space="preserve"> </w:t>
      </w:r>
      <w:r>
        <w:rPr>
          <w:rFonts w:ascii="Tahoma"/>
          <w:color w:val="231F20"/>
          <w:sz w:val="16"/>
        </w:rPr>
        <w:t>S.</w:t>
      </w:r>
      <w:r>
        <w:rPr>
          <w:rFonts w:ascii="Tahoma"/>
          <w:color w:val="231F20"/>
          <w:spacing w:val="-23"/>
          <w:sz w:val="16"/>
        </w:rPr>
        <w:t xml:space="preserve"> </w:t>
      </w:r>
      <w:r>
        <w:rPr>
          <w:rFonts w:ascii="Tahoma"/>
          <w:color w:val="231F20"/>
          <w:sz w:val="16"/>
        </w:rPr>
        <w:t>Greenbaum,</w:t>
      </w:r>
      <w:r>
        <w:rPr>
          <w:rFonts w:ascii="Tahoma"/>
          <w:color w:val="231F20"/>
          <w:spacing w:val="-24"/>
          <w:sz w:val="16"/>
        </w:rPr>
        <w:t xml:space="preserve"> </w:t>
      </w:r>
      <w:r>
        <w:rPr>
          <w:rFonts w:ascii="Tahoma"/>
          <w:color w:val="231F20"/>
          <w:sz w:val="16"/>
        </w:rPr>
        <w:t>G.</w:t>
      </w:r>
      <w:r>
        <w:rPr>
          <w:rFonts w:ascii="Tahoma"/>
          <w:color w:val="231F20"/>
          <w:spacing w:val="-24"/>
          <w:sz w:val="16"/>
        </w:rPr>
        <w:t xml:space="preserve"> </w:t>
      </w:r>
      <w:r>
        <w:rPr>
          <w:rFonts w:ascii="Tahoma"/>
          <w:color w:val="231F20"/>
          <w:sz w:val="16"/>
        </w:rPr>
        <w:t>Leech</w:t>
      </w:r>
      <w:r>
        <w:rPr>
          <w:rFonts w:ascii="Tahoma"/>
          <w:color w:val="231F20"/>
          <w:spacing w:val="-24"/>
          <w:sz w:val="16"/>
        </w:rPr>
        <w:t xml:space="preserve"> </w:t>
      </w:r>
      <w:r>
        <w:rPr>
          <w:rFonts w:ascii="Tahoma"/>
          <w:color w:val="231F20"/>
          <w:sz w:val="16"/>
        </w:rPr>
        <w:t>&amp;.</w:t>
      </w:r>
      <w:r>
        <w:rPr>
          <w:rFonts w:ascii="Tahoma"/>
          <w:color w:val="231F20"/>
          <w:spacing w:val="-24"/>
          <w:sz w:val="16"/>
        </w:rPr>
        <w:t xml:space="preserve"> </w:t>
      </w:r>
      <w:r>
        <w:rPr>
          <w:rFonts w:ascii="Tahoma"/>
          <w:color w:val="231F20"/>
          <w:sz w:val="16"/>
        </w:rPr>
        <w:t>J.</w:t>
      </w:r>
      <w:r>
        <w:rPr>
          <w:rFonts w:ascii="Tahoma"/>
          <w:color w:val="231F20"/>
          <w:spacing w:val="-24"/>
          <w:sz w:val="16"/>
        </w:rPr>
        <w:t xml:space="preserve"> </w:t>
      </w:r>
      <w:r>
        <w:rPr>
          <w:rFonts w:ascii="Tahoma"/>
          <w:color w:val="231F20"/>
          <w:sz w:val="16"/>
        </w:rPr>
        <w:t>Svartvik.</w:t>
      </w:r>
      <w:r>
        <w:rPr>
          <w:rFonts w:ascii="Tahoma"/>
          <w:color w:val="231F20"/>
          <w:spacing w:val="-23"/>
          <w:sz w:val="16"/>
        </w:rPr>
        <w:t xml:space="preserve"> </w:t>
      </w:r>
      <w:r>
        <w:rPr>
          <w:rFonts w:ascii="Tahoma"/>
          <w:color w:val="231F20"/>
          <w:sz w:val="16"/>
        </w:rPr>
        <w:t>1985.</w:t>
      </w:r>
      <w:r>
        <w:rPr>
          <w:rFonts w:ascii="Tahoma"/>
          <w:color w:val="231F20"/>
          <w:spacing w:val="-24"/>
          <w:sz w:val="16"/>
        </w:rPr>
        <w:t xml:space="preserve"> </w:t>
      </w:r>
      <w:r>
        <w:rPr>
          <w:rFonts w:ascii="Trebuchet MS"/>
          <w:i/>
          <w:color w:val="231F20"/>
          <w:sz w:val="16"/>
        </w:rPr>
        <w:t>A</w:t>
      </w:r>
      <w:r>
        <w:rPr>
          <w:rFonts w:ascii="Trebuchet MS"/>
          <w:i/>
          <w:color w:val="231F20"/>
          <w:spacing w:val="-22"/>
          <w:sz w:val="16"/>
        </w:rPr>
        <w:t xml:space="preserve"> </w:t>
      </w:r>
      <w:r>
        <w:rPr>
          <w:rFonts w:ascii="Trebuchet MS"/>
          <w:i/>
          <w:color w:val="231F20"/>
          <w:sz w:val="16"/>
        </w:rPr>
        <w:t>comprehensive</w:t>
      </w:r>
      <w:r>
        <w:rPr>
          <w:rFonts w:ascii="Trebuchet MS"/>
          <w:i/>
          <w:color w:val="231F20"/>
          <w:spacing w:val="-22"/>
          <w:sz w:val="16"/>
        </w:rPr>
        <w:t xml:space="preserve"> </w:t>
      </w:r>
      <w:r>
        <w:rPr>
          <w:rFonts w:ascii="Trebuchet MS"/>
          <w:i/>
          <w:color w:val="231F20"/>
          <w:sz w:val="16"/>
        </w:rPr>
        <w:t>grammar</w:t>
      </w:r>
      <w:r>
        <w:rPr>
          <w:rFonts w:ascii="Trebuchet MS"/>
          <w:i/>
          <w:color w:val="231F20"/>
          <w:spacing w:val="-22"/>
          <w:sz w:val="16"/>
        </w:rPr>
        <w:t xml:space="preserve"> </w:t>
      </w:r>
      <w:r>
        <w:rPr>
          <w:rFonts w:ascii="Trebuchet MS"/>
          <w:i/>
          <w:color w:val="231F20"/>
          <w:sz w:val="16"/>
        </w:rPr>
        <w:t>of</w:t>
      </w:r>
      <w:r>
        <w:rPr>
          <w:rFonts w:ascii="Trebuchet MS"/>
          <w:i/>
          <w:color w:val="231F20"/>
          <w:spacing w:val="-22"/>
          <w:sz w:val="16"/>
        </w:rPr>
        <w:t xml:space="preserve"> </w:t>
      </w:r>
      <w:r>
        <w:rPr>
          <w:rFonts w:ascii="Trebuchet MS"/>
          <w:i/>
          <w:color w:val="231F20"/>
          <w:sz w:val="16"/>
        </w:rPr>
        <w:t>the English language</w:t>
      </w:r>
      <w:r>
        <w:rPr>
          <w:rFonts w:ascii="Tahoma"/>
          <w:color w:val="231F20"/>
          <w:sz w:val="16"/>
        </w:rPr>
        <w:t>. London:</w:t>
      </w:r>
      <w:r>
        <w:rPr>
          <w:rFonts w:ascii="Tahoma"/>
          <w:color w:val="231F20"/>
          <w:spacing w:val="-32"/>
          <w:sz w:val="16"/>
        </w:rPr>
        <w:t xml:space="preserve"> </w:t>
      </w:r>
      <w:r>
        <w:rPr>
          <w:rFonts w:ascii="Tahoma"/>
          <w:color w:val="231F20"/>
          <w:sz w:val="16"/>
        </w:rPr>
        <w:t>Longman</w:t>
      </w:r>
      <w:r>
        <w:rPr>
          <w:rFonts w:ascii="Tahoma"/>
          <w:color w:val="231F20"/>
          <w:sz w:val="16"/>
        </w:rPr>
        <w:t>.</w:t>
      </w:r>
    </w:p>
    <w:p w:rsidR="00B05397" w:rsidRDefault="00856287">
      <w:pPr>
        <w:spacing w:line="193" w:lineRule="exact"/>
        <w:ind w:left="111" w:right="126"/>
        <w:rPr>
          <w:rFonts w:ascii="Tahoma" w:hAnsi="Tahoma"/>
          <w:sz w:val="16"/>
        </w:rPr>
      </w:pPr>
      <w:r>
        <w:rPr>
          <w:rFonts w:ascii="Tahoma" w:hAnsi="Tahoma"/>
          <w:color w:val="231F20"/>
          <w:sz w:val="16"/>
        </w:rPr>
        <w:t>Rabadán, R. 2006. Modality and modal verbs in contrast: Mapping out a translation(ally)</w:t>
      </w:r>
    </w:p>
    <w:p w:rsidR="00B05397" w:rsidRDefault="00856287">
      <w:pPr>
        <w:tabs>
          <w:tab w:val="left" w:pos="6800"/>
        </w:tabs>
        <w:spacing w:before="27" w:line="242" w:lineRule="exact"/>
        <w:ind w:left="450"/>
        <w:rPr>
          <w:sz w:val="16"/>
        </w:rPr>
      </w:pPr>
      <w:r>
        <w:rPr>
          <w:rFonts w:ascii="Tahoma" w:hAnsi="Tahoma"/>
          <w:color w:val="231F20"/>
          <w:sz w:val="16"/>
        </w:rPr>
        <w:t xml:space="preserve">relevant approach English-Spanish. </w:t>
      </w:r>
      <w:r>
        <w:rPr>
          <w:rFonts w:ascii="Trebuchet MS" w:hAnsi="Trebuchet MS"/>
          <w:i/>
          <w:color w:val="231F20"/>
          <w:sz w:val="16"/>
        </w:rPr>
        <w:t>Languages in Contrast</w:t>
      </w:r>
      <w:r>
        <w:rPr>
          <w:rFonts w:ascii="Trebuchet MS" w:hAnsi="Trebuchet MS"/>
          <w:i/>
          <w:color w:val="231F20"/>
          <w:spacing w:val="-31"/>
          <w:sz w:val="16"/>
        </w:rPr>
        <w:t xml:space="preserve"> </w:t>
      </w:r>
      <w:r>
        <w:rPr>
          <w:rFonts w:ascii="Tahoma" w:hAnsi="Tahoma"/>
          <w:color w:val="231F20"/>
          <w:sz w:val="16"/>
        </w:rPr>
        <w:t>6(2).</w:t>
      </w:r>
      <w:r>
        <w:rPr>
          <w:rFonts w:ascii="Tahoma" w:hAnsi="Tahoma"/>
          <w:color w:val="231F20"/>
          <w:spacing w:val="-6"/>
          <w:sz w:val="16"/>
        </w:rPr>
        <w:t xml:space="preserve"> </w:t>
      </w:r>
      <w:r>
        <w:rPr>
          <w:rFonts w:ascii="Tahoma" w:hAnsi="Tahoma"/>
          <w:color w:val="231F20"/>
          <w:sz w:val="16"/>
        </w:rPr>
        <w:t>261</w:t>
      </w:r>
      <w:r>
        <w:rPr>
          <w:rFonts w:ascii="Calibri" w:hAnsi="Calibri"/>
          <w:color w:val="231F20"/>
          <w:sz w:val="16"/>
        </w:rPr>
        <w:t>–</w:t>
      </w:r>
      <w:r>
        <w:rPr>
          <w:rFonts w:ascii="Tahoma" w:hAnsi="Tahoma"/>
          <w:color w:val="231F20"/>
          <w:sz w:val="16"/>
        </w:rPr>
        <w:t>306.</w:t>
      </w:r>
      <w:r>
        <w:rPr>
          <w:color w:val="231F20"/>
          <w:position w:val="-6"/>
          <w:sz w:val="16"/>
        </w:rPr>
        <w:tab/>
        <w:t>30</w:t>
      </w:r>
    </w:p>
    <w:p w:rsidR="00B05397" w:rsidRDefault="00856287">
      <w:pPr>
        <w:spacing w:line="173" w:lineRule="exact"/>
        <w:ind w:left="111" w:right="126"/>
        <w:rPr>
          <w:rFonts w:ascii="Tahoma"/>
          <w:sz w:val="16"/>
        </w:rPr>
      </w:pPr>
      <w:r>
        <w:rPr>
          <w:rFonts w:ascii="Tahoma"/>
          <w:color w:val="231F20"/>
          <w:sz w:val="16"/>
        </w:rPr>
        <w:t xml:space="preserve">Swan, M. &amp; C. Walter. 2011a. </w:t>
      </w:r>
      <w:r>
        <w:rPr>
          <w:rFonts w:ascii="Trebuchet MS"/>
          <w:i/>
          <w:color w:val="231F20"/>
          <w:sz w:val="16"/>
        </w:rPr>
        <w:t>Oxford English grammar course (intermediate)</w:t>
      </w:r>
      <w:r>
        <w:rPr>
          <w:rFonts w:ascii="Tahoma"/>
          <w:color w:val="231F20"/>
          <w:sz w:val="16"/>
        </w:rPr>
        <w:t>. Oxford: Oxford</w:t>
      </w:r>
    </w:p>
    <w:p w:rsidR="00B05397" w:rsidRDefault="00856287">
      <w:pPr>
        <w:spacing w:before="23"/>
        <w:ind w:left="450" w:right="126"/>
        <w:rPr>
          <w:rFonts w:ascii="Tahoma"/>
          <w:sz w:val="16"/>
        </w:rPr>
      </w:pPr>
      <w:r>
        <w:rPr>
          <w:rFonts w:ascii="Tahoma"/>
          <w:color w:val="231F20"/>
          <w:sz w:val="16"/>
        </w:rPr>
        <w:t>University Press.</w:t>
      </w:r>
    </w:p>
    <w:p w:rsidR="00B05397" w:rsidRDefault="00856287">
      <w:pPr>
        <w:spacing w:before="27" w:line="268" w:lineRule="auto"/>
        <w:ind w:left="450" w:right="731" w:hanging="339"/>
        <w:rPr>
          <w:rFonts w:ascii="Tahoma"/>
          <w:sz w:val="16"/>
        </w:rPr>
      </w:pPr>
      <w:r>
        <w:rPr>
          <w:rFonts w:ascii="Tahoma"/>
          <w:color w:val="231F20"/>
          <w:sz w:val="16"/>
        </w:rPr>
        <w:t>Swan,</w:t>
      </w:r>
      <w:r>
        <w:rPr>
          <w:rFonts w:ascii="Tahoma"/>
          <w:color w:val="231F20"/>
          <w:spacing w:val="-15"/>
          <w:sz w:val="16"/>
        </w:rPr>
        <w:t xml:space="preserve"> </w:t>
      </w:r>
      <w:r>
        <w:rPr>
          <w:rFonts w:ascii="Tahoma"/>
          <w:color w:val="231F20"/>
          <w:sz w:val="16"/>
        </w:rPr>
        <w:t>M.</w:t>
      </w:r>
      <w:r>
        <w:rPr>
          <w:rFonts w:ascii="Tahoma"/>
          <w:color w:val="231F20"/>
          <w:spacing w:val="-16"/>
          <w:sz w:val="16"/>
        </w:rPr>
        <w:t xml:space="preserve"> </w:t>
      </w:r>
      <w:r>
        <w:rPr>
          <w:rFonts w:ascii="Tahoma"/>
          <w:color w:val="231F20"/>
          <w:sz w:val="16"/>
        </w:rPr>
        <w:t>&amp;</w:t>
      </w:r>
      <w:r>
        <w:rPr>
          <w:rFonts w:ascii="Tahoma"/>
          <w:color w:val="231F20"/>
          <w:spacing w:val="-15"/>
          <w:sz w:val="16"/>
        </w:rPr>
        <w:t xml:space="preserve"> </w:t>
      </w:r>
      <w:r>
        <w:rPr>
          <w:rFonts w:ascii="Tahoma"/>
          <w:color w:val="231F20"/>
          <w:sz w:val="16"/>
        </w:rPr>
        <w:t>C.</w:t>
      </w:r>
      <w:r>
        <w:rPr>
          <w:rFonts w:ascii="Tahoma"/>
          <w:color w:val="231F20"/>
          <w:spacing w:val="-15"/>
          <w:sz w:val="16"/>
        </w:rPr>
        <w:t xml:space="preserve"> </w:t>
      </w:r>
      <w:r>
        <w:rPr>
          <w:rFonts w:ascii="Tahoma"/>
          <w:color w:val="231F20"/>
          <w:sz w:val="16"/>
        </w:rPr>
        <w:t>Walter.</w:t>
      </w:r>
      <w:r>
        <w:rPr>
          <w:rFonts w:ascii="Tahoma"/>
          <w:color w:val="231F20"/>
          <w:spacing w:val="-14"/>
          <w:sz w:val="16"/>
        </w:rPr>
        <w:t xml:space="preserve"> </w:t>
      </w:r>
      <w:r>
        <w:rPr>
          <w:rFonts w:ascii="Tahoma"/>
          <w:color w:val="231F20"/>
          <w:sz w:val="16"/>
        </w:rPr>
        <w:t>2011b.</w:t>
      </w:r>
      <w:r>
        <w:rPr>
          <w:rFonts w:ascii="Tahoma"/>
          <w:color w:val="231F20"/>
          <w:spacing w:val="-16"/>
          <w:sz w:val="16"/>
        </w:rPr>
        <w:t xml:space="preserve"> </w:t>
      </w:r>
      <w:r>
        <w:rPr>
          <w:rFonts w:ascii="Trebuchet MS"/>
          <w:i/>
          <w:color w:val="231F20"/>
          <w:sz w:val="16"/>
        </w:rPr>
        <w:t>Oxford</w:t>
      </w:r>
      <w:r>
        <w:rPr>
          <w:rFonts w:ascii="Trebuchet MS"/>
          <w:i/>
          <w:color w:val="231F20"/>
          <w:spacing w:val="-14"/>
          <w:sz w:val="16"/>
        </w:rPr>
        <w:t xml:space="preserve"> </w:t>
      </w:r>
      <w:r>
        <w:rPr>
          <w:rFonts w:ascii="Trebuchet MS"/>
          <w:i/>
          <w:color w:val="231F20"/>
          <w:sz w:val="16"/>
        </w:rPr>
        <w:t>English</w:t>
      </w:r>
      <w:r>
        <w:rPr>
          <w:rFonts w:ascii="Trebuchet MS"/>
          <w:i/>
          <w:color w:val="231F20"/>
          <w:spacing w:val="-13"/>
          <w:sz w:val="16"/>
        </w:rPr>
        <w:t xml:space="preserve"> </w:t>
      </w:r>
      <w:r>
        <w:rPr>
          <w:rFonts w:ascii="Trebuchet MS"/>
          <w:i/>
          <w:color w:val="231F20"/>
          <w:sz w:val="16"/>
        </w:rPr>
        <w:t>grammar</w:t>
      </w:r>
      <w:r>
        <w:rPr>
          <w:rFonts w:ascii="Trebuchet MS"/>
          <w:i/>
          <w:color w:val="231F20"/>
          <w:spacing w:val="-13"/>
          <w:sz w:val="16"/>
        </w:rPr>
        <w:t xml:space="preserve"> </w:t>
      </w:r>
      <w:r>
        <w:rPr>
          <w:rFonts w:ascii="Trebuchet MS"/>
          <w:i/>
          <w:color w:val="231F20"/>
          <w:sz w:val="16"/>
        </w:rPr>
        <w:t>course</w:t>
      </w:r>
      <w:r>
        <w:rPr>
          <w:rFonts w:ascii="Trebuchet MS"/>
          <w:i/>
          <w:color w:val="231F20"/>
          <w:spacing w:val="-14"/>
          <w:sz w:val="16"/>
        </w:rPr>
        <w:t xml:space="preserve"> </w:t>
      </w:r>
      <w:r>
        <w:rPr>
          <w:rFonts w:ascii="Trebuchet MS"/>
          <w:i/>
          <w:color w:val="231F20"/>
          <w:sz w:val="16"/>
        </w:rPr>
        <w:t>(advanced)</w:t>
      </w:r>
      <w:r>
        <w:rPr>
          <w:rFonts w:ascii="Tahoma"/>
          <w:color w:val="231F20"/>
          <w:sz w:val="16"/>
        </w:rPr>
        <w:t>.</w:t>
      </w:r>
      <w:r>
        <w:rPr>
          <w:rFonts w:ascii="Tahoma"/>
          <w:color w:val="231F20"/>
          <w:spacing w:val="-14"/>
          <w:sz w:val="16"/>
        </w:rPr>
        <w:t xml:space="preserve"> </w:t>
      </w:r>
      <w:r>
        <w:rPr>
          <w:rFonts w:ascii="Tahoma"/>
          <w:color w:val="231F20"/>
          <w:sz w:val="16"/>
        </w:rPr>
        <w:t>Oxford:</w:t>
      </w:r>
      <w:r>
        <w:rPr>
          <w:rFonts w:ascii="Tahoma"/>
          <w:color w:val="231F20"/>
          <w:spacing w:val="-16"/>
          <w:sz w:val="16"/>
        </w:rPr>
        <w:t xml:space="preserve"> </w:t>
      </w:r>
      <w:r>
        <w:rPr>
          <w:rFonts w:ascii="Tahoma"/>
          <w:color w:val="231F20"/>
          <w:sz w:val="16"/>
        </w:rPr>
        <w:t>Oxford University</w:t>
      </w:r>
      <w:r>
        <w:rPr>
          <w:rFonts w:ascii="Tahoma"/>
          <w:color w:val="231F20"/>
          <w:spacing w:val="-7"/>
          <w:sz w:val="16"/>
        </w:rPr>
        <w:t xml:space="preserve"> </w:t>
      </w:r>
      <w:r>
        <w:rPr>
          <w:rFonts w:ascii="Tahoma"/>
          <w:color w:val="231F20"/>
          <w:sz w:val="16"/>
        </w:rPr>
        <w:t>Press.</w:t>
      </w:r>
    </w:p>
    <w:p w:rsidR="00B05397" w:rsidRDefault="00856287">
      <w:pPr>
        <w:spacing w:before="2"/>
        <w:ind w:left="111" w:right="126"/>
        <w:rPr>
          <w:rFonts w:ascii="Tahoma"/>
          <w:sz w:val="16"/>
        </w:rPr>
      </w:pPr>
      <w:r>
        <w:rPr>
          <w:rFonts w:ascii="Tahoma"/>
          <w:color w:val="231F20"/>
          <w:sz w:val="16"/>
        </w:rPr>
        <w:t>Trbojevic, I. 2012. Modal hedges in para-pharmaceutical product instructions: Some</w:t>
      </w:r>
    </w:p>
    <w:p w:rsidR="00B05397" w:rsidRDefault="00856287">
      <w:pPr>
        <w:tabs>
          <w:tab w:val="left" w:pos="6800"/>
        </w:tabs>
        <w:spacing w:before="27" w:line="232" w:lineRule="exact"/>
        <w:ind w:left="450"/>
        <w:rPr>
          <w:sz w:val="16"/>
        </w:rPr>
      </w:pPr>
      <w:r>
        <w:rPr>
          <w:rFonts w:ascii="Tahoma" w:hAnsi="Tahoma"/>
          <w:color w:val="231F20"/>
          <w:sz w:val="16"/>
        </w:rPr>
        <w:t>examples</w:t>
      </w:r>
      <w:r>
        <w:rPr>
          <w:rFonts w:ascii="Tahoma" w:hAnsi="Tahoma"/>
          <w:color w:val="231F20"/>
          <w:spacing w:val="-11"/>
          <w:sz w:val="16"/>
        </w:rPr>
        <w:t xml:space="preserve"> </w:t>
      </w:r>
      <w:r>
        <w:rPr>
          <w:rFonts w:ascii="Tahoma" w:hAnsi="Tahoma"/>
          <w:color w:val="231F20"/>
          <w:sz w:val="16"/>
        </w:rPr>
        <w:t>from</w:t>
      </w:r>
      <w:r>
        <w:rPr>
          <w:rFonts w:ascii="Tahoma" w:hAnsi="Tahoma"/>
          <w:color w:val="231F20"/>
          <w:spacing w:val="-11"/>
          <w:sz w:val="16"/>
        </w:rPr>
        <w:t xml:space="preserve"> </w:t>
      </w:r>
      <w:r>
        <w:rPr>
          <w:rFonts w:ascii="Tahoma" w:hAnsi="Tahoma"/>
          <w:color w:val="231F20"/>
          <w:sz w:val="16"/>
        </w:rPr>
        <w:t>English</w:t>
      </w:r>
      <w:r>
        <w:rPr>
          <w:rFonts w:ascii="Tahoma" w:hAnsi="Tahoma"/>
          <w:color w:val="231F20"/>
          <w:spacing w:val="-11"/>
          <w:sz w:val="16"/>
        </w:rPr>
        <w:t xml:space="preserve"> </w:t>
      </w:r>
      <w:r>
        <w:rPr>
          <w:rFonts w:ascii="Tahoma" w:hAnsi="Tahoma"/>
          <w:color w:val="231F20"/>
          <w:sz w:val="16"/>
        </w:rPr>
        <w:t>and</w:t>
      </w:r>
      <w:r>
        <w:rPr>
          <w:rFonts w:ascii="Tahoma" w:hAnsi="Tahoma"/>
          <w:color w:val="231F20"/>
          <w:spacing w:val="-10"/>
          <w:sz w:val="16"/>
        </w:rPr>
        <w:t xml:space="preserve"> </w:t>
      </w:r>
      <w:r>
        <w:rPr>
          <w:rFonts w:ascii="Tahoma" w:hAnsi="Tahoma"/>
          <w:color w:val="231F20"/>
          <w:sz w:val="16"/>
        </w:rPr>
        <w:t>Serbian.</w:t>
      </w:r>
      <w:r>
        <w:rPr>
          <w:rFonts w:ascii="Tahoma" w:hAnsi="Tahoma"/>
          <w:color w:val="231F20"/>
          <w:spacing w:val="-10"/>
          <w:sz w:val="16"/>
        </w:rPr>
        <w:t xml:space="preserve"> </w:t>
      </w:r>
      <w:r>
        <w:rPr>
          <w:rFonts w:ascii="Trebuchet MS" w:hAnsi="Trebuchet MS"/>
          <w:i/>
          <w:color w:val="231F20"/>
          <w:sz w:val="16"/>
        </w:rPr>
        <w:t>LFE:Revista</w:t>
      </w:r>
      <w:r>
        <w:rPr>
          <w:rFonts w:ascii="Trebuchet MS" w:hAnsi="Trebuchet MS"/>
          <w:i/>
          <w:color w:val="231F20"/>
          <w:spacing w:val="-9"/>
          <w:sz w:val="16"/>
        </w:rPr>
        <w:t xml:space="preserve"> </w:t>
      </w:r>
      <w:r>
        <w:rPr>
          <w:rFonts w:ascii="Trebuchet MS" w:hAnsi="Trebuchet MS"/>
          <w:i/>
          <w:color w:val="231F20"/>
          <w:sz w:val="16"/>
        </w:rPr>
        <w:t>de</w:t>
      </w:r>
      <w:r>
        <w:rPr>
          <w:rFonts w:ascii="Trebuchet MS" w:hAnsi="Trebuchet MS"/>
          <w:i/>
          <w:color w:val="231F20"/>
          <w:spacing w:val="-9"/>
          <w:sz w:val="16"/>
        </w:rPr>
        <w:t xml:space="preserve"> </w:t>
      </w:r>
      <w:r>
        <w:rPr>
          <w:rFonts w:ascii="Trebuchet MS" w:hAnsi="Trebuchet MS"/>
          <w:i/>
          <w:color w:val="231F20"/>
          <w:sz w:val="16"/>
        </w:rPr>
        <w:t>lenguas</w:t>
      </w:r>
      <w:r>
        <w:rPr>
          <w:rFonts w:ascii="Trebuchet MS" w:hAnsi="Trebuchet MS"/>
          <w:i/>
          <w:color w:val="231F20"/>
          <w:spacing w:val="-9"/>
          <w:sz w:val="16"/>
        </w:rPr>
        <w:t xml:space="preserve"> </w:t>
      </w:r>
      <w:r>
        <w:rPr>
          <w:rFonts w:ascii="Trebuchet MS" w:hAnsi="Trebuchet MS"/>
          <w:i/>
          <w:color w:val="231F20"/>
          <w:sz w:val="16"/>
        </w:rPr>
        <w:t>para</w:t>
      </w:r>
      <w:r>
        <w:rPr>
          <w:rFonts w:ascii="Trebuchet MS" w:hAnsi="Trebuchet MS"/>
          <w:i/>
          <w:color w:val="231F20"/>
          <w:spacing w:val="-9"/>
          <w:sz w:val="16"/>
        </w:rPr>
        <w:t xml:space="preserve"> </w:t>
      </w:r>
      <w:r>
        <w:rPr>
          <w:rFonts w:ascii="Trebuchet MS" w:hAnsi="Trebuchet MS"/>
          <w:i/>
          <w:color w:val="231F20"/>
          <w:sz w:val="16"/>
        </w:rPr>
        <w:t>fines</w:t>
      </w:r>
      <w:r>
        <w:rPr>
          <w:rFonts w:ascii="Trebuchet MS" w:hAnsi="Trebuchet MS"/>
          <w:i/>
          <w:color w:val="231F20"/>
          <w:spacing w:val="-9"/>
          <w:sz w:val="16"/>
        </w:rPr>
        <w:t xml:space="preserve"> </w:t>
      </w:r>
      <w:r>
        <w:rPr>
          <w:rFonts w:ascii="Trebuchet MS" w:hAnsi="Trebuchet MS"/>
          <w:i/>
          <w:color w:val="231F20"/>
          <w:sz w:val="16"/>
        </w:rPr>
        <w:t>específicos</w:t>
      </w:r>
      <w:r>
        <w:rPr>
          <w:rFonts w:ascii="Trebuchet MS" w:hAnsi="Trebuchet MS"/>
          <w:i/>
          <w:color w:val="231F20"/>
          <w:spacing w:val="-9"/>
          <w:sz w:val="16"/>
        </w:rPr>
        <w:t xml:space="preserve"> </w:t>
      </w:r>
      <w:r>
        <w:rPr>
          <w:rFonts w:ascii="Tahoma" w:hAnsi="Tahoma"/>
          <w:color w:val="231F20"/>
          <w:sz w:val="16"/>
        </w:rPr>
        <w:t>18.</w:t>
      </w:r>
      <w:r>
        <w:rPr>
          <w:rFonts w:ascii="Tahoma" w:hAnsi="Tahoma"/>
          <w:color w:val="231F20"/>
          <w:sz w:val="16"/>
        </w:rPr>
        <w:tab/>
      </w:r>
      <w:r>
        <w:rPr>
          <w:color w:val="231F20"/>
          <w:position w:val="-4"/>
          <w:sz w:val="16"/>
        </w:rPr>
        <w:t>35</w:t>
      </w:r>
    </w:p>
    <w:p w:rsidR="00B05397" w:rsidRDefault="00856287">
      <w:pPr>
        <w:spacing w:line="190" w:lineRule="exact"/>
        <w:ind w:left="450" w:right="126"/>
        <w:rPr>
          <w:rFonts w:ascii="Tahoma" w:hAnsi="Tahoma"/>
          <w:sz w:val="16"/>
        </w:rPr>
      </w:pPr>
      <w:r>
        <w:rPr>
          <w:rFonts w:ascii="Tahoma" w:hAnsi="Tahoma"/>
          <w:color w:val="231F20"/>
          <w:sz w:val="16"/>
        </w:rPr>
        <w:t>71</w:t>
      </w:r>
      <w:r>
        <w:rPr>
          <w:rFonts w:ascii="Calibri" w:hAnsi="Calibri"/>
          <w:color w:val="231F20"/>
          <w:sz w:val="16"/>
        </w:rPr>
        <w:t>–</w:t>
      </w:r>
      <w:r>
        <w:rPr>
          <w:rFonts w:ascii="Tahoma" w:hAnsi="Tahoma"/>
          <w:color w:val="231F20"/>
          <w:sz w:val="16"/>
        </w:rPr>
        <w:t>92.</w:t>
      </w:r>
    </w:p>
    <w:p w:rsidR="00B05397" w:rsidRDefault="00856287">
      <w:pPr>
        <w:spacing w:before="16"/>
        <w:ind w:left="111" w:right="126"/>
        <w:rPr>
          <w:rFonts w:ascii="Tahoma" w:hAnsi="Tahoma"/>
          <w:sz w:val="16"/>
        </w:rPr>
      </w:pPr>
      <w:r>
        <w:rPr>
          <w:rFonts w:ascii="Tahoma" w:hAnsi="Tahoma"/>
          <w:color w:val="231F20"/>
          <w:sz w:val="16"/>
        </w:rPr>
        <w:t xml:space="preserve">Whittacker, S. F. 1987. Might may be right? </w:t>
      </w:r>
      <w:r>
        <w:rPr>
          <w:rFonts w:ascii="Trebuchet MS" w:hAnsi="Trebuchet MS"/>
          <w:i/>
          <w:color w:val="231F20"/>
          <w:sz w:val="16"/>
        </w:rPr>
        <w:t xml:space="preserve">English Today </w:t>
      </w:r>
      <w:r>
        <w:rPr>
          <w:rFonts w:ascii="Tahoma" w:hAnsi="Tahoma"/>
          <w:color w:val="231F20"/>
          <w:sz w:val="16"/>
        </w:rPr>
        <w:t>11. 35</w:t>
      </w:r>
      <w:r>
        <w:rPr>
          <w:rFonts w:ascii="Calibri" w:hAnsi="Calibri"/>
          <w:color w:val="231F20"/>
          <w:sz w:val="16"/>
        </w:rPr>
        <w:t>–</w:t>
      </w:r>
      <w:r>
        <w:rPr>
          <w:rFonts w:ascii="Tahoma" w:hAnsi="Tahoma"/>
          <w:color w:val="231F20"/>
          <w:sz w:val="16"/>
        </w:rPr>
        <w:t>36.</w:t>
      </w:r>
    </w:p>
    <w:p w:rsidR="00B05397" w:rsidRDefault="00856287">
      <w:pPr>
        <w:spacing w:before="15"/>
        <w:ind w:left="111" w:right="126"/>
        <w:rPr>
          <w:rFonts w:ascii="Trebuchet MS" w:hAnsi="Trebuchet MS"/>
          <w:i/>
          <w:sz w:val="16"/>
        </w:rPr>
      </w:pPr>
      <w:r>
        <w:rPr>
          <w:rFonts w:ascii="Tahoma" w:hAnsi="Tahoma"/>
          <w:color w:val="231F20"/>
          <w:sz w:val="16"/>
        </w:rPr>
        <w:t>van der Auwera, J. &amp; V. A. Plungian. 1998. Modality</w:t>
      </w:r>
      <w:r>
        <w:rPr>
          <w:rFonts w:ascii="Calibri" w:hAnsi="Calibri"/>
          <w:color w:val="231F20"/>
          <w:sz w:val="16"/>
        </w:rPr>
        <w:t>’</w:t>
      </w:r>
      <w:r>
        <w:rPr>
          <w:rFonts w:ascii="Tahoma" w:hAnsi="Tahoma"/>
          <w:color w:val="231F20"/>
          <w:sz w:val="16"/>
        </w:rPr>
        <w:t xml:space="preserve">s semantic map. </w:t>
      </w:r>
      <w:r>
        <w:rPr>
          <w:rFonts w:ascii="Trebuchet MS" w:hAnsi="Trebuchet MS"/>
          <w:i/>
          <w:color w:val="231F20"/>
          <w:sz w:val="16"/>
        </w:rPr>
        <w:t>Linguistic Typology</w:t>
      </w:r>
    </w:p>
    <w:p w:rsidR="00B05397" w:rsidRDefault="00856287">
      <w:pPr>
        <w:spacing w:before="17"/>
        <w:ind w:left="450" w:right="126"/>
        <w:rPr>
          <w:rFonts w:ascii="Tahoma" w:hAnsi="Tahoma"/>
          <w:sz w:val="16"/>
        </w:rPr>
      </w:pPr>
      <w:r>
        <w:rPr>
          <w:rFonts w:ascii="Tahoma" w:hAnsi="Tahoma"/>
          <w:color w:val="231F20"/>
          <w:sz w:val="16"/>
        </w:rPr>
        <w:t>2. 79</w:t>
      </w:r>
      <w:r>
        <w:rPr>
          <w:rFonts w:ascii="Calibri" w:hAnsi="Calibri"/>
          <w:color w:val="231F20"/>
          <w:sz w:val="16"/>
        </w:rPr>
        <w:t>–</w:t>
      </w:r>
      <w:r>
        <w:rPr>
          <w:rFonts w:ascii="Tahoma" w:hAnsi="Tahoma"/>
          <w:color w:val="231F20"/>
          <w:sz w:val="16"/>
        </w:rPr>
        <w:t>124.</w:t>
      </w:r>
    </w:p>
    <w:p w:rsidR="00B05397" w:rsidRDefault="00B05397">
      <w:pPr>
        <w:pStyle w:val="BodyText"/>
        <w:spacing w:before="10"/>
        <w:rPr>
          <w:rFonts w:ascii="Tahoma"/>
          <w:sz w:val="22"/>
        </w:rPr>
      </w:pPr>
    </w:p>
    <w:p w:rsidR="00B05397" w:rsidRDefault="00856287">
      <w:pPr>
        <w:ind w:right="109"/>
        <w:jc w:val="right"/>
        <w:rPr>
          <w:sz w:val="16"/>
        </w:rPr>
      </w:pPr>
      <w:r>
        <w:rPr>
          <w:color w:val="231F20"/>
          <w:w w:val="110"/>
          <w:sz w:val="16"/>
        </w:rPr>
        <w:t>40</w:t>
      </w:r>
    </w:p>
    <w:p w:rsidR="00B05397" w:rsidRDefault="00B05397">
      <w:pPr>
        <w:jc w:val="right"/>
        <w:rPr>
          <w:sz w:val="16"/>
        </w:rPr>
        <w:sectPr w:rsidR="00B05397">
          <w:pgSz w:w="8790" w:h="13040"/>
          <w:pgMar w:top="720" w:right="620" w:bottom="280" w:left="1080" w:header="538" w:footer="0" w:gutter="0"/>
          <w:cols w:space="720"/>
        </w:sectPr>
      </w:pPr>
    </w:p>
    <w:p w:rsidR="00B05397" w:rsidRDefault="00B05397">
      <w:pPr>
        <w:pStyle w:val="BodyText"/>
        <w:rPr>
          <w:sz w:val="20"/>
        </w:rPr>
      </w:pPr>
    </w:p>
    <w:p w:rsidR="00B05397" w:rsidRDefault="00B05397">
      <w:pPr>
        <w:pStyle w:val="BodyText"/>
        <w:spacing w:before="1"/>
      </w:pPr>
    </w:p>
    <w:p w:rsidR="00B05397" w:rsidRDefault="00856287">
      <w:pPr>
        <w:pStyle w:val="Heading1"/>
        <w:tabs>
          <w:tab w:val="right" w:pos="6874"/>
        </w:tabs>
        <w:spacing w:before="61"/>
        <w:ind w:left="120"/>
        <w:rPr>
          <w:rFonts w:ascii="Times New Roman"/>
          <w:sz w:val="16"/>
        </w:rPr>
      </w:pPr>
      <w:r>
        <w:rPr>
          <w:color w:val="231F20"/>
        </w:rPr>
        <w:t>Websites</w:t>
      </w:r>
      <w:r>
        <w:rPr>
          <w:rFonts w:ascii="Times New Roman"/>
          <w:color w:val="231F20"/>
          <w:position w:val="9"/>
          <w:sz w:val="16"/>
        </w:rPr>
        <w:tab/>
        <w:t>1</w:t>
      </w:r>
    </w:p>
    <w:p w:rsidR="00B05397" w:rsidRDefault="00856287">
      <w:pPr>
        <w:pStyle w:val="BodyText"/>
        <w:spacing w:before="253"/>
        <w:ind w:left="120" w:right="126"/>
      </w:pPr>
      <w:hyperlink r:id="rId25">
        <w:r>
          <w:rPr>
            <w:color w:val="231F20"/>
            <w:w w:val="105"/>
          </w:rPr>
          <w:t>www.bnc.ox.ac.uk</w:t>
        </w:r>
      </w:hyperlink>
    </w:p>
    <w:p w:rsidR="00B05397" w:rsidRDefault="00856287">
      <w:pPr>
        <w:pStyle w:val="BodyText"/>
        <w:tabs>
          <w:tab w:val="right" w:pos="6884"/>
        </w:tabs>
        <w:spacing w:before="40"/>
        <w:ind w:left="120" w:right="200" w:hanging="2"/>
        <w:rPr>
          <w:sz w:val="16"/>
        </w:rPr>
      </w:pPr>
      <w:hyperlink r:id="rId26">
        <w:r>
          <w:rPr>
            <w:color w:val="231F20"/>
            <w:spacing w:val="4"/>
            <w:w w:val="105"/>
          </w:rPr>
          <w:t>http://www.learnersdictionary.com/qa/what-is-the-difference-between-may-</w:t>
        </w:r>
      </w:hyperlink>
      <w:r>
        <w:rPr>
          <w:color w:val="231F20"/>
          <w:spacing w:val="4"/>
          <w:w w:val="105"/>
        </w:rPr>
        <w:t xml:space="preserve"> </w:t>
      </w:r>
      <w:hyperlink r:id="rId27">
        <w:r>
          <w:rPr>
            <w:color w:val="231F20"/>
            <w:w w:val="105"/>
          </w:rPr>
          <w:t>and-might</w:t>
        </w:r>
      </w:hyperlink>
      <w:r>
        <w:rPr>
          <w:color w:val="231F20"/>
          <w:w w:val="105"/>
          <w:position w:val="7"/>
          <w:sz w:val="16"/>
        </w:rPr>
        <w:tab/>
        <w:t>5</w:t>
      </w:r>
    </w:p>
    <w:p w:rsidR="00B05397" w:rsidRDefault="00856287">
      <w:pPr>
        <w:pStyle w:val="BodyText"/>
        <w:spacing w:before="100"/>
        <w:ind w:left="119" w:right="126"/>
      </w:pPr>
      <w:hyperlink r:id="rId28">
        <w:r>
          <w:rPr>
            <w:color w:val="231F20"/>
            <w:w w:val="110"/>
          </w:rPr>
          <w:t>http://www.qlmediation.com/author/andrewhildebrand/</w:t>
        </w:r>
      </w:hyperlink>
    </w:p>
    <w:p w:rsidR="00B05397" w:rsidRDefault="00856287">
      <w:pPr>
        <w:pStyle w:val="BodyText"/>
        <w:spacing w:before="100" w:line="285" w:lineRule="auto"/>
        <w:ind w:left="120" w:right="359" w:hanging="2"/>
      </w:pPr>
      <w:hyperlink r:id="rId29">
        <w:r>
          <w:rPr>
            <w:color w:val="231F20"/>
            <w:w w:val="105"/>
          </w:rPr>
          <w:t>http://www.liverpoolecho.co.uk/sport/liverpool-fc-certainly-europe-next-</w:t>
        </w:r>
      </w:hyperlink>
      <w:r>
        <w:rPr>
          <w:color w:val="231F20"/>
          <w:w w:val="105"/>
        </w:rPr>
        <w:t xml:space="preserve"> </w:t>
      </w:r>
      <w:hyperlink r:id="rId30">
        <w:r>
          <w:rPr>
            <w:color w:val="231F20"/>
            <w:w w:val="105"/>
          </w:rPr>
          <w:t>9273951</w:t>
        </w:r>
      </w:hyperlink>
    </w:p>
    <w:p w:rsidR="00B05397" w:rsidRDefault="00856287">
      <w:pPr>
        <w:spacing w:before="101"/>
        <w:ind w:right="119"/>
        <w:jc w:val="right"/>
        <w:rPr>
          <w:sz w:val="16"/>
        </w:rPr>
      </w:pPr>
      <w:r>
        <w:rPr>
          <w:color w:val="231F20"/>
          <w:w w:val="95"/>
          <w:sz w:val="16"/>
        </w:rPr>
        <w:t>10</w:t>
      </w:r>
    </w:p>
    <w:p w:rsidR="00B05397" w:rsidRDefault="00B05397">
      <w:pPr>
        <w:pStyle w:val="BodyText"/>
        <w:rPr>
          <w:sz w:val="16"/>
        </w:rPr>
      </w:pPr>
    </w:p>
    <w:p w:rsidR="00B05397" w:rsidRDefault="00856287">
      <w:pPr>
        <w:pStyle w:val="Heading1"/>
        <w:spacing w:before="94"/>
        <w:ind w:left="120" w:right="126"/>
      </w:pPr>
      <w:r>
        <w:rPr>
          <w:color w:val="231F20"/>
        </w:rPr>
        <w:t>Appendix</w:t>
      </w:r>
    </w:p>
    <w:p w:rsidR="00B05397" w:rsidRDefault="00B05397">
      <w:pPr>
        <w:pStyle w:val="BodyText"/>
        <w:spacing w:before="7"/>
        <w:rPr>
          <w:rFonts w:ascii="Trebuchet MS"/>
          <w:sz w:val="30"/>
        </w:rPr>
      </w:pPr>
    </w:p>
    <w:p w:rsidR="00B05397" w:rsidRDefault="00856287">
      <w:pPr>
        <w:pStyle w:val="Heading2"/>
        <w:tabs>
          <w:tab w:val="left" w:pos="6810"/>
        </w:tabs>
        <w:rPr>
          <w:rFonts w:ascii="Times New Roman"/>
          <w:sz w:val="16"/>
        </w:rPr>
      </w:pPr>
      <w:r>
        <w:rPr>
          <w:color w:val="231F20"/>
        </w:rPr>
        <w:t>Experimental</w:t>
      </w:r>
      <w:r>
        <w:rPr>
          <w:color w:val="231F20"/>
          <w:spacing w:val="-17"/>
        </w:rPr>
        <w:t xml:space="preserve"> </w:t>
      </w:r>
      <w:r>
        <w:rPr>
          <w:color w:val="231F20"/>
        </w:rPr>
        <w:t>stimuli</w:t>
      </w:r>
      <w:r>
        <w:rPr>
          <w:rFonts w:ascii="Times New Roman"/>
          <w:color w:val="231F20"/>
          <w:position w:val="-4"/>
          <w:sz w:val="16"/>
        </w:rPr>
        <w:tab/>
        <w:t>15</w:t>
      </w:r>
    </w:p>
    <w:p w:rsidR="00B05397" w:rsidRDefault="00B05397">
      <w:pPr>
        <w:pStyle w:val="BodyText"/>
        <w:spacing w:before="11"/>
        <w:rPr>
          <w:sz w:val="21"/>
        </w:rPr>
      </w:pPr>
    </w:p>
    <w:p w:rsidR="00B05397" w:rsidRDefault="00856287">
      <w:pPr>
        <w:pStyle w:val="BodyText"/>
        <w:ind w:left="120" w:right="126"/>
        <w:rPr>
          <w:rFonts w:ascii="Calibri"/>
        </w:rPr>
      </w:pPr>
      <w:r>
        <w:rPr>
          <w:rFonts w:ascii="Calibri"/>
          <w:color w:val="231F20"/>
        </w:rPr>
        <w:t>Statement  1</w:t>
      </w:r>
    </w:p>
    <w:p w:rsidR="00B05397" w:rsidRDefault="00856287">
      <w:pPr>
        <w:pStyle w:val="BodyText"/>
        <w:spacing w:before="30" w:line="285" w:lineRule="auto"/>
        <w:ind w:left="120" w:right="114" w:hanging="2"/>
        <w:rPr>
          <w:sz w:val="16"/>
        </w:rPr>
      </w:pPr>
      <w:r>
        <w:rPr>
          <w:color w:val="231F20"/>
          <w:w w:val="110"/>
        </w:rPr>
        <w:t>There was a lot of noise in front of the co-op. Two men were having a heated discussion in a foreign language. When Mr Jimenez threw the bottle towards the car,</w:t>
      </w:r>
      <w:r>
        <w:rPr>
          <w:color w:val="231F20"/>
          <w:spacing w:val="-10"/>
          <w:w w:val="110"/>
        </w:rPr>
        <w:t xml:space="preserve"> </w:t>
      </w:r>
      <w:r>
        <w:rPr>
          <w:color w:val="231F20"/>
          <w:w w:val="110"/>
        </w:rPr>
        <w:t>the</w:t>
      </w:r>
      <w:r>
        <w:rPr>
          <w:color w:val="231F20"/>
          <w:spacing w:val="-11"/>
          <w:w w:val="110"/>
        </w:rPr>
        <w:t xml:space="preserve"> </w:t>
      </w:r>
      <w:r>
        <w:rPr>
          <w:color w:val="231F20"/>
          <w:w w:val="110"/>
        </w:rPr>
        <w:t>man</w:t>
      </w:r>
      <w:r>
        <w:rPr>
          <w:color w:val="231F20"/>
          <w:spacing w:val="-10"/>
          <w:w w:val="110"/>
        </w:rPr>
        <w:t xml:space="preserve"> </w:t>
      </w:r>
      <w:r>
        <w:rPr>
          <w:color w:val="231F20"/>
          <w:w w:val="110"/>
        </w:rPr>
        <w:t>standing</w:t>
      </w:r>
      <w:r>
        <w:rPr>
          <w:color w:val="231F20"/>
          <w:spacing w:val="-10"/>
          <w:w w:val="110"/>
        </w:rPr>
        <w:t xml:space="preserve"> </w:t>
      </w:r>
      <w:r>
        <w:rPr>
          <w:color w:val="231F20"/>
          <w:w w:val="110"/>
        </w:rPr>
        <w:t>beside</w:t>
      </w:r>
      <w:r>
        <w:rPr>
          <w:color w:val="231F20"/>
          <w:spacing w:val="-11"/>
          <w:w w:val="110"/>
        </w:rPr>
        <w:t xml:space="preserve"> </w:t>
      </w:r>
      <w:r>
        <w:rPr>
          <w:color w:val="231F20"/>
          <w:w w:val="110"/>
        </w:rPr>
        <w:t>it</w:t>
      </w:r>
      <w:r>
        <w:rPr>
          <w:color w:val="231F20"/>
          <w:spacing w:val="-11"/>
          <w:w w:val="110"/>
        </w:rPr>
        <w:t xml:space="preserve"> </w:t>
      </w:r>
      <w:r>
        <w:rPr>
          <w:color w:val="231F20"/>
          <w:w w:val="110"/>
        </w:rPr>
        <w:t>may</w:t>
      </w:r>
      <w:r>
        <w:rPr>
          <w:color w:val="231F20"/>
          <w:spacing w:val="-11"/>
          <w:w w:val="110"/>
        </w:rPr>
        <w:t xml:space="preserve"> </w:t>
      </w:r>
      <w:r>
        <w:rPr>
          <w:color w:val="231F20"/>
          <w:w w:val="110"/>
        </w:rPr>
        <w:t>have</w:t>
      </w:r>
      <w:r>
        <w:rPr>
          <w:color w:val="231F20"/>
          <w:spacing w:val="-10"/>
          <w:w w:val="110"/>
        </w:rPr>
        <w:t xml:space="preserve"> </w:t>
      </w:r>
      <w:r>
        <w:rPr>
          <w:color w:val="231F20"/>
          <w:w w:val="110"/>
        </w:rPr>
        <w:t>been</w:t>
      </w:r>
      <w:r>
        <w:rPr>
          <w:color w:val="231F20"/>
          <w:spacing w:val="-11"/>
          <w:w w:val="110"/>
        </w:rPr>
        <w:t xml:space="preserve"> </w:t>
      </w:r>
      <w:r>
        <w:rPr>
          <w:color w:val="231F20"/>
          <w:w w:val="110"/>
        </w:rPr>
        <w:t>hit.</w:t>
      </w:r>
      <w:r>
        <w:rPr>
          <w:color w:val="231F20"/>
          <w:spacing w:val="-10"/>
          <w:w w:val="110"/>
        </w:rPr>
        <w:t xml:space="preserve"> </w:t>
      </w:r>
      <w:r>
        <w:rPr>
          <w:color w:val="231F20"/>
          <w:w w:val="110"/>
        </w:rPr>
        <w:t>[version</w:t>
      </w:r>
      <w:r>
        <w:rPr>
          <w:color w:val="231F20"/>
          <w:spacing w:val="-11"/>
          <w:w w:val="110"/>
        </w:rPr>
        <w:t xml:space="preserve"> </w:t>
      </w:r>
      <w:r>
        <w:rPr>
          <w:color w:val="231F20"/>
          <w:w w:val="110"/>
        </w:rPr>
        <w:t>2:</w:t>
      </w:r>
      <w:r>
        <w:rPr>
          <w:color w:val="231F20"/>
          <w:spacing w:val="-11"/>
          <w:w w:val="110"/>
        </w:rPr>
        <w:t xml:space="preserve"> </w:t>
      </w:r>
      <w:r>
        <w:rPr>
          <w:color w:val="231F20"/>
          <w:w w:val="110"/>
        </w:rPr>
        <w:t>When</w:t>
      </w:r>
      <w:r>
        <w:rPr>
          <w:color w:val="231F20"/>
          <w:spacing w:val="-11"/>
          <w:w w:val="110"/>
        </w:rPr>
        <w:t xml:space="preserve"> </w:t>
      </w:r>
      <w:r>
        <w:rPr>
          <w:color w:val="231F20"/>
          <w:w w:val="110"/>
        </w:rPr>
        <w:t>Mr</w:t>
      </w:r>
      <w:r>
        <w:rPr>
          <w:color w:val="231F20"/>
          <w:spacing w:val="-10"/>
          <w:w w:val="110"/>
        </w:rPr>
        <w:t xml:space="preserve"> </w:t>
      </w:r>
      <w:r>
        <w:rPr>
          <w:color w:val="231F20"/>
          <w:w w:val="110"/>
        </w:rPr>
        <w:t>Jimenez</w:t>
      </w:r>
      <w:r>
        <w:rPr>
          <w:color w:val="231F20"/>
          <w:spacing w:val="30"/>
          <w:w w:val="110"/>
        </w:rPr>
        <w:t xml:space="preserve"> </w:t>
      </w:r>
      <w:r>
        <w:rPr>
          <w:color w:val="231F20"/>
          <w:w w:val="110"/>
          <w:position w:val="-4"/>
          <w:sz w:val="16"/>
        </w:rPr>
        <w:t>20</w:t>
      </w:r>
    </w:p>
    <w:p w:rsidR="00B05397" w:rsidRDefault="00856287">
      <w:pPr>
        <w:pStyle w:val="BodyText"/>
        <w:spacing w:line="168" w:lineRule="exact"/>
        <w:ind w:left="120" w:right="126"/>
      </w:pPr>
      <w:r>
        <w:rPr>
          <w:color w:val="231F20"/>
          <w:w w:val="110"/>
        </w:rPr>
        <w:t>threw the bottle towards the car, the man standing beside it might have been hit.]</w:t>
      </w:r>
    </w:p>
    <w:p w:rsidR="00B05397" w:rsidRDefault="00B05397">
      <w:pPr>
        <w:pStyle w:val="BodyText"/>
        <w:spacing w:before="11"/>
        <w:rPr>
          <w:sz w:val="23"/>
        </w:rPr>
      </w:pPr>
    </w:p>
    <w:p w:rsidR="00B05397" w:rsidRDefault="00856287">
      <w:pPr>
        <w:pStyle w:val="BodyText"/>
        <w:ind w:left="119" w:right="126"/>
        <w:rPr>
          <w:rFonts w:ascii="Calibri"/>
        </w:rPr>
      </w:pPr>
      <w:r>
        <w:rPr>
          <w:rFonts w:ascii="Calibri"/>
          <w:color w:val="231F20"/>
          <w:w w:val="105"/>
        </w:rPr>
        <w:t>Statement  2</w:t>
      </w:r>
    </w:p>
    <w:p w:rsidR="00B05397" w:rsidRDefault="00856287">
      <w:pPr>
        <w:pStyle w:val="BodyText"/>
        <w:spacing w:before="30"/>
        <w:ind w:left="119" w:right="126"/>
      </w:pPr>
      <w:r>
        <w:rPr>
          <w:color w:val="231F20"/>
          <w:w w:val="110"/>
        </w:rPr>
        <w:t>I was standing at the bus stop, waiting for the 9.07 to the park &amp;ride. Jerry was</w:t>
      </w:r>
    </w:p>
    <w:p w:rsidR="00B05397" w:rsidRDefault="00856287">
      <w:pPr>
        <w:pStyle w:val="BodyText"/>
        <w:spacing w:before="41" w:line="270" w:lineRule="exact"/>
        <w:ind w:left="120" w:right="126"/>
        <w:rPr>
          <w:sz w:val="16"/>
        </w:rPr>
      </w:pPr>
      <w:r>
        <w:rPr>
          <w:color w:val="231F20"/>
          <w:w w:val="110"/>
        </w:rPr>
        <w:t>running very fast around the corner and that is the momen</w:t>
      </w:r>
      <w:r>
        <w:rPr>
          <w:color w:val="231F20"/>
          <w:w w:val="110"/>
        </w:rPr>
        <w:t xml:space="preserve">t when he must have </w:t>
      </w:r>
      <w:r>
        <w:rPr>
          <w:color w:val="231F20"/>
          <w:w w:val="110"/>
          <w:position w:val="-6"/>
          <w:sz w:val="16"/>
        </w:rPr>
        <w:t>25</w:t>
      </w:r>
    </w:p>
    <w:p w:rsidR="00B05397" w:rsidRDefault="00856287">
      <w:pPr>
        <w:pStyle w:val="BodyText"/>
        <w:spacing w:line="207" w:lineRule="exact"/>
        <w:ind w:left="120" w:right="126"/>
      </w:pPr>
      <w:r>
        <w:rPr>
          <w:color w:val="231F20"/>
          <w:w w:val="110"/>
        </w:rPr>
        <w:t>collided with the postman.</w:t>
      </w:r>
    </w:p>
    <w:p w:rsidR="00B05397" w:rsidRDefault="00B05397">
      <w:pPr>
        <w:pStyle w:val="BodyText"/>
        <w:rPr>
          <w:sz w:val="24"/>
        </w:rPr>
      </w:pPr>
    </w:p>
    <w:p w:rsidR="00B05397" w:rsidRDefault="00856287">
      <w:pPr>
        <w:pStyle w:val="BodyText"/>
        <w:spacing w:before="1"/>
        <w:ind w:left="119" w:right="126"/>
        <w:rPr>
          <w:rFonts w:ascii="Calibri"/>
        </w:rPr>
      </w:pPr>
      <w:r>
        <w:rPr>
          <w:rFonts w:ascii="Calibri"/>
          <w:color w:val="231F20"/>
          <w:w w:val="105"/>
        </w:rPr>
        <w:t>Statement  3</w:t>
      </w:r>
    </w:p>
    <w:p w:rsidR="00B05397" w:rsidRDefault="00856287">
      <w:pPr>
        <w:pStyle w:val="BodyText"/>
        <w:spacing w:before="1" w:line="258" w:lineRule="exact"/>
        <w:ind w:left="120" w:right="107" w:hanging="2"/>
        <w:rPr>
          <w:sz w:val="16"/>
        </w:rPr>
      </w:pPr>
      <w:r>
        <w:rPr>
          <w:color w:val="231F20"/>
          <w:w w:val="110"/>
        </w:rPr>
        <w:t xml:space="preserve">I was sitting on one of the new benches. The man rushed into the park, past the benches and then made a sharp turn towards the playground. He might have      </w:t>
      </w:r>
      <w:r>
        <w:rPr>
          <w:color w:val="231F20"/>
          <w:w w:val="110"/>
          <w:position w:val="-8"/>
          <w:sz w:val="16"/>
        </w:rPr>
        <w:t>30</w:t>
      </w:r>
    </w:p>
    <w:p w:rsidR="00B05397" w:rsidRDefault="00856287">
      <w:pPr>
        <w:pStyle w:val="BodyText"/>
        <w:spacing w:before="30" w:line="283" w:lineRule="auto"/>
        <w:ind w:left="120" w:right="359"/>
      </w:pPr>
      <w:r>
        <w:rPr>
          <w:color w:val="231F20"/>
          <w:w w:val="105"/>
        </w:rPr>
        <w:t>thrown the bag before entering the playground. [version 2: He may have thrown the  bag before entering  the playground.]</w:t>
      </w:r>
    </w:p>
    <w:p w:rsidR="00B05397" w:rsidRDefault="00B05397">
      <w:pPr>
        <w:pStyle w:val="BodyText"/>
        <w:spacing w:before="9"/>
        <w:rPr>
          <w:sz w:val="20"/>
        </w:rPr>
      </w:pPr>
    </w:p>
    <w:p w:rsidR="00B05397" w:rsidRDefault="00856287">
      <w:pPr>
        <w:pStyle w:val="BodyText"/>
        <w:ind w:left="119" w:right="126"/>
        <w:rPr>
          <w:rFonts w:ascii="Calibri"/>
        </w:rPr>
      </w:pPr>
      <w:r>
        <w:rPr>
          <w:rFonts w:ascii="Calibri"/>
          <w:color w:val="231F20"/>
          <w:w w:val="110"/>
        </w:rPr>
        <w:t>Statement 4</w:t>
      </w:r>
    </w:p>
    <w:p w:rsidR="00B05397" w:rsidRDefault="00856287">
      <w:pPr>
        <w:pStyle w:val="BodyText"/>
        <w:spacing w:before="30" w:line="180" w:lineRule="exact"/>
        <w:ind w:left="119" w:right="126"/>
      </w:pPr>
      <w:r>
        <w:rPr>
          <w:color w:val="231F20"/>
          <w:w w:val="110"/>
        </w:rPr>
        <w:t>I was standing on the platform when suddenly a man appeared out of nowhere.</w:t>
      </w:r>
    </w:p>
    <w:p w:rsidR="00B05397" w:rsidRDefault="00856287">
      <w:pPr>
        <w:spacing w:line="113" w:lineRule="exact"/>
        <w:ind w:right="124"/>
        <w:jc w:val="right"/>
        <w:rPr>
          <w:sz w:val="16"/>
        </w:rPr>
      </w:pPr>
      <w:r>
        <w:rPr>
          <w:color w:val="231F20"/>
          <w:w w:val="95"/>
          <w:sz w:val="16"/>
        </w:rPr>
        <w:t>35</w:t>
      </w:r>
    </w:p>
    <w:p w:rsidR="00B05397" w:rsidRDefault="00856287">
      <w:pPr>
        <w:pStyle w:val="BodyText"/>
        <w:spacing w:line="186" w:lineRule="exact"/>
        <w:ind w:left="120" w:right="126"/>
      </w:pPr>
      <w:r>
        <w:rPr>
          <w:color w:val="231F20"/>
          <w:w w:val="110"/>
        </w:rPr>
        <w:t xml:space="preserve">He reached for his pocket watch, he looked </w:t>
      </w:r>
      <w:r>
        <w:rPr>
          <w:color w:val="231F20"/>
          <w:w w:val="110"/>
        </w:rPr>
        <w:t>a bit nervous. I then saw him hobble</w:t>
      </w:r>
    </w:p>
    <w:p w:rsidR="00B05397" w:rsidRDefault="00856287">
      <w:pPr>
        <w:pStyle w:val="BodyText"/>
        <w:spacing w:before="40" w:line="285" w:lineRule="auto"/>
        <w:ind w:left="120" w:right="386"/>
        <w:jc w:val="both"/>
      </w:pPr>
      <w:r>
        <w:rPr>
          <w:color w:val="231F20"/>
          <w:w w:val="105"/>
        </w:rPr>
        <w:t>over to the information desk, and after chatting to a railway worker there he moved along. He may have dropped the keys somewhere around there. [version 2: He might have dropped the keys somewhere around   there.]</w:t>
      </w:r>
    </w:p>
    <w:p w:rsidR="00B05397" w:rsidRDefault="00856287">
      <w:pPr>
        <w:spacing w:before="142"/>
        <w:ind w:right="99"/>
        <w:jc w:val="right"/>
        <w:rPr>
          <w:sz w:val="16"/>
        </w:rPr>
      </w:pPr>
      <w:r>
        <w:rPr>
          <w:color w:val="231F20"/>
          <w:w w:val="110"/>
          <w:sz w:val="16"/>
        </w:rPr>
        <w:t>40</w:t>
      </w:r>
    </w:p>
    <w:p w:rsidR="00B05397" w:rsidRDefault="00B05397">
      <w:pPr>
        <w:jc w:val="right"/>
        <w:rPr>
          <w:sz w:val="16"/>
        </w:rPr>
        <w:sectPr w:rsidR="00B05397">
          <w:pgSz w:w="8790" w:h="13040"/>
          <w:pgMar w:top="700" w:right="800" w:bottom="280" w:left="900" w:header="517" w:footer="0" w:gutter="0"/>
          <w:cols w:space="720"/>
        </w:sectPr>
      </w:pPr>
    </w:p>
    <w:p w:rsidR="00B05397" w:rsidRDefault="00B05397">
      <w:pPr>
        <w:pStyle w:val="BodyText"/>
        <w:rPr>
          <w:sz w:val="20"/>
        </w:rPr>
      </w:pPr>
    </w:p>
    <w:p w:rsidR="00B05397" w:rsidRDefault="00B05397">
      <w:pPr>
        <w:pStyle w:val="BodyText"/>
        <w:spacing w:before="7"/>
        <w:rPr>
          <w:sz w:val="18"/>
        </w:rPr>
      </w:pPr>
    </w:p>
    <w:p w:rsidR="00B05397" w:rsidRDefault="00856287">
      <w:pPr>
        <w:pStyle w:val="BodyText"/>
        <w:tabs>
          <w:tab w:val="right" w:pos="6755"/>
        </w:tabs>
        <w:spacing w:before="70"/>
        <w:ind w:right="220"/>
        <w:jc w:val="right"/>
        <w:rPr>
          <w:sz w:val="16"/>
        </w:rPr>
      </w:pPr>
      <w:r>
        <w:rPr>
          <w:rFonts w:ascii="Calibri"/>
          <w:color w:val="231F20"/>
        </w:rPr>
        <w:t>Statement</w:t>
      </w:r>
      <w:r>
        <w:rPr>
          <w:rFonts w:ascii="Calibri"/>
          <w:color w:val="231F20"/>
          <w:spacing w:val="18"/>
        </w:rPr>
        <w:t xml:space="preserve"> </w:t>
      </w:r>
      <w:r>
        <w:rPr>
          <w:rFonts w:ascii="Calibri"/>
          <w:color w:val="231F20"/>
        </w:rPr>
        <w:t>5</w:t>
      </w:r>
      <w:r>
        <w:rPr>
          <w:color w:val="231F20"/>
          <w:position w:val="1"/>
          <w:sz w:val="16"/>
        </w:rPr>
        <w:tab/>
        <w:t>1</w:t>
      </w:r>
    </w:p>
    <w:p w:rsidR="00B05397" w:rsidRDefault="00856287">
      <w:pPr>
        <w:pStyle w:val="BodyText"/>
        <w:spacing w:before="31" w:line="283" w:lineRule="auto"/>
        <w:ind w:left="149"/>
      </w:pPr>
      <w:r>
        <w:rPr>
          <w:color w:val="231F20"/>
          <w:w w:val="110"/>
        </w:rPr>
        <w:t>The knocking on the door was deafening but I did not open. I was not expecting anybody at that hour. It will have been a prank by the rowdy kids next  door.</w:t>
      </w:r>
    </w:p>
    <w:p w:rsidR="00B05397" w:rsidRDefault="00856287">
      <w:pPr>
        <w:pStyle w:val="BodyText"/>
        <w:tabs>
          <w:tab w:val="right" w:pos="6765"/>
        </w:tabs>
        <w:spacing w:before="238"/>
        <w:ind w:right="210"/>
        <w:jc w:val="right"/>
        <w:rPr>
          <w:sz w:val="16"/>
        </w:rPr>
      </w:pPr>
      <w:r>
        <w:rPr>
          <w:rFonts w:ascii="Calibri"/>
          <w:color w:val="231F20"/>
          <w:w w:val="110"/>
          <w:position w:val="1"/>
        </w:rPr>
        <w:t>Statement</w:t>
      </w:r>
      <w:r>
        <w:rPr>
          <w:rFonts w:ascii="Calibri"/>
          <w:color w:val="231F20"/>
          <w:spacing w:val="13"/>
          <w:w w:val="110"/>
          <w:position w:val="1"/>
        </w:rPr>
        <w:t xml:space="preserve"> </w:t>
      </w:r>
      <w:r>
        <w:rPr>
          <w:rFonts w:ascii="Calibri"/>
          <w:color w:val="231F20"/>
          <w:w w:val="110"/>
          <w:position w:val="1"/>
        </w:rPr>
        <w:t>6</w:t>
      </w:r>
      <w:r>
        <w:rPr>
          <w:color w:val="231F20"/>
          <w:w w:val="110"/>
          <w:sz w:val="16"/>
        </w:rPr>
        <w:tab/>
        <w:t>5</w:t>
      </w:r>
    </w:p>
    <w:p w:rsidR="00B05397" w:rsidRDefault="00856287">
      <w:pPr>
        <w:pStyle w:val="BodyText"/>
        <w:spacing w:before="31" w:line="283" w:lineRule="auto"/>
        <w:ind w:left="150" w:right="398" w:hanging="2"/>
        <w:jc w:val="both"/>
      </w:pPr>
      <w:r>
        <w:rPr>
          <w:color w:val="231F20"/>
          <w:w w:val="105"/>
        </w:rPr>
        <w:t>He was speaking very slowly, asking for directions to the ferry. I had an impression that he was an elderly man, like in his 70ies or something, because     of his low husky voice and all, but he might have been younger, just pretending   to</w:t>
      </w:r>
      <w:r>
        <w:rPr>
          <w:color w:val="231F20"/>
          <w:spacing w:val="17"/>
          <w:w w:val="105"/>
        </w:rPr>
        <w:t xml:space="preserve"> </w:t>
      </w:r>
      <w:r>
        <w:rPr>
          <w:color w:val="231F20"/>
          <w:w w:val="105"/>
        </w:rPr>
        <w:t>sound</w:t>
      </w:r>
      <w:r>
        <w:rPr>
          <w:color w:val="231F20"/>
          <w:spacing w:val="17"/>
          <w:w w:val="105"/>
        </w:rPr>
        <w:t xml:space="preserve"> </w:t>
      </w:r>
      <w:r>
        <w:rPr>
          <w:color w:val="231F20"/>
          <w:w w:val="105"/>
        </w:rPr>
        <w:t>older,</w:t>
      </w:r>
      <w:r>
        <w:rPr>
          <w:color w:val="231F20"/>
          <w:spacing w:val="17"/>
          <w:w w:val="105"/>
        </w:rPr>
        <w:t xml:space="preserve"> </w:t>
      </w:r>
      <w:r>
        <w:rPr>
          <w:color w:val="231F20"/>
          <w:w w:val="105"/>
        </w:rPr>
        <w:t>y</w:t>
      </w:r>
      <w:r>
        <w:rPr>
          <w:color w:val="231F20"/>
          <w:w w:val="105"/>
        </w:rPr>
        <w:t>ou</w:t>
      </w:r>
      <w:r>
        <w:rPr>
          <w:color w:val="231F20"/>
          <w:spacing w:val="18"/>
          <w:w w:val="105"/>
        </w:rPr>
        <w:t xml:space="preserve"> </w:t>
      </w:r>
      <w:r>
        <w:rPr>
          <w:color w:val="231F20"/>
          <w:w w:val="105"/>
        </w:rPr>
        <w:t>know</w:t>
      </w:r>
      <w:r>
        <w:rPr>
          <w:color w:val="231F20"/>
          <w:spacing w:val="18"/>
          <w:w w:val="105"/>
        </w:rPr>
        <w:t xml:space="preserve"> </w:t>
      </w:r>
      <w:r>
        <w:rPr>
          <w:color w:val="231F20"/>
          <w:w w:val="105"/>
        </w:rPr>
        <w:t>what</w:t>
      </w:r>
      <w:r>
        <w:rPr>
          <w:color w:val="231F20"/>
          <w:spacing w:val="17"/>
          <w:w w:val="105"/>
        </w:rPr>
        <w:t xml:space="preserve"> </w:t>
      </w:r>
      <w:r>
        <w:rPr>
          <w:color w:val="231F20"/>
          <w:w w:val="105"/>
        </w:rPr>
        <w:t>I</w:t>
      </w:r>
      <w:r>
        <w:rPr>
          <w:color w:val="231F20"/>
          <w:spacing w:val="17"/>
          <w:w w:val="105"/>
        </w:rPr>
        <w:t xml:space="preserve"> </w:t>
      </w:r>
      <w:r>
        <w:rPr>
          <w:color w:val="231F20"/>
          <w:w w:val="105"/>
        </w:rPr>
        <w:t>mean?</w:t>
      </w:r>
      <w:r>
        <w:rPr>
          <w:color w:val="231F20"/>
          <w:spacing w:val="17"/>
          <w:w w:val="105"/>
        </w:rPr>
        <w:t xml:space="preserve"> </w:t>
      </w:r>
      <w:r>
        <w:rPr>
          <w:color w:val="231F20"/>
          <w:w w:val="105"/>
        </w:rPr>
        <w:t>[version</w:t>
      </w:r>
      <w:r>
        <w:rPr>
          <w:color w:val="231F20"/>
          <w:spacing w:val="18"/>
          <w:w w:val="105"/>
        </w:rPr>
        <w:t xml:space="preserve"> </w:t>
      </w:r>
      <w:r>
        <w:rPr>
          <w:color w:val="231F20"/>
          <w:w w:val="105"/>
        </w:rPr>
        <w:t>2:</w:t>
      </w:r>
      <w:r>
        <w:rPr>
          <w:color w:val="231F20"/>
          <w:spacing w:val="17"/>
          <w:w w:val="105"/>
        </w:rPr>
        <w:t xml:space="preserve"> </w:t>
      </w:r>
      <w:r>
        <w:rPr>
          <w:color w:val="231F20"/>
          <w:w w:val="105"/>
        </w:rPr>
        <w:t>he</w:t>
      </w:r>
      <w:r>
        <w:rPr>
          <w:color w:val="231F20"/>
          <w:spacing w:val="18"/>
          <w:w w:val="105"/>
        </w:rPr>
        <w:t xml:space="preserve"> </w:t>
      </w:r>
      <w:r>
        <w:rPr>
          <w:color w:val="231F20"/>
          <w:w w:val="105"/>
        </w:rPr>
        <w:t>may</w:t>
      </w:r>
      <w:r>
        <w:rPr>
          <w:color w:val="231F20"/>
          <w:spacing w:val="17"/>
          <w:w w:val="105"/>
        </w:rPr>
        <w:t xml:space="preserve"> </w:t>
      </w:r>
      <w:r>
        <w:rPr>
          <w:color w:val="231F20"/>
          <w:w w:val="105"/>
        </w:rPr>
        <w:t>have</w:t>
      </w:r>
      <w:r>
        <w:rPr>
          <w:color w:val="231F20"/>
          <w:spacing w:val="17"/>
          <w:w w:val="105"/>
        </w:rPr>
        <w:t xml:space="preserve"> </w:t>
      </w:r>
      <w:r>
        <w:rPr>
          <w:color w:val="231F20"/>
          <w:w w:val="105"/>
        </w:rPr>
        <w:t>been</w:t>
      </w:r>
      <w:r>
        <w:rPr>
          <w:color w:val="231F20"/>
          <w:spacing w:val="18"/>
          <w:w w:val="105"/>
        </w:rPr>
        <w:t xml:space="preserve"> </w:t>
      </w:r>
      <w:r>
        <w:rPr>
          <w:color w:val="231F20"/>
          <w:w w:val="105"/>
        </w:rPr>
        <w:t>younger]</w:t>
      </w:r>
    </w:p>
    <w:p w:rsidR="00B05397" w:rsidRDefault="00856287">
      <w:pPr>
        <w:spacing w:before="40" w:line="171" w:lineRule="exact"/>
        <w:ind w:right="129"/>
        <w:jc w:val="right"/>
        <w:rPr>
          <w:sz w:val="16"/>
        </w:rPr>
      </w:pPr>
      <w:r>
        <w:rPr>
          <w:color w:val="231F20"/>
          <w:w w:val="95"/>
          <w:sz w:val="16"/>
        </w:rPr>
        <w:t>10</w:t>
      </w:r>
    </w:p>
    <w:p w:rsidR="00B05397" w:rsidRDefault="00856287">
      <w:pPr>
        <w:pStyle w:val="BodyText"/>
        <w:spacing w:line="219" w:lineRule="exact"/>
        <w:ind w:left="149"/>
        <w:jc w:val="both"/>
        <w:rPr>
          <w:rFonts w:ascii="Calibri"/>
        </w:rPr>
      </w:pPr>
      <w:r>
        <w:rPr>
          <w:rFonts w:ascii="Calibri"/>
          <w:color w:val="231F20"/>
          <w:w w:val="115"/>
          <w:u w:val="single" w:color="231F20"/>
        </w:rPr>
        <w:t>Raw scores by participant</w:t>
      </w:r>
    </w:p>
    <w:p w:rsidR="00B05397" w:rsidRDefault="00856287">
      <w:pPr>
        <w:spacing w:before="27"/>
        <w:ind w:left="149"/>
        <w:jc w:val="both"/>
        <w:rPr>
          <w:rFonts w:ascii="Cambria"/>
          <w:i/>
          <w:sz w:val="19"/>
        </w:rPr>
      </w:pPr>
      <w:r>
        <w:pict>
          <v:shapetype id="_x0000_t202" coordsize="21600,21600" o:spt="202" path="m,l,21600r21600,l21600,xe">
            <v:stroke joinstyle="miter"/>
            <v:path gradientshapeok="t" o:connecttype="rect"/>
          </v:shapetype>
          <v:shape id="_x0000_s1027" type="#_x0000_t202" style="position:absolute;left:0;text-align:left;margin-left:57.8pt;margin-top:26.9pt;width:289.85pt;height:353.3pt;z-index:1408;mso-position-horizontal-relative:page" filled="f" stroked="f">
            <v:textbox inset="0,0,0,0">
              <w:txbxContent>
                <w:tbl>
                  <w:tblPr>
                    <w:tblW w:w="0" w:type="auto"/>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1027"/>
                    <w:gridCol w:w="507"/>
                    <w:gridCol w:w="594"/>
                    <w:gridCol w:w="665"/>
                    <w:gridCol w:w="664"/>
                    <w:gridCol w:w="616"/>
                    <w:gridCol w:w="617"/>
                    <w:gridCol w:w="594"/>
                    <w:gridCol w:w="512"/>
                  </w:tblGrid>
                  <w:tr w:rsidR="00B05397">
                    <w:trPr>
                      <w:trHeight w:hRule="exact" w:val="314"/>
                    </w:trPr>
                    <w:tc>
                      <w:tcPr>
                        <w:tcW w:w="1027" w:type="dxa"/>
                        <w:tcBorders>
                          <w:top w:val="single" w:sz="8" w:space="0" w:color="231F20"/>
                        </w:tcBorders>
                      </w:tcPr>
                      <w:p w:rsidR="00B05397" w:rsidRDefault="00856287">
                        <w:pPr>
                          <w:pStyle w:val="TableParagraph"/>
                          <w:spacing w:before="61"/>
                          <w:ind w:left="35" w:right="0"/>
                          <w:jc w:val="left"/>
                          <w:rPr>
                            <w:rFonts w:ascii="Trebuchet MS"/>
                            <w:sz w:val="15"/>
                          </w:rPr>
                        </w:pPr>
                        <w:r>
                          <w:rPr>
                            <w:rFonts w:ascii="Trebuchet MS"/>
                            <w:color w:val="231F20"/>
                            <w:sz w:val="15"/>
                          </w:rPr>
                          <w:t>Participants</w:t>
                        </w:r>
                      </w:p>
                    </w:tc>
                    <w:tc>
                      <w:tcPr>
                        <w:tcW w:w="507" w:type="dxa"/>
                        <w:tcBorders>
                          <w:top w:val="single" w:sz="8" w:space="0" w:color="231F20"/>
                          <w:bottom w:val="single" w:sz="2" w:space="0" w:color="231F20"/>
                        </w:tcBorders>
                      </w:tcPr>
                      <w:p w:rsidR="00B05397" w:rsidRDefault="00856287">
                        <w:pPr>
                          <w:pStyle w:val="TableParagraph"/>
                          <w:spacing w:before="61"/>
                          <w:ind w:right="115"/>
                          <w:rPr>
                            <w:rFonts w:ascii="Trebuchet MS" w:hAnsi="Trebuchet MS"/>
                            <w:sz w:val="15"/>
                          </w:rPr>
                        </w:pPr>
                        <w:r>
                          <w:rPr>
                            <w:rFonts w:ascii="Trebuchet MS" w:hAnsi="Trebuchet MS"/>
                            <w:color w:val="231F20"/>
                            <w:w w:val="95"/>
                            <w:sz w:val="15"/>
                          </w:rPr>
                          <w:t>L</w:t>
                        </w:r>
                        <w:r>
                          <w:rPr>
                            <w:color w:val="231F20"/>
                            <w:w w:val="95"/>
                            <w:sz w:val="15"/>
                          </w:rPr>
                          <w:t></w:t>
                        </w:r>
                        <w:r>
                          <w:rPr>
                            <w:color w:val="231F20"/>
                            <w:spacing w:val="-21"/>
                            <w:w w:val="95"/>
                            <w:sz w:val="15"/>
                          </w:rPr>
                          <w:t xml:space="preserve"> </w:t>
                        </w:r>
                        <w:r>
                          <w:rPr>
                            <w:rFonts w:ascii="Trebuchet MS" w:hAnsi="Trebuchet MS"/>
                            <w:color w:val="231F20"/>
                            <w:w w:val="95"/>
                            <w:sz w:val="15"/>
                          </w:rPr>
                          <w:t>En</w:t>
                        </w:r>
                      </w:p>
                    </w:tc>
                    <w:tc>
                      <w:tcPr>
                        <w:tcW w:w="594" w:type="dxa"/>
                        <w:tcBorders>
                          <w:top w:val="single" w:sz="8" w:space="0" w:color="231F20"/>
                          <w:bottom w:val="single" w:sz="2" w:space="0" w:color="231F20"/>
                        </w:tcBorders>
                      </w:tcPr>
                      <w:p w:rsidR="00B05397" w:rsidRDefault="00856287">
                        <w:pPr>
                          <w:pStyle w:val="TableParagraph"/>
                          <w:spacing w:before="61"/>
                          <w:ind w:right="114"/>
                          <w:rPr>
                            <w:rFonts w:ascii="Trebuchet MS" w:hAnsi="Trebuchet MS"/>
                            <w:sz w:val="15"/>
                          </w:rPr>
                        </w:pPr>
                        <w:r>
                          <w:rPr>
                            <w:rFonts w:ascii="Trebuchet MS" w:hAnsi="Trebuchet MS"/>
                            <w:color w:val="231F20"/>
                            <w:w w:val="95"/>
                            <w:sz w:val="15"/>
                          </w:rPr>
                          <w:t>L</w:t>
                        </w:r>
                        <w:r>
                          <w:rPr>
                            <w:color w:val="231F20"/>
                            <w:w w:val="95"/>
                            <w:sz w:val="15"/>
                          </w:rPr>
                          <w:t xml:space="preserve"> </w:t>
                        </w:r>
                        <w:r>
                          <w:rPr>
                            <w:rFonts w:ascii="Trebuchet MS" w:hAnsi="Trebuchet MS"/>
                            <w:color w:val="231F20"/>
                            <w:w w:val="95"/>
                            <w:sz w:val="15"/>
                          </w:rPr>
                          <w:t>En</w:t>
                        </w:r>
                      </w:p>
                    </w:tc>
                    <w:tc>
                      <w:tcPr>
                        <w:tcW w:w="665" w:type="dxa"/>
                        <w:tcBorders>
                          <w:top w:val="single" w:sz="8" w:space="0" w:color="231F20"/>
                          <w:bottom w:val="single" w:sz="2" w:space="0" w:color="231F20"/>
                        </w:tcBorders>
                      </w:tcPr>
                      <w:p w:rsidR="00B05397" w:rsidRDefault="00856287">
                        <w:pPr>
                          <w:pStyle w:val="TableParagraph"/>
                          <w:spacing w:before="61"/>
                          <w:ind w:right="115"/>
                          <w:rPr>
                            <w:rFonts w:ascii="Trebuchet MS" w:hAnsi="Trebuchet MS"/>
                            <w:sz w:val="15"/>
                          </w:rPr>
                        </w:pPr>
                        <w:r>
                          <w:rPr>
                            <w:rFonts w:ascii="Trebuchet MS" w:hAnsi="Trebuchet MS"/>
                            <w:color w:val="231F20"/>
                            <w:w w:val="95"/>
                            <w:sz w:val="15"/>
                          </w:rPr>
                          <w:t>L</w:t>
                        </w:r>
                        <w:r>
                          <w:rPr>
                            <w:color w:val="231F20"/>
                            <w:w w:val="95"/>
                            <w:sz w:val="15"/>
                          </w:rPr>
                          <w:t xml:space="preserve"> </w:t>
                        </w:r>
                        <w:r>
                          <w:rPr>
                            <w:rFonts w:ascii="Trebuchet MS" w:hAnsi="Trebuchet MS"/>
                            <w:color w:val="231F20"/>
                            <w:w w:val="95"/>
                            <w:sz w:val="15"/>
                          </w:rPr>
                          <w:t>En</w:t>
                        </w:r>
                      </w:p>
                    </w:tc>
                    <w:tc>
                      <w:tcPr>
                        <w:tcW w:w="664" w:type="dxa"/>
                        <w:tcBorders>
                          <w:top w:val="single" w:sz="8" w:space="0" w:color="231F20"/>
                          <w:bottom w:val="single" w:sz="2" w:space="0" w:color="231F20"/>
                        </w:tcBorders>
                      </w:tcPr>
                      <w:p w:rsidR="00B05397" w:rsidRDefault="00856287">
                        <w:pPr>
                          <w:pStyle w:val="TableParagraph"/>
                          <w:spacing w:before="61"/>
                          <w:ind w:right="115"/>
                          <w:rPr>
                            <w:rFonts w:ascii="Trebuchet MS" w:hAnsi="Trebuchet MS"/>
                            <w:sz w:val="15"/>
                          </w:rPr>
                        </w:pPr>
                        <w:r>
                          <w:rPr>
                            <w:rFonts w:ascii="Trebuchet MS" w:hAnsi="Trebuchet MS"/>
                            <w:color w:val="231F20"/>
                            <w:w w:val="95"/>
                            <w:sz w:val="15"/>
                          </w:rPr>
                          <w:t>L</w:t>
                        </w:r>
                        <w:r>
                          <w:rPr>
                            <w:color w:val="231F20"/>
                            <w:w w:val="95"/>
                            <w:sz w:val="15"/>
                          </w:rPr>
                          <w:t xml:space="preserve"> </w:t>
                        </w:r>
                        <w:r>
                          <w:rPr>
                            <w:rFonts w:ascii="Trebuchet MS" w:hAnsi="Trebuchet MS"/>
                            <w:color w:val="231F20"/>
                            <w:w w:val="95"/>
                            <w:sz w:val="15"/>
                          </w:rPr>
                          <w:t>En</w:t>
                        </w:r>
                      </w:p>
                    </w:tc>
                    <w:tc>
                      <w:tcPr>
                        <w:tcW w:w="616" w:type="dxa"/>
                        <w:tcBorders>
                          <w:top w:val="single" w:sz="8" w:space="0" w:color="231F20"/>
                          <w:bottom w:val="single" w:sz="2" w:space="0" w:color="231F20"/>
                        </w:tcBorders>
                      </w:tcPr>
                      <w:p w:rsidR="00B05397" w:rsidRDefault="00856287">
                        <w:pPr>
                          <w:pStyle w:val="TableParagraph"/>
                          <w:spacing w:before="61"/>
                          <w:ind w:right="114"/>
                          <w:rPr>
                            <w:rFonts w:ascii="Trebuchet MS" w:hAnsi="Trebuchet MS"/>
                            <w:sz w:val="15"/>
                          </w:rPr>
                        </w:pPr>
                        <w:r>
                          <w:rPr>
                            <w:rFonts w:ascii="Trebuchet MS" w:hAnsi="Trebuchet MS"/>
                            <w:color w:val="231F20"/>
                            <w:w w:val="95"/>
                            <w:sz w:val="15"/>
                          </w:rPr>
                          <w:t>L</w:t>
                        </w:r>
                        <w:r>
                          <w:rPr>
                            <w:color w:val="231F20"/>
                            <w:w w:val="95"/>
                            <w:sz w:val="15"/>
                          </w:rPr>
                          <w:t xml:space="preserve"> </w:t>
                        </w:r>
                        <w:r>
                          <w:rPr>
                            <w:rFonts w:ascii="Trebuchet MS" w:hAnsi="Trebuchet MS"/>
                            <w:color w:val="231F20"/>
                            <w:w w:val="95"/>
                            <w:sz w:val="15"/>
                          </w:rPr>
                          <w:t>En</w:t>
                        </w:r>
                      </w:p>
                    </w:tc>
                    <w:tc>
                      <w:tcPr>
                        <w:tcW w:w="617" w:type="dxa"/>
                        <w:tcBorders>
                          <w:top w:val="single" w:sz="8" w:space="0" w:color="231F20"/>
                          <w:bottom w:val="single" w:sz="2" w:space="0" w:color="231F20"/>
                        </w:tcBorders>
                      </w:tcPr>
                      <w:p w:rsidR="00B05397" w:rsidRDefault="00856287">
                        <w:pPr>
                          <w:pStyle w:val="TableParagraph"/>
                          <w:spacing w:before="61"/>
                          <w:ind w:right="114"/>
                          <w:rPr>
                            <w:rFonts w:ascii="Trebuchet MS" w:hAnsi="Trebuchet MS"/>
                            <w:sz w:val="15"/>
                          </w:rPr>
                        </w:pPr>
                        <w:r>
                          <w:rPr>
                            <w:rFonts w:ascii="Trebuchet MS" w:hAnsi="Trebuchet MS"/>
                            <w:color w:val="231F20"/>
                            <w:w w:val="95"/>
                            <w:sz w:val="15"/>
                          </w:rPr>
                          <w:t>L</w:t>
                        </w:r>
                        <w:r>
                          <w:rPr>
                            <w:color w:val="231F20"/>
                            <w:w w:val="95"/>
                            <w:sz w:val="15"/>
                          </w:rPr>
                          <w:t xml:space="preserve"> </w:t>
                        </w:r>
                        <w:r>
                          <w:rPr>
                            <w:rFonts w:ascii="Trebuchet MS" w:hAnsi="Trebuchet MS"/>
                            <w:color w:val="231F20"/>
                            <w:w w:val="95"/>
                            <w:sz w:val="15"/>
                          </w:rPr>
                          <w:t>En</w:t>
                        </w:r>
                      </w:p>
                    </w:tc>
                    <w:tc>
                      <w:tcPr>
                        <w:tcW w:w="594" w:type="dxa"/>
                        <w:tcBorders>
                          <w:top w:val="single" w:sz="8" w:space="0" w:color="231F20"/>
                          <w:bottom w:val="single" w:sz="2" w:space="0" w:color="231F20"/>
                        </w:tcBorders>
                      </w:tcPr>
                      <w:p w:rsidR="00B05397" w:rsidRDefault="00856287">
                        <w:pPr>
                          <w:pStyle w:val="TableParagraph"/>
                          <w:spacing w:before="61"/>
                          <w:ind w:right="115"/>
                          <w:rPr>
                            <w:rFonts w:ascii="Trebuchet MS" w:hAnsi="Trebuchet MS"/>
                            <w:sz w:val="15"/>
                          </w:rPr>
                        </w:pPr>
                        <w:r>
                          <w:rPr>
                            <w:rFonts w:ascii="Trebuchet MS" w:hAnsi="Trebuchet MS"/>
                            <w:color w:val="231F20"/>
                            <w:w w:val="95"/>
                            <w:sz w:val="15"/>
                          </w:rPr>
                          <w:t>L</w:t>
                        </w:r>
                        <w:r>
                          <w:rPr>
                            <w:color w:val="231F20"/>
                            <w:w w:val="95"/>
                            <w:sz w:val="15"/>
                          </w:rPr>
                          <w:t xml:space="preserve"> </w:t>
                        </w:r>
                        <w:r>
                          <w:rPr>
                            <w:rFonts w:ascii="Trebuchet MS" w:hAnsi="Trebuchet MS"/>
                            <w:color w:val="231F20"/>
                            <w:w w:val="95"/>
                            <w:sz w:val="15"/>
                          </w:rPr>
                          <w:t>En</w:t>
                        </w:r>
                      </w:p>
                    </w:tc>
                    <w:tc>
                      <w:tcPr>
                        <w:tcW w:w="512" w:type="dxa"/>
                        <w:tcBorders>
                          <w:top w:val="single" w:sz="8" w:space="0" w:color="231F20"/>
                          <w:bottom w:val="single" w:sz="2" w:space="0" w:color="231F20"/>
                        </w:tcBorders>
                      </w:tcPr>
                      <w:p w:rsidR="00B05397" w:rsidRDefault="00856287">
                        <w:pPr>
                          <w:pStyle w:val="TableParagraph"/>
                          <w:spacing w:before="61"/>
                          <w:ind w:right="33"/>
                          <w:rPr>
                            <w:rFonts w:ascii="Trebuchet MS" w:hAnsi="Trebuchet MS"/>
                            <w:sz w:val="15"/>
                          </w:rPr>
                        </w:pPr>
                        <w:r>
                          <w:rPr>
                            <w:rFonts w:ascii="Trebuchet MS" w:hAnsi="Trebuchet MS"/>
                            <w:color w:val="231F20"/>
                            <w:w w:val="95"/>
                            <w:sz w:val="15"/>
                          </w:rPr>
                          <w:t>L</w:t>
                        </w:r>
                        <w:r>
                          <w:rPr>
                            <w:color w:val="231F20"/>
                            <w:w w:val="95"/>
                            <w:sz w:val="15"/>
                          </w:rPr>
                          <w:t xml:space="preserve"> </w:t>
                        </w:r>
                        <w:r>
                          <w:rPr>
                            <w:rFonts w:ascii="Trebuchet MS" w:hAnsi="Trebuchet MS"/>
                            <w:color w:val="231F20"/>
                            <w:w w:val="95"/>
                            <w:sz w:val="15"/>
                          </w:rPr>
                          <w:t>En</w:t>
                        </w:r>
                      </w:p>
                    </w:tc>
                  </w:tr>
                  <w:tr w:rsidR="00B05397">
                    <w:trPr>
                      <w:trHeight w:hRule="exact" w:val="374"/>
                    </w:trPr>
                    <w:tc>
                      <w:tcPr>
                        <w:tcW w:w="1027" w:type="dxa"/>
                        <w:tcBorders>
                          <w:bottom w:val="single" w:sz="8" w:space="0" w:color="231F20"/>
                        </w:tcBorders>
                      </w:tcPr>
                      <w:p w:rsidR="00B05397" w:rsidRDefault="00B05397"/>
                    </w:tc>
                    <w:tc>
                      <w:tcPr>
                        <w:tcW w:w="507" w:type="dxa"/>
                        <w:tcBorders>
                          <w:top w:val="single" w:sz="2" w:space="0" w:color="231F20"/>
                          <w:bottom w:val="single" w:sz="8" w:space="0" w:color="231F20"/>
                        </w:tcBorders>
                      </w:tcPr>
                      <w:p w:rsidR="00B05397" w:rsidRDefault="00856287">
                        <w:pPr>
                          <w:pStyle w:val="TableParagraph"/>
                          <w:spacing w:before="121"/>
                          <w:ind w:right="115"/>
                          <w:rPr>
                            <w:rFonts w:ascii="Trebuchet MS"/>
                            <w:sz w:val="15"/>
                          </w:rPr>
                        </w:pPr>
                        <w:r>
                          <w:rPr>
                            <w:rFonts w:ascii="Trebuchet MS"/>
                            <w:color w:val="231F20"/>
                            <w:sz w:val="15"/>
                          </w:rPr>
                          <w:t>MAY</w:t>
                        </w:r>
                      </w:p>
                    </w:tc>
                    <w:tc>
                      <w:tcPr>
                        <w:tcW w:w="594" w:type="dxa"/>
                        <w:tcBorders>
                          <w:top w:val="single" w:sz="2" w:space="0" w:color="231F20"/>
                          <w:bottom w:val="single" w:sz="8" w:space="0" w:color="231F20"/>
                        </w:tcBorders>
                      </w:tcPr>
                      <w:p w:rsidR="00B05397" w:rsidRDefault="00856287">
                        <w:pPr>
                          <w:pStyle w:val="TableParagraph"/>
                          <w:spacing w:before="121"/>
                          <w:ind w:right="114"/>
                          <w:rPr>
                            <w:rFonts w:ascii="Trebuchet MS"/>
                            <w:sz w:val="15"/>
                          </w:rPr>
                        </w:pPr>
                        <w:r>
                          <w:rPr>
                            <w:rFonts w:ascii="Trebuchet MS"/>
                            <w:color w:val="231F20"/>
                            <w:sz w:val="15"/>
                          </w:rPr>
                          <w:t>MAY</w:t>
                        </w:r>
                      </w:p>
                    </w:tc>
                    <w:tc>
                      <w:tcPr>
                        <w:tcW w:w="665" w:type="dxa"/>
                        <w:tcBorders>
                          <w:top w:val="single" w:sz="2" w:space="0" w:color="231F20"/>
                          <w:bottom w:val="single" w:sz="8" w:space="0" w:color="231F20"/>
                        </w:tcBorders>
                      </w:tcPr>
                      <w:p w:rsidR="00B05397" w:rsidRDefault="00856287">
                        <w:pPr>
                          <w:pStyle w:val="TableParagraph"/>
                          <w:spacing w:before="121"/>
                          <w:ind w:right="114"/>
                          <w:rPr>
                            <w:rFonts w:ascii="Trebuchet MS"/>
                            <w:sz w:val="15"/>
                          </w:rPr>
                        </w:pPr>
                        <w:r>
                          <w:rPr>
                            <w:rFonts w:ascii="Trebuchet MS"/>
                            <w:color w:val="231F20"/>
                            <w:sz w:val="15"/>
                          </w:rPr>
                          <w:t>MIGHT</w:t>
                        </w:r>
                      </w:p>
                    </w:tc>
                    <w:tc>
                      <w:tcPr>
                        <w:tcW w:w="664" w:type="dxa"/>
                        <w:tcBorders>
                          <w:top w:val="single" w:sz="2" w:space="0" w:color="231F20"/>
                          <w:bottom w:val="single" w:sz="8" w:space="0" w:color="231F20"/>
                        </w:tcBorders>
                      </w:tcPr>
                      <w:p w:rsidR="00B05397" w:rsidRDefault="00856287">
                        <w:pPr>
                          <w:pStyle w:val="TableParagraph"/>
                          <w:spacing w:before="121"/>
                          <w:ind w:right="114"/>
                          <w:rPr>
                            <w:rFonts w:ascii="Trebuchet MS"/>
                            <w:sz w:val="15"/>
                          </w:rPr>
                        </w:pPr>
                        <w:r>
                          <w:rPr>
                            <w:rFonts w:ascii="Trebuchet MS"/>
                            <w:color w:val="231F20"/>
                            <w:w w:val="95"/>
                            <w:sz w:val="15"/>
                          </w:rPr>
                          <w:t>MIGHT</w:t>
                        </w:r>
                      </w:p>
                    </w:tc>
                    <w:tc>
                      <w:tcPr>
                        <w:tcW w:w="616" w:type="dxa"/>
                        <w:tcBorders>
                          <w:top w:val="single" w:sz="2" w:space="0" w:color="231F20"/>
                          <w:bottom w:val="single" w:sz="8" w:space="0" w:color="231F20"/>
                        </w:tcBorders>
                      </w:tcPr>
                      <w:p w:rsidR="00B05397" w:rsidRDefault="00856287">
                        <w:pPr>
                          <w:pStyle w:val="TableParagraph"/>
                          <w:spacing w:before="121"/>
                          <w:ind w:right="114"/>
                          <w:rPr>
                            <w:rFonts w:ascii="Trebuchet MS"/>
                            <w:sz w:val="15"/>
                          </w:rPr>
                        </w:pPr>
                        <w:r>
                          <w:rPr>
                            <w:rFonts w:ascii="Trebuchet MS"/>
                            <w:color w:val="231F20"/>
                            <w:w w:val="105"/>
                            <w:sz w:val="15"/>
                          </w:rPr>
                          <w:t>MUST</w:t>
                        </w:r>
                      </w:p>
                    </w:tc>
                    <w:tc>
                      <w:tcPr>
                        <w:tcW w:w="617" w:type="dxa"/>
                        <w:tcBorders>
                          <w:top w:val="single" w:sz="2" w:space="0" w:color="231F20"/>
                          <w:bottom w:val="single" w:sz="8" w:space="0" w:color="231F20"/>
                        </w:tcBorders>
                      </w:tcPr>
                      <w:p w:rsidR="00B05397" w:rsidRDefault="00856287">
                        <w:pPr>
                          <w:pStyle w:val="TableParagraph"/>
                          <w:spacing w:before="121"/>
                          <w:ind w:right="115"/>
                          <w:rPr>
                            <w:rFonts w:ascii="Trebuchet MS"/>
                            <w:sz w:val="15"/>
                          </w:rPr>
                        </w:pPr>
                        <w:r>
                          <w:rPr>
                            <w:rFonts w:ascii="Trebuchet MS"/>
                            <w:color w:val="231F20"/>
                            <w:w w:val="105"/>
                            <w:sz w:val="15"/>
                          </w:rPr>
                          <w:t>MUST</w:t>
                        </w:r>
                      </w:p>
                    </w:tc>
                    <w:tc>
                      <w:tcPr>
                        <w:tcW w:w="594" w:type="dxa"/>
                        <w:tcBorders>
                          <w:top w:val="single" w:sz="2" w:space="0" w:color="231F20"/>
                          <w:bottom w:val="single" w:sz="8" w:space="0" w:color="231F20"/>
                        </w:tcBorders>
                      </w:tcPr>
                      <w:p w:rsidR="00B05397" w:rsidRDefault="00856287">
                        <w:pPr>
                          <w:pStyle w:val="TableParagraph"/>
                          <w:spacing w:before="121"/>
                          <w:ind w:right="115"/>
                          <w:rPr>
                            <w:rFonts w:ascii="Trebuchet MS"/>
                            <w:sz w:val="15"/>
                          </w:rPr>
                        </w:pPr>
                        <w:r>
                          <w:rPr>
                            <w:rFonts w:ascii="Trebuchet MS"/>
                            <w:color w:val="231F20"/>
                            <w:w w:val="95"/>
                            <w:sz w:val="15"/>
                          </w:rPr>
                          <w:t>WILL</w:t>
                        </w:r>
                      </w:p>
                    </w:tc>
                    <w:tc>
                      <w:tcPr>
                        <w:tcW w:w="512" w:type="dxa"/>
                        <w:tcBorders>
                          <w:top w:val="single" w:sz="2" w:space="0" w:color="231F20"/>
                          <w:bottom w:val="single" w:sz="8" w:space="0" w:color="231F20"/>
                        </w:tcBorders>
                      </w:tcPr>
                      <w:p w:rsidR="00B05397" w:rsidRDefault="00856287">
                        <w:pPr>
                          <w:pStyle w:val="TableParagraph"/>
                          <w:spacing w:before="121"/>
                          <w:ind w:right="33"/>
                          <w:rPr>
                            <w:rFonts w:ascii="Trebuchet MS"/>
                            <w:sz w:val="15"/>
                          </w:rPr>
                        </w:pPr>
                        <w:r>
                          <w:rPr>
                            <w:rFonts w:ascii="Trebuchet MS"/>
                            <w:color w:val="231F20"/>
                            <w:w w:val="95"/>
                            <w:sz w:val="15"/>
                          </w:rPr>
                          <w:t>WILL</w:t>
                        </w:r>
                      </w:p>
                    </w:tc>
                  </w:tr>
                  <w:tr w:rsidR="00B05397">
                    <w:trPr>
                      <w:trHeight w:hRule="exact" w:val="271"/>
                    </w:trPr>
                    <w:tc>
                      <w:tcPr>
                        <w:tcW w:w="1027" w:type="dxa"/>
                        <w:tcBorders>
                          <w:top w:val="single" w:sz="8" w:space="0" w:color="231F20"/>
                        </w:tcBorders>
                      </w:tcPr>
                      <w:p w:rsidR="00B05397" w:rsidRDefault="00856287">
                        <w:pPr>
                          <w:pStyle w:val="TableParagraph"/>
                          <w:spacing w:before="62"/>
                          <w:ind w:left="35" w:right="0"/>
                          <w:jc w:val="left"/>
                          <w:rPr>
                            <w:sz w:val="15"/>
                          </w:rPr>
                        </w:pPr>
                        <w:r>
                          <w:rPr>
                            <w:rFonts w:ascii="Tahoma" w:hAnsi="Tahoma"/>
                            <w:color w:val="231F20"/>
                            <w:w w:val="95"/>
                            <w:sz w:val="15"/>
                          </w:rPr>
                          <w:t>P</w:t>
                        </w:r>
                        <w:r>
                          <w:rPr>
                            <w:color w:val="231F20"/>
                            <w:w w:val="95"/>
                            <w:sz w:val="15"/>
                          </w:rPr>
                          <w:t></w:t>
                        </w:r>
                      </w:p>
                    </w:tc>
                    <w:tc>
                      <w:tcPr>
                        <w:tcW w:w="507" w:type="dxa"/>
                        <w:tcBorders>
                          <w:top w:val="single" w:sz="8" w:space="0" w:color="231F20"/>
                        </w:tcBorders>
                      </w:tcPr>
                      <w:p w:rsidR="00B05397" w:rsidRDefault="00856287">
                        <w:pPr>
                          <w:pStyle w:val="TableParagraph"/>
                          <w:spacing w:before="71"/>
                          <w:ind w:right="114"/>
                          <w:rPr>
                            <w:sz w:val="15"/>
                          </w:rPr>
                        </w:pPr>
                        <w:r>
                          <w:rPr>
                            <w:color w:val="231F20"/>
                            <w:w w:val="74"/>
                            <w:sz w:val="15"/>
                          </w:rPr>
                          <w:t></w:t>
                        </w:r>
                      </w:p>
                    </w:tc>
                    <w:tc>
                      <w:tcPr>
                        <w:tcW w:w="594" w:type="dxa"/>
                        <w:tcBorders>
                          <w:top w:val="single" w:sz="8" w:space="0" w:color="231F20"/>
                        </w:tcBorders>
                      </w:tcPr>
                      <w:p w:rsidR="00B05397" w:rsidRDefault="00856287">
                        <w:pPr>
                          <w:pStyle w:val="TableParagraph"/>
                          <w:spacing w:before="71"/>
                          <w:ind w:right="114"/>
                          <w:rPr>
                            <w:sz w:val="15"/>
                          </w:rPr>
                        </w:pPr>
                        <w:r>
                          <w:rPr>
                            <w:color w:val="231F20"/>
                            <w:w w:val="74"/>
                            <w:sz w:val="15"/>
                          </w:rPr>
                          <w:t></w:t>
                        </w:r>
                      </w:p>
                    </w:tc>
                    <w:tc>
                      <w:tcPr>
                        <w:tcW w:w="665" w:type="dxa"/>
                        <w:tcBorders>
                          <w:top w:val="single" w:sz="8" w:space="0" w:color="231F20"/>
                        </w:tcBorders>
                      </w:tcPr>
                      <w:p w:rsidR="00B05397" w:rsidRDefault="00856287">
                        <w:pPr>
                          <w:pStyle w:val="TableParagraph"/>
                          <w:spacing w:before="71"/>
                          <w:ind w:right="114"/>
                          <w:rPr>
                            <w:sz w:val="15"/>
                          </w:rPr>
                        </w:pPr>
                        <w:r>
                          <w:rPr>
                            <w:color w:val="231F20"/>
                            <w:w w:val="74"/>
                            <w:sz w:val="15"/>
                          </w:rPr>
                          <w:t></w:t>
                        </w:r>
                      </w:p>
                    </w:tc>
                    <w:tc>
                      <w:tcPr>
                        <w:tcW w:w="664" w:type="dxa"/>
                        <w:tcBorders>
                          <w:top w:val="single" w:sz="8" w:space="0" w:color="231F20"/>
                        </w:tcBorders>
                      </w:tcPr>
                      <w:p w:rsidR="00B05397" w:rsidRDefault="00856287">
                        <w:pPr>
                          <w:pStyle w:val="TableParagraph"/>
                          <w:spacing w:before="71"/>
                          <w:ind w:right="114"/>
                          <w:rPr>
                            <w:sz w:val="15"/>
                          </w:rPr>
                        </w:pPr>
                        <w:r>
                          <w:rPr>
                            <w:color w:val="231F20"/>
                            <w:w w:val="74"/>
                            <w:sz w:val="15"/>
                          </w:rPr>
                          <w:t></w:t>
                        </w:r>
                      </w:p>
                    </w:tc>
                    <w:tc>
                      <w:tcPr>
                        <w:tcW w:w="616" w:type="dxa"/>
                        <w:tcBorders>
                          <w:top w:val="single" w:sz="8" w:space="0" w:color="231F20"/>
                        </w:tcBorders>
                      </w:tcPr>
                      <w:p w:rsidR="00B05397" w:rsidRDefault="00856287">
                        <w:pPr>
                          <w:pStyle w:val="TableParagraph"/>
                          <w:spacing w:before="71"/>
                          <w:ind w:right="114"/>
                          <w:rPr>
                            <w:sz w:val="15"/>
                          </w:rPr>
                        </w:pPr>
                        <w:r>
                          <w:rPr>
                            <w:color w:val="231F20"/>
                            <w:w w:val="74"/>
                            <w:sz w:val="15"/>
                          </w:rPr>
                          <w:t></w:t>
                        </w:r>
                      </w:p>
                    </w:tc>
                    <w:tc>
                      <w:tcPr>
                        <w:tcW w:w="617" w:type="dxa"/>
                        <w:tcBorders>
                          <w:top w:val="single" w:sz="8" w:space="0" w:color="231F20"/>
                        </w:tcBorders>
                      </w:tcPr>
                      <w:p w:rsidR="00B05397" w:rsidRDefault="00856287">
                        <w:pPr>
                          <w:pStyle w:val="TableParagraph"/>
                          <w:spacing w:before="71"/>
                          <w:ind w:right="115"/>
                          <w:rPr>
                            <w:sz w:val="15"/>
                          </w:rPr>
                        </w:pPr>
                        <w:r>
                          <w:rPr>
                            <w:color w:val="231F20"/>
                            <w:w w:val="74"/>
                            <w:sz w:val="15"/>
                          </w:rPr>
                          <w:t></w:t>
                        </w:r>
                      </w:p>
                    </w:tc>
                    <w:tc>
                      <w:tcPr>
                        <w:tcW w:w="594" w:type="dxa"/>
                        <w:tcBorders>
                          <w:top w:val="single" w:sz="8" w:space="0" w:color="231F20"/>
                        </w:tcBorders>
                      </w:tcPr>
                      <w:p w:rsidR="00B05397" w:rsidRDefault="00856287">
                        <w:pPr>
                          <w:pStyle w:val="TableParagraph"/>
                          <w:spacing w:before="71"/>
                          <w:ind w:right="114"/>
                          <w:rPr>
                            <w:sz w:val="15"/>
                          </w:rPr>
                        </w:pPr>
                        <w:r>
                          <w:rPr>
                            <w:color w:val="231F20"/>
                            <w:w w:val="74"/>
                            <w:sz w:val="15"/>
                          </w:rPr>
                          <w:t></w:t>
                        </w:r>
                      </w:p>
                    </w:tc>
                    <w:tc>
                      <w:tcPr>
                        <w:tcW w:w="512" w:type="dxa"/>
                        <w:tcBorders>
                          <w:top w:val="single" w:sz="8" w:space="0" w:color="231F20"/>
                        </w:tcBorders>
                      </w:tcPr>
                      <w:p w:rsidR="00B05397" w:rsidRDefault="00856287">
                        <w:pPr>
                          <w:pStyle w:val="TableParagraph"/>
                          <w:spacing w:before="71"/>
                          <w:ind w:right="33"/>
                          <w:rPr>
                            <w:sz w:val="15"/>
                          </w:rPr>
                        </w:pPr>
                        <w:r>
                          <w:rPr>
                            <w:color w:val="231F20"/>
                            <w:w w:val="74"/>
                            <w:sz w:val="15"/>
                          </w:rPr>
                          <w:t></w:t>
                        </w:r>
                      </w:p>
                    </w:tc>
                  </w:tr>
                  <w:tr w:rsidR="00B05397">
                    <w:trPr>
                      <w:trHeight w:hRule="exact" w:val="213"/>
                    </w:trPr>
                    <w:tc>
                      <w:tcPr>
                        <w:tcW w:w="1027" w:type="dxa"/>
                      </w:tcPr>
                      <w:p w:rsidR="00B05397" w:rsidRDefault="00856287">
                        <w:pPr>
                          <w:pStyle w:val="TableParagraph"/>
                          <w:spacing w:before="13"/>
                          <w:ind w:left="35" w:right="0"/>
                          <w:jc w:val="left"/>
                          <w:rPr>
                            <w:sz w:val="15"/>
                          </w:rPr>
                        </w:pPr>
                        <w:r>
                          <w:rPr>
                            <w:rFonts w:ascii="Tahoma" w:hAnsi="Tahoma"/>
                            <w:color w:val="231F20"/>
                            <w:w w:val="95"/>
                            <w:sz w:val="15"/>
                          </w:rPr>
                          <w:t>P</w:t>
                        </w:r>
                        <w:r>
                          <w:rPr>
                            <w:color w:val="231F20"/>
                            <w:w w:val="95"/>
                            <w:sz w:val="15"/>
                          </w:rPr>
                          <w:t></w:t>
                        </w:r>
                      </w:p>
                    </w:tc>
                    <w:tc>
                      <w:tcPr>
                        <w:tcW w:w="507" w:type="dxa"/>
                      </w:tcPr>
                      <w:p w:rsidR="00B05397" w:rsidRDefault="00856287">
                        <w:pPr>
                          <w:pStyle w:val="TableParagraph"/>
                          <w:spacing w:before="22"/>
                          <w:ind w:right="114"/>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665" w:type="dxa"/>
                      </w:tcPr>
                      <w:p w:rsidR="00B05397" w:rsidRDefault="00856287">
                        <w:pPr>
                          <w:pStyle w:val="TableParagraph"/>
                          <w:spacing w:before="22"/>
                          <w:ind w:right="114"/>
                          <w:rPr>
                            <w:sz w:val="15"/>
                          </w:rPr>
                        </w:pPr>
                        <w:r>
                          <w:rPr>
                            <w:color w:val="231F20"/>
                            <w:w w:val="74"/>
                            <w:sz w:val="15"/>
                          </w:rPr>
                          <w:t></w:t>
                        </w:r>
                      </w:p>
                    </w:tc>
                    <w:tc>
                      <w:tcPr>
                        <w:tcW w:w="664" w:type="dxa"/>
                      </w:tcPr>
                      <w:p w:rsidR="00B05397" w:rsidRDefault="00856287">
                        <w:pPr>
                          <w:pStyle w:val="TableParagraph"/>
                          <w:spacing w:before="22"/>
                          <w:ind w:right="114"/>
                          <w:rPr>
                            <w:sz w:val="15"/>
                          </w:rPr>
                        </w:pPr>
                        <w:r>
                          <w:rPr>
                            <w:color w:val="231F20"/>
                            <w:w w:val="74"/>
                            <w:sz w:val="15"/>
                          </w:rPr>
                          <w:t></w:t>
                        </w:r>
                      </w:p>
                    </w:tc>
                    <w:tc>
                      <w:tcPr>
                        <w:tcW w:w="616" w:type="dxa"/>
                      </w:tcPr>
                      <w:p w:rsidR="00B05397" w:rsidRDefault="00856287">
                        <w:pPr>
                          <w:pStyle w:val="TableParagraph"/>
                          <w:spacing w:before="22"/>
                          <w:ind w:right="114"/>
                          <w:rPr>
                            <w:sz w:val="15"/>
                          </w:rPr>
                        </w:pPr>
                        <w:r>
                          <w:rPr>
                            <w:color w:val="231F20"/>
                            <w:w w:val="74"/>
                            <w:sz w:val="15"/>
                          </w:rPr>
                          <w:t></w:t>
                        </w:r>
                      </w:p>
                    </w:tc>
                    <w:tc>
                      <w:tcPr>
                        <w:tcW w:w="617" w:type="dxa"/>
                      </w:tcPr>
                      <w:p w:rsidR="00B05397" w:rsidRDefault="00856287">
                        <w:pPr>
                          <w:pStyle w:val="TableParagraph"/>
                          <w:spacing w:before="22"/>
                          <w:ind w:right="115"/>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512" w:type="dxa"/>
                      </w:tcPr>
                      <w:p w:rsidR="00B05397" w:rsidRDefault="00856287">
                        <w:pPr>
                          <w:pStyle w:val="TableParagraph"/>
                          <w:spacing w:before="22"/>
                          <w:ind w:right="33"/>
                          <w:rPr>
                            <w:sz w:val="15"/>
                          </w:rPr>
                        </w:pPr>
                        <w:r>
                          <w:rPr>
                            <w:color w:val="231F20"/>
                            <w:w w:val="74"/>
                            <w:sz w:val="15"/>
                          </w:rPr>
                          <w:t></w:t>
                        </w:r>
                      </w:p>
                    </w:tc>
                  </w:tr>
                  <w:tr w:rsidR="00B05397">
                    <w:trPr>
                      <w:trHeight w:hRule="exact" w:val="212"/>
                    </w:trPr>
                    <w:tc>
                      <w:tcPr>
                        <w:tcW w:w="1027" w:type="dxa"/>
                      </w:tcPr>
                      <w:p w:rsidR="00B05397" w:rsidRDefault="00856287">
                        <w:pPr>
                          <w:pStyle w:val="TableParagraph"/>
                          <w:spacing w:before="13"/>
                          <w:ind w:left="35" w:right="0"/>
                          <w:jc w:val="left"/>
                          <w:rPr>
                            <w:sz w:val="15"/>
                          </w:rPr>
                        </w:pPr>
                        <w:r>
                          <w:rPr>
                            <w:rFonts w:ascii="Tahoma" w:hAnsi="Tahoma"/>
                            <w:color w:val="231F20"/>
                            <w:w w:val="95"/>
                            <w:sz w:val="15"/>
                          </w:rPr>
                          <w:t>P</w:t>
                        </w:r>
                        <w:r>
                          <w:rPr>
                            <w:color w:val="231F20"/>
                            <w:w w:val="95"/>
                            <w:sz w:val="15"/>
                          </w:rPr>
                          <w:t></w:t>
                        </w:r>
                      </w:p>
                    </w:tc>
                    <w:tc>
                      <w:tcPr>
                        <w:tcW w:w="507" w:type="dxa"/>
                      </w:tcPr>
                      <w:p w:rsidR="00B05397" w:rsidRDefault="00856287">
                        <w:pPr>
                          <w:pStyle w:val="TableParagraph"/>
                          <w:spacing w:before="22"/>
                          <w:ind w:right="114"/>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665" w:type="dxa"/>
                      </w:tcPr>
                      <w:p w:rsidR="00B05397" w:rsidRDefault="00856287">
                        <w:pPr>
                          <w:pStyle w:val="TableParagraph"/>
                          <w:spacing w:before="22"/>
                          <w:ind w:right="114"/>
                          <w:rPr>
                            <w:sz w:val="15"/>
                          </w:rPr>
                        </w:pPr>
                        <w:r>
                          <w:rPr>
                            <w:color w:val="231F20"/>
                            <w:w w:val="74"/>
                            <w:sz w:val="15"/>
                          </w:rPr>
                          <w:t></w:t>
                        </w:r>
                      </w:p>
                    </w:tc>
                    <w:tc>
                      <w:tcPr>
                        <w:tcW w:w="664" w:type="dxa"/>
                      </w:tcPr>
                      <w:p w:rsidR="00B05397" w:rsidRDefault="00856287">
                        <w:pPr>
                          <w:pStyle w:val="TableParagraph"/>
                          <w:spacing w:before="22"/>
                          <w:ind w:right="114"/>
                          <w:rPr>
                            <w:sz w:val="15"/>
                          </w:rPr>
                        </w:pPr>
                        <w:r>
                          <w:rPr>
                            <w:color w:val="231F20"/>
                            <w:w w:val="74"/>
                            <w:sz w:val="15"/>
                          </w:rPr>
                          <w:t></w:t>
                        </w:r>
                      </w:p>
                    </w:tc>
                    <w:tc>
                      <w:tcPr>
                        <w:tcW w:w="616" w:type="dxa"/>
                      </w:tcPr>
                      <w:p w:rsidR="00B05397" w:rsidRDefault="00856287">
                        <w:pPr>
                          <w:pStyle w:val="TableParagraph"/>
                          <w:spacing w:before="22"/>
                          <w:ind w:right="114"/>
                          <w:rPr>
                            <w:sz w:val="15"/>
                          </w:rPr>
                        </w:pPr>
                        <w:r>
                          <w:rPr>
                            <w:color w:val="231F20"/>
                            <w:w w:val="74"/>
                            <w:sz w:val="15"/>
                          </w:rPr>
                          <w:t></w:t>
                        </w:r>
                      </w:p>
                    </w:tc>
                    <w:tc>
                      <w:tcPr>
                        <w:tcW w:w="617" w:type="dxa"/>
                      </w:tcPr>
                      <w:p w:rsidR="00B05397" w:rsidRDefault="00856287">
                        <w:pPr>
                          <w:pStyle w:val="TableParagraph"/>
                          <w:spacing w:before="22"/>
                          <w:ind w:right="115"/>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512" w:type="dxa"/>
                      </w:tcPr>
                      <w:p w:rsidR="00B05397" w:rsidRDefault="00856287">
                        <w:pPr>
                          <w:pStyle w:val="TableParagraph"/>
                          <w:spacing w:before="22"/>
                          <w:ind w:right="33"/>
                          <w:rPr>
                            <w:sz w:val="15"/>
                          </w:rPr>
                        </w:pPr>
                        <w:r>
                          <w:rPr>
                            <w:color w:val="231F20"/>
                            <w:w w:val="74"/>
                            <w:sz w:val="15"/>
                          </w:rPr>
                          <w:t></w:t>
                        </w:r>
                      </w:p>
                    </w:tc>
                  </w:tr>
                  <w:tr w:rsidR="00B05397">
                    <w:trPr>
                      <w:trHeight w:hRule="exact" w:val="212"/>
                    </w:trPr>
                    <w:tc>
                      <w:tcPr>
                        <w:tcW w:w="1027" w:type="dxa"/>
                      </w:tcPr>
                      <w:p w:rsidR="00B05397" w:rsidRDefault="00856287">
                        <w:pPr>
                          <w:pStyle w:val="TableParagraph"/>
                          <w:spacing w:before="13"/>
                          <w:ind w:left="35" w:right="0"/>
                          <w:jc w:val="left"/>
                          <w:rPr>
                            <w:sz w:val="15"/>
                          </w:rPr>
                        </w:pPr>
                        <w:r>
                          <w:rPr>
                            <w:rFonts w:ascii="Tahoma" w:hAnsi="Tahoma"/>
                            <w:color w:val="231F20"/>
                            <w:w w:val="95"/>
                            <w:sz w:val="15"/>
                          </w:rPr>
                          <w:t>P</w:t>
                        </w:r>
                        <w:r>
                          <w:rPr>
                            <w:color w:val="231F20"/>
                            <w:w w:val="95"/>
                            <w:sz w:val="15"/>
                          </w:rPr>
                          <w:t></w:t>
                        </w:r>
                      </w:p>
                    </w:tc>
                    <w:tc>
                      <w:tcPr>
                        <w:tcW w:w="507" w:type="dxa"/>
                      </w:tcPr>
                      <w:p w:rsidR="00B05397" w:rsidRDefault="00856287">
                        <w:pPr>
                          <w:pStyle w:val="TableParagraph"/>
                          <w:spacing w:before="22"/>
                          <w:ind w:right="114"/>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665" w:type="dxa"/>
                      </w:tcPr>
                      <w:p w:rsidR="00B05397" w:rsidRDefault="00856287">
                        <w:pPr>
                          <w:pStyle w:val="TableParagraph"/>
                          <w:spacing w:before="22"/>
                          <w:ind w:right="114"/>
                          <w:rPr>
                            <w:sz w:val="15"/>
                          </w:rPr>
                        </w:pPr>
                        <w:r>
                          <w:rPr>
                            <w:color w:val="231F20"/>
                            <w:w w:val="74"/>
                            <w:sz w:val="15"/>
                          </w:rPr>
                          <w:t></w:t>
                        </w:r>
                      </w:p>
                    </w:tc>
                    <w:tc>
                      <w:tcPr>
                        <w:tcW w:w="664" w:type="dxa"/>
                      </w:tcPr>
                      <w:p w:rsidR="00B05397" w:rsidRDefault="00856287">
                        <w:pPr>
                          <w:pStyle w:val="TableParagraph"/>
                          <w:spacing w:before="22"/>
                          <w:ind w:right="114"/>
                          <w:rPr>
                            <w:sz w:val="15"/>
                          </w:rPr>
                        </w:pPr>
                        <w:r>
                          <w:rPr>
                            <w:color w:val="231F20"/>
                            <w:w w:val="74"/>
                            <w:sz w:val="15"/>
                          </w:rPr>
                          <w:t></w:t>
                        </w:r>
                      </w:p>
                    </w:tc>
                    <w:tc>
                      <w:tcPr>
                        <w:tcW w:w="616" w:type="dxa"/>
                      </w:tcPr>
                      <w:p w:rsidR="00B05397" w:rsidRDefault="00856287">
                        <w:pPr>
                          <w:pStyle w:val="TableParagraph"/>
                          <w:spacing w:before="22"/>
                          <w:ind w:right="114"/>
                          <w:rPr>
                            <w:sz w:val="15"/>
                          </w:rPr>
                        </w:pPr>
                        <w:r>
                          <w:rPr>
                            <w:color w:val="231F20"/>
                            <w:w w:val="74"/>
                            <w:sz w:val="15"/>
                          </w:rPr>
                          <w:t></w:t>
                        </w:r>
                      </w:p>
                    </w:tc>
                    <w:tc>
                      <w:tcPr>
                        <w:tcW w:w="617" w:type="dxa"/>
                      </w:tcPr>
                      <w:p w:rsidR="00B05397" w:rsidRDefault="00856287">
                        <w:pPr>
                          <w:pStyle w:val="TableParagraph"/>
                          <w:spacing w:before="22"/>
                          <w:ind w:right="115"/>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512" w:type="dxa"/>
                      </w:tcPr>
                      <w:p w:rsidR="00B05397" w:rsidRDefault="00856287">
                        <w:pPr>
                          <w:pStyle w:val="TableParagraph"/>
                          <w:spacing w:before="22"/>
                          <w:ind w:right="33"/>
                          <w:rPr>
                            <w:sz w:val="15"/>
                          </w:rPr>
                        </w:pPr>
                        <w:r>
                          <w:rPr>
                            <w:color w:val="231F20"/>
                            <w:w w:val="74"/>
                            <w:sz w:val="15"/>
                          </w:rPr>
                          <w:t></w:t>
                        </w:r>
                      </w:p>
                    </w:tc>
                  </w:tr>
                  <w:tr w:rsidR="00B05397">
                    <w:trPr>
                      <w:trHeight w:hRule="exact" w:val="213"/>
                    </w:trPr>
                    <w:tc>
                      <w:tcPr>
                        <w:tcW w:w="1027" w:type="dxa"/>
                      </w:tcPr>
                      <w:p w:rsidR="00B05397" w:rsidRDefault="00856287">
                        <w:pPr>
                          <w:pStyle w:val="TableParagraph"/>
                          <w:spacing w:before="13"/>
                          <w:ind w:left="35" w:right="0"/>
                          <w:jc w:val="left"/>
                          <w:rPr>
                            <w:sz w:val="15"/>
                          </w:rPr>
                        </w:pPr>
                        <w:r>
                          <w:rPr>
                            <w:rFonts w:ascii="Tahoma" w:hAnsi="Tahoma"/>
                            <w:color w:val="231F20"/>
                            <w:w w:val="95"/>
                            <w:sz w:val="15"/>
                          </w:rPr>
                          <w:t>P</w:t>
                        </w:r>
                        <w:r>
                          <w:rPr>
                            <w:color w:val="231F20"/>
                            <w:w w:val="95"/>
                            <w:sz w:val="15"/>
                          </w:rPr>
                          <w:t></w:t>
                        </w:r>
                      </w:p>
                    </w:tc>
                    <w:tc>
                      <w:tcPr>
                        <w:tcW w:w="507" w:type="dxa"/>
                      </w:tcPr>
                      <w:p w:rsidR="00B05397" w:rsidRDefault="00856287">
                        <w:pPr>
                          <w:pStyle w:val="TableParagraph"/>
                          <w:spacing w:before="22"/>
                          <w:ind w:right="114"/>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665" w:type="dxa"/>
                      </w:tcPr>
                      <w:p w:rsidR="00B05397" w:rsidRDefault="00856287">
                        <w:pPr>
                          <w:pStyle w:val="TableParagraph"/>
                          <w:spacing w:before="22"/>
                          <w:ind w:right="114"/>
                          <w:rPr>
                            <w:sz w:val="15"/>
                          </w:rPr>
                        </w:pPr>
                        <w:r>
                          <w:rPr>
                            <w:color w:val="231F20"/>
                            <w:w w:val="74"/>
                            <w:sz w:val="15"/>
                          </w:rPr>
                          <w:t></w:t>
                        </w:r>
                      </w:p>
                    </w:tc>
                    <w:tc>
                      <w:tcPr>
                        <w:tcW w:w="664" w:type="dxa"/>
                      </w:tcPr>
                      <w:p w:rsidR="00B05397" w:rsidRDefault="00856287">
                        <w:pPr>
                          <w:pStyle w:val="TableParagraph"/>
                          <w:spacing w:before="22"/>
                          <w:ind w:right="114"/>
                          <w:rPr>
                            <w:sz w:val="15"/>
                          </w:rPr>
                        </w:pPr>
                        <w:r>
                          <w:rPr>
                            <w:color w:val="231F20"/>
                            <w:w w:val="74"/>
                            <w:sz w:val="15"/>
                          </w:rPr>
                          <w:t></w:t>
                        </w:r>
                      </w:p>
                    </w:tc>
                    <w:tc>
                      <w:tcPr>
                        <w:tcW w:w="616" w:type="dxa"/>
                      </w:tcPr>
                      <w:p w:rsidR="00B05397" w:rsidRDefault="00856287">
                        <w:pPr>
                          <w:pStyle w:val="TableParagraph"/>
                          <w:spacing w:before="22"/>
                          <w:ind w:right="114"/>
                          <w:rPr>
                            <w:sz w:val="15"/>
                          </w:rPr>
                        </w:pPr>
                        <w:r>
                          <w:rPr>
                            <w:color w:val="231F20"/>
                            <w:w w:val="74"/>
                            <w:sz w:val="15"/>
                          </w:rPr>
                          <w:t></w:t>
                        </w:r>
                      </w:p>
                    </w:tc>
                    <w:tc>
                      <w:tcPr>
                        <w:tcW w:w="617" w:type="dxa"/>
                      </w:tcPr>
                      <w:p w:rsidR="00B05397" w:rsidRDefault="00856287">
                        <w:pPr>
                          <w:pStyle w:val="TableParagraph"/>
                          <w:spacing w:before="22"/>
                          <w:ind w:right="115"/>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512" w:type="dxa"/>
                      </w:tcPr>
                      <w:p w:rsidR="00B05397" w:rsidRDefault="00856287">
                        <w:pPr>
                          <w:pStyle w:val="TableParagraph"/>
                          <w:spacing w:before="22"/>
                          <w:ind w:right="33"/>
                          <w:rPr>
                            <w:sz w:val="15"/>
                          </w:rPr>
                        </w:pPr>
                        <w:r>
                          <w:rPr>
                            <w:color w:val="231F20"/>
                            <w:w w:val="74"/>
                            <w:sz w:val="15"/>
                          </w:rPr>
                          <w:t></w:t>
                        </w:r>
                      </w:p>
                    </w:tc>
                  </w:tr>
                  <w:tr w:rsidR="00B05397">
                    <w:trPr>
                      <w:trHeight w:hRule="exact" w:val="213"/>
                    </w:trPr>
                    <w:tc>
                      <w:tcPr>
                        <w:tcW w:w="1027" w:type="dxa"/>
                      </w:tcPr>
                      <w:p w:rsidR="00B05397" w:rsidRDefault="00856287">
                        <w:pPr>
                          <w:pStyle w:val="TableParagraph"/>
                          <w:spacing w:before="13"/>
                          <w:ind w:left="35" w:right="0"/>
                          <w:jc w:val="left"/>
                          <w:rPr>
                            <w:sz w:val="15"/>
                          </w:rPr>
                        </w:pPr>
                        <w:r>
                          <w:rPr>
                            <w:rFonts w:ascii="Tahoma" w:hAnsi="Tahoma"/>
                            <w:color w:val="231F20"/>
                            <w:w w:val="95"/>
                            <w:sz w:val="15"/>
                          </w:rPr>
                          <w:t>P</w:t>
                        </w:r>
                        <w:r>
                          <w:rPr>
                            <w:color w:val="231F20"/>
                            <w:w w:val="95"/>
                            <w:sz w:val="15"/>
                          </w:rPr>
                          <w:t></w:t>
                        </w:r>
                      </w:p>
                    </w:tc>
                    <w:tc>
                      <w:tcPr>
                        <w:tcW w:w="507" w:type="dxa"/>
                      </w:tcPr>
                      <w:p w:rsidR="00B05397" w:rsidRDefault="00856287">
                        <w:pPr>
                          <w:pStyle w:val="TableParagraph"/>
                          <w:spacing w:before="22"/>
                          <w:ind w:right="114"/>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665" w:type="dxa"/>
                      </w:tcPr>
                      <w:p w:rsidR="00B05397" w:rsidRDefault="00856287">
                        <w:pPr>
                          <w:pStyle w:val="TableParagraph"/>
                          <w:spacing w:before="22"/>
                          <w:ind w:right="114"/>
                          <w:rPr>
                            <w:sz w:val="15"/>
                          </w:rPr>
                        </w:pPr>
                        <w:r>
                          <w:rPr>
                            <w:color w:val="231F20"/>
                            <w:w w:val="74"/>
                            <w:sz w:val="15"/>
                          </w:rPr>
                          <w:t></w:t>
                        </w:r>
                      </w:p>
                    </w:tc>
                    <w:tc>
                      <w:tcPr>
                        <w:tcW w:w="664" w:type="dxa"/>
                      </w:tcPr>
                      <w:p w:rsidR="00B05397" w:rsidRDefault="00856287">
                        <w:pPr>
                          <w:pStyle w:val="TableParagraph"/>
                          <w:spacing w:before="22"/>
                          <w:ind w:right="114"/>
                          <w:rPr>
                            <w:sz w:val="15"/>
                          </w:rPr>
                        </w:pPr>
                        <w:r>
                          <w:rPr>
                            <w:color w:val="231F20"/>
                            <w:w w:val="74"/>
                            <w:sz w:val="15"/>
                          </w:rPr>
                          <w:t></w:t>
                        </w:r>
                      </w:p>
                    </w:tc>
                    <w:tc>
                      <w:tcPr>
                        <w:tcW w:w="616" w:type="dxa"/>
                      </w:tcPr>
                      <w:p w:rsidR="00B05397" w:rsidRDefault="00856287">
                        <w:pPr>
                          <w:pStyle w:val="TableParagraph"/>
                          <w:spacing w:before="22"/>
                          <w:ind w:right="114"/>
                          <w:rPr>
                            <w:sz w:val="15"/>
                          </w:rPr>
                        </w:pPr>
                        <w:r>
                          <w:rPr>
                            <w:color w:val="231F20"/>
                            <w:w w:val="74"/>
                            <w:sz w:val="15"/>
                          </w:rPr>
                          <w:t></w:t>
                        </w:r>
                      </w:p>
                    </w:tc>
                    <w:tc>
                      <w:tcPr>
                        <w:tcW w:w="617" w:type="dxa"/>
                      </w:tcPr>
                      <w:p w:rsidR="00B05397" w:rsidRDefault="00856287">
                        <w:pPr>
                          <w:pStyle w:val="TableParagraph"/>
                          <w:spacing w:before="22"/>
                          <w:ind w:right="115"/>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512" w:type="dxa"/>
                      </w:tcPr>
                      <w:p w:rsidR="00B05397" w:rsidRDefault="00856287">
                        <w:pPr>
                          <w:pStyle w:val="TableParagraph"/>
                          <w:spacing w:before="22"/>
                          <w:ind w:right="33"/>
                          <w:rPr>
                            <w:sz w:val="15"/>
                          </w:rPr>
                        </w:pPr>
                        <w:r>
                          <w:rPr>
                            <w:color w:val="231F20"/>
                            <w:w w:val="74"/>
                            <w:sz w:val="15"/>
                          </w:rPr>
                          <w:t></w:t>
                        </w:r>
                      </w:p>
                    </w:tc>
                  </w:tr>
                  <w:tr w:rsidR="00B05397">
                    <w:trPr>
                      <w:trHeight w:hRule="exact" w:val="212"/>
                    </w:trPr>
                    <w:tc>
                      <w:tcPr>
                        <w:tcW w:w="1027" w:type="dxa"/>
                      </w:tcPr>
                      <w:p w:rsidR="00B05397" w:rsidRDefault="00856287">
                        <w:pPr>
                          <w:pStyle w:val="TableParagraph"/>
                          <w:spacing w:before="13"/>
                          <w:ind w:left="35" w:right="0"/>
                          <w:jc w:val="left"/>
                          <w:rPr>
                            <w:sz w:val="15"/>
                          </w:rPr>
                        </w:pPr>
                        <w:r>
                          <w:rPr>
                            <w:rFonts w:ascii="Tahoma" w:hAnsi="Tahoma"/>
                            <w:color w:val="231F20"/>
                            <w:w w:val="95"/>
                            <w:sz w:val="15"/>
                          </w:rPr>
                          <w:t>P</w:t>
                        </w:r>
                        <w:r>
                          <w:rPr>
                            <w:color w:val="231F20"/>
                            <w:w w:val="95"/>
                            <w:sz w:val="15"/>
                          </w:rPr>
                          <w:t></w:t>
                        </w:r>
                      </w:p>
                    </w:tc>
                    <w:tc>
                      <w:tcPr>
                        <w:tcW w:w="507" w:type="dxa"/>
                      </w:tcPr>
                      <w:p w:rsidR="00B05397" w:rsidRDefault="00856287">
                        <w:pPr>
                          <w:pStyle w:val="TableParagraph"/>
                          <w:spacing w:before="22"/>
                          <w:ind w:right="114"/>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665" w:type="dxa"/>
                      </w:tcPr>
                      <w:p w:rsidR="00B05397" w:rsidRDefault="00856287">
                        <w:pPr>
                          <w:pStyle w:val="TableParagraph"/>
                          <w:spacing w:before="22"/>
                          <w:ind w:right="114"/>
                          <w:rPr>
                            <w:sz w:val="15"/>
                          </w:rPr>
                        </w:pPr>
                        <w:r>
                          <w:rPr>
                            <w:color w:val="231F20"/>
                            <w:w w:val="74"/>
                            <w:sz w:val="15"/>
                          </w:rPr>
                          <w:t></w:t>
                        </w:r>
                      </w:p>
                    </w:tc>
                    <w:tc>
                      <w:tcPr>
                        <w:tcW w:w="664" w:type="dxa"/>
                      </w:tcPr>
                      <w:p w:rsidR="00B05397" w:rsidRDefault="00856287">
                        <w:pPr>
                          <w:pStyle w:val="TableParagraph"/>
                          <w:spacing w:before="22"/>
                          <w:ind w:right="114"/>
                          <w:rPr>
                            <w:sz w:val="15"/>
                          </w:rPr>
                        </w:pPr>
                        <w:r>
                          <w:rPr>
                            <w:color w:val="231F20"/>
                            <w:w w:val="74"/>
                            <w:sz w:val="15"/>
                          </w:rPr>
                          <w:t></w:t>
                        </w:r>
                      </w:p>
                    </w:tc>
                    <w:tc>
                      <w:tcPr>
                        <w:tcW w:w="616" w:type="dxa"/>
                      </w:tcPr>
                      <w:p w:rsidR="00B05397" w:rsidRDefault="00856287">
                        <w:pPr>
                          <w:pStyle w:val="TableParagraph"/>
                          <w:spacing w:before="22"/>
                          <w:ind w:right="114"/>
                          <w:rPr>
                            <w:sz w:val="15"/>
                          </w:rPr>
                        </w:pPr>
                        <w:r>
                          <w:rPr>
                            <w:color w:val="231F20"/>
                            <w:w w:val="74"/>
                            <w:sz w:val="15"/>
                          </w:rPr>
                          <w:t></w:t>
                        </w:r>
                      </w:p>
                    </w:tc>
                    <w:tc>
                      <w:tcPr>
                        <w:tcW w:w="617" w:type="dxa"/>
                      </w:tcPr>
                      <w:p w:rsidR="00B05397" w:rsidRDefault="00856287">
                        <w:pPr>
                          <w:pStyle w:val="TableParagraph"/>
                          <w:spacing w:before="22"/>
                          <w:ind w:right="115"/>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512" w:type="dxa"/>
                      </w:tcPr>
                      <w:p w:rsidR="00B05397" w:rsidRDefault="00856287">
                        <w:pPr>
                          <w:pStyle w:val="TableParagraph"/>
                          <w:spacing w:before="22"/>
                          <w:ind w:right="33"/>
                          <w:rPr>
                            <w:sz w:val="15"/>
                          </w:rPr>
                        </w:pPr>
                        <w:r>
                          <w:rPr>
                            <w:color w:val="231F20"/>
                            <w:w w:val="74"/>
                            <w:sz w:val="15"/>
                          </w:rPr>
                          <w:t></w:t>
                        </w:r>
                      </w:p>
                    </w:tc>
                  </w:tr>
                  <w:tr w:rsidR="00B05397">
                    <w:trPr>
                      <w:trHeight w:hRule="exact" w:val="212"/>
                    </w:trPr>
                    <w:tc>
                      <w:tcPr>
                        <w:tcW w:w="1027" w:type="dxa"/>
                      </w:tcPr>
                      <w:p w:rsidR="00B05397" w:rsidRDefault="00856287">
                        <w:pPr>
                          <w:pStyle w:val="TableParagraph"/>
                          <w:spacing w:before="13"/>
                          <w:ind w:left="35" w:right="0"/>
                          <w:jc w:val="left"/>
                          <w:rPr>
                            <w:sz w:val="15"/>
                          </w:rPr>
                        </w:pPr>
                        <w:r>
                          <w:rPr>
                            <w:rFonts w:ascii="Tahoma" w:hAnsi="Tahoma"/>
                            <w:color w:val="231F20"/>
                            <w:w w:val="95"/>
                            <w:sz w:val="15"/>
                          </w:rPr>
                          <w:t>P</w:t>
                        </w:r>
                        <w:r>
                          <w:rPr>
                            <w:color w:val="231F20"/>
                            <w:w w:val="95"/>
                            <w:sz w:val="15"/>
                          </w:rPr>
                          <w:t></w:t>
                        </w:r>
                      </w:p>
                    </w:tc>
                    <w:tc>
                      <w:tcPr>
                        <w:tcW w:w="507" w:type="dxa"/>
                      </w:tcPr>
                      <w:p w:rsidR="00B05397" w:rsidRDefault="00856287">
                        <w:pPr>
                          <w:pStyle w:val="TableParagraph"/>
                          <w:spacing w:before="22"/>
                          <w:ind w:right="114"/>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665" w:type="dxa"/>
                      </w:tcPr>
                      <w:p w:rsidR="00B05397" w:rsidRDefault="00856287">
                        <w:pPr>
                          <w:pStyle w:val="TableParagraph"/>
                          <w:spacing w:before="22"/>
                          <w:ind w:right="114"/>
                          <w:rPr>
                            <w:sz w:val="15"/>
                          </w:rPr>
                        </w:pPr>
                        <w:r>
                          <w:rPr>
                            <w:color w:val="231F20"/>
                            <w:w w:val="74"/>
                            <w:sz w:val="15"/>
                          </w:rPr>
                          <w:t></w:t>
                        </w:r>
                      </w:p>
                    </w:tc>
                    <w:tc>
                      <w:tcPr>
                        <w:tcW w:w="664" w:type="dxa"/>
                      </w:tcPr>
                      <w:p w:rsidR="00B05397" w:rsidRDefault="00856287">
                        <w:pPr>
                          <w:pStyle w:val="TableParagraph"/>
                          <w:spacing w:before="22"/>
                          <w:ind w:right="114"/>
                          <w:rPr>
                            <w:sz w:val="15"/>
                          </w:rPr>
                        </w:pPr>
                        <w:r>
                          <w:rPr>
                            <w:color w:val="231F20"/>
                            <w:w w:val="74"/>
                            <w:sz w:val="15"/>
                          </w:rPr>
                          <w:t></w:t>
                        </w:r>
                      </w:p>
                    </w:tc>
                    <w:tc>
                      <w:tcPr>
                        <w:tcW w:w="616" w:type="dxa"/>
                      </w:tcPr>
                      <w:p w:rsidR="00B05397" w:rsidRDefault="00856287">
                        <w:pPr>
                          <w:pStyle w:val="TableParagraph"/>
                          <w:spacing w:before="22"/>
                          <w:ind w:right="114"/>
                          <w:rPr>
                            <w:sz w:val="15"/>
                          </w:rPr>
                        </w:pPr>
                        <w:r>
                          <w:rPr>
                            <w:color w:val="231F20"/>
                            <w:w w:val="74"/>
                            <w:sz w:val="15"/>
                          </w:rPr>
                          <w:t></w:t>
                        </w:r>
                      </w:p>
                    </w:tc>
                    <w:tc>
                      <w:tcPr>
                        <w:tcW w:w="617" w:type="dxa"/>
                      </w:tcPr>
                      <w:p w:rsidR="00B05397" w:rsidRDefault="00856287">
                        <w:pPr>
                          <w:pStyle w:val="TableParagraph"/>
                          <w:spacing w:before="22"/>
                          <w:ind w:right="115"/>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512" w:type="dxa"/>
                      </w:tcPr>
                      <w:p w:rsidR="00B05397" w:rsidRDefault="00856287">
                        <w:pPr>
                          <w:pStyle w:val="TableParagraph"/>
                          <w:spacing w:before="22"/>
                          <w:ind w:right="33"/>
                          <w:rPr>
                            <w:sz w:val="15"/>
                          </w:rPr>
                        </w:pPr>
                        <w:r>
                          <w:rPr>
                            <w:color w:val="231F20"/>
                            <w:w w:val="74"/>
                            <w:sz w:val="15"/>
                          </w:rPr>
                          <w:t></w:t>
                        </w:r>
                      </w:p>
                    </w:tc>
                  </w:tr>
                  <w:tr w:rsidR="00B05397">
                    <w:trPr>
                      <w:trHeight w:hRule="exact" w:val="213"/>
                    </w:trPr>
                    <w:tc>
                      <w:tcPr>
                        <w:tcW w:w="1027" w:type="dxa"/>
                      </w:tcPr>
                      <w:p w:rsidR="00B05397" w:rsidRDefault="00856287">
                        <w:pPr>
                          <w:pStyle w:val="TableParagraph"/>
                          <w:spacing w:before="13"/>
                          <w:ind w:left="35" w:right="0"/>
                          <w:jc w:val="left"/>
                          <w:rPr>
                            <w:sz w:val="15"/>
                          </w:rPr>
                        </w:pPr>
                        <w:r>
                          <w:rPr>
                            <w:rFonts w:ascii="Tahoma" w:hAnsi="Tahoma"/>
                            <w:color w:val="231F20"/>
                            <w:w w:val="95"/>
                            <w:sz w:val="15"/>
                          </w:rPr>
                          <w:t>P</w:t>
                        </w:r>
                        <w:r>
                          <w:rPr>
                            <w:color w:val="231F20"/>
                            <w:w w:val="95"/>
                            <w:sz w:val="15"/>
                          </w:rPr>
                          <w:t></w:t>
                        </w:r>
                      </w:p>
                    </w:tc>
                    <w:tc>
                      <w:tcPr>
                        <w:tcW w:w="507" w:type="dxa"/>
                      </w:tcPr>
                      <w:p w:rsidR="00B05397" w:rsidRDefault="00856287">
                        <w:pPr>
                          <w:pStyle w:val="TableParagraph"/>
                          <w:spacing w:before="22"/>
                          <w:ind w:right="114"/>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665" w:type="dxa"/>
                      </w:tcPr>
                      <w:p w:rsidR="00B05397" w:rsidRDefault="00856287">
                        <w:pPr>
                          <w:pStyle w:val="TableParagraph"/>
                          <w:spacing w:before="22"/>
                          <w:ind w:right="114"/>
                          <w:rPr>
                            <w:sz w:val="15"/>
                          </w:rPr>
                        </w:pPr>
                        <w:r>
                          <w:rPr>
                            <w:color w:val="231F20"/>
                            <w:w w:val="74"/>
                            <w:sz w:val="15"/>
                          </w:rPr>
                          <w:t></w:t>
                        </w:r>
                      </w:p>
                    </w:tc>
                    <w:tc>
                      <w:tcPr>
                        <w:tcW w:w="664" w:type="dxa"/>
                      </w:tcPr>
                      <w:p w:rsidR="00B05397" w:rsidRDefault="00856287">
                        <w:pPr>
                          <w:pStyle w:val="TableParagraph"/>
                          <w:spacing w:before="22"/>
                          <w:ind w:right="114"/>
                          <w:rPr>
                            <w:sz w:val="15"/>
                          </w:rPr>
                        </w:pPr>
                        <w:r>
                          <w:rPr>
                            <w:color w:val="231F20"/>
                            <w:w w:val="74"/>
                            <w:sz w:val="15"/>
                          </w:rPr>
                          <w:t></w:t>
                        </w:r>
                      </w:p>
                    </w:tc>
                    <w:tc>
                      <w:tcPr>
                        <w:tcW w:w="616" w:type="dxa"/>
                      </w:tcPr>
                      <w:p w:rsidR="00B05397" w:rsidRDefault="00856287">
                        <w:pPr>
                          <w:pStyle w:val="TableParagraph"/>
                          <w:spacing w:before="22"/>
                          <w:ind w:right="114"/>
                          <w:rPr>
                            <w:sz w:val="15"/>
                          </w:rPr>
                        </w:pPr>
                        <w:r>
                          <w:rPr>
                            <w:color w:val="231F20"/>
                            <w:w w:val="74"/>
                            <w:sz w:val="15"/>
                          </w:rPr>
                          <w:t></w:t>
                        </w:r>
                      </w:p>
                    </w:tc>
                    <w:tc>
                      <w:tcPr>
                        <w:tcW w:w="617" w:type="dxa"/>
                      </w:tcPr>
                      <w:p w:rsidR="00B05397" w:rsidRDefault="00856287">
                        <w:pPr>
                          <w:pStyle w:val="TableParagraph"/>
                          <w:spacing w:before="22"/>
                          <w:ind w:right="115"/>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512" w:type="dxa"/>
                      </w:tcPr>
                      <w:p w:rsidR="00B05397" w:rsidRDefault="00856287">
                        <w:pPr>
                          <w:pStyle w:val="TableParagraph"/>
                          <w:spacing w:before="22"/>
                          <w:ind w:right="33"/>
                          <w:rPr>
                            <w:sz w:val="15"/>
                          </w:rPr>
                        </w:pPr>
                        <w:r>
                          <w:rPr>
                            <w:color w:val="231F20"/>
                            <w:w w:val="74"/>
                            <w:sz w:val="15"/>
                          </w:rPr>
                          <w:t></w:t>
                        </w:r>
                      </w:p>
                    </w:tc>
                  </w:tr>
                  <w:tr w:rsidR="00B05397">
                    <w:trPr>
                      <w:trHeight w:hRule="exact" w:val="213"/>
                    </w:trPr>
                    <w:tc>
                      <w:tcPr>
                        <w:tcW w:w="1027" w:type="dxa"/>
                      </w:tcPr>
                      <w:p w:rsidR="00B05397" w:rsidRDefault="00856287">
                        <w:pPr>
                          <w:pStyle w:val="TableParagraph"/>
                          <w:spacing w:before="13"/>
                          <w:ind w:left="35" w:right="0"/>
                          <w:jc w:val="left"/>
                          <w:rPr>
                            <w:sz w:val="15"/>
                          </w:rPr>
                        </w:pPr>
                        <w:r>
                          <w:rPr>
                            <w:rFonts w:ascii="Tahoma" w:hAnsi="Tahoma"/>
                            <w:color w:val="231F20"/>
                            <w:w w:val="95"/>
                            <w:sz w:val="15"/>
                          </w:rPr>
                          <w:t>P</w:t>
                        </w:r>
                        <w:r>
                          <w:rPr>
                            <w:color w:val="231F20"/>
                            <w:w w:val="95"/>
                            <w:sz w:val="15"/>
                          </w:rPr>
                          <w:t></w:t>
                        </w:r>
                      </w:p>
                    </w:tc>
                    <w:tc>
                      <w:tcPr>
                        <w:tcW w:w="507" w:type="dxa"/>
                      </w:tcPr>
                      <w:p w:rsidR="00B05397" w:rsidRDefault="00856287">
                        <w:pPr>
                          <w:pStyle w:val="TableParagraph"/>
                          <w:spacing w:before="22"/>
                          <w:ind w:right="114"/>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665" w:type="dxa"/>
                      </w:tcPr>
                      <w:p w:rsidR="00B05397" w:rsidRDefault="00856287">
                        <w:pPr>
                          <w:pStyle w:val="TableParagraph"/>
                          <w:spacing w:before="22"/>
                          <w:ind w:right="114"/>
                          <w:rPr>
                            <w:sz w:val="15"/>
                          </w:rPr>
                        </w:pPr>
                        <w:r>
                          <w:rPr>
                            <w:color w:val="231F20"/>
                            <w:w w:val="74"/>
                            <w:sz w:val="15"/>
                          </w:rPr>
                          <w:t></w:t>
                        </w:r>
                      </w:p>
                    </w:tc>
                    <w:tc>
                      <w:tcPr>
                        <w:tcW w:w="664" w:type="dxa"/>
                      </w:tcPr>
                      <w:p w:rsidR="00B05397" w:rsidRDefault="00856287">
                        <w:pPr>
                          <w:pStyle w:val="TableParagraph"/>
                          <w:spacing w:before="22"/>
                          <w:ind w:right="114"/>
                          <w:rPr>
                            <w:sz w:val="15"/>
                          </w:rPr>
                        </w:pPr>
                        <w:r>
                          <w:rPr>
                            <w:color w:val="231F20"/>
                            <w:w w:val="74"/>
                            <w:sz w:val="15"/>
                          </w:rPr>
                          <w:t></w:t>
                        </w:r>
                      </w:p>
                    </w:tc>
                    <w:tc>
                      <w:tcPr>
                        <w:tcW w:w="616" w:type="dxa"/>
                      </w:tcPr>
                      <w:p w:rsidR="00B05397" w:rsidRDefault="00856287">
                        <w:pPr>
                          <w:pStyle w:val="TableParagraph"/>
                          <w:spacing w:before="22"/>
                          <w:ind w:right="114"/>
                          <w:rPr>
                            <w:sz w:val="15"/>
                          </w:rPr>
                        </w:pPr>
                        <w:r>
                          <w:rPr>
                            <w:color w:val="231F20"/>
                            <w:w w:val="74"/>
                            <w:sz w:val="15"/>
                          </w:rPr>
                          <w:t></w:t>
                        </w:r>
                      </w:p>
                    </w:tc>
                    <w:tc>
                      <w:tcPr>
                        <w:tcW w:w="617" w:type="dxa"/>
                      </w:tcPr>
                      <w:p w:rsidR="00B05397" w:rsidRDefault="00856287">
                        <w:pPr>
                          <w:pStyle w:val="TableParagraph"/>
                          <w:spacing w:before="22"/>
                          <w:ind w:right="115"/>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512" w:type="dxa"/>
                      </w:tcPr>
                      <w:p w:rsidR="00B05397" w:rsidRDefault="00856287">
                        <w:pPr>
                          <w:pStyle w:val="TableParagraph"/>
                          <w:spacing w:before="22"/>
                          <w:ind w:right="33"/>
                          <w:rPr>
                            <w:sz w:val="15"/>
                          </w:rPr>
                        </w:pPr>
                        <w:r>
                          <w:rPr>
                            <w:color w:val="231F20"/>
                            <w:w w:val="74"/>
                            <w:sz w:val="15"/>
                          </w:rPr>
                          <w:t></w:t>
                        </w:r>
                      </w:p>
                    </w:tc>
                  </w:tr>
                  <w:tr w:rsidR="00B05397">
                    <w:trPr>
                      <w:trHeight w:hRule="exact" w:val="212"/>
                    </w:trPr>
                    <w:tc>
                      <w:tcPr>
                        <w:tcW w:w="1027" w:type="dxa"/>
                      </w:tcPr>
                      <w:p w:rsidR="00B05397" w:rsidRDefault="00856287">
                        <w:pPr>
                          <w:pStyle w:val="TableParagraph"/>
                          <w:spacing w:before="13"/>
                          <w:ind w:left="35" w:right="0"/>
                          <w:jc w:val="left"/>
                          <w:rPr>
                            <w:sz w:val="15"/>
                          </w:rPr>
                        </w:pPr>
                        <w:r>
                          <w:rPr>
                            <w:rFonts w:ascii="Tahoma" w:hAnsi="Tahoma"/>
                            <w:color w:val="231F20"/>
                            <w:w w:val="95"/>
                            <w:sz w:val="15"/>
                          </w:rPr>
                          <w:t>P</w:t>
                        </w:r>
                        <w:r>
                          <w:rPr>
                            <w:color w:val="231F20"/>
                            <w:w w:val="95"/>
                            <w:sz w:val="15"/>
                          </w:rPr>
                          <w:t></w:t>
                        </w:r>
                      </w:p>
                    </w:tc>
                    <w:tc>
                      <w:tcPr>
                        <w:tcW w:w="507" w:type="dxa"/>
                      </w:tcPr>
                      <w:p w:rsidR="00B05397" w:rsidRDefault="00856287">
                        <w:pPr>
                          <w:pStyle w:val="TableParagraph"/>
                          <w:spacing w:before="22"/>
                          <w:ind w:right="114"/>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665" w:type="dxa"/>
                      </w:tcPr>
                      <w:p w:rsidR="00B05397" w:rsidRDefault="00856287">
                        <w:pPr>
                          <w:pStyle w:val="TableParagraph"/>
                          <w:spacing w:before="22"/>
                          <w:ind w:right="114"/>
                          <w:rPr>
                            <w:sz w:val="15"/>
                          </w:rPr>
                        </w:pPr>
                        <w:r>
                          <w:rPr>
                            <w:color w:val="231F20"/>
                            <w:w w:val="74"/>
                            <w:sz w:val="15"/>
                          </w:rPr>
                          <w:t></w:t>
                        </w:r>
                      </w:p>
                    </w:tc>
                    <w:tc>
                      <w:tcPr>
                        <w:tcW w:w="664" w:type="dxa"/>
                      </w:tcPr>
                      <w:p w:rsidR="00B05397" w:rsidRDefault="00856287">
                        <w:pPr>
                          <w:pStyle w:val="TableParagraph"/>
                          <w:spacing w:before="22"/>
                          <w:ind w:right="114"/>
                          <w:rPr>
                            <w:sz w:val="15"/>
                          </w:rPr>
                        </w:pPr>
                        <w:r>
                          <w:rPr>
                            <w:color w:val="231F20"/>
                            <w:w w:val="74"/>
                            <w:sz w:val="15"/>
                          </w:rPr>
                          <w:t></w:t>
                        </w:r>
                      </w:p>
                    </w:tc>
                    <w:tc>
                      <w:tcPr>
                        <w:tcW w:w="616" w:type="dxa"/>
                      </w:tcPr>
                      <w:p w:rsidR="00B05397" w:rsidRDefault="00856287">
                        <w:pPr>
                          <w:pStyle w:val="TableParagraph"/>
                          <w:spacing w:before="22"/>
                          <w:ind w:right="114"/>
                          <w:rPr>
                            <w:sz w:val="15"/>
                          </w:rPr>
                        </w:pPr>
                        <w:r>
                          <w:rPr>
                            <w:color w:val="231F20"/>
                            <w:w w:val="74"/>
                            <w:sz w:val="15"/>
                          </w:rPr>
                          <w:t></w:t>
                        </w:r>
                      </w:p>
                    </w:tc>
                    <w:tc>
                      <w:tcPr>
                        <w:tcW w:w="617" w:type="dxa"/>
                      </w:tcPr>
                      <w:p w:rsidR="00B05397" w:rsidRDefault="00856287">
                        <w:pPr>
                          <w:pStyle w:val="TableParagraph"/>
                          <w:spacing w:before="22"/>
                          <w:ind w:right="115"/>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512" w:type="dxa"/>
                      </w:tcPr>
                      <w:p w:rsidR="00B05397" w:rsidRDefault="00856287">
                        <w:pPr>
                          <w:pStyle w:val="TableParagraph"/>
                          <w:spacing w:before="22"/>
                          <w:ind w:right="33"/>
                          <w:rPr>
                            <w:sz w:val="15"/>
                          </w:rPr>
                        </w:pPr>
                        <w:r>
                          <w:rPr>
                            <w:color w:val="231F20"/>
                            <w:w w:val="74"/>
                            <w:sz w:val="15"/>
                          </w:rPr>
                          <w:t></w:t>
                        </w:r>
                      </w:p>
                    </w:tc>
                  </w:tr>
                  <w:tr w:rsidR="00B05397">
                    <w:trPr>
                      <w:trHeight w:hRule="exact" w:val="213"/>
                    </w:trPr>
                    <w:tc>
                      <w:tcPr>
                        <w:tcW w:w="1027" w:type="dxa"/>
                      </w:tcPr>
                      <w:p w:rsidR="00B05397" w:rsidRDefault="00856287">
                        <w:pPr>
                          <w:pStyle w:val="TableParagraph"/>
                          <w:spacing w:before="13"/>
                          <w:ind w:left="35" w:right="0"/>
                          <w:jc w:val="left"/>
                          <w:rPr>
                            <w:sz w:val="15"/>
                          </w:rPr>
                        </w:pPr>
                        <w:r>
                          <w:rPr>
                            <w:rFonts w:ascii="Tahoma" w:hAnsi="Tahoma"/>
                            <w:color w:val="231F20"/>
                            <w:w w:val="95"/>
                            <w:sz w:val="15"/>
                          </w:rPr>
                          <w:t>P</w:t>
                        </w:r>
                        <w:r>
                          <w:rPr>
                            <w:color w:val="231F20"/>
                            <w:w w:val="95"/>
                            <w:sz w:val="15"/>
                          </w:rPr>
                          <w:t></w:t>
                        </w:r>
                      </w:p>
                    </w:tc>
                    <w:tc>
                      <w:tcPr>
                        <w:tcW w:w="507" w:type="dxa"/>
                      </w:tcPr>
                      <w:p w:rsidR="00B05397" w:rsidRDefault="00856287">
                        <w:pPr>
                          <w:pStyle w:val="TableParagraph"/>
                          <w:spacing w:before="22"/>
                          <w:ind w:right="114"/>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665" w:type="dxa"/>
                      </w:tcPr>
                      <w:p w:rsidR="00B05397" w:rsidRDefault="00856287">
                        <w:pPr>
                          <w:pStyle w:val="TableParagraph"/>
                          <w:spacing w:before="22"/>
                          <w:ind w:right="114"/>
                          <w:rPr>
                            <w:sz w:val="15"/>
                          </w:rPr>
                        </w:pPr>
                        <w:r>
                          <w:rPr>
                            <w:color w:val="231F20"/>
                            <w:w w:val="74"/>
                            <w:sz w:val="15"/>
                          </w:rPr>
                          <w:t></w:t>
                        </w:r>
                      </w:p>
                    </w:tc>
                    <w:tc>
                      <w:tcPr>
                        <w:tcW w:w="664" w:type="dxa"/>
                      </w:tcPr>
                      <w:p w:rsidR="00B05397" w:rsidRDefault="00856287">
                        <w:pPr>
                          <w:pStyle w:val="TableParagraph"/>
                          <w:spacing w:before="22"/>
                          <w:ind w:right="114"/>
                          <w:rPr>
                            <w:sz w:val="15"/>
                          </w:rPr>
                        </w:pPr>
                        <w:r>
                          <w:rPr>
                            <w:color w:val="231F20"/>
                            <w:w w:val="74"/>
                            <w:sz w:val="15"/>
                          </w:rPr>
                          <w:t></w:t>
                        </w:r>
                      </w:p>
                    </w:tc>
                    <w:tc>
                      <w:tcPr>
                        <w:tcW w:w="616" w:type="dxa"/>
                      </w:tcPr>
                      <w:p w:rsidR="00B05397" w:rsidRDefault="00856287">
                        <w:pPr>
                          <w:pStyle w:val="TableParagraph"/>
                          <w:spacing w:before="22"/>
                          <w:ind w:right="114"/>
                          <w:rPr>
                            <w:sz w:val="15"/>
                          </w:rPr>
                        </w:pPr>
                        <w:r>
                          <w:rPr>
                            <w:color w:val="231F20"/>
                            <w:w w:val="74"/>
                            <w:sz w:val="15"/>
                          </w:rPr>
                          <w:t></w:t>
                        </w:r>
                      </w:p>
                    </w:tc>
                    <w:tc>
                      <w:tcPr>
                        <w:tcW w:w="617" w:type="dxa"/>
                      </w:tcPr>
                      <w:p w:rsidR="00B05397" w:rsidRDefault="00856287">
                        <w:pPr>
                          <w:pStyle w:val="TableParagraph"/>
                          <w:spacing w:before="22"/>
                          <w:ind w:right="115"/>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512" w:type="dxa"/>
                      </w:tcPr>
                      <w:p w:rsidR="00B05397" w:rsidRDefault="00856287">
                        <w:pPr>
                          <w:pStyle w:val="TableParagraph"/>
                          <w:spacing w:before="22"/>
                          <w:ind w:right="33"/>
                          <w:rPr>
                            <w:sz w:val="15"/>
                          </w:rPr>
                        </w:pPr>
                        <w:r>
                          <w:rPr>
                            <w:color w:val="231F20"/>
                            <w:w w:val="74"/>
                            <w:sz w:val="15"/>
                          </w:rPr>
                          <w:t></w:t>
                        </w:r>
                      </w:p>
                    </w:tc>
                  </w:tr>
                  <w:tr w:rsidR="00B05397">
                    <w:trPr>
                      <w:trHeight w:hRule="exact" w:val="213"/>
                    </w:trPr>
                    <w:tc>
                      <w:tcPr>
                        <w:tcW w:w="1027" w:type="dxa"/>
                      </w:tcPr>
                      <w:p w:rsidR="00B05397" w:rsidRDefault="00856287">
                        <w:pPr>
                          <w:pStyle w:val="TableParagraph"/>
                          <w:spacing w:before="13"/>
                          <w:ind w:left="35" w:right="0"/>
                          <w:jc w:val="left"/>
                          <w:rPr>
                            <w:sz w:val="15"/>
                          </w:rPr>
                        </w:pPr>
                        <w:r>
                          <w:rPr>
                            <w:rFonts w:ascii="Tahoma" w:hAnsi="Tahoma"/>
                            <w:color w:val="231F20"/>
                            <w:w w:val="95"/>
                            <w:sz w:val="15"/>
                          </w:rPr>
                          <w:t>P</w:t>
                        </w:r>
                        <w:r>
                          <w:rPr>
                            <w:color w:val="231F20"/>
                            <w:w w:val="95"/>
                            <w:sz w:val="15"/>
                          </w:rPr>
                          <w:t></w:t>
                        </w:r>
                      </w:p>
                    </w:tc>
                    <w:tc>
                      <w:tcPr>
                        <w:tcW w:w="507" w:type="dxa"/>
                      </w:tcPr>
                      <w:p w:rsidR="00B05397" w:rsidRDefault="00856287">
                        <w:pPr>
                          <w:pStyle w:val="TableParagraph"/>
                          <w:spacing w:before="22"/>
                          <w:ind w:right="114"/>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665" w:type="dxa"/>
                      </w:tcPr>
                      <w:p w:rsidR="00B05397" w:rsidRDefault="00856287">
                        <w:pPr>
                          <w:pStyle w:val="TableParagraph"/>
                          <w:spacing w:before="22"/>
                          <w:ind w:right="114"/>
                          <w:rPr>
                            <w:sz w:val="15"/>
                          </w:rPr>
                        </w:pPr>
                        <w:r>
                          <w:rPr>
                            <w:color w:val="231F20"/>
                            <w:w w:val="74"/>
                            <w:sz w:val="15"/>
                          </w:rPr>
                          <w:t></w:t>
                        </w:r>
                      </w:p>
                    </w:tc>
                    <w:tc>
                      <w:tcPr>
                        <w:tcW w:w="664" w:type="dxa"/>
                      </w:tcPr>
                      <w:p w:rsidR="00B05397" w:rsidRDefault="00856287">
                        <w:pPr>
                          <w:pStyle w:val="TableParagraph"/>
                          <w:spacing w:before="22"/>
                          <w:ind w:right="114"/>
                          <w:rPr>
                            <w:sz w:val="15"/>
                          </w:rPr>
                        </w:pPr>
                        <w:r>
                          <w:rPr>
                            <w:color w:val="231F20"/>
                            <w:w w:val="74"/>
                            <w:sz w:val="15"/>
                          </w:rPr>
                          <w:t></w:t>
                        </w:r>
                      </w:p>
                    </w:tc>
                    <w:tc>
                      <w:tcPr>
                        <w:tcW w:w="616" w:type="dxa"/>
                      </w:tcPr>
                      <w:p w:rsidR="00B05397" w:rsidRDefault="00856287">
                        <w:pPr>
                          <w:pStyle w:val="TableParagraph"/>
                          <w:spacing w:before="22"/>
                          <w:ind w:right="114"/>
                          <w:rPr>
                            <w:sz w:val="15"/>
                          </w:rPr>
                        </w:pPr>
                        <w:r>
                          <w:rPr>
                            <w:color w:val="231F20"/>
                            <w:w w:val="74"/>
                            <w:sz w:val="15"/>
                          </w:rPr>
                          <w:t></w:t>
                        </w:r>
                      </w:p>
                    </w:tc>
                    <w:tc>
                      <w:tcPr>
                        <w:tcW w:w="617" w:type="dxa"/>
                      </w:tcPr>
                      <w:p w:rsidR="00B05397" w:rsidRDefault="00856287">
                        <w:pPr>
                          <w:pStyle w:val="TableParagraph"/>
                          <w:spacing w:before="22"/>
                          <w:ind w:right="115"/>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512" w:type="dxa"/>
                      </w:tcPr>
                      <w:p w:rsidR="00B05397" w:rsidRDefault="00856287">
                        <w:pPr>
                          <w:pStyle w:val="TableParagraph"/>
                          <w:spacing w:before="22"/>
                          <w:ind w:right="33"/>
                          <w:rPr>
                            <w:sz w:val="15"/>
                          </w:rPr>
                        </w:pPr>
                        <w:r>
                          <w:rPr>
                            <w:color w:val="231F20"/>
                            <w:w w:val="74"/>
                            <w:sz w:val="15"/>
                          </w:rPr>
                          <w:t></w:t>
                        </w:r>
                      </w:p>
                    </w:tc>
                  </w:tr>
                  <w:tr w:rsidR="00B05397">
                    <w:trPr>
                      <w:trHeight w:hRule="exact" w:val="212"/>
                    </w:trPr>
                    <w:tc>
                      <w:tcPr>
                        <w:tcW w:w="1027" w:type="dxa"/>
                      </w:tcPr>
                      <w:p w:rsidR="00B05397" w:rsidRDefault="00856287">
                        <w:pPr>
                          <w:pStyle w:val="TableParagraph"/>
                          <w:spacing w:before="13"/>
                          <w:ind w:left="35" w:right="0"/>
                          <w:jc w:val="left"/>
                          <w:rPr>
                            <w:sz w:val="15"/>
                          </w:rPr>
                        </w:pPr>
                        <w:r>
                          <w:rPr>
                            <w:rFonts w:ascii="Tahoma" w:hAnsi="Tahoma"/>
                            <w:color w:val="231F20"/>
                            <w:w w:val="95"/>
                            <w:sz w:val="15"/>
                          </w:rPr>
                          <w:t>P</w:t>
                        </w:r>
                        <w:r>
                          <w:rPr>
                            <w:color w:val="231F20"/>
                            <w:w w:val="95"/>
                            <w:sz w:val="15"/>
                          </w:rPr>
                          <w:t></w:t>
                        </w:r>
                      </w:p>
                    </w:tc>
                    <w:tc>
                      <w:tcPr>
                        <w:tcW w:w="507" w:type="dxa"/>
                      </w:tcPr>
                      <w:p w:rsidR="00B05397" w:rsidRDefault="00856287">
                        <w:pPr>
                          <w:pStyle w:val="TableParagraph"/>
                          <w:spacing w:before="22"/>
                          <w:ind w:right="114"/>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665" w:type="dxa"/>
                      </w:tcPr>
                      <w:p w:rsidR="00B05397" w:rsidRDefault="00856287">
                        <w:pPr>
                          <w:pStyle w:val="TableParagraph"/>
                          <w:spacing w:before="22"/>
                          <w:ind w:right="114"/>
                          <w:rPr>
                            <w:sz w:val="15"/>
                          </w:rPr>
                        </w:pPr>
                        <w:r>
                          <w:rPr>
                            <w:color w:val="231F20"/>
                            <w:w w:val="74"/>
                            <w:sz w:val="15"/>
                          </w:rPr>
                          <w:t></w:t>
                        </w:r>
                      </w:p>
                    </w:tc>
                    <w:tc>
                      <w:tcPr>
                        <w:tcW w:w="664" w:type="dxa"/>
                      </w:tcPr>
                      <w:p w:rsidR="00B05397" w:rsidRDefault="00856287">
                        <w:pPr>
                          <w:pStyle w:val="TableParagraph"/>
                          <w:spacing w:before="22"/>
                          <w:ind w:right="114"/>
                          <w:rPr>
                            <w:sz w:val="15"/>
                          </w:rPr>
                        </w:pPr>
                        <w:r>
                          <w:rPr>
                            <w:color w:val="231F20"/>
                            <w:w w:val="74"/>
                            <w:sz w:val="15"/>
                          </w:rPr>
                          <w:t></w:t>
                        </w:r>
                      </w:p>
                    </w:tc>
                    <w:tc>
                      <w:tcPr>
                        <w:tcW w:w="616" w:type="dxa"/>
                      </w:tcPr>
                      <w:p w:rsidR="00B05397" w:rsidRDefault="00856287">
                        <w:pPr>
                          <w:pStyle w:val="TableParagraph"/>
                          <w:spacing w:before="22"/>
                          <w:ind w:right="114"/>
                          <w:rPr>
                            <w:sz w:val="15"/>
                          </w:rPr>
                        </w:pPr>
                        <w:r>
                          <w:rPr>
                            <w:color w:val="231F20"/>
                            <w:w w:val="74"/>
                            <w:sz w:val="15"/>
                          </w:rPr>
                          <w:t></w:t>
                        </w:r>
                      </w:p>
                    </w:tc>
                    <w:tc>
                      <w:tcPr>
                        <w:tcW w:w="617" w:type="dxa"/>
                      </w:tcPr>
                      <w:p w:rsidR="00B05397" w:rsidRDefault="00856287">
                        <w:pPr>
                          <w:pStyle w:val="TableParagraph"/>
                          <w:spacing w:before="22"/>
                          <w:ind w:right="115"/>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512" w:type="dxa"/>
                      </w:tcPr>
                      <w:p w:rsidR="00B05397" w:rsidRDefault="00856287">
                        <w:pPr>
                          <w:pStyle w:val="TableParagraph"/>
                          <w:spacing w:before="22"/>
                          <w:ind w:right="33"/>
                          <w:rPr>
                            <w:sz w:val="15"/>
                          </w:rPr>
                        </w:pPr>
                        <w:r>
                          <w:rPr>
                            <w:color w:val="231F20"/>
                            <w:w w:val="74"/>
                            <w:sz w:val="15"/>
                          </w:rPr>
                          <w:t></w:t>
                        </w:r>
                      </w:p>
                    </w:tc>
                  </w:tr>
                  <w:tr w:rsidR="00B05397">
                    <w:trPr>
                      <w:trHeight w:hRule="exact" w:val="212"/>
                    </w:trPr>
                    <w:tc>
                      <w:tcPr>
                        <w:tcW w:w="1027" w:type="dxa"/>
                      </w:tcPr>
                      <w:p w:rsidR="00B05397" w:rsidRDefault="00856287">
                        <w:pPr>
                          <w:pStyle w:val="TableParagraph"/>
                          <w:spacing w:before="13"/>
                          <w:ind w:left="35" w:right="0"/>
                          <w:jc w:val="left"/>
                          <w:rPr>
                            <w:sz w:val="15"/>
                          </w:rPr>
                        </w:pPr>
                        <w:r>
                          <w:rPr>
                            <w:rFonts w:ascii="Tahoma" w:hAnsi="Tahoma"/>
                            <w:color w:val="231F20"/>
                            <w:w w:val="95"/>
                            <w:sz w:val="15"/>
                          </w:rPr>
                          <w:t>P</w:t>
                        </w:r>
                        <w:r>
                          <w:rPr>
                            <w:color w:val="231F20"/>
                            <w:w w:val="95"/>
                            <w:sz w:val="15"/>
                          </w:rPr>
                          <w:t></w:t>
                        </w:r>
                      </w:p>
                    </w:tc>
                    <w:tc>
                      <w:tcPr>
                        <w:tcW w:w="507" w:type="dxa"/>
                      </w:tcPr>
                      <w:p w:rsidR="00B05397" w:rsidRDefault="00856287">
                        <w:pPr>
                          <w:pStyle w:val="TableParagraph"/>
                          <w:spacing w:before="22"/>
                          <w:ind w:right="114"/>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665" w:type="dxa"/>
                      </w:tcPr>
                      <w:p w:rsidR="00B05397" w:rsidRDefault="00856287">
                        <w:pPr>
                          <w:pStyle w:val="TableParagraph"/>
                          <w:spacing w:before="22"/>
                          <w:ind w:right="114"/>
                          <w:rPr>
                            <w:sz w:val="15"/>
                          </w:rPr>
                        </w:pPr>
                        <w:r>
                          <w:rPr>
                            <w:color w:val="231F20"/>
                            <w:w w:val="74"/>
                            <w:sz w:val="15"/>
                          </w:rPr>
                          <w:t></w:t>
                        </w:r>
                      </w:p>
                    </w:tc>
                    <w:tc>
                      <w:tcPr>
                        <w:tcW w:w="664" w:type="dxa"/>
                      </w:tcPr>
                      <w:p w:rsidR="00B05397" w:rsidRDefault="00856287">
                        <w:pPr>
                          <w:pStyle w:val="TableParagraph"/>
                          <w:spacing w:before="22"/>
                          <w:ind w:right="114"/>
                          <w:rPr>
                            <w:sz w:val="15"/>
                          </w:rPr>
                        </w:pPr>
                        <w:r>
                          <w:rPr>
                            <w:color w:val="231F20"/>
                            <w:w w:val="74"/>
                            <w:sz w:val="15"/>
                          </w:rPr>
                          <w:t></w:t>
                        </w:r>
                      </w:p>
                    </w:tc>
                    <w:tc>
                      <w:tcPr>
                        <w:tcW w:w="616" w:type="dxa"/>
                      </w:tcPr>
                      <w:p w:rsidR="00B05397" w:rsidRDefault="00856287">
                        <w:pPr>
                          <w:pStyle w:val="TableParagraph"/>
                          <w:spacing w:before="22"/>
                          <w:ind w:right="114"/>
                          <w:rPr>
                            <w:sz w:val="15"/>
                          </w:rPr>
                        </w:pPr>
                        <w:r>
                          <w:rPr>
                            <w:color w:val="231F20"/>
                            <w:w w:val="74"/>
                            <w:sz w:val="15"/>
                          </w:rPr>
                          <w:t></w:t>
                        </w:r>
                      </w:p>
                    </w:tc>
                    <w:tc>
                      <w:tcPr>
                        <w:tcW w:w="617" w:type="dxa"/>
                      </w:tcPr>
                      <w:p w:rsidR="00B05397" w:rsidRDefault="00856287">
                        <w:pPr>
                          <w:pStyle w:val="TableParagraph"/>
                          <w:spacing w:before="22"/>
                          <w:ind w:right="115"/>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512" w:type="dxa"/>
                      </w:tcPr>
                      <w:p w:rsidR="00B05397" w:rsidRDefault="00856287">
                        <w:pPr>
                          <w:pStyle w:val="TableParagraph"/>
                          <w:spacing w:before="22"/>
                          <w:ind w:right="33"/>
                          <w:rPr>
                            <w:sz w:val="15"/>
                          </w:rPr>
                        </w:pPr>
                        <w:r>
                          <w:rPr>
                            <w:color w:val="231F20"/>
                            <w:w w:val="74"/>
                            <w:sz w:val="15"/>
                          </w:rPr>
                          <w:t></w:t>
                        </w:r>
                      </w:p>
                    </w:tc>
                  </w:tr>
                  <w:tr w:rsidR="00B05397">
                    <w:trPr>
                      <w:trHeight w:hRule="exact" w:val="213"/>
                    </w:trPr>
                    <w:tc>
                      <w:tcPr>
                        <w:tcW w:w="1027" w:type="dxa"/>
                      </w:tcPr>
                      <w:p w:rsidR="00B05397" w:rsidRDefault="00856287">
                        <w:pPr>
                          <w:pStyle w:val="TableParagraph"/>
                          <w:spacing w:before="13"/>
                          <w:ind w:left="35" w:right="0"/>
                          <w:jc w:val="left"/>
                          <w:rPr>
                            <w:sz w:val="15"/>
                          </w:rPr>
                        </w:pPr>
                        <w:r>
                          <w:rPr>
                            <w:rFonts w:ascii="Tahoma" w:hAnsi="Tahoma"/>
                            <w:color w:val="231F20"/>
                            <w:w w:val="95"/>
                            <w:sz w:val="15"/>
                          </w:rPr>
                          <w:t>P</w:t>
                        </w:r>
                        <w:r>
                          <w:rPr>
                            <w:color w:val="231F20"/>
                            <w:w w:val="95"/>
                            <w:sz w:val="15"/>
                          </w:rPr>
                          <w:t></w:t>
                        </w:r>
                      </w:p>
                    </w:tc>
                    <w:tc>
                      <w:tcPr>
                        <w:tcW w:w="507" w:type="dxa"/>
                      </w:tcPr>
                      <w:p w:rsidR="00B05397" w:rsidRDefault="00856287">
                        <w:pPr>
                          <w:pStyle w:val="TableParagraph"/>
                          <w:spacing w:before="22"/>
                          <w:ind w:right="114"/>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665" w:type="dxa"/>
                      </w:tcPr>
                      <w:p w:rsidR="00B05397" w:rsidRDefault="00856287">
                        <w:pPr>
                          <w:pStyle w:val="TableParagraph"/>
                          <w:spacing w:before="22"/>
                          <w:ind w:right="114"/>
                          <w:rPr>
                            <w:sz w:val="15"/>
                          </w:rPr>
                        </w:pPr>
                        <w:r>
                          <w:rPr>
                            <w:color w:val="231F20"/>
                            <w:w w:val="74"/>
                            <w:sz w:val="15"/>
                          </w:rPr>
                          <w:t></w:t>
                        </w:r>
                      </w:p>
                    </w:tc>
                    <w:tc>
                      <w:tcPr>
                        <w:tcW w:w="664" w:type="dxa"/>
                      </w:tcPr>
                      <w:p w:rsidR="00B05397" w:rsidRDefault="00856287">
                        <w:pPr>
                          <w:pStyle w:val="TableParagraph"/>
                          <w:spacing w:before="22"/>
                          <w:ind w:right="114"/>
                          <w:rPr>
                            <w:sz w:val="15"/>
                          </w:rPr>
                        </w:pPr>
                        <w:r>
                          <w:rPr>
                            <w:color w:val="231F20"/>
                            <w:w w:val="74"/>
                            <w:sz w:val="15"/>
                          </w:rPr>
                          <w:t></w:t>
                        </w:r>
                      </w:p>
                    </w:tc>
                    <w:tc>
                      <w:tcPr>
                        <w:tcW w:w="616" w:type="dxa"/>
                      </w:tcPr>
                      <w:p w:rsidR="00B05397" w:rsidRDefault="00856287">
                        <w:pPr>
                          <w:pStyle w:val="TableParagraph"/>
                          <w:spacing w:before="22"/>
                          <w:ind w:right="114"/>
                          <w:rPr>
                            <w:sz w:val="15"/>
                          </w:rPr>
                        </w:pPr>
                        <w:r>
                          <w:rPr>
                            <w:color w:val="231F20"/>
                            <w:w w:val="74"/>
                            <w:sz w:val="15"/>
                          </w:rPr>
                          <w:t></w:t>
                        </w:r>
                      </w:p>
                    </w:tc>
                    <w:tc>
                      <w:tcPr>
                        <w:tcW w:w="617" w:type="dxa"/>
                      </w:tcPr>
                      <w:p w:rsidR="00B05397" w:rsidRDefault="00856287">
                        <w:pPr>
                          <w:pStyle w:val="TableParagraph"/>
                          <w:spacing w:before="22"/>
                          <w:ind w:right="115"/>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512" w:type="dxa"/>
                      </w:tcPr>
                      <w:p w:rsidR="00B05397" w:rsidRDefault="00856287">
                        <w:pPr>
                          <w:pStyle w:val="TableParagraph"/>
                          <w:spacing w:before="22"/>
                          <w:ind w:right="33"/>
                          <w:rPr>
                            <w:sz w:val="15"/>
                          </w:rPr>
                        </w:pPr>
                        <w:r>
                          <w:rPr>
                            <w:color w:val="231F20"/>
                            <w:w w:val="74"/>
                            <w:sz w:val="15"/>
                          </w:rPr>
                          <w:t></w:t>
                        </w:r>
                      </w:p>
                    </w:tc>
                  </w:tr>
                  <w:tr w:rsidR="00B05397">
                    <w:trPr>
                      <w:trHeight w:hRule="exact" w:val="213"/>
                    </w:trPr>
                    <w:tc>
                      <w:tcPr>
                        <w:tcW w:w="1027" w:type="dxa"/>
                      </w:tcPr>
                      <w:p w:rsidR="00B05397" w:rsidRDefault="00856287">
                        <w:pPr>
                          <w:pStyle w:val="TableParagraph"/>
                          <w:spacing w:before="13"/>
                          <w:ind w:left="35" w:right="0"/>
                          <w:jc w:val="left"/>
                          <w:rPr>
                            <w:sz w:val="15"/>
                          </w:rPr>
                        </w:pPr>
                        <w:r>
                          <w:rPr>
                            <w:rFonts w:ascii="Tahoma" w:hAnsi="Tahoma"/>
                            <w:color w:val="231F20"/>
                            <w:w w:val="95"/>
                            <w:sz w:val="15"/>
                          </w:rPr>
                          <w:t>P</w:t>
                        </w:r>
                        <w:r>
                          <w:rPr>
                            <w:color w:val="231F20"/>
                            <w:w w:val="95"/>
                            <w:sz w:val="15"/>
                          </w:rPr>
                          <w:t></w:t>
                        </w:r>
                      </w:p>
                    </w:tc>
                    <w:tc>
                      <w:tcPr>
                        <w:tcW w:w="507" w:type="dxa"/>
                      </w:tcPr>
                      <w:p w:rsidR="00B05397" w:rsidRDefault="00856287">
                        <w:pPr>
                          <w:pStyle w:val="TableParagraph"/>
                          <w:spacing w:before="22"/>
                          <w:ind w:right="114"/>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665" w:type="dxa"/>
                      </w:tcPr>
                      <w:p w:rsidR="00B05397" w:rsidRDefault="00856287">
                        <w:pPr>
                          <w:pStyle w:val="TableParagraph"/>
                          <w:spacing w:before="22"/>
                          <w:ind w:right="114"/>
                          <w:rPr>
                            <w:sz w:val="15"/>
                          </w:rPr>
                        </w:pPr>
                        <w:r>
                          <w:rPr>
                            <w:color w:val="231F20"/>
                            <w:w w:val="74"/>
                            <w:sz w:val="15"/>
                          </w:rPr>
                          <w:t></w:t>
                        </w:r>
                      </w:p>
                    </w:tc>
                    <w:tc>
                      <w:tcPr>
                        <w:tcW w:w="664" w:type="dxa"/>
                      </w:tcPr>
                      <w:p w:rsidR="00B05397" w:rsidRDefault="00856287">
                        <w:pPr>
                          <w:pStyle w:val="TableParagraph"/>
                          <w:spacing w:before="22"/>
                          <w:ind w:right="114"/>
                          <w:rPr>
                            <w:sz w:val="15"/>
                          </w:rPr>
                        </w:pPr>
                        <w:r>
                          <w:rPr>
                            <w:color w:val="231F20"/>
                            <w:w w:val="74"/>
                            <w:sz w:val="15"/>
                          </w:rPr>
                          <w:t></w:t>
                        </w:r>
                      </w:p>
                    </w:tc>
                    <w:tc>
                      <w:tcPr>
                        <w:tcW w:w="616" w:type="dxa"/>
                      </w:tcPr>
                      <w:p w:rsidR="00B05397" w:rsidRDefault="00856287">
                        <w:pPr>
                          <w:pStyle w:val="TableParagraph"/>
                          <w:spacing w:before="22"/>
                          <w:ind w:right="114"/>
                          <w:rPr>
                            <w:sz w:val="15"/>
                          </w:rPr>
                        </w:pPr>
                        <w:r>
                          <w:rPr>
                            <w:color w:val="231F20"/>
                            <w:w w:val="74"/>
                            <w:sz w:val="15"/>
                          </w:rPr>
                          <w:t></w:t>
                        </w:r>
                      </w:p>
                    </w:tc>
                    <w:tc>
                      <w:tcPr>
                        <w:tcW w:w="617" w:type="dxa"/>
                      </w:tcPr>
                      <w:p w:rsidR="00B05397" w:rsidRDefault="00856287">
                        <w:pPr>
                          <w:pStyle w:val="TableParagraph"/>
                          <w:spacing w:before="22"/>
                          <w:ind w:right="115"/>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512" w:type="dxa"/>
                      </w:tcPr>
                      <w:p w:rsidR="00B05397" w:rsidRDefault="00856287">
                        <w:pPr>
                          <w:pStyle w:val="TableParagraph"/>
                          <w:spacing w:before="22"/>
                          <w:ind w:right="33"/>
                          <w:rPr>
                            <w:sz w:val="15"/>
                          </w:rPr>
                        </w:pPr>
                        <w:r>
                          <w:rPr>
                            <w:color w:val="231F20"/>
                            <w:w w:val="74"/>
                            <w:sz w:val="15"/>
                          </w:rPr>
                          <w:t></w:t>
                        </w:r>
                      </w:p>
                    </w:tc>
                  </w:tr>
                  <w:tr w:rsidR="00B05397">
                    <w:trPr>
                      <w:trHeight w:hRule="exact" w:val="212"/>
                    </w:trPr>
                    <w:tc>
                      <w:tcPr>
                        <w:tcW w:w="1027" w:type="dxa"/>
                      </w:tcPr>
                      <w:p w:rsidR="00B05397" w:rsidRDefault="00856287">
                        <w:pPr>
                          <w:pStyle w:val="TableParagraph"/>
                          <w:spacing w:before="13"/>
                          <w:ind w:left="35" w:right="0"/>
                          <w:jc w:val="left"/>
                          <w:rPr>
                            <w:sz w:val="15"/>
                          </w:rPr>
                        </w:pPr>
                        <w:r>
                          <w:rPr>
                            <w:rFonts w:ascii="Tahoma" w:hAnsi="Tahoma"/>
                            <w:color w:val="231F20"/>
                            <w:w w:val="95"/>
                            <w:sz w:val="15"/>
                          </w:rPr>
                          <w:t>P</w:t>
                        </w:r>
                        <w:r>
                          <w:rPr>
                            <w:color w:val="231F20"/>
                            <w:w w:val="95"/>
                            <w:sz w:val="15"/>
                          </w:rPr>
                          <w:t></w:t>
                        </w:r>
                      </w:p>
                    </w:tc>
                    <w:tc>
                      <w:tcPr>
                        <w:tcW w:w="507" w:type="dxa"/>
                      </w:tcPr>
                      <w:p w:rsidR="00B05397" w:rsidRDefault="00856287">
                        <w:pPr>
                          <w:pStyle w:val="TableParagraph"/>
                          <w:spacing w:before="22"/>
                          <w:ind w:right="114"/>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665" w:type="dxa"/>
                      </w:tcPr>
                      <w:p w:rsidR="00B05397" w:rsidRDefault="00856287">
                        <w:pPr>
                          <w:pStyle w:val="TableParagraph"/>
                          <w:spacing w:before="22"/>
                          <w:ind w:right="114"/>
                          <w:rPr>
                            <w:sz w:val="15"/>
                          </w:rPr>
                        </w:pPr>
                        <w:r>
                          <w:rPr>
                            <w:color w:val="231F20"/>
                            <w:w w:val="74"/>
                            <w:sz w:val="15"/>
                          </w:rPr>
                          <w:t></w:t>
                        </w:r>
                      </w:p>
                    </w:tc>
                    <w:tc>
                      <w:tcPr>
                        <w:tcW w:w="664" w:type="dxa"/>
                      </w:tcPr>
                      <w:p w:rsidR="00B05397" w:rsidRDefault="00856287">
                        <w:pPr>
                          <w:pStyle w:val="TableParagraph"/>
                          <w:spacing w:before="22"/>
                          <w:ind w:right="114"/>
                          <w:rPr>
                            <w:sz w:val="15"/>
                          </w:rPr>
                        </w:pPr>
                        <w:r>
                          <w:rPr>
                            <w:color w:val="231F20"/>
                            <w:w w:val="74"/>
                            <w:sz w:val="15"/>
                          </w:rPr>
                          <w:t></w:t>
                        </w:r>
                      </w:p>
                    </w:tc>
                    <w:tc>
                      <w:tcPr>
                        <w:tcW w:w="616" w:type="dxa"/>
                      </w:tcPr>
                      <w:p w:rsidR="00B05397" w:rsidRDefault="00856287">
                        <w:pPr>
                          <w:pStyle w:val="TableParagraph"/>
                          <w:spacing w:before="22"/>
                          <w:ind w:right="114"/>
                          <w:rPr>
                            <w:sz w:val="15"/>
                          </w:rPr>
                        </w:pPr>
                        <w:r>
                          <w:rPr>
                            <w:color w:val="231F20"/>
                            <w:w w:val="74"/>
                            <w:sz w:val="15"/>
                          </w:rPr>
                          <w:t></w:t>
                        </w:r>
                      </w:p>
                    </w:tc>
                    <w:tc>
                      <w:tcPr>
                        <w:tcW w:w="617" w:type="dxa"/>
                      </w:tcPr>
                      <w:p w:rsidR="00B05397" w:rsidRDefault="00856287">
                        <w:pPr>
                          <w:pStyle w:val="TableParagraph"/>
                          <w:spacing w:before="22"/>
                          <w:ind w:right="115"/>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512" w:type="dxa"/>
                      </w:tcPr>
                      <w:p w:rsidR="00B05397" w:rsidRDefault="00856287">
                        <w:pPr>
                          <w:pStyle w:val="TableParagraph"/>
                          <w:spacing w:before="22"/>
                          <w:ind w:right="33"/>
                          <w:rPr>
                            <w:sz w:val="15"/>
                          </w:rPr>
                        </w:pPr>
                        <w:r>
                          <w:rPr>
                            <w:color w:val="231F20"/>
                            <w:w w:val="74"/>
                            <w:sz w:val="15"/>
                          </w:rPr>
                          <w:t></w:t>
                        </w:r>
                      </w:p>
                    </w:tc>
                  </w:tr>
                  <w:tr w:rsidR="00B05397">
                    <w:trPr>
                      <w:trHeight w:hRule="exact" w:val="212"/>
                    </w:trPr>
                    <w:tc>
                      <w:tcPr>
                        <w:tcW w:w="1027" w:type="dxa"/>
                      </w:tcPr>
                      <w:p w:rsidR="00B05397" w:rsidRDefault="00856287">
                        <w:pPr>
                          <w:pStyle w:val="TableParagraph"/>
                          <w:spacing w:before="13"/>
                          <w:ind w:left="35" w:right="0"/>
                          <w:jc w:val="left"/>
                          <w:rPr>
                            <w:sz w:val="15"/>
                          </w:rPr>
                        </w:pPr>
                        <w:r>
                          <w:rPr>
                            <w:rFonts w:ascii="Tahoma" w:hAnsi="Tahoma"/>
                            <w:color w:val="231F20"/>
                            <w:w w:val="95"/>
                            <w:sz w:val="15"/>
                          </w:rPr>
                          <w:t>P</w:t>
                        </w:r>
                        <w:r>
                          <w:rPr>
                            <w:color w:val="231F20"/>
                            <w:w w:val="95"/>
                            <w:sz w:val="15"/>
                          </w:rPr>
                          <w:t></w:t>
                        </w:r>
                      </w:p>
                    </w:tc>
                    <w:tc>
                      <w:tcPr>
                        <w:tcW w:w="507" w:type="dxa"/>
                      </w:tcPr>
                      <w:p w:rsidR="00B05397" w:rsidRDefault="00856287">
                        <w:pPr>
                          <w:pStyle w:val="TableParagraph"/>
                          <w:spacing w:before="22"/>
                          <w:ind w:right="114"/>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665" w:type="dxa"/>
                      </w:tcPr>
                      <w:p w:rsidR="00B05397" w:rsidRDefault="00856287">
                        <w:pPr>
                          <w:pStyle w:val="TableParagraph"/>
                          <w:spacing w:before="22"/>
                          <w:ind w:right="114"/>
                          <w:rPr>
                            <w:sz w:val="15"/>
                          </w:rPr>
                        </w:pPr>
                        <w:r>
                          <w:rPr>
                            <w:color w:val="231F20"/>
                            <w:w w:val="74"/>
                            <w:sz w:val="15"/>
                          </w:rPr>
                          <w:t></w:t>
                        </w:r>
                      </w:p>
                    </w:tc>
                    <w:tc>
                      <w:tcPr>
                        <w:tcW w:w="664" w:type="dxa"/>
                      </w:tcPr>
                      <w:p w:rsidR="00B05397" w:rsidRDefault="00856287">
                        <w:pPr>
                          <w:pStyle w:val="TableParagraph"/>
                          <w:spacing w:before="22"/>
                          <w:ind w:right="114"/>
                          <w:rPr>
                            <w:sz w:val="15"/>
                          </w:rPr>
                        </w:pPr>
                        <w:r>
                          <w:rPr>
                            <w:color w:val="231F20"/>
                            <w:w w:val="74"/>
                            <w:sz w:val="15"/>
                          </w:rPr>
                          <w:t></w:t>
                        </w:r>
                      </w:p>
                    </w:tc>
                    <w:tc>
                      <w:tcPr>
                        <w:tcW w:w="616" w:type="dxa"/>
                      </w:tcPr>
                      <w:p w:rsidR="00B05397" w:rsidRDefault="00856287">
                        <w:pPr>
                          <w:pStyle w:val="TableParagraph"/>
                          <w:spacing w:before="22"/>
                          <w:ind w:right="114"/>
                          <w:rPr>
                            <w:sz w:val="15"/>
                          </w:rPr>
                        </w:pPr>
                        <w:r>
                          <w:rPr>
                            <w:color w:val="231F20"/>
                            <w:w w:val="74"/>
                            <w:sz w:val="15"/>
                          </w:rPr>
                          <w:t></w:t>
                        </w:r>
                      </w:p>
                    </w:tc>
                    <w:tc>
                      <w:tcPr>
                        <w:tcW w:w="617" w:type="dxa"/>
                      </w:tcPr>
                      <w:p w:rsidR="00B05397" w:rsidRDefault="00856287">
                        <w:pPr>
                          <w:pStyle w:val="TableParagraph"/>
                          <w:spacing w:before="22"/>
                          <w:ind w:right="115"/>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512" w:type="dxa"/>
                      </w:tcPr>
                      <w:p w:rsidR="00B05397" w:rsidRDefault="00856287">
                        <w:pPr>
                          <w:pStyle w:val="TableParagraph"/>
                          <w:spacing w:before="22"/>
                          <w:ind w:right="33"/>
                          <w:rPr>
                            <w:sz w:val="15"/>
                          </w:rPr>
                        </w:pPr>
                        <w:r>
                          <w:rPr>
                            <w:color w:val="231F20"/>
                            <w:w w:val="74"/>
                            <w:sz w:val="15"/>
                          </w:rPr>
                          <w:t></w:t>
                        </w:r>
                      </w:p>
                    </w:tc>
                  </w:tr>
                  <w:tr w:rsidR="00B05397">
                    <w:trPr>
                      <w:trHeight w:hRule="exact" w:val="213"/>
                    </w:trPr>
                    <w:tc>
                      <w:tcPr>
                        <w:tcW w:w="1027" w:type="dxa"/>
                      </w:tcPr>
                      <w:p w:rsidR="00B05397" w:rsidRDefault="00856287">
                        <w:pPr>
                          <w:pStyle w:val="TableParagraph"/>
                          <w:spacing w:before="13"/>
                          <w:ind w:left="35" w:right="0"/>
                          <w:jc w:val="left"/>
                          <w:rPr>
                            <w:sz w:val="15"/>
                          </w:rPr>
                        </w:pPr>
                        <w:r>
                          <w:rPr>
                            <w:rFonts w:ascii="Tahoma" w:hAnsi="Tahoma"/>
                            <w:color w:val="231F20"/>
                            <w:w w:val="95"/>
                            <w:sz w:val="15"/>
                          </w:rPr>
                          <w:t>P</w:t>
                        </w:r>
                        <w:r>
                          <w:rPr>
                            <w:color w:val="231F20"/>
                            <w:w w:val="95"/>
                            <w:sz w:val="15"/>
                          </w:rPr>
                          <w:t></w:t>
                        </w:r>
                      </w:p>
                    </w:tc>
                    <w:tc>
                      <w:tcPr>
                        <w:tcW w:w="507" w:type="dxa"/>
                      </w:tcPr>
                      <w:p w:rsidR="00B05397" w:rsidRDefault="00856287">
                        <w:pPr>
                          <w:pStyle w:val="TableParagraph"/>
                          <w:spacing w:before="22"/>
                          <w:ind w:right="114"/>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665" w:type="dxa"/>
                      </w:tcPr>
                      <w:p w:rsidR="00B05397" w:rsidRDefault="00856287">
                        <w:pPr>
                          <w:pStyle w:val="TableParagraph"/>
                          <w:spacing w:before="22"/>
                          <w:ind w:right="114"/>
                          <w:rPr>
                            <w:sz w:val="15"/>
                          </w:rPr>
                        </w:pPr>
                        <w:r>
                          <w:rPr>
                            <w:color w:val="231F20"/>
                            <w:w w:val="74"/>
                            <w:sz w:val="15"/>
                          </w:rPr>
                          <w:t></w:t>
                        </w:r>
                      </w:p>
                    </w:tc>
                    <w:tc>
                      <w:tcPr>
                        <w:tcW w:w="664" w:type="dxa"/>
                      </w:tcPr>
                      <w:p w:rsidR="00B05397" w:rsidRDefault="00856287">
                        <w:pPr>
                          <w:pStyle w:val="TableParagraph"/>
                          <w:spacing w:before="22"/>
                          <w:ind w:right="114"/>
                          <w:rPr>
                            <w:sz w:val="15"/>
                          </w:rPr>
                        </w:pPr>
                        <w:r>
                          <w:rPr>
                            <w:color w:val="231F20"/>
                            <w:w w:val="74"/>
                            <w:sz w:val="15"/>
                          </w:rPr>
                          <w:t></w:t>
                        </w:r>
                      </w:p>
                    </w:tc>
                    <w:tc>
                      <w:tcPr>
                        <w:tcW w:w="616" w:type="dxa"/>
                      </w:tcPr>
                      <w:p w:rsidR="00B05397" w:rsidRDefault="00856287">
                        <w:pPr>
                          <w:pStyle w:val="TableParagraph"/>
                          <w:spacing w:before="22"/>
                          <w:ind w:right="114"/>
                          <w:rPr>
                            <w:sz w:val="15"/>
                          </w:rPr>
                        </w:pPr>
                        <w:r>
                          <w:rPr>
                            <w:color w:val="231F20"/>
                            <w:w w:val="74"/>
                            <w:sz w:val="15"/>
                          </w:rPr>
                          <w:t></w:t>
                        </w:r>
                      </w:p>
                    </w:tc>
                    <w:tc>
                      <w:tcPr>
                        <w:tcW w:w="617" w:type="dxa"/>
                      </w:tcPr>
                      <w:p w:rsidR="00B05397" w:rsidRDefault="00856287">
                        <w:pPr>
                          <w:pStyle w:val="TableParagraph"/>
                          <w:spacing w:before="22"/>
                          <w:ind w:right="115"/>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512" w:type="dxa"/>
                      </w:tcPr>
                      <w:p w:rsidR="00B05397" w:rsidRDefault="00856287">
                        <w:pPr>
                          <w:pStyle w:val="TableParagraph"/>
                          <w:spacing w:before="22"/>
                          <w:ind w:right="33"/>
                          <w:rPr>
                            <w:sz w:val="15"/>
                          </w:rPr>
                        </w:pPr>
                        <w:r>
                          <w:rPr>
                            <w:color w:val="231F20"/>
                            <w:w w:val="74"/>
                            <w:sz w:val="15"/>
                          </w:rPr>
                          <w:t></w:t>
                        </w:r>
                      </w:p>
                    </w:tc>
                  </w:tr>
                  <w:tr w:rsidR="00B05397">
                    <w:trPr>
                      <w:trHeight w:hRule="exact" w:val="213"/>
                    </w:trPr>
                    <w:tc>
                      <w:tcPr>
                        <w:tcW w:w="1027" w:type="dxa"/>
                      </w:tcPr>
                      <w:p w:rsidR="00B05397" w:rsidRDefault="00856287">
                        <w:pPr>
                          <w:pStyle w:val="TableParagraph"/>
                          <w:spacing w:before="13"/>
                          <w:ind w:left="35" w:right="0"/>
                          <w:jc w:val="left"/>
                          <w:rPr>
                            <w:sz w:val="15"/>
                          </w:rPr>
                        </w:pPr>
                        <w:r>
                          <w:rPr>
                            <w:rFonts w:ascii="Tahoma" w:hAnsi="Tahoma"/>
                            <w:color w:val="231F20"/>
                            <w:w w:val="95"/>
                            <w:sz w:val="15"/>
                          </w:rPr>
                          <w:t>P</w:t>
                        </w:r>
                        <w:r>
                          <w:rPr>
                            <w:color w:val="231F20"/>
                            <w:w w:val="95"/>
                            <w:sz w:val="15"/>
                          </w:rPr>
                          <w:t></w:t>
                        </w:r>
                      </w:p>
                    </w:tc>
                    <w:tc>
                      <w:tcPr>
                        <w:tcW w:w="507" w:type="dxa"/>
                      </w:tcPr>
                      <w:p w:rsidR="00B05397" w:rsidRDefault="00856287">
                        <w:pPr>
                          <w:pStyle w:val="TableParagraph"/>
                          <w:spacing w:before="22"/>
                          <w:ind w:right="114"/>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665" w:type="dxa"/>
                      </w:tcPr>
                      <w:p w:rsidR="00B05397" w:rsidRDefault="00856287">
                        <w:pPr>
                          <w:pStyle w:val="TableParagraph"/>
                          <w:spacing w:before="22"/>
                          <w:ind w:right="114"/>
                          <w:rPr>
                            <w:sz w:val="15"/>
                          </w:rPr>
                        </w:pPr>
                        <w:r>
                          <w:rPr>
                            <w:color w:val="231F20"/>
                            <w:w w:val="74"/>
                            <w:sz w:val="15"/>
                          </w:rPr>
                          <w:t></w:t>
                        </w:r>
                      </w:p>
                    </w:tc>
                    <w:tc>
                      <w:tcPr>
                        <w:tcW w:w="664" w:type="dxa"/>
                      </w:tcPr>
                      <w:p w:rsidR="00B05397" w:rsidRDefault="00856287">
                        <w:pPr>
                          <w:pStyle w:val="TableParagraph"/>
                          <w:spacing w:before="22"/>
                          <w:ind w:right="114"/>
                          <w:rPr>
                            <w:sz w:val="15"/>
                          </w:rPr>
                        </w:pPr>
                        <w:r>
                          <w:rPr>
                            <w:color w:val="231F20"/>
                            <w:w w:val="74"/>
                            <w:sz w:val="15"/>
                          </w:rPr>
                          <w:t></w:t>
                        </w:r>
                      </w:p>
                    </w:tc>
                    <w:tc>
                      <w:tcPr>
                        <w:tcW w:w="616" w:type="dxa"/>
                      </w:tcPr>
                      <w:p w:rsidR="00B05397" w:rsidRDefault="00856287">
                        <w:pPr>
                          <w:pStyle w:val="TableParagraph"/>
                          <w:spacing w:before="22"/>
                          <w:ind w:right="114"/>
                          <w:rPr>
                            <w:sz w:val="15"/>
                          </w:rPr>
                        </w:pPr>
                        <w:r>
                          <w:rPr>
                            <w:color w:val="231F20"/>
                            <w:w w:val="74"/>
                            <w:sz w:val="15"/>
                          </w:rPr>
                          <w:t></w:t>
                        </w:r>
                      </w:p>
                    </w:tc>
                    <w:tc>
                      <w:tcPr>
                        <w:tcW w:w="617" w:type="dxa"/>
                      </w:tcPr>
                      <w:p w:rsidR="00B05397" w:rsidRDefault="00856287">
                        <w:pPr>
                          <w:pStyle w:val="TableParagraph"/>
                          <w:spacing w:before="22"/>
                          <w:ind w:right="115"/>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512" w:type="dxa"/>
                      </w:tcPr>
                      <w:p w:rsidR="00B05397" w:rsidRDefault="00856287">
                        <w:pPr>
                          <w:pStyle w:val="TableParagraph"/>
                          <w:spacing w:before="22"/>
                          <w:ind w:right="33"/>
                          <w:rPr>
                            <w:sz w:val="15"/>
                          </w:rPr>
                        </w:pPr>
                        <w:r>
                          <w:rPr>
                            <w:color w:val="231F20"/>
                            <w:w w:val="74"/>
                            <w:sz w:val="15"/>
                          </w:rPr>
                          <w:t></w:t>
                        </w:r>
                      </w:p>
                    </w:tc>
                  </w:tr>
                  <w:tr w:rsidR="00B05397">
                    <w:trPr>
                      <w:trHeight w:hRule="exact" w:val="212"/>
                    </w:trPr>
                    <w:tc>
                      <w:tcPr>
                        <w:tcW w:w="1027" w:type="dxa"/>
                      </w:tcPr>
                      <w:p w:rsidR="00B05397" w:rsidRDefault="00856287">
                        <w:pPr>
                          <w:pStyle w:val="TableParagraph"/>
                          <w:spacing w:before="13"/>
                          <w:ind w:left="35" w:right="0"/>
                          <w:jc w:val="left"/>
                          <w:rPr>
                            <w:sz w:val="15"/>
                          </w:rPr>
                        </w:pPr>
                        <w:r>
                          <w:rPr>
                            <w:rFonts w:ascii="Tahoma" w:hAnsi="Tahoma"/>
                            <w:color w:val="231F20"/>
                            <w:w w:val="95"/>
                            <w:sz w:val="15"/>
                          </w:rPr>
                          <w:t>P</w:t>
                        </w:r>
                        <w:r>
                          <w:rPr>
                            <w:color w:val="231F20"/>
                            <w:w w:val="95"/>
                            <w:sz w:val="15"/>
                          </w:rPr>
                          <w:t></w:t>
                        </w:r>
                      </w:p>
                    </w:tc>
                    <w:tc>
                      <w:tcPr>
                        <w:tcW w:w="507" w:type="dxa"/>
                      </w:tcPr>
                      <w:p w:rsidR="00B05397" w:rsidRDefault="00856287">
                        <w:pPr>
                          <w:pStyle w:val="TableParagraph"/>
                          <w:spacing w:before="22"/>
                          <w:ind w:right="114"/>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665" w:type="dxa"/>
                      </w:tcPr>
                      <w:p w:rsidR="00B05397" w:rsidRDefault="00856287">
                        <w:pPr>
                          <w:pStyle w:val="TableParagraph"/>
                          <w:spacing w:before="22"/>
                          <w:ind w:right="114"/>
                          <w:rPr>
                            <w:sz w:val="15"/>
                          </w:rPr>
                        </w:pPr>
                        <w:r>
                          <w:rPr>
                            <w:color w:val="231F20"/>
                            <w:w w:val="74"/>
                            <w:sz w:val="15"/>
                          </w:rPr>
                          <w:t></w:t>
                        </w:r>
                      </w:p>
                    </w:tc>
                    <w:tc>
                      <w:tcPr>
                        <w:tcW w:w="664" w:type="dxa"/>
                      </w:tcPr>
                      <w:p w:rsidR="00B05397" w:rsidRDefault="00856287">
                        <w:pPr>
                          <w:pStyle w:val="TableParagraph"/>
                          <w:spacing w:before="22"/>
                          <w:ind w:right="114"/>
                          <w:rPr>
                            <w:sz w:val="15"/>
                          </w:rPr>
                        </w:pPr>
                        <w:r>
                          <w:rPr>
                            <w:color w:val="231F20"/>
                            <w:w w:val="74"/>
                            <w:sz w:val="15"/>
                          </w:rPr>
                          <w:t></w:t>
                        </w:r>
                      </w:p>
                    </w:tc>
                    <w:tc>
                      <w:tcPr>
                        <w:tcW w:w="616" w:type="dxa"/>
                      </w:tcPr>
                      <w:p w:rsidR="00B05397" w:rsidRDefault="00856287">
                        <w:pPr>
                          <w:pStyle w:val="TableParagraph"/>
                          <w:spacing w:before="22"/>
                          <w:ind w:right="114"/>
                          <w:rPr>
                            <w:sz w:val="15"/>
                          </w:rPr>
                        </w:pPr>
                        <w:r>
                          <w:rPr>
                            <w:color w:val="231F20"/>
                            <w:w w:val="74"/>
                            <w:sz w:val="15"/>
                          </w:rPr>
                          <w:t></w:t>
                        </w:r>
                      </w:p>
                    </w:tc>
                    <w:tc>
                      <w:tcPr>
                        <w:tcW w:w="617" w:type="dxa"/>
                      </w:tcPr>
                      <w:p w:rsidR="00B05397" w:rsidRDefault="00856287">
                        <w:pPr>
                          <w:pStyle w:val="TableParagraph"/>
                          <w:spacing w:before="22"/>
                          <w:ind w:right="115"/>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512" w:type="dxa"/>
                      </w:tcPr>
                      <w:p w:rsidR="00B05397" w:rsidRDefault="00856287">
                        <w:pPr>
                          <w:pStyle w:val="TableParagraph"/>
                          <w:spacing w:before="22"/>
                          <w:ind w:right="33"/>
                          <w:rPr>
                            <w:sz w:val="15"/>
                          </w:rPr>
                        </w:pPr>
                        <w:r>
                          <w:rPr>
                            <w:color w:val="231F20"/>
                            <w:w w:val="74"/>
                            <w:sz w:val="15"/>
                          </w:rPr>
                          <w:t></w:t>
                        </w:r>
                      </w:p>
                    </w:tc>
                  </w:tr>
                  <w:tr w:rsidR="00B05397">
                    <w:trPr>
                      <w:trHeight w:hRule="exact" w:val="213"/>
                    </w:trPr>
                    <w:tc>
                      <w:tcPr>
                        <w:tcW w:w="1027" w:type="dxa"/>
                      </w:tcPr>
                      <w:p w:rsidR="00B05397" w:rsidRDefault="00856287">
                        <w:pPr>
                          <w:pStyle w:val="TableParagraph"/>
                          <w:spacing w:before="13"/>
                          <w:ind w:left="35" w:right="0"/>
                          <w:jc w:val="left"/>
                          <w:rPr>
                            <w:sz w:val="15"/>
                          </w:rPr>
                        </w:pPr>
                        <w:r>
                          <w:rPr>
                            <w:rFonts w:ascii="Tahoma" w:hAnsi="Tahoma"/>
                            <w:color w:val="231F20"/>
                            <w:w w:val="95"/>
                            <w:sz w:val="15"/>
                          </w:rPr>
                          <w:t>P</w:t>
                        </w:r>
                        <w:r>
                          <w:rPr>
                            <w:color w:val="231F20"/>
                            <w:w w:val="95"/>
                            <w:sz w:val="15"/>
                          </w:rPr>
                          <w:t></w:t>
                        </w:r>
                      </w:p>
                    </w:tc>
                    <w:tc>
                      <w:tcPr>
                        <w:tcW w:w="507" w:type="dxa"/>
                      </w:tcPr>
                      <w:p w:rsidR="00B05397" w:rsidRDefault="00856287">
                        <w:pPr>
                          <w:pStyle w:val="TableParagraph"/>
                          <w:spacing w:before="22"/>
                          <w:ind w:right="114"/>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665" w:type="dxa"/>
                      </w:tcPr>
                      <w:p w:rsidR="00B05397" w:rsidRDefault="00856287">
                        <w:pPr>
                          <w:pStyle w:val="TableParagraph"/>
                          <w:spacing w:before="22"/>
                          <w:ind w:right="114"/>
                          <w:rPr>
                            <w:sz w:val="15"/>
                          </w:rPr>
                        </w:pPr>
                        <w:r>
                          <w:rPr>
                            <w:color w:val="231F20"/>
                            <w:w w:val="74"/>
                            <w:sz w:val="15"/>
                          </w:rPr>
                          <w:t></w:t>
                        </w:r>
                      </w:p>
                    </w:tc>
                    <w:tc>
                      <w:tcPr>
                        <w:tcW w:w="664" w:type="dxa"/>
                      </w:tcPr>
                      <w:p w:rsidR="00B05397" w:rsidRDefault="00856287">
                        <w:pPr>
                          <w:pStyle w:val="TableParagraph"/>
                          <w:spacing w:before="22"/>
                          <w:ind w:right="114"/>
                          <w:rPr>
                            <w:sz w:val="15"/>
                          </w:rPr>
                        </w:pPr>
                        <w:r>
                          <w:rPr>
                            <w:color w:val="231F20"/>
                            <w:w w:val="74"/>
                            <w:sz w:val="15"/>
                          </w:rPr>
                          <w:t></w:t>
                        </w:r>
                      </w:p>
                    </w:tc>
                    <w:tc>
                      <w:tcPr>
                        <w:tcW w:w="616" w:type="dxa"/>
                      </w:tcPr>
                      <w:p w:rsidR="00B05397" w:rsidRDefault="00856287">
                        <w:pPr>
                          <w:pStyle w:val="TableParagraph"/>
                          <w:spacing w:before="22"/>
                          <w:ind w:right="114"/>
                          <w:rPr>
                            <w:sz w:val="15"/>
                          </w:rPr>
                        </w:pPr>
                        <w:r>
                          <w:rPr>
                            <w:color w:val="231F20"/>
                            <w:w w:val="74"/>
                            <w:sz w:val="15"/>
                          </w:rPr>
                          <w:t></w:t>
                        </w:r>
                      </w:p>
                    </w:tc>
                    <w:tc>
                      <w:tcPr>
                        <w:tcW w:w="617" w:type="dxa"/>
                      </w:tcPr>
                      <w:p w:rsidR="00B05397" w:rsidRDefault="00856287">
                        <w:pPr>
                          <w:pStyle w:val="TableParagraph"/>
                          <w:spacing w:before="22"/>
                          <w:ind w:right="115"/>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512" w:type="dxa"/>
                      </w:tcPr>
                      <w:p w:rsidR="00B05397" w:rsidRDefault="00856287">
                        <w:pPr>
                          <w:pStyle w:val="TableParagraph"/>
                          <w:spacing w:before="22"/>
                          <w:ind w:right="33"/>
                          <w:rPr>
                            <w:sz w:val="15"/>
                          </w:rPr>
                        </w:pPr>
                        <w:r>
                          <w:rPr>
                            <w:color w:val="231F20"/>
                            <w:w w:val="74"/>
                            <w:sz w:val="15"/>
                          </w:rPr>
                          <w:t></w:t>
                        </w:r>
                      </w:p>
                    </w:tc>
                  </w:tr>
                  <w:tr w:rsidR="00B05397">
                    <w:trPr>
                      <w:trHeight w:hRule="exact" w:val="213"/>
                    </w:trPr>
                    <w:tc>
                      <w:tcPr>
                        <w:tcW w:w="1027" w:type="dxa"/>
                      </w:tcPr>
                      <w:p w:rsidR="00B05397" w:rsidRDefault="00856287">
                        <w:pPr>
                          <w:pStyle w:val="TableParagraph"/>
                          <w:spacing w:before="13"/>
                          <w:ind w:left="35" w:right="0"/>
                          <w:jc w:val="left"/>
                          <w:rPr>
                            <w:sz w:val="15"/>
                          </w:rPr>
                        </w:pPr>
                        <w:r>
                          <w:rPr>
                            <w:rFonts w:ascii="Tahoma" w:hAnsi="Tahoma"/>
                            <w:color w:val="231F20"/>
                            <w:w w:val="95"/>
                            <w:sz w:val="15"/>
                          </w:rPr>
                          <w:t>P</w:t>
                        </w:r>
                        <w:r>
                          <w:rPr>
                            <w:color w:val="231F20"/>
                            <w:w w:val="95"/>
                            <w:sz w:val="15"/>
                          </w:rPr>
                          <w:t></w:t>
                        </w:r>
                      </w:p>
                    </w:tc>
                    <w:tc>
                      <w:tcPr>
                        <w:tcW w:w="507" w:type="dxa"/>
                      </w:tcPr>
                      <w:p w:rsidR="00B05397" w:rsidRDefault="00856287">
                        <w:pPr>
                          <w:pStyle w:val="TableParagraph"/>
                          <w:spacing w:before="22"/>
                          <w:ind w:right="114"/>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665" w:type="dxa"/>
                      </w:tcPr>
                      <w:p w:rsidR="00B05397" w:rsidRDefault="00856287">
                        <w:pPr>
                          <w:pStyle w:val="TableParagraph"/>
                          <w:spacing w:before="22"/>
                          <w:ind w:right="114"/>
                          <w:rPr>
                            <w:sz w:val="15"/>
                          </w:rPr>
                        </w:pPr>
                        <w:r>
                          <w:rPr>
                            <w:color w:val="231F20"/>
                            <w:w w:val="74"/>
                            <w:sz w:val="15"/>
                          </w:rPr>
                          <w:t></w:t>
                        </w:r>
                      </w:p>
                    </w:tc>
                    <w:tc>
                      <w:tcPr>
                        <w:tcW w:w="664" w:type="dxa"/>
                      </w:tcPr>
                      <w:p w:rsidR="00B05397" w:rsidRDefault="00856287">
                        <w:pPr>
                          <w:pStyle w:val="TableParagraph"/>
                          <w:spacing w:before="22"/>
                          <w:ind w:right="114"/>
                          <w:rPr>
                            <w:sz w:val="15"/>
                          </w:rPr>
                        </w:pPr>
                        <w:r>
                          <w:rPr>
                            <w:color w:val="231F20"/>
                            <w:w w:val="74"/>
                            <w:sz w:val="15"/>
                          </w:rPr>
                          <w:t></w:t>
                        </w:r>
                      </w:p>
                    </w:tc>
                    <w:tc>
                      <w:tcPr>
                        <w:tcW w:w="616" w:type="dxa"/>
                      </w:tcPr>
                      <w:p w:rsidR="00B05397" w:rsidRDefault="00856287">
                        <w:pPr>
                          <w:pStyle w:val="TableParagraph"/>
                          <w:spacing w:before="22"/>
                          <w:ind w:right="114"/>
                          <w:rPr>
                            <w:sz w:val="15"/>
                          </w:rPr>
                        </w:pPr>
                        <w:r>
                          <w:rPr>
                            <w:color w:val="231F20"/>
                            <w:w w:val="74"/>
                            <w:sz w:val="15"/>
                          </w:rPr>
                          <w:t></w:t>
                        </w:r>
                      </w:p>
                    </w:tc>
                    <w:tc>
                      <w:tcPr>
                        <w:tcW w:w="617" w:type="dxa"/>
                      </w:tcPr>
                      <w:p w:rsidR="00B05397" w:rsidRDefault="00856287">
                        <w:pPr>
                          <w:pStyle w:val="TableParagraph"/>
                          <w:spacing w:before="22"/>
                          <w:ind w:right="115"/>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512" w:type="dxa"/>
                      </w:tcPr>
                      <w:p w:rsidR="00B05397" w:rsidRDefault="00856287">
                        <w:pPr>
                          <w:pStyle w:val="TableParagraph"/>
                          <w:spacing w:before="22"/>
                          <w:ind w:right="33"/>
                          <w:rPr>
                            <w:sz w:val="15"/>
                          </w:rPr>
                        </w:pPr>
                        <w:r>
                          <w:rPr>
                            <w:color w:val="231F20"/>
                            <w:w w:val="74"/>
                            <w:sz w:val="15"/>
                          </w:rPr>
                          <w:t></w:t>
                        </w:r>
                      </w:p>
                    </w:tc>
                  </w:tr>
                  <w:tr w:rsidR="00B05397">
                    <w:trPr>
                      <w:trHeight w:hRule="exact" w:val="212"/>
                    </w:trPr>
                    <w:tc>
                      <w:tcPr>
                        <w:tcW w:w="1027" w:type="dxa"/>
                      </w:tcPr>
                      <w:p w:rsidR="00B05397" w:rsidRDefault="00856287">
                        <w:pPr>
                          <w:pStyle w:val="TableParagraph"/>
                          <w:spacing w:before="13"/>
                          <w:ind w:left="35" w:right="0"/>
                          <w:jc w:val="left"/>
                          <w:rPr>
                            <w:sz w:val="15"/>
                          </w:rPr>
                        </w:pPr>
                        <w:r>
                          <w:rPr>
                            <w:rFonts w:ascii="Tahoma" w:hAnsi="Tahoma"/>
                            <w:color w:val="231F20"/>
                            <w:w w:val="95"/>
                            <w:sz w:val="15"/>
                          </w:rPr>
                          <w:t>P</w:t>
                        </w:r>
                        <w:r>
                          <w:rPr>
                            <w:color w:val="231F20"/>
                            <w:w w:val="95"/>
                            <w:sz w:val="15"/>
                          </w:rPr>
                          <w:t></w:t>
                        </w:r>
                      </w:p>
                    </w:tc>
                    <w:tc>
                      <w:tcPr>
                        <w:tcW w:w="507" w:type="dxa"/>
                      </w:tcPr>
                      <w:p w:rsidR="00B05397" w:rsidRDefault="00856287">
                        <w:pPr>
                          <w:pStyle w:val="TableParagraph"/>
                          <w:spacing w:before="22"/>
                          <w:ind w:right="114"/>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665" w:type="dxa"/>
                      </w:tcPr>
                      <w:p w:rsidR="00B05397" w:rsidRDefault="00856287">
                        <w:pPr>
                          <w:pStyle w:val="TableParagraph"/>
                          <w:spacing w:before="22"/>
                          <w:ind w:right="114"/>
                          <w:rPr>
                            <w:sz w:val="15"/>
                          </w:rPr>
                        </w:pPr>
                        <w:r>
                          <w:rPr>
                            <w:color w:val="231F20"/>
                            <w:w w:val="74"/>
                            <w:sz w:val="15"/>
                          </w:rPr>
                          <w:t></w:t>
                        </w:r>
                      </w:p>
                    </w:tc>
                    <w:tc>
                      <w:tcPr>
                        <w:tcW w:w="664" w:type="dxa"/>
                      </w:tcPr>
                      <w:p w:rsidR="00B05397" w:rsidRDefault="00856287">
                        <w:pPr>
                          <w:pStyle w:val="TableParagraph"/>
                          <w:spacing w:before="22"/>
                          <w:ind w:right="114"/>
                          <w:rPr>
                            <w:sz w:val="15"/>
                          </w:rPr>
                        </w:pPr>
                        <w:r>
                          <w:rPr>
                            <w:color w:val="231F20"/>
                            <w:w w:val="74"/>
                            <w:sz w:val="15"/>
                          </w:rPr>
                          <w:t></w:t>
                        </w:r>
                      </w:p>
                    </w:tc>
                    <w:tc>
                      <w:tcPr>
                        <w:tcW w:w="616" w:type="dxa"/>
                      </w:tcPr>
                      <w:p w:rsidR="00B05397" w:rsidRDefault="00856287">
                        <w:pPr>
                          <w:pStyle w:val="TableParagraph"/>
                          <w:spacing w:before="22"/>
                          <w:ind w:right="114"/>
                          <w:rPr>
                            <w:sz w:val="15"/>
                          </w:rPr>
                        </w:pPr>
                        <w:r>
                          <w:rPr>
                            <w:color w:val="231F20"/>
                            <w:w w:val="74"/>
                            <w:sz w:val="15"/>
                          </w:rPr>
                          <w:t></w:t>
                        </w:r>
                      </w:p>
                    </w:tc>
                    <w:tc>
                      <w:tcPr>
                        <w:tcW w:w="617" w:type="dxa"/>
                      </w:tcPr>
                      <w:p w:rsidR="00B05397" w:rsidRDefault="00856287">
                        <w:pPr>
                          <w:pStyle w:val="TableParagraph"/>
                          <w:spacing w:before="22"/>
                          <w:ind w:right="115"/>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512" w:type="dxa"/>
                      </w:tcPr>
                      <w:p w:rsidR="00B05397" w:rsidRDefault="00856287">
                        <w:pPr>
                          <w:pStyle w:val="TableParagraph"/>
                          <w:spacing w:before="22"/>
                          <w:ind w:right="33"/>
                          <w:rPr>
                            <w:sz w:val="15"/>
                          </w:rPr>
                        </w:pPr>
                        <w:r>
                          <w:rPr>
                            <w:color w:val="231F20"/>
                            <w:w w:val="74"/>
                            <w:sz w:val="15"/>
                          </w:rPr>
                          <w:t></w:t>
                        </w:r>
                      </w:p>
                    </w:tc>
                  </w:tr>
                  <w:tr w:rsidR="00B05397">
                    <w:trPr>
                      <w:trHeight w:hRule="exact" w:val="212"/>
                    </w:trPr>
                    <w:tc>
                      <w:tcPr>
                        <w:tcW w:w="1027" w:type="dxa"/>
                      </w:tcPr>
                      <w:p w:rsidR="00B05397" w:rsidRDefault="00856287">
                        <w:pPr>
                          <w:pStyle w:val="TableParagraph"/>
                          <w:spacing w:before="13"/>
                          <w:ind w:left="35" w:right="0"/>
                          <w:jc w:val="left"/>
                          <w:rPr>
                            <w:sz w:val="15"/>
                          </w:rPr>
                        </w:pPr>
                        <w:r>
                          <w:rPr>
                            <w:rFonts w:ascii="Tahoma" w:hAnsi="Tahoma"/>
                            <w:color w:val="231F20"/>
                            <w:w w:val="95"/>
                            <w:sz w:val="15"/>
                          </w:rPr>
                          <w:t>P</w:t>
                        </w:r>
                        <w:r>
                          <w:rPr>
                            <w:color w:val="231F20"/>
                            <w:w w:val="95"/>
                            <w:sz w:val="15"/>
                          </w:rPr>
                          <w:t></w:t>
                        </w:r>
                      </w:p>
                    </w:tc>
                    <w:tc>
                      <w:tcPr>
                        <w:tcW w:w="507" w:type="dxa"/>
                      </w:tcPr>
                      <w:p w:rsidR="00B05397" w:rsidRDefault="00856287">
                        <w:pPr>
                          <w:pStyle w:val="TableParagraph"/>
                          <w:spacing w:before="22"/>
                          <w:ind w:right="114"/>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665" w:type="dxa"/>
                      </w:tcPr>
                      <w:p w:rsidR="00B05397" w:rsidRDefault="00856287">
                        <w:pPr>
                          <w:pStyle w:val="TableParagraph"/>
                          <w:spacing w:before="22"/>
                          <w:ind w:right="114"/>
                          <w:rPr>
                            <w:sz w:val="15"/>
                          </w:rPr>
                        </w:pPr>
                        <w:r>
                          <w:rPr>
                            <w:color w:val="231F20"/>
                            <w:w w:val="74"/>
                            <w:sz w:val="15"/>
                          </w:rPr>
                          <w:t></w:t>
                        </w:r>
                      </w:p>
                    </w:tc>
                    <w:tc>
                      <w:tcPr>
                        <w:tcW w:w="664" w:type="dxa"/>
                      </w:tcPr>
                      <w:p w:rsidR="00B05397" w:rsidRDefault="00856287">
                        <w:pPr>
                          <w:pStyle w:val="TableParagraph"/>
                          <w:spacing w:before="22"/>
                          <w:ind w:right="114"/>
                          <w:rPr>
                            <w:sz w:val="15"/>
                          </w:rPr>
                        </w:pPr>
                        <w:r>
                          <w:rPr>
                            <w:color w:val="231F20"/>
                            <w:w w:val="74"/>
                            <w:sz w:val="15"/>
                          </w:rPr>
                          <w:t></w:t>
                        </w:r>
                      </w:p>
                    </w:tc>
                    <w:tc>
                      <w:tcPr>
                        <w:tcW w:w="616" w:type="dxa"/>
                      </w:tcPr>
                      <w:p w:rsidR="00B05397" w:rsidRDefault="00856287">
                        <w:pPr>
                          <w:pStyle w:val="TableParagraph"/>
                          <w:spacing w:before="22"/>
                          <w:ind w:right="114"/>
                          <w:rPr>
                            <w:sz w:val="15"/>
                          </w:rPr>
                        </w:pPr>
                        <w:r>
                          <w:rPr>
                            <w:color w:val="231F20"/>
                            <w:w w:val="74"/>
                            <w:sz w:val="15"/>
                          </w:rPr>
                          <w:t></w:t>
                        </w:r>
                      </w:p>
                    </w:tc>
                    <w:tc>
                      <w:tcPr>
                        <w:tcW w:w="617" w:type="dxa"/>
                      </w:tcPr>
                      <w:p w:rsidR="00B05397" w:rsidRDefault="00856287">
                        <w:pPr>
                          <w:pStyle w:val="TableParagraph"/>
                          <w:spacing w:before="22"/>
                          <w:ind w:right="115"/>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512" w:type="dxa"/>
                      </w:tcPr>
                      <w:p w:rsidR="00B05397" w:rsidRDefault="00856287">
                        <w:pPr>
                          <w:pStyle w:val="TableParagraph"/>
                          <w:spacing w:before="22"/>
                          <w:ind w:right="33"/>
                          <w:rPr>
                            <w:sz w:val="15"/>
                          </w:rPr>
                        </w:pPr>
                        <w:r>
                          <w:rPr>
                            <w:color w:val="231F20"/>
                            <w:w w:val="74"/>
                            <w:sz w:val="15"/>
                          </w:rPr>
                          <w:t></w:t>
                        </w:r>
                      </w:p>
                    </w:tc>
                  </w:tr>
                  <w:tr w:rsidR="00B05397">
                    <w:trPr>
                      <w:trHeight w:hRule="exact" w:val="213"/>
                    </w:trPr>
                    <w:tc>
                      <w:tcPr>
                        <w:tcW w:w="1027" w:type="dxa"/>
                      </w:tcPr>
                      <w:p w:rsidR="00B05397" w:rsidRDefault="00856287">
                        <w:pPr>
                          <w:pStyle w:val="TableParagraph"/>
                          <w:spacing w:before="13"/>
                          <w:ind w:left="35" w:right="0"/>
                          <w:jc w:val="left"/>
                          <w:rPr>
                            <w:sz w:val="15"/>
                          </w:rPr>
                        </w:pPr>
                        <w:r>
                          <w:rPr>
                            <w:rFonts w:ascii="Tahoma" w:hAnsi="Tahoma"/>
                            <w:color w:val="231F20"/>
                            <w:w w:val="95"/>
                            <w:sz w:val="15"/>
                          </w:rPr>
                          <w:t>P</w:t>
                        </w:r>
                        <w:r>
                          <w:rPr>
                            <w:color w:val="231F20"/>
                            <w:w w:val="95"/>
                            <w:sz w:val="15"/>
                          </w:rPr>
                          <w:t></w:t>
                        </w:r>
                      </w:p>
                    </w:tc>
                    <w:tc>
                      <w:tcPr>
                        <w:tcW w:w="507" w:type="dxa"/>
                      </w:tcPr>
                      <w:p w:rsidR="00B05397" w:rsidRDefault="00856287">
                        <w:pPr>
                          <w:pStyle w:val="TableParagraph"/>
                          <w:spacing w:before="22"/>
                          <w:ind w:right="114"/>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665" w:type="dxa"/>
                      </w:tcPr>
                      <w:p w:rsidR="00B05397" w:rsidRDefault="00856287">
                        <w:pPr>
                          <w:pStyle w:val="TableParagraph"/>
                          <w:spacing w:before="22"/>
                          <w:ind w:right="114"/>
                          <w:rPr>
                            <w:sz w:val="15"/>
                          </w:rPr>
                        </w:pPr>
                        <w:r>
                          <w:rPr>
                            <w:color w:val="231F20"/>
                            <w:w w:val="74"/>
                            <w:sz w:val="15"/>
                          </w:rPr>
                          <w:t></w:t>
                        </w:r>
                      </w:p>
                    </w:tc>
                    <w:tc>
                      <w:tcPr>
                        <w:tcW w:w="664" w:type="dxa"/>
                      </w:tcPr>
                      <w:p w:rsidR="00B05397" w:rsidRDefault="00856287">
                        <w:pPr>
                          <w:pStyle w:val="TableParagraph"/>
                          <w:spacing w:before="22"/>
                          <w:ind w:right="114"/>
                          <w:rPr>
                            <w:sz w:val="15"/>
                          </w:rPr>
                        </w:pPr>
                        <w:r>
                          <w:rPr>
                            <w:color w:val="231F20"/>
                            <w:w w:val="74"/>
                            <w:sz w:val="15"/>
                          </w:rPr>
                          <w:t></w:t>
                        </w:r>
                      </w:p>
                    </w:tc>
                    <w:tc>
                      <w:tcPr>
                        <w:tcW w:w="616" w:type="dxa"/>
                      </w:tcPr>
                      <w:p w:rsidR="00B05397" w:rsidRDefault="00856287">
                        <w:pPr>
                          <w:pStyle w:val="TableParagraph"/>
                          <w:spacing w:before="22"/>
                          <w:ind w:right="114"/>
                          <w:rPr>
                            <w:sz w:val="15"/>
                          </w:rPr>
                        </w:pPr>
                        <w:r>
                          <w:rPr>
                            <w:color w:val="231F20"/>
                            <w:w w:val="74"/>
                            <w:sz w:val="15"/>
                          </w:rPr>
                          <w:t></w:t>
                        </w:r>
                      </w:p>
                    </w:tc>
                    <w:tc>
                      <w:tcPr>
                        <w:tcW w:w="617" w:type="dxa"/>
                      </w:tcPr>
                      <w:p w:rsidR="00B05397" w:rsidRDefault="00856287">
                        <w:pPr>
                          <w:pStyle w:val="TableParagraph"/>
                          <w:spacing w:before="22"/>
                          <w:ind w:right="115"/>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512" w:type="dxa"/>
                      </w:tcPr>
                      <w:p w:rsidR="00B05397" w:rsidRDefault="00856287">
                        <w:pPr>
                          <w:pStyle w:val="TableParagraph"/>
                          <w:spacing w:before="22"/>
                          <w:ind w:right="33"/>
                          <w:rPr>
                            <w:sz w:val="15"/>
                          </w:rPr>
                        </w:pPr>
                        <w:r>
                          <w:rPr>
                            <w:color w:val="231F20"/>
                            <w:w w:val="74"/>
                            <w:sz w:val="15"/>
                          </w:rPr>
                          <w:t></w:t>
                        </w:r>
                      </w:p>
                    </w:tc>
                  </w:tr>
                  <w:tr w:rsidR="00B05397">
                    <w:trPr>
                      <w:trHeight w:hRule="exact" w:val="243"/>
                    </w:trPr>
                    <w:tc>
                      <w:tcPr>
                        <w:tcW w:w="1027" w:type="dxa"/>
                      </w:tcPr>
                      <w:p w:rsidR="00B05397" w:rsidRDefault="00856287">
                        <w:pPr>
                          <w:pStyle w:val="TableParagraph"/>
                          <w:spacing w:before="13"/>
                          <w:ind w:left="35" w:right="0"/>
                          <w:jc w:val="left"/>
                          <w:rPr>
                            <w:sz w:val="15"/>
                          </w:rPr>
                        </w:pPr>
                        <w:r>
                          <w:rPr>
                            <w:rFonts w:ascii="Tahoma" w:hAnsi="Tahoma"/>
                            <w:color w:val="231F20"/>
                            <w:w w:val="95"/>
                            <w:sz w:val="15"/>
                          </w:rPr>
                          <w:t>P</w:t>
                        </w:r>
                        <w:r>
                          <w:rPr>
                            <w:color w:val="231F20"/>
                            <w:w w:val="95"/>
                            <w:sz w:val="15"/>
                          </w:rPr>
                          <w:t></w:t>
                        </w:r>
                      </w:p>
                    </w:tc>
                    <w:tc>
                      <w:tcPr>
                        <w:tcW w:w="507" w:type="dxa"/>
                      </w:tcPr>
                      <w:p w:rsidR="00B05397" w:rsidRDefault="00856287">
                        <w:pPr>
                          <w:pStyle w:val="TableParagraph"/>
                          <w:spacing w:before="22"/>
                          <w:ind w:right="114"/>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665" w:type="dxa"/>
                      </w:tcPr>
                      <w:p w:rsidR="00B05397" w:rsidRDefault="00856287">
                        <w:pPr>
                          <w:pStyle w:val="TableParagraph"/>
                          <w:spacing w:before="22"/>
                          <w:ind w:right="114"/>
                          <w:rPr>
                            <w:sz w:val="15"/>
                          </w:rPr>
                        </w:pPr>
                        <w:r>
                          <w:rPr>
                            <w:color w:val="231F20"/>
                            <w:w w:val="74"/>
                            <w:sz w:val="15"/>
                          </w:rPr>
                          <w:t></w:t>
                        </w:r>
                      </w:p>
                    </w:tc>
                    <w:tc>
                      <w:tcPr>
                        <w:tcW w:w="664" w:type="dxa"/>
                      </w:tcPr>
                      <w:p w:rsidR="00B05397" w:rsidRDefault="00856287">
                        <w:pPr>
                          <w:pStyle w:val="TableParagraph"/>
                          <w:spacing w:before="22"/>
                          <w:ind w:right="114"/>
                          <w:rPr>
                            <w:sz w:val="15"/>
                          </w:rPr>
                        </w:pPr>
                        <w:r>
                          <w:rPr>
                            <w:color w:val="231F20"/>
                            <w:w w:val="74"/>
                            <w:sz w:val="15"/>
                          </w:rPr>
                          <w:t></w:t>
                        </w:r>
                      </w:p>
                    </w:tc>
                    <w:tc>
                      <w:tcPr>
                        <w:tcW w:w="616" w:type="dxa"/>
                      </w:tcPr>
                      <w:p w:rsidR="00B05397" w:rsidRDefault="00856287">
                        <w:pPr>
                          <w:pStyle w:val="TableParagraph"/>
                          <w:spacing w:before="22"/>
                          <w:ind w:right="114"/>
                          <w:rPr>
                            <w:sz w:val="15"/>
                          </w:rPr>
                        </w:pPr>
                        <w:r>
                          <w:rPr>
                            <w:color w:val="231F20"/>
                            <w:w w:val="74"/>
                            <w:sz w:val="15"/>
                          </w:rPr>
                          <w:t></w:t>
                        </w:r>
                      </w:p>
                    </w:tc>
                    <w:tc>
                      <w:tcPr>
                        <w:tcW w:w="617" w:type="dxa"/>
                      </w:tcPr>
                      <w:p w:rsidR="00B05397" w:rsidRDefault="00856287">
                        <w:pPr>
                          <w:pStyle w:val="TableParagraph"/>
                          <w:spacing w:before="22"/>
                          <w:ind w:right="115"/>
                          <w:rPr>
                            <w:sz w:val="15"/>
                          </w:rPr>
                        </w:pPr>
                        <w:r>
                          <w:rPr>
                            <w:color w:val="231F20"/>
                            <w:w w:val="74"/>
                            <w:sz w:val="15"/>
                          </w:rPr>
                          <w:t></w:t>
                        </w:r>
                      </w:p>
                    </w:tc>
                    <w:tc>
                      <w:tcPr>
                        <w:tcW w:w="594" w:type="dxa"/>
                      </w:tcPr>
                      <w:p w:rsidR="00B05397" w:rsidRDefault="00856287">
                        <w:pPr>
                          <w:pStyle w:val="TableParagraph"/>
                          <w:spacing w:before="22"/>
                          <w:ind w:right="114"/>
                          <w:rPr>
                            <w:sz w:val="15"/>
                          </w:rPr>
                        </w:pPr>
                        <w:r>
                          <w:rPr>
                            <w:color w:val="231F20"/>
                            <w:w w:val="74"/>
                            <w:sz w:val="15"/>
                          </w:rPr>
                          <w:t></w:t>
                        </w:r>
                      </w:p>
                    </w:tc>
                    <w:tc>
                      <w:tcPr>
                        <w:tcW w:w="512" w:type="dxa"/>
                      </w:tcPr>
                      <w:p w:rsidR="00B05397" w:rsidRDefault="00856287">
                        <w:pPr>
                          <w:pStyle w:val="TableParagraph"/>
                          <w:spacing w:before="22"/>
                          <w:ind w:right="33"/>
                          <w:rPr>
                            <w:sz w:val="15"/>
                          </w:rPr>
                        </w:pPr>
                        <w:r>
                          <w:rPr>
                            <w:color w:val="231F20"/>
                            <w:w w:val="74"/>
                            <w:sz w:val="15"/>
                          </w:rPr>
                          <w:t></w:t>
                        </w:r>
                      </w:p>
                    </w:tc>
                  </w:tr>
                  <w:tr w:rsidR="00B05397">
                    <w:trPr>
                      <w:trHeight w:hRule="exact" w:val="322"/>
                    </w:trPr>
                    <w:tc>
                      <w:tcPr>
                        <w:tcW w:w="1027" w:type="dxa"/>
                        <w:tcBorders>
                          <w:bottom w:val="single" w:sz="8" w:space="0" w:color="231F20"/>
                        </w:tcBorders>
                      </w:tcPr>
                      <w:p w:rsidR="00B05397" w:rsidRDefault="00856287">
                        <w:pPr>
                          <w:pStyle w:val="TableParagraph"/>
                          <w:spacing w:before="43"/>
                          <w:ind w:left="35" w:right="0"/>
                          <w:jc w:val="left"/>
                          <w:rPr>
                            <w:rFonts w:ascii="Tahoma"/>
                            <w:sz w:val="15"/>
                          </w:rPr>
                        </w:pPr>
                        <w:r>
                          <w:rPr>
                            <w:rFonts w:ascii="Tahoma"/>
                            <w:color w:val="231F20"/>
                            <w:sz w:val="15"/>
                          </w:rPr>
                          <w:t>Total</w:t>
                        </w:r>
                      </w:p>
                    </w:tc>
                    <w:tc>
                      <w:tcPr>
                        <w:tcW w:w="507" w:type="dxa"/>
                        <w:tcBorders>
                          <w:bottom w:val="single" w:sz="8" w:space="0" w:color="231F20"/>
                        </w:tcBorders>
                      </w:tcPr>
                      <w:p w:rsidR="00B05397" w:rsidRDefault="00856287">
                        <w:pPr>
                          <w:pStyle w:val="TableParagraph"/>
                          <w:spacing w:before="52"/>
                          <w:ind w:right="114"/>
                          <w:rPr>
                            <w:sz w:val="15"/>
                          </w:rPr>
                        </w:pPr>
                        <w:r>
                          <w:rPr>
                            <w:color w:val="231F20"/>
                            <w:w w:val="70"/>
                            <w:sz w:val="15"/>
                          </w:rPr>
                          <w:t></w:t>
                        </w:r>
                      </w:p>
                    </w:tc>
                    <w:tc>
                      <w:tcPr>
                        <w:tcW w:w="594" w:type="dxa"/>
                        <w:tcBorders>
                          <w:bottom w:val="single" w:sz="8" w:space="0" w:color="231F20"/>
                        </w:tcBorders>
                      </w:tcPr>
                      <w:p w:rsidR="00B05397" w:rsidRDefault="00856287">
                        <w:pPr>
                          <w:pStyle w:val="TableParagraph"/>
                          <w:spacing w:before="52"/>
                          <w:ind w:right="114"/>
                          <w:rPr>
                            <w:sz w:val="15"/>
                          </w:rPr>
                        </w:pPr>
                        <w:r>
                          <w:rPr>
                            <w:color w:val="231F20"/>
                            <w:w w:val="70"/>
                            <w:sz w:val="15"/>
                          </w:rPr>
                          <w:t></w:t>
                        </w:r>
                      </w:p>
                    </w:tc>
                    <w:tc>
                      <w:tcPr>
                        <w:tcW w:w="665" w:type="dxa"/>
                        <w:tcBorders>
                          <w:bottom w:val="single" w:sz="8" w:space="0" w:color="231F20"/>
                        </w:tcBorders>
                      </w:tcPr>
                      <w:p w:rsidR="00B05397" w:rsidRDefault="00856287">
                        <w:pPr>
                          <w:pStyle w:val="TableParagraph"/>
                          <w:spacing w:before="52"/>
                          <w:ind w:right="114"/>
                          <w:rPr>
                            <w:sz w:val="15"/>
                          </w:rPr>
                        </w:pPr>
                        <w:r>
                          <w:rPr>
                            <w:color w:val="231F20"/>
                            <w:w w:val="70"/>
                            <w:sz w:val="15"/>
                          </w:rPr>
                          <w:t></w:t>
                        </w:r>
                      </w:p>
                    </w:tc>
                    <w:tc>
                      <w:tcPr>
                        <w:tcW w:w="664" w:type="dxa"/>
                        <w:tcBorders>
                          <w:bottom w:val="single" w:sz="8" w:space="0" w:color="231F20"/>
                        </w:tcBorders>
                      </w:tcPr>
                      <w:p w:rsidR="00B05397" w:rsidRDefault="00856287">
                        <w:pPr>
                          <w:pStyle w:val="TableParagraph"/>
                          <w:spacing w:before="52"/>
                          <w:ind w:right="114"/>
                          <w:rPr>
                            <w:sz w:val="15"/>
                          </w:rPr>
                        </w:pPr>
                        <w:r>
                          <w:rPr>
                            <w:color w:val="231F20"/>
                            <w:w w:val="70"/>
                            <w:sz w:val="15"/>
                          </w:rPr>
                          <w:t></w:t>
                        </w:r>
                      </w:p>
                    </w:tc>
                    <w:tc>
                      <w:tcPr>
                        <w:tcW w:w="616" w:type="dxa"/>
                        <w:tcBorders>
                          <w:bottom w:val="single" w:sz="8" w:space="0" w:color="231F20"/>
                        </w:tcBorders>
                      </w:tcPr>
                      <w:p w:rsidR="00B05397" w:rsidRDefault="00856287">
                        <w:pPr>
                          <w:pStyle w:val="TableParagraph"/>
                          <w:spacing w:before="52"/>
                          <w:ind w:right="115"/>
                          <w:rPr>
                            <w:sz w:val="15"/>
                          </w:rPr>
                        </w:pPr>
                        <w:r>
                          <w:rPr>
                            <w:color w:val="231F20"/>
                            <w:w w:val="70"/>
                            <w:sz w:val="15"/>
                          </w:rPr>
                          <w:t></w:t>
                        </w:r>
                      </w:p>
                    </w:tc>
                    <w:tc>
                      <w:tcPr>
                        <w:tcW w:w="617" w:type="dxa"/>
                        <w:tcBorders>
                          <w:bottom w:val="single" w:sz="8" w:space="0" w:color="231F20"/>
                        </w:tcBorders>
                      </w:tcPr>
                      <w:p w:rsidR="00B05397" w:rsidRDefault="00856287">
                        <w:pPr>
                          <w:pStyle w:val="TableParagraph"/>
                          <w:spacing w:before="52"/>
                          <w:ind w:right="114"/>
                          <w:rPr>
                            <w:sz w:val="15"/>
                          </w:rPr>
                        </w:pPr>
                        <w:r>
                          <w:rPr>
                            <w:color w:val="231F20"/>
                            <w:w w:val="70"/>
                            <w:sz w:val="15"/>
                          </w:rPr>
                          <w:t></w:t>
                        </w:r>
                      </w:p>
                    </w:tc>
                    <w:tc>
                      <w:tcPr>
                        <w:tcW w:w="594" w:type="dxa"/>
                        <w:tcBorders>
                          <w:bottom w:val="single" w:sz="8" w:space="0" w:color="231F20"/>
                        </w:tcBorders>
                      </w:tcPr>
                      <w:p w:rsidR="00B05397" w:rsidRDefault="00856287">
                        <w:pPr>
                          <w:pStyle w:val="TableParagraph"/>
                          <w:spacing w:before="52"/>
                          <w:ind w:right="114"/>
                          <w:rPr>
                            <w:sz w:val="15"/>
                          </w:rPr>
                        </w:pPr>
                        <w:r>
                          <w:rPr>
                            <w:color w:val="231F20"/>
                            <w:w w:val="70"/>
                            <w:sz w:val="15"/>
                          </w:rPr>
                          <w:t></w:t>
                        </w:r>
                      </w:p>
                    </w:tc>
                    <w:tc>
                      <w:tcPr>
                        <w:tcW w:w="512" w:type="dxa"/>
                        <w:tcBorders>
                          <w:bottom w:val="single" w:sz="8" w:space="0" w:color="231F20"/>
                        </w:tcBorders>
                      </w:tcPr>
                      <w:p w:rsidR="00B05397" w:rsidRDefault="00856287">
                        <w:pPr>
                          <w:pStyle w:val="TableParagraph"/>
                          <w:spacing w:before="52"/>
                          <w:ind w:right="33"/>
                          <w:rPr>
                            <w:sz w:val="15"/>
                          </w:rPr>
                        </w:pPr>
                        <w:r>
                          <w:rPr>
                            <w:color w:val="231F20"/>
                            <w:w w:val="70"/>
                            <w:sz w:val="15"/>
                          </w:rPr>
                          <w:t></w:t>
                        </w:r>
                      </w:p>
                    </w:tc>
                  </w:tr>
                </w:tbl>
                <w:p w:rsidR="00B05397" w:rsidRDefault="00B05397">
                  <w:pPr>
                    <w:pStyle w:val="BodyText"/>
                  </w:pPr>
                </w:p>
              </w:txbxContent>
            </v:textbox>
            <w10:wrap anchorx="page"/>
          </v:shape>
        </w:pict>
      </w:r>
      <w:r>
        <w:rPr>
          <w:rFonts w:ascii="Cambria"/>
          <w:i/>
          <w:color w:val="231F20"/>
          <w:sz w:val="19"/>
        </w:rPr>
        <w:t>Possibility  of  Occurrence Scale</w:t>
      </w:r>
    </w:p>
    <w:p w:rsidR="00B05397" w:rsidRDefault="00B05397">
      <w:pPr>
        <w:pStyle w:val="BodyText"/>
        <w:rPr>
          <w:rFonts w:ascii="Cambria"/>
          <w:i/>
          <w:sz w:val="18"/>
        </w:rPr>
      </w:pPr>
    </w:p>
    <w:p w:rsidR="00B05397" w:rsidRDefault="00B05397">
      <w:pPr>
        <w:pStyle w:val="BodyText"/>
        <w:rPr>
          <w:rFonts w:ascii="Cambria"/>
          <w:i/>
          <w:sz w:val="18"/>
        </w:rPr>
      </w:pPr>
    </w:p>
    <w:p w:rsidR="00B05397" w:rsidRDefault="00B05397">
      <w:pPr>
        <w:pStyle w:val="BodyText"/>
        <w:spacing w:before="9"/>
        <w:rPr>
          <w:rFonts w:ascii="Cambria"/>
          <w:i/>
        </w:rPr>
      </w:pPr>
    </w:p>
    <w:p w:rsidR="00B05397" w:rsidRDefault="00856287">
      <w:pPr>
        <w:ind w:right="145"/>
        <w:jc w:val="right"/>
        <w:rPr>
          <w:sz w:val="16"/>
        </w:rPr>
      </w:pPr>
      <w:r>
        <w:rPr>
          <w:color w:val="231F20"/>
          <w:w w:val="85"/>
          <w:sz w:val="16"/>
        </w:rPr>
        <w:t>15</w:t>
      </w:r>
    </w:p>
    <w:p w:rsidR="00B05397" w:rsidRDefault="00B05397">
      <w:pPr>
        <w:pStyle w:val="BodyText"/>
        <w:rPr>
          <w:sz w:val="16"/>
        </w:rPr>
      </w:pPr>
    </w:p>
    <w:p w:rsidR="00B05397" w:rsidRDefault="00B05397">
      <w:pPr>
        <w:pStyle w:val="BodyText"/>
        <w:rPr>
          <w:sz w:val="16"/>
        </w:rPr>
      </w:pPr>
    </w:p>
    <w:p w:rsidR="00B05397" w:rsidRDefault="00B05397">
      <w:pPr>
        <w:pStyle w:val="BodyText"/>
        <w:rPr>
          <w:sz w:val="16"/>
        </w:rPr>
      </w:pPr>
    </w:p>
    <w:p w:rsidR="00B05397" w:rsidRDefault="00B05397">
      <w:pPr>
        <w:pStyle w:val="BodyText"/>
        <w:rPr>
          <w:sz w:val="16"/>
        </w:rPr>
      </w:pPr>
    </w:p>
    <w:p w:rsidR="00B05397" w:rsidRDefault="00B05397">
      <w:pPr>
        <w:pStyle w:val="BodyText"/>
        <w:rPr>
          <w:sz w:val="16"/>
        </w:rPr>
      </w:pPr>
    </w:p>
    <w:p w:rsidR="00B05397" w:rsidRDefault="00B05397">
      <w:pPr>
        <w:pStyle w:val="BodyText"/>
        <w:spacing w:before="8"/>
        <w:rPr>
          <w:sz w:val="16"/>
        </w:rPr>
      </w:pPr>
    </w:p>
    <w:p w:rsidR="00B05397" w:rsidRDefault="00856287">
      <w:pPr>
        <w:ind w:right="124"/>
        <w:jc w:val="right"/>
        <w:rPr>
          <w:sz w:val="16"/>
        </w:rPr>
      </w:pPr>
      <w:r>
        <w:rPr>
          <w:color w:val="231F20"/>
          <w:sz w:val="16"/>
        </w:rPr>
        <w:t>20</w:t>
      </w:r>
    </w:p>
    <w:p w:rsidR="00B05397" w:rsidRDefault="00B05397">
      <w:pPr>
        <w:pStyle w:val="BodyText"/>
        <w:rPr>
          <w:sz w:val="16"/>
        </w:rPr>
      </w:pPr>
    </w:p>
    <w:p w:rsidR="00B05397" w:rsidRDefault="00B05397">
      <w:pPr>
        <w:pStyle w:val="BodyText"/>
        <w:rPr>
          <w:sz w:val="16"/>
        </w:rPr>
      </w:pPr>
    </w:p>
    <w:p w:rsidR="00B05397" w:rsidRDefault="00B05397">
      <w:pPr>
        <w:pStyle w:val="BodyText"/>
        <w:rPr>
          <w:sz w:val="16"/>
        </w:rPr>
      </w:pPr>
    </w:p>
    <w:p w:rsidR="00B05397" w:rsidRDefault="00B05397">
      <w:pPr>
        <w:pStyle w:val="BodyText"/>
        <w:rPr>
          <w:sz w:val="16"/>
        </w:rPr>
      </w:pPr>
    </w:p>
    <w:p w:rsidR="00B05397" w:rsidRDefault="00B05397">
      <w:pPr>
        <w:pStyle w:val="BodyText"/>
        <w:rPr>
          <w:sz w:val="16"/>
        </w:rPr>
      </w:pPr>
    </w:p>
    <w:p w:rsidR="00B05397" w:rsidRDefault="00B05397">
      <w:pPr>
        <w:pStyle w:val="BodyText"/>
        <w:spacing w:before="6"/>
        <w:rPr>
          <w:sz w:val="16"/>
        </w:rPr>
      </w:pPr>
    </w:p>
    <w:p w:rsidR="00B05397" w:rsidRDefault="00856287">
      <w:pPr>
        <w:spacing w:before="1"/>
        <w:ind w:right="140"/>
        <w:jc w:val="right"/>
        <w:rPr>
          <w:sz w:val="16"/>
        </w:rPr>
      </w:pPr>
      <w:r>
        <w:rPr>
          <w:color w:val="231F20"/>
          <w:w w:val="90"/>
          <w:sz w:val="16"/>
        </w:rPr>
        <w:t>25</w:t>
      </w:r>
    </w:p>
    <w:p w:rsidR="00B05397" w:rsidRDefault="00B05397">
      <w:pPr>
        <w:pStyle w:val="BodyText"/>
        <w:rPr>
          <w:sz w:val="16"/>
        </w:rPr>
      </w:pPr>
    </w:p>
    <w:p w:rsidR="00B05397" w:rsidRDefault="00B05397">
      <w:pPr>
        <w:pStyle w:val="BodyText"/>
        <w:rPr>
          <w:sz w:val="16"/>
        </w:rPr>
      </w:pPr>
    </w:p>
    <w:p w:rsidR="00B05397" w:rsidRDefault="00B05397">
      <w:pPr>
        <w:pStyle w:val="BodyText"/>
        <w:rPr>
          <w:sz w:val="16"/>
        </w:rPr>
      </w:pPr>
    </w:p>
    <w:p w:rsidR="00B05397" w:rsidRDefault="00B05397">
      <w:pPr>
        <w:pStyle w:val="BodyText"/>
        <w:rPr>
          <w:sz w:val="16"/>
        </w:rPr>
      </w:pPr>
    </w:p>
    <w:p w:rsidR="00B05397" w:rsidRDefault="00B05397">
      <w:pPr>
        <w:pStyle w:val="BodyText"/>
        <w:rPr>
          <w:sz w:val="16"/>
        </w:rPr>
      </w:pPr>
    </w:p>
    <w:p w:rsidR="00B05397" w:rsidRDefault="00B05397">
      <w:pPr>
        <w:pStyle w:val="BodyText"/>
        <w:spacing w:before="7"/>
        <w:rPr>
          <w:sz w:val="16"/>
        </w:rPr>
      </w:pPr>
    </w:p>
    <w:p w:rsidR="00B05397" w:rsidRDefault="00856287">
      <w:pPr>
        <w:ind w:right="117"/>
        <w:jc w:val="right"/>
        <w:rPr>
          <w:sz w:val="16"/>
        </w:rPr>
      </w:pPr>
      <w:r>
        <w:rPr>
          <w:color w:val="231F20"/>
          <w:sz w:val="16"/>
        </w:rPr>
        <w:t>30</w:t>
      </w:r>
    </w:p>
    <w:p w:rsidR="00B05397" w:rsidRDefault="00B05397">
      <w:pPr>
        <w:pStyle w:val="BodyText"/>
        <w:rPr>
          <w:sz w:val="16"/>
        </w:rPr>
      </w:pPr>
    </w:p>
    <w:p w:rsidR="00B05397" w:rsidRDefault="00B05397">
      <w:pPr>
        <w:pStyle w:val="BodyText"/>
        <w:rPr>
          <w:sz w:val="16"/>
        </w:rPr>
      </w:pPr>
    </w:p>
    <w:p w:rsidR="00B05397" w:rsidRDefault="00B05397">
      <w:pPr>
        <w:pStyle w:val="BodyText"/>
        <w:rPr>
          <w:sz w:val="16"/>
        </w:rPr>
      </w:pPr>
    </w:p>
    <w:p w:rsidR="00B05397" w:rsidRDefault="00B05397">
      <w:pPr>
        <w:pStyle w:val="BodyText"/>
        <w:rPr>
          <w:sz w:val="16"/>
        </w:rPr>
      </w:pPr>
    </w:p>
    <w:p w:rsidR="00B05397" w:rsidRDefault="00B05397">
      <w:pPr>
        <w:pStyle w:val="BodyText"/>
        <w:rPr>
          <w:sz w:val="16"/>
        </w:rPr>
      </w:pPr>
    </w:p>
    <w:p w:rsidR="00B05397" w:rsidRDefault="00B05397">
      <w:pPr>
        <w:pStyle w:val="BodyText"/>
        <w:spacing w:before="6"/>
        <w:rPr>
          <w:sz w:val="16"/>
        </w:rPr>
      </w:pPr>
    </w:p>
    <w:p w:rsidR="00B05397" w:rsidRDefault="00856287">
      <w:pPr>
        <w:spacing w:before="1"/>
        <w:ind w:right="134"/>
        <w:jc w:val="right"/>
        <w:rPr>
          <w:sz w:val="16"/>
        </w:rPr>
      </w:pPr>
      <w:r>
        <w:rPr>
          <w:color w:val="231F20"/>
          <w:w w:val="95"/>
          <w:sz w:val="16"/>
        </w:rPr>
        <w:t>35</w:t>
      </w:r>
    </w:p>
    <w:p w:rsidR="00B05397" w:rsidRDefault="00B05397">
      <w:pPr>
        <w:pStyle w:val="BodyText"/>
        <w:rPr>
          <w:sz w:val="16"/>
        </w:rPr>
      </w:pPr>
    </w:p>
    <w:p w:rsidR="00B05397" w:rsidRDefault="00B05397">
      <w:pPr>
        <w:pStyle w:val="BodyText"/>
        <w:rPr>
          <w:sz w:val="16"/>
        </w:rPr>
      </w:pPr>
    </w:p>
    <w:p w:rsidR="00B05397" w:rsidRDefault="00B05397">
      <w:pPr>
        <w:pStyle w:val="BodyText"/>
        <w:rPr>
          <w:sz w:val="16"/>
        </w:rPr>
      </w:pPr>
    </w:p>
    <w:p w:rsidR="00B05397" w:rsidRDefault="00B05397">
      <w:pPr>
        <w:pStyle w:val="BodyText"/>
        <w:rPr>
          <w:sz w:val="16"/>
        </w:rPr>
      </w:pPr>
    </w:p>
    <w:p w:rsidR="00B05397" w:rsidRDefault="00B05397">
      <w:pPr>
        <w:pStyle w:val="BodyText"/>
        <w:rPr>
          <w:sz w:val="16"/>
        </w:rPr>
      </w:pPr>
    </w:p>
    <w:p w:rsidR="00B05397" w:rsidRDefault="00B05397">
      <w:pPr>
        <w:pStyle w:val="BodyText"/>
        <w:spacing w:before="8"/>
        <w:rPr>
          <w:sz w:val="16"/>
        </w:rPr>
      </w:pPr>
    </w:p>
    <w:p w:rsidR="00B05397" w:rsidRDefault="00856287">
      <w:pPr>
        <w:ind w:right="109"/>
        <w:jc w:val="right"/>
        <w:rPr>
          <w:sz w:val="16"/>
        </w:rPr>
      </w:pPr>
      <w:r>
        <w:rPr>
          <w:color w:val="231F20"/>
          <w:w w:val="110"/>
          <w:sz w:val="16"/>
        </w:rPr>
        <w:t>40</w:t>
      </w:r>
    </w:p>
    <w:p w:rsidR="00B05397" w:rsidRDefault="00B05397">
      <w:pPr>
        <w:jc w:val="right"/>
        <w:rPr>
          <w:sz w:val="16"/>
        </w:rPr>
        <w:sectPr w:rsidR="00B05397">
          <w:headerReference w:type="even" r:id="rId31"/>
          <w:headerReference w:type="default" r:id="rId32"/>
          <w:pgSz w:w="8790" w:h="13040"/>
          <w:pgMar w:top="720" w:right="620" w:bottom="280" w:left="1040" w:header="538" w:footer="0" w:gutter="0"/>
          <w:cols w:space="720"/>
        </w:sectPr>
      </w:pPr>
    </w:p>
    <w:p w:rsidR="00B05397" w:rsidRDefault="00B05397">
      <w:pPr>
        <w:pStyle w:val="BodyText"/>
        <w:rPr>
          <w:sz w:val="20"/>
        </w:rPr>
      </w:pPr>
    </w:p>
    <w:p w:rsidR="00B05397" w:rsidRDefault="00B05397">
      <w:pPr>
        <w:pStyle w:val="BodyText"/>
        <w:spacing w:before="6"/>
        <w:rPr>
          <w:sz w:val="21"/>
        </w:rPr>
      </w:pPr>
    </w:p>
    <w:p w:rsidR="00B05397" w:rsidRDefault="00856287">
      <w:pPr>
        <w:tabs>
          <w:tab w:val="right" w:pos="6755"/>
        </w:tabs>
        <w:spacing w:before="83"/>
        <w:ind w:right="210"/>
        <w:jc w:val="right"/>
        <w:rPr>
          <w:sz w:val="16"/>
        </w:rPr>
      </w:pPr>
      <w:r>
        <w:pict>
          <v:shape id="_x0000_s1026" type="#_x0000_t202" style="position:absolute;left:0;text-align:left;margin-left:49.25pt;margin-top:28.45pt;width:289.85pt;height:363.9pt;z-index:1432;mso-position-horizontal-relative:page" filled="f" stroked="f">
            <v:textbox inset="0,0,0,0">
              <w:txbxContent>
                <w:tbl>
                  <w:tblPr>
                    <w:tblW w:w="0" w:type="auto"/>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967"/>
                    <w:gridCol w:w="531"/>
                    <w:gridCol w:w="596"/>
                    <w:gridCol w:w="671"/>
                    <w:gridCol w:w="671"/>
                    <w:gridCol w:w="619"/>
                    <w:gridCol w:w="620"/>
                    <w:gridCol w:w="596"/>
                    <w:gridCol w:w="525"/>
                  </w:tblGrid>
                  <w:tr w:rsidR="00B05397">
                    <w:trPr>
                      <w:trHeight w:hRule="exact" w:val="321"/>
                    </w:trPr>
                    <w:tc>
                      <w:tcPr>
                        <w:tcW w:w="967" w:type="dxa"/>
                        <w:tcBorders>
                          <w:top w:val="single" w:sz="8" w:space="0" w:color="231F20"/>
                        </w:tcBorders>
                      </w:tcPr>
                      <w:p w:rsidR="00B05397" w:rsidRDefault="00856287">
                        <w:pPr>
                          <w:pStyle w:val="TableParagraph"/>
                          <w:spacing w:before="58"/>
                          <w:ind w:left="35" w:right="0"/>
                          <w:jc w:val="left"/>
                          <w:rPr>
                            <w:rFonts w:ascii="Trebuchet MS"/>
                            <w:sz w:val="16"/>
                          </w:rPr>
                        </w:pPr>
                        <w:r>
                          <w:rPr>
                            <w:rFonts w:ascii="Trebuchet MS"/>
                            <w:color w:val="231F20"/>
                            <w:sz w:val="16"/>
                          </w:rPr>
                          <w:t>Participant</w:t>
                        </w:r>
                      </w:p>
                    </w:tc>
                    <w:tc>
                      <w:tcPr>
                        <w:tcW w:w="531" w:type="dxa"/>
                        <w:tcBorders>
                          <w:top w:val="single" w:sz="8" w:space="0" w:color="231F20"/>
                          <w:bottom w:val="single" w:sz="2" w:space="0" w:color="231F20"/>
                        </w:tcBorders>
                      </w:tcPr>
                      <w:p w:rsidR="00B05397" w:rsidRDefault="00856287">
                        <w:pPr>
                          <w:pStyle w:val="TableParagraph"/>
                          <w:spacing w:before="58"/>
                          <w:ind w:right="103"/>
                          <w:rPr>
                            <w:rFonts w:ascii="Trebuchet MS" w:hAnsi="Trebuchet MS"/>
                            <w:sz w:val="16"/>
                          </w:rPr>
                        </w:pPr>
                        <w:r>
                          <w:rPr>
                            <w:rFonts w:ascii="Trebuchet MS" w:hAnsi="Trebuchet MS"/>
                            <w:color w:val="231F20"/>
                            <w:w w:val="95"/>
                            <w:sz w:val="16"/>
                          </w:rPr>
                          <w:t>L</w:t>
                        </w:r>
                        <w:r>
                          <w:rPr>
                            <w:color w:val="231F20"/>
                            <w:w w:val="95"/>
                            <w:sz w:val="16"/>
                          </w:rPr>
                          <w:t></w:t>
                        </w:r>
                        <w:r>
                          <w:rPr>
                            <w:color w:val="231F20"/>
                            <w:spacing w:val="-23"/>
                            <w:w w:val="95"/>
                            <w:sz w:val="16"/>
                          </w:rPr>
                          <w:t xml:space="preserve"> </w:t>
                        </w:r>
                        <w:r>
                          <w:rPr>
                            <w:rFonts w:ascii="Trebuchet MS" w:hAnsi="Trebuchet MS"/>
                            <w:color w:val="231F20"/>
                            <w:w w:val="95"/>
                            <w:sz w:val="16"/>
                          </w:rPr>
                          <w:t>En</w:t>
                        </w:r>
                      </w:p>
                    </w:tc>
                    <w:tc>
                      <w:tcPr>
                        <w:tcW w:w="596" w:type="dxa"/>
                        <w:tcBorders>
                          <w:top w:val="single" w:sz="8" w:space="0" w:color="231F20"/>
                          <w:bottom w:val="single" w:sz="2" w:space="0" w:color="231F20"/>
                        </w:tcBorders>
                      </w:tcPr>
                      <w:p w:rsidR="00B05397" w:rsidRDefault="00856287">
                        <w:pPr>
                          <w:pStyle w:val="TableParagraph"/>
                          <w:spacing w:before="58"/>
                          <w:rPr>
                            <w:rFonts w:ascii="Trebuchet MS" w:hAnsi="Trebuchet MS"/>
                            <w:sz w:val="16"/>
                          </w:rPr>
                        </w:pPr>
                        <w:r>
                          <w:rPr>
                            <w:rFonts w:ascii="Trebuchet MS" w:hAnsi="Trebuchet MS"/>
                            <w:color w:val="231F20"/>
                            <w:w w:val="95"/>
                            <w:sz w:val="16"/>
                          </w:rPr>
                          <w:t>L</w:t>
                        </w:r>
                        <w:r>
                          <w:rPr>
                            <w:color w:val="231F20"/>
                            <w:w w:val="95"/>
                            <w:sz w:val="16"/>
                          </w:rPr>
                          <w:t xml:space="preserve"> </w:t>
                        </w:r>
                        <w:r>
                          <w:rPr>
                            <w:rFonts w:ascii="Trebuchet MS" w:hAnsi="Trebuchet MS"/>
                            <w:color w:val="231F20"/>
                            <w:w w:val="95"/>
                            <w:sz w:val="16"/>
                          </w:rPr>
                          <w:t>En</w:t>
                        </w:r>
                      </w:p>
                    </w:tc>
                    <w:tc>
                      <w:tcPr>
                        <w:tcW w:w="671" w:type="dxa"/>
                        <w:tcBorders>
                          <w:top w:val="single" w:sz="8" w:space="0" w:color="231F20"/>
                          <w:bottom w:val="single" w:sz="2" w:space="0" w:color="231F20"/>
                        </w:tcBorders>
                      </w:tcPr>
                      <w:p w:rsidR="00B05397" w:rsidRDefault="00856287">
                        <w:pPr>
                          <w:pStyle w:val="TableParagraph"/>
                          <w:spacing w:before="58"/>
                          <w:rPr>
                            <w:rFonts w:ascii="Trebuchet MS" w:hAnsi="Trebuchet MS"/>
                            <w:sz w:val="16"/>
                          </w:rPr>
                        </w:pPr>
                        <w:r>
                          <w:rPr>
                            <w:rFonts w:ascii="Trebuchet MS" w:hAnsi="Trebuchet MS"/>
                            <w:color w:val="231F20"/>
                            <w:w w:val="95"/>
                            <w:sz w:val="16"/>
                          </w:rPr>
                          <w:t>L</w:t>
                        </w:r>
                        <w:r>
                          <w:rPr>
                            <w:color w:val="231F20"/>
                            <w:w w:val="95"/>
                            <w:sz w:val="16"/>
                          </w:rPr>
                          <w:t xml:space="preserve"> </w:t>
                        </w:r>
                        <w:r>
                          <w:rPr>
                            <w:rFonts w:ascii="Trebuchet MS" w:hAnsi="Trebuchet MS"/>
                            <w:color w:val="231F20"/>
                            <w:w w:val="95"/>
                            <w:sz w:val="16"/>
                          </w:rPr>
                          <w:t>En</w:t>
                        </w:r>
                      </w:p>
                    </w:tc>
                    <w:tc>
                      <w:tcPr>
                        <w:tcW w:w="671" w:type="dxa"/>
                        <w:tcBorders>
                          <w:top w:val="single" w:sz="8" w:space="0" w:color="231F20"/>
                          <w:bottom w:val="single" w:sz="2" w:space="0" w:color="231F20"/>
                        </w:tcBorders>
                      </w:tcPr>
                      <w:p w:rsidR="00B05397" w:rsidRDefault="00856287">
                        <w:pPr>
                          <w:pStyle w:val="TableParagraph"/>
                          <w:spacing w:before="58"/>
                          <w:rPr>
                            <w:rFonts w:ascii="Trebuchet MS" w:hAnsi="Trebuchet MS"/>
                            <w:sz w:val="16"/>
                          </w:rPr>
                        </w:pPr>
                        <w:r>
                          <w:rPr>
                            <w:rFonts w:ascii="Trebuchet MS" w:hAnsi="Trebuchet MS"/>
                            <w:color w:val="231F20"/>
                            <w:w w:val="95"/>
                            <w:sz w:val="16"/>
                          </w:rPr>
                          <w:t>L</w:t>
                        </w:r>
                        <w:r>
                          <w:rPr>
                            <w:color w:val="231F20"/>
                            <w:w w:val="95"/>
                            <w:sz w:val="16"/>
                          </w:rPr>
                          <w:t xml:space="preserve"> </w:t>
                        </w:r>
                        <w:r>
                          <w:rPr>
                            <w:rFonts w:ascii="Trebuchet MS" w:hAnsi="Trebuchet MS"/>
                            <w:color w:val="231F20"/>
                            <w:w w:val="95"/>
                            <w:sz w:val="16"/>
                          </w:rPr>
                          <w:t>En</w:t>
                        </w:r>
                      </w:p>
                    </w:tc>
                    <w:tc>
                      <w:tcPr>
                        <w:tcW w:w="619" w:type="dxa"/>
                        <w:tcBorders>
                          <w:top w:val="single" w:sz="8" w:space="0" w:color="231F20"/>
                          <w:bottom w:val="single" w:sz="2" w:space="0" w:color="231F20"/>
                        </w:tcBorders>
                      </w:tcPr>
                      <w:p w:rsidR="00B05397" w:rsidRDefault="00856287">
                        <w:pPr>
                          <w:pStyle w:val="TableParagraph"/>
                          <w:spacing w:before="58"/>
                          <w:rPr>
                            <w:rFonts w:ascii="Trebuchet MS" w:hAnsi="Trebuchet MS"/>
                            <w:sz w:val="16"/>
                          </w:rPr>
                        </w:pPr>
                        <w:r>
                          <w:rPr>
                            <w:rFonts w:ascii="Trebuchet MS" w:hAnsi="Trebuchet MS"/>
                            <w:color w:val="231F20"/>
                            <w:w w:val="95"/>
                            <w:sz w:val="16"/>
                          </w:rPr>
                          <w:t>L</w:t>
                        </w:r>
                        <w:r>
                          <w:rPr>
                            <w:color w:val="231F20"/>
                            <w:w w:val="95"/>
                            <w:sz w:val="16"/>
                          </w:rPr>
                          <w:t xml:space="preserve"> </w:t>
                        </w:r>
                        <w:r>
                          <w:rPr>
                            <w:rFonts w:ascii="Trebuchet MS" w:hAnsi="Trebuchet MS"/>
                            <w:color w:val="231F20"/>
                            <w:w w:val="95"/>
                            <w:sz w:val="16"/>
                          </w:rPr>
                          <w:t>En</w:t>
                        </w:r>
                      </w:p>
                    </w:tc>
                    <w:tc>
                      <w:tcPr>
                        <w:tcW w:w="620" w:type="dxa"/>
                        <w:tcBorders>
                          <w:top w:val="single" w:sz="8" w:space="0" w:color="231F20"/>
                          <w:bottom w:val="single" w:sz="2" w:space="0" w:color="231F20"/>
                        </w:tcBorders>
                      </w:tcPr>
                      <w:p w:rsidR="00B05397" w:rsidRDefault="00856287">
                        <w:pPr>
                          <w:pStyle w:val="TableParagraph"/>
                          <w:spacing w:before="58"/>
                          <w:rPr>
                            <w:rFonts w:ascii="Trebuchet MS" w:hAnsi="Trebuchet MS"/>
                            <w:sz w:val="16"/>
                          </w:rPr>
                        </w:pPr>
                        <w:r>
                          <w:rPr>
                            <w:rFonts w:ascii="Trebuchet MS" w:hAnsi="Trebuchet MS"/>
                            <w:color w:val="231F20"/>
                            <w:w w:val="95"/>
                            <w:sz w:val="16"/>
                          </w:rPr>
                          <w:t>L</w:t>
                        </w:r>
                        <w:r>
                          <w:rPr>
                            <w:color w:val="231F20"/>
                            <w:w w:val="95"/>
                            <w:sz w:val="16"/>
                          </w:rPr>
                          <w:t xml:space="preserve"> </w:t>
                        </w:r>
                        <w:r>
                          <w:rPr>
                            <w:rFonts w:ascii="Trebuchet MS" w:hAnsi="Trebuchet MS"/>
                            <w:color w:val="231F20"/>
                            <w:w w:val="95"/>
                            <w:sz w:val="16"/>
                          </w:rPr>
                          <w:t>En</w:t>
                        </w:r>
                      </w:p>
                    </w:tc>
                    <w:tc>
                      <w:tcPr>
                        <w:tcW w:w="596" w:type="dxa"/>
                        <w:tcBorders>
                          <w:top w:val="single" w:sz="8" w:space="0" w:color="231F20"/>
                          <w:bottom w:val="single" w:sz="2" w:space="0" w:color="231F20"/>
                        </w:tcBorders>
                      </w:tcPr>
                      <w:p w:rsidR="00B05397" w:rsidRDefault="00856287">
                        <w:pPr>
                          <w:pStyle w:val="TableParagraph"/>
                          <w:spacing w:before="58"/>
                          <w:rPr>
                            <w:rFonts w:ascii="Trebuchet MS" w:hAnsi="Trebuchet MS"/>
                            <w:sz w:val="16"/>
                          </w:rPr>
                        </w:pPr>
                        <w:r>
                          <w:rPr>
                            <w:rFonts w:ascii="Trebuchet MS" w:hAnsi="Trebuchet MS"/>
                            <w:color w:val="231F20"/>
                            <w:w w:val="95"/>
                            <w:sz w:val="16"/>
                          </w:rPr>
                          <w:t>L</w:t>
                        </w:r>
                        <w:r>
                          <w:rPr>
                            <w:color w:val="231F20"/>
                            <w:w w:val="95"/>
                            <w:sz w:val="16"/>
                          </w:rPr>
                          <w:t xml:space="preserve"> </w:t>
                        </w:r>
                        <w:r>
                          <w:rPr>
                            <w:rFonts w:ascii="Trebuchet MS" w:hAnsi="Trebuchet MS"/>
                            <w:color w:val="231F20"/>
                            <w:w w:val="95"/>
                            <w:sz w:val="16"/>
                          </w:rPr>
                          <w:t>En</w:t>
                        </w:r>
                      </w:p>
                    </w:tc>
                    <w:tc>
                      <w:tcPr>
                        <w:tcW w:w="525" w:type="dxa"/>
                        <w:tcBorders>
                          <w:top w:val="single" w:sz="8" w:space="0" w:color="231F20"/>
                          <w:bottom w:val="single" w:sz="2" w:space="0" w:color="231F20"/>
                        </w:tcBorders>
                      </w:tcPr>
                      <w:p w:rsidR="00B05397" w:rsidRDefault="00856287">
                        <w:pPr>
                          <w:pStyle w:val="TableParagraph"/>
                          <w:spacing w:before="58"/>
                          <w:ind w:right="33"/>
                          <w:rPr>
                            <w:rFonts w:ascii="Trebuchet MS" w:hAnsi="Trebuchet MS"/>
                            <w:sz w:val="16"/>
                          </w:rPr>
                        </w:pPr>
                        <w:r>
                          <w:rPr>
                            <w:rFonts w:ascii="Trebuchet MS" w:hAnsi="Trebuchet MS"/>
                            <w:color w:val="231F20"/>
                            <w:w w:val="95"/>
                            <w:sz w:val="16"/>
                          </w:rPr>
                          <w:t>L</w:t>
                        </w:r>
                        <w:r>
                          <w:rPr>
                            <w:color w:val="231F20"/>
                            <w:w w:val="95"/>
                            <w:sz w:val="16"/>
                          </w:rPr>
                          <w:t xml:space="preserve"> </w:t>
                        </w:r>
                        <w:r>
                          <w:rPr>
                            <w:rFonts w:ascii="Trebuchet MS" w:hAnsi="Trebuchet MS"/>
                            <w:color w:val="231F20"/>
                            <w:w w:val="95"/>
                            <w:sz w:val="16"/>
                          </w:rPr>
                          <w:t>En</w:t>
                        </w:r>
                      </w:p>
                    </w:tc>
                  </w:tr>
                  <w:tr w:rsidR="00B05397">
                    <w:trPr>
                      <w:trHeight w:hRule="exact" w:val="381"/>
                    </w:trPr>
                    <w:tc>
                      <w:tcPr>
                        <w:tcW w:w="967" w:type="dxa"/>
                        <w:tcBorders>
                          <w:bottom w:val="single" w:sz="8" w:space="0" w:color="231F20"/>
                        </w:tcBorders>
                      </w:tcPr>
                      <w:p w:rsidR="00B05397" w:rsidRDefault="00B05397"/>
                    </w:tc>
                    <w:tc>
                      <w:tcPr>
                        <w:tcW w:w="531" w:type="dxa"/>
                        <w:tcBorders>
                          <w:top w:val="single" w:sz="2" w:space="0" w:color="231F20"/>
                          <w:bottom w:val="single" w:sz="8" w:space="0" w:color="231F20"/>
                        </w:tcBorders>
                      </w:tcPr>
                      <w:p w:rsidR="00B05397" w:rsidRDefault="00856287">
                        <w:pPr>
                          <w:pStyle w:val="TableParagraph"/>
                          <w:spacing w:before="118"/>
                          <w:ind w:right="103"/>
                          <w:rPr>
                            <w:rFonts w:ascii="Trebuchet MS"/>
                            <w:sz w:val="16"/>
                          </w:rPr>
                        </w:pPr>
                        <w:r>
                          <w:rPr>
                            <w:rFonts w:ascii="Trebuchet MS"/>
                            <w:color w:val="231F20"/>
                            <w:sz w:val="16"/>
                          </w:rPr>
                          <w:t>MAY</w:t>
                        </w:r>
                      </w:p>
                    </w:tc>
                    <w:tc>
                      <w:tcPr>
                        <w:tcW w:w="596" w:type="dxa"/>
                        <w:tcBorders>
                          <w:top w:val="single" w:sz="2" w:space="0" w:color="231F20"/>
                          <w:bottom w:val="single" w:sz="8" w:space="0" w:color="231F20"/>
                        </w:tcBorders>
                      </w:tcPr>
                      <w:p w:rsidR="00B05397" w:rsidRDefault="00856287">
                        <w:pPr>
                          <w:pStyle w:val="TableParagraph"/>
                          <w:spacing w:before="118"/>
                          <w:ind w:right="103"/>
                          <w:rPr>
                            <w:rFonts w:ascii="Trebuchet MS"/>
                            <w:sz w:val="16"/>
                          </w:rPr>
                        </w:pPr>
                        <w:r>
                          <w:rPr>
                            <w:rFonts w:ascii="Trebuchet MS"/>
                            <w:color w:val="231F20"/>
                            <w:sz w:val="16"/>
                          </w:rPr>
                          <w:t>MAY</w:t>
                        </w:r>
                      </w:p>
                    </w:tc>
                    <w:tc>
                      <w:tcPr>
                        <w:tcW w:w="671" w:type="dxa"/>
                        <w:tcBorders>
                          <w:top w:val="single" w:sz="2" w:space="0" w:color="231F20"/>
                          <w:bottom w:val="single" w:sz="8" w:space="0" w:color="231F20"/>
                        </w:tcBorders>
                      </w:tcPr>
                      <w:p w:rsidR="00B05397" w:rsidRDefault="00856287">
                        <w:pPr>
                          <w:pStyle w:val="TableParagraph"/>
                          <w:spacing w:before="118"/>
                          <w:ind w:right="103"/>
                          <w:rPr>
                            <w:rFonts w:ascii="Trebuchet MS"/>
                            <w:sz w:val="16"/>
                          </w:rPr>
                        </w:pPr>
                        <w:r>
                          <w:rPr>
                            <w:rFonts w:ascii="Trebuchet MS"/>
                            <w:color w:val="231F20"/>
                            <w:w w:val="95"/>
                            <w:sz w:val="16"/>
                          </w:rPr>
                          <w:t>MIGHT</w:t>
                        </w:r>
                      </w:p>
                    </w:tc>
                    <w:tc>
                      <w:tcPr>
                        <w:tcW w:w="671" w:type="dxa"/>
                        <w:tcBorders>
                          <w:top w:val="single" w:sz="2" w:space="0" w:color="231F20"/>
                          <w:bottom w:val="single" w:sz="8" w:space="0" w:color="231F20"/>
                        </w:tcBorders>
                      </w:tcPr>
                      <w:p w:rsidR="00B05397" w:rsidRDefault="00856287">
                        <w:pPr>
                          <w:pStyle w:val="TableParagraph"/>
                          <w:spacing w:before="118"/>
                          <w:ind w:right="103"/>
                          <w:rPr>
                            <w:rFonts w:ascii="Trebuchet MS"/>
                            <w:sz w:val="16"/>
                          </w:rPr>
                        </w:pPr>
                        <w:r>
                          <w:rPr>
                            <w:rFonts w:ascii="Trebuchet MS"/>
                            <w:color w:val="231F20"/>
                            <w:w w:val="95"/>
                            <w:sz w:val="16"/>
                          </w:rPr>
                          <w:t>MIGHT</w:t>
                        </w:r>
                      </w:p>
                    </w:tc>
                    <w:tc>
                      <w:tcPr>
                        <w:tcW w:w="619" w:type="dxa"/>
                        <w:tcBorders>
                          <w:top w:val="single" w:sz="2" w:space="0" w:color="231F20"/>
                          <w:bottom w:val="single" w:sz="8" w:space="0" w:color="231F20"/>
                        </w:tcBorders>
                      </w:tcPr>
                      <w:p w:rsidR="00B05397" w:rsidRDefault="00856287">
                        <w:pPr>
                          <w:pStyle w:val="TableParagraph"/>
                          <w:spacing w:before="118"/>
                          <w:ind w:right="103"/>
                          <w:rPr>
                            <w:rFonts w:ascii="Trebuchet MS"/>
                            <w:sz w:val="16"/>
                          </w:rPr>
                        </w:pPr>
                        <w:r>
                          <w:rPr>
                            <w:rFonts w:ascii="Trebuchet MS"/>
                            <w:color w:val="231F20"/>
                            <w:w w:val="105"/>
                            <w:sz w:val="16"/>
                          </w:rPr>
                          <w:t>MUST</w:t>
                        </w:r>
                      </w:p>
                    </w:tc>
                    <w:tc>
                      <w:tcPr>
                        <w:tcW w:w="620" w:type="dxa"/>
                        <w:tcBorders>
                          <w:top w:val="single" w:sz="2" w:space="0" w:color="231F20"/>
                          <w:bottom w:val="single" w:sz="8" w:space="0" w:color="231F20"/>
                        </w:tcBorders>
                      </w:tcPr>
                      <w:p w:rsidR="00B05397" w:rsidRDefault="00856287">
                        <w:pPr>
                          <w:pStyle w:val="TableParagraph"/>
                          <w:spacing w:before="118"/>
                          <w:rPr>
                            <w:rFonts w:ascii="Trebuchet MS"/>
                            <w:sz w:val="16"/>
                          </w:rPr>
                        </w:pPr>
                        <w:r>
                          <w:rPr>
                            <w:rFonts w:ascii="Trebuchet MS"/>
                            <w:color w:val="231F20"/>
                            <w:w w:val="105"/>
                            <w:sz w:val="16"/>
                          </w:rPr>
                          <w:t>MUST</w:t>
                        </w:r>
                      </w:p>
                    </w:tc>
                    <w:tc>
                      <w:tcPr>
                        <w:tcW w:w="596" w:type="dxa"/>
                        <w:tcBorders>
                          <w:top w:val="single" w:sz="2" w:space="0" w:color="231F20"/>
                          <w:bottom w:val="single" w:sz="8" w:space="0" w:color="231F20"/>
                        </w:tcBorders>
                      </w:tcPr>
                      <w:p w:rsidR="00B05397" w:rsidRDefault="00856287">
                        <w:pPr>
                          <w:pStyle w:val="TableParagraph"/>
                          <w:spacing w:before="118"/>
                          <w:rPr>
                            <w:rFonts w:ascii="Trebuchet MS"/>
                            <w:sz w:val="16"/>
                          </w:rPr>
                        </w:pPr>
                        <w:r>
                          <w:rPr>
                            <w:rFonts w:ascii="Trebuchet MS"/>
                            <w:color w:val="231F20"/>
                            <w:w w:val="95"/>
                            <w:sz w:val="16"/>
                          </w:rPr>
                          <w:t>WILL</w:t>
                        </w:r>
                      </w:p>
                    </w:tc>
                    <w:tc>
                      <w:tcPr>
                        <w:tcW w:w="525" w:type="dxa"/>
                        <w:tcBorders>
                          <w:top w:val="single" w:sz="2" w:space="0" w:color="231F20"/>
                          <w:bottom w:val="single" w:sz="8" w:space="0" w:color="231F20"/>
                        </w:tcBorders>
                      </w:tcPr>
                      <w:p w:rsidR="00B05397" w:rsidRDefault="00856287">
                        <w:pPr>
                          <w:pStyle w:val="TableParagraph"/>
                          <w:spacing w:before="118"/>
                          <w:ind w:right="33"/>
                          <w:rPr>
                            <w:rFonts w:ascii="Trebuchet MS"/>
                            <w:sz w:val="16"/>
                          </w:rPr>
                        </w:pPr>
                        <w:r>
                          <w:rPr>
                            <w:rFonts w:ascii="Trebuchet MS"/>
                            <w:color w:val="231F20"/>
                            <w:w w:val="95"/>
                            <w:sz w:val="16"/>
                          </w:rPr>
                          <w:t>WILL</w:t>
                        </w:r>
                      </w:p>
                    </w:tc>
                  </w:tr>
                  <w:tr w:rsidR="00B05397">
                    <w:trPr>
                      <w:trHeight w:hRule="exact" w:val="278"/>
                    </w:trPr>
                    <w:tc>
                      <w:tcPr>
                        <w:tcW w:w="967" w:type="dxa"/>
                        <w:tcBorders>
                          <w:top w:val="single" w:sz="8" w:space="0" w:color="231F20"/>
                        </w:tcBorders>
                      </w:tcPr>
                      <w:p w:rsidR="00B05397" w:rsidRDefault="00856287">
                        <w:pPr>
                          <w:pStyle w:val="TableParagraph"/>
                          <w:spacing w:before="58"/>
                          <w:ind w:left="35" w:right="0"/>
                          <w:jc w:val="left"/>
                          <w:rPr>
                            <w:sz w:val="16"/>
                          </w:rPr>
                        </w:pPr>
                        <w:r>
                          <w:rPr>
                            <w:rFonts w:ascii="Tahoma" w:hAnsi="Tahoma"/>
                            <w:color w:val="231F20"/>
                            <w:w w:val="95"/>
                            <w:sz w:val="16"/>
                          </w:rPr>
                          <w:t>P</w:t>
                        </w:r>
                        <w:r>
                          <w:rPr>
                            <w:color w:val="231F20"/>
                            <w:w w:val="95"/>
                            <w:sz w:val="16"/>
                          </w:rPr>
                          <w:t></w:t>
                        </w:r>
                      </w:p>
                    </w:tc>
                    <w:tc>
                      <w:tcPr>
                        <w:tcW w:w="531" w:type="dxa"/>
                        <w:tcBorders>
                          <w:top w:val="single" w:sz="8" w:space="0" w:color="231F20"/>
                        </w:tcBorders>
                      </w:tcPr>
                      <w:p w:rsidR="00B05397" w:rsidRDefault="00856287">
                        <w:pPr>
                          <w:pStyle w:val="TableParagraph"/>
                          <w:spacing w:before="68"/>
                          <w:rPr>
                            <w:sz w:val="16"/>
                          </w:rPr>
                        </w:pPr>
                        <w:r>
                          <w:rPr>
                            <w:color w:val="231F20"/>
                            <w:w w:val="74"/>
                            <w:sz w:val="16"/>
                          </w:rPr>
                          <w:t></w:t>
                        </w:r>
                      </w:p>
                    </w:tc>
                    <w:tc>
                      <w:tcPr>
                        <w:tcW w:w="596" w:type="dxa"/>
                        <w:tcBorders>
                          <w:top w:val="single" w:sz="8" w:space="0" w:color="231F20"/>
                        </w:tcBorders>
                      </w:tcPr>
                      <w:p w:rsidR="00B05397" w:rsidRDefault="00856287">
                        <w:pPr>
                          <w:pStyle w:val="TableParagraph"/>
                          <w:spacing w:before="68"/>
                          <w:rPr>
                            <w:sz w:val="16"/>
                          </w:rPr>
                        </w:pPr>
                        <w:r>
                          <w:rPr>
                            <w:color w:val="231F20"/>
                            <w:w w:val="74"/>
                            <w:sz w:val="16"/>
                          </w:rPr>
                          <w:t></w:t>
                        </w:r>
                      </w:p>
                    </w:tc>
                    <w:tc>
                      <w:tcPr>
                        <w:tcW w:w="671" w:type="dxa"/>
                        <w:tcBorders>
                          <w:top w:val="single" w:sz="8" w:space="0" w:color="231F20"/>
                        </w:tcBorders>
                      </w:tcPr>
                      <w:p w:rsidR="00B05397" w:rsidRDefault="00856287">
                        <w:pPr>
                          <w:pStyle w:val="TableParagraph"/>
                          <w:spacing w:before="68"/>
                          <w:rPr>
                            <w:sz w:val="16"/>
                          </w:rPr>
                        </w:pPr>
                        <w:r>
                          <w:rPr>
                            <w:color w:val="231F20"/>
                            <w:w w:val="74"/>
                            <w:sz w:val="16"/>
                          </w:rPr>
                          <w:t></w:t>
                        </w:r>
                      </w:p>
                    </w:tc>
                    <w:tc>
                      <w:tcPr>
                        <w:tcW w:w="671" w:type="dxa"/>
                        <w:tcBorders>
                          <w:top w:val="single" w:sz="8" w:space="0" w:color="231F20"/>
                        </w:tcBorders>
                      </w:tcPr>
                      <w:p w:rsidR="00B05397" w:rsidRDefault="00856287">
                        <w:pPr>
                          <w:pStyle w:val="TableParagraph"/>
                          <w:spacing w:before="68"/>
                          <w:rPr>
                            <w:sz w:val="16"/>
                          </w:rPr>
                        </w:pPr>
                        <w:r>
                          <w:rPr>
                            <w:color w:val="231F20"/>
                            <w:w w:val="74"/>
                            <w:sz w:val="16"/>
                          </w:rPr>
                          <w:t></w:t>
                        </w:r>
                      </w:p>
                    </w:tc>
                    <w:tc>
                      <w:tcPr>
                        <w:tcW w:w="619" w:type="dxa"/>
                        <w:tcBorders>
                          <w:top w:val="single" w:sz="8" w:space="0" w:color="231F20"/>
                        </w:tcBorders>
                      </w:tcPr>
                      <w:p w:rsidR="00B05397" w:rsidRDefault="00856287">
                        <w:pPr>
                          <w:pStyle w:val="TableParagraph"/>
                          <w:spacing w:before="68"/>
                          <w:rPr>
                            <w:sz w:val="16"/>
                          </w:rPr>
                        </w:pPr>
                        <w:r>
                          <w:rPr>
                            <w:color w:val="231F20"/>
                            <w:w w:val="74"/>
                            <w:sz w:val="16"/>
                          </w:rPr>
                          <w:t></w:t>
                        </w:r>
                      </w:p>
                    </w:tc>
                    <w:tc>
                      <w:tcPr>
                        <w:tcW w:w="620" w:type="dxa"/>
                        <w:tcBorders>
                          <w:top w:val="single" w:sz="8" w:space="0" w:color="231F20"/>
                        </w:tcBorders>
                      </w:tcPr>
                      <w:p w:rsidR="00B05397" w:rsidRDefault="00856287">
                        <w:pPr>
                          <w:pStyle w:val="TableParagraph"/>
                          <w:spacing w:before="68"/>
                          <w:rPr>
                            <w:sz w:val="16"/>
                          </w:rPr>
                        </w:pPr>
                        <w:r>
                          <w:rPr>
                            <w:color w:val="231F20"/>
                            <w:w w:val="74"/>
                            <w:sz w:val="16"/>
                          </w:rPr>
                          <w:t></w:t>
                        </w:r>
                      </w:p>
                    </w:tc>
                    <w:tc>
                      <w:tcPr>
                        <w:tcW w:w="596" w:type="dxa"/>
                        <w:tcBorders>
                          <w:top w:val="single" w:sz="8" w:space="0" w:color="231F20"/>
                        </w:tcBorders>
                      </w:tcPr>
                      <w:p w:rsidR="00B05397" w:rsidRDefault="00856287">
                        <w:pPr>
                          <w:pStyle w:val="TableParagraph"/>
                          <w:spacing w:before="68"/>
                          <w:ind w:right="105"/>
                          <w:rPr>
                            <w:sz w:val="16"/>
                          </w:rPr>
                        </w:pPr>
                        <w:r>
                          <w:rPr>
                            <w:color w:val="231F20"/>
                            <w:w w:val="74"/>
                            <w:sz w:val="16"/>
                          </w:rPr>
                          <w:t></w:t>
                        </w:r>
                      </w:p>
                    </w:tc>
                    <w:tc>
                      <w:tcPr>
                        <w:tcW w:w="525" w:type="dxa"/>
                        <w:tcBorders>
                          <w:top w:val="single" w:sz="8" w:space="0" w:color="231F20"/>
                        </w:tcBorders>
                      </w:tcPr>
                      <w:p w:rsidR="00B05397" w:rsidRDefault="00856287">
                        <w:pPr>
                          <w:pStyle w:val="TableParagraph"/>
                          <w:spacing w:before="68"/>
                          <w:ind w:right="33"/>
                          <w:rPr>
                            <w:sz w:val="16"/>
                          </w:rPr>
                        </w:pPr>
                        <w:r>
                          <w:rPr>
                            <w:color w:val="231F20"/>
                            <w:w w:val="74"/>
                            <w:sz w:val="16"/>
                          </w:rPr>
                          <w:t></w:t>
                        </w:r>
                      </w:p>
                    </w:tc>
                  </w:tr>
                  <w:tr w:rsidR="00B05397">
                    <w:trPr>
                      <w:trHeight w:hRule="exact" w:val="219"/>
                    </w:trPr>
                    <w:tc>
                      <w:tcPr>
                        <w:tcW w:w="967" w:type="dxa"/>
                      </w:tcPr>
                      <w:p w:rsidR="00B05397" w:rsidRDefault="00856287">
                        <w:pPr>
                          <w:pStyle w:val="TableParagraph"/>
                          <w:spacing w:before="10"/>
                          <w:ind w:left="35" w:right="0"/>
                          <w:jc w:val="left"/>
                          <w:rPr>
                            <w:sz w:val="16"/>
                          </w:rPr>
                        </w:pPr>
                        <w:r>
                          <w:rPr>
                            <w:rFonts w:ascii="Tahoma" w:hAnsi="Tahoma"/>
                            <w:color w:val="231F20"/>
                            <w:w w:val="95"/>
                            <w:sz w:val="16"/>
                          </w:rPr>
                          <w:t>P</w:t>
                        </w:r>
                        <w:r>
                          <w:rPr>
                            <w:color w:val="231F20"/>
                            <w:w w:val="95"/>
                            <w:sz w:val="16"/>
                          </w:rPr>
                          <w:t></w:t>
                        </w:r>
                      </w:p>
                    </w:tc>
                    <w:tc>
                      <w:tcPr>
                        <w:tcW w:w="531"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19" w:type="dxa"/>
                      </w:tcPr>
                      <w:p w:rsidR="00B05397" w:rsidRDefault="00856287">
                        <w:pPr>
                          <w:pStyle w:val="TableParagraph"/>
                          <w:rPr>
                            <w:sz w:val="16"/>
                          </w:rPr>
                        </w:pPr>
                        <w:r>
                          <w:rPr>
                            <w:color w:val="231F20"/>
                            <w:w w:val="74"/>
                            <w:sz w:val="16"/>
                          </w:rPr>
                          <w:t></w:t>
                        </w:r>
                      </w:p>
                    </w:tc>
                    <w:tc>
                      <w:tcPr>
                        <w:tcW w:w="620"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ind w:right="105"/>
                          <w:rPr>
                            <w:sz w:val="16"/>
                          </w:rPr>
                        </w:pPr>
                        <w:r>
                          <w:rPr>
                            <w:color w:val="231F20"/>
                            <w:w w:val="74"/>
                            <w:sz w:val="16"/>
                          </w:rPr>
                          <w:t></w:t>
                        </w:r>
                      </w:p>
                    </w:tc>
                    <w:tc>
                      <w:tcPr>
                        <w:tcW w:w="525" w:type="dxa"/>
                      </w:tcPr>
                      <w:p w:rsidR="00B05397" w:rsidRDefault="00856287">
                        <w:pPr>
                          <w:pStyle w:val="TableParagraph"/>
                          <w:ind w:right="33"/>
                          <w:rPr>
                            <w:sz w:val="16"/>
                          </w:rPr>
                        </w:pPr>
                        <w:r>
                          <w:rPr>
                            <w:color w:val="231F20"/>
                            <w:w w:val="74"/>
                            <w:sz w:val="16"/>
                          </w:rPr>
                          <w:t></w:t>
                        </w:r>
                      </w:p>
                    </w:tc>
                  </w:tr>
                  <w:tr w:rsidR="00B05397">
                    <w:trPr>
                      <w:trHeight w:hRule="exact" w:val="219"/>
                    </w:trPr>
                    <w:tc>
                      <w:tcPr>
                        <w:tcW w:w="967" w:type="dxa"/>
                      </w:tcPr>
                      <w:p w:rsidR="00B05397" w:rsidRDefault="00856287">
                        <w:pPr>
                          <w:pStyle w:val="TableParagraph"/>
                          <w:spacing w:before="10"/>
                          <w:ind w:left="35" w:right="0"/>
                          <w:jc w:val="left"/>
                          <w:rPr>
                            <w:sz w:val="16"/>
                          </w:rPr>
                        </w:pPr>
                        <w:r>
                          <w:rPr>
                            <w:rFonts w:ascii="Tahoma" w:hAnsi="Tahoma"/>
                            <w:color w:val="231F20"/>
                            <w:w w:val="95"/>
                            <w:sz w:val="16"/>
                          </w:rPr>
                          <w:t>P</w:t>
                        </w:r>
                        <w:r>
                          <w:rPr>
                            <w:color w:val="231F20"/>
                            <w:w w:val="95"/>
                            <w:sz w:val="16"/>
                          </w:rPr>
                          <w:t></w:t>
                        </w:r>
                      </w:p>
                    </w:tc>
                    <w:tc>
                      <w:tcPr>
                        <w:tcW w:w="531"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19" w:type="dxa"/>
                      </w:tcPr>
                      <w:p w:rsidR="00B05397" w:rsidRDefault="00856287">
                        <w:pPr>
                          <w:pStyle w:val="TableParagraph"/>
                          <w:rPr>
                            <w:sz w:val="16"/>
                          </w:rPr>
                        </w:pPr>
                        <w:r>
                          <w:rPr>
                            <w:color w:val="231F20"/>
                            <w:w w:val="74"/>
                            <w:sz w:val="16"/>
                          </w:rPr>
                          <w:t></w:t>
                        </w:r>
                      </w:p>
                    </w:tc>
                    <w:tc>
                      <w:tcPr>
                        <w:tcW w:w="620"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ind w:right="105"/>
                          <w:rPr>
                            <w:sz w:val="16"/>
                          </w:rPr>
                        </w:pPr>
                        <w:r>
                          <w:rPr>
                            <w:color w:val="231F20"/>
                            <w:w w:val="74"/>
                            <w:sz w:val="16"/>
                          </w:rPr>
                          <w:t></w:t>
                        </w:r>
                      </w:p>
                    </w:tc>
                    <w:tc>
                      <w:tcPr>
                        <w:tcW w:w="525" w:type="dxa"/>
                      </w:tcPr>
                      <w:p w:rsidR="00B05397" w:rsidRDefault="00856287">
                        <w:pPr>
                          <w:pStyle w:val="TableParagraph"/>
                          <w:ind w:right="33"/>
                          <w:rPr>
                            <w:sz w:val="16"/>
                          </w:rPr>
                        </w:pPr>
                        <w:r>
                          <w:rPr>
                            <w:color w:val="231F20"/>
                            <w:w w:val="74"/>
                            <w:sz w:val="16"/>
                          </w:rPr>
                          <w:t></w:t>
                        </w:r>
                      </w:p>
                    </w:tc>
                  </w:tr>
                  <w:tr w:rsidR="00B05397">
                    <w:trPr>
                      <w:trHeight w:hRule="exact" w:val="219"/>
                    </w:trPr>
                    <w:tc>
                      <w:tcPr>
                        <w:tcW w:w="967" w:type="dxa"/>
                      </w:tcPr>
                      <w:p w:rsidR="00B05397" w:rsidRDefault="00856287">
                        <w:pPr>
                          <w:pStyle w:val="TableParagraph"/>
                          <w:spacing w:before="10"/>
                          <w:ind w:left="35" w:right="0"/>
                          <w:jc w:val="left"/>
                          <w:rPr>
                            <w:sz w:val="16"/>
                          </w:rPr>
                        </w:pPr>
                        <w:r>
                          <w:rPr>
                            <w:rFonts w:ascii="Tahoma" w:hAnsi="Tahoma"/>
                            <w:color w:val="231F20"/>
                            <w:w w:val="95"/>
                            <w:sz w:val="16"/>
                          </w:rPr>
                          <w:t>P</w:t>
                        </w:r>
                        <w:r>
                          <w:rPr>
                            <w:color w:val="231F20"/>
                            <w:w w:val="95"/>
                            <w:sz w:val="16"/>
                          </w:rPr>
                          <w:t></w:t>
                        </w:r>
                      </w:p>
                    </w:tc>
                    <w:tc>
                      <w:tcPr>
                        <w:tcW w:w="531"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19" w:type="dxa"/>
                      </w:tcPr>
                      <w:p w:rsidR="00B05397" w:rsidRDefault="00856287">
                        <w:pPr>
                          <w:pStyle w:val="TableParagraph"/>
                          <w:rPr>
                            <w:sz w:val="16"/>
                          </w:rPr>
                        </w:pPr>
                        <w:r>
                          <w:rPr>
                            <w:color w:val="231F20"/>
                            <w:w w:val="74"/>
                            <w:sz w:val="16"/>
                          </w:rPr>
                          <w:t></w:t>
                        </w:r>
                      </w:p>
                    </w:tc>
                    <w:tc>
                      <w:tcPr>
                        <w:tcW w:w="620"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ind w:right="105"/>
                          <w:rPr>
                            <w:sz w:val="16"/>
                          </w:rPr>
                        </w:pPr>
                        <w:r>
                          <w:rPr>
                            <w:color w:val="231F20"/>
                            <w:w w:val="74"/>
                            <w:sz w:val="16"/>
                          </w:rPr>
                          <w:t></w:t>
                        </w:r>
                      </w:p>
                    </w:tc>
                    <w:tc>
                      <w:tcPr>
                        <w:tcW w:w="525" w:type="dxa"/>
                      </w:tcPr>
                      <w:p w:rsidR="00B05397" w:rsidRDefault="00856287">
                        <w:pPr>
                          <w:pStyle w:val="TableParagraph"/>
                          <w:ind w:right="33"/>
                          <w:rPr>
                            <w:sz w:val="16"/>
                          </w:rPr>
                        </w:pPr>
                        <w:r>
                          <w:rPr>
                            <w:color w:val="231F20"/>
                            <w:w w:val="74"/>
                            <w:sz w:val="16"/>
                          </w:rPr>
                          <w:t></w:t>
                        </w:r>
                      </w:p>
                    </w:tc>
                  </w:tr>
                  <w:tr w:rsidR="00B05397">
                    <w:trPr>
                      <w:trHeight w:hRule="exact" w:val="219"/>
                    </w:trPr>
                    <w:tc>
                      <w:tcPr>
                        <w:tcW w:w="967" w:type="dxa"/>
                      </w:tcPr>
                      <w:p w:rsidR="00B05397" w:rsidRDefault="00856287">
                        <w:pPr>
                          <w:pStyle w:val="TableParagraph"/>
                          <w:spacing w:before="10"/>
                          <w:ind w:left="35" w:right="0"/>
                          <w:jc w:val="left"/>
                          <w:rPr>
                            <w:sz w:val="16"/>
                          </w:rPr>
                        </w:pPr>
                        <w:r>
                          <w:rPr>
                            <w:rFonts w:ascii="Tahoma" w:hAnsi="Tahoma"/>
                            <w:color w:val="231F20"/>
                            <w:w w:val="95"/>
                            <w:sz w:val="16"/>
                          </w:rPr>
                          <w:t>P</w:t>
                        </w:r>
                        <w:r>
                          <w:rPr>
                            <w:color w:val="231F20"/>
                            <w:w w:val="95"/>
                            <w:sz w:val="16"/>
                          </w:rPr>
                          <w:t></w:t>
                        </w:r>
                      </w:p>
                    </w:tc>
                    <w:tc>
                      <w:tcPr>
                        <w:tcW w:w="531"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19" w:type="dxa"/>
                      </w:tcPr>
                      <w:p w:rsidR="00B05397" w:rsidRDefault="00856287">
                        <w:pPr>
                          <w:pStyle w:val="TableParagraph"/>
                          <w:rPr>
                            <w:sz w:val="16"/>
                          </w:rPr>
                        </w:pPr>
                        <w:r>
                          <w:rPr>
                            <w:color w:val="231F20"/>
                            <w:w w:val="74"/>
                            <w:sz w:val="16"/>
                          </w:rPr>
                          <w:t></w:t>
                        </w:r>
                      </w:p>
                    </w:tc>
                    <w:tc>
                      <w:tcPr>
                        <w:tcW w:w="620"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ind w:right="105"/>
                          <w:rPr>
                            <w:sz w:val="16"/>
                          </w:rPr>
                        </w:pPr>
                        <w:r>
                          <w:rPr>
                            <w:color w:val="231F20"/>
                            <w:w w:val="74"/>
                            <w:sz w:val="16"/>
                          </w:rPr>
                          <w:t></w:t>
                        </w:r>
                      </w:p>
                    </w:tc>
                    <w:tc>
                      <w:tcPr>
                        <w:tcW w:w="525" w:type="dxa"/>
                      </w:tcPr>
                      <w:p w:rsidR="00B05397" w:rsidRDefault="00856287">
                        <w:pPr>
                          <w:pStyle w:val="TableParagraph"/>
                          <w:ind w:right="33"/>
                          <w:rPr>
                            <w:sz w:val="16"/>
                          </w:rPr>
                        </w:pPr>
                        <w:r>
                          <w:rPr>
                            <w:color w:val="231F20"/>
                            <w:w w:val="74"/>
                            <w:sz w:val="16"/>
                          </w:rPr>
                          <w:t></w:t>
                        </w:r>
                      </w:p>
                    </w:tc>
                  </w:tr>
                  <w:tr w:rsidR="00B05397">
                    <w:trPr>
                      <w:trHeight w:hRule="exact" w:val="219"/>
                    </w:trPr>
                    <w:tc>
                      <w:tcPr>
                        <w:tcW w:w="967" w:type="dxa"/>
                      </w:tcPr>
                      <w:p w:rsidR="00B05397" w:rsidRDefault="00856287">
                        <w:pPr>
                          <w:pStyle w:val="TableParagraph"/>
                          <w:spacing w:before="10"/>
                          <w:ind w:left="35" w:right="0"/>
                          <w:jc w:val="left"/>
                          <w:rPr>
                            <w:sz w:val="16"/>
                          </w:rPr>
                        </w:pPr>
                        <w:r>
                          <w:rPr>
                            <w:rFonts w:ascii="Tahoma" w:hAnsi="Tahoma"/>
                            <w:color w:val="231F20"/>
                            <w:w w:val="95"/>
                            <w:sz w:val="16"/>
                          </w:rPr>
                          <w:t>P</w:t>
                        </w:r>
                        <w:r>
                          <w:rPr>
                            <w:color w:val="231F20"/>
                            <w:w w:val="95"/>
                            <w:sz w:val="16"/>
                          </w:rPr>
                          <w:t></w:t>
                        </w:r>
                      </w:p>
                    </w:tc>
                    <w:tc>
                      <w:tcPr>
                        <w:tcW w:w="531"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19" w:type="dxa"/>
                      </w:tcPr>
                      <w:p w:rsidR="00B05397" w:rsidRDefault="00856287">
                        <w:pPr>
                          <w:pStyle w:val="TableParagraph"/>
                          <w:rPr>
                            <w:sz w:val="16"/>
                          </w:rPr>
                        </w:pPr>
                        <w:r>
                          <w:rPr>
                            <w:color w:val="231F20"/>
                            <w:w w:val="74"/>
                            <w:sz w:val="16"/>
                          </w:rPr>
                          <w:t></w:t>
                        </w:r>
                      </w:p>
                    </w:tc>
                    <w:tc>
                      <w:tcPr>
                        <w:tcW w:w="620"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ind w:right="105"/>
                          <w:rPr>
                            <w:sz w:val="16"/>
                          </w:rPr>
                        </w:pPr>
                        <w:r>
                          <w:rPr>
                            <w:color w:val="231F20"/>
                            <w:w w:val="74"/>
                            <w:sz w:val="16"/>
                          </w:rPr>
                          <w:t></w:t>
                        </w:r>
                      </w:p>
                    </w:tc>
                    <w:tc>
                      <w:tcPr>
                        <w:tcW w:w="525" w:type="dxa"/>
                      </w:tcPr>
                      <w:p w:rsidR="00B05397" w:rsidRDefault="00856287">
                        <w:pPr>
                          <w:pStyle w:val="TableParagraph"/>
                          <w:ind w:right="33"/>
                          <w:rPr>
                            <w:sz w:val="16"/>
                          </w:rPr>
                        </w:pPr>
                        <w:r>
                          <w:rPr>
                            <w:color w:val="231F20"/>
                            <w:w w:val="74"/>
                            <w:sz w:val="16"/>
                          </w:rPr>
                          <w:t></w:t>
                        </w:r>
                      </w:p>
                    </w:tc>
                  </w:tr>
                  <w:tr w:rsidR="00B05397">
                    <w:trPr>
                      <w:trHeight w:hRule="exact" w:val="219"/>
                    </w:trPr>
                    <w:tc>
                      <w:tcPr>
                        <w:tcW w:w="967" w:type="dxa"/>
                      </w:tcPr>
                      <w:p w:rsidR="00B05397" w:rsidRDefault="00856287">
                        <w:pPr>
                          <w:pStyle w:val="TableParagraph"/>
                          <w:spacing w:before="10"/>
                          <w:ind w:left="35" w:right="0"/>
                          <w:jc w:val="left"/>
                          <w:rPr>
                            <w:sz w:val="16"/>
                          </w:rPr>
                        </w:pPr>
                        <w:r>
                          <w:rPr>
                            <w:rFonts w:ascii="Tahoma" w:hAnsi="Tahoma"/>
                            <w:color w:val="231F20"/>
                            <w:w w:val="95"/>
                            <w:sz w:val="16"/>
                          </w:rPr>
                          <w:t>P</w:t>
                        </w:r>
                        <w:r>
                          <w:rPr>
                            <w:color w:val="231F20"/>
                            <w:w w:val="95"/>
                            <w:sz w:val="16"/>
                          </w:rPr>
                          <w:t></w:t>
                        </w:r>
                      </w:p>
                    </w:tc>
                    <w:tc>
                      <w:tcPr>
                        <w:tcW w:w="531"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19" w:type="dxa"/>
                      </w:tcPr>
                      <w:p w:rsidR="00B05397" w:rsidRDefault="00856287">
                        <w:pPr>
                          <w:pStyle w:val="TableParagraph"/>
                          <w:rPr>
                            <w:sz w:val="16"/>
                          </w:rPr>
                        </w:pPr>
                        <w:r>
                          <w:rPr>
                            <w:color w:val="231F20"/>
                            <w:w w:val="74"/>
                            <w:sz w:val="16"/>
                          </w:rPr>
                          <w:t></w:t>
                        </w:r>
                      </w:p>
                    </w:tc>
                    <w:tc>
                      <w:tcPr>
                        <w:tcW w:w="620"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ind w:right="105"/>
                          <w:rPr>
                            <w:sz w:val="16"/>
                          </w:rPr>
                        </w:pPr>
                        <w:r>
                          <w:rPr>
                            <w:color w:val="231F20"/>
                            <w:w w:val="74"/>
                            <w:sz w:val="16"/>
                          </w:rPr>
                          <w:t></w:t>
                        </w:r>
                      </w:p>
                    </w:tc>
                    <w:tc>
                      <w:tcPr>
                        <w:tcW w:w="525" w:type="dxa"/>
                      </w:tcPr>
                      <w:p w:rsidR="00B05397" w:rsidRDefault="00856287">
                        <w:pPr>
                          <w:pStyle w:val="TableParagraph"/>
                          <w:ind w:right="33"/>
                          <w:rPr>
                            <w:sz w:val="16"/>
                          </w:rPr>
                        </w:pPr>
                        <w:r>
                          <w:rPr>
                            <w:color w:val="231F20"/>
                            <w:w w:val="74"/>
                            <w:sz w:val="16"/>
                          </w:rPr>
                          <w:t></w:t>
                        </w:r>
                      </w:p>
                    </w:tc>
                  </w:tr>
                  <w:tr w:rsidR="00B05397">
                    <w:trPr>
                      <w:trHeight w:hRule="exact" w:val="219"/>
                    </w:trPr>
                    <w:tc>
                      <w:tcPr>
                        <w:tcW w:w="967" w:type="dxa"/>
                      </w:tcPr>
                      <w:p w:rsidR="00B05397" w:rsidRDefault="00856287">
                        <w:pPr>
                          <w:pStyle w:val="TableParagraph"/>
                          <w:spacing w:before="10"/>
                          <w:ind w:left="35" w:right="0"/>
                          <w:jc w:val="left"/>
                          <w:rPr>
                            <w:sz w:val="16"/>
                          </w:rPr>
                        </w:pPr>
                        <w:r>
                          <w:rPr>
                            <w:rFonts w:ascii="Tahoma" w:hAnsi="Tahoma"/>
                            <w:color w:val="231F20"/>
                            <w:w w:val="95"/>
                            <w:sz w:val="16"/>
                          </w:rPr>
                          <w:t>P</w:t>
                        </w:r>
                        <w:r>
                          <w:rPr>
                            <w:color w:val="231F20"/>
                            <w:w w:val="95"/>
                            <w:sz w:val="16"/>
                          </w:rPr>
                          <w:t></w:t>
                        </w:r>
                      </w:p>
                    </w:tc>
                    <w:tc>
                      <w:tcPr>
                        <w:tcW w:w="531"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19" w:type="dxa"/>
                      </w:tcPr>
                      <w:p w:rsidR="00B05397" w:rsidRDefault="00856287">
                        <w:pPr>
                          <w:pStyle w:val="TableParagraph"/>
                          <w:rPr>
                            <w:sz w:val="16"/>
                          </w:rPr>
                        </w:pPr>
                        <w:r>
                          <w:rPr>
                            <w:color w:val="231F20"/>
                            <w:w w:val="74"/>
                            <w:sz w:val="16"/>
                          </w:rPr>
                          <w:t></w:t>
                        </w:r>
                      </w:p>
                    </w:tc>
                    <w:tc>
                      <w:tcPr>
                        <w:tcW w:w="620"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ind w:right="105"/>
                          <w:rPr>
                            <w:sz w:val="16"/>
                          </w:rPr>
                        </w:pPr>
                        <w:r>
                          <w:rPr>
                            <w:color w:val="231F20"/>
                            <w:w w:val="74"/>
                            <w:sz w:val="16"/>
                          </w:rPr>
                          <w:t></w:t>
                        </w:r>
                      </w:p>
                    </w:tc>
                    <w:tc>
                      <w:tcPr>
                        <w:tcW w:w="525" w:type="dxa"/>
                      </w:tcPr>
                      <w:p w:rsidR="00B05397" w:rsidRDefault="00856287">
                        <w:pPr>
                          <w:pStyle w:val="TableParagraph"/>
                          <w:ind w:right="33"/>
                          <w:rPr>
                            <w:sz w:val="16"/>
                          </w:rPr>
                        </w:pPr>
                        <w:r>
                          <w:rPr>
                            <w:color w:val="231F20"/>
                            <w:w w:val="74"/>
                            <w:sz w:val="16"/>
                          </w:rPr>
                          <w:t></w:t>
                        </w:r>
                      </w:p>
                    </w:tc>
                  </w:tr>
                  <w:tr w:rsidR="00B05397">
                    <w:trPr>
                      <w:trHeight w:hRule="exact" w:val="219"/>
                    </w:trPr>
                    <w:tc>
                      <w:tcPr>
                        <w:tcW w:w="967" w:type="dxa"/>
                      </w:tcPr>
                      <w:p w:rsidR="00B05397" w:rsidRDefault="00856287">
                        <w:pPr>
                          <w:pStyle w:val="TableParagraph"/>
                          <w:spacing w:before="10"/>
                          <w:ind w:left="35" w:right="0"/>
                          <w:jc w:val="left"/>
                          <w:rPr>
                            <w:sz w:val="16"/>
                          </w:rPr>
                        </w:pPr>
                        <w:r>
                          <w:rPr>
                            <w:rFonts w:ascii="Tahoma" w:hAnsi="Tahoma"/>
                            <w:color w:val="231F20"/>
                            <w:w w:val="95"/>
                            <w:sz w:val="16"/>
                          </w:rPr>
                          <w:t>P</w:t>
                        </w:r>
                        <w:r>
                          <w:rPr>
                            <w:color w:val="231F20"/>
                            <w:w w:val="95"/>
                            <w:sz w:val="16"/>
                          </w:rPr>
                          <w:t></w:t>
                        </w:r>
                      </w:p>
                    </w:tc>
                    <w:tc>
                      <w:tcPr>
                        <w:tcW w:w="531"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19" w:type="dxa"/>
                      </w:tcPr>
                      <w:p w:rsidR="00B05397" w:rsidRDefault="00856287">
                        <w:pPr>
                          <w:pStyle w:val="TableParagraph"/>
                          <w:rPr>
                            <w:sz w:val="16"/>
                          </w:rPr>
                        </w:pPr>
                        <w:r>
                          <w:rPr>
                            <w:color w:val="231F20"/>
                            <w:w w:val="74"/>
                            <w:sz w:val="16"/>
                          </w:rPr>
                          <w:t></w:t>
                        </w:r>
                      </w:p>
                    </w:tc>
                    <w:tc>
                      <w:tcPr>
                        <w:tcW w:w="620"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ind w:right="105"/>
                          <w:rPr>
                            <w:sz w:val="16"/>
                          </w:rPr>
                        </w:pPr>
                        <w:r>
                          <w:rPr>
                            <w:color w:val="231F20"/>
                            <w:w w:val="74"/>
                            <w:sz w:val="16"/>
                          </w:rPr>
                          <w:t></w:t>
                        </w:r>
                      </w:p>
                    </w:tc>
                    <w:tc>
                      <w:tcPr>
                        <w:tcW w:w="525" w:type="dxa"/>
                      </w:tcPr>
                      <w:p w:rsidR="00B05397" w:rsidRDefault="00856287">
                        <w:pPr>
                          <w:pStyle w:val="TableParagraph"/>
                          <w:ind w:right="33"/>
                          <w:rPr>
                            <w:sz w:val="16"/>
                          </w:rPr>
                        </w:pPr>
                        <w:r>
                          <w:rPr>
                            <w:color w:val="231F20"/>
                            <w:w w:val="74"/>
                            <w:sz w:val="16"/>
                          </w:rPr>
                          <w:t></w:t>
                        </w:r>
                      </w:p>
                    </w:tc>
                  </w:tr>
                  <w:tr w:rsidR="00B05397">
                    <w:trPr>
                      <w:trHeight w:hRule="exact" w:val="219"/>
                    </w:trPr>
                    <w:tc>
                      <w:tcPr>
                        <w:tcW w:w="967" w:type="dxa"/>
                      </w:tcPr>
                      <w:p w:rsidR="00B05397" w:rsidRDefault="00856287">
                        <w:pPr>
                          <w:pStyle w:val="TableParagraph"/>
                          <w:spacing w:before="10"/>
                          <w:ind w:left="35" w:right="0"/>
                          <w:jc w:val="left"/>
                          <w:rPr>
                            <w:sz w:val="16"/>
                          </w:rPr>
                        </w:pPr>
                        <w:r>
                          <w:rPr>
                            <w:rFonts w:ascii="Tahoma" w:hAnsi="Tahoma"/>
                            <w:color w:val="231F20"/>
                            <w:w w:val="95"/>
                            <w:sz w:val="16"/>
                          </w:rPr>
                          <w:t>P</w:t>
                        </w:r>
                        <w:r>
                          <w:rPr>
                            <w:color w:val="231F20"/>
                            <w:w w:val="95"/>
                            <w:sz w:val="16"/>
                          </w:rPr>
                          <w:t></w:t>
                        </w:r>
                      </w:p>
                    </w:tc>
                    <w:tc>
                      <w:tcPr>
                        <w:tcW w:w="531"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19" w:type="dxa"/>
                      </w:tcPr>
                      <w:p w:rsidR="00B05397" w:rsidRDefault="00856287">
                        <w:pPr>
                          <w:pStyle w:val="TableParagraph"/>
                          <w:rPr>
                            <w:sz w:val="16"/>
                          </w:rPr>
                        </w:pPr>
                        <w:r>
                          <w:rPr>
                            <w:color w:val="231F20"/>
                            <w:w w:val="74"/>
                            <w:sz w:val="16"/>
                          </w:rPr>
                          <w:t></w:t>
                        </w:r>
                      </w:p>
                    </w:tc>
                    <w:tc>
                      <w:tcPr>
                        <w:tcW w:w="620"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ind w:right="105"/>
                          <w:rPr>
                            <w:sz w:val="16"/>
                          </w:rPr>
                        </w:pPr>
                        <w:r>
                          <w:rPr>
                            <w:color w:val="231F20"/>
                            <w:w w:val="74"/>
                            <w:sz w:val="16"/>
                          </w:rPr>
                          <w:t></w:t>
                        </w:r>
                      </w:p>
                    </w:tc>
                    <w:tc>
                      <w:tcPr>
                        <w:tcW w:w="525" w:type="dxa"/>
                      </w:tcPr>
                      <w:p w:rsidR="00B05397" w:rsidRDefault="00856287">
                        <w:pPr>
                          <w:pStyle w:val="TableParagraph"/>
                          <w:ind w:right="33"/>
                          <w:rPr>
                            <w:sz w:val="16"/>
                          </w:rPr>
                        </w:pPr>
                        <w:r>
                          <w:rPr>
                            <w:color w:val="231F20"/>
                            <w:w w:val="74"/>
                            <w:sz w:val="16"/>
                          </w:rPr>
                          <w:t></w:t>
                        </w:r>
                      </w:p>
                    </w:tc>
                  </w:tr>
                  <w:tr w:rsidR="00B05397">
                    <w:trPr>
                      <w:trHeight w:hRule="exact" w:val="219"/>
                    </w:trPr>
                    <w:tc>
                      <w:tcPr>
                        <w:tcW w:w="967" w:type="dxa"/>
                      </w:tcPr>
                      <w:p w:rsidR="00B05397" w:rsidRDefault="00856287">
                        <w:pPr>
                          <w:pStyle w:val="TableParagraph"/>
                          <w:spacing w:before="10"/>
                          <w:ind w:left="35" w:right="0"/>
                          <w:jc w:val="left"/>
                          <w:rPr>
                            <w:sz w:val="16"/>
                          </w:rPr>
                        </w:pPr>
                        <w:r>
                          <w:rPr>
                            <w:rFonts w:ascii="Tahoma" w:hAnsi="Tahoma"/>
                            <w:color w:val="231F20"/>
                            <w:w w:val="95"/>
                            <w:sz w:val="16"/>
                          </w:rPr>
                          <w:t>P</w:t>
                        </w:r>
                        <w:r>
                          <w:rPr>
                            <w:color w:val="231F20"/>
                            <w:w w:val="95"/>
                            <w:sz w:val="16"/>
                          </w:rPr>
                          <w:t></w:t>
                        </w:r>
                      </w:p>
                    </w:tc>
                    <w:tc>
                      <w:tcPr>
                        <w:tcW w:w="531"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19" w:type="dxa"/>
                      </w:tcPr>
                      <w:p w:rsidR="00B05397" w:rsidRDefault="00856287">
                        <w:pPr>
                          <w:pStyle w:val="TableParagraph"/>
                          <w:rPr>
                            <w:sz w:val="16"/>
                          </w:rPr>
                        </w:pPr>
                        <w:r>
                          <w:rPr>
                            <w:color w:val="231F20"/>
                            <w:w w:val="74"/>
                            <w:sz w:val="16"/>
                          </w:rPr>
                          <w:t></w:t>
                        </w:r>
                      </w:p>
                    </w:tc>
                    <w:tc>
                      <w:tcPr>
                        <w:tcW w:w="620"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ind w:right="105"/>
                          <w:rPr>
                            <w:sz w:val="16"/>
                          </w:rPr>
                        </w:pPr>
                        <w:r>
                          <w:rPr>
                            <w:color w:val="231F20"/>
                            <w:w w:val="74"/>
                            <w:sz w:val="16"/>
                          </w:rPr>
                          <w:t></w:t>
                        </w:r>
                      </w:p>
                    </w:tc>
                    <w:tc>
                      <w:tcPr>
                        <w:tcW w:w="525" w:type="dxa"/>
                      </w:tcPr>
                      <w:p w:rsidR="00B05397" w:rsidRDefault="00856287">
                        <w:pPr>
                          <w:pStyle w:val="TableParagraph"/>
                          <w:ind w:right="33"/>
                          <w:rPr>
                            <w:sz w:val="16"/>
                          </w:rPr>
                        </w:pPr>
                        <w:r>
                          <w:rPr>
                            <w:color w:val="231F20"/>
                            <w:w w:val="74"/>
                            <w:sz w:val="16"/>
                          </w:rPr>
                          <w:t></w:t>
                        </w:r>
                      </w:p>
                    </w:tc>
                  </w:tr>
                  <w:tr w:rsidR="00B05397">
                    <w:trPr>
                      <w:trHeight w:hRule="exact" w:val="219"/>
                    </w:trPr>
                    <w:tc>
                      <w:tcPr>
                        <w:tcW w:w="967" w:type="dxa"/>
                      </w:tcPr>
                      <w:p w:rsidR="00B05397" w:rsidRDefault="00856287">
                        <w:pPr>
                          <w:pStyle w:val="TableParagraph"/>
                          <w:spacing w:before="10"/>
                          <w:ind w:left="35" w:right="0"/>
                          <w:jc w:val="left"/>
                          <w:rPr>
                            <w:sz w:val="16"/>
                          </w:rPr>
                        </w:pPr>
                        <w:r>
                          <w:rPr>
                            <w:rFonts w:ascii="Tahoma" w:hAnsi="Tahoma"/>
                            <w:color w:val="231F20"/>
                            <w:w w:val="95"/>
                            <w:sz w:val="16"/>
                          </w:rPr>
                          <w:t>P</w:t>
                        </w:r>
                        <w:r>
                          <w:rPr>
                            <w:color w:val="231F20"/>
                            <w:w w:val="95"/>
                            <w:sz w:val="16"/>
                          </w:rPr>
                          <w:t></w:t>
                        </w:r>
                      </w:p>
                    </w:tc>
                    <w:tc>
                      <w:tcPr>
                        <w:tcW w:w="531"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19" w:type="dxa"/>
                      </w:tcPr>
                      <w:p w:rsidR="00B05397" w:rsidRDefault="00856287">
                        <w:pPr>
                          <w:pStyle w:val="TableParagraph"/>
                          <w:rPr>
                            <w:sz w:val="16"/>
                          </w:rPr>
                        </w:pPr>
                        <w:r>
                          <w:rPr>
                            <w:color w:val="231F20"/>
                            <w:w w:val="74"/>
                            <w:sz w:val="16"/>
                          </w:rPr>
                          <w:t></w:t>
                        </w:r>
                      </w:p>
                    </w:tc>
                    <w:tc>
                      <w:tcPr>
                        <w:tcW w:w="620"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ind w:right="105"/>
                          <w:rPr>
                            <w:sz w:val="16"/>
                          </w:rPr>
                        </w:pPr>
                        <w:r>
                          <w:rPr>
                            <w:color w:val="231F20"/>
                            <w:w w:val="74"/>
                            <w:sz w:val="16"/>
                          </w:rPr>
                          <w:t></w:t>
                        </w:r>
                      </w:p>
                    </w:tc>
                    <w:tc>
                      <w:tcPr>
                        <w:tcW w:w="525" w:type="dxa"/>
                      </w:tcPr>
                      <w:p w:rsidR="00B05397" w:rsidRDefault="00856287">
                        <w:pPr>
                          <w:pStyle w:val="TableParagraph"/>
                          <w:ind w:right="33"/>
                          <w:rPr>
                            <w:sz w:val="16"/>
                          </w:rPr>
                        </w:pPr>
                        <w:r>
                          <w:rPr>
                            <w:color w:val="231F20"/>
                            <w:w w:val="74"/>
                            <w:sz w:val="16"/>
                          </w:rPr>
                          <w:t></w:t>
                        </w:r>
                      </w:p>
                    </w:tc>
                  </w:tr>
                  <w:tr w:rsidR="00B05397">
                    <w:trPr>
                      <w:trHeight w:hRule="exact" w:val="219"/>
                    </w:trPr>
                    <w:tc>
                      <w:tcPr>
                        <w:tcW w:w="967" w:type="dxa"/>
                      </w:tcPr>
                      <w:p w:rsidR="00B05397" w:rsidRDefault="00856287">
                        <w:pPr>
                          <w:pStyle w:val="TableParagraph"/>
                          <w:spacing w:before="10"/>
                          <w:ind w:left="35" w:right="0"/>
                          <w:jc w:val="left"/>
                          <w:rPr>
                            <w:sz w:val="16"/>
                          </w:rPr>
                        </w:pPr>
                        <w:r>
                          <w:rPr>
                            <w:rFonts w:ascii="Tahoma" w:hAnsi="Tahoma"/>
                            <w:color w:val="231F20"/>
                            <w:w w:val="95"/>
                            <w:sz w:val="16"/>
                          </w:rPr>
                          <w:t>P</w:t>
                        </w:r>
                        <w:r>
                          <w:rPr>
                            <w:color w:val="231F20"/>
                            <w:w w:val="95"/>
                            <w:sz w:val="16"/>
                          </w:rPr>
                          <w:t></w:t>
                        </w:r>
                      </w:p>
                    </w:tc>
                    <w:tc>
                      <w:tcPr>
                        <w:tcW w:w="531"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19" w:type="dxa"/>
                      </w:tcPr>
                      <w:p w:rsidR="00B05397" w:rsidRDefault="00856287">
                        <w:pPr>
                          <w:pStyle w:val="TableParagraph"/>
                          <w:rPr>
                            <w:sz w:val="16"/>
                          </w:rPr>
                        </w:pPr>
                        <w:r>
                          <w:rPr>
                            <w:color w:val="231F20"/>
                            <w:w w:val="74"/>
                            <w:sz w:val="16"/>
                          </w:rPr>
                          <w:t></w:t>
                        </w:r>
                      </w:p>
                    </w:tc>
                    <w:tc>
                      <w:tcPr>
                        <w:tcW w:w="620"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ind w:right="105"/>
                          <w:rPr>
                            <w:sz w:val="16"/>
                          </w:rPr>
                        </w:pPr>
                        <w:r>
                          <w:rPr>
                            <w:color w:val="231F20"/>
                            <w:w w:val="74"/>
                            <w:sz w:val="16"/>
                          </w:rPr>
                          <w:t></w:t>
                        </w:r>
                      </w:p>
                    </w:tc>
                    <w:tc>
                      <w:tcPr>
                        <w:tcW w:w="525" w:type="dxa"/>
                      </w:tcPr>
                      <w:p w:rsidR="00B05397" w:rsidRDefault="00856287">
                        <w:pPr>
                          <w:pStyle w:val="TableParagraph"/>
                          <w:ind w:right="33"/>
                          <w:rPr>
                            <w:sz w:val="16"/>
                          </w:rPr>
                        </w:pPr>
                        <w:r>
                          <w:rPr>
                            <w:color w:val="231F20"/>
                            <w:w w:val="74"/>
                            <w:sz w:val="16"/>
                          </w:rPr>
                          <w:t></w:t>
                        </w:r>
                      </w:p>
                    </w:tc>
                  </w:tr>
                  <w:tr w:rsidR="00B05397">
                    <w:trPr>
                      <w:trHeight w:hRule="exact" w:val="219"/>
                    </w:trPr>
                    <w:tc>
                      <w:tcPr>
                        <w:tcW w:w="967" w:type="dxa"/>
                      </w:tcPr>
                      <w:p w:rsidR="00B05397" w:rsidRDefault="00856287">
                        <w:pPr>
                          <w:pStyle w:val="TableParagraph"/>
                          <w:spacing w:before="10"/>
                          <w:ind w:left="35" w:right="0"/>
                          <w:jc w:val="left"/>
                          <w:rPr>
                            <w:sz w:val="16"/>
                          </w:rPr>
                        </w:pPr>
                        <w:r>
                          <w:rPr>
                            <w:rFonts w:ascii="Tahoma" w:hAnsi="Tahoma"/>
                            <w:color w:val="231F20"/>
                            <w:w w:val="95"/>
                            <w:sz w:val="16"/>
                          </w:rPr>
                          <w:t>P</w:t>
                        </w:r>
                        <w:r>
                          <w:rPr>
                            <w:color w:val="231F20"/>
                            <w:w w:val="95"/>
                            <w:sz w:val="16"/>
                          </w:rPr>
                          <w:t></w:t>
                        </w:r>
                      </w:p>
                    </w:tc>
                    <w:tc>
                      <w:tcPr>
                        <w:tcW w:w="531"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19" w:type="dxa"/>
                      </w:tcPr>
                      <w:p w:rsidR="00B05397" w:rsidRDefault="00856287">
                        <w:pPr>
                          <w:pStyle w:val="TableParagraph"/>
                          <w:rPr>
                            <w:sz w:val="16"/>
                          </w:rPr>
                        </w:pPr>
                        <w:r>
                          <w:rPr>
                            <w:color w:val="231F20"/>
                            <w:w w:val="74"/>
                            <w:sz w:val="16"/>
                          </w:rPr>
                          <w:t></w:t>
                        </w:r>
                      </w:p>
                    </w:tc>
                    <w:tc>
                      <w:tcPr>
                        <w:tcW w:w="620"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ind w:right="105"/>
                          <w:rPr>
                            <w:sz w:val="16"/>
                          </w:rPr>
                        </w:pPr>
                        <w:r>
                          <w:rPr>
                            <w:color w:val="231F20"/>
                            <w:w w:val="74"/>
                            <w:sz w:val="16"/>
                          </w:rPr>
                          <w:t></w:t>
                        </w:r>
                      </w:p>
                    </w:tc>
                    <w:tc>
                      <w:tcPr>
                        <w:tcW w:w="525" w:type="dxa"/>
                      </w:tcPr>
                      <w:p w:rsidR="00B05397" w:rsidRDefault="00856287">
                        <w:pPr>
                          <w:pStyle w:val="TableParagraph"/>
                          <w:ind w:right="33"/>
                          <w:rPr>
                            <w:sz w:val="16"/>
                          </w:rPr>
                        </w:pPr>
                        <w:r>
                          <w:rPr>
                            <w:color w:val="231F20"/>
                            <w:w w:val="74"/>
                            <w:sz w:val="16"/>
                          </w:rPr>
                          <w:t></w:t>
                        </w:r>
                      </w:p>
                    </w:tc>
                  </w:tr>
                  <w:tr w:rsidR="00B05397">
                    <w:trPr>
                      <w:trHeight w:hRule="exact" w:val="219"/>
                    </w:trPr>
                    <w:tc>
                      <w:tcPr>
                        <w:tcW w:w="967" w:type="dxa"/>
                      </w:tcPr>
                      <w:p w:rsidR="00B05397" w:rsidRDefault="00856287">
                        <w:pPr>
                          <w:pStyle w:val="TableParagraph"/>
                          <w:spacing w:before="10"/>
                          <w:ind w:left="35" w:right="0"/>
                          <w:jc w:val="left"/>
                          <w:rPr>
                            <w:sz w:val="16"/>
                          </w:rPr>
                        </w:pPr>
                        <w:r>
                          <w:rPr>
                            <w:rFonts w:ascii="Tahoma" w:hAnsi="Tahoma"/>
                            <w:color w:val="231F20"/>
                            <w:w w:val="95"/>
                            <w:sz w:val="16"/>
                          </w:rPr>
                          <w:t>P</w:t>
                        </w:r>
                        <w:r>
                          <w:rPr>
                            <w:color w:val="231F20"/>
                            <w:w w:val="95"/>
                            <w:sz w:val="16"/>
                          </w:rPr>
                          <w:t></w:t>
                        </w:r>
                      </w:p>
                    </w:tc>
                    <w:tc>
                      <w:tcPr>
                        <w:tcW w:w="531"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19" w:type="dxa"/>
                      </w:tcPr>
                      <w:p w:rsidR="00B05397" w:rsidRDefault="00856287">
                        <w:pPr>
                          <w:pStyle w:val="TableParagraph"/>
                          <w:rPr>
                            <w:sz w:val="16"/>
                          </w:rPr>
                        </w:pPr>
                        <w:r>
                          <w:rPr>
                            <w:color w:val="231F20"/>
                            <w:w w:val="74"/>
                            <w:sz w:val="16"/>
                          </w:rPr>
                          <w:t></w:t>
                        </w:r>
                      </w:p>
                    </w:tc>
                    <w:tc>
                      <w:tcPr>
                        <w:tcW w:w="620"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ind w:right="105"/>
                          <w:rPr>
                            <w:sz w:val="16"/>
                          </w:rPr>
                        </w:pPr>
                        <w:r>
                          <w:rPr>
                            <w:color w:val="231F20"/>
                            <w:w w:val="74"/>
                            <w:sz w:val="16"/>
                          </w:rPr>
                          <w:t></w:t>
                        </w:r>
                      </w:p>
                    </w:tc>
                    <w:tc>
                      <w:tcPr>
                        <w:tcW w:w="525" w:type="dxa"/>
                      </w:tcPr>
                      <w:p w:rsidR="00B05397" w:rsidRDefault="00856287">
                        <w:pPr>
                          <w:pStyle w:val="TableParagraph"/>
                          <w:ind w:right="33"/>
                          <w:rPr>
                            <w:sz w:val="16"/>
                          </w:rPr>
                        </w:pPr>
                        <w:r>
                          <w:rPr>
                            <w:color w:val="231F20"/>
                            <w:w w:val="74"/>
                            <w:sz w:val="16"/>
                          </w:rPr>
                          <w:t></w:t>
                        </w:r>
                      </w:p>
                    </w:tc>
                  </w:tr>
                  <w:tr w:rsidR="00B05397">
                    <w:trPr>
                      <w:trHeight w:hRule="exact" w:val="219"/>
                    </w:trPr>
                    <w:tc>
                      <w:tcPr>
                        <w:tcW w:w="967" w:type="dxa"/>
                      </w:tcPr>
                      <w:p w:rsidR="00B05397" w:rsidRDefault="00856287">
                        <w:pPr>
                          <w:pStyle w:val="TableParagraph"/>
                          <w:spacing w:before="10"/>
                          <w:ind w:left="35" w:right="0"/>
                          <w:jc w:val="left"/>
                          <w:rPr>
                            <w:sz w:val="16"/>
                          </w:rPr>
                        </w:pPr>
                        <w:r>
                          <w:rPr>
                            <w:rFonts w:ascii="Tahoma" w:hAnsi="Tahoma"/>
                            <w:color w:val="231F20"/>
                            <w:w w:val="95"/>
                            <w:sz w:val="16"/>
                          </w:rPr>
                          <w:t>P</w:t>
                        </w:r>
                        <w:r>
                          <w:rPr>
                            <w:color w:val="231F20"/>
                            <w:w w:val="95"/>
                            <w:sz w:val="16"/>
                          </w:rPr>
                          <w:t></w:t>
                        </w:r>
                      </w:p>
                    </w:tc>
                    <w:tc>
                      <w:tcPr>
                        <w:tcW w:w="531"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19" w:type="dxa"/>
                      </w:tcPr>
                      <w:p w:rsidR="00B05397" w:rsidRDefault="00856287">
                        <w:pPr>
                          <w:pStyle w:val="TableParagraph"/>
                          <w:rPr>
                            <w:sz w:val="16"/>
                          </w:rPr>
                        </w:pPr>
                        <w:r>
                          <w:rPr>
                            <w:color w:val="231F20"/>
                            <w:w w:val="74"/>
                            <w:sz w:val="16"/>
                          </w:rPr>
                          <w:t></w:t>
                        </w:r>
                      </w:p>
                    </w:tc>
                    <w:tc>
                      <w:tcPr>
                        <w:tcW w:w="620"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ind w:right="105"/>
                          <w:rPr>
                            <w:sz w:val="16"/>
                          </w:rPr>
                        </w:pPr>
                        <w:r>
                          <w:rPr>
                            <w:color w:val="231F20"/>
                            <w:w w:val="74"/>
                            <w:sz w:val="16"/>
                          </w:rPr>
                          <w:t></w:t>
                        </w:r>
                      </w:p>
                    </w:tc>
                    <w:tc>
                      <w:tcPr>
                        <w:tcW w:w="525" w:type="dxa"/>
                      </w:tcPr>
                      <w:p w:rsidR="00B05397" w:rsidRDefault="00856287">
                        <w:pPr>
                          <w:pStyle w:val="TableParagraph"/>
                          <w:ind w:right="33"/>
                          <w:rPr>
                            <w:sz w:val="16"/>
                          </w:rPr>
                        </w:pPr>
                        <w:r>
                          <w:rPr>
                            <w:color w:val="231F20"/>
                            <w:w w:val="74"/>
                            <w:sz w:val="16"/>
                          </w:rPr>
                          <w:t></w:t>
                        </w:r>
                      </w:p>
                    </w:tc>
                  </w:tr>
                  <w:tr w:rsidR="00B05397">
                    <w:trPr>
                      <w:trHeight w:hRule="exact" w:val="219"/>
                    </w:trPr>
                    <w:tc>
                      <w:tcPr>
                        <w:tcW w:w="967" w:type="dxa"/>
                      </w:tcPr>
                      <w:p w:rsidR="00B05397" w:rsidRDefault="00856287">
                        <w:pPr>
                          <w:pStyle w:val="TableParagraph"/>
                          <w:spacing w:before="10"/>
                          <w:ind w:left="35" w:right="0"/>
                          <w:jc w:val="left"/>
                          <w:rPr>
                            <w:sz w:val="16"/>
                          </w:rPr>
                        </w:pPr>
                        <w:r>
                          <w:rPr>
                            <w:rFonts w:ascii="Tahoma" w:hAnsi="Tahoma"/>
                            <w:color w:val="231F20"/>
                            <w:w w:val="95"/>
                            <w:sz w:val="16"/>
                          </w:rPr>
                          <w:t>P</w:t>
                        </w:r>
                        <w:r>
                          <w:rPr>
                            <w:color w:val="231F20"/>
                            <w:w w:val="95"/>
                            <w:sz w:val="16"/>
                          </w:rPr>
                          <w:t></w:t>
                        </w:r>
                      </w:p>
                    </w:tc>
                    <w:tc>
                      <w:tcPr>
                        <w:tcW w:w="531"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19" w:type="dxa"/>
                      </w:tcPr>
                      <w:p w:rsidR="00B05397" w:rsidRDefault="00856287">
                        <w:pPr>
                          <w:pStyle w:val="TableParagraph"/>
                          <w:rPr>
                            <w:sz w:val="16"/>
                          </w:rPr>
                        </w:pPr>
                        <w:r>
                          <w:rPr>
                            <w:color w:val="231F20"/>
                            <w:w w:val="74"/>
                            <w:sz w:val="16"/>
                          </w:rPr>
                          <w:t></w:t>
                        </w:r>
                      </w:p>
                    </w:tc>
                    <w:tc>
                      <w:tcPr>
                        <w:tcW w:w="620"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ind w:right="105"/>
                          <w:rPr>
                            <w:sz w:val="16"/>
                          </w:rPr>
                        </w:pPr>
                        <w:r>
                          <w:rPr>
                            <w:color w:val="231F20"/>
                            <w:w w:val="74"/>
                            <w:sz w:val="16"/>
                          </w:rPr>
                          <w:t></w:t>
                        </w:r>
                      </w:p>
                    </w:tc>
                    <w:tc>
                      <w:tcPr>
                        <w:tcW w:w="525" w:type="dxa"/>
                      </w:tcPr>
                      <w:p w:rsidR="00B05397" w:rsidRDefault="00856287">
                        <w:pPr>
                          <w:pStyle w:val="TableParagraph"/>
                          <w:ind w:right="33"/>
                          <w:rPr>
                            <w:sz w:val="16"/>
                          </w:rPr>
                        </w:pPr>
                        <w:r>
                          <w:rPr>
                            <w:color w:val="231F20"/>
                            <w:w w:val="74"/>
                            <w:sz w:val="16"/>
                          </w:rPr>
                          <w:t></w:t>
                        </w:r>
                      </w:p>
                    </w:tc>
                  </w:tr>
                  <w:tr w:rsidR="00B05397">
                    <w:trPr>
                      <w:trHeight w:hRule="exact" w:val="219"/>
                    </w:trPr>
                    <w:tc>
                      <w:tcPr>
                        <w:tcW w:w="967" w:type="dxa"/>
                      </w:tcPr>
                      <w:p w:rsidR="00B05397" w:rsidRDefault="00856287">
                        <w:pPr>
                          <w:pStyle w:val="TableParagraph"/>
                          <w:spacing w:before="10"/>
                          <w:ind w:left="35" w:right="0"/>
                          <w:jc w:val="left"/>
                          <w:rPr>
                            <w:sz w:val="16"/>
                          </w:rPr>
                        </w:pPr>
                        <w:r>
                          <w:rPr>
                            <w:rFonts w:ascii="Tahoma" w:hAnsi="Tahoma"/>
                            <w:color w:val="231F20"/>
                            <w:w w:val="95"/>
                            <w:sz w:val="16"/>
                          </w:rPr>
                          <w:t>P</w:t>
                        </w:r>
                        <w:r>
                          <w:rPr>
                            <w:color w:val="231F20"/>
                            <w:w w:val="95"/>
                            <w:sz w:val="16"/>
                          </w:rPr>
                          <w:t></w:t>
                        </w:r>
                      </w:p>
                    </w:tc>
                    <w:tc>
                      <w:tcPr>
                        <w:tcW w:w="531"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19" w:type="dxa"/>
                      </w:tcPr>
                      <w:p w:rsidR="00B05397" w:rsidRDefault="00856287">
                        <w:pPr>
                          <w:pStyle w:val="TableParagraph"/>
                          <w:rPr>
                            <w:sz w:val="16"/>
                          </w:rPr>
                        </w:pPr>
                        <w:r>
                          <w:rPr>
                            <w:color w:val="231F20"/>
                            <w:w w:val="74"/>
                            <w:sz w:val="16"/>
                          </w:rPr>
                          <w:t></w:t>
                        </w:r>
                      </w:p>
                    </w:tc>
                    <w:tc>
                      <w:tcPr>
                        <w:tcW w:w="620"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ind w:right="105"/>
                          <w:rPr>
                            <w:sz w:val="16"/>
                          </w:rPr>
                        </w:pPr>
                        <w:r>
                          <w:rPr>
                            <w:color w:val="231F20"/>
                            <w:w w:val="74"/>
                            <w:sz w:val="16"/>
                          </w:rPr>
                          <w:t></w:t>
                        </w:r>
                      </w:p>
                    </w:tc>
                    <w:tc>
                      <w:tcPr>
                        <w:tcW w:w="525" w:type="dxa"/>
                      </w:tcPr>
                      <w:p w:rsidR="00B05397" w:rsidRDefault="00856287">
                        <w:pPr>
                          <w:pStyle w:val="TableParagraph"/>
                          <w:ind w:right="33"/>
                          <w:rPr>
                            <w:sz w:val="16"/>
                          </w:rPr>
                        </w:pPr>
                        <w:r>
                          <w:rPr>
                            <w:color w:val="231F20"/>
                            <w:w w:val="74"/>
                            <w:sz w:val="16"/>
                          </w:rPr>
                          <w:t></w:t>
                        </w:r>
                      </w:p>
                    </w:tc>
                  </w:tr>
                  <w:tr w:rsidR="00B05397">
                    <w:trPr>
                      <w:trHeight w:hRule="exact" w:val="219"/>
                    </w:trPr>
                    <w:tc>
                      <w:tcPr>
                        <w:tcW w:w="967" w:type="dxa"/>
                      </w:tcPr>
                      <w:p w:rsidR="00B05397" w:rsidRDefault="00856287">
                        <w:pPr>
                          <w:pStyle w:val="TableParagraph"/>
                          <w:spacing w:before="10"/>
                          <w:ind w:left="35" w:right="0"/>
                          <w:jc w:val="left"/>
                          <w:rPr>
                            <w:sz w:val="16"/>
                          </w:rPr>
                        </w:pPr>
                        <w:r>
                          <w:rPr>
                            <w:rFonts w:ascii="Tahoma" w:hAnsi="Tahoma"/>
                            <w:color w:val="231F20"/>
                            <w:w w:val="95"/>
                            <w:sz w:val="16"/>
                          </w:rPr>
                          <w:t>P</w:t>
                        </w:r>
                        <w:r>
                          <w:rPr>
                            <w:color w:val="231F20"/>
                            <w:w w:val="95"/>
                            <w:sz w:val="16"/>
                          </w:rPr>
                          <w:t></w:t>
                        </w:r>
                      </w:p>
                    </w:tc>
                    <w:tc>
                      <w:tcPr>
                        <w:tcW w:w="531"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19" w:type="dxa"/>
                      </w:tcPr>
                      <w:p w:rsidR="00B05397" w:rsidRDefault="00856287">
                        <w:pPr>
                          <w:pStyle w:val="TableParagraph"/>
                          <w:rPr>
                            <w:sz w:val="16"/>
                          </w:rPr>
                        </w:pPr>
                        <w:r>
                          <w:rPr>
                            <w:color w:val="231F20"/>
                            <w:w w:val="74"/>
                            <w:sz w:val="16"/>
                          </w:rPr>
                          <w:t></w:t>
                        </w:r>
                      </w:p>
                    </w:tc>
                    <w:tc>
                      <w:tcPr>
                        <w:tcW w:w="620"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ind w:right="105"/>
                          <w:rPr>
                            <w:sz w:val="16"/>
                          </w:rPr>
                        </w:pPr>
                        <w:r>
                          <w:rPr>
                            <w:color w:val="231F20"/>
                            <w:w w:val="74"/>
                            <w:sz w:val="16"/>
                          </w:rPr>
                          <w:t></w:t>
                        </w:r>
                      </w:p>
                    </w:tc>
                    <w:tc>
                      <w:tcPr>
                        <w:tcW w:w="525" w:type="dxa"/>
                      </w:tcPr>
                      <w:p w:rsidR="00B05397" w:rsidRDefault="00856287">
                        <w:pPr>
                          <w:pStyle w:val="TableParagraph"/>
                          <w:ind w:right="33"/>
                          <w:rPr>
                            <w:sz w:val="16"/>
                          </w:rPr>
                        </w:pPr>
                        <w:r>
                          <w:rPr>
                            <w:color w:val="231F20"/>
                            <w:w w:val="74"/>
                            <w:sz w:val="16"/>
                          </w:rPr>
                          <w:t></w:t>
                        </w:r>
                      </w:p>
                    </w:tc>
                  </w:tr>
                  <w:tr w:rsidR="00B05397">
                    <w:trPr>
                      <w:trHeight w:hRule="exact" w:val="219"/>
                    </w:trPr>
                    <w:tc>
                      <w:tcPr>
                        <w:tcW w:w="967" w:type="dxa"/>
                      </w:tcPr>
                      <w:p w:rsidR="00B05397" w:rsidRDefault="00856287">
                        <w:pPr>
                          <w:pStyle w:val="TableParagraph"/>
                          <w:spacing w:before="10"/>
                          <w:ind w:left="35" w:right="0"/>
                          <w:jc w:val="left"/>
                          <w:rPr>
                            <w:sz w:val="16"/>
                          </w:rPr>
                        </w:pPr>
                        <w:r>
                          <w:rPr>
                            <w:rFonts w:ascii="Tahoma" w:hAnsi="Tahoma"/>
                            <w:color w:val="231F20"/>
                            <w:w w:val="95"/>
                            <w:sz w:val="16"/>
                          </w:rPr>
                          <w:t>P</w:t>
                        </w:r>
                        <w:r>
                          <w:rPr>
                            <w:color w:val="231F20"/>
                            <w:w w:val="95"/>
                            <w:sz w:val="16"/>
                          </w:rPr>
                          <w:t></w:t>
                        </w:r>
                      </w:p>
                    </w:tc>
                    <w:tc>
                      <w:tcPr>
                        <w:tcW w:w="531"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19" w:type="dxa"/>
                      </w:tcPr>
                      <w:p w:rsidR="00B05397" w:rsidRDefault="00856287">
                        <w:pPr>
                          <w:pStyle w:val="TableParagraph"/>
                          <w:rPr>
                            <w:sz w:val="16"/>
                          </w:rPr>
                        </w:pPr>
                        <w:r>
                          <w:rPr>
                            <w:color w:val="231F20"/>
                            <w:w w:val="74"/>
                            <w:sz w:val="16"/>
                          </w:rPr>
                          <w:t></w:t>
                        </w:r>
                      </w:p>
                    </w:tc>
                    <w:tc>
                      <w:tcPr>
                        <w:tcW w:w="620"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ind w:right="105"/>
                          <w:rPr>
                            <w:sz w:val="16"/>
                          </w:rPr>
                        </w:pPr>
                        <w:r>
                          <w:rPr>
                            <w:color w:val="231F20"/>
                            <w:w w:val="74"/>
                            <w:sz w:val="16"/>
                          </w:rPr>
                          <w:t></w:t>
                        </w:r>
                      </w:p>
                    </w:tc>
                    <w:tc>
                      <w:tcPr>
                        <w:tcW w:w="525" w:type="dxa"/>
                      </w:tcPr>
                      <w:p w:rsidR="00B05397" w:rsidRDefault="00856287">
                        <w:pPr>
                          <w:pStyle w:val="TableParagraph"/>
                          <w:ind w:right="33"/>
                          <w:rPr>
                            <w:sz w:val="16"/>
                          </w:rPr>
                        </w:pPr>
                        <w:r>
                          <w:rPr>
                            <w:color w:val="231F20"/>
                            <w:w w:val="74"/>
                            <w:sz w:val="16"/>
                          </w:rPr>
                          <w:t></w:t>
                        </w:r>
                      </w:p>
                    </w:tc>
                  </w:tr>
                  <w:tr w:rsidR="00B05397">
                    <w:trPr>
                      <w:trHeight w:hRule="exact" w:val="219"/>
                    </w:trPr>
                    <w:tc>
                      <w:tcPr>
                        <w:tcW w:w="967" w:type="dxa"/>
                      </w:tcPr>
                      <w:p w:rsidR="00B05397" w:rsidRDefault="00856287">
                        <w:pPr>
                          <w:pStyle w:val="TableParagraph"/>
                          <w:spacing w:before="10"/>
                          <w:ind w:left="35" w:right="0"/>
                          <w:jc w:val="left"/>
                          <w:rPr>
                            <w:sz w:val="16"/>
                          </w:rPr>
                        </w:pPr>
                        <w:r>
                          <w:rPr>
                            <w:rFonts w:ascii="Tahoma" w:hAnsi="Tahoma"/>
                            <w:color w:val="231F20"/>
                            <w:w w:val="95"/>
                            <w:sz w:val="16"/>
                          </w:rPr>
                          <w:t>P</w:t>
                        </w:r>
                        <w:r>
                          <w:rPr>
                            <w:color w:val="231F20"/>
                            <w:w w:val="95"/>
                            <w:sz w:val="16"/>
                          </w:rPr>
                          <w:t></w:t>
                        </w:r>
                      </w:p>
                    </w:tc>
                    <w:tc>
                      <w:tcPr>
                        <w:tcW w:w="531"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19" w:type="dxa"/>
                      </w:tcPr>
                      <w:p w:rsidR="00B05397" w:rsidRDefault="00856287">
                        <w:pPr>
                          <w:pStyle w:val="TableParagraph"/>
                          <w:rPr>
                            <w:sz w:val="16"/>
                          </w:rPr>
                        </w:pPr>
                        <w:r>
                          <w:rPr>
                            <w:color w:val="231F20"/>
                            <w:w w:val="74"/>
                            <w:sz w:val="16"/>
                          </w:rPr>
                          <w:t></w:t>
                        </w:r>
                      </w:p>
                    </w:tc>
                    <w:tc>
                      <w:tcPr>
                        <w:tcW w:w="620"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ind w:right="105"/>
                          <w:rPr>
                            <w:sz w:val="16"/>
                          </w:rPr>
                        </w:pPr>
                        <w:r>
                          <w:rPr>
                            <w:color w:val="231F20"/>
                            <w:w w:val="74"/>
                            <w:sz w:val="16"/>
                          </w:rPr>
                          <w:t></w:t>
                        </w:r>
                      </w:p>
                    </w:tc>
                    <w:tc>
                      <w:tcPr>
                        <w:tcW w:w="525" w:type="dxa"/>
                      </w:tcPr>
                      <w:p w:rsidR="00B05397" w:rsidRDefault="00856287">
                        <w:pPr>
                          <w:pStyle w:val="TableParagraph"/>
                          <w:ind w:right="33"/>
                          <w:rPr>
                            <w:sz w:val="16"/>
                          </w:rPr>
                        </w:pPr>
                        <w:r>
                          <w:rPr>
                            <w:color w:val="231F20"/>
                            <w:w w:val="74"/>
                            <w:sz w:val="16"/>
                          </w:rPr>
                          <w:t></w:t>
                        </w:r>
                      </w:p>
                    </w:tc>
                  </w:tr>
                  <w:tr w:rsidR="00B05397">
                    <w:trPr>
                      <w:trHeight w:hRule="exact" w:val="219"/>
                    </w:trPr>
                    <w:tc>
                      <w:tcPr>
                        <w:tcW w:w="967" w:type="dxa"/>
                      </w:tcPr>
                      <w:p w:rsidR="00B05397" w:rsidRDefault="00856287">
                        <w:pPr>
                          <w:pStyle w:val="TableParagraph"/>
                          <w:spacing w:before="10"/>
                          <w:ind w:left="35" w:right="0"/>
                          <w:jc w:val="left"/>
                          <w:rPr>
                            <w:sz w:val="16"/>
                          </w:rPr>
                        </w:pPr>
                        <w:r>
                          <w:rPr>
                            <w:rFonts w:ascii="Tahoma" w:hAnsi="Tahoma"/>
                            <w:color w:val="231F20"/>
                            <w:w w:val="95"/>
                            <w:sz w:val="16"/>
                          </w:rPr>
                          <w:t>P</w:t>
                        </w:r>
                        <w:r>
                          <w:rPr>
                            <w:color w:val="231F20"/>
                            <w:w w:val="95"/>
                            <w:sz w:val="16"/>
                          </w:rPr>
                          <w:t></w:t>
                        </w:r>
                      </w:p>
                    </w:tc>
                    <w:tc>
                      <w:tcPr>
                        <w:tcW w:w="531"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19" w:type="dxa"/>
                      </w:tcPr>
                      <w:p w:rsidR="00B05397" w:rsidRDefault="00856287">
                        <w:pPr>
                          <w:pStyle w:val="TableParagraph"/>
                          <w:rPr>
                            <w:sz w:val="16"/>
                          </w:rPr>
                        </w:pPr>
                        <w:r>
                          <w:rPr>
                            <w:color w:val="231F20"/>
                            <w:w w:val="74"/>
                            <w:sz w:val="16"/>
                          </w:rPr>
                          <w:t></w:t>
                        </w:r>
                      </w:p>
                    </w:tc>
                    <w:tc>
                      <w:tcPr>
                        <w:tcW w:w="620"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ind w:right="105"/>
                          <w:rPr>
                            <w:sz w:val="16"/>
                          </w:rPr>
                        </w:pPr>
                        <w:r>
                          <w:rPr>
                            <w:color w:val="231F20"/>
                            <w:w w:val="74"/>
                            <w:sz w:val="16"/>
                          </w:rPr>
                          <w:t></w:t>
                        </w:r>
                      </w:p>
                    </w:tc>
                    <w:tc>
                      <w:tcPr>
                        <w:tcW w:w="525" w:type="dxa"/>
                      </w:tcPr>
                      <w:p w:rsidR="00B05397" w:rsidRDefault="00856287">
                        <w:pPr>
                          <w:pStyle w:val="TableParagraph"/>
                          <w:ind w:right="33"/>
                          <w:rPr>
                            <w:sz w:val="16"/>
                          </w:rPr>
                        </w:pPr>
                        <w:r>
                          <w:rPr>
                            <w:color w:val="231F20"/>
                            <w:w w:val="74"/>
                            <w:sz w:val="16"/>
                          </w:rPr>
                          <w:t></w:t>
                        </w:r>
                      </w:p>
                    </w:tc>
                  </w:tr>
                  <w:tr w:rsidR="00B05397">
                    <w:trPr>
                      <w:trHeight w:hRule="exact" w:val="219"/>
                    </w:trPr>
                    <w:tc>
                      <w:tcPr>
                        <w:tcW w:w="967" w:type="dxa"/>
                      </w:tcPr>
                      <w:p w:rsidR="00B05397" w:rsidRDefault="00856287">
                        <w:pPr>
                          <w:pStyle w:val="TableParagraph"/>
                          <w:spacing w:before="10"/>
                          <w:ind w:left="35" w:right="0"/>
                          <w:jc w:val="left"/>
                          <w:rPr>
                            <w:sz w:val="16"/>
                          </w:rPr>
                        </w:pPr>
                        <w:r>
                          <w:rPr>
                            <w:rFonts w:ascii="Tahoma" w:hAnsi="Tahoma"/>
                            <w:color w:val="231F20"/>
                            <w:w w:val="95"/>
                            <w:sz w:val="16"/>
                          </w:rPr>
                          <w:t>P</w:t>
                        </w:r>
                        <w:r>
                          <w:rPr>
                            <w:color w:val="231F20"/>
                            <w:w w:val="95"/>
                            <w:sz w:val="16"/>
                          </w:rPr>
                          <w:t></w:t>
                        </w:r>
                      </w:p>
                    </w:tc>
                    <w:tc>
                      <w:tcPr>
                        <w:tcW w:w="531"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19" w:type="dxa"/>
                      </w:tcPr>
                      <w:p w:rsidR="00B05397" w:rsidRDefault="00856287">
                        <w:pPr>
                          <w:pStyle w:val="TableParagraph"/>
                          <w:rPr>
                            <w:sz w:val="16"/>
                          </w:rPr>
                        </w:pPr>
                        <w:r>
                          <w:rPr>
                            <w:color w:val="231F20"/>
                            <w:w w:val="74"/>
                            <w:sz w:val="16"/>
                          </w:rPr>
                          <w:t></w:t>
                        </w:r>
                      </w:p>
                    </w:tc>
                    <w:tc>
                      <w:tcPr>
                        <w:tcW w:w="620"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ind w:right="105"/>
                          <w:rPr>
                            <w:sz w:val="16"/>
                          </w:rPr>
                        </w:pPr>
                        <w:r>
                          <w:rPr>
                            <w:color w:val="231F20"/>
                            <w:w w:val="74"/>
                            <w:sz w:val="16"/>
                          </w:rPr>
                          <w:t></w:t>
                        </w:r>
                      </w:p>
                    </w:tc>
                    <w:tc>
                      <w:tcPr>
                        <w:tcW w:w="525" w:type="dxa"/>
                      </w:tcPr>
                      <w:p w:rsidR="00B05397" w:rsidRDefault="00856287">
                        <w:pPr>
                          <w:pStyle w:val="TableParagraph"/>
                          <w:ind w:right="33"/>
                          <w:rPr>
                            <w:sz w:val="16"/>
                          </w:rPr>
                        </w:pPr>
                        <w:r>
                          <w:rPr>
                            <w:color w:val="231F20"/>
                            <w:w w:val="74"/>
                            <w:sz w:val="16"/>
                          </w:rPr>
                          <w:t></w:t>
                        </w:r>
                      </w:p>
                    </w:tc>
                  </w:tr>
                  <w:tr w:rsidR="00B05397">
                    <w:trPr>
                      <w:trHeight w:hRule="exact" w:val="219"/>
                    </w:trPr>
                    <w:tc>
                      <w:tcPr>
                        <w:tcW w:w="967" w:type="dxa"/>
                      </w:tcPr>
                      <w:p w:rsidR="00B05397" w:rsidRDefault="00856287">
                        <w:pPr>
                          <w:pStyle w:val="TableParagraph"/>
                          <w:spacing w:before="10"/>
                          <w:ind w:left="35" w:right="0"/>
                          <w:jc w:val="left"/>
                          <w:rPr>
                            <w:sz w:val="16"/>
                          </w:rPr>
                        </w:pPr>
                        <w:r>
                          <w:rPr>
                            <w:rFonts w:ascii="Tahoma" w:hAnsi="Tahoma"/>
                            <w:color w:val="231F20"/>
                            <w:w w:val="95"/>
                            <w:sz w:val="16"/>
                          </w:rPr>
                          <w:t>P</w:t>
                        </w:r>
                        <w:r>
                          <w:rPr>
                            <w:color w:val="231F20"/>
                            <w:w w:val="95"/>
                            <w:sz w:val="16"/>
                          </w:rPr>
                          <w:t></w:t>
                        </w:r>
                      </w:p>
                    </w:tc>
                    <w:tc>
                      <w:tcPr>
                        <w:tcW w:w="531"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19" w:type="dxa"/>
                      </w:tcPr>
                      <w:p w:rsidR="00B05397" w:rsidRDefault="00856287">
                        <w:pPr>
                          <w:pStyle w:val="TableParagraph"/>
                          <w:rPr>
                            <w:sz w:val="16"/>
                          </w:rPr>
                        </w:pPr>
                        <w:r>
                          <w:rPr>
                            <w:color w:val="231F20"/>
                            <w:w w:val="74"/>
                            <w:sz w:val="16"/>
                          </w:rPr>
                          <w:t></w:t>
                        </w:r>
                      </w:p>
                    </w:tc>
                    <w:tc>
                      <w:tcPr>
                        <w:tcW w:w="620"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ind w:right="105"/>
                          <w:rPr>
                            <w:sz w:val="16"/>
                          </w:rPr>
                        </w:pPr>
                        <w:r>
                          <w:rPr>
                            <w:color w:val="231F20"/>
                            <w:w w:val="74"/>
                            <w:sz w:val="16"/>
                          </w:rPr>
                          <w:t></w:t>
                        </w:r>
                      </w:p>
                    </w:tc>
                    <w:tc>
                      <w:tcPr>
                        <w:tcW w:w="525" w:type="dxa"/>
                      </w:tcPr>
                      <w:p w:rsidR="00B05397" w:rsidRDefault="00856287">
                        <w:pPr>
                          <w:pStyle w:val="TableParagraph"/>
                          <w:ind w:right="33"/>
                          <w:rPr>
                            <w:sz w:val="16"/>
                          </w:rPr>
                        </w:pPr>
                        <w:r>
                          <w:rPr>
                            <w:color w:val="231F20"/>
                            <w:w w:val="74"/>
                            <w:sz w:val="16"/>
                          </w:rPr>
                          <w:t></w:t>
                        </w:r>
                      </w:p>
                    </w:tc>
                  </w:tr>
                  <w:tr w:rsidR="00B05397">
                    <w:trPr>
                      <w:trHeight w:hRule="exact" w:val="219"/>
                    </w:trPr>
                    <w:tc>
                      <w:tcPr>
                        <w:tcW w:w="967" w:type="dxa"/>
                      </w:tcPr>
                      <w:p w:rsidR="00B05397" w:rsidRDefault="00856287">
                        <w:pPr>
                          <w:pStyle w:val="TableParagraph"/>
                          <w:spacing w:before="10"/>
                          <w:ind w:left="35" w:right="0"/>
                          <w:jc w:val="left"/>
                          <w:rPr>
                            <w:sz w:val="16"/>
                          </w:rPr>
                        </w:pPr>
                        <w:r>
                          <w:rPr>
                            <w:rFonts w:ascii="Tahoma" w:hAnsi="Tahoma"/>
                            <w:color w:val="231F20"/>
                            <w:w w:val="95"/>
                            <w:sz w:val="16"/>
                          </w:rPr>
                          <w:t>P</w:t>
                        </w:r>
                        <w:r>
                          <w:rPr>
                            <w:color w:val="231F20"/>
                            <w:w w:val="95"/>
                            <w:sz w:val="16"/>
                          </w:rPr>
                          <w:t></w:t>
                        </w:r>
                      </w:p>
                    </w:tc>
                    <w:tc>
                      <w:tcPr>
                        <w:tcW w:w="531"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19" w:type="dxa"/>
                      </w:tcPr>
                      <w:p w:rsidR="00B05397" w:rsidRDefault="00856287">
                        <w:pPr>
                          <w:pStyle w:val="TableParagraph"/>
                          <w:rPr>
                            <w:sz w:val="16"/>
                          </w:rPr>
                        </w:pPr>
                        <w:r>
                          <w:rPr>
                            <w:color w:val="231F20"/>
                            <w:w w:val="74"/>
                            <w:sz w:val="16"/>
                          </w:rPr>
                          <w:t></w:t>
                        </w:r>
                      </w:p>
                    </w:tc>
                    <w:tc>
                      <w:tcPr>
                        <w:tcW w:w="620"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ind w:right="105"/>
                          <w:rPr>
                            <w:sz w:val="16"/>
                          </w:rPr>
                        </w:pPr>
                        <w:r>
                          <w:rPr>
                            <w:color w:val="231F20"/>
                            <w:w w:val="74"/>
                            <w:sz w:val="16"/>
                          </w:rPr>
                          <w:t></w:t>
                        </w:r>
                      </w:p>
                    </w:tc>
                    <w:tc>
                      <w:tcPr>
                        <w:tcW w:w="525" w:type="dxa"/>
                      </w:tcPr>
                      <w:p w:rsidR="00B05397" w:rsidRDefault="00856287">
                        <w:pPr>
                          <w:pStyle w:val="TableParagraph"/>
                          <w:ind w:right="33"/>
                          <w:rPr>
                            <w:sz w:val="16"/>
                          </w:rPr>
                        </w:pPr>
                        <w:r>
                          <w:rPr>
                            <w:color w:val="231F20"/>
                            <w:w w:val="74"/>
                            <w:sz w:val="16"/>
                          </w:rPr>
                          <w:t></w:t>
                        </w:r>
                      </w:p>
                    </w:tc>
                  </w:tr>
                  <w:tr w:rsidR="00B05397">
                    <w:trPr>
                      <w:trHeight w:hRule="exact" w:val="219"/>
                    </w:trPr>
                    <w:tc>
                      <w:tcPr>
                        <w:tcW w:w="967" w:type="dxa"/>
                      </w:tcPr>
                      <w:p w:rsidR="00B05397" w:rsidRDefault="00856287">
                        <w:pPr>
                          <w:pStyle w:val="TableParagraph"/>
                          <w:spacing w:before="10"/>
                          <w:ind w:left="35" w:right="0"/>
                          <w:jc w:val="left"/>
                          <w:rPr>
                            <w:sz w:val="16"/>
                          </w:rPr>
                        </w:pPr>
                        <w:r>
                          <w:rPr>
                            <w:rFonts w:ascii="Tahoma" w:hAnsi="Tahoma"/>
                            <w:color w:val="231F20"/>
                            <w:w w:val="95"/>
                            <w:sz w:val="16"/>
                          </w:rPr>
                          <w:t>P</w:t>
                        </w:r>
                        <w:r>
                          <w:rPr>
                            <w:color w:val="231F20"/>
                            <w:w w:val="95"/>
                            <w:sz w:val="16"/>
                          </w:rPr>
                          <w:t></w:t>
                        </w:r>
                      </w:p>
                    </w:tc>
                    <w:tc>
                      <w:tcPr>
                        <w:tcW w:w="531"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19" w:type="dxa"/>
                      </w:tcPr>
                      <w:p w:rsidR="00B05397" w:rsidRDefault="00856287">
                        <w:pPr>
                          <w:pStyle w:val="TableParagraph"/>
                          <w:rPr>
                            <w:sz w:val="16"/>
                          </w:rPr>
                        </w:pPr>
                        <w:r>
                          <w:rPr>
                            <w:color w:val="231F20"/>
                            <w:w w:val="74"/>
                            <w:sz w:val="16"/>
                          </w:rPr>
                          <w:t></w:t>
                        </w:r>
                      </w:p>
                    </w:tc>
                    <w:tc>
                      <w:tcPr>
                        <w:tcW w:w="620"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ind w:right="105"/>
                          <w:rPr>
                            <w:sz w:val="16"/>
                          </w:rPr>
                        </w:pPr>
                        <w:r>
                          <w:rPr>
                            <w:color w:val="231F20"/>
                            <w:w w:val="74"/>
                            <w:sz w:val="16"/>
                          </w:rPr>
                          <w:t></w:t>
                        </w:r>
                      </w:p>
                    </w:tc>
                    <w:tc>
                      <w:tcPr>
                        <w:tcW w:w="525" w:type="dxa"/>
                      </w:tcPr>
                      <w:p w:rsidR="00B05397" w:rsidRDefault="00856287">
                        <w:pPr>
                          <w:pStyle w:val="TableParagraph"/>
                          <w:ind w:right="33"/>
                          <w:rPr>
                            <w:sz w:val="16"/>
                          </w:rPr>
                        </w:pPr>
                        <w:r>
                          <w:rPr>
                            <w:color w:val="231F20"/>
                            <w:w w:val="74"/>
                            <w:sz w:val="16"/>
                          </w:rPr>
                          <w:t></w:t>
                        </w:r>
                      </w:p>
                    </w:tc>
                  </w:tr>
                  <w:tr w:rsidR="00B05397">
                    <w:trPr>
                      <w:trHeight w:hRule="exact" w:val="219"/>
                    </w:trPr>
                    <w:tc>
                      <w:tcPr>
                        <w:tcW w:w="967" w:type="dxa"/>
                      </w:tcPr>
                      <w:p w:rsidR="00B05397" w:rsidRDefault="00856287">
                        <w:pPr>
                          <w:pStyle w:val="TableParagraph"/>
                          <w:spacing w:before="10"/>
                          <w:ind w:left="35" w:right="0"/>
                          <w:jc w:val="left"/>
                          <w:rPr>
                            <w:sz w:val="16"/>
                          </w:rPr>
                        </w:pPr>
                        <w:r>
                          <w:rPr>
                            <w:rFonts w:ascii="Tahoma" w:hAnsi="Tahoma"/>
                            <w:color w:val="231F20"/>
                            <w:w w:val="95"/>
                            <w:sz w:val="16"/>
                          </w:rPr>
                          <w:t>P</w:t>
                        </w:r>
                        <w:r>
                          <w:rPr>
                            <w:color w:val="231F20"/>
                            <w:w w:val="95"/>
                            <w:sz w:val="16"/>
                          </w:rPr>
                          <w:t></w:t>
                        </w:r>
                      </w:p>
                    </w:tc>
                    <w:tc>
                      <w:tcPr>
                        <w:tcW w:w="531"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19" w:type="dxa"/>
                      </w:tcPr>
                      <w:p w:rsidR="00B05397" w:rsidRDefault="00856287">
                        <w:pPr>
                          <w:pStyle w:val="TableParagraph"/>
                          <w:rPr>
                            <w:sz w:val="16"/>
                          </w:rPr>
                        </w:pPr>
                        <w:r>
                          <w:rPr>
                            <w:color w:val="231F20"/>
                            <w:w w:val="74"/>
                            <w:sz w:val="16"/>
                          </w:rPr>
                          <w:t></w:t>
                        </w:r>
                      </w:p>
                    </w:tc>
                    <w:tc>
                      <w:tcPr>
                        <w:tcW w:w="620"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ind w:right="105"/>
                          <w:rPr>
                            <w:sz w:val="16"/>
                          </w:rPr>
                        </w:pPr>
                        <w:r>
                          <w:rPr>
                            <w:color w:val="231F20"/>
                            <w:w w:val="74"/>
                            <w:sz w:val="16"/>
                          </w:rPr>
                          <w:t></w:t>
                        </w:r>
                      </w:p>
                    </w:tc>
                    <w:tc>
                      <w:tcPr>
                        <w:tcW w:w="525" w:type="dxa"/>
                      </w:tcPr>
                      <w:p w:rsidR="00B05397" w:rsidRDefault="00856287">
                        <w:pPr>
                          <w:pStyle w:val="TableParagraph"/>
                          <w:ind w:right="33"/>
                          <w:rPr>
                            <w:sz w:val="16"/>
                          </w:rPr>
                        </w:pPr>
                        <w:r>
                          <w:rPr>
                            <w:color w:val="231F20"/>
                            <w:w w:val="74"/>
                            <w:sz w:val="16"/>
                          </w:rPr>
                          <w:t></w:t>
                        </w:r>
                      </w:p>
                    </w:tc>
                  </w:tr>
                  <w:tr w:rsidR="00B05397">
                    <w:trPr>
                      <w:trHeight w:hRule="exact" w:val="249"/>
                    </w:trPr>
                    <w:tc>
                      <w:tcPr>
                        <w:tcW w:w="967" w:type="dxa"/>
                      </w:tcPr>
                      <w:p w:rsidR="00B05397" w:rsidRDefault="00856287">
                        <w:pPr>
                          <w:pStyle w:val="TableParagraph"/>
                          <w:spacing w:before="10"/>
                          <w:ind w:left="35" w:right="0"/>
                          <w:jc w:val="left"/>
                          <w:rPr>
                            <w:sz w:val="16"/>
                          </w:rPr>
                        </w:pPr>
                        <w:r>
                          <w:rPr>
                            <w:rFonts w:ascii="Tahoma" w:hAnsi="Tahoma"/>
                            <w:color w:val="231F20"/>
                            <w:w w:val="95"/>
                            <w:sz w:val="16"/>
                          </w:rPr>
                          <w:t>P</w:t>
                        </w:r>
                        <w:r>
                          <w:rPr>
                            <w:color w:val="231F20"/>
                            <w:w w:val="95"/>
                            <w:sz w:val="16"/>
                          </w:rPr>
                          <w:t></w:t>
                        </w:r>
                      </w:p>
                    </w:tc>
                    <w:tc>
                      <w:tcPr>
                        <w:tcW w:w="531"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71" w:type="dxa"/>
                      </w:tcPr>
                      <w:p w:rsidR="00B05397" w:rsidRDefault="00856287">
                        <w:pPr>
                          <w:pStyle w:val="TableParagraph"/>
                          <w:rPr>
                            <w:sz w:val="16"/>
                          </w:rPr>
                        </w:pPr>
                        <w:r>
                          <w:rPr>
                            <w:color w:val="231F20"/>
                            <w:w w:val="74"/>
                            <w:sz w:val="16"/>
                          </w:rPr>
                          <w:t></w:t>
                        </w:r>
                      </w:p>
                    </w:tc>
                    <w:tc>
                      <w:tcPr>
                        <w:tcW w:w="619" w:type="dxa"/>
                      </w:tcPr>
                      <w:p w:rsidR="00B05397" w:rsidRDefault="00856287">
                        <w:pPr>
                          <w:pStyle w:val="TableParagraph"/>
                          <w:rPr>
                            <w:sz w:val="16"/>
                          </w:rPr>
                        </w:pPr>
                        <w:r>
                          <w:rPr>
                            <w:color w:val="231F20"/>
                            <w:w w:val="74"/>
                            <w:sz w:val="16"/>
                          </w:rPr>
                          <w:t></w:t>
                        </w:r>
                      </w:p>
                    </w:tc>
                    <w:tc>
                      <w:tcPr>
                        <w:tcW w:w="620" w:type="dxa"/>
                      </w:tcPr>
                      <w:p w:rsidR="00B05397" w:rsidRDefault="00856287">
                        <w:pPr>
                          <w:pStyle w:val="TableParagraph"/>
                          <w:rPr>
                            <w:sz w:val="16"/>
                          </w:rPr>
                        </w:pPr>
                        <w:r>
                          <w:rPr>
                            <w:color w:val="231F20"/>
                            <w:w w:val="74"/>
                            <w:sz w:val="16"/>
                          </w:rPr>
                          <w:t></w:t>
                        </w:r>
                      </w:p>
                    </w:tc>
                    <w:tc>
                      <w:tcPr>
                        <w:tcW w:w="596" w:type="dxa"/>
                      </w:tcPr>
                      <w:p w:rsidR="00B05397" w:rsidRDefault="00856287">
                        <w:pPr>
                          <w:pStyle w:val="TableParagraph"/>
                          <w:ind w:right="105"/>
                          <w:rPr>
                            <w:sz w:val="16"/>
                          </w:rPr>
                        </w:pPr>
                        <w:r>
                          <w:rPr>
                            <w:color w:val="231F20"/>
                            <w:w w:val="74"/>
                            <w:sz w:val="16"/>
                          </w:rPr>
                          <w:t></w:t>
                        </w:r>
                      </w:p>
                    </w:tc>
                    <w:tc>
                      <w:tcPr>
                        <w:tcW w:w="525" w:type="dxa"/>
                      </w:tcPr>
                      <w:p w:rsidR="00B05397" w:rsidRDefault="00856287">
                        <w:pPr>
                          <w:pStyle w:val="TableParagraph"/>
                          <w:ind w:right="33"/>
                          <w:rPr>
                            <w:sz w:val="16"/>
                          </w:rPr>
                        </w:pPr>
                        <w:r>
                          <w:rPr>
                            <w:color w:val="231F20"/>
                            <w:w w:val="74"/>
                            <w:sz w:val="16"/>
                          </w:rPr>
                          <w:t></w:t>
                        </w:r>
                      </w:p>
                    </w:tc>
                  </w:tr>
                  <w:tr w:rsidR="00B05397">
                    <w:trPr>
                      <w:trHeight w:hRule="exact" w:val="330"/>
                    </w:trPr>
                    <w:tc>
                      <w:tcPr>
                        <w:tcW w:w="967" w:type="dxa"/>
                        <w:tcBorders>
                          <w:bottom w:val="single" w:sz="8" w:space="0" w:color="231F20"/>
                        </w:tcBorders>
                      </w:tcPr>
                      <w:p w:rsidR="00B05397" w:rsidRDefault="00856287">
                        <w:pPr>
                          <w:pStyle w:val="TableParagraph"/>
                          <w:spacing w:before="40"/>
                          <w:ind w:left="35" w:right="0"/>
                          <w:jc w:val="left"/>
                          <w:rPr>
                            <w:rFonts w:ascii="Tahoma"/>
                            <w:sz w:val="16"/>
                          </w:rPr>
                        </w:pPr>
                        <w:r>
                          <w:rPr>
                            <w:rFonts w:ascii="Tahoma"/>
                            <w:color w:val="231F20"/>
                            <w:sz w:val="16"/>
                          </w:rPr>
                          <w:t>Total</w:t>
                        </w:r>
                      </w:p>
                    </w:tc>
                    <w:tc>
                      <w:tcPr>
                        <w:tcW w:w="531" w:type="dxa"/>
                        <w:tcBorders>
                          <w:bottom w:val="single" w:sz="8" w:space="0" w:color="231F20"/>
                        </w:tcBorders>
                      </w:tcPr>
                      <w:p w:rsidR="00B05397" w:rsidRDefault="00856287">
                        <w:pPr>
                          <w:pStyle w:val="TableParagraph"/>
                          <w:spacing w:before="50"/>
                          <w:rPr>
                            <w:sz w:val="16"/>
                          </w:rPr>
                        </w:pPr>
                        <w:r>
                          <w:rPr>
                            <w:color w:val="231F20"/>
                            <w:w w:val="70"/>
                            <w:sz w:val="16"/>
                          </w:rPr>
                          <w:t></w:t>
                        </w:r>
                      </w:p>
                    </w:tc>
                    <w:tc>
                      <w:tcPr>
                        <w:tcW w:w="596" w:type="dxa"/>
                        <w:tcBorders>
                          <w:bottom w:val="single" w:sz="8" w:space="0" w:color="231F20"/>
                        </w:tcBorders>
                      </w:tcPr>
                      <w:p w:rsidR="00B05397" w:rsidRDefault="00856287">
                        <w:pPr>
                          <w:pStyle w:val="TableParagraph"/>
                          <w:spacing w:before="50"/>
                          <w:rPr>
                            <w:sz w:val="16"/>
                          </w:rPr>
                        </w:pPr>
                        <w:r>
                          <w:rPr>
                            <w:color w:val="231F20"/>
                            <w:w w:val="70"/>
                            <w:sz w:val="16"/>
                          </w:rPr>
                          <w:t></w:t>
                        </w:r>
                      </w:p>
                    </w:tc>
                    <w:tc>
                      <w:tcPr>
                        <w:tcW w:w="671" w:type="dxa"/>
                        <w:tcBorders>
                          <w:bottom w:val="single" w:sz="8" w:space="0" w:color="231F20"/>
                        </w:tcBorders>
                      </w:tcPr>
                      <w:p w:rsidR="00B05397" w:rsidRDefault="00856287">
                        <w:pPr>
                          <w:pStyle w:val="TableParagraph"/>
                          <w:spacing w:before="50"/>
                          <w:rPr>
                            <w:sz w:val="16"/>
                          </w:rPr>
                        </w:pPr>
                        <w:r>
                          <w:rPr>
                            <w:color w:val="231F20"/>
                            <w:w w:val="70"/>
                            <w:sz w:val="16"/>
                          </w:rPr>
                          <w:t></w:t>
                        </w:r>
                      </w:p>
                    </w:tc>
                    <w:tc>
                      <w:tcPr>
                        <w:tcW w:w="671" w:type="dxa"/>
                        <w:tcBorders>
                          <w:bottom w:val="single" w:sz="8" w:space="0" w:color="231F20"/>
                        </w:tcBorders>
                      </w:tcPr>
                      <w:p w:rsidR="00B05397" w:rsidRDefault="00856287">
                        <w:pPr>
                          <w:pStyle w:val="TableParagraph"/>
                          <w:spacing w:before="50"/>
                          <w:rPr>
                            <w:sz w:val="16"/>
                          </w:rPr>
                        </w:pPr>
                        <w:r>
                          <w:rPr>
                            <w:color w:val="231F20"/>
                            <w:w w:val="70"/>
                            <w:sz w:val="16"/>
                          </w:rPr>
                          <w:t></w:t>
                        </w:r>
                      </w:p>
                    </w:tc>
                    <w:tc>
                      <w:tcPr>
                        <w:tcW w:w="619" w:type="dxa"/>
                        <w:tcBorders>
                          <w:bottom w:val="single" w:sz="8" w:space="0" w:color="231F20"/>
                        </w:tcBorders>
                      </w:tcPr>
                      <w:p w:rsidR="00B05397" w:rsidRDefault="00856287">
                        <w:pPr>
                          <w:pStyle w:val="TableParagraph"/>
                          <w:spacing w:before="50"/>
                          <w:rPr>
                            <w:sz w:val="16"/>
                          </w:rPr>
                        </w:pPr>
                        <w:r>
                          <w:rPr>
                            <w:color w:val="231F20"/>
                            <w:w w:val="75"/>
                            <w:sz w:val="16"/>
                          </w:rPr>
                          <w:t></w:t>
                        </w:r>
                      </w:p>
                    </w:tc>
                    <w:tc>
                      <w:tcPr>
                        <w:tcW w:w="620" w:type="dxa"/>
                        <w:tcBorders>
                          <w:bottom w:val="single" w:sz="8" w:space="0" w:color="231F20"/>
                        </w:tcBorders>
                      </w:tcPr>
                      <w:p w:rsidR="00B05397" w:rsidRDefault="00856287">
                        <w:pPr>
                          <w:pStyle w:val="TableParagraph"/>
                          <w:spacing w:before="50"/>
                          <w:rPr>
                            <w:sz w:val="16"/>
                          </w:rPr>
                        </w:pPr>
                        <w:r>
                          <w:rPr>
                            <w:color w:val="231F20"/>
                            <w:w w:val="75"/>
                            <w:sz w:val="16"/>
                          </w:rPr>
                          <w:t></w:t>
                        </w:r>
                      </w:p>
                    </w:tc>
                    <w:tc>
                      <w:tcPr>
                        <w:tcW w:w="596" w:type="dxa"/>
                        <w:tcBorders>
                          <w:bottom w:val="single" w:sz="8" w:space="0" w:color="231F20"/>
                        </w:tcBorders>
                      </w:tcPr>
                      <w:p w:rsidR="00B05397" w:rsidRDefault="00856287">
                        <w:pPr>
                          <w:pStyle w:val="TableParagraph"/>
                          <w:spacing w:before="50"/>
                          <w:rPr>
                            <w:sz w:val="16"/>
                          </w:rPr>
                        </w:pPr>
                        <w:r>
                          <w:rPr>
                            <w:color w:val="231F20"/>
                            <w:w w:val="75"/>
                            <w:sz w:val="16"/>
                          </w:rPr>
                          <w:t></w:t>
                        </w:r>
                      </w:p>
                    </w:tc>
                    <w:tc>
                      <w:tcPr>
                        <w:tcW w:w="525" w:type="dxa"/>
                        <w:tcBorders>
                          <w:bottom w:val="single" w:sz="8" w:space="0" w:color="231F20"/>
                        </w:tcBorders>
                      </w:tcPr>
                      <w:p w:rsidR="00B05397" w:rsidRDefault="00856287">
                        <w:pPr>
                          <w:pStyle w:val="TableParagraph"/>
                          <w:spacing w:before="50"/>
                          <w:ind w:right="33"/>
                          <w:rPr>
                            <w:sz w:val="16"/>
                          </w:rPr>
                        </w:pPr>
                        <w:r>
                          <w:rPr>
                            <w:color w:val="231F20"/>
                            <w:w w:val="75"/>
                            <w:sz w:val="16"/>
                          </w:rPr>
                          <w:t></w:t>
                        </w:r>
                      </w:p>
                    </w:tc>
                  </w:tr>
                </w:tbl>
                <w:p w:rsidR="00B05397" w:rsidRDefault="00B05397">
                  <w:pPr>
                    <w:pStyle w:val="BodyText"/>
                  </w:pPr>
                </w:p>
              </w:txbxContent>
            </v:textbox>
            <w10:wrap anchorx="page"/>
          </v:shape>
        </w:pict>
      </w:r>
      <w:r>
        <w:rPr>
          <w:rFonts w:ascii="Cambria"/>
          <w:i/>
          <w:color w:val="231F20"/>
          <w:sz w:val="19"/>
        </w:rPr>
        <w:t>Estimated Witness</w:t>
      </w:r>
      <w:r>
        <w:rPr>
          <w:rFonts w:ascii="Cambria"/>
          <w:i/>
          <w:color w:val="231F20"/>
          <w:spacing w:val="40"/>
          <w:sz w:val="19"/>
        </w:rPr>
        <w:t xml:space="preserve"> </w:t>
      </w:r>
      <w:r>
        <w:rPr>
          <w:rFonts w:ascii="Cambria"/>
          <w:i/>
          <w:color w:val="231F20"/>
          <w:sz w:val="19"/>
        </w:rPr>
        <w:t>Certainty</w:t>
      </w:r>
      <w:r>
        <w:rPr>
          <w:rFonts w:ascii="Cambria"/>
          <w:i/>
          <w:color w:val="231F20"/>
          <w:spacing w:val="21"/>
          <w:sz w:val="19"/>
        </w:rPr>
        <w:t xml:space="preserve"> </w:t>
      </w:r>
      <w:r>
        <w:rPr>
          <w:rFonts w:ascii="Cambria"/>
          <w:i/>
          <w:color w:val="231F20"/>
          <w:sz w:val="19"/>
        </w:rPr>
        <w:t>Scale</w:t>
      </w:r>
      <w:r>
        <w:rPr>
          <w:color w:val="231F20"/>
          <w:position w:val="4"/>
          <w:sz w:val="16"/>
        </w:rPr>
        <w:tab/>
        <w:t>1</w:t>
      </w:r>
    </w:p>
    <w:p w:rsidR="00B05397" w:rsidRDefault="00B05397">
      <w:pPr>
        <w:pStyle w:val="BodyText"/>
        <w:rPr>
          <w:sz w:val="20"/>
        </w:rPr>
      </w:pPr>
    </w:p>
    <w:p w:rsidR="00B05397" w:rsidRDefault="00B05397">
      <w:pPr>
        <w:pStyle w:val="BodyText"/>
        <w:rPr>
          <w:sz w:val="20"/>
        </w:rPr>
      </w:pPr>
    </w:p>
    <w:p w:rsidR="00B05397" w:rsidRDefault="00B05397">
      <w:pPr>
        <w:pStyle w:val="BodyText"/>
        <w:spacing w:before="7"/>
        <w:rPr>
          <w:sz w:val="29"/>
        </w:rPr>
      </w:pPr>
    </w:p>
    <w:p w:rsidR="00B05397" w:rsidRDefault="00856287">
      <w:pPr>
        <w:ind w:right="200"/>
        <w:jc w:val="right"/>
        <w:rPr>
          <w:sz w:val="16"/>
        </w:rPr>
      </w:pPr>
      <w:r>
        <w:rPr>
          <w:color w:val="231F20"/>
          <w:w w:val="93"/>
          <w:sz w:val="16"/>
        </w:rPr>
        <w:t>5</w:t>
      </w:r>
    </w:p>
    <w:p w:rsidR="00B05397" w:rsidRDefault="00B05397">
      <w:pPr>
        <w:pStyle w:val="BodyText"/>
        <w:rPr>
          <w:sz w:val="16"/>
        </w:rPr>
      </w:pPr>
    </w:p>
    <w:p w:rsidR="00B05397" w:rsidRDefault="00B05397">
      <w:pPr>
        <w:pStyle w:val="BodyText"/>
        <w:rPr>
          <w:sz w:val="16"/>
        </w:rPr>
      </w:pPr>
    </w:p>
    <w:p w:rsidR="00B05397" w:rsidRDefault="00B05397">
      <w:pPr>
        <w:pStyle w:val="BodyText"/>
        <w:rPr>
          <w:sz w:val="16"/>
        </w:rPr>
      </w:pPr>
    </w:p>
    <w:p w:rsidR="00B05397" w:rsidRDefault="00B05397">
      <w:pPr>
        <w:pStyle w:val="BodyText"/>
        <w:rPr>
          <w:sz w:val="16"/>
        </w:rPr>
      </w:pPr>
    </w:p>
    <w:p w:rsidR="00B05397" w:rsidRDefault="00B05397">
      <w:pPr>
        <w:pStyle w:val="BodyText"/>
        <w:rPr>
          <w:sz w:val="16"/>
        </w:rPr>
      </w:pPr>
    </w:p>
    <w:p w:rsidR="00B05397" w:rsidRDefault="00B05397">
      <w:pPr>
        <w:pStyle w:val="BodyText"/>
        <w:spacing w:before="6"/>
        <w:rPr>
          <w:sz w:val="16"/>
        </w:rPr>
      </w:pPr>
    </w:p>
    <w:p w:rsidR="00B05397" w:rsidRDefault="00856287">
      <w:pPr>
        <w:spacing w:before="1"/>
        <w:ind w:right="119"/>
        <w:jc w:val="right"/>
        <w:rPr>
          <w:sz w:val="16"/>
        </w:rPr>
      </w:pPr>
      <w:r>
        <w:rPr>
          <w:color w:val="231F20"/>
          <w:w w:val="95"/>
          <w:sz w:val="16"/>
        </w:rPr>
        <w:t>10</w:t>
      </w:r>
    </w:p>
    <w:p w:rsidR="00B05397" w:rsidRDefault="00B05397">
      <w:pPr>
        <w:pStyle w:val="BodyText"/>
        <w:rPr>
          <w:sz w:val="16"/>
        </w:rPr>
      </w:pPr>
    </w:p>
    <w:p w:rsidR="00B05397" w:rsidRDefault="00B05397">
      <w:pPr>
        <w:pStyle w:val="BodyText"/>
        <w:rPr>
          <w:sz w:val="16"/>
        </w:rPr>
      </w:pPr>
    </w:p>
    <w:p w:rsidR="00B05397" w:rsidRDefault="00B05397">
      <w:pPr>
        <w:pStyle w:val="BodyText"/>
        <w:rPr>
          <w:sz w:val="16"/>
        </w:rPr>
      </w:pPr>
    </w:p>
    <w:p w:rsidR="00B05397" w:rsidRDefault="00B05397">
      <w:pPr>
        <w:pStyle w:val="BodyText"/>
        <w:rPr>
          <w:sz w:val="16"/>
        </w:rPr>
      </w:pPr>
    </w:p>
    <w:p w:rsidR="00B05397" w:rsidRDefault="00B05397">
      <w:pPr>
        <w:pStyle w:val="BodyText"/>
        <w:rPr>
          <w:sz w:val="16"/>
        </w:rPr>
      </w:pPr>
    </w:p>
    <w:p w:rsidR="00B05397" w:rsidRDefault="00B05397">
      <w:pPr>
        <w:pStyle w:val="BodyText"/>
        <w:spacing w:before="7"/>
        <w:rPr>
          <w:sz w:val="16"/>
        </w:rPr>
      </w:pPr>
    </w:p>
    <w:p w:rsidR="00B05397" w:rsidRDefault="00856287">
      <w:pPr>
        <w:ind w:right="135"/>
        <w:jc w:val="right"/>
        <w:rPr>
          <w:sz w:val="16"/>
        </w:rPr>
      </w:pPr>
      <w:r>
        <w:rPr>
          <w:color w:val="231F20"/>
          <w:w w:val="85"/>
          <w:sz w:val="16"/>
        </w:rPr>
        <w:t>15</w:t>
      </w:r>
    </w:p>
    <w:p w:rsidR="00B05397" w:rsidRDefault="00B05397">
      <w:pPr>
        <w:pStyle w:val="BodyText"/>
        <w:rPr>
          <w:sz w:val="16"/>
        </w:rPr>
      </w:pPr>
    </w:p>
    <w:p w:rsidR="00B05397" w:rsidRDefault="00B05397">
      <w:pPr>
        <w:pStyle w:val="BodyText"/>
        <w:rPr>
          <w:sz w:val="16"/>
        </w:rPr>
      </w:pPr>
    </w:p>
    <w:p w:rsidR="00B05397" w:rsidRDefault="00B05397">
      <w:pPr>
        <w:pStyle w:val="BodyText"/>
        <w:rPr>
          <w:sz w:val="16"/>
        </w:rPr>
      </w:pPr>
    </w:p>
    <w:p w:rsidR="00B05397" w:rsidRDefault="00B05397">
      <w:pPr>
        <w:pStyle w:val="BodyText"/>
        <w:rPr>
          <w:sz w:val="16"/>
        </w:rPr>
      </w:pPr>
    </w:p>
    <w:p w:rsidR="00B05397" w:rsidRDefault="00B05397">
      <w:pPr>
        <w:pStyle w:val="BodyText"/>
        <w:rPr>
          <w:sz w:val="16"/>
        </w:rPr>
      </w:pPr>
    </w:p>
    <w:p w:rsidR="00B05397" w:rsidRDefault="00B05397">
      <w:pPr>
        <w:pStyle w:val="BodyText"/>
        <w:spacing w:before="8"/>
        <w:rPr>
          <w:sz w:val="16"/>
        </w:rPr>
      </w:pPr>
    </w:p>
    <w:p w:rsidR="00B05397" w:rsidRDefault="00856287">
      <w:pPr>
        <w:ind w:right="114"/>
        <w:jc w:val="right"/>
        <w:rPr>
          <w:sz w:val="16"/>
        </w:rPr>
      </w:pPr>
      <w:r>
        <w:rPr>
          <w:color w:val="231F20"/>
          <w:sz w:val="16"/>
        </w:rPr>
        <w:t>20</w:t>
      </w:r>
    </w:p>
    <w:p w:rsidR="00B05397" w:rsidRDefault="00B05397">
      <w:pPr>
        <w:pStyle w:val="BodyText"/>
        <w:rPr>
          <w:sz w:val="16"/>
        </w:rPr>
      </w:pPr>
    </w:p>
    <w:p w:rsidR="00B05397" w:rsidRDefault="00B05397">
      <w:pPr>
        <w:pStyle w:val="BodyText"/>
        <w:rPr>
          <w:sz w:val="16"/>
        </w:rPr>
      </w:pPr>
    </w:p>
    <w:p w:rsidR="00B05397" w:rsidRDefault="00B05397">
      <w:pPr>
        <w:pStyle w:val="BodyText"/>
        <w:rPr>
          <w:sz w:val="16"/>
        </w:rPr>
      </w:pPr>
    </w:p>
    <w:p w:rsidR="00B05397" w:rsidRDefault="00B05397">
      <w:pPr>
        <w:pStyle w:val="BodyText"/>
        <w:rPr>
          <w:sz w:val="16"/>
        </w:rPr>
      </w:pPr>
    </w:p>
    <w:p w:rsidR="00B05397" w:rsidRDefault="00B05397">
      <w:pPr>
        <w:pStyle w:val="BodyText"/>
        <w:rPr>
          <w:sz w:val="16"/>
        </w:rPr>
      </w:pPr>
    </w:p>
    <w:p w:rsidR="00B05397" w:rsidRDefault="00B05397">
      <w:pPr>
        <w:pStyle w:val="BodyText"/>
        <w:spacing w:before="6"/>
        <w:rPr>
          <w:sz w:val="16"/>
        </w:rPr>
      </w:pPr>
    </w:p>
    <w:p w:rsidR="00B05397" w:rsidRDefault="00856287">
      <w:pPr>
        <w:spacing w:before="1"/>
        <w:ind w:right="130"/>
        <w:jc w:val="right"/>
        <w:rPr>
          <w:sz w:val="16"/>
        </w:rPr>
      </w:pPr>
      <w:r>
        <w:rPr>
          <w:color w:val="231F20"/>
          <w:w w:val="90"/>
          <w:sz w:val="16"/>
        </w:rPr>
        <w:t>25</w:t>
      </w:r>
    </w:p>
    <w:p w:rsidR="00B05397" w:rsidRDefault="00B05397">
      <w:pPr>
        <w:pStyle w:val="BodyText"/>
        <w:rPr>
          <w:sz w:val="16"/>
        </w:rPr>
      </w:pPr>
    </w:p>
    <w:p w:rsidR="00B05397" w:rsidRDefault="00B05397">
      <w:pPr>
        <w:pStyle w:val="BodyText"/>
        <w:rPr>
          <w:sz w:val="16"/>
        </w:rPr>
      </w:pPr>
    </w:p>
    <w:p w:rsidR="00B05397" w:rsidRDefault="00B05397">
      <w:pPr>
        <w:pStyle w:val="BodyText"/>
        <w:rPr>
          <w:sz w:val="16"/>
        </w:rPr>
      </w:pPr>
    </w:p>
    <w:p w:rsidR="00B05397" w:rsidRDefault="00B05397">
      <w:pPr>
        <w:pStyle w:val="BodyText"/>
        <w:rPr>
          <w:sz w:val="16"/>
        </w:rPr>
      </w:pPr>
    </w:p>
    <w:p w:rsidR="00B05397" w:rsidRDefault="00B05397">
      <w:pPr>
        <w:pStyle w:val="BodyText"/>
        <w:rPr>
          <w:sz w:val="16"/>
        </w:rPr>
      </w:pPr>
    </w:p>
    <w:p w:rsidR="00B05397" w:rsidRDefault="00B05397">
      <w:pPr>
        <w:pStyle w:val="BodyText"/>
        <w:spacing w:before="7"/>
        <w:rPr>
          <w:sz w:val="16"/>
        </w:rPr>
      </w:pPr>
    </w:p>
    <w:p w:rsidR="00B05397" w:rsidRDefault="00856287">
      <w:pPr>
        <w:ind w:right="107"/>
        <w:jc w:val="right"/>
        <w:rPr>
          <w:sz w:val="16"/>
        </w:rPr>
      </w:pPr>
      <w:r>
        <w:rPr>
          <w:color w:val="231F20"/>
          <w:sz w:val="16"/>
        </w:rPr>
        <w:t>30</w:t>
      </w:r>
    </w:p>
    <w:p w:rsidR="00B05397" w:rsidRDefault="00B05397">
      <w:pPr>
        <w:pStyle w:val="BodyText"/>
        <w:rPr>
          <w:sz w:val="16"/>
        </w:rPr>
      </w:pPr>
    </w:p>
    <w:p w:rsidR="00B05397" w:rsidRDefault="00B05397">
      <w:pPr>
        <w:pStyle w:val="BodyText"/>
        <w:rPr>
          <w:sz w:val="16"/>
        </w:rPr>
      </w:pPr>
    </w:p>
    <w:p w:rsidR="00B05397" w:rsidRDefault="00B05397">
      <w:pPr>
        <w:pStyle w:val="BodyText"/>
        <w:rPr>
          <w:sz w:val="16"/>
        </w:rPr>
      </w:pPr>
    </w:p>
    <w:p w:rsidR="00B05397" w:rsidRDefault="00B05397">
      <w:pPr>
        <w:pStyle w:val="BodyText"/>
        <w:rPr>
          <w:sz w:val="16"/>
        </w:rPr>
      </w:pPr>
    </w:p>
    <w:p w:rsidR="00B05397" w:rsidRDefault="00B05397">
      <w:pPr>
        <w:pStyle w:val="BodyText"/>
        <w:rPr>
          <w:sz w:val="16"/>
        </w:rPr>
      </w:pPr>
    </w:p>
    <w:p w:rsidR="00B05397" w:rsidRDefault="00B05397">
      <w:pPr>
        <w:pStyle w:val="BodyText"/>
        <w:spacing w:before="6"/>
        <w:rPr>
          <w:sz w:val="16"/>
        </w:rPr>
      </w:pPr>
    </w:p>
    <w:p w:rsidR="00B05397" w:rsidRDefault="00856287">
      <w:pPr>
        <w:spacing w:before="1"/>
        <w:ind w:right="124"/>
        <w:jc w:val="right"/>
        <w:rPr>
          <w:sz w:val="16"/>
        </w:rPr>
      </w:pPr>
      <w:r>
        <w:rPr>
          <w:color w:val="231F20"/>
          <w:w w:val="95"/>
          <w:sz w:val="16"/>
        </w:rPr>
        <w:t>35</w:t>
      </w:r>
    </w:p>
    <w:p w:rsidR="00B05397" w:rsidRDefault="00B05397">
      <w:pPr>
        <w:pStyle w:val="BodyText"/>
        <w:rPr>
          <w:sz w:val="16"/>
        </w:rPr>
      </w:pPr>
    </w:p>
    <w:p w:rsidR="00B05397" w:rsidRDefault="00B05397">
      <w:pPr>
        <w:pStyle w:val="BodyText"/>
        <w:rPr>
          <w:sz w:val="16"/>
        </w:rPr>
      </w:pPr>
    </w:p>
    <w:p w:rsidR="00B05397" w:rsidRDefault="00B05397">
      <w:pPr>
        <w:pStyle w:val="BodyText"/>
        <w:rPr>
          <w:sz w:val="16"/>
        </w:rPr>
      </w:pPr>
    </w:p>
    <w:p w:rsidR="00B05397" w:rsidRDefault="00B05397">
      <w:pPr>
        <w:pStyle w:val="BodyText"/>
        <w:rPr>
          <w:sz w:val="16"/>
        </w:rPr>
      </w:pPr>
    </w:p>
    <w:p w:rsidR="00B05397" w:rsidRDefault="00B05397">
      <w:pPr>
        <w:pStyle w:val="BodyText"/>
        <w:rPr>
          <w:sz w:val="16"/>
        </w:rPr>
      </w:pPr>
    </w:p>
    <w:p w:rsidR="00B05397" w:rsidRDefault="00B05397">
      <w:pPr>
        <w:pStyle w:val="BodyText"/>
        <w:spacing w:before="8"/>
        <w:rPr>
          <w:sz w:val="16"/>
        </w:rPr>
      </w:pPr>
    </w:p>
    <w:p w:rsidR="00B05397" w:rsidRDefault="00856287">
      <w:pPr>
        <w:ind w:right="99"/>
        <w:jc w:val="right"/>
        <w:rPr>
          <w:sz w:val="16"/>
        </w:rPr>
      </w:pPr>
      <w:r>
        <w:rPr>
          <w:color w:val="231F20"/>
          <w:w w:val="110"/>
          <w:sz w:val="16"/>
        </w:rPr>
        <w:t>40</w:t>
      </w:r>
    </w:p>
    <w:sectPr w:rsidR="00B05397">
      <w:pgSz w:w="8790" w:h="13040"/>
      <w:pgMar w:top="700" w:right="800" w:bottom="280" w:left="880" w:header="517"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856287">
      <w:r>
        <w:separator/>
      </w:r>
    </w:p>
  </w:endnote>
  <w:endnote w:type="continuationSeparator" w:id="0">
    <w:p w:rsidR="00000000" w:rsidRDefault="008562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rebuchet MS">
    <w:altName w:val="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Cambria">
    <w:altName w:val="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856287">
      <w:r>
        <w:separator/>
      </w:r>
    </w:p>
  </w:footnote>
  <w:footnote w:type="continuationSeparator" w:id="0">
    <w:p w:rsidR="00000000" w:rsidRDefault="0085628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5397" w:rsidRDefault="00B05397">
    <w:pPr>
      <w:pStyle w:val="BodyText"/>
      <w:spacing w:line="14" w:lineRule="auto"/>
      <w:rPr>
        <w:sz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5397" w:rsidRDefault="00B05397">
    <w:pPr>
      <w:pStyle w:val="BodyText"/>
      <w:spacing w:line="14" w:lineRule="auto"/>
      <w:rPr>
        <w:sz w:val="2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5397" w:rsidRDefault="00B05397">
    <w:pPr>
      <w:pStyle w:val="BodyText"/>
      <w:spacing w:line="14" w:lineRule="auto"/>
      <w:rPr>
        <w:sz w:val="20"/>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5397" w:rsidRDefault="00B05397">
    <w:pPr>
      <w:pStyle w:val="BodyText"/>
      <w:spacing w:line="14" w:lineRule="auto"/>
      <w:rPr>
        <w:sz w:val="20"/>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5397" w:rsidRDefault="00B05397">
    <w:pPr>
      <w:pStyle w:val="BodyText"/>
      <w:spacing w:line="14" w:lineRule="auto"/>
      <w:rPr>
        <w:sz w:val="20"/>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5397" w:rsidRDefault="00B05397">
    <w:pPr>
      <w:pStyle w:val="BodyText"/>
      <w:spacing w:line="14" w:lineRule="auto"/>
      <w:rPr>
        <w:sz w:val="20"/>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5397" w:rsidRDefault="00B05397">
    <w:pPr>
      <w:pStyle w:val="BodyText"/>
      <w:spacing w:line="14" w:lineRule="auto"/>
      <w:rPr>
        <w:sz w:val="20"/>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5397" w:rsidRDefault="00B05397">
    <w:pPr>
      <w:pStyle w:val="BodyText"/>
      <w:spacing w:line="14" w:lineRule="auto"/>
      <w:rPr>
        <w:sz w:val="20"/>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5397" w:rsidRDefault="00B05397">
    <w:pPr>
      <w:pStyle w:val="BodyText"/>
      <w:spacing w:line="14" w:lineRule="auto"/>
      <w:rPr>
        <w:sz w:val="20"/>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5397" w:rsidRDefault="00B05397">
    <w:pPr>
      <w:pStyle w:val="BodyText"/>
      <w:spacing w:line="14" w:lineRule="auto"/>
      <w:rPr>
        <w:sz w:val="20"/>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5397" w:rsidRDefault="00B05397">
    <w:pPr>
      <w:pStyle w:val="BodyText"/>
      <w:spacing w:line="14" w:lineRule="auto"/>
      <w:rPr>
        <w:sz w:val="20"/>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5397" w:rsidRDefault="00B05397">
    <w:pPr>
      <w:pStyle w:val="BodyText"/>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0B5B20"/>
    <w:multiLevelType w:val="multilevel"/>
    <w:tmpl w:val="63C0130E"/>
    <w:lvl w:ilvl="0">
      <w:start w:val="2"/>
      <w:numFmt w:val="decimal"/>
      <w:lvlText w:val="%1"/>
      <w:lvlJc w:val="left"/>
      <w:pPr>
        <w:ind w:left="428" w:hanging="318"/>
        <w:jc w:val="left"/>
      </w:pPr>
      <w:rPr>
        <w:rFonts w:hint="default"/>
        <w:w w:val="106"/>
      </w:rPr>
    </w:lvl>
    <w:lvl w:ilvl="1">
      <w:start w:val="1"/>
      <w:numFmt w:val="decimal"/>
      <w:lvlText w:val="%1.%2"/>
      <w:lvlJc w:val="left"/>
      <w:pPr>
        <w:ind w:left="1101" w:hanging="421"/>
        <w:jc w:val="right"/>
      </w:pPr>
      <w:rPr>
        <w:rFonts w:ascii="Trebuchet MS" w:eastAsia="Trebuchet MS" w:hAnsi="Trebuchet MS" w:cs="Trebuchet MS" w:hint="default"/>
        <w:color w:val="231F20"/>
        <w:w w:val="88"/>
        <w:sz w:val="24"/>
        <w:szCs w:val="24"/>
      </w:rPr>
    </w:lvl>
    <w:lvl w:ilvl="2">
      <w:numFmt w:val="bullet"/>
      <w:lvlText w:val="•"/>
      <w:lvlJc w:val="left"/>
      <w:pPr>
        <w:ind w:left="1745" w:hanging="421"/>
      </w:pPr>
      <w:rPr>
        <w:rFonts w:hint="default"/>
      </w:rPr>
    </w:lvl>
    <w:lvl w:ilvl="3">
      <w:numFmt w:val="bullet"/>
      <w:lvlText w:val="•"/>
      <w:lvlJc w:val="left"/>
      <w:pPr>
        <w:ind w:left="2390" w:hanging="421"/>
      </w:pPr>
      <w:rPr>
        <w:rFonts w:hint="default"/>
      </w:rPr>
    </w:lvl>
    <w:lvl w:ilvl="4">
      <w:numFmt w:val="bullet"/>
      <w:lvlText w:val="•"/>
      <w:lvlJc w:val="left"/>
      <w:pPr>
        <w:ind w:left="3035" w:hanging="421"/>
      </w:pPr>
      <w:rPr>
        <w:rFonts w:hint="default"/>
      </w:rPr>
    </w:lvl>
    <w:lvl w:ilvl="5">
      <w:numFmt w:val="bullet"/>
      <w:lvlText w:val="•"/>
      <w:lvlJc w:val="left"/>
      <w:pPr>
        <w:ind w:left="3681" w:hanging="421"/>
      </w:pPr>
      <w:rPr>
        <w:rFonts w:hint="default"/>
      </w:rPr>
    </w:lvl>
    <w:lvl w:ilvl="6">
      <w:numFmt w:val="bullet"/>
      <w:lvlText w:val="•"/>
      <w:lvlJc w:val="left"/>
      <w:pPr>
        <w:ind w:left="4326" w:hanging="421"/>
      </w:pPr>
      <w:rPr>
        <w:rFonts w:hint="default"/>
      </w:rPr>
    </w:lvl>
    <w:lvl w:ilvl="7">
      <w:numFmt w:val="bullet"/>
      <w:lvlText w:val="•"/>
      <w:lvlJc w:val="left"/>
      <w:pPr>
        <w:ind w:left="4971" w:hanging="421"/>
      </w:pPr>
      <w:rPr>
        <w:rFonts w:hint="default"/>
      </w:rPr>
    </w:lvl>
    <w:lvl w:ilvl="8">
      <w:numFmt w:val="bullet"/>
      <w:lvlText w:val="•"/>
      <w:lvlJc w:val="left"/>
      <w:pPr>
        <w:ind w:left="5616" w:hanging="421"/>
      </w:pPr>
      <w:rPr>
        <w:rFonts w:hint="default"/>
      </w:rPr>
    </w:lvl>
  </w:abstractNum>
  <w:abstractNum w:abstractNumId="1" w15:restartNumberingAfterBreak="0">
    <w:nsid w:val="1A8B6CB4"/>
    <w:multiLevelType w:val="hybridMultilevel"/>
    <w:tmpl w:val="2178572C"/>
    <w:lvl w:ilvl="0" w:tplc="89540522">
      <w:start w:val="1"/>
      <w:numFmt w:val="lowerRoman"/>
      <w:lvlText w:val="(%1)"/>
      <w:lvlJc w:val="left"/>
      <w:pPr>
        <w:ind w:left="626" w:hanging="395"/>
        <w:jc w:val="right"/>
      </w:pPr>
      <w:rPr>
        <w:rFonts w:ascii="Times New Roman" w:eastAsia="Times New Roman" w:hAnsi="Times New Roman" w:cs="Times New Roman" w:hint="default"/>
        <w:color w:val="231F20"/>
        <w:w w:val="97"/>
        <w:sz w:val="19"/>
        <w:szCs w:val="19"/>
      </w:rPr>
    </w:lvl>
    <w:lvl w:ilvl="1" w:tplc="427AC5C2">
      <w:numFmt w:val="bullet"/>
      <w:lvlText w:val="•"/>
      <w:lvlJc w:val="left"/>
      <w:pPr>
        <w:ind w:left="1266" w:hanging="395"/>
      </w:pPr>
      <w:rPr>
        <w:rFonts w:hint="default"/>
      </w:rPr>
    </w:lvl>
    <w:lvl w:ilvl="2" w:tplc="552CEC0C">
      <w:numFmt w:val="bullet"/>
      <w:lvlText w:val="•"/>
      <w:lvlJc w:val="left"/>
      <w:pPr>
        <w:ind w:left="1913" w:hanging="395"/>
      </w:pPr>
      <w:rPr>
        <w:rFonts w:hint="default"/>
      </w:rPr>
    </w:lvl>
    <w:lvl w:ilvl="3" w:tplc="445E4F94">
      <w:numFmt w:val="bullet"/>
      <w:lvlText w:val="•"/>
      <w:lvlJc w:val="left"/>
      <w:pPr>
        <w:ind w:left="2560" w:hanging="395"/>
      </w:pPr>
      <w:rPr>
        <w:rFonts w:hint="default"/>
      </w:rPr>
    </w:lvl>
    <w:lvl w:ilvl="4" w:tplc="51DA76EA">
      <w:numFmt w:val="bullet"/>
      <w:lvlText w:val="•"/>
      <w:lvlJc w:val="left"/>
      <w:pPr>
        <w:ind w:left="3206" w:hanging="395"/>
      </w:pPr>
      <w:rPr>
        <w:rFonts w:hint="default"/>
      </w:rPr>
    </w:lvl>
    <w:lvl w:ilvl="5" w:tplc="766216EE">
      <w:numFmt w:val="bullet"/>
      <w:lvlText w:val="•"/>
      <w:lvlJc w:val="left"/>
      <w:pPr>
        <w:ind w:left="3853" w:hanging="395"/>
      </w:pPr>
      <w:rPr>
        <w:rFonts w:hint="default"/>
      </w:rPr>
    </w:lvl>
    <w:lvl w:ilvl="6" w:tplc="0B8C358C">
      <w:numFmt w:val="bullet"/>
      <w:lvlText w:val="•"/>
      <w:lvlJc w:val="left"/>
      <w:pPr>
        <w:ind w:left="4500" w:hanging="395"/>
      </w:pPr>
      <w:rPr>
        <w:rFonts w:hint="default"/>
      </w:rPr>
    </w:lvl>
    <w:lvl w:ilvl="7" w:tplc="8B5CDAF2">
      <w:numFmt w:val="bullet"/>
      <w:lvlText w:val="•"/>
      <w:lvlJc w:val="left"/>
      <w:pPr>
        <w:ind w:left="5147" w:hanging="395"/>
      </w:pPr>
      <w:rPr>
        <w:rFonts w:hint="default"/>
      </w:rPr>
    </w:lvl>
    <w:lvl w:ilvl="8" w:tplc="07EA206E">
      <w:numFmt w:val="bullet"/>
      <w:lvlText w:val="•"/>
      <w:lvlJc w:val="left"/>
      <w:pPr>
        <w:ind w:left="5793" w:hanging="395"/>
      </w:pPr>
      <w:rPr>
        <w:rFonts w:hint="default"/>
      </w:rPr>
    </w:lvl>
  </w:abstractNum>
  <w:abstractNum w:abstractNumId="2" w15:restartNumberingAfterBreak="0">
    <w:nsid w:val="1F7921BC"/>
    <w:multiLevelType w:val="hybridMultilevel"/>
    <w:tmpl w:val="AA7262AC"/>
    <w:lvl w:ilvl="0" w:tplc="BEA8E4D4">
      <w:start w:val="3"/>
      <w:numFmt w:val="decimal"/>
      <w:lvlText w:val="%1"/>
      <w:lvlJc w:val="left"/>
      <w:pPr>
        <w:ind w:left="130" w:hanging="309"/>
        <w:jc w:val="left"/>
      </w:pPr>
      <w:rPr>
        <w:rFonts w:hint="default"/>
        <w:w w:val="100"/>
      </w:rPr>
    </w:lvl>
    <w:lvl w:ilvl="1" w:tplc="219A9964">
      <w:numFmt w:val="bullet"/>
      <w:lvlText w:val="•"/>
      <w:lvlJc w:val="left"/>
      <w:pPr>
        <w:ind w:left="540" w:hanging="309"/>
      </w:pPr>
      <w:rPr>
        <w:rFonts w:hint="default"/>
      </w:rPr>
    </w:lvl>
    <w:lvl w:ilvl="2" w:tplc="2D44FF92">
      <w:numFmt w:val="bullet"/>
      <w:lvlText w:val="•"/>
      <w:lvlJc w:val="left"/>
      <w:pPr>
        <w:ind w:left="1269" w:hanging="309"/>
      </w:pPr>
      <w:rPr>
        <w:rFonts w:hint="default"/>
      </w:rPr>
    </w:lvl>
    <w:lvl w:ilvl="3" w:tplc="50123EF0">
      <w:numFmt w:val="bullet"/>
      <w:lvlText w:val="•"/>
      <w:lvlJc w:val="left"/>
      <w:pPr>
        <w:ind w:left="1999" w:hanging="309"/>
      </w:pPr>
      <w:rPr>
        <w:rFonts w:hint="default"/>
      </w:rPr>
    </w:lvl>
    <w:lvl w:ilvl="4" w:tplc="CCA0C222">
      <w:numFmt w:val="bullet"/>
      <w:lvlText w:val="•"/>
      <w:lvlJc w:val="left"/>
      <w:pPr>
        <w:ind w:left="2729" w:hanging="309"/>
      </w:pPr>
      <w:rPr>
        <w:rFonts w:hint="default"/>
      </w:rPr>
    </w:lvl>
    <w:lvl w:ilvl="5" w:tplc="232EFFE0">
      <w:numFmt w:val="bullet"/>
      <w:lvlText w:val="•"/>
      <w:lvlJc w:val="left"/>
      <w:pPr>
        <w:ind w:left="3458" w:hanging="309"/>
      </w:pPr>
      <w:rPr>
        <w:rFonts w:hint="default"/>
      </w:rPr>
    </w:lvl>
    <w:lvl w:ilvl="6" w:tplc="01740848">
      <w:numFmt w:val="bullet"/>
      <w:lvlText w:val="•"/>
      <w:lvlJc w:val="left"/>
      <w:pPr>
        <w:ind w:left="4188" w:hanging="309"/>
      </w:pPr>
      <w:rPr>
        <w:rFonts w:hint="default"/>
      </w:rPr>
    </w:lvl>
    <w:lvl w:ilvl="7" w:tplc="0AD4C9F4">
      <w:numFmt w:val="bullet"/>
      <w:lvlText w:val="•"/>
      <w:lvlJc w:val="left"/>
      <w:pPr>
        <w:ind w:left="4918" w:hanging="309"/>
      </w:pPr>
      <w:rPr>
        <w:rFonts w:hint="default"/>
      </w:rPr>
    </w:lvl>
    <w:lvl w:ilvl="8" w:tplc="5198B6D6">
      <w:numFmt w:val="bullet"/>
      <w:lvlText w:val="•"/>
      <w:lvlJc w:val="left"/>
      <w:pPr>
        <w:ind w:left="5647" w:hanging="309"/>
      </w:pPr>
      <w:rPr>
        <w:rFonts w:hint="default"/>
      </w:rPr>
    </w:lvl>
  </w:abstractNum>
  <w:abstractNum w:abstractNumId="3" w15:restartNumberingAfterBreak="0">
    <w:nsid w:val="3FCD5C51"/>
    <w:multiLevelType w:val="multilevel"/>
    <w:tmpl w:val="47247D7A"/>
    <w:lvl w:ilvl="0">
      <w:start w:val="3"/>
      <w:numFmt w:val="decimal"/>
      <w:lvlText w:val="%1"/>
      <w:lvlJc w:val="left"/>
      <w:pPr>
        <w:ind w:left="120" w:hanging="449"/>
        <w:jc w:val="left"/>
      </w:pPr>
      <w:rPr>
        <w:rFonts w:hint="default"/>
      </w:rPr>
    </w:lvl>
    <w:lvl w:ilvl="1">
      <w:start w:val="2"/>
      <w:numFmt w:val="decimal"/>
      <w:lvlText w:val="%1.%2"/>
      <w:lvlJc w:val="left"/>
      <w:pPr>
        <w:ind w:left="559" w:hanging="449"/>
        <w:jc w:val="left"/>
      </w:pPr>
      <w:rPr>
        <w:rFonts w:ascii="Trebuchet MS" w:eastAsia="Trebuchet MS" w:hAnsi="Trebuchet MS" w:cs="Trebuchet MS" w:hint="default"/>
        <w:color w:val="231F20"/>
        <w:w w:val="96"/>
        <w:sz w:val="24"/>
        <w:szCs w:val="24"/>
      </w:rPr>
    </w:lvl>
    <w:lvl w:ilvl="2">
      <w:numFmt w:val="bullet"/>
      <w:lvlText w:val="•"/>
      <w:lvlJc w:val="left"/>
      <w:pPr>
        <w:ind w:left="1285" w:hanging="449"/>
      </w:pPr>
      <w:rPr>
        <w:rFonts w:hint="default"/>
      </w:rPr>
    </w:lvl>
    <w:lvl w:ilvl="3">
      <w:numFmt w:val="bullet"/>
      <w:lvlText w:val="•"/>
      <w:lvlJc w:val="left"/>
      <w:pPr>
        <w:ind w:left="2010" w:hanging="449"/>
      </w:pPr>
      <w:rPr>
        <w:rFonts w:hint="default"/>
      </w:rPr>
    </w:lvl>
    <w:lvl w:ilvl="4">
      <w:numFmt w:val="bullet"/>
      <w:lvlText w:val="•"/>
      <w:lvlJc w:val="left"/>
      <w:pPr>
        <w:ind w:left="2735" w:hanging="449"/>
      </w:pPr>
      <w:rPr>
        <w:rFonts w:hint="default"/>
      </w:rPr>
    </w:lvl>
    <w:lvl w:ilvl="5">
      <w:numFmt w:val="bullet"/>
      <w:lvlText w:val="•"/>
      <w:lvlJc w:val="left"/>
      <w:pPr>
        <w:ind w:left="3461" w:hanging="449"/>
      </w:pPr>
      <w:rPr>
        <w:rFonts w:hint="default"/>
      </w:rPr>
    </w:lvl>
    <w:lvl w:ilvl="6">
      <w:numFmt w:val="bullet"/>
      <w:lvlText w:val="•"/>
      <w:lvlJc w:val="left"/>
      <w:pPr>
        <w:ind w:left="4186" w:hanging="449"/>
      </w:pPr>
      <w:rPr>
        <w:rFonts w:hint="default"/>
      </w:rPr>
    </w:lvl>
    <w:lvl w:ilvl="7">
      <w:numFmt w:val="bullet"/>
      <w:lvlText w:val="•"/>
      <w:lvlJc w:val="left"/>
      <w:pPr>
        <w:ind w:left="4911" w:hanging="449"/>
      </w:pPr>
      <w:rPr>
        <w:rFonts w:hint="default"/>
      </w:rPr>
    </w:lvl>
    <w:lvl w:ilvl="8">
      <w:numFmt w:val="bullet"/>
      <w:lvlText w:val="•"/>
      <w:lvlJc w:val="left"/>
      <w:pPr>
        <w:ind w:left="5636" w:hanging="449"/>
      </w:pPr>
      <w:rPr>
        <w:rFonts w:hint="default"/>
      </w:rPr>
    </w:lvl>
  </w:abstractNum>
  <w:abstractNum w:abstractNumId="4" w15:restartNumberingAfterBreak="0">
    <w:nsid w:val="5EA952A7"/>
    <w:multiLevelType w:val="hybridMultilevel"/>
    <w:tmpl w:val="3E943226"/>
    <w:lvl w:ilvl="0" w:tplc="43847896">
      <w:start w:val="3"/>
      <w:numFmt w:val="decimal"/>
      <w:lvlText w:val="%1)"/>
      <w:lvlJc w:val="left"/>
      <w:pPr>
        <w:ind w:left="588" w:hanging="469"/>
        <w:jc w:val="left"/>
      </w:pPr>
      <w:rPr>
        <w:rFonts w:ascii="Times New Roman" w:eastAsia="Times New Roman" w:hAnsi="Times New Roman" w:cs="Times New Roman" w:hint="default"/>
        <w:color w:val="231F20"/>
        <w:w w:val="95"/>
        <w:sz w:val="19"/>
        <w:szCs w:val="19"/>
      </w:rPr>
    </w:lvl>
    <w:lvl w:ilvl="1" w:tplc="819CCA58">
      <w:numFmt w:val="bullet"/>
      <w:lvlText w:val="•"/>
      <w:lvlJc w:val="left"/>
      <w:pPr>
        <w:ind w:left="1230" w:hanging="469"/>
      </w:pPr>
      <w:rPr>
        <w:rFonts w:hint="default"/>
      </w:rPr>
    </w:lvl>
    <w:lvl w:ilvl="2" w:tplc="1C94A962">
      <w:numFmt w:val="bullet"/>
      <w:lvlText w:val="•"/>
      <w:lvlJc w:val="left"/>
      <w:pPr>
        <w:ind w:left="1881" w:hanging="469"/>
      </w:pPr>
      <w:rPr>
        <w:rFonts w:hint="default"/>
      </w:rPr>
    </w:lvl>
    <w:lvl w:ilvl="3" w:tplc="B9BE3B86">
      <w:numFmt w:val="bullet"/>
      <w:lvlText w:val="•"/>
      <w:lvlJc w:val="left"/>
      <w:pPr>
        <w:ind w:left="2532" w:hanging="469"/>
      </w:pPr>
      <w:rPr>
        <w:rFonts w:hint="default"/>
      </w:rPr>
    </w:lvl>
    <w:lvl w:ilvl="4" w:tplc="D2BC09C0">
      <w:numFmt w:val="bullet"/>
      <w:lvlText w:val="•"/>
      <w:lvlJc w:val="left"/>
      <w:pPr>
        <w:ind w:left="3182" w:hanging="469"/>
      </w:pPr>
      <w:rPr>
        <w:rFonts w:hint="default"/>
      </w:rPr>
    </w:lvl>
    <w:lvl w:ilvl="5" w:tplc="754EBEE0">
      <w:numFmt w:val="bullet"/>
      <w:lvlText w:val="•"/>
      <w:lvlJc w:val="left"/>
      <w:pPr>
        <w:ind w:left="3833" w:hanging="469"/>
      </w:pPr>
      <w:rPr>
        <w:rFonts w:hint="default"/>
      </w:rPr>
    </w:lvl>
    <w:lvl w:ilvl="6" w:tplc="1F0C83DA">
      <w:numFmt w:val="bullet"/>
      <w:lvlText w:val="•"/>
      <w:lvlJc w:val="left"/>
      <w:pPr>
        <w:ind w:left="4484" w:hanging="469"/>
      </w:pPr>
      <w:rPr>
        <w:rFonts w:hint="default"/>
      </w:rPr>
    </w:lvl>
    <w:lvl w:ilvl="7" w:tplc="A5BA4D0A">
      <w:numFmt w:val="bullet"/>
      <w:lvlText w:val="•"/>
      <w:lvlJc w:val="left"/>
      <w:pPr>
        <w:ind w:left="5135" w:hanging="469"/>
      </w:pPr>
      <w:rPr>
        <w:rFonts w:hint="default"/>
      </w:rPr>
    </w:lvl>
    <w:lvl w:ilvl="8" w:tplc="DE12F8BE">
      <w:numFmt w:val="bullet"/>
      <w:lvlText w:val="•"/>
      <w:lvlJc w:val="left"/>
      <w:pPr>
        <w:ind w:left="5785" w:hanging="469"/>
      </w:pPr>
      <w:rPr>
        <w:rFonts w:hint="default"/>
      </w:rPr>
    </w:lvl>
  </w:abstractNum>
  <w:num w:numId="1">
    <w:abstractNumId w:val="1"/>
  </w:num>
  <w:num w:numId="2">
    <w:abstractNumId w:val="3"/>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evenAndOddHeaders/>
  <w:drawingGridHorizontalSpacing w:val="110"/>
  <w:displayHorizontalDrawingGridEvery w:val="2"/>
  <w:characterSpacingControl w:val="doNotCompress"/>
  <w:hdrShapeDefaults>
    <o:shapedefaults v:ext="edit" spidmax="2108"/>
  </w:hdrShapeDefaults>
  <w:footnotePr>
    <w:footnote w:id="-1"/>
    <w:footnote w:id="0"/>
  </w:footnotePr>
  <w:endnotePr>
    <w:endnote w:id="-1"/>
    <w:endnote w:id="0"/>
  </w:endnotePr>
  <w:compat>
    <w:ulTrailSpace/>
    <w:useFELayout/>
    <w:compatSetting w:name="compatibilityMode" w:uri="http://schemas.microsoft.com/office/word" w:val="12"/>
  </w:compat>
  <w:rsids>
    <w:rsidRoot w:val="00B05397"/>
    <w:rsid w:val="00856287"/>
    <w:rsid w:val="00B053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108"/>
    <o:shapelayout v:ext="edit">
      <o:idmap v:ext="edit" data="1"/>
    </o:shapelayout>
  </w:shapeDefaults>
  <w:decimalSymbol w:val="."/>
  <w:listSeparator w:val=","/>
  <w15:docId w15:val="{C97B6EAB-8A31-4E41-8976-2DBFF51B9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428"/>
      <w:outlineLvl w:val="0"/>
    </w:pPr>
    <w:rPr>
      <w:rFonts w:ascii="Trebuchet MS" w:eastAsia="Trebuchet MS" w:hAnsi="Trebuchet MS" w:cs="Trebuchet MS"/>
      <w:sz w:val="30"/>
      <w:szCs w:val="30"/>
    </w:rPr>
  </w:style>
  <w:style w:type="paragraph" w:styleId="Heading2">
    <w:name w:val="heading 2"/>
    <w:basedOn w:val="Normal"/>
    <w:uiPriority w:val="1"/>
    <w:qFormat/>
    <w:pPr>
      <w:ind w:left="120"/>
      <w:outlineLvl w:val="1"/>
    </w:pPr>
    <w:rPr>
      <w:rFonts w:ascii="Trebuchet MS" w:eastAsia="Trebuchet MS" w:hAnsi="Trebuchet MS" w:cs="Trebuchet M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9"/>
      <w:szCs w:val="19"/>
    </w:rPr>
  </w:style>
  <w:style w:type="paragraph" w:styleId="ListParagraph">
    <w:name w:val="List Paragraph"/>
    <w:basedOn w:val="Normal"/>
    <w:uiPriority w:val="1"/>
    <w:qFormat/>
    <w:pPr>
      <w:ind w:left="588" w:hanging="468"/>
    </w:pPr>
  </w:style>
  <w:style w:type="paragraph" w:customStyle="1" w:styleId="TableParagraph">
    <w:name w:val="Table Paragraph"/>
    <w:basedOn w:val="Normal"/>
    <w:uiPriority w:val="1"/>
    <w:qFormat/>
    <w:pPr>
      <w:spacing w:before="20"/>
      <w:ind w:right="104"/>
      <w:jc w:val="right"/>
    </w:pPr>
    <w:rPr>
      <w:rFonts w:ascii="Arial" w:eastAsia="Arial" w:hAnsi="Arial" w:cs="Arial"/>
    </w:rPr>
  </w:style>
  <w:style w:type="paragraph" w:styleId="Footer">
    <w:name w:val="footer"/>
    <w:basedOn w:val="Normal"/>
    <w:link w:val="FooterChar"/>
    <w:uiPriority w:val="99"/>
    <w:unhideWhenUsed/>
    <w:rsid w:val="00856287"/>
    <w:pPr>
      <w:tabs>
        <w:tab w:val="center" w:pos="4513"/>
        <w:tab w:val="right" w:pos="9026"/>
      </w:tabs>
    </w:pPr>
  </w:style>
  <w:style w:type="character" w:customStyle="1" w:styleId="FooterChar">
    <w:name w:val="Footer Char"/>
    <w:basedOn w:val="DefaultParagraphFont"/>
    <w:link w:val="Footer"/>
    <w:uiPriority w:val="99"/>
    <w:rsid w:val="00856287"/>
    <w:rPr>
      <w:rFonts w:ascii="Times New Roman" w:eastAsia="Times New Roman" w:hAnsi="Times New Roman" w:cs="Times New Roman"/>
    </w:rPr>
  </w:style>
  <w:style w:type="paragraph" w:styleId="Header">
    <w:name w:val="header"/>
    <w:basedOn w:val="Normal"/>
    <w:link w:val="HeaderChar"/>
    <w:uiPriority w:val="99"/>
    <w:unhideWhenUsed/>
    <w:rsid w:val="00856287"/>
    <w:pPr>
      <w:tabs>
        <w:tab w:val="center" w:pos="4513"/>
        <w:tab w:val="right" w:pos="9026"/>
      </w:tabs>
    </w:pPr>
  </w:style>
  <w:style w:type="character" w:customStyle="1" w:styleId="HeaderChar">
    <w:name w:val="Header Char"/>
    <w:basedOn w:val="DefaultParagraphFont"/>
    <w:link w:val="Header"/>
    <w:uiPriority w:val="99"/>
    <w:rsid w:val="00856287"/>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arstechnica.com/science/2016/02/the-audacious-rescue-plan-that-might-have-saved-space-shuttle-columbia/" TargetMode="External"/><Relationship Id="rId18" Type="http://schemas.openxmlformats.org/officeDocument/2006/relationships/hyperlink" Target="http://www.qlmediation.com/author/andrewhildebrand/" TargetMode="External"/><Relationship Id="rId26" Type="http://schemas.openxmlformats.org/officeDocument/2006/relationships/hyperlink" Target="http://www.learnersdictionary.com/qa/what-is-the-difference-between-may-and-might" TargetMode="External"/><Relationship Id="rId3" Type="http://schemas.openxmlformats.org/officeDocument/2006/relationships/settings" Target="settings.xml"/><Relationship Id="rId21" Type="http://schemas.openxmlformats.org/officeDocument/2006/relationships/header" Target="header7.xml"/><Relationship Id="rId34"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header" Target="header6.xml"/><Relationship Id="rId17" Type="http://schemas.openxmlformats.org/officeDocument/2006/relationships/hyperlink" Target="http://www.qlmediation.com/author/andrewhildebrand/" TargetMode="External"/><Relationship Id="rId25" Type="http://schemas.openxmlformats.org/officeDocument/2006/relationships/hyperlink" Target="http://www.bnc.ox.ac.uk/"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learnersdictionary.com/" TargetMode="External"/><Relationship Id="rId20" Type="http://schemas.openxmlformats.org/officeDocument/2006/relationships/hyperlink" Target="http://www.liverpoolecho.co.uk/sport/liverpool-fc-certainly-europe-next-9273951%2017%20May%202015" TargetMode="External"/><Relationship Id="rId29" Type="http://schemas.openxmlformats.org/officeDocument/2006/relationships/hyperlink" Target="http://www.liverpoolecho.co.uk/sport/liverpool-fc-certainly-europe-next-9273951"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5.xml"/><Relationship Id="rId24" Type="http://schemas.openxmlformats.org/officeDocument/2006/relationships/header" Target="header10.xml"/><Relationship Id="rId32" Type="http://schemas.openxmlformats.org/officeDocument/2006/relationships/header" Target="header12.xml"/><Relationship Id="rId5" Type="http://schemas.openxmlformats.org/officeDocument/2006/relationships/footnotes" Target="footnotes.xml"/><Relationship Id="rId15" Type="http://schemas.openxmlformats.org/officeDocument/2006/relationships/hyperlink" Target="http://www.learnersdictionary.com/" TargetMode="External"/><Relationship Id="rId23" Type="http://schemas.openxmlformats.org/officeDocument/2006/relationships/header" Target="header9.xml"/><Relationship Id="rId28" Type="http://schemas.openxmlformats.org/officeDocument/2006/relationships/hyperlink" Target="http://www.qlmediation.com/author/andrewhildebrand/" TargetMode="External"/><Relationship Id="rId10" Type="http://schemas.openxmlformats.org/officeDocument/2006/relationships/header" Target="header4.xml"/><Relationship Id="rId19" Type="http://schemas.openxmlformats.org/officeDocument/2006/relationships/hyperlink" Target="http://www.liverpoolecho.co.uk/sport/liverpool-fc-certainly-europe-next-9273951%2017%20May%202015" TargetMode="External"/><Relationship Id="rId31" Type="http://schemas.openxmlformats.org/officeDocument/2006/relationships/header" Target="header11.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hyperlink" Target="http://arstechnica.com/science/2016/02/the-audacious-rescue-plan-that-might-have-saved-space-shuttle-columbia/" TargetMode="External"/><Relationship Id="rId22" Type="http://schemas.openxmlformats.org/officeDocument/2006/relationships/header" Target="header8.xml"/><Relationship Id="rId27" Type="http://schemas.openxmlformats.org/officeDocument/2006/relationships/hyperlink" Target="http://www.learnersdictionary.com/qa/what-is-the-difference-between-may-and-might" TargetMode="External"/><Relationship Id="rId30" Type="http://schemas.openxmlformats.org/officeDocument/2006/relationships/hyperlink" Target="http://www.liverpoolecho.co.uk/sport/liverpool-fc-certainly-europe-next-927395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98B7EAD7</Template>
  <TotalTime>3</TotalTime>
  <Pages>21</Pages>
  <Words>7626</Words>
  <Characters>43469</Characters>
  <Application>Microsoft Office Word</Application>
  <DocSecurity>0</DocSecurity>
  <Lines>362</Lines>
  <Paragraphs>101</Paragraphs>
  <ScaleCrop>false</ScaleCrop>
  <Company>University of East Anglia</Company>
  <LinksUpToDate>false</LinksUpToDate>
  <CharactersWithSpaces>50994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Applied Linguistics Review</dc:title>
  <cp:lastModifiedBy>John Stewart Rayner (REN)</cp:lastModifiedBy>
  <cp:revision>2</cp:revision>
  <dcterms:created xsi:type="dcterms:W3CDTF">2016-05-06T13:06:00Z</dcterms:created>
  <dcterms:modified xsi:type="dcterms:W3CDTF">2016-05-06T13:10:00Z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2016-03-10T00:00:00Z</vt:filetime>
  </property>
  <property fmtid="{D5CDD505-2E9C-101B-9397-08002B2CF9AE}" pid="3" name="Creator">
    <vt:lpwstr>RAD PDF</vt:lpwstr>
  </property>
  <property fmtid="{D5CDD505-2E9C-101B-9397-08002B2CF9AE}" pid="4" name="LastSaved">
    <vt:filetime>2016-05-06T00:00:00Z</vt:filetime>
  </property>
</Properties>
</file>