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C0850D" w14:textId="77777777" w:rsidR="006D181A" w:rsidRPr="00492B11" w:rsidRDefault="006D181A" w:rsidP="00FD5199">
      <w:pPr>
        <w:spacing w:line="480" w:lineRule="auto"/>
        <w:rPr>
          <w:rFonts w:ascii="Times New Roman" w:hAnsi="Times New Roman" w:cs="Times New Roman"/>
          <w:b/>
        </w:rPr>
      </w:pPr>
      <w:r w:rsidRPr="00492B11">
        <w:rPr>
          <w:rFonts w:ascii="Times New Roman" w:hAnsi="Times New Roman" w:cs="Times New Roman"/>
          <w:b/>
        </w:rPr>
        <w:t>Editors summary</w:t>
      </w:r>
    </w:p>
    <w:p w14:paraId="29BD1FE3" w14:textId="77777777" w:rsidR="006D181A" w:rsidRPr="00492B11" w:rsidRDefault="003E565D" w:rsidP="00FD5199">
      <w:pPr>
        <w:spacing w:line="480" w:lineRule="auto"/>
        <w:rPr>
          <w:rFonts w:ascii="Times New Roman" w:hAnsi="Times New Roman" w:cs="Times New Roman"/>
        </w:rPr>
      </w:pPr>
      <w:r w:rsidRPr="00492B11">
        <w:rPr>
          <w:rFonts w:ascii="Times New Roman" w:hAnsi="Times New Roman" w:cs="Times New Roman"/>
        </w:rPr>
        <w:t>A meth</w:t>
      </w:r>
      <w:r w:rsidR="00D54150" w:rsidRPr="00492B11">
        <w:rPr>
          <w:rFonts w:ascii="Times New Roman" w:hAnsi="Times New Roman" w:cs="Times New Roman"/>
        </w:rPr>
        <w:t>od for rapid cloning of plant disease-</w:t>
      </w:r>
      <w:r w:rsidRPr="00492B11">
        <w:rPr>
          <w:rFonts w:ascii="Times New Roman" w:hAnsi="Times New Roman" w:cs="Times New Roman"/>
        </w:rPr>
        <w:t xml:space="preserve">resistance genes could </w:t>
      </w:r>
      <w:r w:rsidR="00D54150" w:rsidRPr="00492B11">
        <w:rPr>
          <w:rFonts w:ascii="Times New Roman" w:hAnsi="Times New Roman" w:cs="Times New Roman"/>
        </w:rPr>
        <w:t>provide sustainable,</w:t>
      </w:r>
      <w:r w:rsidR="00871A8F" w:rsidRPr="00492B11">
        <w:rPr>
          <w:rFonts w:ascii="Times New Roman" w:hAnsi="Times New Roman" w:cs="Times New Roman"/>
        </w:rPr>
        <w:t xml:space="preserve"> </w:t>
      </w:r>
      <w:r w:rsidR="00D54150" w:rsidRPr="00492B11">
        <w:rPr>
          <w:rFonts w:ascii="Times New Roman" w:hAnsi="Times New Roman" w:cs="Times New Roman"/>
        </w:rPr>
        <w:t xml:space="preserve">genetic solutions to crop pests and pathogens </w:t>
      </w:r>
      <w:r w:rsidR="0036793A" w:rsidRPr="00492B11">
        <w:rPr>
          <w:rFonts w:ascii="Times New Roman" w:hAnsi="Times New Roman" w:cs="Times New Roman"/>
        </w:rPr>
        <w:t>in place of</w:t>
      </w:r>
      <w:r w:rsidR="00D54150" w:rsidRPr="00492B11">
        <w:rPr>
          <w:rFonts w:ascii="Times New Roman" w:hAnsi="Times New Roman" w:cs="Times New Roman"/>
        </w:rPr>
        <w:t xml:space="preserve"> agrichemicals.</w:t>
      </w:r>
      <w:r w:rsidR="006D181A" w:rsidRPr="00492B11">
        <w:rPr>
          <w:rFonts w:ascii="Times New Roman" w:hAnsi="Times New Roman" w:cs="Times New Roman"/>
          <w:color w:val="000000"/>
          <w:shd w:val="clear" w:color="auto" w:fill="FFFFFF"/>
        </w:rPr>
        <w:t xml:space="preserve"> </w:t>
      </w:r>
    </w:p>
    <w:p w14:paraId="577D0AF9" w14:textId="77777777" w:rsidR="006D181A" w:rsidRPr="00492B11" w:rsidRDefault="006D181A" w:rsidP="00FD5199">
      <w:pPr>
        <w:spacing w:line="480" w:lineRule="auto"/>
        <w:rPr>
          <w:b/>
          <w:sz w:val="22"/>
          <w:szCs w:val="22"/>
        </w:rPr>
      </w:pPr>
    </w:p>
    <w:p w14:paraId="731AE58B" w14:textId="653DDA6B" w:rsidR="0028656F" w:rsidRPr="00492B11" w:rsidRDefault="003E565D" w:rsidP="00B91086">
      <w:pPr>
        <w:spacing w:line="480" w:lineRule="auto"/>
        <w:rPr>
          <w:b/>
          <w:sz w:val="22"/>
          <w:szCs w:val="22"/>
        </w:rPr>
      </w:pPr>
      <w:r w:rsidRPr="00492B11">
        <w:rPr>
          <w:b/>
          <w:sz w:val="22"/>
          <w:szCs w:val="22"/>
        </w:rPr>
        <w:t>Rapid c</w:t>
      </w:r>
      <w:r w:rsidR="0028656F" w:rsidRPr="00492B11">
        <w:rPr>
          <w:b/>
          <w:sz w:val="22"/>
          <w:szCs w:val="22"/>
        </w:rPr>
        <w:t>loning</w:t>
      </w:r>
      <w:r w:rsidRPr="00492B11">
        <w:rPr>
          <w:b/>
          <w:sz w:val="22"/>
          <w:szCs w:val="22"/>
        </w:rPr>
        <w:t xml:space="preserve"> of disease-</w:t>
      </w:r>
      <w:r w:rsidR="0028656F" w:rsidRPr="00492B11">
        <w:rPr>
          <w:b/>
          <w:sz w:val="22"/>
          <w:szCs w:val="22"/>
        </w:rPr>
        <w:t>resistance gene</w:t>
      </w:r>
      <w:r w:rsidR="001255D6" w:rsidRPr="00492B11">
        <w:rPr>
          <w:b/>
          <w:sz w:val="22"/>
          <w:szCs w:val="22"/>
        </w:rPr>
        <w:t>s</w:t>
      </w:r>
      <w:r w:rsidR="0028656F" w:rsidRPr="00492B11">
        <w:rPr>
          <w:b/>
          <w:sz w:val="22"/>
          <w:szCs w:val="22"/>
        </w:rPr>
        <w:t xml:space="preserve"> </w:t>
      </w:r>
      <w:r w:rsidRPr="00492B11">
        <w:rPr>
          <w:b/>
          <w:sz w:val="22"/>
          <w:szCs w:val="22"/>
        </w:rPr>
        <w:t>in plants</w:t>
      </w:r>
      <w:r w:rsidR="000F6669" w:rsidRPr="00492B11">
        <w:rPr>
          <w:b/>
          <w:sz w:val="22"/>
          <w:szCs w:val="22"/>
        </w:rPr>
        <w:t xml:space="preserve"> using mutagenesis and sequence capture</w:t>
      </w:r>
      <w:r w:rsidR="006D181A" w:rsidRPr="00492B11">
        <w:rPr>
          <w:b/>
          <w:sz w:val="22"/>
          <w:szCs w:val="22"/>
        </w:rPr>
        <w:t xml:space="preserve"> </w:t>
      </w:r>
    </w:p>
    <w:p w14:paraId="69E505B2" w14:textId="24E0D8CC" w:rsidR="00052D6D" w:rsidRPr="00492B11" w:rsidRDefault="00052D6D" w:rsidP="00B91086">
      <w:pPr>
        <w:spacing w:line="480" w:lineRule="auto"/>
        <w:rPr>
          <w:i/>
          <w:sz w:val="22"/>
          <w:szCs w:val="22"/>
        </w:rPr>
      </w:pPr>
      <w:r w:rsidRPr="00492B11">
        <w:rPr>
          <w:i/>
          <w:sz w:val="22"/>
          <w:szCs w:val="22"/>
        </w:rPr>
        <w:t>Burkhard Steuernagel</w:t>
      </w:r>
      <w:r w:rsidRPr="00492B11">
        <w:rPr>
          <w:i/>
          <w:sz w:val="22"/>
          <w:szCs w:val="22"/>
          <w:vertAlign w:val="superscript"/>
        </w:rPr>
        <w:t>1,2,</w:t>
      </w:r>
      <w:r w:rsidR="00B574B2" w:rsidRPr="00492B11">
        <w:rPr>
          <w:i/>
          <w:sz w:val="22"/>
          <w:szCs w:val="22"/>
          <w:vertAlign w:val="superscript"/>
        </w:rPr>
        <w:t>7</w:t>
      </w:r>
      <w:r w:rsidRPr="00492B11">
        <w:rPr>
          <w:i/>
          <w:sz w:val="22"/>
          <w:szCs w:val="22"/>
        </w:rPr>
        <w:t>, Sambasivam K. Periyannan</w:t>
      </w:r>
      <w:r w:rsidRPr="00492B11">
        <w:rPr>
          <w:i/>
          <w:sz w:val="22"/>
          <w:szCs w:val="22"/>
          <w:vertAlign w:val="superscript"/>
        </w:rPr>
        <w:t>3,</w:t>
      </w:r>
      <w:r w:rsidR="00B574B2" w:rsidRPr="00492B11">
        <w:rPr>
          <w:i/>
          <w:sz w:val="22"/>
          <w:szCs w:val="22"/>
          <w:vertAlign w:val="superscript"/>
        </w:rPr>
        <w:t>7</w:t>
      </w:r>
      <w:r w:rsidRPr="00492B11">
        <w:rPr>
          <w:i/>
          <w:sz w:val="22"/>
          <w:szCs w:val="22"/>
        </w:rPr>
        <w:t>, Inmaculada Hernández-Pinzón</w:t>
      </w:r>
      <w:r w:rsidRPr="00492B11">
        <w:rPr>
          <w:i/>
          <w:sz w:val="22"/>
          <w:szCs w:val="22"/>
          <w:vertAlign w:val="superscript"/>
        </w:rPr>
        <w:t>1</w:t>
      </w:r>
      <w:r w:rsidRPr="00492B11">
        <w:rPr>
          <w:i/>
          <w:sz w:val="22"/>
          <w:szCs w:val="22"/>
        </w:rPr>
        <w:t>, Kamil Witek</w:t>
      </w:r>
      <w:r w:rsidRPr="00492B11">
        <w:rPr>
          <w:i/>
          <w:sz w:val="22"/>
          <w:szCs w:val="22"/>
          <w:vertAlign w:val="superscript"/>
        </w:rPr>
        <w:t>1</w:t>
      </w:r>
      <w:r w:rsidRPr="00492B11">
        <w:rPr>
          <w:i/>
          <w:sz w:val="22"/>
          <w:szCs w:val="22"/>
        </w:rPr>
        <w:t>, Matthew N. Rouse</w:t>
      </w:r>
      <w:r w:rsidRPr="00492B11">
        <w:rPr>
          <w:i/>
          <w:sz w:val="22"/>
          <w:szCs w:val="22"/>
          <w:vertAlign w:val="superscript"/>
        </w:rPr>
        <w:t>4</w:t>
      </w:r>
      <w:r w:rsidRPr="00492B11">
        <w:rPr>
          <w:i/>
          <w:sz w:val="22"/>
          <w:szCs w:val="22"/>
        </w:rPr>
        <w:t>, Guotai Yu</w:t>
      </w:r>
      <w:r w:rsidRPr="00492B11">
        <w:rPr>
          <w:i/>
          <w:sz w:val="22"/>
          <w:szCs w:val="22"/>
          <w:vertAlign w:val="superscript"/>
        </w:rPr>
        <w:t>2</w:t>
      </w:r>
      <w:r w:rsidRPr="00492B11">
        <w:rPr>
          <w:i/>
          <w:sz w:val="22"/>
          <w:szCs w:val="22"/>
        </w:rPr>
        <w:t>, Asyraf Hatta</w:t>
      </w:r>
      <w:r w:rsidRPr="00492B11">
        <w:rPr>
          <w:i/>
          <w:sz w:val="22"/>
          <w:szCs w:val="22"/>
          <w:vertAlign w:val="superscript"/>
        </w:rPr>
        <w:t>2</w:t>
      </w:r>
      <w:r w:rsidRPr="00492B11">
        <w:rPr>
          <w:i/>
          <w:sz w:val="22"/>
          <w:szCs w:val="22"/>
        </w:rPr>
        <w:t>, Mick Ayliffe</w:t>
      </w:r>
      <w:r w:rsidRPr="00492B11">
        <w:rPr>
          <w:i/>
          <w:sz w:val="22"/>
          <w:szCs w:val="22"/>
          <w:vertAlign w:val="superscript"/>
        </w:rPr>
        <w:t>3</w:t>
      </w:r>
      <w:r w:rsidR="00B574B2" w:rsidRPr="00492B11">
        <w:rPr>
          <w:i/>
          <w:sz w:val="22"/>
          <w:szCs w:val="22"/>
          <w:vertAlign w:val="superscript"/>
        </w:rPr>
        <w:t>,5</w:t>
      </w:r>
      <w:r w:rsidRPr="00492B11">
        <w:rPr>
          <w:i/>
          <w:sz w:val="22"/>
          <w:szCs w:val="22"/>
        </w:rPr>
        <w:t>, Harbans Bariana</w:t>
      </w:r>
      <w:r w:rsidR="00B574B2" w:rsidRPr="00492B11">
        <w:rPr>
          <w:i/>
          <w:sz w:val="22"/>
          <w:szCs w:val="22"/>
          <w:vertAlign w:val="superscript"/>
        </w:rPr>
        <w:t>6</w:t>
      </w:r>
      <w:r w:rsidRPr="00492B11">
        <w:rPr>
          <w:i/>
          <w:sz w:val="22"/>
          <w:szCs w:val="22"/>
        </w:rPr>
        <w:t>, Jonathan D. G. Jones</w:t>
      </w:r>
      <w:r w:rsidRPr="00492B11">
        <w:rPr>
          <w:i/>
          <w:sz w:val="22"/>
          <w:szCs w:val="22"/>
          <w:vertAlign w:val="superscript"/>
        </w:rPr>
        <w:t>1</w:t>
      </w:r>
      <w:r w:rsidRPr="00492B11">
        <w:rPr>
          <w:i/>
          <w:sz w:val="22"/>
          <w:szCs w:val="22"/>
        </w:rPr>
        <w:t>, Evans S. Lagudah</w:t>
      </w:r>
      <w:r w:rsidRPr="00492B11">
        <w:rPr>
          <w:i/>
          <w:sz w:val="22"/>
          <w:szCs w:val="22"/>
          <w:vertAlign w:val="superscript"/>
        </w:rPr>
        <w:t>3</w:t>
      </w:r>
      <w:r w:rsidRPr="00492B11">
        <w:rPr>
          <w:i/>
          <w:sz w:val="22"/>
          <w:szCs w:val="22"/>
        </w:rPr>
        <w:t>, Brande B. H. Wulff</w:t>
      </w:r>
      <w:r w:rsidRPr="00492B11">
        <w:rPr>
          <w:i/>
          <w:sz w:val="22"/>
          <w:szCs w:val="22"/>
          <w:vertAlign w:val="superscript"/>
        </w:rPr>
        <w:t>1,2</w:t>
      </w:r>
    </w:p>
    <w:p w14:paraId="121875C7" w14:textId="5CDC73B2" w:rsidR="00052D6D" w:rsidRPr="00492B11" w:rsidRDefault="00052D6D" w:rsidP="00B91086">
      <w:pPr>
        <w:spacing w:line="480" w:lineRule="auto"/>
        <w:rPr>
          <w:sz w:val="22"/>
          <w:szCs w:val="22"/>
        </w:rPr>
      </w:pPr>
      <w:r w:rsidRPr="00492B11">
        <w:rPr>
          <w:sz w:val="22"/>
          <w:szCs w:val="22"/>
          <w:vertAlign w:val="superscript"/>
        </w:rPr>
        <w:t>1</w:t>
      </w:r>
      <w:r w:rsidRPr="00492B11">
        <w:rPr>
          <w:sz w:val="22"/>
          <w:szCs w:val="22"/>
        </w:rPr>
        <w:t xml:space="preserve">The Sainsbury Laboratory, Norwich, UK. </w:t>
      </w:r>
      <w:r w:rsidRPr="00492B11">
        <w:rPr>
          <w:sz w:val="22"/>
          <w:szCs w:val="22"/>
          <w:vertAlign w:val="superscript"/>
        </w:rPr>
        <w:t>2</w:t>
      </w:r>
      <w:r w:rsidRPr="00492B11">
        <w:rPr>
          <w:sz w:val="22"/>
          <w:szCs w:val="22"/>
        </w:rPr>
        <w:t xml:space="preserve">John Innes Centre, Norwich, UK. </w:t>
      </w:r>
      <w:r w:rsidRPr="00492B11">
        <w:rPr>
          <w:sz w:val="22"/>
          <w:szCs w:val="22"/>
          <w:vertAlign w:val="superscript"/>
        </w:rPr>
        <w:t>3</w:t>
      </w:r>
      <w:r w:rsidRPr="00492B11">
        <w:rPr>
          <w:rFonts w:cs="Lucida Grande"/>
          <w:color w:val="262626"/>
          <w:sz w:val="22"/>
          <w:szCs w:val="22"/>
          <w:lang w:val="en-US"/>
        </w:rPr>
        <w:t xml:space="preserve">Commonwealth Scientific and Industrial Research Organization (CSIRO), Agriculture Flagship, Canberra, </w:t>
      </w:r>
      <w:r w:rsidR="001D7F24" w:rsidRPr="00492B11">
        <w:rPr>
          <w:rFonts w:cs="Lucida Grande"/>
          <w:color w:val="262626"/>
          <w:sz w:val="22"/>
          <w:szCs w:val="22"/>
          <w:lang w:val="en-US"/>
        </w:rPr>
        <w:t xml:space="preserve">NSW, </w:t>
      </w:r>
      <w:r w:rsidRPr="00492B11">
        <w:rPr>
          <w:rFonts w:cs="Lucida Grande"/>
          <w:color w:val="262626"/>
          <w:sz w:val="22"/>
          <w:szCs w:val="22"/>
          <w:lang w:val="en-US"/>
        </w:rPr>
        <w:t xml:space="preserve">Australia. </w:t>
      </w:r>
      <w:r w:rsidRPr="00492B11">
        <w:rPr>
          <w:sz w:val="22"/>
          <w:szCs w:val="22"/>
          <w:vertAlign w:val="superscript"/>
        </w:rPr>
        <w:t>4</w:t>
      </w:r>
      <w:r w:rsidRPr="00492B11">
        <w:rPr>
          <w:sz w:val="22"/>
          <w:szCs w:val="22"/>
        </w:rPr>
        <w:t xml:space="preserve">USDA-ARS Cereal Disease Laboratory and </w:t>
      </w:r>
      <w:r w:rsidRPr="00492B11">
        <w:rPr>
          <w:rFonts w:cs="Lucida Grande"/>
          <w:color w:val="262626"/>
          <w:sz w:val="22"/>
          <w:szCs w:val="22"/>
          <w:lang w:val="en-US"/>
        </w:rPr>
        <w:t xml:space="preserve">Department of Plant Pathology, University of Minnesota, </w:t>
      </w:r>
      <w:r w:rsidR="00610E77" w:rsidRPr="00492B11">
        <w:rPr>
          <w:rFonts w:cs="Lucida Grande"/>
          <w:color w:val="262626"/>
          <w:sz w:val="22"/>
          <w:szCs w:val="22"/>
          <w:lang w:val="en-US"/>
        </w:rPr>
        <w:t xml:space="preserve">St Paul, </w:t>
      </w:r>
      <w:r w:rsidR="00466F91" w:rsidRPr="00492B11">
        <w:rPr>
          <w:rFonts w:cs="Lucida Grande"/>
          <w:color w:val="262626"/>
          <w:sz w:val="22"/>
          <w:szCs w:val="22"/>
          <w:lang w:val="en-US"/>
        </w:rPr>
        <w:t>Minnesota</w:t>
      </w:r>
      <w:r w:rsidR="00B574B2" w:rsidRPr="00492B11">
        <w:rPr>
          <w:rFonts w:cs="Lucida Grande"/>
          <w:color w:val="262626"/>
          <w:sz w:val="22"/>
          <w:szCs w:val="22"/>
          <w:lang w:val="en-US"/>
        </w:rPr>
        <w:t>,</w:t>
      </w:r>
      <w:r w:rsidRPr="00492B11">
        <w:rPr>
          <w:rFonts w:cs="Lucida Grande"/>
          <w:color w:val="262626"/>
          <w:sz w:val="22"/>
          <w:szCs w:val="22"/>
          <w:lang w:val="en-US"/>
        </w:rPr>
        <w:t xml:space="preserve"> USA</w:t>
      </w:r>
      <w:r w:rsidR="00B574B2" w:rsidRPr="00492B11">
        <w:rPr>
          <w:rFonts w:cs="Lucida Grande"/>
          <w:color w:val="262626"/>
          <w:sz w:val="22"/>
          <w:szCs w:val="22"/>
          <w:lang w:val="en-US"/>
        </w:rPr>
        <w:t>.</w:t>
      </w:r>
      <w:r w:rsidRPr="00492B11">
        <w:rPr>
          <w:rFonts w:cs="Lucida Grande"/>
          <w:color w:val="262626"/>
          <w:sz w:val="22"/>
          <w:szCs w:val="22"/>
          <w:lang w:val="en-US"/>
        </w:rPr>
        <w:t xml:space="preserve"> </w:t>
      </w:r>
      <w:r w:rsidR="00B574B2" w:rsidRPr="00492B11">
        <w:rPr>
          <w:rFonts w:cs="Lucida Grande"/>
          <w:color w:val="262626"/>
          <w:sz w:val="22"/>
          <w:szCs w:val="22"/>
          <w:vertAlign w:val="superscript"/>
          <w:lang w:val="en-US"/>
        </w:rPr>
        <w:t>5</w:t>
      </w:r>
      <w:r w:rsidR="00B574B2" w:rsidRPr="00492B11">
        <w:rPr>
          <w:rFonts w:cs="Lucida Grande"/>
          <w:color w:val="262626"/>
          <w:sz w:val="22"/>
          <w:szCs w:val="22"/>
          <w:lang w:val="en-US"/>
        </w:rPr>
        <w:t xml:space="preserve">Department of Agriculture Technology, Universiti Putra Malaysia, Serdang, Malaysia. </w:t>
      </w:r>
      <w:r w:rsidR="00B574B2" w:rsidRPr="00492B11">
        <w:rPr>
          <w:rFonts w:cs="Lucida Grande"/>
          <w:color w:val="262626"/>
          <w:sz w:val="22"/>
          <w:szCs w:val="22"/>
          <w:vertAlign w:val="superscript"/>
          <w:lang w:val="en-US"/>
        </w:rPr>
        <w:t>6</w:t>
      </w:r>
      <w:r w:rsidR="00B574B2" w:rsidRPr="00492B11">
        <w:rPr>
          <w:rFonts w:cs="Lucida Grande"/>
          <w:color w:val="262626"/>
          <w:sz w:val="22"/>
          <w:szCs w:val="22"/>
          <w:lang w:val="en-US"/>
        </w:rPr>
        <w:t xml:space="preserve">University </w:t>
      </w:r>
      <w:r w:rsidRPr="00492B11">
        <w:rPr>
          <w:rFonts w:cs="Lucida Grande"/>
          <w:color w:val="262626"/>
          <w:sz w:val="22"/>
          <w:szCs w:val="22"/>
          <w:lang w:val="en-US"/>
        </w:rPr>
        <w:t>of Sydney, Plant Breeding Institute, Cobbitty, NSW, Australia.</w:t>
      </w:r>
    </w:p>
    <w:p w14:paraId="4F6B0D49" w14:textId="51BB4D3A" w:rsidR="00052D6D" w:rsidRPr="00492B11" w:rsidRDefault="00B574B2" w:rsidP="00B91086">
      <w:pPr>
        <w:spacing w:line="480" w:lineRule="auto"/>
        <w:rPr>
          <w:sz w:val="22"/>
          <w:szCs w:val="22"/>
        </w:rPr>
      </w:pPr>
      <w:r w:rsidRPr="00492B11">
        <w:rPr>
          <w:sz w:val="22"/>
          <w:szCs w:val="22"/>
          <w:vertAlign w:val="superscript"/>
        </w:rPr>
        <w:t>7</w:t>
      </w:r>
      <w:r w:rsidRPr="00492B11">
        <w:rPr>
          <w:sz w:val="22"/>
          <w:szCs w:val="22"/>
        </w:rPr>
        <w:t xml:space="preserve">These </w:t>
      </w:r>
      <w:r w:rsidR="00052D6D" w:rsidRPr="00492B11">
        <w:rPr>
          <w:sz w:val="22"/>
          <w:szCs w:val="22"/>
        </w:rPr>
        <w:t>authors contributed equally to this work</w:t>
      </w:r>
    </w:p>
    <w:p w14:paraId="58E999FC" w14:textId="77777777" w:rsidR="00052D6D" w:rsidRPr="00492B11" w:rsidRDefault="00052D6D" w:rsidP="00B91086">
      <w:pPr>
        <w:spacing w:line="480" w:lineRule="auto"/>
        <w:rPr>
          <w:sz w:val="22"/>
          <w:szCs w:val="22"/>
        </w:rPr>
      </w:pPr>
      <w:r w:rsidRPr="00492B11">
        <w:rPr>
          <w:sz w:val="22"/>
          <w:szCs w:val="22"/>
        </w:rPr>
        <w:t>Email: brande.wulff@jic.ac.uk or evans.lagudah@csiro.au</w:t>
      </w:r>
    </w:p>
    <w:p w14:paraId="6D8ED386" w14:textId="659C5A71" w:rsidR="00492B11" w:rsidRPr="00492B11" w:rsidRDefault="00492B11" w:rsidP="00492B11">
      <w:pPr>
        <w:spacing w:after="120" w:line="480" w:lineRule="auto"/>
        <w:rPr>
          <w:rFonts w:cs="Arial"/>
          <w:b/>
          <w:sz w:val="22"/>
          <w:szCs w:val="22"/>
          <w:lang w:val="en-US"/>
        </w:rPr>
      </w:pPr>
      <w:bookmarkStart w:id="0" w:name="_GoBack"/>
      <w:bookmarkEnd w:id="0"/>
      <w:r w:rsidRPr="00492B11">
        <w:rPr>
          <w:rFonts w:cs="Arial"/>
          <w:b/>
          <w:sz w:val="22"/>
          <w:szCs w:val="22"/>
          <w:lang w:val="en-US"/>
        </w:rPr>
        <w:t>Wild relatives of domesticated crop species harbor multiple, diverse, disease resistance (R) genes that could be used</w:t>
      </w:r>
      <w:r>
        <w:rPr>
          <w:rFonts w:cs="Arial"/>
          <w:b/>
          <w:sz w:val="22"/>
          <w:szCs w:val="22"/>
          <w:lang w:val="en-US"/>
        </w:rPr>
        <w:t xml:space="preserve"> </w:t>
      </w:r>
      <w:r w:rsidRPr="00492B11">
        <w:rPr>
          <w:rFonts w:cs="Arial"/>
          <w:b/>
          <w:sz w:val="22"/>
          <w:szCs w:val="22"/>
          <w:lang w:val="en-US"/>
        </w:rPr>
        <w:t>to engineer sustainable disease control. However, breeding</w:t>
      </w:r>
      <w:r>
        <w:rPr>
          <w:rFonts w:cs="Arial"/>
          <w:b/>
          <w:sz w:val="22"/>
          <w:szCs w:val="22"/>
          <w:lang w:val="en-US"/>
        </w:rPr>
        <w:t xml:space="preserve"> </w:t>
      </w:r>
      <w:r w:rsidRPr="00492B11">
        <w:rPr>
          <w:rFonts w:cs="Arial"/>
          <w:b/>
          <w:sz w:val="22"/>
          <w:szCs w:val="22"/>
          <w:lang w:val="en-US"/>
        </w:rPr>
        <w:t>R genes into crop lines often requires long breeding timelines of 5–15 years to break linkage between R genes and deleterious alleles (linkage drag). Further, when R genes are bred one</w:t>
      </w:r>
      <w:r>
        <w:rPr>
          <w:rFonts w:cs="Arial"/>
          <w:b/>
          <w:sz w:val="22"/>
          <w:szCs w:val="22"/>
          <w:lang w:val="en-US"/>
        </w:rPr>
        <w:t xml:space="preserve"> </w:t>
      </w:r>
      <w:r w:rsidRPr="00492B11">
        <w:rPr>
          <w:rFonts w:cs="Arial"/>
          <w:b/>
          <w:sz w:val="22"/>
          <w:szCs w:val="22"/>
          <w:lang w:val="en-US"/>
        </w:rPr>
        <w:t>at a time into crop lines, the protection that they confer is often overcome within a few seasons by pathogen evolution</w:t>
      </w:r>
      <w:hyperlink w:anchor="_bookmark3" w:history="1">
        <w:r w:rsidRPr="00492B11">
          <w:rPr>
            <w:rStyle w:val="Hyperlink"/>
            <w:rFonts w:cs="Arial"/>
            <w:b/>
            <w:sz w:val="22"/>
            <w:szCs w:val="22"/>
            <w:lang w:val="en-US"/>
          </w:rPr>
          <w:t>1</w:t>
        </w:r>
      </w:hyperlink>
      <w:r w:rsidRPr="00492B11">
        <w:rPr>
          <w:rFonts w:cs="Arial"/>
          <w:b/>
          <w:sz w:val="22"/>
          <w:szCs w:val="22"/>
          <w:lang w:val="en-US"/>
        </w:rPr>
        <w:t>.</w:t>
      </w:r>
      <w:r>
        <w:rPr>
          <w:rFonts w:cs="Arial"/>
          <w:b/>
          <w:sz w:val="22"/>
          <w:szCs w:val="22"/>
          <w:lang w:val="en-US"/>
        </w:rPr>
        <w:t xml:space="preserve"> </w:t>
      </w:r>
      <w:r w:rsidRPr="00492B11">
        <w:rPr>
          <w:rFonts w:cs="Arial"/>
          <w:b/>
          <w:sz w:val="22"/>
          <w:szCs w:val="22"/>
          <w:lang w:val="en-US"/>
        </w:rPr>
        <w:t>If several cloned R genes were available, it would be possible to pyramid R genes</w:t>
      </w:r>
      <w:hyperlink w:anchor="_bookmark4" w:history="1">
        <w:r w:rsidRPr="00492B11">
          <w:rPr>
            <w:rStyle w:val="Hyperlink"/>
            <w:rFonts w:cs="Arial"/>
            <w:b/>
            <w:sz w:val="22"/>
            <w:szCs w:val="22"/>
            <w:lang w:val="en-US"/>
          </w:rPr>
          <w:t>2</w:t>
        </w:r>
      </w:hyperlink>
      <w:r w:rsidRPr="00492B11">
        <w:rPr>
          <w:rFonts w:cs="Arial"/>
          <w:b/>
          <w:sz w:val="22"/>
          <w:szCs w:val="22"/>
          <w:lang w:val="en-US"/>
        </w:rPr>
        <w:t xml:space="preserve"> in a crop, which might provide more durable resistance</w:t>
      </w:r>
      <w:hyperlink w:anchor="_bookmark3" w:history="1">
        <w:r w:rsidRPr="00492B11">
          <w:rPr>
            <w:rStyle w:val="Hyperlink"/>
            <w:rFonts w:cs="Arial"/>
            <w:b/>
            <w:sz w:val="22"/>
            <w:szCs w:val="22"/>
            <w:lang w:val="en-US"/>
          </w:rPr>
          <w:t>1</w:t>
        </w:r>
      </w:hyperlink>
      <w:r w:rsidRPr="00492B11">
        <w:rPr>
          <w:rFonts w:cs="Arial"/>
          <w:b/>
          <w:sz w:val="22"/>
          <w:szCs w:val="22"/>
          <w:lang w:val="en-US"/>
        </w:rPr>
        <w:t>. We describe a three-step method (MutRenSeq)- that combines chemical mutagenesis with exome capture and sequencing for rapid R gene cloning. We applied MutRenSeq</w:t>
      </w:r>
      <w:r>
        <w:rPr>
          <w:rFonts w:cs="Arial"/>
          <w:b/>
          <w:sz w:val="22"/>
          <w:szCs w:val="22"/>
          <w:lang w:val="en-US"/>
        </w:rPr>
        <w:t xml:space="preserve"> </w:t>
      </w:r>
      <w:r w:rsidRPr="00492B11">
        <w:rPr>
          <w:rFonts w:cs="Arial"/>
          <w:b/>
          <w:sz w:val="22"/>
          <w:szCs w:val="22"/>
          <w:lang w:val="en-US"/>
        </w:rPr>
        <w:t xml:space="preserve">to clone stem rust resistance genes </w:t>
      </w:r>
      <w:r w:rsidRPr="00492B11">
        <w:rPr>
          <w:rFonts w:cs="Arial"/>
          <w:b/>
          <w:i/>
          <w:sz w:val="22"/>
          <w:szCs w:val="22"/>
          <w:lang w:val="en-US"/>
        </w:rPr>
        <w:t xml:space="preserve">Sr22 </w:t>
      </w:r>
      <w:r w:rsidRPr="00492B11">
        <w:rPr>
          <w:rFonts w:cs="Arial"/>
          <w:b/>
          <w:sz w:val="22"/>
          <w:szCs w:val="22"/>
          <w:lang w:val="en-US"/>
        </w:rPr>
        <w:t xml:space="preserve">and </w:t>
      </w:r>
      <w:r w:rsidRPr="00492B11">
        <w:rPr>
          <w:rFonts w:cs="Arial"/>
          <w:b/>
          <w:i/>
          <w:sz w:val="22"/>
          <w:szCs w:val="22"/>
          <w:lang w:val="en-US"/>
        </w:rPr>
        <w:t xml:space="preserve">Sr45 </w:t>
      </w:r>
      <w:r w:rsidRPr="00492B11">
        <w:rPr>
          <w:rFonts w:cs="Arial"/>
          <w:b/>
          <w:sz w:val="22"/>
          <w:szCs w:val="22"/>
          <w:lang w:val="en-US"/>
        </w:rPr>
        <w:lastRenderedPageBreak/>
        <w:t>from hexaploid bread wheat. MutRenSeq can be applied to other commercially relevant crops and their relatives, including, for example, pea, bean, barley, oat, rye, rice and maize.</w:t>
      </w:r>
    </w:p>
    <w:p w14:paraId="05E53650" w14:textId="77777777" w:rsidR="00492B11" w:rsidRDefault="00492B11" w:rsidP="00B91086">
      <w:pPr>
        <w:spacing w:after="120" w:line="480" w:lineRule="auto"/>
        <w:rPr>
          <w:rFonts w:cs="Arial"/>
          <w:b/>
          <w:sz w:val="22"/>
          <w:szCs w:val="22"/>
        </w:rPr>
      </w:pPr>
    </w:p>
    <w:p w14:paraId="7A3749A1" w14:textId="5FF7E1A5" w:rsidR="008B40E4" w:rsidRPr="00492B11" w:rsidRDefault="00492B11" w:rsidP="00492B11">
      <w:pPr>
        <w:spacing w:after="120" w:line="480" w:lineRule="auto"/>
        <w:rPr>
          <w:bCs/>
          <w:sz w:val="22"/>
          <w:szCs w:val="22"/>
        </w:rPr>
      </w:pPr>
      <w:r w:rsidRPr="00492B11">
        <w:rPr>
          <w:bCs/>
          <w:sz w:val="22"/>
          <w:szCs w:val="22"/>
        </w:rPr>
        <w:t>Plant diseases can devastate crop yields and pose a threat to global food security. R genes offer an economical and environmentally respon- sible solution to control plant disease, and cloning of these genes would enable durable R gene deployment strategies. Many R genes are present in gene families, with members in close physical proximity, such that dissection of the locus by recombination is not practical. Functional dissection based on recombination is further confounded by the extreme sequence diversity and R gene copy number variation often present between different haplotypes3,4. In addition, many plant genomes carry large chromosomal regions that impair positional cloning due to suppressed recombination5. Therefore, complemen- tary approaches that are not reliant on positional cloning are required. Most R genes encode proteins with nucleotide binding and leucine- rich repeats (NLRs)2. A typical plant genome contains hundreds of NLR-encoding genes, many of which reside in complex clusters of linked paralogs6. R gene enrichment sequencing (RenSeq) of this specific gene class involves capturing fragments from a genomic or cDNA library using biotinylated RNA oligonucleotides designed to be complementary to the NLR-encoding genes of a reference genome7,8.</w:t>
      </w:r>
      <w:r>
        <w:rPr>
          <w:bCs/>
          <w:sz w:val="22"/>
          <w:szCs w:val="22"/>
        </w:rPr>
        <w:t xml:space="preserve"> </w:t>
      </w:r>
      <w:r w:rsidRPr="00492B11">
        <w:rPr>
          <w:bCs/>
          <w:sz w:val="22"/>
          <w:szCs w:val="22"/>
        </w:rPr>
        <w:t>RenSeq was used to identify trait-linked single-nucleotide polymor- phisms in NLRs in a potato population that was segregating for disease resistance7. However, extensive sequence diversity among parental R gene families prevented the identification of the individual R genes responsible for resistance.</w:t>
      </w:r>
    </w:p>
    <w:p w14:paraId="3A469F75" w14:textId="77777777" w:rsidR="00492B11" w:rsidRPr="00492B11" w:rsidRDefault="00492B11" w:rsidP="00B91086">
      <w:pPr>
        <w:widowControl w:val="0"/>
        <w:autoSpaceDE w:val="0"/>
        <w:autoSpaceDN w:val="0"/>
        <w:adjustRightInd w:val="0"/>
        <w:spacing w:line="480" w:lineRule="auto"/>
        <w:rPr>
          <w:sz w:val="22"/>
          <w:szCs w:val="22"/>
        </w:rPr>
      </w:pPr>
    </w:p>
    <w:p w14:paraId="52D2888D" w14:textId="71A98F15" w:rsidR="00492B11" w:rsidRPr="00492B11" w:rsidRDefault="00492B11" w:rsidP="00492B11">
      <w:pPr>
        <w:spacing w:line="480" w:lineRule="auto"/>
        <w:rPr>
          <w:sz w:val="22"/>
          <w:szCs w:val="22"/>
          <w:lang w:val="en-US"/>
        </w:rPr>
      </w:pPr>
      <w:r w:rsidRPr="00492B11">
        <w:rPr>
          <w:sz w:val="22"/>
          <w:szCs w:val="22"/>
          <w:lang w:val="en-US"/>
        </w:rPr>
        <w:t>To identify R genes that mediate resistance, we instead used RenSeq to compare the R gene complement of ethyl methane sulfonate (EMS)- derived, loss-of-resistance mutants with wild-type progenitors. This modified version of RenSeq, dubbed “MutRenSeq,” enabled the rapid identification of genes responsible for resistance without any posi- tional fine mapping (</w:t>
      </w:r>
      <w:hyperlink w:anchor="_bookmark0" w:history="1">
        <w:r w:rsidRPr="00492B11">
          <w:rPr>
            <w:rStyle w:val="Hyperlink"/>
            <w:b/>
            <w:sz w:val="22"/>
            <w:szCs w:val="22"/>
            <w:lang w:val="en-US"/>
          </w:rPr>
          <w:t>Fig. 1</w:t>
        </w:r>
      </w:hyperlink>
      <w:r w:rsidRPr="00492B11">
        <w:rPr>
          <w:sz w:val="22"/>
          <w:szCs w:val="22"/>
          <w:lang w:val="en-US"/>
        </w:rPr>
        <w:t>). Obtaining loss-of-function mutants is straightforward since R gene suppressor screens typically recover mutations in the R gene (~90% of mutants) rather than second-site suppressors (</w:t>
      </w:r>
      <w:r w:rsidRPr="00492B11">
        <w:rPr>
          <w:b/>
          <w:sz w:val="22"/>
          <w:szCs w:val="22"/>
          <w:lang w:val="en-US"/>
        </w:rPr>
        <w:t>Supplementary Table 1</w:t>
      </w:r>
      <w:r w:rsidRPr="00492B11">
        <w:rPr>
          <w:sz w:val="22"/>
          <w:szCs w:val="22"/>
          <w:lang w:val="en-US"/>
        </w:rPr>
        <w:t xml:space="preserve">). In this report, we isolate two </w:t>
      </w:r>
      <w:r w:rsidRPr="00492B11">
        <w:rPr>
          <w:sz w:val="22"/>
          <w:szCs w:val="22"/>
          <w:lang w:val="en-US"/>
        </w:rPr>
        <w:lastRenderedPageBreak/>
        <w:t xml:space="preserve">wheat stem rust resistance genes, </w:t>
      </w:r>
      <w:r w:rsidRPr="00492B11">
        <w:rPr>
          <w:i/>
          <w:sz w:val="22"/>
          <w:szCs w:val="22"/>
          <w:lang w:val="en-US"/>
        </w:rPr>
        <w:t xml:space="preserve">Sr22 </w:t>
      </w:r>
      <w:r w:rsidRPr="00492B11">
        <w:rPr>
          <w:sz w:val="22"/>
          <w:szCs w:val="22"/>
          <w:lang w:val="en-US"/>
        </w:rPr>
        <w:t xml:space="preserve">and </w:t>
      </w:r>
      <w:r w:rsidRPr="00492B11">
        <w:rPr>
          <w:i/>
          <w:sz w:val="22"/>
          <w:szCs w:val="22"/>
          <w:lang w:val="en-US"/>
        </w:rPr>
        <w:t>Sr45</w:t>
      </w:r>
      <w:r w:rsidRPr="00492B11">
        <w:rPr>
          <w:sz w:val="22"/>
          <w:szCs w:val="22"/>
          <w:lang w:val="en-US"/>
        </w:rPr>
        <w:t>, that mediate</w:t>
      </w:r>
      <w:r>
        <w:rPr>
          <w:sz w:val="22"/>
          <w:szCs w:val="22"/>
          <w:lang w:val="en-US"/>
        </w:rPr>
        <w:t xml:space="preserve"> </w:t>
      </w:r>
      <w:r w:rsidRPr="00492B11">
        <w:rPr>
          <w:sz w:val="22"/>
          <w:szCs w:val="22"/>
          <w:lang w:val="en-US"/>
        </w:rPr>
        <w:t xml:space="preserve">resistance to the stem rust pathogen </w:t>
      </w:r>
      <w:r w:rsidRPr="00492B11">
        <w:rPr>
          <w:i/>
          <w:sz w:val="22"/>
          <w:szCs w:val="22"/>
          <w:lang w:val="en-US"/>
        </w:rPr>
        <w:t xml:space="preserve">Puccinia graminis </w:t>
      </w:r>
      <w:r w:rsidRPr="00492B11">
        <w:rPr>
          <w:sz w:val="22"/>
          <w:szCs w:val="22"/>
          <w:lang w:val="en-US"/>
        </w:rPr>
        <w:t xml:space="preserve">f. sp    </w:t>
      </w:r>
      <w:r w:rsidRPr="00492B11">
        <w:rPr>
          <w:i/>
          <w:sz w:val="22"/>
          <w:szCs w:val="22"/>
          <w:lang w:val="en-US"/>
        </w:rPr>
        <w:t>tritici</w:t>
      </w:r>
      <w:r w:rsidRPr="00492B11">
        <w:rPr>
          <w:sz w:val="22"/>
          <w:szCs w:val="22"/>
          <w:lang w:val="en-US"/>
        </w:rPr>
        <w:t>.</w:t>
      </w:r>
      <w:r>
        <w:rPr>
          <w:sz w:val="22"/>
          <w:szCs w:val="22"/>
          <w:lang w:val="en-US"/>
        </w:rPr>
        <w:t xml:space="preserve"> </w:t>
      </w:r>
      <w:r w:rsidRPr="00492B11">
        <w:rPr>
          <w:sz w:val="22"/>
          <w:szCs w:val="22"/>
          <w:lang w:val="en-US"/>
        </w:rPr>
        <w:t>MutRenSeq will enable the rapid isolation of functional R genes from plant species amenable to mutational genomics and is particu- larly applicable to organisms with large genomes for which whole genome sequencing of multiple individuals is neither straightforward nor cost-effective</w:t>
      </w:r>
      <w:hyperlink w:anchor="_bookmark11" w:history="1">
        <w:r w:rsidRPr="00492B11">
          <w:rPr>
            <w:rStyle w:val="Hyperlink"/>
            <w:sz w:val="22"/>
            <w:szCs w:val="22"/>
            <w:lang w:val="en-US"/>
          </w:rPr>
          <w:t>9</w:t>
        </w:r>
      </w:hyperlink>
      <w:r w:rsidRPr="00492B11">
        <w:rPr>
          <w:sz w:val="22"/>
          <w:szCs w:val="22"/>
          <w:lang w:val="en-US"/>
        </w:rPr>
        <w:t>.</w:t>
      </w:r>
    </w:p>
    <w:p w14:paraId="39AD8160" w14:textId="790F1272" w:rsidR="00492B11" w:rsidRPr="00492B11" w:rsidRDefault="00492B11" w:rsidP="00492B11">
      <w:pPr>
        <w:spacing w:line="480" w:lineRule="auto"/>
        <w:rPr>
          <w:sz w:val="22"/>
          <w:szCs w:val="22"/>
          <w:lang w:val="en-US"/>
        </w:rPr>
      </w:pPr>
      <w:r w:rsidRPr="00492B11">
        <w:rPr>
          <w:sz w:val="22"/>
          <w:szCs w:val="22"/>
          <w:lang w:val="en-US"/>
        </w:rPr>
        <w:t xml:space="preserve">First, we tested MutRenSeq using genomic DNA from six EMS- derived bread wheat plants containing mutations (four point mutants and two deletions) in the previously cloned wheat stem rust resist- ance gene, </w:t>
      </w:r>
      <w:r w:rsidRPr="00492B11">
        <w:rPr>
          <w:i/>
          <w:sz w:val="22"/>
          <w:szCs w:val="22"/>
          <w:lang w:val="en-US"/>
        </w:rPr>
        <w:t xml:space="preserve">Sr33 </w:t>
      </w:r>
      <w:r w:rsidRPr="00492B11">
        <w:rPr>
          <w:sz w:val="22"/>
          <w:szCs w:val="22"/>
          <w:lang w:val="en-US"/>
        </w:rPr>
        <w:t xml:space="preserve">(ref. </w:t>
      </w:r>
      <w:hyperlink w:anchor="_bookmark12" w:history="1">
        <w:r w:rsidRPr="00492B11">
          <w:rPr>
            <w:rStyle w:val="Hyperlink"/>
            <w:sz w:val="22"/>
            <w:szCs w:val="22"/>
            <w:lang w:val="en-US"/>
          </w:rPr>
          <w:t>10</w:t>
        </w:r>
      </w:hyperlink>
      <w:r w:rsidRPr="00492B11">
        <w:rPr>
          <w:sz w:val="22"/>
          <w:szCs w:val="22"/>
          <w:lang w:val="en-US"/>
        </w:rPr>
        <w:t xml:space="preserve">; </w:t>
      </w:r>
      <w:r w:rsidRPr="00492B11">
        <w:rPr>
          <w:b/>
          <w:sz w:val="22"/>
          <w:szCs w:val="22"/>
          <w:lang w:val="en-US"/>
        </w:rPr>
        <w:t>Supplementary Table 2</w:t>
      </w:r>
      <w:r w:rsidRPr="00492B11">
        <w:rPr>
          <w:sz w:val="22"/>
          <w:szCs w:val="22"/>
          <w:lang w:val="en-US"/>
        </w:rPr>
        <w:t>). We designed a cereal NLR bait library containing 60,000 120-mer RNA probes (</w:t>
      </w:r>
      <w:r w:rsidRPr="00492B11">
        <w:rPr>
          <w:b/>
          <w:sz w:val="22"/>
          <w:szCs w:val="22"/>
          <w:lang w:val="en-US"/>
        </w:rPr>
        <w:t>Supplementary Data</w:t>
      </w:r>
      <w:r w:rsidRPr="00492B11">
        <w:rPr>
          <w:sz w:val="22"/>
          <w:szCs w:val="22"/>
          <w:lang w:val="en-US"/>
        </w:rPr>
        <w:t xml:space="preserve">) with </w:t>
      </w:r>
      <w:r w:rsidRPr="00492B11">
        <w:rPr>
          <w:sz w:val="22"/>
          <w:szCs w:val="22"/>
          <w:lang w:val="en-US"/>
        </w:rPr>
        <w:t>95% identity to predicted NLR genes present in the Triticeae species barley (</w:t>
      </w:r>
      <w:r w:rsidRPr="00492B11">
        <w:rPr>
          <w:i/>
          <w:sz w:val="22"/>
          <w:szCs w:val="22"/>
          <w:lang w:val="en-US"/>
        </w:rPr>
        <w:t>Hordeum vulgare</w:t>
      </w:r>
      <w:r w:rsidRPr="00492B11">
        <w:rPr>
          <w:sz w:val="22"/>
          <w:szCs w:val="22"/>
          <w:lang w:val="en-US"/>
        </w:rPr>
        <w:t>), hexaploid bread wheat (</w:t>
      </w:r>
      <w:r w:rsidRPr="00492B11">
        <w:rPr>
          <w:i/>
          <w:sz w:val="22"/>
          <w:szCs w:val="22"/>
          <w:lang w:val="en-US"/>
        </w:rPr>
        <w:t>Triticum aestivum</w:t>
      </w:r>
      <w:r w:rsidRPr="00492B11">
        <w:rPr>
          <w:sz w:val="22"/>
          <w:szCs w:val="22"/>
          <w:lang w:val="en-US"/>
        </w:rPr>
        <w:t>), tetraploid pasta wheat (</w:t>
      </w:r>
      <w:r w:rsidRPr="00492B11">
        <w:rPr>
          <w:i/>
          <w:sz w:val="22"/>
          <w:szCs w:val="22"/>
          <w:lang w:val="en-US"/>
        </w:rPr>
        <w:t>T. durum</w:t>
      </w:r>
      <w:r w:rsidRPr="00492B11">
        <w:rPr>
          <w:sz w:val="22"/>
          <w:szCs w:val="22"/>
          <w:lang w:val="en-US"/>
        </w:rPr>
        <w:t>), red wild einkorn (</w:t>
      </w:r>
      <w:r w:rsidRPr="00492B11">
        <w:rPr>
          <w:i/>
          <w:sz w:val="22"/>
          <w:szCs w:val="22"/>
          <w:lang w:val="en-US"/>
        </w:rPr>
        <w:t>T. urartu</w:t>
      </w:r>
      <w:r w:rsidRPr="00492B11">
        <w:rPr>
          <w:sz w:val="22"/>
          <w:szCs w:val="22"/>
          <w:lang w:val="en-US"/>
        </w:rPr>
        <w:t>), domesticated einkorn (</w:t>
      </w:r>
      <w:r w:rsidRPr="00492B11">
        <w:rPr>
          <w:i/>
          <w:sz w:val="22"/>
          <w:szCs w:val="22"/>
          <w:lang w:val="en-US"/>
        </w:rPr>
        <w:t>T. monococcum</w:t>
      </w:r>
      <w:r w:rsidRPr="00492B11">
        <w:rPr>
          <w:sz w:val="22"/>
          <w:szCs w:val="22"/>
          <w:lang w:val="en-US"/>
        </w:rPr>
        <w:t>), and three goatgrass species (</w:t>
      </w:r>
      <w:r w:rsidRPr="00492B11">
        <w:rPr>
          <w:i/>
          <w:sz w:val="22"/>
          <w:szCs w:val="22"/>
          <w:lang w:val="en-US"/>
        </w:rPr>
        <w:t>Aegilops tauschii</w:t>
      </w:r>
      <w:r w:rsidRPr="00492B11">
        <w:rPr>
          <w:sz w:val="22"/>
          <w:szCs w:val="22"/>
          <w:lang w:val="en-US"/>
        </w:rPr>
        <w:t xml:space="preserve">, </w:t>
      </w:r>
      <w:r w:rsidRPr="00492B11">
        <w:rPr>
          <w:i/>
          <w:sz w:val="22"/>
          <w:szCs w:val="22"/>
          <w:lang w:val="en-US"/>
        </w:rPr>
        <w:t>Ae. sharonensis</w:t>
      </w:r>
      <w:r w:rsidRPr="00492B11">
        <w:rPr>
          <w:sz w:val="22"/>
          <w:szCs w:val="22"/>
          <w:lang w:val="en-US"/>
        </w:rPr>
        <w:t xml:space="preserve">, and </w:t>
      </w:r>
      <w:r w:rsidRPr="00492B11">
        <w:rPr>
          <w:i/>
          <w:sz w:val="22"/>
          <w:szCs w:val="22"/>
          <w:lang w:val="en-US"/>
        </w:rPr>
        <w:t>Ae.  speltoides</w:t>
      </w:r>
      <w:r w:rsidRPr="00492B11">
        <w:rPr>
          <w:sz w:val="22"/>
          <w:szCs w:val="22"/>
          <w:lang w:val="en-US"/>
        </w:rPr>
        <w:t>). We prepared barcoded short insert (500–700 bp)</w:t>
      </w:r>
      <w:r>
        <w:rPr>
          <w:sz w:val="22"/>
          <w:szCs w:val="22"/>
          <w:lang w:val="en-US"/>
        </w:rPr>
        <w:t xml:space="preserve"> </w:t>
      </w:r>
      <w:r w:rsidRPr="00492B11">
        <w:rPr>
          <w:sz w:val="22"/>
          <w:szCs w:val="22"/>
          <w:lang w:val="en-US"/>
        </w:rPr>
        <w:t xml:space="preserve">libraries from genomic DNA of the </w:t>
      </w:r>
      <w:r w:rsidRPr="00492B11">
        <w:rPr>
          <w:i/>
          <w:sz w:val="22"/>
          <w:szCs w:val="22"/>
          <w:lang w:val="en-US"/>
        </w:rPr>
        <w:t xml:space="preserve">Sr33 </w:t>
      </w:r>
      <w:r w:rsidRPr="00492B11">
        <w:rPr>
          <w:sz w:val="22"/>
          <w:szCs w:val="22"/>
          <w:lang w:val="en-US"/>
        </w:rPr>
        <w:t>wild type and each of the</w:t>
      </w:r>
      <w:r>
        <w:rPr>
          <w:sz w:val="22"/>
          <w:szCs w:val="22"/>
          <w:lang w:val="en-US"/>
        </w:rPr>
        <w:t xml:space="preserve"> </w:t>
      </w:r>
      <w:r w:rsidRPr="00492B11">
        <w:rPr>
          <w:sz w:val="22"/>
          <w:szCs w:val="22"/>
          <w:lang w:val="en-US"/>
        </w:rPr>
        <w:t>six mutants and performed NLR capture. Quantitative PCR on the enriched libraries indicated a 500- to 1,000-fold increase in NLRs rela- tive to other genes. We pooled the enriched libraries and sequenced them using Illumina short-read sequencing-by-synthesis technology</w:t>
      </w:r>
      <w:r>
        <w:rPr>
          <w:sz w:val="22"/>
          <w:szCs w:val="22"/>
          <w:lang w:val="en-US"/>
        </w:rPr>
        <w:t xml:space="preserve"> </w:t>
      </w:r>
      <w:r w:rsidRPr="00492B11">
        <w:rPr>
          <w:sz w:val="22"/>
          <w:szCs w:val="22"/>
          <w:lang w:val="en-US"/>
        </w:rPr>
        <w:t xml:space="preserve">(Supplementary Table 3; EBI study number PRJEB10070) and per- formed a de novo assembly of the Sr33 wild-type sequence obtained from 2.9 Gb of 250-bp paired-end sequence data. This resulted in 8,235 genomic contigs (14.5 Mb) associated with NLR–containing regions (Supplementary Table 4). We identified three contigs that spanned 98% of the coding region of Sr33 (Supplementary Fig. 1). We next compared the reads from different mutants to the wild-type assembly and searched for NLR–associated contigs containing muta- tions (single-nucleotide variants (SNVs) or deletions). The number of NLR mutations ranged from 39 to 142 per mutant (Supplementary Table 5). Thirty-one NLR contigs (different from Sr33) were iden- tified, which carried independent mutations in two  mutant  lines, two contigs carried mutations in three lines, whereas two contigs contained mutations in four lines (Supplementary Table 6). These latter two contigs were both from the Sr33 gene and identified the previously characterized Sr33 point mutations </w:t>
      </w:r>
      <w:r w:rsidRPr="00492B11">
        <w:rPr>
          <w:sz w:val="22"/>
          <w:szCs w:val="22"/>
          <w:lang w:val="en-US"/>
        </w:rPr>
        <w:lastRenderedPageBreak/>
        <w:t>and deletion mutations (which spanned both contigs), verifying the efficacy of this method to identify causative mutations in a single R gene in hexaploid wheat.</w:t>
      </w:r>
    </w:p>
    <w:p w14:paraId="3FFA5042" w14:textId="4523660E" w:rsidR="00492B11" w:rsidRPr="00492B11" w:rsidRDefault="00492B11" w:rsidP="00492B11">
      <w:pPr>
        <w:spacing w:line="480" w:lineRule="auto"/>
        <w:rPr>
          <w:sz w:val="22"/>
          <w:szCs w:val="22"/>
          <w:lang w:val="en-US"/>
        </w:rPr>
      </w:pPr>
      <w:r w:rsidRPr="00492B11">
        <w:rPr>
          <w:sz w:val="22"/>
          <w:szCs w:val="22"/>
          <w:lang w:val="en-US"/>
        </w:rPr>
        <w:t>We next used MutRenSeq to clone the stem rust resistance gene Sr22, which was introgressed into wheat chromosome 7A from the diploid A-genome relatives (T. boeoticum and T. monococcum)11,12. In cultivar Schomburgk, Sr22 confers resistance to commercially important races of the stem rust pathogen, including the Ug99 race group, which threatens wheat production in Africa. Sr22 is one of  the few R genes that is effective against Yemeni and Ethiopian stem- rust isolates13 (Fig. 2a and Supplementary Table 7). However, deployment of Sr22 has been hampered owing to poor agronomic performance associated with the Sr22-introgression conferred by linked gene alleles14 (linkage drag). Further, efforts to clone Sr22 in wheat with standard map-based approaches were unsuccessful owing to suppressed recombination in the Sr22 region  (Supplementary Fig. 2). We carried out an Sr22 EMS suppressor screen using Schomburgk seeds and identified six independent susceptible mutants from 1,300 M2 families (Fig. 2a). We sequenced the genomic NLR complement of Schomburgk (wild-type Sr22) and the six mutants using Illumina short-read sequencing (Supplementary Table 3; EBI study number PRJEB10099), and compared the mutant NLR complements to wild type. The number of mutations ranged from 44 to 84, and we identified 23 contigs that were mutated in two mutants, three contigs that were mutated in three mutants, and a single 3,408-bp contig, that contained independent mutations in five of the six mutants (Fig. 2b and Supplementary Table 8). This contig had homology (detected using BLAST) with the C-terminal region of an Ae. tauschii NLR homolog. We used the 5</w:t>
      </w:r>
      <w:r w:rsidRPr="00492B11">
        <w:rPr>
          <w:sz w:val="22"/>
          <w:szCs w:val="22"/>
          <w:lang w:val="en-US"/>
        </w:rPr>
        <w:t> end of the Ae. tauschii NLR to search the Sr22 wild-type assembly and identified a contig that carried an EMS- induced mutation in the N-terminal region of the same gene in the remaining mutant (Fig. 2b). We were able to physically join the two contigs using PCR of genomic and cDNA templates to obtain the full- length sequence of the predicted open reading frame of Sr22 (Fig. 2b and Supplementary Fig. 3a). We also confirmed the presence of mutations by PCR and Sanger sequencing of each mutant DNA (NCBI</w:t>
      </w:r>
      <w:r>
        <w:rPr>
          <w:sz w:val="22"/>
          <w:szCs w:val="22"/>
          <w:lang w:val="en-US"/>
        </w:rPr>
        <w:t xml:space="preserve"> </w:t>
      </w:r>
      <w:r w:rsidRPr="00492B11">
        <w:rPr>
          <w:sz w:val="22"/>
          <w:szCs w:val="22"/>
          <w:lang w:val="en-US"/>
        </w:rPr>
        <w:t xml:space="preserve">study number SRP070803). All six mutations are GC to AT transitions that cause nonsense (two) or missense (four) mutations (Fig. 2b). To further verify Sr22 cloning, we used the sequence to generate a PCR molecular marker, which co-segregated with Sr22 in 2,300 gametes (Supplementary Fig. 2). Finally, </w:t>
      </w:r>
      <w:r w:rsidRPr="00492B11">
        <w:rPr>
          <w:sz w:val="22"/>
          <w:szCs w:val="22"/>
          <w:lang w:val="en-US"/>
        </w:rPr>
        <w:lastRenderedPageBreak/>
        <w:t>we screened by PCR and sequencing accessions of T. boeoticum and its domesticated form T. monococcum, which have been postulated to carry Sr22 (ref. 15), for alleles of Sr22, and obtained highly homologous sequences (&gt;96% in coding region) Supplementary Figs. 4–6). In a T. monococcum mapping population, the Sr22 homolog co-segregated with stem-rust resistance in 2,300 gametes and mapped to the orthologous location defined in the hexa- ploid wheat Schomburgk (Supplementary Figs. 2 and 7).</w:t>
      </w:r>
    </w:p>
    <w:p w14:paraId="00E5BC5D" w14:textId="77777777" w:rsidR="00492B11" w:rsidRPr="00492B11" w:rsidRDefault="00492B11" w:rsidP="00492B11">
      <w:pPr>
        <w:spacing w:line="480" w:lineRule="auto"/>
        <w:rPr>
          <w:sz w:val="22"/>
          <w:szCs w:val="22"/>
          <w:lang w:val="en-US"/>
        </w:rPr>
      </w:pPr>
      <w:r w:rsidRPr="00492B11">
        <w:rPr>
          <w:sz w:val="22"/>
          <w:szCs w:val="22"/>
          <w:lang w:val="en-US"/>
        </w:rPr>
        <w:t>The 250-bp paired-end sequencing reads were unable to bridge a gap created by a 2,920-bp intron located between exon 1 and 2 of Sr22 (Fig. 2b). The presence of large introns in many R genes presents a limitation in our pipeline in cases where few mutants are available  or where the mutations are on either side of an intron, or when no sequenced homologs are available that can be used to define contigs belonging to the same gene. However, this limitation could be over- come if the resistant parent is sequenced using a long-read sequencing technology such as PacBio16.</w:t>
      </w:r>
    </w:p>
    <w:p w14:paraId="4F6DBC0B" w14:textId="76ACE642" w:rsidR="00492B11" w:rsidRPr="00492B11" w:rsidRDefault="00492B11" w:rsidP="00492B11">
      <w:pPr>
        <w:spacing w:line="480" w:lineRule="auto"/>
        <w:rPr>
          <w:sz w:val="22"/>
          <w:szCs w:val="22"/>
          <w:lang w:val="en-US"/>
        </w:rPr>
      </w:pPr>
      <w:r w:rsidRPr="00492B11">
        <w:rPr>
          <w:sz w:val="22"/>
          <w:szCs w:val="22"/>
          <w:lang w:val="en-US"/>
        </w:rPr>
        <w:t>Instead of using long-read sequencing, we sequenced the Schomburgk (Sr22) leaf transcriptome and used the cDNA-derived reads to join contigs. Anchoring the transcriptome reads to the Sr22 3</w:t>
      </w:r>
      <w:r w:rsidRPr="00492B11">
        <w:rPr>
          <w:sz w:val="22"/>
          <w:szCs w:val="22"/>
          <w:lang w:val="en-US"/>
        </w:rPr>
        <w:t> contig enabled the identification of two candidate 5</w:t>
      </w:r>
      <w:r w:rsidRPr="00492B11">
        <w:rPr>
          <w:sz w:val="22"/>
          <w:szCs w:val="22"/>
          <w:lang w:val="en-US"/>
        </w:rPr>
        <w:t> con-  tigs (Supplementary Fig. 8). Only one of these 5</w:t>
      </w:r>
      <w:r w:rsidRPr="00492B11">
        <w:rPr>
          <w:sz w:val="22"/>
          <w:szCs w:val="22"/>
          <w:lang w:val="en-US"/>
        </w:rPr>
        <w:t> contigs matched the mutated sequence present in the mutant line described above   and this contig was nearly identical to the Ae. tauschii Sr22 homolog. Therefore, transcriptome sequencing allowed us to identify the entire coding sequence of Sr22 without relying on the existence of a close homolog in a public database. We aligned the leaf transcriptome reads, as well as 5</w:t>
      </w:r>
      <w:r w:rsidRPr="00492B11">
        <w:rPr>
          <w:sz w:val="22"/>
          <w:szCs w:val="22"/>
          <w:lang w:val="en-US"/>
        </w:rPr>
        <w:t> and 3</w:t>
      </w:r>
      <w:r w:rsidRPr="00492B11">
        <w:rPr>
          <w:sz w:val="22"/>
          <w:szCs w:val="22"/>
          <w:lang w:val="en-US"/>
        </w:rPr>
        <w:t> RACE products, to the genomic sequence to determine the Sr22 exon structure (Supplementary Fig. 3). The gene</w:t>
      </w:r>
      <w:r>
        <w:rPr>
          <w:sz w:val="22"/>
          <w:szCs w:val="22"/>
          <w:lang w:val="en-US"/>
        </w:rPr>
        <w:t xml:space="preserve"> </w:t>
      </w:r>
      <w:r w:rsidRPr="00492B11">
        <w:rPr>
          <w:sz w:val="22"/>
          <w:szCs w:val="22"/>
          <w:lang w:val="en-US"/>
        </w:rPr>
        <w:t>has four exons and three introns and spans 5,918 bp from the translation initiation to termination codons with a coding sequence of 2,826 bp and 5</w:t>
      </w:r>
      <w:r w:rsidRPr="00492B11">
        <w:rPr>
          <w:sz w:val="22"/>
          <w:szCs w:val="22"/>
          <w:lang w:val="en-US"/>
        </w:rPr>
        <w:t> and 3</w:t>
      </w:r>
      <w:r w:rsidRPr="00492B11">
        <w:rPr>
          <w:sz w:val="22"/>
          <w:szCs w:val="22"/>
          <w:lang w:val="en-US"/>
        </w:rPr>
        <w:t> UTRs of 75 bp and 335 bp (Fig. 2b).    The predicted protein of 941 amino acids contains domains with homology to a coiled coil, a nucleotide binding site, and leucine-rich repeats (Fig. 2b and Supplementary Fig. 9).</w:t>
      </w:r>
    </w:p>
    <w:p w14:paraId="08BE3497" w14:textId="3F7BC9CC" w:rsidR="00B40C4C" w:rsidRPr="00B40C4C" w:rsidRDefault="00492B11" w:rsidP="00B40C4C">
      <w:pPr>
        <w:spacing w:line="480" w:lineRule="auto"/>
        <w:rPr>
          <w:sz w:val="22"/>
          <w:szCs w:val="22"/>
          <w:lang w:val="en-US"/>
        </w:rPr>
      </w:pPr>
      <w:r w:rsidRPr="00492B11">
        <w:rPr>
          <w:sz w:val="22"/>
          <w:szCs w:val="22"/>
          <w:lang w:val="en-US"/>
        </w:rPr>
        <w:t>To obtain the promoter region of Sr22, we used a modified RenSeq approach, (local RenSeq). This approach uses in vitro-transcribed biotinylated RNA probes (&gt;500 nt) targeting the 5</w:t>
      </w:r>
      <w:r w:rsidRPr="00492B11">
        <w:rPr>
          <w:sz w:val="22"/>
          <w:szCs w:val="22"/>
          <w:lang w:val="en-US"/>
        </w:rPr>
        <w:t> and 3</w:t>
      </w:r>
      <w:r w:rsidRPr="00492B11">
        <w:rPr>
          <w:sz w:val="22"/>
          <w:szCs w:val="22"/>
          <w:lang w:val="en-US"/>
        </w:rPr>
        <w:t xml:space="preserve"> ends of </w:t>
      </w:r>
      <w:r w:rsidRPr="00492B11">
        <w:rPr>
          <w:sz w:val="22"/>
          <w:szCs w:val="22"/>
          <w:lang w:val="en-US"/>
        </w:rPr>
        <w:lastRenderedPageBreak/>
        <w:t>assembled contigs to enrich for long (&gt;2 kb) fragments from genomic</w:t>
      </w:r>
      <w:r>
        <w:rPr>
          <w:sz w:val="22"/>
          <w:szCs w:val="22"/>
          <w:lang w:val="en-US"/>
        </w:rPr>
        <w:t xml:space="preserve"> </w:t>
      </w:r>
      <w:r w:rsidRPr="00492B11">
        <w:rPr>
          <w:sz w:val="22"/>
          <w:szCs w:val="22"/>
          <w:lang w:val="en-US"/>
        </w:rPr>
        <w:t>DNA libraries. Using this approach we cloned 2.5 kb of the promoter region (Fig. 2b). In addition, we cloned 1.6 kb of terminator region using genome walking (Fig. 2b). We confirmed the physical con- tinuity of these upstream and downstream sequences with Sr22 by</w:t>
      </w:r>
      <w:r>
        <w:rPr>
          <w:sz w:val="22"/>
          <w:szCs w:val="22"/>
          <w:lang w:val="en-US"/>
        </w:rPr>
        <w:t xml:space="preserve"> </w:t>
      </w:r>
      <w:r w:rsidRPr="00492B11">
        <w:rPr>
          <w:sz w:val="22"/>
          <w:szCs w:val="22"/>
          <w:lang w:val="en-US"/>
        </w:rPr>
        <w:t>(i)</w:t>
      </w:r>
      <w:r>
        <w:rPr>
          <w:sz w:val="22"/>
          <w:szCs w:val="22"/>
          <w:lang w:val="en-US"/>
        </w:rPr>
        <w:t xml:space="preserve"> se</w:t>
      </w:r>
      <w:r w:rsidRPr="00492B11">
        <w:rPr>
          <w:sz w:val="22"/>
          <w:szCs w:val="22"/>
          <w:lang w:val="en-US"/>
        </w:rPr>
        <w:t>quencing long-range PCR amplicons derived from mutant templates and recovering the diagnostic SNVs, and (ii) by obtain- ing an error-free, full-length, high-fidelity PCR-derived clone of Sr22 (Supplementary Fig. 3a). In total, we cloned 8,957 bp of contiguous sequence spanning Sr22 without needing to use a large-insert genomic BAC or fosmid library. We transformed the stem-rust susceptible cultivar Fielder with the Sr22 clone and obtained six independent transgenic lines. We grew the transgenic Fielder lines in an automated growth cabinet and inoculated the transgenic plants at the third-leaf developmental stage with an Australian stem rust race (#98-1,2,3,5,6) which is prevalent in wheat fields in Australia and virulent on Fielder. All the transgenic lines were resistant to wheat stem rust with an infection phenotype similar to that of Schomburgk Sr22 (Fig. 3). These data provide further evidence that we have cloned a functional, single Sr22 gene.</w:t>
      </w:r>
      <w:r w:rsidR="00B40C4C">
        <w:rPr>
          <w:sz w:val="22"/>
          <w:szCs w:val="22"/>
          <w:lang w:val="en-US"/>
        </w:rPr>
        <w:t xml:space="preserve"> </w:t>
      </w:r>
      <w:r w:rsidR="00B40C4C" w:rsidRPr="00B40C4C">
        <w:rPr>
          <w:sz w:val="22"/>
          <w:szCs w:val="22"/>
          <w:lang w:val="en-US"/>
        </w:rPr>
        <w:t>Next, we used MutRenSeq to clone the stem-rust resistance gene Sr45. This gene was introgressed into wheat chromosome 1D from the D-genome progenitor Ae. tauschii14. It confers resistance to stem-rust pathogen races from Africa, India, and Australia, but virulence has been reported in Canada17–19. We performed an Sr45 EMS sup- pressor screen and identified six susceptible mutants (Fig. 2c). Comparison of the RenSeq profiles (EBI study number PRJEB10112) of these mutants with the wild-type parent CS1D5406 (ref. 17) (car- rying Sr45) revealed 28 contigs with two mutations in independent mutants, two contigs with three mutations in independent mutants, and a single 5,266-bp contig with independent point mutations in all six mutants comprising four nonsense and two missense mutations (Fig. 2d and Supplementary Table 9). We developed a PCR molecu- lar marker from this contig and showed that it co-segregates with stem-rust resistance in a high-resolution mapping population (2,300 gametes; Supplementary Fig. 2b). Based on motif analysis20 and cDNA sequencing we predict that the Sr45 candidate contig encodes a CC-NLR protein of 1,230 amino acids. The gene spans 5,822 bp and includes a 226-bp 5</w:t>
      </w:r>
      <w:r w:rsidR="00B40C4C" w:rsidRPr="00B40C4C">
        <w:rPr>
          <w:sz w:val="22"/>
          <w:szCs w:val="22"/>
          <w:lang w:val="en-US"/>
        </w:rPr>
        <w:t> UTR, 3,693 bp of coding sequence, two introns of 395 and 113 bp, and a 590-bp 3</w:t>
      </w:r>
      <w:r w:rsidR="00B40C4C" w:rsidRPr="00B40C4C">
        <w:rPr>
          <w:sz w:val="22"/>
          <w:szCs w:val="22"/>
          <w:lang w:val="en-US"/>
        </w:rPr>
        <w:t xml:space="preserve"> UTR (Fig. 2d). Additionally, 1,508 bp of Sr45 downstream sequence that includes </w:t>
      </w:r>
      <w:r w:rsidR="00B40C4C" w:rsidRPr="00B40C4C">
        <w:rPr>
          <w:sz w:val="22"/>
          <w:szCs w:val="22"/>
          <w:lang w:val="en-US"/>
        </w:rPr>
        <w:lastRenderedPageBreak/>
        <w:t>the entire 3</w:t>
      </w:r>
      <w:r w:rsidR="00B40C4C" w:rsidRPr="00B40C4C">
        <w:rPr>
          <w:sz w:val="22"/>
          <w:szCs w:val="22"/>
          <w:lang w:val="en-US"/>
        </w:rPr>
        <w:t> UTR (identi- fied through 3</w:t>
      </w:r>
      <w:r w:rsidR="00B40C4C" w:rsidRPr="00B40C4C">
        <w:rPr>
          <w:sz w:val="22"/>
          <w:szCs w:val="22"/>
          <w:lang w:val="en-US"/>
        </w:rPr>
        <w:t> RACE) were identified through genome walking. We confirmed the physical juxtaposition of these sequences by long-range PCR and sequencing (Supplementary Fig. 3b). Based on the number of NLR contigs and the observed mutation rates in these contigs in the Sr45 mutant lines (Supplementary Tables 4 and 5), we calculated that the probability of finding the same NLR contig mutated in all six Sr45 mutants by chance was 1 in 148,559 (Supplementary Table 10). We cannot sensu stricto rule out the possibility that another linked gene, which we did not identify in our analysis, is actually Sr45.</w:t>
      </w:r>
    </w:p>
    <w:p w14:paraId="4BF10727" w14:textId="77777777" w:rsidR="00B40C4C" w:rsidRPr="00B40C4C" w:rsidRDefault="00B40C4C" w:rsidP="00B40C4C">
      <w:pPr>
        <w:spacing w:line="480" w:lineRule="auto"/>
        <w:rPr>
          <w:sz w:val="22"/>
          <w:szCs w:val="22"/>
          <w:lang w:val="en-US"/>
        </w:rPr>
      </w:pPr>
      <w:r w:rsidRPr="00B40C4C">
        <w:rPr>
          <w:sz w:val="22"/>
          <w:szCs w:val="22"/>
          <w:lang w:val="en-US"/>
        </w:rPr>
        <w:t>R genes are often present in clusters of related paralogs6. Using BLAST sequence searches we estimated the number of homologs   of  Sr22  and  Sr45  in  Schomburgk  and  CS1D5406, respectively.</w:t>
      </w:r>
      <w:r>
        <w:rPr>
          <w:sz w:val="22"/>
          <w:szCs w:val="22"/>
          <w:lang w:val="en-US"/>
        </w:rPr>
        <w:t xml:space="preserve"> </w:t>
      </w:r>
      <w:r w:rsidRPr="00B40C4C">
        <w:rPr>
          <w:sz w:val="22"/>
          <w:szCs w:val="22"/>
          <w:lang w:val="en-US"/>
        </w:rPr>
        <w:t>Sr22 belongs to a small gene family with three homologs, whereas Sr45 belongs to a larger family with 8–12 homologs (Supplementary Fig. 10). Therefore, MutRenSeq can identify genes belonging to multigene families.</w:t>
      </w:r>
    </w:p>
    <w:p w14:paraId="78AC50EF" w14:textId="77777777" w:rsidR="00B40C4C" w:rsidRPr="00B40C4C" w:rsidRDefault="00B40C4C" w:rsidP="00B40C4C">
      <w:pPr>
        <w:spacing w:line="480" w:lineRule="auto"/>
        <w:rPr>
          <w:sz w:val="22"/>
          <w:szCs w:val="22"/>
          <w:lang w:val="en-US"/>
        </w:rPr>
      </w:pPr>
      <w:r w:rsidRPr="00B40C4C">
        <w:rPr>
          <w:sz w:val="22"/>
          <w:szCs w:val="22"/>
          <w:lang w:val="en-US"/>
        </w:rPr>
        <w:t>Together with Sr33, Sr35, and Sr50, Sr22 and Sr45 are two of-five major dominant Sr genes cloned so far in wheat10,21. All five genes con- fer resistance to the Ug99 race group of P. graminis f. sp. tritici, whereas Sr22, Sr33, and Sr50 confer broad-spectrum resistance to multiple pathogen races. Approximately 60 Sr genes have been genetically iden- tified in wheat, several of which also provide broad-spectrum resist- ance at all plant developmental stages, for example, Sr26, Sr32, Sr39, Sr40, and Sr47. MutRenSeq could be used to clone these genes rapidly. Pyramiding cloned Sr genes at a single transgene locus is predicted by modelling to enhance the durability of resistance1. The physical co-location of genes at the same transgene locus would ensure co-seg- regation, enabling facile tracking in breeding programs and avoiding single genes again being deployed against the pathogen.</w:t>
      </w:r>
    </w:p>
    <w:p w14:paraId="502E0596" w14:textId="61C2F45C" w:rsidR="00492B11" w:rsidRDefault="00B40C4C" w:rsidP="00B40C4C">
      <w:pPr>
        <w:spacing w:line="480" w:lineRule="auto"/>
        <w:rPr>
          <w:sz w:val="22"/>
          <w:szCs w:val="22"/>
          <w:lang w:val="en-US"/>
        </w:rPr>
      </w:pPr>
      <w:r w:rsidRPr="00B40C4C">
        <w:rPr>
          <w:sz w:val="22"/>
          <w:szCs w:val="22"/>
          <w:lang w:val="en-US"/>
        </w:rPr>
        <w:t xml:space="preserve">In conclusion, we report the use of mutational genomics (MutRenSeq) for cloning two Sr genes from the large (17 × 109 bp), hexaploid wheat genome. MutRenSeq is fast (&lt;24 months), cheap, independent of fine mapping, and the generation of a physical contig across the map interval, and easily scalable, allowing the rescue of R genes from wheat-alien introgressions that are not currently being used in agriculture owing to linkage drag. This approach can be applied to most crops or their wild relatives, </w:t>
      </w:r>
      <w:r w:rsidRPr="00B40C4C">
        <w:rPr>
          <w:sz w:val="22"/>
          <w:szCs w:val="22"/>
          <w:lang w:val="en-US"/>
        </w:rPr>
        <w:lastRenderedPageBreak/>
        <w:t>and will allow the clon- ing of R genes that could be used in multi-R gene pyramids, a strategy that promises more durable disease resistance in crops.</w:t>
      </w:r>
    </w:p>
    <w:p w14:paraId="6354FAC3" w14:textId="5B680B46" w:rsidR="00B40C4C" w:rsidRPr="00B40C4C" w:rsidRDefault="00B40C4C" w:rsidP="00B40C4C">
      <w:pPr>
        <w:spacing w:line="480" w:lineRule="auto"/>
        <w:rPr>
          <w:sz w:val="22"/>
          <w:szCs w:val="22"/>
          <w:lang w:val="en-US"/>
        </w:rPr>
      </w:pPr>
      <w:r w:rsidRPr="00B40C4C">
        <w:rPr>
          <w:sz w:val="22"/>
          <w:szCs w:val="22"/>
          <w:lang w:val="en-US"/>
        </w:rPr>
        <w:t>Met</w:t>
      </w:r>
      <w:r>
        <w:rPr>
          <w:sz w:val="22"/>
          <w:szCs w:val="22"/>
          <w:lang w:val="en-US"/>
        </w:rPr>
        <w:t>hods</w:t>
      </w:r>
    </w:p>
    <w:p w14:paraId="785A3966" w14:textId="41856481" w:rsidR="00B40C4C" w:rsidRPr="00B40C4C" w:rsidRDefault="00B40C4C" w:rsidP="00B40C4C">
      <w:pPr>
        <w:spacing w:line="480" w:lineRule="auto"/>
        <w:rPr>
          <w:sz w:val="22"/>
          <w:szCs w:val="22"/>
          <w:lang w:val="en-US"/>
        </w:rPr>
      </w:pPr>
      <w:r w:rsidRPr="00B40C4C">
        <w:rPr>
          <w:sz w:val="22"/>
          <w:szCs w:val="22"/>
          <w:lang w:val="en-US"/>
        </w:rPr>
        <w:t>Methods and any associated references are available in the online version of the paper.</w:t>
      </w:r>
    </w:p>
    <w:p w14:paraId="45C66243" w14:textId="46F3D147" w:rsidR="00B40C4C" w:rsidRPr="00B40C4C" w:rsidRDefault="00B40C4C" w:rsidP="00B40C4C">
      <w:pPr>
        <w:spacing w:line="480" w:lineRule="auto"/>
        <w:rPr>
          <w:sz w:val="22"/>
          <w:szCs w:val="22"/>
          <w:lang w:val="en-US"/>
        </w:rPr>
      </w:pPr>
      <w:r w:rsidRPr="00B40C4C">
        <w:rPr>
          <w:sz w:val="22"/>
          <w:szCs w:val="22"/>
          <w:lang w:val="en-US"/>
        </w:rPr>
        <w:t>Accession codes. Sr22 and Sr45 loci are accessible through EBI: LN883743 and LN883757. Short read raw data are available from EBI, study numbers: PRJEB10070 (Sr33), PRJEB10099    (Sr22),</w:t>
      </w:r>
      <w:r>
        <w:rPr>
          <w:sz w:val="22"/>
          <w:szCs w:val="22"/>
          <w:lang w:val="en-US"/>
        </w:rPr>
        <w:t xml:space="preserve"> </w:t>
      </w:r>
      <w:r w:rsidRPr="00B40C4C">
        <w:rPr>
          <w:sz w:val="22"/>
          <w:szCs w:val="22"/>
          <w:lang w:val="en-US"/>
        </w:rPr>
        <w:t>and PRJEB10112 (Sr45). Sr22 alleles are accessible through EBI: LN883744–LN883756. Reads from resequencing of causal mutations in mutant lines are available from NCBI: SRP070803. The programs and scripts used in this analysis are available as Supplementary Code and have been published on Github (https://github.com/steuernb/ MutantHunter/). The bait library is available as Supplementary Data (https://github.com/steuernb/MutantHunter/). All primer sequences are available in Supplementary Table 11 and infection type scores are available in Supplementary Table 12.</w:t>
      </w:r>
    </w:p>
    <w:p w14:paraId="66B48525" w14:textId="77777777" w:rsidR="00B40C4C" w:rsidRPr="00B40C4C" w:rsidRDefault="00B40C4C" w:rsidP="00B40C4C">
      <w:pPr>
        <w:spacing w:line="480" w:lineRule="auto"/>
        <w:rPr>
          <w:sz w:val="22"/>
          <w:szCs w:val="22"/>
          <w:lang w:val="en-US"/>
        </w:rPr>
      </w:pPr>
    </w:p>
    <w:p w14:paraId="3664D05B" w14:textId="77777777" w:rsidR="00B40C4C" w:rsidRPr="00B40C4C" w:rsidRDefault="00B40C4C" w:rsidP="00B40C4C">
      <w:pPr>
        <w:spacing w:line="480" w:lineRule="auto"/>
        <w:rPr>
          <w:sz w:val="22"/>
          <w:szCs w:val="22"/>
          <w:lang w:val="en-US"/>
        </w:rPr>
      </w:pPr>
      <w:r w:rsidRPr="00B40C4C">
        <w:rPr>
          <w:sz w:val="22"/>
          <w:szCs w:val="22"/>
          <w:lang w:val="en-US"/>
        </w:rPr>
        <w:t>Note: Any Supplementary Information and Source Data files are available in the online version of the paper.</w:t>
      </w:r>
    </w:p>
    <w:p w14:paraId="549A0CD2" w14:textId="77777777" w:rsidR="00B40C4C" w:rsidRPr="00B40C4C" w:rsidRDefault="00B40C4C" w:rsidP="00B40C4C">
      <w:pPr>
        <w:spacing w:line="480" w:lineRule="auto"/>
        <w:rPr>
          <w:sz w:val="22"/>
          <w:szCs w:val="22"/>
          <w:lang w:val="en-US"/>
        </w:rPr>
      </w:pPr>
    </w:p>
    <w:p w14:paraId="34EAC55B" w14:textId="12655824" w:rsidR="00B40C4C" w:rsidRPr="00B40C4C" w:rsidRDefault="00B40C4C" w:rsidP="00B40C4C">
      <w:pPr>
        <w:spacing w:line="480" w:lineRule="auto"/>
        <w:rPr>
          <w:sz w:val="22"/>
          <w:szCs w:val="22"/>
          <w:lang w:val="en-US"/>
        </w:rPr>
      </w:pPr>
      <w:r>
        <w:rPr>
          <w:sz w:val="22"/>
          <w:szCs w:val="22"/>
          <w:lang w:val="en-US"/>
        </w:rPr>
        <w:t>Acknowledgements</w:t>
      </w:r>
    </w:p>
    <w:p w14:paraId="1E00563E" w14:textId="0A8B7A25" w:rsidR="00B40C4C" w:rsidRPr="00B40C4C" w:rsidRDefault="00B40C4C" w:rsidP="00B40C4C">
      <w:pPr>
        <w:spacing w:line="480" w:lineRule="auto"/>
        <w:rPr>
          <w:sz w:val="22"/>
          <w:szCs w:val="22"/>
          <w:lang w:val="en-US"/>
        </w:rPr>
      </w:pPr>
      <w:r w:rsidRPr="00B40C4C">
        <w:rPr>
          <w:sz w:val="22"/>
          <w:szCs w:val="22"/>
          <w:lang w:val="en-US"/>
        </w:rPr>
        <w:t>This research was supported by funds from the Gatsby Charitable Foundation,</w:t>
      </w:r>
      <w:r>
        <w:rPr>
          <w:sz w:val="22"/>
          <w:szCs w:val="22"/>
          <w:lang w:val="en-US"/>
        </w:rPr>
        <w:t xml:space="preserve"> </w:t>
      </w:r>
      <w:r w:rsidRPr="00B40C4C">
        <w:rPr>
          <w:sz w:val="22"/>
          <w:szCs w:val="22"/>
          <w:lang w:val="en-US"/>
        </w:rPr>
        <w:t>UK; Two Blades Foundation, USA; Biotechnology and Biological Sciences Research Council, UK; Borlaug Global Rust Initiative (BGRI) Durable Rust Resistance in Wheat (DRRW) Project (administered by Cornell University with a grant from</w:t>
      </w:r>
      <w:r>
        <w:rPr>
          <w:sz w:val="22"/>
          <w:szCs w:val="22"/>
          <w:lang w:val="en-US"/>
        </w:rPr>
        <w:t xml:space="preserve"> </w:t>
      </w:r>
      <w:r w:rsidRPr="00B40C4C">
        <w:rPr>
          <w:sz w:val="22"/>
          <w:szCs w:val="22"/>
          <w:lang w:val="en-US"/>
        </w:rPr>
        <w:t>the Bill &amp; Melinda Gates Foundation and the UK Department for International Development); USDA-ARS National Plant Disease Recovery System; Grains Research and Development Corporation, Australia; and a fellowship to A.H. from</w:t>
      </w:r>
      <w:r>
        <w:rPr>
          <w:sz w:val="22"/>
          <w:szCs w:val="22"/>
          <w:lang w:val="en-US"/>
        </w:rPr>
        <w:t xml:space="preserve"> </w:t>
      </w:r>
      <w:r w:rsidRPr="00B40C4C">
        <w:rPr>
          <w:sz w:val="22"/>
          <w:szCs w:val="22"/>
          <w:lang w:val="en-US"/>
        </w:rPr>
        <w:t>Universiti Putra Malaysia (UPM), Malaysia. We are grateful to colleagues in</w:t>
      </w:r>
      <w:r>
        <w:rPr>
          <w:sz w:val="22"/>
          <w:szCs w:val="22"/>
          <w:lang w:val="en-US"/>
        </w:rPr>
        <w:t xml:space="preserve"> </w:t>
      </w:r>
      <w:r w:rsidRPr="00B40C4C">
        <w:rPr>
          <w:sz w:val="22"/>
          <w:szCs w:val="22"/>
          <w:lang w:val="en-US"/>
        </w:rPr>
        <w:t xml:space="preserve">The Sainsbury Laboratory and the Two Blades Foundation for helpful </w:t>
      </w:r>
      <w:r w:rsidRPr="00B40C4C">
        <w:rPr>
          <w:sz w:val="22"/>
          <w:szCs w:val="22"/>
          <w:lang w:val="en-US"/>
        </w:rPr>
        <w:lastRenderedPageBreak/>
        <w:t>discussions.</w:t>
      </w:r>
      <w:r>
        <w:rPr>
          <w:sz w:val="22"/>
          <w:szCs w:val="22"/>
          <w:lang w:val="en-US"/>
        </w:rPr>
        <w:t xml:space="preserve"> </w:t>
      </w:r>
      <w:r w:rsidRPr="00B40C4C">
        <w:rPr>
          <w:sz w:val="22"/>
          <w:szCs w:val="22"/>
          <w:lang w:val="en-US"/>
        </w:rPr>
        <w:t>This research was supported in part by the NBI Computing infrastructure</w:t>
      </w:r>
      <w:r>
        <w:rPr>
          <w:sz w:val="22"/>
          <w:szCs w:val="22"/>
          <w:lang w:val="en-US"/>
        </w:rPr>
        <w:t xml:space="preserve"> </w:t>
      </w:r>
      <w:r w:rsidRPr="00B40C4C">
        <w:rPr>
          <w:sz w:val="22"/>
          <w:szCs w:val="22"/>
          <w:lang w:val="en-US"/>
        </w:rPr>
        <w:t>for Science (CiS) group and Dan MacLean’s group by providing computational infrastructure.</w:t>
      </w:r>
    </w:p>
    <w:p w14:paraId="0877DABC" w14:textId="714B3B4D" w:rsidR="00492B11" w:rsidRDefault="00492B11" w:rsidP="00492B11">
      <w:pPr>
        <w:spacing w:line="480" w:lineRule="auto"/>
        <w:rPr>
          <w:sz w:val="22"/>
          <w:szCs w:val="22"/>
          <w:lang w:val="en-US"/>
        </w:rPr>
      </w:pPr>
    </w:p>
    <w:p w14:paraId="67F70183" w14:textId="77777777" w:rsidR="00B40C4C" w:rsidRPr="00B40C4C" w:rsidRDefault="00B40C4C" w:rsidP="00B40C4C">
      <w:pPr>
        <w:spacing w:line="480" w:lineRule="auto"/>
        <w:rPr>
          <w:sz w:val="22"/>
          <w:szCs w:val="22"/>
          <w:lang w:val="en-US"/>
        </w:rPr>
      </w:pPr>
      <w:r w:rsidRPr="00B40C4C">
        <w:rPr>
          <w:sz w:val="22"/>
          <w:szCs w:val="22"/>
          <w:lang w:val="en-US"/>
        </w:rPr>
        <w:t>1.</w:t>
      </w:r>
      <w:r w:rsidRPr="00B40C4C">
        <w:rPr>
          <w:sz w:val="22"/>
          <w:szCs w:val="22"/>
          <w:lang w:val="en-US"/>
        </w:rPr>
        <w:tab/>
        <w:t>McDonald, B.A. &amp; Linde, C. Pathogen population genetics, evolutionary potential, and durable resistance. Annu. Rev. Phytopathol. 40, 349–379  (2002).</w:t>
      </w:r>
    </w:p>
    <w:p w14:paraId="0A01FE92" w14:textId="77777777" w:rsidR="00B40C4C" w:rsidRPr="00B40C4C" w:rsidRDefault="00B40C4C" w:rsidP="00B40C4C">
      <w:pPr>
        <w:spacing w:line="480" w:lineRule="auto"/>
        <w:rPr>
          <w:sz w:val="22"/>
          <w:szCs w:val="22"/>
          <w:lang w:val="en-US"/>
        </w:rPr>
      </w:pPr>
      <w:r w:rsidRPr="00B40C4C">
        <w:rPr>
          <w:sz w:val="22"/>
          <w:szCs w:val="22"/>
          <w:lang w:val="en-US"/>
        </w:rPr>
        <w:t>2.</w:t>
      </w:r>
      <w:r w:rsidRPr="00B40C4C">
        <w:rPr>
          <w:sz w:val="22"/>
          <w:szCs w:val="22"/>
          <w:lang w:val="en-US"/>
        </w:rPr>
        <w:tab/>
        <w:t>Dangl, J.L., Horvath, D.M. &amp; Staskawicz, B.J. Pivoting the plant immune system from dissection to deployment. Science 341, 746–751    (2013).</w:t>
      </w:r>
    </w:p>
    <w:p w14:paraId="098FE3CF" w14:textId="77777777" w:rsidR="00B40C4C" w:rsidRPr="00B40C4C" w:rsidRDefault="00B40C4C" w:rsidP="00B40C4C">
      <w:pPr>
        <w:spacing w:line="480" w:lineRule="auto"/>
        <w:rPr>
          <w:sz w:val="22"/>
          <w:szCs w:val="22"/>
          <w:lang w:val="en-US"/>
        </w:rPr>
      </w:pPr>
      <w:r w:rsidRPr="00B40C4C">
        <w:rPr>
          <w:sz w:val="22"/>
          <w:szCs w:val="22"/>
          <w:lang w:val="en-US"/>
        </w:rPr>
        <w:t>3.</w:t>
      </w:r>
      <w:r w:rsidRPr="00B40C4C">
        <w:rPr>
          <w:sz w:val="22"/>
          <w:szCs w:val="22"/>
          <w:lang w:val="en-US"/>
        </w:rPr>
        <w:tab/>
        <w:t>Kuang, H., Woo, S.S., Meyers, B.C., Nevo, E. &amp; Michelmore, R.W. Multiple genetic processes result in heterogeneous rates of evolution within the major cluster disease resistance genes in lettuce. Plant Cell 16, 2870–2894    (2004).</w:t>
      </w:r>
    </w:p>
    <w:p w14:paraId="70233B96" w14:textId="77777777" w:rsidR="00B40C4C" w:rsidRPr="00B40C4C" w:rsidRDefault="00B40C4C" w:rsidP="00B40C4C">
      <w:pPr>
        <w:spacing w:line="480" w:lineRule="auto"/>
        <w:rPr>
          <w:sz w:val="22"/>
          <w:szCs w:val="22"/>
          <w:lang w:val="en-US"/>
        </w:rPr>
      </w:pPr>
      <w:r w:rsidRPr="00B40C4C">
        <w:rPr>
          <w:sz w:val="22"/>
          <w:szCs w:val="22"/>
          <w:lang w:val="en-US"/>
        </w:rPr>
        <w:t>4.</w:t>
      </w:r>
      <w:r w:rsidRPr="00B40C4C">
        <w:rPr>
          <w:sz w:val="22"/>
          <w:szCs w:val="22"/>
          <w:lang w:val="en-US"/>
        </w:rPr>
        <w:tab/>
        <w:t>Smith, S.M., Pryor, A.J. &amp; Hulbert, S.H. Allelic and haplotypic diversity at the rp1 rust resistance locus of maize. Genetics 167, 1939–1947    (2004).</w:t>
      </w:r>
    </w:p>
    <w:p w14:paraId="12B1DCF6" w14:textId="77777777" w:rsidR="00B40C4C" w:rsidRPr="00B40C4C" w:rsidRDefault="00B40C4C" w:rsidP="00B40C4C">
      <w:pPr>
        <w:spacing w:line="480" w:lineRule="auto"/>
        <w:rPr>
          <w:sz w:val="22"/>
          <w:szCs w:val="22"/>
          <w:lang w:val="en-US"/>
        </w:rPr>
      </w:pPr>
      <w:r w:rsidRPr="00B40C4C">
        <w:rPr>
          <w:sz w:val="22"/>
          <w:szCs w:val="22"/>
          <w:lang w:val="en-US"/>
        </w:rPr>
        <w:t>5.</w:t>
      </w:r>
      <w:r w:rsidRPr="00B40C4C">
        <w:rPr>
          <w:sz w:val="22"/>
          <w:szCs w:val="22"/>
          <w:lang w:val="en-US"/>
        </w:rPr>
        <w:tab/>
        <w:t>Gaut, B.S., Wright, S.I., Rizzon, C., Dvorak, J. &amp; Anderson, L.K. Recombination:  an underappreciated factor in the evolution of plant genomes. Nat. Rev. Genet. 8, 77–84  (2007).</w:t>
      </w:r>
    </w:p>
    <w:p w14:paraId="4C767965" w14:textId="77777777" w:rsidR="00B40C4C" w:rsidRPr="00B40C4C" w:rsidRDefault="00B40C4C" w:rsidP="00B40C4C">
      <w:pPr>
        <w:spacing w:line="480" w:lineRule="auto"/>
        <w:rPr>
          <w:sz w:val="22"/>
          <w:szCs w:val="22"/>
          <w:lang w:val="en-US"/>
        </w:rPr>
      </w:pPr>
      <w:r w:rsidRPr="00B40C4C">
        <w:rPr>
          <w:sz w:val="22"/>
          <w:szCs w:val="22"/>
          <w:lang w:val="en-US"/>
        </w:rPr>
        <w:t>6.</w:t>
      </w:r>
      <w:r w:rsidRPr="00B40C4C">
        <w:rPr>
          <w:sz w:val="22"/>
          <w:szCs w:val="22"/>
          <w:lang w:val="en-US"/>
        </w:rPr>
        <w:tab/>
        <w:t>Hulbert, S.H., Webb, C.A., Smith, S.M. &amp; Sun, Q. Resistance gene complexes: evolution and utilization. Annu. Rev. Phytopathol. 39, 285–312   (2001).</w:t>
      </w:r>
    </w:p>
    <w:p w14:paraId="781C0216" w14:textId="77777777" w:rsidR="00B40C4C" w:rsidRPr="00B40C4C" w:rsidRDefault="00B40C4C" w:rsidP="00B40C4C">
      <w:pPr>
        <w:spacing w:line="480" w:lineRule="auto"/>
        <w:rPr>
          <w:sz w:val="22"/>
          <w:szCs w:val="22"/>
          <w:lang w:val="en-US"/>
        </w:rPr>
      </w:pPr>
      <w:r w:rsidRPr="00B40C4C">
        <w:rPr>
          <w:sz w:val="22"/>
          <w:szCs w:val="22"/>
          <w:lang w:val="en-US"/>
        </w:rPr>
        <w:t>7.</w:t>
      </w:r>
      <w:r w:rsidRPr="00B40C4C">
        <w:rPr>
          <w:sz w:val="22"/>
          <w:szCs w:val="22"/>
          <w:lang w:val="en-US"/>
        </w:rPr>
        <w:tab/>
        <w:t>Jupe, F. et al. Resistance gene enrichment sequencing (RenSeq) enables reannotation of the NB-LRR gene family from sequenced plant genomes and rapid mapping of resistance loci in segregating populations. Plant J. 76, 530–544 (2013).</w:t>
      </w:r>
    </w:p>
    <w:p w14:paraId="6589037F" w14:textId="77777777" w:rsidR="00B40C4C" w:rsidRPr="00B40C4C" w:rsidRDefault="00B40C4C" w:rsidP="00B40C4C">
      <w:pPr>
        <w:spacing w:line="480" w:lineRule="auto"/>
        <w:rPr>
          <w:sz w:val="22"/>
          <w:szCs w:val="22"/>
          <w:lang w:val="en-US"/>
        </w:rPr>
      </w:pPr>
      <w:r w:rsidRPr="00B40C4C">
        <w:rPr>
          <w:sz w:val="22"/>
          <w:szCs w:val="22"/>
          <w:lang w:val="en-US"/>
        </w:rPr>
        <w:t>8.</w:t>
      </w:r>
      <w:r w:rsidRPr="00B40C4C">
        <w:rPr>
          <w:sz w:val="22"/>
          <w:szCs w:val="22"/>
          <w:lang w:val="en-US"/>
        </w:rPr>
        <w:tab/>
        <w:t>Andolfo, G. et al. Defining the full tomato NB-LRR resistance gene repertoire using genomic and cDNA RenSeq. BMC Plant Biol. 14, 120 (2014).</w:t>
      </w:r>
    </w:p>
    <w:p w14:paraId="54580291" w14:textId="77777777" w:rsidR="00B40C4C" w:rsidRPr="00B40C4C" w:rsidRDefault="00B40C4C" w:rsidP="00B40C4C">
      <w:pPr>
        <w:spacing w:line="480" w:lineRule="auto"/>
        <w:rPr>
          <w:sz w:val="22"/>
          <w:szCs w:val="22"/>
          <w:lang w:val="en-US"/>
        </w:rPr>
      </w:pPr>
      <w:r w:rsidRPr="00B40C4C">
        <w:rPr>
          <w:sz w:val="22"/>
          <w:szCs w:val="22"/>
          <w:lang w:val="en-US"/>
        </w:rPr>
        <w:t>9.</w:t>
      </w:r>
      <w:r w:rsidRPr="00B40C4C">
        <w:rPr>
          <w:sz w:val="22"/>
          <w:szCs w:val="22"/>
          <w:lang w:val="en-US"/>
        </w:rPr>
        <w:tab/>
        <w:t>Henry, I.M. et al. Efficient genome-wide detection and cataloging of EMS-induced mutations using exome capture and Next-Generation Sequencing. Plant Cell 26, 1382–1397   (2014).</w:t>
      </w:r>
    </w:p>
    <w:p w14:paraId="4F674FF0" w14:textId="77777777" w:rsidR="00B40C4C" w:rsidRPr="00B40C4C" w:rsidRDefault="00B40C4C" w:rsidP="00B40C4C">
      <w:pPr>
        <w:spacing w:line="480" w:lineRule="auto"/>
        <w:rPr>
          <w:sz w:val="22"/>
          <w:szCs w:val="22"/>
          <w:lang w:val="en-US"/>
        </w:rPr>
      </w:pPr>
      <w:r w:rsidRPr="00B40C4C">
        <w:rPr>
          <w:sz w:val="22"/>
          <w:szCs w:val="22"/>
          <w:lang w:val="en-US"/>
        </w:rPr>
        <w:lastRenderedPageBreak/>
        <w:t>10.</w:t>
      </w:r>
      <w:r w:rsidRPr="00B40C4C">
        <w:rPr>
          <w:sz w:val="22"/>
          <w:szCs w:val="22"/>
          <w:lang w:val="en-US"/>
        </w:rPr>
        <w:tab/>
        <w:t>Periyannan, S. et al. The gene Sr33, an ortholog of barley Mla genes, encodes resistance to wheat stem rust race Ug99. Science 341, 786–788 (2013).</w:t>
      </w:r>
    </w:p>
    <w:p w14:paraId="49728D2B" w14:textId="77777777" w:rsidR="00B40C4C" w:rsidRPr="00B40C4C" w:rsidRDefault="00B40C4C" w:rsidP="00B40C4C">
      <w:pPr>
        <w:spacing w:line="480" w:lineRule="auto"/>
        <w:rPr>
          <w:sz w:val="22"/>
          <w:szCs w:val="22"/>
          <w:lang w:val="en-US"/>
        </w:rPr>
      </w:pPr>
      <w:r w:rsidRPr="00B40C4C">
        <w:rPr>
          <w:sz w:val="22"/>
          <w:szCs w:val="22"/>
          <w:lang w:val="en-US"/>
        </w:rPr>
        <w:t>11.</w:t>
      </w:r>
      <w:r w:rsidRPr="00B40C4C">
        <w:rPr>
          <w:sz w:val="22"/>
          <w:szCs w:val="22"/>
          <w:lang w:val="en-US"/>
        </w:rPr>
        <w:tab/>
        <w:t>Gerechter-Amitai, Z.K., Wahl, I., Vardi, A. &amp; Zohary, D. Transfer of stem rust seedling resistance from wild diploid einkorn to tetraploid durum wheat by means of a triploid hybrid bridge. Euphytica  20, 281–285  (1971).</w:t>
      </w:r>
    </w:p>
    <w:p w14:paraId="4A9E8270" w14:textId="77777777" w:rsidR="00B40C4C" w:rsidRPr="00B40C4C" w:rsidRDefault="00B40C4C" w:rsidP="00B40C4C">
      <w:pPr>
        <w:spacing w:line="480" w:lineRule="auto"/>
        <w:rPr>
          <w:sz w:val="22"/>
          <w:szCs w:val="22"/>
          <w:lang w:val="en-US"/>
        </w:rPr>
      </w:pPr>
      <w:r w:rsidRPr="00B40C4C">
        <w:rPr>
          <w:sz w:val="22"/>
          <w:szCs w:val="22"/>
          <w:lang w:val="en-US"/>
        </w:rPr>
        <w:t>12.</w:t>
      </w:r>
      <w:r w:rsidRPr="00B40C4C">
        <w:rPr>
          <w:sz w:val="22"/>
          <w:szCs w:val="22"/>
          <w:lang w:val="en-US"/>
        </w:rPr>
        <w:tab/>
        <w:t>The, T.T. Chromosome location of genes conditioning stem rust resistance transferred from diploid to hexaploid wheat. Nat. New Biol. 241, 256   (1973).</w:t>
      </w:r>
    </w:p>
    <w:p w14:paraId="3DFED808" w14:textId="77777777" w:rsidR="00B40C4C" w:rsidRPr="00B40C4C" w:rsidRDefault="00B40C4C" w:rsidP="00B40C4C">
      <w:pPr>
        <w:spacing w:line="480" w:lineRule="auto"/>
        <w:rPr>
          <w:sz w:val="22"/>
          <w:szCs w:val="22"/>
          <w:lang w:val="en-US"/>
        </w:rPr>
      </w:pPr>
      <w:r w:rsidRPr="00B40C4C">
        <w:rPr>
          <w:sz w:val="22"/>
          <w:szCs w:val="22"/>
          <w:lang w:val="en-US"/>
        </w:rPr>
        <w:t>13.</w:t>
      </w:r>
      <w:r w:rsidRPr="00B40C4C">
        <w:rPr>
          <w:sz w:val="22"/>
          <w:szCs w:val="22"/>
          <w:lang w:val="en-US"/>
        </w:rPr>
        <w:tab/>
        <w:t>Olivera Firpo, P. et al. Phenotypic and genotypic characterization of race TKTTF of Puccinia graminis f. sp. tritici that caused a wheat stem rust epidemic in southern Ethiopia in 2013/14.  Phytopathology  105, 917–928  (2015).</w:t>
      </w:r>
    </w:p>
    <w:p w14:paraId="74B28079" w14:textId="77777777" w:rsidR="00B40C4C" w:rsidRPr="00B40C4C" w:rsidRDefault="00B40C4C" w:rsidP="00B40C4C">
      <w:pPr>
        <w:spacing w:line="480" w:lineRule="auto"/>
        <w:rPr>
          <w:sz w:val="22"/>
          <w:szCs w:val="22"/>
          <w:lang w:val="en-US"/>
        </w:rPr>
      </w:pPr>
      <w:r w:rsidRPr="00B40C4C">
        <w:rPr>
          <w:sz w:val="22"/>
          <w:szCs w:val="22"/>
          <w:lang w:val="en-US"/>
        </w:rPr>
        <w:t>14.</w:t>
      </w:r>
      <w:r w:rsidRPr="00B40C4C">
        <w:rPr>
          <w:sz w:val="22"/>
          <w:szCs w:val="22"/>
          <w:lang w:val="en-US"/>
        </w:rPr>
        <w:tab/>
        <w:t>The, T.T. et al. in 7th International Wheat Genetics Symposium (eds. Miller, T.E. &amp; Koebner, R.M.D.) 901–909 (Bath Press, Bath, UK, 1988).</w:t>
      </w:r>
    </w:p>
    <w:p w14:paraId="7EF78C6D" w14:textId="77777777" w:rsidR="00B40C4C" w:rsidRPr="00B40C4C" w:rsidRDefault="00B40C4C" w:rsidP="00B40C4C">
      <w:pPr>
        <w:spacing w:line="480" w:lineRule="auto"/>
        <w:rPr>
          <w:sz w:val="22"/>
          <w:szCs w:val="22"/>
          <w:lang w:val="en-US"/>
        </w:rPr>
      </w:pPr>
      <w:r w:rsidRPr="00B40C4C">
        <w:rPr>
          <w:sz w:val="22"/>
          <w:szCs w:val="22"/>
          <w:lang w:val="en-US"/>
        </w:rPr>
        <w:t>15.</w:t>
      </w:r>
      <w:r w:rsidRPr="00B40C4C">
        <w:rPr>
          <w:sz w:val="22"/>
          <w:szCs w:val="22"/>
          <w:lang w:val="en-US"/>
        </w:rPr>
        <w:tab/>
        <w:t>Rouse, M.N. &amp; Jin, Y. Stem rust resistance in A-Genome diploid relatives of wheat.</w:t>
      </w:r>
    </w:p>
    <w:p w14:paraId="79D33625" w14:textId="77777777" w:rsidR="00B40C4C" w:rsidRPr="00B40C4C" w:rsidRDefault="00B40C4C" w:rsidP="00B40C4C">
      <w:pPr>
        <w:spacing w:line="480" w:lineRule="auto"/>
        <w:rPr>
          <w:sz w:val="22"/>
          <w:szCs w:val="22"/>
          <w:lang w:val="en-US"/>
        </w:rPr>
      </w:pPr>
      <w:r w:rsidRPr="00B40C4C">
        <w:rPr>
          <w:sz w:val="22"/>
          <w:szCs w:val="22"/>
          <w:lang w:val="en-US"/>
        </w:rPr>
        <w:t>Plant  Dis.  95, 941–944 (2011).</w:t>
      </w:r>
    </w:p>
    <w:p w14:paraId="36D10FB8" w14:textId="77777777" w:rsidR="00B40C4C" w:rsidRPr="00B40C4C" w:rsidRDefault="00B40C4C" w:rsidP="00B40C4C">
      <w:pPr>
        <w:spacing w:line="480" w:lineRule="auto"/>
        <w:rPr>
          <w:sz w:val="22"/>
          <w:szCs w:val="22"/>
          <w:lang w:val="en-US"/>
        </w:rPr>
      </w:pPr>
      <w:r w:rsidRPr="00B40C4C">
        <w:rPr>
          <w:sz w:val="22"/>
          <w:szCs w:val="22"/>
          <w:lang w:val="en-US"/>
        </w:rPr>
        <w:t>16.</w:t>
      </w:r>
      <w:r w:rsidRPr="00B40C4C">
        <w:rPr>
          <w:sz w:val="22"/>
          <w:szCs w:val="22"/>
          <w:lang w:val="en-US"/>
        </w:rPr>
        <w:tab/>
        <w:t>Witek, K. et al. Accelerated cloning of a potato late blight–resistance gene using RenSeq and SMRT sequencing. Nat. Biotechnol. http://dx.doi.org/10.1038/ nbt.3540  (2016).</w:t>
      </w:r>
    </w:p>
    <w:p w14:paraId="0D54DD70" w14:textId="77777777" w:rsidR="00B40C4C" w:rsidRPr="00B40C4C" w:rsidRDefault="00B40C4C" w:rsidP="00B40C4C">
      <w:pPr>
        <w:spacing w:line="480" w:lineRule="auto"/>
        <w:rPr>
          <w:sz w:val="22"/>
          <w:szCs w:val="22"/>
          <w:lang w:val="en-US"/>
        </w:rPr>
      </w:pPr>
      <w:r w:rsidRPr="00B40C4C">
        <w:rPr>
          <w:sz w:val="22"/>
          <w:szCs w:val="22"/>
          <w:lang w:val="en-US"/>
        </w:rPr>
        <w:t>17.</w:t>
      </w:r>
      <w:r w:rsidRPr="00B40C4C">
        <w:rPr>
          <w:sz w:val="22"/>
          <w:szCs w:val="22"/>
          <w:lang w:val="en-US"/>
        </w:rPr>
        <w:tab/>
        <w:t>Kerber, E.R. &amp; Dyck, P.L. Inheritance in hexaploid wheat of leaf rust resistance and other characters derived from Aegilops squarrosa. Can. J. Genet. Cytol. 11, 639–647 (1969).</w:t>
      </w:r>
    </w:p>
    <w:p w14:paraId="0BBFD221" w14:textId="77777777" w:rsidR="00B40C4C" w:rsidRPr="00B40C4C" w:rsidRDefault="00B40C4C" w:rsidP="00B40C4C">
      <w:pPr>
        <w:spacing w:line="480" w:lineRule="auto"/>
        <w:rPr>
          <w:sz w:val="22"/>
          <w:szCs w:val="22"/>
          <w:lang w:val="en-US"/>
        </w:rPr>
      </w:pPr>
      <w:r w:rsidRPr="00B40C4C">
        <w:rPr>
          <w:sz w:val="22"/>
          <w:szCs w:val="22"/>
          <w:lang w:val="en-US"/>
        </w:rPr>
        <w:t>18.</w:t>
      </w:r>
      <w:r w:rsidRPr="00B40C4C">
        <w:rPr>
          <w:sz w:val="22"/>
          <w:szCs w:val="22"/>
          <w:lang w:val="en-US"/>
        </w:rPr>
        <w:tab/>
        <w:t>Marais, G.F., Potgieter, G.F., Roux, H.S. &amp; le Roux, J. An assessment of the variation for stem rust resistance in the progeny of a cross involving the Triticum species aestivum, turgidum and tauschii. S. Afr. J. Plant Soil 11, 15–19  (1994).</w:t>
      </w:r>
    </w:p>
    <w:p w14:paraId="58ECF78E" w14:textId="77777777" w:rsidR="00B40C4C" w:rsidRPr="00B40C4C" w:rsidRDefault="00B40C4C" w:rsidP="00B40C4C">
      <w:pPr>
        <w:spacing w:line="480" w:lineRule="auto"/>
        <w:rPr>
          <w:sz w:val="22"/>
          <w:szCs w:val="22"/>
          <w:lang w:val="en-US"/>
        </w:rPr>
      </w:pPr>
      <w:r w:rsidRPr="00B40C4C">
        <w:rPr>
          <w:sz w:val="22"/>
          <w:szCs w:val="22"/>
          <w:lang w:val="en-US"/>
        </w:rPr>
        <w:t>19.</w:t>
      </w:r>
      <w:r w:rsidRPr="00B40C4C">
        <w:rPr>
          <w:sz w:val="22"/>
          <w:szCs w:val="22"/>
          <w:lang w:val="en-US"/>
        </w:rPr>
        <w:tab/>
        <w:t>Periyannan, S. et al. Identification of a robust molecular marker for the detection of the stem rust resistance gene Sr45 in common wheat. Theor. Appl. Genet. 127, 947–955  (2014).</w:t>
      </w:r>
    </w:p>
    <w:p w14:paraId="15E1EBF0" w14:textId="77777777" w:rsidR="00B40C4C" w:rsidRPr="00B40C4C" w:rsidRDefault="00B40C4C" w:rsidP="00B40C4C">
      <w:pPr>
        <w:spacing w:line="480" w:lineRule="auto"/>
        <w:rPr>
          <w:sz w:val="22"/>
          <w:szCs w:val="22"/>
          <w:lang w:val="en-US"/>
        </w:rPr>
      </w:pPr>
      <w:r w:rsidRPr="00B40C4C">
        <w:rPr>
          <w:sz w:val="22"/>
          <w:szCs w:val="22"/>
          <w:lang w:val="en-US"/>
        </w:rPr>
        <w:lastRenderedPageBreak/>
        <w:t>20.</w:t>
      </w:r>
      <w:r w:rsidRPr="00B40C4C">
        <w:rPr>
          <w:sz w:val="22"/>
          <w:szCs w:val="22"/>
          <w:lang w:val="en-US"/>
        </w:rPr>
        <w:tab/>
        <w:t>Steuernagel, B., Jupe, F., Witek, K., Jones,  J.D.  &amp;  Wulff,  B.B.  NLR-parser:  rapid annotation of plant NLR complements. Bioinformatics 31, 1665–1667 (2015).</w:t>
      </w:r>
    </w:p>
    <w:p w14:paraId="17251880" w14:textId="77777777" w:rsidR="00B40C4C" w:rsidRPr="00B40C4C" w:rsidRDefault="00B40C4C" w:rsidP="00B40C4C">
      <w:pPr>
        <w:spacing w:line="480" w:lineRule="auto"/>
        <w:rPr>
          <w:sz w:val="22"/>
          <w:szCs w:val="22"/>
          <w:lang w:val="en-US"/>
        </w:rPr>
      </w:pPr>
      <w:r w:rsidRPr="00B40C4C">
        <w:rPr>
          <w:sz w:val="22"/>
          <w:szCs w:val="22"/>
          <w:lang w:val="en-US"/>
        </w:rPr>
        <w:t>21.</w:t>
      </w:r>
      <w:r w:rsidRPr="00B40C4C">
        <w:rPr>
          <w:sz w:val="22"/>
          <w:szCs w:val="22"/>
          <w:lang w:val="en-US"/>
        </w:rPr>
        <w:tab/>
        <w:t>Saintenac, C. et al. Identification of wheat gene Sr35 that confers resistance to Ug99 stem rust race group. Science  341, 783–786   (2013).</w:t>
      </w:r>
    </w:p>
    <w:p w14:paraId="23D9A11B" w14:textId="77777777" w:rsidR="00B40C4C" w:rsidRPr="00492B11" w:rsidRDefault="00B40C4C" w:rsidP="00492B11">
      <w:pPr>
        <w:spacing w:line="480" w:lineRule="auto"/>
        <w:rPr>
          <w:sz w:val="22"/>
          <w:szCs w:val="22"/>
          <w:lang w:val="en-US"/>
        </w:rPr>
      </w:pPr>
    </w:p>
    <w:p w14:paraId="4680C171" w14:textId="042AD3BD" w:rsidR="00657282" w:rsidRPr="00492B11" w:rsidRDefault="00F04ECB" w:rsidP="00492B11">
      <w:pPr>
        <w:spacing w:line="480" w:lineRule="auto"/>
        <w:rPr>
          <w:b/>
          <w:sz w:val="22"/>
          <w:szCs w:val="22"/>
        </w:rPr>
      </w:pPr>
      <w:r w:rsidRPr="00492B11">
        <w:rPr>
          <w:b/>
          <w:sz w:val="22"/>
          <w:szCs w:val="22"/>
        </w:rPr>
        <w:tab/>
      </w:r>
    </w:p>
    <w:p w14:paraId="62DDBE60" w14:textId="77777777" w:rsidR="00657282" w:rsidRPr="00492B11" w:rsidRDefault="00657282">
      <w:pPr>
        <w:rPr>
          <w:b/>
          <w:sz w:val="22"/>
          <w:szCs w:val="22"/>
        </w:rPr>
      </w:pPr>
      <w:r w:rsidRPr="00492B11">
        <w:rPr>
          <w:b/>
          <w:sz w:val="22"/>
          <w:szCs w:val="22"/>
        </w:rPr>
        <w:br w:type="page"/>
      </w:r>
    </w:p>
    <w:p w14:paraId="13AD43D3" w14:textId="2FDE9E75" w:rsidR="00657282" w:rsidRPr="00492B11" w:rsidRDefault="00657282" w:rsidP="00657282">
      <w:pPr>
        <w:spacing w:line="480" w:lineRule="auto"/>
        <w:rPr>
          <w:sz w:val="22"/>
          <w:szCs w:val="22"/>
        </w:rPr>
      </w:pPr>
      <w:r w:rsidRPr="00492B11">
        <w:rPr>
          <w:sz w:val="22"/>
          <w:szCs w:val="22"/>
        </w:rPr>
        <w:lastRenderedPageBreak/>
        <w:t>Figure  Legends</w:t>
      </w:r>
    </w:p>
    <w:p w14:paraId="621927EE" w14:textId="77777777" w:rsidR="00657282" w:rsidRPr="00492B11" w:rsidRDefault="00657282" w:rsidP="00657282">
      <w:pPr>
        <w:spacing w:line="480" w:lineRule="auto"/>
        <w:rPr>
          <w:sz w:val="22"/>
          <w:szCs w:val="22"/>
        </w:rPr>
      </w:pPr>
      <w:r w:rsidRPr="00492B11">
        <w:rPr>
          <w:b/>
          <w:sz w:val="22"/>
          <w:szCs w:val="22"/>
        </w:rPr>
        <w:t xml:space="preserve">Figure 1. </w:t>
      </w:r>
      <w:r w:rsidRPr="00492B11">
        <w:rPr>
          <w:sz w:val="22"/>
          <w:szCs w:val="22"/>
        </w:rPr>
        <w:t>Mutational genomics strategy for resistance gene cloning.</w:t>
      </w:r>
    </w:p>
    <w:p w14:paraId="7A1DCC25" w14:textId="77777777" w:rsidR="00657282" w:rsidRPr="00492B11" w:rsidRDefault="00657282" w:rsidP="00657282">
      <w:pPr>
        <w:spacing w:line="480" w:lineRule="auto"/>
        <w:rPr>
          <w:b/>
          <w:sz w:val="22"/>
          <w:szCs w:val="22"/>
        </w:rPr>
      </w:pPr>
      <w:r w:rsidRPr="00492B11">
        <w:rPr>
          <w:sz w:val="22"/>
          <w:szCs w:val="22"/>
        </w:rPr>
        <w:t>Step 1 (green): EMS mutagenesis of resistant plant, creation of independent M</w:t>
      </w:r>
      <w:r w:rsidRPr="00492B11">
        <w:rPr>
          <w:sz w:val="22"/>
          <w:szCs w:val="22"/>
          <w:vertAlign w:val="subscript"/>
        </w:rPr>
        <w:t>2</w:t>
      </w:r>
      <w:r w:rsidRPr="00492B11">
        <w:rPr>
          <w:sz w:val="22"/>
          <w:szCs w:val="22"/>
        </w:rPr>
        <w:t xml:space="preserve"> families and screening for susceptible mutants (highlighted in yellow).</w:t>
      </w:r>
      <w:r w:rsidRPr="00492B11">
        <w:rPr>
          <w:sz w:val="22"/>
          <w:szCs w:val="22"/>
        </w:rPr>
        <w:br/>
        <w:t xml:space="preserve">Step 2 (red): Target enrichment using a </w:t>
      </w:r>
      <w:r w:rsidRPr="00492B11">
        <w:rPr>
          <w:i/>
          <w:sz w:val="22"/>
          <w:szCs w:val="22"/>
        </w:rPr>
        <w:t>Triticeae</w:t>
      </w:r>
      <w:r w:rsidRPr="00492B11">
        <w:rPr>
          <w:sz w:val="22"/>
          <w:szCs w:val="22"/>
        </w:rPr>
        <w:t xml:space="preserve"> NLR</w:t>
      </w:r>
      <w:r w:rsidRPr="00492B11">
        <w:rPr>
          <w:rFonts w:ascii="Cambria" w:hAnsi="Cambria"/>
          <w:sz w:val="22"/>
          <w:szCs w:val="22"/>
        </w:rPr>
        <w:t>–</w:t>
      </w:r>
      <w:r w:rsidRPr="00492B11">
        <w:rPr>
          <w:sz w:val="22"/>
          <w:szCs w:val="22"/>
        </w:rPr>
        <w:t>specific bait library and sequencing of the wildtype and susceptible mutants (indicated by arrows).</w:t>
      </w:r>
      <w:r w:rsidRPr="00492B11">
        <w:rPr>
          <w:sz w:val="22"/>
          <w:szCs w:val="22"/>
        </w:rPr>
        <w:br/>
        <w:t xml:space="preserve">Step 3 (blue): Data analysis and candidate calling. A </w:t>
      </w:r>
      <w:r w:rsidRPr="00492B11">
        <w:rPr>
          <w:i/>
          <w:sz w:val="22"/>
          <w:szCs w:val="22"/>
        </w:rPr>
        <w:t>de novo</w:t>
      </w:r>
      <w:r w:rsidRPr="00492B11">
        <w:rPr>
          <w:sz w:val="22"/>
          <w:szCs w:val="22"/>
        </w:rPr>
        <w:t xml:space="preserve"> assembly of the enriched sequences of the resistant wildtype is used as a reference for mapping. Subsequent SNV- and presence/absence-calls are integrated and scored.  </w:t>
      </w:r>
    </w:p>
    <w:p w14:paraId="642D9CDA" w14:textId="77777777" w:rsidR="00657282" w:rsidRPr="00492B11" w:rsidRDefault="00657282" w:rsidP="00657282">
      <w:pPr>
        <w:spacing w:line="480" w:lineRule="auto"/>
        <w:rPr>
          <w:b/>
          <w:sz w:val="22"/>
          <w:szCs w:val="22"/>
        </w:rPr>
      </w:pPr>
      <w:r w:rsidRPr="00492B11">
        <w:rPr>
          <w:b/>
          <w:sz w:val="22"/>
          <w:szCs w:val="22"/>
        </w:rPr>
        <w:br w:type="page"/>
      </w:r>
    </w:p>
    <w:p w14:paraId="44E74950" w14:textId="77777777" w:rsidR="00657282" w:rsidRPr="00492B11" w:rsidRDefault="00657282" w:rsidP="00657282">
      <w:pPr>
        <w:spacing w:line="480" w:lineRule="auto"/>
        <w:rPr>
          <w:b/>
          <w:sz w:val="22"/>
          <w:szCs w:val="22"/>
        </w:rPr>
      </w:pPr>
    </w:p>
    <w:p w14:paraId="77F44E09" w14:textId="77777777" w:rsidR="00657282" w:rsidRPr="00492B11" w:rsidRDefault="00657282" w:rsidP="00657282">
      <w:pPr>
        <w:spacing w:line="480" w:lineRule="auto"/>
        <w:rPr>
          <w:b/>
          <w:sz w:val="22"/>
          <w:szCs w:val="22"/>
        </w:rPr>
      </w:pPr>
    </w:p>
    <w:p w14:paraId="7262B683" w14:textId="77777777" w:rsidR="00657282" w:rsidRPr="00492B11" w:rsidRDefault="00657282" w:rsidP="00657282">
      <w:pPr>
        <w:spacing w:line="480" w:lineRule="auto"/>
        <w:rPr>
          <w:b/>
          <w:sz w:val="22"/>
          <w:szCs w:val="22"/>
        </w:rPr>
      </w:pPr>
      <w:r w:rsidRPr="00492B11">
        <w:rPr>
          <w:b/>
          <w:sz w:val="22"/>
          <w:szCs w:val="22"/>
        </w:rPr>
        <w:t xml:space="preserve">Figure 2. </w:t>
      </w:r>
      <w:r w:rsidRPr="00492B11">
        <w:rPr>
          <w:sz w:val="22"/>
          <w:szCs w:val="22"/>
        </w:rPr>
        <w:t xml:space="preserve">Cloning of </w:t>
      </w:r>
      <w:r w:rsidRPr="00492B11">
        <w:rPr>
          <w:i/>
          <w:sz w:val="22"/>
          <w:szCs w:val="22"/>
        </w:rPr>
        <w:t>Sr22</w:t>
      </w:r>
      <w:r w:rsidRPr="00492B11">
        <w:rPr>
          <w:sz w:val="22"/>
          <w:szCs w:val="22"/>
        </w:rPr>
        <w:t xml:space="preserve"> and </w:t>
      </w:r>
      <w:r w:rsidRPr="00492B11">
        <w:rPr>
          <w:i/>
          <w:sz w:val="22"/>
          <w:szCs w:val="22"/>
        </w:rPr>
        <w:t>Sr45</w:t>
      </w:r>
      <w:r w:rsidRPr="00492B11">
        <w:rPr>
          <w:sz w:val="22"/>
          <w:szCs w:val="22"/>
        </w:rPr>
        <w:t xml:space="preserve"> by sequencing EMS-induced susceptible mutants.</w:t>
      </w:r>
    </w:p>
    <w:p w14:paraId="5000BA8C" w14:textId="77777777" w:rsidR="00657282" w:rsidRPr="00492B11" w:rsidRDefault="00657282" w:rsidP="00657282">
      <w:pPr>
        <w:spacing w:line="480" w:lineRule="auto"/>
        <w:rPr>
          <w:color w:val="FF0000"/>
          <w:sz w:val="22"/>
          <w:szCs w:val="22"/>
        </w:rPr>
      </w:pPr>
      <w:r w:rsidRPr="00492B11">
        <w:rPr>
          <w:sz w:val="22"/>
          <w:szCs w:val="22"/>
        </w:rPr>
        <w:t>(a, c) Stem rust infection phenotype of Schomburgk (</w:t>
      </w:r>
      <w:r w:rsidRPr="00492B11">
        <w:rPr>
          <w:i/>
          <w:sz w:val="22"/>
          <w:szCs w:val="22"/>
        </w:rPr>
        <w:t>Sr22</w:t>
      </w:r>
      <w:r w:rsidRPr="00492B11">
        <w:rPr>
          <w:sz w:val="22"/>
          <w:szCs w:val="22"/>
        </w:rPr>
        <w:t>), CS1D5406 (</w:t>
      </w:r>
      <w:r w:rsidRPr="00492B11">
        <w:rPr>
          <w:i/>
          <w:sz w:val="22"/>
          <w:szCs w:val="22"/>
        </w:rPr>
        <w:t>Sr45</w:t>
      </w:r>
      <w:r w:rsidRPr="00492B11">
        <w:rPr>
          <w:sz w:val="22"/>
          <w:szCs w:val="22"/>
        </w:rPr>
        <w:t>), mutants and the susceptible check Morocco and Chinese Spring.  Seedlings at two full leaf stages were inoculated with stem rust urediniospores as described in Periyannan et al. 2013</w:t>
      </w:r>
      <w:r w:rsidRPr="00492B11">
        <w:rPr>
          <w:sz w:val="22"/>
          <w:szCs w:val="22"/>
          <w:vertAlign w:val="superscript"/>
        </w:rPr>
        <w:fldChar w:fldCharType="begin">
          <w:fldData xml:space="preserve">PEVuZE5vdGU+PENpdGU+PEF1dGhvcj5QZXJpeWFubmFuPC9BdXRob3I+PFllYXI+MjAxMzwvWWVh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</w:fldData>
        </w:fldChar>
      </w:r>
      <w:r w:rsidRPr="00492B11">
        <w:rPr>
          <w:sz w:val="22"/>
          <w:szCs w:val="22"/>
          <w:vertAlign w:val="superscript"/>
        </w:rPr>
        <w:instrText xml:space="preserve"> ADDIN EN.CITE </w:instrText>
      </w:r>
      <w:r w:rsidRPr="00492B11">
        <w:rPr>
          <w:sz w:val="22"/>
          <w:szCs w:val="22"/>
          <w:vertAlign w:val="superscript"/>
        </w:rPr>
        <w:fldChar w:fldCharType="begin">
          <w:fldData xml:space="preserve">PEVuZE5vdGU+PENpdGU+PEF1dGhvcj5QZXJpeWFubmFuPC9BdXRob3I+PFllYXI+MjAxMzwvWWVh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</w:fldData>
        </w:fldChar>
      </w:r>
      <w:r w:rsidRPr="00492B11">
        <w:rPr>
          <w:sz w:val="22"/>
          <w:szCs w:val="22"/>
          <w:vertAlign w:val="superscript"/>
        </w:rPr>
        <w:instrText xml:space="preserve"> ADDIN EN.CITE.DATA </w:instrText>
      </w:r>
      <w:r w:rsidRPr="00492B11">
        <w:rPr>
          <w:sz w:val="22"/>
          <w:szCs w:val="22"/>
          <w:vertAlign w:val="superscript"/>
        </w:rPr>
      </w:r>
      <w:r w:rsidRPr="00492B11">
        <w:rPr>
          <w:sz w:val="22"/>
          <w:szCs w:val="22"/>
          <w:vertAlign w:val="superscript"/>
        </w:rPr>
        <w:fldChar w:fldCharType="end"/>
      </w:r>
      <w:r w:rsidRPr="00492B11">
        <w:rPr>
          <w:sz w:val="22"/>
          <w:szCs w:val="22"/>
          <w:vertAlign w:val="superscript"/>
        </w:rPr>
      </w:r>
      <w:r w:rsidRPr="00492B11">
        <w:rPr>
          <w:sz w:val="22"/>
          <w:szCs w:val="22"/>
          <w:vertAlign w:val="superscript"/>
        </w:rPr>
        <w:fldChar w:fldCharType="separate"/>
      </w:r>
      <w:r w:rsidRPr="00492B11">
        <w:rPr>
          <w:noProof/>
          <w:sz w:val="22"/>
          <w:szCs w:val="22"/>
          <w:vertAlign w:val="superscript"/>
        </w:rPr>
        <w:t>10</w:t>
      </w:r>
      <w:r w:rsidRPr="00492B11">
        <w:rPr>
          <w:sz w:val="22"/>
          <w:szCs w:val="22"/>
          <w:vertAlign w:val="superscript"/>
        </w:rPr>
        <w:fldChar w:fldCharType="end"/>
      </w:r>
      <w:r w:rsidRPr="00492B11">
        <w:rPr>
          <w:sz w:val="22"/>
          <w:szCs w:val="22"/>
        </w:rPr>
        <w:t xml:space="preserve">. Lines showing higher infection types when compared to the parental lines (Schomburgk and CS1D5406) were selected as susceptible mutant lines as shown in (a) and (c). Inactivation of </w:t>
      </w:r>
      <w:r w:rsidRPr="00492B11">
        <w:rPr>
          <w:i/>
          <w:sz w:val="22"/>
          <w:szCs w:val="22"/>
        </w:rPr>
        <w:t>Sr22</w:t>
      </w:r>
      <w:r w:rsidRPr="00492B11">
        <w:rPr>
          <w:sz w:val="22"/>
          <w:szCs w:val="22"/>
        </w:rPr>
        <w:t xml:space="preserve"> and </w:t>
      </w:r>
      <w:r w:rsidRPr="00492B11">
        <w:rPr>
          <w:i/>
          <w:sz w:val="22"/>
          <w:szCs w:val="22"/>
        </w:rPr>
        <w:t>Sr45</w:t>
      </w:r>
      <w:r w:rsidRPr="00492B11">
        <w:rPr>
          <w:sz w:val="22"/>
          <w:szCs w:val="22"/>
        </w:rPr>
        <w:t xml:space="preserve"> resistance in the mutants was confirmed in homozygous M</w:t>
      </w:r>
      <w:r w:rsidRPr="00492B11">
        <w:rPr>
          <w:sz w:val="22"/>
          <w:szCs w:val="22"/>
          <w:vertAlign w:val="subscript"/>
        </w:rPr>
        <w:t>3</w:t>
      </w:r>
      <w:r w:rsidRPr="00492B11">
        <w:rPr>
          <w:sz w:val="22"/>
          <w:szCs w:val="22"/>
        </w:rPr>
        <w:t xml:space="preserve"> and M</w:t>
      </w:r>
      <w:r w:rsidRPr="00492B11">
        <w:rPr>
          <w:sz w:val="22"/>
          <w:szCs w:val="22"/>
          <w:vertAlign w:val="subscript"/>
        </w:rPr>
        <w:t>4</w:t>
      </w:r>
      <w:r w:rsidRPr="00492B11">
        <w:rPr>
          <w:sz w:val="22"/>
          <w:szCs w:val="22"/>
        </w:rPr>
        <w:t xml:space="preserve"> progeny..</w:t>
      </w:r>
    </w:p>
    <w:p w14:paraId="4701698C" w14:textId="77777777" w:rsidR="00657282" w:rsidRPr="00492B11" w:rsidRDefault="00657282" w:rsidP="00657282">
      <w:pPr>
        <w:spacing w:line="480" w:lineRule="auto"/>
        <w:rPr>
          <w:sz w:val="22"/>
          <w:szCs w:val="22"/>
        </w:rPr>
      </w:pPr>
      <w:r w:rsidRPr="00492B11">
        <w:rPr>
          <w:sz w:val="22"/>
          <w:szCs w:val="22"/>
        </w:rPr>
        <w:t>(b, d) Schematic diagrams of</w:t>
      </w:r>
      <w:r w:rsidRPr="00492B11">
        <w:rPr>
          <w:i/>
          <w:sz w:val="22"/>
          <w:szCs w:val="22"/>
        </w:rPr>
        <w:t xml:space="preserve"> Sr22</w:t>
      </w:r>
      <w:r w:rsidRPr="00492B11">
        <w:rPr>
          <w:sz w:val="22"/>
          <w:szCs w:val="22"/>
        </w:rPr>
        <w:t xml:space="preserve"> (b) and </w:t>
      </w:r>
      <w:r w:rsidRPr="00492B11">
        <w:rPr>
          <w:i/>
          <w:sz w:val="22"/>
          <w:szCs w:val="22"/>
        </w:rPr>
        <w:t>Sr45</w:t>
      </w:r>
      <w:r w:rsidRPr="00492B11">
        <w:rPr>
          <w:sz w:val="22"/>
          <w:szCs w:val="22"/>
        </w:rPr>
        <w:t xml:space="preserve"> (d) loci showing intron-exon boundaries, protein domain structure (coloured boxes), 5’ and 3’ UTR (white boxes), and location of missense and nonsense (*) mutations. Contigs obtained by RenSeq are shown in grey. The </w:t>
      </w:r>
      <w:r w:rsidRPr="00492B11">
        <w:rPr>
          <w:i/>
          <w:sz w:val="22"/>
          <w:szCs w:val="22"/>
        </w:rPr>
        <w:t>Sr22</w:t>
      </w:r>
      <w:r w:rsidRPr="00492B11">
        <w:rPr>
          <w:sz w:val="22"/>
          <w:szCs w:val="22"/>
        </w:rPr>
        <w:t xml:space="preserve"> and </w:t>
      </w:r>
      <w:r w:rsidRPr="00492B11">
        <w:rPr>
          <w:i/>
          <w:sz w:val="22"/>
          <w:szCs w:val="22"/>
        </w:rPr>
        <w:t>Sr45</w:t>
      </w:r>
      <w:r w:rsidRPr="00492B11">
        <w:rPr>
          <w:sz w:val="22"/>
          <w:szCs w:val="22"/>
        </w:rPr>
        <w:t xml:space="preserve"> contigs were extended by local RenSeq and/or genome walking, and the full-length </w:t>
      </w:r>
      <w:r w:rsidRPr="00492B11">
        <w:rPr>
          <w:i/>
          <w:sz w:val="22"/>
          <w:szCs w:val="22"/>
        </w:rPr>
        <w:t>Sr22</w:t>
      </w:r>
      <w:r w:rsidRPr="00492B11">
        <w:rPr>
          <w:sz w:val="22"/>
          <w:szCs w:val="22"/>
        </w:rPr>
        <w:t xml:space="preserve"> and </w:t>
      </w:r>
      <w:r w:rsidRPr="00492B11">
        <w:rPr>
          <w:i/>
          <w:sz w:val="22"/>
          <w:szCs w:val="22"/>
        </w:rPr>
        <w:t>Sr45</w:t>
      </w:r>
      <w:r w:rsidRPr="00492B11">
        <w:rPr>
          <w:sz w:val="22"/>
          <w:szCs w:val="22"/>
        </w:rPr>
        <w:t xml:space="preserve"> sequences were confirmed by PCR amplification from genomic DNA and sequencing.</w:t>
      </w:r>
    </w:p>
    <w:p w14:paraId="1C3AEDCA" w14:textId="77777777" w:rsidR="00657282" w:rsidRPr="00492B11" w:rsidRDefault="00657282" w:rsidP="00657282">
      <w:pPr>
        <w:rPr>
          <w:b/>
          <w:sz w:val="22"/>
          <w:szCs w:val="22"/>
        </w:rPr>
      </w:pPr>
      <w:r w:rsidRPr="00492B11">
        <w:rPr>
          <w:b/>
          <w:sz w:val="22"/>
          <w:szCs w:val="22"/>
        </w:rPr>
        <w:br w:type="page"/>
      </w:r>
    </w:p>
    <w:p w14:paraId="1BC10E44" w14:textId="77777777" w:rsidR="00657282" w:rsidRPr="00492B11" w:rsidRDefault="00657282" w:rsidP="00657282">
      <w:pPr>
        <w:rPr>
          <w:b/>
          <w:sz w:val="22"/>
          <w:szCs w:val="22"/>
        </w:rPr>
      </w:pPr>
    </w:p>
    <w:p w14:paraId="584CFCCD" w14:textId="77777777" w:rsidR="00657282" w:rsidRPr="00492B11" w:rsidRDefault="00657282" w:rsidP="00657282">
      <w:pPr>
        <w:spacing w:line="480" w:lineRule="auto"/>
        <w:rPr>
          <w:b/>
          <w:sz w:val="22"/>
          <w:szCs w:val="22"/>
        </w:rPr>
      </w:pPr>
      <w:r w:rsidRPr="00492B11">
        <w:rPr>
          <w:b/>
          <w:sz w:val="22"/>
          <w:szCs w:val="22"/>
        </w:rPr>
        <w:t xml:space="preserve">Figure 3. </w:t>
      </w:r>
      <w:r w:rsidRPr="00492B11">
        <w:rPr>
          <w:sz w:val="22"/>
          <w:szCs w:val="22"/>
        </w:rPr>
        <w:t xml:space="preserve">Stem rust infection phenotypes of Fielder and transgenic wheat lines carrying the </w:t>
      </w:r>
      <w:r w:rsidRPr="00492B11">
        <w:rPr>
          <w:i/>
          <w:sz w:val="22"/>
          <w:szCs w:val="22"/>
        </w:rPr>
        <w:t>Sr22</w:t>
      </w:r>
      <w:r w:rsidRPr="00492B11">
        <w:rPr>
          <w:sz w:val="22"/>
          <w:szCs w:val="22"/>
        </w:rPr>
        <w:t xml:space="preserve"> gene derived from Schomburgk.</w:t>
      </w:r>
    </w:p>
    <w:p w14:paraId="1C8B23DC" w14:textId="77777777" w:rsidR="00657282" w:rsidRDefault="00657282" w:rsidP="00657282">
      <w:pPr>
        <w:rPr>
          <w:b/>
          <w:sz w:val="22"/>
          <w:szCs w:val="22"/>
        </w:rPr>
      </w:pPr>
      <w:r w:rsidRPr="00492B11">
        <w:rPr>
          <w:sz w:val="22"/>
          <w:szCs w:val="22"/>
        </w:rPr>
        <w:t xml:space="preserve">PC103 (1 to 6) represent independent transgenic lines carrying the </w:t>
      </w:r>
      <w:r w:rsidRPr="00492B11">
        <w:rPr>
          <w:i/>
          <w:sz w:val="22"/>
          <w:szCs w:val="22"/>
        </w:rPr>
        <w:t>Sr22</w:t>
      </w:r>
      <w:r w:rsidRPr="00492B11">
        <w:rPr>
          <w:sz w:val="22"/>
          <w:szCs w:val="22"/>
        </w:rPr>
        <w:t xml:space="preserve"> gene construct. These lines all show a typical </w:t>
      </w:r>
      <w:r w:rsidRPr="00492B11">
        <w:rPr>
          <w:i/>
          <w:sz w:val="22"/>
          <w:szCs w:val="22"/>
        </w:rPr>
        <w:t>Sr22</w:t>
      </w:r>
      <w:r w:rsidRPr="00492B11">
        <w:rPr>
          <w:sz w:val="22"/>
          <w:szCs w:val="22"/>
        </w:rPr>
        <w:t xml:space="preserve"> stem rust resistance phenotype when challenged with the avirulent Australian stem rust strain 98-1,2,3,5 and 6.</w:t>
      </w:r>
    </w:p>
    <w:p w14:paraId="7724CEFA" w14:textId="77777777" w:rsidR="00657282" w:rsidRPr="007631AB" w:rsidRDefault="00657282" w:rsidP="00B91086">
      <w:pPr>
        <w:spacing w:line="480" w:lineRule="auto"/>
        <w:rPr>
          <w:b/>
          <w:sz w:val="22"/>
          <w:szCs w:val="22"/>
        </w:rPr>
      </w:pPr>
    </w:p>
    <w:sectPr w:rsidR="00657282" w:rsidRPr="007631AB" w:rsidSect="00B91086">
      <w:footerReference w:type="even" r:id="rId8"/>
      <w:footerReference w:type="default" r:id="rId9"/>
      <w:pgSz w:w="11900" w:h="16840"/>
      <w:pgMar w:top="1440" w:right="987" w:bottom="1440" w:left="1134"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57A38F" w14:textId="77777777" w:rsidR="009902EC" w:rsidRDefault="009902EC" w:rsidP="00DF4061">
      <w:pPr>
        <w:spacing w:after="0"/>
      </w:pPr>
      <w:r>
        <w:separator/>
      </w:r>
    </w:p>
  </w:endnote>
  <w:endnote w:type="continuationSeparator" w:id="0">
    <w:p w14:paraId="67693E6B" w14:textId="77777777" w:rsidR="009902EC" w:rsidRDefault="009902EC" w:rsidP="00DF406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E9788" w14:textId="77777777" w:rsidR="001E5509" w:rsidRDefault="001E5509" w:rsidP="00DF40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A82501" w14:textId="77777777" w:rsidR="001E5509" w:rsidRDefault="001E5509" w:rsidP="00DF406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6B03CD" w14:textId="77777777" w:rsidR="001E5509" w:rsidRDefault="001E5509" w:rsidP="00DF40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17A7">
      <w:rPr>
        <w:rStyle w:val="PageNumber"/>
        <w:noProof/>
      </w:rPr>
      <w:t>11</w:t>
    </w:r>
    <w:r>
      <w:rPr>
        <w:rStyle w:val="PageNumber"/>
      </w:rPr>
      <w:fldChar w:fldCharType="end"/>
    </w:r>
  </w:p>
  <w:p w14:paraId="7F7D9AC6" w14:textId="77777777" w:rsidR="001E5509" w:rsidRDefault="001E5509" w:rsidP="00DF406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1FF272" w14:textId="77777777" w:rsidR="009902EC" w:rsidRDefault="009902EC" w:rsidP="00DF4061">
      <w:pPr>
        <w:spacing w:after="0"/>
      </w:pPr>
      <w:r>
        <w:separator/>
      </w:r>
    </w:p>
  </w:footnote>
  <w:footnote w:type="continuationSeparator" w:id="0">
    <w:p w14:paraId="3F972225" w14:textId="77777777" w:rsidR="009902EC" w:rsidRDefault="009902EC" w:rsidP="00DF4061">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4313EF"/>
    <w:multiLevelType w:val="hybridMultilevel"/>
    <w:tmpl w:val="F224FD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507F61"/>
    <w:multiLevelType w:val="hybridMultilevel"/>
    <w:tmpl w:val="031EF63C"/>
    <w:lvl w:ilvl="0" w:tplc="7688B67A">
      <w:start w:val="1"/>
      <w:numFmt w:val="decimal"/>
      <w:lvlText w:val="%1."/>
      <w:lvlJc w:val="left"/>
      <w:pPr>
        <w:ind w:left="1065" w:hanging="360"/>
      </w:pPr>
      <w:rPr>
        <w:rFonts w:hint="default"/>
      </w:rPr>
    </w:lvl>
    <w:lvl w:ilvl="1" w:tplc="0C090019" w:tentative="1">
      <w:start w:val="1"/>
      <w:numFmt w:val="lowerLetter"/>
      <w:lvlText w:val="%2."/>
      <w:lvlJc w:val="left"/>
      <w:pPr>
        <w:ind w:left="1785" w:hanging="360"/>
      </w:pPr>
    </w:lvl>
    <w:lvl w:ilvl="2" w:tplc="0C09001B" w:tentative="1">
      <w:start w:val="1"/>
      <w:numFmt w:val="lowerRoman"/>
      <w:lvlText w:val="%3."/>
      <w:lvlJc w:val="right"/>
      <w:pPr>
        <w:ind w:left="2505" w:hanging="180"/>
      </w:pPr>
    </w:lvl>
    <w:lvl w:ilvl="3" w:tplc="0C09000F" w:tentative="1">
      <w:start w:val="1"/>
      <w:numFmt w:val="decimal"/>
      <w:lvlText w:val="%4."/>
      <w:lvlJc w:val="left"/>
      <w:pPr>
        <w:ind w:left="3225" w:hanging="360"/>
      </w:pPr>
    </w:lvl>
    <w:lvl w:ilvl="4" w:tplc="0C090019" w:tentative="1">
      <w:start w:val="1"/>
      <w:numFmt w:val="lowerLetter"/>
      <w:lvlText w:val="%5."/>
      <w:lvlJc w:val="left"/>
      <w:pPr>
        <w:ind w:left="3945" w:hanging="360"/>
      </w:pPr>
    </w:lvl>
    <w:lvl w:ilvl="5" w:tplc="0C09001B" w:tentative="1">
      <w:start w:val="1"/>
      <w:numFmt w:val="lowerRoman"/>
      <w:lvlText w:val="%6."/>
      <w:lvlJc w:val="right"/>
      <w:pPr>
        <w:ind w:left="4665" w:hanging="180"/>
      </w:pPr>
    </w:lvl>
    <w:lvl w:ilvl="6" w:tplc="0C09000F" w:tentative="1">
      <w:start w:val="1"/>
      <w:numFmt w:val="decimal"/>
      <w:lvlText w:val="%7."/>
      <w:lvlJc w:val="left"/>
      <w:pPr>
        <w:ind w:left="5385" w:hanging="360"/>
      </w:pPr>
    </w:lvl>
    <w:lvl w:ilvl="7" w:tplc="0C090019" w:tentative="1">
      <w:start w:val="1"/>
      <w:numFmt w:val="lowerLetter"/>
      <w:lvlText w:val="%8."/>
      <w:lvlJc w:val="left"/>
      <w:pPr>
        <w:ind w:left="6105" w:hanging="360"/>
      </w:pPr>
    </w:lvl>
    <w:lvl w:ilvl="8" w:tplc="0C09001B" w:tentative="1">
      <w:start w:val="1"/>
      <w:numFmt w:val="lowerRoman"/>
      <w:lvlText w:val="%9."/>
      <w:lvlJc w:val="right"/>
      <w:pPr>
        <w:ind w:left="6825" w:hanging="180"/>
      </w:pPr>
    </w:lvl>
  </w:abstractNum>
  <w:abstractNum w:abstractNumId="3" w15:restartNumberingAfterBreak="0">
    <w:nsid w:val="2B5C2FC4"/>
    <w:multiLevelType w:val="hybridMultilevel"/>
    <w:tmpl w:val="BD9C94A2"/>
    <w:lvl w:ilvl="0" w:tplc="7940FC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9B535B"/>
    <w:multiLevelType w:val="hybridMultilevel"/>
    <w:tmpl w:val="D5B4FC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7E5175"/>
    <w:multiLevelType w:val="hybridMultilevel"/>
    <w:tmpl w:val="A80431E2"/>
    <w:lvl w:ilvl="0" w:tplc="53DEE4F2">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6A0C5E"/>
    <w:multiLevelType w:val="hybridMultilevel"/>
    <w:tmpl w:val="0EE4B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C219E9"/>
    <w:multiLevelType w:val="hybridMultilevel"/>
    <w:tmpl w:val="6A6C4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1F1987"/>
    <w:multiLevelType w:val="hybridMultilevel"/>
    <w:tmpl w:val="73004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123909"/>
    <w:multiLevelType w:val="hybridMultilevel"/>
    <w:tmpl w:val="1A18950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6DEA70DE"/>
    <w:multiLevelType w:val="hybridMultilevel"/>
    <w:tmpl w:val="631C83EA"/>
    <w:lvl w:ilvl="0" w:tplc="68448D3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E42223B"/>
    <w:multiLevelType w:val="hybridMultilevel"/>
    <w:tmpl w:val="41F4A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FD222C"/>
    <w:multiLevelType w:val="hybridMultilevel"/>
    <w:tmpl w:val="763699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0"/>
  </w:num>
  <w:num w:numId="3">
    <w:abstractNumId w:val="12"/>
  </w:num>
  <w:num w:numId="4">
    <w:abstractNumId w:val="11"/>
  </w:num>
  <w:num w:numId="5">
    <w:abstractNumId w:val="5"/>
  </w:num>
  <w:num w:numId="6">
    <w:abstractNumId w:val="0"/>
  </w:num>
  <w:num w:numId="7">
    <w:abstractNumId w:val="9"/>
  </w:num>
  <w:num w:numId="8">
    <w:abstractNumId w:val="2"/>
  </w:num>
  <w:num w:numId="9">
    <w:abstractNumId w:val="1"/>
  </w:num>
  <w:num w:numId="10">
    <w:abstractNumId w:val="4"/>
  </w:num>
  <w:num w:numId="11">
    <w:abstractNumId w:val="3"/>
  </w:num>
  <w:num w:numId="12">
    <w:abstractNumId w:val="7"/>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2ve25t9f9ztie05eevw997ax0vtst950r2&quot;&gt;My EndNote Library&lt;record-ids&gt;&lt;item&gt;59&lt;/item&gt;&lt;item&gt;61&lt;/item&gt;&lt;item&gt;82&lt;/item&gt;&lt;item&gt;83&lt;/item&gt;&lt;item&gt;84&lt;/item&gt;&lt;item&gt;85&lt;/item&gt;&lt;item&gt;86&lt;/item&gt;&lt;item&gt;87&lt;/item&gt;&lt;item&gt;95&lt;/item&gt;&lt;item&gt;114&lt;/item&gt;&lt;item&gt;138&lt;/item&gt;&lt;item&gt;139&lt;/item&gt;&lt;item&gt;142&lt;/item&gt;&lt;item&gt;148&lt;/item&gt;&lt;item&gt;149&lt;/item&gt;&lt;item&gt;150&lt;/item&gt;&lt;item&gt;151&lt;/item&gt;&lt;item&gt;168&lt;/item&gt;&lt;item&gt;261&lt;/item&gt;&lt;item&gt;262&lt;/item&gt;&lt;/record-ids&gt;&lt;/item&gt;&lt;/Libraries&gt;"/>
  </w:docVars>
  <w:rsids>
    <w:rsidRoot w:val="00C23B0D"/>
    <w:rsid w:val="00000A0C"/>
    <w:rsid w:val="00002DDA"/>
    <w:rsid w:val="00005F9A"/>
    <w:rsid w:val="00011ABB"/>
    <w:rsid w:val="00013809"/>
    <w:rsid w:val="00014C2C"/>
    <w:rsid w:val="00015843"/>
    <w:rsid w:val="000250ED"/>
    <w:rsid w:val="00025870"/>
    <w:rsid w:val="00026B54"/>
    <w:rsid w:val="00026F93"/>
    <w:rsid w:val="000344A1"/>
    <w:rsid w:val="000344DA"/>
    <w:rsid w:val="000356D1"/>
    <w:rsid w:val="0003678E"/>
    <w:rsid w:val="00037A60"/>
    <w:rsid w:val="00042D05"/>
    <w:rsid w:val="00042E31"/>
    <w:rsid w:val="00043C87"/>
    <w:rsid w:val="00046E95"/>
    <w:rsid w:val="00050793"/>
    <w:rsid w:val="00050DCA"/>
    <w:rsid w:val="00052D6D"/>
    <w:rsid w:val="000572C2"/>
    <w:rsid w:val="00060EE8"/>
    <w:rsid w:val="00061B78"/>
    <w:rsid w:val="00062501"/>
    <w:rsid w:val="00064546"/>
    <w:rsid w:val="000700E1"/>
    <w:rsid w:val="00070EC1"/>
    <w:rsid w:val="0007282A"/>
    <w:rsid w:val="00075993"/>
    <w:rsid w:val="00076645"/>
    <w:rsid w:val="00080CFA"/>
    <w:rsid w:val="00081C5D"/>
    <w:rsid w:val="000922D0"/>
    <w:rsid w:val="0009618E"/>
    <w:rsid w:val="00097159"/>
    <w:rsid w:val="00097B76"/>
    <w:rsid w:val="000A006C"/>
    <w:rsid w:val="000B1945"/>
    <w:rsid w:val="000B2B17"/>
    <w:rsid w:val="000C29B9"/>
    <w:rsid w:val="000C6836"/>
    <w:rsid w:val="000C7004"/>
    <w:rsid w:val="000D0CB8"/>
    <w:rsid w:val="000D37B4"/>
    <w:rsid w:val="000D3875"/>
    <w:rsid w:val="000E256F"/>
    <w:rsid w:val="000E5744"/>
    <w:rsid w:val="000F0619"/>
    <w:rsid w:val="000F4D29"/>
    <w:rsid w:val="000F4E3E"/>
    <w:rsid w:val="000F4F61"/>
    <w:rsid w:val="000F6669"/>
    <w:rsid w:val="000F66B4"/>
    <w:rsid w:val="00101B4C"/>
    <w:rsid w:val="001033DF"/>
    <w:rsid w:val="00103551"/>
    <w:rsid w:val="00110B58"/>
    <w:rsid w:val="001114EA"/>
    <w:rsid w:val="00115F59"/>
    <w:rsid w:val="00120316"/>
    <w:rsid w:val="00121989"/>
    <w:rsid w:val="00121E57"/>
    <w:rsid w:val="00122CC4"/>
    <w:rsid w:val="001255D6"/>
    <w:rsid w:val="00126660"/>
    <w:rsid w:val="0013157F"/>
    <w:rsid w:val="001331C4"/>
    <w:rsid w:val="00134D68"/>
    <w:rsid w:val="001367B1"/>
    <w:rsid w:val="00140670"/>
    <w:rsid w:val="00144372"/>
    <w:rsid w:val="00144ECB"/>
    <w:rsid w:val="001456FB"/>
    <w:rsid w:val="00147DF9"/>
    <w:rsid w:val="00152803"/>
    <w:rsid w:val="00155354"/>
    <w:rsid w:val="001636C5"/>
    <w:rsid w:val="00164B53"/>
    <w:rsid w:val="001654E7"/>
    <w:rsid w:val="0016647B"/>
    <w:rsid w:val="00174AF9"/>
    <w:rsid w:val="001818DF"/>
    <w:rsid w:val="00181B30"/>
    <w:rsid w:val="00186DDF"/>
    <w:rsid w:val="001921BE"/>
    <w:rsid w:val="001A1036"/>
    <w:rsid w:val="001B0211"/>
    <w:rsid w:val="001B1034"/>
    <w:rsid w:val="001B644A"/>
    <w:rsid w:val="001B74A1"/>
    <w:rsid w:val="001C2BEA"/>
    <w:rsid w:val="001C2F12"/>
    <w:rsid w:val="001C3AAB"/>
    <w:rsid w:val="001C4773"/>
    <w:rsid w:val="001C62F0"/>
    <w:rsid w:val="001C63E2"/>
    <w:rsid w:val="001D476A"/>
    <w:rsid w:val="001D7F24"/>
    <w:rsid w:val="001E2E24"/>
    <w:rsid w:val="001E5509"/>
    <w:rsid w:val="001E5640"/>
    <w:rsid w:val="001E73FD"/>
    <w:rsid w:val="001E7ECE"/>
    <w:rsid w:val="001F208D"/>
    <w:rsid w:val="001F2CFB"/>
    <w:rsid w:val="001F486A"/>
    <w:rsid w:val="001F6AAA"/>
    <w:rsid w:val="001F76E7"/>
    <w:rsid w:val="00204CB8"/>
    <w:rsid w:val="00205FBC"/>
    <w:rsid w:val="00206942"/>
    <w:rsid w:val="002100FF"/>
    <w:rsid w:val="0021406F"/>
    <w:rsid w:val="00214506"/>
    <w:rsid w:val="0021493A"/>
    <w:rsid w:val="00215A6A"/>
    <w:rsid w:val="002175E2"/>
    <w:rsid w:val="0022115A"/>
    <w:rsid w:val="00224C5E"/>
    <w:rsid w:val="0023051C"/>
    <w:rsid w:val="00230D30"/>
    <w:rsid w:val="00235263"/>
    <w:rsid w:val="002374C0"/>
    <w:rsid w:val="00241101"/>
    <w:rsid w:val="00243D2E"/>
    <w:rsid w:val="00246DBC"/>
    <w:rsid w:val="0024792C"/>
    <w:rsid w:val="00256EF0"/>
    <w:rsid w:val="00261EA5"/>
    <w:rsid w:val="0026321B"/>
    <w:rsid w:val="002636EB"/>
    <w:rsid w:val="0026437C"/>
    <w:rsid w:val="00264525"/>
    <w:rsid w:val="002648F8"/>
    <w:rsid w:val="0027024A"/>
    <w:rsid w:val="00271E60"/>
    <w:rsid w:val="00272DC5"/>
    <w:rsid w:val="00272F01"/>
    <w:rsid w:val="00274450"/>
    <w:rsid w:val="00277B79"/>
    <w:rsid w:val="002801A6"/>
    <w:rsid w:val="0028023E"/>
    <w:rsid w:val="0028656F"/>
    <w:rsid w:val="002924F7"/>
    <w:rsid w:val="00295373"/>
    <w:rsid w:val="00295508"/>
    <w:rsid w:val="00295FCD"/>
    <w:rsid w:val="002A3C22"/>
    <w:rsid w:val="002A54C2"/>
    <w:rsid w:val="002A5C56"/>
    <w:rsid w:val="002B09FF"/>
    <w:rsid w:val="002B3A5C"/>
    <w:rsid w:val="002B47DF"/>
    <w:rsid w:val="002C1C9F"/>
    <w:rsid w:val="002D0629"/>
    <w:rsid w:val="002D67D5"/>
    <w:rsid w:val="002E2D07"/>
    <w:rsid w:val="002E31A1"/>
    <w:rsid w:val="002E6B5F"/>
    <w:rsid w:val="002F2C9A"/>
    <w:rsid w:val="002F418B"/>
    <w:rsid w:val="002F7EAB"/>
    <w:rsid w:val="00306768"/>
    <w:rsid w:val="003069D0"/>
    <w:rsid w:val="00310600"/>
    <w:rsid w:val="0031146A"/>
    <w:rsid w:val="003115D3"/>
    <w:rsid w:val="00313BEC"/>
    <w:rsid w:val="003160D1"/>
    <w:rsid w:val="00320CAA"/>
    <w:rsid w:val="00325614"/>
    <w:rsid w:val="003330F3"/>
    <w:rsid w:val="0033779C"/>
    <w:rsid w:val="00344823"/>
    <w:rsid w:val="00344AEE"/>
    <w:rsid w:val="00346DEA"/>
    <w:rsid w:val="00346E81"/>
    <w:rsid w:val="00346E99"/>
    <w:rsid w:val="00347A49"/>
    <w:rsid w:val="0035022B"/>
    <w:rsid w:val="00351045"/>
    <w:rsid w:val="00351CCD"/>
    <w:rsid w:val="003524FD"/>
    <w:rsid w:val="00352758"/>
    <w:rsid w:val="0035361C"/>
    <w:rsid w:val="00365BBE"/>
    <w:rsid w:val="0036793A"/>
    <w:rsid w:val="00376991"/>
    <w:rsid w:val="00385374"/>
    <w:rsid w:val="003862D2"/>
    <w:rsid w:val="00386769"/>
    <w:rsid w:val="003918EC"/>
    <w:rsid w:val="003A0E01"/>
    <w:rsid w:val="003A22A2"/>
    <w:rsid w:val="003A57FB"/>
    <w:rsid w:val="003B1601"/>
    <w:rsid w:val="003B20CB"/>
    <w:rsid w:val="003B42D7"/>
    <w:rsid w:val="003B609E"/>
    <w:rsid w:val="003C0BB3"/>
    <w:rsid w:val="003C42F7"/>
    <w:rsid w:val="003C4AE6"/>
    <w:rsid w:val="003C5561"/>
    <w:rsid w:val="003D1D0E"/>
    <w:rsid w:val="003D24C1"/>
    <w:rsid w:val="003D3694"/>
    <w:rsid w:val="003D581C"/>
    <w:rsid w:val="003D6366"/>
    <w:rsid w:val="003E565D"/>
    <w:rsid w:val="003F0728"/>
    <w:rsid w:val="003F0ABF"/>
    <w:rsid w:val="003F1785"/>
    <w:rsid w:val="003F4203"/>
    <w:rsid w:val="003F4713"/>
    <w:rsid w:val="003F702A"/>
    <w:rsid w:val="0040317C"/>
    <w:rsid w:val="00403CD6"/>
    <w:rsid w:val="00407426"/>
    <w:rsid w:val="004130BA"/>
    <w:rsid w:val="0041599A"/>
    <w:rsid w:val="00417559"/>
    <w:rsid w:val="0041799A"/>
    <w:rsid w:val="0042050A"/>
    <w:rsid w:val="00422E0D"/>
    <w:rsid w:val="004300C2"/>
    <w:rsid w:val="00431122"/>
    <w:rsid w:val="00433BFC"/>
    <w:rsid w:val="00436767"/>
    <w:rsid w:val="00437E7D"/>
    <w:rsid w:val="0044283F"/>
    <w:rsid w:val="00446BF4"/>
    <w:rsid w:val="00446EBF"/>
    <w:rsid w:val="00447042"/>
    <w:rsid w:val="00450AA5"/>
    <w:rsid w:val="00451801"/>
    <w:rsid w:val="0045212F"/>
    <w:rsid w:val="0045455D"/>
    <w:rsid w:val="00457648"/>
    <w:rsid w:val="00462C05"/>
    <w:rsid w:val="00462C44"/>
    <w:rsid w:val="00466F91"/>
    <w:rsid w:val="00471B0E"/>
    <w:rsid w:val="0047516A"/>
    <w:rsid w:val="0048230F"/>
    <w:rsid w:val="00490871"/>
    <w:rsid w:val="0049088E"/>
    <w:rsid w:val="00492B11"/>
    <w:rsid w:val="004A2355"/>
    <w:rsid w:val="004A4A1E"/>
    <w:rsid w:val="004B4A36"/>
    <w:rsid w:val="004B567C"/>
    <w:rsid w:val="004B5A14"/>
    <w:rsid w:val="004C4CFF"/>
    <w:rsid w:val="004C73D5"/>
    <w:rsid w:val="004D0E91"/>
    <w:rsid w:val="004E345C"/>
    <w:rsid w:val="004E487F"/>
    <w:rsid w:val="004E6989"/>
    <w:rsid w:val="004F4415"/>
    <w:rsid w:val="004F5797"/>
    <w:rsid w:val="00500EC0"/>
    <w:rsid w:val="005043B4"/>
    <w:rsid w:val="00505655"/>
    <w:rsid w:val="00505AA7"/>
    <w:rsid w:val="00506038"/>
    <w:rsid w:val="00506BDB"/>
    <w:rsid w:val="0050731E"/>
    <w:rsid w:val="005076D3"/>
    <w:rsid w:val="00511E46"/>
    <w:rsid w:val="00516D38"/>
    <w:rsid w:val="00520988"/>
    <w:rsid w:val="005276B2"/>
    <w:rsid w:val="00527A7C"/>
    <w:rsid w:val="00532709"/>
    <w:rsid w:val="005350C9"/>
    <w:rsid w:val="005409B1"/>
    <w:rsid w:val="00542496"/>
    <w:rsid w:val="0054257B"/>
    <w:rsid w:val="005445A9"/>
    <w:rsid w:val="005447FE"/>
    <w:rsid w:val="0055502F"/>
    <w:rsid w:val="00557638"/>
    <w:rsid w:val="0056077A"/>
    <w:rsid w:val="00561607"/>
    <w:rsid w:val="00561B19"/>
    <w:rsid w:val="005657E3"/>
    <w:rsid w:val="0056690D"/>
    <w:rsid w:val="00567712"/>
    <w:rsid w:val="0057041D"/>
    <w:rsid w:val="00577281"/>
    <w:rsid w:val="00581F2A"/>
    <w:rsid w:val="00590502"/>
    <w:rsid w:val="00593FB0"/>
    <w:rsid w:val="0059601B"/>
    <w:rsid w:val="005A1EAA"/>
    <w:rsid w:val="005A5DAD"/>
    <w:rsid w:val="005B53DD"/>
    <w:rsid w:val="005B5A2D"/>
    <w:rsid w:val="005C2488"/>
    <w:rsid w:val="005C76BB"/>
    <w:rsid w:val="005C7C4F"/>
    <w:rsid w:val="005D0168"/>
    <w:rsid w:val="005D50CE"/>
    <w:rsid w:val="005D66E8"/>
    <w:rsid w:val="005D67B2"/>
    <w:rsid w:val="005D6AC4"/>
    <w:rsid w:val="005E7710"/>
    <w:rsid w:val="005F1225"/>
    <w:rsid w:val="005F1D91"/>
    <w:rsid w:val="005F3446"/>
    <w:rsid w:val="005F411E"/>
    <w:rsid w:val="005F7D99"/>
    <w:rsid w:val="00602993"/>
    <w:rsid w:val="00603FB5"/>
    <w:rsid w:val="00606E3F"/>
    <w:rsid w:val="00610E77"/>
    <w:rsid w:val="006114C0"/>
    <w:rsid w:val="006148D4"/>
    <w:rsid w:val="006233B2"/>
    <w:rsid w:val="00623D4A"/>
    <w:rsid w:val="00627C63"/>
    <w:rsid w:val="006308D8"/>
    <w:rsid w:val="00631564"/>
    <w:rsid w:val="0063161A"/>
    <w:rsid w:val="00632C9B"/>
    <w:rsid w:val="00632F02"/>
    <w:rsid w:val="006338D5"/>
    <w:rsid w:val="00634DC6"/>
    <w:rsid w:val="006373BB"/>
    <w:rsid w:val="00640834"/>
    <w:rsid w:val="00640F79"/>
    <w:rsid w:val="00644DE4"/>
    <w:rsid w:val="00651C3C"/>
    <w:rsid w:val="00653EC6"/>
    <w:rsid w:val="00654887"/>
    <w:rsid w:val="00657282"/>
    <w:rsid w:val="00664658"/>
    <w:rsid w:val="00670A2F"/>
    <w:rsid w:val="0067192E"/>
    <w:rsid w:val="00671E95"/>
    <w:rsid w:val="0068155F"/>
    <w:rsid w:val="00685923"/>
    <w:rsid w:val="006900BB"/>
    <w:rsid w:val="0069627E"/>
    <w:rsid w:val="006A1155"/>
    <w:rsid w:val="006A5029"/>
    <w:rsid w:val="006A5DF8"/>
    <w:rsid w:val="006A7704"/>
    <w:rsid w:val="006B6030"/>
    <w:rsid w:val="006C007A"/>
    <w:rsid w:val="006C245A"/>
    <w:rsid w:val="006D12A7"/>
    <w:rsid w:val="006D181A"/>
    <w:rsid w:val="006D1BF1"/>
    <w:rsid w:val="006D2301"/>
    <w:rsid w:val="006D3DD7"/>
    <w:rsid w:val="006E6948"/>
    <w:rsid w:val="006F0751"/>
    <w:rsid w:val="006F1F48"/>
    <w:rsid w:val="006F39B2"/>
    <w:rsid w:val="006F56AA"/>
    <w:rsid w:val="006F7A15"/>
    <w:rsid w:val="007047BD"/>
    <w:rsid w:val="00704F05"/>
    <w:rsid w:val="00712F14"/>
    <w:rsid w:val="00716443"/>
    <w:rsid w:val="007200E4"/>
    <w:rsid w:val="0072116B"/>
    <w:rsid w:val="007212DE"/>
    <w:rsid w:val="0072275B"/>
    <w:rsid w:val="00725756"/>
    <w:rsid w:val="0073226B"/>
    <w:rsid w:val="00733B30"/>
    <w:rsid w:val="0073488C"/>
    <w:rsid w:val="00740DC2"/>
    <w:rsid w:val="007436DD"/>
    <w:rsid w:val="00745DFC"/>
    <w:rsid w:val="00750DC1"/>
    <w:rsid w:val="00755868"/>
    <w:rsid w:val="007631AB"/>
    <w:rsid w:val="007645F2"/>
    <w:rsid w:val="00764CE7"/>
    <w:rsid w:val="007717BD"/>
    <w:rsid w:val="00772AC1"/>
    <w:rsid w:val="007754F4"/>
    <w:rsid w:val="0078111A"/>
    <w:rsid w:val="0078456E"/>
    <w:rsid w:val="00784E8F"/>
    <w:rsid w:val="00784F5F"/>
    <w:rsid w:val="0079059F"/>
    <w:rsid w:val="00790E6E"/>
    <w:rsid w:val="007A2737"/>
    <w:rsid w:val="007A3307"/>
    <w:rsid w:val="007A4178"/>
    <w:rsid w:val="007B0B92"/>
    <w:rsid w:val="007B6384"/>
    <w:rsid w:val="007B6779"/>
    <w:rsid w:val="007C2D9D"/>
    <w:rsid w:val="007C5F95"/>
    <w:rsid w:val="007D0BC1"/>
    <w:rsid w:val="007D3C4D"/>
    <w:rsid w:val="007D5C28"/>
    <w:rsid w:val="007E052B"/>
    <w:rsid w:val="007E6FF8"/>
    <w:rsid w:val="007F04AD"/>
    <w:rsid w:val="008045F7"/>
    <w:rsid w:val="00804D39"/>
    <w:rsid w:val="00807E7A"/>
    <w:rsid w:val="0081082F"/>
    <w:rsid w:val="008127FE"/>
    <w:rsid w:val="008169C5"/>
    <w:rsid w:val="008276E1"/>
    <w:rsid w:val="008307C3"/>
    <w:rsid w:val="00833965"/>
    <w:rsid w:val="00833BD3"/>
    <w:rsid w:val="008422FC"/>
    <w:rsid w:val="008451F6"/>
    <w:rsid w:val="00855C80"/>
    <w:rsid w:val="00871A8F"/>
    <w:rsid w:val="008727D0"/>
    <w:rsid w:val="00875D49"/>
    <w:rsid w:val="00881E9F"/>
    <w:rsid w:val="00882A76"/>
    <w:rsid w:val="00883CC4"/>
    <w:rsid w:val="00885CEC"/>
    <w:rsid w:val="008878A1"/>
    <w:rsid w:val="00891868"/>
    <w:rsid w:val="00893FCC"/>
    <w:rsid w:val="0089407E"/>
    <w:rsid w:val="008A2A1C"/>
    <w:rsid w:val="008A34A8"/>
    <w:rsid w:val="008B364B"/>
    <w:rsid w:val="008B3B37"/>
    <w:rsid w:val="008B3DF8"/>
    <w:rsid w:val="008B3FDD"/>
    <w:rsid w:val="008B40E4"/>
    <w:rsid w:val="008B6D65"/>
    <w:rsid w:val="008B7308"/>
    <w:rsid w:val="008C3119"/>
    <w:rsid w:val="008C3698"/>
    <w:rsid w:val="008C568A"/>
    <w:rsid w:val="008D13E5"/>
    <w:rsid w:val="008D1422"/>
    <w:rsid w:val="008D1C70"/>
    <w:rsid w:val="008D3310"/>
    <w:rsid w:val="008D4BA2"/>
    <w:rsid w:val="008E5661"/>
    <w:rsid w:val="008E624E"/>
    <w:rsid w:val="008F76F7"/>
    <w:rsid w:val="008F7785"/>
    <w:rsid w:val="00900741"/>
    <w:rsid w:val="00900CD1"/>
    <w:rsid w:val="009022A6"/>
    <w:rsid w:val="00903E34"/>
    <w:rsid w:val="009068F7"/>
    <w:rsid w:val="00906B45"/>
    <w:rsid w:val="00912470"/>
    <w:rsid w:val="009143AD"/>
    <w:rsid w:val="00914E6E"/>
    <w:rsid w:val="0091792A"/>
    <w:rsid w:val="00920668"/>
    <w:rsid w:val="0092396E"/>
    <w:rsid w:val="00933B93"/>
    <w:rsid w:val="009342C4"/>
    <w:rsid w:val="00937700"/>
    <w:rsid w:val="00944D11"/>
    <w:rsid w:val="00945489"/>
    <w:rsid w:val="00946F7D"/>
    <w:rsid w:val="00947359"/>
    <w:rsid w:val="009501C5"/>
    <w:rsid w:val="0096071B"/>
    <w:rsid w:val="009657C0"/>
    <w:rsid w:val="0096591E"/>
    <w:rsid w:val="0097632D"/>
    <w:rsid w:val="0097678C"/>
    <w:rsid w:val="0097740C"/>
    <w:rsid w:val="0098708D"/>
    <w:rsid w:val="009902EC"/>
    <w:rsid w:val="00993418"/>
    <w:rsid w:val="00994418"/>
    <w:rsid w:val="009B2888"/>
    <w:rsid w:val="009B356F"/>
    <w:rsid w:val="009B5CC0"/>
    <w:rsid w:val="009C3836"/>
    <w:rsid w:val="009C67FA"/>
    <w:rsid w:val="009C7A8F"/>
    <w:rsid w:val="009D199A"/>
    <w:rsid w:val="009E213E"/>
    <w:rsid w:val="009E2763"/>
    <w:rsid w:val="009E2AE3"/>
    <w:rsid w:val="009E5EFA"/>
    <w:rsid w:val="009F4692"/>
    <w:rsid w:val="009F65DC"/>
    <w:rsid w:val="00A016FC"/>
    <w:rsid w:val="00A035A3"/>
    <w:rsid w:val="00A07DCD"/>
    <w:rsid w:val="00A120DC"/>
    <w:rsid w:val="00A13E92"/>
    <w:rsid w:val="00A14052"/>
    <w:rsid w:val="00A21CD3"/>
    <w:rsid w:val="00A21FF4"/>
    <w:rsid w:val="00A23180"/>
    <w:rsid w:val="00A23489"/>
    <w:rsid w:val="00A238C1"/>
    <w:rsid w:val="00A27E46"/>
    <w:rsid w:val="00A3021D"/>
    <w:rsid w:val="00A31AAC"/>
    <w:rsid w:val="00A32434"/>
    <w:rsid w:val="00A330A0"/>
    <w:rsid w:val="00A35EB2"/>
    <w:rsid w:val="00A40E0A"/>
    <w:rsid w:val="00A47275"/>
    <w:rsid w:val="00A5098A"/>
    <w:rsid w:val="00A50BF3"/>
    <w:rsid w:val="00A50DA3"/>
    <w:rsid w:val="00A542BE"/>
    <w:rsid w:val="00A61965"/>
    <w:rsid w:val="00A625D1"/>
    <w:rsid w:val="00A6281A"/>
    <w:rsid w:val="00A6330C"/>
    <w:rsid w:val="00A66FAB"/>
    <w:rsid w:val="00A67C5A"/>
    <w:rsid w:val="00A7567A"/>
    <w:rsid w:val="00A773A4"/>
    <w:rsid w:val="00A82043"/>
    <w:rsid w:val="00A82141"/>
    <w:rsid w:val="00A84B8E"/>
    <w:rsid w:val="00A84D37"/>
    <w:rsid w:val="00A874EA"/>
    <w:rsid w:val="00A87B2F"/>
    <w:rsid w:val="00AA2F38"/>
    <w:rsid w:val="00AA4FFF"/>
    <w:rsid w:val="00AA6E2F"/>
    <w:rsid w:val="00AB0046"/>
    <w:rsid w:val="00AB1B5A"/>
    <w:rsid w:val="00AC3C42"/>
    <w:rsid w:val="00AC4E59"/>
    <w:rsid w:val="00AE1D99"/>
    <w:rsid w:val="00AF2ACD"/>
    <w:rsid w:val="00AF7D6B"/>
    <w:rsid w:val="00B0153F"/>
    <w:rsid w:val="00B01EDF"/>
    <w:rsid w:val="00B12145"/>
    <w:rsid w:val="00B13244"/>
    <w:rsid w:val="00B13726"/>
    <w:rsid w:val="00B200CD"/>
    <w:rsid w:val="00B204AA"/>
    <w:rsid w:val="00B20AF5"/>
    <w:rsid w:val="00B22D6E"/>
    <w:rsid w:val="00B2550F"/>
    <w:rsid w:val="00B30F31"/>
    <w:rsid w:val="00B315B6"/>
    <w:rsid w:val="00B31D91"/>
    <w:rsid w:val="00B32B42"/>
    <w:rsid w:val="00B3620C"/>
    <w:rsid w:val="00B40633"/>
    <w:rsid w:val="00B40C4C"/>
    <w:rsid w:val="00B40DE8"/>
    <w:rsid w:val="00B424C3"/>
    <w:rsid w:val="00B43855"/>
    <w:rsid w:val="00B468A4"/>
    <w:rsid w:val="00B477DF"/>
    <w:rsid w:val="00B5293E"/>
    <w:rsid w:val="00B574B2"/>
    <w:rsid w:val="00B6117F"/>
    <w:rsid w:val="00B649F2"/>
    <w:rsid w:val="00B64ACE"/>
    <w:rsid w:val="00B67551"/>
    <w:rsid w:val="00B74694"/>
    <w:rsid w:val="00B74F30"/>
    <w:rsid w:val="00B759E8"/>
    <w:rsid w:val="00B91077"/>
    <w:rsid w:val="00B91086"/>
    <w:rsid w:val="00B91BE1"/>
    <w:rsid w:val="00B922A4"/>
    <w:rsid w:val="00B9437A"/>
    <w:rsid w:val="00B946E7"/>
    <w:rsid w:val="00B97192"/>
    <w:rsid w:val="00B97823"/>
    <w:rsid w:val="00BA0B42"/>
    <w:rsid w:val="00BA6E9F"/>
    <w:rsid w:val="00BB524A"/>
    <w:rsid w:val="00BC0D14"/>
    <w:rsid w:val="00BC1303"/>
    <w:rsid w:val="00BC21FC"/>
    <w:rsid w:val="00BC4B25"/>
    <w:rsid w:val="00BC540E"/>
    <w:rsid w:val="00BD0272"/>
    <w:rsid w:val="00BD3756"/>
    <w:rsid w:val="00BD582C"/>
    <w:rsid w:val="00BD77A8"/>
    <w:rsid w:val="00BE17A7"/>
    <w:rsid w:val="00BE6DDF"/>
    <w:rsid w:val="00BF009E"/>
    <w:rsid w:val="00BF1531"/>
    <w:rsid w:val="00BF2945"/>
    <w:rsid w:val="00BF4A0C"/>
    <w:rsid w:val="00BF4C4D"/>
    <w:rsid w:val="00C04C07"/>
    <w:rsid w:val="00C06A79"/>
    <w:rsid w:val="00C11FDA"/>
    <w:rsid w:val="00C123FA"/>
    <w:rsid w:val="00C16316"/>
    <w:rsid w:val="00C165C3"/>
    <w:rsid w:val="00C17AB4"/>
    <w:rsid w:val="00C23B0D"/>
    <w:rsid w:val="00C27C86"/>
    <w:rsid w:val="00C321C9"/>
    <w:rsid w:val="00C3501F"/>
    <w:rsid w:val="00C37131"/>
    <w:rsid w:val="00C40028"/>
    <w:rsid w:val="00C40D6F"/>
    <w:rsid w:val="00C42413"/>
    <w:rsid w:val="00C44C5E"/>
    <w:rsid w:val="00C461ED"/>
    <w:rsid w:val="00C50337"/>
    <w:rsid w:val="00C51267"/>
    <w:rsid w:val="00C529A1"/>
    <w:rsid w:val="00C60FDE"/>
    <w:rsid w:val="00C612FE"/>
    <w:rsid w:val="00C615E4"/>
    <w:rsid w:val="00C6409C"/>
    <w:rsid w:val="00C721CA"/>
    <w:rsid w:val="00C73716"/>
    <w:rsid w:val="00C751C7"/>
    <w:rsid w:val="00C802D5"/>
    <w:rsid w:val="00C80F14"/>
    <w:rsid w:val="00C81DB9"/>
    <w:rsid w:val="00C82A5C"/>
    <w:rsid w:val="00C90347"/>
    <w:rsid w:val="00C90883"/>
    <w:rsid w:val="00C96CFF"/>
    <w:rsid w:val="00CA1BF2"/>
    <w:rsid w:val="00CA1FCD"/>
    <w:rsid w:val="00CA2739"/>
    <w:rsid w:val="00CA778F"/>
    <w:rsid w:val="00CB07B7"/>
    <w:rsid w:val="00CB08DB"/>
    <w:rsid w:val="00CB4355"/>
    <w:rsid w:val="00CB6822"/>
    <w:rsid w:val="00CB7BB7"/>
    <w:rsid w:val="00CB7EA8"/>
    <w:rsid w:val="00CC0036"/>
    <w:rsid w:val="00CC0830"/>
    <w:rsid w:val="00CC4EEB"/>
    <w:rsid w:val="00CC729F"/>
    <w:rsid w:val="00CC72F0"/>
    <w:rsid w:val="00CC7A82"/>
    <w:rsid w:val="00CE2586"/>
    <w:rsid w:val="00CE3FC8"/>
    <w:rsid w:val="00CE512D"/>
    <w:rsid w:val="00CE624B"/>
    <w:rsid w:val="00CF19F5"/>
    <w:rsid w:val="00CF3137"/>
    <w:rsid w:val="00CF414A"/>
    <w:rsid w:val="00CF581F"/>
    <w:rsid w:val="00D007FB"/>
    <w:rsid w:val="00D01829"/>
    <w:rsid w:val="00D04966"/>
    <w:rsid w:val="00D05840"/>
    <w:rsid w:val="00D06990"/>
    <w:rsid w:val="00D07A5F"/>
    <w:rsid w:val="00D11FFE"/>
    <w:rsid w:val="00D12507"/>
    <w:rsid w:val="00D150DC"/>
    <w:rsid w:val="00D1609D"/>
    <w:rsid w:val="00D22365"/>
    <w:rsid w:val="00D252E4"/>
    <w:rsid w:val="00D25BDB"/>
    <w:rsid w:val="00D31DD6"/>
    <w:rsid w:val="00D32F0E"/>
    <w:rsid w:val="00D34F88"/>
    <w:rsid w:val="00D4145C"/>
    <w:rsid w:val="00D417DD"/>
    <w:rsid w:val="00D50A94"/>
    <w:rsid w:val="00D54150"/>
    <w:rsid w:val="00D5649B"/>
    <w:rsid w:val="00D60361"/>
    <w:rsid w:val="00D609B5"/>
    <w:rsid w:val="00D62CE1"/>
    <w:rsid w:val="00D71961"/>
    <w:rsid w:val="00D77D0F"/>
    <w:rsid w:val="00D82C3F"/>
    <w:rsid w:val="00D83F58"/>
    <w:rsid w:val="00D87468"/>
    <w:rsid w:val="00D87673"/>
    <w:rsid w:val="00D93EB7"/>
    <w:rsid w:val="00DA0660"/>
    <w:rsid w:val="00DA10E5"/>
    <w:rsid w:val="00DA3D0F"/>
    <w:rsid w:val="00DB0506"/>
    <w:rsid w:val="00DB099B"/>
    <w:rsid w:val="00DB1BBA"/>
    <w:rsid w:val="00DB49CA"/>
    <w:rsid w:val="00DB56AD"/>
    <w:rsid w:val="00DB6630"/>
    <w:rsid w:val="00DC2110"/>
    <w:rsid w:val="00DC3F79"/>
    <w:rsid w:val="00DD45CA"/>
    <w:rsid w:val="00DD71E5"/>
    <w:rsid w:val="00DE31EE"/>
    <w:rsid w:val="00DF26A8"/>
    <w:rsid w:val="00DF27F4"/>
    <w:rsid w:val="00DF39B4"/>
    <w:rsid w:val="00DF4061"/>
    <w:rsid w:val="00DF43C9"/>
    <w:rsid w:val="00E0563B"/>
    <w:rsid w:val="00E0742E"/>
    <w:rsid w:val="00E1185D"/>
    <w:rsid w:val="00E14EA9"/>
    <w:rsid w:val="00E163EB"/>
    <w:rsid w:val="00E17962"/>
    <w:rsid w:val="00E17D89"/>
    <w:rsid w:val="00E30528"/>
    <w:rsid w:val="00E3097D"/>
    <w:rsid w:val="00E30ADA"/>
    <w:rsid w:val="00E3164C"/>
    <w:rsid w:val="00E3447A"/>
    <w:rsid w:val="00E37874"/>
    <w:rsid w:val="00E40B12"/>
    <w:rsid w:val="00E46887"/>
    <w:rsid w:val="00E47BCA"/>
    <w:rsid w:val="00E50E0A"/>
    <w:rsid w:val="00E549E1"/>
    <w:rsid w:val="00E56D14"/>
    <w:rsid w:val="00E612E9"/>
    <w:rsid w:val="00E679CA"/>
    <w:rsid w:val="00E67B1D"/>
    <w:rsid w:val="00E67CF5"/>
    <w:rsid w:val="00E67FF3"/>
    <w:rsid w:val="00E73F0B"/>
    <w:rsid w:val="00E80096"/>
    <w:rsid w:val="00E80FF6"/>
    <w:rsid w:val="00E84723"/>
    <w:rsid w:val="00EA4C88"/>
    <w:rsid w:val="00EA673E"/>
    <w:rsid w:val="00EB0FDE"/>
    <w:rsid w:val="00EB36D0"/>
    <w:rsid w:val="00EB3F5E"/>
    <w:rsid w:val="00EB68D6"/>
    <w:rsid w:val="00EB7327"/>
    <w:rsid w:val="00EC0106"/>
    <w:rsid w:val="00EC3F44"/>
    <w:rsid w:val="00EC430C"/>
    <w:rsid w:val="00EC6A94"/>
    <w:rsid w:val="00EC6AEA"/>
    <w:rsid w:val="00ED36A7"/>
    <w:rsid w:val="00ED7584"/>
    <w:rsid w:val="00EE03C9"/>
    <w:rsid w:val="00EE49DB"/>
    <w:rsid w:val="00EE6381"/>
    <w:rsid w:val="00EF10EF"/>
    <w:rsid w:val="00EF1171"/>
    <w:rsid w:val="00EF5EB6"/>
    <w:rsid w:val="00F02FCC"/>
    <w:rsid w:val="00F034A5"/>
    <w:rsid w:val="00F03EAD"/>
    <w:rsid w:val="00F04ECB"/>
    <w:rsid w:val="00F11994"/>
    <w:rsid w:val="00F20B22"/>
    <w:rsid w:val="00F215D2"/>
    <w:rsid w:val="00F22DFB"/>
    <w:rsid w:val="00F2300F"/>
    <w:rsid w:val="00F25B2E"/>
    <w:rsid w:val="00F261EC"/>
    <w:rsid w:val="00F30CBA"/>
    <w:rsid w:val="00F3107D"/>
    <w:rsid w:val="00F362A8"/>
    <w:rsid w:val="00F36BC1"/>
    <w:rsid w:val="00F422B2"/>
    <w:rsid w:val="00F527BD"/>
    <w:rsid w:val="00F54EF0"/>
    <w:rsid w:val="00F5682A"/>
    <w:rsid w:val="00F65FB2"/>
    <w:rsid w:val="00F6794F"/>
    <w:rsid w:val="00F7189E"/>
    <w:rsid w:val="00F76517"/>
    <w:rsid w:val="00F81D99"/>
    <w:rsid w:val="00F84C45"/>
    <w:rsid w:val="00F8763E"/>
    <w:rsid w:val="00F91259"/>
    <w:rsid w:val="00F92D7E"/>
    <w:rsid w:val="00F92DA6"/>
    <w:rsid w:val="00F95115"/>
    <w:rsid w:val="00FA1D3F"/>
    <w:rsid w:val="00FA655D"/>
    <w:rsid w:val="00FB1098"/>
    <w:rsid w:val="00FB5812"/>
    <w:rsid w:val="00FB5978"/>
    <w:rsid w:val="00FB6506"/>
    <w:rsid w:val="00FD3DFD"/>
    <w:rsid w:val="00FD5199"/>
    <w:rsid w:val="00FD68CB"/>
    <w:rsid w:val="00FD7369"/>
    <w:rsid w:val="00FD7768"/>
    <w:rsid w:val="00FE3D06"/>
    <w:rsid w:val="00FE67C0"/>
    <w:rsid w:val="00FF0F7C"/>
    <w:rsid w:val="00FF3006"/>
    <w:rsid w:val="00FF339D"/>
    <w:rsid w:val="00FF3B4D"/>
    <w:rsid w:val="00FF5BBD"/>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127836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0211"/>
    <w:rPr>
      <w:lang w:val="en-GB"/>
    </w:rPr>
  </w:style>
  <w:style w:type="paragraph" w:styleId="Heading1">
    <w:name w:val="heading 1"/>
    <w:basedOn w:val="Normal"/>
    <w:link w:val="Heading1Char"/>
    <w:uiPriority w:val="9"/>
    <w:qFormat/>
    <w:rsid w:val="005076D3"/>
    <w:pPr>
      <w:spacing w:before="100" w:beforeAutospacing="1" w:after="100" w:afterAutospacing="1"/>
      <w:outlineLvl w:val="0"/>
    </w:pPr>
    <w:rPr>
      <w:rFonts w:ascii="Times" w:hAnsi="Times"/>
      <w:b/>
      <w:bCs/>
      <w:kern w:val="36"/>
      <w:sz w:val="48"/>
      <w:szCs w:val="48"/>
      <w:lang w:eastAsia="en-US"/>
    </w:rPr>
  </w:style>
  <w:style w:type="paragraph" w:styleId="Heading3">
    <w:name w:val="heading 3"/>
    <w:basedOn w:val="Normal"/>
    <w:next w:val="Normal"/>
    <w:link w:val="Heading3Char"/>
    <w:uiPriority w:val="9"/>
    <w:semiHidden/>
    <w:unhideWhenUsed/>
    <w:qFormat/>
    <w:rsid w:val="00492B11"/>
    <w:pPr>
      <w:keepNext/>
      <w:keepLines/>
      <w:spacing w:before="40" w:after="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3B0D"/>
    <w:pPr>
      <w:ind w:left="720"/>
      <w:contextualSpacing/>
    </w:pPr>
  </w:style>
  <w:style w:type="character" w:styleId="CommentReference">
    <w:name w:val="annotation reference"/>
    <w:basedOn w:val="DefaultParagraphFont"/>
    <w:unhideWhenUsed/>
    <w:rsid w:val="007645F2"/>
    <w:rPr>
      <w:sz w:val="18"/>
      <w:szCs w:val="18"/>
    </w:rPr>
  </w:style>
  <w:style w:type="paragraph" w:styleId="CommentText">
    <w:name w:val="annotation text"/>
    <w:basedOn w:val="Normal"/>
    <w:link w:val="CommentTextChar"/>
    <w:unhideWhenUsed/>
    <w:rsid w:val="007645F2"/>
  </w:style>
  <w:style w:type="character" w:customStyle="1" w:styleId="CommentTextChar">
    <w:name w:val="Comment Text Char"/>
    <w:basedOn w:val="DefaultParagraphFont"/>
    <w:link w:val="CommentText"/>
    <w:rsid w:val="007645F2"/>
    <w:rPr>
      <w:lang w:val="en-GB"/>
    </w:rPr>
  </w:style>
  <w:style w:type="paragraph" w:styleId="CommentSubject">
    <w:name w:val="annotation subject"/>
    <w:basedOn w:val="CommentText"/>
    <w:next w:val="CommentText"/>
    <w:link w:val="CommentSubjectChar"/>
    <w:uiPriority w:val="99"/>
    <w:semiHidden/>
    <w:unhideWhenUsed/>
    <w:rsid w:val="007645F2"/>
    <w:rPr>
      <w:b/>
      <w:bCs/>
      <w:sz w:val="20"/>
      <w:szCs w:val="20"/>
    </w:rPr>
  </w:style>
  <w:style w:type="character" w:customStyle="1" w:styleId="CommentSubjectChar">
    <w:name w:val="Comment Subject Char"/>
    <w:basedOn w:val="CommentTextChar"/>
    <w:link w:val="CommentSubject"/>
    <w:uiPriority w:val="99"/>
    <w:semiHidden/>
    <w:rsid w:val="007645F2"/>
    <w:rPr>
      <w:b/>
      <w:bCs/>
      <w:sz w:val="20"/>
      <w:szCs w:val="20"/>
      <w:lang w:val="en-GB"/>
    </w:rPr>
  </w:style>
  <w:style w:type="paragraph" w:styleId="BalloonText">
    <w:name w:val="Balloon Text"/>
    <w:basedOn w:val="Normal"/>
    <w:link w:val="BalloonTextChar"/>
    <w:uiPriority w:val="99"/>
    <w:semiHidden/>
    <w:unhideWhenUsed/>
    <w:rsid w:val="007645F2"/>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7645F2"/>
    <w:rPr>
      <w:rFonts w:ascii="Lucida Grande" w:hAnsi="Lucida Grande"/>
      <w:sz w:val="18"/>
      <w:szCs w:val="18"/>
      <w:lang w:val="en-GB"/>
    </w:rPr>
  </w:style>
  <w:style w:type="character" w:styleId="Hyperlink">
    <w:name w:val="Hyperlink"/>
    <w:basedOn w:val="DefaultParagraphFont"/>
    <w:uiPriority w:val="99"/>
    <w:unhideWhenUsed/>
    <w:rsid w:val="0097740C"/>
    <w:rPr>
      <w:color w:val="0000FF" w:themeColor="hyperlink"/>
      <w:u w:val="single"/>
    </w:rPr>
  </w:style>
  <w:style w:type="character" w:styleId="FollowedHyperlink">
    <w:name w:val="FollowedHyperlink"/>
    <w:basedOn w:val="DefaultParagraphFont"/>
    <w:uiPriority w:val="99"/>
    <w:semiHidden/>
    <w:unhideWhenUsed/>
    <w:rsid w:val="0097740C"/>
    <w:rPr>
      <w:color w:val="800080" w:themeColor="followedHyperlink"/>
      <w:u w:val="single"/>
    </w:rPr>
  </w:style>
  <w:style w:type="paragraph" w:styleId="Revision">
    <w:name w:val="Revision"/>
    <w:hidden/>
    <w:uiPriority w:val="99"/>
    <w:semiHidden/>
    <w:rsid w:val="00271E60"/>
    <w:pPr>
      <w:spacing w:after="0"/>
    </w:pPr>
    <w:rPr>
      <w:lang w:val="en-GB"/>
    </w:rPr>
  </w:style>
  <w:style w:type="table" w:styleId="TableGrid">
    <w:name w:val="Table Grid"/>
    <w:basedOn w:val="TableNormal"/>
    <w:uiPriority w:val="59"/>
    <w:rsid w:val="00EA673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076D3"/>
    <w:rPr>
      <w:rFonts w:ascii="Times" w:hAnsi="Times"/>
      <w:b/>
      <w:bCs/>
      <w:kern w:val="36"/>
      <w:sz w:val="48"/>
      <w:szCs w:val="48"/>
      <w:lang w:val="en-GB" w:eastAsia="en-US"/>
    </w:rPr>
  </w:style>
  <w:style w:type="character" w:styleId="Emphasis">
    <w:name w:val="Emphasis"/>
    <w:basedOn w:val="DefaultParagraphFont"/>
    <w:uiPriority w:val="20"/>
    <w:qFormat/>
    <w:rsid w:val="005076D3"/>
    <w:rPr>
      <w:i/>
      <w:iCs/>
    </w:rPr>
  </w:style>
  <w:style w:type="paragraph" w:styleId="HTMLPreformatted">
    <w:name w:val="HTML Preformatted"/>
    <w:basedOn w:val="Normal"/>
    <w:link w:val="HTMLPreformattedChar"/>
    <w:uiPriority w:val="99"/>
    <w:unhideWhenUsed/>
    <w:rsid w:val="005657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w:hAnsi="Courier" w:cs="Courier"/>
      <w:sz w:val="20"/>
      <w:szCs w:val="20"/>
      <w:lang w:eastAsia="en-US"/>
    </w:rPr>
  </w:style>
  <w:style w:type="character" w:customStyle="1" w:styleId="HTMLPreformattedChar">
    <w:name w:val="HTML Preformatted Char"/>
    <w:basedOn w:val="DefaultParagraphFont"/>
    <w:link w:val="HTMLPreformatted"/>
    <w:uiPriority w:val="99"/>
    <w:rsid w:val="005657E3"/>
    <w:rPr>
      <w:rFonts w:ascii="Courier" w:hAnsi="Courier" w:cs="Courier"/>
      <w:sz w:val="20"/>
      <w:szCs w:val="20"/>
      <w:lang w:val="en-GB" w:eastAsia="en-US"/>
    </w:rPr>
  </w:style>
  <w:style w:type="character" w:styleId="HTMLCode">
    <w:name w:val="HTML Code"/>
    <w:basedOn w:val="DefaultParagraphFont"/>
    <w:uiPriority w:val="99"/>
    <w:semiHidden/>
    <w:unhideWhenUsed/>
    <w:rsid w:val="005657E3"/>
    <w:rPr>
      <w:rFonts w:ascii="Courier" w:eastAsiaTheme="minorEastAsia" w:hAnsi="Courier" w:cs="Courier"/>
      <w:sz w:val="20"/>
      <w:szCs w:val="20"/>
    </w:rPr>
  </w:style>
  <w:style w:type="character" w:customStyle="1" w:styleId="highlight">
    <w:name w:val="highlight"/>
    <w:basedOn w:val="DefaultParagraphFont"/>
    <w:rsid w:val="007212DE"/>
  </w:style>
  <w:style w:type="paragraph" w:styleId="NoSpacing">
    <w:name w:val="No Spacing"/>
    <w:uiPriority w:val="1"/>
    <w:qFormat/>
    <w:rsid w:val="005043B4"/>
    <w:pPr>
      <w:spacing w:after="0"/>
    </w:pPr>
    <w:rPr>
      <w:rFonts w:ascii="Calibri" w:eastAsia="Times New Roman" w:hAnsi="Calibri" w:cs="Times New Roman"/>
      <w:sz w:val="22"/>
      <w:szCs w:val="22"/>
      <w:lang w:val="en-AU" w:eastAsia="en-US"/>
    </w:rPr>
  </w:style>
  <w:style w:type="paragraph" w:styleId="NormalWeb">
    <w:name w:val="Normal (Web)"/>
    <w:basedOn w:val="Normal"/>
    <w:uiPriority w:val="99"/>
    <w:semiHidden/>
    <w:unhideWhenUsed/>
    <w:rsid w:val="00C529A1"/>
    <w:pPr>
      <w:spacing w:before="100" w:beforeAutospacing="1" w:after="100" w:afterAutospacing="1"/>
    </w:pPr>
    <w:rPr>
      <w:rFonts w:ascii="Times" w:hAnsi="Times" w:cs="Times New Roman"/>
      <w:sz w:val="20"/>
      <w:szCs w:val="20"/>
      <w:lang w:eastAsia="en-US"/>
    </w:rPr>
  </w:style>
  <w:style w:type="paragraph" w:styleId="Footer">
    <w:name w:val="footer"/>
    <w:basedOn w:val="Normal"/>
    <w:link w:val="FooterChar"/>
    <w:uiPriority w:val="99"/>
    <w:unhideWhenUsed/>
    <w:rsid w:val="00DF4061"/>
    <w:pPr>
      <w:tabs>
        <w:tab w:val="center" w:pos="4320"/>
        <w:tab w:val="right" w:pos="8640"/>
      </w:tabs>
      <w:spacing w:after="0"/>
    </w:pPr>
  </w:style>
  <w:style w:type="character" w:customStyle="1" w:styleId="FooterChar">
    <w:name w:val="Footer Char"/>
    <w:basedOn w:val="DefaultParagraphFont"/>
    <w:link w:val="Footer"/>
    <w:uiPriority w:val="99"/>
    <w:rsid w:val="00DF4061"/>
    <w:rPr>
      <w:lang w:val="en-GB"/>
    </w:rPr>
  </w:style>
  <w:style w:type="character" w:styleId="PageNumber">
    <w:name w:val="page number"/>
    <w:basedOn w:val="DefaultParagraphFont"/>
    <w:uiPriority w:val="99"/>
    <w:semiHidden/>
    <w:unhideWhenUsed/>
    <w:rsid w:val="00DF4061"/>
  </w:style>
  <w:style w:type="paragraph" w:customStyle="1" w:styleId="EndNoteBibliographyTitle">
    <w:name w:val="EndNote Bibliography Title"/>
    <w:basedOn w:val="Normal"/>
    <w:rsid w:val="00BC540E"/>
    <w:pPr>
      <w:spacing w:after="0"/>
      <w:jc w:val="center"/>
    </w:pPr>
    <w:rPr>
      <w:rFonts w:ascii="Cambria" w:hAnsi="Cambria"/>
    </w:rPr>
  </w:style>
  <w:style w:type="paragraph" w:customStyle="1" w:styleId="EndNoteBibliography">
    <w:name w:val="EndNote Bibliography"/>
    <w:basedOn w:val="Normal"/>
    <w:rsid w:val="00BC540E"/>
    <w:rPr>
      <w:rFonts w:ascii="Cambria" w:hAnsi="Cambria"/>
    </w:rPr>
  </w:style>
  <w:style w:type="character" w:styleId="LineNumber">
    <w:name w:val="line number"/>
    <w:basedOn w:val="DefaultParagraphFont"/>
    <w:uiPriority w:val="99"/>
    <w:semiHidden/>
    <w:unhideWhenUsed/>
    <w:rsid w:val="0098708D"/>
  </w:style>
  <w:style w:type="character" w:customStyle="1" w:styleId="Heading3Char">
    <w:name w:val="Heading 3 Char"/>
    <w:basedOn w:val="DefaultParagraphFont"/>
    <w:link w:val="Heading3"/>
    <w:uiPriority w:val="9"/>
    <w:semiHidden/>
    <w:rsid w:val="00492B11"/>
    <w:rPr>
      <w:rFonts w:asciiTheme="majorHAnsi" w:eastAsiaTheme="majorEastAsia" w:hAnsiTheme="majorHAnsi" w:cstheme="majorBidi"/>
      <w:color w:val="243F60" w:themeColor="accent1" w:themeShade="7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04051">
      <w:bodyDiv w:val="1"/>
      <w:marLeft w:val="0"/>
      <w:marRight w:val="0"/>
      <w:marTop w:val="0"/>
      <w:marBottom w:val="0"/>
      <w:divBdr>
        <w:top w:val="none" w:sz="0" w:space="0" w:color="auto"/>
        <w:left w:val="none" w:sz="0" w:space="0" w:color="auto"/>
        <w:bottom w:val="none" w:sz="0" w:space="0" w:color="auto"/>
        <w:right w:val="none" w:sz="0" w:space="0" w:color="auto"/>
      </w:divBdr>
      <w:divsChild>
        <w:div w:id="931276089">
          <w:marLeft w:val="0"/>
          <w:marRight w:val="0"/>
          <w:marTop w:val="0"/>
          <w:marBottom w:val="0"/>
          <w:divBdr>
            <w:top w:val="none" w:sz="0" w:space="0" w:color="auto"/>
            <w:left w:val="none" w:sz="0" w:space="0" w:color="auto"/>
            <w:bottom w:val="none" w:sz="0" w:space="0" w:color="auto"/>
            <w:right w:val="none" w:sz="0" w:space="0" w:color="auto"/>
          </w:divBdr>
        </w:div>
      </w:divsChild>
    </w:div>
    <w:div w:id="105585590">
      <w:bodyDiv w:val="1"/>
      <w:marLeft w:val="0"/>
      <w:marRight w:val="0"/>
      <w:marTop w:val="0"/>
      <w:marBottom w:val="0"/>
      <w:divBdr>
        <w:top w:val="none" w:sz="0" w:space="0" w:color="auto"/>
        <w:left w:val="none" w:sz="0" w:space="0" w:color="auto"/>
        <w:bottom w:val="none" w:sz="0" w:space="0" w:color="auto"/>
        <w:right w:val="none" w:sz="0" w:space="0" w:color="auto"/>
      </w:divBdr>
    </w:div>
    <w:div w:id="188418137">
      <w:bodyDiv w:val="1"/>
      <w:marLeft w:val="0"/>
      <w:marRight w:val="0"/>
      <w:marTop w:val="0"/>
      <w:marBottom w:val="0"/>
      <w:divBdr>
        <w:top w:val="none" w:sz="0" w:space="0" w:color="auto"/>
        <w:left w:val="none" w:sz="0" w:space="0" w:color="auto"/>
        <w:bottom w:val="none" w:sz="0" w:space="0" w:color="auto"/>
        <w:right w:val="none" w:sz="0" w:space="0" w:color="auto"/>
      </w:divBdr>
    </w:div>
    <w:div w:id="218445965">
      <w:bodyDiv w:val="1"/>
      <w:marLeft w:val="0"/>
      <w:marRight w:val="0"/>
      <w:marTop w:val="0"/>
      <w:marBottom w:val="0"/>
      <w:divBdr>
        <w:top w:val="none" w:sz="0" w:space="0" w:color="auto"/>
        <w:left w:val="none" w:sz="0" w:space="0" w:color="auto"/>
        <w:bottom w:val="none" w:sz="0" w:space="0" w:color="auto"/>
        <w:right w:val="none" w:sz="0" w:space="0" w:color="auto"/>
      </w:divBdr>
      <w:divsChild>
        <w:div w:id="1472283856">
          <w:marLeft w:val="0"/>
          <w:marRight w:val="0"/>
          <w:marTop w:val="0"/>
          <w:marBottom w:val="0"/>
          <w:divBdr>
            <w:top w:val="none" w:sz="0" w:space="0" w:color="auto"/>
            <w:left w:val="none" w:sz="0" w:space="0" w:color="auto"/>
            <w:bottom w:val="none" w:sz="0" w:space="0" w:color="auto"/>
            <w:right w:val="none" w:sz="0" w:space="0" w:color="auto"/>
          </w:divBdr>
        </w:div>
      </w:divsChild>
    </w:div>
    <w:div w:id="236019132">
      <w:bodyDiv w:val="1"/>
      <w:marLeft w:val="0"/>
      <w:marRight w:val="0"/>
      <w:marTop w:val="0"/>
      <w:marBottom w:val="0"/>
      <w:divBdr>
        <w:top w:val="none" w:sz="0" w:space="0" w:color="auto"/>
        <w:left w:val="none" w:sz="0" w:space="0" w:color="auto"/>
        <w:bottom w:val="none" w:sz="0" w:space="0" w:color="auto"/>
        <w:right w:val="none" w:sz="0" w:space="0" w:color="auto"/>
      </w:divBdr>
    </w:div>
    <w:div w:id="330764563">
      <w:bodyDiv w:val="1"/>
      <w:marLeft w:val="0"/>
      <w:marRight w:val="0"/>
      <w:marTop w:val="0"/>
      <w:marBottom w:val="0"/>
      <w:divBdr>
        <w:top w:val="none" w:sz="0" w:space="0" w:color="auto"/>
        <w:left w:val="none" w:sz="0" w:space="0" w:color="auto"/>
        <w:bottom w:val="none" w:sz="0" w:space="0" w:color="auto"/>
        <w:right w:val="none" w:sz="0" w:space="0" w:color="auto"/>
      </w:divBdr>
    </w:div>
    <w:div w:id="517430450">
      <w:bodyDiv w:val="1"/>
      <w:marLeft w:val="0"/>
      <w:marRight w:val="0"/>
      <w:marTop w:val="0"/>
      <w:marBottom w:val="0"/>
      <w:divBdr>
        <w:top w:val="none" w:sz="0" w:space="0" w:color="auto"/>
        <w:left w:val="none" w:sz="0" w:space="0" w:color="auto"/>
        <w:bottom w:val="none" w:sz="0" w:space="0" w:color="auto"/>
        <w:right w:val="none" w:sz="0" w:space="0" w:color="auto"/>
      </w:divBdr>
    </w:div>
    <w:div w:id="544417093">
      <w:bodyDiv w:val="1"/>
      <w:marLeft w:val="0"/>
      <w:marRight w:val="0"/>
      <w:marTop w:val="0"/>
      <w:marBottom w:val="0"/>
      <w:divBdr>
        <w:top w:val="none" w:sz="0" w:space="0" w:color="auto"/>
        <w:left w:val="none" w:sz="0" w:space="0" w:color="auto"/>
        <w:bottom w:val="none" w:sz="0" w:space="0" w:color="auto"/>
        <w:right w:val="none" w:sz="0" w:space="0" w:color="auto"/>
      </w:divBdr>
    </w:div>
    <w:div w:id="554126521">
      <w:bodyDiv w:val="1"/>
      <w:marLeft w:val="0"/>
      <w:marRight w:val="0"/>
      <w:marTop w:val="0"/>
      <w:marBottom w:val="0"/>
      <w:divBdr>
        <w:top w:val="none" w:sz="0" w:space="0" w:color="auto"/>
        <w:left w:val="none" w:sz="0" w:space="0" w:color="auto"/>
        <w:bottom w:val="none" w:sz="0" w:space="0" w:color="auto"/>
        <w:right w:val="none" w:sz="0" w:space="0" w:color="auto"/>
      </w:divBdr>
    </w:div>
    <w:div w:id="554394121">
      <w:bodyDiv w:val="1"/>
      <w:marLeft w:val="0"/>
      <w:marRight w:val="0"/>
      <w:marTop w:val="0"/>
      <w:marBottom w:val="0"/>
      <w:divBdr>
        <w:top w:val="none" w:sz="0" w:space="0" w:color="auto"/>
        <w:left w:val="none" w:sz="0" w:space="0" w:color="auto"/>
        <w:bottom w:val="none" w:sz="0" w:space="0" w:color="auto"/>
        <w:right w:val="none" w:sz="0" w:space="0" w:color="auto"/>
      </w:divBdr>
    </w:div>
    <w:div w:id="697582352">
      <w:bodyDiv w:val="1"/>
      <w:marLeft w:val="0"/>
      <w:marRight w:val="0"/>
      <w:marTop w:val="0"/>
      <w:marBottom w:val="0"/>
      <w:divBdr>
        <w:top w:val="none" w:sz="0" w:space="0" w:color="auto"/>
        <w:left w:val="none" w:sz="0" w:space="0" w:color="auto"/>
        <w:bottom w:val="none" w:sz="0" w:space="0" w:color="auto"/>
        <w:right w:val="none" w:sz="0" w:space="0" w:color="auto"/>
      </w:divBdr>
    </w:div>
    <w:div w:id="775832124">
      <w:bodyDiv w:val="1"/>
      <w:marLeft w:val="0"/>
      <w:marRight w:val="0"/>
      <w:marTop w:val="0"/>
      <w:marBottom w:val="0"/>
      <w:divBdr>
        <w:top w:val="none" w:sz="0" w:space="0" w:color="auto"/>
        <w:left w:val="none" w:sz="0" w:space="0" w:color="auto"/>
        <w:bottom w:val="none" w:sz="0" w:space="0" w:color="auto"/>
        <w:right w:val="none" w:sz="0" w:space="0" w:color="auto"/>
      </w:divBdr>
      <w:divsChild>
        <w:div w:id="953832448">
          <w:marLeft w:val="0"/>
          <w:marRight w:val="0"/>
          <w:marTop w:val="0"/>
          <w:marBottom w:val="0"/>
          <w:divBdr>
            <w:top w:val="none" w:sz="0" w:space="0" w:color="auto"/>
            <w:left w:val="none" w:sz="0" w:space="0" w:color="auto"/>
            <w:bottom w:val="none" w:sz="0" w:space="0" w:color="auto"/>
            <w:right w:val="none" w:sz="0" w:space="0" w:color="auto"/>
          </w:divBdr>
          <w:divsChild>
            <w:div w:id="2115857974">
              <w:marLeft w:val="0"/>
              <w:marRight w:val="0"/>
              <w:marTop w:val="0"/>
              <w:marBottom w:val="0"/>
              <w:divBdr>
                <w:top w:val="none" w:sz="0" w:space="0" w:color="auto"/>
                <w:left w:val="none" w:sz="0" w:space="0" w:color="auto"/>
                <w:bottom w:val="none" w:sz="0" w:space="0" w:color="auto"/>
                <w:right w:val="none" w:sz="0" w:space="0" w:color="auto"/>
              </w:divBdr>
              <w:divsChild>
                <w:div w:id="1601450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641734">
      <w:bodyDiv w:val="1"/>
      <w:marLeft w:val="0"/>
      <w:marRight w:val="0"/>
      <w:marTop w:val="0"/>
      <w:marBottom w:val="0"/>
      <w:divBdr>
        <w:top w:val="none" w:sz="0" w:space="0" w:color="auto"/>
        <w:left w:val="none" w:sz="0" w:space="0" w:color="auto"/>
        <w:bottom w:val="none" w:sz="0" w:space="0" w:color="auto"/>
        <w:right w:val="none" w:sz="0" w:space="0" w:color="auto"/>
      </w:divBdr>
    </w:div>
    <w:div w:id="1697152272">
      <w:bodyDiv w:val="1"/>
      <w:marLeft w:val="0"/>
      <w:marRight w:val="0"/>
      <w:marTop w:val="0"/>
      <w:marBottom w:val="0"/>
      <w:divBdr>
        <w:top w:val="none" w:sz="0" w:space="0" w:color="auto"/>
        <w:left w:val="none" w:sz="0" w:space="0" w:color="auto"/>
        <w:bottom w:val="none" w:sz="0" w:space="0" w:color="auto"/>
        <w:right w:val="none" w:sz="0" w:space="0" w:color="auto"/>
      </w:divBdr>
    </w:div>
    <w:div w:id="1703164179">
      <w:bodyDiv w:val="1"/>
      <w:marLeft w:val="0"/>
      <w:marRight w:val="0"/>
      <w:marTop w:val="0"/>
      <w:marBottom w:val="0"/>
      <w:divBdr>
        <w:top w:val="none" w:sz="0" w:space="0" w:color="auto"/>
        <w:left w:val="none" w:sz="0" w:space="0" w:color="auto"/>
        <w:bottom w:val="none" w:sz="0" w:space="0" w:color="auto"/>
        <w:right w:val="none" w:sz="0" w:space="0" w:color="auto"/>
      </w:divBdr>
    </w:div>
    <w:div w:id="1743484284">
      <w:bodyDiv w:val="1"/>
      <w:marLeft w:val="0"/>
      <w:marRight w:val="0"/>
      <w:marTop w:val="0"/>
      <w:marBottom w:val="0"/>
      <w:divBdr>
        <w:top w:val="none" w:sz="0" w:space="0" w:color="auto"/>
        <w:left w:val="none" w:sz="0" w:space="0" w:color="auto"/>
        <w:bottom w:val="none" w:sz="0" w:space="0" w:color="auto"/>
        <w:right w:val="none" w:sz="0" w:space="0" w:color="auto"/>
      </w:divBdr>
    </w:div>
    <w:div w:id="1906455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099B0-7650-440B-A26E-375BA2626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EC2E3C12</Template>
  <TotalTime>0</TotalTime>
  <Pages>14</Pages>
  <Words>3723</Words>
  <Characters>21226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tsl</Company>
  <LinksUpToDate>false</LinksUpToDate>
  <CharactersWithSpaces>24900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Brande Wulff</dc:creator>
  <cp:lastModifiedBy>John Stewart Rayner (REN)</cp:lastModifiedBy>
  <cp:revision>3</cp:revision>
  <cp:lastPrinted>2016-02-11T17:57:00Z</cp:lastPrinted>
  <dcterms:created xsi:type="dcterms:W3CDTF">2016-04-27T13:55:00Z</dcterms:created>
  <dcterms:modified xsi:type="dcterms:W3CDTF">2016-04-27T13:55:00Z</dcterms:modified>
</cp:coreProperties>
</file>