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468" w:rsidRPr="00DD354F" w:rsidRDefault="00540468" w:rsidP="00DD354F">
      <w:pPr>
        <w:spacing w:line="480" w:lineRule="auto"/>
        <w:jc w:val="right"/>
        <w:rPr>
          <w:b/>
          <w:caps/>
          <w:lang w:val="en-US"/>
        </w:rPr>
      </w:pPr>
      <w:r w:rsidRPr="00DD354F">
        <w:rPr>
          <w:b/>
          <w:shd w:val="clear" w:color="auto" w:fill="FFFFFF"/>
          <w:lang w:val="en-US"/>
        </w:rPr>
        <w:t xml:space="preserve">BIOLOGICAL SCIENCES - </w:t>
      </w:r>
      <w:r w:rsidRPr="00DD354F">
        <w:rPr>
          <w:b/>
          <w:caps/>
          <w:lang w:val="en-US"/>
        </w:rPr>
        <w:t>Plant Biology</w:t>
      </w: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r w:rsidRPr="00DD354F">
        <w:rPr>
          <w:b/>
        </w:rPr>
        <w:t xml:space="preserve">PP2A-3 interacts with ACR4 and regulates formative cell division in the </w:t>
      </w:r>
      <w:r w:rsidRPr="00DD354F">
        <w:rPr>
          <w:b/>
          <w:i/>
        </w:rPr>
        <w:t>Arabidopsis</w:t>
      </w:r>
      <w:r w:rsidRPr="00DD354F">
        <w:rPr>
          <w:b/>
        </w:rPr>
        <w:t xml:space="preserve"> root</w:t>
      </w:r>
      <w:r w:rsidRPr="00DD354F" w:rsidDel="006E6E6C">
        <w:rPr>
          <w:b/>
          <w:lang w:val="en-US"/>
        </w:rPr>
        <w:t xml:space="preserve"> </w:t>
      </w:r>
    </w:p>
    <w:p w:rsidR="00540468" w:rsidRPr="00DD354F" w:rsidRDefault="00540468" w:rsidP="00DD354F">
      <w:pPr>
        <w:spacing w:line="480" w:lineRule="auto"/>
        <w:jc w:val="both"/>
        <w:rPr>
          <w:lang w:val="en-US"/>
        </w:rPr>
      </w:pPr>
    </w:p>
    <w:p w:rsidR="00540468" w:rsidRPr="00DD354F" w:rsidRDefault="00540468" w:rsidP="00DD354F">
      <w:pPr>
        <w:spacing w:line="480" w:lineRule="auto"/>
        <w:jc w:val="both"/>
        <w:rPr>
          <w:lang w:val="en-US"/>
        </w:rPr>
      </w:pPr>
      <w:r w:rsidRPr="00DD354F">
        <w:rPr>
          <w:lang w:val="en-US"/>
        </w:rPr>
        <w:t>Kun YUE</w:t>
      </w:r>
      <w:r w:rsidRPr="00DD354F">
        <w:rPr>
          <w:vertAlign w:val="superscript"/>
          <w:lang w:val="en-US"/>
        </w:rPr>
        <w:t>a,b,1</w:t>
      </w:r>
      <w:r w:rsidRPr="00DD354F">
        <w:rPr>
          <w:lang w:val="en-US"/>
        </w:rPr>
        <w:t>, Priyanka SANDAL</w:t>
      </w:r>
      <w:r w:rsidRPr="00DD354F">
        <w:rPr>
          <w:vertAlign w:val="superscript"/>
          <w:lang w:val="en-US"/>
        </w:rPr>
        <w:t>c,1</w:t>
      </w:r>
      <w:r w:rsidRPr="00DD354F">
        <w:rPr>
          <w:lang w:val="en-US"/>
        </w:rPr>
        <w:t>, Elisabeth L. WILLIAMS</w:t>
      </w:r>
      <w:r w:rsidRPr="00DD354F">
        <w:rPr>
          <w:vertAlign w:val="superscript"/>
          <w:lang w:val="en-US"/>
        </w:rPr>
        <w:t>d,1</w:t>
      </w:r>
      <w:r w:rsidRPr="00DD354F">
        <w:rPr>
          <w:lang w:val="en-US"/>
        </w:rPr>
        <w:t xml:space="preserve">, Evan </w:t>
      </w:r>
      <w:proofErr w:type="spellStart"/>
      <w:r w:rsidRPr="00DD354F">
        <w:rPr>
          <w:lang w:val="en-US"/>
        </w:rPr>
        <w:t>MURPHY</w:t>
      </w:r>
      <w:r w:rsidRPr="00DD354F">
        <w:rPr>
          <w:vertAlign w:val="superscript"/>
          <w:lang w:val="en-US"/>
        </w:rPr>
        <w:t>d</w:t>
      </w:r>
      <w:proofErr w:type="spellEnd"/>
      <w:r w:rsidRPr="00DD354F">
        <w:rPr>
          <w:lang w:val="en-US"/>
        </w:rPr>
        <w:t xml:space="preserve">, </w:t>
      </w:r>
      <w:r w:rsidRPr="00DD354F">
        <w:rPr>
          <w:rFonts w:eastAsia="Times New Roman"/>
          <w:lang w:val="en-US" w:eastAsia="nl-BE"/>
        </w:rPr>
        <w:t xml:space="preserve">Elisabeth </w:t>
      </w:r>
      <w:proofErr w:type="spellStart"/>
      <w:r w:rsidRPr="00DD354F">
        <w:rPr>
          <w:rFonts w:eastAsia="Times New Roman"/>
          <w:lang w:val="en-US" w:eastAsia="nl-BE"/>
        </w:rPr>
        <w:t>STES</w:t>
      </w:r>
      <w:r w:rsidRPr="00DD354F">
        <w:rPr>
          <w:rFonts w:eastAsia="Times New Roman"/>
          <w:vertAlign w:val="superscript"/>
          <w:lang w:val="en-US" w:eastAsia="nl-BE"/>
        </w:rPr>
        <w:t>a,b,e,f</w:t>
      </w:r>
      <w:proofErr w:type="spellEnd"/>
      <w:r w:rsidRPr="00DD354F">
        <w:rPr>
          <w:lang w:val="en-US"/>
        </w:rPr>
        <w:t>, Natalia NIKONOROVA</w:t>
      </w:r>
      <w:proofErr w:type="spellStart"/>
      <w:r w:rsidRPr="00DD354F">
        <w:rPr>
          <w:bCs/>
          <w:shd w:val="clear" w:color="auto" w:fill="FDFDFD"/>
          <w:vertAlign w:val="superscript"/>
        </w:rPr>
        <w:t>a,b</w:t>
      </w:r>
      <w:proofErr w:type="spellEnd"/>
      <w:r w:rsidRPr="00DD354F">
        <w:rPr>
          <w:lang w:val="en-US"/>
        </w:rPr>
        <w:t xml:space="preserve">, Priya </w:t>
      </w:r>
      <w:proofErr w:type="spellStart"/>
      <w:r w:rsidRPr="00DD354F">
        <w:rPr>
          <w:lang w:val="en-US"/>
        </w:rPr>
        <w:t>RAMAKRISHNA</w:t>
      </w:r>
      <w:r w:rsidRPr="00DD354F">
        <w:rPr>
          <w:vertAlign w:val="superscript"/>
          <w:lang w:val="en-US"/>
        </w:rPr>
        <w:t>d</w:t>
      </w:r>
      <w:proofErr w:type="spellEnd"/>
      <w:r w:rsidRPr="00DD354F">
        <w:rPr>
          <w:lang w:val="en-US"/>
        </w:rPr>
        <w:t xml:space="preserve">, Nathan </w:t>
      </w:r>
      <w:proofErr w:type="spellStart"/>
      <w:r w:rsidRPr="00DD354F">
        <w:rPr>
          <w:lang w:val="en-US"/>
        </w:rPr>
        <w:t>CZYZEWICZ</w:t>
      </w:r>
      <w:r w:rsidRPr="00DD354F">
        <w:rPr>
          <w:vertAlign w:val="superscript"/>
          <w:lang w:val="en-US"/>
        </w:rPr>
        <w:t>d</w:t>
      </w:r>
      <w:proofErr w:type="spellEnd"/>
      <w:r w:rsidRPr="00DD354F">
        <w:rPr>
          <w:lang w:val="en-US"/>
        </w:rPr>
        <w:t xml:space="preserve">, </w:t>
      </w:r>
      <w:r w:rsidRPr="00DD354F">
        <w:rPr>
          <w:bCs/>
          <w:shd w:val="clear" w:color="auto" w:fill="FDFDFD"/>
        </w:rPr>
        <w:t xml:space="preserve">Laura </w:t>
      </w:r>
      <w:r w:rsidRPr="00DD354F">
        <w:rPr>
          <w:bCs/>
          <w:caps/>
          <w:shd w:val="clear" w:color="auto" w:fill="FDFDFD"/>
        </w:rPr>
        <w:t xml:space="preserve">Montero </w:t>
      </w:r>
      <w:proofErr w:type="spellStart"/>
      <w:r w:rsidRPr="00DD354F">
        <w:rPr>
          <w:bCs/>
          <w:caps/>
          <w:shd w:val="clear" w:color="auto" w:fill="FDFDFD"/>
        </w:rPr>
        <w:t>Morales</w:t>
      </w:r>
      <w:r w:rsidRPr="00DD354F">
        <w:rPr>
          <w:bCs/>
          <w:shd w:val="clear" w:color="auto" w:fill="FDFDFD"/>
          <w:vertAlign w:val="superscript"/>
        </w:rPr>
        <w:t>a,b</w:t>
      </w:r>
      <w:proofErr w:type="spellEnd"/>
      <w:r w:rsidRPr="00DD354F">
        <w:rPr>
          <w:bCs/>
          <w:shd w:val="clear" w:color="auto" w:fill="FDFDFD"/>
        </w:rPr>
        <w:t>,</w:t>
      </w:r>
      <w:r w:rsidRPr="00DD354F">
        <w:rPr>
          <w:lang w:val="en-US"/>
        </w:rPr>
        <w:t xml:space="preserve"> Robert </w:t>
      </w:r>
      <w:proofErr w:type="spellStart"/>
      <w:r w:rsidRPr="00DD354F">
        <w:rPr>
          <w:lang w:val="en-US"/>
        </w:rPr>
        <w:t>KUMPF</w:t>
      </w:r>
      <w:r w:rsidRPr="00DD354F">
        <w:rPr>
          <w:vertAlign w:val="superscript"/>
          <w:lang w:val="en-US"/>
        </w:rPr>
        <w:t>a,b</w:t>
      </w:r>
      <w:proofErr w:type="spellEnd"/>
      <w:r w:rsidRPr="00DD354F">
        <w:rPr>
          <w:lang w:val="en-US"/>
        </w:rPr>
        <w:t xml:space="preserve">, </w:t>
      </w:r>
      <w:proofErr w:type="spellStart"/>
      <w:r w:rsidRPr="00DD354F">
        <w:rPr>
          <w:lang w:val="en-US"/>
        </w:rPr>
        <w:t>Zhefeng</w:t>
      </w:r>
      <w:proofErr w:type="spellEnd"/>
      <w:r w:rsidRPr="00DD354F">
        <w:rPr>
          <w:lang w:val="en-US"/>
        </w:rPr>
        <w:t xml:space="preserve"> </w:t>
      </w:r>
      <w:proofErr w:type="spellStart"/>
      <w:r w:rsidRPr="00DD354F">
        <w:rPr>
          <w:lang w:val="en-US"/>
        </w:rPr>
        <w:t>LIN</w:t>
      </w:r>
      <w:r w:rsidRPr="00DD354F">
        <w:rPr>
          <w:vertAlign w:val="superscript"/>
          <w:lang w:val="en-US"/>
        </w:rPr>
        <w:t>d</w:t>
      </w:r>
      <w:proofErr w:type="spellEnd"/>
      <w:r w:rsidRPr="00DD354F">
        <w:rPr>
          <w:lang w:val="en-US"/>
        </w:rPr>
        <w:t xml:space="preserve">, Brigitte VAN DE </w:t>
      </w:r>
      <w:proofErr w:type="spellStart"/>
      <w:r w:rsidRPr="00DD354F">
        <w:rPr>
          <w:lang w:val="en-US"/>
        </w:rPr>
        <w:t>COTTE</w:t>
      </w:r>
      <w:r w:rsidRPr="00DD354F">
        <w:rPr>
          <w:vertAlign w:val="superscript"/>
          <w:lang w:val="en-US"/>
        </w:rPr>
        <w:t>a,b</w:t>
      </w:r>
      <w:proofErr w:type="spellEnd"/>
      <w:r w:rsidRPr="00DD354F">
        <w:rPr>
          <w:lang w:val="en-US"/>
        </w:rPr>
        <w:t xml:space="preserve">, Mudassar </w:t>
      </w:r>
      <w:proofErr w:type="spellStart"/>
      <w:r w:rsidRPr="00DD354F">
        <w:rPr>
          <w:lang w:val="en-US"/>
        </w:rPr>
        <w:t>IQBAL</w:t>
      </w:r>
      <w:r w:rsidRPr="00DD354F">
        <w:rPr>
          <w:vertAlign w:val="superscript"/>
          <w:lang w:val="en-US"/>
        </w:rPr>
        <w:t>g</w:t>
      </w:r>
      <w:proofErr w:type="spellEnd"/>
      <w:r w:rsidRPr="00DD354F">
        <w:rPr>
          <w:vertAlign w:val="superscript"/>
          <w:lang w:val="en-US"/>
        </w:rPr>
        <w:t>,#</w:t>
      </w:r>
      <w:r w:rsidRPr="00DD354F">
        <w:rPr>
          <w:lang w:val="en-US"/>
        </w:rPr>
        <w:t xml:space="preserve">, Michiel VAN </w:t>
      </w:r>
      <w:proofErr w:type="spellStart"/>
      <w:r w:rsidRPr="00DD354F">
        <w:rPr>
          <w:lang w:val="en-US"/>
        </w:rPr>
        <w:t>BEL</w:t>
      </w:r>
      <w:r w:rsidRPr="00DD354F">
        <w:rPr>
          <w:vertAlign w:val="superscript"/>
          <w:lang w:val="en-US"/>
        </w:rPr>
        <w:t>a,b</w:t>
      </w:r>
      <w:proofErr w:type="spellEnd"/>
      <w:r w:rsidRPr="00DD354F">
        <w:rPr>
          <w:lang w:val="en-US"/>
        </w:rPr>
        <w:t xml:space="preserve">, Eveline VAN DE </w:t>
      </w:r>
      <w:proofErr w:type="spellStart"/>
      <w:r w:rsidRPr="00DD354F">
        <w:rPr>
          <w:lang w:val="en-US"/>
        </w:rPr>
        <w:t>SLIJKE</w:t>
      </w:r>
      <w:r w:rsidRPr="00DD354F">
        <w:rPr>
          <w:vertAlign w:val="superscript"/>
          <w:lang w:val="en-US"/>
        </w:rPr>
        <w:t>a,b</w:t>
      </w:r>
      <w:proofErr w:type="spellEnd"/>
      <w:r w:rsidRPr="00DD354F">
        <w:rPr>
          <w:lang w:val="en-US"/>
        </w:rPr>
        <w:t xml:space="preserve">, Matthew R. </w:t>
      </w:r>
      <w:proofErr w:type="spellStart"/>
      <w:r w:rsidRPr="00DD354F">
        <w:rPr>
          <w:lang w:val="en-US"/>
        </w:rPr>
        <w:t>MEYER</w:t>
      </w:r>
      <w:r w:rsidRPr="00DD354F">
        <w:rPr>
          <w:vertAlign w:val="superscript"/>
          <w:lang w:val="en-US"/>
        </w:rPr>
        <w:t>h</w:t>
      </w:r>
      <w:proofErr w:type="spellEnd"/>
      <w:r w:rsidRPr="00DD354F">
        <w:rPr>
          <w:lang w:val="en-US"/>
        </w:rPr>
        <w:t xml:space="preserve">, Astrid </w:t>
      </w:r>
      <w:proofErr w:type="spellStart"/>
      <w:r w:rsidRPr="00DD354F">
        <w:rPr>
          <w:lang w:val="en-US"/>
        </w:rPr>
        <w:t>GADEYNE</w:t>
      </w:r>
      <w:r w:rsidRPr="00DD354F">
        <w:rPr>
          <w:vertAlign w:val="superscript"/>
          <w:lang w:val="en-US"/>
        </w:rPr>
        <w:t>a,b</w:t>
      </w:r>
      <w:proofErr w:type="spellEnd"/>
      <w:r w:rsidRPr="00DD354F">
        <w:rPr>
          <w:lang w:val="en-US"/>
        </w:rPr>
        <w:t xml:space="preserve">, Cyril </w:t>
      </w:r>
      <w:proofErr w:type="spellStart"/>
      <w:r w:rsidRPr="00DD354F">
        <w:rPr>
          <w:lang w:val="en-US"/>
        </w:rPr>
        <w:t>ZIPFEL</w:t>
      </w:r>
      <w:r w:rsidRPr="00DD354F">
        <w:rPr>
          <w:vertAlign w:val="superscript"/>
          <w:lang w:val="en-US"/>
        </w:rPr>
        <w:t>i</w:t>
      </w:r>
      <w:proofErr w:type="spellEnd"/>
      <w:r w:rsidRPr="00DD354F">
        <w:rPr>
          <w:lang w:val="en-US"/>
        </w:rPr>
        <w:t xml:space="preserve">, Geert DE </w:t>
      </w:r>
      <w:proofErr w:type="spellStart"/>
      <w:r w:rsidRPr="00DD354F">
        <w:rPr>
          <w:lang w:val="en-US"/>
        </w:rPr>
        <w:t>JAEGER</w:t>
      </w:r>
      <w:r w:rsidRPr="00DD354F">
        <w:rPr>
          <w:vertAlign w:val="superscript"/>
          <w:lang w:val="en-US"/>
        </w:rPr>
        <w:t>a,b</w:t>
      </w:r>
      <w:proofErr w:type="spellEnd"/>
      <w:r w:rsidRPr="00DD354F">
        <w:rPr>
          <w:lang w:val="en-US"/>
        </w:rPr>
        <w:t>, Marc VAN MONTAGU</w:t>
      </w:r>
      <w:r w:rsidRPr="00DD354F">
        <w:rPr>
          <w:vertAlign w:val="superscript"/>
          <w:lang w:val="en-US"/>
        </w:rPr>
        <w:t>a,b,3</w:t>
      </w:r>
      <w:r w:rsidRPr="00DD354F">
        <w:rPr>
          <w:lang w:val="en-US"/>
        </w:rPr>
        <w:t xml:space="preserve">, </w:t>
      </w:r>
      <w:proofErr w:type="spellStart"/>
      <w:r w:rsidRPr="00DD354F">
        <w:rPr>
          <w:lang w:val="en-US"/>
        </w:rPr>
        <w:t>Daniël</w:t>
      </w:r>
      <w:proofErr w:type="spellEnd"/>
      <w:r w:rsidRPr="00DD354F">
        <w:rPr>
          <w:lang w:val="en-US"/>
        </w:rPr>
        <w:t xml:space="preserve"> VAN </w:t>
      </w:r>
      <w:proofErr w:type="spellStart"/>
      <w:r w:rsidRPr="00DD354F">
        <w:rPr>
          <w:lang w:val="en-US"/>
        </w:rPr>
        <w:t>DAMME</w:t>
      </w:r>
      <w:r w:rsidRPr="00DD354F">
        <w:rPr>
          <w:vertAlign w:val="superscript"/>
          <w:lang w:val="en-US"/>
        </w:rPr>
        <w:t>a,b</w:t>
      </w:r>
      <w:proofErr w:type="spellEnd"/>
      <w:r w:rsidRPr="00DD354F">
        <w:rPr>
          <w:lang w:val="en-US"/>
        </w:rPr>
        <w:t xml:space="preserve">, </w:t>
      </w:r>
      <w:r w:rsidRPr="00DD354F">
        <w:rPr>
          <w:rFonts w:eastAsia="Times New Roman"/>
          <w:lang w:val="en-US" w:eastAsia="nl-BE"/>
        </w:rPr>
        <w:t xml:space="preserve">Kris </w:t>
      </w:r>
      <w:proofErr w:type="spellStart"/>
      <w:r w:rsidRPr="00DD354F">
        <w:rPr>
          <w:rFonts w:eastAsia="Times New Roman"/>
          <w:lang w:val="en-US" w:eastAsia="nl-BE"/>
        </w:rPr>
        <w:t>GEVAERT</w:t>
      </w:r>
      <w:r w:rsidRPr="00DD354F">
        <w:rPr>
          <w:rFonts w:eastAsia="Times New Roman"/>
          <w:vertAlign w:val="superscript"/>
          <w:lang w:val="en-US" w:eastAsia="nl-BE"/>
        </w:rPr>
        <w:t>e,f</w:t>
      </w:r>
      <w:proofErr w:type="spellEnd"/>
      <w:r w:rsidRPr="00DD354F">
        <w:rPr>
          <w:rFonts w:eastAsia="Times New Roman"/>
          <w:lang w:val="en-US" w:eastAsia="nl-BE"/>
        </w:rPr>
        <w:t>,</w:t>
      </w:r>
      <w:r w:rsidRPr="00DD354F">
        <w:rPr>
          <w:lang w:val="en-US"/>
        </w:rPr>
        <w:t xml:space="preserve"> A. </w:t>
      </w:r>
      <w:proofErr w:type="spellStart"/>
      <w:r w:rsidRPr="00DD354F">
        <w:rPr>
          <w:lang w:val="en-US"/>
        </w:rPr>
        <w:t>Gururaj</w:t>
      </w:r>
      <w:proofErr w:type="spellEnd"/>
      <w:r w:rsidRPr="00DD354F">
        <w:rPr>
          <w:lang w:val="en-US"/>
        </w:rPr>
        <w:t xml:space="preserve"> RAO</w:t>
      </w:r>
      <w:r w:rsidRPr="00DD354F">
        <w:rPr>
          <w:vertAlign w:val="superscript"/>
          <w:lang w:val="en-US"/>
        </w:rPr>
        <w:t>c,2</w:t>
      </w:r>
      <w:r w:rsidRPr="00DD354F">
        <w:rPr>
          <w:lang w:val="en-US"/>
        </w:rPr>
        <w:t>,Tom BEECKMAN</w:t>
      </w:r>
      <w:r w:rsidRPr="00DD354F">
        <w:rPr>
          <w:vertAlign w:val="superscript"/>
          <w:lang w:val="en-US"/>
        </w:rPr>
        <w:t>a,b,2</w:t>
      </w:r>
      <w:r w:rsidRPr="00DD354F">
        <w:rPr>
          <w:lang w:val="en-US"/>
        </w:rPr>
        <w:t>, and Ive DE SMET</w:t>
      </w:r>
      <w:r w:rsidRPr="00DD354F">
        <w:rPr>
          <w:vertAlign w:val="superscript"/>
          <w:lang w:val="en-US"/>
        </w:rPr>
        <w:t>a,b,d,j,2,3</w:t>
      </w:r>
    </w:p>
    <w:p w:rsidR="00540468" w:rsidRPr="00DD354F" w:rsidRDefault="00540468" w:rsidP="00DD354F">
      <w:pPr>
        <w:spacing w:line="480" w:lineRule="auto"/>
        <w:jc w:val="both"/>
        <w:rPr>
          <w:lang w:val="en-US"/>
        </w:rPr>
      </w:pPr>
    </w:p>
    <w:p w:rsidR="00540468" w:rsidRPr="00DD354F" w:rsidRDefault="00540468" w:rsidP="00DD354F">
      <w:pPr>
        <w:autoSpaceDE w:val="0"/>
        <w:autoSpaceDN w:val="0"/>
        <w:adjustRightInd w:val="0"/>
        <w:spacing w:line="480" w:lineRule="auto"/>
        <w:jc w:val="both"/>
        <w:rPr>
          <w:lang w:val="en-US"/>
        </w:rPr>
      </w:pPr>
      <w:proofErr w:type="spellStart"/>
      <w:proofErr w:type="gramStart"/>
      <w:r w:rsidRPr="00DD354F">
        <w:rPr>
          <w:vertAlign w:val="superscript"/>
          <w:lang w:val="en-US"/>
        </w:rPr>
        <w:t>a</w:t>
      </w:r>
      <w:r w:rsidRPr="00DD354F">
        <w:rPr>
          <w:lang w:val="en-US"/>
        </w:rPr>
        <w:t>Department</w:t>
      </w:r>
      <w:proofErr w:type="spellEnd"/>
      <w:proofErr w:type="gramEnd"/>
      <w:r w:rsidRPr="00DD354F">
        <w:rPr>
          <w:lang w:val="en-US"/>
        </w:rPr>
        <w:t xml:space="preserve"> of Plant Systems Biology, VIB, B-9052 Ghent, Belgium.</w:t>
      </w:r>
    </w:p>
    <w:p w:rsidR="00540468" w:rsidRPr="00DD354F" w:rsidRDefault="00540468" w:rsidP="00DD354F">
      <w:pPr>
        <w:autoSpaceDE w:val="0"/>
        <w:autoSpaceDN w:val="0"/>
        <w:adjustRightInd w:val="0"/>
        <w:spacing w:line="480" w:lineRule="auto"/>
        <w:jc w:val="both"/>
        <w:rPr>
          <w:lang w:val="en-US"/>
        </w:rPr>
      </w:pPr>
      <w:proofErr w:type="spellStart"/>
      <w:proofErr w:type="gramStart"/>
      <w:r w:rsidRPr="00DD354F">
        <w:rPr>
          <w:vertAlign w:val="superscript"/>
          <w:lang w:val="en-US"/>
        </w:rPr>
        <w:t>b</w:t>
      </w:r>
      <w:r w:rsidRPr="00DD354F">
        <w:rPr>
          <w:lang w:val="en-US"/>
        </w:rPr>
        <w:t>Department</w:t>
      </w:r>
      <w:proofErr w:type="spellEnd"/>
      <w:proofErr w:type="gramEnd"/>
      <w:r w:rsidRPr="00DD354F">
        <w:rPr>
          <w:lang w:val="en-US"/>
        </w:rPr>
        <w:t xml:space="preserve"> of Plant Biotechnology and Bioinformatics, Ghent UniversityB-9052 Ghent, Belgium.</w:t>
      </w:r>
    </w:p>
    <w:p w:rsidR="00540468" w:rsidRPr="00DD354F" w:rsidRDefault="00540468" w:rsidP="00DD354F">
      <w:pPr>
        <w:spacing w:line="480" w:lineRule="auto"/>
        <w:jc w:val="both"/>
        <w:rPr>
          <w:lang w:val="en-US"/>
        </w:rPr>
      </w:pPr>
      <w:proofErr w:type="spellStart"/>
      <w:r w:rsidRPr="00DD354F">
        <w:rPr>
          <w:vertAlign w:val="superscript"/>
          <w:lang w:val="en-US"/>
        </w:rPr>
        <w:t>c</w:t>
      </w:r>
      <w:r w:rsidRPr="00DD354F">
        <w:rPr>
          <w:lang w:val="en-US"/>
        </w:rPr>
        <w:t>Roy</w:t>
      </w:r>
      <w:proofErr w:type="spellEnd"/>
      <w:r w:rsidRPr="00DD354F">
        <w:rPr>
          <w:lang w:val="en-US"/>
        </w:rPr>
        <w:t xml:space="preserve"> J. Carver Department of Biochemistry, Biophysics and Molecular Biology, Iowa State University, Ames, Iowa 50011, United States.</w:t>
      </w:r>
    </w:p>
    <w:p w:rsidR="00540468" w:rsidRPr="00DD354F" w:rsidRDefault="00540468" w:rsidP="00DD354F">
      <w:pPr>
        <w:autoSpaceDE w:val="0"/>
        <w:autoSpaceDN w:val="0"/>
        <w:adjustRightInd w:val="0"/>
        <w:spacing w:line="480" w:lineRule="auto"/>
        <w:contextualSpacing/>
        <w:jc w:val="both"/>
        <w:rPr>
          <w:lang w:val="en-US"/>
        </w:rPr>
      </w:pPr>
      <w:proofErr w:type="spellStart"/>
      <w:proofErr w:type="gramStart"/>
      <w:r w:rsidRPr="00DD354F">
        <w:rPr>
          <w:bCs/>
          <w:vertAlign w:val="superscript"/>
          <w:lang w:val="en-US"/>
        </w:rPr>
        <w:t>d</w:t>
      </w:r>
      <w:r w:rsidRPr="00DD354F">
        <w:rPr>
          <w:lang w:val="en-US"/>
        </w:rPr>
        <w:t>Division</w:t>
      </w:r>
      <w:proofErr w:type="spellEnd"/>
      <w:proofErr w:type="gramEnd"/>
      <w:r w:rsidRPr="00DD354F">
        <w:rPr>
          <w:lang w:val="en-US"/>
        </w:rPr>
        <w:t xml:space="preserve"> of Plant and Crop Sciences, School of Biosciences, University of Nottingham, Loughborough LE12 5RD, United Kingdom.</w:t>
      </w:r>
    </w:p>
    <w:p w:rsidR="00540468" w:rsidRPr="00DD354F" w:rsidRDefault="00540468" w:rsidP="00DD354F">
      <w:pPr>
        <w:shd w:val="clear" w:color="auto" w:fill="FFFFFF"/>
        <w:spacing w:line="480" w:lineRule="auto"/>
        <w:jc w:val="both"/>
        <w:textAlignment w:val="baseline"/>
        <w:rPr>
          <w:lang w:val="en-US"/>
        </w:rPr>
      </w:pPr>
      <w:proofErr w:type="spellStart"/>
      <w:proofErr w:type="gramStart"/>
      <w:r w:rsidRPr="00DD354F">
        <w:rPr>
          <w:rFonts w:eastAsia="Times New Roman"/>
          <w:vertAlign w:val="superscript"/>
          <w:lang w:val="en-US"/>
        </w:rPr>
        <w:t>e</w:t>
      </w:r>
      <w:r w:rsidRPr="00DD354F">
        <w:rPr>
          <w:lang w:val="en-US"/>
        </w:rPr>
        <w:t>Department</w:t>
      </w:r>
      <w:proofErr w:type="spellEnd"/>
      <w:proofErr w:type="gramEnd"/>
      <w:r w:rsidRPr="00DD354F">
        <w:rPr>
          <w:lang w:val="en-US"/>
        </w:rPr>
        <w:t xml:space="preserve"> of Medical Protein Research, VIB, B-9000 Ghent, Belgium</w:t>
      </w:r>
    </w:p>
    <w:p w:rsidR="00540468" w:rsidRPr="00DD354F" w:rsidRDefault="00540468" w:rsidP="00DD354F">
      <w:pPr>
        <w:shd w:val="clear" w:color="auto" w:fill="FFFFFF"/>
        <w:spacing w:line="480" w:lineRule="auto"/>
        <w:jc w:val="both"/>
        <w:textAlignment w:val="baseline"/>
        <w:rPr>
          <w:lang w:val="en-US"/>
        </w:rPr>
      </w:pPr>
      <w:proofErr w:type="spellStart"/>
      <w:proofErr w:type="gramStart"/>
      <w:r w:rsidRPr="00DD354F">
        <w:rPr>
          <w:rFonts w:eastAsia="Times New Roman"/>
          <w:vertAlign w:val="superscript"/>
          <w:lang w:val="en-US"/>
        </w:rPr>
        <w:t>f</w:t>
      </w:r>
      <w:r w:rsidRPr="00DD354F">
        <w:rPr>
          <w:lang w:val="en-US"/>
        </w:rPr>
        <w:t>Department</w:t>
      </w:r>
      <w:proofErr w:type="spellEnd"/>
      <w:proofErr w:type="gramEnd"/>
      <w:r w:rsidRPr="00DD354F">
        <w:rPr>
          <w:lang w:val="en-US"/>
        </w:rPr>
        <w:t xml:space="preserve"> of Biochemistry, Ghent University, B-9000 Ghent, Belgium</w:t>
      </w:r>
    </w:p>
    <w:p w:rsidR="00540468" w:rsidRPr="00DD354F" w:rsidRDefault="00540468" w:rsidP="00DD354F">
      <w:pPr>
        <w:autoSpaceDE w:val="0"/>
        <w:autoSpaceDN w:val="0"/>
        <w:adjustRightInd w:val="0"/>
        <w:spacing w:line="480" w:lineRule="auto"/>
        <w:contextualSpacing/>
        <w:jc w:val="both"/>
        <w:rPr>
          <w:lang w:val="en-US"/>
        </w:rPr>
      </w:pPr>
      <w:proofErr w:type="spellStart"/>
      <w:proofErr w:type="gramStart"/>
      <w:r w:rsidRPr="00DD354F">
        <w:rPr>
          <w:vertAlign w:val="superscript"/>
          <w:lang w:val="en-US"/>
        </w:rPr>
        <w:t>g</w:t>
      </w:r>
      <w:r w:rsidRPr="00DD354F">
        <w:rPr>
          <w:lang w:val="en-US"/>
        </w:rPr>
        <w:t>Multidisciplinary</w:t>
      </w:r>
      <w:proofErr w:type="spellEnd"/>
      <w:proofErr w:type="gramEnd"/>
      <w:r w:rsidRPr="00DD354F">
        <w:rPr>
          <w:lang w:val="en-US"/>
        </w:rPr>
        <w:t xml:space="preserve"> Centre for Integrative Biology, School of Biosciences, University of Nottingham, Loughborough LE12 5RD, United Kingdom</w:t>
      </w:r>
    </w:p>
    <w:p w:rsidR="00540468" w:rsidRPr="00DD354F" w:rsidRDefault="00540468" w:rsidP="00DD354F">
      <w:pPr>
        <w:spacing w:line="480" w:lineRule="auto"/>
        <w:jc w:val="both"/>
        <w:rPr>
          <w:rFonts w:eastAsia="Times New Roman"/>
          <w:lang w:val="en-US"/>
        </w:rPr>
      </w:pPr>
      <w:proofErr w:type="spellStart"/>
      <w:r w:rsidRPr="00DD354F">
        <w:rPr>
          <w:vertAlign w:val="superscript"/>
          <w:lang w:val="en-US"/>
        </w:rPr>
        <w:lastRenderedPageBreak/>
        <w:t>h</w:t>
      </w:r>
      <w:r w:rsidRPr="00DD354F">
        <w:rPr>
          <w:rFonts w:eastAsia="Times New Roman"/>
          <w:lang w:val="en-US"/>
        </w:rPr>
        <w:t>Department</w:t>
      </w:r>
      <w:proofErr w:type="spellEnd"/>
      <w:r w:rsidRPr="00DD354F">
        <w:rPr>
          <w:rFonts w:eastAsia="Times New Roman"/>
          <w:lang w:val="en-US"/>
        </w:rPr>
        <w:t xml:space="preserve"> of Medicine, Washington University, School of Medicine, St. Louis, MO 63130, United States.</w:t>
      </w:r>
    </w:p>
    <w:p w:rsidR="00540468" w:rsidRPr="00DD354F" w:rsidRDefault="00540468" w:rsidP="00DD354F">
      <w:pPr>
        <w:widowControl w:val="0"/>
        <w:autoSpaceDE w:val="0"/>
        <w:autoSpaceDN w:val="0"/>
        <w:adjustRightInd w:val="0"/>
        <w:spacing w:line="480" w:lineRule="auto"/>
        <w:contextualSpacing/>
        <w:jc w:val="both"/>
        <w:rPr>
          <w:lang w:val="en-US"/>
        </w:rPr>
      </w:pPr>
      <w:bookmarkStart w:id="0" w:name="aff-1"/>
      <w:bookmarkEnd w:id="0"/>
      <w:proofErr w:type="spellStart"/>
      <w:proofErr w:type="gramStart"/>
      <w:r w:rsidRPr="00DD354F">
        <w:rPr>
          <w:shd w:val="clear" w:color="auto" w:fill="FFFFFF"/>
          <w:vertAlign w:val="superscript"/>
        </w:rPr>
        <w:t>i</w:t>
      </w:r>
      <w:r w:rsidRPr="00DD354F">
        <w:rPr>
          <w:shd w:val="clear" w:color="auto" w:fill="FFFFFF"/>
        </w:rPr>
        <w:t>The</w:t>
      </w:r>
      <w:proofErr w:type="spellEnd"/>
      <w:proofErr w:type="gramEnd"/>
      <w:r w:rsidRPr="00DD354F">
        <w:rPr>
          <w:shd w:val="clear" w:color="auto" w:fill="FFFFFF"/>
        </w:rPr>
        <w:t xml:space="preserve"> Sainsbury Laboratory, Norwich Research Park, Norwich, United Kingdom.</w:t>
      </w:r>
    </w:p>
    <w:p w:rsidR="00540468" w:rsidRPr="00DD354F" w:rsidRDefault="00540468" w:rsidP="00DD354F">
      <w:pPr>
        <w:widowControl w:val="0"/>
        <w:autoSpaceDE w:val="0"/>
        <w:autoSpaceDN w:val="0"/>
        <w:adjustRightInd w:val="0"/>
        <w:spacing w:line="480" w:lineRule="auto"/>
        <w:contextualSpacing/>
        <w:jc w:val="both"/>
        <w:rPr>
          <w:lang w:val="en-US"/>
        </w:rPr>
      </w:pPr>
      <w:proofErr w:type="spellStart"/>
      <w:proofErr w:type="gramStart"/>
      <w:r w:rsidRPr="00DD354F">
        <w:rPr>
          <w:vertAlign w:val="superscript"/>
          <w:lang w:val="en-US"/>
        </w:rPr>
        <w:t>j</w:t>
      </w:r>
      <w:r w:rsidRPr="00DD354F">
        <w:rPr>
          <w:lang w:val="en-US"/>
        </w:rPr>
        <w:t>Centre</w:t>
      </w:r>
      <w:proofErr w:type="spellEnd"/>
      <w:proofErr w:type="gramEnd"/>
      <w:r w:rsidRPr="00DD354F">
        <w:rPr>
          <w:lang w:val="en-US"/>
        </w:rPr>
        <w:t xml:space="preserve"> for Plant Integrative Biology, University of Nottingham, Loughborough</w:t>
      </w:r>
      <w:r w:rsidRPr="00DD354F" w:rsidDel="00C335E9">
        <w:rPr>
          <w:lang w:val="en-US"/>
        </w:rPr>
        <w:t xml:space="preserve"> </w:t>
      </w:r>
      <w:r w:rsidRPr="00DD354F">
        <w:rPr>
          <w:lang w:val="en-US"/>
        </w:rPr>
        <w:t>LE12 5RD, United Kingdom.</w:t>
      </w:r>
    </w:p>
    <w:p w:rsidR="00540468" w:rsidRPr="00DD354F" w:rsidRDefault="00540468" w:rsidP="00DD354F">
      <w:pPr>
        <w:widowControl w:val="0"/>
        <w:autoSpaceDE w:val="0"/>
        <w:autoSpaceDN w:val="0"/>
        <w:adjustRightInd w:val="0"/>
        <w:spacing w:line="480" w:lineRule="auto"/>
        <w:contextualSpacing/>
        <w:jc w:val="both"/>
        <w:rPr>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rFonts w:eastAsia="Times New Roman"/>
          <w:b/>
          <w:lang w:val="en-US"/>
        </w:rPr>
      </w:pPr>
    </w:p>
    <w:p w:rsidR="00540468" w:rsidRPr="00DD354F" w:rsidRDefault="00540468" w:rsidP="00DD354F">
      <w:pPr>
        <w:spacing w:line="480" w:lineRule="auto"/>
        <w:jc w:val="both"/>
        <w:rPr>
          <w:rFonts w:eastAsia="Times New Roman"/>
          <w:b/>
          <w:lang w:val="en-US"/>
        </w:rPr>
      </w:pPr>
    </w:p>
    <w:p w:rsidR="00540468" w:rsidRPr="00DD354F" w:rsidRDefault="00540468" w:rsidP="00DD354F">
      <w:pPr>
        <w:spacing w:line="480" w:lineRule="auto"/>
        <w:jc w:val="both"/>
        <w:rPr>
          <w:rFonts w:eastAsia="Times New Roman"/>
          <w:b/>
          <w:lang w:val="en-US"/>
        </w:rPr>
      </w:pPr>
      <w:r w:rsidRPr="00DD354F">
        <w:rPr>
          <w:rFonts w:eastAsia="Times New Roman"/>
          <w:b/>
          <w:lang w:val="en-US"/>
        </w:rPr>
        <w:lastRenderedPageBreak/>
        <w:t>ABSTRACT</w:t>
      </w: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r w:rsidRPr="00DD354F">
        <w:rPr>
          <w:lang w:val="en-US"/>
        </w:rPr>
        <w:t>In plants, the generation of new cell types and tissues depends on coordinated and oriented formative cell divisions</w:t>
      </w:r>
      <w:r w:rsidRPr="00DD354F">
        <w:rPr>
          <w:b/>
          <w:lang w:val="en-US"/>
        </w:rPr>
        <w:t xml:space="preserve">. </w:t>
      </w:r>
      <w:r w:rsidRPr="00DD354F">
        <w:rPr>
          <w:lang w:val="en-US"/>
        </w:rPr>
        <w:t xml:space="preserve">The plasma membrane-localized receptor kinase ARABIDOPSIS CRINKLY 4 (ACR4) is part of a mechanism controlling formative cell divisions in the </w:t>
      </w:r>
      <w:r w:rsidRPr="00DD354F">
        <w:rPr>
          <w:i/>
          <w:lang w:val="en-US"/>
        </w:rPr>
        <w:t>Arabidopsis</w:t>
      </w:r>
      <w:r w:rsidRPr="00DD354F">
        <w:rPr>
          <w:lang w:val="en-US"/>
        </w:rPr>
        <w:t xml:space="preserve"> root. Despite its important role in plant development, very little is known about the molecular mechanism ACR4 is affiliated to and its network of interactions. Here, we used various complementary proteomic approaches to identify ACR4-interacting protein candidates that are likely novel regulators of formative cell divisions and that could pave the way to unraveling the molecular basis behind ACR4-mediated signaling. We identified PROTEIN PHOSPHATASE 2A-3 (PP2A-3), a catalytic subunit of PP2A holoenzymes, as a novel regulator of formative cell divisions and as the first described substrate of ACR4. Our </w:t>
      </w:r>
      <w:r w:rsidRPr="00DD354F">
        <w:rPr>
          <w:i/>
          <w:lang w:val="en-US"/>
        </w:rPr>
        <w:t>in vitro</w:t>
      </w:r>
      <w:r w:rsidRPr="00DD354F">
        <w:rPr>
          <w:lang w:val="en-US"/>
        </w:rPr>
        <w:t xml:space="preserve"> data argue for the existence of a tight post-translational regulation in the associated biochemical network through reciprocal regulation between ACR4 and PP2A-3 at the phosphorylation level.</w:t>
      </w:r>
    </w:p>
    <w:p w:rsidR="00540468" w:rsidRPr="00DD354F" w:rsidRDefault="00540468" w:rsidP="00DD354F">
      <w:pPr>
        <w:spacing w:line="480" w:lineRule="auto"/>
        <w:jc w:val="both"/>
        <w:rPr>
          <w:b/>
          <w:lang w:val="en-US"/>
        </w:rPr>
      </w:pPr>
    </w:p>
    <w:p w:rsidR="00540468" w:rsidRPr="00DD354F" w:rsidRDefault="00540468" w:rsidP="00DD354F">
      <w:pPr>
        <w:pStyle w:val="CommentText"/>
        <w:spacing w:line="480" w:lineRule="auto"/>
        <w:jc w:val="both"/>
        <w:rPr>
          <w:rStyle w:val="Strong"/>
          <w:caps/>
          <w:sz w:val="24"/>
          <w:szCs w:val="24"/>
          <w:bdr w:val="none" w:sz="0" w:space="0" w:color="auto" w:frame="1"/>
          <w:shd w:val="clear" w:color="auto" w:fill="FFFFFF"/>
          <w:lang w:val="en-US"/>
        </w:rPr>
      </w:pPr>
    </w:p>
    <w:p w:rsidR="00540468" w:rsidRPr="00DD354F" w:rsidRDefault="00540468" w:rsidP="00DD354F">
      <w:pPr>
        <w:pStyle w:val="CommentText"/>
        <w:spacing w:line="480" w:lineRule="auto"/>
        <w:jc w:val="both"/>
        <w:rPr>
          <w:rStyle w:val="Strong"/>
          <w:caps/>
          <w:sz w:val="24"/>
          <w:szCs w:val="24"/>
          <w:bdr w:val="none" w:sz="0" w:space="0" w:color="auto" w:frame="1"/>
          <w:shd w:val="clear" w:color="auto" w:fill="FFFFFF"/>
          <w:lang w:val="en-US"/>
        </w:rPr>
      </w:pPr>
    </w:p>
    <w:p w:rsidR="00540468" w:rsidRPr="00DD354F" w:rsidRDefault="00540468" w:rsidP="00DD354F">
      <w:pPr>
        <w:pStyle w:val="CommentText"/>
        <w:spacing w:line="480" w:lineRule="auto"/>
        <w:jc w:val="both"/>
        <w:rPr>
          <w:rStyle w:val="Strong"/>
          <w:caps/>
          <w:sz w:val="24"/>
          <w:szCs w:val="24"/>
          <w:bdr w:val="none" w:sz="0" w:space="0" w:color="auto" w:frame="1"/>
          <w:shd w:val="clear" w:color="auto" w:fill="FFFFFF"/>
          <w:lang w:val="en-US"/>
        </w:rPr>
      </w:pPr>
    </w:p>
    <w:p w:rsidR="00540468" w:rsidRPr="00DD354F" w:rsidRDefault="00540468" w:rsidP="00DD354F">
      <w:pPr>
        <w:pStyle w:val="CommentText"/>
        <w:spacing w:line="480" w:lineRule="auto"/>
        <w:jc w:val="both"/>
        <w:rPr>
          <w:rStyle w:val="Strong"/>
          <w:caps/>
          <w:sz w:val="24"/>
          <w:szCs w:val="24"/>
          <w:bdr w:val="none" w:sz="0" w:space="0" w:color="auto" w:frame="1"/>
          <w:shd w:val="clear" w:color="auto" w:fill="FFFFFF"/>
          <w:lang w:val="en-US"/>
        </w:rPr>
      </w:pPr>
    </w:p>
    <w:p w:rsidR="00540468" w:rsidRPr="00DD354F" w:rsidRDefault="00540468" w:rsidP="00DD354F">
      <w:pPr>
        <w:pStyle w:val="CommentText"/>
        <w:spacing w:line="480" w:lineRule="auto"/>
        <w:jc w:val="both"/>
        <w:rPr>
          <w:rStyle w:val="Strong"/>
          <w:caps/>
          <w:sz w:val="24"/>
          <w:szCs w:val="24"/>
          <w:bdr w:val="none" w:sz="0" w:space="0" w:color="auto" w:frame="1"/>
          <w:shd w:val="clear" w:color="auto" w:fill="FFFFFF"/>
          <w:lang w:val="en-US"/>
        </w:rPr>
      </w:pPr>
    </w:p>
    <w:p w:rsidR="00540468" w:rsidRPr="00DD354F" w:rsidRDefault="00540468" w:rsidP="00DD354F">
      <w:pPr>
        <w:pStyle w:val="CommentText"/>
        <w:spacing w:line="480" w:lineRule="auto"/>
        <w:jc w:val="both"/>
        <w:rPr>
          <w:rStyle w:val="Strong"/>
          <w:caps/>
          <w:sz w:val="24"/>
          <w:szCs w:val="24"/>
          <w:bdr w:val="none" w:sz="0" w:space="0" w:color="auto" w:frame="1"/>
          <w:shd w:val="clear" w:color="auto" w:fill="FFFFFF"/>
          <w:lang w:val="en-US"/>
        </w:rPr>
      </w:pPr>
    </w:p>
    <w:p w:rsidR="00540468" w:rsidRPr="00DD354F" w:rsidRDefault="00540468" w:rsidP="00DD354F">
      <w:pPr>
        <w:pStyle w:val="CommentText"/>
        <w:spacing w:line="480" w:lineRule="auto"/>
        <w:jc w:val="both"/>
        <w:rPr>
          <w:rStyle w:val="Strong"/>
          <w:caps/>
          <w:sz w:val="24"/>
          <w:szCs w:val="24"/>
          <w:bdr w:val="none" w:sz="0" w:space="0" w:color="auto" w:frame="1"/>
          <w:shd w:val="clear" w:color="auto" w:fill="FFFFFF"/>
          <w:lang w:val="en-US"/>
        </w:rPr>
      </w:pPr>
    </w:p>
    <w:p w:rsidR="00540468" w:rsidRPr="00DD354F" w:rsidRDefault="00540468" w:rsidP="00DD354F">
      <w:pPr>
        <w:pStyle w:val="CommentText"/>
        <w:spacing w:line="480" w:lineRule="auto"/>
        <w:jc w:val="both"/>
        <w:rPr>
          <w:rStyle w:val="Strong"/>
          <w:caps/>
          <w:sz w:val="24"/>
          <w:szCs w:val="24"/>
          <w:bdr w:val="none" w:sz="0" w:space="0" w:color="auto" w:frame="1"/>
          <w:shd w:val="clear" w:color="auto" w:fill="FFFFFF"/>
          <w:lang w:val="en-US"/>
        </w:rPr>
      </w:pPr>
    </w:p>
    <w:p w:rsidR="00540468" w:rsidRPr="00DD354F" w:rsidRDefault="00540468" w:rsidP="00DD354F">
      <w:pPr>
        <w:pStyle w:val="CommentText"/>
        <w:spacing w:line="480" w:lineRule="auto"/>
        <w:jc w:val="both"/>
        <w:rPr>
          <w:rStyle w:val="Strong"/>
          <w:caps/>
          <w:sz w:val="24"/>
          <w:szCs w:val="24"/>
          <w:bdr w:val="none" w:sz="0" w:space="0" w:color="auto" w:frame="1"/>
          <w:shd w:val="clear" w:color="auto" w:fill="FFFFFF"/>
          <w:lang w:val="en-US"/>
        </w:rPr>
      </w:pPr>
    </w:p>
    <w:p w:rsidR="00540468" w:rsidRPr="00DD354F" w:rsidRDefault="00540468" w:rsidP="00DD354F">
      <w:pPr>
        <w:pStyle w:val="CommentText"/>
        <w:spacing w:line="480" w:lineRule="auto"/>
        <w:jc w:val="both"/>
        <w:rPr>
          <w:rStyle w:val="Strong"/>
          <w:caps/>
          <w:sz w:val="24"/>
          <w:szCs w:val="24"/>
          <w:bdr w:val="none" w:sz="0" w:space="0" w:color="auto" w:frame="1"/>
          <w:shd w:val="clear" w:color="auto" w:fill="FFFFFF"/>
          <w:lang w:val="en-US"/>
        </w:rPr>
      </w:pPr>
      <w:r w:rsidRPr="00DD354F">
        <w:rPr>
          <w:rStyle w:val="Strong"/>
          <w:caps/>
          <w:sz w:val="24"/>
          <w:szCs w:val="24"/>
          <w:bdr w:val="none" w:sz="0" w:space="0" w:color="auto" w:frame="1"/>
          <w:shd w:val="clear" w:color="auto" w:fill="FFFFFF"/>
          <w:lang w:val="en-US"/>
        </w:rPr>
        <w:lastRenderedPageBreak/>
        <w:t>Significance Statement</w:t>
      </w:r>
    </w:p>
    <w:p w:rsidR="00540468" w:rsidRPr="00DD354F" w:rsidRDefault="00540468" w:rsidP="00DD354F">
      <w:pPr>
        <w:spacing w:line="480" w:lineRule="auto"/>
        <w:jc w:val="both"/>
        <w:rPr>
          <w:b/>
          <w:lang w:val="en-US"/>
        </w:rPr>
      </w:pPr>
    </w:p>
    <w:p w:rsidR="00540468" w:rsidRPr="00DD354F" w:rsidRDefault="00540468" w:rsidP="00DD354F">
      <w:pPr>
        <w:pStyle w:val="CommentText"/>
        <w:spacing w:line="480" w:lineRule="auto"/>
        <w:jc w:val="both"/>
        <w:rPr>
          <w:rFonts w:eastAsia="Times New Roman"/>
          <w:sz w:val="24"/>
          <w:szCs w:val="24"/>
        </w:rPr>
      </w:pPr>
      <w:r w:rsidRPr="00DD354F">
        <w:rPr>
          <w:rFonts w:eastAsia="Times New Roman"/>
          <w:sz w:val="24"/>
          <w:szCs w:val="24"/>
        </w:rPr>
        <w:t xml:space="preserve">Plant growth and development are mediated through a wide range of proteins, including receptor kinases and phosphatases. </w:t>
      </w:r>
      <w:r w:rsidRPr="00DD354F">
        <w:rPr>
          <w:sz w:val="24"/>
          <w:szCs w:val="24"/>
          <w:lang w:val="en-US"/>
        </w:rPr>
        <w:t xml:space="preserve">The receptor kinase ACR4 is part of a mechanism controlling formative cell divisions in the </w:t>
      </w:r>
      <w:r w:rsidRPr="00DD354F">
        <w:rPr>
          <w:i/>
          <w:sz w:val="24"/>
          <w:szCs w:val="24"/>
          <w:lang w:val="en-US"/>
        </w:rPr>
        <w:t>Arabidopsis</w:t>
      </w:r>
      <w:r w:rsidRPr="00DD354F">
        <w:rPr>
          <w:sz w:val="24"/>
          <w:szCs w:val="24"/>
          <w:lang w:val="en-US"/>
        </w:rPr>
        <w:t xml:space="preserve"> root. However, the regulation of ACR4 signaling and how it affects cell divisions remains completely unknown. We </w:t>
      </w:r>
      <w:r w:rsidRPr="00DD354F">
        <w:rPr>
          <w:rFonts w:eastAsia="Times New Roman"/>
          <w:sz w:val="24"/>
          <w:szCs w:val="24"/>
        </w:rPr>
        <w:t>discovered that ACR4 phosphorylates the PP2A-3 catalytic subunit</w:t>
      </w:r>
      <w:r w:rsidRPr="00DD354F" w:rsidDel="005A790D">
        <w:rPr>
          <w:rFonts w:eastAsia="Times New Roman"/>
          <w:sz w:val="24"/>
          <w:szCs w:val="24"/>
        </w:rPr>
        <w:t xml:space="preserve"> </w:t>
      </w:r>
      <w:r w:rsidRPr="00DD354F">
        <w:rPr>
          <w:rFonts w:eastAsia="Times New Roman"/>
          <w:sz w:val="24"/>
          <w:szCs w:val="24"/>
        </w:rPr>
        <w:t xml:space="preserve">of the PP2A phosphatase holoenzyme, and that PP2A dephosphorylates ACR4. These data exposed a tightly regulated point in the associated biochemical network regulating formative cell divisions in plant roots. </w:t>
      </w:r>
    </w:p>
    <w:p w:rsidR="00540468" w:rsidRPr="00DD354F" w:rsidRDefault="00540468" w:rsidP="00DD354F">
      <w:pPr>
        <w:spacing w:line="480" w:lineRule="auto"/>
        <w:jc w:val="both"/>
        <w:rPr>
          <w:b/>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rFonts w:eastAsia="Times New Roman"/>
          <w:b/>
          <w:lang w:val="en-US"/>
        </w:rPr>
      </w:pPr>
      <w:r w:rsidRPr="00DD354F">
        <w:rPr>
          <w:rFonts w:eastAsia="Times New Roman"/>
          <w:b/>
          <w:lang w:val="en-US"/>
        </w:rPr>
        <w:t>KEYWORDS</w:t>
      </w:r>
    </w:p>
    <w:p w:rsidR="00540468" w:rsidRPr="00DD354F" w:rsidRDefault="00540468" w:rsidP="00DD354F">
      <w:pPr>
        <w:spacing w:line="480" w:lineRule="auto"/>
        <w:jc w:val="both"/>
        <w:rPr>
          <w:lang w:val="en-US"/>
        </w:rPr>
      </w:pPr>
      <w:r w:rsidRPr="00DD354F">
        <w:rPr>
          <w:lang w:val="en-US"/>
        </w:rPr>
        <w:t xml:space="preserve">Stem cells </w:t>
      </w:r>
      <w:r w:rsidRPr="00DD354F">
        <w:rPr>
          <w:rFonts w:eastAsia="Times New Roman"/>
          <w:lang w:val="en-US"/>
        </w:rPr>
        <w:t xml:space="preserve">│ </w:t>
      </w:r>
      <w:proofErr w:type="spellStart"/>
      <w:r w:rsidRPr="00DD354F">
        <w:rPr>
          <w:lang w:val="en-US"/>
        </w:rPr>
        <w:t>columella</w:t>
      </w:r>
      <w:proofErr w:type="spellEnd"/>
      <w:r w:rsidRPr="00DD354F">
        <w:rPr>
          <w:lang w:val="en-US"/>
        </w:rPr>
        <w:t xml:space="preserve"> </w:t>
      </w:r>
      <w:r w:rsidRPr="00DD354F">
        <w:rPr>
          <w:rFonts w:eastAsia="Times New Roman"/>
          <w:lang w:val="en-US"/>
        </w:rPr>
        <w:t>│ phosphorylation │kinase │ phosphatase</w:t>
      </w: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spacing w:line="480" w:lineRule="auto"/>
        <w:jc w:val="both"/>
        <w:rPr>
          <w:b/>
          <w:lang w:val="en-US"/>
        </w:rPr>
      </w:pPr>
    </w:p>
    <w:p w:rsidR="00540468" w:rsidRPr="00DD354F" w:rsidRDefault="00540468" w:rsidP="00DD354F">
      <w:pPr>
        <w:pStyle w:val="CommentText"/>
        <w:spacing w:line="480" w:lineRule="auto"/>
        <w:jc w:val="both"/>
        <w:rPr>
          <w:bCs/>
          <w:sz w:val="24"/>
          <w:szCs w:val="24"/>
          <w:lang w:val="en-US"/>
        </w:rPr>
      </w:pPr>
      <w:r w:rsidRPr="00DD354F">
        <w:rPr>
          <w:bCs/>
          <w:sz w:val="24"/>
          <w:szCs w:val="24"/>
          <w:lang w:val="en-US"/>
        </w:rPr>
        <w:lastRenderedPageBreak/>
        <w:t>\body</w:t>
      </w:r>
    </w:p>
    <w:p w:rsidR="00DD354F" w:rsidRDefault="00540468" w:rsidP="00DD354F">
      <w:pPr>
        <w:pStyle w:val="CommentText"/>
        <w:spacing w:line="480" w:lineRule="auto"/>
        <w:jc w:val="both"/>
        <w:rPr>
          <w:b/>
          <w:caps/>
          <w:sz w:val="24"/>
          <w:szCs w:val="24"/>
          <w:lang w:val="en-US"/>
        </w:rPr>
      </w:pPr>
      <w:r w:rsidRPr="00DD354F">
        <w:rPr>
          <w:b/>
          <w:caps/>
          <w:sz w:val="24"/>
          <w:szCs w:val="24"/>
          <w:lang w:val="en-US"/>
        </w:rPr>
        <w:t>Introduction</w:t>
      </w:r>
    </w:p>
    <w:p w:rsidR="00540468" w:rsidRPr="00DD354F" w:rsidRDefault="00540468" w:rsidP="00DD354F">
      <w:pPr>
        <w:pStyle w:val="CommentText"/>
        <w:spacing w:line="480" w:lineRule="auto"/>
        <w:jc w:val="both"/>
        <w:rPr>
          <w:rFonts w:eastAsia="Times New Roman"/>
          <w:b/>
          <w:caps/>
          <w:sz w:val="24"/>
          <w:szCs w:val="24"/>
          <w:lang w:val="en-US"/>
        </w:rPr>
      </w:pPr>
      <w:r w:rsidRPr="00DD354F">
        <w:rPr>
          <w:sz w:val="24"/>
          <w:szCs w:val="24"/>
          <w:lang w:val="en-US"/>
        </w:rPr>
        <w:t xml:space="preserve">Plants rely on coordinated formative cell division for the formation of new cell types and tissues </w:t>
      </w:r>
      <w:r w:rsidRPr="00DD354F">
        <w:rPr>
          <w:noProof/>
          <w:sz w:val="24"/>
          <w:szCs w:val="24"/>
          <w:lang w:val="en-US"/>
        </w:rPr>
        <w:t>(1)</w:t>
      </w:r>
      <w:r w:rsidRPr="00DD354F">
        <w:rPr>
          <w:sz w:val="24"/>
          <w:szCs w:val="24"/>
          <w:lang w:val="en-US"/>
        </w:rPr>
        <w:t xml:space="preserve">. For example, in the </w:t>
      </w:r>
      <w:r w:rsidRPr="00DD354F">
        <w:rPr>
          <w:i/>
          <w:sz w:val="24"/>
          <w:szCs w:val="24"/>
          <w:lang w:val="en-US"/>
        </w:rPr>
        <w:t xml:space="preserve">Arabidopsis </w:t>
      </w:r>
      <w:r w:rsidRPr="00DD354F">
        <w:rPr>
          <w:sz w:val="24"/>
          <w:szCs w:val="24"/>
          <w:lang w:val="en-US"/>
        </w:rPr>
        <w:t xml:space="preserve">root, the development of </w:t>
      </w:r>
      <w:proofErr w:type="spellStart"/>
      <w:r w:rsidRPr="00DD354F">
        <w:rPr>
          <w:sz w:val="24"/>
          <w:szCs w:val="24"/>
          <w:lang w:val="en-US"/>
        </w:rPr>
        <w:t>columella</w:t>
      </w:r>
      <w:proofErr w:type="spellEnd"/>
      <w:r w:rsidRPr="00DD354F">
        <w:rPr>
          <w:sz w:val="24"/>
          <w:szCs w:val="24"/>
          <w:lang w:val="en-US"/>
        </w:rPr>
        <w:t xml:space="preserve"> cells requires a tight coordination of formative cell division and differentiation </w:t>
      </w:r>
      <w:r w:rsidRPr="00DD354F">
        <w:rPr>
          <w:noProof/>
          <w:sz w:val="24"/>
          <w:szCs w:val="24"/>
          <w:lang w:val="en-US"/>
        </w:rPr>
        <w:t>(1)</w:t>
      </w:r>
      <w:r w:rsidRPr="00DD354F">
        <w:rPr>
          <w:sz w:val="24"/>
          <w:szCs w:val="24"/>
          <w:lang w:val="en-US"/>
        </w:rPr>
        <w:t xml:space="preserve">. In the primary root apical meristem, </w:t>
      </w:r>
      <w:proofErr w:type="spellStart"/>
      <w:r w:rsidRPr="00DD354F">
        <w:rPr>
          <w:sz w:val="24"/>
          <w:szCs w:val="24"/>
          <w:lang w:val="en-US"/>
        </w:rPr>
        <w:t>columella</w:t>
      </w:r>
      <w:proofErr w:type="spellEnd"/>
      <w:r w:rsidRPr="00DD354F">
        <w:rPr>
          <w:sz w:val="24"/>
          <w:szCs w:val="24"/>
          <w:lang w:val="en-US"/>
        </w:rPr>
        <w:t xml:space="preserve"> stem cells − upon formative cell division − give rise to new stem cells and daughter cells that will differentiate </w:t>
      </w:r>
      <w:r w:rsidRPr="00DD354F">
        <w:rPr>
          <w:noProof/>
          <w:sz w:val="24"/>
          <w:szCs w:val="24"/>
          <w:lang w:val="en-US"/>
        </w:rPr>
        <w:t>(2)</w:t>
      </w:r>
      <w:r w:rsidRPr="00DD354F">
        <w:rPr>
          <w:sz w:val="24"/>
          <w:szCs w:val="24"/>
          <w:lang w:val="en-US"/>
        </w:rPr>
        <w:t xml:space="preserve"> (</w:t>
      </w:r>
      <w:r w:rsidRPr="00DD354F">
        <w:rPr>
          <w:b/>
          <w:sz w:val="24"/>
          <w:szCs w:val="24"/>
          <w:lang w:val="en-US"/>
        </w:rPr>
        <w:t xml:space="preserve">Fig. </w:t>
      </w:r>
      <w:proofErr w:type="gramStart"/>
      <w:r w:rsidRPr="00DD354F">
        <w:rPr>
          <w:b/>
          <w:sz w:val="24"/>
          <w:szCs w:val="24"/>
          <w:lang w:val="en-US"/>
        </w:rPr>
        <w:t xml:space="preserve">S1 </w:t>
      </w:r>
      <w:r w:rsidRPr="00DD354F">
        <w:rPr>
          <w:b/>
          <w:i/>
          <w:sz w:val="24"/>
          <w:szCs w:val="24"/>
          <w:lang w:val="en-US"/>
        </w:rPr>
        <w:t>A</w:t>
      </w:r>
      <w:r w:rsidRPr="00DD354F">
        <w:rPr>
          <w:sz w:val="24"/>
          <w:szCs w:val="24"/>
          <w:lang w:val="en-US"/>
        </w:rPr>
        <w:t>).</w:t>
      </w:r>
      <w:proofErr w:type="gramEnd"/>
      <w:r w:rsidRPr="00DD354F">
        <w:rPr>
          <w:sz w:val="24"/>
          <w:szCs w:val="24"/>
          <w:lang w:val="en-US"/>
        </w:rPr>
        <w:t xml:space="preserve"> Several plant hormones and proteins that play a role in this process have been identified, and small regulatory networks have been proposed </w:t>
      </w:r>
      <w:r w:rsidRPr="00DD354F">
        <w:rPr>
          <w:noProof/>
          <w:sz w:val="24"/>
          <w:szCs w:val="24"/>
          <w:lang w:val="en-US"/>
        </w:rPr>
        <w:t>(3-11)</w:t>
      </w:r>
      <w:r w:rsidRPr="00DD354F">
        <w:rPr>
          <w:sz w:val="24"/>
          <w:szCs w:val="24"/>
          <w:lang w:val="en-US"/>
        </w:rPr>
        <w:t xml:space="preserve">. However, our knowledge on the mechanisms and signaling networks mediating formative cell divisions is sparse and is largely derived from transcriptional data </w:t>
      </w:r>
      <w:r w:rsidRPr="00DD354F">
        <w:rPr>
          <w:noProof/>
          <w:sz w:val="24"/>
          <w:szCs w:val="24"/>
          <w:lang w:val="en-US"/>
        </w:rPr>
        <w:t>(12)</w:t>
      </w:r>
      <w:r w:rsidRPr="00DD354F">
        <w:rPr>
          <w:sz w:val="24"/>
          <w:szCs w:val="24"/>
          <w:lang w:val="en-US"/>
        </w:rPr>
        <w:t>.</w:t>
      </w:r>
    </w:p>
    <w:p w:rsidR="00540468" w:rsidRPr="00DD354F" w:rsidRDefault="00540468" w:rsidP="00DD354F">
      <w:pPr>
        <w:spacing w:line="480" w:lineRule="auto"/>
        <w:ind w:firstLine="720"/>
        <w:jc w:val="both"/>
        <w:rPr>
          <w:lang w:val="en-US" w:eastAsia="en-US"/>
        </w:rPr>
      </w:pPr>
      <w:r w:rsidRPr="00DD354F">
        <w:rPr>
          <w:lang w:val="en-US"/>
        </w:rPr>
        <w:t xml:space="preserve">Reversible protein phosphorylation represents a major mechanism regulating cell signaling </w:t>
      </w:r>
      <w:r w:rsidRPr="00DD354F">
        <w:rPr>
          <w:noProof/>
          <w:lang w:val="en-US"/>
        </w:rPr>
        <w:t>(13)</w:t>
      </w:r>
      <w:r w:rsidRPr="00DD354F">
        <w:rPr>
          <w:lang w:val="en-US"/>
        </w:rPr>
        <w:t xml:space="preserve">, and several kinases have been shown to play a role in primary root development </w:t>
      </w:r>
      <w:r w:rsidRPr="00DD354F">
        <w:rPr>
          <w:noProof/>
          <w:lang w:val="en-US"/>
        </w:rPr>
        <w:t>(5, 6, 14)</w:t>
      </w:r>
      <w:r w:rsidRPr="00DD354F">
        <w:rPr>
          <w:lang w:val="en-US"/>
        </w:rPr>
        <w:t xml:space="preserve">. For example, the evolutionarily conserved plasma membrane-localized receptor-like kinase ARABIDOPSIS CRINKLY 4 (ACR4) marks the plasma membrane in the primary root tip </w:t>
      </w:r>
      <w:proofErr w:type="spellStart"/>
      <w:r w:rsidRPr="00DD354F">
        <w:rPr>
          <w:lang w:val="en-US"/>
        </w:rPr>
        <w:t>columella</w:t>
      </w:r>
      <w:proofErr w:type="spellEnd"/>
      <w:r w:rsidRPr="00DD354F">
        <w:rPr>
          <w:lang w:val="en-US"/>
        </w:rPr>
        <w:t xml:space="preserve"> and is part of a mechanism controlling formative cell divisions in the </w:t>
      </w:r>
      <w:r w:rsidRPr="00DD354F">
        <w:rPr>
          <w:i/>
          <w:lang w:val="en-US"/>
        </w:rPr>
        <w:t>Arabidopsis</w:t>
      </w:r>
      <w:r w:rsidRPr="00DD354F">
        <w:rPr>
          <w:lang w:val="en-US"/>
        </w:rPr>
        <w:t xml:space="preserve"> root </w:t>
      </w:r>
      <w:r w:rsidRPr="00DD354F">
        <w:rPr>
          <w:noProof/>
          <w:lang w:val="en-US"/>
        </w:rPr>
        <w:t>(5, 15, 16)</w:t>
      </w:r>
      <w:r w:rsidRPr="00DD354F">
        <w:rPr>
          <w:lang w:val="en-US"/>
        </w:rPr>
        <w:t xml:space="preserve">. </w:t>
      </w:r>
      <w:r w:rsidRPr="00DD354F">
        <w:rPr>
          <w:lang w:val="en-US" w:eastAsia="en-US"/>
        </w:rPr>
        <w:t xml:space="preserve">ACR4 </w:t>
      </w:r>
      <w:r w:rsidRPr="00DD354F">
        <w:rPr>
          <w:shd w:val="clear" w:color="auto" w:fill="FFFFFF"/>
          <w:lang w:val="en-US"/>
        </w:rPr>
        <w:t xml:space="preserve">possesses an extracellular ligand binding domain, a transmembrane helix, and an intracellular domain that contains the </w:t>
      </w:r>
      <w:proofErr w:type="spellStart"/>
      <w:r w:rsidRPr="00DD354F">
        <w:rPr>
          <w:shd w:val="clear" w:color="auto" w:fill="FFFFFF"/>
          <w:lang w:val="en-US"/>
        </w:rPr>
        <w:t>juxtamembrane</w:t>
      </w:r>
      <w:proofErr w:type="spellEnd"/>
      <w:r w:rsidRPr="00DD354F">
        <w:rPr>
          <w:shd w:val="clear" w:color="auto" w:fill="FFFFFF"/>
          <w:lang w:val="en-US"/>
        </w:rPr>
        <w:t xml:space="preserve"> and the C-terminal subdomains, which flank the core kinase domain with serine/threonine kinase activity (</w:t>
      </w:r>
      <w:r w:rsidRPr="00DD354F">
        <w:rPr>
          <w:b/>
          <w:shd w:val="clear" w:color="auto" w:fill="FFFFFF"/>
          <w:lang w:val="en-US"/>
        </w:rPr>
        <w:t xml:space="preserve">Fig. 1 </w:t>
      </w:r>
      <w:r w:rsidRPr="00DD354F">
        <w:rPr>
          <w:b/>
          <w:i/>
          <w:shd w:val="clear" w:color="auto" w:fill="FFFFFF"/>
          <w:lang w:val="en-US"/>
        </w:rPr>
        <w:t>A</w:t>
      </w:r>
      <w:r w:rsidRPr="00DD354F">
        <w:rPr>
          <w:shd w:val="clear" w:color="auto" w:fill="FFFFFF"/>
          <w:lang w:val="en-US"/>
        </w:rPr>
        <w:t>).</w:t>
      </w:r>
      <w:r w:rsidRPr="00DD354F">
        <w:rPr>
          <w:lang w:val="en-US"/>
        </w:rPr>
        <w:t xml:space="preserve"> The intracellular </w:t>
      </w:r>
      <w:proofErr w:type="spellStart"/>
      <w:r w:rsidRPr="00DD354F">
        <w:rPr>
          <w:lang w:val="en-US"/>
        </w:rPr>
        <w:t>juxtamembrane</w:t>
      </w:r>
      <w:proofErr w:type="spellEnd"/>
      <w:r w:rsidRPr="00DD354F">
        <w:rPr>
          <w:lang w:val="en-US"/>
        </w:rPr>
        <w:t xml:space="preserve"> domain is a likely recruitment site for interacting proteins and essential to facilitate downstream signaling </w:t>
      </w:r>
      <w:r w:rsidRPr="00DD354F">
        <w:rPr>
          <w:noProof/>
          <w:lang w:val="en-US"/>
        </w:rPr>
        <w:t>(17, 18)</w:t>
      </w:r>
      <w:r w:rsidRPr="00DD354F">
        <w:rPr>
          <w:lang w:val="en-US"/>
        </w:rPr>
        <w:t xml:space="preserve">. </w:t>
      </w:r>
      <w:r w:rsidRPr="00DD354F">
        <w:rPr>
          <w:i/>
          <w:lang w:val="en-US" w:eastAsia="en-US"/>
        </w:rPr>
        <w:t>ACR4</w:t>
      </w:r>
      <w:r w:rsidRPr="00DD354F">
        <w:rPr>
          <w:lang w:val="en-US" w:eastAsia="en-US"/>
        </w:rPr>
        <w:t xml:space="preserve"> is expressed throughout plant development in specific cells and tissues, such as </w:t>
      </w:r>
      <w:proofErr w:type="spellStart"/>
      <w:r w:rsidRPr="00DD354F">
        <w:rPr>
          <w:lang w:val="en-US" w:eastAsia="en-US"/>
        </w:rPr>
        <w:t>protoderm</w:t>
      </w:r>
      <w:proofErr w:type="spellEnd"/>
      <w:r w:rsidRPr="00DD354F">
        <w:rPr>
          <w:lang w:val="en-US" w:eastAsia="en-US"/>
        </w:rPr>
        <w:t xml:space="preserve">, </w:t>
      </w:r>
      <w:proofErr w:type="spellStart"/>
      <w:r w:rsidRPr="00DD354F">
        <w:rPr>
          <w:lang w:val="en-US" w:eastAsia="en-US"/>
        </w:rPr>
        <w:t>columella</w:t>
      </w:r>
      <w:proofErr w:type="spellEnd"/>
      <w:r w:rsidRPr="00DD354F">
        <w:rPr>
          <w:lang w:val="en-US" w:eastAsia="en-US"/>
        </w:rPr>
        <w:t xml:space="preserve"> and stage I lateral roots, and ACR4 preferentially localizes at </w:t>
      </w:r>
      <w:proofErr w:type="spellStart"/>
      <w:r w:rsidRPr="00DD354F">
        <w:rPr>
          <w:lang w:val="en-US" w:eastAsia="en-US"/>
        </w:rPr>
        <w:t>plasmodesmata</w:t>
      </w:r>
      <w:proofErr w:type="spellEnd"/>
      <w:r w:rsidRPr="00DD354F">
        <w:rPr>
          <w:lang w:val="en-US" w:eastAsia="en-US"/>
        </w:rPr>
        <w:t xml:space="preserve"> </w:t>
      </w:r>
      <w:r w:rsidRPr="00DD354F">
        <w:rPr>
          <w:noProof/>
          <w:lang w:val="en-US" w:eastAsia="en-US"/>
        </w:rPr>
        <w:t>(15, 19-21)</w:t>
      </w:r>
      <w:r w:rsidRPr="00DD354F">
        <w:rPr>
          <w:lang w:val="en-US" w:eastAsia="en-US"/>
        </w:rPr>
        <w:t xml:space="preserve">. In addition to its primary and lateral root phenotypes, </w:t>
      </w:r>
      <w:r w:rsidRPr="00DD354F">
        <w:rPr>
          <w:i/>
          <w:lang w:val="en-US" w:eastAsia="en-US"/>
        </w:rPr>
        <w:t>Arabidopsis</w:t>
      </w:r>
      <w:r w:rsidRPr="00DD354F">
        <w:rPr>
          <w:lang w:val="en-US" w:eastAsia="en-US"/>
        </w:rPr>
        <w:t xml:space="preserve"> loss-of-function </w:t>
      </w:r>
      <w:r w:rsidRPr="00DD354F">
        <w:rPr>
          <w:i/>
          <w:lang w:val="en-US" w:eastAsia="en-US"/>
        </w:rPr>
        <w:t>acr4</w:t>
      </w:r>
      <w:r w:rsidRPr="00DD354F">
        <w:rPr>
          <w:lang w:val="en-US" w:eastAsia="en-US"/>
        </w:rPr>
        <w:t xml:space="preserve"> mutants </w:t>
      </w:r>
      <w:r w:rsidRPr="00DD354F">
        <w:rPr>
          <w:lang w:val="en-US"/>
        </w:rPr>
        <w:t>are affected in maintaining epidermal cell identity,</w:t>
      </w:r>
      <w:r w:rsidRPr="00DD354F">
        <w:t xml:space="preserve"> </w:t>
      </w:r>
      <w:r w:rsidRPr="00DD354F">
        <w:lastRenderedPageBreak/>
        <w:t xml:space="preserve">including disorganized cell layers in the ovule integument </w:t>
      </w:r>
      <w:r w:rsidRPr="00DD354F">
        <w:rPr>
          <w:noProof/>
        </w:rPr>
        <w:t>(19, 21)</w:t>
      </w:r>
      <w:r w:rsidRPr="00DD354F">
        <w:rPr>
          <w:lang w:val="en-US" w:eastAsia="en-US"/>
        </w:rPr>
        <w:t>.</w:t>
      </w:r>
      <w:r w:rsidRPr="00DD354F">
        <w:rPr>
          <w:lang w:val="en-US"/>
        </w:rPr>
        <w:t xml:space="preserve"> Although ACR4 was the first receptor kinase to be assigned a role in root development </w:t>
      </w:r>
      <w:r w:rsidRPr="00DD354F">
        <w:rPr>
          <w:noProof/>
          <w:lang w:val="en-US"/>
        </w:rPr>
        <w:t>(5)</w:t>
      </w:r>
      <w:r w:rsidRPr="00DD354F">
        <w:rPr>
          <w:lang w:val="en-US"/>
        </w:rPr>
        <w:t xml:space="preserve">, </w:t>
      </w:r>
      <w:r w:rsidRPr="00DD354F">
        <w:rPr>
          <w:lang w:val="en-US" w:eastAsia="en-US"/>
        </w:rPr>
        <w:t xml:space="preserve">our knowledge about its signaling pathway in the root remains limited </w:t>
      </w:r>
      <w:r w:rsidRPr="00DD354F">
        <w:rPr>
          <w:noProof/>
          <w:lang w:val="en-US" w:eastAsia="en-US"/>
        </w:rPr>
        <w:t>(15, 22)</w:t>
      </w:r>
      <w:r w:rsidRPr="00DD354F">
        <w:rPr>
          <w:lang w:val="en-US" w:eastAsia="en-US"/>
        </w:rPr>
        <w:t>.</w:t>
      </w:r>
    </w:p>
    <w:p w:rsidR="00540468" w:rsidRPr="00DD354F" w:rsidRDefault="00540468" w:rsidP="00DD354F">
      <w:pPr>
        <w:spacing w:line="480" w:lineRule="auto"/>
        <w:ind w:firstLine="720"/>
        <w:jc w:val="both"/>
        <w:rPr>
          <w:lang w:val="en-US"/>
        </w:rPr>
      </w:pPr>
      <w:r w:rsidRPr="00DD354F">
        <w:rPr>
          <w:lang w:val="en-US"/>
        </w:rPr>
        <w:t xml:space="preserve">In addition to post-translational modifications such as phosphorylation, developmental programs and cellular functions largely rely on interactions between proteins, forming complex networks to control biological processes </w:t>
      </w:r>
      <w:r w:rsidRPr="00DD354F">
        <w:rPr>
          <w:noProof/>
          <w:lang w:val="en-US"/>
        </w:rPr>
        <w:t>(23)</w:t>
      </w:r>
      <w:r w:rsidRPr="00DD354F">
        <w:rPr>
          <w:lang w:val="en-US"/>
        </w:rPr>
        <w:t xml:space="preserve">. While membrane proteins play a crucial role in many biological processes, knowledge of the </w:t>
      </w:r>
      <w:r w:rsidRPr="00DD354F">
        <w:rPr>
          <w:i/>
          <w:lang w:val="en-US"/>
        </w:rPr>
        <w:t>in planta</w:t>
      </w:r>
      <w:r w:rsidRPr="00DD354F">
        <w:rPr>
          <w:lang w:val="en-US"/>
        </w:rPr>
        <w:t xml:space="preserve"> membrane </w:t>
      </w:r>
      <w:proofErr w:type="spellStart"/>
      <w:r w:rsidRPr="00DD354F">
        <w:rPr>
          <w:lang w:val="en-US"/>
        </w:rPr>
        <w:t>interactome</w:t>
      </w:r>
      <w:proofErr w:type="spellEnd"/>
      <w:r w:rsidRPr="00DD354F">
        <w:rPr>
          <w:lang w:val="en-US"/>
        </w:rPr>
        <w:t xml:space="preserve"> is limited </w:t>
      </w:r>
      <w:r w:rsidRPr="00DD354F">
        <w:rPr>
          <w:noProof/>
          <w:lang w:val="en-US"/>
        </w:rPr>
        <w:t>(23)</w:t>
      </w:r>
      <w:r w:rsidRPr="00DD354F">
        <w:rPr>
          <w:lang w:val="en-US"/>
        </w:rPr>
        <w:t xml:space="preserve">. Notwithstanding the recent progress with respect to global analyses of membrane protein interactions, so far ACR4 was not represented in a membrane-linked </w:t>
      </w:r>
      <w:r w:rsidRPr="00DD354F">
        <w:rPr>
          <w:i/>
          <w:lang w:val="en-US"/>
        </w:rPr>
        <w:t>Arabidopsis</w:t>
      </w:r>
      <w:r w:rsidRPr="00DD354F">
        <w:rPr>
          <w:lang w:val="en-US"/>
        </w:rPr>
        <w:t xml:space="preserve"> </w:t>
      </w:r>
      <w:proofErr w:type="spellStart"/>
      <w:r w:rsidRPr="00DD354F">
        <w:rPr>
          <w:lang w:val="en-US"/>
        </w:rPr>
        <w:t>interactome</w:t>
      </w:r>
      <w:proofErr w:type="spellEnd"/>
      <w:r w:rsidRPr="00DD354F">
        <w:rPr>
          <w:lang w:val="en-US"/>
        </w:rPr>
        <w:t xml:space="preserve"> </w:t>
      </w:r>
      <w:r w:rsidRPr="00DD354F">
        <w:rPr>
          <w:noProof/>
          <w:lang w:val="en-US"/>
        </w:rPr>
        <w:t>(24)</w:t>
      </w:r>
      <w:r w:rsidRPr="00DD354F">
        <w:rPr>
          <w:lang w:val="en-US"/>
        </w:rPr>
        <w:t xml:space="preserve">. Therefore, the objective of this study was to use ACR4-centered, protein-focused systems biology approaches to gain insight into the ACR4 signaling cascade and to identify new potential regulators of formative cell division. </w:t>
      </w:r>
    </w:p>
    <w:p w:rsidR="00540468" w:rsidRPr="00DD354F" w:rsidRDefault="00540468" w:rsidP="00DD354F">
      <w:pPr>
        <w:spacing w:line="480" w:lineRule="auto"/>
        <w:jc w:val="both"/>
        <w:rPr>
          <w:lang w:val="en-US"/>
        </w:rPr>
      </w:pPr>
    </w:p>
    <w:p w:rsidR="00540468" w:rsidRPr="00DD354F" w:rsidRDefault="00540468" w:rsidP="00DD354F">
      <w:pPr>
        <w:pStyle w:val="CommentText"/>
        <w:spacing w:line="480" w:lineRule="auto"/>
        <w:jc w:val="both"/>
        <w:rPr>
          <w:b/>
          <w:sz w:val="24"/>
          <w:szCs w:val="24"/>
          <w:lang w:val="en-US"/>
        </w:rPr>
      </w:pPr>
      <w:r w:rsidRPr="00DD354F">
        <w:rPr>
          <w:b/>
          <w:sz w:val="24"/>
          <w:szCs w:val="24"/>
          <w:lang w:val="en-US"/>
        </w:rPr>
        <w:t>RESULTS AND DISCUSSION</w:t>
      </w:r>
      <w:r w:rsidRPr="00DD354F">
        <w:rPr>
          <w:b/>
          <w:sz w:val="24"/>
          <w:szCs w:val="24"/>
          <w:lang w:val="en-US"/>
        </w:rPr>
        <w:tab/>
      </w:r>
    </w:p>
    <w:p w:rsidR="00540468" w:rsidRPr="00DD354F" w:rsidRDefault="00540468" w:rsidP="00DD354F">
      <w:pPr>
        <w:spacing w:line="480" w:lineRule="auto"/>
        <w:jc w:val="both"/>
        <w:rPr>
          <w:lang w:val="en-US"/>
        </w:rPr>
      </w:pPr>
      <w:proofErr w:type="gramStart"/>
      <w:r w:rsidRPr="00DD354F">
        <w:rPr>
          <w:b/>
          <w:lang w:val="en-US"/>
        </w:rPr>
        <w:t>Mapping putative ACR4 interactions.</w:t>
      </w:r>
      <w:proofErr w:type="gramEnd"/>
      <w:r w:rsidRPr="00DD354F">
        <w:rPr>
          <w:b/>
          <w:lang w:val="en-US"/>
        </w:rPr>
        <w:t xml:space="preserve"> </w:t>
      </w:r>
      <w:r w:rsidRPr="00DD354F">
        <w:rPr>
          <w:lang w:val="en-US"/>
        </w:rPr>
        <w:t xml:space="preserve">To identify novel regulators of formative cell division in </w:t>
      </w:r>
      <w:r w:rsidRPr="00DD354F">
        <w:rPr>
          <w:i/>
          <w:lang w:val="en-US"/>
        </w:rPr>
        <w:t>Arabidopsis</w:t>
      </w:r>
      <w:r w:rsidRPr="00DD354F">
        <w:rPr>
          <w:lang w:val="en-US"/>
        </w:rPr>
        <w:t xml:space="preserve">, we combined </w:t>
      </w:r>
      <w:r w:rsidRPr="00DD354F">
        <w:rPr>
          <w:i/>
          <w:lang w:val="en-US"/>
        </w:rPr>
        <w:t>in silico</w:t>
      </w:r>
      <w:r w:rsidRPr="00DD354F">
        <w:rPr>
          <w:lang w:val="en-US"/>
        </w:rPr>
        <w:t xml:space="preserve">, tandem affinity purification (TAP), yeast two-hybrid (Y2H), and phage display approaches to define potential ACR4-interacting proteins. Given the technical difficulties associated with plasma membrane proteins, we focused on intracellular ACR4 domains for our </w:t>
      </w:r>
      <w:r w:rsidRPr="00DD354F">
        <w:rPr>
          <w:i/>
          <w:lang w:val="en-US"/>
        </w:rPr>
        <w:t>in</w:t>
      </w:r>
      <w:r w:rsidRPr="00DD354F">
        <w:rPr>
          <w:lang w:val="en-US"/>
        </w:rPr>
        <w:t xml:space="preserve"> </w:t>
      </w:r>
      <w:r w:rsidRPr="00DD354F">
        <w:rPr>
          <w:i/>
          <w:lang w:val="en-US"/>
        </w:rPr>
        <w:t>vitro</w:t>
      </w:r>
      <w:r w:rsidRPr="00DD354F">
        <w:rPr>
          <w:lang w:val="en-US"/>
        </w:rPr>
        <w:t xml:space="preserve"> and </w:t>
      </w:r>
      <w:r w:rsidRPr="00DD354F">
        <w:rPr>
          <w:i/>
          <w:lang w:val="en-US"/>
        </w:rPr>
        <w:t>in vivo</w:t>
      </w:r>
      <w:r w:rsidRPr="00DD354F">
        <w:rPr>
          <w:lang w:val="en-US"/>
        </w:rPr>
        <w:t xml:space="preserve"> studies (</w:t>
      </w:r>
      <w:r w:rsidRPr="00DD354F">
        <w:rPr>
          <w:b/>
          <w:lang w:val="en-US"/>
        </w:rPr>
        <w:t xml:space="preserve">Fig. 1 </w:t>
      </w:r>
      <w:r w:rsidRPr="00DD354F">
        <w:rPr>
          <w:b/>
          <w:i/>
          <w:lang w:val="en-US"/>
        </w:rPr>
        <w:t>A</w:t>
      </w:r>
      <w:r w:rsidRPr="00DD354F">
        <w:rPr>
          <w:lang w:val="en-US"/>
        </w:rPr>
        <w:t xml:space="preserve">). We first </w:t>
      </w:r>
      <w:r w:rsidRPr="00DD354F">
        <w:rPr>
          <w:lang w:val="en-US" w:eastAsia="en-US"/>
        </w:rPr>
        <w:t xml:space="preserve">interrogated available </w:t>
      </w:r>
      <w:r w:rsidRPr="00DD354F">
        <w:rPr>
          <w:lang w:val="en-US"/>
        </w:rPr>
        <w:t xml:space="preserve">protein-protein interaction (PPI) databases for experimental and predicted interactions by applying the PPI tool within </w:t>
      </w:r>
      <w:r w:rsidRPr="00DD354F">
        <w:rPr>
          <w:lang w:val="en-US" w:eastAsia="en-US"/>
        </w:rPr>
        <w:t xml:space="preserve">CORNET 2.0 </w:t>
      </w:r>
      <w:r w:rsidRPr="00DD354F">
        <w:rPr>
          <w:noProof/>
          <w:lang w:val="en-US" w:eastAsia="en-US"/>
        </w:rPr>
        <w:t>(25)</w:t>
      </w:r>
      <w:r w:rsidRPr="00DD354F">
        <w:rPr>
          <w:lang w:val="en-US" w:eastAsia="en-US"/>
        </w:rPr>
        <w:t xml:space="preserve"> </w:t>
      </w:r>
      <w:r w:rsidRPr="00DD354F">
        <w:rPr>
          <w:lang w:val="en-US"/>
        </w:rPr>
        <w:t>to ACR4 (AT3G59420). This resulted in a network with 85 nodes which mainly lacked experimental validation (</w:t>
      </w:r>
      <w:r w:rsidRPr="00DD354F">
        <w:rPr>
          <w:b/>
          <w:lang w:val="en-US"/>
        </w:rPr>
        <w:t xml:space="preserve">Fig. </w:t>
      </w:r>
      <w:proofErr w:type="gramStart"/>
      <w:r w:rsidRPr="00DD354F">
        <w:rPr>
          <w:b/>
          <w:lang w:val="en-US"/>
        </w:rPr>
        <w:t xml:space="preserve">S2 and </w:t>
      </w:r>
      <w:r w:rsidRPr="00DD354F">
        <w:rPr>
          <w:b/>
          <w:i/>
          <w:lang w:val="en-US"/>
        </w:rPr>
        <w:t>SI Appendix</w:t>
      </w:r>
      <w:r w:rsidRPr="00DD354F">
        <w:rPr>
          <w:lang w:val="en-US"/>
        </w:rPr>
        <w:t>).</w:t>
      </w:r>
      <w:proofErr w:type="gramEnd"/>
      <w:r w:rsidRPr="00DD354F">
        <w:rPr>
          <w:lang w:val="en-US"/>
        </w:rPr>
        <w:t xml:space="preserve"> Second, we applied a TAP approach to </w:t>
      </w:r>
      <w:r w:rsidRPr="00DD354F">
        <w:rPr>
          <w:i/>
          <w:lang w:val="en-US"/>
        </w:rPr>
        <w:t>Arabidopsis</w:t>
      </w:r>
      <w:r w:rsidRPr="00DD354F">
        <w:rPr>
          <w:lang w:val="en-US"/>
        </w:rPr>
        <w:t xml:space="preserve"> cell suspension cultures expressing the N- or C-terminally tagged ACR4 intracellular kinase domain (</w:t>
      </w:r>
      <w:r w:rsidRPr="00DD354F">
        <w:rPr>
          <w:b/>
          <w:lang w:val="en-US"/>
        </w:rPr>
        <w:t xml:space="preserve">Fig. 1 </w:t>
      </w:r>
      <w:r w:rsidRPr="00DD354F">
        <w:rPr>
          <w:b/>
          <w:i/>
          <w:lang w:val="en-US"/>
        </w:rPr>
        <w:t>A</w:t>
      </w:r>
      <w:r w:rsidRPr="00DD354F">
        <w:rPr>
          <w:b/>
          <w:lang w:val="en-US"/>
        </w:rPr>
        <w:t xml:space="preserve"> and Fig. S3</w:t>
      </w:r>
      <w:r w:rsidRPr="00DD354F">
        <w:rPr>
          <w:lang w:val="en-US"/>
        </w:rPr>
        <w:t xml:space="preserve">). This analysis resulted in 4 putative ACR4-interacting </w:t>
      </w:r>
      <w:r w:rsidRPr="00DD354F">
        <w:rPr>
          <w:lang w:val="en-US"/>
        </w:rPr>
        <w:lastRenderedPageBreak/>
        <w:t xml:space="preserve">proteins, of which 2 occurred in at least 2 biological replicates and in both assays with N- and C-terminally tagged ACR4 intracellular kinase domain, and were not present in any </w:t>
      </w:r>
      <w:r w:rsidRPr="00DD354F">
        <w:rPr>
          <w:i/>
          <w:lang w:val="en-US"/>
        </w:rPr>
        <w:t>in house</w:t>
      </w:r>
      <w:r w:rsidRPr="00DD354F">
        <w:rPr>
          <w:lang w:val="en-US"/>
        </w:rPr>
        <w:t xml:space="preserve"> background list, namely </w:t>
      </w:r>
      <w:r w:rsidRPr="00DD354F">
        <w:rPr>
          <w:rStyle w:val="Strong"/>
          <w:b w:val="0"/>
          <w:caps/>
          <w:shd w:val="clear" w:color="auto" w:fill="FFFFFF"/>
        </w:rPr>
        <w:t>4-hydroxy-tetrahydrodipicolinate reductase 1</w:t>
      </w:r>
      <w:r w:rsidRPr="00DD354F">
        <w:rPr>
          <w:lang w:val="en-US"/>
        </w:rPr>
        <w:t xml:space="preserve"> (</w:t>
      </w:r>
      <w:r w:rsidRPr="00DD354F">
        <w:rPr>
          <w:shd w:val="clear" w:color="auto" w:fill="FFFFFF"/>
        </w:rPr>
        <w:t xml:space="preserve">HTPA </w:t>
      </w:r>
      <w:r w:rsidRPr="00DD354F">
        <w:rPr>
          <w:caps/>
          <w:shd w:val="clear" w:color="auto" w:fill="FFFFFF"/>
        </w:rPr>
        <w:t>reductase</w:t>
      </w:r>
      <w:r w:rsidRPr="00DD354F">
        <w:rPr>
          <w:shd w:val="clear" w:color="auto" w:fill="FFFFFF"/>
        </w:rPr>
        <w:t xml:space="preserve"> 1/</w:t>
      </w:r>
      <w:r w:rsidRPr="00DD354F">
        <w:rPr>
          <w:lang w:val="en-US"/>
        </w:rPr>
        <w:t xml:space="preserve">DAPB1; AT2G44040) and </w:t>
      </w:r>
      <w:r w:rsidRPr="00DD354F">
        <w:rPr>
          <w:shd w:val="clear" w:color="auto" w:fill="FFFFFF"/>
        </w:rPr>
        <w:t xml:space="preserve">HTPA </w:t>
      </w:r>
      <w:r w:rsidRPr="00DD354F">
        <w:rPr>
          <w:caps/>
          <w:shd w:val="clear" w:color="auto" w:fill="FFFFFF"/>
        </w:rPr>
        <w:t>reductase</w:t>
      </w:r>
      <w:r w:rsidRPr="00DD354F">
        <w:rPr>
          <w:shd w:val="clear" w:color="auto" w:fill="FFFFFF"/>
        </w:rPr>
        <w:t xml:space="preserve"> 2/</w:t>
      </w:r>
      <w:r w:rsidRPr="00DD354F">
        <w:rPr>
          <w:lang w:val="en-US"/>
        </w:rPr>
        <w:t>DAPB2 (AT3G59890) (</w:t>
      </w:r>
      <w:r w:rsidRPr="00DD354F">
        <w:rPr>
          <w:b/>
          <w:i/>
          <w:lang w:val="en-US"/>
        </w:rPr>
        <w:t>SI Appendix</w:t>
      </w:r>
      <w:r w:rsidRPr="00DD354F">
        <w:rPr>
          <w:lang w:val="en-US"/>
        </w:rPr>
        <w:t>). Based on TAP data alone, two other candidates,</w:t>
      </w:r>
      <w:r w:rsidRPr="00DD354F">
        <w:t xml:space="preserve"> </w:t>
      </w:r>
      <w:r w:rsidRPr="00DD354F">
        <w:rPr>
          <w:shd w:val="clear" w:color="auto" w:fill="FFFFFF"/>
        </w:rPr>
        <w:t>PROTEIN PHOSPHATASE 2A-3</w:t>
      </w:r>
      <w:r w:rsidRPr="00DD354F">
        <w:t xml:space="preserve"> (PP2A-3; AT2G42500) and </w:t>
      </w:r>
      <w:r w:rsidRPr="00DD354F">
        <w:rPr>
          <w:shd w:val="clear" w:color="auto" w:fill="FFFFFF"/>
        </w:rPr>
        <w:t>PP2A-4 (</w:t>
      </w:r>
      <w:r w:rsidRPr="00DD354F">
        <w:t>AT3G58500</w:t>
      </w:r>
      <w:proofErr w:type="gramStart"/>
      <w:r w:rsidRPr="00DD354F">
        <w:t>),</w:t>
      </w:r>
      <w:proofErr w:type="gramEnd"/>
      <w:r w:rsidRPr="00DD354F">
        <w:rPr>
          <w:lang w:val="en-US"/>
        </w:rPr>
        <w:t xml:space="preserve"> could not be conclusively identified as </w:t>
      </w:r>
      <w:r w:rsidRPr="00DD354F">
        <w:rPr>
          <w:i/>
          <w:lang w:val="en-US"/>
        </w:rPr>
        <w:t>bona fide</w:t>
      </w:r>
      <w:r w:rsidRPr="00DD354F">
        <w:rPr>
          <w:lang w:val="en-US"/>
        </w:rPr>
        <w:t xml:space="preserve"> ACR4-interacting proteins as they were only detected in one technical repeat. Third, we applied a conventional high throughput Y2H assay to screen for potential interactions with the ACR4 intracellular domain (</w:t>
      </w:r>
      <w:r w:rsidRPr="00DD354F">
        <w:rPr>
          <w:b/>
          <w:lang w:val="en-US"/>
        </w:rPr>
        <w:t xml:space="preserve">Fig. 1 </w:t>
      </w:r>
      <w:r w:rsidRPr="00DD354F">
        <w:rPr>
          <w:b/>
          <w:i/>
          <w:lang w:val="en-US"/>
        </w:rPr>
        <w:t>A</w:t>
      </w:r>
      <w:r w:rsidRPr="00DD354F">
        <w:rPr>
          <w:lang w:val="en-US"/>
        </w:rPr>
        <w:t>). This revealed 4 potential ACR4-interacting proteins with high confidence (</w:t>
      </w:r>
      <w:r w:rsidRPr="00DD354F">
        <w:rPr>
          <w:b/>
          <w:i/>
          <w:lang w:val="en-US"/>
        </w:rPr>
        <w:t>SI Appendix</w:t>
      </w:r>
      <w:r w:rsidRPr="00DD354F">
        <w:rPr>
          <w:lang w:val="en-US"/>
        </w:rPr>
        <w:t>). Finally, we screened a synthetic 15-mer peptide encompassing the Ser</w:t>
      </w:r>
      <w:r w:rsidRPr="00DD354F">
        <w:rPr>
          <w:vertAlign w:val="superscript"/>
          <w:lang w:val="en-US"/>
        </w:rPr>
        <w:t xml:space="preserve">475 </w:t>
      </w:r>
      <w:r w:rsidRPr="00DD354F">
        <w:rPr>
          <w:lang w:val="en-US"/>
        </w:rPr>
        <w:t xml:space="preserve">phosphorylation site within the intracellular </w:t>
      </w:r>
      <w:proofErr w:type="spellStart"/>
      <w:r w:rsidRPr="00DD354F">
        <w:rPr>
          <w:lang w:val="en-US"/>
        </w:rPr>
        <w:t>juxtamembrane</w:t>
      </w:r>
      <w:proofErr w:type="spellEnd"/>
      <w:r w:rsidRPr="00DD354F">
        <w:rPr>
          <w:lang w:val="en-US"/>
        </w:rPr>
        <w:t xml:space="preserve"> domain of ACR4 (</w:t>
      </w:r>
      <w:r w:rsidRPr="00DD354F">
        <w:rPr>
          <w:b/>
          <w:lang w:val="en-US"/>
        </w:rPr>
        <w:t xml:space="preserve">Fig. 1 </w:t>
      </w:r>
      <w:r w:rsidRPr="00DD354F">
        <w:rPr>
          <w:b/>
          <w:i/>
          <w:lang w:val="en-US"/>
        </w:rPr>
        <w:t>A</w:t>
      </w:r>
      <w:r w:rsidRPr="00DD354F">
        <w:rPr>
          <w:lang w:val="en-US"/>
        </w:rPr>
        <w:t xml:space="preserve">) against a 21-amino acid phage-peptide library </w:t>
      </w:r>
      <w:r w:rsidRPr="00DD354F">
        <w:rPr>
          <w:noProof/>
          <w:lang w:val="en-US"/>
        </w:rPr>
        <w:t>(26, 27)</w:t>
      </w:r>
      <w:r w:rsidRPr="00DD354F">
        <w:rPr>
          <w:lang w:val="en-US"/>
        </w:rPr>
        <w:t xml:space="preserve">. When the resulting consensus binding motifs for the phosphorylated peptide were queried against the </w:t>
      </w:r>
      <w:r w:rsidRPr="00DD354F">
        <w:rPr>
          <w:i/>
          <w:lang w:val="en-US"/>
        </w:rPr>
        <w:t>Arabidopsis</w:t>
      </w:r>
      <w:r w:rsidRPr="00DD354F">
        <w:rPr>
          <w:lang w:val="en-US"/>
        </w:rPr>
        <w:t xml:space="preserve"> protein database, over 4000 potential ACR4-interacting proteins were identified (</w:t>
      </w:r>
      <w:r w:rsidRPr="00DD354F">
        <w:rPr>
          <w:b/>
          <w:i/>
          <w:lang w:val="en-US"/>
        </w:rPr>
        <w:t>SI Appendix</w:t>
      </w:r>
      <w:r w:rsidRPr="00DD354F">
        <w:rPr>
          <w:lang w:val="en-US"/>
        </w:rPr>
        <w:t>). Taken together, our complementary approaches identified several putative ACR4-interacting proteins, but when we searched for overlap between the different approaches this was limited to absent (</w:t>
      </w:r>
      <w:r w:rsidRPr="00DD354F">
        <w:rPr>
          <w:b/>
          <w:i/>
          <w:lang w:val="en-US"/>
        </w:rPr>
        <w:t>SI Appendix</w:t>
      </w:r>
      <w:r w:rsidRPr="00DD354F">
        <w:rPr>
          <w:lang w:val="en-US"/>
        </w:rPr>
        <w:t>). This could mean that different approaches yielded different subsets of putative ACR4-interacting proteins or that we picked a large number of likely false-positives.</w:t>
      </w:r>
    </w:p>
    <w:p w:rsidR="00DD354F" w:rsidRDefault="00540468" w:rsidP="00DD354F">
      <w:pPr>
        <w:pStyle w:val="Heading3"/>
        <w:shd w:val="clear" w:color="auto" w:fill="FFFFFF"/>
        <w:spacing w:before="0" w:beforeAutospacing="0" w:after="0" w:afterAutospacing="0" w:line="480" w:lineRule="auto"/>
        <w:jc w:val="both"/>
        <w:rPr>
          <w:sz w:val="24"/>
          <w:szCs w:val="24"/>
          <w:lang w:val="en-US"/>
        </w:rPr>
      </w:pPr>
      <w:proofErr w:type="gramStart"/>
      <w:r w:rsidRPr="00DD354F">
        <w:rPr>
          <w:i/>
          <w:sz w:val="24"/>
          <w:szCs w:val="24"/>
          <w:lang w:val="en-US"/>
        </w:rPr>
        <w:t>In silico</w:t>
      </w:r>
      <w:r w:rsidRPr="00DD354F">
        <w:rPr>
          <w:sz w:val="24"/>
          <w:szCs w:val="24"/>
          <w:lang w:val="en-US"/>
        </w:rPr>
        <w:t xml:space="preserve"> quality assessment of putative ACR4 interactions.</w:t>
      </w:r>
      <w:proofErr w:type="gramEnd"/>
      <w:r w:rsidRPr="00DD354F">
        <w:rPr>
          <w:b w:val="0"/>
          <w:sz w:val="24"/>
          <w:szCs w:val="24"/>
          <w:lang w:val="en-US"/>
        </w:rPr>
        <w:t xml:space="preserve"> To increase the confidence in the potential ACR4-interacting proteins listed in </w:t>
      </w:r>
      <w:r w:rsidRPr="00DD354F">
        <w:rPr>
          <w:i/>
          <w:sz w:val="24"/>
          <w:szCs w:val="24"/>
          <w:lang w:val="en-US"/>
        </w:rPr>
        <w:t>SI Appendix</w:t>
      </w:r>
      <w:r w:rsidRPr="00DD354F" w:rsidDel="006660B8">
        <w:rPr>
          <w:b w:val="0"/>
          <w:sz w:val="24"/>
          <w:szCs w:val="24"/>
          <w:lang w:val="en-US"/>
        </w:rPr>
        <w:t xml:space="preserve"> </w:t>
      </w:r>
      <w:r w:rsidRPr="00DD354F">
        <w:rPr>
          <w:b w:val="0"/>
          <w:sz w:val="24"/>
          <w:szCs w:val="24"/>
          <w:lang w:val="en-US"/>
        </w:rPr>
        <w:t xml:space="preserve">and to select candidates for functional analyses, we performed in depth </w:t>
      </w:r>
      <w:r w:rsidRPr="00DD354F">
        <w:rPr>
          <w:b w:val="0"/>
          <w:i/>
          <w:sz w:val="24"/>
          <w:szCs w:val="24"/>
          <w:lang w:val="en-US"/>
        </w:rPr>
        <w:t>in silico</w:t>
      </w:r>
      <w:r w:rsidRPr="00DD354F">
        <w:rPr>
          <w:b w:val="0"/>
          <w:sz w:val="24"/>
          <w:szCs w:val="24"/>
          <w:lang w:val="en-US"/>
        </w:rPr>
        <w:t xml:space="preserve"> quality assessment. Correlated gene expression is an indicator of co-functionality of genes in common pathways and processes </w:t>
      </w:r>
      <w:r w:rsidRPr="00DD354F">
        <w:rPr>
          <w:b w:val="0"/>
          <w:noProof/>
          <w:sz w:val="24"/>
          <w:szCs w:val="24"/>
          <w:lang w:val="en-US"/>
        </w:rPr>
        <w:t>(28)</w:t>
      </w:r>
      <w:r w:rsidRPr="00DD354F">
        <w:rPr>
          <w:b w:val="0"/>
          <w:sz w:val="24"/>
          <w:szCs w:val="24"/>
          <w:lang w:val="en-US"/>
        </w:rPr>
        <w:t xml:space="preserve">, and interacting proteins are often significantly co-expressed. First, we used CORNET 2.0 </w:t>
      </w:r>
      <w:r w:rsidRPr="00DD354F">
        <w:rPr>
          <w:b w:val="0"/>
          <w:noProof/>
          <w:sz w:val="24"/>
          <w:szCs w:val="24"/>
          <w:lang w:val="en-US"/>
        </w:rPr>
        <w:t>(25)</w:t>
      </w:r>
      <w:r w:rsidRPr="00DD354F">
        <w:rPr>
          <w:b w:val="0"/>
          <w:sz w:val="24"/>
          <w:szCs w:val="24"/>
          <w:lang w:val="en-US"/>
        </w:rPr>
        <w:t xml:space="preserve"> to globally explore co-expression of </w:t>
      </w:r>
      <w:r w:rsidRPr="00DD354F">
        <w:rPr>
          <w:b w:val="0"/>
          <w:i/>
          <w:sz w:val="24"/>
          <w:szCs w:val="24"/>
          <w:lang w:val="en-US"/>
        </w:rPr>
        <w:t>ACR4</w:t>
      </w:r>
      <w:r w:rsidRPr="00DD354F">
        <w:rPr>
          <w:b w:val="0"/>
          <w:sz w:val="24"/>
          <w:szCs w:val="24"/>
          <w:lang w:val="en-US"/>
        </w:rPr>
        <w:t xml:space="preserve"> and genes encoding potential ACR4-</w:t>
      </w:r>
      <w:r w:rsidRPr="00DD354F">
        <w:rPr>
          <w:b w:val="0"/>
          <w:sz w:val="24"/>
          <w:szCs w:val="24"/>
          <w:lang w:val="en-US"/>
        </w:rPr>
        <w:lastRenderedPageBreak/>
        <w:t>interacting proteins, which showed some co-expression (Pearson correlation coefficient &gt; 0.55) between ACR4 and some CORNET (2/85) and phage display hits (44/4402) (</w:t>
      </w:r>
      <w:r w:rsidRPr="00DD354F">
        <w:rPr>
          <w:i/>
          <w:sz w:val="24"/>
          <w:szCs w:val="24"/>
          <w:lang w:val="en-US"/>
        </w:rPr>
        <w:t>SI Appendix</w:t>
      </w:r>
      <w:r w:rsidRPr="00DD354F">
        <w:rPr>
          <w:b w:val="0"/>
          <w:sz w:val="24"/>
          <w:szCs w:val="24"/>
          <w:lang w:val="en-US"/>
        </w:rPr>
        <w:t xml:space="preserve">). Second, to further support potential PPIs in the root tip and during lateral root initiation, we used available cell- and tissue-specific transcript profiling datasets </w:t>
      </w:r>
      <w:r w:rsidRPr="00DD354F">
        <w:rPr>
          <w:b w:val="0"/>
          <w:noProof/>
          <w:sz w:val="24"/>
          <w:szCs w:val="24"/>
          <w:lang w:val="en-US"/>
        </w:rPr>
        <w:t>(5, 29)</w:t>
      </w:r>
      <w:r w:rsidRPr="00DD354F">
        <w:rPr>
          <w:b w:val="0"/>
          <w:sz w:val="24"/>
          <w:szCs w:val="24"/>
          <w:lang w:val="en-US"/>
        </w:rPr>
        <w:t xml:space="preserve">. </w:t>
      </w:r>
      <w:proofErr w:type="gramStart"/>
      <w:r w:rsidRPr="00DD354F">
        <w:rPr>
          <w:b w:val="0"/>
          <w:sz w:val="24"/>
          <w:szCs w:val="24"/>
          <w:lang w:val="en-US"/>
        </w:rPr>
        <w:t xml:space="preserve">Visualization of root tip </w:t>
      </w:r>
      <w:r w:rsidRPr="00DD354F">
        <w:rPr>
          <w:b w:val="0"/>
          <w:i/>
          <w:sz w:val="24"/>
          <w:szCs w:val="24"/>
          <w:lang w:val="en-US"/>
        </w:rPr>
        <w:t>in silico</w:t>
      </w:r>
      <w:r w:rsidRPr="00DD354F">
        <w:rPr>
          <w:b w:val="0"/>
          <w:sz w:val="24"/>
          <w:szCs w:val="24"/>
          <w:lang w:val="en-US"/>
        </w:rPr>
        <w:t xml:space="preserve"> expression patterns for TAP (3/4) and Y2H candidates (2/4) through the BAR Arabidopsis </w:t>
      </w:r>
      <w:proofErr w:type="spellStart"/>
      <w:r w:rsidRPr="00DD354F">
        <w:rPr>
          <w:b w:val="0"/>
          <w:sz w:val="24"/>
          <w:szCs w:val="24"/>
          <w:lang w:val="en-US"/>
        </w:rPr>
        <w:t>eFP</w:t>
      </w:r>
      <w:proofErr w:type="spellEnd"/>
      <w:r w:rsidRPr="00DD354F">
        <w:rPr>
          <w:b w:val="0"/>
          <w:sz w:val="24"/>
          <w:szCs w:val="24"/>
          <w:lang w:val="en-US"/>
        </w:rPr>
        <w:t xml:space="preserve"> Browser </w:t>
      </w:r>
      <w:r w:rsidRPr="00DD354F">
        <w:rPr>
          <w:b w:val="0"/>
          <w:noProof/>
          <w:sz w:val="24"/>
          <w:szCs w:val="24"/>
          <w:lang w:val="en-US"/>
        </w:rPr>
        <w:t>(30)</w:t>
      </w:r>
      <w:r w:rsidRPr="00DD354F">
        <w:rPr>
          <w:b w:val="0"/>
          <w:sz w:val="24"/>
          <w:szCs w:val="24"/>
          <w:lang w:val="en-US"/>
        </w:rPr>
        <w:t xml:space="preserve">, revealed distinct expression patterns that, at least partially, overlapped with the </w:t>
      </w:r>
      <w:r w:rsidRPr="00DD354F">
        <w:rPr>
          <w:b w:val="0"/>
          <w:i/>
          <w:sz w:val="24"/>
          <w:szCs w:val="24"/>
          <w:lang w:val="en-US"/>
        </w:rPr>
        <w:t>ACR4</w:t>
      </w:r>
      <w:r w:rsidRPr="00DD354F">
        <w:rPr>
          <w:b w:val="0"/>
          <w:sz w:val="24"/>
          <w:szCs w:val="24"/>
          <w:lang w:val="en-US"/>
        </w:rPr>
        <w:t xml:space="preserve"> expression domain (</w:t>
      </w:r>
      <w:r w:rsidRPr="00DD354F">
        <w:rPr>
          <w:sz w:val="24"/>
          <w:szCs w:val="24"/>
          <w:lang w:val="en-US"/>
        </w:rPr>
        <w:t>Fig.</w:t>
      </w:r>
      <w:proofErr w:type="gramEnd"/>
      <w:r w:rsidRPr="00DD354F">
        <w:rPr>
          <w:sz w:val="24"/>
          <w:szCs w:val="24"/>
          <w:lang w:val="en-US"/>
        </w:rPr>
        <w:t xml:space="preserve"> S2</w:t>
      </w:r>
      <w:r w:rsidRPr="00DD354F">
        <w:rPr>
          <w:b w:val="0"/>
          <w:sz w:val="24"/>
          <w:szCs w:val="24"/>
          <w:lang w:val="en-US"/>
        </w:rPr>
        <w:t xml:space="preserve">). In addition, some of the CORNET (8/85) and </w:t>
      </w:r>
      <w:r w:rsidRPr="00DD354F">
        <w:rPr>
          <w:b w:val="0"/>
          <w:caps/>
          <w:sz w:val="24"/>
          <w:szCs w:val="24"/>
          <w:lang w:val="en-US"/>
        </w:rPr>
        <w:t>phage display</w:t>
      </w:r>
      <w:r w:rsidRPr="00DD354F">
        <w:rPr>
          <w:b w:val="0"/>
          <w:sz w:val="24"/>
          <w:szCs w:val="24"/>
          <w:lang w:val="en-US"/>
        </w:rPr>
        <w:t xml:space="preserve"> candidates (360/4402) were – similar to </w:t>
      </w:r>
      <w:r w:rsidRPr="00DD354F">
        <w:rPr>
          <w:b w:val="0"/>
          <w:i/>
          <w:sz w:val="24"/>
          <w:szCs w:val="24"/>
          <w:lang w:val="en-US"/>
        </w:rPr>
        <w:t>ACR4</w:t>
      </w:r>
      <w:r w:rsidRPr="00DD354F">
        <w:rPr>
          <w:b w:val="0"/>
          <w:sz w:val="24"/>
          <w:szCs w:val="24"/>
          <w:lang w:val="en-US"/>
        </w:rPr>
        <w:t xml:space="preserve"> – also transcriptionally differentially regulated in a transcriptome study of </w:t>
      </w:r>
      <w:proofErr w:type="spellStart"/>
      <w:r w:rsidRPr="00DD354F">
        <w:rPr>
          <w:b w:val="0"/>
          <w:sz w:val="24"/>
          <w:szCs w:val="24"/>
          <w:lang w:val="en-US"/>
        </w:rPr>
        <w:t>pericycle</w:t>
      </w:r>
      <w:proofErr w:type="spellEnd"/>
      <w:r w:rsidRPr="00DD354F">
        <w:rPr>
          <w:b w:val="0"/>
          <w:sz w:val="24"/>
          <w:szCs w:val="24"/>
          <w:lang w:val="en-US"/>
        </w:rPr>
        <w:t xml:space="preserve"> cells undergoing lateral root initiation </w:t>
      </w:r>
      <w:r w:rsidRPr="00DD354F">
        <w:rPr>
          <w:b w:val="0"/>
          <w:noProof/>
          <w:sz w:val="24"/>
          <w:szCs w:val="24"/>
          <w:lang w:val="en-US"/>
        </w:rPr>
        <w:t>(5)</w:t>
      </w:r>
      <w:r w:rsidRPr="00DD354F">
        <w:rPr>
          <w:b w:val="0"/>
          <w:sz w:val="24"/>
          <w:szCs w:val="24"/>
          <w:lang w:val="en-US"/>
        </w:rPr>
        <w:t xml:space="preserve"> (</w:t>
      </w:r>
      <w:r w:rsidRPr="00DD354F">
        <w:rPr>
          <w:i/>
          <w:sz w:val="24"/>
          <w:szCs w:val="24"/>
          <w:lang w:val="en-US"/>
        </w:rPr>
        <w:t>SI Appendix</w:t>
      </w:r>
      <w:r w:rsidRPr="00DD354F">
        <w:rPr>
          <w:b w:val="0"/>
          <w:sz w:val="24"/>
          <w:szCs w:val="24"/>
          <w:lang w:val="en-US"/>
        </w:rPr>
        <w:t xml:space="preserve">). Based on the above observations, we generated a priority list for CORNET, TAP, Y2H and </w:t>
      </w:r>
      <w:r w:rsidRPr="00DD354F">
        <w:rPr>
          <w:b w:val="0"/>
          <w:caps/>
          <w:sz w:val="24"/>
          <w:szCs w:val="24"/>
          <w:lang w:val="en-US"/>
        </w:rPr>
        <w:t>phage display</w:t>
      </w:r>
      <w:r w:rsidRPr="00DD354F">
        <w:rPr>
          <w:b w:val="0"/>
          <w:sz w:val="24"/>
          <w:szCs w:val="24"/>
          <w:lang w:val="en-US"/>
        </w:rPr>
        <w:t xml:space="preserve"> hits, narrowing down the number of candidates from 4495 to 525 (</w:t>
      </w:r>
      <w:r w:rsidRPr="00DD354F">
        <w:rPr>
          <w:i/>
          <w:sz w:val="24"/>
          <w:szCs w:val="24"/>
          <w:lang w:val="en-US"/>
        </w:rPr>
        <w:t>SI Appendix</w:t>
      </w:r>
      <w:r w:rsidRPr="00DD354F">
        <w:rPr>
          <w:b w:val="0"/>
          <w:sz w:val="24"/>
          <w:szCs w:val="24"/>
          <w:lang w:val="en-US"/>
        </w:rPr>
        <w:t xml:space="preserve">). Next, to globally assess interactions between ACR4 and potential interacting proteins, we used the PPI tool within CORNET 2.0 </w:t>
      </w:r>
      <w:r w:rsidRPr="00DD354F">
        <w:rPr>
          <w:b w:val="0"/>
          <w:noProof/>
          <w:sz w:val="24"/>
          <w:szCs w:val="24"/>
          <w:lang w:val="en-US" w:eastAsia="en-US"/>
        </w:rPr>
        <w:t>(25)</w:t>
      </w:r>
      <w:r w:rsidRPr="00DD354F">
        <w:rPr>
          <w:b w:val="0"/>
          <w:sz w:val="24"/>
          <w:szCs w:val="24"/>
          <w:lang w:val="en-US"/>
        </w:rPr>
        <w:t xml:space="preserve">. Indeed, several of the CORNET, Y2H, TAP and prioritized </w:t>
      </w:r>
      <w:r w:rsidRPr="00DD354F">
        <w:rPr>
          <w:b w:val="0"/>
          <w:caps/>
          <w:sz w:val="24"/>
          <w:szCs w:val="24"/>
          <w:lang w:val="en-US"/>
        </w:rPr>
        <w:t>phage display</w:t>
      </w:r>
      <w:r w:rsidRPr="00DD354F">
        <w:rPr>
          <w:b w:val="0"/>
          <w:sz w:val="24"/>
          <w:szCs w:val="24"/>
          <w:lang w:val="en-US"/>
        </w:rPr>
        <w:t xml:space="preserve"> hits are connected with ACR4 and with each other in predicted and experimentally validated protein-protein interaction networks focusing on pairwise interactions (</w:t>
      </w:r>
      <w:r w:rsidRPr="00DD354F">
        <w:rPr>
          <w:i/>
          <w:sz w:val="24"/>
          <w:szCs w:val="24"/>
          <w:lang w:val="en-US"/>
        </w:rPr>
        <w:t>SI Appendix</w:t>
      </w:r>
      <w:r w:rsidRPr="00DD354F">
        <w:rPr>
          <w:b w:val="0"/>
          <w:sz w:val="24"/>
          <w:szCs w:val="24"/>
          <w:lang w:val="en-US"/>
        </w:rPr>
        <w:t>). To gain insight in the molecular functions represented in this protein-protein interaction network, we determined that several statistically overrepresented Gene Ontology (GO) categories with respect to biological process (5%) and molecular function (5%) were related to phosphorylation (</w:t>
      </w:r>
      <w:r w:rsidRPr="00DD354F">
        <w:rPr>
          <w:i/>
          <w:sz w:val="24"/>
          <w:szCs w:val="24"/>
          <w:lang w:val="en-US"/>
        </w:rPr>
        <w:t>SI Appendix</w:t>
      </w:r>
      <w:r w:rsidRPr="00DD354F">
        <w:rPr>
          <w:b w:val="0"/>
          <w:sz w:val="24"/>
          <w:szCs w:val="24"/>
          <w:lang w:val="en-US"/>
        </w:rPr>
        <w:t xml:space="preserve">), which is in agreement with the fact that ACR4 is a receptor kinase. Taken together, through our </w:t>
      </w:r>
      <w:r w:rsidRPr="00DD354F">
        <w:rPr>
          <w:b w:val="0"/>
          <w:i/>
          <w:sz w:val="24"/>
          <w:szCs w:val="24"/>
          <w:lang w:val="en-US"/>
        </w:rPr>
        <w:t>in silico</w:t>
      </w:r>
      <w:r w:rsidRPr="00DD354F">
        <w:rPr>
          <w:b w:val="0"/>
          <w:sz w:val="24"/>
          <w:szCs w:val="24"/>
          <w:lang w:val="en-US"/>
        </w:rPr>
        <w:t xml:space="preserve"> assessment we increased the confidence in a subset of potential ACR4-interacting proteins (</w:t>
      </w:r>
      <w:r w:rsidRPr="00DD354F">
        <w:rPr>
          <w:i/>
          <w:sz w:val="24"/>
          <w:szCs w:val="24"/>
          <w:lang w:val="en-US"/>
        </w:rPr>
        <w:t>SI Appendix</w:t>
      </w:r>
      <w:r w:rsidRPr="00DD354F">
        <w:rPr>
          <w:b w:val="0"/>
          <w:sz w:val="24"/>
          <w:szCs w:val="24"/>
          <w:lang w:val="en-US"/>
        </w:rPr>
        <w:t xml:space="preserve">). However, our dataset is not necessarily comprehensive, as, for example, </w:t>
      </w:r>
      <w:r w:rsidRPr="00DD354F">
        <w:rPr>
          <w:b w:val="0"/>
          <w:sz w:val="24"/>
          <w:szCs w:val="24"/>
          <w:shd w:val="clear" w:color="auto" w:fill="FFFFFF"/>
          <w:lang w:val="en-US"/>
        </w:rPr>
        <w:t>WUSCHEL RELATED HOMEOBOX 5 (</w:t>
      </w:r>
      <w:r w:rsidRPr="00DD354F">
        <w:rPr>
          <w:b w:val="0"/>
          <w:sz w:val="24"/>
          <w:szCs w:val="24"/>
          <w:lang w:val="en-US"/>
        </w:rPr>
        <w:t xml:space="preserve">WOX5), </w:t>
      </w:r>
      <w:r w:rsidRPr="00DD354F">
        <w:rPr>
          <w:b w:val="0"/>
          <w:sz w:val="24"/>
          <w:szCs w:val="24"/>
          <w:shd w:val="clear" w:color="auto" w:fill="FFFFFF"/>
          <w:lang w:val="en-US"/>
        </w:rPr>
        <w:t>CRINKLY4-RELATED (CCR) proteins,</w:t>
      </w:r>
      <w:r w:rsidRPr="00DD354F">
        <w:rPr>
          <w:b w:val="0"/>
          <w:sz w:val="24"/>
          <w:szCs w:val="24"/>
          <w:lang w:val="en-US"/>
        </w:rPr>
        <w:t xml:space="preserve"> and CLAVATA1 (CLV1), which were shown to interact with ACR4 </w:t>
      </w:r>
      <w:r w:rsidRPr="00DD354F">
        <w:rPr>
          <w:b w:val="0"/>
          <w:noProof/>
          <w:sz w:val="24"/>
          <w:szCs w:val="24"/>
          <w:lang w:val="en-US"/>
        </w:rPr>
        <w:t>(15, 31)</w:t>
      </w:r>
      <w:r w:rsidRPr="00DD354F">
        <w:rPr>
          <w:b w:val="0"/>
          <w:sz w:val="24"/>
          <w:szCs w:val="24"/>
          <w:lang w:val="en-US"/>
        </w:rPr>
        <w:t>, were not retained.</w:t>
      </w:r>
      <w:r w:rsidRPr="00DD354F">
        <w:rPr>
          <w:sz w:val="24"/>
          <w:szCs w:val="24"/>
          <w:lang w:val="en-US"/>
        </w:rPr>
        <w:t xml:space="preserve"> </w:t>
      </w:r>
    </w:p>
    <w:p w:rsidR="00540468" w:rsidRPr="00DD354F" w:rsidRDefault="00540468" w:rsidP="00DD354F">
      <w:pPr>
        <w:pStyle w:val="Heading3"/>
        <w:shd w:val="clear" w:color="auto" w:fill="FFFFFF"/>
        <w:spacing w:before="0" w:beforeAutospacing="0" w:after="0" w:afterAutospacing="0" w:line="480" w:lineRule="auto"/>
        <w:jc w:val="both"/>
        <w:rPr>
          <w:b w:val="0"/>
          <w:sz w:val="24"/>
          <w:szCs w:val="24"/>
          <w:shd w:val="clear" w:color="auto" w:fill="FFFFFF"/>
          <w:lang w:val="en-US"/>
        </w:rPr>
      </w:pPr>
      <w:r w:rsidRPr="00DD354F">
        <w:rPr>
          <w:sz w:val="24"/>
          <w:szCs w:val="24"/>
          <w:lang w:val="en-US"/>
        </w:rPr>
        <w:lastRenderedPageBreak/>
        <w:t>ACR4 interacts with PP2A-3.</w:t>
      </w:r>
      <w:r w:rsidRPr="00DD354F">
        <w:rPr>
          <w:b w:val="0"/>
          <w:sz w:val="24"/>
          <w:szCs w:val="24"/>
          <w:lang w:val="en-US"/>
        </w:rPr>
        <w:t xml:space="preserve"> Taking the results of </w:t>
      </w:r>
      <w:r w:rsidRPr="00DD354F">
        <w:rPr>
          <w:i/>
          <w:sz w:val="24"/>
          <w:szCs w:val="24"/>
          <w:lang w:val="en-US"/>
        </w:rPr>
        <w:t>SI Appendix</w:t>
      </w:r>
      <w:r w:rsidRPr="00DD354F">
        <w:rPr>
          <w:b w:val="0"/>
          <w:sz w:val="24"/>
          <w:szCs w:val="24"/>
          <w:lang w:val="en-US"/>
        </w:rPr>
        <w:t xml:space="preserve"> into account allowed us to impose additional criteria to select candidates for functional analyses.</w:t>
      </w:r>
      <w:r w:rsidRPr="00DD354F">
        <w:rPr>
          <w:sz w:val="24"/>
          <w:szCs w:val="24"/>
          <w:lang w:val="en-US"/>
        </w:rPr>
        <w:t xml:space="preserve"> </w:t>
      </w:r>
      <w:r w:rsidRPr="00DD354F">
        <w:rPr>
          <w:b w:val="0"/>
          <w:sz w:val="24"/>
          <w:szCs w:val="24"/>
          <w:lang w:val="en-US"/>
        </w:rPr>
        <w:t>Among the candidates selected by at least two approaches and with a high score in the priority list (</w:t>
      </w:r>
      <w:r w:rsidRPr="00DD354F">
        <w:rPr>
          <w:i/>
          <w:sz w:val="24"/>
          <w:szCs w:val="24"/>
          <w:lang w:val="en-US"/>
        </w:rPr>
        <w:t>SI Appendix</w:t>
      </w:r>
      <w:r w:rsidRPr="00DD354F">
        <w:rPr>
          <w:b w:val="0"/>
          <w:sz w:val="24"/>
          <w:szCs w:val="24"/>
          <w:lang w:val="en-US"/>
        </w:rPr>
        <w:t xml:space="preserve">), we retrieved sequences that match PP2A-3 and/or PP2A-4, which are isoforms of catalytic PP2A C subunits and that form a subclade in the family of 5 </w:t>
      </w:r>
      <w:r w:rsidRPr="00DD354F">
        <w:rPr>
          <w:b w:val="0"/>
          <w:i/>
          <w:sz w:val="24"/>
          <w:szCs w:val="24"/>
          <w:lang w:val="en-US"/>
        </w:rPr>
        <w:t xml:space="preserve">Arabidopsis </w:t>
      </w:r>
      <w:r w:rsidRPr="00DD354F">
        <w:rPr>
          <w:b w:val="0"/>
          <w:sz w:val="24"/>
          <w:szCs w:val="24"/>
          <w:lang w:val="en-US"/>
        </w:rPr>
        <w:t xml:space="preserve">PP2A C subunits </w:t>
      </w:r>
      <w:r w:rsidRPr="00DD354F">
        <w:rPr>
          <w:b w:val="0"/>
          <w:noProof/>
          <w:sz w:val="24"/>
          <w:szCs w:val="24"/>
          <w:lang w:val="en-US"/>
        </w:rPr>
        <w:t>(32)</w:t>
      </w:r>
      <w:r w:rsidRPr="00DD354F">
        <w:rPr>
          <w:b w:val="0"/>
          <w:sz w:val="24"/>
          <w:szCs w:val="24"/>
          <w:lang w:val="en-US"/>
        </w:rPr>
        <w:t xml:space="preserve">. In general, the PP2A heterotrimeric holoenzyme, which is a major, highly conserved eukaryotic serine/threonine phosphatase, consists of a catalytic C subunit, a type </w:t>
      </w:r>
      <w:proofErr w:type="gramStart"/>
      <w:r w:rsidRPr="00DD354F">
        <w:rPr>
          <w:b w:val="0"/>
          <w:sz w:val="24"/>
          <w:szCs w:val="24"/>
          <w:lang w:val="en-US"/>
        </w:rPr>
        <w:t>A</w:t>
      </w:r>
      <w:proofErr w:type="gramEnd"/>
      <w:r w:rsidRPr="00DD354F">
        <w:rPr>
          <w:b w:val="0"/>
          <w:sz w:val="24"/>
          <w:szCs w:val="24"/>
          <w:lang w:val="en-US"/>
        </w:rPr>
        <w:t xml:space="preserve"> scaffolding/regulatory subunit, and a type B regulatory subunit </w:t>
      </w:r>
      <w:r w:rsidRPr="00DD354F">
        <w:rPr>
          <w:b w:val="0"/>
          <w:noProof/>
          <w:sz w:val="24"/>
          <w:szCs w:val="24"/>
          <w:lang w:val="en-US"/>
        </w:rPr>
        <w:t>(33)</w:t>
      </w:r>
      <w:r w:rsidRPr="00DD354F">
        <w:rPr>
          <w:b w:val="0"/>
          <w:sz w:val="24"/>
          <w:szCs w:val="24"/>
          <w:lang w:val="en-US"/>
        </w:rPr>
        <w:t xml:space="preserve">. In </w:t>
      </w:r>
      <w:r w:rsidRPr="00DD354F">
        <w:rPr>
          <w:b w:val="0"/>
          <w:i/>
          <w:sz w:val="24"/>
          <w:szCs w:val="24"/>
          <w:lang w:val="en-US"/>
        </w:rPr>
        <w:t>Arabidopsis</w:t>
      </w:r>
      <w:r w:rsidRPr="00DD354F">
        <w:rPr>
          <w:b w:val="0"/>
          <w:sz w:val="24"/>
          <w:szCs w:val="24"/>
          <w:lang w:val="en-US"/>
        </w:rPr>
        <w:t xml:space="preserve">, PP2A phosphatases have been implicated in various hormone-regulated, cellular and developmental processes, including spatial control of cell division and </w:t>
      </w:r>
      <w:proofErr w:type="spellStart"/>
      <w:r w:rsidRPr="00DD354F">
        <w:rPr>
          <w:b w:val="0"/>
          <w:sz w:val="24"/>
          <w:szCs w:val="24"/>
          <w:lang w:val="en-US"/>
        </w:rPr>
        <w:t>columella</w:t>
      </w:r>
      <w:proofErr w:type="spellEnd"/>
      <w:r w:rsidRPr="00DD354F">
        <w:rPr>
          <w:b w:val="0"/>
          <w:sz w:val="24"/>
          <w:szCs w:val="24"/>
          <w:lang w:val="en-US"/>
        </w:rPr>
        <w:t xml:space="preserve"> organization, and in innate immunity, but little is known about their dynamic and highly regulated function </w:t>
      </w:r>
      <w:r w:rsidRPr="00DD354F">
        <w:rPr>
          <w:b w:val="0"/>
          <w:noProof/>
          <w:sz w:val="24"/>
          <w:szCs w:val="24"/>
          <w:lang w:val="en-US"/>
        </w:rPr>
        <w:t>(34-37)</w:t>
      </w:r>
      <w:r w:rsidRPr="00DD354F">
        <w:rPr>
          <w:b w:val="0"/>
          <w:sz w:val="24"/>
          <w:szCs w:val="24"/>
          <w:lang w:val="en-US"/>
        </w:rPr>
        <w:t>. In the context of our focus on formative cell division, we selected PP2A-3 (and PP2A-4)</w:t>
      </w:r>
      <w:r w:rsidRPr="00DD354F">
        <w:rPr>
          <w:b w:val="0"/>
          <w:sz w:val="24"/>
          <w:szCs w:val="24"/>
          <w:shd w:val="clear" w:color="auto" w:fill="FFFFFF"/>
          <w:lang w:val="en-US"/>
        </w:rPr>
        <w:t xml:space="preserve"> for subsequent in depth functional characterization. First, an </w:t>
      </w:r>
      <w:r w:rsidRPr="00DD354F">
        <w:rPr>
          <w:b w:val="0"/>
          <w:sz w:val="24"/>
          <w:szCs w:val="24"/>
          <w:lang w:val="en-US"/>
        </w:rPr>
        <w:t>overlay assay indicated that PP2A-3 can specifically interact with both the naïve ACR4 intracellular domain (ACR4</w:t>
      </w:r>
      <w:r w:rsidRPr="00DD354F">
        <w:rPr>
          <w:b w:val="0"/>
          <w:sz w:val="24"/>
          <w:szCs w:val="24"/>
          <w:vertAlign w:val="superscript"/>
          <w:lang w:val="en-US"/>
        </w:rPr>
        <w:t>ICD</w:t>
      </w:r>
      <w:r w:rsidRPr="00DD354F">
        <w:rPr>
          <w:b w:val="0"/>
          <w:sz w:val="24"/>
          <w:szCs w:val="24"/>
          <w:lang w:val="en-US"/>
        </w:rPr>
        <w:t xml:space="preserve">) (endogenously phosphorylated at a limited number of residues in </w:t>
      </w:r>
      <w:r w:rsidRPr="00DD354F">
        <w:rPr>
          <w:b w:val="0"/>
          <w:i/>
          <w:sz w:val="24"/>
          <w:szCs w:val="24"/>
          <w:lang w:val="en-US"/>
        </w:rPr>
        <w:t>E. coli</w:t>
      </w:r>
      <w:r w:rsidRPr="00DD354F">
        <w:rPr>
          <w:b w:val="0"/>
          <w:sz w:val="24"/>
          <w:szCs w:val="24"/>
          <w:lang w:val="en-US"/>
        </w:rPr>
        <w:t xml:space="preserve"> through an unknown mechanism) and fully </w:t>
      </w:r>
      <w:r w:rsidRPr="00DD354F">
        <w:rPr>
          <w:b w:val="0"/>
          <w:i/>
          <w:sz w:val="24"/>
          <w:szCs w:val="24"/>
          <w:lang w:val="en-US"/>
        </w:rPr>
        <w:t>in vitro</w:t>
      </w:r>
      <w:r w:rsidRPr="00DD354F">
        <w:rPr>
          <w:b w:val="0"/>
          <w:sz w:val="24"/>
          <w:szCs w:val="24"/>
          <w:lang w:val="en-US"/>
        </w:rPr>
        <w:t xml:space="preserve"> </w:t>
      </w:r>
      <w:proofErr w:type="spellStart"/>
      <w:r w:rsidRPr="00DD354F">
        <w:rPr>
          <w:b w:val="0"/>
          <w:sz w:val="24"/>
          <w:szCs w:val="24"/>
          <w:lang w:val="en-US"/>
        </w:rPr>
        <w:t>autophosphorylated</w:t>
      </w:r>
      <w:proofErr w:type="spellEnd"/>
      <w:r w:rsidRPr="00DD354F">
        <w:rPr>
          <w:b w:val="0"/>
          <w:sz w:val="24"/>
          <w:szCs w:val="24"/>
          <w:lang w:val="en-US"/>
        </w:rPr>
        <w:t xml:space="preserve"> </w:t>
      </w:r>
      <w:r w:rsidRPr="00DD354F">
        <w:rPr>
          <w:rFonts w:eastAsia="Calibri"/>
          <w:b w:val="0"/>
          <w:bCs w:val="0"/>
          <w:spacing w:val="-1"/>
          <w:sz w:val="24"/>
          <w:szCs w:val="24"/>
          <w:lang w:val="en-US" w:eastAsia="en-US"/>
        </w:rPr>
        <w:t>ACR4</w:t>
      </w:r>
      <w:r w:rsidRPr="00DD354F">
        <w:rPr>
          <w:rFonts w:eastAsia="Calibri"/>
          <w:b w:val="0"/>
          <w:bCs w:val="0"/>
          <w:spacing w:val="-1"/>
          <w:position w:val="11"/>
          <w:sz w:val="24"/>
          <w:szCs w:val="24"/>
          <w:vertAlign w:val="superscript"/>
          <w:lang w:val="en-US" w:eastAsia="en-US"/>
        </w:rPr>
        <w:t>ICD</w:t>
      </w:r>
      <w:r w:rsidRPr="00DD354F">
        <w:rPr>
          <w:b w:val="0"/>
          <w:sz w:val="24"/>
          <w:szCs w:val="24"/>
          <w:lang w:val="en-US"/>
        </w:rPr>
        <w:t xml:space="preserve"> </w:t>
      </w:r>
      <w:r w:rsidRPr="00DD354F">
        <w:rPr>
          <w:b w:val="0"/>
          <w:noProof/>
          <w:sz w:val="24"/>
          <w:szCs w:val="24"/>
          <w:lang w:val="en-US"/>
        </w:rPr>
        <w:t>(26)</w:t>
      </w:r>
      <w:r w:rsidRPr="00DD354F">
        <w:rPr>
          <w:b w:val="0"/>
          <w:sz w:val="24"/>
          <w:szCs w:val="24"/>
          <w:lang w:val="en-US"/>
        </w:rPr>
        <w:t xml:space="preserve"> (</w:t>
      </w:r>
      <w:r w:rsidRPr="00DD354F">
        <w:rPr>
          <w:sz w:val="24"/>
          <w:szCs w:val="24"/>
          <w:lang w:val="en-US"/>
        </w:rPr>
        <w:t xml:space="preserve">Fig. </w:t>
      </w:r>
      <w:proofErr w:type="gramStart"/>
      <w:r w:rsidRPr="00DD354F">
        <w:rPr>
          <w:sz w:val="24"/>
          <w:szCs w:val="24"/>
          <w:lang w:val="en-US"/>
        </w:rPr>
        <w:t xml:space="preserve">S3 and </w:t>
      </w:r>
      <w:r w:rsidRPr="00DD354F">
        <w:rPr>
          <w:i/>
          <w:sz w:val="24"/>
          <w:szCs w:val="24"/>
          <w:lang w:val="en-US"/>
        </w:rPr>
        <w:t>SI Supplemental Notes</w:t>
      </w:r>
      <w:r w:rsidRPr="00DD354F">
        <w:rPr>
          <w:b w:val="0"/>
          <w:sz w:val="24"/>
          <w:szCs w:val="24"/>
          <w:lang w:val="en-US"/>
        </w:rPr>
        <w:t>).</w:t>
      </w:r>
      <w:proofErr w:type="gramEnd"/>
      <w:r w:rsidRPr="00DD354F">
        <w:rPr>
          <w:b w:val="0"/>
          <w:sz w:val="24"/>
          <w:szCs w:val="24"/>
          <w:lang w:val="en-US"/>
        </w:rPr>
        <w:t xml:space="preserve"> Second, gel-filtration analyses further confirmed the interaction between the ACR4 intracellular domain (ACR4</w:t>
      </w:r>
      <w:r w:rsidRPr="00DD354F">
        <w:rPr>
          <w:b w:val="0"/>
          <w:sz w:val="24"/>
          <w:szCs w:val="24"/>
          <w:vertAlign w:val="superscript"/>
          <w:lang w:val="en-US"/>
        </w:rPr>
        <w:t>ICD</w:t>
      </w:r>
      <w:r w:rsidRPr="00DD354F">
        <w:rPr>
          <w:b w:val="0"/>
          <w:sz w:val="24"/>
          <w:szCs w:val="24"/>
          <w:lang w:val="en-US"/>
        </w:rPr>
        <w:t>) and PP2A-3 (</w:t>
      </w:r>
      <w:r w:rsidRPr="00DD354F">
        <w:rPr>
          <w:sz w:val="24"/>
          <w:szCs w:val="24"/>
          <w:lang w:val="en-US"/>
        </w:rPr>
        <w:t xml:space="preserve">Fig. </w:t>
      </w:r>
      <w:proofErr w:type="gramStart"/>
      <w:r w:rsidRPr="00DD354F">
        <w:rPr>
          <w:sz w:val="24"/>
          <w:szCs w:val="24"/>
          <w:lang w:val="en-US"/>
        </w:rPr>
        <w:t xml:space="preserve">S3 and </w:t>
      </w:r>
      <w:r w:rsidRPr="00DD354F">
        <w:rPr>
          <w:i/>
          <w:sz w:val="24"/>
          <w:szCs w:val="24"/>
          <w:lang w:val="en-US"/>
        </w:rPr>
        <w:t>SI Supplemental Notes</w:t>
      </w:r>
      <w:r w:rsidRPr="00DD354F">
        <w:rPr>
          <w:b w:val="0"/>
          <w:sz w:val="24"/>
          <w:szCs w:val="24"/>
          <w:lang w:val="en-US"/>
        </w:rPr>
        <w:t>).</w:t>
      </w:r>
      <w:proofErr w:type="gramEnd"/>
      <w:r w:rsidRPr="00DD354F">
        <w:rPr>
          <w:sz w:val="24"/>
          <w:szCs w:val="24"/>
          <w:lang w:val="en-US"/>
        </w:rPr>
        <w:t xml:space="preserve"> </w:t>
      </w:r>
      <w:r w:rsidRPr="00DD354F">
        <w:rPr>
          <w:b w:val="0"/>
          <w:sz w:val="24"/>
          <w:szCs w:val="24"/>
          <w:lang w:val="en-US"/>
        </w:rPr>
        <w:t>Subsequently, the purified recombinant MBP</w:t>
      </w:r>
      <w:proofErr w:type="gramStart"/>
      <w:r w:rsidRPr="00DD354F">
        <w:rPr>
          <w:b w:val="0"/>
          <w:sz w:val="24"/>
          <w:szCs w:val="24"/>
          <w:lang w:val="en-US"/>
        </w:rPr>
        <w:t>:ACR4</w:t>
      </w:r>
      <w:r w:rsidRPr="00DD354F">
        <w:rPr>
          <w:b w:val="0"/>
          <w:sz w:val="24"/>
          <w:szCs w:val="24"/>
          <w:vertAlign w:val="superscript"/>
          <w:lang w:val="en-US"/>
        </w:rPr>
        <w:t>ICD</w:t>
      </w:r>
      <w:proofErr w:type="gramEnd"/>
      <w:r w:rsidRPr="00DD354F">
        <w:rPr>
          <w:b w:val="0"/>
          <w:sz w:val="24"/>
          <w:szCs w:val="24"/>
          <w:lang w:val="en-US"/>
        </w:rPr>
        <w:t xml:space="preserve"> was effectively pulled down with GST:PP2A-3 </w:t>
      </w:r>
      <w:r w:rsidRPr="00DD354F">
        <w:rPr>
          <w:b w:val="0"/>
          <w:i/>
          <w:sz w:val="24"/>
          <w:szCs w:val="24"/>
          <w:lang w:val="en-US"/>
        </w:rPr>
        <w:t>in vitro</w:t>
      </w:r>
      <w:r w:rsidRPr="00DD354F">
        <w:rPr>
          <w:b w:val="0"/>
          <w:sz w:val="24"/>
          <w:szCs w:val="24"/>
          <w:lang w:val="en-US"/>
        </w:rPr>
        <w:t xml:space="preserve"> (</w:t>
      </w:r>
      <w:r w:rsidRPr="00DD354F">
        <w:rPr>
          <w:sz w:val="24"/>
          <w:szCs w:val="24"/>
          <w:lang w:val="en-US"/>
        </w:rPr>
        <w:t xml:space="preserve">Fig. 1 </w:t>
      </w:r>
      <w:r w:rsidRPr="00DD354F">
        <w:rPr>
          <w:i/>
          <w:sz w:val="24"/>
          <w:szCs w:val="24"/>
          <w:lang w:val="en-US"/>
        </w:rPr>
        <w:t>B</w:t>
      </w:r>
      <w:r w:rsidRPr="00DD354F">
        <w:rPr>
          <w:b w:val="0"/>
          <w:sz w:val="24"/>
          <w:szCs w:val="24"/>
          <w:lang w:val="en-US"/>
        </w:rPr>
        <w:t xml:space="preserve">). Moreover, in </w:t>
      </w:r>
      <w:proofErr w:type="spellStart"/>
      <w:r w:rsidRPr="00DD354F">
        <w:rPr>
          <w:rFonts w:eastAsia="SimSun"/>
          <w:b w:val="0"/>
          <w:bCs w:val="0"/>
          <w:i/>
          <w:sz w:val="24"/>
          <w:szCs w:val="24"/>
          <w:shd w:val="clear" w:color="auto" w:fill="FFFFFF"/>
          <w:lang w:val="en-GB" w:eastAsia="en-GB"/>
        </w:rPr>
        <w:t>Nicotiana</w:t>
      </w:r>
      <w:proofErr w:type="spellEnd"/>
      <w:r w:rsidRPr="00DD354F">
        <w:rPr>
          <w:rFonts w:eastAsia="SimSun"/>
          <w:b w:val="0"/>
          <w:bCs w:val="0"/>
          <w:i/>
          <w:sz w:val="24"/>
          <w:szCs w:val="24"/>
          <w:shd w:val="clear" w:color="auto" w:fill="FFFFFF"/>
          <w:lang w:val="en-GB" w:eastAsia="en-GB"/>
        </w:rPr>
        <w:t> </w:t>
      </w:r>
      <w:proofErr w:type="spellStart"/>
      <w:r w:rsidRPr="00DD354F">
        <w:rPr>
          <w:rFonts w:eastAsia="SimSun"/>
          <w:b w:val="0"/>
          <w:i/>
          <w:sz w:val="24"/>
          <w:szCs w:val="24"/>
          <w:shd w:val="clear" w:color="auto" w:fill="FFFFFF"/>
          <w:lang w:val="en-GB" w:eastAsia="en-GB"/>
        </w:rPr>
        <w:t>benthamiana</w:t>
      </w:r>
      <w:proofErr w:type="spellEnd"/>
      <w:r w:rsidRPr="00DD354F">
        <w:rPr>
          <w:b w:val="0"/>
          <w:i/>
          <w:sz w:val="24"/>
          <w:szCs w:val="24"/>
          <w:lang w:val="en-US"/>
        </w:rPr>
        <w:t xml:space="preserve"> </w:t>
      </w:r>
      <w:r w:rsidRPr="00DD354F">
        <w:rPr>
          <w:b w:val="0"/>
          <w:sz w:val="24"/>
          <w:szCs w:val="24"/>
          <w:lang w:val="en-US"/>
        </w:rPr>
        <w:t>transient expression assays, ACR4</w:t>
      </w:r>
      <w:proofErr w:type="gramStart"/>
      <w:r w:rsidRPr="00DD354F">
        <w:rPr>
          <w:b w:val="0"/>
          <w:sz w:val="24"/>
          <w:szCs w:val="24"/>
          <w:lang w:val="en-US"/>
        </w:rPr>
        <w:t>:YFP:HA</w:t>
      </w:r>
      <w:proofErr w:type="gramEnd"/>
      <w:r w:rsidRPr="00DD354F">
        <w:rPr>
          <w:b w:val="0"/>
          <w:sz w:val="24"/>
          <w:szCs w:val="24"/>
          <w:lang w:val="en-US"/>
        </w:rPr>
        <w:t xml:space="preserve"> was able to co-</w:t>
      </w:r>
      <w:proofErr w:type="spellStart"/>
      <w:r w:rsidRPr="00DD354F">
        <w:rPr>
          <w:b w:val="0"/>
          <w:sz w:val="24"/>
          <w:szCs w:val="24"/>
          <w:lang w:val="en-US"/>
        </w:rPr>
        <w:t>immunoprecipitate</w:t>
      </w:r>
      <w:proofErr w:type="spellEnd"/>
      <w:r w:rsidRPr="00DD354F">
        <w:rPr>
          <w:b w:val="0"/>
          <w:sz w:val="24"/>
          <w:szCs w:val="24"/>
          <w:lang w:val="en-US"/>
        </w:rPr>
        <w:t xml:space="preserve"> FLAG:PP2A-3 </w:t>
      </w:r>
      <w:r w:rsidRPr="00DD354F">
        <w:rPr>
          <w:b w:val="0"/>
          <w:i/>
          <w:sz w:val="24"/>
          <w:szCs w:val="24"/>
          <w:lang w:val="en-US"/>
        </w:rPr>
        <w:t>in planta</w:t>
      </w:r>
      <w:r w:rsidRPr="00DD354F">
        <w:rPr>
          <w:b w:val="0"/>
          <w:sz w:val="24"/>
          <w:szCs w:val="24"/>
          <w:lang w:val="en-US"/>
        </w:rPr>
        <w:t xml:space="preserve"> (</w:t>
      </w:r>
      <w:r w:rsidRPr="00DD354F">
        <w:rPr>
          <w:sz w:val="24"/>
          <w:szCs w:val="24"/>
          <w:lang w:val="en-US"/>
        </w:rPr>
        <w:t xml:space="preserve">Fig. 1 </w:t>
      </w:r>
      <w:r w:rsidRPr="00DD354F">
        <w:rPr>
          <w:i/>
          <w:sz w:val="24"/>
          <w:szCs w:val="24"/>
          <w:lang w:val="en-US"/>
        </w:rPr>
        <w:t>C</w:t>
      </w:r>
      <w:r w:rsidRPr="00DD354F">
        <w:rPr>
          <w:b w:val="0"/>
          <w:sz w:val="24"/>
          <w:szCs w:val="24"/>
          <w:lang w:val="en-US"/>
        </w:rPr>
        <w:t xml:space="preserve">). </w:t>
      </w:r>
      <w:r w:rsidRPr="00DD354F">
        <w:rPr>
          <w:b w:val="0"/>
          <w:sz w:val="24"/>
          <w:szCs w:val="24"/>
          <w:shd w:val="clear" w:color="auto" w:fill="FFFFFF"/>
          <w:lang w:val="en-US"/>
        </w:rPr>
        <w:t>Taken together, these data strongly indicate that ACR4 and PP2A-3 interact with each other.</w:t>
      </w:r>
    </w:p>
    <w:p w:rsidR="00DD354F" w:rsidRDefault="00540468" w:rsidP="00DD354F">
      <w:pPr>
        <w:pStyle w:val="Heading3"/>
        <w:shd w:val="clear" w:color="auto" w:fill="FFFFFF"/>
        <w:spacing w:before="0" w:beforeAutospacing="0" w:after="0" w:afterAutospacing="0" w:line="480" w:lineRule="auto"/>
        <w:jc w:val="both"/>
        <w:rPr>
          <w:b w:val="0"/>
          <w:sz w:val="24"/>
          <w:szCs w:val="24"/>
          <w:lang w:val="en-US"/>
        </w:rPr>
      </w:pPr>
      <w:r w:rsidRPr="00DD354F">
        <w:rPr>
          <w:i/>
          <w:sz w:val="24"/>
          <w:szCs w:val="24"/>
          <w:lang w:val="en-US"/>
        </w:rPr>
        <w:t>ACR4</w:t>
      </w:r>
      <w:r w:rsidRPr="00DD354F">
        <w:rPr>
          <w:sz w:val="24"/>
          <w:szCs w:val="24"/>
          <w:lang w:val="en-US"/>
        </w:rPr>
        <w:t xml:space="preserve"> and </w:t>
      </w:r>
      <w:r w:rsidRPr="00DD354F">
        <w:rPr>
          <w:i/>
          <w:sz w:val="24"/>
          <w:szCs w:val="24"/>
          <w:lang w:val="en-US"/>
        </w:rPr>
        <w:t>PP2A-3</w:t>
      </w:r>
      <w:r w:rsidRPr="00DD354F">
        <w:rPr>
          <w:sz w:val="24"/>
          <w:szCs w:val="24"/>
          <w:lang w:val="en-US"/>
        </w:rPr>
        <w:t xml:space="preserve"> are co-expressed.</w:t>
      </w:r>
      <w:r w:rsidRPr="00DD354F">
        <w:rPr>
          <w:b w:val="0"/>
          <w:sz w:val="24"/>
          <w:szCs w:val="24"/>
          <w:lang w:val="en-US"/>
        </w:rPr>
        <w:t xml:space="preserve"> As mentioned above, </w:t>
      </w:r>
      <w:r w:rsidRPr="00DD354F">
        <w:rPr>
          <w:b w:val="0"/>
          <w:i/>
          <w:sz w:val="24"/>
          <w:szCs w:val="24"/>
          <w:lang w:val="en-US"/>
        </w:rPr>
        <w:t xml:space="preserve">Arabidopsis </w:t>
      </w:r>
      <w:proofErr w:type="spellStart"/>
      <w:r w:rsidRPr="00DD354F">
        <w:rPr>
          <w:b w:val="0"/>
          <w:sz w:val="24"/>
          <w:szCs w:val="24"/>
          <w:lang w:val="en-US"/>
        </w:rPr>
        <w:t>eFP</w:t>
      </w:r>
      <w:proofErr w:type="spellEnd"/>
      <w:r w:rsidRPr="00DD354F">
        <w:rPr>
          <w:b w:val="0"/>
          <w:sz w:val="24"/>
          <w:szCs w:val="24"/>
          <w:lang w:val="en-US"/>
        </w:rPr>
        <w:t xml:space="preserve"> Browser data suggested that </w:t>
      </w:r>
      <w:r w:rsidRPr="00DD354F">
        <w:rPr>
          <w:b w:val="0"/>
          <w:i/>
          <w:sz w:val="24"/>
          <w:szCs w:val="24"/>
          <w:lang w:val="en-US"/>
        </w:rPr>
        <w:t>PP2A-3</w:t>
      </w:r>
      <w:r w:rsidRPr="00DD354F">
        <w:rPr>
          <w:b w:val="0"/>
          <w:sz w:val="24"/>
          <w:szCs w:val="24"/>
          <w:lang w:val="en-US"/>
        </w:rPr>
        <w:t xml:space="preserve"> is weakly expressed in </w:t>
      </w:r>
      <w:proofErr w:type="spellStart"/>
      <w:r w:rsidRPr="00DD354F">
        <w:rPr>
          <w:b w:val="0"/>
          <w:sz w:val="24"/>
          <w:szCs w:val="24"/>
          <w:lang w:val="en-US"/>
        </w:rPr>
        <w:t>columella</w:t>
      </w:r>
      <w:proofErr w:type="spellEnd"/>
      <w:r w:rsidRPr="00DD354F">
        <w:rPr>
          <w:b w:val="0"/>
          <w:sz w:val="24"/>
          <w:szCs w:val="24"/>
          <w:lang w:val="en-US"/>
        </w:rPr>
        <w:t xml:space="preserve"> stem cells and in the root apical </w:t>
      </w:r>
      <w:r w:rsidRPr="00DD354F">
        <w:rPr>
          <w:b w:val="0"/>
          <w:sz w:val="24"/>
          <w:szCs w:val="24"/>
          <w:lang w:val="en-US"/>
        </w:rPr>
        <w:lastRenderedPageBreak/>
        <w:t>meristem (</w:t>
      </w:r>
      <w:r w:rsidRPr="00DD354F">
        <w:rPr>
          <w:sz w:val="24"/>
          <w:szCs w:val="24"/>
          <w:lang w:val="en-US"/>
        </w:rPr>
        <w:t>Fig. S2</w:t>
      </w:r>
      <w:r w:rsidRPr="00DD354F">
        <w:rPr>
          <w:b w:val="0"/>
          <w:sz w:val="24"/>
          <w:szCs w:val="24"/>
          <w:lang w:val="en-US"/>
        </w:rPr>
        <w:t xml:space="preserve">). To confirm this, we analyzed seedlings expressing a </w:t>
      </w:r>
      <w:r w:rsidRPr="00DD354F">
        <w:rPr>
          <w:b w:val="0"/>
          <w:i/>
          <w:sz w:val="24"/>
          <w:szCs w:val="24"/>
          <w:lang w:val="en-US"/>
        </w:rPr>
        <w:t>pPP2A-3:</w:t>
      </w:r>
      <w:proofErr w:type="gramStart"/>
      <w:r w:rsidRPr="00DD354F">
        <w:rPr>
          <w:b w:val="0"/>
          <w:i/>
          <w:sz w:val="24"/>
          <w:szCs w:val="24"/>
          <w:lang w:val="en-US"/>
        </w:rPr>
        <w:t>:n3xGFP</w:t>
      </w:r>
      <w:proofErr w:type="gramEnd"/>
      <w:r w:rsidRPr="00DD354F">
        <w:rPr>
          <w:b w:val="0"/>
          <w:sz w:val="24"/>
          <w:szCs w:val="24"/>
          <w:lang w:val="en-US"/>
        </w:rPr>
        <w:t xml:space="preserve"> fusion and assessed expression in the root tip. In 5 independent </w:t>
      </w:r>
      <w:proofErr w:type="spellStart"/>
      <w:r w:rsidRPr="00DD354F">
        <w:rPr>
          <w:b w:val="0"/>
          <w:sz w:val="24"/>
          <w:szCs w:val="24"/>
          <w:lang w:val="en-US"/>
        </w:rPr>
        <w:t>transformants</w:t>
      </w:r>
      <w:proofErr w:type="spellEnd"/>
      <w:r w:rsidRPr="00DD354F">
        <w:rPr>
          <w:b w:val="0"/>
          <w:sz w:val="24"/>
          <w:szCs w:val="24"/>
          <w:lang w:val="en-US"/>
        </w:rPr>
        <w:t xml:space="preserve"> we indeed observed </w:t>
      </w:r>
      <w:r w:rsidRPr="00DD354F">
        <w:rPr>
          <w:b w:val="0"/>
          <w:i/>
          <w:sz w:val="24"/>
          <w:szCs w:val="24"/>
          <w:lang w:val="en-US"/>
        </w:rPr>
        <w:t>pPP2A-3:</w:t>
      </w:r>
      <w:proofErr w:type="gramStart"/>
      <w:r w:rsidRPr="00DD354F">
        <w:rPr>
          <w:b w:val="0"/>
          <w:i/>
          <w:sz w:val="24"/>
          <w:szCs w:val="24"/>
          <w:lang w:val="en-US"/>
        </w:rPr>
        <w:t>:n3xGFP</w:t>
      </w:r>
      <w:proofErr w:type="gramEnd"/>
      <w:r w:rsidRPr="00DD354F">
        <w:rPr>
          <w:b w:val="0"/>
          <w:i/>
          <w:sz w:val="24"/>
          <w:szCs w:val="24"/>
          <w:lang w:val="en-US"/>
        </w:rPr>
        <w:t xml:space="preserve"> </w:t>
      </w:r>
      <w:r w:rsidRPr="00DD354F">
        <w:rPr>
          <w:b w:val="0"/>
          <w:sz w:val="24"/>
          <w:szCs w:val="24"/>
          <w:lang w:val="en-US"/>
        </w:rPr>
        <w:t xml:space="preserve">expression in the root tip, but </w:t>
      </w:r>
      <w:r w:rsidRPr="00DD354F">
        <w:rPr>
          <w:b w:val="0"/>
          <w:i/>
          <w:sz w:val="24"/>
          <w:szCs w:val="24"/>
          <w:lang w:val="en-US"/>
        </w:rPr>
        <w:t>PP2A-3</w:t>
      </w:r>
      <w:r w:rsidRPr="00DD354F">
        <w:rPr>
          <w:b w:val="0"/>
          <w:sz w:val="24"/>
          <w:szCs w:val="24"/>
          <w:lang w:val="en-US"/>
        </w:rPr>
        <w:t xml:space="preserve"> was more broadly expressed than </w:t>
      </w:r>
      <w:r w:rsidRPr="00DD354F">
        <w:rPr>
          <w:b w:val="0"/>
          <w:i/>
          <w:sz w:val="24"/>
          <w:szCs w:val="24"/>
          <w:lang w:val="en-US"/>
        </w:rPr>
        <w:t>ACR4</w:t>
      </w:r>
      <w:r w:rsidRPr="00DD354F">
        <w:rPr>
          <w:b w:val="0"/>
          <w:sz w:val="24"/>
          <w:szCs w:val="24"/>
          <w:lang w:val="en-US"/>
        </w:rPr>
        <w:t xml:space="preserve"> </w:t>
      </w:r>
      <w:r w:rsidRPr="00DD354F">
        <w:rPr>
          <w:b w:val="0"/>
          <w:noProof/>
          <w:sz w:val="24"/>
          <w:szCs w:val="24"/>
          <w:lang w:val="en-US"/>
        </w:rPr>
        <w:t>(5)</w:t>
      </w:r>
      <w:r w:rsidRPr="00DD354F">
        <w:rPr>
          <w:b w:val="0"/>
          <w:sz w:val="24"/>
          <w:szCs w:val="24"/>
          <w:lang w:val="en-US"/>
        </w:rPr>
        <w:t xml:space="preserve"> (</w:t>
      </w:r>
      <w:r w:rsidRPr="00DD354F">
        <w:rPr>
          <w:sz w:val="24"/>
          <w:szCs w:val="24"/>
          <w:lang w:val="en-US"/>
        </w:rPr>
        <w:t xml:space="preserve">Fig. 2 </w:t>
      </w:r>
      <w:r w:rsidRPr="00DD354F">
        <w:rPr>
          <w:i/>
          <w:sz w:val="24"/>
          <w:szCs w:val="24"/>
          <w:lang w:val="en-US"/>
        </w:rPr>
        <w:t xml:space="preserve">A </w:t>
      </w:r>
      <w:r w:rsidRPr="00DD354F">
        <w:rPr>
          <w:sz w:val="24"/>
          <w:szCs w:val="24"/>
          <w:lang w:val="en-US"/>
        </w:rPr>
        <w:t>and Fig. S1</w:t>
      </w:r>
      <w:r w:rsidRPr="00DD354F">
        <w:rPr>
          <w:b w:val="0"/>
          <w:sz w:val="24"/>
          <w:szCs w:val="24"/>
          <w:lang w:val="en-US"/>
        </w:rPr>
        <w:t xml:space="preserve">). In addition, we observed </w:t>
      </w:r>
      <w:r w:rsidRPr="00DD354F">
        <w:rPr>
          <w:b w:val="0"/>
          <w:i/>
          <w:sz w:val="24"/>
          <w:szCs w:val="24"/>
          <w:lang w:val="en-US"/>
        </w:rPr>
        <w:t xml:space="preserve">PP2A-3 </w:t>
      </w:r>
      <w:r w:rsidRPr="00DD354F">
        <w:rPr>
          <w:b w:val="0"/>
          <w:sz w:val="24"/>
          <w:szCs w:val="24"/>
          <w:lang w:val="en-US"/>
        </w:rPr>
        <w:t>expression during early lateral root initiation (</w:t>
      </w:r>
      <w:r w:rsidRPr="00DD354F">
        <w:rPr>
          <w:sz w:val="24"/>
          <w:szCs w:val="24"/>
          <w:lang w:val="en-US"/>
        </w:rPr>
        <w:t xml:space="preserve">Fig. </w:t>
      </w:r>
      <w:proofErr w:type="gramStart"/>
      <w:r w:rsidRPr="00DD354F">
        <w:rPr>
          <w:sz w:val="24"/>
          <w:szCs w:val="24"/>
          <w:lang w:val="en-US"/>
        </w:rPr>
        <w:t>S1</w:t>
      </w:r>
      <w:r w:rsidRPr="00DD354F">
        <w:rPr>
          <w:b w:val="0"/>
          <w:sz w:val="24"/>
          <w:szCs w:val="24"/>
          <w:lang w:val="en-US"/>
        </w:rPr>
        <w:t xml:space="preserve">), which also overlapped with </w:t>
      </w:r>
      <w:r w:rsidRPr="00DD354F">
        <w:rPr>
          <w:b w:val="0"/>
          <w:i/>
          <w:sz w:val="24"/>
          <w:szCs w:val="24"/>
          <w:lang w:val="en-US"/>
        </w:rPr>
        <w:t>ACR4</w:t>
      </w:r>
      <w:r w:rsidRPr="00DD354F">
        <w:rPr>
          <w:b w:val="0"/>
          <w:sz w:val="24"/>
          <w:szCs w:val="24"/>
          <w:lang w:val="en-US"/>
        </w:rPr>
        <w:t xml:space="preserve"> expression at this stage </w:t>
      </w:r>
      <w:r w:rsidRPr="00DD354F">
        <w:rPr>
          <w:b w:val="0"/>
          <w:noProof/>
          <w:sz w:val="24"/>
          <w:szCs w:val="24"/>
          <w:lang w:val="en-US"/>
        </w:rPr>
        <w:t>(5)</w:t>
      </w:r>
      <w:r w:rsidRPr="00DD354F">
        <w:rPr>
          <w:b w:val="0"/>
          <w:sz w:val="24"/>
          <w:szCs w:val="24"/>
          <w:lang w:val="en-US"/>
        </w:rPr>
        <w:t xml:space="preserve"> (</w:t>
      </w:r>
      <w:r w:rsidRPr="00DD354F">
        <w:rPr>
          <w:sz w:val="24"/>
          <w:szCs w:val="24"/>
          <w:lang w:val="en-US"/>
        </w:rPr>
        <w:t>Fig.</w:t>
      </w:r>
      <w:proofErr w:type="gramEnd"/>
      <w:r w:rsidRPr="00DD354F">
        <w:rPr>
          <w:sz w:val="24"/>
          <w:szCs w:val="24"/>
          <w:lang w:val="en-US"/>
        </w:rPr>
        <w:t xml:space="preserve"> S1</w:t>
      </w:r>
      <w:r w:rsidRPr="00DD354F">
        <w:rPr>
          <w:b w:val="0"/>
          <w:sz w:val="24"/>
          <w:szCs w:val="24"/>
          <w:lang w:val="en-US"/>
        </w:rPr>
        <w:t xml:space="preserve">). Taken together, these results show that </w:t>
      </w:r>
      <w:r w:rsidRPr="00DD354F">
        <w:rPr>
          <w:b w:val="0"/>
          <w:i/>
          <w:sz w:val="24"/>
          <w:szCs w:val="24"/>
          <w:lang w:val="en-US"/>
        </w:rPr>
        <w:t>ACR4</w:t>
      </w:r>
      <w:r w:rsidRPr="00DD354F">
        <w:rPr>
          <w:b w:val="0"/>
          <w:sz w:val="24"/>
          <w:szCs w:val="24"/>
          <w:lang w:val="en-US"/>
        </w:rPr>
        <w:t xml:space="preserve"> and </w:t>
      </w:r>
      <w:r w:rsidRPr="00DD354F">
        <w:rPr>
          <w:b w:val="0"/>
          <w:i/>
          <w:sz w:val="24"/>
          <w:szCs w:val="24"/>
          <w:lang w:val="en-US"/>
        </w:rPr>
        <w:t>PP2A-3</w:t>
      </w:r>
      <w:r w:rsidRPr="00DD354F">
        <w:rPr>
          <w:b w:val="0"/>
          <w:sz w:val="24"/>
          <w:szCs w:val="24"/>
          <w:lang w:val="en-US"/>
        </w:rPr>
        <w:t xml:space="preserve"> are expressed in overlapping domains, further supporting that they can physically interact.</w:t>
      </w:r>
    </w:p>
    <w:p w:rsidR="00540468" w:rsidRPr="00DD354F" w:rsidRDefault="00540468" w:rsidP="00DD354F">
      <w:pPr>
        <w:pStyle w:val="Heading3"/>
        <w:shd w:val="clear" w:color="auto" w:fill="FFFFFF"/>
        <w:spacing w:before="0" w:beforeAutospacing="0" w:after="0" w:afterAutospacing="0" w:line="480" w:lineRule="auto"/>
        <w:jc w:val="both"/>
        <w:rPr>
          <w:b w:val="0"/>
          <w:sz w:val="24"/>
          <w:szCs w:val="24"/>
          <w:lang w:val="en-US"/>
        </w:rPr>
      </w:pPr>
      <w:r w:rsidRPr="00DD354F">
        <w:rPr>
          <w:sz w:val="24"/>
          <w:szCs w:val="24"/>
          <w:lang w:val="en-US"/>
        </w:rPr>
        <w:t xml:space="preserve">PP2A-3 is involved in </w:t>
      </w:r>
      <w:proofErr w:type="spellStart"/>
      <w:r w:rsidRPr="00DD354F">
        <w:rPr>
          <w:sz w:val="24"/>
          <w:szCs w:val="24"/>
          <w:lang w:val="en-US"/>
        </w:rPr>
        <w:t>columella</w:t>
      </w:r>
      <w:proofErr w:type="spellEnd"/>
      <w:r w:rsidRPr="00DD354F">
        <w:rPr>
          <w:sz w:val="24"/>
          <w:szCs w:val="24"/>
          <w:lang w:val="en-US"/>
        </w:rPr>
        <w:t xml:space="preserve"> stem cell differentiation.</w:t>
      </w:r>
      <w:r w:rsidRPr="00DD354F">
        <w:rPr>
          <w:b w:val="0"/>
          <w:sz w:val="24"/>
          <w:szCs w:val="24"/>
          <w:lang w:val="en-US"/>
        </w:rPr>
        <w:t xml:space="preserve"> To test genetically if PP2A-3 plays a role in ACR4-mediated stem cell regulation, we analyzed primary root length and </w:t>
      </w:r>
      <w:proofErr w:type="spellStart"/>
      <w:r w:rsidRPr="00DD354F">
        <w:rPr>
          <w:b w:val="0"/>
          <w:sz w:val="24"/>
          <w:szCs w:val="24"/>
          <w:lang w:val="en-US"/>
        </w:rPr>
        <w:t>columella</w:t>
      </w:r>
      <w:proofErr w:type="spellEnd"/>
      <w:r w:rsidRPr="00DD354F">
        <w:rPr>
          <w:b w:val="0"/>
          <w:sz w:val="24"/>
          <w:szCs w:val="24"/>
          <w:lang w:val="en-US"/>
        </w:rPr>
        <w:t xml:space="preserve"> stem cell differentiation in a previously characterized </w:t>
      </w:r>
      <w:r w:rsidRPr="00DD354F">
        <w:rPr>
          <w:b w:val="0"/>
          <w:i/>
          <w:sz w:val="24"/>
          <w:szCs w:val="24"/>
          <w:lang w:val="en-US"/>
        </w:rPr>
        <w:t>pp2a-3</w:t>
      </w:r>
      <w:r w:rsidRPr="00DD354F">
        <w:rPr>
          <w:b w:val="0"/>
          <w:sz w:val="24"/>
          <w:szCs w:val="24"/>
          <w:lang w:val="en-US"/>
        </w:rPr>
        <w:t xml:space="preserve"> mutant </w:t>
      </w:r>
      <w:r w:rsidRPr="00DD354F">
        <w:rPr>
          <w:b w:val="0"/>
          <w:noProof/>
          <w:sz w:val="24"/>
          <w:szCs w:val="24"/>
          <w:shd w:val="clear" w:color="auto" w:fill="FFFFFF"/>
          <w:lang w:val="en-US"/>
        </w:rPr>
        <w:t>(36)</w:t>
      </w:r>
      <w:r w:rsidRPr="00DD354F">
        <w:rPr>
          <w:b w:val="0"/>
          <w:sz w:val="24"/>
          <w:szCs w:val="24"/>
          <w:lang w:val="en-US"/>
        </w:rPr>
        <w:t xml:space="preserve">. The primary root of </w:t>
      </w:r>
      <w:r w:rsidRPr="00DD354F">
        <w:rPr>
          <w:b w:val="0"/>
          <w:i/>
          <w:sz w:val="24"/>
          <w:szCs w:val="24"/>
          <w:lang w:val="en-US"/>
        </w:rPr>
        <w:t>pp2a-3</w:t>
      </w:r>
      <w:r w:rsidRPr="00DD354F">
        <w:rPr>
          <w:b w:val="0"/>
          <w:sz w:val="24"/>
          <w:szCs w:val="24"/>
          <w:lang w:val="en-US"/>
        </w:rPr>
        <w:t xml:space="preserve"> is slightly longer than wild type (</w:t>
      </w:r>
      <w:r w:rsidRPr="00DD354F">
        <w:rPr>
          <w:sz w:val="24"/>
          <w:szCs w:val="24"/>
          <w:lang w:val="en-US"/>
        </w:rPr>
        <w:t xml:space="preserve">Fig. 2 </w:t>
      </w:r>
      <w:r w:rsidRPr="00DD354F">
        <w:rPr>
          <w:i/>
          <w:sz w:val="24"/>
          <w:szCs w:val="24"/>
          <w:lang w:val="en-US"/>
        </w:rPr>
        <w:t>B-C</w:t>
      </w:r>
      <w:r w:rsidRPr="00DD354F">
        <w:rPr>
          <w:b w:val="0"/>
          <w:sz w:val="24"/>
          <w:szCs w:val="24"/>
          <w:lang w:val="en-US"/>
        </w:rPr>
        <w:t xml:space="preserve">). With respect to </w:t>
      </w:r>
      <w:proofErr w:type="spellStart"/>
      <w:r w:rsidRPr="00DD354F">
        <w:rPr>
          <w:b w:val="0"/>
          <w:sz w:val="24"/>
          <w:szCs w:val="24"/>
          <w:lang w:val="en-US"/>
        </w:rPr>
        <w:t>columella</w:t>
      </w:r>
      <w:proofErr w:type="spellEnd"/>
      <w:r w:rsidRPr="00DD354F">
        <w:rPr>
          <w:b w:val="0"/>
          <w:sz w:val="24"/>
          <w:szCs w:val="24"/>
          <w:lang w:val="en-US"/>
        </w:rPr>
        <w:t xml:space="preserve"> stem cell differentiation, we observed less differentiation in </w:t>
      </w:r>
      <w:r w:rsidRPr="00DD354F">
        <w:rPr>
          <w:b w:val="0"/>
          <w:i/>
          <w:sz w:val="24"/>
          <w:szCs w:val="24"/>
          <w:lang w:val="en-US"/>
        </w:rPr>
        <w:t xml:space="preserve">pp2a-3 </w:t>
      </w:r>
      <w:r w:rsidRPr="00DD354F">
        <w:rPr>
          <w:b w:val="0"/>
          <w:sz w:val="24"/>
          <w:szCs w:val="24"/>
          <w:lang w:val="en-US"/>
        </w:rPr>
        <w:t xml:space="preserve">compared to wild type, which is similar to </w:t>
      </w:r>
      <w:r w:rsidRPr="00DD354F">
        <w:rPr>
          <w:b w:val="0"/>
          <w:i/>
          <w:sz w:val="24"/>
          <w:szCs w:val="24"/>
          <w:lang w:val="en-US"/>
        </w:rPr>
        <w:t>acr4</w:t>
      </w:r>
      <w:r w:rsidRPr="00DD354F">
        <w:rPr>
          <w:b w:val="0"/>
          <w:sz w:val="24"/>
          <w:szCs w:val="24"/>
          <w:lang w:val="en-US"/>
        </w:rPr>
        <w:t xml:space="preserve"> (</w:t>
      </w:r>
      <w:r w:rsidRPr="00DD354F">
        <w:rPr>
          <w:sz w:val="24"/>
          <w:szCs w:val="24"/>
          <w:lang w:val="en-US"/>
        </w:rPr>
        <w:t xml:space="preserve">Fig. 2 </w:t>
      </w:r>
      <w:r w:rsidRPr="00DD354F">
        <w:rPr>
          <w:i/>
          <w:sz w:val="24"/>
          <w:szCs w:val="24"/>
          <w:lang w:val="en-US"/>
        </w:rPr>
        <w:t>D-E</w:t>
      </w:r>
      <w:r w:rsidRPr="00DD354F">
        <w:rPr>
          <w:b w:val="0"/>
          <w:sz w:val="24"/>
          <w:szCs w:val="24"/>
          <w:lang w:val="en-US"/>
        </w:rPr>
        <w:t xml:space="preserve">). However, since such a </w:t>
      </w:r>
      <w:proofErr w:type="spellStart"/>
      <w:r w:rsidRPr="00DD354F">
        <w:rPr>
          <w:b w:val="0"/>
          <w:sz w:val="24"/>
          <w:szCs w:val="24"/>
          <w:lang w:val="en-US"/>
        </w:rPr>
        <w:t>columella</w:t>
      </w:r>
      <w:proofErr w:type="spellEnd"/>
      <w:r w:rsidRPr="00DD354F">
        <w:rPr>
          <w:b w:val="0"/>
          <w:sz w:val="24"/>
          <w:szCs w:val="24"/>
          <w:lang w:val="en-US"/>
        </w:rPr>
        <w:t xml:space="preserve"> phenotype can also be explained by altered auxin distribution, levels or response </w:t>
      </w:r>
      <w:r w:rsidRPr="00DD354F">
        <w:rPr>
          <w:b w:val="0"/>
          <w:noProof/>
          <w:sz w:val="24"/>
          <w:szCs w:val="24"/>
          <w:lang w:val="en-US"/>
        </w:rPr>
        <w:t>(11)</w:t>
      </w:r>
      <w:r w:rsidRPr="00DD354F">
        <w:rPr>
          <w:b w:val="0"/>
          <w:sz w:val="24"/>
          <w:szCs w:val="24"/>
          <w:lang w:val="en-US"/>
        </w:rPr>
        <w:t xml:space="preserve">, the similarity between the </w:t>
      </w:r>
      <w:r w:rsidRPr="00DD354F">
        <w:rPr>
          <w:b w:val="0"/>
          <w:i/>
          <w:sz w:val="24"/>
          <w:szCs w:val="24"/>
          <w:lang w:val="en-US"/>
        </w:rPr>
        <w:t>pp2a-3</w:t>
      </w:r>
      <w:r w:rsidRPr="00DD354F">
        <w:rPr>
          <w:b w:val="0"/>
          <w:sz w:val="24"/>
          <w:szCs w:val="24"/>
          <w:lang w:val="en-US"/>
        </w:rPr>
        <w:t xml:space="preserve"> and </w:t>
      </w:r>
      <w:r w:rsidRPr="00DD354F">
        <w:rPr>
          <w:b w:val="0"/>
          <w:i/>
          <w:sz w:val="24"/>
          <w:szCs w:val="24"/>
          <w:lang w:val="en-US"/>
        </w:rPr>
        <w:t>acr4</w:t>
      </w:r>
      <w:r w:rsidRPr="00DD354F">
        <w:rPr>
          <w:b w:val="0"/>
          <w:sz w:val="24"/>
          <w:szCs w:val="24"/>
          <w:lang w:val="en-US"/>
        </w:rPr>
        <w:t xml:space="preserve"> mutants does not provide conclusive support for a genetic and/or physical interaction. This is especially relevant since PP2A-3 has been shown to play a role in auxin transport </w:t>
      </w:r>
      <w:r w:rsidRPr="00DD354F">
        <w:rPr>
          <w:b w:val="0"/>
          <w:noProof/>
          <w:sz w:val="24"/>
          <w:szCs w:val="24"/>
          <w:lang w:val="en-US"/>
        </w:rPr>
        <w:t>(38)</w:t>
      </w:r>
      <w:r w:rsidRPr="00DD354F">
        <w:rPr>
          <w:b w:val="0"/>
          <w:sz w:val="24"/>
          <w:szCs w:val="24"/>
          <w:lang w:val="en-US"/>
        </w:rPr>
        <w:t xml:space="preserve">. We therefore tested to what extent </w:t>
      </w:r>
      <w:r w:rsidRPr="00DD354F">
        <w:rPr>
          <w:b w:val="0"/>
          <w:i/>
          <w:sz w:val="24"/>
          <w:szCs w:val="24"/>
          <w:lang w:val="en-US"/>
        </w:rPr>
        <w:t>acr4</w:t>
      </w:r>
      <w:r w:rsidRPr="00DD354F">
        <w:rPr>
          <w:b w:val="0"/>
          <w:sz w:val="24"/>
          <w:szCs w:val="24"/>
          <w:lang w:val="en-US"/>
        </w:rPr>
        <w:t xml:space="preserve"> and </w:t>
      </w:r>
      <w:r w:rsidRPr="00DD354F">
        <w:rPr>
          <w:b w:val="0"/>
          <w:i/>
          <w:sz w:val="24"/>
          <w:szCs w:val="24"/>
          <w:lang w:val="en-US"/>
        </w:rPr>
        <w:t>pp2a-3</w:t>
      </w:r>
      <w:r w:rsidRPr="00DD354F">
        <w:rPr>
          <w:b w:val="0"/>
          <w:sz w:val="24"/>
          <w:szCs w:val="24"/>
          <w:lang w:val="en-US"/>
        </w:rPr>
        <w:t xml:space="preserve"> are affected in their sensitivity to NPA with respect to primary root length and </w:t>
      </w:r>
      <w:proofErr w:type="spellStart"/>
      <w:r w:rsidRPr="00DD354F">
        <w:rPr>
          <w:b w:val="0"/>
          <w:sz w:val="24"/>
          <w:szCs w:val="24"/>
          <w:lang w:val="en-US"/>
        </w:rPr>
        <w:t>columella</w:t>
      </w:r>
      <w:proofErr w:type="spellEnd"/>
      <w:r w:rsidRPr="00DD354F">
        <w:rPr>
          <w:b w:val="0"/>
          <w:sz w:val="24"/>
          <w:szCs w:val="24"/>
          <w:lang w:val="en-US"/>
        </w:rPr>
        <w:t xml:space="preserve"> differentiation. In these assays, </w:t>
      </w:r>
      <w:r w:rsidRPr="00DD354F">
        <w:rPr>
          <w:b w:val="0"/>
          <w:i/>
          <w:sz w:val="24"/>
          <w:szCs w:val="24"/>
          <w:lang w:val="en-US"/>
        </w:rPr>
        <w:t>acr4</w:t>
      </w:r>
      <w:r w:rsidRPr="00DD354F">
        <w:rPr>
          <w:b w:val="0"/>
          <w:sz w:val="24"/>
          <w:szCs w:val="24"/>
          <w:lang w:val="en-US"/>
        </w:rPr>
        <w:t xml:space="preserve"> and </w:t>
      </w:r>
      <w:r w:rsidRPr="00DD354F">
        <w:rPr>
          <w:b w:val="0"/>
          <w:i/>
          <w:sz w:val="24"/>
          <w:szCs w:val="24"/>
          <w:lang w:val="en-US"/>
        </w:rPr>
        <w:t>pp2a-3</w:t>
      </w:r>
      <w:r w:rsidRPr="00DD354F">
        <w:rPr>
          <w:b w:val="0"/>
          <w:sz w:val="24"/>
          <w:szCs w:val="24"/>
          <w:lang w:val="en-US"/>
        </w:rPr>
        <w:t xml:space="preserve"> appeared equally sensitive to NPA treatment as Col-0 (</w:t>
      </w:r>
      <w:r w:rsidRPr="00DD354F">
        <w:rPr>
          <w:sz w:val="24"/>
          <w:szCs w:val="24"/>
          <w:lang w:val="en-US"/>
        </w:rPr>
        <w:t>Fig. S4</w:t>
      </w:r>
      <w:r w:rsidRPr="00DD354F">
        <w:rPr>
          <w:b w:val="0"/>
          <w:sz w:val="24"/>
          <w:szCs w:val="24"/>
          <w:lang w:val="en-US"/>
        </w:rPr>
        <w:t xml:space="preserve">), suggesting </w:t>
      </w:r>
      <w:r w:rsidR="005B27B7">
        <w:rPr>
          <w:b w:val="0"/>
          <w:sz w:val="24"/>
          <w:szCs w:val="24"/>
          <w:lang w:val="en-US"/>
        </w:rPr>
        <w:t xml:space="preserve">that </w:t>
      </w:r>
      <w:r w:rsidRPr="00DD354F">
        <w:rPr>
          <w:b w:val="0"/>
          <w:sz w:val="24"/>
          <w:szCs w:val="24"/>
          <w:lang w:val="en-US"/>
        </w:rPr>
        <w:t xml:space="preserve">there is no apparent auxin transport-mediated effect in this case. The genetic interaction between ACR4 and PP2A-3 was further supported by the </w:t>
      </w:r>
      <w:r w:rsidRPr="00DD354F">
        <w:rPr>
          <w:b w:val="0"/>
          <w:i/>
          <w:sz w:val="24"/>
          <w:szCs w:val="24"/>
          <w:lang w:val="en-US"/>
        </w:rPr>
        <w:t>acr4 pp2a-3</w:t>
      </w:r>
      <w:r w:rsidRPr="00DD354F">
        <w:rPr>
          <w:b w:val="0"/>
          <w:sz w:val="24"/>
          <w:szCs w:val="24"/>
          <w:lang w:val="en-US"/>
        </w:rPr>
        <w:t xml:space="preserve"> double mutant, where we could not record an additive effect arguing both are active in the same pathway (</w:t>
      </w:r>
      <w:r w:rsidRPr="00DD354F">
        <w:rPr>
          <w:sz w:val="24"/>
          <w:szCs w:val="24"/>
          <w:lang w:val="en-US"/>
        </w:rPr>
        <w:t xml:space="preserve">Fig. 2 </w:t>
      </w:r>
      <w:r w:rsidRPr="00DD354F">
        <w:rPr>
          <w:i/>
          <w:sz w:val="24"/>
          <w:szCs w:val="24"/>
          <w:lang w:val="en-US"/>
        </w:rPr>
        <w:t>D-E</w:t>
      </w:r>
      <w:r w:rsidRPr="00DD354F">
        <w:rPr>
          <w:sz w:val="24"/>
          <w:szCs w:val="24"/>
          <w:lang w:val="en-US"/>
        </w:rPr>
        <w:t>)</w:t>
      </w:r>
      <w:r w:rsidRPr="00DD354F">
        <w:rPr>
          <w:b w:val="0"/>
          <w:sz w:val="24"/>
          <w:szCs w:val="24"/>
          <w:lang w:val="en-US"/>
        </w:rPr>
        <w:t xml:space="preserve">. Although we cannot rule out cell-specific changes, we have excluded that the similarities in phenotype are due to a broad differential regulation of </w:t>
      </w:r>
      <w:r w:rsidRPr="00DD354F">
        <w:rPr>
          <w:b w:val="0"/>
          <w:i/>
          <w:sz w:val="24"/>
          <w:szCs w:val="24"/>
          <w:lang w:val="en-US"/>
        </w:rPr>
        <w:t>ACR4</w:t>
      </w:r>
      <w:r w:rsidRPr="00DD354F">
        <w:rPr>
          <w:b w:val="0"/>
          <w:sz w:val="24"/>
          <w:szCs w:val="24"/>
          <w:lang w:val="en-US"/>
        </w:rPr>
        <w:t xml:space="preserve"> or </w:t>
      </w:r>
      <w:r w:rsidRPr="00DD354F">
        <w:rPr>
          <w:b w:val="0"/>
          <w:i/>
          <w:sz w:val="24"/>
          <w:szCs w:val="24"/>
          <w:lang w:val="en-US"/>
        </w:rPr>
        <w:t>PP2A-3</w:t>
      </w:r>
      <w:r w:rsidRPr="00DD354F">
        <w:rPr>
          <w:b w:val="0"/>
          <w:sz w:val="24"/>
          <w:szCs w:val="24"/>
          <w:lang w:val="en-US"/>
        </w:rPr>
        <w:t xml:space="preserve"> expression in </w:t>
      </w:r>
      <w:r w:rsidRPr="00DD354F">
        <w:rPr>
          <w:b w:val="0"/>
          <w:i/>
          <w:sz w:val="24"/>
          <w:szCs w:val="24"/>
          <w:lang w:val="en-US"/>
        </w:rPr>
        <w:t>pp2a-3</w:t>
      </w:r>
      <w:r w:rsidRPr="00DD354F">
        <w:rPr>
          <w:b w:val="0"/>
          <w:sz w:val="24"/>
          <w:szCs w:val="24"/>
          <w:lang w:val="en-US"/>
        </w:rPr>
        <w:t xml:space="preserve"> and </w:t>
      </w:r>
      <w:r w:rsidRPr="00DD354F">
        <w:rPr>
          <w:b w:val="0"/>
          <w:i/>
          <w:sz w:val="24"/>
          <w:szCs w:val="24"/>
          <w:lang w:val="en-US"/>
        </w:rPr>
        <w:t>acr4</w:t>
      </w:r>
      <w:r w:rsidRPr="00DD354F">
        <w:rPr>
          <w:b w:val="0"/>
          <w:sz w:val="24"/>
          <w:szCs w:val="24"/>
          <w:lang w:val="en-US"/>
        </w:rPr>
        <w:t xml:space="preserve"> mutants, respectively (</w:t>
      </w:r>
      <w:r w:rsidRPr="00DD354F">
        <w:rPr>
          <w:sz w:val="24"/>
          <w:szCs w:val="24"/>
          <w:lang w:val="en-US"/>
        </w:rPr>
        <w:t>Fig. S5</w:t>
      </w:r>
      <w:r w:rsidRPr="00DD354F">
        <w:rPr>
          <w:b w:val="0"/>
          <w:sz w:val="24"/>
          <w:szCs w:val="24"/>
          <w:lang w:val="en-US"/>
        </w:rPr>
        <w:t xml:space="preserve">). Taken together, our </w:t>
      </w:r>
      <w:r w:rsidRPr="00DD354F">
        <w:rPr>
          <w:b w:val="0"/>
          <w:sz w:val="24"/>
          <w:szCs w:val="24"/>
          <w:lang w:val="en-US"/>
        </w:rPr>
        <w:lastRenderedPageBreak/>
        <w:t xml:space="preserve">observations indicate a role for PP2A-3 in cellular patterning during primary root development that overlaps with ACR4 function, and further suggest that this is possibly independent of an affected auxin transport capacity. </w:t>
      </w:r>
    </w:p>
    <w:p w:rsidR="00540468" w:rsidRPr="00DD354F" w:rsidRDefault="00540468" w:rsidP="00DD354F">
      <w:pPr>
        <w:pStyle w:val="Heading3"/>
        <w:shd w:val="clear" w:color="auto" w:fill="FFFFFF"/>
        <w:spacing w:before="0" w:beforeAutospacing="0" w:after="0" w:afterAutospacing="0" w:line="480" w:lineRule="auto"/>
        <w:jc w:val="both"/>
        <w:rPr>
          <w:b w:val="0"/>
          <w:sz w:val="24"/>
          <w:szCs w:val="24"/>
          <w:lang w:val="en-US"/>
        </w:rPr>
      </w:pPr>
      <w:r w:rsidRPr="00DD354F">
        <w:rPr>
          <w:sz w:val="24"/>
          <w:szCs w:val="24"/>
          <w:lang w:val="en-US"/>
        </w:rPr>
        <w:t>PP2A-3 and PP2A-4 redundantly affect primary root growth.</w:t>
      </w:r>
      <w:r w:rsidRPr="00DD354F">
        <w:rPr>
          <w:b w:val="0"/>
          <w:sz w:val="24"/>
          <w:szCs w:val="24"/>
          <w:lang w:val="en-US"/>
        </w:rPr>
        <w:t xml:space="preserve"> Given that PP2A-4 is closely related to PP2A-3, we explored possible redundancy with respect to primary root growth. Indeed, a double </w:t>
      </w:r>
      <w:r w:rsidRPr="00DD354F">
        <w:rPr>
          <w:b w:val="0"/>
          <w:i/>
          <w:sz w:val="24"/>
          <w:szCs w:val="24"/>
          <w:lang w:val="en-US"/>
        </w:rPr>
        <w:t>pp2a-3 pp2a-4</w:t>
      </w:r>
      <w:r w:rsidRPr="00DD354F">
        <w:rPr>
          <w:b w:val="0"/>
          <w:sz w:val="24"/>
          <w:szCs w:val="24"/>
          <w:lang w:val="en-US"/>
        </w:rPr>
        <w:t xml:space="preserve"> mutant displayed a short primary root, further reduced </w:t>
      </w:r>
      <w:proofErr w:type="spellStart"/>
      <w:r w:rsidRPr="00DD354F">
        <w:rPr>
          <w:b w:val="0"/>
          <w:sz w:val="24"/>
          <w:szCs w:val="24"/>
          <w:lang w:val="en-US"/>
        </w:rPr>
        <w:t>columella</w:t>
      </w:r>
      <w:proofErr w:type="spellEnd"/>
      <w:r w:rsidRPr="00DD354F">
        <w:rPr>
          <w:b w:val="0"/>
          <w:sz w:val="24"/>
          <w:szCs w:val="24"/>
          <w:lang w:val="en-US"/>
        </w:rPr>
        <w:t xml:space="preserve"> differentiation and severely disrupted cell organization in the root tip compared to wild type (</w:t>
      </w:r>
      <w:r w:rsidRPr="00DD354F">
        <w:rPr>
          <w:sz w:val="24"/>
          <w:szCs w:val="24"/>
          <w:lang w:val="en-US"/>
        </w:rPr>
        <w:t>Fig. 2</w:t>
      </w:r>
      <w:r w:rsidRPr="00DD354F">
        <w:rPr>
          <w:i/>
          <w:sz w:val="24"/>
          <w:szCs w:val="24"/>
          <w:lang w:val="en-US"/>
        </w:rPr>
        <w:t xml:space="preserve"> B-E</w:t>
      </w:r>
      <w:r w:rsidRPr="00DD354F">
        <w:rPr>
          <w:b w:val="0"/>
          <w:sz w:val="24"/>
          <w:szCs w:val="24"/>
          <w:lang w:val="en-US"/>
        </w:rPr>
        <w:t xml:space="preserve">) </w:t>
      </w:r>
      <w:r w:rsidRPr="00DD354F">
        <w:rPr>
          <w:b w:val="0"/>
          <w:noProof/>
          <w:sz w:val="24"/>
          <w:szCs w:val="24"/>
          <w:lang w:val="en-US"/>
        </w:rPr>
        <w:t>(36)</w:t>
      </w:r>
      <w:r w:rsidRPr="00DD354F">
        <w:rPr>
          <w:b w:val="0"/>
          <w:sz w:val="24"/>
          <w:szCs w:val="24"/>
          <w:lang w:val="en-US"/>
        </w:rPr>
        <w:t xml:space="preserve">. However, this double mutant phenotype appeared to be less severe than the one obtained by Ballesteros and co-workers </w:t>
      </w:r>
      <w:r w:rsidRPr="00DD354F">
        <w:rPr>
          <w:b w:val="0"/>
          <w:noProof/>
          <w:sz w:val="24"/>
          <w:szCs w:val="24"/>
          <w:lang w:val="en-US"/>
        </w:rPr>
        <w:t>(38)</w:t>
      </w:r>
      <w:r w:rsidRPr="00DD354F">
        <w:rPr>
          <w:b w:val="0"/>
          <w:sz w:val="24"/>
          <w:szCs w:val="24"/>
          <w:lang w:val="en-US"/>
        </w:rPr>
        <w:t xml:space="preserve">, which is possibly due to the use of different T-DNA lines. Short root phenotypes associated with disrupted cell division and/or cellular patterning in the root tip are often associated with a loss of quiescent center cell identity </w:t>
      </w:r>
      <w:r w:rsidRPr="00DD354F">
        <w:rPr>
          <w:b w:val="0"/>
          <w:noProof/>
          <w:sz w:val="24"/>
          <w:szCs w:val="24"/>
          <w:lang w:val="en-US"/>
        </w:rPr>
        <w:t>(39, 40)</w:t>
      </w:r>
      <w:r w:rsidRPr="00DD354F">
        <w:rPr>
          <w:b w:val="0"/>
          <w:sz w:val="24"/>
          <w:szCs w:val="24"/>
          <w:lang w:val="en-US"/>
        </w:rPr>
        <w:t xml:space="preserve">. To assess if the quiescent center was absent in the disrupted root tip of </w:t>
      </w:r>
      <w:r w:rsidRPr="00DD354F">
        <w:rPr>
          <w:b w:val="0"/>
          <w:i/>
          <w:sz w:val="24"/>
          <w:szCs w:val="24"/>
          <w:lang w:val="en-US"/>
        </w:rPr>
        <w:t xml:space="preserve">pp2a-3 pp2a-4, </w:t>
      </w:r>
      <w:r w:rsidRPr="00DD354F">
        <w:rPr>
          <w:b w:val="0"/>
          <w:sz w:val="24"/>
          <w:szCs w:val="24"/>
          <w:lang w:val="en-US"/>
        </w:rPr>
        <w:t xml:space="preserve">we analyzed the expression of the quiescent center marker </w:t>
      </w:r>
      <w:r w:rsidRPr="00DD354F">
        <w:rPr>
          <w:b w:val="0"/>
          <w:i/>
          <w:sz w:val="24"/>
          <w:szCs w:val="24"/>
          <w:lang w:val="en-US"/>
        </w:rPr>
        <w:t>QC184</w:t>
      </w:r>
      <w:r w:rsidRPr="00DD354F">
        <w:rPr>
          <w:b w:val="0"/>
          <w:sz w:val="24"/>
          <w:szCs w:val="24"/>
          <w:lang w:val="en-US"/>
        </w:rPr>
        <w:t xml:space="preserve"> </w:t>
      </w:r>
      <w:r w:rsidRPr="00DD354F">
        <w:rPr>
          <w:b w:val="0"/>
          <w:noProof/>
          <w:sz w:val="24"/>
          <w:szCs w:val="24"/>
          <w:lang w:val="en-US"/>
        </w:rPr>
        <w:t>(7)</w:t>
      </w:r>
      <w:r w:rsidRPr="00DD354F">
        <w:rPr>
          <w:b w:val="0"/>
          <w:sz w:val="24"/>
          <w:szCs w:val="24"/>
          <w:lang w:val="en-US"/>
        </w:rPr>
        <w:t xml:space="preserve">. Surprisingly, notwithstanding the dramatic impact on the regular cellular pattern in the root tip, </w:t>
      </w:r>
      <w:r w:rsidRPr="00DD354F">
        <w:rPr>
          <w:b w:val="0"/>
          <w:i/>
          <w:sz w:val="24"/>
          <w:szCs w:val="24"/>
          <w:lang w:val="en-US"/>
        </w:rPr>
        <w:t>QC184</w:t>
      </w:r>
      <w:r w:rsidRPr="00DD354F">
        <w:rPr>
          <w:b w:val="0"/>
          <w:sz w:val="24"/>
          <w:szCs w:val="24"/>
          <w:lang w:val="en-US"/>
        </w:rPr>
        <w:t xml:space="preserve"> expression was not abolished, and even appeared to expand into the </w:t>
      </w:r>
      <w:proofErr w:type="spellStart"/>
      <w:r w:rsidRPr="00DD354F">
        <w:rPr>
          <w:b w:val="0"/>
          <w:sz w:val="24"/>
          <w:szCs w:val="24"/>
          <w:lang w:val="en-US"/>
        </w:rPr>
        <w:t>columella</w:t>
      </w:r>
      <w:proofErr w:type="spellEnd"/>
      <w:r w:rsidRPr="00DD354F">
        <w:rPr>
          <w:b w:val="0"/>
          <w:sz w:val="24"/>
          <w:szCs w:val="24"/>
          <w:lang w:val="en-US"/>
        </w:rPr>
        <w:t xml:space="preserve"> (</w:t>
      </w:r>
      <w:r w:rsidRPr="00DD354F">
        <w:rPr>
          <w:sz w:val="24"/>
          <w:szCs w:val="24"/>
          <w:lang w:val="en-US"/>
        </w:rPr>
        <w:t xml:space="preserve">Fig. 2 </w:t>
      </w:r>
      <w:r w:rsidRPr="00DD354F">
        <w:rPr>
          <w:i/>
          <w:sz w:val="24"/>
          <w:szCs w:val="24"/>
          <w:lang w:val="en-US"/>
        </w:rPr>
        <w:t>F</w:t>
      </w:r>
      <w:r w:rsidRPr="00DD354F">
        <w:rPr>
          <w:b w:val="0"/>
          <w:sz w:val="24"/>
          <w:szCs w:val="24"/>
          <w:lang w:val="en-US"/>
        </w:rPr>
        <w:t xml:space="preserve">). The latter might suggest that the </w:t>
      </w:r>
      <w:proofErr w:type="spellStart"/>
      <w:r w:rsidRPr="00DD354F">
        <w:rPr>
          <w:b w:val="0"/>
          <w:sz w:val="24"/>
          <w:szCs w:val="24"/>
          <w:lang w:val="en-US"/>
        </w:rPr>
        <w:t>stemness</w:t>
      </w:r>
      <w:proofErr w:type="spellEnd"/>
      <w:r w:rsidRPr="00DD354F">
        <w:rPr>
          <w:b w:val="0"/>
          <w:sz w:val="24"/>
          <w:szCs w:val="24"/>
          <w:lang w:val="en-US"/>
        </w:rPr>
        <w:t xml:space="preserve"> gradient in </w:t>
      </w:r>
      <w:r w:rsidRPr="00DD354F">
        <w:rPr>
          <w:b w:val="0"/>
          <w:i/>
          <w:sz w:val="24"/>
          <w:szCs w:val="24"/>
          <w:lang w:val="en-US"/>
        </w:rPr>
        <w:t>pp2a-3 pp2a-4</w:t>
      </w:r>
      <w:r w:rsidRPr="00DD354F">
        <w:rPr>
          <w:b w:val="0"/>
          <w:sz w:val="24"/>
          <w:szCs w:val="24"/>
          <w:lang w:val="en-US"/>
        </w:rPr>
        <w:t xml:space="preserve"> is perturbed. Furthermore, we applied </w:t>
      </w:r>
      <w:proofErr w:type="spellStart"/>
      <w:r w:rsidRPr="00DD354F">
        <w:rPr>
          <w:b w:val="0"/>
          <w:sz w:val="24"/>
          <w:szCs w:val="24"/>
          <w:lang w:val="en-US"/>
        </w:rPr>
        <w:t>cantharidin</w:t>
      </w:r>
      <w:proofErr w:type="spellEnd"/>
      <w:r w:rsidRPr="00DD354F">
        <w:rPr>
          <w:b w:val="0"/>
          <w:sz w:val="24"/>
          <w:szCs w:val="24"/>
          <w:lang w:val="en-US"/>
        </w:rPr>
        <w:t xml:space="preserve"> </w:t>
      </w:r>
      <w:r w:rsidRPr="00DD354F">
        <w:rPr>
          <w:b w:val="0"/>
          <w:sz w:val="24"/>
          <w:szCs w:val="24"/>
          <w:shd w:val="clear" w:color="auto" w:fill="FFFFFF"/>
          <w:lang w:val="en-US"/>
        </w:rPr>
        <w:t>–</w:t>
      </w:r>
      <w:r w:rsidRPr="00DD354F">
        <w:rPr>
          <w:b w:val="0"/>
          <w:sz w:val="24"/>
          <w:szCs w:val="24"/>
          <w:lang w:val="en-US"/>
        </w:rPr>
        <w:t xml:space="preserve"> </w:t>
      </w:r>
      <w:r w:rsidRPr="00DD354F">
        <w:rPr>
          <w:b w:val="0"/>
          <w:sz w:val="24"/>
          <w:szCs w:val="24"/>
          <w:shd w:val="clear" w:color="auto" w:fill="FFFFFF"/>
          <w:lang w:val="en-US"/>
        </w:rPr>
        <w:t>an inhibitor of PP2A and PP2A-related phosphatases (</w:t>
      </w:r>
      <w:r w:rsidRPr="00DD354F">
        <w:rPr>
          <w:i/>
          <w:sz w:val="24"/>
          <w:szCs w:val="24"/>
          <w:lang w:val="en-US"/>
        </w:rPr>
        <w:t>SI Supplemental Notes</w:t>
      </w:r>
      <w:r w:rsidRPr="00DD354F">
        <w:rPr>
          <w:b w:val="0"/>
          <w:sz w:val="24"/>
          <w:szCs w:val="24"/>
          <w:lang w:val="en-US"/>
        </w:rPr>
        <w:t>)</w:t>
      </w:r>
      <w:r w:rsidRPr="00DD354F">
        <w:rPr>
          <w:i/>
          <w:sz w:val="24"/>
          <w:szCs w:val="24"/>
          <w:lang w:val="en-US"/>
        </w:rPr>
        <w:t xml:space="preserve"> </w:t>
      </w:r>
      <w:r w:rsidRPr="00DD354F">
        <w:rPr>
          <w:b w:val="0"/>
          <w:sz w:val="24"/>
          <w:szCs w:val="24"/>
          <w:shd w:val="clear" w:color="auto" w:fill="FFFFFF"/>
          <w:lang w:val="en-US"/>
        </w:rPr>
        <w:t xml:space="preserve">– </w:t>
      </w:r>
      <w:r w:rsidRPr="00DD354F">
        <w:rPr>
          <w:b w:val="0"/>
          <w:sz w:val="24"/>
          <w:szCs w:val="24"/>
          <w:lang w:val="en-US"/>
        </w:rPr>
        <w:t xml:space="preserve">to the </w:t>
      </w:r>
      <w:r w:rsidRPr="00DD354F">
        <w:rPr>
          <w:b w:val="0"/>
          <w:i/>
          <w:sz w:val="24"/>
          <w:szCs w:val="24"/>
          <w:lang w:val="en-US"/>
        </w:rPr>
        <w:t>QC184</w:t>
      </w:r>
      <w:r w:rsidRPr="00DD354F">
        <w:rPr>
          <w:b w:val="0"/>
          <w:sz w:val="24"/>
          <w:szCs w:val="24"/>
          <w:lang w:val="en-US"/>
        </w:rPr>
        <w:t xml:space="preserve"> and </w:t>
      </w:r>
      <w:r w:rsidRPr="00DD354F">
        <w:rPr>
          <w:b w:val="0"/>
          <w:i/>
          <w:sz w:val="24"/>
          <w:szCs w:val="24"/>
          <w:lang w:val="en-US"/>
        </w:rPr>
        <w:t>pWOX5::GUS</w:t>
      </w:r>
      <w:r w:rsidRPr="00DD354F">
        <w:rPr>
          <w:b w:val="0"/>
          <w:sz w:val="24"/>
          <w:szCs w:val="24"/>
          <w:lang w:val="en-US"/>
        </w:rPr>
        <w:t xml:space="preserve"> markers </w:t>
      </w:r>
      <w:r w:rsidRPr="00DD354F">
        <w:rPr>
          <w:b w:val="0"/>
          <w:noProof/>
          <w:sz w:val="24"/>
          <w:szCs w:val="24"/>
          <w:lang w:val="en-US"/>
        </w:rPr>
        <w:t>(7)</w:t>
      </w:r>
      <w:r w:rsidRPr="00DD354F">
        <w:rPr>
          <w:b w:val="0"/>
          <w:sz w:val="24"/>
          <w:szCs w:val="24"/>
          <w:lang w:val="en-US"/>
        </w:rPr>
        <w:t>, demonstrating that quiescent center identity is not lost when interfering with PP2A activity (</w:t>
      </w:r>
      <w:r w:rsidRPr="00DD354F">
        <w:rPr>
          <w:sz w:val="24"/>
          <w:szCs w:val="24"/>
          <w:lang w:val="en-US"/>
        </w:rPr>
        <w:t xml:space="preserve">Fig. 2 </w:t>
      </w:r>
      <w:r w:rsidRPr="00DD354F">
        <w:rPr>
          <w:i/>
          <w:sz w:val="24"/>
          <w:szCs w:val="24"/>
          <w:lang w:val="en-US"/>
        </w:rPr>
        <w:t xml:space="preserve">G </w:t>
      </w:r>
      <w:r w:rsidRPr="00DD354F">
        <w:rPr>
          <w:sz w:val="24"/>
          <w:szCs w:val="24"/>
          <w:lang w:val="en-US"/>
        </w:rPr>
        <w:t>and Fig. S6</w:t>
      </w:r>
      <w:r w:rsidRPr="00DD354F">
        <w:rPr>
          <w:b w:val="0"/>
          <w:sz w:val="24"/>
          <w:szCs w:val="24"/>
          <w:lang w:val="en-US"/>
        </w:rPr>
        <w:t xml:space="preserve">). Interestingly, </w:t>
      </w:r>
      <w:r w:rsidRPr="00DD354F">
        <w:rPr>
          <w:b w:val="0"/>
          <w:i/>
          <w:sz w:val="24"/>
          <w:szCs w:val="24"/>
          <w:lang w:val="en-US"/>
        </w:rPr>
        <w:t>WOX5</w:t>
      </w:r>
      <w:r w:rsidRPr="00DD354F">
        <w:rPr>
          <w:b w:val="0"/>
          <w:sz w:val="24"/>
          <w:szCs w:val="24"/>
          <w:lang w:val="en-US"/>
        </w:rPr>
        <w:t xml:space="preserve"> expression was shown to be similarly affected in the </w:t>
      </w:r>
      <w:r w:rsidRPr="00DD354F">
        <w:rPr>
          <w:b w:val="0"/>
          <w:i/>
          <w:sz w:val="24"/>
          <w:szCs w:val="24"/>
          <w:lang w:val="en-US"/>
        </w:rPr>
        <w:t>clavata3/embryo surrounding region 40</w:t>
      </w:r>
      <w:r w:rsidRPr="00DD354F">
        <w:rPr>
          <w:b w:val="0"/>
          <w:sz w:val="24"/>
          <w:szCs w:val="24"/>
          <w:lang w:val="en-US"/>
        </w:rPr>
        <w:t xml:space="preserve"> (</w:t>
      </w:r>
      <w:r w:rsidRPr="00DD354F">
        <w:rPr>
          <w:b w:val="0"/>
          <w:i/>
          <w:sz w:val="24"/>
          <w:szCs w:val="24"/>
          <w:lang w:val="en-US"/>
        </w:rPr>
        <w:t>cle40</w:t>
      </w:r>
      <w:r w:rsidRPr="00DD354F">
        <w:rPr>
          <w:b w:val="0"/>
          <w:sz w:val="24"/>
          <w:szCs w:val="24"/>
          <w:lang w:val="en-US"/>
        </w:rPr>
        <w:t>) mutant, and ACR4 was identified as a target of CLE40 signaling</w:t>
      </w:r>
      <w:r w:rsidRPr="00DD354F">
        <w:rPr>
          <w:b w:val="0"/>
          <w:i/>
          <w:sz w:val="24"/>
          <w:szCs w:val="24"/>
          <w:lang w:val="en-US"/>
        </w:rPr>
        <w:t xml:space="preserve"> </w:t>
      </w:r>
      <w:r w:rsidRPr="00DD354F">
        <w:rPr>
          <w:b w:val="0"/>
          <w:noProof/>
          <w:sz w:val="24"/>
          <w:szCs w:val="24"/>
          <w:lang w:val="en-US"/>
        </w:rPr>
        <w:t>(15, 22)</w:t>
      </w:r>
      <w:r w:rsidRPr="00DD354F">
        <w:rPr>
          <w:b w:val="0"/>
          <w:sz w:val="24"/>
          <w:szCs w:val="24"/>
          <w:lang w:val="en-US"/>
        </w:rPr>
        <w:t xml:space="preserve">, further corroborating the potential connection between PP2A and ACR4. Next, evaluating sensitivity to </w:t>
      </w:r>
      <w:proofErr w:type="spellStart"/>
      <w:r w:rsidRPr="00DD354F">
        <w:rPr>
          <w:b w:val="0"/>
          <w:sz w:val="24"/>
          <w:szCs w:val="24"/>
          <w:lang w:val="en-US"/>
        </w:rPr>
        <w:t>cantharidin</w:t>
      </w:r>
      <w:proofErr w:type="spellEnd"/>
      <w:r w:rsidRPr="00DD354F">
        <w:rPr>
          <w:b w:val="0"/>
          <w:sz w:val="24"/>
          <w:szCs w:val="24"/>
          <w:lang w:val="en-US"/>
        </w:rPr>
        <w:t xml:space="preserve"> with respect to primary root growth revealed that </w:t>
      </w:r>
      <w:r w:rsidRPr="00DD354F">
        <w:rPr>
          <w:b w:val="0"/>
          <w:i/>
          <w:sz w:val="24"/>
          <w:szCs w:val="24"/>
          <w:lang w:val="en-US"/>
        </w:rPr>
        <w:t>acr4</w:t>
      </w:r>
      <w:r w:rsidRPr="00DD354F">
        <w:rPr>
          <w:b w:val="0"/>
          <w:sz w:val="24"/>
          <w:szCs w:val="24"/>
          <w:lang w:val="en-US"/>
        </w:rPr>
        <w:t xml:space="preserve"> is equally sensitive to </w:t>
      </w:r>
      <w:proofErr w:type="spellStart"/>
      <w:r w:rsidRPr="00DD354F">
        <w:rPr>
          <w:b w:val="0"/>
          <w:sz w:val="24"/>
          <w:szCs w:val="24"/>
          <w:lang w:val="en-US"/>
        </w:rPr>
        <w:t>cantharidin</w:t>
      </w:r>
      <w:proofErr w:type="spellEnd"/>
      <w:r w:rsidRPr="00DD354F">
        <w:rPr>
          <w:b w:val="0"/>
          <w:sz w:val="24"/>
          <w:szCs w:val="24"/>
          <w:lang w:val="en-US"/>
        </w:rPr>
        <w:t xml:space="preserve"> treatment as </w:t>
      </w:r>
      <w:r w:rsidRPr="00DD354F">
        <w:rPr>
          <w:b w:val="0"/>
          <w:i/>
          <w:sz w:val="24"/>
          <w:szCs w:val="24"/>
          <w:lang w:val="en-US"/>
        </w:rPr>
        <w:t>pp2a-3</w:t>
      </w:r>
      <w:r w:rsidRPr="00DD354F">
        <w:rPr>
          <w:b w:val="0"/>
          <w:sz w:val="24"/>
          <w:szCs w:val="24"/>
          <w:lang w:val="en-US"/>
        </w:rPr>
        <w:t>, and both are not significantly more sensitive than the control</w:t>
      </w:r>
      <w:r w:rsidRPr="00DD354F">
        <w:rPr>
          <w:b w:val="0"/>
          <w:i/>
          <w:sz w:val="24"/>
          <w:szCs w:val="24"/>
          <w:lang w:val="en-US"/>
        </w:rPr>
        <w:t xml:space="preserve"> </w:t>
      </w:r>
      <w:r w:rsidRPr="00DD354F">
        <w:rPr>
          <w:b w:val="0"/>
          <w:sz w:val="24"/>
          <w:szCs w:val="24"/>
          <w:lang w:val="en-US"/>
        </w:rPr>
        <w:t>(</w:t>
      </w:r>
      <w:r w:rsidRPr="00DD354F">
        <w:rPr>
          <w:sz w:val="24"/>
          <w:szCs w:val="24"/>
          <w:lang w:val="en-US"/>
        </w:rPr>
        <w:t>Fig. S7</w:t>
      </w:r>
      <w:r w:rsidRPr="00DD354F">
        <w:rPr>
          <w:b w:val="0"/>
          <w:sz w:val="24"/>
          <w:szCs w:val="24"/>
          <w:lang w:val="en-US"/>
        </w:rPr>
        <w:t xml:space="preserve">). We furthermore established that </w:t>
      </w:r>
      <w:proofErr w:type="spellStart"/>
      <w:r w:rsidRPr="00DD354F">
        <w:rPr>
          <w:b w:val="0"/>
          <w:sz w:val="24"/>
          <w:szCs w:val="24"/>
          <w:lang w:val="en-US"/>
        </w:rPr>
        <w:lastRenderedPageBreak/>
        <w:t>cantharidin</w:t>
      </w:r>
      <w:proofErr w:type="spellEnd"/>
      <w:r w:rsidRPr="00DD354F">
        <w:rPr>
          <w:b w:val="0"/>
          <w:sz w:val="24"/>
          <w:szCs w:val="24"/>
          <w:lang w:val="en-US"/>
        </w:rPr>
        <w:t xml:space="preserve"> does not negatively affect </w:t>
      </w:r>
      <w:r w:rsidRPr="00DD354F">
        <w:rPr>
          <w:b w:val="0"/>
          <w:i/>
          <w:sz w:val="24"/>
          <w:szCs w:val="24"/>
          <w:lang w:val="en-US"/>
        </w:rPr>
        <w:t>ACR4</w:t>
      </w:r>
      <w:r w:rsidRPr="00DD354F">
        <w:rPr>
          <w:b w:val="0"/>
          <w:sz w:val="24"/>
          <w:szCs w:val="24"/>
          <w:lang w:val="en-US"/>
        </w:rPr>
        <w:t xml:space="preserve"> expression levels, and observed a similar (minor) up-regulation as in </w:t>
      </w:r>
      <w:r w:rsidRPr="00DD354F">
        <w:rPr>
          <w:b w:val="0"/>
          <w:i/>
          <w:sz w:val="24"/>
          <w:szCs w:val="24"/>
          <w:lang w:val="en-US"/>
        </w:rPr>
        <w:t>pp2a-3 pp2a-4</w:t>
      </w:r>
      <w:r w:rsidRPr="00DD354F">
        <w:rPr>
          <w:b w:val="0"/>
          <w:sz w:val="24"/>
          <w:szCs w:val="24"/>
          <w:lang w:val="en-US"/>
        </w:rPr>
        <w:t xml:space="preserve"> (</w:t>
      </w:r>
      <w:r w:rsidRPr="00DD354F">
        <w:rPr>
          <w:sz w:val="24"/>
          <w:szCs w:val="24"/>
          <w:lang w:val="en-US"/>
        </w:rPr>
        <w:t>Fig. S5</w:t>
      </w:r>
      <w:r w:rsidRPr="00DD354F">
        <w:rPr>
          <w:b w:val="0"/>
          <w:sz w:val="24"/>
          <w:szCs w:val="24"/>
          <w:lang w:val="en-US"/>
        </w:rPr>
        <w:t xml:space="preserve">). Taken together, these results further suggest that ACR4 and PP2A-3 act in the same pathway. </w:t>
      </w:r>
    </w:p>
    <w:p w:rsidR="00540468" w:rsidRPr="00DD354F" w:rsidRDefault="00540468" w:rsidP="00DD354F">
      <w:pPr>
        <w:widowControl w:val="0"/>
        <w:spacing w:line="480" w:lineRule="auto"/>
        <w:jc w:val="both"/>
        <w:rPr>
          <w:lang w:val="en-US"/>
        </w:rPr>
      </w:pPr>
      <w:r w:rsidRPr="00DD354F">
        <w:rPr>
          <w:b/>
          <w:lang w:val="en-US"/>
        </w:rPr>
        <w:t>ACR4 phosphorylates PP2A-3.</w:t>
      </w:r>
      <w:r w:rsidRPr="00DD354F">
        <w:rPr>
          <w:lang w:val="en-US"/>
        </w:rPr>
        <w:t xml:space="preserve"> PP2A activity and function in eukaryotic cells is regulated via post-translational modification of PP2A subunits </w:t>
      </w:r>
      <w:r w:rsidRPr="00DD354F">
        <w:rPr>
          <w:noProof/>
          <w:lang w:val="en-US"/>
        </w:rPr>
        <w:t>(41)</w:t>
      </w:r>
      <w:r w:rsidRPr="00DD354F">
        <w:rPr>
          <w:lang w:val="en-US"/>
        </w:rPr>
        <w:t xml:space="preserve">. For example, PP2A complex assembly depends on the phosphorylation status of the catalytic subunit and phosphorylation of protein phosphatases has been shown to inactivate the enzyme </w:t>
      </w:r>
      <w:r w:rsidRPr="00DD354F">
        <w:rPr>
          <w:noProof/>
          <w:lang w:val="en-US"/>
        </w:rPr>
        <w:t>(41, 42)</w:t>
      </w:r>
      <w:r w:rsidRPr="00DD354F">
        <w:rPr>
          <w:lang w:val="en-US"/>
        </w:rPr>
        <w:t xml:space="preserve">, but this has not been demonstrated in plants. To evaluate if ACR4 affects the phosphorylation status of PP2A-3, we compared the </w:t>
      </w:r>
      <w:proofErr w:type="spellStart"/>
      <w:r w:rsidRPr="00DD354F">
        <w:rPr>
          <w:lang w:val="en-US"/>
        </w:rPr>
        <w:t>phospho</w:t>
      </w:r>
      <w:proofErr w:type="spellEnd"/>
      <w:r w:rsidRPr="00DD354F">
        <w:rPr>
          <w:lang w:val="en-US"/>
        </w:rPr>
        <w:t xml:space="preserve">-proteomes of Col-0 and </w:t>
      </w:r>
      <w:r w:rsidRPr="00DD354F">
        <w:rPr>
          <w:i/>
          <w:lang w:val="en-US"/>
        </w:rPr>
        <w:t xml:space="preserve">acr4 </w:t>
      </w:r>
      <w:r w:rsidRPr="00DD354F">
        <w:rPr>
          <w:lang w:val="en-US"/>
        </w:rPr>
        <w:t>seedlings. However, although we could detect a peptide (NH</w:t>
      </w:r>
      <w:r w:rsidRPr="00DD354F">
        <w:rPr>
          <w:vertAlign w:val="subscript"/>
          <w:lang w:val="en-US"/>
        </w:rPr>
        <w:t>3</w:t>
      </w:r>
      <w:r w:rsidRPr="00DD354F">
        <w:rPr>
          <w:lang w:val="en-US"/>
        </w:rPr>
        <w:t xml:space="preserve">-GAGYTFGQDISEQFNHTNNLK-COOH) for PP2A-3 (or PP2A-4) in all samples, we did not observe any (differential) phosphorylation. Since PP2A holoenzymes act in various pathways </w:t>
      </w:r>
      <w:r w:rsidRPr="00DD354F">
        <w:rPr>
          <w:noProof/>
          <w:lang w:val="en-US"/>
        </w:rPr>
        <w:t>(37, 38, 43, 44)</w:t>
      </w:r>
      <w:r w:rsidRPr="00DD354F">
        <w:rPr>
          <w:lang w:val="en-US"/>
        </w:rPr>
        <w:t xml:space="preserve"> and since ACR4 only acts in a few cells, it is likely that subtle differences mediated by ACR4 could be masked. Therefore, we explored if PP2A-3 could be phosphorylated by ACR4 </w:t>
      </w:r>
      <w:r w:rsidRPr="00DD354F">
        <w:rPr>
          <w:i/>
          <w:lang w:val="en-US"/>
        </w:rPr>
        <w:t>in vitro</w:t>
      </w:r>
      <w:r w:rsidRPr="00DD354F">
        <w:rPr>
          <w:lang w:val="en-US"/>
        </w:rPr>
        <w:t xml:space="preserve">. Indeed, </w:t>
      </w:r>
      <w:r w:rsidRPr="00DD354F">
        <w:rPr>
          <w:i/>
          <w:lang w:val="en-US"/>
        </w:rPr>
        <w:t>in vitro</w:t>
      </w:r>
      <w:r w:rsidRPr="00DD354F">
        <w:rPr>
          <w:lang w:val="en-US"/>
        </w:rPr>
        <w:t xml:space="preserve"> kinase assays demonstrated that purified recombinant </w:t>
      </w:r>
      <w:proofErr w:type="spellStart"/>
      <w:r w:rsidRPr="00DD354F">
        <w:rPr>
          <w:lang w:val="en-US"/>
        </w:rPr>
        <w:t>autophosphorylated</w:t>
      </w:r>
      <w:proofErr w:type="spellEnd"/>
      <w:r w:rsidRPr="00DD354F">
        <w:rPr>
          <w:lang w:val="en-US"/>
        </w:rPr>
        <w:t xml:space="preserve"> SUMO:ACR4</w:t>
      </w:r>
      <w:r w:rsidRPr="00DD354F">
        <w:rPr>
          <w:vertAlign w:val="superscript"/>
          <w:lang w:val="en-US"/>
        </w:rPr>
        <w:t>ICD</w:t>
      </w:r>
      <w:r w:rsidRPr="00DD354F">
        <w:rPr>
          <w:lang w:val="en-US"/>
        </w:rPr>
        <w:t>, but not a mutant inactive version of ACR4</w:t>
      </w:r>
      <w:r w:rsidRPr="00DD354F">
        <w:rPr>
          <w:vertAlign w:val="superscript"/>
          <w:lang w:val="en-US"/>
        </w:rPr>
        <w:t>ICD</w:t>
      </w:r>
      <w:r w:rsidRPr="00DD354F">
        <w:rPr>
          <w:lang w:val="en-US"/>
        </w:rPr>
        <w:t xml:space="preserve"> with </w:t>
      </w:r>
      <w:r w:rsidRPr="00DD354F">
        <w:rPr>
          <w:shd w:val="clear" w:color="auto" w:fill="FDFDFD"/>
          <w:lang w:val="en-US"/>
        </w:rPr>
        <w:t>K540A and D641A amino acid exchanges</w:t>
      </w:r>
      <w:r w:rsidRPr="00DD354F">
        <w:rPr>
          <w:lang w:val="en-US"/>
        </w:rPr>
        <w:t xml:space="preserve"> (mACR4</w:t>
      </w:r>
      <w:r w:rsidRPr="00DD354F">
        <w:rPr>
          <w:vertAlign w:val="superscript"/>
          <w:lang w:val="en-US"/>
        </w:rPr>
        <w:t>ICD</w:t>
      </w:r>
      <w:r w:rsidRPr="00DD354F">
        <w:rPr>
          <w:lang w:val="en-US"/>
        </w:rPr>
        <w:t>), could phosphorylate purified recombinant PP2A-3 (PP2A-3::6xHIS) (</w:t>
      </w:r>
      <w:r w:rsidRPr="00DD354F">
        <w:rPr>
          <w:b/>
          <w:lang w:val="en-US"/>
        </w:rPr>
        <w:t xml:space="preserve">Fig. 3 </w:t>
      </w:r>
      <w:r w:rsidRPr="00DD354F">
        <w:rPr>
          <w:b/>
          <w:i/>
          <w:lang w:val="en-US"/>
        </w:rPr>
        <w:t>A</w:t>
      </w:r>
      <w:r w:rsidRPr="00DD354F">
        <w:rPr>
          <w:lang w:val="en-US"/>
        </w:rPr>
        <w:t xml:space="preserve">). Subsequently, we identified the ACR4-dependent PP2A-3 </w:t>
      </w:r>
      <w:proofErr w:type="spellStart"/>
      <w:r w:rsidRPr="00DD354F">
        <w:rPr>
          <w:lang w:val="en-US"/>
        </w:rPr>
        <w:t>phosphosites</w:t>
      </w:r>
      <w:proofErr w:type="spellEnd"/>
      <w:r w:rsidRPr="00DD354F">
        <w:rPr>
          <w:lang w:val="en-US"/>
        </w:rPr>
        <w:t xml:space="preserve"> from the </w:t>
      </w:r>
      <w:r w:rsidRPr="00DD354F">
        <w:rPr>
          <w:i/>
          <w:lang w:val="en-US"/>
        </w:rPr>
        <w:t>in vitro</w:t>
      </w:r>
      <w:r w:rsidRPr="00DD354F">
        <w:rPr>
          <w:lang w:val="en-US"/>
        </w:rPr>
        <w:t xml:space="preserve"> kinase assay using high resolution mass spectrometry analyses. This revealed a total of 9 – so far unknown – phosphorylated residues of which five are at </w:t>
      </w:r>
      <w:proofErr w:type="spellStart"/>
      <w:r w:rsidRPr="00DD354F">
        <w:rPr>
          <w:lang w:val="en-US"/>
        </w:rPr>
        <w:t>Ser</w:t>
      </w:r>
      <w:proofErr w:type="spellEnd"/>
      <w:r w:rsidRPr="00DD354F">
        <w:rPr>
          <w:lang w:val="en-US"/>
        </w:rPr>
        <w:t xml:space="preserve">, three are at </w:t>
      </w:r>
      <w:proofErr w:type="spellStart"/>
      <w:r w:rsidRPr="00DD354F">
        <w:rPr>
          <w:lang w:val="en-US"/>
        </w:rPr>
        <w:t>Thr</w:t>
      </w:r>
      <w:proofErr w:type="spellEnd"/>
      <w:r w:rsidRPr="00DD354F">
        <w:rPr>
          <w:lang w:val="en-US"/>
        </w:rPr>
        <w:t xml:space="preserve"> and one is at Tyr (</w:t>
      </w:r>
      <w:r w:rsidRPr="00DD354F">
        <w:rPr>
          <w:b/>
          <w:lang w:val="en-US"/>
        </w:rPr>
        <w:t xml:space="preserve">Fig. </w:t>
      </w:r>
      <w:proofErr w:type="gramStart"/>
      <w:r w:rsidRPr="00DD354F">
        <w:rPr>
          <w:b/>
          <w:lang w:val="en-US"/>
        </w:rPr>
        <w:t>S8</w:t>
      </w:r>
      <w:r w:rsidRPr="00DD354F">
        <w:rPr>
          <w:b/>
          <w:i/>
          <w:lang w:val="en-US"/>
        </w:rPr>
        <w:t xml:space="preserve"> </w:t>
      </w:r>
      <w:r w:rsidRPr="00DD354F">
        <w:rPr>
          <w:b/>
          <w:lang w:val="en-US"/>
        </w:rPr>
        <w:t xml:space="preserve">and </w:t>
      </w:r>
      <w:r w:rsidRPr="00DD354F">
        <w:rPr>
          <w:b/>
          <w:i/>
          <w:lang w:val="en-US"/>
        </w:rPr>
        <w:t>SI Appendix</w:t>
      </w:r>
      <w:r w:rsidRPr="00DD354F">
        <w:rPr>
          <w:lang w:val="en-US"/>
        </w:rPr>
        <w:t>).</w:t>
      </w:r>
      <w:proofErr w:type="gramEnd"/>
      <w:r w:rsidRPr="00DD354F">
        <w:rPr>
          <w:lang w:val="en-US"/>
        </w:rPr>
        <w:t xml:space="preserve"> Mapping these sites on a three-dimensional homology model of </w:t>
      </w:r>
      <w:r w:rsidRPr="00DD354F">
        <w:rPr>
          <w:i/>
          <w:lang w:val="en-US"/>
        </w:rPr>
        <w:t>Arabidopsis</w:t>
      </w:r>
      <w:r w:rsidRPr="00DD354F">
        <w:rPr>
          <w:lang w:val="en-US"/>
        </w:rPr>
        <w:t xml:space="preserve"> PP2A-3, based on the structure of the catalytic chain within the trimeric human PP2A enzyme, showed that these residues were predominantly solvent exposed even in the trimer structure and, therefore, quite likely accessible for phosphorylation by ACR4 (</w:t>
      </w:r>
      <w:r w:rsidRPr="00DD354F">
        <w:rPr>
          <w:b/>
          <w:lang w:val="en-US"/>
        </w:rPr>
        <w:t xml:space="preserve">Fig. </w:t>
      </w:r>
      <w:proofErr w:type="gramStart"/>
      <w:r w:rsidRPr="00DD354F">
        <w:rPr>
          <w:b/>
          <w:lang w:val="en-US"/>
        </w:rPr>
        <w:t xml:space="preserve">S8 and </w:t>
      </w:r>
      <w:r w:rsidRPr="00DD354F">
        <w:rPr>
          <w:b/>
          <w:i/>
          <w:lang w:val="en-US"/>
        </w:rPr>
        <w:t>SI Appendix</w:t>
      </w:r>
      <w:r w:rsidRPr="00DD354F">
        <w:rPr>
          <w:lang w:val="en-US"/>
        </w:rPr>
        <w:t>).</w:t>
      </w:r>
      <w:proofErr w:type="gramEnd"/>
      <w:r w:rsidRPr="00DD354F">
        <w:rPr>
          <w:lang w:val="en-US"/>
        </w:rPr>
        <w:t xml:space="preserve"> Taken together, our results pinpoint PP2A-3 as a substrate for </w:t>
      </w:r>
      <w:r w:rsidRPr="00DD354F">
        <w:rPr>
          <w:lang w:val="en-US"/>
        </w:rPr>
        <w:lastRenderedPageBreak/>
        <w:t xml:space="preserve">ACR4 kinase activity. Phosphorylation of the tail of the PP2A catalytic subunit plays an important role in regulating the assembly – and thus activity – of PP2A holoenzymes </w:t>
      </w:r>
      <w:r w:rsidRPr="00DD354F">
        <w:rPr>
          <w:noProof/>
          <w:lang w:val="en-US"/>
        </w:rPr>
        <w:t>(41)</w:t>
      </w:r>
      <w:r w:rsidRPr="00DD354F">
        <w:rPr>
          <w:lang w:val="en-US"/>
        </w:rPr>
        <w:t xml:space="preserve">. We therefore explored PP2A activity in cellular extracts prepared from </w:t>
      </w:r>
      <w:r w:rsidRPr="00DD354F">
        <w:rPr>
          <w:i/>
          <w:lang w:val="en-US"/>
        </w:rPr>
        <w:t>acr4</w:t>
      </w:r>
      <w:r w:rsidRPr="00DD354F">
        <w:rPr>
          <w:lang w:val="en-US"/>
        </w:rPr>
        <w:t xml:space="preserve"> seedlings using a PP2A phosphatase assay system </w:t>
      </w:r>
      <w:r w:rsidRPr="00DD354F">
        <w:rPr>
          <w:noProof/>
        </w:rPr>
        <w:t>(37, 45, 46)</w:t>
      </w:r>
      <w:r w:rsidRPr="00DD354F">
        <w:rPr>
          <w:lang w:val="en-US"/>
        </w:rPr>
        <w:t xml:space="preserve">. In our hands, this revealed a decrease in PP2A activity of about 19% in </w:t>
      </w:r>
      <w:r w:rsidRPr="00DD354F">
        <w:rPr>
          <w:i/>
          <w:lang w:val="en-US"/>
        </w:rPr>
        <w:t>acr4</w:t>
      </w:r>
      <w:r w:rsidRPr="00DD354F">
        <w:rPr>
          <w:lang w:val="en-US"/>
        </w:rPr>
        <w:t xml:space="preserve"> compared to wild type, which was similar to that associated with the PP2A regulatory subunit mutant </w:t>
      </w:r>
      <w:r w:rsidRPr="00DD354F">
        <w:rPr>
          <w:i/>
          <w:lang w:val="en-US"/>
        </w:rPr>
        <w:t>rcn1</w:t>
      </w:r>
      <w:r w:rsidRPr="00DD354F">
        <w:rPr>
          <w:lang w:val="en-US"/>
        </w:rPr>
        <w:t xml:space="preserve"> (22%) and the catalytic subunit mutant </w:t>
      </w:r>
      <w:r w:rsidRPr="00DD354F">
        <w:rPr>
          <w:i/>
          <w:lang w:val="en-US"/>
        </w:rPr>
        <w:t>pp2a-3</w:t>
      </w:r>
      <w:r w:rsidRPr="00DD354F">
        <w:rPr>
          <w:lang w:val="en-US"/>
        </w:rPr>
        <w:t xml:space="preserve"> (16%) (</w:t>
      </w:r>
      <w:r w:rsidRPr="00DD354F">
        <w:rPr>
          <w:b/>
          <w:lang w:val="en-US"/>
        </w:rPr>
        <w:t xml:space="preserve">Fig. 3 </w:t>
      </w:r>
      <w:r w:rsidRPr="00DD354F">
        <w:rPr>
          <w:b/>
          <w:i/>
          <w:caps/>
          <w:lang w:val="en-US"/>
        </w:rPr>
        <w:t>B</w:t>
      </w:r>
      <w:r w:rsidRPr="00DD354F">
        <w:rPr>
          <w:caps/>
          <w:lang w:val="en-US"/>
        </w:rPr>
        <w:t>).</w:t>
      </w:r>
      <w:r w:rsidRPr="00DD354F">
        <w:rPr>
          <w:lang w:val="en-US"/>
        </w:rPr>
        <w:t xml:space="preserve"> Although the </w:t>
      </w:r>
      <w:r w:rsidRPr="00DD354F">
        <w:rPr>
          <w:shd w:val="clear" w:color="auto" w:fill="FFFFFF"/>
          <w:lang w:val="en-US"/>
        </w:rPr>
        <w:t xml:space="preserve">results did not achieve statistical significance (p-value for </w:t>
      </w:r>
      <w:r w:rsidRPr="00DD354F">
        <w:rPr>
          <w:i/>
          <w:shd w:val="clear" w:color="auto" w:fill="FFFFFF"/>
          <w:lang w:val="en-US"/>
        </w:rPr>
        <w:t>acr4</w:t>
      </w:r>
      <w:r w:rsidRPr="00DD354F">
        <w:rPr>
          <w:shd w:val="clear" w:color="auto" w:fill="FFFFFF"/>
          <w:lang w:val="en-US"/>
        </w:rPr>
        <w:t xml:space="preserve"> = 0.083), likely because the ACR4 impact on PP2A activity is diluted, they are reproducible and suggestive of </w:t>
      </w:r>
      <w:r w:rsidRPr="00DD354F">
        <w:rPr>
          <w:lang w:val="en-US"/>
        </w:rPr>
        <w:t>ACR4 being required for some of the cellular PP2A activity.</w:t>
      </w:r>
    </w:p>
    <w:p w:rsidR="00540468" w:rsidRPr="00DD354F" w:rsidRDefault="00540468" w:rsidP="00DD354F">
      <w:pPr>
        <w:widowControl w:val="0"/>
        <w:spacing w:line="480" w:lineRule="auto"/>
        <w:jc w:val="both"/>
        <w:rPr>
          <w:lang w:val="en-US"/>
        </w:rPr>
      </w:pPr>
      <w:r w:rsidRPr="00DD354F">
        <w:rPr>
          <w:b/>
          <w:lang w:val="en-US"/>
        </w:rPr>
        <w:t>PP2A-3 dephosphorylates ACR4.</w:t>
      </w:r>
      <w:r w:rsidRPr="00DD354F">
        <w:rPr>
          <w:lang w:val="en-US"/>
        </w:rPr>
        <w:t xml:space="preserve"> With respect to receptor kinases, PP2A has been shown to </w:t>
      </w:r>
      <w:r w:rsidRPr="00DD354F">
        <w:rPr>
          <w:shd w:val="clear" w:color="auto" w:fill="FFFFFF"/>
        </w:rPr>
        <w:t xml:space="preserve">modulate the </w:t>
      </w:r>
      <w:proofErr w:type="spellStart"/>
      <w:r w:rsidRPr="00DD354F">
        <w:rPr>
          <w:shd w:val="clear" w:color="auto" w:fill="FFFFFF"/>
        </w:rPr>
        <w:t>phosphostatus</w:t>
      </w:r>
      <w:proofErr w:type="spellEnd"/>
      <w:r w:rsidRPr="00DD354F">
        <w:rPr>
          <w:shd w:val="clear" w:color="auto" w:fill="FFFFFF"/>
        </w:rPr>
        <w:t xml:space="preserve"> of BRI1 and the co-receptor BAK1 </w:t>
      </w:r>
      <w:r w:rsidRPr="00DD354F">
        <w:rPr>
          <w:noProof/>
          <w:shd w:val="clear" w:color="auto" w:fill="FFFFFF"/>
        </w:rPr>
        <w:t>(37, 47, 48)</w:t>
      </w:r>
      <w:r w:rsidRPr="00DD354F">
        <w:rPr>
          <w:shd w:val="clear" w:color="auto" w:fill="FFFFFF"/>
        </w:rPr>
        <w:t xml:space="preserve">, so </w:t>
      </w:r>
      <w:r w:rsidRPr="00DD354F">
        <w:rPr>
          <w:lang w:val="en-US"/>
        </w:rPr>
        <w:t>we also evaluated if PP2A-3 is capable to dephosphorylate ACR4. First, using</w:t>
      </w:r>
      <w:r w:rsidRPr="00DD354F">
        <w:rPr>
          <w:rFonts w:eastAsia="Times New Roman"/>
          <w:lang w:val="en-US" w:eastAsia="en-US"/>
        </w:rPr>
        <w:t xml:space="preserve"> </w:t>
      </w:r>
      <w:r w:rsidRPr="00DD354F">
        <w:rPr>
          <w:rFonts w:eastAsia="Times New Roman"/>
          <w:i/>
          <w:lang w:val="en-US" w:eastAsia="en-US"/>
        </w:rPr>
        <w:t>E. coli-</w:t>
      </w:r>
      <w:r w:rsidRPr="00DD354F">
        <w:rPr>
          <w:rFonts w:eastAsia="Times New Roman"/>
          <w:lang w:val="en-US" w:eastAsia="en-US"/>
        </w:rPr>
        <w:t xml:space="preserve">expressed PP2A-3 in a phosphatase assay did </w:t>
      </w:r>
      <w:r w:rsidRPr="00DD354F">
        <w:rPr>
          <w:lang w:val="en-US"/>
        </w:rPr>
        <w:t>not yield a convincing difference</w:t>
      </w:r>
      <w:r w:rsidRPr="00DD354F">
        <w:rPr>
          <w:rFonts w:eastAsia="Times New Roman"/>
          <w:lang w:val="en-US" w:eastAsia="en-US"/>
        </w:rPr>
        <w:t xml:space="preserve"> with respect to </w:t>
      </w:r>
      <w:proofErr w:type="spellStart"/>
      <w:r w:rsidRPr="00DD354F">
        <w:rPr>
          <w:rFonts w:eastAsia="Times New Roman"/>
          <w:lang w:val="en-US" w:eastAsia="en-US"/>
        </w:rPr>
        <w:t>dephosphorylation</w:t>
      </w:r>
      <w:proofErr w:type="spellEnd"/>
      <w:r w:rsidRPr="00DD354F">
        <w:rPr>
          <w:rFonts w:eastAsia="Times New Roman"/>
          <w:lang w:val="en-US" w:eastAsia="en-US"/>
        </w:rPr>
        <w:t xml:space="preserve"> of ACR4</w:t>
      </w:r>
      <w:r w:rsidRPr="00DD354F">
        <w:rPr>
          <w:rFonts w:eastAsia="Times New Roman"/>
          <w:vertAlign w:val="superscript"/>
          <w:lang w:val="en-US" w:eastAsia="en-US"/>
        </w:rPr>
        <w:t>ICD</w:t>
      </w:r>
      <w:r w:rsidRPr="00DD354F">
        <w:rPr>
          <w:lang w:val="en-US"/>
        </w:rPr>
        <w:t xml:space="preserve"> (</w:t>
      </w:r>
      <w:r w:rsidRPr="00DD354F">
        <w:rPr>
          <w:b/>
          <w:lang w:val="en-US"/>
        </w:rPr>
        <w:t xml:space="preserve">Fig. </w:t>
      </w:r>
      <w:proofErr w:type="gramStart"/>
      <w:r w:rsidRPr="00DD354F">
        <w:rPr>
          <w:b/>
          <w:lang w:val="en-US"/>
        </w:rPr>
        <w:t>S8 and</w:t>
      </w:r>
      <w:r w:rsidRPr="00DD354F">
        <w:rPr>
          <w:lang w:val="en-US"/>
        </w:rPr>
        <w:t xml:space="preserve"> </w:t>
      </w:r>
      <w:r w:rsidRPr="00DD354F">
        <w:rPr>
          <w:b/>
          <w:i/>
          <w:lang w:val="en-US"/>
        </w:rPr>
        <w:t>SI Supplemental Notes</w:t>
      </w:r>
      <w:r w:rsidRPr="00DD354F">
        <w:rPr>
          <w:lang w:val="en-US"/>
        </w:rPr>
        <w:t>).</w:t>
      </w:r>
      <w:proofErr w:type="gramEnd"/>
      <w:r w:rsidRPr="00DD354F">
        <w:rPr>
          <w:lang w:val="en-US"/>
        </w:rPr>
        <w:t xml:space="preserve"> </w:t>
      </w:r>
      <w:r w:rsidRPr="00DD354F">
        <w:rPr>
          <w:shd w:val="clear" w:color="auto" w:fill="FFFFFF"/>
        </w:rPr>
        <w:t>Therefore, to determine whether ACR4 could be a substrate of PP2A, we used – in accordance with</w:t>
      </w:r>
      <w:r w:rsidRPr="00DD354F">
        <w:rPr>
          <w:lang w:val="en-US"/>
        </w:rPr>
        <w:t xml:space="preserve"> Wu and colleagues </w:t>
      </w:r>
      <w:r w:rsidRPr="00DD354F">
        <w:rPr>
          <w:noProof/>
          <w:shd w:val="clear" w:color="auto" w:fill="FFFFFF"/>
        </w:rPr>
        <w:t>(47)</w:t>
      </w:r>
      <w:r w:rsidRPr="00DD354F">
        <w:rPr>
          <w:shd w:val="clear" w:color="auto" w:fill="FFFFFF"/>
        </w:rPr>
        <w:t xml:space="preserve"> – a purified, active human PP2A to dephosphorylate the ACR4</w:t>
      </w:r>
      <w:r w:rsidRPr="00DD354F">
        <w:rPr>
          <w:shd w:val="clear" w:color="auto" w:fill="FFFFFF"/>
          <w:vertAlign w:val="superscript"/>
        </w:rPr>
        <w:t>ICD</w:t>
      </w:r>
      <w:r w:rsidRPr="00DD354F">
        <w:rPr>
          <w:shd w:val="clear" w:color="auto" w:fill="FFFFFF"/>
        </w:rPr>
        <w:t xml:space="preserve"> that had been phosphorylated </w:t>
      </w:r>
      <w:r w:rsidRPr="00DD354F">
        <w:rPr>
          <w:i/>
          <w:shd w:val="clear" w:color="auto" w:fill="FFFFFF"/>
        </w:rPr>
        <w:t>in vitro</w:t>
      </w:r>
      <w:r w:rsidRPr="00DD354F">
        <w:rPr>
          <w:shd w:val="clear" w:color="auto" w:fill="FFFFFF"/>
        </w:rPr>
        <w:t xml:space="preserve">. This demonstrated PP2A-mediated </w:t>
      </w:r>
      <w:proofErr w:type="spellStart"/>
      <w:r w:rsidRPr="00DD354F">
        <w:rPr>
          <w:lang w:val="en-US"/>
        </w:rPr>
        <w:t>dephosphorylation</w:t>
      </w:r>
      <w:proofErr w:type="spellEnd"/>
      <w:r w:rsidRPr="00DD354F">
        <w:rPr>
          <w:lang w:val="en-US"/>
        </w:rPr>
        <w:t xml:space="preserve"> of the phosphorylated ACR4</w:t>
      </w:r>
      <w:r w:rsidRPr="00DD354F">
        <w:rPr>
          <w:vertAlign w:val="superscript"/>
          <w:lang w:val="en-US"/>
        </w:rPr>
        <w:t>ICD</w:t>
      </w:r>
      <w:r w:rsidRPr="00DD354F">
        <w:rPr>
          <w:lang w:val="en-US"/>
        </w:rPr>
        <w:t xml:space="preserve"> (</w:t>
      </w:r>
      <w:r w:rsidRPr="00DD354F">
        <w:rPr>
          <w:b/>
          <w:lang w:val="en-US"/>
        </w:rPr>
        <w:t xml:space="preserve">Fig. 4 </w:t>
      </w:r>
      <w:r w:rsidRPr="00DD354F">
        <w:rPr>
          <w:b/>
          <w:i/>
          <w:lang w:val="en-US"/>
        </w:rPr>
        <w:t>A</w:t>
      </w:r>
      <w:r w:rsidRPr="00DD354F">
        <w:rPr>
          <w:lang w:val="en-US"/>
        </w:rPr>
        <w:t>), and pinpoints ACR4 as a substrate for PP2A phosphatase activity. To assess the biological importance of altering the PP2A-mediated phosphorylation status of ACR4, we analyzed ACR4</w:t>
      </w:r>
      <w:proofErr w:type="gramStart"/>
      <w:r w:rsidRPr="00DD354F">
        <w:rPr>
          <w:lang w:val="en-US"/>
        </w:rPr>
        <w:t>:GFP</w:t>
      </w:r>
      <w:proofErr w:type="gramEnd"/>
      <w:r w:rsidRPr="00DD354F">
        <w:rPr>
          <w:lang w:val="en-US"/>
        </w:rPr>
        <w:t xml:space="preserve"> in the root of the </w:t>
      </w:r>
      <w:r w:rsidRPr="00DD354F">
        <w:rPr>
          <w:i/>
          <w:lang w:val="en-US"/>
        </w:rPr>
        <w:t>pp2a-3 pp2a-4</w:t>
      </w:r>
      <w:r w:rsidRPr="00DD354F">
        <w:rPr>
          <w:lang w:val="en-US"/>
        </w:rPr>
        <w:t xml:space="preserve"> double mutant. This revealed a weak GFP signal in</w:t>
      </w:r>
      <w:r w:rsidRPr="00DD354F">
        <w:rPr>
          <w:i/>
          <w:lang w:val="en-US"/>
        </w:rPr>
        <w:t xml:space="preserve"> pp2a-3 pp2a-4</w:t>
      </w:r>
      <w:r w:rsidRPr="00DD354F">
        <w:rPr>
          <w:lang w:val="en-US"/>
        </w:rPr>
        <w:t>, with reduced membrane localization, as compared to the control (</w:t>
      </w:r>
      <w:r w:rsidRPr="00DD354F">
        <w:rPr>
          <w:b/>
          <w:lang w:val="en-US"/>
        </w:rPr>
        <w:t xml:space="preserve">Fig. 4 </w:t>
      </w:r>
      <w:r w:rsidRPr="00DD354F">
        <w:rPr>
          <w:b/>
          <w:i/>
          <w:lang w:val="en-US"/>
        </w:rPr>
        <w:t>B</w:t>
      </w:r>
      <w:r w:rsidRPr="00DD354F">
        <w:rPr>
          <w:lang w:val="en-US"/>
        </w:rPr>
        <w:t xml:space="preserve">), which is likely not due to a change in </w:t>
      </w:r>
      <w:r w:rsidRPr="00DD354F">
        <w:rPr>
          <w:i/>
          <w:lang w:val="en-US"/>
        </w:rPr>
        <w:t>ACR4</w:t>
      </w:r>
      <w:proofErr w:type="gramStart"/>
      <w:r w:rsidRPr="00DD354F">
        <w:rPr>
          <w:i/>
          <w:lang w:val="en-US"/>
        </w:rPr>
        <w:t>:GFP</w:t>
      </w:r>
      <w:proofErr w:type="gramEnd"/>
      <w:r w:rsidRPr="00DD354F">
        <w:rPr>
          <w:lang w:val="en-US"/>
        </w:rPr>
        <w:t xml:space="preserve"> expression levels (</w:t>
      </w:r>
      <w:r w:rsidRPr="00DD354F">
        <w:rPr>
          <w:b/>
          <w:lang w:val="en-US"/>
        </w:rPr>
        <w:t>Fig. S5</w:t>
      </w:r>
      <w:r w:rsidRPr="00DD354F">
        <w:rPr>
          <w:lang w:val="en-US"/>
        </w:rPr>
        <w:t>). To explore this further, we investigated ACR4</w:t>
      </w:r>
      <w:proofErr w:type="gramStart"/>
      <w:r w:rsidRPr="00DD354F">
        <w:rPr>
          <w:lang w:val="en-US"/>
        </w:rPr>
        <w:t>:GFP</w:t>
      </w:r>
      <w:proofErr w:type="gramEnd"/>
      <w:r w:rsidRPr="00DD354F">
        <w:rPr>
          <w:lang w:val="en-US"/>
        </w:rPr>
        <w:t xml:space="preserve"> in the presence of the </w:t>
      </w:r>
      <w:r w:rsidRPr="00DD354F">
        <w:rPr>
          <w:shd w:val="clear" w:color="auto" w:fill="FFFFFF"/>
          <w:lang w:val="en-US"/>
        </w:rPr>
        <w:t>PP2A inhibitor</w:t>
      </w:r>
      <w:r w:rsidRPr="00DD354F">
        <w:rPr>
          <w:b/>
          <w:shd w:val="clear" w:color="auto" w:fill="FFFFFF"/>
          <w:lang w:val="en-US"/>
        </w:rPr>
        <w:t xml:space="preserve"> </w:t>
      </w:r>
      <w:proofErr w:type="spellStart"/>
      <w:r w:rsidRPr="00DD354F">
        <w:rPr>
          <w:lang w:val="en-US"/>
        </w:rPr>
        <w:t>cantharidin</w:t>
      </w:r>
      <w:proofErr w:type="spellEnd"/>
      <w:r w:rsidRPr="00DD354F">
        <w:rPr>
          <w:lang w:val="en-US"/>
        </w:rPr>
        <w:t>. This revealed a reduced membrane association of ACR4</w:t>
      </w:r>
      <w:proofErr w:type="gramStart"/>
      <w:r w:rsidRPr="00DD354F">
        <w:rPr>
          <w:lang w:val="en-US"/>
        </w:rPr>
        <w:t>:GFP</w:t>
      </w:r>
      <w:proofErr w:type="gramEnd"/>
      <w:r w:rsidRPr="00DD354F">
        <w:rPr>
          <w:lang w:val="en-US"/>
        </w:rPr>
        <w:t xml:space="preserve"> upon inhibiting PP2A activity within 5 hours, while the membrane localization of </w:t>
      </w:r>
      <w:r w:rsidRPr="00DD354F">
        <w:rPr>
          <w:lang w:val="en-US"/>
        </w:rPr>
        <w:lastRenderedPageBreak/>
        <w:t xml:space="preserve">the routinely used membrane marker FORMIN HOMOLOG 6 (FH6):GFP </w:t>
      </w:r>
      <w:r w:rsidRPr="00DD354F">
        <w:rPr>
          <w:noProof/>
          <w:lang w:val="en-US"/>
        </w:rPr>
        <w:t>(49)</w:t>
      </w:r>
      <w:r w:rsidRPr="00DD354F">
        <w:rPr>
          <w:lang w:val="en-US"/>
        </w:rPr>
        <w:t>, was largely unaffected (</w:t>
      </w:r>
      <w:r w:rsidRPr="00DD354F">
        <w:rPr>
          <w:b/>
          <w:lang w:val="en-US"/>
        </w:rPr>
        <w:t xml:space="preserve">Fig. 4 </w:t>
      </w:r>
      <w:r w:rsidRPr="00DD354F">
        <w:rPr>
          <w:b/>
          <w:i/>
          <w:lang w:val="en-US"/>
        </w:rPr>
        <w:t xml:space="preserve">C-D </w:t>
      </w:r>
      <w:r w:rsidRPr="00DD354F">
        <w:rPr>
          <w:b/>
          <w:lang w:val="en-US"/>
        </w:rPr>
        <w:t>and Fig. S9</w:t>
      </w:r>
      <w:r w:rsidRPr="00DD354F">
        <w:rPr>
          <w:lang w:val="en-US"/>
        </w:rPr>
        <w:t>). Overall, these results suggest that membrane localization of ACR4 is dependent on PP2A-3 (and potentially PP2A-4).</w:t>
      </w:r>
    </w:p>
    <w:p w:rsidR="00540468" w:rsidRPr="00DD354F" w:rsidRDefault="00540468" w:rsidP="00DD354F">
      <w:pPr>
        <w:spacing w:line="480" w:lineRule="auto"/>
        <w:jc w:val="both"/>
        <w:rPr>
          <w:lang w:val="en-US"/>
        </w:rPr>
      </w:pPr>
    </w:p>
    <w:p w:rsidR="00540468" w:rsidRPr="00DD354F" w:rsidRDefault="00540468" w:rsidP="00DD354F">
      <w:pPr>
        <w:spacing w:line="480" w:lineRule="auto"/>
        <w:jc w:val="both"/>
        <w:rPr>
          <w:b/>
          <w:lang w:val="en-US"/>
        </w:rPr>
      </w:pPr>
      <w:r w:rsidRPr="00DD354F">
        <w:rPr>
          <w:b/>
          <w:lang w:val="en-US"/>
        </w:rPr>
        <w:t>CONCLUSIONS</w:t>
      </w:r>
    </w:p>
    <w:p w:rsidR="00540468" w:rsidRPr="00DD354F" w:rsidRDefault="00540468" w:rsidP="00DD354F">
      <w:pPr>
        <w:spacing w:line="480" w:lineRule="auto"/>
        <w:jc w:val="both"/>
        <w:rPr>
          <w:lang w:val="en-US"/>
        </w:rPr>
      </w:pPr>
      <w:r w:rsidRPr="00DD354F">
        <w:rPr>
          <w:lang w:val="en-US"/>
        </w:rPr>
        <w:t xml:space="preserve">Interactions between membrane-associated proteins and soluble proteins are essential for signal transduction and for regulating plant growth and development. </w:t>
      </w:r>
      <w:r w:rsidRPr="00DD354F">
        <w:rPr>
          <w:lang w:val="en-US" w:eastAsia="en-US"/>
        </w:rPr>
        <w:t xml:space="preserve">Here, we used various approaches to </w:t>
      </w:r>
      <w:r w:rsidR="005B27B7">
        <w:rPr>
          <w:lang w:val="en-US" w:eastAsia="en-US"/>
        </w:rPr>
        <w:t>generate</w:t>
      </w:r>
      <w:r w:rsidRPr="00DD354F">
        <w:rPr>
          <w:lang w:val="en-US"/>
        </w:rPr>
        <w:t xml:space="preserve"> a prioritized list of potential ACR4-interacting proteins that are possibly involved in formative cell division</w:t>
      </w:r>
      <w:r w:rsidR="005B27B7">
        <w:rPr>
          <w:lang w:val="en-US"/>
        </w:rPr>
        <w:t>,</w:t>
      </w:r>
      <w:r w:rsidRPr="00DD354F">
        <w:rPr>
          <w:lang w:val="en-US"/>
        </w:rPr>
        <w:t xml:space="preserve"> cell-to-cell communication</w:t>
      </w:r>
      <w:r w:rsidR="005B27B7">
        <w:rPr>
          <w:lang w:val="en-US"/>
        </w:rPr>
        <w:t xml:space="preserve"> and root development</w:t>
      </w:r>
      <w:r w:rsidRPr="00DD354F">
        <w:rPr>
          <w:lang w:val="en-US"/>
        </w:rPr>
        <w:t>. Taking all our interaction</w:t>
      </w:r>
      <w:r w:rsidRPr="00DD354F">
        <w:t xml:space="preserve"> data together and since there is limited to no overlap between the different approaches, it seems that to study protein-protein interactions the use of multiple approaches is preferred as each technique seems to expose a distinct subset of potential interactors and can increase confidence in some potential interactors that would otherwise be discarded.</w:t>
      </w:r>
    </w:p>
    <w:p w:rsidR="00540468" w:rsidRPr="00DD354F" w:rsidRDefault="00540468" w:rsidP="00DD354F">
      <w:pPr>
        <w:spacing w:line="480" w:lineRule="auto"/>
        <w:ind w:firstLine="720"/>
        <w:jc w:val="both"/>
        <w:rPr>
          <w:lang w:val="en-US"/>
        </w:rPr>
      </w:pPr>
      <w:r w:rsidRPr="00DD354F">
        <w:rPr>
          <w:lang w:val="en-US"/>
        </w:rPr>
        <w:t xml:space="preserve">Starting from the prioritized, potential ACR4-interacting candidates, we identified PP2A-3 as the first described ACR4 substrate and showed that PP2A-3 plays an important role in the control of </w:t>
      </w:r>
      <w:proofErr w:type="spellStart"/>
      <w:r w:rsidRPr="00DD354F">
        <w:rPr>
          <w:lang w:val="en-US"/>
        </w:rPr>
        <w:t>columella</w:t>
      </w:r>
      <w:proofErr w:type="spellEnd"/>
      <w:r w:rsidRPr="00DD354F">
        <w:rPr>
          <w:lang w:val="en-US"/>
        </w:rPr>
        <w:t xml:space="preserve"> stem cell divisions and/or differentiation. Previously, it was shown that PP2A complexes associate with membranes in growing seedlings and that PP2A may interact with plasma membrane components </w:t>
      </w:r>
      <w:r w:rsidRPr="00DD354F">
        <w:rPr>
          <w:noProof/>
          <w:lang w:val="en-US"/>
        </w:rPr>
        <w:t>(35, 43)</w:t>
      </w:r>
      <w:r w:rsidRPr="00DD354F">
        <w:rPr>
          <w:lang w:val="en-US"/>
        </w:rPr>
        <w:t xml:space="preserve">. Similar to the PP2A effect on BRI1 where dephosphorylated BRI1 is internalized </w:t>
      </w:r>
      <w:r w:rsidRPr="00DD354F">
        <w:rPr>
          <w:noProof/>
          <w:shd w:val="clear" w:color="auto" w:fill="FFFFFF"/>
        </w:rPr>
        <w:t>(47, 48)</w:t>
      </w:r>
      <w:r w:rsidRPr="00DD354F">
        <w:rPr>
          <w:lang w:val="en-US"/>
        </w:rPr>
        <w:t xml:space="preserve"> and on BAK1 </w:t>
      </w:r>
      <w:r w:rsidRPr="00DD354F">
        <w:rPr>
          <w:noProof/>
          <w:lang w:val="en-US"/>
        </w:rPr>
        <w:t>(37)</w:t>
      </w:r>
      <w:r w:rsidRPr="00DD354F">
        <w:rPr>
          <w:lang w:val="en-US"/>
        </w:rPr>
        <w:t xml:space="preserve">, we showed that PP2A can dephosphorylate ACR4. In this context, we also showed that PP2A activity affects the membrane localization of ACR4. </w:t>
      </w:r>
      <w:r w:rsidRPr="00DD354F">
        <w:t xml:space="preserve">The resemblance of the </w:t>
      </w:r>
      <w:r w:rsidRPr="00DD354F">
        <w:rPr>
          <w:i/>
        </w:rPr>
        <w:t>acr4</w:t>
      </w:r>
      <w:r w:rsidRPr="00DD354F">
        <w:t xml:space="preserve"> and </w:t>
      </w:r>
      <w:r w:rsidRPr="00DD354F">
        <w:rPr>
          <w:i/>
        </w:rPr>
        <w:t xml:space="preserve">pp2a-3 </w:t>
      </w:r>
      <w:proofErr w:type="spellStart"/>
      <w:r w:rsidRPr="00DD354F">
        <w:t>columella</w:t>
      </w:r>
      <w:proofErr w:type="spellEnd"/>
      <w:r w:rsidRPr="00DD354F">
        <w:t xml:space="preserve"> stem cell phenotype, together with the cell biological data, suggest that PP2A acts as a positive regulator of ACR4 function and that it is the dephosphorylated form of the ACR4 protein that is localized to the plasma membrane and functional. </w:t>
      </w:r>
      <w:r w:rsidRPr="00DD354F">
        <w:rPr>
          <w:lang w:val="en-US"/>
        </w:rPr>
        <w:t xml:space="preserve">On the basis of the available data, we </w:t>
      </w:r>
      <w:r w:rsidRPr="00DD354F">
        <w:rPr>
          <w:lang w:val="en-US"/>
        </w:rPr>
        <w:lastRenderedPageBreak/>
        <w:t>propose a tentative model whereby on the one hand ACR4 phosphorylates the PP2A-3 catalytic subunit of the PP2A holoenzyme, possible facilitating complex assembly, and on the other hand, PP2A dephosphorylates ACR4, regulating its membrane localization and possibly activity (</w:t>
      </w:r>
      <w:r w:rsidRPr="00DD354F">
        <w:rPr>
          <w:b/>
          <w:lang w:val="en-US"/>
        </w:rPr>
        <w:t>Fig. S10</w:t>
      </w:r>
      <w:r w:rsidRPr="00DD354F">
        <w:rPr>
          <w:lang w:val="en-US"/>
        </w:rPr>
        <w:t xml:space="preserve">). The balance between these two likely affects formative cell divisions and cell differentiation in the root, and as such ACR4 and/or PP2A appear to control their own activity. </w:t>
      </w:r>
      <w:r w:rsidR="00332067" w:rsidRPr="00DD354F">
        <w:rPr>
          <w:lang w:val="en-US"/>
        </w:rPr>
        <w:t xml:space="preserve">In future, it will be important to characterize the importance of the individual ACR4 and PP2A-3 </w:t>
      </w:r>
      <w:proofErr w:type="spellStart"/>
      <w:r w:rsidR="00332067" w:rsidRPr="00DD354F">
        <w:rPr>
          <w:lang w:val="en-US"/>
        </w:rPr>
        <w:t>phosphosites</w:t>
      </w:r>
      <w:proofErr w:type="spellEnd"/>
      <w:r w:rsidR="00332067" w:rsidRPr="00DD354F">
        <w:rPr>
          <w:lang w:val="en-US"/>
        </w:rPr>
        <w:t xml:space="preserve">, and evaluate these in the context of ACR4 localization and/or activity and PP2A activity and/or complex assembly, respectively. </w:t>
      </w:r>
      <w:r w:rsidR="00332067">
        <w:rPr>
          <w:lang w:val="en-US"/>
        </w:rPr>
        <w:t>Here, i</w:t>
      </w:r>
      <w:r w:rsidRPr="00DD354F">
        <w:rPr>
          <w:lang w:val="en-US"/>
        </w:rPr>
        <w:t xml:space="preserve">t should be taken into account that, for example in </w:t>
      </w:r>
      <w:proofErr w:type="spellStart"/>
      <w:r w:rsidRPr="00DD354F">
        <w:rPr>
          <w:lang w:val="en-US"/>
        </w:rPr>
        <w:t>brassinosteroid</w:t>
      </w:r>
      <w:proofErr w:type="spellEnd"/>
      <w:r w:rsidRPr="00DD354F">
        <w:rPr>
          <w:lang w:val="en-US"/>
        </w:rPr>
        <w:t xml:space="preserve"> signaling, </w:t>
      </w:r>
      <w:r w:rsidRPr="00DD354F">
        <w:t>PP2A type B subunits usually recruit substrates</w:t>
      </w:r>
      <w:r w:rsidR="00843373">
        <w:t xml:space="preserve"> and regulate their activity </w:t>
      </w:r>
      <w:r w:rsidRPr="00DD354F">
        <w:rPr>
          <w:noProof/>
        </w:rPr>
        <w:t>(44</w:t>
      </w:r>
      <w:r w:rsidR="00843373">
        <w:rPr>
          <w:noProof/>
        </w:rPr>
        <w:t xml:space="preserve">, </w:t>
      </w:r>
      <w:r w:rsidRPr="00DD354F">
        <w:rPr>
          <w:noProof/>
        </w:rPr>
        <w:t>50)</w:t>
      </w:r>
      <w:r w:rsidR="00332067">
        <w:rPr>
          <w:noProof/>
        </w:rPr>
        <w:t xml:space="preserve"> and that </w:t>
      </w:r>
      <w:r w:rsidRPr="00DD354F">
        <w:t>membrane localization of PP2A C subunits is regulated by methylation and in turn impact</w:t>
      </w:r>
      <w:r w:rsidR="00843373">
        <w:t>s</w:t>
      </w:r>
      <w:r w:rsidRPr="00DD354F">
        <w:t xml:space="preserve"> </w:t>
      </w:r>
      <w:r w:rsidR="00332067">
        <w:t xml:space="preserve">target </w:t>
      </w:r>
      <w:proofErr w:type="spellStart"/>
      <w:r w:rsidRPr="00DD354F">
        <w:t>dephosphorylation</w:t>
      </w:r>
      <w:proofErr w:type="spellEnd"/>
      <w:r w:rsidRPr="00DD354F">
        <w:t xml:space="preserve"> </w:t>
      </w:r>
      <w:r w:rsidRPr="00DD354F">
        <w:rPr>
          <w:noProof/>
        </w:rPr>
        <w:t>(47)</w:t>
      </w:r>
      <w:r w:rsidRPr="00DD354F">
        <w:t xml:space="preserve">. </w:t>
      </w:r>
    </w:p>
    <w:p w:rsidR="00540468" w:rsidRPr="00DD354F" w:rsidRDefault="00540468" w:rsidP="00DD354F">
      <w:pPr>
        <w:spacing w:line="480" w:lineRule="auto"/>
        <w:jc w:val="both"/>
        <w:rPr>
          <w:b/>
          <w:caps/>
        </w:rPr>
      </w:pPr>
    </w:p>
    <w:p w:rsidR="00540468" w:rsidRPr="00DD354F" w:rsidRDefault="00540468" w:rsidP="00DD354F">
      <w:pPr>
        <w:spacing w:line="480" w:lineRule="auto"/>
        <w:jc w:val="both"/>
        <w:rPr>
          <w:b/>
          <w:caps/>
        </w:rPr>
      </w:pPr>
      <w:r w:rsidRPr="00DD354F">
        <w:rPr>
          <w:b/>
          <w:caps/>
        </w:rPr>
        <w:t>Materials and Methods</w:t>
      </w:r>
    </w:p>
    <w:p w:rsidR="00540468" w:rsidRPr="00DD354F" w:rsidRDefault="00540468" w:rsidP="00DD354F">
      <w:pPr>
        <w:spacing w:line="480" w:lineRule="auto"/>
        <w:jc w:val="both"/>
      </w:pPr>
      <w:r w:rsidRPr="00DD354F">
        <w:t xml:space="preserve">Materials and methods are described in </w:t>
      </w:r>
      <w:r w:rsidRPr="00DD354F">
        <w:rPr>
          <w:b/>
          <w:i/>
        </w:rPr>
        <w:t>SI Materials and Methods</w:t>
      </w:r>
      <w:r w:rsidRPr="00DD354F">
        <w:t>.</w:t>
      </w:r>
    </w:p>
    <w:p w:rsidR="00540468" w:rsidRPr="00DD354F" w:rsidRDefault="00540468" w:rsidP="00DD354F">
      <w:pPr>
        <w:spacing w:line="480" w:lineRule="auto"/>
        <w:jc w:val="both"/>
        <w:rPr>
          <w:b/>
          <w:caps/>
        </w:rPr>
      </w:pPr>
    </w:p>
    <w:p w:rsidR="00540468" w:rsidRPr="00DD354F" w:rsidRDefault="00540468" w:rsidP="00DD354F">
      <w:pPr>
        <w:spacing w:line="480" w:lineRule="auto"/>
        <w:jc w:val="both"/>
        <w:rPr>
          <w:b/>
          <w:lang w:val="en-US"/>
        </w:rPr>
      </w:pPr>
      <w:r w:rsidRPr="00DD354F">
        <w:rPr>
          <w:b/>
          <w:lang w:val="en-US"/>
        </w:rPr>
        <w:t>FOOTNOTES</w:t>
      </w:r>
    </w:p>
    <w:p w:rsidR="00540468" w:rsidRPr="00DD354F" w:rsidRDefault="00540468" w:rsidP="00DD354F">
      <w:pPr>
        <w:widowControl w:val="0"/>
        <w:autoSpaceDE w:val="0"/>
        <w:autoSpaceDN w:val="0"/>
        <w:adjustRightInd w:val="0"/>
        <w:spacing w:line="480" w:lineRule="auto"/>
        <w:contextualSpacing/>
        <w:jc w:val="both"/>
        <w:rPr>
          <w:lang w:val="en-US"/>
        </w:rPr>
      </w:pPr>
      <w:proofErr w:type="gramStart"/>
      <w:r w:rsidRPr="00DD354F">
        <w:rPr>
          <w:vertAlign w:val="superscript"/>
          <w:lang w:val="en-US"/>
        </w:rPr>
        <w:t>1</w:t>
      </w:r>
      <w:r w:rsidRPr="00DD354F">
        <w:rPr>
          <w:lang w:val="en-US"/>
        </w:rPr>
        <w:t>K.Y.,</w:t>
      </w:r>
      <w:proofErr w:type="gramEnd"/>
      <w:r w:rsidRPr="00DD354F">
        <w:rPr>
          <w:lang w:val="en-US"/>
        </w:rPr>
        <w:t xml:space="preserve"> P.S. and E.L.W. contributed equally to this work.</w:t>
      </w:r>
    </w:p>
    <w:p w:rsidR="00540468" w:rsidRPr="00DD354F" w:rsidRDefault="00540468" w:rsidP="00DD354F">
      <w:pPr>
        <w:widowControl w:val="0"/>
        <w:autoSpaceDE w:val="0"/>
        <w:autoSpaceDN w:val="0"/>
        <w:adjustRightInd w:val="0"/>
        <w:spacing w:line="480" w:lineRule="auto"/>
        <w:contextualSpacing/>
        <w:jc w:val="both"/>
        <w:rPr>
          <w:lang w:val="en-US"/>
        </w:rPr>
      </w:pPr>
      <w:proofErr w:type="gramStart"/>
      <w:r w:rsidRPr="00DD354F">
        <w:rPr>
          <w:vertAlign w:val="superscript"/>
          <w:lang w:val="en-US"/>
        </w:rPr>
        <w:t>2</w:t>
      </w:r>
      <w:r w:rsidRPr="00DD354F">
        <w:rPr>
          <w:lang w:val="en-US"/>
        </w:rPr>
        <w:t>I.D.S.,</w:t>
      </w:r>
      <w:proofErr w:type="gramEnd"/>
      <w:r w:rsidRPr="00DD354F">
        <w:rPr>
          <w:lang w:val="en-US"/>
        </w:rPr>
        <w:t xml:space="preserve"> T.B. and A.G.R. contributed equally to this work.</w:t>
      </w:r>
    </w:p>
    <w:p w:rsidR="00540468" w:rsidRPr="00DD354F" w:rsidRDefault="00540468" w:rsidP="00DD354F">
      <w:pPr>
        <w:spacing w:line="480" w:lineRule="auto"/>
        <w:jc w:val="both"/>
        <w:rPr>
          <w:shd w:val="clear" w:color="auto" w:fill="FFFFFF"/>
        </w:rPr>
      </w:pPr>
      <w:proofErr w:type="gramStart"/>
      <w:r w:rsidRPr="00DD354F">
        <w:rPr>
          <w:bdr w:val="none" w:sz="0" w:space="0" w:color="auto" w:frame="1"/>
          <w:shd w:val="clear" w:color="auto" w:fill="FFFFFF"/>
          <w:vertAlign w:val="superscript"/>
        </w:rPr>
        <w:t>3</w:t>
      </w:r>
      <w:r w:rsidRPr="00DD354F">
        <w:rPr>
          <w:shd w:val="clear" w:color="auto" w:fill="FFFFFF"/>
        </w:rPr>
        <w:t>To whom correspondence may be addressed.</w:t>
      </w:r>
      <w:proofErr w:type="gramEnd"/>
      <w:r w:rsidRPr="00DD354F">
        <w:rPr>
          <w:shd w:val="clear" w:color="auto" w:fill="FFFFFF"/>
        </w:rPr>
        <w:t xml:space="preserve"> Email: </w:t>
      </w:r>
      <w:r w:rsidRPr="00DD354F">
        <w:rPr>
          <w:bdr w:val="none" w:sz="0" w:space="0" w:color="auto" w:frame="1"/>
          <w:shd w:val="clear" w:color="auto" w:fill="FFFFFF"/>
        </w:rPr>
        <w:t>marc.vanmontagu@ugent.be</w:t>
      </w:r>
      <w:r w:rsidRPr="00DD354F">
        <w:rPr>
          <w:shd w:val="clear" w:color="auto" w:fill="FFFFFF"/>
        </w:rPr>
        <w:t xml:space="preserve"> or ive.desmet@</w:t>
      </w:r>
      <w:r w:rsidRPr="00DD354F">
        <w:rPr>
          <w:bdr w:val="none" w:sz="0" w:space="0" w:color="auto" w:frame="1"/>
          <w:shd w:val="clear" w:color="auto" w:fill="FFFFFF"/>
        </w:rPr>
        <w:t>psb.vib-ugent.be</w:t>
      </w:r>
      <w:r w:rsidRPr="00DD354F">
        <w:rPr>
          <w:shd w:val="clear" w:color="auto" w:fill="FFFFFF"/>
        </w:rPr>
        <w:t>.</w:t>
      </w:r>
    </w:p>
    <w:p w:rsidR="00540468" w:rsidRPr="00DD354F" w:rsidRDefault="00540468" w:rsidP="00DD354F">
      <w:pPr>
        <w:spacing w:line="480" w:lineRule="auto"/>
        <w:jc w:val="both"/>
        <w:rPr>
          <w:shd w:val="clear" w:color="auto" w:fill="FFFFFF"/>
        </w:rPr>
      </w:pPr>
      <w:r w:rsidRPr="00DD354F">
        <w:rPr>
          <w:shd w:val="clear" w:color="auto" w:fill="FDFDFD"/>
          <w:vertAlign w:val="superscript"/>
        </w:rPr>
        <w:t>#</w:t>
      </w:r>
      <w:r w:rsidRPr="00DD354F">
        <w:rPr>
          <w:shd w:val="clear" w:color="auto" w:fill="FDFDFD"/>
        </w:rPr>
        <w:t>Current address: Faculty of Life Sciences, University of Manchester, Manchester M13 9PL, United Kingdom</w:t>
      </w:r>
    </w:p>
    <w:p w:rsidR="00540468" w:rsidRPr="00DD354F" w:rsidRDefault="00540468" w:rsidP="00DD354F">
      <w:pPr>
        <w:spacing w:line="480" w:lineRule="auto"/>
        <w:jc w:val="both"/>
        <w:rPr>
          <w:b/>
          <w:caps/>
          <w:lang w:val="en-US"/>
        </w:rPr>
      </w:pPr>
    </w:p>
    <w:p w:rsidR="00E42437" w:rsidRDefault="00540468" w:rsidP="00DD354F">
      <w:pPr>
        <w:spacing w:line="480" w:lineRule="auto"/>
        <w:jc w:val="both"/>
        <w:rPr>
          <w:b/>
          <w:lang w:val="en-US"/>
        </w:rPr>
      </w:pPr>
      <w:r w:rsidRPr="00DD354F">
        <w:rPr>
          <w:b/>
          <w:lang w:val="en-US"/>
        </w:rPr>
        <w:t>ACKNOWLEDGEMENTS</w:t>
      </w:r>
    </w:p>
    <w:p w:rsidR="00540468" w:rsidRPr="00E42437" w:rsidRDefault="00540468" w:rsidP="00DD354F">
      <w:pPr>
        <w:spacing w:line="480" w:lineRule="auto"/>
        <w:jc w:val="both"/>
        <w:rPr>
          <w:b/>
          <w:lang w:val="en-US"/>
        </w:rPr>
      </w:pPr>
      <w:r w:rsidRPr="00DD354F">
        <w:rPr>
          <w:lang w:val="en-US"/>
        </w:rPr>
        <w:lastRenderedPageBreak/>
        <w:t xml:space="preserve">We thank </w:t>
      </w:r>
      <w:proofErr w:type="spellStart"/>
      <w:r w:rsidRPr="00DD354F">
        <w:rPr>
          <w:lang w:val="en-US"/>
        </w:rPr>
        <w:t>Jelle</w:t>
      </w:r>
      <w:proofErr w:type="spellEnd"/>
      <w:r w:rsidRPr="00DD354F">
        <w:rPr>
          <w:lang w:val="en-US"/>
        </w:rPr>
        <w:t xml:space="preserve"> Van </w:t>
      </w:r>
      <w:proofErr w:type="spellStart"/>
      <w:r w:rsidRPr="00DD354F">
        <w:rPr>
          <w:lang w:val="en-US"/>
        </w:rPr>
        <w:t>Leene</w:t>
      </w:r>
      <w:proofErr w:type="spellEnd"/>
      <w:r w:rsidRPr="00DD354F">
        <w:rPr>
          <w:lang w:val="en-US"/>
        </w:rPr>
        <w:t xml:space="preserve">, </w:t>
      </w:r>
      <w:proofErr w:type="spellStart"/>
      <w:r w:rsidRPr="00DD354F">
        <w:rPr>
          <w:lang w:val="en-US"/>
        </w:rPr>
        <w:t>Remco</w:t>
      </w:r>
      <w:proofErr w:type="spellEnd"/>
      <w:r w:rsidRPr="00DD354F">
        <w:rPr>
          <w:lang w:val="en-US"/>
        </w:rPr>
        <w:t xml:space="preserve"> </w:t>
      </w:r>
      <w:proofErr w:type="spellStart"/>
      <w:r w:rsidRPr="00DD354F">
        <w:rPr>
          <w:lang w:val="en-US"/>
        </w:rPr>
        <w:t>Sprangers</w:t>
      </w:r>
      <w:proofErr w:type="spellEnd"/>
      <w:r w:rsidRPr="00DD354F">
        <w:rPr>
          <w:lang w:val="en-US"/>
        </w:rPr>
        <w:t xml:space="preserve">, Debbie </w:t>
      </w:r>
      <w:proofErr w:type="spellStart"/>
      <w:r w:rsidRPr="00DD354F">
        <w:rPr>
          <w:lang w:val="en-US"/>
        </w:rPr>
        <w:t>Rombaut</w:t>
      </w:r>
      <w:proofErr w:type="spellEnd"/>
      <w:r w:rsidRPr="00DD354F">
        <w:rPr>
          <w:lang w:val="en-US"/>
        </w:rPr>
        <w:t xml:space="preserve"> and Dominique Eeckhout for experimental assistance</w:t>
      </w:r>
      <w:r w:rsidR="00E42437" w:rsidRPr="00E42437">
        <w:rPr>
          <w:lang w:val="en-US"/>
        </w:rPr>
        <w:t xml:space="preserve"> </w:t>
      </w:r>
      <w:r w:rsidR="00E42437">
        <w:rPr>
          <w:lang w:val="en-US"/>
        </w:rPr>
        <w:t xml:space="preserve">and useful suggestions, </w:t>
      </w:r>
      <w:r w:rsidR="00E42437" w:rsidRPr="00DD354F">
        <w:rPr>
          <w:lang w:val="en-US"/>
        </w:rPr>
        <w:t xml:space="preserve">Hyun-Sook </w:t>
      </w:r>
      <w:proofErr w:type="spellStart"/>
      <w:r w:rsidR="00E42437" w:rsidRPr="00DD354F">
        <w:rPr>
          <w:lang w:val="en-US"/>
        </w:rPr>
        <w:t>Pai</w:t>
      </w:r>
      <w:proofErr w:type="spellEnd"/>
      <w:r w:rsidR="00E42437" w:rsidRPr="00DD354F">
        <w:rPr>
          <w:lang w:val="en-US"/>
        </w:rPr>
        <w:t xml:space="preserve"> for the FLAG</w:t>
      </w:r>
      <w:proofErr w:type="gramStart"/>
      <w:r w:rsidR="00E42437" w:rsidRPr="00DD354F">
        <w:rPr>
          <w:lang w:val="en-US"/>
        </w:rPr>
        <w:t>:PP2A</w:t>
      </w:r>
      <w:proofErr w:type="gramEnd"/>
      <w:r w:rsidR="00E42437" w:rsidRPr="00DD354F">
        <w:rPr>
          <w:lang w:val="en-US"/>
        </w:rPr>
        <w:t>-3 construct</w:t>
      </w:r>
      <w:r w:rsidR="00E42437">
        <w:rPr>
          <w:lang w:val="en-US"/>
        </w:rPr>
        <w:t>,</w:t>
      </w:r>
      <w:r w:rsidR="00E42437" w:rsidRPr="00DD354F">
        <w:rPr>
          <w:lang w:val="en-US"/>
        </w:rPr>
        <w:t xml:space="preserve"> </w:t>
      </w:r>
      <w:r w:rsidRPr="00DD354F">
        <w:rPr>
          <w:lang w:val="en-US"/>
        </w:rPr>
        <w:t xml:space="preserve">Dr. </w:t>
      </w:r>
      <w:proofErr w:type="spellStart"/>
      <w:r w:rsidRPr="00DD354F">
        <w:rPr>
          <w:lang w:val="en-US"/>
        </w:rPr>
        <w:t>Yasufumi</w:t>
      </w:r>
      <w:proofErr w:type="spellEnd"/>
      <w:r w:rsidRPr="00DD354F">
        <w:rPr>
          <w:lang w:val="en-US"/>
        </w:rPr>
        <w:t xml:space="preserve"> Yamamoto for constructing the random 21-amino acid phage-peptide library</w:t>
      </w:r>
      <w:r w:rsidR="00E42437">
        <w:rPr>
          <w:lang w:val="en-US"/>
        </w:rPr>
        <w:t>,</w:t>
      </w:r>
      <w:r w:rsidRPr="00DD354F">
        <w:rPr>
          <w:lang w:val="en-US"/>
        </w:rPr>
        <w:t xml:space="preserve"> and R. Reid Townsend and the Proteomics Core Lab at Washington University for mass spectrometry analysis. This work was supported by a BBSRC David Phillips Fellowship (BB_BB/H022457/1) and a Marie Curie European Reintegration Grant (PERG06-GA-2009-256354) to I.D.S., a BBSRC CASE Studentship co-funded by Bayer </w:t>
      </w:r>
      <w:proofErr w:type="spellStart"/>
      <w:r w:rsidRPr="00DD354F">
        <w:rPr>
          <w:lang w:val="en-US"/>
        </w:rPr>
        <w:t>CropScience</w:t>
      </w:r>
      <w:proofErr w:type="spellEnd"/>
      <w:r w:rsidRPr="00DD354F">
        <w:rPr>
          <w:lang w:val="en-US"/>
        </w:rPr>
        <w:t xml:space="preserve"> to N.C., and a BBSRC funded position (BB/I001875/1) to M.I. We thank the School of Biosciences for studentship funding and acknowledge the University of Nottingham research committee. The VIB Bio Imaging Core acquired the Zeiss LSM780 through a CLEM-grant from Minister </w:t>
      </w:r>
      <w:proofErr w:type="spellStart"/>
      <w:r w:rsidRPr="00DD354F">
        <w:rPr>
          <w:lang w:val="en-US"/>
        </w:rPr>
        <w:t>Lieten</w:t>
      </w:r>
      <w:proofErr w:type="spellEnd"/>
      <w:r w:rsidRPr="00DD354F">
        <w:rPr>
          <w:lang w:val="en-US"/>
        </w:rPr>
        <w:t xml:space="preserve">. Work in the laboratory of T.B. was financed by the Interuniversity Attraction Poles </w:t>
      </w:r>
      <w:proofErr w:type="spellStart"/>
      <w:r w:rsidRPr="00DD354F">
        <w:rPr>
          <w:lang w:val="en-US"/>
        </w:rPr>
        <w:t>Programme</w:t>
      </w:r>
      <w:proofErr w:type="spellEnd"/>
      <w:r w:rsidRPr="00DD354F">
        <w:rPr>
          <w:lang w:val="en-US"/>
        </w:rPr>
        <w:t xml:space="preserve"> IUAP P7/29 ‘MARS’ from the Belgian Federal Science Policy Office and by a grant of the Research Foundation Flanders (FWO G027313N). E.S. is a Postdoctoral Fellow of the Research Foundation-Flanders (FWO13/PDO/144).</w:t>
      </w:r>
    </w:p>
    <w:p w:rsidR="00540468" w:rsidRPr="00DD354F" w:rsidRDefault="00540468" w:rsidP="00DD354F">
      <w:pPr>
        <w:spacing w:line="480" w:lineRule="auto"/>
        <w:jc w:val="both"/>
        <w:rPr>
          <w:b/>
          <w:caps/>
          <w:lang w:val="en-US"/>
        </w:rPr>
      </w:pPr>
    </w:p>
    <w:p w:rsidR="00540468" w:rsidRPr="00DD354F" w:rsidRDefault="00540468" w:rsidP="00DD354F">
      <w:pPr>
        <w:spacing w:line="480" w:lineRule="auto"/>
        <w:jc w:val="both"/>
        <w:rPr>
          <w:b/>
          <w:lang w:val="en-US"/>
        </w:rPr>
      </w:pPr>
      <w:r w:rsidRPr="00DD354F">
        <w:rPr>
          <w:b/>
          <w:lang w:val="en-US"/>
        </w:rPr>
        <w:t>REFERENCES</w:t>
      </w:r>
    </w:p>
    <w:p w:rsidR="00540468" w:rsidRPr="00DD354F" w:rsidRDefault="00540468" w:rsidP="00DD354F">
      <w:pPr>
        <w:spacing w:line="480" w:lineRule="auto"/>
        <w:jc w:val="both"/>
        <w:rPr>
          <w:b/>
          <w:lang w:val="en-US"/>
        </w:rPr>
      </w:pPr>
    </w:p>
    <w:p w:rsidR="00540468" w:rsidRPr="00DD354F" w:rsidRDefault="00540468" w:rsidP="00DD354F">
      <w:pPr>
        <w:pStyle w:val="EndNoteBibliography"/>
        <w:spacing w:line="480" w:lineRule="auto"/>
        <w:ind w:left="720" w:hanging="720"/>
      </w:pPr>
      <w:bookmarkStart w:id="1" w:name="_ENREF_1"/>
      <w:r w:rsidRPr="00DD354F">
        <w:t>1.</w:t>
      </w:r>
      <w:r w:rsidRPr="00DD354F">
        <w:tab/>
        <w:t xml:space="preserve">De Smet I &amp; Beeckman T (2011) Asymmetric cell division in land plants and algae: the driving force for differentiation. </w:t>
      </w:r>
      <w:r w:rsidRPr="00DD354F">
        <w:rPr>
          <w:i/>
        </w:rPr>
        <w:t>Nat Rev Mol Cell Biol</w:t>
      </w:r>
      <w:r w:rsidRPr="00DD354F">
        <w:t xml:space="preserve"> 12(3):177-188.</w:t>
      </w:r>
      <w:bookmarkEnd w:id="1"/>
    </w:p>
    <w:p w:rsidR="00540468" w:rsidRPr="00DD354F" w:rsidRDefault="00540468" w:rsidP="00DD354F">
      <w:pPr>
        <w:pStyle w:val="EndNoteBibliography"/>
        <w:spacing w:line="480" w:lineRule="auto"/>
        <w:ind w:left="720" w:hanging="720"/>
      </w:pPr>
      <w:bookmarkStart w:id="2" w:name="_ENREF_2"/>
      <w:r w:rsidRPr="00DD354F">
        <w:t>2.</w:t>
      </w:r>
      <w:r w:rsidRPr="00DD354F">
        <w:tab/>
        <w:t xml:space="preserve">Scheres B (2007) Stem-cell niches: nursery rhymes across kingdoms. </w:t>
      </w:r>
      <w:r w:rsidRPr="00DD354F">
        <w:rPr>
          <w:i/>
        </w:rPr>
        <w:t>Nat Rev Mol Cell Biol</w:t>
      </w:r>
      <w:r w:rsidRPr="00DD354F">
        <w:t xml:space="preserve"> 8(5):345-354.</w:t>
      </w:r>
      <w:bookmarkEnd w:id="2"/>
    </w:p>
    <w:p w:rsidR="00540468" w:rsidRPr="00DD354F" w:rsidRDefault="00540468" w:rsidP="00DD354F">
      <w:pPr>
        <w:pStyle w:val="EndNoteBibliography"/>
        <w:spacing w:line="480" w:lineRule="auto"/>
        <w:ind w:left="720" w:hanging="720"/>
      </w:pPr>
      <w:bookmarkStart w:id="3" w:name="_ENREF_3"/>
      <w:r w:rsidRPr="00DD354F">
        <w:t>3.</w:t>
      </w:r>
      <w:r w:rsidRPr="00DD354F">
        <w:tab/>
        <w:t>Aida M</w:t>
      </w:r>
      <w:r w:rsidRPr="00DD354F">
        <w:rPr>
          <w:i/>
        </w:rPr>
        <w:t>, et al.</w:t>
      </w:r>
      <w:r w:rsidRPr="00DD354F">
        <w:t xml:space="preserve"> (2004) The PLETHORA genes mediate patterning of the Arabidopsis root stem cell niche. </w:t>
      </w:r>
      <w:r w:rsidRPr="00DD354F">
        <w:rPr>
          <w:i/>
        </w:rPr>
        <w:t>Cell</w:t>
      </w:r>
      <w:r w:rsidRPr="00DD354F">
        <w:t xml:space="preserve"> 119(1):109-120.</w:t>
      </w:r>
      <w:bookmarkEnd w:id="3"/>
    </w:p>
    <w:p w:rsidR="00540468" w:rsidRPr="00DD354F" w:rsidRDefault="00540468" w:rsidP="00DD354F">
      <w:pPr>
        <w:pStyle w:val="EndNoteBibliography"/>
        <w:spacing w:line="480" w:lineRule="auto"/>
        <w:ind w:left="720" w:hanging="720"/>
      </w:pPr>
      <w:bookmarkStart w:id="4" w:name="_ENREF_4"/>
      <w:r w:rsidRPr="00DD354F">
        <w:t>4.</w:t>
      </w:r>
      <w:r w:rsidRPr="00DD354F">
        <w:tab/>
        <w:t>Wildwater M</w:t>
      </w:r>
      <w:r w:rsidRPr="00DD354F">
        <w:rPr>
          <w:i/>
        </w:rPr>
        <w:t>, et al.</w:t>
      </w:r>
      <w:r w:rsidRPr="00DD354F">
        <w:t xml:space="preserve"> (2005) The RETINOBLASTOMA-RELATED gene regulates stem cell maintenance in Arabidopsis roots. </w:t>
      </w:r>
      <w:r w:rsidRPr="00DD354F">
        <w:rPr>
          <w:i/>
        </w:rPr>
        <w:t>Cell</w:t>
      </w:r>
      <w:r w:rsidRPr="00DD354F">
        <w:t xml:space="preserve"> 123(7):1337-1349.</w:t>
      </w:r>
      <w:bookmarkEnd w:id="4"/>
    </w:p>
    <w:p w:rsidR="00540468" w:rsidRPr="00DD354F" w:rsidRDefault="00540468" w:rsidP="00DD354F">
      <w:pPr>
        <w:pStyle w:val="EndNoteBibliography"/>
        <w:spacing w:line="480" w:lineRule="auto"/>
        <w:ind w:left="720" w:hanging="720"/>
      </w:pPr>
      <w:bookmarkStart w:id="5" w:name="_ENREF_5"/>
      <w:r w:rsidRPr="00DD354F">
        <w:lastRenderedPageBreak/>
        <w:t>5.</w:t>
      </w:r>
      <w:r w:rsidRPr="00DD354F">
        <w:tab/>
        <w:t>De Smet I</w:t>
      </w:r>
      <w:r w:rsidRPr="00DD354F">
        <w:rPr>
          <w:i/>
        </w:rPr>
        <w:t>, et al.</w:t>
      </w:r>
      <w:r w:rsidRPr="00DD354F">
        <w:t xml:space="preserve"> (2008) Receptor-like kinase ACR4 restricts formative cell divisions in the Arabidopsis root. </w:t>
      </w:r>
      <w:r w:rsidRPr="00DD354F">
        <w:rPr>
          <w:i/>
        </w:rPr>
        <w:t>Science</w:t>
      </w:r>
      <w:r w:rsidRPr="00DD354F">
        <w:t xml:space="preserve"> 322(5901):594-597.</w:t>
      </w:r>
      <w:bookmarkEnd w:id="5"/>
    </w:p>
    <w:p w:rsidR="00540468" w:rsidRPr="00DD354F" w:rsidRDefault="00540468" w:rsidP="00DD354F">
      <w:pPr>
        <w:pStyle w:val="EndNoteBibliography"/>
        <w:spacing w:line="480" w:lineRule="auto"/>
        <w:ind w:left="720" w:hanging="720"/>
      </w:pPr>
      <w:bookmarkStart w:id="6" w:name="_ENREF_6"/>
      <w:r w:rsidRPr="00DD354F">
        <w:t>6.</w:t>
      </w:r>
      <w:r w:rsidRPr="00DD354F">
        <w:tab/>
        <w:t>Stahl Y</w:t>
      </w:r>
      <w:r w:rsidRPr="00DD354F">
        <w:rPr>
          <w:i/>
        </w:rPr>
        <w:t>, et al.</w:t>
      </w:r>
      <w:r w:rsidRPr="00DD354F">
        <w:t xml:space="preserve"> (2013) Moderation of Arabidopsis Root Sternness by CLAVATA1 and ARABIDOPSIS CRINKLY4 Receptor Kinase Complexes. </w:t>
      </w:r>
      <w:r w:rsidRPr="00DD354F">
        <w:rPr>
          <w:i/>
        </w:rPr>
        <w:t>Curr Biol</w:t>
      </w:r>
      <w:r w:rsidRPr="00DD354F">
        <w:t xml:space="preserve"> 23(5):362-371.</w:t>
      </w:r>
      <w:bookmarkEnd w:id="6"/>
    </w:p>
    <w:p w:rsidR="00540468" w:rsidRPr="00DD354F" w:rsidRDefault="00540468" w:rsidP="00DD354F">
      <w:pPr>
        <w:pStyle w:val="EndNoteBibliography"/>
        <w:spacing w:line="480" w:lineRule="auto"/>
        <w:ind w:left="720" w:hanging="720"/>
      </w:pPr>
      <w:bookmarkStart w:id="7" w:name="_ENREF_7"/>
      <w:r w:rsidRPr="00DD354F">
        <w:t>7.</w:t>
      </w:r>
      <w:r w:rsidRPr="00DD354F">
        <w:tab/>
        <w:t>Sarkar AK</w:t>
      </w:r>
      <w:r w:rsidRPr="00DD354F">
        <w:rPr>
          <w:i/>
        </w:rPr>
        <w:t>, et al.</w:t>
      </w:r>
      <w:r w:rsidRPr="00DD354F">
        <w:t xml:space="preserve"> (2007) Conserved factors regulate signalling in Arabidopsis thaliana shoot and root stem cell organizers. </w:t>
      </w:r>
      <w:r w:rsidRPr="00DD354F">
        <w:rPr>
          <w:i/>
        </w:rPr>
        <w:t>Nature</w:t>
      </w:r>
      <w:r w:rsidRPr="00DD354F">
        <w:t xml:space="preserve"> 446(7137):811-814.</w:t>
      </w:r>
      <w:bookmarkEnd w:id="7"/>
    </w:p>
    <w:p w:rsidR="00540468" w:rsidRPr="00DD354F" w:rsidRDefault="00540468" w:rsidP="00DD354F">
      <w:pPr>
        <w:pStyle w:val="EndNoteBibliography"/>
        <w:spacing w:line="480" w:lineRule="auto"/>
        <w:ind w:left="720" w:hanging="720"/>
      </w:pPr>
      <w:bookmarkStart w:id="8" w:name="_ENREF_8"/>
      <w:r w:rsidRPr="00DD354F">
        <w:t>8.</w:t>
      </w:r>
      <w:r w:rsidRPr="00DD354F">
        <w:tab/>
        <w:t xml:space="preserve">Stahl Y, Wink RH, Ingram GC, &amp; Simon R (2009) A signaling module controlling the stem cell niche in Arabidopsis root meristems. </w:t>
      </w:r>
      <w:r w:rsidRPr="00DD354F">
        <w:rPr>
          <w:i/>
        </w:rPr>
        <w:t>Curr Biol</w:t>
      </w:r>
      <w:r w:rsidRPr="00DD354F">
        <w:t xml:space="preserve"> 19(11):909-914.</w:t>
      </w:r>
      <w:bookmarkEnd w:id="8"/>
    </w:p>
    <w:p w:rsidR="00540468" w:rsidRPr="00DD354F" w:rsidRDefault="00540468" w:rsidP="00DD354F">
      <w:pPr>
        <w:pStyle w:val="EndNoteBibliography"/>
        <w:spacing w:line="480" w:lineRule="auto"/>
        <w:ind w:left="720" w:hanging="720"/>
      </w:pPr>
      <w:bookmarkStart w:id="9" w:name="_ENREF_9"/>
      <w:r w:rsidRPr="00DD354F">
        <w:t>9.</w:t>
      </w:r>
      <w:r w:rsidRPr="00DD354F">
        <w:tab/>
        <w:t>Zhang H</w:t>
      </w:r>
      <w:r w:rsidRPr="00DD354F">
        <w:rPr>
          <w:i/>
        </w:rPr>
        <w:t>, et al.</w:t>
      </w:r>
      <w:r w:rsidRPr="00DD354F">
        <w:t xml:space="preserve"> (2010) ABA promotes quiescence of the quiescent centre and suppresses stem cell differentiation in the Arabidopsis primary root meristem. </w:t>
      </w:r>
      <w:r w:rsidRPr="00DD354F">
        <w:rPr>
          <w:i/>
        </w:rPr>
        <w:t xml:space="preserve">Plant J </w:t>
      </w:r>
      <w:r w:rsidRPr="00DD354F">
        <w:t>64(5):764-774.</w:t>
      </w:r>
      <w:bookmarkEnd w:id="9"/>
    </w:p>
    <w:p w:rsidR="00540468" w:rsidRPr="00DD354F" w:rsidRDefault="00540468" w:rsidP="00DD354F">
      <w:pPr>
        <w:pStyle w:val="EndNoteBibliography"/>
        <w:spacing w:line="480" w:lineRule="auto"/>
        <w:ind w:left="720" w:hanging="720"/>
      </w:pPr>
      <w:bookmarkStart w:id="10" w:name="_ENREF_10"/>
      <w:r w:rsidRPr="00DD354F">
        <w:t>10.</w:t>
      </w:r>
      <w:r w:rsidRPr="00DD354F">
        <w:tab/>
        <w:t xml:space="preserve">Azpeitia E, Weinstein N, Benitez M, Mendoza L, &amp; Alvarez-Buylla ER (2013) Finding Missing Interactions of the Arabidopsis thaliana Root Stem Cell Niche Gene Regulatory Network. </w:t>
      </w:r>
      <w:r w:rsidRPr="00DD354F">
        <w:rPr>
          <w:i/>
        </w:rPr>
        <w:t>Front Plant Sci</w:t>
      </w:r>
      <w:r w:rsidRPr="00DD354F">
        <w:t xml:space="preserve"> 4:110.</w:t>
      </w:r>
      <w:bookmarkEnd w:id="10"/>
    </w:p>
    <w:p w:rsidR="00540468" w:rsidRPr="00DD354F" w:rsidRDefault="00540468" w:rsidP="00DD354F">
      <w:pPr>
        <w:pStyle w:val="EndNoteBibliography"/>
        <w:spacing w:line="480" w:lineRule="auto"/>
        <w:ind w:left="720" w:hanging="720"/>
      </w:pPr>
      <w:bookmarkStart w:id="11" w:name="_ENREF_11"/>
      <w:r w:rsidRPr="00DD354F">
        <w:t>11.</w:t>
      </w:r>
      <w:r w:rsidRPr="00DD354F">
        <w:tab/>
        <w:t xml:space="preserve">Ding Z &amp; Friml J (2010) Auxin regulates distal stem cell differentiation in Arabidopsis roots. </w:t>
      </w:r>
      <w:r w:rsidR="00D2490B" w:rsidRPr="00DD354F">
        <w:rPr>
          <w:i/>
        </w:rPr>
        <w:t>Proc Natl Acad Sci USA</w:t>
      </w:r>
      <w:r w:rsidRPr="00DD354F">
        <w:t xml:space="preserve"> 107(26):12046-12051.</w:t>
      </w:r>
      <w:bookmarkEnd w:id="11"/>
    </w:p>
    <w:p w:rsidR="00540468" w:rsidRPr="00DD354F" w:rsidRDefault="00540468" w:rsidP="00DD354F">
      <w:pPr>
        <w:pStyle w:val="EndNoteBibliography"/>
        <w:spacing w:line="480" w:lineRule="auto"/>
        <w:ind w:left="720" w:hanging="720"/>
      </w:pPr>
      <w:bookmarkStart w:id="12" w:name="_ENREF_12"/>
      <w:r w:rsidRPr="00DD354F">
        <w:t>12.</w:t>
      </w:r>
      <w:r w:rsidRPr="00DD354F">
        <w:tab/>
        <w:t>Kajala K</w:t>
      </w:r>
      <w:r w:rsidRPr="00DD354F">
        <w:rPr>
          <w:i/>
        </w:rPr>
        <w:t>, et al.</w:t>
      </w:r>
      <w:r w:rsidRPr="00DD354F">
        <w:t xml:space="preserve"> (2014) Omics and modelling approaches for understanding regulation of asymmetric cell divisions in arabidopsis and other angiosperm plants. </w:t>
      </w:r>
      <w:r w:rsidRPr="00DD354F">
        <w:rPr>
          <w:i/>
        </w:rPr>
        <w:t>Ann</w:t>
      </w:r>
      <w:r w:rsidR="00D2490B" w:rsidRPr="00DD354F">
        <w:rPr>
          <w:i/>
        </w:rPr>
        <w:t xml:space="preserve"> Bot</w:t>
      </w:r>
      <w:r w:rsidRPr="00DD354F">
        <w:t xml:space="preserve"> 113(7):1083-1105.</w:t>
      </w:r>
      <w:bookmarkEnd w:id="12"/>
    </w:p>
    <w:p w:rsidR="00540468" w:rsidRPr="00DD354F" w:rsidRDefault="00540468" w:rsidP="00DD354F">
      <w:pPr>
        <w:pStyle w:val="EndNoteBibliography"/>
        <w:spacing w:line="480" w:lineRule="auto"/>
        <w:ind w:left="720" w:hanging="720"/>
        <w:rPr>
          <w:lang w:val="nl-BE"/>
        </w:rPr>
      </w:pPr>
      <w:bookmarkStart w:id="13" w:name="_ENREF_13"/>
      <w:r w:rsidRPr="00DD354F">
        <w:t>13.</w:t>
      </w:r>
      <w:r w:rsidRPr="00DD354F">
        <w:tab/>
        <w:t xml:space="preserve">Choudhary C &amp; Mann M (2010) Decoding signalling networks by mass spectrometry-based proteomics. </w:t>
      </w:r>
      <w:r w:rsidR="00D2490B" w:rsidRPr="00DD354F">
        <w:rPr>
          <w:i/>
          <w:lang w:val="nl-BE"/>
        </w:rPr>
        <w:t>Nat Rev Mol Cell Biol</w:t>
      </w:r>
      <w:r w:rsidR="00D2490B" w:rsidRPr="00DD354F">
        <w:rPr>
          <w:lang w:val="nl-BE"/>
        </w:rPr>
        <w:t xml:space="preserve"> </w:t>
      </w:r>
      <w:r w:rsidRPr="00DD354F">
        <w:rPr>
          <w:lang w:val="nl-BE"/>
        </w:rPr>
        <w:t>11(6):427-439.</w:t>
      </w:r>
      <w:bookmarkEnd w:id="13"/>
    </w:p>
    <w:p w:rsidR="00540468" w:rsidRPr="00DD354F" w:rsidRDefault="00540468" w:rsidP="00DD354F">
      <w:pPr>
        <w:pStyle w:val="EndNoteBibliography"/>
        <w:spacing w:line="480" w:lineRule="auto"/>
        <w:ind w:left="720" w:hanging="720"/>
      </w:pPr>
      <w:bookmarkStart w:id="14" w:name="_ENREF_14"/>
      <w:r w:rsidRPr="00DD354F">
        <w:rPr>
          <w:lang w:val="nl-BE"/>
        </w:rPr>
        <w:t>14.</w:t>
      </w:r>
      <w:r w:rsidRPr="00DD354F">
        <w:rPr>
          <w:lang w:val="nl-BE"/>
        </w:rPr>
        <w:tab/>
        <w:t>Van Damme D</w:t>
      </w:r>
      <w:r w:rsidRPr="00DD354F">
        <w:rPr>
          <w:i/>
          <w:lang w:val="nl-BE"/>
        </w:rPr>
        <w:t>, et al.</w:t>
      </w:r>
      <w:r w:rsidRPr="00DD354F">
        <w:rPr>
          <w:lang w:val="nl-BE"/>
        </w:rPr>
        <w:t xml:space="preserve"> </w:t>
      </w:r>
      <w:r w:rsidRPr="00DD354F">
        <w:t xml:space="preserve">(2011) Arabidopsis alpha Aurora kinases function in formative cell division plane orientation. </w:t>
      </w:r>
      <w:r w:rsidRPr="00DD354F">
        <w:rPr>
          <w:i/>
        </w:rPr>
        <w:t xml:space="preserve">Plant </w:t>
      </w:r>
      <w:r w:rsidR="00D2490B" w:rsidRPr="00DD354F">
        <w:rPr>
          <w:i/>
        </w:rPr>
        <w:t>C</w:t>
      </w:r>
      <w:r w:rsidRPr="00DD354F">
        <w:rPr>
          <w:i/>
        </w:rPr>
        <w:t>ell</w:t>
      </w:r>
      <w:r w:rsidRPr="00DD354F">
        <w:t xml:space="preserve"> 23(11):4013-4024.</w:t>
      </w:r>
      <w:bookmarkEnd w:id="14"/>
    </w:p>
    <w:p w:rsidR="00540468" w:rsidRPr="00DD354F" w:rsidRDefault="00540468" w:rsidP="00DD354F">
      <w:pPr>
        <w:pStyle w:val="EndNoteBibliography"/>
        <w:spacing w:line="480" w:lineRule="auto"/>
        <w:ind w:left="720" w:hanging="720"/>
      </w:pPr>
      <w:bookmarkStart w:id="15" w:name="_ENREF_15"/>
      <w:r w:rsidRPr="00DD354F">
        <w:t>15.</w:t>
      </w:r>
      <w:r w:rsidRPr="00DD354F">
        <w:tab/>
        <w:t>Stahl Y</w:t>
      </w:r>
      <w:r w:rsidRPr="00DD354F">
        <w:rPr>
          <w:i/>
        </w:rPr>
        <w:t>, et al.</w:t>
      </w:r>
      <w:r w:rsidRPr="00DD354F">
        <w:t xml:space="preserve"> (2013) Moderation of Arabidopsis root stemness by CLAVATA1 and ARABIDOPSIS CRINKLY4 receptor kinase complexes. </w:t>
      </w:r>
      <w:r w:rsidR="00D2490B" w:rsidRPr="00DD354F">
        <w:rPr>
          <w:i/>
        </w:rPr>
        <w:t>Curr Biol</w:t>
      </w:r>
      <w:r w:rsidR="00D2490B" w:rsidRPr="00DD354F">
        <w:t xml:space="preserve"> </w:t>
      </w:r>
      <w:r w:rsidRPr="00DD354F">
        <w:t>23(5):362-371.</w:t>
      </w:r>
      <w:bookmarkEnd w:id="15"/>
    </w:p>
    <w:p w:rsidR="00540468" w:rsidRPr="00DD354F" w:rsidRDefault="00540468" w:rsidP="00DD354F">
      <w:pPr>
        <w:pStyle w:val="EndNoteBibliography"/>
        <w:spacing w:line="480" w:lineRule="auto"/>
        <w:ind w:left="720" w:hanging="720"/>
      </w:pPr>
      <w:bookmarkStart w:id="16" w:name="_ENREF_16"/>
      <w:r w:rsidRPr="00DD354F">
        <w:lastRenderedPageBreak/>
        <w:t>16.</w:t>
      </w:r>
      <w:r w:rsidRPr="00DD354F">
        <w:tab/>
        <w:t xml:space="preserve">Nikonorova N, Vu LD, Czyzewicz N, Gevaert K, &amp; De Smet I (2015) A phylogenetic approach to study the origin and evolution of the CRINKLY4 family. </w:t>
      </w:r>
      <w:r w:rsidRPr="00DD354F">
        <w:rPr>
          <w:i/>
        </w:rPr>
        <w:t>Front Plant Sci</w:t>
      </w:r>
      <w:r w:rsidRPr="00DD354F">
        <w:t xml:space="preserve"> 6:880.</w:t>
      </w:r>
      <w:bookmarkEnd w:id="16"/>
    </w:p>
    <w:p w:rsidR="00540468" w:rsidRPr="00DD354F" w:rsidRDefault="00540468" w:rsidP="00DD354F">
      <w:pPr>
        <w:pStyle w:val="EndNoteBibliography"/>
        <w:spacing w:line="480" w:lineRule="auto"/>
        <w:ind w:left="720" w:hanging="720"/>
      </w:pPr>
      <w:bookmarkStart w:id="17" w:name="_ENREF_17"/>
      <w:r w:rsidRPr="00DD354F">
        <w:t>17.</w:t>
      </w:r>
      <w:r w:rsidRPr="00DD354F">
        <w:tab/>
        <w:t xml:space="preserve">Jones RB, Gordus A, Krall JA, &amp; MacBeath G (2006) A quantitative protein interaction network for the ErbB receptors using protein microarrays. </w:t>
      </w:r>
      <w:r w:rsidRPr="00DD354F">
        <w:rPr>
          <w:i/>
        </w:rPr>
        <w:t>Nature</w:t>
      </w:r>
      <w:r w:rsidRPr="00DD354F">
        <w:t xml:space="preserve"> 439(7073):168-174.</w:t>
      </w:r>
      <w:bookmarkEnd w:id="17"/>
    </w:p>
    <w:p w:rsidR="00540468" w:rsidRPr="00DD354F" w:rsidRDefault="00540468" w:rsidP="00DD354F">
      <w:pPr>
        <w:pStyle w:val="EndNoteBibliography"/>
        <w:spacing w:line="480" w:lineRule="auto"/>
        <w:ind w:left="720" w:hanging="720"/>
      </w:pPr>
      <w:bookmarkStart w:id="18" w:name="_ENREF_18"/>
      <w:r w:rsidRPr="00DD354F">
        <w:t>18.</w:t>
      </w:r>
      <w:r w:rsidRPr="00DD354F">
        <w:tab/>
        <w:t xml:space="preserve">Schulze WX, Deng L, &amp; Mann M (2005) Phosphotyrosine interactome of the ErbB-receptor kinase family. </w:t>
      </w:r>
      <w:r w:rsidR="00D2490B" w:rsidRPr="00DD354F">
        <w:rPr>
          <w:i/>
        </w:rPr>
        <w:t>Mol</w:t>
      </w:r>
      <w:r w:rsidRPr="00DD354F">
        <w:rPr>
          <w:i/>
        </w:rPr>
        <w:t xml:space="preserve"> </w:t>
      </w:r>
      <w:r w:rsidR="00D2490B" w:rsidRPr="00DD354F">
        <w:rPr>
          <w:i/>
        </w:rPr>
        <w:t>Syst Biol</w:t>
      </w:r>
      <w:r w:rsidRPr="00DD354F">
        <w:t xml:space="preserve"> 1</w:t>
      </w:r>
      <w:r w:rsidR="00D2490B" w:rsidRPr="00DD354F">
        <w:rPr>
          <w:color w:val="000000"/>
          <w:shd w:val="clear" w:color="auto" w:fill="FFFFFF"/>
        </w:rPr>
        <w:t>:2005.0008</w:t>
      </w:r>
      <w:r w:rsidRPr="00DD354F">
        <w:t>.</w:t>
      </w:r>
      <w:bookmarkEnd w:id="18"/>
    </w:p>
    <w:p w:rsidR="00540468" w:rsidRPr="00DD354F" w:rsidRDefault="00540468" w:rsidP="00DD354F">
      <w:pPr>
        <w:pStyle w:val="EndNoteBibliography"/>
        <w:spacing w:line="480" w:lineRule="auto"/>
        <w:ind w:left="720" w:hanging="720"/>
      </w:pPr>
      <w:bookmarkStart w:id="19" w:name="_ENREF_19"/>
      <w:r w:rsidRPr="00DD354F">
        <w:t>19.</w:t>
      </w:r>
      <w:r w:rsidRPr="00DD354F">
        <w:tab/>
        <w:t xml:space="preserve">Gifford ML, Dean S, &amp; Ingram GC (2003) The Arabidopsis ACR4 gene plays a role in cell layer organisation during ovule integument and sepal margin development. </w:t>
      </w:r>
      <w:r w:rsidRPr="00DD354F">
        <w:rPr>
          <w:i/>
        </w:rPr>
        <w:t>Development</w:t>
      </w:r>
      <w:r w:rsidRPr="00DD354F">
        <w:t xml:space="preserve"> 130(18):4249-4258.</w:t>
      </w:r>
      <w:bookmarkEnd w:id="19"/>
    </w:p>
    <w:p w:rsidR="00540468" w:rsidRPr="00DD354F" w:rsidRDefault="00540468" w:rsidP="00DD354F">
      <w:pPr>
        <w:pStyle w:val="EndNoteBibliography"/>
        <w:spacing w:line="480" w:lineRule="auto"/>
        <w:ind w:left="720" w:hanging="720"/>
      </w:pPr>
      <w:bookmarkStart w:id="20" w:name="_ENREF_20"/>
      <w:r w:rsidRPr="00DD354F">
        <w:t>20.</w:t>
      </w:r>
      <w:r w:rsidRPr="00DD354F">
        <w:tab/>
        <w:t>Tanaka H</w:t>
      </w:r>
      <w:r w:rsidRPr="00DD354F">
        <w:rPr>
          <w:i/>
        </w:rPr>
        <w:t>, et al.</w:t>
      </w:r>
      <w:r w:rsidRPr="00DD354F">
        <w:t xml:space="preserve"> (2002) ACR4, a putative receptor kinase gene of Arabidopsis thaliana, that is expressed in the outer cell layers of embryos and plants, is involved in proper embryogenesis. </w:t>
      </w:r>
      <w:r w:rsidRPr="00DD354F">
        <w:rPr>
          <w:i/>
        </w:rPr>
        <w:t xml:space="preserve">Plant </w:t>
      </w:r>
      <w:r w:rsidR="00D2490B" w:rsidRPr="00DD354F">
        <w:rPr>
          <w:i/>
        </w:rPr>
        <w:t>Cell Physiol</w:t>
      </w:r>
      <w:r w:rsidRPr="00DD354F">
        <w:t xml:space="preserve"> 43(4):419-428.</w:t>
      </w:r>
      <w:bookmarkEnd w:id="20"/>
    </w:p>
    <w:p w:rsidR="00540468" w:rsidRPr="00DD354F" w:rsidRDefault="00540468" w:rsidP="00DD354F">
      <w:pPr>
        <w:pStyle w:val="EndNoteBibliography"/>
        <w:spacing w:line="480" w:lineRule="auto"/>
        <w:ind w:left="720" w:hanging="720"/>
      </w:pPr>
      <w:bookmarkStart w:id="21" w:name="_ENREF_21"/>
      <w:r w:rsidRPr="00DD354F">
        <w:t>21.</w:t>
      </w:r>
      <w:r w:rsidRPr="00DD354F">
        <w:tab/>
        <w:t xml:space="preserve">Watanabe M, Tanaka H, Watanabe D, Machida C, &amp; Machida Y (2004) The ACR4 receptor-like kinase is required for surface formation of epidermis-related tissues in Arabidopsis thaliana. </w:t>
      </w:r>
      <w:r w:rsidR="00D2490B" w:rsidRPr="00DD354F">
        <w:rPr>
          <w:i/>
        </w:rPr>
        <w:t>Plant J</w:t>
      </w:r>
      <w:r w:rsidRPr="00DD354F">
        <w:t xml:space="preserve"> 39(3):298-308.</w:t>
      </w:r>
      <w:bookmarkEnd w:id="21"/>
    </w:p>
    <w:p w:rsidR="00540468" w:rsidRPr="00DD354F" w:rsidRDefault="00540468" w:rsidP="00DD354F">
      <w:pPr>
        <w:pStyle w:val="EndNoteBibliography"/>
        <w:spacing w:line="480" w:lineRule="auto"/>
        <w:ind w:left="720" w:hanging="720"/>
      </w:pPr>
      <w:bookmarkStart w:id="22" w:name="_ENREF_22"/>
      <w:r w:rsidRPr="00DD354F">
        <w:t>22.</w:t>
      </w:r>
      <w:r w:rsidRPr="00DD354F">
        <w:tab/>
        <w:t xml:space="preserve">Stahl Y, Wink RH, Ingram GC, &amp; Simon R (2009) A signaling module controlling the stem cell niche in Arabidopsis root meristems. </w:t>
      </w:r>
      <w:r w:rsidR="00D2490B" w:rsidRPr="00DD354F">
        <w:rPr>
          <w:i/>
        </w:rPr>
        <w:t>Curr Biol</w:t>
      </w:r>
      <w:r w:rsidR="00D2490B" w:rsidRPr="00DD354F">
        <w:t xml:space="preserve"> </w:t>
      </w:r>
      <w:r w:rsidRPr="00DD354F">
        <w:t>19(11):909-914.</w:t>
      </w:r>
      <w:bookmarkEnd w:id="22"/>
    </w:p>
    <w:p w:rsidR="00540468" w:rsidRPr="00DD354F" w:rsidRDefault="00540468" w:rsidP="00DD354F">
      <w:pPr>
        <w:pStyle w:val="EndNoteBibliography"/>
        <w:spacing w:line="480" w:lineRule="auto"/>
        <w:ind w:left="720" w:hanging="720"/>
      </w:pPr>
      <w:bookmarkStart w:id="23" w:name="_ENREF_23"/>
      <w:r w:rsidRPr="00DD354F">
        <w:t>23.</w:t>
      </w:r>
      <w:r w:rsidRPr="00DD354F">
        <w:tab/>
        <w:t>Bassel GW</w:t>
      </w:r>
      <w:r w:rsidRPr="00DD354F">
        <w:rPr>
          <w:i/>
        </w:rPr>
        <w:t>, et al.</w:t>
      </w:r>
      <w:r w:rsidRPr="00DD354F">
        <w:t xml:space="preserve"> (2012) Systems analysis of plant functional, transcriptional, physical interaction, and metabolic networks. </w:t>
      </w:r>
      <w:r w:rsidRPr="00DD354F">
        <w:rPr>
          <w:i/>
        </w:rPr>
        <w:t xml:space="preserve">Plant </w:t>
      </w:r>
      <w:r w:rsidR="00D2490B" w:rsidRPr="00DD354F">
        <w:rPr>
          <w:i/>
        </w:rPr>
        <w:t>C</w:t>
      </w:r>
      <w:r w:rsidRPr="00DD354F">
        <w:rPr>
          <w:i/>
        </w:rPr>
        <w:t>ell</w:t>
      </w:r>
      <w:r w:rsidRPr="00DD354F">
        <w:t xml:space="preserve"> 24(10):3859-3875.</w:t>
      </w:r>
      <w:bookmarkEnd w:id="23"/>
    </w:p>
    <w:p w:rsidR="00540468" w:rsidRPr="00DD354F" w:rsidRDefault="00540468" w:rsidP="00DD354F">
      <w:pPr>
        <w:pStyle w:val="EndNoteBibliography"/>
        <w:spacing w:line="480" w:lineRule="auto"/>
        <w:ind w:left="720" w:hanging="720"/>
      </w:pPr>
      <w:bookmarkStart w:id="24" w:name="_ENREF_24"/>
      <w:r w:rsidRPr="00DD354F">
        <w:t>24.</w:t>
      </w:r>
      <w:r w:rsidRPr="00DD354F">
        <w:tab/>
        <w:t>Jones AM</w:t>
      </w:r>
      <w:r w:rsidRPr="00DD354F">
        <w:rPr>
          <w:i/>
        </w:rPr>
        <w:t>, et al.</w:t>
      </w:r>
      <w:r w:rsidRPr="00DD354F">
        <w:t xml:space="preserve"> (2014) Border control--a membrane-linked interactome of Arabidopsis. </w:t>
      </w:r>
      <w:r w:rsidRPr="00DD354F">
        <w:rPr>
          <w:i/>
        </w:rPr>
        <w:t>Science</w:t>
      </w:r>
      <w:r w:rsidRPr="00DD354F">
        <w:t xml:space="preserve"> 344(6185):711-716.</w:t>
      </w:r>
      <w:bookmarkEnd w:id="24"/>
    </w:p>
    <w:p w:rsidR="00540468" w:rsidRPr="00DD354F" w:rsidRDefault="00540468" w:rsidP="00DD354F">
      <w:pPr>
        <w:pStyle w:val="EndNoteBibliography"/>
        <w:spacing w:line="480" w:lineRule="auto"/>
        <w:ind w:left="720" w:hanging="720"/>
      </w:pPr>
      <w:bookmarkStart w:id="25" w:name="_ENREF_25"/>
      <w:r w:rsidRPr="00DD354F">
        <w:lastRenderedPageBreak/>
        <w:t>25.</w:t>
      </w:r>
      <w:r w:rsidRPr="00DD354F">
        <w:tab/>
        <w:t xml:space="preserve">De Bodt S, Hollunder J, Nelissen H, Meulemeester N, &amp; Inze D (2012) CORNET 2.0: integrating plant coexpression, protein-protein interactions, regulatory interactions, gene associations and functional annotations. </w:t>
      </w:r>
      <w:r w:rsidRPr="00DD354F">
        <w:rPr>
          <w:i/>
        </w:rPr>
        <w:t xml:space="preserve">New </w:t>
      </w:r>
      <w:r w:rsidR="00D2490B" w:rsidRPr="00DD354F">
        <w:rPr>
          <w:i/>
        </w:rPr>
        <w:t>P</w:t>
      </w:r>
      <w:r w:rsidRPr="00DD354F">
        <w:rPr>
          <w:i/>
        </w:rPr>
        <w:t>hytol</w:t>
      </w:r>
      <w:r w:rsidRPr="00DD354F">
        <w:t xml:space="preserve"> 195(3):707-720.</w:t>
      </w:r>
      <w:bookmarkEnd w:id="25"/>
    </w:p>
    <w:p w:rsidR="00540468" w:rsidRPr="00DD354F" w:rsidRDefault="00540468" w:rsidP="00DD354F">
      <w:pPr>
        <w:pStyle w:val="EndNoteBibliography"/>
        <w:spacing w:line="480" w:lineRule="auto"/>
        <w:ind w:left="720" w:hanging="720"/>
      </w:pPr>
      <w:bookmarkStart w:id="26" w:name="_ENREF_26"/>
      <w:r w:rsidRPr="00DD354F">
        <w:t>26.</w:t>
      </w:r>
      <w:r w:rsidRPr="00DD354F">
        <w:tab/>
        <w:t xml:space="preserve">Meyer MR, Lichti CF, Townsend RR, &amp; Rao AG (2011) Identification of in vitro autophosphorylation sites and effects of phosphorylation on the Arabidopsis CRINKLY4 (ACR4) receptor-like kinase intracellular domain: insights into conformation, oligomerization, and activity. </w:t>
      </w:r>
      <w:r w:rsidRPr="00DD354F">
        <w:rPr>
          <w:i/>
        </w:rPr>
        <w:t>Biochemistry</w:t>
      </w:r>
      <w:r w:rsidRPr="00DD354F">
        <w:t xml:space="preserve"> 50(12):2170-2186.</w:t>
      </w:r>
      <w:bookmarkEnd w:id="26"/>
    </w:p>
    <w:p w:rsidR="00540468" w:rsidRPr="00DD354F" w:rsidRDefault="00540468" w:rsidP="00DD354F">
      <w:pPr>
        <w:pStyle w:val="EndNoteBibliography"/>
        <w:spacing w:line="480" w:lineRule="auto"/>
        <w:ind w:left="720" w:hanging="720"/>
      </w:pPr>
      <w:bookmarkStart w:id="27" w:name="_ENREF_27"/>
      <w:r w:rsidRPr="00DD354F">
        <w:t>27.</w:t>
      </w:r>
      <w:r w:rsidRPr="00DD354F">
        <w:tab/>
        <w:t xml:space="preserve">Meyer MR, Shah S, &amp; Rao AG (2013) Insights into molecular interactions between the juxtamembrane and kinase subdomains of the Arabidopsis Crinkly-4 receptor-like kinase. </w:t>
      </w:r>
      <w:r w:rsidR="00D2490B" w:rsidRPr="00DD354F">
        <w:rPr>
          <w:i/>
        </w:rPr>
        <w:t>Arch Biochem Biophys</w:t>
      </w:r>
      <w:r w:rsidRPr="00DD354F">
        <w:t>535(2):101-110.</w:t>
      </w:r>
      <w:bookmarkEnd w:id="27"/>
    </w:p>
    <w:p w:rsidR="00540468" w:rsidRPr="00DD354F" w:rsidRDefault="00540468" w:rsidP="00DD354F">
      <w:pPr>
        <w:pStyle w:val="EndNoteBibliography"/>
        <w:spacing w:line="480" w:lineRule="auto"/>
        <w:ind w:left="720" w:hanging="720"/>
      </w:pPr>
      <w:bookmarkStart w:id="28" w:name="_ENREF_28"/>
      <w:r w:rsidRPr="00DD354F">
        <w:t>28.</w:t>
      </w:r>
      <w:r w:rsidRPr="00DD354F">
        <w:tab/>
        <w:t xml:space="preserve">Wolfe CJ, Kohane IS, &amp; Butte AJ (2005) Systematic survey reveals general applicability of "guilt-by-association" within gene coexpression networks. </w:t>
      </w:r>
      <w:r w:rsidRPr="00DD354F">
        <w:rPr>
          <w:i/>
        </w:rPr>
        <w:t xml:space="preserve">BMC </w:t>
      </w:r>
      <w:r w:rsidR="00D2490B" w:rsidRPr="00DD354F">
        <w:rPr>
          <w:i/>
        </w:rPr>
        <w:t>B</w:t>
      </w:r>
      <w:r w:rsidRPr="00DD354F">
        <w:rPr>
          <w:i/>
        </w:rPr>
        <w:t>ioinformatics</w:t>
      </w:r>
      <w:r w:rsidRPr="00DD354F">
        <w:t xml:space="preserve"> 6:227.</w:t>
      </w:r>
      <w:bookmarkEnd w:id="28"/>
    </w:p>
    <w:p w:rsidR="00540468" w:rsidRPr="00DD354F" w:rsidRDefault="00540468" w:rsidP="00DD354F">
      <w:pPr>
        <w:pStyle w:val="EndNoteBibliography"/>
        <w:spacing w:line="480" w:lineRule="auto"/>
        <w:ind w:left="720" w:hanging="720"/>
      </w:pPr>
      <w:bookmarkStart w:id="29" w:name="_ENREF_29"/>
      <w:r w:rsidRPr="00DD354F">
        <w:t>29.</w:t>
      </w:r>
      <w:r w:rsidRPr="00DD354F">
        <w:tab/>
        <w:t>Brady SM</w:t>
      </w:r>
      <w:r w:rsidRPr="00DD354F">
        <w:rPr>
          <w:i/>
        </w:rPr>
        <w:t>, et al.</w:t>
      </w:r>
      <w:r w:rsidRPr="00DD354F">
        <w:t xml:space="preserve"> (2007) A high-resolution root spatiotemporal map reveals dominant expression patterns. </w:t>
      </w:r>
      <w:r w:rsidRPr="00DD354F">
        <w:rPr>
          <w:i/>
        </w:rPr>
        <w:t>Science</w:t>
      </w:r>
      <w:r w:rsidRPr="00DD354F">
        <w:t xml:space="preserve"> 318(5851):801-806.</w:t>
      </w:r>
      <w:bookmarkEnd w:id="29"/>
    </w:p>
    <w:p w:rsidR="00540468" w:rsidRPr="00DD354F" w:rsidRDefault="00540468" w:rsidP="00DD354F">
      <w:pPr>
        <w:pStyle w:val="EndNoteBibliography"/>
        <w:spacing w:line="480" w:lineRule="auto"/>
        <w:ind w:left="720" w:hanging="720"/>
      </w:pPr>
      <w:bookmarkStart w:id="30" w:name="_ENREF_30"/>
      <w:r w:rsidRPr="00DD354F">
        <w:t>30.</w:t>
      </w:r>
      <w:r w:rsidRPr="00DD354F">
        <w:tab/>
        <w:t>Winter D</w:t>
      </w:r>
      <w:r w:rsidRPr="00DD354F">
        <w:rPr>
          <w:i/>
        </w:rPr>
        <w:t>, et al.</w:t>
      </w:r>
      <w:r w:rsidRPr="00DD354F">
        <w:t xml:space="preserve"> (2007) An "Electronic Fluorescent Pictograph" Browser for Exploring and Analyzing Large-Scale Biological Data Sets. </w:t>
      </w:r>
      <w:r w:rsidRPr="00DD354F">
        <w:rPr>
          <w:i/>
        </w:rPr>
        <w:t>P</w:t>
      </w:r>
      <w:r w:rsidR="00D2490B" w:rsidRPr="00DD354F">
        <w:rPr>
          <w:i/>
        </w:rPr>
        <w:t>L</w:t>
      </w:r>
      <w:r w:rsidRPr="00DD354F">
        <w:rPr>
          <w:i/>
        </w:rPr>
        <w:t>o</w:t>
      </w:r>
      <w:r w:rsidR="00D2490B" w:rsidRPr="00DD354F">
        <w:rPr>
          <w:i/>
        </w:rPr>
        <w:t>S</w:t>
      </w:r>
      <w:r w:rsidRPr="00DD354F">
        <w:rPr>
          <w:i/>
        </w:rPr>
        <w:t xml:space="preserve"> One</w:t>
      </w:r>
      <w:r w:rsidRPr="00DD354F">
        <w:t xml:space="preserve"> 2(8).</w:t>
      </w:r>
      <w:bookmarkEnd w:id="30"/>
    </w:p>
    <w:p w:rsidR="00540468" w:rsidRPr="00DD354F" w:rsidRDefault="00540468" w:rsidP="00DD354F">
      <w:pPr>
        <w:pStyle w:val="EndNoteBibliography"/>
        <w:spacing w:line="480" w:lineRule="auto"/>
        <w:ind w:left="720" w:hanging="720"/>
      </w:pPr>
      <w:bookmarkStart w:id="31" w:name="_ENREF_31"/>
      <w:r w:rsidRPr="00DD354F">
        <w:t>31.</w:t>
      </w:r>
      <w:r w:rsidRPr="00DD354F">
        <w:tab/>
        <w:t xml:space="preserve">Meyer MR, Shah S, Zhang J, Rohrs H, &amp; Rao AG (2015) Evidence for intermolecular interactions between the intracellular domains of the arabidopsis receptor-like kinase ACR4, its homologs and the Wox5 transcription factor. </w:t>
      </w:r>
      <w:r w:rsidRPr="00DD354F">
        <w:rPr>
          <w:i/>
        </w:rPr>
        <w:t xml:space="preserve">PloS </w:t>
      </w:r>
      <w:r w:rsidR="00D2490B" w:rsidRPr="00DD354F">
        <w:rPr>
          <w:i/>
        </w:rPr>
        <w:t>O</w:t>
      </w:r>
      <w:r w:rsidRPr="00DD354F">
        <w:rPr>
          <w:i/>
        </w:rPr>
        <w:t>ne</w:t>
      </w:r>
      <w:r w:rsidRPr="00DD354F">
        <w:t xml:space="preserve"> 10(3):e0118861.</w:t>
      </w:r>
      <w:bookmarkEnd w:id="31"/>
    </w:p>
    <w:p w:rsidR="00540468" w:rsidRPr="00DD354F" w:rsidRDefault="00540468" w:rsidP="00DD354F">
      <w:pPr>
        <w:pStyle w:val="EndNoteBibliography"/>
        <w:spacing w:line="480" w:lineRule="auto"/>
        <w:ind w:left="720" w:hanging="720"/>
      </w:pPr>
      <w:bookmarkStart w:id="32" w:name="_ENREF_32"/>
      <w:r w:rsidRPr="00DD354F">
        <w:t>32.</w:t>
      </w:r>
      <w:r w:rsidRPr="00DD354F">
        <w:tab/>
        <w:t xml:space="preserve">Farkas I, Dombradi V, Miskei M, Szabados L, &amp; Koncz C (2007) Arabidopsis PPP family of serine/threonine phosphatases. </w:t>
      </w:r>
      <w:r w:rsidRPr="00DD354F">
        <w:rPr>
          <w:i/>
        </w:rPr>
        <w:t xml:space="preserve">Trends </w:t>
      </w:r>
      <w:r w:rsidR="00D2490B" w:rsidRPr="00DD354F">
        <w:rPr>
          <w:i/>
        </w:rPr>
        <w:t>P</w:t>
      </w:r>
      <w:r w:rsidRPr="00DD354F">
        <w:rPr>
          <w:i/>
        </w:rPr>
        <w:t xml:space="preserve">lant </w:t>
      </w:r>
      <w:r w:rsidR="00D2490B" w:rsidRPr="00DD354F">
        <w:rPr>
          <w:i/>
        </w:rPr>
        <w:t>S</w:t>
      </w:r>
      <w:r w:rsidRPr="00DD354F">
        <w:rPr>
          <w:i/>
        </w:rPr>
        <w:t>ci</w:t>
      </w:r>
      <w:r w:rsidRPr="00DD354F">
        <w:t xml:space="preserve"> 12(4):169-176.</w:t>
      </w:r>
      <w:bookmarkEnd w:id="32"/>
    </w:p>
    <w:p w:rsidR="00540468" w:rsidRPr="00DD354F" w:rsidRDefault="00540468" w:rsidP="00DD354F">
      <w:pPr>
        <w:pStyle w:val="EndNoteBibliography"/>
        <w:spacing w:line="480" w:lineRule="auto"/>
        <w:ind w:left="720" w:hanging="720"/>
      </w:pPr>
      <w:bookmarkStart w:id="33" w:name="_ENREF_33"/>
      <w:r w:rsidRPr="00DD354F">
        <w:t>33.</w:t>
      </w:r>
      <w:r w:rsidRPr="00DD354F">
        <w:tab/>
        <w:t xml:space="preserve">Terol J, Bargues M, Carrasco P, Perez-Alonso M, &amp; Paricio N (2002) Molecular characterization and evolution of the protein phosphatase 2A B' regulatory subunit family in plants. </w:t>
      </w:r>
      <w:r w:rsidRPr="00DD354F">
        <w:rPr>
          <w:i/>
        </w:rPr>
        <w:t>Plant Physiol</w:t>
      </w:r>
      <w:r w:rsidRPr="00DD354F">
        <w:t xml:space="preserve"> 129(2):808-822.</w:t>
      </w:r>
      <w:bookmarkEnd w:id="33"/>
    </w:p>
    <w:p w:rsidR="00540468" w:rsidRPr="00DD354F" w:rsidRDefault="00540468" w:rsidP="00DD354F">
      <w:pPr>
        <w:pStyle w:val="EndNoteBibliography"/>
        <w:spacing w:line="480" w:lineRule="auto"/>
        <w:ind w:left="720" w:hanging="720"/>
      </w:pPr>
      <w:bookmarkStart w:id="34" w:name="_ENREF_34"/>
      <w:r w:rsidRPr="00DD354F">
        <w:lastRenderedPageBreak/>
        <w:t>34.</w:t>
      </w:r>
      <w:r w:rsidRPr="00DD354F">
        <w:tab/>
        <w:t xml:space="preserve">Uhrig RG, Labandera AM, &amp; Moorhead GB (2013) Arabidopsis PPP family of serine/threonine protein phosphatases: many targets but few engines. </w:t>
      </w:r>
      <w:bookmarkEnd w:id="34"/>
      <w:r w:rsidR="00D2490B" w:rsidRPr="00DD354F">
        <w:rPr>
          <w:i/>
        </w:rPr>
        <w:t xml:space="preserve">Trends Plant Sci </w:t>
      </w:r>
      <w:r w:rsidR="00D2490B" w:rsidRPr="00DD354F">
        <w:rPr>
          <w:color w:val="000000"/>
          <w:shd w:val="clear" w:color="auto" w:fill="FFFFFF"/>
        </w:rPr>
        <w:t>18(9):505-513.</w:t>
      </w:r>
    </w:p>
    <w:p w:rsidR="00540468" w:rsidRPr="00DD354F" w:rsidRDefault="00540468" w:rsidP="00DD354F">
      <w:pPr>
        <w:pStyle w:val="EndNoteBibliography"/>
        <w:spacing w:line="480" w:lineRule="auto"/>
        <w:ind w:left="720" w:hanging="720"/>
      </w:pPr>
      <w:bookmarkStart w:id="35" w:name="_ENREF_35"/>
      <w:r w:rsidRPr="00DD354F">
        <w:t>35.</w:t>
      </w:r>
      <w:r w:rsidRPr="00DD354F">
        <w:tab/>
        <w:t>Blakeslee JJ</w:t>
      </w:r>
      <w:r w:rsidRPr="00DD354F">
        <w:rPr>
          <w:i/>
        </w:rPr>
        <w:t>, et al.</w:t>
      </w:r>
      <w:r w:rsidRPr="00DD354F">
        <w:t xml:space="preserve"> (2008) Specificity of RCN1-mediated protein phosphatase 2A regulation in meristem organization and stress response in roots. </w:t>
      </w:r>
      <w:r w:rsidR="00D2490B" w:rsidRPr="00DD354F">
        <w:rPr>
          <w:i/>
        </w:rPr>
        <w:t>Plant Physiol</w:t>
      </w:r>
      <w:r w:rsidR="00D2490B" w:rsidRPr="00DD354F">
        <w:t xml:space="preserve"> </w:t>
      </w:r>
      <w:r w:rsidRPr="00DD354F">
        <w:t>146(2):539-553.</w:t>
      </w:r>
      <w:bookmarkEnd w:id="35"/>
    </w:p>
    <w:p w:rsidR="00540468" w:rsidRPr="00DD354F" w:rsidRDefault="00540468" w:rsidP="00DD354F">
      <w:pPr>
        <w:pStyle w:val="EndNoteBibliography"/>
        <w:spacing w:line="480" w:lineRule="auto"/>
        <w:ind w:left="720" w:hanging="720"/>
      </w:pPr>
      <w:bookmarkStart w:id="36" w:name="_ENREF_36"/>
      <w:r w:rsidRPr="00DD354F">
        <w:t>36.</w:t>
      </w:r>
      <w:r w:rsidRPr="00DD354F">
        <w:tab/>
        <w:t>Spinner L</w:t>
      </w:r>
      <w:r w:rsidRPr="00DD354F">
        <w:rPr>
          <w:i/>
        </w:rPr>
        <w:t>, et al.</w:t>
      </w:r>
      <w:r w:rsidRPr="00DD354F">
        <w:t xml:space="preserve"> (2013) A protein phosphatase 2A complex spatially controls plant cell division. </w:t>
      </w:r>
      <w:r w:rsidR="00D2490B" w:rsidRPr="00DD354F">
        <w:rPr>
          <w:i/>
        </w:rPr>
        <w:t>Nat C</w:t>
      </w:r>
      <w:r w:rsidRPr="00DD354F">
        <w:rPr>
          <w:i/>
        </w:rPr>
        <w:t>ommun</w:t>
      </w:r>
      <w:r w:rsidRPr="00DD354F">
        <w:t xml:space="preserve"> 4:1863.</w:t>
      </w:r>
      <w:bookmarkEnd w:id="36"/>
    </w:p>
    <w:p w:rsidR="00540468" w:rsidRPr="00DD354F" w:rsidRDefault="00540468" w:rsidP="00DD354F">
      <w:pPr>
        <w:pStyle w:val="EndNoteBibliography"/>
        <w:spacing w:line="480" w:lineRule="auto"/>
        <w:ind w:left="720" w:hanging="720"/>
      </w:pPr>
      <w:bookmarkStart w:id="37" w:name="_ENREF_37"/>
      <w:r w:rsidRPr="00DD354F">
        <w:t>37.</w:t>
      </w:r>
      <w:r w:rsidRPr="00DD354F">
        <w:tab/>
        <w:t>Segonzac C</w:t>
      </w:r>
      <w:r w:rsidRPr="00DD354F">
        <w:rPr>
          <w:i/>
        </w:rPr>
        <w:t>, et al.</w:t>
      </w:r>
      <w:r w:rsidRPr="00DD354F">
        <w:t xml:space="preserve"> (2014) Negative control of BAK1 by protein phosphatase 2A during plant innate immunity. </w:t>
      </w:r>
      <w:r w:rsidRPr="00DD354F">
        <w:rPr>
          <w:i/>
        </w:rPr>
        <w:t xml:space="preserve">EMBO </w:t>
      </w:r>
      <w:r w:rsidR="00D2490B" w:rsidRPr="00DD354F">
        <w:rPr>
          <w:i/>
        </w:rPr>
        <w:t>J</w:t>
      </w:r>
      <w:r w:rsidRPr="00DD354F">
        <w:t xml:space="preserve"> 33(18):2069-2079.</w:t>
      </w:r>
      <w:bookmarkEnd w:id="37"/>
    </w:p>
    <w:p w:rsidR="00540468" w:rsidRPr="00DD354F" w:rsidRDefault="00540468" w:rsidP="00DD354F">
      <w:pPr>
        <w:pStyle w:val="EndNoteBibliography"/>
        <w:spacing w:line="480" w:lineRule="auto"/>
        <w:ind w:left="720" w:hanging="720"/>
      </w:pPr>
      <w:bookmarkStart w:id="38" w:name="_ENREF_38"/>
      <w:r w:rsidRPr="00DD354F">
        <w:t>38.</w:t>
      </w:r>
      <w:r w:rsidRPr="00DD354F">
        <w:tab/>
        <w:t>Ballesteros I</w:t>
      </w:r>
      <w:r w:rsidRPr="00DD354F">
        <w:rPr>
          <w:i/>
        </w:rPr>
        <w:t>, et al.</w:t>
      </w:r>
      <w:r w:rsidRPr="00DD354F">
        <w:t xml:space="preserve"> (2013) Specialized functions of the PP2A subfamily II catalytic subunits PP2A-C3 and PP2A-C4 in the distribution of auxin fluxes and development in Arabidopsis. </w:t>
      </w:r>
      <w:r w:rsidRPr="00DD354F">
        <w:rPr>
          <w:i/>
        </w:rPr>
        <w:t xml:space="preserve">Plant </w:t>
      </w:r>
      <w:r w:rsidR="00D2490B" w:rsidRPr="00DD354F">
        <w:rPr>
          <w:i/>
        </w:rPr>
        <w:t>J</w:t>
      </w:r>
      <w:r w:rsidRPr="00DD354F">
        <w:t xml:space="preserve"> 73(5):862-872.</w:t>
      </w:r>
      <w:bookmarkEnd w:id="38"/>
    </w:p>
    <w:p w:rsidR="00540468" w:rsidRPr="00DD354F" w:rsidRDefault="00540468" w:rsidP="00DD354F">
      <w:pPr>
        <w:pStyle w:val="EndNoteBibliography"/>
        <w:spacing w:line="480" w:lineRule="auto"/>
        <w:ind w:left="720" w:hanging="720"/>
      </w:pPr>
      <w:bookmarkStart w:id="39" w:name="_ENREF_39"/>
      <w:r w:rsidRPr="00DD354F">
        <w:t>39.</w:t>
      </w:r>
      <w:r w:rsidRPr="00DD354F">
        <w:tab/>
        <w:t xml:space="preserve">Sabatini S, Heidstra R, Wildwater M, &amp; Scheres B (2003) SCARECROW is involved in positioning the stem cell niche in the Arabidopsis root meristem. </w:t>
      </w:r>
      <w:r w:rsidRPr="00DD354F">
        <w:rPr>
          <w:i/>
        </w:rPr>
        <w:t xml:space="preserve">Genes </w:t>
      </w:r>
      <w:r w:rsidR="00D2490B" w:rsidRPr="00DD354F">
        <w:rPr>
          <w:i/>
        </w:rPr>
        <w:t xml:space="preserve">Dev </w:t>
      </w:r>
      <w:r w:rsidRPr="00DD354F">
        <w:t>17(3):354-358.</w:t>
      </w:r>
      <w:bookmarkEnd w:id="39"/>
    </w:p>
    <w:p w:rsidR="00540468" w:rsidRPr="00DD354F" w:rsidRDefault="00540468" w:rsidP="00DD354F">
      <w:pPr>
        <w:pStyle w:val="EndNoteBibliography"/>
        <w:spacing w:line="480" w:lineRule="auto"/>
        <w:ind w:left="720" w:hanging="720"/>
      </w:pPr>
      <w:bookmarkStart w:id="40" w:name="_ENREF_40"/>
      <w:r w:rsidRPr="00DD354F">
        <w:t>40.</w:t>
      </w:r>
      <w:r w:rsidRPr="00DD354F">
        <w:tab/>
        <w:t>Ueda M</w:t>
      </w:r>
      <w:r w:rsidRPr="00DD354F">
        <w:rPr>
          <w:i/>
        </w:rPr>
        <w:t>, et al.</w:t>
      </w:r>
      <w:r w:rsidRPr="00DD354F">
        <w:t xml:space="preserve"> (2004) The HALTED ROOT gene encoding the 26S proteasome subunit RPT2a is essential for the maintenance of Arabidopsis meristems. </w:t>
      </w:r>
      <w:r w:rsidRPr="00DD354F">
        <w:rPr>
          <w:i/>
        </w:rPr>
        <w:t>Development</w:t>
      </w:r>
      <w:r w:rsidRPr="00DD354F">
        <w:t xml:space="preserve"> 131(9):2101-2111.</w:t>
      </w:r>
      <w:bookmarkEnd w:id="40"/>
    </w:p>
    <w:p w:rsidR="00540468" w:rsidRPr="00DD354F" w:rsidRDefault="00540468" w:rsidP="00DD354F">
      <w:pPr>
        <w:pStyle w:val="EndNoteBibliography"/>
        <w:spacing w:line="480" w:lineRule="auto"/>
        <w:ind w:left="720" w:hanging="720"/>
      </w:pPr>
      <w:bookmarkStart w:id="41" w:name="_ENREF_41"/>
      <w:r w:rsidRPr="00DD354F">
        <w:t>41.</w:t>
      </w:r>
      <w:r w:rsidRPr="00DD354F">
        <w:tab/>
        <w:t xml:space="preserve">Janssens V, Longin S, &amp; Goris J (2008) PP2A holoenzyme assembly: in cauda venenum (the sting is in the tail). </w:t>
      </w:r>
      <w:r w:rsidRPr="00DD354F">
        <w:rPr>
          <w:i/>
        </w:rPr>
        <w:t xml:space="preserve">Trends </w:t>
      </w:r>
      <w:r w:rsidR="00D2490B" w:rsidRPr="00DD354F">
        <w:rPr>
          <w:i/>
        </w:rPr>
        <w:t>Biochem Sci</w:t>
      </w:r>
      <w:r w:rsidRPr="00DD354F">
        <w:t xml:space="preserve"> 33(3):113-121.</w:t>
      </w:r>
      <w:bookmarkEnd w:id="41"/>
    </w:p>
    <w:p w:rsidR="00540468" w:rsidRPr="00DD354F" w:rsidRDefault="00540468" w:rsidP="00DD354F">
      <w:pPr>
        <w:pStyle w:val="EndNoteBibliography"/>
        <w:spacing w:line="480" w:lineRule="auto"/>
        <w:ind w:left="720" w:hanging="720"/>
      </w:pPr>
      <w:bookmarkStart w:id="42" w:name="_ENREF_42"/>
      <w:r w:rsidRPr="00DD354F">
        <w:t>42.</w:t>
      </w:r>
      <w:r w:rsidRPr="00DD354F">
        <w:tab/>
        <w:t xml:space="preserve">Janssens V &amp; Goris J (2001) Protein phosphatase 2A: a highly regulated family of serine/threonine phosphatases implicated in cell growth and signalling. </w:t>
      </w:r>
      <w:r w:rsidRPr="00DD354F">
        <w:rPr>
          <w:i/>
        </w:rPr>
        <w:t>Biochem</w:t>
      </w:r>
      <w:r w:rsidR="00D2490B" w:rsidRPr="00DD354F">
        <w:rPr>
          <w:i/>
        </w:rPr>
        <w:t xml:space="preserve"> J</w:t>
      </w:r>
      <w:r w:rsidRPr="00DD354F">
        <w:t xml:space="preserve"> 353(Pt 3):417-439.</w:t>
      </w:r>
      <w:bookmarkEnd w:id="42"/>
    </w:p>
    <w:p w:rsidR="00540468" w:rsidRPr="00DD354F" w:rsidRDefault="00540468" w:rsidP="00DD354F">
      <w:pPr>
        <w:pStyle w:val="EndNoteBibliography"/>
        <w:spacing w:line="480" w:lineRule="auto"/>
        <w:ind w:left="720" w:hanging="720"/>
      </w:pPr>
      <w:bookmarkStart w:id="43" w:name="_ENREF_43"/>
      <w:r w:rsidRPr="00DD354F">
        <w:lastRenderedPageBreak/>
        <w:t>43.</w:t>
      </w:r>
      <w:r w:rsidRPr="00DD354F">
        <w:tab/>
        <w:t>Michniewicz M</w:t>
      </w:r>
      <w:r w:rsidRPr="00DD354F">
        <w:rPr>
          <w:i/>
        </w:rPr>
        <w:t>, et al.</w:t>
      </w:r>
      <w:r w:rsidRPr="00DD354F">
        <w:t xml:space="preserve"> (2007) Antagonistic regulation of PIN phosphorylation by PP2A and PINOID directs auxin flux. </w:t>
      </w:r>
      <w:r w:rsidRPr="00DD354F">
        <w:rPr>
          <w:i/>
        </w:rPr>
        <w:t>Cell</w:t>
      </w:r>
      <w:r w:rsidRPr="00DD354F">
        <w:t xml:space="preserve"> 130(6):1044-1056.</w:t>
      </w:r>
      <w:bookmarkEnd w:id="43"/>
    </w:p>
    <w:p w:rsidR="00540468" w:rsidRPr="00DD354F" w:rsidRDefault="00540468" w:rsidP="00DD354F">
      <w:pPr>
        <w:pStyle w:val="EndNoteBibliography"/>
        <w:spacing w:line="480" w:lineRule="auto"/>
        <w:ind w:left="720" w:hanging="720"/>
      </w:pPr>
      <w:bookmarkStart w:id="44" w:name="_ENREF_44"/>
      <w:r w:rsidRPr="00DD354F">
        <w:t>44.</w:t>
      </w:r>
      <w:r w:rsidRPr="00DD354F">
        <w:tab/>
        <w:t>Tang W</w:t>
      </w:r>
      <w:r w:rsidRPr="00DD354F">
        <w:rPr>
          <w:i/>
        </w:rPr>
        <w:t>, et al.</w:t>
      </w:r>
      <w:r w:rsidRPr="00DD354F">
        <w:t xml:space="preserve"> (2011) PP2A activates brassinosteroid-responsive gene expression and plant growth by dephosphorylating BZR1. </w:t>
      </w:r>
      <w:r w:rsidR="00D2490B" w:rsidRPr="00DD354F">
        <w:rPr>
          <w:i/>
        </w:rPr>
        <w:t>Nat Cell Biol</w:t>
      </w:r>
      <w:r w:rsidRPr="00DD354F">
        <w:t xml:space="preserve"> 13(2):124-131.</w:t>
      </w:r>
      <w:bookmarkEnd w:id="44"/>
    </w:p>
    <w:p w:rsidR="00540468" w:rsidRPr="00DD354F" w:rsidRDefault="00540468" w:rsidP="00DD354F">
      <w:pPr>
        <w:pStyle w:val="EndNoteBibliography"/>
        <w:spacing w:line="480" w:lineRule="auto"/>
        <w:ind w:left="720" w:hanging="720"/>
      </w:pPr>
      <w:bookmarkStart w:id="45" w:name="_ENREF_45"/>
      <w:r w:rsidRPr="00DD354F">
        <w:t>45.</w:t>
      </w:r>
      <w:r w:rsidRPr="00DD354F">
        <w:tab/>
        <w:t xml:space="preserve">Chen J, Hu R, Zhu Y, Shen G, &amp; Zhang H (2014) Arabidopsis PHOSPHOTYROSYL PHOSPHATASE ACTIVATOR is essential for PROTEIN PHOSPHATASE 2A holoenzyme assembly and plays important roles in hormone signaling, salt stress response, and plant development. </w:t>
      </w:r>
      <w:r w:rsidRPr="00DD354F">
        <w:rPr>
          <w:i/>
        </w:rPr>
        <w:t xml:space="preserve">Plant </w:t>
      </w:r>
      <w:r w:rsidR="00D2490B" w:rsidRPr="00DD354F">
        <w:rPr>
          <w:i/>
        </w:rPr>
        <w:t>Physiol</w:t>
      </w:r>
      <w:r w:rsidRPr="00DD354F">
        <w:t xml:space="preserve"> 166(3):1519-1534.</w:t>
      </w:r>
      <w:bookmarkEnd w:id="45"/>
    </w:p>
    <w:p w:rsidR="00540468" w:rsidRPr="00DD354F" w:rsidRDefault="00540468" w:rsidP="00DD354F">
      <w:pPr>
        <w:pStyle w:val="EndNoteBibliography"/>
        <w:spacing w:line="480" w:lineRule="auto"/>
        <w:ind w:left="720" w:hanging="720"/>
      </w:pPr>
      <w:bookmarkStart w:id="46" w:name="_ENREF_46"/>
      <w:r w:rsidRPr="00DD354F">
        <w:t>46.</w:t>
      </w:r>
      <w:r w:rsidRPr="00DD354F">
        <w:tab/>
        <w:t xml:space="preserve">Gao HB, Chu YJ, &amp; Xue HW (2013) Phosphatidic acid (PA) binds PP2AA1 to regulate PP2A activity and PIN1 polar localization. </w:t>
      </w:r>
      <w:r w:rsidR="00D2490B" w:rsidRPr="00DD354F">
        <w:rPr>
          <w:i/>
        </w:rPr>
        <w:t>Mol Plant</w:t>
      </w:r>
      <w:r w:rsidRPr="00DD354F">
        <w:t xml:space="preserve"> 6(5):1692-1702.</w:t>
      </w:r>
      <w:bookmarkEnd w:id="46"/>
    </w:p>
    <w:p w:rsidR="00540468" w:rsidRPr="00DD354F" w:rsidRDefault="00540468" w:rsidP="00DD354F">
      <w:pPr>
        <w:pStyle w:val="EndNoteBibliography"/>
        <w:spacing w:line="480" w:lineRule="auto"/>
        <w:ind w:left="720" w:hanging="720"/>
      </w:pPr>
      <w:bookmarkStart w:id="47" w:name="_ENREF_47"/>
      <w:r w:rsidRPr="00DD354F">
        <w:t>47.</w:t>
      </w:r>
      <w:r w:rsidRPr="00DD354F">
        <w:tab/>
        <w:t>Wu G</w:t>
      </w:r>
      <w:r w:rsidRPr="00DD354F">
        <w:rPr>
          <w:i/>
        </w:rPr>
        <w:t>, et al.</w:t>
      </w:r>
      <w:r w:rsidRPr="00DD354F">
        <w:t xml:space="preserve"> (2011) Methylation of a phosphatase specifies dephosphorylation and degradation of activated brassinosteroid receptors. </w:t>
      </w:r>
      <w:r w:rsidR="00D2490B" w:rsidRPr="00DD354F">
        <w:rPr>
          <w:i/>
        </w:rPr>
        <w:t>Sci Signal</w:t>
      </w:r>
      <w:r w:rsidRPr="00DD354F">
        <w:t xml:space="preserve"> 4(172):ra29.</w:t>
      </w:r>
      <w:bookmarkEnd w:id="47"/>
    </w:p>
    <w:p w:rsidR="00540468" w:rsidRPr="00DD354F" w:rsidRDefault="00540468" w:rsidP="00DD354F">
      <w:pPr>
        <w:pStyle w:val="EndNoteBibliography"/>
        <w:spacing w:line="480" w:lineRule="auto"/>
        <w:ind w:left="720" w:hanging="720"/>
      </w:pPr>
      <w:bookmarkStart w:id="48" w:name="_ENREF_48"/>
      <w:r w:rsidRPr="00DD354F">
        <w:t>48.</w:t>
      </w:r>
      <w:r w:rsidRPr="00DD354F">
        <w:tab/>
        <w:t xml:space="preserve">Di Rubbo S, Irani NG, &amp; Russinova E (2011) PP2A phosphatases: the "on-off" regulatory switches of brassinosteroid signaling. </w:t>
      </w:r>
      <w:r w:rsidR="00D2490B" w:rsidRPr="00DD354F">
        <w:rPr>
          <w:i/>
        </w:rPr>
        <w:t>Sci Signal</w:t>
      </w:r>
      <w:r w:rsidR="00D2490B" w:rsidRPr="00DD354F">
        <w:t xml:space="preserve"> </w:t>
      </w:r>
      <w:r w:rsidRPr="00DD354F">
        <w:t>4(172):pe25.</w:t>
      </w:r>
      <w:bookmarkEnd w:id="48"/>
    </w:p>
    <w:p w:rsidR="00540468" w:rsidRPr="00DD354F" w:rsidRDefault="00540468" w:rsidP="00DD354F">
      <w:pPr>
        <w:pStyle w:val="EndNoteBibliography"/>
        <w:spacing w:line="480" w:lineRule="auto"/>
        <w:ind w:left="720" w:hanging="720"/>
      </w:pPr>
      <w:bookmarkStart w:id="49" w:name="_ENREF_49"/>
      <w:r w:rsidRPr="00DD354F">
        <w:t>49.</w:t>
      </w:r>
      <w:r w:rsidRPr="00DD354F">
        <w:tab/>
        <w:t xml:space="preserve">Van Damme D, Bouget FY, Van Poucke K, Inze D, &amp; Geelen D (2004) Molecular dissection of plant cytokinesis and phragmoplast structure: a survey of GFP-tagged proteins. </w:t>
      </w:r>
      <w:r w:rsidR="00D2490B" w:rsidRPr="00DD354F">
        <w:rPr>
          <w:i/>
        </w:rPr>
        <w:t>Plant J</w:t>
      </w:r>
      <w:r w:rsidRPr="00DD354F">
        <w:t xml:space="preserve"> 40(3):386-398.</w:t>
      </w:r>
      <w:bookmarkEnd w:id="49"/>
    </w:p>
    <w:p w:rsidR="00540468" w:rsidRPr="00DD354F" w:rsidRDefault="00540468" w:rsidP="00DD354F">
      <w:pPr>
        <w:pStyle w:val="EndNoteBibliography"/>
        <w:spacing w:line="480" w:lineRule="auto"/>
        <w:ind w:left="720" w:hanging="720"/>
      </w:pPr>
      <w:bookmarkStart w:id="50" w:name="_ENREF_50"/>
      <w:r w:rsidRPr="00DD354F">
        <w:t>50.</w:t>
      </w:r>
      <w:r w:rsidRPr="00DD354F">
        <w:tab/>
        <w:t>Wang R</w:t>
      </w:r>
      <w:r w:rsidRPr="00DD354F">
        <w:rPr>
          <w:i/>
        </w:rPr>
        <w:t>, et al.</w:t>
      </w:r>
      <w:r w:rsidRPr="00DD354F">
        <w:t xml:space="preserve"> (2015) The brassinosteroid-activated BRI1 receptor kinase is switched off by dephosphorylation mediated by cytoplasm-localized PP2A B' subunits. </w:t>
      </w:r>
      <w:r w:rsidR="00D2490B" w:rsidRPr="00DD354F">
        <w:rPr>
          <w:i/>
        </w:rPr>
        <w:t>Mol Plant (in press)</w:t>
      </w:r>
      <w:r w:rsidRPr="00DD354F">
        <w:t>.</w:t>
      </w:r>
      <w:bookmarkEnd w:id="50"/>
    </w:p>
    <w:p w:rsidR="00540468" w:rsidRPr="00DD354F" w:rsidRDefault="00540468" w:rsidP="00DD354F">
      <w:pPr>
        <w:spacing w:line="480" w:lineRule="auto"/>
        <w:jc w:val="both"/>
        <w:rPr>
          <w:b/>
          <w:lang w:val="en-US"/>
        </w:rPr>
      </w:pPr>
    </w:p>
    <w:p w:rsidR="00540468" w:rsidRDefault="00540468" w:rsidP="00DD354F">
      <w:pPr>
        <w:spacing w:line="480" w:lineRule="auto"/>
        <w:jc w:val="both"/>
        <w:rPr>
          <w:lang w:val="en-US"/>
        </w:rPr>
      </w:pPr>
    </w:p>
    <w:p w:rsidR="00CA7B50" w:rsidRDefault="00CA7B50" w:rsidP="00DD354F">
      <w:pPr>
        <w:spacing w:line="480" w:lineRule="auto"/>
        <w:jc w:val="both"/>
        <w:rPr>
          <w:lang w:val="en-US"/>
        </w:rPr>
      </w:pPr>
      <w:bookmarkStart w:id="51" w:name="_GoBack"/>
      <w:bookmarkEnd w:id="51"/>
    </w:p>
    <w:p w:rsidR="00CA7B50" w:rsidRDefault="00CA7B50" w:rsidP="00DD354F">
      <w:pPr>
        <w:spacing w:line="480" w:lineRule="auto"/>
        <w:jc w:val="both"/>
        <w:rPr>
          <w:lang w:val="en-US"/>
        </w:rPr>
      </w:pPr>
    </w:p>
    <w:p w:rsidR="00CA7B50" w:rsidRPr="00DD354F" w:rsidRDefault="00CA7B50" w:rsidP="00DD354F">
      <w:pPr>
        <w:spacing w:line="480" w:lineRule="auto"/>
        <w:jc w:val="both"/>
        <w:rPr>
          <w:lang w:val="en-US"/>
        </w:rPr>
      </w:pPr>
    </w:p>
    <w:p w:rsidR="00540468" w:rsidRPr="0027227E" w:rsidRDefault="0027227E" w:rsidP="0027227E">
      <w:pPr>
        <w:spacing w:line="480" w:lineRule="auto"/>
        <w:jc w:val="both"/>
        <w:rPr>
          <w:b/>
          <w:lang w:val="en-US"/>
        </w:rPr>
      </w:pPr>
      <w:r w:rsidRPr="0027227E">
        <w:rPr>
          <w:b/>
          <w:lang w:val="en-US"/>
        </w:rPr>
        <w:lastRenderedPageBreak/>
        <w:t>FIGURE LEGENDS</w:t>
      </w:r>
    </w:p>
    <w:p w:rsidR="0027227E" w:rsidRPr="0027227E" w:rsidRDefault="0027227E" w:rsidP="0027227E">
      <w:pPr>
        <w:spacing w:line="480" w:lineRule="auto"/>
        <w:jc w:val="both"/>
        <w:rPr>
          <w:b/>
        </w:rPr>
      </w:pPr>
    </w:p>
    <w:p w:rsidR="0027227E" w:rsidRPr="0027227E" w:rsidRDefault="0027227E" w:rsidP="0027227E">
      <w:pPr>
        <w:spacing w:line="480" w:lineRule="auto"/>
        <w:jc w:val="both"/>
        <w:rPr>
          <w:lang w:val="en-US"/>
        </w:rPr>
      </w:pPr>
      <w:proofErr w:type="gramStart"/>
      <w:r w:rsidRPr="0027227E">
        <w:rPr>
          <w:b/>
          <w:lang w:val="en-US"/>
        </w:rPr>
        <w:t>Figure 1.</w:t>
      </w:r>
      <w:proofErr w:type="gramEnd"/>
      <w:r w:rsidRPr="0027227E">
        <w:rPr>
          <w:b/>
          <w:lang w:val="en-US"/>
        </w:rPr>
        <w:t xml:space="preserve"> ACR4 interacts with PP2A-3. (A) </w:t>
      </w:r>
      <w:r w:rsidRPr="0027227E">
        <w:rPr>
          <w:lang w:val="en-US"/>
        </w:rPr>
        <w:t xml:space="preserve">Schematic representation of ACR4 with key domains and regions used for protein-protein interaction studies. </w:t>
      </w:r>
      <w:r w:rsidRPr="0027227E">
        <w:rPr>
          <w:b/>
          <w:lang w:val="en-US"/>
        </w:rPr>
        <w:t>(B)</w:t>
      </w:r>
      <w:r w:rsidRPr="0027227E">
        <w:rPr>
          <w:lang w:val="en-US"/>
        </w:rPr>
        <w:t xml:space="preserve"> </w:t>
      </w:r>
      <w:r w:rsidRPr="0027227E">
        <w:rPr>
          <w:i/>
          <w:lang w:val="en-US"/>
        </w:rPr>
        <w:t>In vitro</w:t>
      </w:r>
      <w:r w:rsidRPr="0027227E">
        <w:rPr>
          <w:lang w:val="en-US"/>
        </w:rPr>
        <w:t xml:space="preserve"> GST pull-down experiment using GST</w:t>
      </w:r>
      <w:proofErr w:type="gramStart"/>
      <w:r w:rsidRPr="0027227E">
        <w:rPr>
          <w:lang w:val="en-US"/>
        </w:rPr>
        <w:t>:PP2A</w:t>
      </w:r>
      <w:proofErr w:type="gramEnd"/>
      <w:r w:rsidRPr="0027227E">
        <w:rPr>
          <w:lang w:val="en-US"/>
        </w:rPr>
        <w:t>-3 and MBP:ACR4</w:t>
      </w:r>
      <w:r w:rsidRPr="0027227E">
        <w:rPr>
          <w:vertAlign w:val="superscript"/>
          <w:lang w:val="en-US"/>
        </w:rPr>
        <w:t>ICD</w:t>
      </w:r>
      <w:r w:rsidRPr="0027227E">
        <w:rPr>
          <w:lang w:val="en-US"/>
        </w:rPr>
        <w:t xml:space="preserve"> according to indicated combinations (+). PP2A-3 and ACR4</w:t>
      </w:r>
      <w:r w:rsidRPr="0027227E">
        <w:rPr>
          <w:vertAlign w:val="superscript"/>
          <w:lang w:val="en-US"/>
        </w:rPr>
        <w:t>ICD</w:t>
      </w:r>
      <w:r w:rsidRPr="0027227E">
        <w:rPr>
          <w:lang w:val="en-US"/>
        </w:rPr>
        <w:t xml:space="preserve"> were detected by Western blotting with anti-GST and anti-MBP antibodies, respectively.</w:t>
      </w:r>
      <w:r w:rsidRPr="0027227E">
        <w:rPr>
          <w:b/>
          <w:lang w:val="en-US"/>
        </w:rPr>
        <w:t xml:space="preserve"> (C)</w:t>
      </w:r>
      <w:r w:rsidRPr="0027227E">
        <w:rPr>
          <w:lang w:val="en-US"/>
        </w:rPr>
        <w:t xml:space="preserve"> </w:t>
      </w:r>
      <w:r w:rsidRPr="0027227E">
        <w:rPr>
          <w:i/>
          <w:lang w:val="en-US"/>
        </w:rPr>
        <w:t>In planta</w:t>
      </w:r>
      <w:r w:rsidRPr="0027227E">
        <w:rPr>
          <w:lang w:val="en-US"/>
        </w:rPr>
        <w:t xml:space="preserve"> YFP pull down experiment using ACR4</w:t>
      </w:r>
      <w:proofErr w:type="gramStart"/>
      <w:r w:rsidRPr="0027227E">
        <w:rPr>
          <w:lang w:val="en-US"/>
        </w:rPr>
        <w:t>:YFP:HA</w:t>
      </w:r>
      <w:proofErr w:type="gramEnd"/>
      <w:r w:rsidRPr="0027227E">
        <w:rPr>
          <w:lang w:val="en-US"/>
        </w:rPr>
        <w:t xml:space="preserve"> and FLAG:PP2A-3 </w:t>
      </w:r>
      <w:r w:rsidRPr="0027227E">
        <w:rPr>
          <w:shd w:val="clear" w:color="auto" w:fill="FFFFFF"/>
        </w:rPr>
        <w:t>transiently co-expressed in tobacco leaves by</w:t>
      </w:r>
      <w:r w:rsidRPr="0027227E">
        <w:rPr>
          <w:rStyle w:val="apple-converted-space"/>
          <w:shd w:val="clear" w:color="auto" w:fill="FFFFFF"/>
        </w:rPr>
        <w:t> </w:t>
      </w:r>
      <w:r w:rsidRPr="0027227E">
        <w:rPr>
          <w:i/>
          <w:iCs/>
          <w:shd w:val="clear" w:color="auto" w:fill="FFFFFF"/>
        </w:rPr>
        <w:t>Agrobacterium</w:t>
      </w:r>
      <w:r w:rsidRPr="0027227E">
        <w:rPr>
          <w:rStyle w:val="apple-converted-space"/>
          <w:shd w:val="clear" w:color="auto" w:fill="FFFFFF"/>
        </w:rPr>
        <w:t> </w:t>
      </w:r>
      <w:r w:rsidRPr="0027227E">
        <w:rPr>
          <w:shd w:val="clear" w:color="auto" w:fill="FFFFFF"/>
        </w:rPr>
        <w:t xml:space="preserve">infiltration </w:t>
      </w:r>
      <w:r w:rsidRPr="0027227E">
        <w:rPr>
          <w:lang w:val="en-US"/>
        </w:rPr>
        <w:t>according to indicated combinations (+)</w:t>
      </w:r>
      <w:r w:rsidRPr="0027227E">
        <w:rPr>
          <w:shd w:val="clear" w:color="auto" w:fill="FFFFFF"/>
        </w:rPr>
        <w:t xml:space="preserve">. </w:t>
      </w:r>
      <w:r w:rsidRPr="0027227E">
        <w:rPr>
          <w:lang w:val="en-US"/>
        </w:rPr>
        <w:t xml:space="preserve">PP2A-3 and ACR4 were detected by Western blotting with anti-FLAG and anti-HA antibodies, respectively. </w:t>
      </w:r>
    </w:p>
    <w:p w:rsidR="0027227E" w:rsidRPr="0027227E" w:rsidRDefault="0027227E" w:rsidP="0027227E">
      <w:pPr>
        <w:spacing w:line="480" w:lineRule="auto"/>
        <w:jc w:val="both"/>
        <w:rPr>
          <w:b/>
          <w:lang w:val="en-US"/>
        </w:rPr>
      </w:pPr>
    </w:p>
    <w:p w:rsidR="0027227E" w:rsidRPr="0027227E" w:rsidRDefault="0027227E" w:rsidP="0027227E">
      <w:pPr>
        <w:spacing w:line="480" w:lineRule="auto"/>
        <w:jc w:val="both"/>
        <w:rPr>
          <w:lang w:val="en-US"/>
        </w:rPr>
      </w:pPr>
      <w:proofErr w:type="gramStart"/>
      <w:r w:rsidRPr="0027227E">
        <w:rPr>
          <w:b/>
          <w:lang w:val="en-US"/>
        </w:rPr>
        <w:t>Figure 2.</w:t>
      </w:r>
      <w:proofErr w:type="gramEnd"/>
      <w:r w:rsidRPr="0027227E">
        <w:rPr>
          <w:b/>
          <w:lang w:val="en-US"/>
        </w:rPr>
        <w:t xml:space="preserve"> PP2A-3 mediates stem cell divisions. (A) </w:t>
      </w:r>
      <w:r w:rsidRPr="0027227E">
        <w:rPr>
          <w:lang w:val="en-US"/>
        </w:rPr>
        <w:t xml:space="preserve">Representative image of </w:t>
      </w:r>
      <w:r w:rsidRPr="0027227E">
        <w:rPr>
          <w:i/>
          <w:lang w:val="en-US"/>
        </w:rPr>
        <w:t>pPP2A-3:</w:t>
      </w:r>
      <w:proofErr w:type="gramStart"/>
      <w:r w:rsidRPr="0027227E">
        <w:rPr>
          <w:i/>
          <w:lang w:val="en-US"/>
        </w:rPr>
        <w:t>:n3xGFP</w:t>
      </w:r>
      <w:proofErr w:type="gramEnd"/>
      <w:r w:rsidRPr="0027227E">
        <w:rPr>
          <w:lang w:val="en-US"/>
        </w:rPr>
        <w:t xml:space="preserve"> in </w:t>
      </w:r>
      <w:r>
        <w:rPr>
          <w:lang w:val="en-US"/>
        </w:rPr>
        <w:t>a</w:t>
      </w:r>
      <w:r w:rsidRPr="0027227E">
        <w:rPr>
          <w:lang w:val="en-US"/>
        </w:rPr>
        <w:t xml:space="preserve"> primary root tip of </w:t>
      </w:r>
      <w:r>
        <w:rPr>
          <w:lang w:val="en-US"/>
        </w:rPr>
        <w:t xml:space="preserve">a </w:t>
      </w:r>
      <w:r w:rsidRPr="0027227E">
        <w:rPr>
          <w:lang w:val="en-US"/>
        </w:rPr>
        <w:t xml:space="preserve">4 day old seedling. </w:t>
      </w:r>
      <w:r w:rsidRPr="0027227E">
        <w:rPr>
          <w:b/>
          <w:lang w:val="en-US"/>
        </w:rPr>
        <w:t xml:space="preserve">(B-C) </w:t>
      </w:r>
      <w:r w:rsidRPr="0027227E">
        <w:rPr>
          <w:lang w:val="en-US"/>
        </w:rPr>
        <w:t xml:space="preserve">Primary root phenotype of </w:t>
      </w:r>
      <w:r w:rsidRPr="0027227E">
        <w:rPr>
          <w:i/>
          <w:lang w:val="en-US"/>
        </w:rPr>
        <w:t>pp2a-3</w:t>
      </w:r>
      <w:r w:rsidRPr="0027227E">
        <w:rPr>
          <w:lang w:val="en-US"/>
        </w:rPr>
        <w:t xml:space="preserve">, </w:t>
      </w:r>
      <w:r w:rsidRPr="0027227E">
        <w:rPr>
          <w:i/>
          <w:lang w:val="en-US"/>
        </w:rPr>
        <w:t>pp2a-4</w:t>
      </w:r>
      <w:r w:rsidRPr="0027227E">
        <w:rPr>
          <w:lang w:val="en-US"/>
        </w:rPr>
        <w:t xml:space="preserve">, and </w:t>
      </w:r>
      <w:r w:rsidRPr="0027227E">
        <w:rPr>
          <w:i/>
          <w:lang w:val="en-US"/>
        </w:rPr>
        <w:t>pp2a-3 pp2a-4</w:t>
      </w:r>
      <w:r w:rsidRPr="0027227E">
        <w:rPr>
          <w:lang w:val="en-US"/>
        </w:rPr>
        <w:t xml:space="preserve"> seedlings compared to wild-type control (Col-0) at 9 days after germination. </w:t>
      </w:r>
      <w:r w:rsidRPr="0027227E">
        <w:t>Scale bar, 1 cm.</w:t>
      </w:r>
      <w:r w:rsidRPr="0027227E">
        <w:rPr>
          <w:lang w:val="en-US"/>
        </w:rPr>
        <w:t xml:space="preserve"> (B). (C) Quantification of primary root length. </w:t>
      </w:r>
      <w:r w:rsidRPr="0027227E">
        <w:t>The bar graph shows average ± standard error (</w:t>
      </w:r>
      <w:r>
        <w:t xml:space="preserve">18 ≤ </w:t>
      </w:r>
      <w:r w:rsidRPr="0027227E">
        <w:rPr>
          <w:rStyle w:val="CommentReference"/>
          <w:bCs/>
          <w:sz w:val="24"/>
          <w:szCs w:val="24"/>
          <w:lang w:val="en-US"/>
        </w:rPr>
        <w:t xml:space="preserve">n </w:t>
      </w:r>
      <w:r>
        <w:rPr>
          <w:rStyle w:val="CommentReference"/>
          <w:bCs/>
          <w:sz w:val="24"/>
          <w:szCs w:val="24"/>
          <w:lang w:val="en-US"/>
        </w:rPr>
        <w:t>≥ 20</w:t>
      </w:r>
      <w:r w:rsidRPr="0027227E">
        <w:rPr>
          <w:rStyle w:val="CommentReference"/>
          <w:bCs/>
          <w:sz w:val="24"/>
          <w:szCs w:val="24"/>
          <w:lang w:val="en-US"/>
        </w:rPr>
        <w:t xml:space="preserve">). </w:t>
      </w:r>
      <w:r w:rsidRPr="0027227E">
        <w:t xml:space="preserve">Statistical significance (Student’s </w:t>
      </w:r>
      <w:r w:rsidRPr="0027227E">
        <w:rPr>
          <w:i/>
        </w:rPr>
        <w:t>t</w:t>
      </w:r>
      <w:r w:rsidRPr="0027227E">
        <w:t xml:space="preserve">-test) compared to Col-0 is indicated: *, p-value &lt; 0.01. </w:t>
      </w:r>
      <w:r w:rsidRPr="0027227E">
        <w:rPr>
          <w:b/>
        </w:rPr>
        <w:t>(D-E)</w:t>
      </w:r>
      <w:r w:rsidRPr="0027227E">
        <w:t xml:space="preserve"> Representative images (D) and quantification (E) of </w:t>
      </w:r>
      <w:proofErr w:type="spellStart"/>
      <w:r w:rsidRPr="0027227E">
        <w:t>columella</w:t>
      </w:r>
      <w:proofErr w:type="spellEnd"/>
      <w:r w:rsidRPr="0027227E">
        <w:t xml:space="preserve"> stem cell daughter cell differentiation (</w:t>
      </w:r>
      <w:r>
        <w:t xml:space="preserve">20 ≤ </w:t>
      </w:r>
      <w:r w:rsidRPr="0027227E">
        <w:rPr>
          <w:rStyle w:val="CommentReference"/>
          <w:bCs/>
          <w:sz w:val="24"/>
          <w:szCs w:val="24"/>
          <w:lang w:val="en-US"/>
        </w:rPr>
        <w:t>n</w:t>
      </w:r>
      <w:r>
        <w:rPr>
          <w:rStyle w:val="CommentReference"/>
          <w:bCs/>
          <w:sz w:val="24"/>
          <w:szCs w:val="24"/>
          <w:lang w:val="en-US"/>
        </w:rPr>
        <w:t xml:space="preserve"> ≥ 96)</w:t>
      </w:r>
      <w:r w:rsidRPr="0027227E">
        <w:t xml:space="preserve"> and irregular cellular pattern in </w:t>
      </w:r>
      <w:r w:rsidRPr="0027227E">
        <w:rPr>
          <w:i/>
        </w:rPr>
        <w:t xml:space="preserve">pp2a-3 pp2a-4 </w:t>
      </w:r>
      <w:r w:rsidRPr="0027227E">
        <w:t>(D, right panel).</w:t>
      </w:r>
      <w:r w:rsidRPr="0027227E">
        <w:rPr>
          <w:i/>
        </w:rPr>
        <w:t xml:space="preserve"> </w:t>
      </w:r>
      <w:r w:rsidRPr="0027227E">
        <w:t xml:space="preserve">Statistical significance (Z Test Calculator for 2 Population Proportions, p &lt; 0.05) compared to Col-0 (*) or </w:t>
      </w:r>
      <w:r w:rsidRPr="0027227E">
        <w:rPr>
          <w:i/>
        </w:rPr>
        <w:t>acr4</w:t>
      </w:r>
      <w:r w:rsidRPr="0027227E">
        <w:t xml:space="preserve"> (#) is indicated. </w:t>
      </w:r>
      <w:r w:rsidRPr="0027227E">
        <w:rPr>
          <w:b/>
        </w:rPr>
        <w:t>(F-G)</w:t>
      </w:r>
      <w:r w:rsidRPr="0027227E">
        <w:t xml:space="preserve"> </w:t>
      </w:r>
      <w:proofErr w:type="gramStart"/>
      <w:r w:rsidRPr="0027227E">
        <w:t xml:space="preserve">Expression of </w:t>
      </w:r>
      <w:r w:rsidRPr="0027227E">
        <w:rPr>
          <w:i/>
        </w:rPr>
        <w:t>QC184</w:t>
      </w:r>
      <w:r w:rsidRPr="0027227E">
        <w:t xml:space="preserve"> and </w:t>
      </w:r>
      <w:r w:rsidRPr="0027227E">
        <w:rPr>
          <w:i/>
        </w:rPr>
        <w:t>pWOX5::GUS</w:t>
      </w:r>
      <w:r w:rsidRPr="0027227E">
        <w:t xml:space="preserve"> in </w:t>
      </w:r>
      <w:r w:rsidRPr="0027227E">
        <w:rPr>
          <w:lang w:val="en-US"/>
        </w:rPr>
        <w:t xml:space="preserve">5-day-old </w:t>
      </w:r>
      <w:r w:rsidRPr="0027227E">
        <w:rPr>
          <w:i/>
        </w:rPr>
        <w:t>pp2a-3 pp2a-4</w:t>
      </w:r>
      <w:r w:rsidRPr="0027227E">
        <w:t xml:space="preserve"> seedlings (F) or in </w:t>
      </w:r>
      <w:r w:rsidRPr="0027227E">
        <w:rPr>
          <w:lang w:val="en-US"/>
        </w:rPr>
        <w:t xml:space="preserve">5-day-old seedlings </w:t>
      </w:r>
      <w:r w:rsidRPr="0027227E">
        <w:t xml:space="preserve">grown on 10 µM </w:t>
      </w:r>
      <w:proofErr w:type="spellStart"/>
      <w:r w:rsidRPr="0027227E">
        <w:t>cantharidin</w:t>
      </w:r>
      <w:proofErr w:type="spellEnd"/>
      <w:r w:rsidRPr="0027227E">
        <w:t xml:space="preserve"> (G).</w:t>
      </w:r>
      <w:proofErr w:type="gramEnd"/>
      <w:r w:rsidRPr="0027227E">
        <w:t xml:space="preserve"> Representative pictures with number of seedlings with similar expression pattern indicated. </w:t>
      </w:r>
      <w:proofErr w:type="gramStart"/>
      <w:r w:rsidRPr="0027227E">
        <w:t>Pink</w:t>
      </w:r>
      <w:r w:rsidRPr="0027227E">
        <w:rPr>
          <w:lang w:val="en-US"/>
        </w:rPr>
        <w:t xml:space="preserve"> arrowhead, quiescent center.</w:t>
      </w:r>
      <w:proofErr w:type="gramEnd"/>
      <w:r w:rsidRPr="0027227E">
        <w:rPr>
          <w:lang w:val="en-US"/>
        </w:rPr>
        <w:t xml:space="preserve"> </w:t>
      </w:r>
      <w:proofErr w:type="gramStart"/>
      <w:r w:rsidRPr="0027227E">
        <w:t xml:space="preserve">Yellow asterisk, first </w:t>
      </w:r>
      <w:proofErr w:type="spellStart"/>
      <w:r w:rsidRPr="0027227E">
        <w:t>columella</w:t>
      </w:r>
      <w:proofErr w:type="spellEnd"/>
      <w:r w:rsidRPr="0027227E">
        <w:t xml:space="preserve"> cell layer with starch granules.</w:t>
      </w:r>
      <w:proofErr w:type="gramEnd"/>
    </w:p>
    <w:p w:rsidR="0027227E" w:rsidRPr="0027227E" w:rsidRDefault="0027227E" w:rsidP="0027227E">
      <w:pPr>
        <w:spacing w:line="480" w:lineRule="auto"/>
        <w:jc w:val="both"/>
        <w:rPr>
          <w:lang w:val="en-US"/>
        </w:rPr>
      </w:pPr>
    </w:p>
    <w:p w:rsidR="0027227E" w:rsidRPr="0027227E" w:rsidRDefault="0027227E" w:rsidP="0027227E">
      <w:pPr>
        <w:spacing w:line="480" w:lineRule="auto"/>
        <w:jc w:val="both"/>
      </w:pPr>
      <w:proofErr w:type="gramStart"/>
      <w:r w:rsidRPr="0027227E">
        <w:rPr>
          <w:b/>
          <w:lang w:val="en-US"/>
        </w:rPr>
        <w:lastRenderedPageBreak/>
        <w:t>Figure 3.</w:t>
      </w:r>
      <w:proofErr w:type="gramEnd"/>
      <w:r w:rsidRPr="0027227E">
        <w:rPr>
          <w:b/>
          <w:lang w:val="en-US"/>
        </w:rPr>
        <w:t xml:space="preserve"> PP2A-3 is</w:t>
      </w:r>
      <w:r w:rsidRPr="0027227E">
        <w:rPr>
          <w:b/>
          <w:bCs/>
          <w:lang w:val="en-US"/>
        </w:rPr>
        <w:t xml:space="preserve"> phosphorylated by ACR4 kinase. </w:t>
      </w:r>
      <w:r w:rsidRPr="0027227E">
        <w:rPr>
          <w:b/>
        </w:rPr>
        <w:t xml:space="preserve">(A) </w:t>
      </w:r>
      <w:r w:rsidRPr="0027227E">
        <w:rPr>
          <w:bCs/>
          <w:lang w:val="en-US"/>
        </w:rPr>
        <w:t xml:space="preserve">Autoradiogram for co-incubated </w:t>
      </w:r>
      <w:r w:rsidRPr="0027227E">
        <w:rPr>
          <w:bCs/>
          <w:i/>
          <w:lang w:val="en-US"/>
        </w:rPr>
        <w:t>E. coli</w:t>
      </w:r>
      <w:r w:rsidRPr="0027227E">
        <w:rPr>
          <w:bCs/>
          <w:lang w:val="en-US"/>
        </w:rPr>
        <w:t>-expressed PP2A-3 and ACR4 kinase (ACR4</w:t>
      </w:r>
      <w:r w:rsidRPr="0027227E">
        <w:rPr>
          <w:bCs/>
          <w:vertAlign w:val="superscript"/>
          <w:lang w:val="en-US"/>
        </w:rPr>
        <w:t>ICD</w:t>
      </w:r>
      <w:r w:rsidRPr="0027227E">
        <w:rPr>
          <w:bCs/>
          <w:lang w:val="en-US"/>
        </w:rPr>
        <w:t xml:space="preserve">) or </w:t>
      </w:r>
      <w:r w:rsidRPr="0027227E">
        <w:t>mutant inactive kinase mACR4</w:t>
      </w:r>
      <w:r w:rsidRPr="0027227E">
        <w:rPr>
          <w:vertAlign w:val="superscript"/>
        </w:rPr>
        <w:t xml:space="preserve">ICD </w:t>
      </w:r>
      <w:r w:rsidRPr="0027227E">
        <w:rPr>
          <w:bCs/>
          <w:lang w:val="en-US"/>
        </w:rPr>
        <w:t xml:space="preserve">as indicated (upper panel). </w:t>
      </w:r>
      <w:r w:rsidRPr="0027227E">
        <w:t>From left to right</w:t>
      </w:r>
      <w:r>
        <w:t>:</w:t>
      </w:r>
      <w:r w:rsidRPr="0027227E">
        <w:t xml:space="preserve"> molecular weight standards</w:t>
      </w:r>
      <w:r>
        <w:t>,</w:t>
      </w:r>
      <w:r w:rsidRPr="0027227E">
        <w:t xml:space="preserve"> 1 µg of </w:t>
      </w:r>
      <w:proofErr w:type="spellStart"/>
      <w:r w:rsidRPr="0027227E">
        <w:t>autophosphorylated</w:t>
      </w:r>
      <w:proofErr w:type="spellEnd"/>
      <w:r w:rsidRPr="0027227E">
        <w:t xml:space="preserve"> ACR4</w:t>
      </w:r>
      <w:r w:rsidRPr="0027227E">
        <w:rPr>
          <w:vertAlign w:val="superscript"/>
        </w:rPr>
        <w:t>ICD</w:t>
      </w:r>
      <w:r>
        <w:t>,</w:t>
      </w:r>
      <w:r w:rsidRPr="0027227E">
        <w:t xml:space="preserve"> 1 µg ACR4</w:t>
      </w:r>
      <w:r w:rsidRPr="0027227E">
        <w:rPr>
          <w:vertAlign w:val="superscript"/>
        </w:rPr>
        <w:t>ICD</w:t>
      </w:r>
      <w:r w:rsidRPr="0027227E">
        <w:t xml:space="preserve"> was first </w:t>
      </w:r>
      <w:proofErr w:type="spellStart"/>
      <w:r w:rsidRPr="0027227E">
        <w:t>autophosphorylated</w:t>
      </w:r>
      <w:proofErr w:type="spellEnd"/>
      <w:r w:rsidRPr="0027227E">
        <w:t xml:space="preserve"> with [γ</w:t>
      </w:r>
      <w:r w:rsidRPr="0027227E">
        <w:rPr>
          <w:vertAlign w:val="superscript"/>
        </w:rPr>
        <w:t>32P</w:t>
      </w:r>
      <w:r w:rsidRPr="0027227E">
        <w:t>]ATP and kinase assay performed with 10 µg PP2A-3</w:t>
      </w:r>
      <w:r>
        <w:t>,</w:t>
      </w:r>
      <w:r w:rsidRPr="0027227E">
        <w:t xml:space="preserve"> 1 µg of mutant inactive kinase mACR4</w:t>
      </w:r>
      <w:r w:rsidRPr="0027227E">
        <w:rPr>
          <w:vertAlign w:val="superscript"/>
        </w:rPr>
        <w:t>ICD</w:t>
      </w:r>
      <w:r>
        <w:t xml:space="preserve">, </w:t>
      </w:r>
      <w:r w:rsidRPr="0027227E">
        <w:t>1 µg of mutant inactive kinase mACR4</w:t>
      </w:r>
      <w:r w:rsidRPr="0027227E">
        <w:rPr>
          <w:vertAlign w:val="superscript"/>
        </w:rPr>
        <w:t xml:space="preserve">ICD </w:t>
      </w:r>
      <w:r w:rsidRPr="0027227E">
        <w:t>incubated with 10 µg PP2A-3</w:t>
      </w:r>
      <w:r>
        <w:t xml:space="preserve">, and </w:t>
      </w:r>
      <w:r w:rsidRPr="0027227E">
        <w:t xml:space="preserve">10 µg PP2A-3. </w:t>
      </w:r>
      <w:proofErr w:type="gramStart"/>
      <w:r w:rsidRPr="0027227E">
        <w:rPr>
          <w:bCs/>
          <w:lang w:val="en-US"/>
        </w:rPr>
        <w:t xml:space="preserve">Corresponding </w:t>
      </w:r>
      <w:proofErr w:type="spellStart"/>
      <w:r w:rsidRPr="0027227E">
        <w:rPr>
          <w:shd w:val="clear" w:color="auto" w:fill="FFFFFF"/>
        </w:rPr>
        <w:t>Coomassie</w:t>
      </w:r>
      <w:proofErr w:type="spellEnd"/>
      <w:r w:rsidRPr="0027227E">
        <w:rPr>
          <w:shd w:val="clear" w:color="auto" w:fill="FFFFFF"/>
        </w:rPr>
        <w:t xml:space="preserve"> blue-stained gel </w:t>
      </w:r>
      <w:r w:rsidR="00AB6098" w:rsidRPr="0027227E">
        <w:rPr>
          <w:shd w:val="clear" w:color="auto" w:fill="FFFFFF"/>
        </w:rPr>
        <w:t>(lower panel)</w:t>
      </w:r>
      <w:r w:rsidR="00AB6098">
        <w:rPr>
          <w:shd w:val="clear" w:color="auto" w:fill="FFFFFF"/>
        </w:rPr>
        <w:t xml:space="preserve"> </w:t>
      </w:r>
      <w:r w:rsidRPr="0027227E">
        <w:rPr>
          <w:shd w:val="clear" w:color="auto" w:fill="FFFFFF"/>
        </w:rPr>
        <w:t>as loading control</w:t>
      </w:r>
      <w:r w:rsidRPr="0027227E">
        <w:rPr>
          <w:bCs/>
          <w:lang w:val="en-US"/>
        </w:rPr>
        <w:t>.</w:t>
      </w:r>
      <w:proofErr w:type="gramEnd"/>
      <w:r w:rsidRPr="0027227E">
        <w:rPr>
          <w:bCs/>
          <w:lang w:val="en-US"/>
        </w:rPr>
        <w:t xml:space="preserve"> </w:t>
      </w:r>
      <w:r w:rsidRPr="0027227E">
        <w:rPr>
          <w:b/>
          <w:bCs/>
          <w:lang w:val="en-US"/>
        </w:rPr>
        <w:t>(B)</w:t>
      </w:r>
      <w:r w:rsidRPr="0027227E">
        <w:rPr>
          <w:bCs/>
          <w:lang w:val="en-US"/>
        </w:rPr>
        <w:t xml:space="preserve"> Bar diagram for PP2A activity detected in whole </w:t>
      </w:r>
      <w:r w:rsidR="00332F01" w:rsidRPr="0027227E">
        <w:rPr>
          <w:bCs/>
          <w:lang w:val="en-US"/>
        </w:rPr>
        <w:t xml:space="preserve">12 day old </w:t>
      </w:r>
      <w:r w:rsidRPr="0027227E">
        <w:rPr>
          <w:bCs/>
          <w:lang w:val="en-US"/>
        </w:rPr>
        <w:t xml:space="preserve">seedlings protein extracts as average of three biological repeats (with 3 technical repeats each) </w:t>
      </w:r>
      <w:r w:rsidRPr="0027227E">
        <w:t>± standard error</w:t>
      </w:r>
      <w:r w:rsidRPr="0027227E">
        <w:rPr>
          <w:bCs/>
          <w:lang w:val="en-US"/>
        </w:rPr>
        <w:t xml:space="preserve">. </w:t>
      </w:r>
      <w:r w:rsidRPr="0027227E">
        <w:t xml:space="preserve">Statistical significance (Student’s </w:t>
      </w:r>
      <w:r w:rsidRPr="0027227E">
        <w:rPr>
          <w:i/>
        </w:rPr>
        <w:t>t</w:t>
      </w:r>
      <w:r w:rsidRPr="0027227E">
        <w:t xml:space="preserve">-test) compared to Col-0 is indicated: *, p-value &lt; 0.05. </w:t>
      </w:r>
    </w:p>
    <w:p w:rsidR="0027227E" w:rsidRPr="0027227E" w:rsidRDefault="0027227E" w:rsidP="0027227E">
      <w:pPr>
        <w:spacing w:line="480" w:lineRule="auto"/>
        <w:jc w:val="both"/>
      </w:pPr>
    </w:p>
    <w:p w:rsidR="00D2490B" w:rsidRPr="00DD354F" w:rsidRDefault="0027227E" w:rsidP="00DD354F">
      <w:pPr>
        <w:spacing w:line="480" w:lineRule="auto"/>
        <w:jc w:val="both"/>
        <w:rPr>
          <w:b/>
        </w:rPr>
      </w:pPr>
      <w:proofErr w:type="gramStart"/>
      <w:r w:rsidRPr="0027227E">
        <w:rPr>
          <w:b/>
          <w:lang w:val="en-US"/>
        </w:rPr>
        <w:t>Figure 4.</w:t>
      </w:r>
      <w:proofErr w:type="gramEnd"/>
      <w:r w:rsidRPr="0027227E">
        <w:rPr>
          <w:b/>
          <w:lang w:val="en-US"/>
        </w:rPr>
        <w:t xml:space="preserve"> PP2A-3 dephosphorylates ACR4. (A) </w:t>
      </w:r>
      <w:r w:rsidRPr="0027227E">
        <w:rPr>
          <w:lang w:val="en-US"/>
        </w:rPr>
        <w:t>Pro-Q-diamond stained gel showing the phosphorylation status of ACR4</w:t>
      </w:r>
      <w:r w:rsidRPr="0027227E">
        <w:rPr>
          <w:vertAlign w:val="superscript"/>
          <w:lang w:val="en-US"/>
        </w:rPr>
        <w:t xml:space="preserve">ICD </w:t>
      </w:r>
      <w:r w:rsidRPr="0027227E">
        <w:rPr>
          <w:bCs/>
          <w:lang w:val="en-US"/>
        </w:rPr>
        <w:t>co-incubated without or with PP2A-3 as indicated</w:t>
      </w:r>
      <w:r w:rsidRPr="0027227E">
        <w:rPr>
          <w:lang w:val="en-US"/>
        </w:rPr>
        <w:t xml:space="preserve"> (</w:t>
      </w:r>
      <w:r>
        <w:rPr>
          <w:lang w:val="en-US"/>
        </w:rPr>
        <w:t>upper</w:t>
      </w:r>
      <w:r w:rsidRPr="0027227E">
        <w:rPr>
          <w:lang w:val="en-US"/>
        </w:rPr>
        <w:t xml:space="preserve"> panel). The same gel stained with </w:t>
      </w:r>
      <w:proofErr w:type="spellStart"/>
      <w:r w:rsidRPr="0027227E">
        <w:rPr>
          <w:lang w:val="en-US"/>
        </w:rPr>
        <w:t>Sypro</w:t>
      </w:r>
      <w:proofErr w:type="spellEnd"/>
      <w:r w:rsidRPr="0027227E">
        <w:rPr>
          <w:lang w:val="en-US"/>
        </w:rPr>
        <w:t xml:space="preserve"> Ruby (</w:t>
      </w:r>
      <w:r>
        <w:rPr>
          <w:lang w:val="en-US"/>
        </w:rPr>
        <w:t>lower</w:t>
      </w:r>
      <w:r w:rsidRPr="0027227E">
        <w:rPr>
          <w:lang w:val="en-US"/>
        </w:rPr>
        <w:t xml:space="preserve"> panel) </w:t>
      </w:r>
      <w:r w:rsidRPr="0027227E">
        <w:rPr>
          <w:shd w:val="clear" w:color="auto" w:fill="FFFFFF"/>
        </w:rPr>
        <w:t>as loading control</w:t>
      </w:r>
      <w:r w:rsidRPr="0027227E">
        <w:rPr>
          <w:lang w:val="en-US"/>
        </w:rPr>
        <w:t xml:space="preserve">. </w:t>
      </w:r>
      <w:r w:rsidRPr="0027227E">
        <w:rPr>
          <w:b/>
          <w:lang w:val="en-US"/>
        </w:rPr>
        <w:t xml:space="preserve">(B-D) </w:t>
      </w:r>
      <w:r w:rsidRPr="0027227E">
        <w:rPr>
          <w:lang w:val="en-US"/>
        </w:rPr>
        <w:t>Localization of ACR4</w:t>
      </w:r>
      <w:proofErr w:type="gramStart"/>
      <w:r w:rsidRPr="0027227E">
        <w:rPr>
          <w:lang w:val="en-US"/>
        </w:rPr>
        <w:t>:GFP</w:t>
      </w:r>
      <w:proofErr w:type="gramEnd"/>
      <w:r w:rsidRPr="0027227E">
        <w:rPr>
          <w:lang w:val="en-US"/>
        </w:rPr>
        <w:t xml:space="preserve"> in </w:t>
      </w:r>
      <w:r w:rsidRPr="0027227E">
        <w:rPr>
          <w:i/>
          <w:lang w:val="en-US"/>
        </w:rPr>
        <w:t>pp2a-3 pp2a-4</w:t>
      </w:r>
      <w:r w:rsidRPr="0027227E">
        <w:rPr>
          <w:lang w:val="en-US"/>
        </w:rPr>
        <w:t xml:space="preserve"> background (B) and following treatment with DMSO or 50 µM </w:t>
      </w:r>
      <w:proofErr w:type="spellStart"/>
      <w:r w:rsidRPr="0027227E">
        <w:rPr>
          <w:lang w:val="en-US"/>
        </w:rPr>
        <w:t>cantharidin</w:t>
      </w:r>
      <w:proofErr w:type="spellEnd"/>
      <w:r w:rsidRPr="0027227E">
        <w:rPr>
          <w:lang w:val="en-US"/>
        </w:rPr>
        <w:t xml:space="preserve"> for indicated hours (C-D). Red asterisk, plasma membrane with ACR4 localization; arrowhead, plasma membrane analyzed in D. (D) Detail of indicated membrane in C (yellow arrowhead) and quantification of GFP signal across the yellow line as smooth average graph. </w:t>
      </w:r>
      <w:proofErr w:type="gramStart"/>
      <w:r w:rsidRPr="0027227E">
        <w:rPr>
          <w:lang w:val="en-US"/>
        </w:rPr>
        <w:t>Black arrowhead, position of plasma membrane.</w:t>
      </w:r>
      <w:proofErr w:type="gramEnd"/>
      <w:r w:rsidRPr="0027227E">
        <w:rPr>
          <w:lang w:val="en-US"/>
        </w:rPr>
        <w:t xml:space="preserve"> </w:t>
      </w:r>
    </w:p>
    <w:p w:rsidR="00D2490B" w:rsidRPr="00DD354F" w:rsidRDefault="00D2490B" w:rsidP="00DD354F">
      <w:pPr>
        <w:spacing w:line="480" w:lineRule="auto"/>
        <w:jc w:val="both"/>
        <w:rPr>
          <w:b/>
        </w:rPr>
      </w:pPr>
    </w:p>
    <w:sectPr w:rsidR="00D2490B" w:rsidRPr="00DD354F" w:rsidSect="00540468">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7B7" w:rsidRDefault="005B27B7">
      <w:r>
        <w:separator/>
      </w:r>
    </w:p>
  </w:endnote>
  <w:endnote w:type="continuationSeparator" w:id="0">
    <w:p w:rsidR="005B27B7" w:rsidRDefault="005B27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ヒラギノ角ゴ Pro W3">
    <w:altName w:val="MS Mincho"/>
    <w:charset w:val="80"/>
    <w:family w:val="auto"/>
    <w:pitch w:val="variable"/>
    <w:sig w:usb0="01000000" w:usb1="00000000" w:usb2="07040001"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7B7" w:rsidRDefault="005B27B7">
    <w:pPr>
      <w:pStyle w:val="Footer"/>
      <w:jc w:val="center"/>
    </w:pPr>
    <w:r>
      <w:fldChar w:fldCharType="begin"/>
    </w:r>
    <w:r>
      <w:instrText xml:space="preserve"> PAGE   \* MERGEFORMAT </w:instrText>
    </w:r>
    <w:r>
      <w:fldChar w:fldCharType="separate"/>
    </w:r>
    <w:r w:rsidR="00CA7B50">
      <w:rPr>
        <w:noProof/>
      </w:rPr>
      <w:t>2</w:t>
    </w:r>
    <w:r>
      <w:rPr>
        <w:noProof/>
      </w:rPr>
      <w:fldChar w:fldCharType="end"/>
    </w:r>
  </w:p>
  <w:p w:rsidR="005B27B7" w:rsidRDefault="005B27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7B7" w:rsidRDefault="005B27B7">
      <w:r>
        <w:separator/>
      </w:r>
    </w:p>
  </w:footnote>
  <w:footnote w:type="continuationSeparator" w:id="0">
    <w:p w:rsidR="005B27B7" w:rsidRDefault="005B27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E4968"/>
    <w:multiLevelType w:val="multilevel"/>
    <w:tmpl w:val="C3F4DD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B753A9"/>
    <w:multiLevelType w:val="hybridMultilevel"/>
    <w:tmpl w:val="2A5C53AA"/>
    <w:lvl w:ilvl="0" w:tplc="08090011">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nsid w:val="0D92430C"/>
    <w:multiLevelType w:val="hybridMultilevel"/>
    <w:tmpl w:val="E2323842"/>
    <w:lvl w:ilvl="0" w:tplc="C5608D14">
      <w:start w:val="1"/>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nsid w:val="13321297"/>
    <w:multiLevelType w:val="multilevel"/>
    <w:tmpl w:val="A76A3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A135F0C"/>
    <w:multiLevelType w:val="multilevel"/>
    <w:tmpl w:val="425AF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C5566A5"/>
    <w:multiLevelType w:val="hybridMultilevel"/>
    <w:tmpl w:val="B44C7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E774CDA"/>
    <w:multiLevelType w:val="multilevel"/>
    <w:tmpl w:val="2AEE6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F1B6CA2"/>
    <w:multiLevelType w:val="hybridMultilevel"/>
    <w:tmpl w:val="5DA06130"/>
    <w:lvl w:ilvl="0" w:tplc="78D274EE">
      <w:start w:val="2"/>
      <w:numFmt w:val="bullet"/>
      <w:lvlText w:val=""/>
      <w:lvlJc w:val="left"/>
      <w:pPr>
        <w:ind w:left="720" w:hanging="360"/>
      </w:pPr>
      <w:rPr>
        <w:rFonts w:ascii="Symbol" w:eastAsia="SimSun" w:hAnsi="Symbol"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nsid w:val="2F823894"/>
    <w:multiLevelType w:val="multilevel"/>
    <w:tmpl w:val="678A6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2731038"/>
    <w:multiLevelType w:val="hybridMultilevel"/>
    <w:tmpl w:val="CC1E24C6"/>
    <w:lvl w:ilvl="0" w:tplc="70BC381A">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38FF4487"/>
    <w:multiLevelType w:val="hybridMultilevel"/>
    <w:tmpl w:val="0E1ED3F4"/>
    <w:lvl w:ilvl="0" w:tplc="4F1C74F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B0C421D"/>
    <w:multiLevelType w:val="hybridMultilevel"/>
    <w:tmpl w:val="BFE2D286"/>
    <w:lvl w:ilvl="0" w:tplc="DD64FC0A">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3757CA6"/>
    <w:multiLevelType w:val="multilevel"/>
    <w:tmpl w:val="A07E6B3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63382FA3"/>
    <w:multiLevelType w:val="hybridMultilevel"/>
    <w:tmpl w:val="F8BE4A20"/>
    <w:lvl w:ilvl="0" w:tplc="B7445FCE">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4">
    <w:nsid w:val="668C654E"/>
    <w:multiLevelType w:val="hybridMultilevel"/>
    <w:tmpl w:val="A1C473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7B400B8D"/>
    <w:multiLevelType w:val="hybridMultilevel"/>
    <w:tmpl w:val="3698B5AE"/>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9"/>
  </w:num>
  <w:num w:numId="4">
    <w:abstractNumId w:val="15"/>
  </w:num>
  <w:num w:numId="5">
    <w:abstractNumId w:val="12"/>
  </w:num>
  <w:num w:numId="6">
    <w:abstractNumId w:val="4"/>
  </w:num>
  <w:num w:numId="7">
    <w:abstractNumId w:val="1"/>
  </w:num>
  <w:num w:numId="8">
    <w:abstractNumId w:val="13"/>
  </w:num>
  <w:num w:numId="9">
    <w:abstractNumId w:val="7"/>
  </w:num>
  <w:num w:numId="10">
    <w:abstractNumId w:val="3"/>
  </w:num>
  <w:num w:numId="11">
    <w:abstractNumId w:val="5"/>
  </w:num>
  <w:num w:numId="12">
    <w:abstractNumId w:val="6"/>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num>
  <w:num w:numId="15">
    <w:abstractNumId w:val="0"/>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540468"/>
    <w:rsid w:val="0027227E"/>
    <w:rsid w:val="00332067"/>
    <w:rsid w:val="00332F01"/>
    <w:rsid w:val="00540468"/>
    <w:rsid w:val="005B27B7"/>
    <w:rsid w:val="00843373"/>
    <w:rsid w:val="009B403A"/>
    <w:rsid w:val="00A11DF0"/>
    <w:rsid w:val="00AB6098"/>
    <w:rsid w:val="00AB7ACC"/>
    <w:rsid w:val="00B0152F"/>
    <w:rsid w:val="00CA7B50"/>
    <w:rsid w:val="00D2490B"/>
    <w:rsid w:val="00DD354F"/>
    <w:rsid w:val="00DF75AE"/>
    <w:rsid w:val="00E179A3"/>
    <w:rsid w:val="00E42437"/>
    <w:rsid w:val="00FA4CB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468"/>
    <w:pPr>
      <w:spacing w:after="0" w:line="240" w:lineRule="auto"/>
    </w:pPr>
    <w:rPr>
      <w:rFonts w:ascii="Times New Roman" w:eastAsia="SimSun" w:hAnsi="Times New Roman" w:cs="Times New Roman"/>
      <w:sz w:val="24"/>
      <w:szCs w:val="24"/>
      <w:lang w:val="en-GB" w:eastAsia="en-GB"/>
    </w:rPr>
  </w:style>
  <w:style w:type="paragraph" w:styleId="Heading1">
    <w:name w:val="heading 1"/>
    <w:basedOn w:val="Normal"/>
    <w:next w:val="Normal"/>
    <w:link w:val="Heading1Char"/>
    <w:qFormat/>
    <w:rsid w:val="005404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540468"/>
    <w:pPr>
      <w:spacing w:before="100" w:beforeAutospacing="1" w:after="100" w:afterAutospacing="1"/>
      <w:outlineLvl w:val="2"/>
    </w:pPr>
    <w:rPr>
      <w:rFonts w:eastAsia="Times New Roman"/>
      <w:b/>
      <w:bCs/>
      <w:sz w:val="27"/>
      <w:szCs w:val="27"/>
      <w:lang w:val="nl-BE" w:eastAsia="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40468"/>
    <w:rPr>
      <w:rFonts w:asciiTheme="majorHAnsi" w:eastAsiaTheme="majorEastAsia" w:hAnsiTheme="majorHAnsi" w:cstheme="majorBidi"/>
      <w:b/>
      <w:bCs/>
      <w:color w:val="365F91" w:themeColor="accent1" w:themeShade="BF"/>
      <w:sz w:val="28"/>
      <w:szCs w:val="28"/>
      <w:lang w:val="en-GB" w:eastAsia="en-GB"/>
    </w:rPr>
  </w:style>
  <w:style w:type="character" w:customStyle="1" w:styleId="Heading3Char">
    <w:name w:val="Heading 3 Char"/>
    <w:basedOn w:val="DefaultParagraphFont"/>
    <w:link w:val="Heading3"/>
    <w:uiPriority w:val="9"/>
    <w:rsid w:val="00540468"/>
    <w:rPr>
      <w:rFonts w:ascii="Times New Roman" w:eastAsia="Times New Roman" w:hAnsi="Times New Roman" w:cs="Times New Roman"/>
      <w:b/>
      <w:bCs/>
      <w:sz w:val="27"/>
      <w:szCs w:val="27"/>
      <w:lang w:eastAsia="nl-BE"/>
    </w:rPr>
  </w:style>
  <w:style w:type="paragraph" w:styleId="ListParagraph">
    <w:name w:val="List Paragraph"/>
    <w:basedOn w:val="Normal"/>
    <w:uiPriority w:val="34"/>
    <w:qFormat/>
    <w:rsid w:val="00540468"/>
    <w:pPr>
      <w:ind w:left="720"/>
      <w:contextualSpacing/>
    </w:pPr>
  </w:style>
  <w:style w:type="paragraph" w:styleId="Header">
    <w:name w:val="header"/>
    <w:basedOn w:val="Normal"/>
    <w:link w:val="HeaderChar"/>
    <w:uiPriority w:val="99"/>
    <w:rsid w:val="00540468"/>
    <w:pPr>
      <w:tabs>
        <w:tab w:val="center" w:pos="4703"/>
        <w:tab w:val="right" w:pos="9406"/>
      </w:tabs>
    </w:pPr>
  </w:style>
  <w:style w:type="character" w:customStyle="1" w:styleId="HeaderChar">
    <w:name w:val="Header Char"/>
    <w:link w:val="Header"/>
    <w:uiPriority w:val="99"/>
    <w:rsid w:val="00540468"/>
    <w:rPr>
      <w:rFonts w:ascii="Times New Roman" w:eastAsia="SimSun" w:hAnsi="Times New Roman" w:cs="Times New Roman"/>
      <w:sz w:val="24"/>
      <w:szCs w:val="24"/>
      <w:lang w:val="en-GB" w:eastAsia="en-GB"/>
    </w:rPr>
  </w:style>
  <w:style w:type="paragraph" w:styleId="Footer">
    <w:name w:val="footer"/>
    <w:basedOn w:val="Normal"/>
    <w:link w:val="FooterChar"/>
    <w:uiPriority w:val="99"/>
    <w:rsid w:val="00540468"/>
    <w:pPr>
      <w:tabs>
        <w:tab w:val="center" w:pos="4703"/>
        <w:tab w:val="right" w:pos="9406"/>
      </w:tabs>
    </w:pPr>
  </w:style>
  <w:style w:type="character" w:customStyle="1" w:styleId="FooterChar">
    <w:name w:val="Footer Char"/>
    <w:link w:val="Footer"/>
    <w:uiPriority w:val="99"/>
    <w:rsid w:val="00540468"/>
    <w:rPr>
      <w:rFonts w:ascii="Times New Roman" w:eastAsia="SimSun" w:hAnsi="Times New Roman" w:cs="Times New Roman"/>
      <w:sz w:val="24"/>
      <w:szCs w:val="24"/>
      <w:lang w:val="en-GB" w:eastAsia="en-GB"/>
    </w:rPr>
  </w:style>
  <w:style w:type="character" w:styleId="Hyperlink">
    <w:name w:val="Hyperlink"/>
    <w:uiPriority w:val="99"/>
    <w:rsid w:val="00540468"/>
    <w:rPr>
      <w:rFonts w:cs="Times New Roman"/>
      <w:color w:val="0000FF"/>
      <w:u w:val="single"/>
    </w:rPr>
  </w:style>
  <w:style w:type="paragraph" w:customStyle="1" w:styleId="Title1">
    <w:name w:val="Title1"/>
    <w:basedOn w:val="Normal"/>
    <w:uiPriority w:val="99"/>
    <w:rsid w:val="00540468"/>
    <w:pPr>
      <w:spacing w:before="100" w:beforeAutospacing="1" w:after="100" w:afterAutospacing="1"/>
    </w:pPr>
  </w:style>
  <w:style w:type="paragraph" w:customStyle="1" w:styleId="desc">
    <w:name w:val="desc"/>
    <w:basedOn w:val="Normal"/>
    <w:uiPriority w:val="99"/>
    <w:rsid w:val="00540468"/>
    <w:pPr>
      <w:spacing w:before="100" w:beforeAutospacing="1" w:after="100" w:afterAutospacing="1"/>
    </w:pPr>
  </w:style>
  <w:style w:type="paragraph" w:customStyle="1" w:styleId="details">
    <w:name w:val="details"/>
    <w:basedOn w:val="Normal"/>
    <w:uiPriority w:val="99"/>
    <w:rsid w:val="00540468"/>
    <w:pPr>
      <w:spacing w:before="100" w:beforeAutospacing="1" w:after="100" w:afterAutospacing="1"/>
    </w:pPr>
  </w:style>
  <w:style w:type="character" w:customStyle="1" w:styleId="jrnl">
    <w:name w:val="jrnl"/>
    <w:uiPriority w:val="99"/>
    <w:rsid w:val="00540468"/>
    <w:rPr>
      <w:rFonts w:cs="Times New Roman"/>
    </w:rPr>
  </w:style>
  <w:style w:type="character" w:styleId="CommentReference">
    <w:name w:val="annotation reference"/>
    <w:uiPriority w:val="99"/>
    <w:rsid w:val="00540468"/>
    <w:rPr>
      <w:rFonts w:cs="Times New Roman"/>
      <w:sz w:val="16"/>
      <w:szCs w:val="16"/>
    </w:rPr>
  </w:style>
  <w:style w:type="paragraph" w:styleId="CommentText">
    <w:name w:val="annotation text"/>
    <w:basedOn w:val="Normal"/>
    <w:link w:val="CommentTextChar"/>
    <w:uiPriority w:val="99"/>
    <w:rsid w:val="00540468"/>
    <w:rPr>
      <w:sz w:val="20"/>
      <w:szCs w:val="20"/>
    </w:rPr>
  </w:style>
  <w:style w:type="character" w:customStyle="1" w:styleId="CommentTextChar">
    <w:name w:val="Comment Text Char"/>
    <w:link w:val="CommentText"/>
    <w:uiPriority w:val="99"/>
    <w:rsid w:val="00540468"/>
    <w:rPr>
      <w:rFonts w:ascii="Times New Roman" w:eastAsia="SimSun" w:hAnsi="Times New Roman" w:cs="Times New Roman"/>
      <w:sz w:val="20"/>
      <w:szCs w:val="20"/>
      <w:lang w:val="en-GB" w:eastAsia="en-GB"/>
    </w:rPr>
  </w:style>
  <w:style w:type="paragraph" w:styleId="CommentSubject">
    <w:name w:val="annotation subject"/>
    <w:basedOn w:val="CommentText"/>
    <w:next w:val="CommentText"/>
    <w:link w:val="CommentSubjectChar"/>
    <w:uiPriority w:val="99"/>
    <w:rsid w:val="00540468"/>
    <w:rPr>
      <w:b/>
      <w:bCs/>
    </w:rPr>
  </w:style>
  <w:style w:type="character" w:customStyle="1" w:styleId="CommentSubjectChar">
    <w:name w:val="Comment Subject Char"/>
    <w:link w:val="CommentSubject"/>
    <w:uiPriority w:val="99"/>
    <w:rsid w:val="00540468"/>
    <w:rPr>
      <w:rFonts w:ascii="Times New Roman" w:eastAsia="SimSun" w:hAnsi="Times New Roman" w:cs="Times New Roman"/>
      <w:b/>
      <w:bCs/>
      <w:sz w:val="20"/>
      <w:szCs w:val="20"/>
      <w:lang w:val="en-GB" w:eastAsia="en-GB"/>
    </w:rPr>
  </w:style>
  <w:style w:type="paragraph" w:styleId="BalloonText">
    <w:name w:val="Balloon Text"/>
    <w:basedOn w:val="Normal"/>
    <w:link w:val="BalloonTextChar"/>
    <w:uiPriority w:val="99"/>
    <w:rsid w:val="00540468"/>
    <w:rPr>
      <w:rFonts w:ascii="Tahoma" w:hAnsi="Tahoma" w:cs="Tahoma"/>
      <w:sz w:val="16"/>
      <w:szCs w:val="16"/>
    </w:rPr>
  </w:style>
  <w:style w:type="character" w:customStyle="1" w:styleId="BalloonTextChar">
    <w:name w:val="Balloon Text Char"/>
    <w:link w:val="BalloonText"/>
    <w:uiPriority w:val="99"/>
    <w:rsid w:val="00540468"/>
    <w:rPr>
      <w:rFonts w:ascii="Tahoma" w:eastAsia="SimSun" w:hAnsi="Tahoma" w:cs="Tahoma"/>
      <w:sz w:val="16"/>
      <w:szCs w:val="16"/>
      <w:lang w:val="en-GB" w:eastAsia="en-GB"/>
    </w:rPr>
  </w:style>
  <w:style w:type="character" w:customStyle="1" w:styleId="style21">
    <w:name w:val="style_21"/>
    <w:uiPriority w:val="99"/>
    <w:rsid w:val="00540468"/>
    <w:rPr>
      <w:rFonts w:ascii="Arial" w:hAnsi="Arial" w:cs="Arial"/>
      <w:b/>
      <w:bCs/>
      <w:color w:val="262626"/>
      <w:sz w:val="21"/>
      <w:szCs w:val="21"/>
      <w:u w:val="single"/>
    </w:rPr>
  </w:style>
  <w:style w:type="character" w:customStyle="1" w:styleId="style17">
    <w:name w:val="style_17"/>
    <w:uiPriority w:val="99"/>
    <w:rsid w:val="00540468"/>
    <w:rPr>
      <w:rFonts w:ascii="Arial" w:hAnsi="Arial" w:cs="Arial"/>
      <w:b/>
      <w:bCs/>
      <w:color w:val="262626"/>
      <w:sz w:val="21"/>
      <w:szCs w:val="21"/>
    </w:rPr>
  </w:style>
  <w:style w:type="character" w:styleId="FollowedHyperlink">
    <w:name w:val="FollowedHyperlink"/>
    <w:uiPriority w:val="99"/>
    <w:rsid w:val="00540468"/>
    <w:rPr>
      <w:rFonts w:cs="Times New Roman"/>
      <w:color w:val="800080"/>
      <w:u w:val="single"/>
    </w:rPr>
  </w:style>
  <w:style w:type="character" w:customStyle="1" w:styleId="style31">
    <w:name w:val="style_31"/>
    <w:uiPriority w:val="99"/>
    <w:rsid w:val="00540468"/>
    <w:rPr>
      <w:rFonts w:ascii="Arial" w:hAnsi="Arial" w:cs="Arial"/>
      <w:color w:val="262626"/>
      <w:sz w:val="21"/>
      <w:szCs w:val="21"/>
    </w:rPr>
  </w:style>
  <w:style w:type="character" w:customStyle="1" w:styleId="style41">
    <w:name w:val="style_41"/>
    <w:uiPriority w:val="99"/>
    <w:rsid w:val="00540468"/>
    <w:rPr>
      <w:rFonts w:ascii="Arial" w:hAnsi="Arial" w:cs="Arial"/>
      <w:i/>
      <w:iCs/>
      <w:color w:val="262626"/>
      <w:sz w:val="21"/>
      <w:szCs w:val="21"/>
    </w:rPr>
  </w:style>
  <w:style w:type="character" w:styleId="Emphasis">
    <w:name w:val="Emphasis"/>
    <w:uiPriority w:val="20"/>
    <w:qFormat/>
    <w:rsid w:val="00540468"/>
    <w:rPr>
      <w:rFonts w:cs="Times New Roman"/>
      <w:i/>
      <w:iCs/>
    </w:rPr>
  </w:style>
  <w:style w:type="paragraph" w:styleId="HTMLAddress">
    <w:name w:val="HTML Address"/>
    <w:basedOn w:val="Normal"/>
    <w:link w:val="HTMLAddressChar"/>
    <w:uiPriority w:val="99"/>
    <w:rsid w:val="00540468"/>
    <w:rPr>
      <w:i/>
      <w:iCs/>
    </w:rPr>
  </w:style>
  <w:style w:type="character" w:customStyle="1" w:styleId="HTMLAddressChar">
    <w:name w:val="HTML Address Char"/>
    <w:link w:val="HTMLAddress"/>
    <w:uiPriority w:val="99"/>
    <w:rsid w:val="00540468"/>
    <w:rPr>
      <w:rFonts w:ascii="Times New Roman" w:eastAsia="SimSun" w:hAnsi="Times New Roman" w:cs="Times New Roman"/>
      <w:i/>
      <w:iCs/>
      <w:sz w:val="24"/>
      <w:szCs w:val="24"/>
      <w:lang w:val="en-GB" w:eastAsia="en-GB"/>
    </w:rPr>
  </w:style>
  <w:style w:type="paragraph" w:customStyle="1" w:styleId="caff1">
    <w:name w:val="caff1"/>
    <w:basedOn w:val="Normal"/>
    <w:uiPriority w:val="99"/>
    <w:rsid w:val="00540468"/>
    <w:pPr>
      <w:spacing w:before="100" w:beforeAutospacing="1" w:after="100" w:afterAutospacing="1" w:line="312" w:lineRule="atLeast"/>
    </w:pPr>
    <w:rPr>
      <w:sz w:val="17"/>
      <w:szCs w:val="17"/>
    </w:rPr>
  </w:style>
  <w:style w:type="paragraph" w:customStyle="1" w:styleId="Standard1">
    <w:name w:val="Standard1"/>
    <w:uiPriority w:val="99"/>
    <w:rsid w:val="00540468"/>
    <w:pPr>
      <w:suppressAutoHyphens/>
      <w:spacing w:after="0" w:line="240" w:lineRule="auto"/>
    </w:pPr>
    <w:rPr>
      <w:rFonts w:ascii="Times New Roman" w:eastAsia="ヒラギノ角ゴ Pro W3" w:hAnsi="Times New Roman" w:cs="Times New Roman"/>
      <w:color w:val="000000"/>
      <w:sz w:val="24"/>
      <w:szCs w:val="20"/>
      <w:lang w:val="en-GB"/>
    </w:rPr>
  </w:style>
  <w:style w:type="character" w:customStyle="1" w:styleId="apple-converted-space">
    <w:name w:val="apple-converted-space"/>
    <w:rsid w:val="00540468"/>
    <w:rPr>
      <w:rFonts w:cs="Times New Roman"/>
    </w:rPr>
  </w:style>
  <w:style w:type="paragraph" w:styleId="Revision">
    <w:name w:val="Revision"/>
    <w:hidden/>
    <w:uiPriority w:val="99"/>
    <w:semiHidden/>
    <w:rsid w:val="00540468"/>
    <w:pPr>
      <w:spacing w:after="0" w:line="240" w:lineRule="auto"/>
    </w:pPr>
    <w:rPr>
      <w:rFonts w:ascii="Times New Roman" w:eastAsia="SimSun" w:hAnsi="Times New Roman" w:cs="Times New Roman"/>
      <w:sz w:val="24"/>
      <w:szCs w:val="24"/>
      <w:lang w:val="en-GB" w:eastAsia="en-GB"/>
    </w:rPr>
  </w:style>
  <w:style w:type="character" w:customStyle="1" w:styleId="object">
    <w:name w:val="object"/>
    <w:basedOn w:val="DefaultParagraphFont"/>
    <w:rsid w:val="00540468"/>
  </w:style>
  <w:style w:type="paragraph" w:customStyle="1" w:styleId="EndNoteBibliographyTitle">
    <w:name w:val="EndNote Bibliography Title"/>
    <w:basedOn w:val="Normal"/>
    <w:link w:val="EndNoteBibliographyTitleChar"/>
    <w:rsid w:val="00540468"/>
    <w:pPr>
      <w:jc w:val="center"/>
    </w:pPr>
    <w:rPr>
      <w:noProof/>
    </w:rPr>
  </w:style>
  <w:style w:type="character" w:customStyle="1" w:styleId="EndNoteBibliographyTitleChar">
    <w:name w:val="EndNote Bibliography Title Char"/>
    <w:basedOn w:val="DefaultParagraphFont"/>
    <w:link w:val="EndNoteBibliographyTitle"/>
    <w:rsid w:val="00540468"/>
    <w:rPr>
      <w:rFonts w:ascii="Times New Roman" w:eastAsia="SimSun" w:hAnsi="Times New Roman" w:cs="Times New Roman"/>
      <w:noProof/>
      <w:sz w:val="24"/>
      <w:szCs w:val="24"/>
      <w:lang w:val="en-GB" w:eastAsia="en-GB"/>
    </w:rPr>
  </w:style>
  <w:style w:type="paragraph" w:customStyle="1" w:styleId="EndNoteBibliography">
    <w:name w:val="EndNote Bibliography"/>
    <w:basedOn w:val="Normal"/>
    <w:link w:val="EndNoteBibliographyChar"/>
    <w:rsid w:val="00540468"/>
    <w:pPr>
      <w:jc w:val="both"/>
    </w:pPr>
    <w:rPr>
      <w:noProof/>
    </w:rPr>
  </w:style>
  <w:style w:type="character" w:customStyle="1" w:styleId="EndNoteBibliographyChar">
    <w:name w:val="EndNote Bibliography Char"/>
    <w:basedOn w:val="DefaultParagraphFont"/>
    <w:link w:val="EndNoteBibliography"/>
    <w:rsid w:val="00540468"/>
    <w:rPr>
      <w:rFonts w:ascii="Times New Roman" w:eastAsia="SimSun" w:hAnsi="Times New Roman" w:cs="Times New Roman"/>
      <w:noProof/>
      <w:sz w:val="24"/>
      <w:szCs w:val="24"/>
      <w:lang w:val="en-GB" w:eastAsia="en-GB"/>
    </w:rPr>
  </w:style>
  <w:style w:type="paragraph" w:styleId="HTMLPreformatted">
    <w:name w:val="HTML Preformatted"/>
    <w:basedOn w:val="Normal"/>
    <w:link w:val="HTMLPreformattedChar"/>
    <w:uiPriority w:val="99"/>
    <w:semiHidden/>
    <w:unhideWhenUsed/>
    <w:rsid w:val="005404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540468"/>
    <w:rPr>
      <w:rFonts w:ascii="Courier New" w:eastAsia="Times New Roman" w:hAnsi="Courier New" w:cs="Courier New"/>
      <w:sz w:val="20"/>
      <w:szCs w:val="20"/>
      <w:lang w:val="en-GB" w:eastAsia="en-GB"/>
    </w:rPr>
  </w:style>
  <w:style w:type="character" w:styleId="Strong">
    <w:name w:val="Strong"/>
    <w:basedOn w:val="DefaultParagraphFont"/>
    <w:uiPriority w:val="22"/>
    <w:qFormat/>
    <w:rsid w:val="00540468"/>
    <w:rPr>
      <w:b/>
      <w:bCs/>
    </w:rPr>
  </w:style>
  <w:style w:type="character" w:customStyle="1" w:styleId="nlm-given-names">
    <w:name w:val="nlm-given-names"/>
    <w:basedOn w:val="DefaultParagraphFont"/>
    <w:rsid w:val="00540468"/>
  </w:style>
  <w:style w:type="character" w:customStyle="1" w:styleId="nlm-surname">
    <w:name w:val="nlm-surname"/>
    <w:basedOn w:val="DefaultParagraphFont"/>
    <w:rsid w:val="00540468"/>
  </w:style>
  <w:style w:type="paragraph" w:customStyle="1" w:styleId="Default">
    <w:name w:val="Default"/>
    <w:rsid w:val="00540468"/>
    <w:pPr>
      <w:autoSpaceDE w:val="0"/>
      <w:autoSpaceDN w:val="0"/>
      <w:adjustRightInd w:val="0"/>
      <w:spacing w:after="0" w:line="240" w:lineRule="auto"/>
    </w:pPr>
    <w:rPr>
      <w:rFonts w:ascii="Times New Roman" w:eastAsia="SimSun" w:hAnsi="Times New Roman" w:cs="Times New Roman"/>
      <w:color w:val="000000"/>
      <w:sz w:val="24"/>
      <w:szCs w:val="24"/>
      <w:lang w:eastAsia="nl-BE"/>
    </w:rPr>
  </w:style>
  <w:style w:type="paragraph" w:styleId="NormalWeb">
    <w:name w:val="Normal (Web)"/>
    <w:basedOn w:val="Normal"/>
    <w:uiPriority w:val="99"/>
    <w:semiHidden/>
    <w:unhideWhenUsed/>
    <w:rsid w:val="00540468"/>
    <w:pPr>
      <w:spacing w:before="100" w:beforeAutospacing="1" w:after="100" w:afterAutospacing="1"/>
    </w:pPr>
    <w:rPr>
      <w:rFonts w:eastAsia="Times New Roman"/>
      <w:lang w:val="nl-BE" w:eastAsia="nl-BE"/>
    </w:rPr>
  </w:style>
  <w:style w:type="character" w:customStyle="1" w:styleId="highlight">
    <w:name w:val="highlight"/>
    <w:basedOn w:val="DefaultParagraphFont"/>
    <w:rsid w:val="00540468"/>
  </w:style>
  <w:style w:type="character" w:customStyle="1" w:styleId="name">
    <w:name w:val="name"/>
    <w:basedOn w:val="DefaultParagraphFont"/>
    <w:rsid w:val="00540468"/>
  </w:style>
  <w:style w:type="character" w:customStyle="1" w:styleId="cit-name-surname">
    <w:name w:val="cit-name-surname"/>
    <w:basedOn w:val="DefaultParagraphFont"/>
    <w:rsid w:val="00540468"/>
  </w:style>
  <w:style w:type="character" w:customStyle="1" w:styleId="cit-name-given-names">
    <w:name w:val="cit-name-given-names"/>
    <w:basedOn w:val="DefaultParagraphFont"/>
    <w:rsid w:val="00540468"/>
  </w:style>
  <w:style w:type="character" w:styleId="HTMLCite">
    <w:name w:val="HTML Cite"/>
    <w:basedOn w:val="DefaultParagraphFont"/>
    <w:uiPriority w:val="99"/>
    <w:semiHidden/>
    <w:unhideWhenUsed/>
    <w:rsid w:val="00540468"/>
    <w:rPr>
      <w:i/>
      <w:iCs/>
    </w:rPr>
  </w:style>
  <w:style w:type="character" w:customStyle="1" w:styleId="cit-pub-date">
    <w:name w:val="cit-pub-date"/>
    <w:basedOn w:val="DefaultParagraphFont"/>
    <w:rsid w:val="00540468"/>
  </w:style>
  <w:style w:type="character" w:customStyle="1" w:styleId="cit-article-title">
    <w:name w:val="cit-article-title"/>
    <w:basedOn w:val="DefaultParagraphFont"/>
    <w:rsid w:val="00540468"/>
  </w:style>
  <w:style w:type="character" w:customStyle="1" w:styleId="cit-vol">
    <w:name w:val="cit-vol"/>
    <w:basedOn w:val="DefaultParagraphFont"/>
    <w:rsid w:val="00540468"/>
  </w:style>
  <w:style w:type="character" w:customStyle="1" w:styleId="cit-fpage">
    <w:name w:val="cit-fpage"/>
    <w:basedOn w:val="DefaultParagraphFont"/>
    <w:rsid w:val="00540468"/>
  </w:style>
  <w:style w:type="character" w:customStyle="1" w:styleId="cit-lpage">
    <w:name w:val="cit-lpage"/>
    <w:basedOn w:val="DefaultParagraphFont"/>
    <w:rsid w:val="0054046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468"/>
    <w:pPr>
      <w:spacing w:after="0" w:line="240" w:lineRule="auto"/>
    </w:pPr>
    <w:rPr>
      <w:rFonts w:ascii="Times New Roman" w:eastAsia="SimSun" w:hAnsi="Times New Roman" w:cs="Times New Roman"/>
      <w:sz w:val="24"/>
      <w:szCs w:val="24"/>
      <w:lang w:val="en-GB" w:eastAsia="en-GB"/>
    </w:rPr>
  </w:style>
  <w:style w:type="paragraph" w:styleId="Heading1">
    <w:name w:val="heading 1"/>
    <w:basedOn w:val="Normal"/>
    <w:next w:val="Normal"/>
    <w:link w:val="Heading1Char"/>
    <w:qFormat/>
    <w:rsid w:val="005404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540468"/>
    <w:pPr>
      <w:spacing w:before="100" w:beforeAutospacing="1" w:after="100" w:afterAutospacing="1"/>
      <w:outlineLvl w:val="2"/>
    </w:pPr>
    <w:rPr>
      <w:rFonts w:eastAsia="Times New Roman"/>
      <w:b/>
      <w:bCs/>
      <w:sz w:val="27"/>
      <w:szCs w:val="27"/>
      <w:lang w:val="nl-BE" w:eastAsia="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40468"/>
    <w:rPr>
      <w:rFonts w:asciiTheme="majorHAnsi" w:eastAsiaTheme="majorEastAsia" w:hAnsiTheme="majorHAnsi" w:cstheme="majorBidi"/>
      <w:b/>
      <w:bCs/>
      <w:color w:val="365F91" w:themeColor="accent1" w:themeShade="BF"/>
      <w:sz w:val="28"/>
      <w:szCs w:val="28"/>
      <w:lang w:val="en-GB" w:eastAsia="en-GB"/>
    </w:rPr>
  </w:style>
  <w:style w:type="character" w:customStyle="1" w:styleId="Heading3Char">
    <w:name w:val="Heading 3 Char"/>
    <w:basedOn w:val="DefaultParagraphFont"/>
    <w:link w:val="Heading3"/>
    <w:uiPriority w:val="9"/>
    <w:rsid w:val="00540468"/>
    <w:rPr>
      <w:rFonts w:ascii="Times New Roman" w:eastAsia="Times New Roman" w:hAnsi="Times New Roman" w:cs="Times New Roman"/>
      <w:b/>
      <w:bCs/>
      <w:sz w:val="27"/>
      <w:szCs w:val="27"/>
      <w:lang w:eastAsia="nl-BE"/>
    </w:rPr>
  </w:style>
  <w:style w:type="paragraph" w:styleId="ListParagraph">
    <w:name w:val="List Paragraph"/>
    <w:basedOn w:val="Normal"/>
    <w:uiPriority w:val="34"/>
    <w:qFormat/>
    <w:rsid w:val="00540468"/>
    <w:pPr>
      <w:ind w:left="720"/>
      <w:contextualSpacing/>
    </w:pPr>
  </w:style>
  <w:style w:type="paragraph" w:styleId="Header">
    <w:name w:val="header"/>
    <w:basedOn w:val="Normal"/>
    <w:link w:val="HeaderChar"/>
    <w:uiPriority w:val="99"/>
    <w:rsid w:val="00540468"/>
    <w:pPr>
      <w:tabs>
        <w:tab w:val="center" w:pos="4703"/>
        <w:tab w:val="right" w:pos="9406"/>
      </w:tabs>
    </w:pPr>
  </w:style>
  <w:style w:type="character" w:customStyle="1" w:styleId="HeaderChar">
    <w:name w:val="Header Char"/>
    <w:link w:val="Header"/>
    <w:uiPriority w:val="99"/>
    <w:rsid w:val="00540468"/>
    <w:rPr>
      <w:rFonts w:ascii="Times New Roman" w:eastAsia="SimSun" w:hAnsi="Times New Roman" w:cs="Times New Roman"/>
      <w:sz w:val="24"/>
      <w:szCs w:val="24"/>
      <w:lang w:val="en-GB" w:eastAsia="en-GB"/>
    </w:rPr>
  </w:style>
  <w:style w:type="paragraph" w:styleId="Footer">
    <w:name w:val="footer"/>
    <w:basedOn w:val="Normal"/>
    <w:link w:val="FooterChar"/>
    <w:uiPriority w:val="99"/>
    <w:rsid w:val="00540468"/>
    <w:pPr>
      <w:tabs>
        <w:tab w:val="center" w:pos="4703"/>
        <w:tab w:val="right" w:pos="9406"/>
      </w:tabs>
    </w:pPr>
  </w:style>
  <w:style w:type="character" w:customStyle="1" w:styleId="FooterChar">
    <w:name w:val="Footer Char"/>
    <w:link w:val="Footer"/>
    <w:uiPriority w:val="99"/>
    <w:rsid w:val="00540468"/>
    <w:rPr>
      <w:rFonts w:ascii="Times New Roman" w:eastAsia="SimSun" w:hAnsi="Times New Roman" w:cs="Times New Roman"/>
      <w:sz w:val="24"/>
      <w:szCs w:val="24"/>
      <w:lang w:val="en-GB" w:eastAsia="en-GB"/>
    </w:rPr>
  </w:style>
  <w:style w:type="character" w:styleId="Hyperlink">
    <w:name w:val="Hyperlink"/>
    <w:uiPriority w:val="99"/>
    <w:rsid w:val="00540468"/>
    <w:rPr>
      <w:rFonts w:cs="Times New Roman"/>
      <w:color w:val="0000FF"/>
      <w:u w:val="single"/>
    </w:rPr>
  </w:style>
  <w:style w:type="paragraph" w:customStyle="1" w:styleId="Title1">
    <w:name w:val="Title1"/>
    <w:basedOn w:val="Normal"/>
    <w:uiPriority w:val="99"/>
    <w:rsid w:val="00540468"/>
    <w:pPr>
      <w:spacing w:before="100" w:beforeAutospacing="1" w:after="100" w:afterAutospacing="1"/>
    </w:pPr>
  </w:style>
  <w:style w:type="paragraph" w:customStyle="1" w:styleId="desc">
    <w:name w:val="desc"/>
    <w:basedOn w:val="Normal"/>
    <w:uiPriority w:val="99"/>
    <w:rsid w:val="00540468"/>
    <w:pPr>
      <w:spacing w:before="100" w:beforeAutospacing="1" w:after="100" w:afterAutospacing="1"/>
    </w:pPr>
  </w:style>
  <w:style w:type="paragraph" w:customStyle="1" w:styleId="details">
    <w:name w:val="details"/>
    <w:basedOn w:val="Normal"/>
    <w:uiPriority w:val="99"/>
    <w:rsid w:val="00540468"/>
    <w:pPr>
      <w:spacing w:before="100" w:beforeAutospacing="1" w:after="100" w:afterAutospacing="1"/>
    </w:pPr>
  </w:style>
  <w:style w:type="character" w:customStyle="1" w:styleId="jrnl">
    <w:name w:val="jrnl"/>
    <w:uiPriority w:val="99"/>
    <w:rsid w:val="00540468"/>
    <w:rPr>
      <w:rFonts w:cs="Times New Roman"/>
    </w:rPr>
  </w:style>
  <w:style w:type="character" w:styleId="CommentReference">
    <w:name w:val="annotation reference"/>
    <w:uiPriority w:val="99"/>
    <w:rsid w:val="00540468"/>
    <w:rPr>
      <w:rFonts w:cs="Times New Roman"/>
      <w:sz w:val="16"/>
      <w:szCs w:val="16"/>
    </w:rPr>
  </w:style>
  <w:style w:type="paragraph" w:styleId="CommentText">
    <w:name w:val="annotation text"/>
    <w:basedOn w:val="Normal"/>
    <w:link w:val="CommentTextChar"/>
    <w:uiPriority w:val="99"/>
    <w:rsid w:val="00540468"/>
    <w:rPr>
      <w:sz w:val="20"/>
      <w:szCs w:val="20"/>
    </w:rPr>
  </w:style>
  <w:style w:type="character" w:customStyle="1" w:styleId="CommentTextChar">
    <w:name w:val="Comment Text Char"/>
    <w:link w:val="CommentText"/>
    <w:uiPriority w:val="99"/>
    <w:rsid w:val="00540468"/>
    <w:rPr>
      <w:rFonts w:ascii="Times New Roman" w:eastAsia="SimSun" w:hAnsi="Times New Roman" w:cs="Times New Roman"/>
      <w:sz w:val="20"/>
      <w:szCs w:val="20"/>
      <w:lang w:val="en-GB" w:eastAsia="en-GB"/>
    </w:rPr>
  </w:style>
  <w:style w:type="paragraph" w:styleId="CommentSubject">
    <w:name w:val="annotation subject"/>
    <w:basedOn w:val="CommentText"/>
    <w:next w:val="CommentText"/>
    <w:link w:val="CommentSubjectChar"/>
    <w:uiPriority w:val="99"/>
    <w:rsid w:val="00540468"/>
    <w:rPr>
      <w:b/>
      <w:bCs/>
    </w:rPr>
  </w:style>
  <w:style w:type="character" w:customStyle="1" w:styleId="CommentSubjectChar">
    <w:name w:val="Comment Subject Char"/>
    <w:link w:val="CommentSubject"/>
    <w:uiPriority w:val="99"/>
    <w:rsid w:val="00540468"/>
    <w:rPr>
      <w:rFonts w:ascii="Times New Roman" w:eastAsia="SimSun" w:hAnsi="Times New Roman" w:cs="Times New Roman"/>
      <w:b/>
      <w:bCs/>
      <w:sz w:val="20"/>
      <w:szCs w:val="20"/>
      <w:lang w:val="en-GB" w:eastAsia="en-GB"/>
    </w:rPr>
  </w:style>
  <w:style w:type="paragraph" w:styleId="BalloonText">
    <w:name w:val="Balloon Text"/>
    <w:basedOn w:val="Normal"/>
    <w:link w:val="BalloonTextChar"/>
    <w:uiPriority w:val="99"/>
    <w:rsid w:val="00540468"/>
    <w:rPr>
      <w:rFonts w:ascii="Tahoma" w:hAnsi="Tahoma" w:cs="Tahoma"/>
      <w:sz w:val="16"/>
      <w:szCs w:val="16"/>
    </w:rPr>
  </w:style>
  <w:style w:type="character" w:customStyle="1" w:styleId="BalloonTextChar">
    <w:name w:val="Balloon Text Char"/>
    <w:link w:val="BalloonText"/>
    <w:uiPriority w:val="99"/>
    <w:rsid w:val="00540468"/>
    <w:rPr>
      <w:rFonts w:ascii="Tahoma" w:eastAsia="SimSun" w:hAnsi="Tahoma" w:cs="Tahoma"/>
      <w:sz w:val="16"/>
      <w:szCs w:val="16"/>
      <w:lang w:val="en-GB" w:eastAsia="en-GB"/>
    </w:rPr>
  </w:style>
  <w:style w:type="character" w:customStyle="1" w:styleId="style21">
    <w:name w:val="style_21"/>
    <w:uiPriority w:val="99"/>
    <w:rsid w:val="00540468"/>
    <w:rPr>
      <w:rFonts w:ascii="Arial" w:hAnsi="Arial" w:cs="Arial"/>
      <w:b/>
      <w:bCs/>
      <w:color w:val="262626"/>
      <w:sz w:val="21"/>
      <w:szCs w:val="21"/>
      <w:u w:val="single"/>
    </w:rPr>
  </w:style>
  <w:style w:type="character" w:customStyle="1" w:styleId="style17">
    <w:name w:val="style_17"/>
    <w:uiPriority w:val="99"/>
    <w:rsid w:val="00540468"/>
    <w:rPr>
      <w:rFonts w:ascii="Arial" w:hAnsi="Arial" w:cs="Arial"/>
      <w:b/>
      <w:bCs/>
      <w:color w:val="262626"/>
      <w:sz w:val="21"/>
      <w:szCs w:val="21"/>
    </w:rPr>
  </w:style>
  <w:style w:type="character" w:styleId="FollowedHyperlink">
    <w:name w:val="FollowedHyperlink"/>
    <w:uiPriority w:val="99"/>
    <w:rsid w:val="00540468"/>
    <w:rPr>
      <w:rFonts w:cs="Times New Roman"/>
      <w:color w:val="800080"/>
      <w:u w:val="single"/>
    </w:rPr>
  </w:style>
  <w:style w:type="character" w:customStyle="1" w:styleId="style31">
    <w:name w:val="style_31"/>
    <w:uiPriority w:val="99"/>
    <w:rsid w:val="00540468"/>
    <w:rPr>
      <w:rFonts w:ascii="Arial" w:hAnsi="Arial" w:cs="Arial"/>
      <w:color w:val="262626"/>
      <w:sz w:val="21"/>
      <w:szCs w:val="21"/>
    </w:rPr>
  </w:style>
  <w:style w:type="character" w:customStyle="1" w:styleId="style41">
    <w:name w:val="style_41"/>
    <w:uiPriority w:val="99"/>
    <w:rsid w:val="00540468"/>
    <w:rPr>
      <w:rFonts w:ascii="Arial" w:hAnsi="Arial" w:cs="Arial"/>
      <w:i/>
      <w:iCs/>
      <w:color w:val="262626"/>
      <w:sz w:val="21"/>
      <w:szCs w:val="21"/>
    </w:rPr>
  </w:style>
  <w:style w:type="character" w:styleId="Emphasis">
    <w:name w:val="Emphasis"/>
    <w:uiPriority w:val="20"/>
    <w:qFormat/>
    <w:rsid w:val="00540468"/>
    <w:rPr>
      <w:rFonts w:cs="Times New Roman"/>
      <w:i/>
      <w:iCs/>
    </w:rPr>
  </w:style>
  <w:style w:type="paragraph" w:styleId="HTMLAddress">
    <w:name w:val="HTML Address"/>
    <w:basedOn w:val="Normal"/>
    <w:link w:val="HTMLAddressChar"/>
    <w:uiPriority w:val="99"/>
    <w:rsid w:val="00540468"/>
    <w:rPr>
      <w:i/>
      <w:iCs/>
    </w:rPr>
  </w:style>
  <w:style w:type="character" w:customStyle="1" w:styleId="HTMLAddressChar">
    <w:name w:val="HTML Address Char"/>
    <w:link w:val="HTMLAddress"/>
    <w:uiPriority w:val="99"/>
    <w:rsid w:val="00540468"/>
    <w:rPr>
      <w:rFonts w:ascii="Times New Roman" w:eastAsia="SimSun" w:hAnsi="Times New Roman" w:cs="Times New Roman"/>
      <w:i/>
      <w:iCs/>
      <w:sz w:val="24"/>
      <w:szCs w:val="24"/>
      <w:lang w:val="en-GB" w:eastAsia="en-GB"/>
    </w:rPr>
  </w:style>
  <w:style w:type="paragraph" w:customStyle="1" w:styleId="caff1">
    <w:name w:val="caff1"/>
    <w:basedOn w:val="Normal"/>
    <w:uiPriority w:val="99"/>
    <w:rsid w:val="00540468"/>
    <w:pPr>
      <w:spacing w:before="100" w:beforeAutospacing="1" w:after="100" w:afterAutospacing="1" w:line="312" w:lineRule="atLeast"/>
    </w:pPr>
    <w:rPr>
      <w:sz w:val="17"/>
      <w:szCs w:val="17"/>
    </w:rPr>
  </w:style>
  <w:style w:type="paragraph" w:customStyle="1" w:styleId="Standard1">
    <w:name w:val="Standard1"/>
    <w:uiPriority w:val="99"/>
    <w:rsid w:val="00540468"/>
    <w:pPr>
      <w:suppressAutoHyphens/>
      <w:spacing w:after="0" w:line="240" w:lineRule="auto"/>
    </w:pPr>
    <w:rPr>
      <w:rFonts w:ascii="Times New Roman" w:eastAsia="ヒラギノ角ゴ Pro W3" w:hAnsi="Times New Roman" w:cs="Times New Roman"/>
      <w:color w:val="000000"/>
      <w:sz w:val="24"/>
      <w:szCs w:val="20"/>
      <w:lang w:val="en-GB"/>
    </w:rPr>
  </w:style>
  <w:style w:type="character" w:customStyle="1" w:styleId="apple-converted-space">
    <w:name w:val="apple-converted-space"/>
    <w:rsid w:val="00540468"/>
    <w:rPr>
      <w:rFonts w:cs="Times New Roman"/>
    </w:rPr>
  </w:style>
  <w:style w:type="paragraph" w:styleId="Revision">
    <w:name w:val="Revision"/>
    <w:hidden/>
    <w:uiPriority w:val="99"/>
    <w:semiHidden/>
    <w:rsid w:val="00540468"/>
    <w:pPr>
      <w:spacing w:after="0" w:line="240" w:lineRule="auto"/>
    </w:pPr>
    <w:rPr>
      <w:rFonts w:ascii="Times New Roman" w:eastAsia="SimSun" w:hAnsi="Times New Roman" w:cs="Times New Roman"/>
      <w:sz w:val="24"/>
      <w:szCs w:val="24"/>
      <w:lang w:val="en-GB" w:eastAsia="en-GB"/>
    </w:rPr>
  </w:style>
  <w:style w:type="character" w:customStyle="1" w:styleId="object">
    <w:name w:val="object"/>
    <w:basedOn w:val="DefaultParagraphFont"/>
    <w:rsid w:val="00540468"/>
  </w:style>
  <w:style w:type="paragraph" w:customStyle="1" w:styleId="EndNoteBibliographyTitle">
    <w:name w:val="EndNote Bibliography Title"/>
    <w:basedOn w:val="Normal"/>
    <w:link w:val="EndNoteBibliographyTitleChar"/>
    <w:rsid w:val="00540468"/>
    <w:pPr>
      <w:jc w:val="center"/>
    </w:pPr>
    <w:rPr>
      <w:noProof/>
    </w:rPr>
  </w:style>
  <w:style w:type="character" w:customStyle="1" w:styleId="EndNoteBibliographyTitleChar">
    <w:name w:val="EndNote Bibliography Title Char"/>
    <w:basedOn w:val="DefaultParagraphFont"/>
    <w:link w:val="EndNoteBibliographyTitle"/>
    <w:rsid w:val="00540468"/>
    <w:rPr>
      <w:rFonts w:ascii="Times New Roman" w:eastAsia="SimSun" w:hAnsi="Times New Roman" w:cs="Times New Roman"/>
      <w:noProof/>
      <w:sz w:val="24"/>
      <w:szCs w:val="24"/>
      <w:lang w:val="en-GB" w:eastAsia="en-GB"/>
    </w:rPr>
  </w:style>
  <w:style w:type="paragraph" w:customStyle="1" w:styleId="EndNoteBibliography">
    <w:name w:val="EndNote Bibliography"/>
    <w:basedOn w:val="Normal"/>
    <w:link w:val="EndNoteBibliographyChar"/>
    <w:rsid w:val="00540468"/>
    <w:pPr>
      <w:jc w:val="both"/>
    </w:pPr>
    <w:rPr>
      <w:noProof/>
    </w:rPr>
  </w:style>
  <w:style w:type="character" w:customStyle="1" w:styleId="EndNoteBibliographyChar">
    <w:name w:val="EndNote Bibliography Char"/>
    <w:basedOn w:val="DefaultParagraphFont"/>
    <w:link w:val="EndNoteBibliography"/>
    <w:rsid w:val="00540468"/>
    <w:rPr>
      <w:rFonts w:ascii="Times New Roman" w:eastAsia="SimSun" w:hAnsi="Times New Roman" w:cs="Times New Roman"/>
      <w:noProof/>
      <w:sz w:val="24"/>
      <w:szCs w:val="24"/>
      <w:lang w:val="en-GB" w:eastAsia="en-GB"/>
    </w:rPr>
  </w:style>
  <w:style w:type="paragraph" w:styleId="HTMLPreformatted">
    <w:name w:val="HTML Preformatted"/>
    <w:basedOn w:val="Normal"/>
    <w:link w:val="HTMLPreformattedChar"/>
    <w:uiPriority w:val="99"/>
    <w:semiHidden/>
    <w:unhideWhenUsed/>
    <w:rsid w:val="005404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540468"/>
    <w:rPr>
      <w:rFonts w:ascii="Courier New" w:eastAsia="Times New Roman" w:hAnsi="Courier New" w:cs="Courier New"/>
      <w:sz w:val="20"/>
      <w:szCs w:val="20"/>
      <w:lang w:val="en-GB" w:eastAsia="en-GB"/>
    </w:rPr>
  </w:style>
  <w:style w:type="character" w:styleId="Strong">
    <w:name w:val="Strong"/>
    <w:basedOn w:val="DefaultParagraphFont"/>
    <w:uiPriority w:val="22"/>
    <w:qFormat/>
    <w:rsid w:val="00540468"/>
    <w:rPr>
      <w:b/>
      <w:bCs/>
    </w:rPr>
  </w:style>
  <w:style w:type="character" w:customStyle="1" w:styleId="nlm-given-names">
    <w:name w:val="nlm-given-names"/>
    <w:basedOn w:val="DefaultParagraphFont"/>
    <w:rsid w:val="00540468"/>
  </w:style>
  <w:style w:type="character" w:customStyle="1" w:styleId="nlm-surname">
    <w:name w:val="nlm-surname"/>
    <w:basedOn w:val="DefaultParagraphFont"/>
    <w:rsid w:val="00540468"/>
  </w:style>
  <w:style w:type="paragraph" w:customStyle="1" w:styleId="Default">
    <w:name w:val="Default"/>
    <w:rsid w:val="00540468"/>
    <w:pPr>
      <w:autoSpaceDE w:val="0"/>
      <w:autoSpaceDN w:val="0"/>
      <w:adjustRightInd w:val="0"/>
      <w:spacing w:after="0" w:line="240" w:lineRule="auto"/>
    </w:pPr>
    <w:rPr>
      <w:rFonts w:ascii="Times New Roman" w:eastAsia="SimSun" w:hAnsi="Times New Roman" w:cs="Times New Roman"/>
      <w:color w:val="000000"/>
      <w:sz w:val="24"/>
      <w:szCs w:val="24"/>
      <w:lang w:eastAsia="nl-BE"/>
    </w:rPr>
  </w:style>
  <w:style w:type="paragraph" w:styleId="NormalWeb">
    <w:name w:val="Normal (Web)"/>
    <w:basedOn w:val="Normal"/>
    <w:uiPriority w:val="99"/>
    <w:semiHidden/>
    <w:unhideWhenUsed/>
    <w:rsid w:val="00540468"/>
    <w:pPr>
      <w:spacing w:before="100" w:beforeAutospacing="1" w:after="100" w:afterAutospacing="1"/>
    </w:pPr>
    <w:rPr>
      <w:rFonts w:eastAsia="Times New Roman"/>
      <w:lang w:val="nl-BE" w:eastAsia="nl-BE"/>
    </w:rPr>
  </w:style>
  <w:style w:type="character" w:customStyle="1" w:styleId="highlight">
    <w:name w:val="highlight"/>
    <w:basedOn w:val="DefaultParagraphFont"/>
    <w:rsid w:val="00540468"/>
  </w:style>
  <w:style w:type="character" w:customStyle="1" w:styleId="name">
    <w:name w:val="name"/>
    <w:basedOn w:val="DefaultParagraphFont"/>
    <w:rsid w:val="00540468"/>
  </w:style>
  <w:style w:type="character" w:customStyle="1" w:styleId="cit-name-surname">
    <w:name w:val="cit-name-surname"/>
    <w:basedOn w:val="DefaultParagraphFont"/>
    <w:rsid w:val="00540468"/>
  </w:style>
  <w:style w:type="character" w:customStyle="1" w:styleId="cit-name-given-names">
    <w:name w:val="cit-name-given-names"/>
    <w:basedOn w:val="DefaultParagraphFont"/>
    <w:rsid w:val="00540468"/>
  </w:style>
  <w:style w:type="character" w:styleId="HTMLCite">
    <w:name w:val="HTML Cite"/>
    <w:basedOn w:val="DefaultParagraphFont"/>
    <w:uiPriority w:val="99"/>
    <w:semiHidden/>
    <w:unhideWhenUsed/>
    <w:rsid w:val="00540468"/>
    <w:rPr>
      <w:i/>
      <w:iCs/>
    </w:rPr>
  </w:style>
  <w:style w:type="character" w:customStyle="1" w:styleId="cit-pub-date">
    <w:name w:val="cit-pub-date"/>
    <w:basedOn w:val="DefaultParagraphFont"/>
    <w:rsid w:val="00540468"/>
  </w:style>
  <w:style w:type="character" w:customStyle="1" w:styleId="cit-article-title">
    <w:name w:val="cit-article-title"/>
    <w:basedOn w:val="DefaultParagraphFont"/>
    <w:rsid w:val="00540468"/>
  </w:style>
  <w:style w:type="character" w:customStyle="1" w:styleId="cit-vol">
    <w:name w:val="cit-vol"/>
    <w:basedOn w:val="DefaultParagraphFont"/>
    <w:rsid w:val="00540468"/>
  </w:style>
  <w:style w:type="character" w:customStyle="1" w:styleId="cit-fpage">
    <w:name w:val="cit-fpage"/>
    <w:basedOn w:val="DefaultParagraphFont"/>
    <w:rsid w:val="00540468"/>
  </w:style>
  <w:style w:type="character" w:customStyle="1" w:styleId="cit-lpage">
    <w:name w:val="cit-lpage"/>
    <w:basedOn w:val="DefaultParagraphFont"/>
    <w:rsid w:val="005404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23</Pages>
  <Words>5871</Words>
  <Characters>33471</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Universiteit Gent</Company>
  <LinksUpToDate>false</LinksUpToDate>
  <CharactersWithSpaces>39264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ivsme</dc:creator>
  <cp:lastModifiedBy>Ive</cp:lastModifiedBy>
  <cp:revision>12</cp:revision>
  <dcterms:created xsi:type="dcterms:W3CDTF">2015-12-15T10:58:00Z</dcterms:created>
  <dcterms:modified xsi:type="dcterms:W3CDTF">2015-12-19T09:46:00Z</dcterms:modified>
</cp:coreProperties>
</file>