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2E80" w14:textId="13A0B134" w:rsidR="00471165" w:rsidRDefault="00465A89" w:rsidP="00F72CA3">
      <w:pPr>
        <w:spacing w:line="480" w:lineRule="auto"/>
        <w:ind w:firstLine="720"/>
        <w:jc w:val="center"/>
        <w:rPr>
          <w:b/>
        </w:rPr>
      </w:pPr>
      <w:r>
        <w:rPr>
          <w:b/>
        </w:rPr>
        <w:t>Supplemental Materials</w:t>
      </w:r>
    </w:p>
    <w:p w14:paraId="1624B14E" w14:textId="77777777" w:rsidR="00471165" w:rsidRDefault="00471165" w:rsidP="004E5C10">
      <w:pPr>
        <w:spacing w:line="480" w:lineRule="auto"/>
        <w:rPr>
          <w:b/>
        </w:rPr>
      </w:pPr>
      <w:r>
        <w:rPr>
          <w:b/>
        </w:rPr>
        <w:t>Further Details on Stimuli</w:t>
      </w:r>
    </w:p>
    <w:p w14:paraId="18B2B7C8" w14:textId="77777777" w:rsidR="00465A89" w:rsidRDefault="00465A89" w:rsidP="004E5C10">
      <w:pPr>
        <w:spacing w:line="480" w:lineRule="auto"/>
      </w:pPr>
      <w:r w:rsidRPr="00695071">
        <w:rPr>
          <w:b/>
        </w:rPr>
        <w:t>Stimuli.</w:t>
      </w:r>
      <w:r>
        <w:t xml:space="preserve"> </w:t>
      </w:r>
      <w:r w:rsidRPr="00317DE4">
        <w:t xml:space="preserve">All stimuli exactly matched those used </w:t>
      </w:r>
      <w:r>
        <w:t xml:space="preserve">by Bayliss et al 2009 </w:t>
      </w:r>
      <w:r w:rsidR="001D1B30">
        <w:fldChar w:fldCharType="begin"/>
      </w:r>
      <w:r>
        <w:instrText xml:space="preserve"> ADDIN EN.CITE &lt;EndNote&gt;&lt;Cite&gt;&lt;Author&gt;Bayliss&lt;/Author&gt;&lt;Year&gt;2009&lt;/Year&gt;&lt;RecNum&gt;14433&lt;/RecNum&gt;&lt;DisplayText&gt;(Bayliss, Griffiths, &amp;amp; Tipper, 2009)&lt;/DisplayText&gt;&lt;record&gt;&lt;rec-number&gt;14433&lt;/rec-number&gt;&lt;foreign-keys&gt;&lt;key app="EN" db-id="9rv9azfxl9wfd8e2fa8ver9l22xerv0f2vxw"&gt;14433&lt;/key&gt;&lt;/foreign-keys&gt;&lt;ref-type name="Journal Article"&gt;17&lt;/ref-type&gt;&lt;contributors&gt;&lt;authors&gt;&lt;author&gt;Bayliss, A. P.&lt;/author&gt;&lt;author&gt;Griffiths, D.&lt;/author&gt;&lt;author&gt;Tipper, S. P.&lt;/author&gt;&lt;/authors&gt;&lt;/contributors&gt;&lt;auth-address&gt;School of Psychology, Bangor University, Bangor, UK.&lt;/auth-address&gt;&lt;titles&gt;&lt;title&gt;Predictive gaze cues affect face evaluations: The effect of facial emotion&lt;/title&gt;&lt;secondary-title&gt;Eur J Cogn Psychol&lt;/secondary-title&gt;&lt;/titles&gt;&lt;periodical&gt;&lt;full-title&gt;Eur J Cogn Psychol&lt;/full-title&gt;&lt;/periodical&gt;&lt;pages&gt;1072-1084&lt;/pages&gt;&lt;volume&gt;21&lt;/volume&gt;&lt;number&gt;7&lt;/number&gt;&lt;edition&gt;2010/10/05&lt;/edition&gt;&lt;dates&gt;&lt;year&gt;2009&lt;/year&gt;&lt;pub-dates&gt;&lt;date&gt;Nov&lt;/date&gt;&lt;/pub-dates&gt;&lt;/dates&gt;&lt;isbn&gt;0954-1446 (Electronic)&amp;#xD;0954-1446 (Linking)&lt;/isbn&gt;&lt;accession-num&gt;20885988&lt;/accession-num&gt;&lt;urls&gt;&lt;related-urls&gt;&lt;url&gt;http://www.ncbi.nlm.nih.gov/entrez/query.fcgi?cmd=Retrieve&amp;amp;db=PubMed&amp;amp;dopt=Citation&amp;amp;list_uids=20885988&lt;/url&gt;&lt;/related-urls&gt;&lt;/urls&gt;&lt;custom2&gt;2945961&lt;/custom2&gt;&lt;electronic-resource-num&gt;10.1080/09541440802553490&lt;/electronic-resource-num&gt;&lt;language&gt;Eng&lt;/language&gt;&lt;/record&gt;&lt;/Cite&gt;&lt;/EndNote&gt;</w:instrText>
      </w:r>
      <w:r w:rsidR="001D1B30">
        <w:fldChar w:fldCharType="separate"/>
      </w:r>
      <w:r>
        <w:rPr>
          <w:noProof/>
        </w:rPr>
        <w:t>(Bayliss, Griffiths, &amp; Tipper, 2009)</w:t>
      </w:r>
      <w:r w:rsidR="001D1B30">
        <w:fldChar w:fldCharType="end"/>
      </w:r>
      <w:r w:rsidRPr="00317DE4">
        <w:t xml:space="preserve">. </w:t>
      </w:r>
      <w:r>
        <w:t>Twenty</w:t>
      </w:r>
      <w:r w:rsidRPr="00317DE4">
        <w:t xml:space="preserve"> faces from the NimStim face database </w:t>
      </w:r>
      <w:r>
        <w:t>(</w:t>
      </w:r>
      <w:r w:rsidRPr="00133299">
        <w:t>http://www.macbrain.org/resources.htm</w:t>
      </w:r>
      <w:r>
        <w:t xml:space="preserve">) </w:t>
      </w:r>
      <w:r w:rsidRPr="00317DE4">
        <w:t xml:space="preserve">were arranged in pairs matched for gender, </w:t>
      </w:r>
      <w:r>
        <w:t>ethnicity and approximate age. O</w:t>
      </w:r>
      <w:r w:rsidRPr="00317DE4">
        <w:t>ne of each pair was designated to Face Group A and the other to Face Group B.</w:t>
      </w:r>
      <w:r>
        <w:t xml:space="preserve"> </w:t>
      </w:r>
      <w:r w:rsidRPr="00317DE4">
        <w:t>The face stimuli comprised 2 pairs each of black males and black females, and 3 pairs each of white males and white females.</w:t>
      </w:r>
      <w:r>
        <w:t xml:space="preserve"> Twelve independent raters ensured that</w:t>
      </w:r>
      <w:r w:rsidRPr="000E54C7">
        <w:t xml:space="preserve"> pairs of faces were rated </w:t>
      </w:r>
      <w:r>
        <w:t xml:space="preserve">for </w:t>
      </w:r>
      <w:r w:rsidRPr="000E54C7">
        <w:t>equal attractiveness and</w:t>
      </w:r>
      <w:r>
        <w:t xml:space="preserve"> </w:t>
      </w:r>
      <w:r w:rsidRPr="000E54C7">
        <w:t>trustworthiness, and that, as a whole, both</w:t>
      </w:r>
      <w:r>
        <w:t xml:space="preserve"> groups of faces (A and B) were </w:t>
      </w:r>
      <w:r w:rsidRPr="000E54C7">
        <w:t xml:space="preserve">approximately equal </w:t>
      </w:r>
      <w:r>
        <w:t xml:space="preserve">in </w:t>
      </w:r>
      <w:r w:rsidRPr="000E54C7">
        <w:t>attractiveness and trustworthiness</w:t>
      </w:r>
      <w:r>
        <w:t xml:space="preserve"> </w:t>
      </w:r>
      <w:r w:rsidR="001D1B30">
        <w:fldChar w:fldCharType="begin"/>
      </w:r>
      <w:r>
        <w:instrText xml:space="preserve"> ADDIN EN.CITE &lt;EndNote&gt;&lt;Cite&gt;&lt;Author&gt;Bayliss&lt;/Author&gt;&lt;Year&gt;2009&lt;/Year&gt;&lt;RecNum&gt;14433&lt;/RecNum&gt;&lt;DisplayText&gt;(Bayliss, et al., 2009)&lt;/DisplayText&gt;&lt;record&gt;&lt;rec-number&gt;14433&lt;/rec-number&gt;&lt;foreign-keys&gt;&lt;key app="EN" db-id="9rv9azfxl9wfd8e2fa8ver9l22xerv0f2vxw"&gt;14433&lt;/key&gt;&lt;/foreign-keys&gt;&lt;ref-type name="Journal Article"&gt;17&lt;/ref-type&gt;&lt;contributors&gt;&lt;authors&gt;&lt;author&gt;Bayliss, A. P.&lt;/author&gt;&lt;author&gt;Griffiths, D.&lt;/author&gt;&lt;author&gt;Tipper, S. P.&lt;/author&gt;&lt;/authors&gt;&lt;/contributors&gt;&lt;auth-address&gt;School of Psychology, Bangor University, Bangor, UK.&lt;/auth-address&gt;&lt;titles&gt;&lt;title&gt;Predictive gaze cues affect face evaluations: The effect of facial emotion&lt;/title&gt;&lt;secondary-title&gt;Eur J Cogn Psychol&lt;/secondary-title&gt;&lt;/titles&gt;&lt;periodical&gt;&lt;full-title&gt;Eur J Cogn Psychol&lt;/full-title&gt;&lt;/periodical&gt;&lt;pages&gt;1072-1084&lt;/pages&gt;&lt;volume&gt;21&lt;/volume&gt;&lt;number&gt;7&lt;/number&gt;&lt;edition&gt;2010/10/05&lt;/edition&gt;&lt;dates&gt;&lt;year&gt;2009&lt;/year&gt;&lt;pub-dates&gt;&lt;date&gt;Nov&lt;/date&gt;&lt;/pub-dates&gt;&lt;/dates&gt;&lt;isbn&gt;0954-1446 (Electronic)&amp;#xD;0954-1446 (Linking)&lt;/isbn&gt;&lt;accession-num&gt;20885988&lt;/accession-num&gt;&lt;urls&gt;&lt;related-urls&gt;&lt;url&gt;http://www.ncbi.nlm.nih.gov/entrez/query.fcgi?cmd=Retrieve&amp;amp;db=PubMed&amp;amp;dopt=Citation&amp;amp;list_uids=20885988&lt;/url&gt;&lt;/related-urls&gt;&lt;/urls&gt;&lt;custom2&gt;2945961&lt;/custom2&gt;&lt;electronic-resource-num&gt;10.1080/09541440802553490&lt;/electronic-resource-num&gt;&lt;language&gt;Eng&lt;/language&gt;&lt;/record&gt;&lt;/Cite&gt;&lt;/EndNote&gt;</w:instrText>
      </w:r>
      <w:r w:rsidR="001D1B30">
        <w:fldChar w:fldCharType="separate"/>
      </w:r>
      <w:r>
        <w:rPr>
          <w:noProof/>
        </w:rPr>
        <w:t>(Bayliss, et al., 2009)</w:t>
      </w:r>
      <w:r w:rsidR="001D1B30">
        <w:fldChar w:fldCharType="end"/>
      </w:r>
      <w:r w:rsidRPr="000E54C7">
        <w:t>.</w:t>
      </w:r>
    </w:p>
    <w:p w14:paraId="1B414136" w14:textId="77777777" w:rsidR="00465A89" w:rsidRDefault="00465A89" w:rsidP="00705E1D">
      <w:pPr>
        <w:spacing w:line="480" w:lineRule="auto"/>
        <w:ind w:firstLine="720"/>
      </w:pPr>
      <w:r w:rsidRPr="00375496">
        <w:t>The faces measured approximately</w:t>
      </w:r>
      <w:r>
        <w:t xml:space="preserve"> 10.6</w:t>
      </w:r>
      <w:r w:rsidR="00705E1D">
        <w:t xml:space="preserve"> </w:t>
      </w:r>
      <w:r>
        <w:t>x</w:t>
      </w:r>
      <w:r w:rsidR="00705E1D">
        <w:t xml:space="preserve"> </w:t>
      </w:r>
      <w:r>
        <w:t>10.0cm. E</w:t>
      </w:r>
      <w:r w:rsidRPr="00375496">
        <w:t>ye region</w:t>
      </w:r>
      <w:r>
        <w:t>s</w:t>
      </w:r>
      <w:r w:rsidRPr="00375496">
        <w:t xml:space="preserve"> </w:t>
      </w:r>
      <w:r>
        <w:t xml:space="preserve">measured between 4.0 and 4.5cm from </w:t>
      </w:r>
      <w:r w:rsidRPr="00375496">
        <w:t xml:space="preserve">the </w:t>
      </w:r>
      <w:r>
        <w:t xml:space="preserve">left corner of </w:t>
      </w:r>
      <w:r w:rsidR="00705E1D">
        <w:t>the left eye to</w:t>
      </w:r>
      <w:r>
        <w:t xml:space="preserve"> </w:t>
      </w:r>
      <w:r w:rsidRPr="00375496">
        <w:t>the</w:t>
      </w:r>
      <w:r>
        <w:t xml:space="preserve"> right corner of the right eye. </w:t>
      </w:r>
      <w:r w:rsidRPr="00375496">
        <w:t xml:space="preserve">The eyes </w:t>
      </w:r>
      <w:r>
        <w:t>measured approximately 0.5</w:t>
      </w:r>
      <w:r w:rsidR="00705E1D">
        <w:t xml:space="preserve"> </w:t>
      </w:r>
      <w:r>
        <w:t>x</w:t>
      </w:r>
      <w:r w:rsidR="00705E1D">
        <w:t xml:space="preserve"> </w:t>
      </w:r>
      <w:r>
        <w:t>1.0</w:t>
      </w:r>
      <w:r w:rsidRPr="00375496">
        <w:t>cm, with pupils/irises</w:t>
      </w:r>
      <w:r>
        <w:t xml:space="preserve"> of approximately 0.5</w:t>
      </w:r>
      <w:r w:rsidR="00705E1D">
        <w:t xml:space="preserve"> </w:t>
      </w:r>
      <w:r>
        <w:t>x</w:t>
      </w:r>
      <w:r w:rsidR="00705E1D">
        <w:t xml:space="preserve"> </w:t>
      </w:r>
      <w:r>
        <w:t>0.5</w:t>
      </w:r>
      <w:r w:rsidRPr="00375496">
        <w:t>cm.</w:t>
      </w:r>
      <w:r>
        <w:t xml:space="preserve"> Following </w:t>
      </w:r>
      <w:r w:rsidR="001D1B30">
        <w:fldChar w:fldCharType="begin"/>
      </w:r>
      <w:r>
        <w:instrText xml:space="preserve"> ADDIN EN.CITE &lt;EndNote&gt;&lt;Cite&gt;&lt;Author&gt;Bayliss&lt;/Author&gt;&lt;Year&gt;2010&lt;/Year&gt;&lt;RecNum&gt;14434&lt;/RecNum&gt;&lt;DisplayText&gt;(Bayliss, Schuch, &amp;amp; Tipper, 2010)&lt;/DisplayText&gt;&lt;record&gt;&lt;rec-number&gt;14434&lt;/rec-number&gt;&lt;foreign-keys&gt;&lt;key app="EN" db-id="9rv9azfxl9wfd8e2fa8ver9l22xerv0f2vxw"&gt;14434&lt;/key&gt;&lt;/foreign-keys&gt;&lt;ref-type name="Journal Article"&gt;17&lt;/ref-type&gt;&lt;contributors&gt;&lt;authors&gt;&lt;author&gt;Bayliss, A. P.&lt;/author&gt;&lt;author&gt;Schuch, S.&lt;/author&gt;&lt;author&gt;Tipper, S. P.&lt;/author&gt;&lt;/authors&gt;&lt;/contributors&gt;&lt;auth-address&gt;School of Psychology, University of Queensland, St. Lucia, Australia.&lt;/auth-address&gt;&lt;titles&gt;&lt;title&gt;Gaze cueing elicited by emotional faces is influenced by affective context&lt;/title&gt;&lt;secondary-title&gt;Vis cogn&lt;/secondary-title&gt;&lt;/titles&gt;&lt;periodical&gt;&lt;full-title&gt;Vis cogn&lt;/full-title&gt;&lt;/periodical&gt;&lt;pages&gt;1214-1232&lt;/pages&gt;&lt;volume&gt;18&lt;/volume&gt;&lt;number&gt;8&lt;/number&gt;&lt;edition&gt;2010/09/24&lt;/edition&gt;&lt;dates&gt;&lt;year&gt;2010&lt;/year&gt;&lt;pub-dates&gt;&lt;date&gt;Sep&lt;/date&gt;&lt;/pub-dates&gt;&lt;/dates&gt;&lt;isbn&gt;1350-6285 (Print)&amp;#xD;1350-6285 (Linking)&lt;/isbn&gt;&lt;accession-num&gt;20862193&lt;/accession-num&gt;&lt;urls&gt;&lt;related-urls&gt;&lt;url&gt;http://www.ncbi.nlm.nih.gov/entrez/query.fcgi?cmd=Retrieve&amp;amp;db=PubMed&amp;amp;dopt=Citation&amp;amp;list_uids=20862193&lt;/url&gt;&lt;/related-urls&gt;&lt;/urls&gt;&lt;custom2&gt;2938312&lt;/custom2&gt;&lt;electronic-resource-num&gt;10.1080/13506285.2010.484657&lt;/electronic-resource-num&gt;&lt;language&gt;Eng&lt;/language&gt;&lt;/record&gt;&lt;/Cite&gt;&lt;/EndNote&gt;</w:instrText>
      </w:r>
      <w:r w:rsidR="001D1B30">
        <w:fldChar w:fldCharType="separate"/>
      </w:r>
      <w:r>
        <w:rPr>
          <w:noProof/>
        </w:rPr>
        <w:t>(Bayliss, Schuch, &amp; Tipper, 2010)</w:t>
      </w:r>
      <w:r w:rsidR="001D1B30">
        <w:fldChar w:fldCharType="end"/>
      </w:r>
      <w:r>
        <w:t>, a</w:t>
      </w:r>
      <w:r w:rsidRPr="00317DE4">
        <w:t>ll fa</w:t>
      </w:r>
      <w:r>
        <w:t>ces held a moderate smiling</w:t>
      </w:r>
      <w:r w:rsidRPr="00317DE4">
        <w:t xml:space="preserve"> expression and were initially pres</w:t>
      </w:r>
      <w:r>
        <w:t xml:space="preserve">ented looking straight ahead. </w:t>
      </w:r>
      <w:r w:rsidRPr="00317DE4">
        <w:t xml:space="preserve">Manipulations of the </w:t>
      </w:r>
      <w:r>
        <w:t>faces</w:t>
      </w:r>
      <w:r w:rsidRPr="00317DE4">
        <w:t xml:space="preserve"> allowed the eyes to appear to look </w:t>
      </w:r>
      <w:r>
        <w:t xml:space="preserve">towards the </w:t>
      </w:r>
      <w:r w:rsidRPr="00317DE4">
        <w:t>right or left.</w:t>
      </w:r>
    </w:p>
    <w:p w14:paraId="3D8AAC01" w14:textId="77777777" w:rsidR="00A948E9" w:rsidRDefault="00465A89" w:rsidP="00A948E9">
      <w:pPr>
        <w:spacing w:line="480" w:lineRule="auto"/>
        <w:ind w:firstLine="720"/>
      </w:pPr>
      <w:r w:rsidRPr="00317DE4">
        <w:t>The target stimuli comprised pictu</w:t>
      </w:r>
      <w:r>
        <w:t xml:space="preserve">res of 36 household objects. Eighteen objects </w:t>
      </w:r>
      <w:r w:rsidRPr="00317DE4">
        <w:t xml:space="preserve">were categorised as belonging in the kitchen and 18 </w:t>
      </w:r>
      <w:r>
        <w:t>objects were</w:t>
      </w:r>
      <w:r w:rsidRPr="00E9051B">
        <w:t xml:space="preserve"> categorised as belonging</w:t>
      </w:r>
      <w:r>
        <w:t xml:space="preserve"> </w:t>
      </w:r>
      <w:r w:rsidRPr="00317DE4">
        <w:t>in the garage.</w:t>
      </w:r>
      <w:r>
        <w:t xml:space="preserve"> </w:t>
      </w:r>
      <w:r w:rsidRPr="00317DE4">
        <w:t>The obj</w:t>
      </w:r>
      <w:r>
        <w:t xml:space="preserve">ects appeared in </w:t>
      </w:r>
      <w:r w:rsidRPr="00317DE4">
        <w:t>red, blue, gr</w:t>
      </w:r>
      <w:r>
        <w:t>een or yellow, and in 2</w:t>
      </w:r>
      <w:r w:rsidRPr="00317DE4">
        <w:t xml:space="preserve"> orientations (e</w:t>
      </w:r>
      <w:r>
        <w:t>.</w:t>
      </w:r>
      <w:r w:rsidRPr="00317DE4">
        <w:t>g</w:t>
      </w:r>
      <w:r>
        <w:t xml:space="preserve">. </w:t>
      </w:r>
      <w:r w:rsidRPr="00317DE4">
        <w:t>handle</w:t>
      </w:r>
      <w:r>
        <w:t>s</w:t>
      </w:r>
      <w:r w:rsidRPr="00317DE4">
        <w:t xml:space="preserve"> </w:t>
      </w:r>
      <w:r>
        <w:t xml:space="preserve">of objects </w:t>
      </w:r>
      <w:r w:rsidRPr="00317DE4">
        <w:t xml:space="preserve">on </w:t>
      </w:r>
      <w:r>
        <w:t xml:space="preserve">the left or right), yielding 288 </w:t>
      </w:r>
      <w:r w:rsidRPr="00317DE4">
        <w:t>stimuli.</w:t>
      </w:r>
      <w:r>
        <w:t xml:space="preserve"> Targets varied between 1.5-5.0</w:t>
      </w:r>
      <w:r w:rsidR="00705E1D">
        <w:t xml:space="preserve"> </w:t>
      </w:r>
      <w:r>
        <w:t>x</w:t>
      </w:r>
      <w:r w:rsidR="00705E1D">
        <w:t xml:space="preserve"> </w:t>
      </w:r>
      <w:r>
        <w:t>3.0-8.0</w:t>
      </w:r>
      <w:r w:rsidRPr="000E54C7">
        <w:t xml:space="preserve">cm, and were presented </w:t>
      </w:r>
      <w:r>
        <w:t>centred 10.0</w:t>
      </w:r>
      <w:r w:rsidRPr="000E54C7">
        <w:t>cm to</w:t>
      </w:r>
      <w:r>
        <w:t xml:space="preserve"> </w:t>
      </w:r>
      <w:r w:rsidRPr="000E54C7">
        <w:t xml:space="preserve">the left or </w:t>
      </w:r>
      <w:r>
        <w:t xml:space="preserve">to the </w:t>
      </w:r>
      <w:r w:rsidRPr="000E54C7">
        <w:t>right of the centre of the screen</w:t>
      </w:r>
      <w:r>
        <w:t xml:space="preserve"> </w:t>
      </w:r>
      <w:r w:rsidR="001D1B30">
        <w:fldChar w:fldCharType="begin"/>
      </w:r>
      <w:r>
        <w:instrText xml:space="preserve"> ADDIN EN.CITE &lt;EndNote&gt;&lt;Cite&gt;&lt;Author&gt;Bayliss&lt;/Author&gt;&lt;Year&gt;2006&lt;/Year&gt;&lt;RecNum&gt;10413&lt;/RecNum&gt;&lt;DisplayText&gt;(Bayliss, Paul, Cannon, &amp;amp; Tipper, 2006)&lt;/DisplayText&gt;&lt;record&gt;&lt;rec-number&gt;10413&lt;/rec-number&gt;&lt;foreign-keys&gt;&lt;key app="EN" db-id="9rv9azfxl9wfd8e2fa8ver9l22xerv0f2vxw"&gt;10413&lt;/key&gt;&lt;/foreign-keys&gt;&lt;ref-type name="Journal Article"&gt;17&lt;/ref-type&gt;&lt;contributors&gt;&lt;authors&gt;&lt;author&gt;Bayliss, A. P.&lt;/author&gt;&lt;author&gt;Paul, M. A.&lt;/author&gt;&lt;author&gt;Cannon, P. R.&lt;/author&gt;&lt;author&gt;Tipper, S. P.&lt;/author&gt;&lt;/authors&gt;&lt;/contributors&gt;&lt;auth-address&gt;School of Psychology, University of Wales, Brigantia Building, Penrallt Road, Bangor, Gwynedd LL57 2AS, Wales. a.bayliss@bangor.ac.uk&lt;/auth-address&gt;&lt;titles&gt;&lt;title&gt;Gaze cuing and affective judgments of objects: I like what you look at&lt;/title&gt;&lt;secondary-title&gt;Psychon Bull Rev&lt;/secondary-title&gt;&lt;/titles&gt;&lt;periodical&gt;&lt;full-title&gt;Psychon Bull Rev&lt;/full-title&gt;&lt;abbr-1&gt;Psychonomic bulletin &amp;amp; review&lt;/abbr-1&gt;&lt;/periodical&gt;&lt;pages&gt;1061-6&lt;/pages&gt;&lt;volume&gt;13&lt;/volume&gt;&lt;number&gt;6&lt;/number&gt;&lt;edition&gt;2007/05/09&lt;/edition&gt;&lt;keywords&gt;&lt;keyword&gt;Adult&lt;/keyword&gt;&lt;keyword&gt;*Affect&lt;/keyword&gt;&lt;keyword&gt;Attention&lt;/keyword&gt;&lt;keyword&gt;*Cues&lt;/keyword&gt;&lt;keyword&gt;Female&lt;/keyword&gt;&lt;keyword&gt;*Fixation, Ocular&lt;/keyword&gt;&lt;keyword&gt;Humans&lt;/keyword&gt;&lt;keyword&gt;*Judgment&lt;/keyword&gt;&lt;keyword&gt;Male&lt;/keyword&gt;&lt;/keywords&gt;&lt;dates&gt;&lt;year&gt;2006&lt;/year&gt;&lt;pub-dates&gt;&lt;date&gt;Dec&lt;/date&gt;&lt;/pub-dates&gt;&lt;/dates&gt;&lt;isbn&gt;1069-9384 (Print)&amp;#xD;1069-9384 (Linking)&lt;/isbn&gt;&lt;accession-num&gt;17484436&lt;/accession-num&gt;&lt;urls&gt;&lt;related-urls&gt;&lt;url&gt;http://www.ncbi.nlm.nih.gov/entrez/query.fcgi?cmd=Retrieve&amp;amp;db=PubMed&amp;amp;dopt=Citation&amp;amp;list_uids=17484436&lt;/url&gt;&lt;/related-urls&gt;&lt;/urls&gt;&lt;language&gt;eng&lt;/language&gt;&lt;/record&gt;&lt;/Cite&gt;&lt;/EndNote&gt;</w:instrText>
      </w:r>
      <w:r w:rsidR="001D1B30">
        <w:fldChar w:fldCharType="separate"/>
      </w:r>
      <w:r>
        <w:rPr>
          <w:noProof/>
        </w:rPr>
        <w:t>(Bayliss, Paul, Cannon, &amp; Tipper, 2006)</w:t>
      </w:r>
      <w:r w:rsidR="001D1B30">
        <w:fldChar w:fldCharType="end"/>
      </w:r>
      <w:r w:rsidRPr="000E54C7">
        <w:t>.</w:t>
      </w:r>
      <w:r>
        <w:t xml:space="preserve"> </w:t>
      </w:r>
    </w:p>
    <w:p w14:paraId="2E00F312" w14:textId="77777777" w:rsidR="00A948E9" w:rsidRDefault="00A948E9" w:rsidP="00F72CA3">
      <w:pPr>
        <w:keepNext/>
        <w:spacing w:line="480" w:lineRule="auto"/>
        <w:rPr>
          <w:b/>
        </w:rPr>
      </w:pPr>
      <w:r>
        <w:rPr>
          <w:b/>
        </w:rPr>
        <w:lastRenderedPageBreak/>
        <w:t>Additional Statistical Analysis</w:t>
      </w:r>
    </w:p>
    <w:p w14:paraId="598D3180" w14:textId="3E7FA175" w:rsidR="00A948E9" w:rsidRPr="00A948E9" w:rsidRDefault="00A948E9" w:rsidP="00A948E9">
      <w:pPr>
        <w:spacing w:line="480" w:lineRule="auto"/>
        <w:ind w:firstLine="720"/>
      </w:pPr>
      <w:r w:rsidRPr="00A948E9">
        <w:t>The mean error rate was less than 3%</w:t>
      </w:r>
      <w:r>
        <w:t xml:space="preserve">, and analysis of proportion errors did not yield findings of interest beyond confirming similar performance by both groups in each condition, and so are </w:t>
      </w:r>
      <w:r w:rsidR="00305EC4">
        <w:t>detailed here for completeness</w:t>
      </w:r>
      <w:r w:rsidRPr="00A948E9">
        <w:t>. Participants made marginally more errors when categorising targets following valid faces compared to invalid faces (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V </w:t>
      </w:r>
      <w:r w:rsidRPr="00A948E9">
        <w:t xml:space="preserve">= 3.06 ± 2.29%; 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In </w:t>
      </w:r>
      <w:r w:rsidRPr="00A948E9">
        <w:t xml:space="preserve">= 2.71 ± 2.29%); however, this difference was not statistically significant, </w:t>
      </w:r>
      <w:r w:rsidRPr="00A948E9">
        <w:rPr>
          <w:i/>
        </w:rPr>
        <w:t>F</w:t>
      </w:r>
      <w:r w:rsidRPr="00A948E9">
        <w:t xml:space="preserve">(1,39) = 1.19, </w:t>
      </w:r>
      <w:r w:rsidRPr="00A948E9">
        <w:rPr>
          <w:i/>
        </w:rPr>
        <w:t>p</w:t>
      </w:r>
      <w:r w:rsidRPr="00A948E9">
        <w:t xml:space="preserve"> = .28. There was no evidence that error rates were differentially altered following valid compared to invalid faces in the recovered-depressed participants (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RDV </w:t>
      </w:r>
      <w:r w:rsidRPr="00A948E9">
        <w:t xml:space="preserve">= 3.29 ± 2.59%; 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RDIn </w:t>
      </w:r>
      <w:r w:rsidRPr="00A948E9">
        <w:t>= 2.87 ± 2.33%) relative to the matched healthy control participants (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HCV </w:t>
      </w:r>
      <w:r w:rsidRPr="00A948E9">
        <w:t xml:space="preserve">= 2.86 ± 2.05%; 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HCIn </w:t>
      </w:r>
      <w:r w:rsidRPr="00A948E9">
        <w:t xml:space="preserve">= 2.57 ± 2.29%), </w:t>
      </w:r>
      <w:r w:rsidRPr="00A948E9">
        <w:rPr>
          <w:i/>
        </w:rPr>
        <w:t>F</w:t>
      </w:r>
      <w:r w:rsidRPr="00A948E9">
        <w:t xml:space="preserve">(1,39) = 0.001, </w:t>
      </w:r>
      <w:r w:rsidRPr="00A948E9">
        <w:rPr>
          <w:i/>
        </w:rPr>
        <w:t>p</w:t>
      </w:r>
      <w:r w:rsidRPr="00A948E9">
        <w:t xml:space="preserve"> = .98.</w:t>
      </w:r>
    </w:p>
    <w:p w14:paraId="18B0E96C" w14:textId="77777777" w:rsidR="00A948E9" w:rsidRPr="00A948E9" w:rsidRDefault="00A948E9" w:rsidP="00A948E9">
      <w:pPr>
        <w:spacing w:line="480" w:lineRule="auto"/>
        <w:ind w:firstLine="720"/>
      </w:pPr>
      <w:r w:rsidRPr="00A948E9">
        <w:t>Overall, the recovered-depressed participants showed similar error rates compared to the healthy control participants (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RD </w:t>
      </w:r>
      <w:r w:rsidRPr="00A948E9">
        <w:t xml:space="preserve">= 3.08 ± 2.18%; 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HC </w:t>
      </w:r>
      <w:r w:rsidRPr="00A948E9">
        <w:t xml:space="preserve">= 2.72 ± 1.88%), </w:t>
      </w:r>
      <w:r w:rsidRPr="00A948E9">
        <w:rPr>
          <w:i/>
        </w:rPr>
        <w:t>F</w:t>
      </w:r>
      <w:r w:rsidRPr="00A948E9">
        <w:t xml:space="preserve">(1, 39) = 0.59, </w:t>
      </w:r>
      <w:r w:rsidRPr="00A948E9">
        <w:rPr>
          <w:i/>
        </w:rPr>
        <w:t>p</w:t>
      </w:r>
      <w:r w:rsidRPr="00A948E9">
        <w:t xml:space="preserve"> = .45. Male participants' error rates were slightly elevated compared to female participants' error rates in the recovered-depressed group (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MRD </w:t>
      </w:r>
      <w:r w:rsidRPr="00A948E9">
        <w:t xml:space="preserve">= 3.58 ± 1.51% 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FRD </w:t>
      </w:r>
      <w:r w:rsidRPr="00A948E9">
        <w:t>= 2.58 ± 2.69%) but more closely matched in the healthy control group (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MHC </w:t>
      </w:r>
      <w:r w:rsidRPr="00A948E9">
        <w:t xml:space="preserve">= 2.80 ± 2.17%; </w:t>
      </w:r>
      <w:r w:rsidRPr="00A948E9">
        <w:rPr>
          <w:i/>
        </w:rPr>
        <w:t>E</w:t>
      </w:r>
      <w:r w:rsidRPr="00A948E9">
        <w:rPr>
          <w:i/>
          <w:vertAlign w:val="subscript"/>
        </w:rPr>
        <w:t xml:space="preserve">FHC </w:t>
      </w:r>
      <w:r w:rsidRPr="00A948E9">
        <w:t xml:space="preserve">= 2.64 ± 1.65%, respectively). However, the two-way interaction between group and gender was not statistically significant, </w:t>
      </w:r>
      <w:r w:rsidRPr="00A948E9">
        <w:rPr>
          <w:i/>
        </w:rPr>
        <w:t>F</w:t>
      </w:r>
      <w:r w:rsidRPr="00A948E9">
        <w:t xml:space="preserve">(1,39) =1.80, </w:t>
      </w:r>
      <w:r w:rsidRPr="00A948E9">
        <w:rPr>
          <w:i/>
        </w:rPr>
        <w:t>p</w:t>
      </w:r>
      <w:r w:rsidRPr="00A948E9">
        <w:t xml:space="preserve"> = .188. There were no other significant interactions involving group, gender and cue (all </w:t>
      </w:r>
      <w:r w:rsidRPr="00A948E9">
        <w:rPr>
          <w:i/>
        </w:rPr>
        <w:t>p</w:t>
      </w:r>
      <w:r w:rsidRPr="00A948E9">
        <w:t xml:space="preserve"> &gt; .38).</w:t>
      </w:r>
    </w:p>
    <w:p w14:paraId="0FE7DDB0" w14:textId="77777777" w:rsidR="00F72CA3" w:rsidRDefault="00F72CA3" w:rsidP="00F72CA3">
      <w:pPr>
        <w:spacing w:line="240" w:lineRule="auto"/>
        <w:ind w:left="720" w:hanging="720"/>
      </w:pPr>
    </w:p>
    <w:p w14:paraId="495D08B2" w14:textId="23911538" w:rsidR="00EB1DE4" w:rsidRPr="00F72CA3" w:rsidRDefault="001D1B30" w:rsidP="00F72CA3">
      <w:pPr>
        <w:spacing w:line="240" w:lineRule="auto"/>
        <w:ind w:left="720" w:hanging="720"/>
        <w:rPr>
          <w:i/>
          <w:noProof/>
        </w:rPr>
        <w:sectPr w:rsidR="00EB1DE4" w:rsidRPr="00F72CA3" w:rsidSect="00A51E3B">
          <w:headerReference w:type="default" r:id="rId6"/>
          <w:footerReference w:type="even" r:id="rId7"/>
          <w:footerReference w:type="default" r:id="rId8"/>
          <w:pgSz w:w="11901" w:h="16817"/>
          <w:pgMar w:top="1440" w:right="1440" w:bottom="1440" w:left="1440" w:header="709" w:footer="709" w:gutter="0"/>
          <w:cols w:space="708"/>
          <w:docGrid w:linePitch="360"/>
        </w:sectPr>
      </w:pPr>
      <w:r>
        <w:fldChar w:fldCharType="begin"/>
      </w:r>
      <w:r w:rsidR="00465A89">
        <w:instrText xml:space="preserve"> ADDIN EN.REFLIST </w:instrText>
      </w:r>
      <w:r>
        <w:fldChar w:fldCharType="separate"/>
      </w:r>
    </w:p>
    <w:p w14:paraId="1123673D" w14:textId="1C3C15A9" w:rsidR="00EB1DE4" w:rsidRDefault="00EB1DE4" w:rsidP="00EB1DE4">
      <w:pPr>
        <w:autoSpaceDE w:val="0"/>
        <w:autoSpaceDN w:val="0"/>
        <w:adjustRightInd w:val="0"/>
        <w:rPr>
          <w:rFonts w:cs="AdvGillSan-L"/>
          <w:szCs w:val="19"/>
        </w:rPr>
      </w:pPr>
      <w:r w:rsidRPr="00A44E80">
        <w:rPr>
          <w:rFonts w:cs="AdvGillSan-L"/>
          <w:b/>
          <w:szCs w:val="19"/>
        </w:rPr>
        <w:lastRenderedPageBreak/>
        <w:t xml:space="preserve">Table </w:t>
      </w:r>
      <w:r>
        <w:rPr>
          <w:rFonts w:cs="AdvGillSan-L"/>
          <w:b/>
          <w:szCs w:val="19"/>
        </w:rPr>
        <w:t>S</w:t>
      </w:r>
      <w:r w:rsidRPr="00A44E80">
        <w:rPr>
          <w:rFonts w:cs="AdvGillSan-L"/>
          <w:b/>
          <w:szCs w:val="19"/>
        </w:rPr>
        <w:t>1.</w:t>
      </w:r>
      <w:r w:rsidRPr="00812765">
        <w:rPr>
          <w:rFonts w:cs="AdvGillSan-L"/>
          <w:b/>
          <w:szCs w:val="19"/>
        </w:rPr>
        <w:t xml:space="preserve"> </w:t>
      </w:r>
      <w:r w:rsidRPr="00812765">
        <w:rPr>
          <w:rFonts w:cs="AdvGillSan-L"/>
          <w:szCs w:val="19"/>
        </w:rPr>
        <w:t>Demo</w:t>
      </w:r>
      <w:r>
        <w:rPr>
          <w:rFonts w:cs="AdvGillSan-L"/>
          <w:szCs w:val="19"/>
        </w:rPr>
        <w:t>graphic and Clinical features</w:t>
      </w:r>
      <w:r w:rsidRPr="00812765">
        <w:rPr>
          <w:rFonts w:cs="AdvGillSan-L"/>
          <w:szCs w:val="19"/>
        </w:rPr>
        <w:t xml:space="preserve"> (mean</w:t>
      </w:r>
      <w:r>
        <w:rPr>
          <w:rFonts w:cs="AdvEls-ent8"/>
        </w:rPr>
        <w:sym w:font="Symbol" w:char="F0B1"/>
      </w:r>
      <w:r>
        <w:rPr>
          <w:rFonts w:cs="AdvGillSan-L"/>
          <w:szCs w:val="19"/>
        </w:rPr>
        <w:t>standard deviation) of 20 recovered-depressed adults and 23 never depressed, healthy controls.</w:t>
      </w:r>
    </w:p>
    <w:p w14:paraId="163C4915" w14:textId="77777777" w:rsidR="00EB1DE4" w:rsidRPr="00812765" w:rsidRDefault="00EB1DE4" w:rsidP="00EB1DE4">
      <w:pPr>
        <w:autoSpaceDE w:val="0"/>
        <w:autoSpaceDN w:val="0"/>
        <w:adjustRightInd w:val="0"/>
        <w:rPr>
          <w:rFonts w:cs="AdvGillSan-L"/>
          <w:szCs w:val="19"/>
        </w:rPr>
      </w:pPr>
    </w:p>
    <w:tbl>
      <w:tblPr>
        <w:tblW w:w="13266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939"/>
        <w:gridCol w:w="939"/>
        <w:gridCol w:w="1627"/>
        <w:gridCol w:w="1627"/>
        <w:gridCol w:w="1627"/>
        <w:gridCol w:w="1627"/>
        <w:gridCol w:w="1627"/>
        <w:gridCol w:w="1627"/>
      </w:tblGrid>
      <w:tr w:rsidR="00EB1DE4" w14:paraId="64BD2F44" w14:textId="77777777" w:rsidTr="00A948E9">
        <w:trPr>
          <w:trHeight w:val="552"/>
        </w:trPr>
        <w:tc>
          <w:tcPr>
            <w:tcW w:w="1626" w:type="dxa"/>
            <w:tcBorders>
              <w:top w:val="single" w:sz="12" w:space="0" w:color="008000"/>
              <w:bottom w:val="single" w:sz="6" w:space="0" w:color="008000"/>
            </w:tcBorders>
          </w:tcPr>
          <w:p w14:paraId="21CC6DC4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Group</w:t>
            </w:r>
          </w:p>
        </w:tc>
        <w:tc>
          <w:tcPr>
            <w:tcW w:w="939" w:type="dxa"/>
            <w:tcBorders>
              <w:top w:val="single" w:sz="12" w:space="0" w:color="008000"/>
              <w:bottom w:val="single" w:sz="6" w:space="0" w:color="008000"/>
            </w:tcBorders>
          </w:tcPr>
          <w:p w14:paraId="3A9BC874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N</w:t>
            </w:r>
          </w:p>
        </w:tc>
        <w:tc>
          <w:tcPr>
            <w:tcW w:w="939" w:type="dxa"/>
            <w:tcBorders>
              <w:top w:val="single" w:sz="12" w:space="0" w:color="008000"/>
              <w:bottom w:val="single" w:sz="6" w:space="0" w:color="008000"/>
            </w:tcBorders>
          </w:tcPr>
          <w:p w14:paraId="0565D23A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M:F</w:t>
            </w:r>
          </w:p>
        </w:tc>
        <w:tc>
          <w:tcPr>
            <w:tcW w:w="1627" w:type="dxa"/>
            <w:tcBorders>
              <w:top w:val="single" w:sz="12" w:space="0" w:color="008000"/>
              <w:bottom w:val="single" w:sz="6" w:space="0" w:color="008000"/>
            </w:tcBorders>
          </w:tcPr>
          <w:p w14:paraId="2E3EA482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Age</w:t>
            </w:r>
          </w:p>
        </w:tc>
        <w:tc>
          <w:tcPr>
            <w:tcW w:w="1627" w:type="dxa"/>
            <w:tcBorders>
              <w:top w:val="single" w:sz="12" w:space="0" w:color="008000"/>
              <w:bottom w:val="single" w:sz="6" w:space="0" w:color="008000"/>
            </w:tcBorders>
          </w:tcPr>
          <w:p w14:paraId="3439D3DD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Raven's</w:t>
            </w:r>
          </w:p>
          <w:p w14:paraId="29818773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Matrices</w:t>
            </w:r>
          </w:p>
        </w:tc>
        <w:tc>
          <w:tcPr>
            <w:tcW w:w="1627" w:type="dxa"/>
            <w:tcBorders>
              <w:top w:val="single" w:sz="12" w:space="0" w:color="008000"/>
              <w:bottom w:val="single" w:sz="6" w:space="0" w:color="008000"/>
            </w:tcBorders>
          </w:tcPr>
          <w:p w14:paraId="69360929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HAMD-7</w:t>
            </w:r>
          </w:p>
        </w:tc>
        <w:tc>
          <w:tcPr>
            <w:tcW w:w="1627" w:type="dxa"/>
            <w:tcBorders>
              <w:top w:val="single" w:sz="12" w:space="0" w:color="008000"/>
              <w:bottom w:val="single" w:sz="6" w:space="0" w:color="008000"/>
            </w:tcBorders>
          </w:tcPr>
          <w:p w14:paraId="590A678C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BDI</w:t>
            </w:r>
          </w:p>
        </w:tc>
        <w:tc>
          <w:tcPr>
            <w:tcW w:w="1627" w:type="dxa"/>
            <w:tcBorders>
              <w:top w:val="single" w:sz="12" w:space="0" w:color="008000"/>
              <w:bottom w:val="single" w:sz="6" w:space="0" w:color="008000"/>
            </w:tcBorders>
          </w:tcPr>
          <w:p w14:paraId="7F335726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Trait +ve affect</w:t>
            </w:r>
          </w:p>
        </w:tc>
        <w:tc>
          <w:tcPr>
            <w:tcW w:w="1627" w:type="dxa"/>
            <w:tcBorders>
              <w:top w:val="single" w:sz="12" w:space="0" w:color="008000"/>
              <w:bottom w:val="single" w:sz="6" w:space="0" w:color="008000"/>
            </w:tcBorders>
          </w:tcPr>
          <w:p w14:paraId="6FA33F38" w14:textId="77777777" w:rsidR="00EB1DE4" w:rsidRPr="00DC5DE9" w:rsidRDefault="00EB1DE4" w:rsidP="00A948E9">
            <w:pPr>
              <w:jc w:val="center"/>
              <w:rPr>
                <w:i/>
                <w:iCs/>
              </w:rPr>
            </w:pPr>
            <w:r w:rsidRPr="00DC5DE9">
              <w:rPr>
                <w:i/>
                <w:iCs/>
              </w:rPr>
              <w:t>Trait -ve affect</w:t>
            </w:r>
          </w:p>
        </w:tc>
      </w:tr>
      <w:tr w:rsidR="00EB1DE4" w14:paraId="75CF851C" w14:textId="77777777" w:rsidTr="00A948E9">
        <w:trPr>
          <w:trHeight w:val="552"/>
        </w:trPr>
        <w:tc>
          <w:tcPr>
            <w:tcW w:w="1626" w:type="dxa"/>
          </w:tcPr>
          <w:p w14:paraId="48CB4182" w14:textId="77777777" w:rsidR="00EB1DE4" w:rsidRPr="001A5186" w:rsidRDefault="00EB1DE4" w:rsidP="00A948E9">
            <w:pPr>
              <w:jc w:val="both"/>
            </w:pPr>
            <w:r>
              <w:t>Recovered-depressed</w:t>
            </w:r>
          </w:p>
        </w:tc>
        <w:tc>
          <w:tcPr>
            <w:tcW w:w="939" w:type="dxa"/>
          </w:tcPr>
          <w:p w14:paraId="389CF118" w14:textId="77777777" w:rsidR="00EB1DE4" w:rsidRPr="009C1414" w:rsidRDefault="00EB1DE4" w:rsidP="00A948E9">
            <w:pPr>
              <w:jc w:val="center"/>
            </w:pPr>
            <w:r>
              <w:t>20</w:t>
            </w:r>
          </w:p>
        </w:tc>
        <w:tc>
          <w:tcPr>
            <w:tcW w:w="939" w:type="dxa"/>
          </w:tcPr>
          <w:p w14:paraId="77D9E987" w14:textId="77777777" w:rsidR="00EB1DE4" w:rsidRPr="009C1414" w:rsidRDefault="00EB1DE4" w:rsidP="00A948E9">
            <w:pPr>
              <w:jc w:val="center"/>
            </w:pPr>
            <w:r>
              <w:t>10:10</w:t>
            </w:r>
          </w:p>
        </w:tc>
        <w:tc>
          <w:tcPr>
            <w:tcW w:w="1627" w:type="dxa"/>
          </w:tcPr>
          <w:p w14:paraId="7DE0C8A4" w14:textId="77777777" w:rsidR="00EB1DE4" w:rsidRPr="009C1414" w:rsidRDefault="00EB1DE4" w:rsidP="00A948E9">
            <w:pPr>
              <w:jc w:val="center"/>
            </w:pPr>
            <w:r>
              <w:t>31.85</w:t>
            </w:r>
            <w:r w:rsidRPr="00DC5DE9">
              <w:sym w:font="Symbol" w:char="F0B1"/>
            </w:r>
            <w:r>
              <w:t>7.42</w:t>
            </w:r>
          </w:p>
        </w:tc>
        <w:tc>
          <w:tcPr>
            <w:tcW w:w="1627" w:type="dxa"/>
          </w:tcPr>
          <w:p w14:paraId="337E2B4C" w14:textId="77777777" w:rsidR="00EB1DE4" w:rsidRPr="009C1414" w:rsidRDefault="00EB1DE4" w:rsidP="00A948E9">
            <w:pPr>
              <w:jc w:val="center"/>
            </w:pPr>
            <w:r>
              <w:t>51.60</w:t>
            </w:r>
            <w:r w:rsidRPr="00DC5DE9">
              <w:sym w:font="Symbol" w:char="F0B1"/>
            </w:r>
            <w:r>
              <w:t>8.02</w:t>
            </w:r>
          </w:p>
        </w:tc>
        <w:tc>
          <w:tcPr>
            <w:tcW w:w="1627" w:type="dxa"/>
          </w:tcPr>
          <w:p w14:paraId="0A4FD5DC" w14:textId="77777777" w:rsidR="00EB1DE4" w:rsidRPr="009C1414" w:rsidRDefault="00EB1DE4" w:rsidP="00A948E9">
            <w:pPr>
              <w:jc w:val="center"/>
            </w:pPr>
            <w:r>
              <w:t>1.60</w:t>
            </w:r>
            <w:r w:rsidRPr="00DC5DE9">
              <w:sym w:font="Symbol" w:char="F0B1"/>
            </w:r>
            <w:r>
              <w:t>1.27</w:t>
            </w:r>
          </w:p>
        </w:tc>
        <w:tc>
          <w:tcPr>
            <w:tcW w:w="1627" w:type="dxa"/>
          </w:tcPr>
          <w:p w14:paraId="33CC04D5" w14:textId="77777777" w:rsidR="00EB1DE4" w:rsidRPr="009C1414" w:rsidRDefault="00EB1DE4" w:rsidP="00A948E9">
            <w:pPr>
              <w:jc w:val="center"/>
            </w:pPr>
            <w:r>
              <w:t>3.75</w:t>
            </w:r>
            <w:r w:rsidRPr="00DC5DE9">
              <w:sym w:font="Symbol" w:char="F0B1"/>
            </w:r>
            <w:r>
              <w:t>3.21</w:t>
            </w:r>
          </w:p>
        </w:tc>
        <w:tc>
          <w:tcPr>
            <w:tcW w:w="1627" w:type="dxa"/>
          </w:tcPr>
          <w:p w14:paraId="34E223CA" w14:textId="7A9A7F7A" w:rsidR="00EB1DE4" w:rsidRPr="009C1414" w:rsidRDefault="00731810" w:rsidP="00A948E9">
            <w:pPr>
              <w:jc w:val="center"/>
            </w:pPr>
            <w:r>
              <w:t>33.35</w:t>
            </w:r>
            <w:r w:rsidR="00EB1DE4" w:rsidRPr="00DC5DE9">
              <w:sym w:font="Symbol" w:char="F0B1"/>
            </w:r>
            <w:r w:rsidR="002D0716">
              <w:t>4.30</w:t>
            </w:r>
          </w:p>
        </w:tc>
        <w:tc>
          <w:tcPr>
            <w:tcW w:w="1627" w:type="dxa"/>
          </w:tcPr>
          <w:p w14:paraId="6283D000" w14:textId="4F7DA322" w:rsidR="00EB1DE4" w:rsidRPr="009C1414" w:rsidRDefault="002D0716" w:rsidP="00A948E9">
            <w:pPr>
              <w:jc w:val="center"/>
            </w:pPr>
            <w:r>
              <w:t>14.75</w:t>
            </w:r>
            <w:r w:rsidR="00EB1DE4" w:rsidRPr="00DC5DE9">
              <w:sym w:font="Symbol" w:char="F0B1"/>
            </w:r>
            <w:r>
              <w:t>3.64</w:t>
            </w:r>
          </w:p>
        </w:tc>
      </w:tr>
      <w:tr w:rsidR="00EB1DE4" w14:paraId="7CBAA329" w14:textId="77777777" w:rsidTr="00A948E9">
        <w:trPr>
          <w:trHeight w:val="552"/>
        </w:trPr>
        <w:tc>
          <w:tcPr>
            <w:tcW w:w="1626" w:type="dxa"/>
            <w:tcBorders>
              <w:top w:val="single" w:sz="6" w:space="0" w:color="008000"/>
              <w:bottom w:val="single" w:sz="12" w:space="0" w:color="008000"/>
            </w:tcBorders>
          </w:tcPr>
          <w:p w14:paraId="35327FB4" w14:textId="77777777" w:rsidR="00EB1DE4" w:rsidRPr="00DC5DE9" w:rsidRDefault="00EB1DE4" w:rsidP="00A948E9">
            <w:pPr>
              <w:jc w:val="both"/>
              <w:rPr>
                <w:bCs/>
              </w:rPr>
            </w:pPr>
            <w:r w:rsidRPr="00DC5DE9">
              <w:rPr>
                <w:bCs/>
              </w:rPr>
              <w:t>Healthy controls</w:t>
            </w:r>
          </w:p>
        </w:tc>
        <w:tc>
          <w:tcPr>
            <w:tcW w:w="939" w:type="dxa"/>
            <w:tcBorders>
              <w:top w:val="single" w:sz="6" w:space="0" w:color="008000"/>
              <w:bottom w:val="single" w:sz="12" w:space="0" w:color="008000"/>
            </w:tcBorders>
          </w:tcPr>
          <w:p w14:paraId="6D59F208" w14:textId="77777777" w:rsidR="00EB1DE4" w:rsidRPr="009C1414" w:rsidRDefault="00EB1DE4" w:rsidP="00A948E9">
            <w:pPr>
              <w:jc w:val="center"/>
            </w:pPr>
            <w:r>
              <w:t>23</w:t>
            </w:r>
          </w:p>
        </w:tc>
        <w:tc>
          <w:tcPr>
            <w:tcW w:w="939" w:type="dxa"/>
            <w:tcBorders>
              <w:top w:val="single" w:sz="6" w:space="0" w:color="008000"/>
              <w:bottom w:val="single" w:sz="12" w:space="0" w:color="008000"/>
            </w:tcBorders>
          </w:tcPr>
          <w:p w14:paraId="2EA70E59" w14:textId="77777777" w:rsidR="00EB1DE4" w:rsidRPr="009C1414" w:rsidRDefault="00EB1DE4" w:rsidP="00A948E9">
            <w:pPr>
              <w:jc w:val="center"/>
            </w:pPr>
            <w:r>
              <w:t>11:12</w:t>
            </w:r>
          </w:p>
        </w:tc>
        <w:tc>
          <w:tcPr>
            <w:tcW w:w="1627" w:type="dxa"/>
            <w:tcBorders>
              <w:top w:val="single" w:sz="6" w:space="0" w:color="008000"/>
              <w:bottom w:val="single" w:sz="12" w:space="0" w:color="008000"/>
            </w:tcBorders>
          </w:tcPr>
          <w:p w14:paraId="59DE4678" w14:textId="77777777" w:rsidR="00EB1DE4" w:rsidRPr="009C1414" w:rsidRDefault="00EB1DE4" w:rsidP="00A948E9">
            <w:pPr>
              <w:jc w:val="center"/>
            </w:pPr>
            <w:r>
              <w:t>29.70</w:t>
            </w:r>
            <w:r w:rsidRPr="00DC5DE9">
              <w:sym w:font="Symbol" w:char="F0B1"/>
            </w:r>
            <w:r>
              <w:t>5.69</w:t>
            </w:r>
          </w:p>
        </w:tc>
        <w:tc>
          <w:tcPr>
            <w:tcW w:w="1627" w:type="dxa"/>
            <w:tcBorders>
              <w:top w:val="single" w:sz="6" w:space="0" w:color="008000"/>
              <w:bottom w:val="single" w:sz="12" w:space="0" w:color="008000"/>
            </w:tcBorders>
          </w:tcPr>
          <w:p w14:paraId="3F425724" w14:textId="77777777" w:rsidR="00EB1DE4" w:rsidRPr="009C1414" w:rsidRDefault="00EB1DE4" w:rsidP="00A948E9">
            <w:pPr>
              <w:jc w:val="center"/>
            </w:pPr>
            <w:r>
              <w:t>52.43</w:t>
            </w:r>
            <w:r w:rsidRPr="00DC5DE9">
              <w:sym w:font="Symbol" w:char="F0B1"/>
            </w:r>
            <w:r>
              <w:t>4.07</w:t>
            </w:r>
          </w:p>
        </w:tc>
        <w:tc>
          <w:tcPr>
            <w:tcW w:w="1627" w:type="dxa"/>
            <w:tcBorders>
              <w:top w:val="single" w:sz="6" w:space="0" w:color="008000"/>
              <w:bottom w:val="single" w:sz="12" w:space="0" w:color="008000"/>
            </w:tcBorders>
          </w:tcPr>
          <w:p w14:paraId="6F15C8FB" w14:textId="77777777" w:rsidR="00EB1DE4" w:rsidRPr="009C1414" w:rsidRDefault="00EB1DE4" w:rsidP="00A948E9">
            <w:pPr>
              <w:jc w:val="center"/>
            </w:pPr>
            <w:r>
              <w:t>0.15</w:t>
            </w:r>
            <w:r w:rsidRPr="00DC5DE9">
              <w:sym w:font="Symbol" w:char="F0B1"/>
            </w:r>
            <w:r>
              <w:t>0.71</w:t>
            </w:r>
          </w:p>
        </w:tc>
        <w:tc>
          <w:tcPr>
            <w:tcW w:w="1627" w:type="dxa"/>
            <w:tcBorders>
              <w:top w:val="single" w:sz="6" w:space="0" w:color="008000"/>
              <w:bottom w:val="single" w:sz="12" w:space="0" w:color="008000"/>
            </w:tcBorders>
          </w:tcPr>
          <w:p w14:paraId="31CC3B46" w14:textId="77777777" w:rsidR="00EB1DE4" w:rsidRPr="009C1414" w:rsidRDefault="00EB1DE4" w:rsidP="00A948E9">
            <w:pPr>
              <w:jc w:val="center"/>
            </w:pPr>
            <w:r>
              <w:t>0.96</w:t>
            </w:r>
            <w:r w:rsidRPr="00DC5DE9">
              <w:sym w:font="Symbol" w:char="F0B1"/>
            </w:r>
            <w:r>
              <w:t>1.61</w:t>
            </w:r>
          </w:p>
        </w:tc>
        <w:tc>
          <w:tcPr>
            <w:tcW w:w="1627" w:type="dxa"/>
            <w:tcBorders>
              <w:top w:val="single" w:sz="6" w:space="0" w:color="008000"/>
              <w:bottom w:val="single" w:sz="12" w:space="0" w:color="008000"/>
            </w:tcBorders>
          </w:tcPr>
          <w:p w14:paraId="030AAA1A" w14:textId="40CEBA5A" w:rsidR="00EB1DE4" w:rsidRPr="009C1414" w:rsidRDefault="002D0716" w:rsidP="00A948E9">
            <w:pPr>
              <w:jc w:val="center"/>
            </w:pPr>
            <w:r>
              <w:t>37.39</w:t>
            </w:r>
            <w:r w:rsidR="00EB1DE4" w:rsidRPr="00DC5DE9">
              <w:sym w:font="Symbol" w:char="F0B1"/>
            </w:r>
            <w:r>
              <w:t>3.97</w:t>
            </w:r>
          </w:p>
        </w:tc>
        <w:tc>
          <w:tcPr>
            <w:tcW w:w="1627" w:type="dxa"/>
            <w:tcBorders>
              <w:top w:val="single" w:sz="6" w:space="0" w:color="008000"/>
              <w:bottom w:val="single" w:sz="12" w:space="0" w:color="008000"/>
            </w:tcBorders>
          </w:tcPr>
          <w:p w14:paraId="4B2C475D" w14:textId="3C78793F" w:rsidR="00EB1DE4" w:rsidRPr="009C1414" w:rsidRDefault="002D0716" w:rsidP="00A948E9">
            <w:pPr>
              <w:jc w:val="center"/>
            </w:pPr>
            <w:r>
              <w:t>11.7</w:t>
            </w:r>
            <w:r w:rsidR="00EB1DE4" w:rsidRPr="00DC5DE9">
              <w:sym w:font="Symbol" w:char="F0B1"/>
            </w:r>
            <w:r>
              <w:t>2.22</w:t>
            </w:r>
            <w:bookmarkStart w:id="0" w:name="_GoBack"/>
            <w:bookmarkEnd w:id="0"/>
          </w:p>
        </w:tc>
      </w:tr>
    </w:tbl>
    <w:p w14:paraId="1F124DB7" w14:textId="77777777" w:rsidR="00EB1DE4" w:rsidRDefault="00EB1DE4" w:rsidP="00EB1DE4">
      <w:pPr>
        <w:spacing w:line="480" w:lineRule="auto"/>
      </w:pPr>
    </w:p>
    <w:p w14:paraId="01DAB052" w14:textId="60A231CA" w:rsidR="00465A89" w:rsidRDefault="00465A89" w:rsidP="008A1945">
      <w:pPr>
        <w:spacing w:line="240" w:lineRule="auto"/>
        <w:ind w:left="720" w:hanging="720"/>
        <w:rPr>
          <w:noProof/>
        </w:rPr>
      </w:pPr>
    </w:p>
    <w:p w14:paraId="3DAAF26F" w14:textId="77777777" w:rsidR="00465A89" w:rsidRDefault="00465A89" w:rsidP="008A1945">
      <w:pPr>
        <w:spacing w:line="240" w:lineRule="auto"/>
        <w:ind w:left="720" w:hanging="720"/>
        <w:rPr>
          <w:noProof/>
        </w:rPr>
      </w:pPr>
    </w:p>
    <w:p w14:paraId="62237274" w14:textId="77777777" w:rsidR="00465A89" w:rsidRPr="00FA68A3" w:rsidRDefault="001D1B30" w:rsidP="00FA68A3">
      <w:r>
        <w:fldChar w:fldCharType="end"/>
      </w:r>
    </w:p>
    <w:sectPr w:rsidR="00465A89" w:rsidRPr="00FA68A3" w:rsidSect="00EB1DE4">
      <w:pgSz w:w="1682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FE1B" w14:textId="77777777" w:rsidR="002C7F1A" w:rsidRDefault="002C7F1A">
      <w:r>
        <w:separator/>
      </w:r>
    </w:p>
  </w:endnote>
  <w:endnote w:type="continuationSeparator" w:id="0">
    <w:p w14:paraId="1A1169FB" w14:textId="77777777" w:rsidR="002C7F1A" w:rsidRDefault="002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GillSan-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Els-ent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AD8E" w14:textId="77777777" w:rsidR="00A948E9" w:rsidRDefault="00A948E9" w:rsidP="00AA3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5F230" w14:textId="77777777" w:rsidR="00A948E9" w:rsidRDefault="00A948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257D" w14:textId="77777777" w:rsidR="00A948E9" w:rsidRDefault="00A948E9" w:rsidP="00AA3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7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ACD181" w14:textId="77777777" w:rsidR="00A948E9" w:rsidRDefault="00A948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1B6A" w14:textId="77777777" w:rsidR="002C7F1A" w:rsidRDefault="002C7F1A">
      <w:r>
        <w:separator/>
      </w:r>
    </w:p>
  </w:footnote>
  <w:footnote w:type="continuationSeparator" w:id="0">
    <w:p w14:paraId="78DFFD19" w14:textId="77777777" w:rsidR="002C7F1A" w:rsidRDefault="002C7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B807" w14:textId="77777777" w:rsidR="00A948E9" w:rsidRPr="00CD1FED" w:rsidRDefault="00A948E9" w:rsidP="00CD1FED">
    <w:pPr>
      <w:pStyle w:val="Header"/>
    </w:pPr>
    <w:r>
      <w:t>RECOVERED DEPRESSION AND IMPLICIT TRUST APPRAISALS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DR_library_2011-Recovered.enl&lt;/item&gt;&lt;/Libraries&gt;&lt;/ENLibraries&gt;"/>
  </w:docVars>
  <w:rsids>
    <w:rsidRoot w:val="0032184D"/>
    <w:rsid w:val="00002A21"/>
    <w:rsid w:val="000034B8"/>
    <w:rsid w:val="000037F0"/>
    <w:rsid w:val="00011732"/>
    <w:rsid w:val="000118EA"/>
    <w:rsid w:val="00020CC2"/>
    <w:rsid w:val="0002326D"/>
    <w:rsid w:val="000265A6"/>
    <w:rsid w:val="00032085"/>
    <w:rsid w:val="000357C6"/>
    <w:rsid w:val="000368FB"/>
    <w:rsid w:val="00036B91"/>
    <w:rsid w:val="000402D6"/>
    <w:rsid w:val="00046C28"/>
    <w:rsid w:val="00047762"/>
    <w:rsid w:val="00055707"/>
    <w:rsid w:val="00061C16"/>
    <w:rsid w:val="00063B36"/>
    <w:rsid w:val="00063D26"/>
    <w:rsid w:val="0006595D"/>
    <w:rsid w:val="00065B33"/>
    <w:rsid w:val="00066952"/>
    <w:rsid w:val="00066B7C"/>
    <w:rsid w:val="000675C7"/>
    <w:rsid w:val="0007055E"/>
    <w:rsid w:val="00073382"/>
    <w:rsid w:val="0007353F"/>
    <w:rsid w:val="00085CFE"/>
    <w:rsid w:val="00086EE6"/>
    <w:rsid w:val="0008798B"/>
    <w:rsid w:val="0009081C"/>
    <w:rsid w:val="00091742"/>
    <w:rsid w:val="00092B70"/>
    <w:rsid w:val="00093616"/>
    <w:rsid w:val="0009530C"/>
    <w:rsid w:val="000959C7"/>
    <w:rsid w:val="000A0FEB"/>
    <w:rsid w:val="000A1B3F"/>
    <w:rsid w:val="000A1C92"/>
    <w:rsid w:val="000A37F2"/>
    <w:rsid w:val="000A621C"/>
    <w:rsid w:val="000A669A"/>
    <w:rsid w:val="000B515F"/>
    <w:rsid w:val="000B5EA1"/>
    <w:rsid w:val="000C2710"/>
    <w:rsid w:val="000C2F5E"/>
    <w:rsid w:val="000C505D"/>
    <w:rsid w:val="000C5DFC"/>
    <w:rsid w:val="000D10B0"/>
    <w:rsid w:val="000D47EC"/>
    <w:rsid w:val="000D4823"/>
    <w:rsid w:val="000D5E67"/>
    <w:rsid w:val="000D609D"/>
    <w:rsid w:val="000D788D"/>
    <w:rsid w:val="000E0746"/>
    <w:rsid w:val="000E0886"/>
    <w:rsid w:val="000E511C"/>
    <w:rsid w:val="000E54C7"/>
    <w:rsid w:val="000F008D"/>
    <w:rsid w:val="000F12E8"/>
    <w:rsid w:val="000F526A"/>
    <w:rsid w:val="0010536B"/>
    <w:rsid w:val="0010563E"/>
    <w:rsid w:val="00113FE7"/>
    <w:rsid w:val="00116317"/>
    <w:rsid w:val="00123BEB"/>
    <w:rsid w:val="00126C4A"/>
    <w:rsid w:val="00127917"/>
    <w:rsid w:val="00133299"/>
    <w:rsid w:val="0013701B"/>
    <w:rsid w:val="00143856"/>
    <w:rsid w:val="00143D19"/>
    <w:rsid w:val="00146AA8"/>
    <w:rsid w:val="00146CA3"/>
    <w:rsid w:val="00153EA9"/>
    <w:rsid w:val="0015535A"/>
    <w:rsid w:val="0015659B"/>
    <w:rsid w:val="0015667B"/>
    <w:rsid w:val="001625D0"/>
    <w:rsid w:val="001671C2"/>
    <w:rsid w:val="0017154F"/>
    <w:rsid w:val="00173CA4"/>
    <w:rsid w:val="00177E9B"/>
    <w:rsid w:val="0018252A"/>
    <w:rsid w:val="00190646"/>
    <w:rsid w:val="001916A4"/>
    <w:rsid w:val="00191DC9"/>
    <w:rsid w:val="00194FC8"/>
    <w:rsid w:val="00197616"/>
    <w:rsid w:val="001A026F"/>
    <w:rsid w:val="001A2871"/>
    <w:rsid w:val="001A43E6"/>
    <w:rsid w:val="001C0BF1"/>
    <w:rsid w:val="001C1129"/>
    <w:rsid w:val="001C42A0"/>
    <w:rsid w:val="001C456D"/>
    <w:rsid w:val="001C4997"/>
    <w:rsid w:val="001D1708"/>
    <w:rsid w:val="001D1B30"/>
    <w:rsid w:val="001D292C"/>
    <w:rsid w:val="001E0794"/>
    <w:rsid w:val="001E0C10"/>
    <w:rsid w:val="001E11C9"/>
    <w:rsid w:val="001E2200"/>
    <w:rsid w:val="001E4B53"/>
    <w:rsid w:val="001F4B9E"/>
    <w:rsid w:val="001F5216"/>
    <w:rsid w:val="001F53C9"/>
    <w:rsid w:val="001F62BA"/>
    <w:rsid w:val="002011E1"/>
    <w:rsid w:val="002039DE"/>
    <w:rsid w:val="00203E3A"/>
    <w:rsid w:val="0020468A"/>
    <w:rsid w:val="00211C92"/>
    <w:rsid w:val="00212297"/>
    <w:rsid w:val="00217CEB"/>
    <w:rsid w:val="002210A7"/>
    <w:rsid w:val="0022450D"/>
    <w:rsid w:val="0022581F"/>
    <w:rsid w:val="0023010B"/>
    <w:rsid w:val="002323ED"/>
    <w:rsid w:val="00235BA2"/>
    <w:rsid w:val="00236619"/>
    <w:rsid w:val="00241145"/>
    <w:rsid w:val="00242A51"/>
    <w:rsid w:val="00244415"/>
    <w:rsid w:val="00246F25"/>
    <w:rsid w:val="00247ACC"/>
    <w:rsid w:val="00250848"/>
    <w:rsid w:val="002513C5"/>
    <w:rsid w:val="00256525"/>
    <w:rsid w:val="00256F5D"/>
    <w:rsid w:val="00257110"/>
    <w:rsid w:val="00257644"/>
    <w:rsid w:val="0026196D"/>
    <w:rsid w:val="002642AC"/>
    <w:rsid w:val="00264481"/>
    <w:rsid w:val="00265F18"/>
    <w:rsid w:val="00266ABC"/>
    <w:rsid w:val="00270390"/>
    <w:rsid w:val="00270BA5"/>
    <w:rsid w:val="00273B73"/>
    <w:rsid w:val="002740BC"/>
    <w:rsid w:val="002747D3"/>
    <w:rsid w:val="00280628"/>
    <w:rsid w:val="00281026"/>
    <w:rsid w:val="0028761C"/>
    <w:rsid w:val="00291A77"/>
    <w:rsid w:val="00292711"/>
    <w:rsid w:val="00296754"/>
    <w:rsid w:val="00297690"/>
    <w:rsid w:val="002A1DB3"/>
    <w:rsid w:val="002A26A6"/>
    <w:rsid w:val="002A4379"/>
    <w:rsid w:val="002A4B81"/>
    <w:rsid w:val="002A5411"/>
    <w:rsid w:val="002B1FE7"/>
    <w:rsid w:val="002B2EC3"/>
    <w:rsid w:val="002B5E27"/>
    <w:rsid w:val="002C7F1A"/>
    <w:rsid w:val="002D0716"/>
    <w:rsid w:val="002D0D3E"/>
    <w:rsid w:val="002D28DC"/>
    <w:rsid w:val="002D38E8"/>
    <w:rsid w:val="002D434D"/>
    <w:rsid w:val="002D61DE"/>
    <w:rsid w:val="002E1800"/>
    <w:rsid w:val="002E2932"/>
    <w:rsid w:val="002E3837"/>
    <w:rsid w:val="002E3DB9"/>
    <w:rsid w:val="002E5D93"/>
    <w:rsid w:val="002F6217"/>
    <w:rsid w:val="00305EC4"/>
    <w:rsid w:val="00306123"/>
    <w:rsid w:val="003068AA"/>
    <w:rsid w:val="0030704A"/>
    <w:rsid w:val="0031286D"/>
    <w:rsid w:val="00312F7A"/>
    <w:rsid w:val="00314CEF"/>
    <w:rsid w:val="00315979"/>
    <w:rsid w:val="00316178"/>
    <w:rsid w:val="00316273"/>
    <w:rsid w:val="0031656F"/>
    <w:rsid w:val="003172BF"/>
    <w:rsid w:val="00317DE4"/>
    <w:rsid w:val="003201E1"/>
    <w:rsid w:val="0032184D"/>
    <w:rsid w:val="00322B65"/>
    <w:rsid w:val="00322ED6"/>
    <w:rsid w:val="00323284"/>
    <w:rsid w:val="00325E2C"/>
    <w:rsid w:val="0033389F"/>
    <w:rsid w:val="00335003"/>
    <w:rsid w:val="00336987"/>
    <w:rsid w:val="003400F9"/>
    <w:rsid w:val="00340875"/>
    <w:rsid w:val="00341359"/>
    <w:rsid w:val="00342435"/>
    <w:rsid w:val="003457E6"/>
    <w:rsid w:val="00346811"/>
    <w:rsid w:val="00346886"/>
    <w:rsid w:val="00351AB1"/>
    <w:rsid w:val="003541DB"/>
    <w:rsid w:val="003576F7"/>
    <w:rsid w:val="00357764"/>
    <w:rsid w:val="00357D9D"/>
    <w:rsid w:val="00361759"/>
    <w:rsid w:val="00362096"/>
    <w:rsid w:val="003669C5"/>
    <w:rsid w:val="003673A4"/>
    <w:rsid w:val="00372AAF"/>
    <w:rsid w:val="00375496"/>
    <w:rsid w:val="00375ECD"/>
    <w:rsid w:val="00376834"/>
    <w:rsid w:val="00380CB2"/>
    <w:rsid w:val="00380E39"/>
    <w:rsid w:val="00383670"/>
    <w:rsid w:val="00386241"/>
    <w:rsid w:val="003863DC"/>
    <w:rsid w:val="003878B6"/>
    <w:rsid w:val="00391A2E"/>
    <w:rsid w:val="0039404C"/>
    <w:rsid w:val="00394D79"/>
    <w:rsid w:val="00396BFC"/>
    <w:rsid w:val="003A42F7"/>
    <w:rsid w:val="003A4549"/>
    <w:rsid w:val="003A70C4"/>
    <w:rsid w:val="003B04CE"/>
    <w:rsid w:val="003B0B3F"/>
    <w:rsid w:val="003B0C0E"/>
    <w:rsid w:val="003B0F11"/>
    <w:rsid w:val="003B68D6"/>
    <w:rsid w:val="003C5270"/>
    <w:rsid w:val="003C6EA0"/>
    <w:rsid w:val="003C77FA"/>
    <w:rsid w:val="003D2E3F"/>
    <w:rsid w:val="003D32FA"/>
    <w:rsid w:val="003D3ADD"/>
    <w:rsid w:val="003D4CFF"/>
    <w:rsid w:val="003D619B"/>
    <w:rsid w:val="003D6F61"/>
    <w:rsid w:val="003D7608"/>
    <w:rsid w:val="003E04CB"/>
    <w:rsid w:val="003E0CCA"/>
    <w:rsid w:val="003E1491"/>
    <w:rsid w:val="003E696F"/>
    <w:rsid w:val="003F0065"/>
    <w:rsid w:val="003F082D"/>
    <w:rsid w:val="003F4EA2"/>
    <w:rsid w:val="003F5A98"/>
    <w:rsid w:val="00400A54"/>
    <w:rsid w:val="00402F91"/>
    <w:rsid w:val="004032A8"/>
    <w:rsid w:val="00403841"/>
    <w:rsid w:val="00403C07"/>
    <w:rsid w:val="004042E6"/>
    <w:rsid w:val="00406904"/>
    <w:rsid w:val="00416B6C"/>
    <w:rsid w:val="00417CDF"/>
    <w:rsid w:val="00425256"/>
    <w:rsid w:val="004265F7"/>
    <w:rsid w:val="004275AC"/>
    <w:rsid w:val="00430122"/>
    <w:rsid w:val="004334E6"/>
    <w:rsid w:val="00435324"/>
    <w:rsid w:val="004364FB"/>
    <w:rsid w:val="0044230A"/>
    <w:rsid w:val="00443408"/>
    <w:rsid w:val="0044361E"/>
    <w:rsid w:val="00443CE3"/>
    <w:rsid w:val="00446803"/>
    <w:rsid w:val="00450EBD"/>
    <w:rsid w:val="004515D4"/>
    <w:rsid w:val="004519C4"/>
    <w:rsid w:val="00452D61"/>
    <w:rsid w:val="00452E44"/>
    <w:rsid w:val="0045336B"/>
    <w:rsid w:val="00453666"/>
    <w:rsid w:val="0046066A"/>
    <w:rsid w:val="00461F2A"/>
    <w:rsid w:val="00462F64"/>
    <w:rsid w:val="00465A89"/>
    <w:rsid w:val="00467629"/>
    <w:rsid w:val="00467FD4"/>
    <w:rsid w:val="00471165"/>
    <w:rsid w:val="00475420"/>
    <w:rsid w:val="0047755F"/>
    <w:rsid w:val="00480D0F"/>
    <w:rsid w:val="00484306"/>
    <w:rsid w:val="00485A6B"/>
    <w:rsid w:val="004867E7"/>
    <w:rsid w:val="00490708"/>
    <w:rsid w:val="00491AD3"/>
    <w:rsid w:val="00494738"/>
    <w:rsid w:val="00495C5A"/>
    <w:rsid w:val="004A22A1"/>
    <w:rsid w:val="004A2F34"/>
    <w:rsid w:val="004A3290"/>
    <w:rsid w:val="004A399C"/>
    <w:rsid w:val="004A69A3"/>
    <w:rsid w:val="004A74DA"/>
    <w:rsid w:val="004A763C"/>
    <w:rsid w:val="004A7B84"/>
    <w:rsid w:val="004A7C7B"/>
    <w:rsid w:val="004B0356"/>
    <w:rsid w:val="004B0821"/>
    <w:rsid w:val="004B4C5C"/>
    <w:rsid w:val="004C0DBE"/>
    <w:rsid w:val="004C35DC"/>
    <w:rsid w:val="004C6D79"/>
    <w:rsid w:val="004C7C10"/>
    <w:rsid w:val="004D0498"/>
    <w:rsid w:val="004D3D7A"/>
    <w:rsid w:val="004D773B"/>
    <w:rsid w:val="004E045A"/>
    <w:rsid w:val="004E1E12"/>
    <w:rsid w:val="004E37EA"/>
    <w:rsid w:val="004E5C10"/>
    <w:rsid w:val="004E72BF"/>
    <w:rsid w:val="004F27A5"/>
    <w:rsid w:val="004F6BDD"/>
    <w:rsid w:val="00503560"/>
    <w:rsid w:val="0051048E"/>
    <w:rsid w:val="00515700"/>
    <w:rsid w:val="005176F5"/>
    <w:rsid w:val="00522EF8"/>
    <w:rsid w:val="00523789"/>
    <w:rsid w:val="00523F3F"/>
    <w:rsid w:val="00524C93"/>
    <w:rsid w:val="00524EED"/>
    <w:rsid w:val="005271DC"/>
    <w:rsid w:val="00530FD4"/>
    <w:rsid w:val="00532511"/>
    <w:rsid w:val="00536D79"/>
    <w:rsid w:val="005376EB"/>
    <w:rsid w:val="00540AFD"/>
    <w:rsid w:val="005448C0"/>
    <w:rsid w:val="0054669B"/>
    <w:rsid w:val="00550C90"/>
    <w:rsid w:val="005518F6"/>
    <w:rsid w:val="00552DBB"/>
    <w:rsid w:val="0055452D"/>
    <w:rsid w:val="0055465E"/>
    <w:rsid w:val="00555053"/>
    <w:rsid w:val="005551F3"/>
    <w:rsid w:val="005565E8"/>
    <w:rsid w:val="005570C2"/>
    <w:rsid w:val="00561E41"/>
    <w:rsid w:val="00562F68"/>
    <w:rsid w:val="005639DC"/>
    <w:rsid w:val="00564E36"/>
    <w:rsid w:val="00565940"/>
    <w:rsid w:val="00572E0A"/>
    <w:rsid w:val="00574162"/>
    <w:rsid w:val="0057621D"/>
    <w:rsid w:val="00580698"/>
    <w:rsid w:val="0058453D"/>
    <w:rsid w:val="00586F22"/>
    <w:rsid w:val="005943BD"/>
    <w:rsid w:val="005A25F8"/>
    <w:rsid w:val="005A4B39"/>
    <w:rsid w:val="005A5F9D"/>
    <w:rsid w:val="005A7632"/>
    <w:rsid w:val="005B0049"/>
    <w:rsid w:val="005B0CA5"/>
    <w:rsid w:val="005B1594"/>
    <w:rsid w:val="005B7027"/>
    <w:rsid w:val="005C78B9"/>
    <w:rsid w:val="005C7ABE"/>
    <w:rsid w:val="005D227F"/>
    <w:rsid w:val="005D23EA"/>
    <w:rsid w:val="005E117F"/>
    <w:rsid w:val="005E2615"/>
    <w:rsid w:val="005E329F"/>
    <w:rsid w:val="005E536F"/>
    <w:rsid w:val="005E61DE"/>
    <w:rsid w:val="005E7234"/>
    <w:rsid w:val="005E7EE5"/>
    <w:rsid w:val="005F0320"/>
    <w:rsid w:val="005F39D6"/>
    <w:rsid w:val="005F66AB"/>
    <w:rsid w:val="005F6A3B"/>
    <w:rsid w:val="00600595"/>
    <w:rsid w:val="00601FFB"/>
    <w:rsid w:val="006052A0"/>
    <w:rsid w:val="006052A3"/>
    <w:rsid w:val="00607934"/>
    <w:rsid w:val="00610150"/>
    <w:rsid w:val="00612AF5"/>
    <w:rsid w:val="00613321"/>
    <w:rsid w:val="00614F46"/>
    <w:rsid w:val="0061746D"/>
    <w:rsid w:val="0062255C"/>
    <w:rsid w:val="0062345D"/>
    <w:rsid w:val="00625D37"/>
    <w:rsid w:val="00630FC1"/>
    <w:rsid w:val="006310A8"/>
    <w:rsid w:val="00631B3C"/>
    <w:rsid w:val="00633AB9"/>
    <w:rsid w:val="0063529E"/>
    <w:rsid w:val="00646086"/>
    <w:rsid w:val="0065275F"/>
    <w:rsid w:val="0066400A"/>
    <w:rsid w:val="00665A16"/>
    <w:rsid w:val="00666386"/>
    <w:rsid w:val="00667EA4"/>
    <w:rsid w:val="00670F7F"/>
    <w:rsid w:val="00674764"/>
    <w:rsid w:val="0068403D"/>
    <w:rsid w:val="00684A4C"/>
    <w:rsid w:val="00690B32"/>
    <w:rsid w:val="00691D78"/>
    <w:rsid w:val="006934EF"/>
    <w:rsid w:val="00695071"/>
    <w:rsid w:val="00695B94"/>
    <w:rsid w:val="006975CF"/>
    <w:rsid w:val="006A16FE"/>
    <w:rsid w:val="006A273A"/>
    <w:rsid w:val="006A2FEC"/>
    <w:rsid w:val="006A45B7"/>
    <w:rsid w:val="006A59E8"/>
    <w:rsid w:val="006A5A9B"/>
    <w:rsid w:val="006A7AA4"/>
    <w:rsid w:val="006B101E"/>
    <w:rsid w:val="006B2026"/>
    <w:rsid w:val="006B3314"/>
    <w:rsid w:val="006B3F3C"/>
    <w:rsid w:val="006B6A9B"/>
    <w:rsid w:val="006B6DE4"/>
    <w:rsid w:val="006B7F0B"/>
    <w:rsid w:val="006C53DD"/>
    <w:rsid w:val="006D2435"/>
    <w:rsid w:val="006E457B"/>
    <w:rsid w:val="006E4969"/>
    <w:rsid w:val="006F16DE"/>
    <w:rsid w:val="006F1EDA"/>
    <w:rsid w:val="006F2447"/>
    <w:rsid w:val="006F4433"/>
    <w:rsid w:val="006F78B5"/>
    <w:rsid w:val="006F7C12"/>
    <w:rsid w:val="00701C40"/>
    <w:rsid w:val="00705E1D"/>
    <w:rsid w:val="0070698F"/>
    <w:rsid w:val="00707322"/>
    <w:rsid w:val="0070748A"/>
    <w:rsid w:val="0071521B"/>
    <w:rsid w:val="00716F63"/>
    <w:rsid w:val="0071758E"/>
    <w:rsid w:val="00717D41"/>
    <w:rsid w:val="00723673"/>
    <w:rsid w:val="00723F57"/>
    <w:rsid w:val="00725F54"/>
    <w:rsid w:val="00731810"/>
    <w:rsid w:val="007339D5"/>
    <w:rsid w:val="00735B5E"/>
    <w:rsid w:val="00740402"/>
    <w:rsid w:val="00745DD9"/>
    <w:rsid w:val="007467EA"/>
    <w:rsid w:val="007479DD"/>
    <w:rsid w:val="0075178E"/>
    <w:rsid w:val="0075403B"/>
    <w:rsid w:val="00754B35"/>
    <w:rsid w:val="007561BF"/>
    <w:rsid w:val="00756FE4"/>
    <w:rsid w:val="007578B8"/>
    <w:rsid w:val="00761723"/>
    <w:rsid w:val="00762403"/>
    <w:rsid w:val="007636DD"/>
    <w:rsid w:val="007675C6"/>
    <w:rsid w:val="00770719"/>
    <w:rsid w:val="0077220F"/>
    <w:rsid w:val="007749EA"/>
    <w:rsid w:val="00774D25"/>
    <w:rsid w:val="00774FA2"/>
    <w:rsid w:val="007756F8"/>
    <w:rsid w:val="00776471"/>
    <w:rsid w:val="0077659D"/>
    <w:rsid w:val="00777955"/>
    <w:rsid w:val="00777FE8"/>
    <w:rsid w:val="007808E0"/>
    <w:rsid w:val="00780E89"/>
    <w:rsid w:val="0078250D"/>
    <w:rsid w:val="00784EE3"/>
    <w:rsid w:val="0078762B"/>
    <w:rsid w:val="0078765E"/>
    <w:rsid w:val="007878F5"/>
    <w:rsid w:val="007904A0"/>
    <w:rsid w:val="00792D3B"/>
    <w:rsid w:val="00793C1C"/>
    <w:rsid w:val="00794FD1"/>
    <w:rsid w:val="00795838"/>
    <w:rsid w:val="007966A4"/>
    <w:rsid w:val="007A02D3"/>
    <w:rsid w:val="007A27B5"/>
    <w:rsid w:val="007A3918"/>
    <w:rsid w:val="007A3E0C"/>
    <w:rsid w:val="007B351B"/>
    <w:rsid w:val="007B394D"/>
    <w:rsid w:val="007B48C8"/>
    <w:rsid w:val="007B4BF1"/>
    <w:rsid w:val="007B693D"/>
    <w:rsid w:val="007B6B7E"/>
    <w:rsid w:val="007B756D"/>
    <w:rsid w:val="007C131F"/>
    <w:rsid w:val="007C488B"/>
    <w:rsid w:val="007C7AD7"/>
    <w:rsid w:val="007D0A8C"/>
    <w:rsid w:val="007D0B4B"/>
    <w:rsid w:val="007D28AF"/>
    <w:rsid w:val="007D2EB9"/>
    <w:rsid w:val="007E003C"/>
    <w:rsid w:val="007E07D7"/>
    <w:rsid w:val="007E1CEC"/>
    <w:rsid w:val="007E3D1F"/>
    <w:rsid w:val="007E3DB7"/>
    <w:rsid w:val="007E6BC9"/>
    <w:rsid w:val="007F13B1"/>
    <w:rsid w:val="007F14C1"/>
    <w:rsid w:val="007F4A99"/>
    <w:rsid w:val="007F5AF3"/>
    <w:rsid w:val="007F61C7"/>
    <w:rsid w:val="007F6850"/>
    <w:rsid w:val="0080588C"/>
    <w:rsid w:val="0080657C"/>
    <w:rsid w:val="00807A18"/>
    <w:rsid w:val="00807A91"/>
    <w:rsid w:val="00807FDA"/>
    <w:rsid w:val="0081088E"/>
    <w:rsid w:val="00812520"/>
    <w:rsid w:val="00812935"/>
    <w:rsid w:val="00813DC3"/>
    <w:rsid w:val="00813E10"/>
    <w:rsid w:val="00815200"/>
    <w:rsid w:val="00816011"/>
    <w:rsid w:val="00817BB7"/>
    <w:rsid w:val="00820949"/>
    <w:rsid w:val="00822EDA"/>
    <w:rsid w:val="0082462E"/>
    <w:rsid w:val="00825D5C"/>
    <w:rsid w:val="00827DB4"/>
    <w:rsid w:val="00830092"/>
    <w:rsid w:val="00833F21"/>
    <w:rsid w:val="008356C9"/>
    <w:rsid w:val="00835CAC"/>
    <w:rsid w:val="00840363"/>
    <w:rsid w:val="0084054E"/>
    <w:rsid w:val="00847FE6"/>
    <w:rsid w:val="00850600"/>
    <w:rsid w:val="00852EC3"/>
    <w:rsid w:val="00856135"/>
    <w:rsid w:val="008575DE"/>
    <w:rsid w:val="0086034E"/>
    <w:rsid w:val="00860580"/>
    <w:rsid w:val="008606A3"/>
    <w:rsid w:val="00863696"/>
    <w:rsid w:val="00864E6C"/>
    <w:rsid w:val="00865538"/>
    <w:rsid w:val="008711CF"/>
    <w:rsid w:val="00871A28"/>
    <w:rsid w:val="00871E78"/>
    <w:rsid w:val="00874928"/>
    <w:rsid w:val="00877B35"/>
    <w:rsid w:val="008820E7"/>
    <w:rsid w:val="008825E5"/>
    <w:rsid w:val="00886080"/>
    <w:rsid w:val="008876A4"/>
    <w:rsid w:val="00890193"/>
    <w:rsid w:val="00893F15"/>
    <w:rsid w:val="00894DA6"/>
    <w:rsid w:val="008A130C"/>
    <w:rsid w:val="008A1473"/>
    <w:rsid w:val="008A1945"/>
    <w:rsid w:val="008A2ACB"/>
    <w:rsid w:val="008A43F9"/>
    <w:rsid w:val="008A54F2"/>
    <w:rsid w:val="008A606F"/>
    <w:rsid w:val="008A6AD9"/>
    <w:rsid w:val="008B4C23"/>
    <w:rsid w:val="008B4E2D"/>
    <w:rsid w:val="008B5E5B"/>
    <w:rsid w:val="008B64D7"/>
    <w:rsid w:val="008B700B"/>
    <w:rsid w:val="008B7D64"/>
    <w:rsid w:val="008C6433"/>
    <w:rsid w:val="008D03AF"/>
    <w:rsid w:val="008D254B"/>
    <w:rsid w:val="008D6282"/>
    <w:rsid w:val="008D7471"/>
    <w:rsid w:val="008E4A76"/>
    <w:rsid w:val="008E4F0D"/>
    <w:rsid w:val="008E6FFF"/>
    <w:rsid w:val="008E7074"/>
    <w:rsid w:val="008F05F5"/>
    <w:rsid w:val="008F10DC"/>
    <w:rsid w:val="008F2430"/>
    <w:rsid w:val="008F6F0E"/>
    <w:rsid w:val="00900D18"/>
    <w:rsid w:val="00904116"/>
    <w:rsid w:val="00904E94"/>
    <w:rsid w:val="00912007"/>
    <w:rsid w:val="0091448E"/>
    <w:rsid w:val="00924BDE"/>
    <w:rsid w:val="00925739"/>
    <w:rsid w:val="009261D4"/>
    <w:rsid w:val="00927E96"/>
    <w:rsid w:val="00932D62"/>
    <w:rsid w:val="00935B54"/>
    <w:rsid w:val="009403D8"/>
    <w:rsid w:val="00944FF1"/>
    <w:rsid w:val="0095237A"/>
    <w:rsid w:val="0095305A"/>
    <w:rsid w:val="00953C83"/>
    <w:rsid w:val="00956625"/>
    <w:rsid w:val="00961A98"/>
    <w:rsid w:val="00962BE4"/>
    <w:rsid w:val="00962DD8"/>
    <w:rsid w:val="00965063"/>
    <w:rsid w:val="00970DDB"/>
    <w:rsid w:val="009732FF"/>
    <w:rsid w:val="00973FD3"/>
    <w:rsid w:val="0097509C"/>
    <w:rsid w:val="00977198"/>
    <w:rsid w:val="0097751B"/>
    <w:rsid w:val="009800F3"/>
    <w:rsid w:val="009810EF"/>
    <w:rsid w:val="00982802"/>
    <w:rsid w:val="00982F1F"/>
    <w:rsid w:val="00985802"/>
    <w:rsid w:val="00985C49"/>
    <w:rsid w:val="009872DE"/>
    <w:rsid w:val="0098754B"/>
    <w:rsid w:val="009A2CC6"/>
    <w:rsid w:val="009A7577"/>
    <w:rsid w:val="009B2033"/>
    <w:rsid w:val="009B3019"/>
    <w:rsid w:val="009B3190"/>
    <w:rsid w:val="009B71B9"/>
    <w:rsid w:val="009C4210"/>
    <w:rsid w:val="009C5853"/>
    <w:rsid w:val="009C5D27"/>
    <w:rsid w:val="009D1DF2"/>
    <w:rsid w:val="009D2318"/>
    <w:rsid w:val="009D49A1"/>
    <w:rsid w:val="009D7BA0"/>
    <w:rsid w:val="009F11B4"/>
    <w:rsid w:val="009F21CE"/>
    <w:rsid w:val="009F3529"/>
    <w:rsid w:val="009F6A6A"/>
    <w:rsid w:val="00A0339B"/>
    <w:rsid w:val="00A04110"/>
    <w:rsid w:val="00A06300"/>
    <w:rsid w:val="00A07472"/>
    <w:rsid w:val="00A126BC"/>
    <w:rsid w:val="00A1303A"/>
    <w:rsid w:val="00A13173"/>
    <w:rsid w:val="00A13CB4"/>
    <w:rsid w:val="00A1514E"/>
    <w:rsid w:val="00A1732F"/>
    <w:rsid w:val="00A21B64"/>
    <w:rsid w:val="00A32200"/>
    <w:rsid w:val="00A328C6"/>
    <w:rsid w:val="00A334E3"/>
    <w:rsid w:val="00A41FEC"/>
    <w:rsid w:val="00A4425C"/>
    <w:rsid w:val="00A44374"/>
    <w:rsid w:val="00A44D8D"/>
    <w:rsid w:val="00A46F04"/>
    <w:rsid w:val="00A50A67"/>
    <w:rsid w:val="00A50DDD"/>
    <w:rsid w:val="00A51DE7"/>
    <w:rsid w:val="00A51E3B"/>
    <w:rsid w:val="00A5239D"/>
    <w:rsid w:val="00A5252C"/>
    <w:rsid w:val="00A563B9"/>
    <w:rsid w:val="00A61A49"/>
    <w:rsid w:val="00A62090"/>
    <w:rsid w:val="00A64460"/>
    <w:rsid w:val="00A650B5"/>
    <w:rsid w:val="00A65A7D"/>
    <w:rsid w:val="00A70AEA"/>
    <w:rsid w:val="00A71AE2"/>
    <w:rsid w:val="00A72ED5"/>
    <w:rsid w:val="00A747C2"/>
    <w:rsid w:val="00A77F86"/>
    <w:rsid w:val="00A810FF"/>
    <w:rsid w:val="00A81165"/>
    <w:rsid w:val="00A84602"/>
    <w:rsid w:val="00A84E07"/>
    <w:rsid w:val="00A92867"/>
    <w:rsid w:val="00A948E9"/>
    <w:rsid w:val="00A966EA"/>
    <w:rsid w:val="00A968C6"/>
    <w:rsid w:val="00AA272D"/>
    <w:rsid w:val="00AA3E04"/>
    <w:rsid w:val="00AA4322"/>
    <w:rsid w:val="00AA640A"/>
    <w:rsid w:val="00AB32CE"/>
    <w:rsid w:val="00AB4FB2"/>
    <w:rsid w:val="00AB52BE"/>
    <w:rsid w:val="00AB5757"/>
    <w:rsid w:val="00AB7538"/>
    <w:rsid w:val="00AC0501"/>
    <w:rsid w:val="00AC098B"/>
    <w:rsid w:val="00AC0D4B"/>
    <w:rsid w:val="00AC0D60"/>
    <w:rsid w:val="00AC1558"/>
    <w:rsid w:val="00AD1485"/>
    <w:rsid w:val="00AD14F1"/>
    <w:rsid w:val="00AD4796"/>
    <w:rsid w:val="00AD5057"/>
    <w:rsid w:val="00AE4386"/>
    <w:rsid w:val="00AF5F0A"/>
    <w:rsid w:val="00B00341"/>
    <w:rsid w:val="00B00563"/>
    <w:rsid w:val="00B005F2"/>
    <w:rsid w:val="00B02442"/>
    <w:rsid w:val="00B03824"/>
    <w:rsid w:val="00B0404F"/>
    <w:rsid w:val="00B04905"/>
    <w:rsid w:val="00B1204C"/>
    <w:rsid w:val="00B13884"/>
    <w:rsid w:val="00B15733"/>
    <w:rsid w:val="00B177DF"/>
    <w:rsid w:val="00B2087F"/>
    <w:rsid w:val="00B25EE2"/>
    <w:rsid w:val="00B33B3F"/>
    <w:rsid w:val="00B341FE"/>
    <w:rsid w:val="00B35C41"/>
    <w:rsid w:val="00B37D77"/>
    <w:rsid w:val="00B406B8"/>
    <w:rsid w:val="00B45A6D"/>
    <w:rsid w:val="00B46ABC"/>
    <w:rsid w:val="00B50865"/>
    <w:rsid w:val="00B53E3E"/>
    <w:rsid w:val="00B544B4"/>
    <w:rsid w:val="00B549EF"/>
    <w:rsid w:val="00B55A64"/>
    <w:rsid w:val="00B560D3"/>
    <w:rsid w:val="00B56A21"/>
    <w:rsid w:val="00B61598"/>
    <w:rsid w:val="00B66208"/>
    <w:rsid w:val="00B66AC7"/>
    <w:rsid w:val="00B71405"/>
    <w:rsid w:val="00B76FD6"/>
    <w:rsid w:val="00B833F3"/>
    <w:rsid w:val="00B94449"/>
    <w:rsid w:val="00B95A6A"/>
    <w:rsid w:val="00BA3425"/>
    <w:rsid w:val="00BA5600"/>
    <w:rsid w:val="00BA6C31"/>
    <w:rsid w:val="00BA7F54"/>
    <w:rsid w:val="00BB1744"/>
    <w:rsid w:val="00BB23AF"/>
    <w:rsid w:val="00BB3772"/>
    <w:rsid w:val="00BB3881"/>
    <w:rsid w:val="00BB64B9"/>
    <w:rsid w:val="00BB7575"/>
    <w:rsid w:val="00BC19E5"/>
    <w:rsid w:val="00BC2CAF"/>
    <w:rsid w:val="00BC2D57"/>
    <w:rsid w:val="00BC5086"/>
    <w:rsid w:val="00BC5EFB"/>
    <w:rsid w:val="00BD3031"/>
    <w:rsid w:val="00BD4C6A"/>
    <w:rsid w:val="00BD51F1"/>
    <w:rsid w:val="00BE2E4D"/>
    <w:rsid w:val="00BE7E1F"/>
    <w:rsid w:val="00BF16FE"/>
    <w:rsid w:val="00C00E95"/>
    <w:rsid w:val="00C032A1"/>
    <w:rsid w:val="00C03592"/>
    <w:rsid w:val="00C03EB7"/>
    <w:rsid w:val="00C0550D"/>
    <w:rsid w:val="00C10136"/>
    <w:rsid w:val="00C11752"/>
    <w:rsid w:val="00C1463A"/>
    <w:rsid w:val="00C14E22"/>
    <w:rsid w:val="00C14FA4"/>
    <w:rsid w:val="00C16407"/>
    <w:rsid w:val="00C168CF"/>
    <w:rsid w:val="00C20DBC"/>
    <w:rsid w:val="00C21AAE"/>
    <w:rsid w:val="00C22295"/>
    <w:rsid w:val="00C23929"/>
    <w:rsid w:val="00C248F9"/>
    <w:rsid w:val="00C302C5"/>
    <w:rsid w:val="00C321EB"/>
    <w:rsid w:val="00C33807"/>
    <w:rsid w:val="00C3475B"/>
    <w:rsid w:val="00C503AA"/>
    <w:rsid w:val="00C561CB"/>
    <w:rsid w:val="00C60787"/>
    <w:rsid w:val="00C614CE"/>
    <w:rsid w:val="00C62F6E"/>
    <w:rsid w:val="00C7098F"/>
    <w:rsid w:val="00C806B0"/>
    <w:rsid w:val="00C80DA4"/>
    <w:rsid w:val="00C820D0"/>
    <w:rsid w:val="00C83634"/>
    <w:rsid w:val="00C845F7"/>
    <w:rsid w:val="00C91E56"/>
    <w:rsid w:val="00C93B14"/>
    <w:rsid w:val="00C97C9A"/>
    <w:rsid w:val="00CA0C15"/>
    <w:rsid w:val="00CA1AA4"/>
    <w:rsid w:val="00CA3096"/>
    <w:rsid w:val="00CA4630"/>
    <w:rsid w:val="00CA656D"/>
    <w:rsid w:val="00CB4893"/>
    <w:rsid w:val="00CB5666"/>
    <w:rsid w:val="00CB5955"/>
    <w:rsid w:val="00CB5B59"/>
    <w:rsid w:val="00CB693F"/>
    <w:rsid w:val="00CD00A2"/>
    <w:rsid w:val="00CD12E1"/>
    <w:rsid w:val="00CD1A89"/>
    <w:rsid w:val="00CD1FED"/>
    <w:rsid w:val="00CD2D9D"/>
    <w:rsid w:val="00CD7709"/>
    <w:rsid w:val="00CD792B"/>
    <w:rsid w:val="00CE2A4F"/>
    <w:rsid w:val="00CE468E"/>
    <w:rsid w:val="00CE550A"/>
    <w:rsid w:val="00CF0CBA"/>
    <w:rsid w:val="00CF29F1"/>
    <w:rsid w:val="00CF3518"/>
    <w:rsid w:val="00CF354C"/>
    <w:rsid w:val="00CF3D49"/>
    <w:rsid w:val="00D021D6"/>
    <w:rsid w:val="00D04884"/>
    <w:rsid w:val="00D109AE"/>
    <w:rsid w:val="00D139D5"/>
    <w:rsid w:val="00D162EA"/>
    <w:rsid w:val="00D21198"/>
    <w:rsid w:val="00D2254C"/>
    <w:rsid w:val="00D248B8"/>
    <w:rsid w:val="00D26EAA"/>
    <w:rsid w:val="00D328DE"/>
    <w:rsid w:val="00D32C5A"/>
    <w:rsid w:val="00D338D9"/>
    <w:rsid w:val="00D34DFB"/>
    <w:rsid w:val="00D41FD9"/>
    <w:rsid w:val="00D4260E"/>
    <w:rsid w:val="00D4773F"/>
    <w:rsid w:val="00D53DFC"/>
    <w:rsid w:val="00D57B25"/>
    <w:rsid w:val="00D61556"/>
    <w:rsid w:val="00D63A50"/>
    <w:rsid w:val="00D6502F"/>
    <w:rsid w:val="00D73646"/>
    <w:rsid w:val="00D74591"/>
    <w:rsid w:val="00D814D3"/>
    <w:rsid w:val="00D84C3C"/>
    <w:rsid w:val="00D857FB"/>
    <w:rsid w:val="00D85E31"/>
    <w:rsid w:val="00D86CE0"/>
    <w:rsid w:val="00D9005C"/>
    <w:rsid w:val="00D95699"/>
    <w:rsid w:val="00D95962"/>
    <w:rsid w:val="00DA0AD7"/>
    <w:rsid w:val="00DA2B6A"/>
    <w:rsid w:val="00DA3555"/>
    <w:rsid w:val="00DA45AC"/>
    <w:rsid w:val="00DA7918"/>
    <w:rsid w:val="00DB0FBA"/>
    <w:rsid w:val="00DB1F32"/>
    <w:rsid w:val="00DB55C3"/>
    <w:rsid w:val="00DB7018"/>
    <w:rsid w:val="00DB70DF"/>
    <w:rsid w:val="00DB7C29"/>
    <w:rsid w:val="00DC1F0A"/>
    <w:rsid w:val="00DC5257"/>
    <w:rsid w:val="00DC7007"/>
    <w:rsid w:val="00DD4573"/>
    <w:rsid w:val="00DD7BAA"/>
    <w:rsid w:val="00DE09F9"/>
    <w:rsid w:val="00DE0BF6"/>
    <w:rsid w:val="00DE53E4"/>
    <w:rsid w:val="00DE65E8"/>
    <w:rsid w:val="00DE7E31"/>
    <w:rsid w:val="00DF0B68"/>
    <w:rsid w:val="00DF1B31"/>
    <w:rsid w:val="00DF67F1"/>
    <w:rsid w:val="00E00059"/>
    <w:rsid w:val="00E033A3"/>
    <w:rsid w:val="00E047E0"/>
    <w:rsid w:val="00E04C89"/>
    <w:rsid w:val="00E0532C"/>
    <w:rsid w:val="00E06816"/>
    <w:rsid w:val="00E07008"/>
    <w:rsid w:val="00E079E2"/>
    <w:rsid w:val="00E117ED"/>
    <w:rsid w:val="00E11C4A"/>
    <w:rsid w:val="00E12BFF"/>
    <w:rsid w:val="00E12C30"/>
    <w:rsid w:val="00E14903"/>
    <w:rsid w:val="00E16510"/>
    <w:rsid w:val="00E219DE"/>
    <w:rsid w:val="00E26171"/>
    <w:rsid w:val="00E268C6"/>
    <w:rsid w:val="00E26F6D"/>
    <w:rsid w:val="00E33090"/>
    <w:rsid w:val="00E3538D"/>
    <w:rsid w:val="00E36253"/>
    <w:rsid w:val="00E40D2C"/>
    <w:rsid w:val="00E41A0C"/>
    <w:rsid w:val="00E47793"/>
    <w:rsid w:val="00E50A22"/>
    <w:rsid w:val="00E50B86"/>
    <w:rsid w:val="00E50D0F"/>
    <w:rsid w:val="00E519D0"/>
    <w:rsid w:val="00E53C9B"/>
    <w:rsid w:val="00E548FF"/>
    <w:rsid w:val="00E54961"/>
    <w:rsid w:val="00E55446"/>
    <w:rsid w:val="00E56501"/>
    <w:rsid w:val="00E5714F"/>
    <w:rsid w:val="00E62C53"/>
    <w:rsid w:val="00E6419E"/>
    <w:rsid w:val="00E70B4F"/>
    <w:rsid w:val="00E769D8"/>
    <w:rsid w:val="00E80213"/>
    <w:rsid w:val="00E818F7"/>
    <w:rsid w:val="00E83774"/>
    <w:rsid w:val="00E84909"/>
    <w:rsid w:val="00E852A1"/>
    <w:rsid w:val="00E8635C"/>
    <w:rsid w:val="00E87733"/>
    <w:rsid w:val="00E9051B"/>
    <w:rsid w:val="00E90524"/>
    <w:rsid w:val="00E90FEA"/>
    <w:rsid w:val="00E94E03"/>
    <w:rsid w:val="00E961FE"/>
    <w:rsid w:val="00E96762"/>
    <w:rsid w:val="00EA5D14"/>
    <w:rsid w:val="00EA6B19"/>
    <w:rsid w:val="00EB1DE4"/>
    <w:rsid w:val="00EB445A"/>
    <w:rsid w:val="00EB4C62"/>
    <w:rsid w:val="00EB4DA8"/>
    <w:rsid w:val="00EB5422"/>
    <w:rsid w:val="00EC1832"/>
    <w:rsid w:val="00EC1DF8"/>
    <w:rsid w:val="00EC4AC6"/>
    <w:rsid w:val="00EC5FEB"/>
    <w:rsid w:val="00ED1F8D"/>
    <w:rsid w:val="00ED28AC"/>
    <w:rsid w:val="00ED635B"/>
    <w:rsid w:val="00ED6F5B"/>
    <w:rsid w:val="00EE08B6"/>
    <w:rsid w:val="00EE11E6"/>
    <w:rsid w:val="00EE6105"/>
    <w:rsid w:val="00EE7707"/>
    <w:rsid w:val="00EE7956"/>
    <w:rsid w:val="00EF02EC"/>
    <w:rsid w:val="00EF70CF"/>
    <w:rsid w:val="00F05D9A"/>
    <w:rsid w:val="00F123FB"/>
    <w:rsid w:val="00F16D47"/>
    <w:rsid w:val="00F22467"/>
    <w:rsid w:val="00F27FB8"/>
    <w:rsid w:val="00F33F1E"/>
    <w:rsid w:val="00F41799"/>
    <w:rsid w:val="00F41C52"/>
    <w:rsid w:val="00F42253"/>
    <w:rsid w:val="00F5201E"/>
    <w:rsid w:val="00F54AC8"/>
    <w:rsid w:val="00F54AE1"/>
    <w:rsid w:val="00F54B28"/>
    <w:rsid w:val="00F61C43"/>
    <w:rsid w:val="00F65636"/>
    <w:rsid w:val="00F665C5"/>
    <w:rsid w:val="00F72CA3"/>
    <w:rsid w:val="00F80CC3"/>
    <w:rsid w:val="00F85648"/>
    <w:rsid w:val="00F90486"/>
    <w:rsid w:val="00F9142D"/>
    <w:rsid w:val="00F91AED"/>
    <w:rsid w:val="00F91D68"/>
    <w:rsid w:val="00F93FCD"/>
    <w:rsid w:val="00F97309"/>
    <w:rsid w:val="00FA1696"/>
    <w:rsid w:val="00FA4993"/>
    <w:rsid w:val="00FA5963"/>
    <w:rsid w:val="00FA64C7"/>
    <w:rsid w:val="00FA68A3"/>
    <w:rsid w:val="00FB0D27"/>
    <w:rsid w:val="00FB1350"/>
    <w:rsid w:val="00FB1DC9"/>
    <w:rsid w:val="00FB4DB1"/>
    <w:rsid w:val="00FC12C1"/>
    <w:rsid w:val="00FC2F23"/>
    <w:rsid w:val="00FC3235"/>
    <w:rsid w:val="00FC6D70"/>
    <w:rsid w:val="00FC7895"/>
    <w:rsid w:val="00FC794B"/>
    <w:rsid w:val="00FD3548"/>
    <w:rsid w:val="00FD3D22"/>
    <w:rsid w:val="00FD4051"/>
    <w:rsid w:val="00FD41E8"/>
    <w:rsid w:val="00FE1BF3"/>
    <w:rsid w:val="00FE6FC7"/>
    <w:rsid w:val="00FF31BA"/>
    <w:rsid w:val="00FF4E8F"/>
    <w:rsid w:val="00FF72A8"/>
    <w:rsid w:val="00FF77F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9E5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.5"/>
    <w:qFormat/>
    <w:rsid w:val="004B4C5C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4C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CC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CC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2CC6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customStyle="1" w:styleId="MyHeader1">
    <w:name w:val="My Header 1"/>
    <w:basedOn w:val="Heading1"/>
    <w:uiPriority w:val="99"/>
    <w:rsid w:val="004B4C5C"/>
  </w:style>
  <w:style w:type="paragraph" w:customStyle="1" w:styleId="MyHeader2">
    <w:name w:val="My Header 2"/>
    <w:basedOn w:val="Heading3"/>
    <w:uiPriority w:val="99"/>
    <w:rsid w:val="004B4C5C"/>
  </w:style>
  <w:style w:type="paragraph" w:customStyle="1" w:styleId="MyHeader3">
    <w:name w:val="My Header 3"/>
    <w:basedOn w:val="Heading5"/>
    <w:uiPriority w:val="99"/>
    <w:rsid w:val="004B4C5C"/>
    <w:pPr>
      <w:keepNext/>
      <w:spacing w:before="0" w:after="0"/>
      <w:jc w:val="both"/>
    </w:pPr>
    <w:rPr>
      <w:sz w:val="24"/>
      <w:szCs w:val="24"/>
    </w:rPr>
  </w:style>
  <w:style w:type="paragraph" w:customStyle="1" w:styleId="Normal15Space">
    <w:name w:val="Normal (1.5 Space)"/>
    <w:basedOn w:val="Normal"/>
    <w:uiPriority w:val="99"/>
    <w:rsid w:val="004B4C5C"/>
  </w:style>
  <w:style w:type="character" w:customStyle="1" w:styleId="articletext">
    <w:name w:val="articletext"/>
    <w:basedOn w:val="DefaultParagraphFont"/>
    <w:uiPriority w:val="99"/>
    <w:rsid w:val="004B4C5C"/>
    <w:rPr>
      <w:rFonts w:cs="Times New Roman"/>
    </w:rPr>
  </w:style>
  <w:style w:type="character" w:styleId="Strong">
    <w:name w:val="Strong"/>
    <w:basedOn w:val="DefaultParagraphFont"/>
    <w:uiPriority w:val="99"/>
    <w:qFormat/>
    <w:rsid w:val="004B4C5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D434D"/>
    <w:rPr>
      <w:rFonts w:cs="Times New Roman"/>
      <w:color w:val="0000FF"/>
      <w:u w:val="single"/>
    </w:rPr>
  </w:style>
  <w:style w:type="paragraph" w:customStyle="1" w:styleId="Normal-DoubleSpaced">
    <w:name w:val="Normal - Double Spaced"/>
    <w:basedOn w:val="Normal"/>
    <w:uiPriority w:val="99"/>
    <w:rsid w:val="002D434D"/>
    <w:pPr>
      <w:spacing w:line="480" w:lineRule="auto"/>
    </w:pPr>
    <w:rPr>
      <w:bCs/>
      <w:kern w:val="32"/>
      <w:lang w:eastAsia="en-GB"/>
    </w:rPr>
  </w:style>
  <w:style w:type="table" w:styleId="TableSimple1">
    <w:name w:val="Table Simple 1"/>
    <w:basedOn w:val="TableNormal"/>
    <w:uiPriority w:val="99"/>
    <w:rsid w:val="002D434D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2D434D"/>
    <w:pPr>
      <w:spacing w:after="120" w:line="480" w:lineRule="auto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2CC6"/>
    <w:rPr>
      <w:rFonts w:cs="Times New Roman"/>
      <w:sz w:val="16"/>
      <w:szCs w:val="16"/>
      <w:lang w:val="en-GB"/>
    </w:rPr>
  </w:style>
  <w:style w:type="character" w:customStyle="1" w:styleId="WW-DefaultParagraphFont">
    <w:name w:val="WW-Default Paragraph Font"/>
    <w:uiPriority w:val="99"/>
    <w:rsid w:val="002D434D"/>
  </w:style>
  <w:style w:type="character" w:styleId="PageNumber">
    <w:name w:val="page number"/>
    <w:basedOn w:val="WW-DefaultParagraphFont"/>
    <w:uiPriority w:val="99"/>
    <w:rsid w:val="002D434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D434D"/>
    <w:pPr>
      <w:suppressAutoHyphens/>
      <w:spacing w:after="120" w:line="240" w:lineRule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CC6"/>
    <w:rPr>
      <w:rFonts w:cs="Times New Roman"/>
      <w:sz w:val="24"/>
      <w:szCs w:val="24"/>
      <w:lang w:val="en-GB"/>
    </w:rPr>
  </w:style>
  <w:style w:type="paragraph" w:styleId="List">
    <w:name w:val="List"/>
    <w:basedOn w:val="BodyText"/>
    <w:uiPriority w:val="99"/>
    <w:rsid w:val="002D434D"/>
    <w:rPr>
      <w:rFonts w:cs="Lucidasans"/>
    </w:rPr>
  </w:style>
  <w:style w:type="paragraph" w:customStyle="1" w:styleId="Caption1">
    <w:name w:val="Caption1"/>
    <w:basedOn w:val="Normal"/>
    <w:uiPriority w:val="99"/>
    <w:rsid w:val="002D434D"/>
    <w:pPr>
      <w:suppressLineNumbers/>
      <w:suppressAutoHyphens/>
      <w:spacing w:before="120" w:after="120" w:line="240" w:lineRule="auto"/>
    </w:pPr>
    <w:rPr>
      <w:rFonts w:cs="Lucidasans"/>
      <w:i/>
      <w:iCs/>
      <w:sz w:val="20"/>
      <w:szCs w:val="20"/>
      <w:lang w:eastAsia="ar-SA"/>
    </w:rPr>
  </w:style>
  <w:style w:type="paragraph" w:customStyle="1" w:styleId="Index">
    <w:name w:val="Index"/>
    <w:basedOn w:val="Normal"/>
    <w:uiPriority w:val="99"/>
    <w:rsid w:val="002D434D"/>
    <w:pPr>
      <w:suppressLineNumbers/>
      <w:suppressAutoHyphens/>
      <w:spacing w:line="240" w:lineRule="auto"/>
    </w:pPr>
    <w:rPr>
      <w:rFonts w:cs="Lucidasans"/>
      <w:lang w:eastAsia="ar-SA"/>
    </w:rPr>
  </w:style>
  <w:style w:type="paragraph" w:styleId="Header">
    <w:name w:val="header"/>
    <w:basedOn w:val="Normal"/>
    <w:link w:val="HeaderChar"/>
    <w:uiPriority w:val="99"/>
    <w:rsid w:val="002D434D"/>
    <w:pPr>
      <w:tabs>
        <w:tab w:val="center" w:pos="4153"/>
        <w:tab w:val="right" w:pos="8306"/>
      </w:tabs>
      <w:suppressAutoHyphens/>
      <w:spacing w:line="240" w:lineRule="auto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CC6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D434D"/>
    <w:pPr>
      <w:tabs>
        <w:tab w:val="center" w:pos="4153"/>
        <w:tab w:val="right" w:pos="8306"/>
      </w:tabs>
      <w:suppressAutoHyphens/>
      <w:spacing w:line="240" w:lineRule="auto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CC6"/>
    <w:rPr>
      <w:rFonts w:cs="Times New Roman"/>
      <w:sz w:val="24"/>
      <w:szCs w:val="24"/>
      <w:lang w:val="en-GB"/>
    </w:rPr>
  </w:style>
  <w:style w:type="paragraph" w:customStyle="1" w:styleId="TableContents">
    <w:name w:val="Table Contents"/>
    <w:basedOn w:val="BodyText"/>
    <w:uiPriority w:val="99"/>
    <w:rsid w:val="002D434D"/>
    <w:pPr>
      <w:suppressLineNumbers/>
    </w:pPr>
  </w:style>
  <w:style w:type="paragraph" w:customStyle="1" w:styleId="TableHeading">
    <w:name w:val="Table Heading"/>
    <w:basedOn w:val="TableContents"/>
    <w:uiPriority w:val="99"/>
    <w:rsid w:val="002D434D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2D434D"/>
  </w:style>
  <w:style w:type="paragraph" w:styleId="BalloonText">
    <w:name w:val="Balloon Text"/>
    <w:basedOn w:val="Normal"/>
    <w:link w:val="BalloonTextChar"/>
    <w:uiPriority w:val="99"/>
    <w:semiHidden/>
    <w:rsid w:val="002D434D"/>
    <w:pPr>
      <w:suppressAutoHyphens/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CC6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D434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D434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3A50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34D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2CC6"/>
    <w:rPr>
      <w:rFonts w:cs="Times New Roman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EC1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1411</Words>
  <Characters>8044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</vt:lpstr>
    </vt:vector>
  </TitlesOfParts>
  <Company>Department of Psychiatry, University of Oxford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Richard Wood</dc:creator>
  <cp:lastModifiedBy>Andrew Bayliss (PSY)</cp:lastModifiedBy>
  <cp:revision>11</cp:revision>
  <cp:lastPrinted>2011-03-16T18:19:00Z</cp:lastPrinted>
  <dcterms:created xsi:type="dcterms:W3CDTF">2011-07-28T07:57:00Z</dcterms:created>
  <dcterms:modified xsi:type="dcterms:W3CDTF">2016-02-03T17:59:00Z</dcterms:modified>
</cp:coreProperties>
</file>