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6A0A" w14:textId="4C625DFA" w:rsidR="00EE4A9C" w:rsidRDefault="00953527" w:rsidP="000A6C26">
      <w:pPr>
        <w:spacing w:line="480" w:lineRule="auto"/>
      </w:pPr>
      <w:r>
        <w:t>FIGURE</w:t>
      </w:r>
      <w:r w:rsidR="003A50E1">
        <w:t xml:space="preserve"> 1</w:t>
      </w:r>
      <w:r>
        <w:t>.</w:t>
      </w:r>
      <w:r w:rsidR="00807B62">
        <w:t xml:space="preserve"> TOTAL NUMBER OF LEGISLATIVE PROPOSALS ADOPTED BY THE COMMISSION BY YEAR, 1996-2014</w:t>
      </w:r>
    </w:p>
    <w:p w14:paraId="432FFA2F" w14:textId="77777777" w:rsidR="00436AAA" w:rsidRDefault="00436AAA" w:rsidP="000A6C26">
      <w:pPr>
        <w:spacing w:line="480" w:lineRule="auto"/>
      </w:pPr>
    </w:p>
    <w:p w14:paraId="7EA89650" w14:textId="55E9B089" w:rsidR="00ED51E8" w:rsidRDefault="00ED51E8" w:rsidP="000A6C26">
      <w:pPr>
        <w:spacing w:line="480" w:lineRule="auto"/>
      </w:pPr>
      <w:r>
        <w:rPr>
          <w:noProof/>
          <w:lang w:val="en-US"/>
        </w:rPr>
        <w:drawing>
          <wp:inline distT="0" distB="0" distL="0" distR="0" wp14:anchorId="01265BCE" wp14:editId="379C8DC2">
            <wp:extent cx="5486400" cy="3068320"/>
            <wp:effectExtent l="0" t="0" r="25400" b="304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D0FEDB" w14:textId="38CF2AC5" w:rsidR="0074079C" w:rsidRDefault="0074079C" w:rsidP="000A6C26">
      <w:pPr>
        <w:spacing w:line="480" w:lineRule="auto"/>
      </w:pPr>
    </w:p>
    <w:p w14:paraId="27C84A37" w14:textId="49D3E1B1" w:rsidR="009261A4" w:rsidRDefault="009261A4" w:rsidP="000A6C26">
      <w:pPr>
        <w:spacing w:line="480" w:lineRule="auto"/>
        <w:sectPr w:rsidR="009261A4" w:rsidSect="003743E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>Source:</w:t>
      </w:r>
      <w:r w:rsidRPr="00E67C11">
        <w:rPr>
          <w:rStyle w:val="FootnoteReference"/>
        </w:rPr>
        <w:t xml:space="preserve"> </w:t>
      </w:r>
      <w:r w:rsidRPr="00694173">
        <w:rPr>
          <w:sz w:val="20"/>
          <w:szCs w:val="20"/>
        </w:rPr>
        <w:t>Data from ‘</w:t>
      </w:r>
      <w:r w:rsidRPr="00694173">
        <w:rPr>
          <w:rFonts w:ascii="Times New Roman" w:eastAsia="Arial Unicode MS" w:hAnsi="Times New Roman"/>
          <w:sz w:val="20"/>
          <w:szCs w:val="20"/>
        </w:rPr>
        <w:t>The EU Legislative Output 1996-2014’ database, produced by the Centre for Socio-Political Data (CDSP, CNRS – Sciences Po) and the Centre for European Studies (CEE, CNRS-Sciences Po), and distributed by the Centre for Socio-Political Data</w:t>
      </w:r>
      <w:r w:rsidRPr="00694173">
        <w:rPr>
          <w:rFonts w:ascii="Times New Roman" w:eastAsia="Arial Unicode MS" w:hAnsi="Times New Roman"/>
          <w:i/>
          <w:iCs/>
          <w:sz w:val="20"/>
          <w:szCs w:val="20"/>
        </w:rPr>
        <w:t>.</w:t>
      </w:r>
    </w:p>
    <w:p w14:paraId="308AE85C" w14:textId="2600BB91" w:rsidR="003743E5" w:rsidRDefault="00FB6F7B" w:rsidP="000A6C26">
      <w:pPr>
        <w:spacing w:line="480" w:lineRule="auto"/>
      </w:pPr>
      <w:r>
        <w:lastRenderedPageBreak/>
        <w:t>TABLE 1</w:t>
      </w:r>
      <w:r w:rsidR="00953527">
        <w:t>.</w:t>
      </w:r>
      <w:r w:rsidR="00E24250">
        <w:t xml:space="preserve"> </w:t>
      </w:r>
      <w:r w:rsidR="00005BFE">
        <w:t xml:space="preserve">LEGISLATIVE PROPOSALS ADOPTED BY COMMISSION BY </w:t>
      </w:r>
      <w:r w:rsidR="007F5D69">
        <w:t>DG</w:t>
      </w:r>
      <w:r w:rsidR="00005BFE">
        <w:t>, 1996-2014</w:t>
      </w:r>
    </w:p>
    <w:p w14:paraId="229DB44B" w14:textId="77777777" w:rsidR="00436AAA" w:rsidRPr="0074079C" w:rsidRDefault="00436AAA" w:rsidP="000A6C26">
      <w:pPr>
        <w:spacing w:line="480" w:lineRule="auto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52"/>
        <w:gridCol w:w="797"/>
        <w:gridCol w:w="960"/>
        <w:gridCol w:w="849"/>
        <w:gridCol w:w="809"/>
        <w:gridCol w:w="809"/>
        <w:gridCol w:w="797"/>
        <w:gridCol w:w="797"/>
        <w:gridCol w:w="1004"/>
        <w:gridCol w:w="940"/>
        <w:gridCol w:w="797"/>
        <w:gridCol w:w="815"/>
        <w:gridCol w:w="860"/>
        <w:gridCol w:w="797"/>
      </w:tblGrid>
      <w:tr w:rsidR="003743E5" w:rsidRPr="0074079C" w14:paraId="2368DCD6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C62" w14:textId="77777777" w:rsidR="003743E5" w:rsidRPr="0074079C" w:rsidRDefault="003743E5" w:rsidP="000A6C26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913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AGRI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EFD8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TAXUD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EF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MARE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3EE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TREN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1A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ENTR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41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JLS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8BF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ENV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B887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MARKT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7AC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SANCO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926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SJ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493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EMPL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936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ECFIN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657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SG</w:t>
            </w:r>
          </w:p>
        </w:tc>
      </w:tr>
      <w:tr w:rsidR="003743E5" w:rsidRPr="0074079C" w14:paraId="6A83482F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06F" w14:textId="77777777" w:rsidR="003743E5" w:rsidRPr="0074079C" w:rsidRDefault="003743E5" w:rsidP="000A6C26">
            <w:pPr>
              <w:spacing w:line="480" w:lineRule="auto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Total 1996-2014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8C2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1A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0AD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D52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3DC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612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1E6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199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188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B72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3B9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12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F6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105</w:t>
            </w:r>
          </w:p>
        </w:tc>
      </w:tr>
      <w:tr w:rsidR="0074079C" w:rsidRPr="0074079C" w14:paraId="17A178F9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67165" w14:textId="2DBB4600" w:rsidR="0074079C" w:rsidRPr="0074079C" w:rsidRDefault="0074079C" w:rsidP="000A6C26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74079C">
              <w:rPr>
                <w:rFonts w:eastAsia="Times New Roman"/>
                <w:i/>
                <w:color w:val="000000"/>
              </w:rPr>
              <w:t>Averages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1930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3D0D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E3CF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25A2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A2DA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475C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56CF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1A7E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41EB4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AB72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5E7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6F51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4C71" w14:textId="77777777" w:rsidR="0074079C" w:rsidRPr="0074079C" w:rsidRDefault="0074079C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743E5" w:rsidRPr="0074079C" w14:paraId="14AAC888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2C0" w14:textId="36DBF297" w:rsidR="003743E5" w:rsidRPr="0074079C" w:rsidRDefault="003743E5" w:rsidP="000A6C26">
            <w:pPr>
              <w:spacing w:line="480" w:lineRule="auto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1996-2014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DD5F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563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29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91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D6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918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0C6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A39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EE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E4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4CE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B792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C18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4.08</w:t>
            </w:r>
          </w:p>
        </w:tc>
      </w:tr>
      <w:tr w:rsidR="003743E5" w:rsidRPr="0074079C" w14:paraId="63E9A60C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CBA4" w14:textId="5ABA076A" w:rsidR="003743E5" w:rsidRPr="0074079C" w:rsidRDefault="0074079C" w:rsidP="000A6C26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="003743E5" w:rsidRPr="0074079C">
              <w:rPr>
                <w:rFonts w:eastAsia="Times New Roman"/>
                <w:color w:val="000000"/>
              </w:rPr>
              <w:t>re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424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0DC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13D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6CA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70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D01D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EB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4E2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59C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D8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65FE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977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3C0D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2.33</w:t>
            </w:r>
          </w:p>
        </w:tc>
      </w:tr>
      <w:tr w:rsidR="003743E5" w:rsidRPr="0074079C" w14:paraId="4ADAC0B0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6B5" w14:textId="05E3D703" w:rsidR="003743E5" w:rsidRPr="0074079C" w:rsidRDefault="0074079C" w:rsidP="000A6C26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Prodi</w:t>
            </w:r>
            <w:r w:rsidR="003743E5" w:rsidRPr="0074079C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20</w:t>
            </w:r>
            <w:r w:rsidR="003743E5" w:rsidRPr="0074079C">
              <w:rPr>
                <w:rFonts w:eastAsia="Times New Roman"/>
                <w:color w:val="000000"/>
              </w:rPr>
              <w:t>00-04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1A4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1AEA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AAE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FD7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0A1C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B76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CA98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88F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328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7D03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C0DE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A53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EB9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2.50</w:t>
            </w:r>
          </w:p>
        </w:tc>
      </w:tr>
      <w:tr w:rsidR="003743E5" w:rsidRPr="0074079C" w14:paraId="6CF85C31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5D7" w14:textId="10BC4BE9" w:rsidR="003743E5" w:rsidRPr="0074079C" w:rsidRDefault="003743E5" w:rsidP="000A6C26">
            <w:pPr>
              <w:spacing w:line="480" w:lineRule="auto"/>
              <w:rPr>
                <w:rFonts w:eastAsia="Times New Roman"/>
                <w:color w:val="000000"/>
              </w:rPr>
            </w:pPr>
            <w:proofErr w:type="spellStart"/>
            <w:r w:rsidRPr="0074079C">
              <w:rPr>
                <w:rFonts w:eastAsia="Times New Roman"/>
                <w:color w:val="000000"/>
              </w:rPr>
              <w:t>Barroso</w:t>
            </w:r>
            <w:proofErr w:type="spellEnd"/>
            <w:r w:rsidRPr="0074079C">
              <w:rPr>
                <w:rFonts w:eastAsia="Times New Roman"/>
                <w:color w:val="000000"/>
              </w:rPr>
              <w:t xml:space="preserve"> 1 </w:t>
            </w:r>
            <w:r w:rsidR="0074079C">
              <w:rPr>
                <w:rFonts w:eastAsia="Times New Roman"/>
                <w:color w:val="000000"/>
              </w:rPr>
              <w:t>20</w:t>
            </w:r>
            <w:r w:rsidRPr="0074079C">
              <w:rPr>
                <w:rFonts w:eastAsia="Times New Roman"/>
                <w:color w:val="000000"/>
              </w:rPr>
              <w:t>05-09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E42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2D8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522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D9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6A2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59F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B44C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1CA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57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40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079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E77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10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10.67</w:t>
            </w:r>
          </w:p>
        </w:tc>
      </w:tr>
      <w:tr w:rsidR="003743E5" w:rsidRPr="0074079C" w14:paraId="32C3DC78" w14:textId="77777777" w:rsidTr="00B27F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BEA" w14:textId="22B8D781" w:rsidR="003743E5" w:rsidRPr="0074079C" w:rsidRDefault="003743E5" w:rsidP="000A6C26">
            <w:pPr>
              <w:spacing w:line="480" w:lineRule="auto"/>
              <w:rPr>
                <w:rFonts w:eastAsia="Times New Roman"/>
                <w:color w:val="000000"/>
              </w:rPr>
            </w:pPr>
            <w:proofErr w:type="spellStart"/>
            <w:r w:rsidRPr="0074079C">
              <w:rPr>
                <w:rFonts w:eastAsia="Times New Roman"/>
                <w:color w:val="000000"/>
              </w:rPr>
              <w:t>Barroso</w:t>
            </w:r>
            <w:proofErr w:type="spellEnd"/>
            <w:r w:rsidRPr="0074079C">
              <w:rPr>
                <w:rFonts w:eastAsia="Times New Roman"/>
                <w:color w:val="000000"/>
              </w:rPr>
              <w:t xml:space="preserve"> 2 </w:t>
            </w:r>
            <w:r w:rsidR="0074079C">
              <w:rPr>
                <w:rFonts w:eastAsia="Times New Roman"/>
                <w:color w:val="000000"/>
              </w:rPr>
              <w:t>20</w:t>
            </w:r>
            <w:r w:rsidRPr="0074079C">
              <w:rPr>
                <w:rFonts w:eastAsia="Times New Roman"/>
                <w:color w:val="000000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BA15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257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B9D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EDF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368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2E9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CF2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BCF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439F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221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151C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63B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514" w14:textId="77777777" w:rsidR="003743E5" w:rsidRPr="0074079C" w:rsidRDefault="003743E5" w:rsidP="000A6C26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74079C">
              <w:rPr>
                <w:rFonts w:eastAsia="Times New Roman"/>
                <w:color w:val="000000"/>
              </w:rPr>
              <w:t>1.33</w:t>
            </w:r>
          </w:p>
        </w:tc>
      </w:tr>
    </w:tbl>
    <w:p w14:paraId="1EEDB705" w14:textId="4A70AA3F" w:rsidR="00FA5AF1" w:rsidRDefault="00FA5AF1" w:rsidP="000A6C26">
      <w:pPr>
        <w:spacing w:line="480" w:lineRule="auto"/>
      </w:pPr>
    </w:p>
    <w:p w14:paraId="6086289A" w14:textId="15D08BF7" w:rsidR="009261A4" w:rsidRDefault="009261A4" w:rsidP="000A6C26">
      <w:pPr>
        <w:spacing w:line="480" w:lineRule="auto"/>
      </w:pPr>
      <w:r>
        <w:t>Source:</w:t>
      </w:r>
      <w:r w:rsidRPr="00E67C11">
        <w:rPr>
          <w:rStyle w:val="FootnoteReference"/>
        </w:rPr>
        <w:t xml:space="preserve"> </w:t>
      </w:r>
      <w:r w:rsidRPr="00694173">
        <w:rPr>
          <w:sz w:val="20"/>
          <w:szCs w:val="20"/>
        </w:rPr>
        <w:t>Data from ‘</w:t>
      </w:r>
      <w:r w:rsidRPr="00694173">
        <w:rPr>
          <w:rFonts w:ascii="Times New Roman" w:eastAsia="Arial Unicode MS" w:hAnsi="Times New Roman"/>
          <w:sz w:val="20"/>
          <w:szCs w:val="20"/>
        </w:rPr>
        <w:t>The EU Legislative Output 1996-2014’ database, produced by the Centre for Socio-Political Data (CDSP, CNRS – Sciences Po) and the Centre for European Studies (CEE, CNRS-Sciences Po), and distributed by the Centre for Socio-Political Data</w:t>
      </w:r>
      <w:r w:rsidRPr="00694173">
        <w:rPr>
          <w:rFonts w:ascii="Times New Roman" w:eastAsia="Arial Unicode MS" w:hAnsi="Times New Roman"/>
          <w:i/>
          <w:iCs/>
          <w:sz w:val="20"/>
          <w:szCs w:val="20"/>
        </w:rPr>
        <w:t>.</w:t>
      </w:r>
    </w:p>
    <w:p w14:paraId="5F401198" w14:textId="77777777" w:rsidR="00FA5AF1" w:rsidRDefault="00FA5AF1" w:rsidP="000A6C26">
      <w:pPr>
        <w:spacing w:line="480" w:lineRule="auto"/>
      </w:pPr>
      <w:r>
        <w:br w:type="page"/>
      </w:r>
    </w:p>
    <w:p w14:paraId="0D78D4DD" w14:textId="77777777" w:rsidR="00FA5AF1" w:rsidRDefault="00FA5AF1" w:rsidP="000A6C26">
      <w:pPr>
        <w:spacing w:line="480" w:lineRule="auto"/>
        <w:sectPr w:rsidR="00FA5AF1" w:rsidSect="0074079C"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F59FDF6" w14:textId="3276AA87" w:rsidR="003743E5" w:rsidRDefault="003743E5" w:rsidP="000A6C26">
      <w:pPr>
        <w:spacing w:line="480" w:lineRule="auto"/>
      </w:pPr>
    </w:p>
    <w:p w14:paraId="1E3F6795" w14:textId="77777777" w:rsidR="00FA5AF1" w:rsidRDefault="00FA5AF1" w:rsidP="000A6C26">
      <w:pPr>
        <w:spacing w:line="480" w:lineRule="auto"/>
        <w:rPr>
          <w:rFonts w:cs="Lucida Grande"/>
          <w:color w:val="000000"/>
          <w:lang w:val="en-US"/>
        </w:rPr>
      </w:pPr>
      <w:bookmarkStart w:id="0" w:name="_GoBack"/>
      <w:r>
        <w:rPr>
          <w:rFonts w:cs="Lucida Grande"/>
          <w:color w:val="000000"/>
          <w:lang w:val="en-US"/>
        </w:rPr>
        <w:t xml:space="preserve">FIGURE 2. </w:t>
      </w:r>
      <w:r>
        <w:t>NUMBER OF LEGISLATIVE ACTS ADOPTED ANNUALLY BY THE EU, 1996-2014</w:t>
      </w:r>
    </w:p>
    <w:p w14:paraId="37EFE4D6" w14:textId="77777777" w:rsidR="00FA5AF1" w:rsidRDefault="00FA5AF1" w:rsidP="000A6C26">
      <w:pPr>
        <w:spacing w:line="480" w:lineRule="auto"/>
      </w:pPr>
    </w:p>
    <w:p w14:paraId="3B8AF346" w14:textId="77777777" w:rsidR="00FA5AF1" w:rsidRDefault="00FA5AF1" w:rsidP="000A6C26">
      <w:pPr>
        <w:spacing w:line="480" w:lineRule="auto"/>
      </w:pPr>
    </w:p>
    <w:p w14:paraId="2FE29ED0" w14:textId="77777777" w:rsidR="000A6C26" w:rsidRDefault="00FA5AF1" w:rsidP="000A6C26">
      <w:pPr>
        <w:spacing w:line="480" w:lineRule="auto"/>
      </w:pPr>
      <w:r>
        <w:rPr>
          <w:noProof/>
          <w:lang w:val="en-US"/>
        </w:rPr>
        <w:drawing>
          <wp:inline distT="0" distB="0" distL="0" distR="0" wp14:anchorId="2C2D75AF" wp14:editId="7263FEBD">
            <wp:extent cx="4114800" cy="2756535"/>
            <wp:effectExtent l="0" t="0" r="25400" b="374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D7DC54" w14:textId="23F3645C" w:rsidR="009261A4" w:rsidRDefault="009261A4" w:rsidP="000A6C26">
      <w:pPr>
        <w:spacing w:line="480" w:lineRule="auto"/>
        <w:rPr>
          <w:rFonts w:ascii="Times New Roman" w:eastAsia="Arial Unicode MS" w:hAnsi="Times New Roman"/>
          <w:sz w:val="20"/>
          <w:szCs w:val="20"/>
        </w:rPr>
      </w:pPr>
      <w:r>
        <w:t>Source:</w:t>
      </w:r>
      <w:r w:rsidRPr="00E67C11">
        <w:rPr>
          <w:rStyle w:val="FootnoteReference"/>
        </w:rPr>
        <w:t xml:space="preserve"> </w:t>
      </w:r>
      <w:r w:rsidRPr="00694173">
        <w:rPr>
          <w:sz w:val="20"/>
          <w:szCs w:val="20"/>
        </w:rPr>
        <w:t>Data from ‘</w:t>
      </w:r>
      <w:r w:rsidRPr="00694173">
        <w:rPr>
          <w:rFonts w:ascii="Times New Roman" w:eastAsia="Arial Unicode MS" w:hAnsi="Times New Roman"/>
          <w:sz w:val="20"/>
          <w:szCs w:val="20"/>
        </w:rPr>
        <w:t>The EU Legislative Output 1996-2014’ database, produced by the Centre for Socio-Political Data (CDSP, CNRS – Sciences Po) and the Centre for European Studies (CEE, CNRS-Sciences Po), and distributed by the Centre for Socio-Political Dat</w:t>
      </w:r>
      <w:r w:rsidR="000A6C26">
        <w:rPr>
          <w:rFonts w:ascii="Times New Roman" w:eastAsia="Arial Unicode MS" w:hAnsi="Times New Roman"/>
          <w:sz w:val="20"/>
          <w:szCs w:val="20"/>
        </w:rPr>
        <w:t>a</w:t>
      </w:r>
    </w:p>
    <w:bookmarkEnd w:id="0"/>
    <w:p w14:paraId="092ABFCF" w14:textId="04C3FDC3" w:rsidR="00FA5AF1" w:rsidRPr="0074079C" w:rsidRDefault="00FA5AF1" w:rsidP="000A6C26">
      <w:pPr>
        <w:spacing w:line="480" w:lineRule="auto"/>
      </w:pPr>
    </w:p>
    <w:sectPr w:rsidR="00FA5AF1" w:rsidRPr="0074079C" w:rsidSect="000A6C26">
      <w:pgSz w:w="11900" w:h="16820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8B50" w14:textId="77777777" w:rsidR="00E67C11" w:rsidRDefault="00E67C11" w:rsidP="00E67C11">
      <w:r>
        <w:separator/>
      </w:r>
    </w:p>
  </w:endnote>
  <w:endnote w:type="continuationSeparator" w:id="0">
    <w:p w14:paraId="5D48591C" w14:textId="77777777" w:rsidR="00E67C11" w:rsidRDefault="00E67C11" w:rsidP="00E6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851D" w14:textId="77777777" w:rsidR="00E67C11" w:rsidRDefault="00E67C11" w:rsidP="00E67C11">
      <w:r>
        <w:separator/>
      </w:r>
    </w:p>
  </w:footnote>
  <w:footnote w:type="continuationSeparator" w:id="0">
    <w:p w14:paraId="45ECC9B6" w14:textId="77777777" w:rsidR="00E67C11" w:rsidRDefault="00E67C11" w:rsidP="00E6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5"/>
    <w:rsid w:val="00005BFE"/>
    <w:rsid w:val="000A6C26"/>
    <w:rsid w:val="002F39ED"/>
    <w:rsid w:val="003743E5"/>
    <w:rsid w:val="003A50E1"/>
    <w:rsid w:val="00436AAA"/>
    <w:rsid w:val="0073326E"/>
    <w:rsid w:val="0074079C"/>
    <w:rsid w:val="007F5D69"/>
    <w:rsid w:val="00807B62"/>
    <w:rsid w:val="008F483E"/>
    <w:rsid w:val="009261A4"/>
    <w:rsid w:val="00927EE9"/>
    <w:rsid w:val="00953527"/>
    <w:rsid w:val="0095545D"/>
    <w:rsid w:val="00A665C2"/>
    <w:rsid w:val="00B27FEA"/>
    <w:rsid w:val="00D244E5"/>
    <w:rsid w:val="00D40226"/>
    <w:rsid w:val="00E24250"/>
    <w:rsid w:val="00E45365"/>
    <w:rsid w:val="00E67C11"/>
    <w:rsid w:val="00ED51E8"/>
    <w:rsid w:val="00EE4A9C"/>
    <w:rsid w:val="00F65202"/>
    <w:rsid w:val="00F9101C"/>
    <w:rsid w:val="00FA5AF1"/>
    <w:rsid w:val="00FB2B5D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5E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A9C"/>
    <w:pPr>
      <w:widowControl w:val="0"/>
      <w:suppressAutoHyphens/>
      <w:autoSpaceDN w:val="0"/>
      <w:textAlignment w:val="baseline"/>
    </w:pPr>
    <w:rPr>
      <w:rFonts w:ascii="Arial Narrow" w:eastAsiaTheme="minorHAnsi" w:hAnsi="Arial Narrow" w:cs="Times New Roman"/>
      <w:sz w:val="48"/>
      <w:szCs w:val="48"/>
      <w:lang w:val="fr-FR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67C11"/>
  </w:style>
  <w:style w:type="character" w:customStyle="1" w:styleId="FootnoteTextChar">
    <w:name w:val="Footnote Text Char"/>
    <w:basedOn w:val="DefaultParagraphFont"/>
    <w:link w:val="FootnoteText"/>
    <w:uiPriority w:val="99"/>
    <w:rsid w:val="00E67C11"/>
  </w:style>
  <w:style w:type="character" w:styleId="FootnoteReference">
    <w:name w:val="footnote reference"/>
    <w:basedOn w:val="DefaultParagraphFont"/>
    <w:uiPriority w:val="99"/>
    <w:unhideWhenUsed/>
    <w:rsid w:val="00E67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A9C"/>
    <w:pPr>
      <w:widowControl w:val="0"/>
      <w:suppressAutoHyphens/>
      <w:autoSpaceDN w:val="0"/>
      <w:textAlignment w:val="baseline"/>
    </w:pPr>
    <w:rPr>
      <w:rFonts w:ascii="Arial Narrow" w:eastAsiaTheme="minorHAnsi" w:hAnsi="Arial Narrow" w:cs="Times New Roman"/>
      <w:sz w:val="48"/>
      <w:szCs w:val="48"/>
      <w:lang w:val="fr-FR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67C11"/>
  </w:style>
  <w:style w:type="character" w:customStyle="1" w:styleId="FootnoteTextChar">
    <w:name w:val="Footnote Text Char"/>
    <w:basedOn w:val="DefaultParagraphFont"/>
    <w:link w:val="FootnoteText"/>
    <w:uiPriority w:val="99"/>
    <w:rsid w:val="00E67C11"/>
  </w:style>
  <w:style w:type="character" w:styleId="FootnoteReference">
    <w:name w:val="footnote reference"/>
    <w:basedOn w:val="DefaultParagraphFont"/>
    <w:uiPriority w:val="99"/>
    <w:unhideWhenUsed/>
    <w:rsid w:val="00E67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ORTABLE:iMac%20portable:EC%20facing%20the%20future:OIE%20chapter:Commission%20output%20Nov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ORTABLE:iMac%20portable:EC%20facing%20the%20future:OIE%20chapter:Commission%20output%20Nov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'all years (v2)'!$B$23</c:f>
              <c:strCache>
                <c:ptCount val="1"/>
                <c:pt idx="0">
                  <c:v>DGs primarily responsible (definitive legislative acts adopted)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'all years (v2)'!$A$24:$A$42</c:f>
              <c:numCache>
                <c:formatCode>General</c:formatCode>
                <c:ptCount val="19"/>
                <c:pt idx="0">
                  <c:v>1996.0</c:v>
                </c:pt>
                <c:pt idx="1">
                  <c:v>1997.0</c:v>
                </c:pt>
                <c:pt idx="2">
                  <c:v>1998.0</c:v>
                </c:pt>
                <c:pt idx="3">
                  <c:v>1999.0</c:v>
                </c:pt>
                <c:pt idx="4">
                  <c:v>2000.0</c:v>
                </c:pt>
                <c:pt idx="5">
                  <c:v>2001.0</c:v>
                </c:pt>
                <c:pt idx="6">
                  <c:v>2002.0</c:v>
                </c:pt>
                <c:pt idx="7">
                  <c:v>2003.0</c:v>
                </c:pt>
                <c:pt idx="8">
                  <c:v>2004.0</c:v>
                </c:pt>
                <c:pt idx="9">
                  <c:v>2005.0</c:v>
                </c:pt>
                <c:pt idx="10">
                  <c:v>2006.0</c:v>
                </c:pt>
                <c:pt idx="11">
                  <c:v>2007.0</c:v>
                </c:pt>
                <c:pt idx="12">
                  <c:v>2008.0</c:v>
                </c:pt>
                <c:pt idx="13">
                  <c:v>2009.0</c:v>
                </c:pt>
                <c:pt idx="14">
                  <c:v>2010.0</c:v>
                </c:pt>
                <c:pt idx="15">
                  <c:v>2011.0</c:v>
                </c:pt>
                <c:pt idx="16">
                  <c:v>2012.0</c:v>
                </c:pt>
                <c:pt idx="17">
                  <c:v>2013.0</c:v>
                </c:pt>
                <c:pt idx="18">
                  <c:v>2014.0</c:v>
                </c:pt>
              </c:numCache>
            </c:numRef>
          </c:cat>
          <c:val>
            <c:numRef>
              <c:f>'all years (v2)'!$B$24:$B$42</c:f>
              <c:numCache>
                <c:formatCode>General</c:formatCode>
                <c:ptCount val="19"/>
                <c:pt idx="0">
                  <c:v>210.0</c:v>
                </c:pt>
                <c:pt idx="1">
                  <c:v>206.0</c:v>
                </c:pt>
                <c:pt idx="2">
                  <c:v>215.0</c:v>
                </c:pt>
                <c:pt idx="3">
                  <c:v>192.0</c:v>
                </c:pt>
                <c:pt idx="4">
                  <c:v>170.0</c:v>
                </c:pt>
                <c:pt idx="5">
                  <c:v>169.0</c:v>
                </c:pt>
                <c:pt idx="6">
                  <c:v>171.0</c:v>
                </c:pt>
                <c:pt idx="7">
                  <c:v>177.0</c:v>
                </c:pt>
                <c:pt idx="8">
                  <c:v>220.0</c:v>
                </c:pt>
                <c:pt idx="9">
                  <c:v>126.0</c:v>
                </c:pt>
                <c:pt idx="10">
                  <c:v>207.0</c:v>
                </c:pt>
                <c:pt idx="11">
                  <c:v>154.0</c:v>
                </c:pt>
                <c:pt idx="12">
                  <c:v>229.0</c:v>
                </c:pt>
                <c:pt idx="13">
                  <c:v>226.0</c:v>
                </c:pt>
                <c:pt idx="14">
                  <c:v>59.0</c:v>
                </c:pt>
                <c:pt idx="15">
                  <c:v>83.0</c:v>
                </c:pt>
                <c:pt idx="16">
                  <c:v>77.0</c:v>
                </c:pt>
                <c:pt idx="17">
                  <c:v>118.0</c:v>
                </c:pt>
                <c:pt idx="18">
                  <c:v>141.0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'all years (v2)'!$C$23</c:f>
              <c:strCache>
                <c:ptCount val="1"/>
                <c:pt idx="0">
                  <c:v>DGs jointly responsible (definitive legislative acts adopted)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numRef>
              <c:f>'all years (v2)'!$A$24:$A$42</c:f>
              <c:numCache>
                <c:formatCode>General</c:formatCode>
                <c:ptCount val="19"/>
                <c:pt idx="0">
                  <c:v>1996.0</c:v>
                </c:pt>
                <c:pt idx="1">
                  <c:v>1997.0</c:v>
                </c:pt>
                <c:pt idx="2">
                  <c:v>1998.0</c:v>
                </c:pt>
                <c:pt idx="3">
                  <c:v>1999.0</c:v>
                </c:pt>
                <c:pt idx="4">
                  <c:v>2000.0</c:v>
                </c:pt>
                <c:pt idx="5">
                  <c:v>2001.0</c:v>
                </c:pt>
                <c:pt idx="6">
                  <c:v>2002.0</c:v>
                </c:pt>
                <c:pt idx="7">
                  <c:v>2003.0</c:v>
                </c:pt>
                <c:pt idx="8">
                  <c:v>2004.0</c:v>
                </c:pt>
                <c:pt idx="9">
                  <c:v>2005.0</c:v>
                </c:pt>
                <c:pt idx="10">
                  <c:v>2006.0</c:v>
                </c:pt>
                <c:pt idx="11">
                  <c:v>2007.0</c:v>
                </c:pt>
                <c:pt idx="12">
                  <c:v>2008.0</c:v>
                </c:pt>
                <c:pt idx="13">
                  <c:v>2009.0</c:v>
                </c:pt>
                <c:pt idx="14">
                  <c:v>2010.0</c:v>
                </c:pt>
                <c:pt idx="15">
                  <c:v>2011.0</c:v>
                </c:pt>
                <c:pt idx="16">
                  <c:v>2012.0</c:v>
                </c:pt>
                <c:pt idx="17">
                  <c:v>2013.0</c:v>
                </c:pt>
                <c:pt idx="18">
                  <c:v>2014.0</c:v>
                </c:pt>
              </c:numCache>
            </c:numRef>
          </c:cat>
          <c:val>
            <c:numRef>
              <c:f>'all years (v2)'!$C$24:$C$42</c:f>
              <c:numCache>
                <c:formatCode>General</c:formatCode>
                <c:ptCount val="19"/>
                <c:pt idx="0">
                  <c:v>5.0</c:v>
                </c:pt>
                <c:pt idx="1">
                  <c:v>6.0</c:v>
                </c:pt>
                <c:pt idx="2">
                  <c:v>9.0</c:v>
                </c:pt>
                <c:pt idx="3">
                  <c:v>13.0</c:v>
                </c:pt>
                <c:pt idx="4">
                  <c:v>10.0</c:v>
                </c:pt>
                <c:pt idx="5">
                  <c:v>10.0</c:v>
                </c:pt>
                <c:pt idx="6">
                  <c:v>9.0</c:v>
                </c:pt>
                <c:pt idx="7">
                  <c:v>7.0</c:v>
                </c:pt>
                <c:pt idx="8">
                  <c:v>6.0</c:v>
                </c:pt>
                <c:pt idx="9">
                  <c:v>4.0</c:v>
                </c:pt>
                <c:pt idx="10">
                  <c:v>6.0</c:v>
                </c:pt>
                <c:pt idx="11">
                  <c:v>3.0</c:v>
                </c:pt>
                <c:pt idx="12">
                  <c:v>3.0</c:v>
                </c:pt>
                <c:pt idx="13">
                  <c:v>9.0</c:v>
                </c:pt>
                <c:pt idx="14">
                  <c:v>6.0</c:v>
                </c:pt>
                <c:pt idx="15">
                  <c:v>1.0</c:v>
                </c:pt>
                <c:pt idx="16">
                  <c:v>1.0</c:v>
                </c:pt>
                <c:pt idx="17">
                  <c:v>3.0</c:v>
                </c:pt>
                <c:pt idx="18">
                  <c:v>11.0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'all years (v2)'!$D$23</c:f>
              <c:strCache>
                <c:ptCount val="1"/>
                <c:pt idx="0">
                  <c:v>Trend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'all years (v2)'!$A$24:$A$42</c:f>
              <c:numCache>
                <c:formatCode>General</c:formatCode>
                <c:ptCount val="19"/>
                <c:pt idx="0">
                  <c:v>1996.0</c:v>
                </c:pt>
                <c:pt idx="1">
                  <c:v>1997.0</c:v>
                </c:pt>
                <c:pt idx="2">
                  <c:v>1998.0</c:v>
                </c:pt>
                <c:pt idx="3">
                  <c:v>1999.0</c:v>
                </c:pt>
                <c:pt idx="4">
                  <c:v>2000.0</c:v>
                </c:pt>
                <c:pt idx="5">
                  <c:v>2001.0</c:v>
                </c:pt>
                <c:pt idx="6">
                  <c:v>2002.0</c:v>
                </c:pt>
                <c:pt idx="7">
                  <c:v>2003.0</c:v>
                </c:pt>
                <c:pt idx="8">
                  <c:v>2004.0</c:v>
                </c:pt>
                <c:pt idx="9">
                  <c:v>2005.0</c:v>
                </c:pt>
                <c:pt idx="10">
                  <c:v>2006.0</c:v>
                </c:pt>
                <c:pt idx="11">
                  <c:v>2007.0</c:v>
                </c:pt>
                <c:pt idx="12">
                  <c:v>2008.0</c:v>
                </c:pt>
                <c:pt idx="13">
                  <c:v>2009.0</c:v>
                </c:pt>
                <c:pt idx="14">
                  <c:v>2010.0</c:v>
                </c:pt>
                <c:pt idx="15">
                  <c:v>2011.0</c:v>
                </c:pt>
                <c:pt idx="16">
                  <c:v>2012.0</c:v>
                </c:pt>
                <c:pt idx="17">
                  <c:v>2013.0</c:v>
                </c:pt>
                <c:pt idx="18">
                  <c:v>2014.0</c:v>
                </c:pt>
              </c:numCache>
            </c:numRef>
          </c:cat>
          <c:val>
            <c:numRef>
              <c:f>'all years (v2)'!$D$24:$D$42</c:f>
              <c:numCache>
                <c:formatCode>0</c:formatCode>
                <c:ptCount val="19"/>
                <c:pt idx="0">
                  <c:v>215.636842105263</c:v>
                </c:pt>
                <c:pt idx="1">
                  <c:v>210.0982456140355</c:v>
                </c:pt>
                <c:pt idx="2">
                  <c:v>204.5596491228061</c:v>
                </c:pt>
                <c:pt idx="3">
                  <c:v>199.0210526315786</c:v>
                </c:pt>
                <c:pt idx="4">
                  <c:v>193.4824561403511</c:v>
                </c:pt>
                <c:pt idx="5">
                  <c:v>187.9438596491217</c:v>
                </c:pt>
                <c:pt idx="6">
                  <c:v>182.4052631578943</c:v>
                </c:pt>
                <c:pt idx="7">
                  <c:v>176.8666666666668</c:v>
                </c:pt>
                <c:pt idx="8">
                  <c:v>171.3280701754393</c:v>
                </c:pt>
                <c:pt idx="9">
                  <c:v>165.78947368421</c:v>
                </c:pt>
                <c:pt idx="10">
                  <c:v>160.2508771929824</c:v>
                </c:pt>
                <c:pt idx="11">
                  <c:v>154.7122807017549</c:v>
                </c:pt>
                <c:pt idx="12">
                  <c:v>149.1736842105256</c:v>
                </c:pt>
                <c:pt idx="13">
                  <c:v>143.6350877192981</c:v>
                </c:pt>
                <c:pt idx="14">
                  <c:v>138.0964912280706</c:v>
                </c:pt>
                <c:pt idx="15">
                  <c:v>132.5578947368413</c:v>
                </c:pt>
                <c:pt idx="16">
                  <c:v>127.0192982456138</c:v>
                </c:pt>
                <c:pt idx="17">
                  <c:v>121.4807017543862</c:v>
                </c:pt>
                <c:pt idx="18">
                  <c:v>115.942105263157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6570360"/>
        <c:axId val="2096420616"/>
      </c:lineChart>
      <c:catAx>
        <c:axId val="2096570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6420616"/>
        <c:crosses val="autoZero"/>
        <c:auto val="1"/>
        <c:lblAlgn val="ctr"/>
        <c:lblOffset val="100"/>
        <c:noMultiLvlLbl val="0"/>
      </c:catAx>
      <c:valAx>
        <c:axId val="2096420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65703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'EU output'!$E$1</c:f>
              <c:strCache>
                <c:ptCount val="1"/>
                <c:pt idx="0">
                  <c:v>Number of acts</c:v>
                </c:pt>
              </c:strCache>
            </c:strRef>
          </c:tx>
          <c:invertIfNegative val="0"/>
          <c:cat>
            <c:numRef>
              <c:f>'EU output'!$D$2:$D$20</c:f>
              <c:numCache>
                <c:formatCode>General</c:formatCode>
                <c:ptCount val="19"/>
                <c:pt idx="0">
                  <c:v>1996.0</c:v>
                </c:pt>
                <c:pt idx="1">
                  <c:v>1997.0</c:v>
                </c:pt>
                <c:pt idx="2">
                  <c:v>1998.0</c:v>
                </c:pt>
                <c:pt idx="3">
                  <c:v>1999.0</c:v>
                </c:pt>
                <c:pt idx="4">
                  <c:v>2000.0</c:v>
                </c:pt>
                <c:pt idx="5">
                  <c:v>2001.0</c:v>
                </c:pt>
                <c:pt idx="6">
                  <c:v>2002.0</c:v>
                </c:pt>
                <c:pt idx="7">
                  <c:v>2003.0</c:v>
                </c:pt>
                <c:pt idx="8">
                  <c:v>2004.0</c:v>
                </c:pt>
                <c:pt idx="9">
                  <c:v>2005.0</c:v>
                </c:pt>
                <c:pt idx="10">
                  <c:v>2006.0</c:v>
                </c:pt>
                <c:pt idx="11">
                  <c:v>2007.0</c:v>
                </c:pt>
                <c:pt idx="12">
                  <c:v>2008.0</c:v>
                </c:pt>
                <c:pt idx="13">
                  <c:v>2009.0</c:v>
                </c:pt>
                <c:pt idx="14">
                  <c:v>2010.0</c:v>
                </c:pt>
                <c:pt idx="15">
                  <c:v>2011.0</c:v>
                </c:pt>
                <c:pt idx="16">
                  <c:v>2012.0</c:v>
                </c:pt>
                <c:pt idx="17">
                  <c:v>2013.0</c:v>
                </c:pt>
                <c:pt idx="18">
                  <c:v>2014.0</c:v>
                </c:pt>
              </c:numCache>
            </c:numRef>
          </c:cat>
          <c:val>
            <c:numRef>
              <c:f>'EU output'!$E$2:$E$20</c:f>
              <c:numCache>
                <c:formatCode>General</c:formatCode>
                <c:ptCount val="19"/>
                <c:pt idx="0">
                  <c:v>226.0</c:v>
                </c:pt>
                <c:pt idx="1">
                  <c:v>205.0</c:v>
                </c:pt>
                <c:pt idx="2">
                  <c:v>218.0</c:v>
                </c:pt>
                <c:pt idx="3">
                  <c:v>199.0</c:v>
                </c:pt>
                <c:pt idx="4">
                  <c:v>185.0</c:v>
                </c:pt>
                <c:pt idx="5">
                  <c:v>186.0</c:v>
                </c:pt>
                <c:pt idx="6">
                  <c:v>195.0</c:v>
                </c:pt>
                <c:pt idx="7">
                  <c:v>199.0</c:v>
                </c:pt>
                <c:pt idx="8">
                  <c:v>233.0</c:v>
                </c:pt>
                <c:pt idx="9">
                  <c:v>136.0</c:v>
                </c:pt>
                <c:pt idx="10">
                  <c:v>216.0</c:v>
                </c:pt>
                <c:pt idx="11">
                  <c:v>161.0</c:v>
                </c:pt>
                <c:pt idx="12">
                  <c:v>246.0</c:v>
                </c:pt>
                <c:pt idx="13">
                  <c:v>237.0</c:v>
                </c:pt>
                <c:pt idx="14">
                  <c:v>61.0</c:v>
                </c:pt>
                <c:pt idx="15">
                  <c:v>84.0</c:v>
                </c:pt>
                <c:pt idx="16">
                  <c:v>79.0</c:v>
                </c:pt>
                <c:pt idx="17">
                  <c:v>118.0</c:v>
                </c:pt>
                <c:pt idx="18">
                  <c:v>141.0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5414280"/>
        <c:axId val="2065511720"/>
      </c:barChart>
      <c:lineChart>
        <c:grouping val="standard"/>
        <c:varyColors val="0"/>
        <c:ser>
          <c:idx val="1"/>
          <c:order val="1"/>
          <c:tx>
            <c:strRef>
              <c:f>'EU output'!$F$1</c:f>
              <c:strCache>
                <c:ptCount val="1"/>
                <c:pt idx="0">
                  <c:v>Trend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'EU output'!$D$2:$D$20</c:f>
              <c:numCache>
                <c:formatCode>General</c:formatCode>
                <c:ptCount val="19"/>
                <c:pt idx="0">
                  <c:v>1996.0</c:v>
                </c:pt>
                <c:pt idx="1">
                  <c:v>1997.0</c:v>
                </c:pt>
                <c:pt idx="2">
                  <c:v>1998.0</c:v>
                </c:pt>
                <c:pt idx="3">
                  <c:v>1999.0</c:v>
                </c:pt>
                <c:pt idx="4">
                  <c:v>2000.0</c:v>
                </c:pt>
                <c:pt idx="5">
                  <c:v>2001.0</c:v>
                </c:pt>
                <c:pt idx="6">
                  <c:v>2002.0</c:v>
                </c:pt>
                <c:pt idx="7">
                  <c:v>2003.0</c:v>
                </c:pt>
                <c:pt idx="8">
                  <c:v>2004.0</c:v>
                </c:pt>
                <c:pt idx="9">
                  <c:v>2005.0</c:v>
                </c:pt>
                <c:pt idx="10">
                  <c:v>2006.0</c:v>
                </c:pt>
                <c:pt idx="11">
                  <c:v>2007.0</c:v>
                </c:pt>
                <c:pt idx="12">
                  <c:v>2008.0</c:v>
                </c:pt>
                <c:pt idx="13">
                  <c:v>2009.0</c:v>
                </c:pt>
                <c:pt idx="14">
                  <c:v>2010.0</c:v>
                </c:pt>
                <c:pt idx="15">
                  <c:v>2011.0</c:v>
                </c:pt>
                <c:pt idx="16">
                  <c:v>2012.0</c:v>
                </c:pt>
                <c:pt idx="17">
                  <c:v>2013.0</c:v>
                </c:pt>
                <c:pt idx="18">
                  <c:v>2014.0</c:v>
                </c:pt>
              </c:numCache>
            </c:numRef>
          </c:cat>
          <c:val>
            <c:numRef>
              <c:f>'EU output'!$F$2:$F$20</c:f>
              <c:numCache>
                <c:formatCode>0</c:formatCode>
                <c:ptCount val="19"/>
                <c:pt idx="0">
                  <c:v>229.9473684210534</c:v>
                </c:pt>
                <c:pt idx="1">
                  <c:v>223.8421052631583</c:v>
                </c:pt>
                <c:pt idx="2">
                  <c:v>217.7368421052633</c:v>
                </c:pt>
                <c:pt idx="3">
                  <c:v>211.6315789473683</c:v>
                </c:pt>
                <c:pt idx="4">
                  <c:v>205.5263157894733</c:v>
                </c:pt>
                <c:pt idx="5">
                  <c:v>199.4210526315801</c:v>
                </c:pt>
                <c:pt idx="6">
                  <c:v>193.3157894736851</c:v>
                </c:pt>
                <c:pt idx="7">
                  <c:v>187.21052631579</c:v>
                </c:pt>
                <c:pt idx="8">
                  <c:v>181.105263157895</c:v>
                </c:pt>
                <c:pt idx="9">
                  <c:v>175.0</c:v>
                </c:pt>
                <c:pt idx="10">
                  <c:v>168.894736842105</c:v>
                </c:pt>
                <c:pt idx="11">
                  <c:v>162.7894736842118</c:v>
                </c:pt>
                <c:pt idx="12">
                  <c:v>156.6842105263167</c:v>
                </c:pt>
                <c:pt idx="13">
                  <c:v>150.5789473684217</c:v>
                </c:pt>
                <c:pt idx="14">
                  <c:v>144.4736842105267</c:v>
                </c:pt>
                <c:pt idx="15">
                  <c:v>138.3684210526316</c:v>
                </c:pt>
                <c:pt idx="16">
                  <c:v>132.2631578947367</c:v>
                </c:pt>
                <c:pt idx="17">
                  <c:v>126.1578947368416</c:v>
                </c:pt>
                <c:pt idx="18">
                  <c:v>120.0526315789484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5414280"/>
        <c:axId val="2065511720"/>
      </c:lineChart>
      <c:catAx>
        <c:axId val="2065414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065511720"/>
        <c:crosses val="autoZero"/>
        <c:auto val="1"/>
        <c:lblAlgn val="ctr"/>
        <c:lblOffset val="100"/>
        <c:noMultiLvlLbl val="0"/>
      </c:catAx>
      <c:valAx>
        <c:axId val="2065511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54142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240</Words>
  <Characters>1370</Characters>
  <Application>Microsoft Macintosh Word</Application>
  <DocSecurity>0</DocSecurity>
  <Lines>23</Lines>
  <Paragraphs>4</Paragraphs>
  <ScaleCrop>false</ScaleCrop>
  <Company>University of East Anglia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Kassim</dc:creator>
  <cp:keywords/>
  <dc:description/>
  <cp:lastModifiedBy>Hussein Kassim</cp:lastModifiedBy>
  <cp:revision>5</cp:revision>
  <dcterms:created xsi:type="dcterms:W3CDTF">2016-01-03T17:40:00Z</dcterms:created>
  <dcterms:modified xsi:type="dcterms:W3CDTF">2016-02-09T21:38:00Z</dcterms:modified>
</cp:coreProperties>
</file>