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2EF710" w14:textId="77777777" w:rsidR="001C779C" w:rsidRPr="00376E34" w:rsidRDefault="001C779C">
      <w:pPr>
        <w:rPr>
          <w:rFonts w:ascii="Times New Roman" w:hAnsi="Times New Roman"/>
          <w:b/>
          <w:sz w:val="28"/>
          <w:szCs w:val="28"/>
        </w:rPr>
      </w:pPr>
      <w:r w:rsidRPr="00376E34">
        <w:rPr>
          <w:rFonts w:ascii="Times New Roman" w:hAnsi="Times New Roman"/>
          <w:b/>
          <w:sz w:val="28"/>
          <w:szCs w:val="28"/>
        </w:rPr>
        <w:t>LIQUID LANGUAGE</w:t>
      </w:r>
      <w:r w:rsidR="00F208E2">
        <w:rPr>
          <w:rStyle w:val="FootnoteReference"/>
          <w:rFonts w:ascii="Times New Roman" w:hAnsi="Times New Roman"/>
          <w:b/>
          <w:sz w:val="28"/>
          <w:szCs w:val="28"/>
        </w:rPr>
        <w:footnoteReference w:id="1"/>
      </w:r>
    </w:p>
    <w:p w14:paraId="38C8F7F4" w14:textId="77777777" w:rsidR="001C779C" w:rsidRDefault="001C779C">
      <w:pPr>
        <w:rPr>
          <w:rFonts w:ascii="Times New Roman" w:hAnsi="Times New Roman"/>
        </w:rPr>
      </w:pPr>
    </w:p>
    <w:p w14:paraId="10DD2F00" w14:textId="77777777" w:rsidR="001C779C" w:rsidRPr="00945E6A" w:rsidRDefault="001C779C" w:rsidP="00945E6A">
      <w:pPr>
        <w:rPr>
          <w:rFonts w:ascii="Times New Roman" w:hAnsi="Times New Roman"/>
          <w:b/>
          <w:sz w:val="28"/>
          <w:szCs w:val="28"/>
        </w:rPr>
      </w:pPr>
      <w:r w:rsidRPr="00945E6A">
        <w:rPr>
          <w:rFonts w:ascii="Times New Roman" w:hAnsi="Times New Roman"/>
          <w:b/>
          <w:sz w:val="28"/>
          <w:szCs w:val="28"/>
        </w:rPr>
        <w:t>Ed Krčma</w:t>
      </w:r>
    </w:p>
    <w:p w14:paraId="1060C0EF" w14:textId="77777777" w:rsidR="001C779C" w:rsidRPr="00376E34" w:rsidRDefault="001C779C">
      <w:pPr>
        <w:rPr>
          <w:rFonts w:ascii="Times New Roman" w:hAnsi="Times New Roman"/>
        </w:rPr>
      </w:pPr>
    </w:p>
    <w:p w14:paraId="6AD6518F" w14:textId="77777777" w:rsidR="001C779C" w:rsidRPr="00376E34" w:rsidRDefault="001C779C">
      <w:pPr>
        <w:rPr>
          <w:rFonts w:ascii="Times New Roman" w:hAnsi="Times New Roman"/>
        </w:rPr>
      </w:pPr>
    </w:p>
    <w:p w14:paraId="3B03D8C1" w14:textId="77777777" w:rsidR="001C779C" w:rsidRDefault="001C779C">
      <w:pPr>
        <w:rPr>
          <w:rFonts w:ascii="Times New Roman" w:hAnsi="Times New Roman"/>
        </w:rPr>
      </w:pPr>
      <w:r>
        <w:rPr>
          <w:rFonts w:ascii="Times New Roman" w:hAnsi="Times New Roman"/>
        </w:rPr>
        <w:t>Two scenes of the liquefaction of language evince a telling shift in conceptions of art’s work from existential act of self-revelation to the barbed staging of voluntary self-defeat.</w:t>
      </w:r>
      <w:r>
        <w:rPr>
          <w:rStyle w:val="FootnoteReference"/>
          <w:rFonts w:ascii="Times New Roman" w:hAnsi="Times New Roman"/>
        </w:rPr>
        <w:footnoteReference w:id="2"/>
      </w:r>
      <w:r>
        <w:rPr>
          <w:rFonts w:ascii="Times New Roman" w:hAnsi="Times New Roman"/>
        </w:rPr>
        <w:t xml:space="preserve"> Two poets-turned-visual artists are working silently at their desks. For one, the supple, ductile liquidity of the ink provides a means to register the shifting intensities of his own duration; for the other, a small-scale deluge washes away his words even as he writes them, signaling an apparent withdrawal of authorial agency. For both, liquidity works against the articulation of conventional symbolic systems; but the kind of silence that each prefers, enabled by a regression of writing to other less codified species of drawing, is eloquent of the gulf separating the places where artists had thought to stand, which arise and recede as historical conditions change. </w:t>
      </w:r>
    </w:p>
    <w:p w14:paraId="1D9F3D0E" w14:textId="77777777" w:rsidR="001C779C" w:rsidRDefault="001C779C">
      <w:pPr>
        <w:rPr>
          <w:rFonts w:ascii="Times New Roman" w:hAnsi="Times New Roman"/>
        </w:rPr>
      </w:pPr>
    </w:p>
    <w:p w14:paraId="00F60CDE" w14:textId="77777777" w:rsidR="001C779C" w:rsidRPr="00376E34" w:rsidRDefault="001C779C">
      <w:pPr>
        <w:rPr>
          <w:rFonts w:ascii="Times New Roman" w:hAnsi="Times New Roman"/>
        </w:rPr>
      </w:pPr>
      <w:r w:rsidRPr="00376E34">
        <w:rPr>
          <w:rFonts w:ascii="Times New Roman" w:hAnsi="Times New Roman"/>
        </w:rPr>
        <w:t xml:space="preserve">In 1951, Henri Michaux extracted sixty-four sheets from a torrent of twelve hundred or so </w:t>
      </w:r>
      <w:r w:rsidRPr="005B5BC9">
        <w:rPr>
          <w:rFonts w:ascii="Times New Roman" w:hAnsi="Times New Roman"/>
        </w:rPr>
        <w:t xml:space="preserve">Indian ink drawings made over the preceding months. Sequenced with the help of René Bertelé, these drawings were published </w:t>
      </w:r>
      <w:r>
        <w:rPr>
          <w:rFonts w:ascii="Times New Roman" w:hAnsi="Times New Roman"/>
        </w:rPr>
        <w:t>together with</w:t>
      </w:r>
      <w:r w:rsidRPr="005B5BC9">
        <w:rPr>
          <w:rFonts w:ascii="Times New Roman" w:hAnsi="Times New Roman"/>
        </w:rPr>
        <w:t xml:space="preserve"> </w:t>
      </w:r>
      <w:r>
        <w:rPr>
          <w:rFonts w:ascii="Times New Roman" w:hAnsi="Times New Roman"/>
        </w:rPr>
        <w:t>a poem and a p</w:t>
      </w:r>
      <w:r w:rsidRPr="005B5BC9">
        <w:rPr>
          <w:rFonts w:ascii="Times New Roman" w:hAnsi="Times New Roman"/>
        </w:rPr>
        <w:t xml:space="preserve">ostface in the book </w:t>
      </w:r>
      <w:r w:rsidRPr="005B5BC9">
        <w:rPr>
          <w:rFonts w:ascii="Times New Roman" w:hAnsi="Times New Roman"/>
          <w:i/>
        </w:rPr>
        <w:t>Mouvements</w:t>
      </w:r>
      <w:r w:rsidRPr="005B5BC9">
        <w:rPr>
          <w:rFonts w:ascii="Times New Roman" w:hAnsi="Times New Roman"/>
        </w:rPr>
        <w:t>.</w:t>
      </w:r>
      <w:r w:rsidRPr="005B5BC9">
        <w:rPr>
          <w:rStyle w:val="FootnoteReference"/>
          <w:rFonts w:ascii="Times New Roman" w:hAnsi="Times New Roman"/>
        </w:rPr>
        <w:footnoteReference w:id="3"/>
      </w:r>
      <w:r w:rsidRPr="005B5BC9">
        <w:rPr>
          <w:rFonts w:ascii="Times New Roman" w:hAnsi="Times New Roman"/>
        </w:rPr>
        <w:t xml:space="preserve"> Each sheet displays an array of supple </w:t>
      </w:r>
      <w:r>
        <w:rPr>
          <w:rFonts w:ascii="Times New Roman" w:hAnsi="Times New Roman"/>
        </w:rPr>
        <w:t xml:space="preserve">black </w:t>
      </w:r>
      <w:r w:rsidRPr="005B5BC9">
        <w:rPr>
          <w:rFonts w:ascii="Times New Roman" w:hAnsi="Times New Roman"/>
        </w:rPr>
        <w:t xml:space="preserve">glyphs, reproduced life size and organized into grids </w:t>
      </w:r>
      <w:r>
        <w:rPr>
          <w:rFonts w:ascii="Times New Roman" w:hAnsi="Times New Roman"/>
        </w:rPr>
        <w:t>with</w:t>
      </w:r>
      <w:r w:rsidRPr="005B5BC9">
        <w:rPr>
          <w:rFonts w:ascii="Times New Roman" w:hAnsi="Times New Roman"/>
        </w:rPr>
        <w:t xml:space="preserve"> varying regularity</w:t>
      </w:r>
      <w:r>
        <w:rPr>
          <w:rFonts w:ascii="Times New Roman" w:hAnsi="Times New Roman"/>
        </w:rPr>
        <w:t>;</w:t>
      </w:r>
      <w:r>
        <w:rPr>
          <w:rStyle w:val="FootnoteReference"/>
          <w:rFonts w:ascii="Times New Roman" w:hAnsi="Times New Roman"/>
        </w:rPr>
        <w:footnoteReference w:id="4"/>
      </w:r>
      <w:r w:rsidRPr="005B5BC9">
        <w:rPr>
          <w:rFonts w:ascii="Times New Roman" w:hAnsi="Times New Roman"/>
        </w:rPr>
        <w:t xml:space="preserve"> </w:t>
      </w:r>
      <w:r>
        <w:rPr>
          <w:rFonts w:ascii="Times New Roman" w:hAnsi="Times New Roman"/>
        </w:rPr>
        <w:t>i</w:t>
      </w:r>
      <w:r w:rsidRPr="005B5BC9">
        <w:rPr>
          <w:rFonts w:ascii="Times New Roman" w:hAnsi="Times New Roman"/>
        </w:rPr>
        <w:t xml:space="preserve">n their graphic </w:t>
      </w:r>
      <w:r>
        <w:rPr>
          <w:rFonts w:ascii="Times New Roman" w:hAnsi="Times New Roman"/>
        </w:rPr>
        <w:t xml:space="preserve">fluency, visual </w:t>
      </w:r>
      <w:r w:rsidRPr="005B5BC9">
        <w:rPr>
          <w:rFonts w:ascii="Times New Roman" w:hAnsi="Times New Roman"/>
        </w:rPr>
        <w:t xml:space="preserve">economy and discrete spacing </w:t>
      </w:r>
      <w:r>
        <w:rPr>
          <w:rFonts w:ascii="Times New Roman" w:hAnsi="Times New Roman"/>
        </w:rPr>
        <w:t>they</w:t>
      </w:r>
      <w:r w:rsidRPr="005B5BC9">
        <w:rPr>
          <w:rFonts w:ascii="Times New Roman" w:hAnsi="Times New Roman"/>
        </w:rPr>
        <w:t xml:space="preserve"> </w:t>
      </w:r>
      <w:r>
        <w:rPr>
          <w:rFonts w:ascii="Times New Roman" w:hAnsi="Times New Roman"/>
        </w:rPr>
        <w:t xml:space="preserve">fall between </w:t>
      </w:r>
      <w:r w:rsidRPr="005B5BC9">
        <w:rPr>
          <w:rFonts w:ascii="Times New Roman" w:hAnsi="Times New Roman"/>
        </w:rPr>
        <w:t>automatic drawings, ideo</w:t>
      </w:r>
      <w:r>
        <w:rPr>
          <w:rFonts w:ascii="Times New Roman" w:hAnsi="Times New Roman"/>
        </w:rPr>
        <w:t>grams, alphabets and pictograms.</w:t>
      </w:r>
      <w:r w:rsidRPr="005B5BC9">
        <w:rPr>
          <w:rFonts w:ascii="Times New Roman" w:hAnsi="Times New Roman"/>
        </w:rPr>
        <w:t xml:space="preserve"> </w:t>
      </w:r>
      <w:r>
        <w:rPr>
          <w:rFonts w:ascii="Times New Roman" w:hAnsi="Times New Roman"/>
        </w:rPr>
        <w:t>A</w:t>
      </w:r>
      <w:r w:rsidRPr="005B5BC9">
        <w:rPr>
          <w:rFonts w:ascii="Times New Roman" w:hAnsi="Times New Roman"/>
        </w:rPr>
        <w:t>rranged like so many calligraphic specimens</w:t>
      </w:r>
      <w:r>
        <w:rPr>
          <w:rFonts w:ascii="Times New Roman" w:hAnsi="Times New Roman"/>
        </w:rPr>
        <w:t xml:space="preserve"> </w:t>
      </w:r>
      <w:r w:rsidRPr="005B5BC9">
        <w:rPr>
          <w:rFonts w:ascii="Times New Roman" w:hAnsi="Times New Roman"/>
        </w:rPr>
        <w:t>laid out</w:t>
      </w:r>
      <w:r>
        <w:rPr>
          <w:rFonts w:ascii="Times New Roman" w:hAnsi="Times New Roman"/>
        </w:rPr>
        <w:t xml:space="preserve"> for our inspection, they spring, spread</w:t>
      </w:r>
      <w:r w:rsidRPr="005B5BC9">
        <w:rPr>
          <w:rFonts w:ascii="Times New Roman" w:hAnsi="Times New Roman"/>
        </w:rPr>
        <w:t xml:space="preserve"> and</w:t>
      </w:r>
      <w:r>
        <w:rPr>
          <w:rFonts w:ascii="Times New Roman" w:hAnsi="Times New Roman"/>
        </w:rPr>
        <w:t xml:space="preserve"> stretch</w:t>
      </w:r>
      <w:r w:rsidRPr="005B5BC9">
        <w:rPr>
          <w:rFonts w:ascii="Times New Roman" w:hAnsi="Times New Roman"/>
        </w:rPr>
        <w:t xml:space="preserve"> in a limber gymnastics eloquent of the experimental adventures</w:t>
      </w:r>
      <w:r w:rsidRPr="00376E34">
        <w:rPr>
          <w:rFonts w:ascii="Times New Roman" w:hAnsi="Times New Roman"/>
        </w:rPr>
        <w:t xml:space="preserve"> of </w:t>
      </w:r>
      <w:r>
        <w:rPr>
          <w:rFonts w:ascii="Times New Roman" w:hAnsi="Times New Roman"/>
        </w:rPr>
        <w:t xml:space="preserve">the drawing </w:t>
      </w:r>
      <w:r w:rsidRPr="00376E34">
        <w:rPr>
          <w:rFonts w:ascii="Times New Roman" w:hAnsi="Times New Roman"/>
        </w:rPr>
        <w:t>hand</w:t>
      </w:r>
      <w:r>
        <w:rPr>
          <w:rFonts w:ascii="Times New Roman" w:hAnsi="Times New Roman"/>
        </w:rPr>
        <w:t xml:space="preserve">. It is as if these figures </w:t>
      </w:r>
      <w:r w:rsidRPr="00376E34">
        <w:rPr>
          <w:rFonts w:ascii="Times New Roman" w:hAnsi="Times New Roman"/>
        </w:rPr>
        <w:t>demonstrate, aspect by aspect, the very principles of motility and mutability.</w:t>
      </w:r>
    </w:p>
    <w:p w14:paraId="7A585EC3" w14:textId="77777777" w:rsidR="001C779C" w:rsidRPr="00376E34" w:rsidRDefault="001C779C">
      <w:pPr>
        <w:rPr>
          <w:rFonts w:ascii="Times New Roman" w:hAnsi="Times New Roman"/>
        </w:rPr>
      </w:pPr>
    </w:p>
    <w:p w14:paraId="2B384EEF" w14:textId="77777777" w:rsidR="001C779C" w:rsidRPr="00D674D1" w:rsidRDefault="001C779C" w:rsidP="001E6172">
      <w:pPr>
        <w:rPr>
          <w:rFonts w:ascii="Times New Roman" w:hAnsi="Times New Roman"/>
        </w:rPr>
      </w:pPr>
      <w:r w:rsidRPr="00376E34">
        <w:rPr>
          <w:rFonts w:ascii="Times New Roman" w:hAnsi="Times New Roman"/>
        </w:rPr>
        <w:t>Michaux’s aspiratio</w:t>
      </w:r>
      <w:r>
        <w:rPr>
          <w:rFonts w:ascii="Times New Roman" w:hAnsi="Times New Roman"/>
        </w:rPr>
        <w:t xml:space="preserve">n </w:t>
      </w:r>
      <w:r w:rsidRPr="00376E34">
        <w:rPr>
          <w:rFonts w:ascii="Times New Roman" w:hAnsi="Times New Roman"/>
        </w:rPr>
        <w:t xml:space="preserve">was to </w:t>
      </w:r>
      <w:r>
        <w:rPr>
          <w:rFonts w:ascii="Times New Roman" w:hAnsi="Times New Roman"/>
        </w:rPr>
        <w:t xml:space="preserve">elaborate an alternative mode of expression </w:t>
      </w:r>
      <w:r w:rsidRPr="00376E34">
        <w:rPr>
          <w:rFonts w:ascii="Times New Roman" w:hAnsi="Times New Roman"/>
        </w:rPr>
        <w:t xml:space="preserve">to formalized </w:t>
      </w:r>
      <w:r>
        <w:rPr>
          <w:rFonts w:ascii="Times New Roman" w:hAnsi="Times New Roman"/>
        </w:rPr>
        <w:t>French</w:t>
      </w:r>
      <w:r w:rsidRPr="00376E34">
        <w:rPr>
          <w:rFonts w:ascii="Times New Roman" w:hAnsi="Times New Roman"/>
        </w:rPr>
        <w:t xml:space="preserve">: </w:t>
      </w:r>
      <w:r>
        <w:rPr>
          <w:rFonts w:ascii="Times New Roman" w:hAnsi="Times New Roman"/>
        </w:rPr>
        <w:t>his new language</w:t>
      </w:r>
      <w:r w:rsidRPr="00376E34">
        <w:rPr>
          <w:rFonts w:ascii="Times New Roman" w:hAnsi="Times New Roman"/>
        </w:rPr>
        <w:t xml:space="preserve"> would not depend upon arbitrary, predetermined</w:t>
      </w:r>
      <w:r>
        <w:rPr>
          <w:rFonts w:ascii="Times New Roman" w:hAnsi="Times New Roman"/>
        </w:rPr>
        <w:t>,</w:t>
      </w:r>
      <w:r w:rsidRPr="00376E34">
        <w:rPr>
          <w:rFonts w:ascii="Times New Roman" w:hAnsi="Times New Roman"/>
        </w:rPr>
        <w:t xml:space="preserve"> conventional units, but would instead be composed of bodily traces corresponding to the dynamics of his singular </w:t>
      </w:r>
      <w:r>
        <w:rPr>
          <w:rFonts w:ascii="Times New Roman" w:hAnsi="Times New Roman"/>
        </w:rPr>
        <w:t>experience in time: ‘</w:t>
      </w:r>
      <w:r w:rsidRPr="00376E34">
        <w:rPr>
          <w:rFonts w:ascii="Times New Roman" w:hAnsi="Times New Roman"/>
        </w:rPr>
        <w:t>Signs above all to retrieve one’s being from the trap of the language of others</w:t>
      </w:r>
      <w:r>
        <w:rPr>
          <w:rFonts w:ascii="Times New Roman" w:hAnsi="Times New Roman"/>
        </w:rPr>
        <w:t xml:space="preserve"> / made to get the better of you … </w:t>
      </w:r>
      <w:r w:rsidRPr="00376E34">
        <w:rPr>
          <w:rFonts w:ascii="Times New Roman" w:hAnsi="Times New Roman"/>
        </w:rPr>
        <w:t>Signs, not to be complete</w:t>
      </w:r>
      <w:r>
        <w:rPr>
          <w:rFonts w:ascii="Times New Roman" w:hAnsi="Times New Roman"/>
        </w:rPr>
        <w:t xml:space="preserve"> / </w:t>
      </w:r>
      <w:r w:rsidRPr="00376E34">
        <w:rPr>
          <w:rFonts w:ascii="Times New Roman" w:hAnsi="Times New Roman"/>
        </w:rPr>
        <w:t>but true to one’s passing</w:t>
      </w:r>
      <w:r>
        <w:t>’.</w:t>
      </w:r>
      <w:r>
        <w:rPr>
          <w:rStyle w:val="FootnoteReference"/>
          <w:rFonts w:ascii="Times New Roman" w:hAnsi="Times New Roman"/>
        </w:rPr>
        <w:footnoteReference w:id="5"/>
      </w:r>
      <w:r>
        <w:t xml:space="preserve"> </w:t>
      </w:r>
      <w:r>
        <w:rPr>
          <w:rFonts w:ascii="Times New Roman" w:hAnsi="Times New Roman"/>
        </w:rPr>
        <w:t>T</w:t>
      </w:r>
      <w:r w:rsidRPr="00376E34">
        <w:rPr>
          <w:rFonts w:ascii="Times New Roman" w:hAnsi="Times New Roman"/>
        </w:rPr>
        <w:t xml:space="preserve">he </w:t>
      </w:r>
      <w:r>
        <w:rPr>
          <w:rFonts w:ascii="Times New Roman" w:hAnsi="Times New Roman"/>
        </w:rPr>
        <w:t>brush</w:t>
      </w:r>
      <w:r w:rsidRPr="00376E34">
        <w:rPr>
          <w:rFonts w:ascii="Times New Roman" w:hAnsi="Times New Roman"/>
        </w:rPr>
        <w:t xml:space="preserve"> </w:t>
      </w:r>
      <w:r>
        <w:rPr>
          <w:rFonts w:ascii="Times New Roman" w:hAnsi="Times New Roman"/>
        </w:rPr>
        <w:t>was to act</w:t>
      </w:r>
      <w:r w:rsidRPr="00376E34">
        <w:rPr>
          <w:rFonts w:ascii="Times New Roman" w:hAnsi="Times New Roman"/>
        </w:rPr>
        <w:t xml:space="preserve"> like a seismograph registering the tremors </w:t>
      </w:r>
      <w:r>
        <w:rPr>
          <w:rFonts w:ascii="Times New Roman" w:hAnsi="Times New Roman"/>
        </w:rPr>
        <w:t xml:space="preserve">of </w:t>
      </w:r>
      <w:r w:rsidRPr="00376E34">
        <w:rPr>
          <w:rFonts w:ascii="Times New Roman" w:hAnsi="Times New Roman"/>
        </w:rPr>
        <w:t xml:space="preserve">psychic and corporeal life. </w:t>
      </w:r>
      <w:r>
        <w:rPr>
          <w:rFonts w:ascii="Times New Roman" w:hAnsi="Times New Roman"/>
        </w:rPr>
        <w:t xml:space="preserve">In 1972 Michaux wrote of his desire for </w:t>
      </w:r>
      <w:r w:rsidRPr="00376E34">
        <w:rPr>
          <w:rFonts w:ascii="Times New Roman" w:hAnsi="Times New Roman"/>
        </w:rPr>
        <w:t xml:space="preserve">‘A </w:t>
      </w:r>
      <w:r w:rsidRPr="00376E34">
        <w:rPr>
          <w:rFonts w:ascii="Times New Roman" w:hAnsi="Times New Roman"/>
          <w:i/>
        </w:rPr>
        <w:t>continuum</w:t>
      </w:r>
      <w:r w:rsidRPr="00376E34">
        <w:rPr>
          <w:rFonts w:ascii="Times New Roman" w:hAnsi="Times New Roman"/>
        </w:rPr>
        <w:t>. A murmur</w:t>
      </w:r>
      <w:r>
        <w:rPr>
          <w:rFonts w:ascii="Times New Roman" w:hAnsi="Times New Roman"/>
        </w:rPr>
        <w:t xml:space="preserve"> without end</w:t>
      </w:r>
      <w:r w:rsidRPr="00376E34">
        <w:rPr>
          <w:rFonts w:ascii="Times New Roman" w:hAnsi="Times New Roman"/>
        </w:rPr>
        <w:t xml:space="preserve">… I want </w:t>
      </w:r>
      <w:r>
        <w:rPr>
          <w:rFonts w:ascii="Times New Roman" w:hAnsi="Times New Roman"/>
        </w:rPr>
        <w:t>my tracings</w:t>
      </w:r>
      <w:r w:rsidRPr="00376E34">
        <w:rPr>
          <w:rFonts w:ascii="Times New Roman" w:hAnsi="Times New Roman"/>
        </w:rPr>
        <w:t xml:space="preserve"> to </w:t>
      </w:r>
      <w:r w:rsidRPr="00376E34">
        <w:rPr>
          <w:rFonts w:ascii="Times New Roman" w:hAnsi="Times New Roman"/>
        </w:rPr>
        <w:lastRenderedPageBreak/>
        <w:t>be the very phrasing of</w:t>
      </w:r>
      <w:r>
        <w:rPr>
          <w:rFonts w:ascii="Times New Roman" w:hAnsi="Times New Roman"/>
        </w:rPr>
        <w:t xml:space="preserve"> life – yet </w:t>
      </w:r>
      <w:r w:rsidRPr="00376E34">
        <w:rPr>
          <w:rFonts w:ascii="Times New Roman" w:hAnsi="Times New Roman"/>
        </w:rPr>
        <w:t>supple, deformable, sinuous.’</w:t>
      </w:r>
      <w:r w:rsidRPr="00376E34">
        <w:rPr>
          <w:rStyle w:val="FootnoteReference"/>
          <w:rFonts w:ascii="Times New Roman" w:hAnsi="Times New Roman"/>
        </w:rPr>
        <w:footnoteReference w:id="6"/>
      </w:r>
      <w:r>
        <w:rPr>
          <w:rFonts w:ascii="Times New Roman" w:hAnsi="Times New Roman"/>
        </w:rPr>
        <w:t xml:space="preserve"> Metaphors of fluidity were </w:t>
      </w:r>
      <w:r w:rsidRPr="00376E34">
        <w:rPr>
          <w:rFonts w:ascii="Times New Roman" w:hAnsi="Times New Roman"/>
        </w:rPr>
        <w:t xml:space="preserve">crucial to </w:t>
      </w:r>
      <w:r>
        <w:rPr>
          <w:rFonts w:ascii="Times New Roman" w:hAnsi="Times New Roman"/>
        </w:rPr>
        <w:t>the articulation of this project, as</w:t>
      </w:r>
      <w:r w:rsidRPr="00376E34">
        <w:rPr>
          <w:rFonts w:ascii="Times New Roman" w:hAnsi="Times New Roman"/>
        </w:rPr>
        <w:t xml:space="preserve"> </w:t>
      </w:r>
      <w:r>
        <w:rPr>
          <w:rFonts w:ascii="Times New Roman" w:hAnsi="Times New Roman"/>
        </w:rPr>
        <w:t xml:space="preserve">indeed was the literal, material truancy of his medium. </w:t>
      </w:r>
      <w:r w:rsidRPr="00376E34">
        <w:rPr>
          <w:rFonts w:ascii="Times New Roman" w:hAnsi="Times New Roman"/>
        </w:rPr>
        <w:t xml:space="preserve">The </w:t>
      </w:r>
      <w:r>
        <w:rPr>
          <w:rFonts w:ascii="Times New Roman" w:hAnsi="Times New Roman"/>
        </w:rPr>
        <w:t xml:space="preserve">buoyancy </w:t>
      </w:r>
      <w:r w:rsidRPr="00376E34">
        <w:rPr>
          <w:rFonts w:ascii="Times New Roman" w:hAnsi="Times New Roman"/>
        </w:rPr>
        <w:t>of ink</w:t>
      </w:r>
      <w:r>
        <w:rPr>
          <w:rFonts w:ascii="Times New Roman" w:hAnsi="Times New Roman"/>
        </w:rPr>
        <w:t xml:space="preserve"> could re-stage the qualities of contingency</w:t>
      </w:r>
      <w:r w:rsidRPr="00376E34">
        <w:rPr>
          <w:rFonts w:ascii="Times New Roman" w:hAnsi="Times New Roman"/>
        </w:rPr>
        <w:t xml:space="preserve"> and responsiveness that </w:t>
      </w:r>
      <w:r>
        <w:rPr>
          <w:rFonts w:ascii="Times New Roman" w:hAnsi="Times New Roman"/>
        </w:rPr>
        <w:t>Michaux</w:t>
      </w:r>
      <w:r w:rsidRPr="00376E34">
        <w:rPr>
          <w:rFonts w:ascii="Times New Roman" w:hAnsi="Times New Roman"/>
        </w:rPr>
        <w:t xml:space="preserve"> recognized a</w:t>
      </w:r>
      <w:r>
        <w:rPr>
          <w:rFonts w:ascii="Times New Roman" w:hAnsi="Times New Roman"/>
        </w:rPr>
        <w:t>s characteristic of his own life; of both his ‘failures’ and ‘</w:t>
      </w:r>
      <w:r w:rsidRPr="00376E34">
        <w:rPr>
          <w:rFonts w:ascii="Times New Roman" w:hAnsi="Times New Roman"/>
        </w:rPr>
        <w:t>by the same token the way to move beyond them</w:t>
      </w:r>
      <w:r>
        <w:rPr>
          <w:rFonts w:ascii="Times New Roman" w:hAnsi="Times New Roman"/>
        </w:rPr>
        <w:t>’.</w:t>
      </w:r>
      <w:r>
        <w:rPr>
          <w:rStyle w:val="FootnoteReference"/>
          <w:rFonts w:ascii="Times New Roman" w:hAnsi="Times New Roman"/>
        </w:rPr>
        <w:footnoteReference w:id="7"/>
      </w:r>
    </w:p>
    <w:p w14:paraId="2A390203" w14:textId="77777777" w:rsidR="001C779C" w:rsidRPr="00376E34" w:rsidRDefault="001C779C">
      <w:pPr>
        <w:rPr>
          <w:rFonts w:ascii="Times New Roman" w:hAnsi="Times New Roman"/>
        </w:rPr>
      </w:pPr>
    </w:p>
    <w:p w14:paraId="680F091A" w14:textId="77777777" w:rsidR="001C779C" w:rsidRPr="00376E34" w:rsidRDefault="001C779C" w:rsidP="00A9729F">
      <w:pPr>
        <w:rPr>
          <w:rFonts w:ascii="Times New Roman" w:hAnsi="Times New Roman"/>
        </w:rPr>
      </w:pPr>
      <w:r>
        <w:rPr>
          <w:rFonts w:ascii="Times New Roman" w:hAnsi="Times New Roman"/>
        </w:rPr>
        <w:t>For Michaux, drawing provided a more satisfying record of identity than any photographic or mirrored image. ‘The mirror is not the place to observe yourself’, he wrote in 1946, ‘Men, look at yourselves in the paper.’</w:t>
      </w:r>
      <w:r>
        <w:rPr>
          <w:rStyle w:val="FootnoteReference"/>
          <w:rFonts w:ascii="Times New Roman" w:hAnsi="Times New Roman"/>
        </w:rPr>
        <w:footnoteReference w:id="8"/>
      </w:r>
      <w:r w:rsidRPr="00376E34">
        <w:rPr>
          <w:rFonts w:ascii="Times New Roman" w:hAnsi="Times New Roman"/>
        </w:rPr>
        <w:t xml:space="preserve"> </w:t>
      </w:r>
      <w:r>
        <w:rPr>
          <w:rFonts w:ascii="Times New Roman" w:hAnsi="Times New Roman"/>
        </w:rPr>
        <w:t xml:space="preserve">Resistant to both the </w:t>
      </w:r>
      <w:r w:rsidRPr="00376E34">
        <w:rPr>
          <w:rFonts w:ascii="Times New Roman" w:hAnsi="Times New Roman"/>
        </w:rPr>
        <w:t>icon</w:t>
      </w:r>
      <w:r>
        <w:rPr>
          <w:rFonts w:ascii="Times New Roman" w:hAnsi="Times New Roman"/>
        </w:rPr>
        <w:t>ic image</w:t>
      </w:r>
      <w:r w:rsidRPr="00376E34">
        <w:rPr>
          <w:rFonts w:ascii="Times New Roman" w:hAnsi="Times New Roman"/>
        </w:rPr>
        <w:t xml:space="preserve"> (based upon resemblance) and </w:t>
      </w:r>
      <w:r>
        <w:rPr>
          <w:rFonts w:ascii="Times New Roman" w:hAnsi="Times New Roman"/>
        </w:rPr>
        <w:t xml:space="preserve">the </w:t>
      </w:r>
      <w:r w:rsidRPr="00376E34">
        <w:rPr>
          <w:rFonts w:ascii="Times New Roman" w:hAnsi="Times New Roman"/>
        </w:rPr>
        <w:t>symbol</w:t>
      </w:r>
      <w:r>
        <w:rPr>
          <w:rFonts w:ascii="Times New Roman" w:hAnsi="Times New Roman"/>
        </w:rPr>
        <w:t>ic code</w:t>
      </w:r>
      <w:r w:rsidRPr="00376E34">
        <w:rPr>
          <w:rFonts w:ascii="Times New Roman" w:hAnsi="Times New Roman"/>
        </w:rPr>
        <w:t xml:space="preserve"> (base</w:t>
      </w:r>
      <w:r>
        <w:rPr>
          <w:rFonts w:ascii="Times New Roman" w:hAnsi="Times New Roman"/>
        </w:rPr>
        <w:t>d upon convention), Michaux looked to indexical signs (based upon existential connection) to tell back his being. In a recent essay, Margaret Iversen has suggestively referred to the graphic trace as an ‘indexical diagram’, a ‘hybrid form of representation’ that ‘</w:t>
      </w:r>
      <w:r w:rsidRPr="00F96537">
        <w:rPr>
          <w:rFonts w:ascii="Times New Roman" w:hAnsi="Times New Roman"/>
        </w:rPr>
        <w:t>takes from the index a registration of something unique – the impress of an individual, while incorporating the diagram’s abstraction from what is immediately given in perception.’</w:t>
      </w:r>
      <w:r w:rsidRPr="00376E34">
        <w:rPr>
          <w:rStyle w:val="FootnoteReference"/>
          <w:rFonts w:ascii="Times New Roman" w:hAnsi="Times New Roman"/>
        </w:rPr>
        <w:footnoteReference w:id="9"/>
      </w:r>
      <w:r>
        <w:rPr>
          <w:rFonts w:ascii="Times New Roman" w:hAnsi="Times New Roman"/>
        </w:rPr>
        <w:t xml:space="preserve"> In 1957, Michaux would famously set out yet another kind of hybridity, this time invoking the cinematograph, </w:t>
      </w:r>
      <w:r w:rsidRPr="00376E34">
        <w:rPr>
          <w:rFonts w:ascii="Times New Roman" w:hAnsi="Times New Roman"/>
        </w:rPr>
        <w:t xml:space="preserve">the technology that </w:t>
      </w:r>
      <w:r>
        <w:rPr>
          <w:rFonts w:ascii="Times New Roman" w:hAnsi="Times New Roman"/>
        </w:rPr>
        <w:t>by name draws or writes movement:</w:t>
      </w:r>
    </w:p>
    <w:p w14:paraId="23DD0662" w14:textId="77777777" w:rsidR="001C779C" w:rsidRPr="00376E34" w:rsidRDefault="001C779C" w:rsidP="00A9729F">
      <w:pPr>
        <w:rPr>
          <w:rFonts w:ascii="Times New Roman" w:hAnsi="Times New Roman"/>
        </w:rPr>
      </w:pPr>
    </w:p>
    <w:p w14:paraId="714AB291" w14:textId="77777777" w:rsidR="001C779C" w:rsidRPr="00376E34" w:rsidRDefault="001C779C" w:rsidP="00A9729F">
      <w:pPr>
        <w:ind w:left="720"/>
        <w:rPr>
          <w:rFonts w:ascii="Times New Roman" w:hAnsi="Times New Roman"/>
        </w:rPr>
      </w:pPr>
      <w:r w:rsidRPr="00376E34">
        <w:rPr>
          <w:rFonts w:ascii="Times New Roman" w:hAnsi="Times New Roman"/>
        </w:rPr>
        <w:t>I wanted to draw the consciousness of existing and the flow of time. As one takes one’s pulse. Or again, more modestly, that which appears when, in the evening, the film that has been exposed to the day’s images, but shorter and muted, is rerun.</w:t>
      </w:r>
    </w:p>
    <w:p w14:paraId="59B16421" w14:textId="77777777" w:rsidR="001C779C" w:rsidRDefault="001C779C" w:rsidP="00D64096">
      <w:pPr>
        <w:ind w:left="720"/>
        <w:rPr>
          <w:rFonts w:ascii="Times New Roman" w:hAnsi="Times New Roman"/>
        </w:rPr>
      </w:pPr>
      <w:r w:rsidRPr="00376E34">
        <w:rPr>
          <w:rFonts w:ascii="Times New Roman" w:hAnsi="Times New Roman"/>
        </w:rPr>
        <w:t>Cinematic drawing.</w:t>
      </w:r>
      <w:r w:rsidRPr="00376E34">
        <w:rPr>
          <w:rStyle w:val="FootnoteReference"/>
          <w:rFonts w:ascii="Times New Roman" w:hAnsi="Times New Roman"/>
        </w:rPr>
        <w:footnoteReference w:id="10"/>
      </w:r>
    </w:p>
    <w:p w14:paraId="055B1EC8" w14:textId="77777777" w:rsidR="001C779C" w:rsidRDefault="001C779C">
      <w:pPr>
        <w:rPr>
          <w:rFonts w:ascii="Times New Roman" w:hAnsi="Times New Roman"/>
        </w:rPr>
      </w:pPr>
    </w:p>
    <w:p w14:paraId="13B89B80" w14:textId="77777777" w:rsidR="001C779C" w:rsidRDefault="001C779C" w:rsidP="009B324E">
      <w:pPr>
        <w:rPr>
          <w:rFonts w:ascii="Times New Roman" w:hAnsi="Times New Roman"/>
        </w:rPr>
      </w:pPr>
      <w:r w:rsidRPr="00376E34">
        <w:rPr>
          <w:rFonts w:ascii="Times New Roman" w:hAnsi="Times New Roman"/>
        </w:rPr>
        <w:t xml:space="preserve">The notion of a ‘cinematic drawing’ </w:t>
      </w:r>
      <w:r>
        <w:rPr>
          <w:rFonts w:ascii="Times New Roman" w:hAnsi="Times New Roman"/>
        </w:rPr>
        <w:t>suggestively indicates important tensions within Michaux’s project. The filmstrip is a continuous line, a ‘sinuous strand’, but one which is divided into discrete frames. Before long Michaux’s ink will dry, its potential for movement will evaporate, and the remaining sheets will present only stable, divisible residues or ‘diagrams’. As with the cinematic apparatus, their reanimation will depend upon a projective mechanism, in this case the imaginative engagement of the viewer that attends the turning of the pages of the book. A ‘cinematic drawing’ would also signal a relative bypassing</w:t>
      </w:r>
      <w:r w:rsidRPr="00376E34">
        <w:rPr>
          <w:rFonts w:ascii="Times New Roman" w:hAnsi="Times New Roman"/>
        </w:rPr>
        <w:t xml:space="preserve"> </w:t>
      </w:r>
      <w:r>
        <w:rPr>
          <w:rFonts w:ascii="Times New Roman" w:hAnsi="Times New Roman"/>
        </w:rPr>
        <w:t>of</w:t>
      </w:r>
      <w:r w:rsidRPr="00376E34">
        <w:rPr>
          <w:rFonts w:ascii="Times New Roman" w:hAnsi="Times New Roman"/>
        </w:rPr>
        <w:t xml:space="preserve"> intentional control. Just as </w:t>
      </w:r>
      <w:r>
        <w:rPr>
          <w:rFonts w:ascii="Times New Roman" w:hAnsi="Times New Roman"/>
        </w:rPr>
        <w:t xml:space="preserve">each frame of </w:t>
      </w:r>
      <w:r w:rsidRPr="00376E34">
        <w:rPr>
          <w:rFonts w:ascii="Times New Roman" w:hAnsi="Times New Roman"/>
        </w:rPr>
        <w:t xml:space="preserve">the cinematograph registers </w:t>
      </w:r>
      <w:r>
        <w:rPr>
          <w:rFonts w:ascii="Times New Roman" w:hAnsi="Times New Roman"/>
        </w:rPr>
        <w:t>both intended and unintended contents</w:t>
      </w:r>
      <w:r w:rsidRPr="00376E34">
        <w:rPr>
          <w:rFonts w:ascii="Times New Roman" w:hAnsi="Times New Roman"/>
        </w:rPr>
        <w:t>, Michaux’s drawings i</w:t>
      </w:r>
      <w:r>
        <w:rPr>
          <w:rFonts w:ascii="Times New Roman" w:hAnsi="Times New Roman"/>
        </w:rPr>
        <w:t>nvolve a dimension of passivity</w:t>
      </w:r>
      <w:r w:rsidRPr="00376E34">
        <w:rPr>
          <w:rFonts w:ascii="Times New Roman" w:hAnsi="Times New Roman"/>
        </w:rPr>
        <w:t xml:space="preserve"> and </w:t>
      </w:r>
      <w:r>
        <w:rPr>
          <w:rFonts w:ascii="Times New Roman" w:hAnsi="Times New Roman"/>
        </w:rPr>
        <w:t xml:space="preserve">a </w:t>
      </w:r>
      <w:r w:rsidRPr="00376E34">
        <w:rPr>
          <w:rFonts w:ascii="Times New Roman" w:hAnsi="Times New Roman"/>
        </w:rPr>
        <w:t xml:space="preserve">relinquishment of control </w:t>
      </w:r>
      <w:r>
        <w:rPr>
          <w:rFonts w:ascii="Times New Roman" w:hAnsi="Times New Roman"/>
        </w:rPr>
        <w:t>as he lends his body to the world of drawing to elaborate a tacit language</w:t>
      </w:r>
      <w:r w:rsidRPr="00376E34">
        <w:rPr>
          <w:rFonts w:ascii="Times New Roman" w:hAnsi="Times New Roman"/>
        </w:rPr>
        <w:t xml:space="preserve"> </w:t>
      </w:r>
      <w:r>
        <w:rPr>
          <w:rFonts w:ascii="Times New Roman" w:hAnsi="Times New Roman"/>
        </w:rPr>
        <w:t>constituted by</w:t>
      </w:r>
      <w:r w:rsidRPr="00376E34">
        <w:rPr>
          <w:rFonts w:ascii="Times New Roman" w:hAnsi="Times New Roman"/>
        </w:rPr>
        <w:t xml:space="preserve"> ‘tiny crossroads of impressionability and event’ </w:t>
      </w:r>
      <w:r>
        <w:rPr>
          <w:rFonts w:ascii="Times New Roman" w:hAnsi="Times New Roman"/>
        </w:rPr>
        <w:t xml:space="preserve">beneath the threshold of willed </w:t>
      </w:r>
      <w:r>
        <w:rPr>
          <w:rFonts w:ascii="Times New Roman" w:hAnsi="Times New Roman"/>
        </w:rPr>
        <w:lastRenderedPageBreak/>
        <w:t>attention</w:t>
      </w:r>
      <w:r w:rsidRPr="00376E34">
        <w:rPr>
          <w:rFonts w:ascii="Times New Roman" w:hAnsi="Times New Roman"/>
        </w:rPr>
        <w:t>.</w:t>
      </w:r>
      <w:r>
        <w:rPr>
          <w:rStyle w:val="FootnoteReference"/>
          <w:rFonts w:ascii="Times New Roman" w:hAnsi="Times New Roman"/>
        </w:rPr>
        <w:footnoteReference w:id="11"/>
      </w:r>
      <w:r w:rsidRPr="00376E34">
        <w:rPr>
          <w:rFonts w:ascii="Times New Roman" w:hAnsi="Times New Roman"/>
        </w:rPr>
        <w:t xml:space="preserve"> </w:t>
      </w:r>
      <w:r>
        <w:rPr>
          <w:rFonts w:ascii="Times New Roman" w:hAnsi="Times New Roman"/>
        </w:rPr>
        <w:t>This</w:t>
      </w:r>
      <w:r w:rsidRPr="00376E34">
        <w:rPr>
          <w:rFonts w:ascii="Times New Roman" w:hAnsi="Times New Roman"/>
        </w:rPr>
        <w:t xml:space="preserve"> </w:t>
      </w:r>
      <w:r>
        <w:rPr>
          <w:rFonts w:ascii="Times New Roman" w:hAnsi="Times New Roman"/>
        </w:rPr>
        <w:t>quality</w:t>
      </w:r>
      <w:r w:rsidRPr="00376E34">
        <w:rPr>
          <w:rFonts w:ascii="Times New Roman" w:hAnsi="Times New Roman"/>
        </w:rPr>
        <w:t xml:space="preserve"> of muteness raises the problem of silence and privacy</w:t>
      </w:r>
      <w:r>
        <w:rPr>
          <w:rFonts w:ascii="Times New Roman" w:hAnsi="Times New Roman"/>
        </w:rPr>
        <w:t xml:space="preserve"> in opposition to communicative</w:t>
      </w:r>
      <w:r w:rsidRPr="00376E34">
        <w:rPr>
          <w:rFonts w:ascii="Times New Roman" w:hAnsi="Times New Roman"/>
        </w:rPr>
        <w:t xml:space="preserve"> </w:t>
      </w:r>
      <w:r w:rsidRPr="004E299B">
        <w:rPr>
          <w:rFonts w:ascii="Times New Roman" w:hAnsi="Times New Roman"/>
        </w:rPr>
        <w:t>language</w:t>
      </w:r>
      <w:r>
        <w:rPr>
          <w:rFonts w:ascii="Times New Roman" w:hAnsi="Times New Roman"/>
        </w:rPr>
        <w:t xml:space="preserve"> proper</w:t>
      </w:r>
      <w:r w:rsidRPr="00376E34">
        <w:rPr>
          <w:rFonts w:ascii="Times New Roman" w:hAnsi="Times New Roman"/>
        </w:rPr>
        <w:t>.</w:t>
      </w:r>
      <w:r>
        <w:rPr>
          <w:rFonts w:ascii="Times New Roman" w:hAnsi="Times New Roman"/>
        </w:rPr>
        <w:t xml:space="preserve"> Michaux’s gestural idiom</w:t>
      </w:r>
      <w:r w:rsidRPr="00376E34">
        <w:rPr>
          <w:rFonts w:ascii="Times New Roman" w:hAnsi="Times New Roman"/>
        </w:rPr>
        <w:t xml:space="preserve"> wavers between absolute </w:t>
      </w:r>
      <w:r>
        <w:rPr>
          <w:rFonts w:ascii="Times New Roman" w:hAnsi="Times New Roman"/>
        </w:rPr>
        <w:t>meaninglessness</w:t>
      </w:r>
      <w:r w:rsidRPr="00376E34">
        <w:rPr>
          <w:rFonts w:ascii="Times New Roman" w:hAnsi="Times New Roman"/>
        </w:rPr>
        <w:t xml:space="preserve"> and something so unmediated as to provide the ground for a universally accessible expressive language.</w:t>
      </w:r>
      <w:r w:rsidRPr="00376E34">
        <w:rPr>
          <w:rStyle w:val="FootnoteReference"/>
          <w:rFonts w:ascii="Times New Roman" w:hAnsi="Times New Roman"/>
        </w:rPr>
        <w:footnoteReference w:id="12"/>
      </w:r>
    </w:p>
    <w:p w14:paraId="2C3243DC" w14:textId="77777777" w:rsidR="001C779C" w:rsidRDefault="001C779C" w:rsidP="009B324E">
      <w:pPr>
        <w:rPr>
          <w:rFonts w:ascii="Times New Roman" w:hAnsi="Times New Roman"/>
        </w:rPr>
      </w:pPr>
    </w:p>
    <w:p w14:paraId="1F6217E8" w14:textId="77777777" w:rsidR="001C779C" w:rsidRDefault="001C779C" w:rsidP="0080575E">
      <w:pPr>
        <w:rPr>
          <w:rFonts w:ascii="Times New Roman" w:hAnsi="Times New Roman"/>
        </w:rPr>
      </w:pPr>
      <w:r>
        <w:rPr>
          <w:rFonts w:ascii="Times New Roman" w:hAnsi="Times New Roman"/>
        </w:rPr>
        <w:t>If Michaux, in his enthralled self-reflection by way of watery signs, can be compared to a Narcissus, then Marcel Broodthaers is a Bartleby.</w:t>
      </w:r>
      <w:r>
        <w:rPr>
          <w:rStyle w:val="FootnoteReference"/>
          <w:rFonts w:ascii="Times New Roman" w:hAnsi="Times New Roman"/>
        </w:rPr>
        <w:footnoteReference w:id="13"/>
      </w:r>
      <w:r>
        <w:rPr>
          <w:rFonts w:ascii="Times New Roman" w:hAnsi="Times New Roman"/>
        </w:rPr>
        <w:t xml:space="preserve"> Rather than an active, existential quest for the revelation of self, Broodthaers would reconceive art’s work in terms of subversive forms of </w:t>
      </w:r>
      <w:r w:rsidRPr="00C63B91">
        <w:rPr>
          <w:rFonts w:ascii="Times New Roman" w:hAnsi="Times New Roman"/>
        </w:rPr>
        <w:t>inaction</w:t>
      </w:r>
      <w:r>
        <w:rPr>
          <w:rFonts w:ascii="Times New Roman" w:hAnsi="Times New Roman"/>
        </w:rPr>
        <w:t xml:space="preserve"> that make apparent the formations and injunctions to which the self is subject. Broodthaers prefers not to perform the various tasks usually incumbent upon the artist, exploring instead the efficacy of a self-imposed muteness and failure. In his 1969</w:t>
      </w:r>
      <w:r w:rsidRPr="00BA01AF">
        <w:rPr>
          <w:rFonts w:ascii="Times New Roman" w:hAnsi="Times New Roman"/>
        </w:rPr>
        <w:t xml:space="preserve"> </w:t>
      </w:r>
      <w:r>
        <w:rPr>
          <w:rFonts w:ascii="Times New Roman" w:hAnsi="Times New Roman"/>
        </w:rPr>
        <w:t xml:space="preserve">film </w:t>
      </w:r>
      <w:r w:rsidRPr="00DF6C5D">
        <w:rPr>
          <w:rFonts w:ascii="Times New Roman" w:hAnsi="Times New Roman"/>
          <w:i/>
        </w:rPr>
        <w:t>La Pluie (Projet pour un texte)</w:t>
      </w:r>
      <w:r>
        <w:rPr>
          <w:rFonts w:ascii="Times New Roman" w:hAnsi="Times New Roman"/>
        </w:rPr>
        <w:t xml:space="preserve">, Broodthaers pressed liquidity into the service of his own silencing. Here the artist is seated outside at a makeshift desk. Pen in hand he begins to write and, as he does so, rain starts to fall onto his page. As the drops become a flood the ink letters silently dissipate into a pool of eddies and wash. </w:t>
      </w:r>
      <w:r w:rsidRPr="00376E34">
        <w:rPr>
          <w:rFonts w:ascii="Times New Roman" w:hAnsi="Times New Roman"/>
        </w:rPr>
        <w:t xml:space="preserve">Deadpan like Buster Keaton, Broodthaers persists in the downpour, undeterred by the dissolution of his </w:t>
      </w:r>
      <w:r>
        <w:rPr>
          <w:rFonts w:ascii="Times New Roman" w:hAnsi="Times New Roman"/>
        </w:rPr>
        <w:t>words</w:t>
      </w:r>
      <w:r w:rsidRPr="00376E34">
        <w:rPr>
          <w:rFonts w:ascii="Times New Roman" w:hAnsi="Times New Roman"/>
        </w:rPr>
        <w:t xml:space="preserve"> in this small-scale deluge. </w:t>
      </w:r>
      <w:r>
        <w:rPr>
          <w:rFonts w:ascii="Times New Roman" w:hAnsi="Times New Roman"/>
        </w:rPr>
        <w:t>The material dimension of the signifier, now driven to comic excess, entropically disperses the writing</w:t>
      </w:r>
      <w:r w:rsidRPr="00376E34">
        <w:rPr>
          <w:rFonts w:ascii="Times New Roman" w:hAnsi="Times New Roman"/>
        </w:rPr>
        <w:t>.</w:t>
      </w:r>
      <w:r>
        <w:rPr>
          <w:rStyle w:val="FootnoteReference"/>
          <w:rFonts w:ascii="Times New Roman" w:hAnsi="Times New Roman"/>
        </w:rPr>
        <w:footnoteReference w:id="14"/>
      </w:r>
      <w:r w:rsidRPr="00376E34">
        <w:rPr>
          <w:rFonts w:ascii="Times New Roman" w:hAnsi="Times New Roman"/>
        </w:rPr>
        <w:t xml:space="preserve"> After about two minutes the film ends with a still presenting the passage of signs into mute material swirls. Superimposed on this image are the words ‘projet pour un texte.’ </w:t>
      </w:r>
      <w:r>
        <w:rPr>
          <w:rFonts w:ascii="Times New Roman" w:hAnsi="Times New Roman"/>
        </w:rPr>
        <w:t>The</w:t>
      </w:r>
      <w:r w:rsidRPr="00376E34">
        <w:rPr>
          <w:rFonts w:ascii="Times New Roman" w:hAnsi="Times New Roman"/>
        </w:rPr>
        <w:t xml:space="preserve"> task of such a project would be to face the impossibility of direct or transparent communication, and to stage ins</w:t>
      </w:r>
      <w:r>
        <w:rPr>
          <w:rFonts w:ascii="Times New Roman" w:hAnsi="Times New Roman"/>
        </w:rPr>
        <w:t xml:space="preserve">tead the author under erasure. The regression of the legible sign to watery stain or disarticulated flow, far from opening onto a liberated expressive plenitude, instead stages an enigmatic withdrawal and tautology. </w:t>
      </w:r>
    </w:p>
    <w:p w14:paraId="113BCF9D" w14:textId="77777777" w:rsidR="001C779C" w:rsidRDefault="001C779C" w:rsidP="009B324E">
      <w:pPr>
        <w:rPr>
          <w:rFonts w:ascii="Times New Roman" w:hAnsi="Times New Roman"/>
        </w:rPr>
      </w:pPr>
    </w:p>
    <w:p w14:paraId="3E987395" w14:textId="77777777" w:rsidR="001C779C" w:rsidRDefault="001C779C" w:rsidP="00B34034">
      <w:pPr>
        <w:rPr>
          <w:rFonts w:ascii="Times New Roman" w:hAnsi="Times New Roman"/>
        </w:rPr>
      </w:pPr>
      <w:r w:rsidRPr="00363B19">
        <w:rPr>
          <w:rFonts w:ascii="Times New Roman" w:hAnsi="Times New Roman"/>
          <w:i/>
        </w:rPr>
        <w:t>La Pluie</w:t>
      </w:r>
      <w:r>
        <w:rPr>
          <w:rFonts w:ascii="Times New Roman" w:hAnsi="Times New Roman"/>
        </w:rPr>
        <w:t xml:space="preserve"> might be viewed as a rebus whose solution is to be found in the tide of structuralist and poststructuralist thought developing in France in the 1960s. Broodthaers was conversant with these theoretical developments, referring explicitly </w:t>
      </w:r>
      <w:r>
        <w:rPr>
          <w:rFonts w:ascii="Times New Roman" w:hAnsi="Times New Roman"/>
        </w:rPr>
        <w:lastRenderedPageBreak/>
        <w:t>to Jacques Lacan and Michel Foucault in his exhibitions and writings.</w:t>
      </w:r>
      <w:r>
        <w:rPr>
          <w:rStyle w:val="FootnoteReference"/>
          <w:rFonts w:ascii="Times New Roman" w:hAnsi="Times New Roman"/>
        </w:rPr>
        <w:footnoteReference w:id="15"/>
      </w:r>
      <w:r>
        <w:rPr>
          <w:rFonts w:ascii="Times New Roman" w:hAnsi="Times New Roman"/>
        </w:rPr>
        <w:t xml:space="preserve"> However, although there are surely alignments here, especially with regards the critique of authorship, to see Broodthaers’ work as an illustration of theory would be wrong. He was too attentive to the material conditions of his medium for his work to be translated into clear philosophical propositions; for example, ‘pluie’ itself, as Rosalind Krauss has recently observed, refers not only to rain, but also to the vertical lines scored on the film’s emulsion as it is run through the projector.</w:t>
      </w:r>
      <w:r>
        <w:rPr>
          <w:rStyle w:val="FootnoteReference"/>
          <w:rFonts w:ascii="Times New Roman" w:hAnsi="Times New Roman"/>
        </w:rPr>
        <w:footnoteReference w:id="16"/>
      </w:r>
      <w:r>
        <w:rPr>
          <w:rFonts w:ascii="Times New Roman" w:hAnsi="Times New Roman"/>
        </w:rPr>
        <w:t xml:space="preserve"> This ‘rain’ thus indicates the physicality of the apparatus, as the stable, sequential chemical record contained in the filmstrip presents a scene of sheer liquid dispersal. Paradoxically, then, it is the articulation of the medium that allows the process of disarticulation to be made visible.</w:t>
      </w:r>
    </w:p>
    <w:p w14:paraId="7996E1C8" w14:textId="77777777" w:rsidR="001C779C" w:rsidRDefault="001C779C" w:rsidP="00B34034">
      <w:pPr>
        <w:rPr>
          <w:rFonts w:ascii="Times New Roman" w:hAnsi="Times New Roman"/>
        </w:rPr>
      </w:pPr>
    </w:p>
    <w:p w14:paraId="2C60C0E0" w14:textId="77777777" w:rsidR="001C779C" w:rsidRDefault="001C779C" w:rsidP="00146CF8">
      <w:pPr>
        <w:rPr>
          <w:rFonts w:ascii="Times New Roman" w:hAnsi="Times New Roman"/>
        </w:rPr>
      </w:pPr>
      <w:r>
        <w:rPr>
          <w:rFonts w:ascii="Times New Roman" w:hAnsi="Times New Roman"/>
        </w:rPr>
        <w:t>Broodthaers’ film might be interpreted as pronouncing verdict on Michaux’s dream of a fluid, murmuring language: without the articulation necessary to constitute a language proper, this proto-writing drifts into sheer nonsense or constitutes a mere screen for projection, especially when recuperated by the economic and institutional frames of art and harnessed to the proper name of artist. When, in 1938, an exhibition card for Michaux’s show at Galerie Pierre announced ‘A poet changes into a painter’, the transformation implied the acquisition of additional expressive means.</w:t>
      </w:r>
      <w:r>
        <w:rPr>
          <w:rStyle w:val="FootnoteReference"/>
          <w:rFonts w:ascii="Times New Roman" w:hAnsi="Times New Roman"/>
        </w:rPr>
        <w:footnoteReference w:id="17"/>
      </w:r>
      <w:r>
        <w:rPr>
          <w:rFonts w:ascii="Times New Roman" w:hAnsi="Times New Roman"/>
        </w:rPr>
        <w:t xml:space="preserve"> When, in 1964, Broodthaers buried the fifty remaining copies of his last collection of poetry, </w:t>
      </w:r>
      <w:r w:rsidRPr="008215F4">
        <w:rPr>
          <w:rFonts w:ascii="Times New Roman" w:hAnsi="Times New Roman"/>
          <w:i/>
        </w:rPr>
        <w:t>Pense-</w:t>
      </w:r>
      <w:r>
        <w:rPr>
          <w:rFonts w:ascii="Times New Roman" w:hAnsi="Times New Roman"/>
          <w:i/>
        </w:rPr>
        <w:t>Bê</w:t>
      </w:r>
      <w:r w:rsidRPr="00117951">
        <w:rPr>
          <w:rFonts w:ascii="Times New Roman" w:hAnsi="Times New Roman"/>
          <w:i/>
        </w:rPr>
        <w:t>te</w:t>
      </w:r>
      <w:r>
        <w:rPr>
          <w:rFonts w:ascii="Times New Roman" w:hAnsi="Times New Roman"/>
        </w:rPr>
        <w:t xml:space="preserve"> (1963), into a wedge of plaster, he announced the internment of that practice, with all its sadness and pleasures. The turning of pages, that basic animating operation so important to </w:t>
      </w:r>
      <w:r w:rsidRPr="00945E6A">
        <w:rPr>
          <w:rFonts w:ascii="Times New Roman" w:hAnsi="Times New Roman"/>
          <w:i/>
        </w:rPr>
        <w:t>Mouvements</w:t>
      </w:r>
      <w:r>
        <w:rPr>
          <w:rFonts w:ascii="Times New Roman" w:hAnsi="Times New Roman"/>
        </w:rPr>
        <w:t>, was now prohibited. This burial was enacted for the sake of a new career as a visual artist, now addressed to a real rather than imaginary audience, and necessarily based upon ‘something insincere’ (for Broodthaers the necessary price of working as an artist in a commodified world).</w:t>
      </w:r>
      <w:r>
        <w:rPr>
          <w:rStyle w:val="FootnoteReference"/>
          <w:rFonts w:ascii="Times New Roman" w:hAnsi="Times New Roman"/>
        </w:rPr>
        <w:footnoteReference w:id="18"/>
      </w:r>
      <w:r>
        <w:rPr>
          <w:rFonts w:ascii="Times New Roman" w:hAnsi="Times New Roman"/>
        </w:rPr>
        <w:t xml:space="preserve"> Indeed, in the same year that he made </w:t>
      </w:r>
      <w:r w:rsidRPr="00BB1D90">
        <w:rPr>
          <w:rFonts w:ascii="Times New Roman" w:hAnsi="Times New Roman"/>
          <w:i/>
        </w:rPr>
        <w:t>La Pluie</w:t>
      </w:r>
      <w:r>
        <w:rPr>
          <w:rFonts w:ascii="Times New Roman" w:hAnsi="Times New Roman"/>
        </w:rPr>
        <w:t xml:space="preserve">, Broodthaers would famously continue his melancholic address to modern poetry in an exhibition devoted to Stéphane Mallarmé’s </w:t>
      </w:r>
      <w:r w:rsidRPr="00FD5FB8">
        <w:rPr>
          <w:rFonts w:ascii="Times New Roman" w:hAnsi="Times New Roman"/>
          <w:i/>
        </w:rPr>
        <w:t>Un coup de dés</w:t>
      </w:r>
      <w:r>
        <w:rPr>
          <w:rFonts w:ascii="Times New Roman" w:hAnsi="Times New Roman"/>
          <w:i/>
        </w:rPr>
        <w:t xml:space="preserve"> jamais n’abolira le hasard</w:t>
      </w:r>
      <w:r>
        <w:rPr>
          <w:rFonts w:ascii="Times New Roman" w:hAnsi="Times New Roman"/>
        </w:rPr>
        <w:t>. D</w:t>
      </w:r>
      <w:r w:rsidRPr="00AE0207">
        <w:rPr>
          <w:rFonts w:ascii="Times New Roman" w:hAnsi="Times New Roman"/>
        </w:rPr>
        <w:t>eclared by Broodthaers to be ‘the source o</w:t>
      </w:r>
      <w:r>
        <w:rPr>
          <w:rFonts w:ascii="Times New Roman" w:hAnsi="Times New Roman"/>
        </w:rPr>
        <w:t>f contemporary art’</w:t>
      </w:r>
      <w:r w:rsidRPr="00AE0207">
        <w:rPr>
          <w:rFonts w:ascii="Times New Roman" w:hAnsi="Times New Roman"/>
        </w:rPr>
        <w:t>,</w:t>
      </w:r>
      <w:r>
        <w:rPr>
          <w:rStyle w:val="FootnoteReference"/>
          <w:rFonts w:ascii="Times New Roman" w:hAnsi="Times New Roman"/>
        </w:rPr>
        <w:footnoteReference w:id="19"/>
      </w:r>
      <w:r>
        <w:rPr>
          <w:rFonts w:ascii="Times New Roman" w:hAnsi="Times New Roman"/>
        </w:rPr>
        <w:t xml:space="preserve"> Mallarmé had already asserted that </w:t>
      </w:r>
      <w:r w:rsidRPr="00AE0207">
        <w:rPr>
          <w:rFonts w:ascii="Times New Roman" w:hAnsi="Times New Roman"/>
        </w:rPr>
        <w:t>‘The pure work of art implies the disappe</w:t>
      </w:r>
      <w:r>
        <w:rPr>
          <w:rFonts w:ascii="Times New Roman" w:hAnsi="Times New Roman"/>
        </w:rPr>
        <w:t>arance of the poet as speaker.’</w:t>
      </w:r>
      <w:r>
        <w:rPr>
          <w:rStyle w:val="FootnoteReference"/>
          <w:rFonts w:ascii="Times New Roman" w:hAnsi="Times New Roman"/>
        </w:rPr>
        <w:footnoteReference w:id="20"/>
      </w:r>
      <w:r>
        <w:rPr>
          <w:rFonts w:ascii="Times New Roman" w:hAnsi="Times New Roman"/>
        </w:rPr>
        <w:t xml:space="preserve"> That same year, Broodthaers also presented the </w:t>
      </w:r>
      <w:r w:rsidRPr="000E7E8E">
        <w:rPr>
          <w:rFonts w:ascii="Times New Roman" w:hAnsi="Times New Roman"/>
          <w:i/>
        </w:rPr>
        <w:t>Section</w:t>
      </w:r>
      <w:r>
        <w:rPr>
          <w:rFonts w:ascii="Times New Roman" w:hAnsi="Times New Roman"/>
        </w:rPr>
        <w:t xml:space="preserve"> </w:t>
      </w:r>
      <w:r>
        <w:rPr>
          <w:rFonts w:ascii="Times New Roman" w:hAnsi="Times New Roman"/>
          <w:i/>
        </w:rPr>
        <w:t>Documentaire</w:t>
      </w:r>
      <w:r w:rsidRPr="000E7E8E">
        <w:rPr>
          <w:rFonts w:ascii="Times New Roman" w:hAnsi="Times New Roman"/>
          <w:i/>
        </w:rPr>
        <w:t xml:space="preserve"> </w:t>
      </w:r>
      <w:r>
        <w:rPr>
          <w:rFonts w:ascii="Times New Roman" w:hAnsi="Times New Roman"/>
        </w:rPr>
        <w:t xml:space="preserve">of his Museum of Modern Art: rhyming with Foucault’s vision of the disappearance of the humanist subject at the end of </w:t>
      </w:r>
      <w:r>
        <w:rPr>
          <w:rFonts w:ascii="Times New Roman" w:hAnsi="Times New Roman"/>
          <w:i/>
        </w:rPr>
        <w:t>Les Mots et les C</w:t>
      </w:r>
      <w:r w:rsidRPr="00980697">
        <w:rPr>
          <w:rFonts w:ascii="Times New Roman" w:hAnsi="Times New Roman"/>
          <w:i/>
        </w:rPr>
        <w:t>hoses</w:t>
      </w:r>
      <w:r>
        <w:rPr>
          <w:rFonts w:ascii="Times New Roman" w:hAnsi="Times New Roman"/>
        </w:rPr>
        <w:t xml:space="preserve"> (1966), the record of his museum is given up to the </w:t>
      </w:r>
      <w:r>
        <w:rPr>
          <w:rFonts w:ascii="Times New Roman" w:hAnsi="Times New Roman"/>
        </w:rPr>
        <w:lastRenderedPageBreak/>
        <w:t>eternity of the sea.</w:t>
      </w:r>
      <w:r>
        <w:rPr>
          <w:rStyle w:val="FootnoteReference"/>
          <w:rFonts w:ascii="Times New Roman" w:hAnsi="Times New Roman"/>
        </w:rPr>
        <w:footnoteReference w:id="21"/>
      </w:r>
      <w:r>
        <w:rPr>
          <w:rFonts w:ascii="Times New Roman" w:hAnsi="Times New Roman"/>
        </w:rPr>
        <w:t xml:space="preserve"> </w:t>
      </w:r>
      <w:r w:rsidRPr="000E7E8E">
        <w:rPr>
          <w:rFonts w:ascii="Times New Roman" w:hAnsi="Times New Roman"/>
          <w:i/>
        </w:rPr>
        <w:t>La Pluie</w:t>
      </w:r>
      <w:r>
        <w:rPr>
          <w:rFonts w:ascii="Times New Roman" w:hAnsi="Times New Roman"/>
        </w:rPr>
        <w:t>, then, forms part of a constellation of pregnant negations that, in the artist’s words, attempt ‘to find an authentic means of calling into question art, its circulation, etc. [which might] justify the continuity and expansion of production.’</w:t>
      </w:r>
      <w:r>
        <w:rPr>
          <w:rStyle w:val="FootnoteReference"/>
          <w:rFonts w:ascii="Times New Roman" w:hAnsi="Times New Roman"/>
        </w:rPr>
        <w:footnoteReference w:id="22"/>
      </w:r>
    </w:p>
    <w:p w14:paraId="16D417BC" w14:textId="77777777" w:rsidR="001C779C" w:rsidRDefault="001C779C" w:rsidP="00732ABA">
      <w:pPr>
        <w:rPr>
          <w:rFonts w:ascii="Times New Roman" w:hAnsi="Times New Roman"/>
        </w:rPr>
      </w:pPr>
    </w:p>
    <w:p w14:paraId="619F5046" w14:textId="77777777" w:rsidR="001C779C" w:rsidRDefault="001C779C" w:rsidP="00732ABA">
      <w:pPr>
        <w:rPr>
          <w:rFonts w:ascii="Times New Roman" w:hAnsi="Times New Roman"/>
        </w:rPr>
      </w:pPr>
      <w:r>
        <w:rPr>
          <w:rFonts w:ascii="Times New Roman" w:hAnsi="Times New Roman"/>
        </w:rPr>
        <w:t xml:space="preserve">From </w:t>
      </w:r>
      <w:r w:rsidRPr="00B32CA3">
        <w:rPr>
          <w:rFonts w:ascii="Times New Roman" w:hAnsi="Times New Roman"/>
          <w:i/>
        </w:rPr>
        <w:t xml:space="preserve">Mouvements </w:t>
      </w:r>
      <w:r>
        <w:rPr>
          <w:rFonts w:ascii="Times New Roman" w:hAnsi="Times New Roman"/>
        </w:rPr>
        <w:t xml:space="preserve">to </w:t>
      </w:r>
      <w:r w:rsidRPr="00B32CA3">
        <w:rPr>
          <w:rFonts w:ascii="Times New Roman" w:hAnsi="Times New Roman"/>
          <w:i/>
        </w:rPr>
        <w:t>La Pluie</w:t>
      </w:r>
      <w:r>
        <w:rPr>
          <w:rFonts w:ascii="Times New Roman" w:hAnsi="Times New Roman"/>
        </w:rPr>
        <w:t>: these two liquefactions of language involve both a subtraction of one kind of ‘sense’ – that of communicable meaning – and the adoption of opposed positions in relation to another – sense as in ‘sensation’.</w:t>
      </w:r>
      <w:r>
        <w:rPr>
          <w:rStyle w:val="FootnoteReference"/>
          <w:rFonts w:ascii="Times New Roman" w:hAnsi="Times New Roman"/>
        </w:rPr>
        <w:footnoteReference w:id="23"/>
      </w:r>
      <w:r>
        <w:rPr>
          <w:rFonts w:ascii="Times New Roman" w:hAnsi="Times New Roman"/>
        </w:rPr>
        <w:t xml:space="preserve"> Michaux’s tracings promise aesthetic and empathic rewards by appealing to our responsiveness to the ‘graphs’ of his gesturing body. For Broodthaers</w:t>
      </w:r>
      <w:r w:rsidR="00F208E2">
        <w:rPr>
          <w:rFonts w:ascii="Times New Roman" w:hAnsi="Times New Roman"/>
        </w:rPr>
        <w:t xml:space="preserve"> such attempts at escape from conventional symbolic systems, once reintegrated into art’s reifying circuits of framing and exchange, </w:t>
      </w:r>
      <w:r>
        <w:rPr>
          <w:rFonts w:ascii="Times New Roman" w:hAnsi="Times New Roman"/>
        </w:rPr>
        <w:t xml:space="preserve">would always be </w:t>
      </w:r>
      <w:r w:rsidR="00F208E2">
        <w:rPr>
          <w:rFonts w:ascii="Times New Roman" w:hAnsi="Times New Roman"/>
        </w:rPr>
        <w:t>harnessed back</w:t>
      </w:r>
      <w:r>
        <w:rPr>
          <w:rFonts w:ascii="Times New Roman" w:hAnsi="Times New Roman"/>
        </w:rPr>
        <w:t xml:space="preserve"> </w:t>
      </w:r>
      <w:r w:rsidR="00F208E2">
        <w:rPr>
          <w:rFonts w:ascii="Times New Roman" w:hAnsi="Times New Roman"/>
        </w:rPr>
        <w:t>to the proper name of the artist. This would be their</w:t>
      </w:r>
      <w:r>
        <w:rPr>
          <w:rFonts w:ascii="Times New Roman" w:hAnsi="Times New Roman"/>
        </w:rPr>
        <w:t xml:space="preserve"> final signified </w:t>
      </w:r>
      <w:r w:rsidR="00F208E2">
        <w:rPr>
          <w:rFonts w:ascii="Times New Roman" w:hAnsi="Times New Roman"/>
        </w:rPr>
        <w:t>within the thoroughly commodified culture of</w:t>
      </w:r>
      <w:r>
        <w:rPr>
          <w:rFonts w:ascii="Times New Roman" w:hAnsi="Times New Roman"/>
        </w:rPr>
        <w:t xml:space="preserve"> advanced capitalism. Both artists, however, in subtracting sense, point to the potential for an eviscerated, desiccated language of pure exchange to be held up and undone. In its place flows something like Lacan’s inarticulate ‘kernel of non-sense’</w:t>
      </w:r>
      <w:r>
        <w:rPr>
          <w:rStyle w:val="FootnoteReference"/>
          <w:rFonts w:ascii="Times New Roman" w:hAnsi="Times New Roman"/>
        </w:rPr>
        <w:footnoteReference w:id="24"/>
      </w:r>
      <w:r>
        <w:rPr>
          <w:rFonts w:ascii="Times New Roman" w:hAnsi="Times New Roman"/>
        </w:rPr>
        <w:t xml:space="preserve"> possessing ‘the strength to make a dent in the falseness inherent in culture’ and activated by the friction and liveliness of body and medium.</w:t>
      </w:r>
      <w:r>
        <w:rPr>
          <w:rStyle w:val="FootnoteReference"/>
          <w:rFonts w:ascii="Times New Roman" w:hAnsi="Times New Roman"/>
        </w:rPr>
        <w:footnoteReference w:id="25"/>
      </w:r>
    </w:p>
    <w:sectPr w:rsidR="001C779C" w:rsidSect="006E24F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27C876" w14:textId="77777777" w:rsidR="001C779C" w:rsidRDefault="001C779C" w:rsidP="00AD34C9">
      <w:r>
        <w:separator/>
      </w:r>
    </w:p>
  </w:endnote>
  <w:endnote w:type="continuationSeparator" w:id="0">
    <w:p w14:paraId="3EB5F694" w14:textId="77777777" w:rsidR="001C779C" w:rsidRDefault="001C779C" w:rsidP="00AD34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D78A7C" w14:textId="77777777" w:rsidR="001C779C" w:rsidRDefault="001C779C" w:rsidP="00AD34C9">
      <w:r>
        <w:separator/>
      </w:r>
    </w:p>
  </w:footnote>
  <w:footnote w:type="continuationSeparator" w:id="0">
    <w:p w14:paraId="0FF3FBAA" w14:textId="77777777" w:rsidR="001C779C" w:rsidRDefault="001C779C" w:rsidP="00AD34C9">
      <w:r>
        <w:continuationSeparator/>
      </w:r>
    </w:p>
  </w:footnote>
  <w:footnote w:id="1">
    <w:p w14:paraId="6DDD20CF" w14:textId="4A7A55E4" w:rsidR="00F208E2" w:rsidRDefault="00F208E2">
      <w:pPr>
        <w:pStyle w:val="FootnoteText"/>
      </w:pPr>
      <w:r>
        <w:rPr>
          <w:rStyle w:val="FootnoteReference"/>
        </w:rPr>
        <w:footnoteRef/>
      </w:r>
      <w:r>
        <w:t xml:space="preserve"> This essay was originally published in Edwin Carels (ed.), </w:t>
      </w:r>
      <w:r w:rsidRPr="00F208E2">
        <w:rPr>
          <w:i/>
        </w:rPr>
        <w:t>Graphology – Drawing from Automatism to Automation</w:t>
      </w:r>
      <w:r>
        <w:t>. Drawing Room, London, ARA.MER, Ghent and M HKA, Antwerp, 2012, pp.50-58.</w:t>
      </w:r>
      <w:r w:rsidR="009D72CB">
        <w:t xml:space="preserve"> All rights reserved.</w:t>
      </w:r>
      <w:bookmarkStart w:id="0" w:name="_GoBack"/>
      <w:bookmarkEnd w:id="0"/>
    </w:p>
  </w:footnote>
  <w:footnote w:id="2">
    <w:p w14:paraId="57408E06"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I wish to thank Susan Morris and Edwin Carels for their invaluable feedback on earlier drafts of this essay.</w:t>
      </w:r>
    </w:p>
  </w:footnote>
  <w:footnote w:id="3">
    <w:p w14:paraId="62955A83"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Henri Michaux, </w:t>
      </w:r>
      <w:r w:rsidRPr="00693ADB">
        <w:rPr>
          <w:rFonts w:ascii="Times New Roman" w:hAnsi="Times New Roman"/>
          <w:i/>
        </w:rPr>
        <w:t>Mouvements</w:t>
      </w:r>
      <w:r w:rsidRPr="00693ADB">
        <w:rPr>
          <w:rFonts w:ascii="Times New Roman" w:hAnsi="Times New Roman"/>
        </w:rPr>
        <w:t>, Gallimard, Paris, 1951.</w:t>
      </w:r>
    </w:p>
  </w:footnote>
  <w:footnote w:id="4">
    <w:p w14:paraId="16BE47BB" w14:textId="77777777" w:rsidR="001C779C" w:rsidRDefault="001C779C" w:rsidP="00410106">
      <w:pPr>
        <w:pStyle w:val="FootnoteText"/>
      </w:pPr>
      <w:r w:rsidRPr="00693ADB">
        <w:rPr>
          <w:rStyle w:val="FootnoteReference"/>
          <w:rFonts w:ascii="Times New Roman" w:hAnsi="Times New Roman"/>
        </w:rPr>
        <w:footnoteRef/>
      </w:r>
      <w:r w:rsidRPr="00693ADB">
        <w:rPr>
          <w:rFonts w:ascii="Times New Roman" w:hAnsi="Times New Roman"/>
        </w:rPr>
        <w:t xml:space="preserve"> For an excellent discussion, see Carrie Noland, </w:t>
      </w:r>
      <w:r w:rsidRPr="00693ADB">
        <w:rPr>
          <w:rFonts w:ascii="Times New Roman" w:hAnsi="Times New Roman"/>
          <w:i/>
        </w:rPr>
        <w:t xml:space="preserve">Agency and Embodiment: Performing Gestures / Producing Culture. </w:t>
      </w:r>
      <w:r w:rsidRPr="00693ADB">
        <w:rPr>
          <w:rFonts w:ascii="Times New Roman" w:hAnsi="Times New Roman"/>
        </w:rPr>
        <w:t>Harvard University Press, Cambridge (Mass.) and London, 2009, pp. 130-169.</w:t>
      </w:r>
    </w:p>
  </w:footnote>
  <w:footnote w:id="5">
    <w:p w14:paraId="1CD2993E"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Henri Michaux, </w:t>
      </w:r>
      <w:r w:rsidRPr="00693ADB">
        <w:rPr>
          <w:rFonts w:ascii="Times New Roman" w:hAnsi="Times New Roman"/>
          <w:i/>
        </w:rPr>
        <w:t>Mouvements</w:t>
      </w:r>
      <w:r w:rsidRPr="00693ADB">
        <w:rPr>
          <w:rFonts w:ascii="Times New Roman" w:hAnsi="Times New Roman"/>
        </w:rPr>
        <w:t xml:space="preserve">, trans. Richard Sieburth in Catherine de Zegher (ed.), </w:t>
      </w:r>
      <w:r w:rsidRPr="00693ADB">
        <w:rPr>
          <w:rFonts w:ascii="Times New Roman" w:hAnsi="Times New Roman"/>
          <w:i/>
        </w:rPr>
        <w:t>Untitled Passages by Henri Michaux</w:t>
      </w:r>
      <w:r w:rsidRPr="00693ADB">
        <w:rPr>
          <w:rFonts w:ascii="Times New Roman" w:hAnsi="Times New Roman"/>
        </w:rPr>
        <w:t xml:space="preserve">, The Drawing Center, New York, 2000 (hereafter </w:t>
      </w:r>
      <w:r w:rsidRPr="00693ADB">
        <w:rPr>
          <w:rFonts w:ascii="Times New Roman" w:hAnsi="Times New Roman"/>
          <w:i/>
        </w:rPr>
        <w:t>Untitled Passages</w:t>
      </w:r>
      <w:r w:rsidRPr="00693ADB">
        <w:rPr>
          <w:rFonts w:ascii="Times New Roman" w:hAnsi="Times New Roman"/>
        </w:rPr>
        <w:t>), p. 44.</w:t>
      </w:r>
    </w:p>
  </w:footnote>
  <w:footnote w:id="6">
    <w:p w14:paraId="564D9DDD"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w:t>
      </w:r>
      <w:r>
        <w:rPr>
          <w:rFonts w:ascii="Times New Roman" w:hAnsi="Times New Roman"/>
        </w:rPr>
        <w:t xml:space="preserve">Henri </w:t>
      </w:r>
      <w:r w:rsidRPr="00693ADB">
        <w:rPr>
          <w:rFonts w:ascii="Times New Roman" w:hAnsi="Times New Roman"/>
        </w:rPr>
        <w:t>Mic</w:t>
      </w:r>
      <w:r>
        <w:rPr>
          <w:rFonts w:ascii="Times New Roman" w:hAnsi="Times New Roman"/>
        </w:rPr>
        <w:t>h</w:t>
      </w:r>
      <w:r w:rsidRPr="00693ADB">
        <w:rPr>
          <w:rFonts w:ascii="Times New Roman" w:hAnsi="Times New Roman"/>
        </w:rPr>
        <w:t xml:space="preserve">aux, </w:t>
      </w:r>
      <w:r w:rsidRPr="00693ADB">
        <w:rPr>
          <w:rFonts w:ascii="Times New Roman" w:hAnsi="Times New Roman"/>
          <w:i/>
        </w:rPr>
        <w:t>Emergences-Resurgences</w:t>
      </w:r>
      <w:r w:rsidRPr="00693ADB">
        <w:rPr>
          <w:rFonts w:ascii="Times New Roman" w:hAnsi="Times New Roman"/>
        </w:rPr>
        <w:t xml:space="preserve"> (1972), translated by Richard Sieburth. </w:t>
      </w:r>
      <w:r>
        <w:rPr>
          <w:rFonts w:ascii="Times New Roman" w:hAnsi="Times New Roman"/>
        </w:rPr>
        <w:t xml:space="preserve">Skira and The Drawing Center, </w:t>
      </w:r>
      <w:r w:rsidRPr="00693ADB">
        <w:rPr>
          <w:rFonts w:ascii="Times New Roman" w:hAnsi="Times New Roman"/>
        </w:rPr>
        <w:t>Milan and New York, 2000, p.11</w:t>
      </w:r>
    </w:p>
  </w:footnote>
  <w:footnote w:id="7">
    <w:p w14:paraId="7AAE05EB"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Ibid. p. 29</w:t>
      </w:r>
    </w:p>
  </w:footnote>
  <w:footnote w:id="8">
    <w:p w14:paraId="0125F206"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Henri Michaux, ‘Thinking about the Phenomenon of Painting’ (1946) trans. David Ball in Ball (ed.), </w:t>
      </w:r>
      <w:r w:rsidRPr="00693ADB">
        <w:rPr>
          <w:rFonts w:ascii="Times New Roman" w:hAnsi="Times New Roman"/>
          <w:i/>
        </w:rPr>
        <w:t>Darkness Moves, An Henri Michaux Anthology: 1927-1984</w:t>
      </w:r>
      <w:r w:rsidRPr="00693ADB">
        <w:rPr>
          <w:rFonts w:ascii="Times New Roman" w:hAnsi="Times New Roman"/>
        </w:rPr>
        <w:t xml:space="preserve">, University of California Press, Berkeley, Los Angeles and London, 1997, p. 312. </w:t>
      </w:r>
    </w:p>
  </w:footnote>
  <w:footnote w:id="9">
    <w:p w14:paraId="27C28827" w14:textId="77777777" w:rsidR="001C779C" w:rsidRDefault="001C779C" w:rsidP="00D674D1">
      <w:r w:rsidRPr="00693ADB">
        <w:rPr>
          <w:rStyle w:val="FootnoteReference"/>
          <w:rFonts w:ascii="Times New Roman" w:hAnsi="Times New Roman"/>
        </w:rPr>
        <w:footnoteRef/>
      </w:r>
      <w:r w:rsidRPr="00693ADB">
        <w:rPr>
          <w:rFonts w:ascii="Times New Roman" w:hAnsi="Times New Roman"/>
        </w:rPr>
        <w:t xml:space="preserve"> Margaret Iversen, ‘Index, Diagram, Graphic Trace’, unpublished draft, forthcoming in </w:t>
      </w:r>
      <w:r w:rsidRPr="00693ADB">
        <w:rPr>
          <w:rFonts w:ascii="Times New Roman" w:hAnsi="Times New Roman"/>
          <w:i/>
        </w:rPr>
        <w:t>Tate Papers</w:t>
      </w:r>
      <w:r w:rsidRPr="00693ADB">
        <w:rPr>
          <w:rFonts w:ascii="Times New Roman" w:hAnsi="Times New Roman"/>
        </w:rPr>
        <w:t xml:space="preserve"> 18, autumn 2012, unpag.</w:t>
      </w:r>
    </w:p>
  </w:footnote>
  <w:footnote w:id="10">
    <w:p w14:paraId="6CEE0DF1" w14:textId="77777777" w:rsidR="001C779C" w:rsidRDefault="001C779C" w:rsidP="00817D83">
      <w:r w:rsidRPr="00693ADB">
        <w:rPr>
          <w:rStyle w:val="FootnoteReference"/>
          <w:rFonts w:ascii="Times New Roman" w:hAnsi="Times New Roman"/>
        </w:rPr>
        <w:footnoteRef/>
      </w:r>
      <w:r w:rsidRPr="00693ADB">
        <w:rPr>
          <w:rFonts w:ascii="Times New Roman" w:hAnsi="Times New Roman"/>
        </w:rPr>
        <w:t xml:space="preserve"> Henri Michaux, ‘To Draw the Flow of Time’ (1957), trans. Richard Sieburth in </w:t>
      </w:r>
      <w:r w:rsidRPr="00693ADB">
        <w:rPr>
          <w:rFonts w:ascii="Times New Roman" w:hAnsi="Times New Roman"/>
          <w:i/>
        </w:rPr>
        <w:t>Untitled Passages</w:t>
      </w:r>
      <w:r w:rsidRPr="00693ADB">
        <w:rPr>
          <w:rFonts w:ascii="Times New Roman" w:hAnsi="Times New Roman"/>
        </w:rPr>
        <w:t>, p. 7.</w:t>
      </w:r>
    </w:p>
  </w:footnote>
  <w:footnote w:id="11">
    <w:p w14:paraId="0399D0BA"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Ibid. For Maurice Merleau-Ponty’s discussion of tacit language, see ‘Indirect Language and the Voices of Silence’ (1952) in Galen Johnson (ed.)</w:t>
      </w:r>
      <w:r>
        <w:rPr>
          <w:rFonts w:ascii="Times New Roman" w:hAnsi="Times New Roman"/>
        </w:rPr>
        <w:t>,</w:t>
      </w:r>
      <w:r w:rsidRPr="00693ADB">
        <w:rPr>
          <w:rFonts w:ascii="Times New Roman" w:hAnsi="Times New Roman"/>
        </w:rPr>
        <w:t xml:space="preserve"> </w:t>
      </w:r>
      <w:r w:rsidRPr="00693ADB">
        <w:rPr>
          <w:rFonts w:ascii="Times New Roman" w:hAnsi="Times New Roman"/>
          <w:i/>
        </w:rPr>
        <w:t>The Merleau-Ponty Aesthetics Reader, Philosophy and Painting</w:t>
      </w:r>
      <w:r w:rsidRPr="00693ADB">
        <w:rPr>
          <w:rFonts w:ascii="Times New Roman" w:hAnsi="Times New Roman"/>
        </w:rPr>
        <w:t>. Northwestern University Press, Evanston, 1993, pp. 83ff.</w:t>
      </w:r>
    </w:p>
  </w:footnote>
  <w:footnote w:id="12">
    <w:p w14:paraId="3EE9164F"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See Richard Sieburth, ‘Signs in Action: The Ideograms of Ezra Pound and Henri Michaux’, in </w:t>
      </w:r>
      <w:r w:rsidRPr="00693ADB">
        <w:rPr>
          <w:rFonts w:ascii="Times New Roman" w:hAnsi="Times New Roman"/>
          <w:i/>
        </w:rPr>
        <w:t>Untitled Passages</w:t>
      </w:r>
      <w:r w:rsidRPr="00693ADB">
        <w:rPr>
          <w:rFonts w:ascii="Times New Roman" w:hAnsi="Times New Roman"/>
        </w:rPr>
        <w:t>, pp. 207-216.</w:t>
      </w:r>
    </w:p>
  </w:footnote>
  <w:footnote w:id="13">
    <w:p w14:paraId="0F09AB05" w14:textId="77777777" w:rsidR="001C779C" w:rsidRDefault="001C779C" w:rsidP="009C1C24">
      <w:pPr>
        <w:pStyle w:val="FootnoteText"/>
      </w:pPr>
      <w:r w:rsidRPr="00693ADB">
        <w:rPr>
          <w:rStyle w:val="FootnoteReference"/>
          <w:rFonts w:ascii="Times New Roman" w:hAnsi="Times New Roman"/>
        </w:rPr>
        <w:footnoteRef/>
      </w:r>
      <w:r w:rsidRPr="00693ADB">
        <w:rPr>
          <w:rFonts w:ascii="Times New Roman" w:hAnsi="Times New Roman"/>
        </w:rPr>
        <w:t xml:space="preserve"> In 1972 Broodthaers asked ‘When the image of Narcissus is erased, what happens to the value (and the price)?’ Notes on ‘La Signature de l’Artiste,’ 20 October 1972, in Wilfried Dickhoff (ed.), </w:t>
      </w:r>
      <w:r w:rsidRPr="00693ADB">
        <w:rPr>
          <w:rFonts w:ascii="Times New Roman" w:hAnsi="Times New Roman"/>
          <w:i/>
        </w:rPr>
        <w:t>Marcel Broodthaers</w:t>
      </w:r>
      <w:r w:rsidRPr="00693ADB">
        <w:rPr>
          <w:rFonts w:ascii="Times New Roman" w:hAnsi="Times New Roman"/>
        </w:rPr>
        <w:t xml:space="preserve">, Tinaia 9, Cologne, 1994, p. 140. Bartleby is the eponymous character in Herman Melville’s short story, ‘Bartleby, The Scrivener (A Story of Wall-Street)’ (1853) in </w:t>
      </w:r>
      <w:r w:rsidRPr="00693ADB">
        <w:rPr>
          <w:rFonts w:ascii="Times New Roman" w:hAnsi="Times New Roman"/>
          <w:i/>
        </w:rPr>
        <w:t xml:space="preserve">Billy Budd, Sailor and Selected Tales </w:t>
      </w:r>
      <w:r w:rsidRPr="00693ADB">
        <w:rPr>
          <w:rFonts w:ascii="Times New Roman" w:hAnsi="Times New Roman"/>
        </w:rPr>
        <w:t>Oxford University Press, Oxford and New York, 1997, pp. 3-41.</w:t>
      </w:r>
    </w:p>
  </w:footnote>
  <w:footnote w:id="14">
    <w:p w14:paraId="00F29BE3"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In his essay ‘Liquid Words,’ Yve-Alain Bois writes, ‘Whoever says “articulation” always says, in the first instance, “divisibility into minimal units”: the </w:t>
      </w:r>
      <w:r w:rsidRPr="00693ADB">
        <w:rPr>
          <w:rFonts w:ascii="Times New Roman" w:hAnsi="Times New Roman"/>
          <w:i/>
        </w:rPr>
        <w:t>articulus</w:t>
      </w:r>
      <w:r w:rsidRPr="00693ADB">
        <w:rPr>
          <w:rFonts w:ascii="Times New Roman" w:hAnsi="Times New Roman"/>
        </w:rPr>
        <w:t xml:space="preserve"> is the particle. Language is a hierarchical combination of bits… Liquid, on the contrary (…), is indivisible (…). Thus, properly speaking there cannot be liquid words (…) except in the brief moment at which they have just been penned and the ink is not yet dry.’ Rosalind Krauss and Yve-Alain Bois, </w:t>
      </w:r>
      <w:r w:rsidRPr="00693ADB">
        <w:rPr>
          <w:rFonts w:ascii="Times New Roman" w:hAnsi="Times New Roman"/>
          <w:i/>
        </w:rPr>
        <w:t>Formless, A User’s Guide</w:t>
      </w:r>
      <w:r w:rsidRPr="00693ADB">
        <w:rPr>
          <w:rFonts w:ascii="Times New Roman" w:hAnsi="Times New Roman"/>
        </w:rPr>
        <w:t>, Zone, New York, 1997, p. 124.</w:t>
      </w:r>
    </w:p>
  </w:footnote>
  <w:footnote w:id="15">
    <w:p w14:paraId="7653085C"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See Rachel Haidu, </w:t>
      </w:r>
      <w:r w:rsidRPr="00693ADB">
        <w:rPr>
          <w:rFonts w:ascii="Times New Roman" w:hAnsi="Times New Roman"/>
          <w:i/>
        </w:rPr>
        <w:t>The Absence of Work, Marcel Broodthaers 1964-1976</w:t>
      </w:r>
      <w:r w:rsidRPr="00693ADB">
        <w:rPr>
          <w:rFonts w:ascii="Times New Roman" w:hAnsi="Times New Roman"/>
        </w:rPr>
        <w:t>, MIT Press, Cambridge (Mass.) and London, 2010, pp. 66 + 181ff.</w:t>
      </w:r>
    </w:p>
  </w:footnote>
  <w:footnote w:id="16">
    <w:p w14:paraId="6A74BAC4"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Rosalind Krauss, ‘The Angel of History’, </w:t>
      </w:r>
      <w:r w:rsidRPr="00693ADB">
        <w:rPr>
          <w:rFonts w:ascii="Times New Roman" w:hAnsi="Times New Roman"/>
          <w:i/>
        </w:rPr>
        <w:t>October</w:t>
      </w:r>
      <w:r w:rsidRPr="00693ADB">
        <w:rPr>
          <w:rFonts w:ascii="Times New Roman" w:hAnsi="Times New Roman"/>
        </w:rPr>
        <w:t xml:space="preserve"> vol. 134, Fall 2010, p. 114</w:t>
      </w:r>
    </w:p>
  </w:footnote>
  <w:footnote w:id="17">
    <w:p w14:paraId="1B2DD4A3" w14:textId="77777777" w:rsidR="001C779C" w:rsidRDefault="001C779C" w:rsidP="00F00132">
      <w:pPr>
        <w:pStyle w:val="FootnoteText"/>
      </w:pPr>
      <w:r w:rsidRPr="00693ADB">
        <w:rPr>
          <w:rStyle w:val="FootnoteReference"/>
          <w:rFonts w:ascii="Times New Roman" w:hAnsi="Times New Roman"/>
        </w:rPr>
        <w:footnoteRef/>
      </w:r>
      <w:r w:rsidRPr="00693ADB">
        <w:rPr>
          <w:rFonts w:ascii="Times New Roman" w:hAnsi="Times New Roman"/>
        </w:rPr>
        <w:t xml:space="preserve"> See Leslie Jones, ‘Chronology’ in </w:t>
      </w:r>
      <w:r w:rsidRPr="00693ADB">
        <w:rPr>
          <w:rFonts w:ascii="Times New Roman" w:hAnsi="Times New Roman"/>
          <w:i/>
        </w:rPr>
        <w:t>Untitled Passages</w:t>
      </w:r>
      <w:r w:rsidRPr="00693ADB">
        <w:rPr>
          <w:rFonts w:ascii="Times New Roman" w:hAnsi="Times New Roman"/>
        </w:rPr>
        <w:t xml:space="preserve">, p. 225. </w:t>
      </w:r>
    </w:p>
  </w:footnote>
  <w:footnote w:id="18">
    <w:p w14:paraId="4843261D" w14:textId="77777777" w:rsidR="001C779C" w:rsidRDefault="001C779C" w:rsidP="009B7D1E">
      <w:r w:rsidRPr="00693ADB">
        <w:rPr>
          <w:rStyle w:val="FootnoteReference"/>
          <w:rFonts w:ascii="Times New Roman" w:hAnsi="Times New Roman"/>
        </w:rPr>
        <w:footnoteRef/>
      </w:r>
      <w:r w:rsidRPr="00693ADB">
        <w:rPr>
          <w:rFonts w:ascii="Times New Roman" w:hAnsi="Times New Roman"/>
        </w:rPr>
        <w:t xml:space="preserve"> See Rachel Haidu, </w:t>
      </w:r>
      <w:r w:rsidRPr="00693ADB">
        <w:rPr>
          <w:rFonts w:ascii="Times New Roman" w:hAnsi="Times New Roman"/>
          <w:i/>
        </w:rPr>
        <w:t>The Absence of Work</w:t>
      </w:r>
      <w:r w:rsidRPr="00693ADB">
        <w:rPr>
          <w:rFonts w:ascii="Times New Roman" w:hAnsi="Times New Roman"/>
        </w:rPr>
        <w:t xml:space="preserve">, pp. 1ff. In a short text, ‘To be </w:t>
      </w:r>
      <w:r w:rsidRPr="00693ADB">
        <w:rPr>
          <w:rFonts w:ascii="Times New Roman" w:hAnsi="Times New Roman"/>
          <w:i/>
        </w:rPr>
        <w:t>bien pensant</w:t>
      </w:r>
      <w:r w:rsidRPr="00693ADB">
        <w:rPr>
          <w:rFonts w:ascii="Times New Roman" w:hAnsi="Times New Roman"/>
        </w:rPr>
        <w:t xml:space="preserve"> … or not to be. To be blind.’ (1975) Broodthaers wrote, ‘I doubt, in fact, that it is possible to give a serious definition of art unless we examine the question in terms of one constant – namely the transformation of art into merchandise. In our time this process has accelerated to the point at which artistic and commercial values are superimposed.’ Benjamin Buchloh (ed.): </w:t>
      </w:r>
      <w:r w:rsidRPr="00693ADB">
        <w:rPr>
          <w:rFonts w:ascii="Times New Roman" w:hAnsi="Times New Roman"/>
          <w:i/>
        </w:rPr>
        <w:t>Marcel Broodthaers: Writings, Interviews, Photographs</w:t>
      </w:r>
      <w:r w:rsidRPr="00693ADB">
        <w:rPr>
          <w:rFonts w:ascii="Times New Roman" w:hAnsi="Times New Roman"/>
        </w:rPr>
        <w:t>, special issue of</w:t>
      </w:r>
      <w:r w:rsidRPr="00693ADB">
        <w:rPr>
          <w:rFonts w:ascii="Times New Roman" w:hAnsi="Times New Roman"/>
          <w:i/>
        </w:rPr>
        <w:t xml:space="preserve"> October</w:t>
      </w:r>
      <w:r w:rsidRPr="00693ADB">
        <w:rPr>
          <w:rFonts w:ascii="Times New Roman" w:hAnsi="Times New Roman"/>
        </w:rPr>
        <w:t>, vol. 42, Fall 1987, p. 35.</w:t>
      </w:r>
    </w:p>
  </w:footnote>
  <w:footnote w:id="19">
    <w:p w14:paraId="531A0984"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See Deborah Schultz, </w:t>
      </w:r>
      <w:r w:rsidRPr="00693ADB">
        <w:rPr>
          <w:rFonts w:ascii="Times New Roman" w:hAnsi="Times New Roman"/>
          <w:i/>
        </w:rPr>
        <w:t>Marcel Broodthaers, Strategy and Dialogue</w:t>
      </w:r>
      <w:r w:rsidRPr="00693ADB">
        <w:rPr>
          <w:rFonts w:ascii="Times New Roman" w:hAnsi="Times New Roman"/>
        </w:rPr>
        <w:t>, Peter Lang, Oxford, 2007, p. 37ff.</w:t>
      </w:r>
    </w:p>
  </w:footnote>
  <w:footnote w:id="20">
    <w:p w14:paraId="28EBE4C5"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Stéphane Mallarmé, ‘</w:t>
      </w:r>
      <w:r>
        <w:rPr>
          <w:rFonts w:ascii="Times New Roman" w:hAnsi="Times New Roman"/>
        </w:rPr>
        <w:t>Crisis in Poetry’ (1886-95</w:t>
      </w:r>
      <w:r w:rsidRPr="00693ADB">
        <w:rPr>
          <w:rFonts w:ascii="Times New Roman" w:hAnsi="Times New Roman"/>
        </w:rPr>
        <w:t xml:space="preserve">) </w:t>
      </w:r>
      <w:r>
        <w:rPr>
          <w:rFonts w:ascii="Times New Roman" w:hAnsi="Times New Roman"/>
        </w:rPr>
        <w:t xml:space="preserve">in Mary Ann Caws (ed.), </w:t>
      </w:r>
      <w:r w:rsidRPr="00D0010D">
        <w:rPr>
          <w:rFonts w:ascii="Times New Roman" w:hAnsi="Times New Roman"/>
          <w:i/>
        </w:rPr>
        <w:t>Manifesto, A Century of Isms</w:t>
      </w:r>
      <w:r>
        <w:rPr>
          <w:rFonts w:ascii="Times New Roman" w:hAnsi="Times New Roman"/>
        </w:rPr>
        <w:t>, University of Nabraska, Lincoln, 2001, p. 25.</w:t>
      </w:r>
    </w:p>
  </w:footnote>
  <w:footnote w:id="21">
    <w:p w14:paraId="7CB42EE8"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‘If those arrangements were to disappear as they appeared… [T]hen one can certainly wager that man would be erased, like a face drawn in sand at the edge of the sea.’ Michel Foucault, </w:t>
      </w:r>
      <w:r w:rsidRPr="00693ADB">
        <w:rPr>
          <w:rFonts w:ascii="Times New Roman" w:hAnsi="Times New Roman"/>
          <w:i/>
        </w:rPr>
        <w:t>The Order of Things, An Archaeology of the Human Sciences</w:t>
      </w:r>
      <w:r w:rsidRPr="00693ADB">
        <w:rPr>
          <w:rFonts w:ascii="Times New Roman" w:hAnsi="Times New Roman"/>
        </w:rPr>
        <w:t>, Routledge, London and New York, 2002, p. 422.</w:t>
      </w:r>
    </w:p>
  </w:footnote>
  <w:footnote w:id="22">
    <w:p w14:paraId="27787637" w14:textId="77777777" w:rsidR="001C779C" w:rsidRDefault="001C779C">
      <w:pPr>
        <w:pStyle w:val="FootnoteText"/>
      </w:pPr>
      <w:r w:rsidRPr="00693ADB">
        <w:rPr>
          <w:rStyle w:val="FootnoteReference"/>
          <w:rFonts w:ascii="Times New Roman" w:hAnsi="Times New Roman"/>
        </w:rPr>
        <w:footnoteRef/>
      </w:r>
      <w:r w:rsidRPr="00693ADB">
        <w:rPr>
          <w:rFonts w:ascii="Times New Roman" w:hAnsi="Times New Roman"/>
        </w:rPr>
        <w:t xml:space="preserve"> Marcel Broodthaers: ‘Ten Thousand Francs Reward’ (1974), in Buchloh, </w:t>
      </w:r>
      <w:r w:rsidRPr="00693ADB">
        <w:rPr>
          <w:rFonts w:ascii="Times New Roman" w:hAnsi="Times New Roman"/>
          <w:i/>
        </w:rPr>
        <w:t>Marcel Broodthaers</w:t>
      </w:r>
      <w:r w:rsidRPr="00693ADB">
        <w:rPr>
          <w:rFonts w:ascii="Times New Roman" w:hAnsi="Times New Roman"/>
        </w:rPr>
        <w:t>, p. 46.</w:t>
      </w:r>
    </w:p>
  </w:footnote>
  <w:footnote w:id="23">
    <w:p w14:paraId="535BE03D" w14:textId="77777777" w:rsidR="001C779C" w:rsidRDefault="001C779C" w:rsidP="00693ADB">
      <w:r w:rsidRPr="00693ADB">
        <w:rPr>
          <w:rStyle w:val="FootnoteReference"/>
          <w:rFonts w:ascii="Times New Roman" w:hAnsi="Times New Roman"/>
        </w:rPr>
        <w:footnoteRef/>
      </w:r>
      <w:r w:rsidRPr="00693ADB">
        <w:rPr>
          <w:rFonts w:ascii="Times New Roman" w:hAnsi="Times New Roman"/>
        </w:rPr>
        <w:t xml:space="preserve"> See Michael Newman, ‘The Marks, Traces, and Gestures of Drawing,’ in Catherine de Zegher (ed.), </w:t>
      </w:r>
      <w:r w:rsidRPr="00693ADB">
        <w:rPr>
          <w:rFonts w:ascii="Times New Roman" w:hAnsi="Times New Roman"/>
          <w:i/>
        </w:rPr>
        <w:t xml:space="preserve">The Stage of Drawing: Gesture and Act, </w:t>
      </w:r>
      <w:r w:rsidRPr="00693ADB">
        <w:rPr>
          <w:rFonts w:ascii="Times New Roman" w:hAnsi="Times New Roman"/>
        </w:rPr>
        <w:t>Tate and The Drawing Center, London and New York, 2003, p. 100.</w:t>
      </w:r>
      <w:r>
        <w:rPr>
          <w:rFonts w:ascii="Times New Roman" w:hAnsi="Times New Roman"/>
        </w:rPr>
        <w:t xml:space="preserve"> Referring to both Cy Twombly and Broodthaers, Newman ends a recent essay by asserting that ‘the work of art happens as non-sense.’ </w:t>
      </w:r>
      <w:r w:rsidRPr="00693ADB">
        <w:rPr>
          <w:rFonts w:ascii="Times New Roman" w:hAnsi="Times New Roman"/>
        </w:rPr>
        <w:t xml:space="preserve">Michael Newman, ‘Absolute Nonsense’ in Sabine Folie (ed.), </w:t>
      </w:r>
      <w:r w:rsidRPr="00693ADB">
        <w:rPr>
          <w:rFonts w:ascii="Times New Roman" w:hAnsi="Times New Roman"/>
          <w:i/>
        </w:rPr>
        <w:t xml:space="preserve">Un Coup de Dés, Writing Turned Image. An Alphabet of Pensive Language. </w:t>
      </w:r>
      <w:r w:rsidRPr="00693ADB">
        <w:rPr>
          <w:rFonts w:ascii="Times New Roman" w:hAnsi="Times New Roman"/>
        </w:rPr>
        <w:t>Generali Fo</w:t>
      </w:r>
      <w:r>
        <w:rPr>
          <w:rFonts w:ascii="Times New Roman" w:hAnsi="Times New Roman"/>
        </w:rPr>
        <w:t xml:space="preserve">undation, Vienna, 2008, p. </w:t>
      </w:r>
      <w:r w:rsidRPr="00693ADB">
        <w:rPr>
          <w:rFonts w:ascii="Times New Roman" w:hAnsi="Times New Roman"/>
        </w:rPr>
        <w:t>223.</w:t>
      </w:r>
    </w:p>
  </w:footnote>
  <w:footnote w:id="24">
    <w:p w14:paraId="06B67036" w14:textId="77777777" w:rsidR="001C779C" w:rsidRDefault="001C779C" w:rsidP="00A851EF">
      <w:pPr>
        <w:pStyle w:val="FootnoteText"/>
      </w:pPr>
      <w:r w:rsidRPr="00693ADB">
        <w:rPr>
          <w:rStyle w:val="FootnoteReference"/>
          <w:rFonts w:ascii="Times New Roman" w:hAnsi="Times New Roman"/>
        </w:rPr>
        <w:footnoteRef/>
      </w:r>
      <w:r w:rsidRPr="00693ADB">
        <w:rPr>
          <w:rFonts w:ascii="Times New Roman" w:hAnsi="Times New Roman"/>
        </w:rPr>
        <w:t xml:space="preserve"> </w:t>
      </w:r>
      <w:r>
        <w:rPr>
          <w:rFonts w:ascii="Times New Roman" w:hAnsi="Times New Roman"/>
        </w:rPr>
        <w:t xml:space="preserve">See Jacques Lacan, </w:t>
      </w:r>
      <w:r w:rsidRPr="0087580A">
        <w:rPr>
          <w:rFonts w:ascii="Times New Roman" w:hAnsi="Times New Roman"/>
          <w:i/>
        </w:rPr>
        <w:t>The Four Fundamental Concepts of Psycho-analysis</w:t>
      </w:r>
      <w:r>
        <w:rPr>
          <w:rFonts w:ascii="Times New Roman" w:hAnsi="Times New Roman"/>
        </w:rPr>
        <w:t xml:space="preserve">, trans. Alan Sheridan, Vintage, London, 1998, pp. 250ff. </w:t>
      </w:r>
      <w:r w:rsidRPr="00693ADB">
        <w:rPr>
          <w:rFonts w:ascii="Times New Roman" w:hAnsi="Times New Roman"/>
        </w:rPr>
        <w:t xml:space="preserve">I </w:t>
      </w:r>
      <w:r>
        <w:rPr>
          <w:rFonts w:ascii="Times New Roman" w:hAnsi="Times New Roman"/>
        </w:rPr>
        <w:t xml:space="preserve">am very grateful to the artist </w:t>
      </w:r>
      <w:r w:rsidRPr="00693ADB">
        <w:rPr>
          <w:rFonts w:ascii="Times New Roman" w:hAnsi="Times New Roman"/>
        </w:rPr>
        <w:t>Susan Morris</w:t>
      </w:r>
      <w:r>
        <w:rPr>
          <w:rFonts w:ascii="Times New Roman" w:hAnsi="Times New Roman"/>
        </w:rPr>
        <w:t xml:space="preserve"> for pointing me towards this reference.</w:t>
      </w:r>
    </w:p>
  </w:footnote>
  <w:footnote w:id="25">
    <w:p w14:paraId="1FFB783F" w14:textId="77777777" w:rsidR="001C779C" w:rsidRDefault="001C779C" w:rsidP="003B7CF0">
      <w:pPr>
        <w:pStyle w:val="FootnoteText"/>
      </w:pPr>
      <w:r w:rsidRPr="00693ADB">
        <w:rPr>
          <w:rStyle w:val="FootnoteReference"/>
          <w:rFonts w:ascii="Times New Roman" w:hAnsi="Times New Roman"/>
        </w:rPr>
        <w:footnoteRef/>
      </w:r>
      <w:r w:rsidRPr="00693ADB">
        <w:rPr>
          <w:rFonts w:ascii="Times New Roman" w:hAnsi="Times New Roman"/>
        </w:rPr>
        <w:t xml:space="preserve"> Marcel Broodthaers, ‘Ten Thousand Francs Reward’, p. 40</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BC4E6F"/>
    <w:multiLevelType w:val="hybridMultilevel"/>
    <w:tmpl w:val="55B43A76"/>
    <w:lvl w:ilvl="0" w:tplc="FFFFFFFF">
      <w:numFmt w:val="bullet"/>
      <w:lvlText w:val=""/>
      <w:lvlJc w:val="left"/>
      <w:pPr>
        <w:tabs>
          <w:tab w:val="num" w:pos="720"/>
        </w:tabs>
        <w:ind w:left="720" w:hanging="360"/>
      </w:pPr>
      <w:rPr>
        <w:rFonts w:ascii="Symbol" w:eastAsia="Times New Roman"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72921C34"/>
    <w:multiLevelType w:val="hybridMultilevel"/>
    <w:tmpl w:val="AE326470"/>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34C9"/>
    <w:rsid w:val="0000352F"/>
    <w:rsid w:val="00004045"/>
    <w:rsid w:val="0001048C"/>
    <w:rsid w:val="000128B6"/>
    <w:rsid w:val="000144C2"/>
    <w:rsid w:val="00020785"/>
    <w:rsid w:val="000242CF"/>
    <w:rsid w:val="00025C4C"/>
    <w:rsid w:val="000308E3"/>
    <w:rsid w:val="000408FD"/>
    <w:rsid w:val="000422CF"/>
    <w:rsid w:val="0004672E"/>
    <w:rsid w:val="000550B3"/>
    <w:rsid w:val="00055203"/>
    <w:rsid w:val="00071021"/>
    <w:rsid w:val="000739C8"/>
    <w:rsid w:val="00073F83"/>
    <w:rsid w:val="000754E5"/>
    <w:rsid w:val="0007693A"/>
    <w:rsid w:val="000812FA"/>
    <w:rsid w:val="00086CDD"/>
    <w:rsid w:val="00094BB3"/>
    <w:rsid w:val="0009738F"/>
    <w:rsid w:val="000A0C12"/>
    <w:rsid w:val="000A5E1D"/>
    <w:rsid w:val="000B264C"/>
    <w:rsid w:val="000B34AE"/>
    <w:rsid w:val="000B682B"/>
    <w:rsid w:val="000B69BF"/>
    <w:rsid w:val="000C640B"/>
    <w:rsid w:val="000C6F39"/>
    <w:rsid w:val="000D0F88"/>
    <w:rsid w:val="000D1856"/>
    <w:rsid w:val="000D4BD3"/>
    <w:rsid w:val="000D5AFD"/>
    <w:rsid w:val="000D60F5"/>
    <w:rsid w:val="000E0AC1"/>
    <w:rsid w:val="000E292D"/>
    <w:rsid w:val="000E78F9"/>
    <w:rsid w:val="000E7E8E"/>
    <w:rsid w:val="000F77A8"/>
    <w:rsid w:val="001012E5"/>
    <w:rsid w:val="00101714"/>
    <w:rsid w:val="0010520A"/>
    <w:rsid w:val="00107307"/>
    <w:rsid w:val="00111AC4"/>
    <w:rsid w:val="001122CD"/>
    <w:rsid w:val="00114B72"/>
    <w:rsid w:val="00116061"/>
    <w:rsid w:val="00117951"/>
    <w:rsid w:val="0012013A"/>
    <w:rsid w:val="00125F0C"/>
    <w:rsid w:val="0013110B"/>
    <w:rsid w:val="001340BD"/>
    <w:rsid w:val="0013425B"/>
    <w:rsid w:val="00135173"/>
    <w:rsid w:val="001355E3"/>
    <w:rsid w:val="00146CF8"/>
    <w:rsid w:val="00152425"/>
    <w:rsid w:val="0015664B"/>
    <w:rsid w:val="0015687F"/>
    <w:rsid w:val="001569ED"/>
    <w:rsid w:val="001634A2"/>
    <w:rsid w:val="00164ACC"/>
    <w:rsid w:val="001662C8"/>
    <w:rsid w:val="001736F7"/>
    <w:rsid w:val="00174330"/>
    <w:rsid w:val="00174415"/>
    <w:rsid w:val="0017485D"/>
    <w:rsid w:val="001761C1"/>
    <w:rsid w:val="00181AE9"/>
    <w:rsid w:val="00182EF8"/>
    <w:rsid w:val="001858DB"/>
    <w:rsid w:val="00194C62"/>
    <w:rsid w:val="001A4C91"/>
    <w:rsid w:val="001A724F"/>
    <w:rsid w:val="001A790B"/>
    <w:rsid w:val="001B21FC"/>
    <w:rsid w:val="001B4192"/>
    <w:rsid w:val="001C19EF"/>
    <w:rsid w:val="001C414F"/>
    <w:rsid w:val="001C47EC"/>
    <w:rsid w:val="001C779C"/>
    <w:rsid w:val="001D05B9"/>
    <w:rsid w:val="001D6DC8"/>
    <w:rsid w:val="001D7F97"/>
    <w:rsid w:val="001E0B16"/>
    <w:rsid w:val="001E48DB"/>
    <w:rsid w:val="001E6172"/>
    <w:rsid w:val="001E7B95"/>
    <w:rsid w:val="001F0A04"/>
    <w:rsid w:val="001F114F"/>
    <w:rsid w:val="002139AE"/>
    <w:rsid w:val="00217C54"/>
    <w:rsid w:val="002207B2"/>
    <w:rsid w:val="00225A89"/>
    <w:rsid w:val="002264CA"/>
    <w:rsid w:val="00227E3F"/>
    <w:rsid w:val="002326AB"/>
    <w:rsid w:val="002361BF"/>
    <w:rsid w:val="00244997"/>
    <w:rsid w:val="00253084"/>
    <w:rsid w:val="00256D70"/>
    <w:rsid w:val="00264C92"/>
    <w:rsid w:val="002659BC"/>
    <w:rsid w:val="0026699C"/>
    <w:rsid w:val="00266D8A"/>
    <w:rsid w:val="00274A77"/>
    <w:rsid w:val="00276547"/>
    <w:rsid w:val="00281056"/>
    <w:rsid w:val="00283037"/>
    <w:rsid w:val="0029123A"/>
    <w:rsid w:val="0029618A"/>
    <w:rsid w:val="00296C30"/>
    <w:rsid w:val="002A387C"/>
    <w:rsid w:val="002B0219"/>
    <w:rsid w:val="002B25E6"/>
    <w:rsid w:val="002B705A"/>
    <w:rsid w:val="002B7D4E"/>
    <w:rsid w:val="002D0131"/>
    <w:rsid w:val="002D2B88"/>
    <w:rsid w:val="002D627E"/>
    <w:rsid w:val="002D65FC"/>
    <w:rsid w:val="002E184D"/>
    <w:rsid w:val="002E1D3F"/>
    <w:rsid w:val="002E3312"/>
    <w:rsid w:val="002E5825"/>
    <w:rsid w:val="002F329D"/>
    <w:rsid w:val="002F468E"/>
    <w:rsid w:val="003003AC"/>
    <w:rsid w:val="00300F20"/>
    <w:rsid w:val="0030303D"/>
    <w:rsid w:val="0030337D"/>
    <w:rsid w:val="003034A0"/>
    <w:rsid w:val="0030468D"/>
    <w:rsid w:val="0030729A"/>
    <w:rsid w:val="0031132B"/>
    <w:rsid w:val="00312A57"/>
    <w:rsid w:val="00312E84"/>
    <w:rsid w:val="00322A5D"/>
    <w:rsid w:val="00323728"/>
    <w:rsid w:val="0032476C"/>
    <w:rsid w:val="003248E2"/>
    <w:rsid w:val="00326801"/>
    <w:rsid w:val="00327FD5"/>
    <w:rsid w:val="003305E4"/>
    <w:rsid w:val="00335007"/>
    <w:rsid w:val="00343B7B"/>
    <w:rsid w:val="00344EC5"/>
    <w:rsid w:val="00345D28"/>
    <w:rsid w:val="003506FF"/>
    <w:rsid w:val="00353C00"/>
    <w:rsid w:val="00357699"/>
    <w:rsid w:val="003629B5"/>
    <w:rsid w:val="00363092"/>
    <w:rsid w:val="00363B19"/>
    <w:rsid w:val="00372E75"/>
    <w:rsid w:val="00373341"/>
    <w:rsid w:val="00376E34"/>
    <w:rsid w:val="0038317F"/>
    <w:rsid w:val="00383ECD"/>
    <w:rsid w:val="003849B0"/>
    <w:rsid w:val="00392696"/>
    <w:rsid w:val="0039322F"/>
    <w:rsid w:val="0039355E"/>
    <w:rsid w:val="003939FC"/>
    <w:rsid w:val="003A2C17"/>
    <w:rsid w:val="003A2F62"/>
    <w:rsid w:val="003B0B09"/>
    <w:rsid w:val="003B276E"/>
    <w:rsid w:val="003B2882"/>
    <w:rsid w:val="003B5AF1"/>
    <w:rsid w:val="003B7CF0"/>
    <w:rsid w:val="003B7DB2"/>
    <w:rsid w:val="003C2908"/>
    <w:rsid w:val="003C2F2B"/>
    <w:rsid w:val="003C52A0"/>
    <w:rsid w:val="003C5825"/>
    <w:rsid w:val="003C582E"/>
    <w:rsid w:val="003D0B0A"/>
    <w:rsid w:val="003D5086"/>
    <w:rsid w:val="003E3DB5"/>
    <w:rsid w:val="003F1D68"/>
    <w:rsid w:val="003F6CD2"/>
    <w:rsid w:val="004003D5"/>
    <w:rsid w:val="00401BE3"/>
    <w:rsid w:val="00402EBF"/>
    <w:rsid w:val="00402F3E"/>
    <w:rsid w:val="00403005"/>
    <w:rsid w:val="0040564E"/>
    <w:rsid w:val="00410106"/>
    <w:rsid w:val="004141F0"/>
    <w:rsid w:val="004144B0"/>
    <w:rsid w:val="00420D79"/>
    <w:rsid w:val="0042242F"/>
    <w:rsid w:val="00426339"/>
    <w:rsid w:val="00426962"/>
    <w:rsid w:val="0042737C"/>
    <w:rsid w:val="0043757C"/>
    <w:rsid w:val="00441F1D"/>
    <w:rsid w:val="00445A0D"/>
    <w:rsid w:val="004467FE"/>
    <w:rsid w:val="004474C2"/>
    <w:rsid w:val="00455EFC"/>
    <w:rsid w:val="00462D9E"/>
    <w:rsid w:val="00463498"/>
    <w:rsid w:val="0046479B"/>
    <w:rsid w:val="00480A58"/>
    <w:rsid w:val="00481089"/>
    <w:rsid w:val="00481A2C"/>
    <w:rsid w:val="00481CEA"/>
    <w:rsid w:val="00481EA3"/>
    <w:rsid w:val="00486AA9"/>
    <w:rsid w:val="004918DC"/>
    <w:rsid w:val="0049414D"/>
    <w:rsid w:val="004945B7"/>
    <w:rsid w:val="00495DB5"/>
    <w:rsid w:val="004A0C11"/>
    <w:rsid w:val="004A2361"/>
    <w:rsid w:val="004A239E"/>
    <w:rsid w:val="004A404F"/>
    <w:rsid w:val="004A4C98"/>
    <w:rsid w:val="004A6E2A"/>
    <w:rsid w:val="004B11D9"/>
    <w:rsid w:val="004B17EA"/>
    <w:rsid w:val="004B2140"/>
    <w:rsid w:val="004B4726"/>
    <w:rsid w:val="004B4C21"/>
    <w:rsid w:val="004C1192"/>
    <w:rsid w:val="004C3E18"/>
    <w:rsid w:val="004C42EE"/>
    <w:rsid w:val="004D5B2D"/>
    <w:rsid w:val="004D6558"/>
    <w:rsid w:val="004E299B"/>
    <w:rsid w:val="004E4EB4"/>
    <w:rsid w:val="004F0D4C"/>
    <w:rsid w:val="004F4AA6"/>
    <w:rsid w:val="004F5110"/>
    <w:rsid w:val="004F5FBF"/>
    <w:rsid w:val="00500401"/>
    <w:rsid w:val="00501DA7"/>
    <w:rsid w:val="00503809"/>
    <w:rsid w:val="005059D9"/>
    <w:rsid w:val="00505CB7"/>
    <w:rsid w:val="005067DE"/>
    <w:rsid w:val="00506DC5"/>
    <w:rsid w:val="0050764B"/>
    <w:rsid w:val="005106CD"/>
    <w:rsid w:val="005107A1"/>
    <w:rsid w:val="005131AB"/>
    <w:rsid w:val="00516805"/>
    <w:rsid w:val="0053015B"/>
    <w:rsid w:val="00533A82"/>
    <w:rsid w:val="005368BF"/>
    <w:rsid w:val="00536925"/>
    <w:rsid w:val="005507BF"/>
    <w:rsid w:val="00550D44"/>
    <w:rsid w:val="005538D8"/>
    <w:rsid w:val="00560889"/>
    <w:rsid w:val="00563349"/>
    <w:rsid w:val="00566D20"/>
    <w:rsid w:val="00567894"/>
    <w:rsid w:val="00573906"/>
    <w:rsid w:val="00585E42"/>
    <w:rsid w:val="00591570"/>
    <w:rsid w:val="0059303A"/>
    <w:rsid w:val="00593175"/>
    <w:rsid w:val="005943FF"/>
    <w:rsid w:val="005952DD"/>
    <w:rsid w:val="00596A94"/>
    <w:rsid w:val="005A0FE9"/>
    <w:rsid w:val="005A23DF"/>
    <w:rsid w:val="005A591A"/>
    <w:rsid w:val="005B3CAA"/>
    <w:rsid w:val="005B525C"/>
    <w:rsid w:val="005B5BC9"/>
    <w:rsid w:val="005B675C"/>
    <w:rsid w:val="005C3B6B"/>
    <w:rsid w:val="005C4880"/>
    <w:rsid w:val="005C5769"/>
    <w:rsid w:val="005C7E6C"/>
    <w:rsid w:val="005E5540"/>
    <w:rsid w:val="005E7C87"/>
    <w:rsid w:val="005F0D6E"/>
    <w:rsid w:val="005F45E1"/>
    <w:rsid w:val="00603C8C"/>
    <w:rsid w:val="00604235"/>
    <w:rsid w:val="006054BE"/>
    <w:rsid w:val="00617AB7"/>
    <w:rsid w:val="00620FEB"/>
    <w:rsid w:val="00625EB1"/>
    <w:rsid w:val="00634789"/>
    <w:rsid w:val="00641834"/>
    <w:rsid w:val="00641F55"/>
    <w:rsid w:val="006425CB"/>
    <w:rsid w:val="00647B22"/>
    <w:rsid w:val="00651CCF"/>
    <w:rsid w:val="0065541E"/>
    <w:rsid w:val="00656A30"/>
    <w:rsid w:val="00664881"/>
    <w:rsid w:val="00664EBB"/>
    <w:rsid w:val="00671D6E"/>
    <w:rsid w:val="006826D4"/>
    <w:rsid w:val="0068555A"/>
    <w:rsid w:val="006855C3"/>
    <w:rsid w:val="00693ADB"/>
    <w:rsid w:val="00694C37"/>
    <w:rsid w:val="006A25CD"/>
    <w:rsid w:val="006B1967"/>
    <w:rsid w:val="006B5624"/>
    <w:rsid w:val="006B5C4B"/>
    <w:rsid w:val="006B6291"/>
    <w:rsid w:val="006C17A0"/>
    <w:rsid w:val="006C1CDE"/>
    <w:rsid w:val="006C4FB1"/>
    <w:rsid w:val="006D00F2"/>
    <w:rsid w:val="006E19D9"/>
    <w:rsid w:val="006E24F3"/>
    <w:rsid w:val="006E3B47"/>
    <w:rsid w:val="006F4E4F"/>
    <w:rsid w:val="006F64BB"/>
    <w:rsid w:val="007100EA"/>
    <w:rsid w:val="0071024A"/>
    <w:rsid w:val="00710E20"/>
    <w:rsid w:val="007130DB"/>
    <w:rsid w:val="0072428C"/>
    <w:rsid w:val="00725B35"/>
    <w:rsid w:val="00726D0D"/>
    <w:rsid w:val="00727615"/>
    <w:rsid w:val="00727ACC"/>
    <w:rsid w:val="00727CA8"/>
    <w:rsid w:val="00732ABA"/>
    <w:rsid w:val="00733D87"/>
    <w:rsid w:val="00740D3C"/>
    <w:rsid w:val="00746590"/>
    <w:rsid w:val="00753F41"/>
    <w:rsid w:val="0075700A"/>
    <w:rsid w:val="00763345"/>
    <w:rsid w:val="007718FF"/>
    <w:rsid w:val="00771B39"/>
    <w:rsid w:val="00772004"/>
    <w:rsid w:val="0077339C"/>
    <w:rsid w:val="00777982"/>
    <w:rsid w:val="0078105E"/>
    <w:rsid w:val="00783542"/>
    <w:rsid w:val="007839DE"/>
    <w:rsid w:val="00784BBE"/>
    <w:rsid w:val="0079170D"/>
    <w:rsid w:val="007A25BB"/>
    <w:rsid w:val="007A58AC"/>
    <w:rsid w:val="007A7C06"/>
    <w:rsid w:val="007C3084"/>
    <w:rsid w:val="007C7B7C"/>
    <w:rsid w:val="007D1AB1"/>
    <w:rsid w:val="007D4F2D"/>
    <w:rsid w:val="007D5EE6"/>
    <w:rsid w:val="007E16CC"/>
    <w:rsid w:val="007E1FCA"/>
    <w:rsid w:val="007E3BC1"/>
    <w:rsid w:val="007E5126"/>
    <w:rsid w:val="007F3515"/>
    <w:rsid w:val="00800535"/>
    <w:rsid w:val="00805617"/>
    <w:rsid w:val="0080575E"/>
    <w:rsid w:val="00805B9F"/>
    <w:rsid w:val="00812117"/>
    <w:rsid w:val="00812E86"/>
    <w:rsid w:val="0081438A"/>
    <w:rsid w:val="00814A8D"/>
    <w:rsid w:val="00817D83"/>
    <w:rsid w:val="0082009C"/>
    <w:rsid w:val="008215F4"/>
    <w:rsid w:val="00832A52"/>
    <w:rsid w:val="00834964"/>
    <w:rsid w:val="00841F1C"/>
    <w:rsid w:val="00853836"/>
    <w:rsid w:val="00853E60"/>
    <w:rsid w:val="00856538"/>
    <w:rsid w:val="0086507D"/>
    <w:rsid w:val="008660E8"/>
    <w:rsid w:val="008661A4"/>
    <w:rsid w:val="00871AB8"/>
    <w:rsid w:val="00875381"/>
    <w:rsid w:val="00875725"/>
    <w:rsid w:val="0087580A"/>
    <w:rsid w:val="00877EA9"/>
    <w:rsid w:val="00882401"/>
    <w:rsid w:val="00885862"/>
    <w:rsid w:val="008877F8"/>
    <w:rsid w:val="00893230"/>
    <w:rsid w:val="008A362B"/>
    <w:rsid w:val="008A421F"/>
    <w:rsid w:val="008A62EE"/>
    <w:rsid w:val="008A7B74"/>
    <w:rsid w:val="008A7E64"/>
    <w:rsid w:val="008B43FF"/>
    <w:rsid w:val="008C2707"/>
    <w:rsid w:val="008C6CB2"/>
    <w:rsid w:val="008C6CD1"/>
    <w:rsid w:val="008D1E3F"/>
    <w:rsid w:val="008D676B"/>
    <w:rsid w:val="008E2EA2"/>
    <w:rsid w:val="008E3306"/>
    <w:rsid w:val="008F4654"/>
    <w:rsid w:val="008F72D5"/>
    <w:rsid w:val="00915711"/>
    <w:rsid w:val="00920BD3"/>
    <w:rsid w:val="00921A5A"/>
    <w:rsid w:val="00922063"/>
    <w:rsid w:val="00927CDC"/>
    <w:rsid w:val="00935FA2"/>
    <w:rsid w:val="00936B2A"/>
    <w:rsid w:val="00937697"/>
    <w:rsid w:val="009378B2"/>
    <w:rsid w:val="00940E8C"/>
    <w:rsid w:val="00943046"/>
    <w:rsid w:val="00945E6A"/>
    <w:rsid w:val="0094723B"/>
    <w:rsid w:val="00953848"/>
    <w:rsid w:val="0096264B"/>
    <w:rsid w:val="00963E17"/>
    <w:rsid w:val="009644FB"/>
    <w:rsid w:val="00966D95"/>
    <w:rsid w:val="00973C3C"/>
    <w:rsid w:val="00980697"/>
    <w:rsid w:val="009812C4"/>
    <w:rsid w:val="009842A9"/>
    <w:rsid w:val="00984EC3"/>
    <w:rsid w:val="00987BF1"/>
    <w:rsid w:val="00987DCB"/>
    <w:rsid w:val="0099487F"/>
    <w:rsid w:val="0099610A"/>
    <w:rsid w:val="00997D4D"/>
    <w:rsid w:val="009A3E7D"/>
    <w:rsid w:val="009B04CB"/>
    <w:rsid w:val="009B324E"/>
    <w:rsid w:val="009B37AC"/>
    <w:rsid w:val="009B3D96"/>
    <w:rsid w:val="009B6D94"/>
    <w:rsid w:val="009B7D1E"/>
    <w:rsid w:val="009C046C"/>
    <w:rsid w:val="009C0C72"/>
    <w:rsid w:val="009C1C24"/>
    <w:rsid w:val="009C5368"/>
    <w:rsid w:val="009C57D4"/>
    <w:rsid w:val="009D1F68"/>
    <w:rsid w:val="009D20B0"/>
    <w:rsid w:val="009D2130"/>
    <w:rsid w:val="009D3398"/>
    <w:rsid w:val="009D42E5"/>
    <w:rsid w:val="009D6A5D"/>
    <w:rsid w:val="009D6E1A"/>
    <w:rsid w:val="009D72CB"/>
    <w:rsid w:val="009D7A69"/>
    <w:rsid w:val="009E4E08"/>
    <w:rsid w:val="009E4F5A"/>
    <w:rsid w:val="009F2658"/>
    <w:rsid w:val="00A0011E"/>
    <w:rsid w:val="00A01984"/>
    <w:rsid w:val="00A053C6"/>
    <w:rsid w:val="00A059DA"/>
    <w:rsid w:val="00A0661F"/>
    <w:rsid w:val="00A11ACE"/>
    <w:rsid w:val="00A146A4"/>
    <w:rsid w:val="00A179FC"/>
    <w:rsid w:val="00A26ECD"/>
    <w:rsid w:val="00A30565"/>
    <w:rsid w:val="00A322AC"/>
    <w:rsid w:val="00A34CA6"/>
    <w:rsid w:val="00A36B8B"/>
    <w:rsid w:val="00A401AF"/>
    <w:rsid w:val="00A41503"/>
    <w:rsid w:val="00A43C32"/>
    <w:rsid w:val="00A45C08"/>
    <w:rsid w:val="00A5243C"/>
    <w:rsid w:val="00A55200"/>
    <w:rsid w:val="00A60A36"/>
    <w:rsid w:val="00A631B3"/>
    <w:rsid w:val="00A67F6E"/>
    <w:rsid w:val="00A70BC3"/>
    <w:rsid w:val="00A71B77"/>
    <w:rsid w:val="00A72938"/>
    <w:rsid w:val="00A72D66"/>
    <w:rsid w:val="00A804D3"/>
    <w:rsid w:val="00A82FFA"/>
    <w:rsid w:val="00A84D2F"/>
    <w:rsid w:val="00A851EF"/>
    <w:rsid w:val="00A86DD9"/>
    <w:rsid w:val="00A8732A"/>
    <w:rsid w:val="00A923AE"/>
    <w:rsid w:val="00A93589"/>
    <w:rsid w:val="00A9729F"/>
    <w:rsid w:val="00AA2599"/>
    <w:rsid w:val="00AA708F"/>
    <w:rsid w:val="00AB0980"/>
    <w:rsid w:val="00AB1459"/>
    <w:rsid w:val="00AB2E74"/>
    <w:rsid w:val="00AB333B"/>
    <w:rsid w:val="00AB4DB7"/>
    <w:rsid w:val="00AB6CFE"/>
    <w:rsid w:val="00AB6E9C"/>
    <w:rsid w:val="00AC5F02"/>
    <w:rsid w:val="00AC7520"/>
    <w:rsid w:val="00AD0DDA"/>
    <w:rsid w:val="00AD34C9"/>
    <w:rsid w:val="00AD5C78"/>
    <w:rsid w:val="00AE0207"/>
    <w:rsid w:val="00AE3B0C"/>
    <w:rsid w:val="00AF0FD8"/>
    <w:rsid w:val="00AF40FD"/>
    <w:rsid w:val="00AF6A03"/>
    <w:rsid w:val="00B166C6"/>
    <w:rsid w:val="00B2136E"/>
    <w:rsid w:val="00B31EF4"/>
    <w:rsid w:val="00B32CA3"/>
    <w:rsid w:val="00B32F12"/>
    <w:rsid w:val="00B34034"/>
    <w:rsid w:val="00B3502A"/>
    <w:rsid w:val="00B35629"/>
    <w:rsid w:val="00B367C4"/>
    <w:rsid w:val="00B4245F"/>
    <w:rsid w:val="00B432A3"/>
    <w:rsid w:val="00B434D8"/>
    <w:rsid w:val="00B437D7"/>
    <w:rsid w:val="00B478DE"/>
    <w:rsid w:val="00B51986"/>
    <w:rsid w:val="00B57BAC"/>
    <w:rsid w:val="00B60AE4"/>
    <w:rsid w:val="00B70C46"/>
    <w:rsid w:val="00B83F1B"/>
    <w:rsid w:val="00B85A28"/>
    <w:rsid w:val="00B86223"/>
    <w:rsid w:val="00B93C5E"/>
    <w:rsid w:val="00B950D8"/>
    <w:rsid w:val="00B951C7"/>
    <w:rsid w:val="00BA01AF"/>
    <w:rsid w:val="00BA6F75"/>
    <w:rsid w:val="00BB19F4"/>
    <w:rsid w:val="00BB1D6A"/>
    <w:rsid w:val="00BB1D90"/>
    <w:rsid w:val="00BB30F9"/>
    <w:rsid w:val="00BB7FEA"/>
    <w:rsid w:val="00BC1CAE"/>
    <w:rsid w:val="00BC349A"/>
    <w:rsid w:val="00BC3A41"/>
    <w:rsid w:val="00BD224B"/>
    <w:rsid w:val="00BD75ED"/>
    <w:rsid w:val="00BE4584"/>
    <w:rsid w:val="00BE5EE6"/>
    <w:rsid w:val="00BE65AC"/>
    <w:rsid w:val="00BF28F6"/>
    <w:rsid w:val="00C00298"/>
    <w:rsid w:val="00C02F4A"/>
    <w:rsid w:val="00C03678"/>
    <w:rsid w:val="00C04D2F"/>
    <w:rsid w:val="00C06005"/>
    <w:rsid w:val="00C07DE3"/>
    <w:rsid w:val="00C138F7"/>
    <w:rsid w:val="00C2064C"/>
    <w:rsid w:val="00C26B25"/>
    <w:rsid w:val="00C27D6D"/>
    <w:rsid w:val="00C30D9F"/>
    <w:rsid w:val="00C317EA"/>
    <w:rsid w:val="00C32922"/>
    <w:rsid w:val="00C335B9"/>
    <w:rsid w:val="00C35702"/>
    <w:rsid w:val="00C36C86"/>
    <w:rsid w:val="00C441C7"/>
    <w:rsid w:val="00C44DBC"/>
    <w:rsid w:val="00C5024C"/>
    <w:rsid w:val="00C51488"/>
    <w:rsid w:val="00C555F2"/>
    <w:rsid w:val="00C57D2E"/>
    <w:rsid w:val="00C62732"/>
    <w:rsid w:val="00C639E2"/>
    <w:rsid w:val="00C63B91"/>
    <w:rsid w:val="00C65DF4"/>
    <w:rsid w:val="00C70281"/>
    <w:rsid w:val="00C7384C"/>
    <w:rsid w:val="00C81808"/>
    <w:rsid w:val="00C82BF0"/>
    <w:rsid w:val="00C91A5F"/>
    <w:rsid w:val="00C92EA3"/>
    <w:rsid w:val="00C95F15"/>
    <w:rsid w:val="00C97876"/>
    <w:rsid w:val="00CA243F"/>
    <w:rsid w:val="00CA31C1"/>
    <w:rsid w:val="00CB3F9C"/>
    <w:rsid w:val="00CB50D2"/>
    <w:rsid w:val="00CC01AF"/>
    <w:rsid w:val="00CC5404"/>
    <w:rsid w:val="00CD5071"/>
    <w:rsid w:val="00CD5291"/>
    <w:rsid w:val="00CD569D"/>
    <w:rsid w:val="00CD57E4"/>
    <w:rsid w:val="00CD62D9"/>
    <w:rsid w:val="00CD7389"/>
    <w:rsid w:val="00CE017A"/>
    <w:rsid w:val="00CE19F8"/>
    <w:rsid w:val="00CE28A3"/>
    <w:rsid w:val="00CF3461"/>
    <w:rsid w:val="00CF3D92"/>
    <w:rsid w:val="00CF62BF"/>
    <w:rsid w:val="00CF7CEF"/>
    <w:rsid w:val="00D0010D"/>
    <w:rsid w:val="00D010B2"/>
    <w:rsid w:val="00D0167A"/>
    <w:rsid w:val="00D033CE"/>
    <w:rsid w:val="00D039D7"/>
    <w:rsid w:val="00D12D12"/>
    <w:rsid w:val="00D20483"/>
    <w:rsid w:val="00D23AA6"/>
    <w:rsid w:val="00D24258"/>
    <w:rsid w:val="00D25487"/>
    <w:rsid w:val="00D25715"/>
    <w:rsid w:val="00D36377"/>
    <w:rsid w:val="00D36C39"/>
    <w:rsid w:val="00D42CA2"/>
    <w:rsid w:val="00D5166F"/>
    <w:rsid w:val="00D51F4D"/>
    <w:rsid w:val="00D54340"/>
    <w:rsid w:val="00D5676C"/>
    <w:rsid w:val="00D63B3C"/>
    <w:rsid w:val="00D64096"/>
    <w:rsid w:val="00D674D1"/>
    <w:rsid w:val="00D76FEA"/>
    <w:rsid w:val="00D834A7"/>
    <w:rsid w:val="00D85C55"/>
    <w:rsid w:val="00D94CF9"/>
    <w:rsid w:val="00D9574B"/>
    <w:rsid w:val="00DA34F7"/>
    <w:rsid w:val="00DB1559"/>
    <w:rsid w:val="00DB3644"/>
    <w:rsid w:val="00DB4214"/>
    <w:rsid w:val="00DB71F6"/>
    <w:rsid w:val="00DC032C"/>
    <w:rsid w:val="00DC6C4F"/>
    <w:rsid w:val="00DC7786"/>
    <w:rsid w:val="00DD00CA"/>
    <w:rsid w:val="00DD2864"/>
    <w:rsid w:val="00DD4D1F"/>
    <w:rsid w:val="00DD5507"/>
    <w:rsid w:val="00DE2319"/>
    <w:rsid w:val="00DE28D7"/>
    <w:rsid w:val="00DE2A37"/>
    <w:rsid w:val="00DE3802"/>
    <w:rsid w:val="00DE3CD9"/>
    <w:rsid w:val="00DE46D1"/>
    <w:rsid w:val="00DE5D5F"/>
    <w:rsid w:val="00DF01A2"/>
    <w:rsid w:val="00DF1972"/>
    <w:rsid w:val="00DF6C5D"/>
    <w:rsid w:val="00E007FF"/>
    <w:rsid w:val="00E00CE7"/>
    <w:rsid w:val="00E048F4"/>
    <w:rsid w:val="00E0510C"/>
    <w:rsid w:val="00E21818"/>
    <w:rsid w:val="00E23920"/>
    <w:rsid w:val="00E348C2"/>
    <w:rsid w:val="00E36B6C"/>
    <w:rsid w:val="00E373C4"/>
    <w:rsid w:val="00E40AAA"/>
    <w:rsid w:val="00E40B40"/>
    <w:rsid w:val="00E417AE"/>
    <w:rsid w:val="00E43CA4"/>
    <w:rsid w:val="00E4663B"/>
    <w:rsid w:val="00E500DC"/>
    <w:rsid w:val="00E50FBF"/>
    <w:rsid w:val="00E62866"/>
    <w:rsid w:val="00E75BEC"/>
    <w:rsid w:val="00E811F3"/>
    <w:rsid w:val="00E85AA4"/>
    <w:rsid w:val="00E861E3"/>
    <w:rsid w:val="00E96110"/>
    <w:rsid w:val="00EA1065"/>
    <w:rsid w:val="00EA203C"/>
    <w:rsid w:val="00EA3CBB"/>
    <w:rsid w:val="00EA4054"/>
    <w:rsid w:val="00EA4803"/>
    <w:rsid w:val="00EB3807"/>
    <w:rsid w:val="00EB49C7"/>
    <w:rsid w:val="00EC3A0C"/>
    <w:rsid w:val="00EE3F4D"/>
    <w:rsid w:val="00EE7219"/>
    <w:rsid w:val="00EF1371"/>
    <w:rsid w:val="00EF524D"/>
    <w:rsid w:val="00EF6C2D"/>
    <w:rsid w:val="00EF7B0C"/>
    <w:rsid w:val="00F00132"/>
    <w:rsid w:val="00F0080E"/>
    <w:rsid w:val="00F01577"/>
    <w:rsid w:val="00F04DE9"/>
    <w:rsid w:val="00F06D06"/>
    <w:rsid w:val="00F115CC"/>
    <w:rsid w:val="00F13D04"/>
    <w:rsid w:val="00F160BC"/>
    <w:rsid w:val="00F208E2"/>
    <w:rsid w:val="00F21EEA"/>
    <w:rsid w:val="00F25060"/>
    <w:rsid w:val="00F3461A"/>
    <w:rsid w:val="00F40BF4"/>
    <w:rsid w:val="00F518F1"/>
    <w:rsid w:val="00F51D3A"/>
    <w:rsid w:val="00F523C4"/>
    <w:rsid w:val="00F74273"/>
    <w:rsid w:val="00F75666"/>
    <w:rsid w:val="00F75999"/>
    <w:rsid w:val="00F75D18"/>
    <w:rsid w:val="00F7619A"/>
    <w:rsid w:val="00F811FB"/>
    <w:rsid w:val="00F81C94"/>
    <w:rsid w:val="00F91A05"/>
    <w:rsid w:val="00F95025"/>
    <w:rsid w:val="00F96537"/>
    <w:rsid w:val="00FA5A9D"/>
    <w:rsid w:val="00FA5E2A"/>
    <w:rsid w:val="00FB6C22"/>
    <w:rsid w:val="00FB799B"/>
    <w:rsid w:val="00FB7C21"/>
    <w:rsid w:val="00FC78DC"/>
    <w:rsid w:val="00FC7B65"/>
    <w:rsid w:val="00FD29D2"/>
    <w:rsid w:val="00FD30CA"/>
    <w:rsid w:val="00FD5FB8"/>
    <w:rsid w:val="00FE32B7"/>
    <w:rsid w:val="00FE598C"/>
    <w:rsid w:val="00FF42A4"/>
    <w:rsid w:val="00FF42AF"/>
    <w:rsid w:val="00FF7AE6"/>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5B57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sz w:val="22"/>
        <w:szCs w:val="22"/>
        <w:lang w:val="en-IE" w:eastAsia="en-I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38D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AD34C9"/>
  </w:style>
  <w:style w:type="character" w:customStyle="1" w:styleId="FootnoteTextChar">
    <w:name w:val="Footnote Text Char"/>
    <w:basedOn w:val="DefaultParagraphFont"/>
    <w:link w:val="FootnoteText"/>
    <w:uiPriority w:val="99"/>
    <w:locked/>
    <w:rsid w:val="00AD34C9"/>
    <w:rPr>
      <w:rFonts w:cs="Times New Roman"/>
    </w:rPr>
  </w:style>
  <w:style w:type="character" w:styleId="FootnoteReference">
    <w:name w:val="footnote reference"/>
    <w:basedOn w:val="DefaultParagraphFont"/>
    <w:uiPriority w:val="99"/>
    <w:rsid w:val="00AD34C9"/>
    <w:rPr>
      <w:rFonts w:cs="Times New Roman"/>
      <w:vertAlign w:val="superscript"/>
    </w:rPr>
  </w:style>
  <w:style w:type="paragraph" w:styleId="ListParagraph">
    <w:name w:val="List Paragraph"/>
    <w:basedOn w:val="Normal"/>
    <w:uiPriority w:val="99"/>
    <w:qFormat/>
    <w:rsid w:val="00D5434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1668</Words>
  <Characters>9508</Characters>
  <Application>Microsoft Macintosh Word</Application>
  <DocSecurity>0</DocSecurity>
  <Lines>79</Lines>
  <Paragraphs>22</Paragraphs>
  <ScaleCrop>false</ScaleCrop>
  <Company/>
  <LinksUpToDate>false</LinksUpToDate>
  <CharactersWithSpaces>11154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LIQUID LANGUAGE</dc:title>
  <dc:subject/>
  <dc:creator>Ed Krcma</dc:creator>
  <cp:keywords/>
  <dc:description/>
  <cp:lastModifiedBy>Ed Krcma</cp:lastModifiedBy>
  <cp:revision>6</cp:revision>
  <cp:lastPrinted>2012-05-08T10:14:00Z</cp:lastPrinted>
  <dcterms:created xsi:type="dcterms:W3CDTF">2012-05-08T11:28:00Z</dcterms:created>
  <dcterms:modified xsi:type="dcterms:W3CDTF">2012-07-07T11:54:00Z</dcterms:modified>
</cp:coreProperties>
</file>