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0E6E" w14:textId="5D528ECE" w:rsidR="00C10D3D" w:rsidRDefault="00C10D3D" w:rsidP="00716462">
      <w:pPr>
        <w:spacing w:line="480" w:lineRule="auto"/>
        <w:ind w:right="-330"/>
        <w:jc w:val="both"/>
        <w:rPr>
          <w:rFonts w:asciiTheme="minorHAnsi" w:hAnsiTheme="minorHAnsi"/>
          <w:b/>
          <w:color w:val="000000"/>
          <w:sz w:val="24"/>
          <w:szCs w:val="24"/>
          <w:lang w:val="en-CA"/>
        </w:rPr>
      </w:pPr>
      <w:r w:rsidRPr="00670644">
        <w:rPr>
          <w:rFonts w:asciiTheme="minorHAnsi" w:hAnsiTheme="minorHAnsi"/>
          <w:b/>
          <w:color w:val="000000"/>
          <w:sz w:val="24"/>
          <w:szCs w:val="24"/>
          <w:lang w:val="en-CA"/>
        </w:rPr>
        <w:t xml:space="preserve">Forthcoming in </w:t>
      </w:r>
      <w:r w:rsidRPr="00670644">
        <w:rPr>
          <w:rFonts w:asciiTheme="minorHAnsi" w:hAnsiTheme="minorHAnsi"/>
          <w:b/>
          <w:i/>
          <w:color w:val="000000"/>
          <w:sz w:val="24"/>
          <w:szCs w:val="24"/>
          <w:lang w:val="en-CA"/>
        </w:rPr>
        <w:t>Nature Climate Change</w:t>
      </w:r>
      <w:r w:rsidR="00670644" w:rsidRPr="00670644">
        <w:rPr>
          <w:rFonts w:asciiTheme="minorHAnsi" w:hAnsiTheme="minorHAnsi"/>
          <w:b/>
          <w:i/>
          <w:color w:val="000000"/>
          <w:sz w:val="24"/>
          <w:szCs w:val="24"/>
          <w:lang w:val="en-CA"/>
        </w:rPr>
        <w:t xml:space="preserve"> – </w:t>
      </w:r>
      <w:r w:rsidR="00670644" w:rsidRPr="00670644">
        <w:rPr>
          <w:rFonts w:asciiTheme="minorHAnsi" w:hAnsiTheme="minorHAnsi"/>
          <w:b/>
          <w:color w:val="000000"/>
          <w:sz w:val="24"/>
          <w:szCs w:val="24"/>
          <w:lang w:val="en-CA"/>
        </w:rPr>
        <w:t>accepted for publication 11 May 2015</w:t>
      </w:r>
    </w:p>
    <w:p w14:paraId="31640232" w14:textId="4A48AA13" w:rsidR="0082290D" w:rsidRPr="0082290D" w:rsidRDefault="0082290D" w:rsidP="00716462">
      <w:pPr>
        <w:spacing w:line="480" w:lineRule="auto"/>
        <w:ind w:right="-330"/>
        <w:jc w:val="both"/>
        <w:rPr>
          <w:rFonts w:asciiTheme="minorHAnsi" w:hAnsiTheme="minorHAnsi"/>
          <w:b/>
          <w:sz w:val="24"/>
          <w:szCs w:val="24"/>
          <w:lang w:val="en-CA"/>
        </w:rPr>
      </w:pPr>
      <w:r w:rsidRPr="0082290D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MS # </w:t>
      </w:r>
      <w:r w:rsidRPr="0082290D">
        <w:rPr>
          <w:rFonts w:asciiTheme="minorHAnsi" w:hAnsiTheme="minorHAnsi"/>
          <w:b/>
          <w:sz w:val="24"/>
          <w:szCs w:val="24"/>
          <w:shd w:val="clear" w:color="auto" w:fill="FFFFFF"/>
        </w:rPr>
        <w:t>NCLIM-14101518C</w:t>
      </w:r>
      <w:bookmarkStart w:id="0" w:name="_GoBack"/>
      <w:bookmarkEnd w:id="0"/>
    </w:p>
    <w:p w14:paraId="629E3B37" w14:textId="77777777" w:rsidR="00C10D3D" w:rsidRPr="00670644" w:rsidRDefault="00C10D3D" w:rsidP="00716462">
      <w:pPr>
        <w:spacing w:line="480" w:lineRule="auto"/>
        <w:ind w:right="-330"/>
        <w:jc w:val="both"/>
        <w:rPr>
          <w:rFonts w:asciiTheme="minorHAnsi" w:hAnsiTheme="minorHAnsi"/>
          <w:b/>
          <w:color w:val="000000"/>
          <w:sz w:val="24"/>
          <w:szCs w:val="24"/>
          <w:lang w:val="en-CA"/>
        </w:rPr>
      </w:pPr>
    </w:p>
    <w:p w14:paraId="3053D1DE" w14:textId="6CC53A7A" w:rsidR="00C10D3D" w:rsidRPr="00670644" w:rsidRDefault="00C10D3D" w:rsidP="00716462">
      <w:pPr>
        <w:spacing w:line="480" w:lineRule="auto"/>
        <w:ind w:right="-330"/>
        <w:jc w:val="both"/>
        <w:rPr>
          <w:rFonts w:asciiTheme="minorHAnsi" w:hAnsiTheme="minorHAnsi"/>
          <w:b/>
          <w:color w:val="000000"/>
          <w:sz w:val="24"/>
          <w:szCs w:val="24"/>
          <w:lang w:val="en-CA"/>
        </w:rPr>
      </w:pPr>
      <w:r w:rsidRPr="00670644">
        <w:rPr>
          <w:rFonts w:asciiTheme="minorHAnsi" w:hAnsiTheme="minorHAnsi"/>
          <w:b/>
          <w:color w:val="000000"/>
          <w:sz w:val="24"/>
          <w:szCs w:val="24"/>
          <w:lang w:val="en-CA"/>
        </w:rPr>
        <w:t xml:space="preserve">Perspectives article – </w:t>
      </w:r>
    </w:p>
    <w:p w14:paraId="1B39A05A" w14:textId="1AA6FE27" w:rsidR="00AE009F" w:rsidRPr="00670644" w:rsidRDefault="005B7FFC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8"/>
          <w:szCs w:val="28"/>
          <w:shd w:val="clear" w:color="auto" w:fill="FFFFFF"/>
        </w:rPr>
      </w:pPr>
      <w:r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>E</w:t>
      </w:r>
      <w:r w:rsidR="00AE009F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mergence </w:t>
      </w:r>
      <w:r w:rsidR="00237DB5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of </w:t>
      </w:r>
      <w:r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polycentric </w:t>
      </w:r>
      <w:r w:rsidR="00AE009F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>clim</w:t>
      </w:r>
      <w:r w:rsidR="002E3595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>ate</w:t>
      </w:r>
      <w:r w:rsidR="00AE009F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 gov</w:t>
      </w:r>
      <w:r w:rsidR="002E3595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>ernance</w:t>
      </w:r>
      <w:r w:rsidR="00AE009F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 and its </w:t>
      </w:r>
      <w:r w:rsidR="003A7079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 xml:space="preserve">future </w:t>
      </w:r>
      <w:r w:rsidR="00AE009F" w:rsidRPr="00670644">
        <w:rPr>
          <w:rFonts w:asciiTheme="minorHAnsi" w:hAnsiTheme="minorHAnsi"/>
          <w:b/>
          <w:color w:val="000000"/>
          <w:sz w:val="28"/>
          <w:szCs w:val="28"/>
          <w:lang w:val="en-CA"/>
        </w:rPr>
        <w:t>prospects</w:t>
      </w:r>
    </w:p>
    <w:p w14:paraId="0CC95246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14:paraId="2265F60A" w14:textId="0CD56753" w:rsidR="00BD3765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And</w:t>
      </w:r>
      <w:r w:rsidR="0075640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rew</w:t>
      </w: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75640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J. </w:t>
      </w: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Jordan,</w:t>
      </w:r>
      <w:r w:rsidR="00DF2111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1</w:t>
      </w: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Dave Huitema,</w:t>
      </w:r>
      <w:r w:rsidR="00DF2111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2</w:t>
      </w: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Mikael </w:t>
      </w:r>
      <w:r w:rsidR="00E87339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Hildén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,</w:t>
      </w:r>
      <w:r w:rsidR="00DF2111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3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561A5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Harro van Asselt,</w:t>
      </w:r>
      <w:r w:rsidR="00561A5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4</w:t>
      </w:r>
      <w:r w:rsidR="00561A5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385D18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Tim </w:t>
      </w:r>
      <w:r w:rsidR="0075640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J. </w:t>
      </w:r>
      <w:r w:rsidR="00385D18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Rayner,</w:t>
      </w:r>
      <w:r w:rsidR="00561A5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5</w:t>
      </w:r>
      <w:r w:rsidR="00385D18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Jonas </w:t>
      </w:r>
      <w:r w:rsidR="003C757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J. 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Schoenefeld</w:t>
      </w:r>
      <w:r w:rsidR="005B4BC5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,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6</w:t>
      </w:r>
      <w:r w:rsidR="00CA2780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="00621D8C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Jale Tosun</w:t>
      </w:r>
      <w:r w:rsidR="005B4BC5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,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7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Johanna Forster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8</w:t>
      </w:r>
      <w:r w:rsidR="005B4BC5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 xml:space="preserve"> </w:t>
      </w:r>
      <w:r w:rsidR="005B4BC5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and E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lin L. Boasson</w:t>
      </w:r>
      <w:r w:rsidR="009F6C67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9</w:t>
      </w:r>
    </w:p>
    <w:p w14:paraId="2F6215D4" w14:textId="77777777" w:rsidR="00C10D3D" w:rsidRPr="0050726A" w:rsidRDefault="00C10D3D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14:paraId="5D5AF223" w14:textId="77777777" w:rsidR="00DF2111" w:rsidRPr="0050726A" w:rsidRDefault="00DF2111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  <w:vertAlign w:val="superscript"/>
        </w:rPr>
        <w:t>1</w:t>
      </w: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Tyndall 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>C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entre for Climate Change </w:t>
      </w:r>
      <w:r w:rsidR="006B03A0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>Research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, UEA, Norwich, NR47TJ, UK; </w:t>
      </w:r>
      <w:r w:rsidR="0075640F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00 44 1603 592552; </w:t>
      </w:r>
      <w:hyperlink r:id="rId12" w:history="1">
        <w:r w:rsidR="00212AD0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</w:rPr>
          <w:t>a.jordan@uea.ac.uk</w:t>
        </w:r>
      </w:hyperlink>
      <w:r w:rsidR="00212AD0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 [corresponding author]</w:t>
      </w:r>
    </w:p>
    <w:p w14:paraId="050804F5" w14:textId="77777777" w:rsidR="00DF2111" w:rsidRPr="0050726A" w:rsidRDefault="00DF2111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en-US"/>
        </w:rPr>
        <w:t xml:space="preserve">2 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 xml:space="preserve">IVM, VU </w:t>
      </w:r>
      <w:r w:rsidR="00866978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>University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 xml:space="preserve"> Amsterdam</w:t>
      </w:r>
      <w:r w:rsidR="00F34E1A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 xml:space="preserve"> &amp; Faculty of Management, Science and Technology, Netherlands Open University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 xml:space="preserve">; </w:t>
      </w:r>
      <w:r w:rsidR="0075640F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US"/>
        </w:rPr>
        <w:t xml:space="preserve">00 31 20 59 89559; </w:t>
      </w:r>
      <w:hyperlink r:id="rId13" w:history="1">
        <w:r w:rsidR="00F123BE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en-US"/>
          </w:rPr>
          <w:t>dave.huitema@vu.nl</w:t>
        </w:r>
      </w:hyperlink>
    </w:p>
    <w:p w14:paraId="1FB2CF1F" w14:textId="31D5482B" w:rsidR="00DF2111" w:rsidRPr="0050726A" w:rsidRDefault="00DF2111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nb-NO"/>
        </w:rPr>
        <w:t>3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 </w:t>
      </w:r>
      <w:r w:rsidR="004278C7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Finnish Environment Institute, 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SYKE, Helsinki, Finland; </w:t>
      </w:r>
      <w:r w:rsidR="0075640F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>00 358</w:t>
      </w:r>
      <w:r w:rsidR="00E33F76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 </w:t>
      </w:r>
      <w:r w:rsidR="0075640F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29525173; </w:t>
      </w:r>
      <w:hyperlink r:id="rId14" w:history="1">
        <w:r w:rsidR="00F123BE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nb-NO"/>
          </w:rPr>
          <w:t>mikael.hilden@ymparisto.fi</w:t>
        </w:r>
      </w:hyperlink>
    </w:p>
    <w:p w14:paraId="29C0A0DE" w14:textId="1C78CC32" w:rsidR="00561A5F" w:rsidRPr="0050726A" w:rsidRDefault="00561A5F" w:rsidP="00561A5F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de-DE"/>
        </w:rPr>
        <w:t>4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  <w:t xml:space="preserve"> S</w:t>
      </w:r>
      <w:r w:rsidR="00535891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  <w:t>tockholm Environment Institute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  <w:t xml:space="preserve">, Oxford; 00 44 186 542 6316; </w:t>
      </w:r>
      <w:hyperlink r:id="rId15" w:history="1">
        <w:r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de-DE"/>
          </w:rPr>
          <w:t>harro.vanasselt@sei-international.org</w:t>
        </w:r>
      </w:hyperlink>
    </w:p>
    <w:p w14:paraId="5DE83EDC" w14:textId="77777777" w:rsidR="00DF2111" w:rsidRPr="0050726A" w:rsidRDefault="00561A5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nb-NO"/>
        </w:rPr>
        <w:t>5</w:t>
      </w:r>
      <w:r w:rsidR="00DF2111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 </w:t>
      </w:r>
      <w:r w:rsidR="00361564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>Tyndall C</w:t>
      </w:r>
      <w:r w:rsidR="00DF2111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entre for Climate Change </w:t>
      </w:r>
      <w:r w:rsidR="006B03A0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>Research</w:t>
      </w:r>
      <w:r w:rsidR="00DF2111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, UEA, Norwich, NR47TJ, UK; </w:t>
      </w:r>
      <w:r w:rsidR="0075640F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nb-NO"/>
        </w:rPr>
        <w:t xml:space="preserve">00 44 1603 593905; </w:t>
      </w:r>
      <w:hyperlink r:id="rId16" w:history="1">
        <w:r w:rsidR="00F123BE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nb-NO"/>
          </w:rPr>
          <w:t>t.rayner@uea.ac.uk</w:t>
        </w:r>
      </w:hyperlink>
    </w:p>
    <w:p w14:paraId="4CA5A9EE" w14:textId="77777777" w:rsidR="009F6C67" w:rsidRPr="0050726A" w:rsidRDefault="00DF2111" w:rsidP="009F6C67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CA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de-DE"/>
        </w:rPr>
        <w:t>6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  <w:t xml:space="preserve"> </w:t>
      </w:r>
      <w:r w:rsidR="009F6C67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CA"/>
        </w:rPr>
        <w:t xml:space="preserve">Tyndall Centre for Climate Change Research, UEA, Norwich, NR47TJ, UK; 00 44 1603 591378  </w:t>
      </w:r>
      <w:hyperlink r:id="rId17" w:history="1">
        <w:r w:rsidR="009F6C67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en-CA"/>
          </w:rPr>
          <w:t>J.Schoenefeld@uea.ac.uk</w:t>
        </w:r>
      </w:hyperlink>
    </w:p>
    <w:p w14:paraId="3EF2F779" w14:textId="25662FCD" w:rsidR="00F123BE" w:rsidRPr="0050726A" w:rsidRDefault="00DF2111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CA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en-CA"/>
        </w:rPr>
        <w:t xml:space="preserve">7 </w:t>
      </w:r>
      <w:r w:rsidR="009F6C67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</w:rPr>
        <w:t xml:space="preserve">Institute of Political Science, Heidelberg University, Germany; </w:t>
      </w:r>
      <w:hyperlink r:id="rId18" w:history="1">
        <w:r w:rsidR="009F6C67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</w:rPr>
          <w:t>jale.tosun@ipw.uni-heidelberg.de</w:t>
        </w:r>
      </w:hyperlink>
    </w:p>
    <w:p w14:paraId="2CCA0D17" w14:textId="77777777" w:rsidR="009F6C67" w:rsidRPr="0050726A" w:rsidRDefault="00DF2111" w:rsidP="009F6C67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  <w:lang w:val="en-CA"/>
        </w:rPr>
        <w:t>8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CA"/>
        </w:rPr>
        <w:t xml:space="preserve"> </w:t>
      </w:r>
      <w:r w:rsidR="009F6C67"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en-CA"/>
        </w:rPr>
        <w:t xml:space="preserve">Tyndall Centre for Climate Change Research, UEA, Norwich, NR47TJ, UK; 00 44 1603 591374; </w:t>
      </w:r>
      <w:hyperlink r:id="rId19" w:history="1">
        <w:r w:rsidR="009F6C67"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en-CA"/>
          </w:rPr>
          <w:t>j.forster@uea.ac.uk</w:t>
        </w:r>
      </w:hyperlink>
    </w:p>
    <w:p w14:paraId="2357D298" w14:textId="538DAA20" w:rsidR="002C02EE" w:rsidRPr="0050726A" w:rsidRDefault="009F6C67" w:rsidP="0012179D">
      <w:pPr>
        <w:spacing w:line="480" w:lineRule="auto"/>
        <w:ind w:right="-330"/>
        <w:jc w:val="both"/>
        <w:rPr>
          <w:rFonts w:asciiTheme="minorHAnsi" w:hAnsiTheme="minorHAnsi"/>
          <w:b/>
          <w:color w:val="000000"/>
          <w:sz w:val="24"/>
          <w:szCs w:val="24"/>
          <w:lang w:val="en-CA"/>
        </w:rPr>
      </w:pP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vertAlign w:val="superscript"/>
        </w:rPr>
        <w:t xml:space="preserve">9 </w:t>
      </w:r>
      <w:r w:rsidRPr="0050726A">
        <w:rPr>
          <w:rFonts w:asciiTheme="minorHAnsi" w:hAnsiTheme="minorHAnsi" w:cs="Lucida Sans Unicode"/>
          <w:b/>
          <w:sz w:val="20"/>
          <w:szCs w:val="20"/>
          <w:shd w:val="clear" w:color="auto" w:fill="FFFFFF"/>
          <w:lang w:val="de-DE"/>
        </w:rPr>
        <w:t xml:space="preserve">CICERO, Blindern, Oslo, Norway; 00 47 22841710; </w:t>
      </w:r>
      <w:hyperlink r:id="rId20" w:history="1">
        <w:r w:rsidRPr="0050726A">
          <w:rPr>
            <w:rStyle w:val="Hyperlink"/>
            <w:rFonts w:asciiTheme="minorHAnsi" w:hAnsiTheme="minorHAnsi" w:cs="Lucida Sans Unicode"/>
            <w:b/>
            <w:sz w:val="20"/>
            <w:szCs w:val="20"/>
            <w:shd w:val="clear" w:color="auto" w:fill="FFFFFF"/>
            <w:lang w:val="de-DE"/>
          </w:rPr>
          <w:t>elin@cicero.oslo.no</w:t>
        </w:r>
      </w:hyperlink>
      <w:r w:rsidR="002C02EE" w:rsidRPr="0050726A">
        <w:rPr>
          <w:rFonts w:asciiTheme="minorHAnsi" w:hAnsiTheme="minorHAnsi"/>
          <w:b/>
          <w:color w:val="000000"/>
          <w:sz w:val="24"/>
          <w:szCs w:val="24"/>
          <w:lang w:val="en-CA"/>
        </w:rPr>
        <w:br w:type="page"/>
      </w:r>
    </w:p>
    <w:p w14:paraId="481EC5C5" w14:textId="77777777" w:rsidR="00025832" w:rsidRPr="0050726A" w:rsidRDefault="00025832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lastRenderedPageBreak/>
        <w:t>Abstract</w:t>
      </w:r>
    </w:p>
    <w:p w14:paraId="5F95E205" w14:textId="5E71CAA1" w:rsidR="00025832" w:rsidRPr="0050726A" w:rsidRDefault="00025832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Governance responses from the international </w:t>
      </w:r>
      <w:r w:rsidR="002D6694" w:rsidRPr="0050726A">
        <w:rPr>
          <w:rFonts w:asciiTheme="minorHAnsi" w:hAnsiTheme="minorHAnsi" w:cs="Lucida Sans Unicode"/>
          <w:i/>
          <w:shd w:val="clear" w:color="auto" w:fill="FFFFFF"/>
        </w:rPr>
        <w:t xml:space="preserve">climate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regime have been widely critiqued.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>But f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resh research is revealing that ‘new’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and more dynamic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forms of governing are appearing in alternative domains, producing a more polycentric pattern. Some analysts believe that these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>‘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>new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>’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 forms will fill gaps in the regime, but th</w:t>
      </w:r>
      <w:r w:rsidR="008121F8" w:rsidRPr="0050726A">
        <w:rPr>
          <w:rFonts w:asciiTheme="minorHAnsi" w:hAnsiTheme="minorHAnsi" w:cs="Lucida Sans Unicode"/>
          <w:i/>
          <w:shd w:val="clear" w:color="auto" w:fill="FFFFFF"/>
        </w:rPr>
        <w:t>is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 optimism is based on untested assumptions about the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ir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>diffus</w:t>
      </w:r>
      <w:r w:rsidR="002B3087" w:rsidRPr="0050726A">
        <w:rPr>
          <w:rFonts w:asciiTheme="minorHAnsi" w:hAnsiTheme="minorHAnsi" w:cs="Lucida Sans Unicode"/>
          <w:i/>
          <w:shd w:val="clear" w:color="auto" w:fill="FFFFFF"/>
        </w:rPr>
        <w:t>ion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 and perform</w:t>
      </w:r>
      <w:r w:rsidR="002B3087" w:rsidRPr="0050726A">
        <w:rPr>
          <w:rFonts w:asciiTheme="minorHAnsi" w:hAnsiTheme="minorHAnsi" w:cs="Lucida Sans Unicode"/>
          <w:i/>
          <w:shd w:val="clear" w:color="auto" w:fill="FFFFFF"/>
        </w:rPr>
        <w:t>ance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. We conclude that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the advent of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more polycentric governance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does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offer new opportunities to govern climate change, but </w:t>
      </w:r>
      <w:r w:rsidR="002B3087" w:rsidRPr="0050726A">
        <w:rPr>
          <w:rFonts w:asciiTheme="minorHAnsi" w:hAnsiTheme="minorHAnsi" w:cs="Lucida Sans Unicode"/>
          <w:i/>
          <w:shd w:val="clear" w:color="auto" w:fill="FFFFFF"/>
        </w:rPr>
        <w:t>based on</w:t>
      </w:r>
      <w:r w:rsidR="00A90FC3" w:rsidRPr="0050726A">
        <w:rPr>
          <w:rFonts w:asciiTheme="minorHAnsi" w:hAnsiTheme="minorHAnsi" w:cs="Lucida Sans Unicode"/>
          <w:i/>
          <w:shd w:val="clear" w:color="auto" w:fill="FFFFFF"/>
        </w:rPr>
        <w:t xml:space="preserve"> existing empirical research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it is far too early to judge whether hopes about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>the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 performance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of the ‘new’ forms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are well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>founded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 xml:space="preserve">. More time and vastly more coordinated research efforts are needed to comprehend </w:t>
      </w:r>
      <w:r w:rsidR="002A3A9C" w:rsidRPr="0050726A">
        <w:rPr>
          <w:rFonts w:asciiTheme="minorHAnsi" w:hAnsiTheme="minorHAnsi" w:cs="Lucida Sans Unicode"/>
          <w:i/>
          <w:shd w:val="clear" w:color="auto" w:fill="FFFFFF"/>
        </w:rPr>
        <w:t xml:space="preserve">their full </w:t>
      </w:r>
      <w:r w:rsidRPr="0050726A">
        <w:rPr>
          <w:rFonts w:asciiTheme="minorHAnsi" w:hAnsiTheme="minorHAnsi" w:cs="Lucida Sans Unicode"/>
          <w:i/>
          <w:shd w:val="clear" w:color="auto" w:fill="FFFFFF"/>
        </w:rPr>
        <w:t>potential; time that is in very short supply in governing climate change.</w:t>
      </w:r>
    </w:p>
    <w:p w14:paraId="140CB049" w14:textId="77777777" w:rsidR="00025832" w:rsidRPr="0050726A" w:rsidRDefault="00025832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45D3AB86" w14:textId="77777777" w:rsidR="0012179D" w:rsidRPr="0050726A" w:rsidRDefault="0012179D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646806B3" w14:textId="23BDC822" w:rsidR="00AE009F" w:rsidRPr="0050726A" w:rsidRDefault="00AE009F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color w:val="auto"/>
        </w:rPr>
        <w:t>It is a truism that humanity is struggling to govern climate change.</w:t>
      </w:r>
      <w:r w:rsidR="00A70E5B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color w:val="auto"/>
        </w:rPr>
        <w:t xml:space="preserve">In spite of all the resources invested in the regime centred on the UN Framework Convention on Climate Change (UNFCCC), emissions continue to rise, dramatically reducing the probability of </w:t>
      </w:r>
      <w:r w:rsidR="003C7577" w:rsidRPr="0050726A">
        <w:rPr>
          <w:rFonts w:asciiTheme="minorHAnsi" w:hAnsiTheme="minorHAnsi"/>
          <w:color w:val="auto"/>
        </w:rPr>
        <w:t>remaining</w:t>
      </w:r>
      <w:r w:rsidR="00F166B2" w:rsidRPr="0050726A">
        <w:rPr>
          <w:rFonts w:asciiTheme="minorHAnsi" w:hAnsiTheme="minorHAnsi"/>
          <w:color w:val="auto"/>
        </w:rPr>
        <w:t xml:space="preserve"> within </w:t>
      </w:r>
      <w:r w:rsidRPr="0050726A">
        <w:rPr>
          <w:rFonts w:asciiTheme="minorHAnsi" w:hAnsiTheme="minorHAnsi"/>
          <w:color w:val="auto"/>
        </w:rPr>
        <w:t>two degrees.</w:t>
      </w:r>
      <w:r w:rsidR="00C11347" w:rsidRPr="0050726A">
        <w:rPr>
          <w:rFonts w:asciiTheme="minorHAnsi" w:eastAsia="Times New Roman" w:hAnsiTheme="minorHAnsi"/>
          <w:vertAlign w:val="superscript"/>
        </w:rPr>
        <w:t>1</w:t>
      </w:r>
      <w:r w:rsidRPr="0050726A">
        <w:rPr>
          <w:rFonts w:asciiTheme="minorHAnsi" w:hAnsiTheme="minorHAnsi"/>
          <w:color w:val="auto"/>
        </w:rPr>
        <w:t xml:space="preserve"> </w:t>
      </w:r>
      <w:r w:rsidR="00BD4EBF" w:rsidRPr="0050726A">
        <w:rPr>
          <w:rFonts w:asciiTheme="minorHAnsi" w:hAnsiTheme="minorHAnsi"/>
          <w:color w:val="auto"/>
        </w:rPr>
        <w:t>A</w:t>
      </w:r>
      <w:r w:rsidR="006F244E" w:rsidRPr="0050726A">
        <w:rPr>
          <w:rFonts w:asciiTheme="minorHAnsi" w:hAnsiTheme="minorHAnsi"/>
          <w:color w:val="auto"/>
        </w:rPr>
        <w:t>chiev</w:t>
      </w:r>
      <w:r w:rsidR="00BD4EBF" w:rsidRPr="0050726A">
        <w:rPr>
          <w:rFonts w:asciiTheme="minorHAnsi" w:hAnsiTheme="minorHAnsi"/>
          <w:color w:val="auto"/>
        </w:rPr>
        <w:t>ing</w:t>
      </w:r>
      <w:r w:rsidR="006F244E" w:rsidRPr="0050726A">
        <w:rPr>
          <w:rFonts w:asciiTheme="minorHAnsi" w:hAnsiTheme="minorHAnsi"/>
          <w:color w:val="auto"/>
        </w:rPr>
        <w:t xml:space="preserve"> the emission</w:t>
      </w:r>
      <w:r w:rsidR="00D95AD9" w:rsidRPr="0050726A">
        <w:rPr>
          <w:rFonts w:asciiTheme="minorHAnsi" w:hAnsiTheme="minorHAnsi"/>
          <w:color w:val="auto"/>
        </w:rPr>
        <w:t xml:space="preserve"> reductions</w:t>
      </w:r>
      <w:r w:rsidR="006F244E" w:rsidRPr="0050726A">
        <w:rPr>
          <w:rFonts w:asciiTheme="minorHAnsi" w:hAnsiTheme="minorHAnsi"/>
          <w:color w:val="auto"/>
        </w:rPr>
        <w:t xml:space="preserve"> that are factored into many low concentration pathways</w:t>
      </w:r>
      <w:r w:rsidR="00BD4EBF" w:rsidRPr="0050726A">
        <w:rPr>
          <w:rFonts w:asciiTheme="minorHAnsi" w:hAnsiTheme="minorHAnsi"/>
          <w:color w:val="auto"/>
        </w:rPr>
        <w:t xml:space="preserve"> arguably requires</w:t>
      </w:r>
      <w:r w:rsidR="00D95AD9" w:rsidRPr="0050726A">
        <w:rPr>
          <w:rFonts w:asciiTheme="minorHAnsi" w:hAnsiTheme="minorHAnsi"/>
          <w:color w:val="auto"/>
        </w:rPr>
        <w:t xml:space="preserve"> new</w:t>
      </w:r>
      <w:r w:rsidR="002D6694" w:rsidRPr="0050726A">
        <w:rPr>
          <w:rFonts w:asciiTheme="minorHAnsi" w:hAnsiTheme="minorHAnsi"/>
          <w:color w:val="auto"/>
        </w:rPr>
        <w:t xml:space="preserve"> and</w:t>
      </w:r>
      <w:r w:rsidR="002A3A9C" w:rsidRPr="0050726A">
        <w:rPr>
          <w:rFonts w:asciiTheme="minorHAnsi" w:hAnsiTheme="minorHAnsi"/>
          <w:color w:val="auto"/>
        </w:rPr>
        <w:t xml:space="preserve"> </w:t>
      </w:r>
      <w:r w:rsidR="002A3FF3" w:rsidRPr="0050726A">
        <w:rPr>
          <w:rFonts w:asciiTheme="minorHAnsi" w:hAnsiTheme="minorHAnsi"/>
          <w:color w:val="auto"/>
        </w:rPr>
        <w:t xml:space="preserve">much </w:t>
      </w:r>
      <w:r w:rsidR="002A3A9C" w:rsidRPr="0050726A">
        <w:rPr>
          <w:rFonts w:asciiTheme="minorHAnsi" w:hAnsiTheme="minorHAnsi"/>
          <w:color w:val="auto"/>
        </w:rPr>
        <w:t>more</w:t>
      </w:r>
      <w:r w:rsidR="00D95AD9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color w:val="auto"/>
        </w:rPr>
        <w:t>“</w:t>
      </w:r>
      <w:r w:rsidR="006F244E" w:rsidRPr="0050726A">
        <w:rPr>
          <w:rFonts w:asciiTheme="minorHAnsi" w:hAnsiTheme="minorHAnsi"/>
          <w:color w:val="auto"/>
        </w:rPr>
        <w:t>i</w:t>
      </w:r>
      <w:r w:rsidRPr="0050726A">
        <w:rPr>
          <w:rFonts w:asciiTheme="minorHAnsi" w:hAnsiTheme="minorHAnsi"/>
          <w:color w:val="auto"/>
        </w:rPr>
        <w:t>ntegrated and aggressive”</w:t>
      </w:r>
      <w:r w:rsidR="00C11347" w:rsidRPr="0050726A">
        <w:rPr>
          <w:rFonts w:asciiTheme="minorHAnsi" w:eastAsia="Times New Roman" w:hAnsiTheme="minorHAnsi"/>
          <w:vertAlign w:val="superscript"/>
        </w:rPr>
        <w:t>2</w:t>
      </w:r>
      <w:r w:rsidRPr="0050726A">
        <w:rPr>
          <w:rFonts w:asciiTheme="minorHAnsi" w:hAnsiTheme="minorHAnsi"/>
          <w:color w:val="auto"/>
        </w:rPr>
        <w:t xml:space="preserve"> forms of governance </w:t>
      </w:r>
      <w:r w:rsidR="003268B6" w:rsidRPr="0050726A">
        <w:rPr>
          <w:rFonts w:asciiTheme="minorHAnsi" w:hAnsiTheme="minorHAnsi"/>
          <w:color w:val="auto"/>
        </w:rPr>
        <w:t xml:space="preserve">(that is, </w:t>
      </w:r>
      <w:r w:rsidR="0072670A" w:rsidRPr="0050726A">
        <w:rPr>
          <w:rFonts w:asciiTheme="minorHAnsi" w:hAnsiTheme="minorHAnsi"/>
          <w:color w:val="auto"/>
        </w:rPr>
        <w:t>modes and mechanisms to steer society)</w:t>
      </w:r>
      <w:r w:rsidR="00C11347" w:rsidRPr="0050726A">
        <w:rPr>
          <w:rFonts w:asciiTheme="minorHAnsi" w:eastAsia="Times New Roman" w:hAnsiTheme="minorHAnsi"/>
          <w:vertAlign w:val="superscript"/>
        </w:rPr>
        <w:t>3</w:t>
      </w:r>
      <w:r w:rsidRPr="0050726A">
        <w:rPr>
          <w:rFonts w:asciiTheme="minorHAnsi" w:hAnsiTheme="minorHAnsi"/>
          <w:color w:val="auto"/>
        </w:rPr>
        <w:t>. But where will the</w:t>
      </w:r>
      <w:r w:rsidR="004E2862" w:rsidRPr="0050726A">
        <w:rPr>
          <w:rFonts w:asciiTheme="minorHAnsi" w:hAnsiTheme="minorHAnsi"/>
          <w:color w:val="auto"/>
        </w:rPr>
        <w:t>se</w:t>
      </w:r>
      <w:r w:rsidR="00F166B2" w:rsidRPr="0050726A">
        <w:rPr>
          <w:rFonts w:asciiTheme="minorHAnsi" w:hAnsiTheme="minorHAnsi"/>
          <w:color w:val="auto"/>
        </w:rPr>
        <w:t xml:space="preserve"> new </w:t>
      </w:r>
      <w:r w:rsidR="004E2862" w:rsidRPr="0050726A">
        <w:rPr>
          <w:rFonts w:asciiTheme="minorHAnsi" w:hAnsiTheme="minorHAnsi"/>
          <w:color w:val="auto"/>
        </w:rPr>
        <w:t xml:space="preserve">forms </w:t>
      </w:r>
      <w:r w:rsidR="00B73F81" w:rsidRPr="0050726A">
        <w:rPr>
          <w:rFonts w:asciiTheme="minorHAnsi" w:hAnsiTheme="minorHAnsi"/>
          <w:color w:val="auto"/>
        </w:rPr>
        <w:t>originate</w:t>
      </w:r>
      <w:r w:rsidRPr="0050726A">
        <w:rPr>
          <w:rFonts w:asciiTheme="minorHAnsi" w:hAnsiTheme="minorHAnsi"/>
          <w:color w:val="auto"/>
        </w:rPr>
        <w:t xml:space="preserve">, how will they diffuse, and what </w:t>
      </w:r>
      <w:r w:rsidR="00B14BC1" w:rsidRPr="0050726A">
        <w:rPr>
          <w:rFonts w:asciiTheme="minorHAnsi" w:hAnsiTheme="minorHAnsi"/>
          <w:color w:val="auto"/>
        </w:rPr>
        <w:t>factors will shape their ability to perform as hoped</w:t>
      </w:r>
      <w:r w:rsidRPr="0050726A">
        <w:rPr>
          <w:rFonts w:asciiTheme="minorHAnsi" w:hAnsiTheme="minorHAnsi"/>
          <w:color w:val="auto"/>
        </w:rPr>
        <w:t>?</w:t>
      </w:r>
    </w:p>
    <w:p w14:paraId="05D5E4C3" w14:textId="77777777" w:rsidR="00AE009F" w:rsidRPr="0050726A" w:rsidRDefault="00AE009F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79B5B73F" w14:textId="176EEEBF" w:rsidR="00F166B2" w:rsidRPr="0050726A" w:rsidRDefault="002A3FF3" w:rsidP="008121F8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color w:val="auto"/>
        </w:rPr>
        <w:t>Most a</w:t>
      </w:r>
      <w:r w:rsidR="00AE009F" w:rsidRPr="0050726A">
        <w:rPr>
          <w:rFonts w:asciiTheme="minorHAnsi" w:hAnsiTheme="minorHAnsi"/>
          <w:color w:val="auto"/>
        </w:rPr>
        <w:t xml:space="preserve">nalysts </w:t>
      </w:r>
      <w:r w:rsidRPr="0050726A">
        <w:rPr>
          <w:rFonts w:asciiTheme="minorHAnsi" w:hAnsiTheme="minorHAnsi"/>
          <w:color w:val="auto"/>
        </w:rPr>
        <w:t xml:space="preserve">used to </w:t>
      </w:r>
      <w:r w:rsidR="00B14BC1" w:rsidRPr="0050726A">
        <w:rPr>
          <w:rFonts w:asciiTheme="minorHAnsi" w:hAnsiTheme="minorHAnsi"/>
          <w:color w:val="auto"/>
        </w:rPr>
        <w:t xml:space="preserve">assume </w:t>
      </w:r>
      <w:r w:rsidR="00AE009F" w:rsidRPr="0050726A">
        <w:rPr>
          <w:rFonts w:asciiTheme="minorHAnsi" w:hAnsiTheme="minorHAnsi"/>
          <w:color w:val="auto"/>
        </w:rPr>
        <w:t xml:space="preserve">that the innovative thrust in governance would spring from a comprehensive </w:t>
      </w:r>
      <w:r w:rsidR="00D95AD9" w:rsidRPr="0050726A">
        <w:rPr>
          <w:rFonts w:asciiTheme="minorHAnsi" w:hAnsiTheme="minorHAnsi"/>
          <w:color w:val="auto"/>
        </w:rPr>
        <w:t xml:space="preserve">global </w:t>
      </w:r>
      <w:r w:rsidR="00AE009F" w:rsidRPr="0050726A">
        <w:rPr>
          <w:rFonts w:asciiTheme="minorHAnsi" w:hAnsiTheme="minorHAnsi"/>
          <w:color w:val="auto"/>
        </w:rPr>
        <w:t>climate regime</w:t>
      </w:r>
      <w:r w:rsidR="008121F8" w:rsidRPr="0050726A">
        <w:rPr>
          <w:rFonts w:asciiTheme="minorHAnsi" w:hAnsiTheme="minorHAnsi"/>
          <w:color w:val="auto"/>
        </w:rPr>
        <w:t>.</w:t>
      </w:r>
      <w:r w:rsidR="00C11347" w:rsidRPr="0050726A">
        <w:rPr>
          <w:rFonts w:asciiTheme="minorHAnsi" w:eastAsia="Times New Roman" w:hAnsiTheme="minorHAnsi"/>
          <w:vertAlign w:val="superscript"/>
        </w:rPr>
        <w:t>4</w:t>
      </w:r>
      <w:r w:rsidR="00557FD6" w:rsidRPr="0050726A">
        <w:rPr>
          <w:rFonts w:asciiTheme="minorHAnsi" w:eastAsia="Times New Roman" w:hAnsiTheme="minorHAnsi"/>
          <w:vertAlign w:val="superscript"/>
        </w:rPr>
        <w:t xml:space="preserve"> </w:t>
      </w:r>
      <w:r w:rsidR="00D95AD9" w:rsidRPr="0050726A">
        <w:rPr>
          <w:rFonts w:asciiTheme="minorHAnsi" w:hAnsiTheme="minorHAnsi"/>
          <w:color w:val="auto"/>
        </w:rPr>
        <w:t>However</w:t>
      </w:r>
      <w:r w:rsidRPr="0050726A">
        <w:rPr>
          <w:rFonts w:asciiTheme="minorHAnsi" w:hAnsiTheme="minorHAnsi"/>
          <w:color w:val="auto"/>
        </w:rPr>
        <w:t>,</w:t>
      </w:r>
      <w:r w:rsidR="00D95AD9" w:rsidRPr="0050726A">
        <w:rPr>
          <w:rFonts w:asciiTheme="minorHAnsi" w:hAnsiTheme="minorHAnsi"/>
          <w:color w:val="auto"/>
        </w:rPr>
        <w:t xml:space="preserve"> even before the failure of the 2009 Copenhagen conference</w:t>
      </w:r>
      <w:r w:rsidR="002A3A9C" w:rsidRPr="0050726A">
        <w:rPr>
          <w:rFonts w:asciiTheme="minorHAnsi" w:hAnsiTheme="minorHAnsi"/>
          <w:color w:val="auto"/>
        </w:rPr>
        <w:t>,</w:t>
      </w:r>
      <w:r w:rsidR="00D95AD9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color w:val="auto"/>
        </w:rPr>
        <w:t xml:space="preserve">some </w:t>
      </w:r>
      <w:r w:rsidR="002D6694" w:rsidRPr="0050726A">
        <w:rPr>
          <w:rFonts w:asciiTheme="minorHAnsi" w:hAnsiTheme="minorHAnsi"/>
          <w:color w:val="auto"/>
        </w:rPr>
        <w:t xml:space="preserve">international relations </w:t>
      </w:r>
      <w:r w:rsidR="00FA6D25" w:rsidRPr="0050726A">
        <w:rPr>
          <w:rFonts w:asciiTheme="minorHAnsi" w:hAnsiTheme="minorHAnsi"/>
          <w:color w:val="auto"/>
        </w:rPr>
        <w:t xml:space="preserve">scholars </w:t>
      </w:r>
      <w:r w:rsidR="00AE009F" w:rsidRPr="0050726A">
        <w:rPr>
          <w:rFonts w:asciiTheme="minorHAnsi" w:hAnsiTheme="minorHAnsi"/>
          <w:color w:val="auto"/>
        </w:rPr>
        <w:t>ha</w:t>
      </w:r>
      <w:r w:rsidR="00D95AD9" w:rsidRPr="0050726A">
        <w:rPr>
          <w:rFonts w:asciiTheme="minorHAnsi" w:hAnsiTheme="minorHAnsi"/>
          <w:color w:val="auto"/>
        </w:rPr>
        <w:t>d</w:t>
      </w:r>
      <w:r w:rsidR="00AE009F" w:rsidRPr="0050726A">
        <w:rPr>
          <w:rFonts w:asciiTheme="minorHAnsi" w:hAnsiTheme="minorHAnsi"/>
          <w:color w:val="auto"/>
        </w:rPr>
        <w:t xml:space="preserve"> </w:t>
      </w:r>
      <w:r w:rsidR="005B4BC5" w:rsidRPr="0050726A">
        <w:rPr>
          <w:rFonts w:asciiTheme="minorHAnsi" w:hAnsiTheme="minorHAnsi"/>
          <w:color w:val="auto"/>
        </w:rPr>
        <w:t xml:space="preserve">moved on </w:t>
      </w:r>
      <w:r w:rsidR="002A3A9C" w:rsidRPr="0050726A">
        <w:rPr>
          <w:rFonts w:asciiTheme="minorHAnsi" w:hAnsiTheme="minorHAnsi"/>
          <w:color w:val="auto"/>
        </w:rPr>
        <w:t xml:space="preserve">from </w:t>
      </w:r>
      <w:r w:rsidRPr="0050726A">
        <w:rPr>
          <w:rFonts w:asciiTheme="minorHAnsi" w:hAnsiTheme="minorHAnsi"/>
          <w:color w:val="auto"/>
        </w:rPr>
        <w:t>the idea of a</w:t>
      </w:r>
      <w:r w:rsidR="00AE009F" w:rsidRPr="0050726A">
        <w:rPr>
          <w:rFonts w:asciiTheme="minorHAnsi" w:hAnsiTheme="minorHAnsi"/>
          <w:color w:val="auto"/>
        </w:rPr>
        <w:t xml:space="preserve"> single</w:t>
      </w:r>
      <w:r w:rsidRPr="0050726A">
        <w:rPr>
          <w:rFonts w:asciiTheme="minorHAnsi" w:hAnsiTheme="minorHAnsi"/>
          <w:color w:val="auto"/>
        </w:rPr>
        <w:t>, monocentric</w:t>
      </w:r>
      <w:r w:rsidR="00AE009F" w:rsidRPr="0050726A">
        <w:rPr>
          <w:rFonts w:asciiTheme="minorHAnsi" w:hAnsiTheme="minorHAnsi"/>
          <w:color w:val="auto"/>
        </w:rPr>
        <w:t xml:space="preserve"> regime</w:t>
      </w:r>
      <w:r w:rsidR="00D95AD9" w:rsidRPr="0050726A">
        <w:rPr>
          <w:rFonts w:asciiTheme="minorHAnsi" w:hAnsiTheme="minorHAnsi"/>
          <w:color w:val="auto"/>
        </w:rPr>
        <w:t xml:space="preserve"> to</w:t>
      </w:r>
      <w:r w:rsidR="00FA6D25" w:rsidRPr="0050726A">
        <w:rPr>
          <w:rFonts w:asciiTheme="minorHAnsi" w:hAnsiTheme="minorHAnsi"/>
          <w:color w:val="auto"/>
        </w:rPr>
        <w:t xml:space="preserve"> </w:t>
      </w:r>
      <w:r w:rsidR="002B3087" w:rsidRPr="0050726A">
        <w:rPr>
          <w:rFonts w:asciiTheme="minorHAnsi" w:hAnsiTheme="minorHAnsi"/>
          <w:color w:val="auto"/>
        </w:rPr>
        <w:t xml:space="preserve">consider </w:t>
      </w:r>
      <w:r w:rsidR="00AE009F" w:rsidRPr="0050726A">
        <w:rPr>
          <w:rFonts w:asciiTheme="minorHAnsi" w:hAnsiTheme="minorHAnsi"/>
          <w:color w:val="auto"/>
        </w:rPr>
        <w:t xml:space="preserve">multiple, interlocking </w:t>
      </w:r>
      <w:r w:rsidR="004E2862" w:rsidRPr="0050726A">
        <w:rPr>
          <w:rFonts w:asciiTheme="minorHAnsi" w:hAnsiTheme="minorHAnsi"/>
          <w:color w:val="auto"/>
        </w:rPr>
        <w:t>‘</w:t>
      </w:r>
      <w:r w:rsidR="00AE009F" w:rsidRPr="0050726A">
        <w:rPr>
          <w:rFonts w:asciiTheme="minorHAnsi" w:hAnsiTheme="minorHAnsi"/>
          <w:color w:val="auto"/>
        </w:rPr>
        <w:t>regime complexes</w:t>
      </w:r>
      <w:r w:rsidR="004E2862" w:rsidRPr="0050726A">
        <w:rPr>
          <w:rFonts w:asciiTheme="minorHAnsi" w:hAnsiTheme="minorHAnsi"/>
          <w:color w:val="auto"/>
        </w:rPr>
        <w:t>’</w:t>
      </w:r>
      <w:r w:rsidR="00FA6D25" w:rsidRPr="0050726A">
        <w:rPr>
          <w:rFonts w:asciiTheme="minorHAnsi" w:hAnsiTheme="minorHAnsi"/>
          <w:color w:val="auto"/>
        </w:rPr>
        <w:t xml:space="preserve"> </w:t>
      </w:r>
      <w:r w:rsidR="00F957C5" w:rsidRPr="0050726A">
        <w:rPr>
          <w:rFonts w:asciiTheme="minorHAnsi" w:hAnsiTheme="minorHAnsi"/>
          <w:color w:val="auto"/>
        </w:rPr>
        <w:t xml:space="preserve">such as </w:t>
      </w:r>
      <w:r w:rsidR="00B73F81" w:rsidRPr="0050726A">
        <w:rPr>
          <w:rFonts w:asciiTheme="minorHAnsi" w:hAnsiTheme="minorHAnsi"/>
          <w:color w:val="auto"/>
        </w:rPr>
        <w:t>those</w:t>
      </w:r>
      <w:r w:rsidR="00F957C5" w:rsidRPr="0050726A">
        <w:rPr>
          <w:rFonts w:asciiTheme="minorHAnsi" w:hAnsiTheme="minorHAnsi"/>
          <w:color w:val="auto"/>
        </w:rPr>
        <w:t xml:space="preserve"> </w:t>
      </w:r>
      <w:r w:rsidR="00F957C5" w:rsidRPr="0050726A">
        <w:rPr>
          <w:rFonts w:asciiTheme="minorHAnsi" w:hAnsiTheme="minorHAnsi"/>
          <w:color w:val="auto"/>
        </w:rPr>
        <w:lastRenderedPageBreak/>
        <w:t>focusing on trade, energy and climate</w:t>
      </w:r>
      <w:r w:rsidR="00AE009F" w:rsidRPr="0050726A">
        <w:rPr>
          <w:rFonts w:asciiTheme="minorHAnsi" w:hAnsiTheme="minorHAnsi"/>
          <w:color w:val="auto"/>
        </w:rPr>
        <w:t>.</w:t>
      </w:r>
      <w:r w:rsidR="00C11347" w:rsidRPr="0050726A">
        <w:rPr>
          <w:rFonts w:asciiTheme="minorHAnsi" w:eastAsia="Times New Roman" w:hAnsiTheme="minorHAnsi"/>
          <w:vertAlign w:val="superscript"/>
        </w:rPr>
        <w:t>5-9</w:t>
      </w:r>
      <w:r w:rsidR="00A70E5B" w:rsidRPr="0050726A">
        <w:rPr>
          <w:rFonts w:asciiTheme="minorHAnsi" w:hAnsiTheme="minorHAnsi"/>
          <w:color w:val="auto"/>
        </w:rPr>
        <w:t xml:space="preserve"> </w:t>
      </w:r>
      <w:r w:rsidR="00AE009F" w:rsidRPr="0050726A">
        <w:rPr>
          <w:rFonts w:asciiTheme="minorHAnsi" w:hAnsiTheme="minorHAnsi"/>
          <w:color w:val="auto"/>
        </w:rPr>
        <w:t xml:space="preserve">What is striking about </w:t>
      </w:r>
      <w:r w:rsidR="00CA1B10" w:rsidRPr="0050726A">
        <w:rPr>
          <w:rFonts w:asciiTheme="minorHAnsi" w:hAnsiTheme="minorHAnsi"/>
          <w:color w:val="auto"/>
        </w:rPr>
        <w:t xml:space="preserve">this </w:t>
      </w:r>
      <w:r w:rsidR="003C7577" w:rsidRPr="0050726A">
        <w:rPr>
          <w:rFonts w:asciiTheme="minorHAnsi" w:hAnsiTheme="minorHAnsi"/>
          <w:color w:val="auto"/>
        </w:rPr>
        <w:t xml:space="preserve">strand of </w:t>
      </w:r>
      <w:r w:rsidR="00CA1B10" w:rsidRPr="0050726A">
        <w:rPr>
          <w:rFonts w:asciiTheme="minorHAnsi" w:hAnsiTheme="minorHAnsi"/>
          <w:color w:val="auto"/>
        </w:rPr>
        <w:t>work</w:t>
      </w:r>
      <w:r w:rsidR="00612188" w:rsidRPr="0050726A">
        <w:rPr>
          <w:rFonts w:asciiTheme="minorHAnsi" w:hAnsiTheme="minorHAnsi"/>
          <w:color w:val="auto"/>
        </w:rPr>
        <w:t xml:space="preserve"> </w:t>
      </w:r>
      <w:r w:rsidR="00AE009F" w:rsidRPr="0050726A">
        <w:rPr>
          <w:rFonts w:asciiTheme="minorHAnsi" w:hAnsiTheme="minorHAnsi"/>
          <w:color w:val="auto"/>
        </w:rPr>
        <w:t xml:space="preserve">is that while </w:t>
      </w:r>
      <w:r w:rsidR="00CA1B10" w:rsidRPr="0050726A">
        <w:rPr>
          <w:rFonts w:asciiTheme="minorHAnsi" w:hAnsiTheme="minorHAnsi"/>
          <w:color w:val="auto"/>
        </w:rPr>
        <w:t>it</w:t>
      </w:r>
      <w:r w:rsidR="00AE009F" w:rsidRPr="0050726A">
        <w:rPr>
          <w:rFonts w:asciiTheme="minorHAnsi" w:hAnsiTheme="minorHAnsi"/>
          <w:color w:val="auto"/>
        </w:rPr>
        <w:t xml:space="preserve"> hint</w:t>
      </w:r>
      <w:r w:rsidR="00CA1B10" w:rsidRPr="0050726A">
        <w:rPr>
          <w:rFonts w:asciiTheme="minorHAnsi" w:hAnsiTheme="minorHAnsi"/>
          <w:color w:val="auto"/>
        </w:rPr>
        <w:t>s</w:t>
      </w:r>
      <w:r w:rsidR="00AE009F" w:rsidRPr="0050726A">
        <w:rPr>
          <w:rFonts w:asciiTheme="minorHAnsi" w:hAnsiTheme="minorHAnsi"/>
          <w:color w:val="auto"/>
        </w:rPr>
        <w:t xml:space="preserve"> at the potential of more pluralistic forms of governing,</w:t>
      </w:r>
      <w:r w:rsidR="00C11347" w:rsidRPr="0050726A">
        <w:rPr>
          <w:rFonts w:asciiTheme="minorHAnsi" w:eastAsia="Times New Roman" w:hAnsiTheme="minorHAnsi"/>
          <w:vertAlign w:val="superscript"/>
        </w:rPr>
        <w:t>9</w:t>
      </w:r>
      <w:r w:rsidR="00AE009F" w:rsidRPr="0050726A">
        <w:rPr>
          <w:rFonts w:asciiTheme="minorHAnsi" w:hAnsiTheme="minorHAnsi"/>
          <w:color w:val="auto"/>
        </w:rPr>
        <w:t xml:space="preserve"> </w:t>
      </w:r>
      <w:r w:rsidR="002A3A9C" w:rsidRPr="0050726A">
        <w:rPr>
          <w:rFonts w:asciiTheme="minorHAnsi" w:hAnsiTheme="minorHAnsi"/>
          <w:color w:val="auto"/>
        </w:rPr>
        <w:t>its</w:t>
      </w:r>
      <w:r w:rsidR="0009675B" w:rsidRPr="0050726A">
        <w:rPr>
          <w:rFonts w:asciiTheme="minorHAnsi" w:hAnsiTheme="minorHAnsi"/>
          <w:color w:val="auto"/>
        </w:rPr>
        <w:t xml:space="preserve"> </w:t>
      </w:r>
      <w:r w:rsidR="002A3A9C" w:rsidRPr="0050726A">
        <w:rPr>
          <w:rFonts w:asciiTheme="minorHAnsi" w:hAnsiTheme="minorHAnsi"/>
          <w:color w:val="auto"/>
        </w:rPr>
        <w:t xml:space="preserve">scale is still international and its </w:t>
      </w:r>
      <w:r w:rsidR="005001FE" w:rsidRPr="0050726A">
        <w:rPr>
          <w:rFonts w:asciiTheme="minorHAnsi" w:hAnsiTheme="minorHAnsi"/>
          <w:color w:val="auto"/>
        </w:rPr>
        <w:t xml:space="preserve">underlying </w:t>
      </w:r>
      <w:r w:rsidR="0009675B" w:rsidRPr="0050726A">
        <w:rPr>
          <w:rFonts w:asciiTheme="minorHAnsi" w:hAnsiTheme="minorHAnsi"/>
          <w:color w:val="auto"/>
        </w:rPr>
        <w:t xml:space="preserve">ontology </w:t>
      </w:r>
      <w:r w:rsidR="00CA1B10" w:rsidRPr="0050726A">
        <w:rPr>
          <w:rFonts w:asciiTheme="minorHAnsi" w:hAnsiTheme="minorHAnsi"/>
          <w:color w:val="auto"/>
        </w:rPr>
        <w:t>remains</w:t>
      </w:r>
      <w:r w:rsidR="0009675B" w:rsidRPr="0050726A">
        <w:rPr>
          <w:rFonts w:asciiTheme="minorHAnsi" w:hAnsiTheme="minorHAnsi"/>
          <w:color w:val="auto"/>
        </w:rPr>
        <w:t xml:space="preserve"> </w:t>
      </w:r>
      <w:r w:rsidR="00745D2B" w:rsidRPr="0050726A">
        <w:rPr>
          <w:rFonts w:asciiTheme="minorHAnsi" w:hAnsiTheme="minorHAnsi"/>
          <w:color w:val="auto"/>
        </w:rPr>
        <w:t xml:space="preserve">essentially </w:t>
      </w:r>
      <w:r w:rsidR="00F166B2" w:rsidRPr="0050726A">
        <w:rPr>
          <w:rFonts w:asciiTheme="minorHAnsi" w:hAnsiTheme="minorHAnsi"/>
          <w:color w:val="auto"/>
        </w:rPr>
        <w:t>top</w:t>
      </w:r>
      <w:r w:rsidR="004E2862" w:rsidRPr="0050726A">
        <w:rPr>
          <w:rFonts w:asciiTheme="minorHAnsi" w:hAnsiTheme="minorHAnsi"/>
          <w:color w:val="auto"/>
        </w:rPr>
        <w:t>-</w:t>
      </w:r>
      <w:r w:rsidR="00F166B2" w:rsidRPr="0050726A">
        <w:rPr>
          <w:rFonts w:asciiTheme="minorHAnsi" w:hAnsiTheme="minorHAnsi"/>
          <w:color w:val="auto"/>
        </w:rPr>
        <w:t>down and state-centric.</w:t>
      </w:r>
    </w:p>
    <w:p w14:paraId="4B43E4BF" w14:textId="77777777" w:rsidR="00FA6D25" w:rsidRPr="0050726A" w:rsidRDefault="00FA6D25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06AB4CC8" w14:textId="419F3D65" w:rsidR="008B7EF2" w:rsidRPr="0050726A" w:rsidRDefault="00AE009F" w:rsidP="00716462">
      <w:pPr>
        <w:pStyle w:val="CommentText"/>
        <w:spacing w:line="480" w:lineRule="auto"/>
        <w:ind w:right="-330"/>
        <w:jc w:val="both"/>
        <w:rPr>
          <w:rFonts w:asciiTheme="minorHAnsi" w:hAnsiTheme="minorHAnsi"/>
          <w:sz w:val="24"/>
          <w:szCs w:val="24"/>
          <w:lang w:val="en-GB"/>
        </w:rPr>
      </w:pPr>
      <w:r w:rsidRPr="0050726A">
        <w:rPr>
          <w:rFonts w:asciiTheme="minorHAnsi" w:hAnsiTheme="minorHAnsi"/>
          <w:sz w:val="24"/>
          <w:szCs w:val="24"/>
          <w:lang w:val="en-GB"/>
        </w:rPr>
        <w:t xml:space="preserve">While this is clearly an important 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 xml:space="preserve">and flourishing 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perspective, there </w:t>
      </w:r>
      <w:r w:rsidR="00FA6D25" w:rsidRPr="0050726A">
        <w:rPr>
          <w:rFonts w:asciiTheme="minorHAnsi" w:hAnsiTheme="minorHAnsi"/>
          <w:sz w:val="24"/>
          <w:szCs w:val="24"/>
          <w:lang w:val="en-GB"/>
        </w:rPr>
        <w:t xml:space="preserve">is 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a growing belief that 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 xml:space="preserve">it is </w:t>
      </w:r>
      <w:r w:rsidRPr="0050726A">
        <w:rPr>
          <w:rFonts w:asciiTheme="minorHAnsi" w:hAnsiTheme="minorHAnsi"/>
          <w:sz w:val="24"/>
          <w:szCs w:val="24"/>
          <w:lang w:val="en-GB"/>
        </w:rPr>
        <w:t>only a partial one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>,</w:t>
      </w:r>
      <w:r w:rsidR="005001FE" w:rsidRPr="0050726A">
        <w:rPr>
          <w:rFonts w:asciiTheme="minorHAnsi" w:hAnsiTheme="minorHAnsi"/>
          <w:sz w:val="24"/>
          <w:szCs w:val="24"/>
          <w:lang w:val="en-GB"/>
        </w:rPr>
        <w:t xml:space="preserve"> and that the landscape of climate </w:t>
      </w:r>
      <w:r w:rsidR="004E2862" w:rsidRPr="0050726A">
        <w:rPr>
          <w:rFonts w:asciiTheme="minorHAnsi" w:hAnsiTheme="minorHAnsi"/>
          <w:sz w:val="24"/>
          <w:szCs w:val="24"/>
          <w:lang w:val="en-GB"/>
        </w:rPr>
        <w:t xml:space="preserve">governance </w:t>
      </w:r>
      <w:r w:rsidR="00B14BC1" w:rsidRPr="0050726A">
        <w:rPr>
          <w:rFonts w:asciiTheme="minorHAnsi" w:hAnsiTheme="minorHAnsi"/>
          <w:sz w:val="24"/>
          <w:szCs w:val="24"/>
          <w:lang w:val="en-GB"/>
        </w:rPr>
        <w:t>has</w:t>
      </w:r>
      <w:r w:rsidR="00F166B2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001FE" w:rsidRPr="0050726A">
        <w:rPr>
          <w:rFonts w:asciiTheme="minorHAnsi" w:hAnsiTheme="minorHAnsi"/>
          <w:sz w:val="24"/>
          <w:szCs w:val="24"/>
          <w:lang w:val="en-GB"/>
        </w:rPr>
        <w:t>extend</w:t>
      </w:r>
      <w:r w:rsidR="00B14BC1" w:rsidRPr="0050726A">
        <w:rPr>
          <w:rFonts w:asciiTheme="minorHAnsi" w:hAnsiTheme="minorHAnsi"/>
          <w:sz w:val="24"/>
          <w:szCs w:val="24"/>
          <w:lang w:val="en-GB"/>
        </w:rPr>
        <w:t>ed</w:t>
      </w:r>
      <w:r w:rsidR="005001FE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166B2" w:rsidRPr="0050726A">
        <w:rPr>
          <w:rFonts w:asciiTheme="minorHAnsi" w:hAnsiTheme="minorHAnsi"/>
          <w:sz w:val="24"/>
          <w:szCs w:val="24"/>
          <w:lang w:val="en-GB"/>
        </w:rPr>
        <w:t xml:space="preserve">beneath 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FA6D25" w:rsidRPr="0050726A">
        <w:rPr>
          <w:rFonts w:asciiTheme="minorHAnsi" w:hAnsiTheme="minorHAnsi"/>
          <w:sz w:val="24"/>
          <w:szCs w:val="24"/>
          <w:lang w:val="en-GB"/>
        </w:rPr>
        <w:t>international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 xml:space="preserve"> level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10</w:t>
      </w:r>
      <w:r w:rsidR="00BC6409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E2862" w:rsidRPr="0050726A">
        <w:rPr>
          <w:rFonts w:asciiTheme="minorHAnsi" w:hAnsiTheme="minorHAnsi"/>
          <w:sz w:val="24"/>
          <w:szCs w:val="24"/>
          <w:lang w:val="en-GB"/>
        </w:rPr>
        <w:t xml:space="preserve">through </w:t>
      </w:r>
      <w:r w:rsidR="00A60163" w:rsidRPr="0050726A">
        <w:rPr>
          <w:rFonts w:asciiTheme="minorHAnsi" w:hAnsiTheme="minorHAnsi"/>
          <w:sz w:val="24"/>
          <w:szCs w:val="24"/>
          <w:lang w:val="en-GB"/>
        </w:rPr>
        <w:t xml:space="preserve">changes 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initiated by </w:t>
      </w:r>
      <w:r w:rsidR="00B73F81" w:rsidRPr="0050726A">
        <w:rPr>
          <w:rFonts w:asciiTheme="minorHAnsi" w:hAnsiTheme="minorHAnsi"/>
          <w:sz w:val="24"/>
          <w:szCs w:val="24"/>
          <w:lang w:val="en-GB"/>
        </w:rPr>
        <w:t>numerous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 actors from different backgrounds</w:t>
      </w:r>
      <w:r w:rsidR="004E2862" w:rsidRPr="005072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 xml:space="preserve">such as </w:t>
      </w:r>
      <w:r w:rsidR="002A3A9C" w:rsidRPr="0050726A">
        <w:rPr>
          <w:rFonts w:asciiTheme="minorHAnsi" w:hAnsiTheme="minorHAnsi"/>
          <w:sz w:val="24"/>
          <w:szCs w:val="24"/>
          <w:lang w:val="en-GB"/>
        </w:rPr>
        <w:t xml:space="preserve">business, local government and </w:t>
      </w:r>
      <w:r w:rsidR="0072670A" w:rsidRPr="0050726A">
        <w:rPr>
          <w:rFonts w:asciiTheme="minorHAnsi" w:hAnsiTheme="minorHAnsi"/>
          <w:sz w:val="24"/>
          <w:szCs w:val="24"/>
          <w:lang w:val="en-GB"/>
        </w:rPr>
        <w:t>civil society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>.</w:t>
      </w:r>
      <w:r w:rsidR="00A70E5B" w:rsidRPr="0050726A">
        <w:rPr>
          <w:rFonts w:asciiTheme="minorHAnsi" w:hAnsiTheme="minorHAnsi" w:cs="AdvOT5843c571"/>
          <w:sz w:val="24"/>
          <w:szCs w:val="24"/>
          <w:lang w:val="en-GB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Armed with </w:t>
      </w:r>
      <w:r w:rsidR="009D7A9A" w:rsidRPr="0050726A">
        <w:rPr>
          <w:rFonts w:asciiTheme="minorHAnsi" w:hAnsiTheme="minorHAnsi"/>
          <w:sz w:val="24"/>
          <w:szCs w:val="24"/>
          <w:lang w:val="en-GB"/>
        </w:rPr>
        <w:t xml:space="preserve">less top-down, </w:t>
      </w:r>
      <w:r w:rsidR="002A3A9C" w:rsidRPr="0050726A">
        <w:rPr>
          <w:rFonts w:asciiTheme="minorHAnsi" w:hAnsiTheme="minorHAnsi"/>
          <w:sz w:val="24"/>
          <w:szCs w:val="24"/>
          <w:lang w:val="en-GB"/>
        </w:rPr>
        <w:t xml:space="preserve">more 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governance-centred analytical frameworks, social scientists have started to </w:t>
      </w:r>
      <w:r w:rsidR="00F166B2" w:rsidRPr="0050726A">
        <w:rPr>
          <w:rFonts w:asciiTheme="minorHAnsi" w:hAnsiTheme="minorHAnsi"/>
          <w:sz w:val="24"/>
          <w:szCs w:val="24"/>
          <w:lang w:val="en-GB"/>
        </w:rPr>
        <w:t>chart th</w:t>
      </w:r>
      <w:r w:rsidR="00A93515" w:rsidRPr="0050726A">
        <w:rPr>
          <w:rFonts w:asciiTheme="minorHAnsi" w:hAnsiTheme="minorHAnsi"/>
          <w:sz w:val="24"/>
          <w:szCs w:val="24"/>
          <w:lang w:val="en-GB"/>
        </w:rPr>
        <w:t>e</w:t>
      </w:r>
      <w:r w:rsidR="00F166B2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D0C0B" w:rsidRPr="0050726A">
        <w:rPr>
          <w:rFonts w:asciiTheme="minorHAnsi" w:hAnsiTheme="minorHAnsi"/>
          <w:sz w:val="24"/>
          <w:szCs w:val="24"/>
          <w:lang w:val="en-GB"/>
        </w:rPr>
        <w:t>changing landscape</w:t>
      </w:r>
      <w:r w:rsidR="00A93515" w:rsidRPr="0050726A">
        <w:rPr>
          <w:rFonts w:asciiTheme="minorHAnsi" w:hAnsiTheme="minorHAnsi"/>
          <w:sz w:val="24"/>
          <w:szCs w:val="24"/>
          <w:lang w:val="en-GB"/>
        </w:rPr>
        <w:t xml:space="preserve"> of climate governance</w:t>
      </w:r>
      <w:r w:rsidR="009D0C0B" w:rsidRPr="005072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2A3A9C" w:rsidRPr="0050726A">
        <w:rPr>
          <w:rFonts w:asciiTheme="minorHAnsi" w:hAnsiTheme="minorHAnsi"/>
          <w:sz w:val="24"/>
          <w:szCs w:val="24"/>
          <w:lang w:val="en-GB"/>
        </w:rPr>
        <w:t xml:space="preserve">now increasingly </w:t>
      </w:r>
      <w:r w:rsidR="009D0C0B" w:rsidRPr="0050726A">
        <w:rPr>
          <w:rFonts w:asciiTheme="minorHAnsi" w:hAnsiTheme="minorHAnsi"/>
          <w:sz w:val="24"/>
          <w:szCs w:val="24"/>
          <w:lang w:val="en-GB"/>
        </w:rPr>
        <w:t xml:space="preserve">populated </w:t>
      </w:r>
      <w:r w:rsidR="00F957C5" w:rsidRPr="0050726A">
        <w:rPr>
          <w:rFonts w:asciiTheme="minorHAnsi" w:hAnsiTheme="minorHAnsi"/>
          <w:sz w:val="24"/>
          <w:szCs w:val="24"/>
          <w:lang w:val="en-GB"/>
        </w:rPr>
        <w:t>by novel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D3A6B" w:rsidRPr="0050726A">
        <w:rPr>
          <w:rFonts w:asciiTheme="minorHAnsi" w:hAnsiTheme="minorHAnsi"/>
          <w:sz w:val="24"/>
          <w:szCs w:val="24"/>
          <w:lang w:val="en-GB"/>
        </w:rPr>
        <w:t>forms including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 emissions trading</w:t>
      </w:r>
      <w:r w:rsidR="00B73F81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A3A9C" w:rsidRPr="0050726A">
        <w:rPr>
          <w:rFonts w:asciiTheme="minorHAnsi" w:hAnsiTheme="minorHAnsi"/>
          <w:sz w:val="24"/>
          <w:szCs w:val="24"/>
          <w:lang w:val="en-GB"/>
        </w:rPr>
        <w:t>systems</w:t>
      </w:r>
      <w:r w:rsidR="003C7577" w:rsidRPr="0050726A">
        <w:rPr>
          <w:rFonts w:asciiTheme="minorHAnsi" w:hAnsiTheme="minorHAnsi"/>
          <w:sz w:val="24"/>
          <w:szCs w:val="24"/>
          <w:lang w:val="en-GB"/>
        </w:rPr>
        <w:t>,</w:t>
      </w:r>
      <w:r w:rsidR="003C7577" w:rsidRPr="0050726A">
        <w:rPr>
          <w:rFonts w:asciiTheme="minorHAnsi" w:eastAsia="Times New Roman" w:hAnsiTheme="minorHAnsi"/>
          <w:sz w:val="24"/>
          <w:vertAlign w:val="superscript"/>
        </w:rPr>
        <w:t>11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73F81" w:rsidRPr="0050726A">
        <w:rPr>
          <w:rFonts w:asciiTheme="minorHAnsi" w:hAnsiTheme="minorHAnsi"/>
          <w:sz w:val="24"/>
          <w:szCs w:val="24"/>
          <w:lang w:val="en-GB"/>
        </w:rPr>
        <w:t>offsetting standards</w:t>
      </w:r>
      <w:r w:rsidRPr="0050726A">
        <w:rPr>
          <w:rFonts w:asciiTheme="minorHAnsi" w:hAnsiTheme="minorHAnsi"/>
          <w:sz w:val="24"/>
          <w:szCs w:val="24"/>
          <w:lang w:val="en-GB"/>
        </w:rPr>
        <w:t xml:space="preserve">, emissions registries, carbon labelling schemes and </w:t>
      </w:r>
      <w:r w:rsidR="001C0288" w:rsidRPr="0050726A">
        <w:rPr>
          <w:rFonts w:asciiTheme="minorHAnsi" w:hAnsiTheme="minorHAnsi"/>
          <w:sz w:val="24"/>
          <w:szCs w:val="24"/>
          <w:lang w:val="en-GB"/>
        </w:rPr>
        <w:t xml:space="preserve">collaborations between </w:t>
      </w:r>
      <w:r w:rsidRPr="0050726A">
        <w:rPr>
          <w:rFonts w:asciiTheme="minorHAnsi" w:hAnsiTheme="minorHAnsi"/>
          <w:sz w:val="24"/>
          <w:szCs w:val="24"/>
          <w:lang w:val="en-GB"/>
        </w:rPr>
        <w:t>cities</w:t>
      </w:r>
      <w:r w:rsidR="00F166B2" w:rsidRPr="0050726A">
        <w:rPr>
          <w:rFonts w:asciiTheme="minorHAnsi" w:hAnsiTheme="minorHAnsi"/>
          <w:sz w:val="24"/>
          <w:szCs w:val="24"/>
          <w:lang w:val="en-GB"/>
        </w:rPr>
        <w:t>.</w:t>
      </w:r>
      <w:r w:rsidR="00557FD6" w:rsidRPr="0050726A">
        <w:rPr>
          <w:rFonts w:asciiTheme="minorHAnsi" w:eastAsia="Times New Roman" w:hAnsiTheme="minorHAnsi"/>
          <w:sz w:val="24"/>
          <w:vertAlign w:val="superscript"/>
        </w:rPr>
        <w:t xml:space="preserve">4, 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12</w:t>
      </w:r>
      <w:r w:rsidR="00BC6409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93515" w:rsidRPr="0050726A">
        <w:rPr>
          <w:rFonts w:asciiTheme="minorHAnsi" w:hAnsiTheme="minorHAnsi"/>
          <w:sz w:val="24"/>
          <w:szCs w:val="24"/>
          <w:lang w:val="en-GB"/>
        </w:rPr>
        <w:t xml:space="preserve">Interestingly, these </w:t>
      </w:r>
      <w:r w:rsidR="001C0288" w:rsidRPr="0050726A">
        <w:rPr>
          <w:rFonts w:asciiTheme="minorHAnsi" w:hAnsiTheme="minorHAnsi"/>
          <w:sz w:val="24"/>
          <w:szCs w:val="24"/>
          <w:lang w:val="en-GB"/>
        </w:rPr>
        <w:t xml:space="preserve">efforts have spilled </w:t>
      </w:r>
      <w:r w:rsidR="00A93515" w:rsidRPr="0050726A">
        <w:rPr>
          <w:rFonts w:asciiTheme="minorHAnsi" w:hAnsiTheme="minorHAnsi"/>
          <w:sz w:val="24"/>
          <w:szCs w:val="24"/>
          <w:lang w:val="en-GB"/>
        </w:rPr>
        <w:t xml:space="preserve">back </w:t>
      </w:r>
      <w:r w:rsidR="001C0288" w:rsidRPr="0050726A">
        <w:rPr>
          <w:rFonts w:asciiTheme="minorHAnsi" w:hAnsiTheme="minorHAnsi"/>
          <w:sz w:val="24"/>
          <w:szCs w:val="24"/>
          <w:lang w:val="en-GB"/>
        </w:rPr>
        <w:t xml:space="preserve">into </w:t>
      </w:r>
      <w:r w:rsidR="002A3A9C" w:rsidRPr="0050726A">
        <w:rPr>
          <w:rFonts w:asciiTheme="minorHAnsi" w:hAnsiTheme="minorHAnsi"/>
          <w:sz w:val="24"/>
          <w:szCs w:val="24"/>
          <w:lang w:val="en-GB"/>
        </w:rPr>
        <w:t xml:space="preserve">the UNFCCC </w:t>
      </w:r>
      <w:r w:rsidR="001C0288" w:rsidRPr="0050726A">
        <w:rPr>
          <w:rFonts w:asciiTheme="minorHAnsi" w:hAnsiTheme="minorHAnsi"/>
          <w:sz w:val="24"/>
          <w:szCs w:val="24"/>
          <w:lang w:val="en-GB"/>
        </w:rPr>
        <w:t>negotiations to some degree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 xml:space="preserve">, with discussions on climate action pre-2020 </w:t>
      </w:r>
      <w:r w:rsidR="00DF72D1" w:rsidRPr="0050726A">
        <w:rPr>
          <w:rFonts w:asciiTheme="minorHAnsi" w:hAnsiTheme="minorHAnsi"/>
          <w:sz w:val="24"/>
          <w:szCs w:val="24"/>
          <w:lang w:val="en-GB"/>
        </w:rPr>
        <w:t xml:space="preserve">engaging 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 xml:space="preserve">with non-state actors </w:t>
      </w:r>
      <w:r w:rsidR="003C7577" w:rsidRPr="0050726A">
        <w:rPr>
          <w:rFonts w:asciiTheme="minorHAnsi" w:hAnsiTheme="minorHAnsi"/>
          <w:sz w:val="24"/>
          <w:szCs w:val="24"/>
          <w:lang w:val="en-GB"/>
        </w:rPr>
        <w:t xml:space="preserve">more deeply 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>(e.g. through so-called Technical Expert Meetings and the UNFCCC Secretariat</w:t>
      </w:r>
      <w:r w:rsidR="00B14BC1" w:rsidRPr="0050726A">
        <w:rPr>
          <w:rFonts w:asciiTheme="minorHAnsi" w:hAnsiTheme="minorHAnsi"/>
          <w:sz w:val="24"/>
          <w:szCs w:val="24"/>
          <w:lang w:val="en-GB"/>
        </w:rPr>
        <w:t>’s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F72D1" w:rsidRPr="0050726A">
        <w:rPr>
          <w:rFonts w:asciiTheme="minorHAnsi" w:hAnsiTheme="minorHAnsi"/>
          <w:sz w:val="24"/>
          <w:szCs w:val="24"/>
          <w:lang w:val="en-GB"/>
        </w:rPr>
        <w:t xml:space="preserve">web 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 xml:space="preserve">portal </w:t>
      </w:r>
      <w:r w:rsidR="00DF72D1" w:rsidRPr="0050726A">
        <w:rPr>
          <w:rFonts w:asciiTheme="minorHAnsi" w:hAnsiTheme="minorHAnsi"/>
          <w:sz w:val="24"/>
          <w:szCs w:val="24"/>
          <w:lang w:val="en-GB"/>
        </w:rPr>
        <w:t xml:space="preserve">of </w:t>
      </w:r>
      <w:r w:rsidR="00CB2172" w:rsidRPr="0050726A">
        <w:rPr>
          <w:rFonts w:asciiTheme="minorHAnsi" w:hAnsiTheme="minorHAnsi"/>
          <w:sz w:val="24"/>
          <w:szCs w:val="24"/>
          <w:lang w:val="en-GB"/>
        </w:rPr>
        <w:t>non-state climate action</w:t>
      </w:r>
      <w:r w:rsidR="00B14BC1" w:rsidRPr="0050726A">
        <w:rPr>
          <w:rFonts w:asciiTheme="minorHAnsi" w:hAnsiTheme="minorHAnsi"/>
          <w:sz w:val="24"/>
          <w:szCs w:val="24"/>
          <w:lang w:val="en-GB"/>
        </w:rPr>
        <w:t>)</w:t>
      </w:r>
      <w:r w:rsidR="00F80CDB" w:rsidRPr="0050726A">
        <w:rPr>
          <w:rFonts w:asciiTheme="minorHAnsi" w:hAnsiTheme="minorHAnsi"/>
          <w:sz w:val="24"/>
          <w:szCs w:val="24"/>
          <w:lang w:val="en-GB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13</w:t>
      </w:r>
    </w:p>
    <w:p w14:paraId="74AD3C84" w14:textId="77777777" w:rsidR="00AE009F" w:rsidRPr="0050726A" w:rsidRDefault="00AE009F" w:rsidP="00716462">
      <w:pPr>
        <w:pStyle w:val="Default"/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34F78612" w14:textId="08CEF42C" w:rsidR="00714964" w:rsidRPr="0050726A" w:rsidRDefault="00AE009F" w:rsidP="008121F8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color w:val="auto"/>
        </w:rPr>
        <w:t>The argument that in order to become more effective</w:t>
      </w:r>
      <w:r w:rsidR="009D0C0B" w:rsidRPr="0050726A">
        <w:rPr>
          <w:rFonts w:asciiTheme="minorHAnsi" w:hAnsiTheme="minorHAnsi"/>
          <w:color w:val="auto"/>
        </w:rPr>
        <w:t>,</w:t>
      </w:r>
      <w:r w:rsidRPr="0050726A">
        <w:rPr>
          <w:rFonts w:asciiTheme="minorHAnsi" w:hAnsiTheme="minorHAnsi"/>
          <w:color w:val="auto"/>
        </w:rPr>
        <w:t xml:space="preserve"> climate governance </w:t>
      </w:r>
      <w:r w:rsidR="005835DA" w:rsidRPr="0050726A">
        <w:rPr>
          <w:rFonts w:asciiTheme="minorHAnsi" w:hAnsiTheme="minorHAnsi"/>
          <w:i/>
          <w:color w:val="auto"/>
        </w:rPr>
        <w:t>in toto</w:t>
      </w:r>
      <w:r w:rsidR="005835DA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iCs/>
          <w:color w:val="auto"/>
        </w:rPr>
        <w:t xml:space="preserve">should </w:t>
      </w:r>
      <w:r w:rsidRPr="0050726A">
        <w:rPr>
          <w:rFonts w:asciiTheme="minorHAnsi" w:hAnsiTheme="minorHAnsi"/>
          <w:color w:val="auto"/>
        </w:rPr>
        <w:t xml:space="preserve">become more </w:t>
      </w:r>
      <w:r w:rsidR="009D0C0B" w:rsidRPr="0050726A">
        <w:rPr>
          <w:rFonts w:asciiTheme="minorHAnsi" w:hAnsiTheme="minorHAnsi"/>
          <w:color w:val="auto"/>
        </w:rPr>
        <w:t xml:space="preserve">diverse and </w:t>
      </w:r>
      <w:r w:rsidRPr="0050726A">
        <w:rPr>
          <w:rFonts w:asciiTheme="minorHAnsi" w:hAnsiTheme="minorHAnsi"/>
          <w:color w:val="auto"/>
        </w:rPr>
        <w:t>multi-levelled is</w:t>
      </w:r>
      <w:r w:rsidR="002A3FF3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color w:val="auto"/>
        </w:rPr>
        <w:t>not new.</w:t>
      </w:r>
      <w:r w:rsidR="00C11347" w:rsidRPr="0050726A">
        <w:rPr>
          <w:rFonts w:asciiTheme="minorHAnsi" w:eastAsia="Times New Roman" w:hAnsiTheme="minorHAnsi"/>
          <w:vertAlign w:val="superscript"/>
        </w:rPr>
        <w:t>14-16</w:t>
      </w:r>
      <w:r w:rsidR="00912A56" w:rsidRPr="0050726A">
        <w:rPr>
          <w:rFonts w:asciiTheme="minorHAnsi" w:hAnsiTheme="minorHAnsi"/>
        </w:rPr>
        <w:t xml:space="preserve"> </w:t>
      </w:r>
      <w:r w:rsidR="00A93515" w:rsidRPr="0050726A">
        <w:rPr>
          <w:rFonts w:asciiTheme="minorHAnsi" w:hAnsiTheme="minorHAnsi"/>
        </w:rPr>
        <w:t>E</w:t>
      </w:r>
      <w:r w:rsidRPr="0050726A">
        <w:rPr>
          <w:rFonts w:asciiTheme="minorHAnsi" w:hAnsiTheme="minorHAnsi"/>
        </w:rPr>
        <w:t xml:space="preserve">conomists have long </w:t>
      </w:r>
      <w:r w:rsidR="00A60163" w:rsidRPr="0050726A">
        <w:rPr>
          <w:rFonts w:asciiTheme="minorHAnsi" w:hAnsiTheme="minorHAnsi"/>
        </w:rPr>
        <w:t xml:space="preserve">debated the </w:t>
      </w:r>
      <w:r w:rsidR="002A3FF3" w:rsidRPr="0050726A">
        <w:rPr>
          <w:rFonts w:asciiTheme="minorHAnsi" w:hAnsiTheme="minorHAnsi"/>
        </w:rPr>
        <w:t xml:space="preserve">theoretical </w:t>
      </w:r>
      <w:r w:rsidR="00A60163" w:rsidRPr="0050726A">
        <w:rPr>
          <w:rFonts w:asciiTheme="minorHAnsi" w:hAnsiTheme="minorHAnsi"/>
        </w:rPr>
        <w:t xml:space="preserve">merits of </w:t>
      </w:r>
      <w:r w:rsidR="00F80CDB" w:rsidRPr="0050726A">
        <w:rPr>
          <w:rFonts w:asciiTheme="minorHAnsi" w:hAnsiTheme="minorHAnsi"/>
        </w:rPr>
        <w:t xml:space="preserve">linking </w:t>
      </w:r>
      <w:r w:rsidRPr="0050726A">
        <w:rPr>
          <w:rFonts w:asciiTheme="minorHAnsi" w:hAnsiTheme="minorHAnsi"/>
        </w:rPr>
        <w:t xml:space="preserve">national </w:t>
      </w:r>
      <w:r w:rsidR="00A60163" w:rsidRPr="0050726A">
        <w:rPr>
          <w:rFonts w:asciiTheme="minorHAnsi" w:hAnsiTheme="minorHAnsi"/>
        </w:rPr>
        <w:t>and/</w:t>
      </w:r>
      <w:r w:rsidRPr="0050726A">
        <w:rPr>
          <w:rFonts w:asciiTheme="minorHAnsi" w:hAnsiTheme="minorHAnsi"/>
        </w:rPr>
        <w:t>or regional emission trading systems.</w:t>
      </w:r>
      <w:r w:rsidR="00C11347" w:rsidRPr="0050726A">
        <w:rPr>
          <w:rFonts w:asciiTheme="minorHAnsi" w:eastAsia="Times New Roman" w:hAnsiTheme="minorHAnsi"/>
          <w:vertAlign w:val="superscript"/>
        </w:rPr>
        <w:t>17</w:t>
      </w:r>
      <w:r w:rsidR="00A70E5B" w:rsidRPr="0050726A">
        <w:rPr>
          <w:rFonts w:asciiTheme="minorHAnsi" w:hAnsiTheme="minorHAnsi"/>
        </w:rPr>
        <w:t xml:space="preserve"> </w:t>
      </w:r>
      <w:r w:rsidR="00A60163" w:rsidRPr="0050726A">
        <w:rPr>
          <w:rFonts w:asciiTheme="minorHAnsi" w:hAnsiTheme="minorHAnsi"/>
        </w:rPr>
        <w:t>P</w:t>
      </w:r>
      <w:r w:rsidRPr="0050726A">
        <w:rPr>
          <w:rFonts w:asciiTheme="minorHAnsi" w:hAnsiTheme="minorHAnsi"/>
          <w:color w:val="auto"/>
        </w:rPr>
        <w:t xml:space="preserve">olitical theorists have </w:t>
      </w:r>
      <w:r w:rsidR="009D0C0B" w:rsidRPr="0050726A">
        <w:rPr>
          <w:rFonts w:asciiTheme="minorHAnsi" w:hAnsiTheme="minorHAnsi"/>
          <w:color w:val="auto"/>
        </w:rPr>
        <w:t xml:space="preserve">also </w:t>
      </w:r>
      <w:r w:rsidRPr="0050726A">
        <w:rPr>
          <w:rFonts w:asciiTheme="minorHAnsi" w:hAnsiTheme="minorHAnsi"/>
          <w:color w:val="auto"/>
        </w:rPr>
        <w:t xml:space="preserve">emphasised the </w:t>
      </w:r>
      <w:r w:rsidR="00A60163" w:rsidRPr="0050726A">
        <w:rPr>
          <w:rFonts w:asciiTheme="minorHAnsi" w:hAnsiTheme="minorHAnsi"/>
          <w:color w:val="auto"/>
        </w:rPr>
        <w:t>advantages</w:t>
      </w:r>
      <w:r w:rsidRPr="0050726A">
        <w:rPr>
          <w:rFonts w:asciiTheme="minorHAnsi" w:hAnsiTheme="minorHAnsi"/>
          <w:color w:val="auto"/>
        </w:rPr>
        <w:t xml:space="preserve"> of governing from the ‘bottom up’</w:t>
      </w:r>
      <w:r w:rsidR="009D0C0B" w:rsidRPr="0050726A">
        <w:rPr>
          <w:rFonts w:asciiTheme="minorHAnsi" w:hAnsiTheme="minorHAnsi"/>
          <w:color w:val="auto"/>
        </w:rPr>
        <w:t xml:space="preserve"> </w:t>
      </w:r>
      <w:r w:rsidR="00A93515" w:rsidRPr="0050726A">
        <w:rPr>
          <w:rFonts w:asciiTheme="minorHAnsi" w:hAnsiTheme="minorHAnsi"/>
          <w:color w:val="auto"/>
        </w:rPr>
        <w:t>–</w:t>
      </w:r>
      <w:r w:rsidR="009D0C0B" w:rsidRPr="0050726A">
        <w:rPr>
          <w:rFonts w:asciiTheme="minorHAnsi" w:hAnsiTheme="minorHAnsi"/>
          <w:color w:val="auto"/>
        </w:rPr>
        <w:t xml:space="preserve"> </w:t>
      </w:r>
      <w:r w:rsidRPr="0050726A">
        <w:rPr>
          <w:rFonts w:asciiTheme="minorHAnsi" w:hAnsiTheme="minorHAnsi"/>
          <w:color w:val="auto"/>
        </w:rPr>
        <w:t xml:space="preserve">more scope for experimenting, a </w:t>
      </w:r>
      <w:r w:rsidR="008121F8" w:rsidRPr="0050726A">
        <w:rPr>
          <w:rFonts w:asciiTheme="minorHAnsi" w:hAnsiTheme="minorHAnsi"/>
          <w:color w:val="auto"/>
        </w:rPr>
        <w:t>better</w:t>
      </w:r>
      <w:r w:rsidRPr="0050726A">
        <w:rPr>
          <w:rFonts w:asciiTheme="minorHAnsi" w:hAnsiTheme="minorHAnsi"/>
          <w:color w:val="auto"/>
        </w:rPr>
        <w:t xml:space="preserve"> fit with local priorities</w:t>
      </w:r>
      <w:r w:rsidR="00C05E05" w:rsidRPr="0050726A">
        <w:rPr>
          <w:rFonts w:asciiTheme="minorHAnsi" w:hAnsiTheme="minorHAnsi"/>
          <w:color w:val="auto"/>
        </w:rPr>
        <w:t>,</w:t>
      </w:r>
      <w:r w:rsidRPr="0050726A">
        <w:rPr>
          <w:rFonts w:asciiTheme="minorHAnsi" w:hAnsiTheme="minorHAnsi"/>
          <w:color w:val="auto"/>
        </w:rPr>
        <w:t xml:space="preserve"> etc. </w:t>
      </w:r>
      <w:r w:rsidR="00A93515" w:rsidRPr="0050726A">
        <w:rPr>
          <w:rFonts w:asciiTheme="minorHAnsi" w:hAnsiTheme="minorHAnsi"/>
          <w:color w:val="auto"/>
        </w:rPr>
        <w:t>–</w:t>
      </w:r>
      <w:r w:rsidRPr="0050726A">
        <w:rPr>
          <w:rFonts w:asciiTheme="minorHAnsi" w:hAnsiTheme="minorHAnsi"/>
          <w:color w:val="auto"/>
        </w:rPr>
        <w:t xml:space="preserve"> for considerably longer.</w:t>
      </w:r>
      <w:r w:rsidR="00C11347" w:rsidRPr="0050726A">
        <w:rPr>
          <w:rFonts w:asciiTheme="minorHAnsi" w:eastAsia="Times New Roman" w:hAnsiTheme="minorHAnsi"/>
          <w:vertAlign w:val="superscript"/>
        </w:rPr>
        <w:t>18</w:t>
      </w:r>
      <w:r w:rsidR="00A70E5B" w:rsidRPr="0050726A">
        <w:rPr>
          <w:rFonts w:asciiTheme="minorHAnsi" w:hAnsiTheme="minorHAnsi"/>
          <w:color w:val="auto"/>
        </w:rPr>
        <w:t xml:space="preserve"> </w:t>
      </w:r>
      <w:r w:rsidR="00A93515" w:rsidRPr="0050726A">
        <w:rPr>
          <w:rFonts w:asciiTheme="minorHAnsi" w:hAnsiTheme="minorHAnsi"/>
          <w:color w:val="auto"/>
        </w:rPr>
        <w:t xml:space="preserve">What has changed is that </w:t>
      </w:r>
      <w:r w:rsidR="00714964" w:rsidRPr="0050726A">
        <w:rPr>
          <w:rFonts w:asciiTheme="minorHAnsi" w:hAnsiTheme="minorHAnsi"/>
          <w:color w:val="auto"/>
        </w:rPr>
        <w:t xml:space="preserve">fresh </w:t>
      </w:r>
      <w:r w:rsidR="00A93515" w:rsidRPr="0050726A">
        <w:rPr>
          <w:rFonts w:asciiTheme="minorHAnsi" w:hAnsiTheme="minorHAnsi"/>
          <w:color w:val="auto"/>
        </w:rPr>
        <w:t>e</w:t>
      </w:r>
      <w:r w:rsidR="00F166B2" w:rsidRPr="0050726A">
        <w:rPr>
          <w:rFonts w:asciiTheme="minorHAnsi" w:hAnsiTheme="minorHAnsi"/>
          <w:color w:val="auto"/>
        </w:rPr>
        <w:t>mpirical effort</w:t>
      </w:r>
      <w:r w:rsidR="00A93515" w:rsidRPr="0050726A">
        <w:rPr>
          <w:rFonts w:asciiTheme="minorHAnsi" w:hAnsiTheme="minorHAnsi"/>
          <w:color w:val="auto"/>
        </w:rPr>
        <w:t>s</w:t>
      </w:r>
      <w:r w:rsidR="00F166B2" w:rsidRPr="0050726A">
        <w:rPr>
          <w:rFonts w:asciiTheme="minorHAnsi" w:hAnsiTheme="minorHAnsi"/>
          <w:color w:val="auto"/>
        </w:rPr>
        <w:t xml:space="preserve"> </w:t>
      </w:r>
      <w:r w:rsidR="00A93515" w:rsidRPr="0050726A">
        <w:rPr>
          <w:rFonts w:asciiTheme="minorHAnsi" w:hAnsiTheme="minorHAnsi"/>
          <w:color w:val="auto"/>
        </w:rPr>
        <w:t xml:space="preserve">are </w:t>
      </w:r>
      <w:r w:rsidR="002A3FF3" w:rsidRPr="0050726A">
        <w:rPr>
          <w:rFonts w:asciiTheme="minorHAnsi" w:hAnsiTheme="minorHAnsi"/>
          <w:color w:val="auto"/>
        </w:rPr>
        <w:t xml:space="preserve">now </w:t>
      </w:r>
      <w:r w:rsidR="00F166B2" w:rsidRPr="0050726A">
        <w:rPr>
          <w:rFonts w:asciiTheme="minorHAnsi" w:hAnsiTheme="minorHAnsi"/>
          <w:color w:val="auto"/>
        </w:rPr>
        <w:t>reveal</w:t>
      </w:r>
      <w:r w:rsidR="00CA76BF" w:rsidRPr="0050726A">
        <w:rPr>
          <w:rFonts w:asciiTheme="minorHAnsi" w:hAnsiTheme="minorHAnsi"/>
          <w:color w:val="auto"/>
        </w:rPr>
        <w:t>ing</w:t>
      </w:r>
      <w:r w:rsidRPr="0050726A">
        <w:rPr>
          <w:rFonts w:asciiTheme="minorHAnsi" w:hAnsiTheme="minorHAnsi"/>
          <w:color w:val="auto"/>
        </w:rPr>
        <w:t xml:space="preserve"> </w:t>
      </w:r>
      <w:r w:rsidR="00F166B2" w:rsidRPr="0050726A">
        <w:rPr>
          <w:rFonts w:asciiTheme="minorHAnsi" w:hAnsiTheme="minorHAnsi"/>
          <w:color w:val="auto"/>
        </w:rPr>
        <w:t xml:space="preserve">that the </w:t>
      </w:r>
      <w:r w:rsidR="009D0C0B" w:rsidRPr="0050726A">
        <w:rPr>
          <w:rFonts w:asciiTheme="minorHAnsi" w:hAnsiTheme="minorHAnsi"/>
          <w:color w:val="auto"/>
        </w:rPr>
        <w:t xml:space="preserve">emergence of ‘new’ forms of governing </w:t>
      </w:r>
      <w:r w:rsidR="00B14BC1" w:rsidRPr="0050726A">
        <w:rPr>
          <w:rFonts w:asciiTheme="minorHAnsi" w:hAnsiTheme="minorHAnsi"/>
          <w:color w:val="auto"/>
        </w:rPr>
        <w:t xml:space="preserve">has a solid basis in empirical reality, and </w:t>
      </w:r>
      <w:r w:rsidR="009D0C0B" w:rsidRPr="0050726A">
        <w:rPr>
          <w:rFonts w:asciiTheme="minorHAnsi" w:hAnsiTheme="minorHAnsi"/>
          <w:color w:val="auto"/>
        </w:rPr>
        <w:t xml:space="preserve">the </w:t>
      </w:r>
      <w:r w:rsidR="00F166B2" w:rsidRPr="0050726A">
        <w:rPr>
          <w:rFonts w:asciiTheme="minorHAnsi" w:hAnsiTheme="minorHAnsi"/>
          <w:color w:val="auto"/>
        </w:rPr>
        <w:t xml:space="preserve">overall </w:t>
      </w:r>
      <w:r w:rsidR="009D0C0B" w:rsidRPr="0050726A">
        <w:rPr>
          <w:rFonts w:asciiTheme="minorHAnsi" w:hAnsiTheme="minorHAnsi"/>
          <w:color w:val="auto"/>
        </w:rPr>
        <w:t xml:space="preserve">landscape of </w:t>
      </w:r>
      <w:r w:rsidRPr="0050726A">
        <w:rPr>
          <w:rFonts w:asciiTheme="minorHAnsi" w:hAnsiTheme="minorHAnsi"/>
          <w:color w:val="auto"/>
        </w:rPr>
        <w:t xml:space="preserve">climate governance </w:t>
      </w:r>
      <w:r w:rsidR="00B14BC1" w:rsidRPr="0050726A">
        <w:rPr>
          <w:rFonts w:asciiTheme="minorHAnsi" w:hAnsiTheme="minorHAnsi"/>
          <w:color w:val="auto"/>
        </w:rPr>
        <w:t>has</w:t>
      </w:r>
      <w:r w:rsidR="003C7577" w:rsidRPr="0050726A">
        <w:rPr>
          <w:rFonts w:asciiTheme="minorHAnsi" w:hAnsiTheme="minorHAnsi"/>
          <w:color w:val="auto"/>
        </w:rPr>
        <w:t xml:space="preserve"> started to exhibit </w:t>
      </w:r>
      <w:r w:rsidR="003C7577" w:rsidRPr="0050726A">
        <w:rPr>
          <w:rFonts w:asciiTheme="minorHAnsi" w:hAnsiTheme="minorHAnsi"/>
          <w:color w:val="auto"/>
        </w:rPr>
        <w:lastRenderedPageBreak/>
        <w:t>some of</w:t>
      </w:r>
      <w:r w:rsidR="00F166B2" w:rsidRPr="0050726A">
        <w:rPr>
          <w:rFonts w:asciiTheme="minorHAnsi" w:hAnsiTheme="minorHAnsi"/>
          <w:color w:val="auto"/>
        </w:rPr>
        <w:t xml:space="preserve"> </w:t>
      </w:r>
      <w:r w:rsidR="003C7577" w:rsidRPr="0050726A">
        <w:rPr>
          <w:rFonts w:asciiTheme="minorHAnsi" w:hAnsiTheme="minorHAnsi"/>
          <w:color w:val="auto"/>
        </w:rPr>
        <w:t xml:space="preserve">the characteristics of </w:t>
      </w:r>
      <w:r w:rsidRPr="0050726A">
        <w:rPr>
          <w:rFonts w:asciiTheme="minorHAnsi" w:hAnsiTheme="minorHAnsi"/>
          <w:color w:val="auto"/>
        </w:rPr>
        <w:t>polycentric</w:t>
      </w:r>
      <w:r w:rsidR="003C7577" w:rsidRPr="0050726A">
        <w:rPr>
          <w:rFonts w:asciiTheme="minorHAnsi" w:hAnsiTheme="minorHAnsi"/>
          <w:color w:val="auto"/>
        </w:rPr>
        <w:t>ity foreseen by Elinor Ostrom,</w:t>
      </w:r>
      <w:r w:rsidRPr="0050726A">
        <w:rPr>
          <w:rFonts w:asciiTheme="minorHAnsi" w:hAnsiTheme="minorHAnsi"/>
          <w:color w:val="auto"/>
        </w:rPr>
        <w:t xml:space="preserve"> </w:t>
      </w:r>
      <w:r w:rsidR="003C7577" w:rsidRPr="0050726A">
        <w:rPr>
          <w:rFonts w:asciiTheme="minorHAnsi" w:hAnsiTheme="minorHAnsi"/>
          <w:color w:val="auto"/>
        </w:rPr>
        <w:t xml:space="preserve">that is </w:t>
      </w:r>
      <w:r w:rsidRPr="0050726A">
        <w:rPr>
          <w:rFonts w:asciiTheme="minorHAnsi" w:hAnsiTheme="minorHAnsi"/>
          <w:color w:val="auto"/>
        </w:rPr>
        <w:t xml:space="preserve">more </w:t>
      </w:r>
      <w:r w:rsidR="003C7577" w:rsidRPr="0050726A">
        <w:rPr>
          <w:rFonts w:asciiTheme="minorHAnsi" w:hAnsiTheme="minorHAnsi"/>
          <w:color w:val="auto"/>
        </w:rPr>
        <w:t>diverse</w:t>
      </w:r>
      <w:r w:rsidR="00714964" w:rsidRPr="0050726A">
        <w:rPr>
          <w:rFonts w:asciiTheme="minorHAnsi" w:hAnsiTheme="minorHAnsi"/>
          <w:color w:val="auto"/>
        </w:rPr>
        <w:t xml:space="preserve">, multi-levelled </w:t>
      </w:r>
      <w:r w:rsidR="001C0288" w:rsidRPr="0050726A">
        <w:rPr>
          <w:rFonts w:asciiTheme="minorHAnsi" w:hAnsiTheme="minorHAnsi"/>
          <w:color w:val="auto"/>
        </w:rPr>
        <w:t xml:space="preserve">and with </w:t>
      </w:r>
      <w:r w:rsidR="003C7577" w:rsidRPr="0050726A">
        <w:rPr>
          <w:rFonts w:asciiTheme="minorHAnsi" w:hAnsiTheme="minorHAnsi"/>
          <w:color w:val="auto"/>
        </w:rPr>
        <w:t xml:space="preserve">a much </w:t>
      </w:r>
      <w:r w:rsidR="001C0288" w:rsidRPr="0050726A">
        <w:rPr>
          <w:rFonts w:asciiTheme="minorHAnsi" w:hAnsiTheme="minorHAnsi"/>
          <w:color w:val="auto"/>
        </w:rPr>
        <w:t>greater emphasis on bottom-up initiatives</w:t>
      </w:r>
      <w:r w:rsidRPr="0050726A">
        <w:rPr>
          <w:rFonts w:asciiTheme="minorHAnsi" w:hAnsiTheme="minorHAnsi"/>
          <w:color w:val="auto"/>
        </w:rPr>
        <w:t>.</w:t>
      </w:r>
      <w:r w:rsidR="00C11347" w:rsidRPr="0050726A">
        <w:rPr>
          <w:rFonts w:asciiTheme="minorHAnsi" w:eastAsia="Times New Roman" w:hAnsiTheme="minorHAnsi"/>
          <w:vertAlign w:val="superscript"/>
        </w:rPr>
        <w:t>19</w:t>
      </w:r>
    </w:p>
    <w:p w14:paraId="16DF2C98" w14:textId="77777777" w:rsidR="00714964" w:rsidRPr="0050726A" w:rsidRDefault="00714964" w:rsidP="00716462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  <w:color w:val="auto"/>
        </w:rPr>
      </w:pPr>
    </w:p>
    <w:p w14:paraId="0ABE84B6" w14:textId="0679EBB8" w:rsidR="00714964" w:rsidRPr="0050726A" w:rsidRDefault="008065C1" w:rsidP="00714964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</w:rPr>
      </w:pPr>
      <w:r w:rsidRPr="0050726A">
        <w:rPr>
          <w:rFonts w:asciiTheme="minorHAnsi" w:hAnsiTheme="minorHAnsi"/>
          <w:color w:val="auto"/>
        </w:rPr>
        <w:t>A</w:t>
      </w:r>
      <w:r w:rsidR="00AE009F" w:rsidRPr="0050726A">
        <w:rPr>
          <w:rFonts w:asciiTheme="minorHAnsi" w:hAnsiTheme="minorHAnsi"/>
          <w:color w:val="auto"/>
        </w:rPr>
        <w:t xml:space="preserve"> vibrant and energetic debate is underway concerning the merits of the</w:t>
      </w:r>
      <w:r w:rsidRPr="0050726A">
        <w:rPr>
          <w:rFonts w:asciiTheme="minorHAnsi" w:hAnsiTheme="minorHAnsi"/>
          <w:color w:val="auto"/>
        </w:rPr>
        <w:t>se</w:t>
      </w:r>
      <w:r w:rsidR="00AE009F" w:rsidRPr="0050726A">
        <w:rPr>
          <w:rFonts w:asciiTheme="minorHAnsi" w:hAnsiTheme="minorHAnsi"/>
          <w:color w:val="auto"/>
        </w:rPr>
        <w:t xml:space="preserve"> </w:t>
      </w:r>
      <w:r w:rsidR="00714964" w:rsidRPr="0050726A">
        <w:rPr>
          <w:rFonts w:asciiTheme="minorHAnsi" w:hAnsiTheme="minorHAnsi"/>
          <w:color w:val="auto"/>
        </w:rPr>
        <w:t xml:space="preserve">apparently </w:t>
      </w:r>
      <w:r w:rsidR="00AE009F" w:rsidRPr="0050726A">
        <w:rPr>
          <w:rFonts w:asciiTheme="minorHAnsi" w:hAnsiTheme="minorHAnsi"/>
          <w:color w:val="auto"/>
        </w:rPr>
        <w:t xml:space="preserve">‘new’ forms of governing, </w:t>
      </w:r>
      <w:r w:rsidR="00CA1B10" w:rsidRPr="0050726A">
        <w:rPr>
          <w:rFonts w:asciiTheme="minorHAnsi" w:hAnsiTheme="minorHAnsi"/>
          <w:color w:val="auto"/>
        </w:rPr>
        <w:t xml:space="preserve">only </w:t>
      </w:r>
      <w:r w:rsidR="002E3595" w:rsidRPr="0050726A">
        <w:rPr>
          <w:rFonts w:asciiTheme="minorHAnsi" w:hAnsiTheme="minorHAnsi"/>
          <w:color w:val="auto"/>
        </w:rPr>
        <w:t xml:space="preserve">some </w:t>
      </w:r>
      <w:r w:rsidR="009D7A9A" w:rsidRPr="0050726A">
        <w:rPr>
          <w:rFonts w:asciiTheme="minorHAnsi" w:hAnsiTheme="minorHAnsi"/>
          <w:color w:val="auto"/>
        </w:rPr>
        <w:t>o</w:t>
      </w:r>
      <w:r w:rsidR="002E3595" w:rsidRPr="0050726A">
        <w:rPr>
          <w:rFonts w:asciiTheme="minorHAnsi" w:hAnsiTheme="minorHAnsi"/>
          <w:color w:val="auto"/>
        </w:rPr>
        <w:t xml:space="preserve">f it reported in </w:t>
      </w:r>
      <w:r w:rsidR="00C05E05" w:rsidRPr="0050726A">
        <w:rPr>
          <w:rFonts w:asciiTheme="minorHAnsi" w:hAnsiTheme="minorHAnsi"/>
          <w:color w:val="auto"/>
        </w:rPr>
        <w:t>the Intergovernmental Panel on Climate Change’s (</w:t>
      </w:r>
      <w:r w:rsidR="00D811C1" w:rsidRPr="0050726A">
        <w:rPr>
          <w:rFonts w:asciiTheme="minorHAnsi" w:hAnsiTheme="minorHAnsi"/>
          <w:color w:val="auto"/>
        </w:rPr>
        <w:t>IPCC</w:t>
      </w:r>
      <w:r w:rsidR="00C05E05" w:rsidRPr="0050726A">
        <w:rPr>
          <w:rFonts w:asciiTheme="minorHAnsi" w:hAnsiTheme="minorHAnsi"/>
          <w:color w:val="auto"/>
        </w:rPr>
        <w:t>) Fifth Assessment Report</w:t>
      </w:r>
      <w:r w:rsidR="00AE009F" w:rsidRPr="0050726A">
        <w:rPr>
          <w:rFonts w:asciiTheme="minorHAnsi" w:hAnsiTheme="minorHAnsi"/>
          <w:color w:val="auto"/>
        </w:rPr>
        <w:t>.</w:t>
      </w:r>
      <w:r w:rsidR="00A70E5B" w:rsidRPr="0050726A">
        <w:rPr>
          <w:rFonts w:asciiTheme="minorHAnsi" w:hAnsiTheme="minorHAnsi"/>
          <w:color w:val="auto"/>
        </w:rPr>
        <w:t xml:space="preserve"> </w:t>
      </w:r>
      <w:r w:rsidR="00AE009F" w:rsidRPr="0050726A">
        <w:rPr>
          <w:rFonts w:asciiTheme="minorHAnsi" w:hAnsiTheme="minorHAnsi"/>
        </w:rPr>
        <w:t>In stark contrast to discussion</w:t>
      </w:r>
      <w:r w:rsidR="00A04383" w:rsidRPr="0050726A">
        <w:rPr>
          <w:rFonts w:asciiTheme="minorHAnsi" w:hAnsiTheme="minorHAnsi"/>
        </w:rPr>
        <w:t>s</w:t>
      </w:r>
      <w:r w:rsidR="00AE009F" w:rsidRPr="0050726A">
        <w:rPr>
          <w:rFonts w:asciiTheme="minorHAnsi" w:hAnsiTheme="minorHAnsi"/>
        </w:rPr>
        <w:t xml:space="preserve"> centred on the UNFCCC, this debate </w:t>
      </w:r>
      <w:r w:rsidR="009D0C0B" w:rsidRPr="0050726A">
        <w:rPr>
          <w:rFonts w:asciiTheme="minorHAnsi" w:hAnsiTheme="minorHAnsi"/>
        </w:rPr>
        <w:t xml:space="preserve">is </w:t>
      </w:r>
      <w:r w:rsidR="00AE009F" w:rsidRPr="0050726A">
        <w:rPr>
          <w:rFonts w:asciiTheme="minorHAnsi" w:hAnsiTheme="minorHAnsi"/>
        </w:rPr>
        <w:t>excit</w:t>
      </w:r>
      <w:r w:rsidR="009D0C0B" w:rsidRPr="0050726A">
        <w:rPr>
          <w:rFonts w:asciiTheme="minorHAnsi" w:hAnsiTheme="minorHAnsi"/>
        </w:rPr>
        <w:t xml:space="preserve">ing </w:t>
      </w:r>
      <w:r w:rsidR="00AE009F" w:rsidRPr="0050726A">
        <w:rPr>
          <w:rFonts w:asciiTheme="minorHAnsi" w:hAnsiTheme="minorHAnsi"/>
        </w:rPr>
        <w:t xml:space="preserve">precisely because it appears to </w:t>
      </w:r>
      <w:r w:rsidRPr="0050726A">
        <w:rPr>
          <w:rFonts w:asciiTheme="minorHAnsi" w:hAnsiTheme="minorHAnsi"/>
        </w:rPr>
        <w:t>offer empirical validation for a broader</w:t>
      </w:r>
      <w:r w:rsidR="00AE009F" w:rsidRPr="0050726A">
        <w:rPr>
          <w:rFonts w:asciiTheme="minorHAnsi" w:hAnsiTheme="minorHAnsi"/>
        </w:rPr>
        <w:t xml:space="preserve"> narrative of dynamism</w:t>
      </w:r>
      <w:r w:rsidR="00C05E05" w:rsidRPr="0050726A">
        <w:rPr>
          <w:rFonts w:asciiTheme="minorHAnsi" w:hAnsiTheme="minorHAnsi"/>
        </w:rPr>
        <w:t xml:space="preserve"> in a world disillusioned with the UNFCCC process.</w:t>
      </w:r>
      <w:r w:rsidR="00C11347" w:rsidRPr="0050726A">
        <w:rPr>
          <w:rFonts w:asciiTheme="minorHAnsi" w:eastAsia="Times New Roman" w:hAnsiTheme="minorHAnsi"/>
          <w:vertAlign w:val="superscript"/>
        </w:rPr>
        <w:t>4, 20</w:t>
      </w:r>
      <w:r w:rsidR="00A027E3" w:rsidRPr="0050726A">
        <w:rPr>
          <w:rFonts w:asciiTheme="minorHAnsi" w:hAnsiTheme="minorHAnsi"/>
        </w:rPr>
        <w:t xml:space="preserve"> </w:t>
      </w:r>
      <w:r w:rsidR="001C0288" w:rsidRPr="0050726A">
        <w:rPr>
          <w:rFonts w:asciiTheme="minorHAnsi" w:hAnsiTheme="minorHAnsi"/>
        </w:rPr>
        <w:t xml:space="preserve">However, </w:t>
      </w:r>
      <w:r w:rsidR="00714964" w:rsidRPr="0050726A">
        <w:rPr>
          <w:rFonts w:asciiTheme="minorHAnsi" w:hAnsiTheme="minorHAnsi"/>
        </w:rPr>
        <w:t xml:space="preserve">we believe that </w:t>
      </w:r>
      <w:r w:rsidR="001C0288" w:rsidRPr="0050726A">
        <w:rPr>
          <w:rFonts w:asciiTheme="minorHAnsi" w:hAnsiTheme="minorHAnsi"/>
        </w:rPr>
        <w:t>t</w:t>
      </w:r>
      <w:r w:rsidR="00AE009F" w:rsidRPr="0050726A">
        <w:rPr>
          <w:rFonts w:asciiTheme="minorHAnsi" w:hAnsiTheme="minorHAnsi"/>
        </w:rPr>
        <w:t>he challenge</w:t>
      </w:r>
      <w:r w:rsidR="003E43DB" w:rsidRPr="0050726A">
        <w:rPr>
          <w:rFonts w:asciiTheme="minorHAnsi" w:hAnsiTheme="minorHAnsi"/>
        </w:rPr>
        <w:t xml:space="preserve"> </w:t>
      </w:r>
      <w:r w:rsidR="00714964" w:rsidRPr="0050726A">
        <w:rPr>
          <w:rFonts w:asciiTheme="minorHAnsi" w:hAnsiTheme="minorHAnsi"/>
        </w:rPr>
        <w:t xml:space="preserve">confronting scholars of the ‘new’ governance </w:t>
      </w:r>
      <w:r w:rsidR="00AE009F" w:rsidRPr="0050726A">
        <w:rPr>
          <w:rFonts w:asciiTheme="minorHAnsi" w:hAnsiTheme="minorHAnsi"/>
        </w:rPr>
        <w:t xml:space="preserve">is to ensure </w:t>
      </w:r>
      <w:r w:rsidR="00CA1B10" w:rsidRPr="0050726A">
        <w:rPr>
          <w:rFonts w:asciiTheme="minorHAnsi" w:hAnsiTheme="minorHAnsi"/>
        </w:rPr>
        <w:t xml:space="preserve">that </w:t>
      </w:r>
      <w:r w:rsidR="00AE009F" w:rsidRPr="0050726A">
        <w:rPr>
          <w:rFonts w:asciiTheme="minorHAnsi" w:hAnsiTheme="minorHAnsi"/>
        </w:rPr>
        <w:t>th</w:t>
      </w:r>
      <w:r w:rsidR="00714964" w:rsidRPr="0050726A">
        <w:rPr>
          <w:rFonts w:asciiTheme="minorHAnsi" w:hAnsiTheme="minorHAnsi"/>
        </w:rPr>
        <w:t xml:space="preserve">is </w:t>
      </w:r>
      <w:r w:rsidR="002A3FF3" w:rsidRPr="0050726A">
        <w:rPr>
          <w:rFonts w:asciiTheme="minorHAnsi" w:hAnsiTheme="minorHAnsi"/>
        </w:rPr>
        <w:t xml:space="preserve">positive </w:t>
      </w:r>
      <w:r w:rsidR="00A93515" w:rsidRPr="0050726A">
        <w:rPr>
          <w:rFonts w:asciiTheme="minorHAnsi" w:hAnsiTheme="minorHAnsi"/>
        </w:rPr>
        <w:t xml:space="preserve">narrative </w:t>
      </w:r>
      <w:r w:rsidR="00AE009F" w:rsidRPr="0050726A">
        <w:rPr>
          <w:rFonts w:asciiTheme="minorHAnsi" w:hAnsiTheme="minorHAnsi"/>
        </w:rPr>
        <w:t xml:space="preserve">remains empirically informed </w:t>
      </w:r>
      <w:r w:rsidR="00CA1B10" w:rsidRPr="0050726A">
        <w:rPr>
          <w:rFonts w:asciiTheme="minorHAnsi" w:hAnsiTheme="minorHAnsi"/>
        </w:rPr>
        <w:t xml:space="preserve">and </w:t>
      </w:r>
      <w:r w:rsidR="00AE009F" w:rsidRPr="0050726A">
        <w:rPr>
          <w:rFonts w:asciiTheme="minorHAnsi" w:hAnsiTheme="minorHAnsi"/>
        </w:rPr>
        <w:t xml:space="preserve">attentive to the tendency </w:t>
      </w:r>
      <w:r w:rsidR="00F80CDB" w:rsidRPr="0050726A">
        <w:rPr>
          <w:rFonts w:asciiTheme="minorHAnsi" w:hAnsiTheme="minorHAnsi"/>
        </w:rPr>
        <w:t xml:space="preserve">for </w:t>
      </w:r>
      <w:r w:rsidR="003E43DB" w:rsidRPr="0050726A">
        <w:rPr>
          <w:rFonts w:asciiTheme="minorHAnsi" w:hAnsiTheme="minorHAnsi"/>
        </w:rPr>
        <w:t>over</w:t>
      </w:r>
      <w:r w:rsidR="003C7577" w:rsidRPr="0050726A">
        <w:rPr>
          <w:rFonts w:asciiTheme="minorHAnsi" w:hAnsiTheme="minorHAnsi"/>
        </w:rPr>
        <w:t>-</w:t>
      </w:r>
      <w:r w:rsidR="003E43DB" w:rsidRPr="0050726A">
        <w:rPr>
          <w:rFonts w:asciiTheme="minorHAnsi" w:hAnsiTheme="minorHAnsi"/>
        </w:rPr>
        <w:t xml:space="preserve">enthusiasm </w:t>
      </w:r>
      <w:r w:rsidR="00F80CDB" w:rsidRPr="0050726A">
        <w:rPr>
          <w:rFonts w:asciiTheme="minorHAnsi" w:hAnsiTheme="minorHAnsi"/>
        </w:rPr>
        <w:t xml:space="preserve">to </w:t>
      </w:r>
      <w:r w:rsidR="00AE009F" w:rsidRPr="0050726A">
        <w:rPr>
          <w:rFonts w:asciiTheme="minorHAnsi" w:hAnsiTheme="minorHAnsi"/>
        </w:rPr>
        <w:t xml:space="preserve">creep into </w:t>
      </w:r>
      <w:r w:rsidR="002E3595" w:rsidRPr="0050726A">
        <w:rPr>
          <w:rFonts w:asciiTheme="minorHAnsi" w:hAnsiTheme="minorHAnsi"/>
        </w:rPr>
        <w:t>studies of innovative activity</w:t>
      </w:r>
      <w:r w:rsidR="00AE009F" w:rsidRPr="0050726A">
        <w:rPr>
          <w:rFonts w:asciiTheme="minorHAnsi" w:hAnsiTheme="minorHAnsi"/>
        </w:rPr>
        <w:t>.</w:t>
      </w:r>
      <w:r w:rsidR="00C11347" w:rsidRPr="0050726A">
        <w:rPr>
          <w:rFonts w:asciiTheme="minorHAnsi" w:eastAsia="Times New Roman" w:hAnsiTheme="minorHAnsi"/>
          <w:vertAlign w:val="superscript"/>
        </w:rPr>
        <w:t>21</w:t>
      </w:r>
    </w:p>
    <w:p w14:paraId="49F5E427" w14:textId="77777777" w:rsidR="00714964" w:rsidRPr="0050726A" w:rsidRDefault="00714964" w:rsidP="00714964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</w:rPr>
      </w:pPr>
    </w:p>
    <w:p w14:paraId="793E822F" w14:textId="128CE06B" w:rsidR="00714964" w:rsidRPr="0050726A" w:rsidRDefault="00CA1B10" w:rsidP="00714964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</w:rPr>
      </w:pPr>
      <w:r w:rsidRPr="0050726A">
        <w:rPr>
          <w:rFonts w:asciiTheme="minorHAnsi" w:hAnsiTheme="minorHAnsi"/>
        </w:rPr>
        <w:t xml:space="preserve">In this article </w:t>
      </w:r>
      <w:r w:rsidR="00AE009F" w:rsidRPr="0050726A">
        <w:rPr>
          <w:rFonts w:asciiTheme="minorHAnsi" w:hAnsiTheme="minorHAnsi"/>
        </w:rPr>
        <w:t xml:space="preserve">we </w:t>
      </w:r>
      <w:r w:rsidR="00A93515" w:rsidRPr="0050726A">
        <w:rPr>
          <w:rFonts w:asciiTheme="minorHAnsi" w:hAnsiTheme="minorHAnsi"/>
        </w:rPr>
        <w:t xml:space="preserve">directly address </w:t>
      </w:r>
      <w:r w:rsidRPr="0050726A">
        <w:rPr>
          <w:rFonts w:asciiTheme="minorHAnsi" w:hAnsiTheme="minorHAnsi"/>
        </w:rPr>
        <w:t>th</w:t>
      </w:r>
      <w:r w:rsidR="002048F6" w:rsidRPr="0050726A">
        <w:rPr>
          <w:rFonts w:asciiTheme="minorHAnsi" w:hAnsiTheme="minorHAnsi"/>
        </w:rPr>
        <w:t xml:space="preserve">e challenge of ensuring that </w:t>
      </w:r>
      <w:r w:rsidR="00705321" w:rsidRPr="0050726A">
        <w:rPr>
          <w:rFonts w:asciiTheme="minorHAnsi" w:hAnsiTheme="minorHAnsi"/>
        </w:rPr>
        <w:t>expectations remain informed</w:t>
      </w:r>
      <w:r w:rsidR="00C05E05" w:rsidRPr="0050726A">
        <w:rPr>
          <w:rFonts w:asciiTheme="minorHAnsi" w:hAnsiTheme="minorHAnsi"/>
        </w:rPr>
        <w:t xml:space="preserve"> by evidence</w:t>
      </w:r>
      <w:r w:rsidR="00705321" w:rsidRPr="0050726A">
        <w:rPr>
          <w:rFonts w:asciiTheme="minorHAnsi" w:hAnsiTheme="minorHAnsi"/>
        </w:rPr>
        <w:t xml:space="preserve"> </w:t>
      </w:r>
      <w:r w:rsidR="00AE009F" w:rsidRPr="0050726A">
        <w:rPr>
          <w:rFonts w:asciiTheme="minorHAnsi" w:hAnsiTheme="minorHAnsi"/>
        </w:rPr>
        <w:t xml:space="preserve">by </w:t>
      </w:r>
      <w:r w:rsidRPr="0050726A">
        <w:rPr>
          <w:rFonts w:asciiTheme="minorHAnsi" w:hAnsiTheme="minorHAnsi"/>
        </w:rPr>
        <w:t xml:space="preserve">critically </w:t>
      </w:r>
      <w:r w:rsidR="00AE009F" w:rsidRPr="0050726A">
        <w:rPr>
          <w:rFonts w:asciiTheme="minorHAnsi" w:hAnsiTheme="minorHAnsi"/>
        </w:rPr>
        <w:t>reflecting on the opportunities created by</w:t>
      </w:r>
      <w:r w:rsidR="003C7577" w:rsidRPr="0050726A">
        <w:rPr>
          <w:rFonts w:asciiTheme="minorHAnsi" w:hAnsiTheme="minorHAnsi"/>
        </w:rPr>
        <w:t>,</w:t>
      </w:r>
      <w:r w:rsidR="00AE009F" w:rsidRPr="0050726A">
        <w:rPr>
          <w:rFonts w:asciiTheme="minorHAnsi" w:hAnsiTheme="minorHAnsi"/>
        </w:rPr>
        <w:t xml:space="preserve"> and the limitations inherent in</w:t>
      </w:r>
      <w:r w:rsidR="003C7577" w:rsidRPr="0050726A">
        <w:rPr>
          <w:rFonts w:asciiTheme="minorHAnsi" w:hAnsiTheme="minorHAnsi"/>
        </w:rPr>
        <w:t>,</w:t>
      </w:r>
      <w:r w:rsidR="00AE009F" w:rsidRPr="0050726A">
        <w:rPr>
          <w:rFonts w:asciiTheme="minorHAnsi" w:hAnsiTheme="minorHAnsi"/>
        </w:rPr>
        <w:t xml:space="preserve"> </w:t>
      </w:r>
      <w:r w:rsidRPr="0050726A">
        <w:rPr>
          <w:rFonts w:asciiTheme="minorHAnsi" w:hAnsiTheme="minorHAnsi"/>
        </w:rPr>
        <w:t xml:space="preserve">the ‘new’ forms of </w:t>
      </w:r>
      <w:r w:rsidR="00AE009F" w:rsidRPr="0050726A">
        <w:rPr>
          <w:rFonts w:asciiTheme="minorHAnsi" w:hAnsiTheme="minorHAnsi"/>
        </w:rPr>
        <w:t xml:space="preserve">governing. </w:t>
      </w:r>
      <w:r w:rsidR="009916D3" w:rsidRPr="0050726A">
        <w:rPr>
          <w:rFonts w:asciiTheme="minorHAnsi" w:hAnsiTheme="minorHAnsi"/>
        </w:rPr>
        <w:t>We</w:t>
      </w:r>
      <w:r w:rsidR="00AE009F" w:rsidRPr="0050726A">
        <w:rPr>
          <w:rFonts w:asciiTheme="minorHAnsi" w:hAnsiTheme="minorHAnsi"/>
        </w:rPr>
        <w:t xml:space="preserve"> </w:t>
      </w:r>
      <w:r w:rsidR="00714964" w:rsidRPr="0050726A">
        <w:rPr>
          <w:rFonts w:asciiTheme="minorHAnsi" w:hAnsiTheme="minorHAnsi"/>
        </w:rPr>
        <w:t xml:space="preserve">draw upon </w:t>
      </w:r>
      <w:r w:rsidR="006C6BAB" w:rsidRPr="0050726A">
        <w:rPr>
          <w:rFonts w:asciiTheme="minorHAnsi" w:hAnsiTheme="minorHAnsi"/>
        </w:rPr>
        <w:t xml:space="preserve">insights from </w:t>
      </w:r>
      <w:r w:rsidRPr="0050726A">
        <w:rPr>
          <w:rFonts w:asciiTheme="minorHAnsi" w:hAnsiTheme="minorHAnsi"/>
        </w:rPr>
        <w:t xml:space="preserve">two </w:t>
      </w:r>
      <w:r w:rsidR="00B14BC1" w:rsidRPr="0050726A">
        <w:rPr>
          <w:rFonts w:asciiTheme="minorHAnsi" w:hAnsiTheme="minorHAnsi"/>
        </w:rPr>
        <w:t xml:space="preserve">even more </w:t>
      </w:r>
      <w:r w:rsidR="00714964" w:rsidRPr="0050726A">
        <w:rPr>
          <w:rFonts w:asciiTheme="minorHAnsi" w:hAnsiTheme="minorHAnsi"/>
        </w:rPr>
        <w:t xml:space="preserve">recent </w:t>
      </w:r>
      <w:r w:rsidR="00AE009F" w:rsidRPr="0050726A">
        <w:rPr>
          <w:rFonts w:asciiTheme="minorHAnsi" w:hAnsiTheme="minorHAnsi"/>
        </w:rPr>
        <w:t>strands of research</w:t>
      </w:r>
      <w:r w:rsidRPr="0050726A">
        <w:rPr>
          <w:rFonts w:asciiTheme="minorHAnsi" w:hAnsiTheme="minorHAnsi"/>
        </w:rPr>
        <w:t>,</w:t>
      </w:r>
      <w:r w:rsidR="00AE009F" w:rsidRPr="0050726A">
        <w:rPr>
          <w:rFonts w:asciiTheme="minorHAnsi" w:hAnsiTheme="minorHAnsi"/>
        </w:rPr>
        <w:t xml:space="preserve"> </w:t>
      </w:r>
      <w:r w:rsidRPr="0050726A">
        <w:rPr>
          <w:rFonts w:asciiTheme="minorHAnsi" w:hAnsiTheme="minorHAnsi"/>
        </w:rPr>
        <w:t xml:space="preserve">broadly covering </w:t>
      </w:r>
      <w:r w:rsidR="00745D2B" w:rsidRPr="0050726A">
        <w:rPr>
          <w:rFonts w:asciiTheme="minorHAnsi" w:hAnsiTheme="minorHAnsi"/>
        </w:rPr>
        <w:t xml:space="preserve">the </w:t>
      </w:r>
      <w:r w:rsidRPr="0050726A">
        <w:rPr>
          <w:rFonts w:asciiTheme="minorHAnsi" w:hAnsiTheme="minorHAnsi"/>
        </w:rPr>
        <w:t xml:space="preserve">national </w:t>
      </w:r>
      <w:r w:rsidR="005B4BC5" w:rsidRPr="0050726A">
        <w:rPr>
          <w:rFonts w:asciiTheme="minorHAnsi" w:hAnsiTheme="minorHAnsi"/>
        </w:rPr>
        <w:t xml:space="preserve">(including sub-national) </w:t>
      </w:r>
      <w:r w:rsidRPr="0050726A">
        <w:rPr>
          <w:rFonts w:asciiTheme="minorHAnsi" w:hAnsiTheme="minorHAnsi"/>
        </w:rPr>
        <w:t xml:space="preserve">and </w:t>
      </w:r>
      <w:r w:rsidR="002D6694" w:rsidRPr="0050726A">
        <w:rPr>
          <w:rFonts w:asciiTheme="minorHAnsi" w:hAnsiTheme="minorHAnsi"/>
        </w:rPr>
        <w:t xml:space="preserve">the </w:t>
      </w:r>
      <w:r w:rsidRPr="0050726A">
        <w:rPr>
          <w:rFonts w:asciiTheme="minorHAnsi" w:hAnsiTheme="minorHAnsi"/>
        </w:rPr>
        <w:t xml:space="preserve">transnational </w:t>
      </w:r>
      <w:r w:rsidR="00745D2B" w:rsidRPr="0050726A">
        <w:rPr>
          <w:rFonts w:asciiTheme="minorHAnsi" w:hAnsiTheme="minorHAnsi"/>
        </w:rPr>
        <w:t>domains</w:t>
      </w:r>
      <w:r w:rsidR="00774BA8" w:rsidRPr="0050726A">
        <w:rPr>
          <w:rFonts w:asciiTheme="minorHAnsi" w:hAnsiTheme="minorHAnsi"/>
        </w:rPr>
        <w:t>,</w:t>
      </w:r>
      <w:r w:rsidR="006C6BAB" w:rsidRPr="0050726A">
        <w:rPr>
          <w:rFonts w:asciiTheme="minorHAnsi" w:hAnsiTheme="minorHAnsi"/>
        </w:rPr>
        <w:t xml:space="preserve"> </w:t>
      </w:r>
      <w:r w:rsidR="00714964" w:rsidRPr="0050726A">
        <w:rPr>
          <w:rFonts w:asciiTheme="minorHAnsi" w:hAnsiTheme="minorHAnsi"/>
        </w:rPr>
        <w:t xml:space="preserve">and relate them to the findings </w:t>
      </w:r>
      <w:r w:rsidR="00110BF4" w:rsidRPr="0050726A">
        <w:rPr>
          <w:rFonts w:asciiTheme="minorHAnsi" w:hAnsiTheme="minorHAnsi"/>
        </w:rPr>
        <w:t xml:space="preserve">emerging from </w:t>
      </w:r>
      <w:r w:rsidR="003E43DB" w:rsidRPr="0050726A">
        <w:rPr>
          <w:rFonts w:asciiTheme="minorHAnsi" w:hAnsiTheme="minorHAnsi"/>
        </w:rPr>
        <w:t xml:space="preserve">the </w:t>
      </w:r>
      <w:r w:rsidR="007F0B5F" w:rsidRPr="0050726A">
        <w:rPr>
          <w:rFonts w:asciiTheme="minorHAnsi" w:hAnsiTheme="minorHAnsi"/>
        </w:rPr>
        <w:t xml:space="preserve">first (and </w:t>
      </w:r>
      <w:r w:rsidR="00110BF4" w:rsidRPr="0050726A">
        <w:rPr>
          <w:rFonts w:asciiTheme="minorHAnsi" w:hAnsiTheme="minorHAnsi"/>
        </w:rPr>
        <w:t>much older</w:t>
      </w:r>
      <w:r w:rsidR="007F0B5F" w:rsidRPr="0050726A">
        <w:rPr>
          <w:rFonts w:asciiTheme="minorHAnsi" w:hAnsiTheme="minorHAnsi"/>
        </w:rPr>
        <w:t>)</w:t>
      </w:r>
      <w:r w:rsidR="00110BF4" w:rsidRPr="0050726A">
        <w:rPr>
          <w:rFonts w:asciiTheme="minorHAnsi" w:hAnsiTheme="minorHAnsi"/>
        </w:rPr>
        <w:t xml:space="preserve"> </w:t>
      </w:r>
      <w:r w:rsidRPr="0050726A">
        <w:rPr>
          <w:rFonts w:asciiTheme="minorHAnsi" w:hAnsiTheme="minorHAnsi"/>
        </w:rPr>
        <w:t xml:space="preserve">strand of work </w:t>
      </w:r>
      <w:r w:rsidR="007F0B5F" w:rsidRPr="0050726A">
        <w:rPr>
          <w:rFonts w:asciiTheme="minorHAnsi" w:hAnsiTheme="minorHAnsi"/>
        </w:rPr>
        <w:t xml:space="preserve">on international / global governance </w:t>
      </w:r>
      <w:r w:rsidRPr="0050726A">
        <w:rPr>
          <w:rFonts w:asciiTheme="minorHAnsi" w:hAnsiTheme="minorHAnsi"/>
        </w:rPr>
        <w:t>noted above</w:t>
      </w:r>
      <w:r w:rsidR="00774BA8" w:rsidRPr="0050726A">
        <w:rPr>
          <w:rFonts w:asciiTheme="minorHAnsi" w:hAnsiTheme="minorHAnsi"/>
        </w:rPr>
        <w:t xml:space="preserve">. </w:t>
      </w:r>
      <w:r w:rsidR="00714964" w:rsidRPr="0050726A">
        <w:rPr>
          <w:rFonts w:asciiTheme="minorHAnsi" w:hAnsiTheme="minorHAnsi"/>
        </w:rPr>
        <w:t>We argue that much deeper c</w:t>
      </w:r>
      <w:r w:rsidR="006C6BAB" w:rsidRPr="0050726A">
        <w:rPr>
          <w:rFonts w:asciiTheme="minorHAnsi" w:hAnsiTheme="minorHAnsi"/>
        </w:rPr>
        <w:t xml:space="preserve">onnections </w:t>
      </w:r>
      <w:r w:rsidR="00714964" w:rsidRPr="0050726A">
        <w:rPr>
          <w:rFonts w:asciiTheme="minorHAnsi" w:hAnsiTheme="minorHAnsi"/>
        </w:rPr>
        <w:t>between the</w:t>
      </w:r>
      <w:r w:rsidR="002D6694" w:rsidRPr="0050726A">
        <w:rPr>
          <w:rFonts w:asciiTheme="minorHAnsi" w:hAnsiTheme="minorHAnsi"/>
        </w:rPr>
        <w:t>m</w:t>
      </w:r>
      <w:r w:rsidR="00714964" w:rsidRPr="0050726A">
        <w:rPr>
          <w:rFonts w:asciiTheme="minorHAnsi" w:hAnsiTheme="minorHAnsi"/>
        </w:rPr>
        <w:t xml:space="preserve"> </w:t>
      </w:r>
      <w:r w:rsidR="00774BA8" w:rsidRPr="0050726A">
        <w:rPr>
          <w:rFonts w:asciiTheme="minorHAnsi" w:hAnsiTheme="minorHAnsi"/>
        </w:rPr>
        <w:t xml:space="preserve">are needed </w:t>
      </w:r>
      <w:r w:rsidR="00933293" w:rsidRPr="0050726A">
        <w:rPr>
          <w:rFonts w:asciiTheme="minorHAnsi" w:hAnsiTheme="minorHAnsi"/>
        </w:rPr>
        <w:t xml:space="preserve">to </w:t>
      </w:r>
      <w:r w:rsidR="00A04383" w:rsidRPr="0050726A">
        <w:rPr>
          <w:rFonts w:asciiTheme="minorHAnsi" w:hAnsiTheme="minorHAnsi"/>
        </w:rPr>
        <w:t>understand</w:t>
      </w:r>
      <w:r w:rsidR="006C6BAB" w:rsidRPr="0050726A">
        <w:rPr>
          <w:rFonts w:asciiTheme="minorHAnsi" w:hAnsiTheme="minorHAnsi"/>
        </w:rPr>
        <w:t xml:space="preserve"> </w:t>
      </w:r>
      <w:r w:rsidR="003C7577" w:rsidRPr="0050726A">
        <w:rPr>
          <w:rFonts w:asciiTheme="minorHAnsi" w:hAnsiTheme="minorHAnsi"/>
        </w:rPr>
        <w:t xml:space="preserve">better </w:t>
      </w:r>
      <w:r w:rsidR="006C6BAB" w:rsidRPr="0050726A">
        <w:rPr>
          <w:rFonts w:asciiTheme="minorHAnsi" w:hAnsiTheme="minorHAnsi"/>
        </w:rPr>
        <w:t xml:space="preserve">the </w:t>
      </w:r>
      <w:r w:rsidR="00774BA8" w:rsidRPr="0050726A">
        <w:rPr>
          <w:rFonts w:asciiTheme="minorHAnsi" w:hAnsiTheme="minorHAnsi"/>
        </w:rPr>
        <w:t xml:space="preserve">opportunities and pitfalls of </w:t>
      </w:r>
      <w:r w:rsidR="002D6694" w:rsidRPr="0050726A">
        <w:rPr>
          <w:rFonts w:asciiTheme="minorHAnsi" w:hAnsiTheme="minorHAnsi"/>
        </w:rPr>
        <w:t xml:space="preserve">both </w:t>
      </w:r>
      <w:r w:rsidR="00774BA8" w:rsidRPr="0050726A">
        <w:rPr>
          <w:rFonts w:asciiTheme="minorHAnsi" w:hAnsiTheme="minorHAnsi"/>
        </w:rPr>
        <w:t xml:space="preserve">the </w:t>
      </w:r>
      <w:r w:rsidR="00714964" w:rsidRPr="0050726A">
        <w:rPr>
          <w:rFonts w:asciiTheme="minorHAnsi" w:hAnsiTheme="minorHAnsi"/>
        </w:rPr>
        <w:t>‘</w:t>
      </w:r>
      <w:r w:rsidR="006C6BAB" w:rsidRPr="0050726A">
        <w:rPr>
          <w:rFonts w:asciiTheme="minorHAnsi" w:hAnsiTheme="minorHAnsi"/>
        </w:rPr>
        <w:t>new</w:t>
      </w:r>
      <w:r w:rsidR="00714964" w:rsidRPr="0050726A">
        <w:rPr>
          <w:rFonts w:asciiTheme="minorHAnsi" w:hAnsiTheme="minorHAnsi"/>
        </w:rPr>
        <w:t>’</w:t>
      </w:r>
      <w:r w:rsidR="006C6BAB" w:rsidRPr="0050726A">
        <w:rPr>
          <w:rFonts w:asciiTheme="minorHAnsi" w:hAnsiTheme="minorHAnsi"/>
        </w:rPr>
        <w:t xml:space="preserve"> </w:t>
      </w:r>
      <w:r w:rsidR="00B14BC1" w:rsidRPr="0050726A">
        <w:rPr>
          <w:rFonts w:asciiTheme="minorHAnsi" w:hAnsiTheme="minorHAnsi"/>
        </w:rPr>
        <w:t xml:space="preserve">and the older </w:t>
      </w:r>
      <w:r w:rsidR="006C6BAB" w:rsidRPr="0050726A">
        <w:rPr>
          <w:rFonts w:asciiTheme="minorHAnsi" w:hAnsiTheme="minorHAnsi"/>
        </w:rPr>
        <w:t>climate governance</w:t>
      </w:r>
      <w:r w:rsidR="00AE009F" w:rsidRPr="0050726A">
        <w:rPr>
          <w:rFonts w:asciiTheme="minorHAnsi" w:hAnsiTheme="minorHAnsi"/>
        </w:rPr>
        <w:t xml:space="preserve">. </w:t>
      </w:r>
      <w:r w:rsidR="00714964" w:rsidRPr="0050726A">
        <w:rPr>
          <w:rFonts w:asciiTheme="minorHAnsi" w:hAnsiTheme="minorHAnsi"/>
        </w:rPr>
        <w:t>To that end, w</w:t>
      </w:r>
      <w:r w:rsidR="00AE009F" w:rsidRPr="0050726A">
        <w:rPr>
          <w:rFonts w:asciiTheme="minorHAnsi" w:hAnsiTheme="minorHAnsi"/>
        </w:rPr>
        <w:t xml:space="preserve">e </w:t>
      </w:r>
      <w:r w:rsidR="002D6694" w:rsidRPr="0050726A">
        <w:rPr>
          <w:rFonts w:asciiTheme="minorHAnsi" w:hAnsiTheme="minorHAnsi"/>
        </w:rPr>
        <w:t>reveal</w:t>
      </w:r>
      <w:r w:rsidR="00AE009F" w:rsidRPr="0050726A">
        <w:rPr>
          <w:rFonts w:asciiTheme="minorHAnsi" w:hAnsiTheme="minorHAnsi"/>
        </w:rPr>
        <w:t xml:space="preserve"> that </w:t>
      </w:r>
      <w:r w:rsidR="00714964" w:rsidRPr="0050726A">
        <w:rPr>
          <w:rFonts w:asciiTheme="minorHAnsi" w:hAnsiTheme="minorHAnsi"/>
        </w:rPr>
        <w:t xml:space="preserve">existing work on the ‘new’ governance has </w:t>
      </w:r>
      <w:r w:rsidR="00AE009F" w:rsidRPr="0050726A">
        <w:rPr>
          <w:rFonts w:asciiTheme="minorHAnsi" w:hAnsiTheme="minorHAnsi"/>
        </w:rPr>
        <w:t xml:space="preserve">uncovered many new and important insights, but </w:t>
      </w:r>
      <w:r w:rsidR="002D6694" w:rsidRPr="0050726A">
        <w:rPr>
          <w:rFonts w:asciiTheme="minorHAnsi" w:hAnsiTheme="minorHAnsi"/>
        </w:rPr>
        <w:t xml:space="preserve">is yet </w:t>
      </w:r>
      <w:r w:rsidR="00AE009F" w:rsidRPr="0050726A">
        <w:rPr>
          <w:rFonts w:asciiTheme="minorHAnsi" w:hAnsiTheme="minorHAnsi"/>
        </w:rPr>
        <w:t xml:space="preserve">to comprehend the </w:t>
      </w:r>
      <w:r w:rsidR="00470E12" w:rsidRPr="0050726A">
        <w:rPr>
          <w:rFonts w:asciiTheme="minorHAnsi" w:hAnsiTheme="minorHAnsi"/>
        </w:rPr>
        <w:t>complex</w:t>
      </w:r>
      <w:r w:rsidR="00AE009F" w:rsidRPr="0050726A">
        <w:rPr>
          <w:rFonts w:asciiTheme="minorHAnsi" w:hAnsiTheme="minorHAnsi"/>
        </w:rPr>
        <w:t xml:space="preserve"> interconnections between </w:t>
      </w:r>
      <w:r w:rsidR="00745D2B" w:rsidRPr="0050726A">
        <w:rPr>
          <w:rFonts w:asciiTheme="minorHAnsi" w:hAnsiTheme="minorHAnsi"/>
        </w:rPr>
        <w:t xml:space="preserve">the </w:t>
      </w:r>
      <w:r w:rsidR="00774BA8" w:rsidRPr="0050726A">
        <w:rPr>
          <w:rFonts w:asciiTheme="minorHAnsi" w:hAnsiTheme="minorHAnsi"/>
        </w:rPr>
        <w:t xml:space="preserve">transnational, national and international </w:t>
      </w:r>
      <w:r w:rsidR="00745D2B" w:rsidRPr="0050726A">
        <w:rPr>
          <w:rFonts w:asciiTheme="minorHAnsi" w:hAnsiTheme="minorHAnsi"/>
        </w:rPr>
        <w:t>domains</w:t>
      </w:r>
      <w:r w:rsidR="00714964" w:rsidRPr="0050726A">
        <w:rPr>
          <w:rFonts w:asciiTheme="minorHAnsi" w:hAnsiTheme="minorHAnsi"/>
        </w:rPr>
        <w:t>.</w:t>
      </w:r>
    </w:p>
    <w:p w14:paraId="6E1532FE" w14:textId="77777777" w:rsidR="00714964" w:rsidRPr="0050726A" w:rsidRDefault="00714964" w:rsidP="00714964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</w:rPr>
      </w:pPr>
    </w:p>
    <w:p w14:paraId="3E522618" w14:textId="776C4971" w:rsidR="00AE009F" w:rsidRPr="0050726A" w:rsidRDefault="00AE009F" w:rsidP="00714964">
      <w:pPr>
        <w:pStyle w:val="Default"/>
        <w:tabs>
          <w:tab w:val="left" w:pos="8505"/>
        </w:tabs>
        <w:spacing w:line="480" w:lineRule="auto"/>
        <w:ind w:right="-330"/>
        <w:jc w:val="both"/>
        <w:rPr>
          <w:rFonts w:asciiTheme="minorHAnsi" w:hAnsiTheme="minorHAnsi"/>
        </w:rPr>
      </w:pPr>
      <w:r w:rsidRPr="0050726A">
        <w:rPr>
          <w:rFonts w:asciiTheme="minorHAnsi" w:hAnsiTheme="minorHAnsi"/>
        </w:rPr>
        <w:lastRenderedPageBreak/>
        <w:t xml:space="preserve">In seeking to encourage </w:t>
      </w:r>
      <w:r w:rsidR="00470E12" w:rsidRPr="0050726A">
        <w:rPr>
          <w:rFonts w:asciiTheme="minorHAnsi" w:hAnsiTheme="minorHAnsi"/>
        </w:rPr>
        <w:t xml:space="preserve">a </w:t>
      </w:r>
      <w:r w:rsidRPr="0050726A">
        <w:rPr>
          <w:rFonts w:asciiTheme="minorHAnsi" w:hAnsiTheme="minorHAnsi"/>
        </w:rPr>
        <w:t xml:space="preserve">more holistic </w:t>
      </w:r>
      <w:r w:rsidR="00774BA8" w:rsidRPr="0050726A">
        <w:rPr>
          <w:rFonts w:asciiTheme="minorHAnsi" w:hAnsiTheme="minorHAnsi"/>
        </w:rPr>
        <w:t xml:space="preserve">and reflexive </w:t>
      </w:r>
      <w:r w:rsidR="005A08EB" w:rsidRPr="0050726A">
        <w:rPr>
          <w:rFonts w:asciiTheme="minorHAnsi" w:hAnsiTheme="minorHAnsi"/>
        </w:rPr>
        <w:t>understanding of climate governance</w:t>
      </w:r>
      <w:r w:rsidR="00A60163" w:rsidRPr="0050726A">
        <w:rPr>
          <w:rFonts w:asciiTheme="minorHAnsi" w:hAnsiTheme="minorHAnsi"/>
        </w:rPr>
        <w:t>,</w:t>
      </w:r>
      <w:r w:rsidR="0009675B" w:rsidRPr="0050726A">
        <w:rPr>
          <w:rFonts w:asciiTheme="minorHAnsi" w:hAnsiTheme="minorHAnsi"/>
        </w:rPr>
        <w:t xml:space="preserve"> </w:t>
      </w:r>
      <w:r w:rsidR="00714964" w:rsidRPr="0050726A">
        <w:rPr>
          <w:rFonts w:asciiTheme="minorHAnsi" w:hAnsiTheme="minorHAnsi"/>
        </w:rPr>
        <w:t>we examine how far the</w:t>
      </w:r>
      <w:r w:rsidR="002D6694" w:rsidRPr="0050726A">
        <w:rPr>
          <w:rFonts w:asciiTheme="minorHAnsi" w:hAnsiTheme="minorHAnsi"/>
        </w:rPr>
        <w:t xml:space="preserve"> three </w:t>
      </w:r>
      <w:r w:rsidR="00714964" w:rsidRPr="0050726A">
        <w:rPr>
          <w:rFonts w:asciiTheme="minorHAnsi" w:hAnsiTheme="minorHAnsi"/>
        </w:rPr>
        <w:t xml:space="preserve">strands </w:t>
      </w:r>
      <w:r w:rsidRPr="0050726A">
        <w:rPr>
          <w:rFonts w:asciiTheme="minorHAnsi" w:hAnsiTheme="minorHAnsi"/>
        </w:rPr>
        <w:t xml:space="preserve">address three </w:t>
      </w:r>
      <w:r w:rsidR="00774BA8" w:rsidRPr="0050726A">
        <w:rPr>
          <w:rFonts w:asciiTheme="minorHAnsi" w:hAnsiTheme="minorHAnsi"/>
        </w:rPr>
        <w:t>important</w:t>
      </w:r>
      <w:r w:rsidR="00714964" w:rsidRPr="0050726A">
        <w:rPr>
          <w:rFonts w:asciiTheme="minorHAnsi" w:hAnsiTheme="minorHAnsi"/>
        </w:rPr>
        <w:t>, cross-cutting</w:t>
      </w:r>
      <w:r w:rsidR="00774BA8" w:rsidRPr="0050726A">
        <w:rPr>
          <w:rFonts w:asciiTheme="minorHAnsi" w:hAnsiTheme="minorHAnsi"/>
        </w:rPr>
        <w:t xml:space="preserve"> </w:t>
      </w:r>
      <w:r w:rsidR="00714964" w:rsidRPr="0050726A">
        <w:rPr>
          <w:rFonts w:asciiTheme="minorHAnsi" w:hAnsiTheme="minorHAnsi"/>
        </w:rPr>
        <w:t>topics</w:t>
      </w:r>
      <w:r w:rsidRPr="0050726A">
        <w:rPr>
          <w:rFonts w:asciiTheme="minorHAnsi" w:hAnsiTheme="minorHAnsi"/>
        </w:rPr>
        <w:t>, relating to:</w:t>
      </w:r>
    </w:p>
    <w:p w14:paraId="708C4F3E" w14:textId="6908EE41" w:rsidR="00D811C1" w:rsidRPr="0050726A" w:rsidRDefault="00D811C1" w:rsidP="00716462">
      <w:pPr>
        <w:pStyle w:val="Default"/>
        <w:numPr>
          <w:ilvl w:val="0"/>
          <w:numId w:val="2"/>
        </w:numPr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i/>
          <w:color w:val="auto"/>
        </w:rPr>
        <w:t>Distribution</w:t>
      </w:r>
      <w:r w:rsidRPr="0050726A">
        <w:rPr>
          <w:rFonts w:asciiTheme="minorHAnsi" w:hAnsiTheme="minorHAnsi"/>
          <w:color w:val="auto"/>
        </w:rPr>
        <w:t xml:space="preserve">: what forms of governing are emerging, when and in which sectors and/or countries? </w:t>
      </w:r>
      <w:r w:rsidR="00983CF1" w:rsidRPr="0050726A">
        <w:rPr>
          <w:rFonts w:asciiTheme="minorHAnsi" w:hAnsiTheme="minorHAnsi"/>
          <w:color w:val="auto"/>
        </w:rPr>
        <w:t>H</w:t>
      </w:r>
      <w:r w:rsidRPr="0050726A">
        <w:rPr>
          <w:rFonts w:asciiTheme="minorHAnsi" w:hAnsiTheme="minorHAnsi"/>
          <w:color w:val="auto"/>
        </w:rPr>
        <w:t>ow ‘new’ are they?</w:t>
      </w:r>
    </w:p>
    <w:p w14:paraId="51C8E646" w14:textId="77777777" w:rsidR="0009675B" w:rsidRPr="0050726A" w:rsidRDefault="0009675B" w:rsidP="00716462">
      <w:pPr>
        <w:pStyle w:val="Default"/>
        <w:numPr>
          <w:ilvl w:val="0"/>
          <w:numId w:val="2"/>
        </w:numPr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i/>
          <w:color w:val="auto"/>
        </w:rPr>
        <w:t>Origins</w:t>
      </w:r>
      <w:r w:rsidR="00110BF4" w:rsidRPr="0050726A">
        <w:rPr>
          <w:rFonts w:asciiTheme="minorHAnsi" w:hAnsiTheme="minorHAnsi"/>
          <w:i/>
          <w:color w:val="auto"/>
        </w:rPr>
        <w:t xml:space="preserve">, invention and </w:t>
      </w:r>
      <w:r w:rsidRPr="0050726A">
        <w:rPr>
          <w:rFonts w:asciiTheme="minorHAnsi" w:hAnsiTheme="minorHAnsi"/>
          <w:i/>
          <w:color w:val="auto"/>
        </w:rPr>
        <w:t>initiation</w:t>
      </w:r>
      <w:r w:rsidRPr="0050726A">
        <w:rPr>
          <w:rFonts w:asciiTheme="minorHAnsi" w:hAnsiTheme="minorHAnsi"/>
          <w:color w:val="auto"/>
        </w:rPr>
        <w:t>: why are the</w:t>
      </w:r>
      <w:r w:rsidR="00470E12" w:rsidRPr="0050726A">
        <w:rPr>
          <w:rFonts w:asciiTheme="minorHAnsi" w:hAnsiTheme="minorHAnsi"/>
          <w:color w:val="auto"/>
        </w:rPr>
        <w:t xml:space="preserve"> </w:t>
      </w:r>
      <w:r w:rsidR="005A08EB" w:rsidRPr="0050726A">
        <w:rPr>
          <w:rFonts w:asciiTheme="minorHAnsi" w:hAnsiTheme="minorHAnsi"/>
          <w:color w:val="auto"/>
        </w:rPr>
        <w:t>‘</w:t>
      </w:r>
      <w:r w:rsidR="00470E12" w:rsidRPr="0050726A">
        <w:rPr>
          <w:rFonts w:asciiTheme="minorHAnsi" w:hAnsiTheme="minorHAnsi"/>
          <w:color w:val="auto"/>
        </w:rPr>
        <w:t>new</w:t>
      </w:r>
      <w:r w:rsidR="005A08EB" w:rsidRPr="0050726A">
        <w:rPr>
          <w:rFonts w:asciiTheme="minorHAnsi" w:hAnsiTheme="minorHAnsi"/>
          <w:color w:val="auto"/>
        </w:rPr>
        <w:t>’</w:t>
      </w:r>
      <w:r w:rsidR="00470E12" w:rsidRPr="0050726A">
        <w:rPr>
          <w:rFonts w:asciiTheme="minorHAnsi" w:hAnsiTheme="minorHAnsi"/>
          <w:color w:val="auto"/>
        </w:rPr>
        <w:t xml:space="preserve"> forms of governing </w:t>
      </w:r>
      <w:r w:rsidRPr="0050726A">
        <w:rPr>
          <w:rFonts w:asciiTheme="minorHAnsi" w:hAnsiTheme="minorHAnsi"/>
          <w:color w:val="auto"/>
        </w:rPr>
        <w:t>emerging and through which mechanisms are they diffusing and/or scaling up?</w:t>
      </w:r>
    </w:p>
    <w:p w14:paraId="2336E2E0" w14:textId="39CC5D53" w:rsidR="00AE009F" w:rsidRPr="0050726A" w:rsidRDefault="00AE009F" w:rsidP="00716462">
      <w:pPr>
        <w:pStyle w:val="Default"/>
        <w:numPr>
          <w:ilvl w:val="0"/>
          <w:numId w:val="2"/>
        </w:numPr>
        <w:spacing w:line="480" w:lineRule="auto"/>
        <w:ind w:right="-330"/>
        <w:jc w:val="both"/>
        <w:rPr>
          <w:rFonts w:asciiTheme="minorHAnsi" w:hAnsiTheme="minorHAnsi"/>
          <w:color w:val="auto"/>
        </w:rPr>
      </w:pPr>
      <w:r w:rsidRPr="0050726A">
        <w:rPr>
          <w:rFonts w:asciiTheme="minorHAnsi" w:hAnsiTheme="minorHAnsi"/>
          <w:i/>
          <w:color w:val="auto"/>
        </w:rPr>
        <w:t>Performance</w:t>
      </w:r>
      <w:r w:rsidRPr="0050726A">
        <w:rPr>
          <w:rFonts w:asciiTheme="minorHAnsi" w:hAnsiTheme="minorHAnsi"/>
          <w:color w:val="auto"/>
        </w:rPr>
        <w:t>: what do they actually add up to, for example in terms of emissions reduced?</w:t>
      </w:r>
      <w:r w:rsidR="00C11347" w:rsidRPr="0050726A">
        <w:rPr>
          <w:rFonts w:asciiTheme="minorHAnsi" w:eastAsia="Times New Roman" w:hAnsiTheme="minorHAnsi"/>
          <w:vertAlign w:val="superscript"/>
        </w:rPr>
        <w:t>22</w:t>
      </w:r>
      <w:r w:rsidRPr="0050726A">
        <w:rPr>
          <w:rFonts w:asciiTheme="minorHAnsi" w:hAnsiTheme="minorHAnsi"/>
          <w:color w:val="auto"/>
        </w:rPr>
        <w:t xml:space="preserve"> </w:t>
      </w:r>
      <w:r w:rsidR="004F69FD" w:rsidRPr="0050726A">
        <w:rPr>
          <w:rFonts w:asciiTheme="minorHAnsi" w:hAnsiTheme="minorHAnsi"/>
          <w:color w:val="auto"/>
        </w:rPr>
        <w:t>More broadly, a</w:t>
      </w:r>
      <w:r w:rsidRPr="0050726A">
        <w:rPr>
          <w:rFonts w:asciiTheme="minorHAnsi" w:hAnsiTheme="minorHAnsi"/>
          <w:color w:val="auto"/>
        </w:rPr>
        <w:t xml:space="preserve">re they </w:t>
      </w:r>
      <w:r w:rsidR="004F69FD" w:rsidRPr="0050726A">
        <w:rPr>
          <w:rFonts w:asciiTheme="minorHAnsi" w:hAnsiTheme="minorHAnsi"/>
          <w:color w:val="auto"/>
        </w:rPr>
        <w:t>filling</w:t>
      </w:r>
      <w:r w:rsidRPr="0050726A">
        <w:rPr>
          <w:rFonts w:asciiTheme="minorHAnsi" w:hAnsiTheme="minorHAnsi"/>
          <w:color w:val="auto"/>
        </w:rPr>
        <w:t xml:space="preserve"> “gaps” in the </w:t>
      </w:r>
      <w:r w:rsidR="00470E12" w:rsidRPr="0050726A">
        <w:rPr>
          <w:rFonts w:asciiTheme="minorHAnsi" w:hAnsiTheme="minorHAnsi"/>
          <w:color w:val="auto"/>
        </w:rPr>
        <w:t>regime</w:t>
      </w:r>
      <w:r w:rsidR="00C11347" w:rsidRPr="0050726A">
        <w:rPr>
          <w:rFonts w:asciiTheme="minorHAnsi" w:eastAsia="Times New Roman" w:hAnsiTheme="minorHAnsi"/>
          <w:vertAlign w:val="superscript"/>
        </w:rPr>
        <w:t>23</w:t>
      </w:r>
      <w:r w:rsidRPr="0050726A">
        <w:rPr>
          <w:rFonts w:asciiTheme="minorHAnsi" w:hAnsiTheme="minorHAnsi"/>
          <w:color w:val="auto"/>
        </w:rPr>
        <w:t xml:space="preserve"> or </w:t>
      </w:r>
      <w:r w:rsidR="004F69FD" w:rsidRPr="0050726A">
        <w:rPr>
          <w:rFonts w:asciiTheme="minorHAnsi" w:hAnsiTheme="minorHAnsi"/>
          <w:color w:val="auto"/>
        </w:rPr>
        <w:t>reproducing what is already there</w:t>
      </w:r>
      <w:r w:rsidRPr="0050726A">
        <w:rPr>
          <w:rFonts w:asciiTheme="minorHAnsi" w:hAnsiTheme="minorHAnsi"/>
          <w:color w:val="auto"/>
        </w:rPr>
        <w:t>?</w:t>
      </w:r>
    </w:p>
    <w:p w14:paraId="0BAA5DE1" w14:textId="77777777" w:rsidR="00AE009F" w:rsidRPr="0050726A" w:rsidRDefault="00AE009F" w:rsidP="00716462">
      <w:pPr>
        <w:pStyle w:val="Default"/>
        <w:spacing w:line="480" w:lineRule="auto"/>
        <w:ind w:left="720" w:right="-330"/>
        <w:jc w:val="both"/>
        <w:rPr>
          <w:rFonts w:asciiTheme="minorHAnsi" w:hAnsiTheme="minorHAnsi"/>
        </w:rPr>
      </w:pPr>
    </w:p>
    <w:p w14:paraId="21E0448D" w14:textId="520D6330" w:rsidR="00AE009F" w:rsidRPr="0050726A" w:rsidRDefault="00AE009F" w:rsidP="00716462">
      <w:pPr>
        <w:autoSpaceDE w:val="0"/>
        <w:autoSpaceDN w:val="0"/>
        <w:adjustRightInd w:val="0"/>
        <w:spacing w:after="0" w:line="480" w:lineRule="auto"/>
        <w:ind w:right="-330"/>
        <w:jc w:val="both"/>
        <w:rPr>
          <w:rFonts w:asciiTheme="minorHAnsi" w:hAnsiTheme="minorHAnsi" w:cs="AdvOT5843c571"/>
          <w:color w:val="000000"/>
          <w:sz w:val="24"/>
          <w:szCs w:val="24"/>
        </w:rPr>
      </w:pP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We reveal that </w:t>
      </w:r>
      <w:r w:rsidR="00565E4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work on the 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>‘</w:t>
      </w:r>
      <w:r w:rsidR="00565E48" w:rsidRPr="0050726A">
        <w:rPr>
          <w:rFonts w:asciiTheme="minorHAnsi" w:hAnsiTheme="minorHAnsi" w:cs="AdvOT5843c571"/>
          <w:color w:val="000000"/>
          <w:sz w:val="24"/>
          <w:szCs w:val="24"/>
        </w:rPr>
        <w:t>new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>’</w:t>
      </w:r>
      <w:r w:rsidR="00565E4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climate governance 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is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>address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>ing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the </w:t>
      </w:r>
      <w:r w:rsidR="00F80CD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first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of these </w:t>
      </w:r>
      <w:r w:rsidR="002D6694" w:rsidRPr="0050726A">
        <w:rPr>
          <w:rFonts w:asciiTheme="minorHAnsi" w:hAnsiTheme="minorHAnsi" w:cs="AdvOT5843c571"/>
          <w:color w:val="000000"/>
          <w:sz w:val="24"/>
          <w:szCs w:val="24"/>
        </w:rPr>
        <w:t>topics</w:t>
      </w:r>
      <w:r w:rsidR="005A08EB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27206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but </w:t>
      </w:r>
      <w:r w:rsidR="001B5B59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should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do more to </w:t>
      </w:r>
      <w:r w:rsidR="00714964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tackle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>the other two.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1B5B59" w:rsidRPr="0050726A">
        <w:rPr>
          <w:rFonts w:asciiTheme="minorHAnsi" w:hAnsiTheme="minorHAnsi" w:cs="AdvOT5843c571"/>
          <w:color w:val="000000"/>
          <w:sz w:val="24"/>
          <w:szCs w:val="24"/>
        </w:rPr>
        <w:t>We find that t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he </w:t>
      </w:r>
      <w:r w:rsidR="00470E1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three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strands </w:t>
      </w:r>
      <w:r w:rsidR="005B4BC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(international, transnational, national) 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are broadly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complementary</w:t>
      </w:r>
      <w:r w:rsidR="00F80CD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>in their approach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</w:t>
      </w:r>
      <w:r w:rsidR="000967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but </w:t>
      </w:r>
      <w:r w:rsidR="0093329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much </w:t>
      </w:r>
      <w:r w:rsidR="002D6694" w:rsidRPr="0050726A">
        <w:rPr>
          <w:rFonts w:asciiTheme="minorHAnsi" w:hAnsiTheme="minorHAnsi" w:cs="AdvOT5843c571"/>
          <w:color w:val="000000"/>
          <w:sz w:val="24"/>
          <w:szCs w:val="24"/>
        </w:rPr>
        <w:t>deeper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collaborati</w:t>
      </w:r>
      <w:r w:rsidR="002D6694" w:rsidRPr="0050726A">
        <w:rPr>
          <w:rFonts w:asciiTheme="minorHAnsi" w:hAnsiTheme="minorHAnsi" w:cs="AdvOT5843c571"/>
          <w:color w:val="000000"/>
          <w:sz w:val="24"/>
          <w:szCs w:val="24"/>
        </w:rPr>
        <w:t>on</w:t>
      </w:r>
      <w:r w:rsidR="00933293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774BA8" w:rsidRPr="0050726A">
        <w:rPr>
          <w:rFonts w:asciiTheme="minorHAnsi" w:hAnsiTheme="minorHAnsi" w:cs="AdvOT5843c571"/>
          <w:color w:val="000000"/>
          <w:sz w:val="24"/>
          <w:szCs w:val="24"/>
        </w:rPr>
        <w:t>organised around shared terms and concepts</w:t>
      </w:r>
      <w:r w:rsidR="00933293" w:rsidRPr="0050726A">
        <w:rPr>
          <w:rFonts w:asciiTheme="minorHAnsi" w:hAnsiTheme="minorHAnsi" w:cs="AdvOT5843c571"/>
          <w:color w:val="000000"/>
          <w:sz w:val="24"/>
          <w:szCs w:val="24"/>
        </w:rPr>
        <w:t>, is required to produce a more holistic picture.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15711" w:rsidRPr="0050726A">
        <w:rPr>
          <w:rFonts w:asciiTheme="minorHAnsi" w:hAnsiTheme="minorHAnsi" w:cs="AdvOT5843c571"/>
          <w:color w:val="000000"/>
          <w:sz w:val="24"/>
          <w:szCs w:val="24"/>
        </w:rPr>
        <w:t>I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n the final section we explore the most important policy-relevant research </w:t>
      </w:r>
      <w:r w:rsidR="00684D3A" w:rsidRPr="0050726A">
        <w:rPr>
          <w:rFonts w:asciiTheme="minorHAnsi" w:hAnsiTheme="minorHAnsi" w:cs="AdvOT5843c571"/>
          <w:color w:val="000000"/>
          <w:sz w:val="24"/>
          <w:szCs w:val="24"/>
        </w:rPr>
        <w:t>gaps that emerge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from </w:t>
      </w:r>
      <w:r w:rsidR="00565E4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our </w:t>
      </w:r>
      <w:r w:rsidR="00F80CDB" w:rsidRPr="0050726A">
        <w:rPr>
          <w:rFonts w:asciiTheme="minorHAnsi" w:hAnsiTheme="minorHAnsi" w:cs="AdvOT5843c571"/>
          <w:color w:val="000000"/>
          <w:sz w:val="24"/>
          <w:szCs w:val="24"/>
        </w:rPr>
        <w:t>analysis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</w:p>
    <w:p w14:paraId="33B29776" w14:textId="77777777" w:rsidR="00AE009F" w:rsidRPr="0050726A" w:rsidRDefault="00AE009F" w:rsidP="00716462">
      <w:pPr>
        <w:autoSpaceDE w:val="0"/>
        <w:autoSpaceDN w:val="0"/>
        <w:adjustRightInd w:val="0"/>
        <w:spacing w:after="0" w:line="480" w:lineRule="auto"/>
        <w:ind w:right="-330"/>
        <w:jc w:val="both"/>
        <w:rPr>
          <w:rFonts w:asciiTheme="minorHAnsi" w:hAnsiTheme="minorHAnsi" w:cs="AdvOT5843c571"/>
          <w:color w:val="000000"/>
          <w:sz w:val="24"/>
          <w:szCs w:val="24"/>
        </w:rPr>
      </w:pPr>
    </w:p>
    <w:p w14:paraId="65695338" w14:textId="51BF4218" w:rsidR="00AE009F" w:rsidRPr="0050726A" w:rsidRDefault="001F24E6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Strands of work </w:t>
      </w:r>
    </w:p>
    <w:p w14:paraId="14AA84E1" w14:textId="3EE23F12" w:rsidR="00AE009F" w:rsidRPr="0050726A" w:rsidRDefault="00AE009F" w:rsidP="002229C4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>One of the most dynamic strands of research activity concerns transnational forms of governance</w:t>
      </w:r>
      <w:r w:rsidR="00E65180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For Abbott</w:t>
      </w:r>
      <w:r w:rsidR="008121F8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25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565E48" w:rsidRPr="0050726A">
        <w:rPr>
          <w:rFonts w:asciiTheme="minorHAnsi" w:hAnsiTheme="minorHAnsi"/>
          <w:sz w:val="24"/>
          <w:szCs w:val="24"/>
        </w:rPr>
        <w:t xml:space="preserve">these </w:t>
      </w:r>
      <w:r w:rsidRPr="0050726A">
        <w:rPr>
          <w:rFonts w:asciiTheme="minorHAnsi" w:hAnsiTheme="minorHAnsi"/>
          <w:sz w:val="24"/>
          <w:szCs w:val="24"/>
        </w:rPr>
        <w:t xml:space="preserve">span national borders, </w:t>
      </w:r>
      <w:r w:rsidR="00565E48" w:rsidRPr="0050726A">
        <w:rPr>
          <w:rFonts w:asciiTheme="minorHAnsi" w:hAnsiTheme="minorHAnsi"/>
          <w:sz w:val="24"/>
          <w:szCs w:val="24"/>
        </w:rPr>
        <w:t xml:space="preserve">dissolve </w:t>
      </w:r>
      <w:r w:rsidRPr="0050726A">
        <w:rPr>
          <w:rFonts w:asciiTheme="minorHAnsi" w:hAnsiTheme="minorHAnsi"/>
          <w:sz w:val="24"/>
          <w:szCs w:val="24"/>
        </w:rPr>
        <w:t xml:space="preserve">the traditional analytical divide between public and private </w:t>
      </w:r>
      <w:r w:rsidR="00B22724" w:rsidRPr="0050726A">
        <w:rPr>
          <w:rFonts w:asciiTheme="minorHAnsi" w:hAnsiTheme="minorHAnsi"/>
          <w:sz w:val="24"/>
          <w:szCs w:val="24"/>
        </w:rPr>
        <w:t>spheres</w:t>
      </w:r>
      <w:r w:rsidRPr="0050726A">
        <w:rPr>
          <w:rFonts w:asciiTheme="minorHAnsi" w:hAnsiTheme="minorHAnsi"/>
          <w:sz w:val="24"/>
          <w:szCs w:val="24"/>
        </w:rPr>
        <w:t xml:space="preserve"> and are decentralised.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8A2429" w:rsidRPr="0050726A">
        <w:rPr>
          <w:rFonts w:asciiTheme="minorHAnsi" w:hAnsiTheme="minorHAnsi"/>
          <w:sz w:val="24"/>
          <w:szCs w:val="24"/>
        </w:rPr>
        <w:t>Analysis of</w:t>
      </w:r>
      <w:r w:rsidR="008121F8" w:rsidRPr="0050726A">
        <w:rPr>
          <w:rFonts w:asciiTheme="minorHAnsi" w:hAnsiTheme="minorHAnsi"/>
          <w:sz w:val="24"/>
          <w:szCs w:val="24"/>
        </w:rPr>
        <w:t xml:space="preserve"> </w:t>
      </w:r>
      <w:r w:rsidR="00F11A59" w:rsidRPr="0050726A">
        <w:rPr>
          <w:rFonts w:asciiTheme="minorHAnsi" w:hAnsiTheme="minorHAnsi"/>
          <w:sz w:val="24"/>
          <w:szCs w:val="24"/>
        </w:rPr>
        <w:t>a number of database</w:t>
      </w:r>
      <w:r w:rsidR="00565E48" w:rsidRPr="0050726A">
        <w:rPr>
          <w:rFonts w:asciiTheme="minorHAnsi" w:hAnsiTheme="minorHAnsi"/>
          <w:sz w:val="24"/>
          <w:szCs w:val="24"/>
        </w:rPr>
        <w:t>s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4, 24-26</w:t>
      </w:r>
      <w:r w:rsidR="003A422D" w:rsidRPr="0050726A">
        <w:rPr>
          <w:rFonts w:asciiTheme="minorHAnsi" w:hAnsiTheme="minorHAnsi"/>
          <w:sz w:val="24"/>
          <w:szCs w:val="24"/>
        </w:rPr>
        <w:t xml:space="preserve"> </w:t>
      </w:r>
      <w:r w:rsidR="00B22724" w:rsidRPr="0050726A">
        <w:rPr>
          <w:rFonts w:asciiTheme="minorHAnsi" w:hAnsiTheme="minorHAnsi"/>
          <w:sz w:val="24"/>
          <w:szCs w:val="24"/>
        </w:rPr>
        <w:t>reveal</w:t>
      </w:r>
      <w:r w:rsidR="008A2429" w:rsidRPr="0050726A">
        <w:rPr>
          <w:rFonts w:asciiTheme="minorHAnsi" w:hAnsiTheme="minorHAnsi"/>
          <w:sz w:val="24"/>
          <w:szCs w:val="24"/>
        </w:rPr>
        <w:t>s</w:t>
      </w:r>
      <w:r w:rsidR="00B22724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that </w:t>
      </w:r>
      <w:r w:rsidR="005A08EB" w:rsidRPr="0050726A">
        <w:rPr>
          <w:rFonts w:asciiTheme="minorHAnsi" w:hAnsiTheme="minorHAnsi"/>
          <w:sz w:val="24"/>
          <w:szCs w:val="24"/>
        </w:rPr>
        <w:t>the</w:t>
      </w:r>
      <w:r w:rsidR="002229C4" w:rsidRPr="0050726A">
        <w:rPr>
          <w:rFonts w:asciiTheme="minorHAnsi" w:hAnsiTheme="minorHAnsi"/>
          <w:sz w:val="24"/>
          <w:szCs w:val="24"/>
        </w:rPr>
        <w:t>se transnational initiatives</w:t>
      </w:r>
      <w:r w:rsidR="005A08E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are numerous and highly diverse in form (ranging from setting rules to sharing information) and scale (</w:t>
      </w:r>
      <w:r w:rsidR="005A39FF" w:rsidRPr="0050726A">
        <w:rPr>
          <w:rFonts w:asciiTheme="minorHAnsi" w:hAnsiTheme="minorHAnsi"/>
          <w:sz w:val="24"/>
          <w:szCs w:val="24"/>
        </w:rPr>
        <w:t xml:space="preserve">from </w:t>
      </w:r>
      <w:r w:rsidRPr="0050726A">
        <w:rPr>
          <w:rFonts w:asciiTheme="minorHAnsi" w:hAnsiTheme="minorHAnsi"/>
          <w:sz w:val="24"/>
          <w:szCs w:val="24"/>
        </w:rPr>
        <w:t>global down to city level).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Most are </w:t>
      </w:r>
      <w:r w:rsidRPr="0050726A">
        <w:rPr>
          <w:rFonts w:asciiTheme="minorHAnsi" w:hAnsiTheme="minorHAnsi"/>
          <w:sz w:val="24"/>
          <w:szCs w:val="24"/>
        </w:rPr>
        <w:lastRenderedPageBreak/>
        <w:t>relatively new (post</w:t>
      </w:r>
      <w:r w:rsidR="00A013B8" w:rsidRPr="0050726A">
        <w:rPr>
          <w:rFonts w:asciiTheme="minorHAnsi" w:hAnsiTheme="minorHAnsi"/>
          <w:sz w:val="24"/>
          <w:szCs w:val="24"/>
        </w:rPr>
        <w:t>-</w:t>
      </w:r>
      <w:r w:rsidRPr="0050726A">
        <w:rPr>
          <w:rFonts w:asciiTheme="minorHAnsi" w:hAnsiTheme="minorHAnsi"/>
          <w:sz w:val="24"/>
          <w:szCs w:val="24"/>
        </w:rPr>
        <w:t xml:space="preserve">2005) and </w:t>
      </w:r>
      <w:r w:rsidR="00E5098C" w:rsidRPr="0050726A">
        <w:rPr>
          <w:rFonts w:asciiTheme="minorHAnsi" w:hAnsiTheme="minorHAnsi"/>
          <w:sz w:val="24"/>
          <w:szCs w:val="24"/>
        </w:rPr>
        <w:t xml:space="preserve">are </w:t>
      </w:r>
      <w:r w:rsidR="00565E48" w:rsidRPr="0050726A">
        <w:rPr>
          <w:rFonts w:asciiTheme="minorHAnsi" w:hAnsiTheme="minorHAnsi"/>
          <w:sz w:val="24"/>
          <w:szCs w:val="24"/>
        </w:rPr>
        <w:t>mainly</w:t>
      </w:r>
      <w:r w:rsidRPr="0050726A">
        <w:rPr>
          <w:rFonts w:asciiTheme="minorHAnsi" w:hAnsiTheme="minorHAnsi"/>
          <w:sz w:val="24"/>
          <w:szCs w:val="24"/>
        </w:rPr>
        <w:t xml:space="preserve"> mitigation</w:t>
      </w:r>
      <w:r w:rsidR="00A013B8" w:rsidRPr="0050726A">
        <w:rPr>
          <w:rFonts w:asciiTheme="minorHAnsi" w:hAnsiTheme="minorHAnsi"/>
          <w:sz w:val="24"/>
          <w:szCs w:val="24"/>
        </w:rPr>
        <w:t>-</w:t>
      </w:r>
      <w:r w:rsidRPr="0050726A">
        <w:rPr>
          <w:rFonts w:asciiTheme="minorHAnsi" w:hAnsiTheme="minorHAnsi"/>
          <w:sz w:val="24"/>
          <w:szCs w:val="24"/>
        </w:rPr>
        <w:t>focused.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565E48" w:rsidRPr="0050726A">
        <w:rPr>
          <w:rFonts w:asciiTheme="minorHAnsi" w:hAnsiTheme="minorHAnsi"/>
          <w:sz w:val="24"/>
          <w:szCs w:val="24"/>
        </w:rPr>
        <w:t>M</w:t>
      </w:r>
      <w:r w:rsidRPr="0050726A">
        <w:rPr>
          <w:rFonts w:asciiTheme="minorHAnsi" w:hAnsiTheme="minorHAnsi"/>
          <w:sz w:val="24"/>
          <w:szCs w:val="24"/>
        </w:rPr>
        <w:t>ost hav</w:t>
      </w:r>
      <w:r w:rsidR="00565E48" w:rsidRPr="0050726A">
        <w:rPr>
          <w:rFonts w:asciiTheme="minorHAnsi" w:hAnsiTheme="minorHAnsi"/>
          <w:sz w:val="24"/>
          <w:szCs w:val="24"/>
        </w:rPr>
        <w:t xml:space="preserve">e been </w:t>
      </w:r>
      <w:r w:rsidRPr="0050726A">
        <w:rPr>
          <w:rFonts w:asciiTheme="minorHAnsi" w:hAnsiTheme="minorHAnsi"/>
          <w:sz w:val="24"/>
          <w:szCs w:val="24"/>
        </w:rPr>
        <w:t xml:space="preserve">initiated by actors in industrialised countries, </w:t>
      </w:r>
      <w:r w:rsidR="00565E48" w:rsidRPr="0050726A">
        <w:rPr>
          <w:rFonts w:asciiTheme="minorHAnsi" w:hAnsiTheme="minorHAnsi"/>
          <w:sz w:val="24"/>
          <w:szCs w:val="24"/>
        </w:rPr>
        <w:t xml:space="preserve">albeit with the active participation of </w:t>
      </w:r>
      <w:r w:rsidRPr="0050726A">
        <w:rPr>
          <w:rFonts w:asciiTheme="minorHAnsi" w:hAnsiTheme="minorHAnsi"/>
          <w:sz w:val="24"/>
          <w:szCs w:val="24"/>
        </w:rPr>
        <w:t xml:space="preserve">actors from </w:t>
      </w:r>
      <w:r w:rsidR="00E90F1A" w:rsidRPr="0050726A">
        <w:rPr>
          <w:rFonts w:asciiTheme="minorHAnsi" w:hAnsiTheme="minorHAnsi"/>
          <w:sz w:val="24"/>
          <w:szCs w:val="24"/>
        </w:rPr>
        <w:t xml:space="preserve">the </w:t>
      </w:r>
      <w:r w:rsidR="00565E48" w:rsidRPr="0050726A">
        <w:rPr>
          <w:rFonts w:asciiTheme="minorHAnsi" w:hAnsiTheme="minorHAnsi"/>
          <w:sz w:val="24"/>
          <w:szCs w:val="24"/>
        </w:rPr>
        <w:t xml:space="preserve">Global </w:t>
      </w:r>
      <w:r w:rsidR="00E90F1A" w:rsidRPr="0050726A">
        <w:rPr>
          <w:rFonts w:asciiTheme="minorHAnsi" w:hAnsiTheme="minorHAnsi"/>
          <w:sz w:val="24"/>
          <w:szCs w:val="24"/>
        </w:rPr>
        <w:t>South</w:t>
      </w:r>
      <w:r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24, 27</w:t>
      </w:r>
      <w:r w:rsidR="000027D1" w:rsidRPr="0050726A">
        <w:rPr>
          <w:rFonts w:asciiTheme="minorHAnsi" w:hAnsiTheme="minorHAnsi"/>
          <w:sz w:val="24"/>
          <w:szCs w:val="24"/>
        </w:rPr>
        <w:t xml:space="preserve"> </w:t>
      </w:r>
      <w:r w:rsidR="006520E9" w:rsidRPr="0050726A">
        <w:rPr>
          <w:rFonts w:asciiTheme="minorHAnsi" w:hAnsiTheme="minorHAnsi"/>
          <w:sz w:val="24"/>
          <w:szCs w:val="24"/>
        </w:rPr>
        <w:t>For example, seven countries (Bangladesh, Canada, Ghana, Mexico, Sweden, and the United States) and the UN Environment Programme launched t</w:t>
      </w:r>
      <w:r w:rsidR="000027D1" w:rsidRPr="0050726A">
        <w:rPr>
          <w:rFonts w:asciiTheme="minorHAnsi" w:hAnsiTheme="minorHAnsi"/>
          <w:sz w:val="24"/>
          <w:szCs w:val="24"/>
        </w:rPr>
        <w:t xml:space="preserve">he Climate and </w:t>
      </w:r>
      <w:r w:rsidR="001C75B2" w:rsidRPr="0050726A">
        <w:rPr>
          <w:rFonts w:asciiTheme="minorHAnsi" w:hAnsiTheme="minorHAnsi"/>
          <w:sz w:val="24"/>
          <w:szCs w:val="24"/>
        </w:rPr>
        <w:t>Clean Air Coalition</w:t>
      </w:r>
      <w:r w:rsidR="006520E9" w:rsidRPr="0050726A">
        <w:rPr>
          <w:rFonts w:asciiTheme="minorHAnsi" w:hAnsiTheme="minorHAnsi"/>
          <w:sz w:val="24"/>
          <w:szCs w:val="24"/>
        </w:rPr>
        <w:t xml:space="preserve"> in 2012 in order to promote</w:t>
      </w:r>
      <w:r w:rsidR="0084313D" w:rsidRPr="0050726A">
        <w:rPr>
          <w:rFonts w:asciiTheme="minorHAnsi" w:hAnsiTheme="minorHAnsi"/>
          <w:sz w:val="24"/>
          <w:szCs w:val="24"/>
        </w:rPr>
        <w:t xml:space="preserve"> action </w:t>
      </w:r>
      <w:r w:rsidR="00E5098C" w:rsidRPr="0050726A">
        <w:rPr>
          <w:rFonts w:asciiTheme="minorHAnsi" w:hAnsiTheme="minorHAnsi"/>
          <w:sz w:val="24"/>
          <w:szCs w:val="24"/>
        </w:rPr>
        <w:t xml:space="preserve">on short-lived </w:t>
      </w:r>
      <w:r w:rsidR="005A39FF" w:rsidRPr="0050726A">
        <w:rPr>
          <w:rFonts w:asciiTheme="minorHAnsi" w:hAnsiTheme="minorHAnsi"/>
          <w:sz w:val="24"/>
          <w:szCs w:val="24"/>
        </w:rPr>
        <w:t>climate pollutants</w:t>
      </w:r>
      <w:r w:rsidR="00E5098C" w:rsidRPr="0050726A">
        <w:rPr>
          <w:rFonts w:asciiTheme="minorHAnsi" w:hAnsiTheme="minorHAnsi"/>
          <w:sz w:val="24"/>
          <w:szCs w:val="24"/>
        </w:rPr>
        <w:t xml:space="preserve"> </w:t>
      </w:r>
      <w:r w:rsidR="0084313D" w:rsidRPr="0050726A">
        <w:rPr>
          <w:rFonts w:asciiTheme="minorHAnsi" w:hAnsiTheme="minorHAnsi"/>
          <w:sz w:val="24"/>
          <w:szCs w:val="24"/>
        </w:rPr>
        <w:t>by</w:t>
      </w:r>
      <w:r w:rsidR="000027D1" w:rsidRPr="0050726A">
        <w:rPr>
          <w:rFonts w:asciiTheme="minorHAnsi" w:hAnsiTheme="minorHAnsi"/>
          <w:sz w:val="24"/>
          <w:szCs w:val="24"/>
        </w:rPr>
        <w:t xml:space="preserve"> state and non-state actors</w:t>
      </w:r>
      <w:r w:rsidR="0084313D" w:rsidRPr="0050726A">
        <w:rPr>
          <w:rFonts w:asciiTheme="minorHAnsi" w:hAnsiTheme="minorHAnsi"/>
          <w:sz w:val="24"/>
          <w:szCs w:val="24"/>
        </w:rPr>
        <w:t>.</w:t>
      </w:r>
      <w:r w:rsidR="000027D1" w:rsidRPr="0050726A">
        <w:rPr>
          <w:rFonts w:asciiTheme="minorHAnsi" w:hAnsiTheme="minorHAnsi"/>
          <w:sz w:val="24"/>
          <w:szCs w:val="24"/>
        </w:rPr>
        <w:t xml:space="preserve"> </w:t>
      </w:r>
      <w:r w:rsidR="00E5098C" w:rsidRPr="0050726A">
        <w:rPr>
          <w:rFonts w:asciiTheme="minorHAnsi" w:hAnsiTheme="minorHAnsi"/>
          <w:sz w:val="24"/>
          <w:szCs w:val="24"/>
        </w:rPr>
        <w:t>P</w:t>
      </w:r>
      <w:r w:rsidR="0084313D" w:rsidRPr="0050726A">
        <w:rPr>
          <w:rFonts w:asciiTheme="minorHAnsi" w:hAnsiTheme="minorHAnsi"/>
          <w:sz w:val="24"/>
          <w:szCs w:val="24"/>
        </w:rPr>
        <w:t>rojects are being implemented to reduce levels of black carbon, methane, and hydrofluorocarbons (HFCs) a</w:t>
      </w:r>
      <w:r w:rsidR="0067150D" w:rsidRPr="0050726A">
        <w:rPr>
          <w:rFonts w:asciiTheme="minorHAnsi" w:hAnsiTheme="minorHAnsi"/>
          <w:sz w:val="24"/>
          <w:szCs w:val="24"/>
        </w:rPr>
        <w:t>cross</w:t>
      </w:r>
      <w:r w:rsidR="0084313D" w:rsidRPr="0050726A">
        <w:rPr>
          <w:rFonts w:asciiTheme="minorHAnsi" w:hAnsiTheme="minorHAnsi"/>
          <w:sz w:val="24"/>
          <w:szCs w:val="24"/>
        </w:rPr>
        <w:t xml:space="preserve"> </w:t>
      </w:r>
      <w:r w:rsidR="00E5098C" w:rsidRPr="0050726A">
        <w:rPr>
          <w:rFonts w:asciiTheme="minorHAnsi" w:hAnsiTheme="minorHAnsi"/>
          <w:sz w:val="24"/>
          <w:szCs w:val="24"/>
        </w:rPr>
        <w:t xml:space="preserve">a </w:t>
      </w:r>
      <w:r w:rsidR="0084313D" w:rsidRPr="0050726A">
        <w:rPr>
          <w:rFonts w:asciiTheme="minorHAnsi" w:hAnsiTheme="minorHAnsi"/>
          <w:sz w:val="24"/>
          <w:szCs w:val="24"/>
        </w:rPr>
        <w:t xml:space="preserve">membership </w:t>
      </w:r>
      <w:r w:rsidR="00E5098C" w:rsidRPr="0050726A">
        <w:rPr>
          <w:rFonts w:asciiTheme="minorHAnsi" w:hAnsiTheme="minorHAnsi"/>
          <w:sz w:val="24"/>
          <w:szCs w:val="24"/>
        </w:rPr>
        <w:t xml:space="preserve">(in 2013) </w:t>
      </w:r>
      <w:r w:rsidR="001B5B59" w:rsidRPr="0050726A">
        <w:rPr>
          <w:rFonts w:asciiTheme="minorHAnsi" w:hAnsiTheme="minorHAnsi"/>
          <w:sz w:val="24"/>
          <w:szCs w:val="24"/>
        </w:rPr>
        <w:t xml:space="preserve">that has expanded to </w:t>
      </w:r>
      <w:r w:rsidR="005A39FF" w:rsidRPr="0050726A">
        <w:rPr>
          <w:rFonts w:asciiTheme="minorHAnsi" w:hAnsiTheme="minorHAnsi"/>
          <w:sz w:val="24"/>
          <w:szCs w:val="24"/>
        </w:rPr>
        <w:t>43</w:t>
      </w:r>
      <w:r w:rsidR="0084313D" w:rsidRPr="0050726A">
        <w:rPr>
          <w:rFonts w:asciiTheme="minorHAnsi" w:hAnsiTheme="minorHAnsi"/>
          <w:sz w:val="24"/>
          <w:szCs w:val="24"/>
        </w:rPr>
        <w:t xml:space="preserve"> states</w:t>
      </w:r>
      <w:r w:rsidR="005A39FF" w:rsidRPr="0050726A">
        <w:rPr>
          <w:rFonts w:asciiTheme="minorHAnsi" w:hAnsiTheme="minorHAnsi"/>
          <w:sz w:val="24"/>
          <w:szCs w:val="24"/>
        </w:rPr>
        <w:t xml:space="preserve"> and 53 non-state partners</w:t>
      </w:r>
      <w:r w:rsidR="0084313D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28, 29</w:t>
      </w:r>
    </w:p>
    <w:p w14:paraId="6CB8770A" w14:textId="77777777" w:rsidR="005B4972" w:rsidRPr="0050726A" w:rsidRDefault="005B4972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7BBBA986" w14:textId="7A2D6FF4" w:rsidR="001B5B59" w:rsidRPr="0050726A" w:rsidRDefault="00B22724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>An</w:t>
      </w:r>
      <w:r w:rsidR="005A08EB" w:rsidRPr="0050726A">
        <w:rPr>
          <w:rFonts w:asciiTheme="minorHAnsi" w:hAnsiTheme="minorHAnsi"/>
          <w:sz w:val="24"/>
          <w:szCs w:val="24"/>
        </w:rPr>
        <w:t>other</w:t>
      </w:r>
      <w:r w:rsidR="00AE009F" w:rsidRPr="0050726A">
        <w:rPr>
          <w:rFonts w:asciiTheme="minorHAnsi" w:hAnsiTheme="minorHAnsi"/>
          <w:sz w:val="24"/>
          <w:szCs w:val="24"/>
        </w:rPr>
        <w:t xml:space="preserve">, equally dynamic strand of research </w:t>
      </w:r>
      <w:r w:rsidR="007A085D" w:rsidRPr="0050726A">
        <w:rPr>
          <w:rFonts w:asciiTheme="minorHAnsi" w:hAnsiTheme="minorHAnsi"/>
          <w:sz w:val="24"/>
          <w:szCs w:val="24"/>
        </w:rPr>
        <w:t>focuses</w:t>
      </w:r>
      <w:r w:rsidR="00AE009F" w:rsidRPr="0050726A">
        <w:rPr>
          <w:rFonts w:asciiTheme="minorHAnsi" w:hAnsiTheme="minorHAnsi"/>
          <w:sz w:val="24"/>
          <w:szCs w:val="24"/>
        </w:rPr>
        <w:t xml:space="preserve"> on the </w:t>
      </w:r>
      <w:r w:rsidR="00E5098C" w:rsidRPr="0050726A">
        <w:rPr>
          <w:rFonts w:asciiTheme="minorHAnsi" w:hAnsiTheme="minorHAnsi"/>
          <w:sz w:val="24"/>
          <w:szCs w:val="24"/>
        </w:rPr>
        <w:t xml:space="preserve">public </w:t>
      </w:r>
      <w:r w:rsidR="00AE009F" w:rsidRPr="0050726A">
        <w:rPr>
          <w:rFonts w:asciiTheme="minorHAnsi" w:hAnsiTheme="minorHAnsi"/>
          <w:sz w:val="24"/>
          <w:szCs w:val="24"/>
        </w:rPr>
        <w:t>policy</w:t>
      </w:r>
      <w:r w:rsidR="00A013B8" w:rsidRPr="0050726A">
        <w:rPr>
          <w:rFonts w:asciiTheme="minorHAnsi" w:hAnsiTheme="minorHAnsi"/>
          <w:sz w:val="24"/>
          <w:szCs w:val="24"/>
        </w:rPr>
        <w:t>-</w:t>
      </w:r>
      <w:r w:rsidR="00AE009F" w:rsidRPr="0050726A">
        <w:rPr>
          <w:rFonts w:asciiTheme="minorHAnsi" w:hAnsiTheme="minorHAnsi"/>
          <w:sz w:val="24"/>
          <w:szCs w:val="24"/>
        </w:rPr>
        <w:t>makin</w:t>
      </w:r>
      <w:r w:rsidR="005A08EB" w:rsidRPr="0050726A">
        <w:rPr>
          <w:rFonts w:asciiTheme="minorHAnsi" w:hAnsiTheme="minorHAnsi"/>
          <w:sz w:val="24"/>
          <w:szCs w:val="24"/>
        </w:rPr>
        <w:t>g activities of nation states</w:t>
      </w:r>
      <w:r w:rsidR="005B4BC5" w:rsidRPr="0050726A">
        <w:rPr>
          <w:rFonts w:asciiTheme="minorHAnsi" w:hAnsiTheme="minorHAnsi"/>
          <w:sz w:val="24"/>
          <w:szCs w:val="24"/>
        </w:rPr>
        <w:t xml:space="preserve">, including local </w:t>
      </w:r>
      <w:r w:rsidR="002D6694" w:rsidRPr="0050726A">
        <w:rPr>
          <w:rFonts w:asciiTheme="minorHAnsi" w:hAnsiTheme="minorHAnsi"/>
          <w:sz w:val="24"/>
          <w:szCs w:val="24"/>
        </w:rPr>
        <w:t>governments</w:t>
      </w:r>
      <w:r w:rsidR="00565E48" w:rsidRPr="0050726A">
        <w:rPr>
          <w:rFonts w:asciiTheme="minorHAnsi" w:hAnsiTheme="minorHAnsi"/>
          <w:sz w:val="24"/>
          <w:szCs w:val="24"/>
        </w:rPr>
        <w:t xml:space="preserve">. </w:t>
      </w:r>
      <w:r w:rsidR="005E1B3E" w:rsidRPr="0050726A">
        <w:rPr>
          <w:rFonts w:asciiTheme="minorHAnsi" w:hAnsiTheme="minorHAnsi"/>
          <w:sz w:val="24"/>
          <w:szCs w:val="24"/>
        </w:rPr>
        <w:t>U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ntil recently, the literature on national policy </w:t>
      </w:r>
      <w:r w:rsidR="00681D04" w:rsidRPr="0050726A">
        <w:rPr>
          <w:rFonts w:asciiTheme="minorHAnsi" w:eastAsia="MS Mincho" w:hAnsiTheme="minorHAnsi"/>
          <w:sz w:val="24"/>
          <w:szCs w:val="24"/>
          <w:lang w:eastAsia="zh-CN"/>
        </w:rPr>
        <w:t>offer</w:t>
      </w:r>
      <w:r w:rsidR="00E5098C" w:rsidRPr="0050726A">
        <w:rPr>
          <w:rFonts w:asciiTheme="minorHAnsi" w:eastAsia="MS Mincho" w:hAnsiTheme="minorHAnsi"/>
          <w:sz w:val="24"/>
          <w:szCs w:val="24"/>
          <w:lang w:eastAsia="zh-CN"/>
        </w:rPr>
        <w:t>ed</w:t>
      </w:r>
      <w:r w:rsidR="00681D0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2229C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only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broad overviews of </w:t>
      </w:r>
      <w:r w:rsidR="00E5098C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whole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countries and/or non-cumulative case studies of specific polices and instruments.</w:t>
      </w:r>
      <w:r w:rsidR="00A70E5B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But attempts are </w:t>
      </w:r>
      <w:r w:rsidR="005A08EB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now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being made to assemble a fuller </w:t>
      </w:r>
      <w:r w:rsidR="001B5B59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and more detailed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picture, </w:t>
      </w:r>
      <w:r w:rsidR="00681D0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also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based on </w:t>
      </w:r>
      <w:r w:rsidR="00430F1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large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databases.</w:t>
      </w:r>
      <w:r w:rsidR="00A70E5B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These </w:t>
      </w:r>
      <w:r w:rsidR="007A085D" w:rsidRPr="0050726A">
        <w:rPr>
          <w:rFonts w:asciiTheme="minorHAnsi" w:eastAsia="MS Mincho" w:hAnsiTheme="minorHAnsi"/>
          <w:sz w:val="24"/>
          <w:szCs w:val="24"/>
          <w:lang w:eastAsia="zh-CN"/>
        </w:rPr>
        <w:t>reveal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much greater dynamism than many </w:t>
      </w:r>
      <w:r w:rsidR="001B5B59" w:rsidRPr="0050726A">
        <w:rPr>
          <w:rFonts w:asciiTheme="minorHAnsi" w:eastAsia="MS Mincho" w:hAnsiTheme="minorHAnsi"/>
          <w:sz w:val="24"/>
          <w:szCs w:val="24"/>
          <w:lang w:eastAsia="zh-CN"/>
        </w:rPr>
        <w:t>originally assumed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. </w:t>
      </w:r>
      <w:r w:rsidR="007A085D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For example,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Green Globe</w:t>
      </w:r>
      <w:r w:rsidR="00E5098C" w:rsidRPr="0050726A">
        <w:rPr>
          <w:rFonts w:asciiTheme="minorHAnsi" w:eastAsia="MS Mincho" w:hAnsiTheme="minorHAnsi"/>
          <w:sz w:val="24"/>
          <w:szCs w:val="24"/>
          <w:lang w:eastAsia="zh-CN"/>
        </w:rPr>
        <w:t>’s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database </w:t>
      </w:r>
      <w:r w:rsidR="00933293" w:rsidRPr="0050726A">
        <w:rPr>
          <w:rFonts w:asciiTheme="minorHAnsi" w:eastAsia="MS Mincho" w:hAnsiTheme="minorHAnsi"/>
          <w:sz w:val="24"/>
          <w:szCs w:val="24"/>
          <w:lang w:eastAsia="zh-CN"/>
        </w:rPr>
        <w:t>reveals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that there were 487</w:t>
      </w:r>
      <w:r w:rsidR="007A085D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climate change</w:t>
      </w:r>
      <w:r w:rsidR="003C7577" w:rsidRPr="0050726A">
        <w:rPr>
          <w:rFonts w:asciiTheme="minorHAnsi" w:eastAsia="MS Mincho" w:hAnsiTheme="minorHAnsi"/>
          <w:sz w:val="24"/>
          <w:szCs w:val="24"/>
          <w:lang w:eastAsia="zh-CN"/>
        </w:rPr>
        <w:t>-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related laws and policies in 66 countries in 2013, up from only 40 in 1997.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30</w:t>
      </w:r>
      <w:r w:rsidR="00A70E5B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7A085D" w:rsidRPr="0050726A">
        <w:rPr>
          <w:rFonts w:asciiTheme="minorHAnsi" w:eastAsia="MS Mincho" w:hAnsiTheme="minorHAnsi"/>
          <w:sz w:val="24"/>
          <w:szCs w:val="24"/>
          <w:lang w:eastAsia="zh-CN"/>
        </w:rPr>
        <w:t>Around 30 n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ew polic</w:t>
      </w:r>
      <w:r w:rsidR="002229C4" w:rsidRPr="0050726A">
        <w:rPr>
          <w:rFonts w:asciiTheme="minorHAnsi" w:eastAsia="MS Mincho" w:hAnsiTheme="minorHAnsi"/>
          <w:sz w:val="24"/>
          <w:szCs w:val="24"/>
          <w:lang w:eastAsia="zh-CN"/>
        </w:rPr>
        <w:t>ies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are </w:t>
      </w:r>
      <w:r w:rsidR="002229C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being adopted </w:t>
      </w:r>
      <w:r w:rsidR="007A085D" w:rsidRPr="0050726A">
        <w:rPr>
          <w:rFonts w:asciiTheme="minorHAnsi" w:eastAsia="MS Mincho" w:hAnsiTheme="minorHAnsi"/>
          <w:sz w:val="24"/>
          <w:szCs w:val="24"/>
          <w:lang w:eastAsia="zh-CN"/>
        </w:rPr>
        <w:t>each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year, with non-Annex 1 countries being especially active.</w:t>
      </w:r>
      <w:r w:rsidR="00A15711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Similar findings have been uncovered in a comparable data</w:t>
      </w:r>
      <w:r w:rsidR="00E90F1A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base produced by Dubash </w:t>
      </w:r>
      <w:r w:rsidR="00E90F1A" w:rsidRPr="0050726A">
        <w:rPr>
          <w:rFonts w:asciiTheme="minorHAnsi" w:eastAsia="MS Mincho" w:hAnsiTheme="minorHAnsi"/>
          <w:i/>
          <w:iCs/>
          <w:sz w:val="24"/>
          <w:szCs w:val="24"/>
          <w:lang w:eastAsia="zh-CN"/>
        </w:rPr>
        <w:t>et al</w:t>
      </w:r>
      <w:r w:rsidR="00E90F1A" w:rsidRPr="0050726A">
        <w:rPr>
          <w:rFonts w:asciiTheme="minorHAnsi" w:eastAsia="MS Mincho" w:hAnsiTheme="minorHAnsi"/>
          <w:sz w:val="24"/>
          <w:szCs w:val="24"/>
          <w:lang w:eastAsia="zh-CN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31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, </w:t>
      </w:r>
      <w:r w:rsidR="00E5098C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which </w:t>
      </w:r>
      <w:r w:rsidR="005A08EB" w:rsidRPr="0050726A">
        <w:rPr>
          <w:rFonts w:asciiTheme="minorHAnsi" w:eastAsia="MS Mincho" w:hAnsiTheme="minorHAnsi"/>
          <w:sz w:val="24"/>
          <w:szCs w:val="24"/>
          <w:lang w:eastAsia="zh-CN"/>
        </w:rPr>
        <w:t>confirm</w:t>
      </w:r>
      <w:r w:rsidR="00E5098C" w:rsidRPr="0050726A">
        <w:rPr>
          <w:rFonts w:asciiTheme="minorHAnsi" w:eastAsia="MS Mincho" w:hAnsiTheme="minorHAnsi"/>
          <w:sz w:val="24"/>
          <w:szCs w:val="24"/>
          <w:lang w:eastAsia="zh-CN"/>
        </w:rPr>
        <w:t>s</w:t>
      </w:r>
      <w:r w:rsidR="005A08EB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2229C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that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adoptions are occurring faster in non-Annex 1 countries and </w:t>
      </w:r>
      <w:r w:rsidR="002229C4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indicates </w:t>
      </w:r>
      <w:r w:rsidR="00AE009F" w:rsidRPr="0050726A">
        <w:rPr>
          <w:rFonts w:asciiTheme="minorHAnsi" w:eastAsia="MS Mincho" w:hAnsiTheme="minorHAnsi"/>
          <w:sz w:val="24"/>
          <w:szCs w:val="24"/>
          <w:lang w:eastAsia="zh-CN"/>
        </w:rPr>
        <w:t>that the share of world population covered by national policy doubled between 2007 and 2012.</w:t>
      </w:r>
      <w:r w:rsidR="001B5B59"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</w:t>
      </w:r>
      <w:r w:rsidR="005A08EB" w:rsidRPr="0050726A">
        <w:rPr>
          <w:rFonts w:asciiTheme="minorHAnsi" w:hAnsiTheme="minorHAnsi"/>
          <w:sz w:val="24"/>
          <w:szCs w:val="24"/>
        </w:rPr>
        <w:t>Moreover</w:t>
      </w:r>
      <w:r w:rsidR="00AE009F" w:rsidRPr="0050726A">
        <w:rPr>
          <w:rFonts w:asciiTheme="minorHAnsi" w:hAnsiTheme="minorHAnsi"/>
          <w:sz w:val="24"/>
          <w:szCs w:val="24"/>
        </w:rPr>
        <w:t>, states are not only active</w:t>
      </w:r>
      <w:r w:rsidR="00247C08" w:rsidRPr="0050726A">
        <w:rPr>
          <w:rFonts w:asciiTheme="minorHAnsi" w:hAnsiTheme="minorHAnsi"/>
          <w:sz w:val="24"/>
          <w:szCs w:val="24"/>
        </w:rPr>
        <w:t>ly innovating</w:t>
      </w:r>
      <w:r w:rsidR="007D77BD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in relation to mitigation; the number of </w:t>
      </w:r>
      <w:r w:rsidR="00681D04" w:rsidRPr="0050726A">
        <w:rPr>
          <w:rFonts w:asciiTheme="minorHAnsi" w:hAnsiTheme="minorHAnsi"/>
          <w:sz w:val="24"/>
          <w:szCs w:val="24"/>
        </w:rPr>
        <w:t xml:space="preserve">new </w:t>
      </w:r>
      <w:r w:rsidR="00AE009F" w:rsidRPr="0050726A">
        <w:rPr>
          <w:rFonts w:asciiTheme="minorHAnsi" w:hAnsiTheme="minorHAnsi"/>
          <w:sz w:val="24"/>
          <w:szCs w:val="24"/>
        </w:rPr>
        <w:t xml:space="preserve">national adaptation strategies has </w:t>
      </w:r>
      <w:r w:rsidR="00247C08" w:rsidRPr="0050726A">
        <w:rPr>
          <w:rFonts w:asciiTheme="minorHAnsi" w:hAnsiTheme="minorHAnsi"/>
          <w:sz w:val="24"/>
          <w:szCs w:val="24"/>
        </w:rPr>
        <w:t xml:space="preserve">also </w:t>
      </w:r>
      <w:r w:rsidR="00AE009F" w:rsidRPr="0050726A">
        <w:rPr>
          <w:rFonts w:asciiTheme="minorHAnsi" w:hAnsiTheme="minorHAnsi"/>
          <w:sz w:val="24"/>
          <w:szCs w:val="24"/>
        </w:rPr>
        <w:t>grown spectacularly in the last decade.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32</w:t>
      </w:r>
    </w:p>
    <w:p w14:paraId="69637349" w14:textId="77777777" w:rsidR="001B5B59" w:rsidRPr="0050726A" w:rsidRDefault="001B5B59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274AB03B" w14:textId="226F98BC" w:rsidR="00B22724" w:rsidRPr="0050726A" w:rsidRDefault="00B22724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lastRenderedPageBreak/>
        <w:t xml:space="preserve">The rediscovery of the state as a dynamic site </w:t>
      </w:r>
      <w:r w:rsidR="003D639E" w:rsidRPr="0050726A">
        <w:rPr>
          <w:rFonts w:asciiTheme="minorHAnsi" w:hAnsiTheme="minorHAnsi"/>
          <w:sz w:val="24"/>
          <w:szCs w:val="24"/>
        </w:rPr>
        <w:t>and catalyst</w:t>
      </w:r>
      <w:r w:rsidR="00247C08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of governing is a little unexpected, especially for those who </w:t>
      </w:r>
      <w:r w:rsidR="00E75CB8" w:rsidRPr="0050726A">
        <w:rPr>
          <w:rFonts w:asciiTheme="minorHAnsi" w:hAnsiTheme="minorHAnsi"/>
          <w:sz w:val="24"/>
          <w:szCs w:val="24"/>
        </w:rPr>
        <w:t>identify</w:t>
      </w:r>
      <w:r w:rsidRPr="0050726A">
        <w:rPr>
          <w:rFonts w:asciiTheme="minorHAnsi" w:hAnsiTheme="minorHAnsi"/>
          <w:sz w:val="24"/>
          <w:szCs w:val="24"/>
        </w:rPr>
        <w:t xml:space="preserve"> states as </w:t>
      </w:r>
      <w:r w:rsidR="00247C08" w:rsidRPr="0050726A">
        <w:rPr>
          <w:rFonts w:asciiTheme="minorHAnsi" w:hAnsiTheme="minorHAnsi"/>
          <w:sz w:val="24"/>
          <w:szCs w:val="24"/>
        </w:rPr>
        <w:t xml:space="preserve">a primary cause of governance </w:t>
      </w:r>
      <w:r w:rsidRPr="0050726A">
        <w:rPr>
          <w:rFonts w:asciiTheme="minorHAnsi" w:hAnsiTheme="minorHAnsi"/>
          <w:sz w:val="24"/>
          <w:szCs w:val="24"/>
        </w:rPr>
        <w:t>failure.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33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D06CF6" w:rsidRPr="0050726A">
        <w:rPr>
          <w:rFonts w:asciiTheme="minorHAnsi" w:hAnsiTheme="minorHAnsi"/>
          <w:sz w:val="24"/>
          <w:szCs w:val="24"/>
        </w:rPr>
        <w:t>The</w:t>
      </w:r>
      <w:r w:rsidR="00A15711" w:rsidRPr="0050726A">
        <w:rPr>
          <w:rFonts w:asciiTheme="minorHAnsi" w:hAnsiTheme="minorHAnsi"/>
          <w:sz w:val="24"/>
          <w:szCs w:val="24"/>
        </w:rPr>
        <w:t xml:space="preserve">se findings tie with </w:t>
      </w:r>
      <w:r w:rsidR="00D06CF6" w:rsidRPr="0050726A">
        <w:rPr>
          <w:rFonts w:asciiTheme="minorHAnsi" w:hAnsiTheme="minorHAnsi"/>
          <w:sz w:val="24"/>
          <w:szCs w:val="24"/>
        </w:rPr>
        <w:t>Green’s suggestion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34</w:t>
      </w:r>
      <w:r w:rsidR="00D06CF6" w:rsidRPr="0050726A">
        <w:rPr>
          <w:rFonts w:asciiTheme="minorHAnsi" w:hAnsiTheme="minorHAnsi"/>
          <w:sz w:val="24"/>
          <w:szCs w:val="24"/>
        </w:rPr>
        <w:t xml:space="preserve"> that global climate governance is</w:t>
      </w:r>
      <w:r w:rsidR="00E75CB8" w:rsidRPr="0050726A">
        <w:rPr>
          <w:rFonts w:asciiTheme="minorHAnsi" w:hAnsiTheme="minorHAnsi"/>
          <w:sz w:val="24"/>
          <w:szCs w:val="24"/>
        </w:rPr>
        <w:t xml:space="preserve"> a positive</w:t>
      </w:r>
      <w:r w:rsidR="003C7577" w:rsidRPr="0050726A">
        <w:rPr>
          <w:rFonts w:asciiTheme="minorHAnsi" w:hAnsiTheme="minorHAnsi"/>
          <w:sz w:val="24"/>
          <w:szCs w:val="24"/>
        </w:rPr>
        <w:t>-</w:t>
      </w:r>
      <w:r w:rsidR="00E75CB8" w:rsidRPr="0050726A">
        <w:rPr>
          <w:rFonts w:asciiTheme="minorHAnsi" w:hAnsiTheme="minorHAnsi"/>
          <w:sz w:val="24"/>
          <w:szCs w:val="24"/>
        </w:rPr>
        <w:t>sum game where governance efforts by state and non-state actors grow simultaneously and in a mutually reinforcing manner</w:t>
      </w:r>
      <w:r w:rsidR="00A15711" w:rsidRPr="0050726A">
        <w:rPr>
          <w:rFonts w:asciiTheme="minorHAnsi" w:hAnsiTheme="minorHAnsi"/>
          <w:sz w:val="24"/>
          <w:szCs w:val="24"/>
        </w:rPr>
        <w:t xml:space="preserve">. </w:t>
      </w:r>
      <w:r w:rsidR="001B5B59" w:rsidRPr="0050726A">
        <w:rPr>
          <w:rFonts w:asciiTheme="minorHAnsi" w:hAnsiTheme="minorHAnsi"/>
          <w:sz w:val="24"/>
          <w:szCs w:val="24"/>
        </w:rPr>
        <w:t>T</w:t>
      </w:r>
      <w:r w:rsidR="00A15711" w:rsidRPr="0050726A">
        <w:rPr>
          <w:rFonts w:asciiTheme="minorHAnsi" w:hAnsiTheme="minorHAnsi"/>
          <w:sz w:val="24"/>
          <w:szCs w:val="24"/>
        </w:rPr>
        <w:t>ogether</w:t>
      </w:r>
      <w:r w:rsidR="001B5B59" w:rsidRPr="0050726A">
        <w:rPr>
          <w:rFonts w:asciiTheme="minorHAnsi" w:hAnsiTheme="minorHAnsi"/>
          <w:sz w:val="24"/>
          <w:szCs w:val="24"/>
        </w:rPr>
        <w:t>, these findings</w:t>
      </w:r>
      <w:r w:rsidR="00A15711" w:rsidRPr="0050726A">
        <w:rPr>
          <w:rFonts w:asciiTheme="minorHAnsi" w:hAnsiTheme="minorHAnsi"/>
          <w:sz w:val="24"/>
          <w:szCs w:val="24"/>
        </w:rPr>
        <w:t xml:space="preserve"> emphasise </w:t>
      </w:r>
      <w:r w:rsidR="00247C08" w:rsidRPr="0050726A">
        <w:rPr>
          <w:rFonts w:asciiTheme="minorHAnsi" w:hAnsiTheme="minorHAnsi"/>
          <w:sz w:val="24"/>
          <w:szCs w:val="24"/>
        </w:rPr>
        <w:t xml:space="preserve">the need to work across both </w:t>
      </w:r>
      <w:r w:rsidR="00400279" w:rsidRPr="0050726A">
        <w:rPr>
          <w:rFonts w:asciiTheme="minorHAnsi" w:hAnsiTheme="minorHAnsi"/>
          <w:sz w:val="24"/>
          <w:szCs w:val="24"/>
        </w:rPr>
        <w:t>strands of the ‘new’ climate governance</w:t>
      </w:r>
      <w:r w:rsidR="00247C08" w:rsidRPr="0050726A">
        <w:rPr>
          <w:rFonts w:asciiTheme="minorHAnsi" w:hAnsiTheme="minorHAnsi"/>
          <w:sz w:val="24"/>
          <w:szCs w:val="24"/>
        </w:rPr>
        <w:t xml:space="preserve"> literature</w:t>
      </w:r>
      <w:r w:rsidR="00E33959" w:rsidRPr="0050726A">
        <w:rPr>
          <w:rFonts w:asciiTheme="minorHAnsi" w:hAnsiTheme="minorHAnsi"/>
          <w:sz w:val="24"/>
          <w:szCs w:val="24"/>
        </w:rPr>
        <w:t>.</w:t>
      </w:r>
    </w:p>
    <w:p w14:paraId="775792CF" w14:textId="77777777" w:rsidR="00B22724" w:rsidRPr="0050726A" w:rsidRDefault="00B22724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75A8050F" w14:textId="1B18C5FE" w:rsidR="00AE009F" w:rsidRPr="0050726A" w:rsidRDefault="00E664EE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D</w:t>
      </w:r>
      <w:r w:rsidR="00AE009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istribution</w:t>
      </w:r>
    </w:p>
    <w:p w14:paraId="49D70603" w14:textId="5C789978" w:rsidR="001B5B59" w:rsidRPr="0050726A" w:rsidRDefault="00681D04" w:rsidP="002229C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/>
          <w:sz w:val="24"/>
          <w:szCs w:val="24"/>
        </w:rPr>
        <w:t xml:space="preserve">These </w:t>
      </w:r>
      <w:r w:rsidR="00B22724" w:rsidRPr="0050726A">
        <w:rPr>
          <w:rFonts w:asciiTheme="minorHAnsi" w:hAnsiTheme="minorHAnsi"/>
          <w:sz w:val="24"/>
          <w:szCs w:val="24"/>
        </w:rPr>
        <w:t xml:space="preserve">two </w:t>
      </w:r>
      <w:r w:rsidRPr="0050726A">
        <w:rPr>
          <w:rFonts w:asciiTheme="minorHAnsi" w:hAnsiTheme="minorHAnsi"/>
          <w:sz w:val="24"/>
          <w:szCs w:val="24"/>
        </w:rPr>
        <w:t xml:space="preserve">strands of research </w:t>
      </w:r>
      <w:r w:rsidR="00756025" w:rsidRPr="0050726A">
        <w:rPr>
          <w:rFonts w:asciiTheme="minorHAnsi" w:hAnsiTheme="minorHAnsi"/>
          <w:sz w:val="24"/>
          <w:szCs w:val="24"/>
        </w:rPr>
        <w:t>suggest</w:t>
      </w:r>
      <w:r w:rsidRPr="0050726A">
        <w:rPr>
          <w:rFonts w:asciiTheme="minorHAnsi" w:hAnsiTheme="minorHAnsi"/>
          <w:sz w:val="24"/>
          <w:szCs w:val="24"/>
        </w:rPr>
        <w:t xml:space="preserve"> that </w:t>
      </w:r>
      <w:r w:rsidR="00756025" w:rsidRPr="0050726A">
        <w:rPr>
          <w:rFonts w:asciiTheme="minorHAnsi" w:hAnsiTheme="minorHAnsi"/>
          <w:sz w:val="24"/>
          <w:szCs w:val="24"/>
        </w:rPr>
        <w:t xml:space="preserve">there is a </w:t>
      </w:r>
      <w:r w:rsidR="00AE009F" w:rsidRPr="0050726A">
        <w:rPr>
          <w:rFonts w:asciiTheme="minorHAnsi" w:hAnsiTheme="minorHAnsi"/>
          <w:sz w:val="24"/>
          <w:szCs w:val="24"/>
        </w:rPr>
        <w:t xml:space="preserve">‘new’ </w:t>
      </w:r>
      <w:r w:rsidRPr="0050726A">
        <w:rPr>
          <w:rFonts w:asciiTheme="minorHAnsi" w:hAnsiTheme="minorHAnsi"/>
          <w:sz w:val="24"/>
          <w:szCs w:val="24"/>
        </w:rPr>
        <w:t xml:space="preserve">climate governance </w:t>
      </w:r>
      <w:r w:rsidR="00756025" w:rsidRPr="0050726A">
        <w:rPr>
          <w:rFonts w:asciiTheme="minorHAnsi" w:hAnsiTheme="minorHAnsi"/>
          <w:sz w:val="24"/>
          <w:szCs w:val="24"/>
        </w:rPr>
        <w:t xml:space="preserve">emerging 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>(</w:t>
      </w:r>
      <w:r w:rsidR="00164EA9" w:rsidRPr="0050726A">
        <w:rPr>
          <w:rFonts w:asciiTheme="minorHAnsi" w:eastAsia="MS Mincho" w:hAnsiTheme="minorHAnsi"/>
          <w:sz w:val="24"/>
          <w:szCs w:val="24"/>
          <w:lang w:eastAsia="zh-CN"/>
        </w:rPr>
        <w:t>that is,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dating mostly from the mid</w:t>
      </w:r>
      <w:r w:rsidR="00C161E2" w:rsidRPr="0050726A">
        <w:rPr>
          <w:rFonts w:asciiTheme="minorHAnsi" w:eastAsia="MS Mincho" w:hAnsiTheme="minorHAnsi"/>
          <w:sz w:val="24"/>
          <w:szCs w:val="24"/>
          <w:lang w:eastAsia="zh-CN"/>
        </w:rPr>
        <w:t>-</w:t>
      </w:r>
      <w:r w:rsidRPr="0050726A">
        <w:rPr>
          <w:rFonts w:asciiTheme="minorHAnsi" w:eastAsia="MS Mincho" w:hAnsiTheme="minorHAnsi"/>
          <w:sz w:val="24"/>
          <w:szCs w:val="24"/>
          <w:lang w:eastAsia="zh-CN"/>
        </w:rPr>
        <w:t xml:space="preserve"> 2000s), although </w:t>
      </w:r>
      <w:r w:rsidRPr="0050726A">
        <w:rPr>
          <w:rFonts w:asciiTheme="minorHAnsi" w:hAnsiTheme="minorHAnsi"/>
          <w:sz w:val="24"/>
          <w:szCs w:val="24"/>
        </w:rPr>
        <w:t xml:space="preserve">we </w:t>
      </w:r>
      <w:r w:rsidR="001B5B59" w:rsidRPr="0050726A">
        <w:rPr>
          <w:rFonts w:asciiTheme="minorHAnsi" w:hAnsiTheme="minorHAnsi"/>
          <w:sz w:val="24"/>
          <w:szCs w:val="24"/>
        </w:rPr>
        <w:t xml:space="preserve">certainly </w:t>
      </w:r>
      <w:r w:rsidRPr="0050726A">
        <w:rPr>
          <w:rFonts w:asciiTheme="minorHAnsi" w:hAnsiTheme="minorHAnsi"/>
          <w:sz w:val="24"/>
          <w:szCs w:val="24"/>
        </w:rPr>
        <w:t xml:space="preserve">do not wish to over-stress </w:t>
      </w:r>
      <w:r w:rsidR="00B22724" w:rsidRPr="0050726A">
        <w:rPr>
          <w:rFonts w:asciiTheme="minorHAnsi" w:hAnsiTheme="minorHAnsi"/>
          <w:sz w:val="24"/>
          <w:szCs w:val="24"/>
        </w:rPr>
        <w:t xml:space="preserve">its </w:t>
      </w:r>
      <w:r w:rsidRPr="0050726A">
        <w:rPr>
          <w:rFonts w:asciiTheme="minorHAnsi" w:hAnsiTheme="minorHAnsi"/>
          <w:sz w:val="24"/>
          <w:szCs w:val="24"/>
        </w:rPr>
        <w:t>novelty</w:t>
      </w:r>
      <w:r w:rsidR="001B5B59" w:rsidRPr="0050726A">
        <w:rPr>
          <w:rFonts w:asciiTheme="minorHAnsi" w:hAnsiTheme="minorHAnsi"/>
          <w:sz w:val="24"/>
          <w:szCs w:val="24"/>
        </w:rPr>
        <w:t xml:space="preserve"> (</w:t>
      </w:r>
      <w:r w:rsidRPr="0050726A">
        <w:rPr>
          <w:rFonts w:asciiTheme="minorHAnsi" w:hAnsiTheme="minorHAnsi"/>
          <w:sz w:val="24"/>
          <w:szCs w:val="24"/>
        </w:rPr>
        <w:t xml:space="preserve">some national policies </w:t>
      </w:r>
      <w:r w:rsidR="00AE009F" w:rsidRPr="0050726A">
        <w:rPr>
          <w:rFonts w:asciiTheme="minorHAnsi" w:hAnsiTheme="minorHAnsi"/>
          <w:sz w:val="24"/>
          <w:szCs w:val="24"/>
        </w:rPr>
        <w:t>pre-date the UNFCCC</w:t>
      </w:r>
      <w:r w:rsidR="001B5B59" w:rsidRPr="0050726A">
        <w:rPr>
          <w:rFonts w:asciiTheme="minorHAnsi" w:hAnsiTheme="minorHAnsi"/>
          <w:sz w:val="24"/>
          <w:szCs w:val="24"/>
        </w:rPr>
        <w:t>)</w:t>
      </w:r>
      <w:r w:rsidR="005B4972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35-39</w:t>
      </w:r>
      <w:r w:rsidR="00EA3707" w:rsidRPr="0050726A">
        <w:rPr>
          <w:rFonts w:asciiTheme="minorHAnsi" w:hAnsiTheme="minorHAnsi"/>
          <w:sz w:val="24"/>
          <w:szCs w:val="24"/>
        </w:rPr>
        <w:t xml:space="preserve"> </w:t>
      </w:r>
      <w:r w:rsidR="00A631CC" w:rsidRPr="0050726A">
        <w:rPr>
          <w:rFonts w:asciiTheme="minorHAnsi" w:hAnsiTheme="minorHAnsi"/>
          <w:sz w:val="24"/>
          <w:szCs w:val="24"/>
        </w:rPr>
        <w:t xml:space="preserve">In fact, </w:t>
      </w:r>
      <w:r w:rsidR="00A15711" w:rsidRPr="0050726A">
        <w:rPr>
          <w:rFonts w:asciiTheme="minorHAnsi" w:hAnsiTheme="minorHAnsi"/>
          <w:sz w:val="24"/>
          <w:szCs w:val="24"/>
        </w:rPr>
        <w:t>w</w:t>
      </w:r>
      <w:r w:rsidR="00DC0C56" w:rsidRPr="0050726A">
        <w:rPr>
          <w:rFonts w:asciiTheme="minorHAnsi" w:hAnsiTheme="minorHAnsi"/>
          <w:sz w:val="24"/>
          <w:szCs w:val="24"/>
        </w:rPr>
        <w:t xml:space="preserve">e </w:t>
      </w:r>
      <w:r w:rsidR="00B22724" w:rsidRPr="0050726A">
        <w:rPr>
          <w:rFonts w:asciiTheme="minorHAnsi" w:hAnsiTheme="minorHAnsi"/>
          <w:sz w:val="24"/>
          <w:szCs w:val="24"/>
        </w:rPr>
        <w:t xml:space="preserve">firmly </w:t>
      </w:r>
      <w:r w:rsidR="00DC0C56" w:rsidRPr="0050726A">
        <w:rPr>
          <w:rFonts w:asciiTheme="minorHAnsi" w:hAnsiTheme="minorHAnsi"/>
          <w:sz w:val="24"/>
          <w:szCs w:val="24"/>
        </w:rPr>
        <w:t xml:space="preserve">believe that </w:t>
      </w:r>
      <w:r w:rsidR="00B16C36" w:rsidRPr="0050726A">
        <w:rPr>
          <w:rFonts w:asciiTheme="minorHAnsi" w:hAnsiTheme="minorHAnsi"/>
          <w:sz w:val="24"/>
          <w:szCs w:val="24"/>
        </w:rPr>
        <w:t xml:space="preserve">now is </w:t>
      </w:r>
      <w:r w:rsidR="00DC0C56" w:rsidRPr="0050726A">
        <w:rPr>
          <w:rFonts w:asciiTheme="minorHAnsi" w:hAnsiTheme="minorHAnsi"/>
          <w:sz w:val="24"/>
          <w:szCs w:val="24"/>
        </w:rPr>
        <w:t xml:space="preserve">the </w:t>
      </w:r>
      <w:r w:rsidR="00B22724" w:rsidRPr="0050726A">
        <w:rPr>
          <w:rFonts w:asciiTheme="minorHAnsi" w:hAnsiTheme="minorHAnsi"/>
          <w:sz w:val="24"/>
          <w:szCs w:val="24"/>
        </w:rPr>
        <w:t xml:space="preserve">right </w:t>
      </w:r>
      <w:r w:rsidR="00DC0C56" w:rsidRPr="0050726A">
        <w:rPr>
          <w:rFonts w:asciiTheme="minorHAnsi" w:hAnsiTheme="minorHAnsi"/>
          <w:sz w:val="24"/>
          <w:szCs w:val="24"/>
        </w:rPr>
        <w:t xml:space="preserve">time </w:t>
      </w:r>
      <w:r w:rsidR="00461430" w:rsidRPr="0050726A">
        <w:rPr>
          <w:rFonts w:asciiTheme="minorHAnsi" w:hAnsiTheme="minorHAnsi"/>
          <w:sz w:val="24"/>
          <w:szCs w:val="24"/>
        </w:rPr>
        <w:t>to</w:t>
      </w:r>
      <w:r w:rsidRPr="0050726A">
        <w:rPr>
          <w:rFonts w:asciiTheme="minorHAnsi" w:hAnsiTheme="minorHAnsi"/>
          <w:sz w:val="24"/>
          <w:szCs w:val="24"/>
        </w:rPr>
        <w:t xml:space="preserve"> debate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most </w:t>
      </w:r>
      <w:r w:rsidR="005B497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appropriate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analytical categories</w:t>
      </w:r>
      <w:r w:rsidR="00DC0C5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to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measure </w:t>
      </w:r>
      <w:r w:rsidR="00DC0C5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 distribution</w:t>
      </w:r>
      <w:r w:rsidR="0040027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of the ‘new’ climate governance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</w:p>
    <w:p w14:paraId="590E7AC7" w14:textId="77777777" w:rsidR="001B5B59" w:rsidRPr="0050726A" w:rsidRDefault="001B5B59" w:rsidP="002229C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1B890E65" w14:textId="19A47959" w:rsidR="00681D04" w:rsidRPr="0050726A" w:rsidRDefault="00413EBE" w:rsidP="002229C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national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level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attempts to open up the analytical category of ‘policy’ </w:t>
      </w:r>
      <w:r w:rsidR="00C161E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which tends to be </w:t>
      </w:r>
      <w:r w:rsidR="00A013B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‘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black boxed</w:t>
      </w:r>
      <w:r w:rsidR="00A013B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’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by those who focus on international processes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="00B2272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reveal that </w:t>
      </w:r>
      <w:r w:rsidR="001F24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can be characterised in </w:t>
      </w:r>
      <w:r w:rsidR="00B11EF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multiple</w:t>
      </w:r>
      <w:r w:rsidR="00681D0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ways: some </w:t>
      </w:r>
      <w:r w:rsidR="008E793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policies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are legally binding whereas others are not; some are adopted by national policy makers, others by sub-national actors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such as local governments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and city mayors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; some are explicitly labelled as climate policy whereas others are primarily seen as 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relating to 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older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policy areas (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finance, transport, housing or forestry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)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40, 41</w:t>
      </w:r>
    </w:p>
    <w:p w14:paraId="73F9F3F5" w14:textId="77777777" w:rsidR="00681D04" w:rsidRPr="0050726A" w:rsidRDefault="00681D04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5710F1D8" w14:textId="1641FD11" w:rsidR="005E077F" w:rsidRPr="0050726A" w:rsidRDefault="002229C4" w:rsidP="002229C4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lastRenderedPageBreak/>
        <w:t>Although t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he</w:t>
      </w:r>
      <w:r w:rsidR="00413EB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se distinctions</w:t>
      </w:r>
      <w:r w:rsidR="000E3C6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410A3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may </w:t>
      </w:r>
      <w:r w:rsidR="000E3C6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appear </w:t>
      </w:r>
      <w:r w:rsidR="001F24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subtle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</w:t>
      </w:r>
      <w:r w:rsidR="001B5B5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multi-dimensionality of policy is </w:t>
      </w:r>
      <w:r w:rsidR="001F24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important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perhaps revealing underlying political motives. Dubash </w:t>
      </w:r>
      <w:r w:rsidR="00A631CC" w:rsidRPr="0050726A">
        <w:rPr>
          <w:rFonts w:asciiTheme="minorHAnsi" w:hAnsiTheme="minorHAnsi" w:cs="Lucida Sans Unicode"/>
          <w:i/>
          <w:iCs/>
          <w:sz w:val="24"/>
          <w:szCs w:val="24"/>
          <w:shd w:val="clear" w:color="auto" w:fill="FFFFFF"/>
        </w:rPr>
        <w:t>et al.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31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for example have found that non-binding strategies are being adopted at a much faster rate than legally binding</w:t>
      </w:r>
      <w:r w:rsidR="001853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policies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 Variation is also evident in the sense that countries with very similar emission reduction targets routinely employ different mixes of implementing instruments that are harnessed by these policies</w:t>
      </w:r>
      <w:r w:rsidR="00A631CC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42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Variations in policy type may also reveal politicians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’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expect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ations about</w:t>
      </w:r>
      <w:r w:rsidR="00A631C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F24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implementation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and, eventually, performance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43</w:t>
      </w:r>
      <w:r w:rsidR="001F24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lthough the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existing distribution </w:t>
      </w:r>
      <w:r w:rsidR="001B5B5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and internal characteristics 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of policy </w:t>
      </w:r>
      <w:r w:rsidR="00841B2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ha</w:t>
      </w:r>
      <w:r w:rsidR="00B308A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ve</w:t>
      </w:r>
      <w:r w:rsidR="00841B2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B5B5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probably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not had a 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very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significant effect on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net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emissions (relative to non-policy effects </w:t>
      </w:r>
      <w:r w:rsidR="00C161E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C161E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see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below), </w:t>
      </w:r>
      <w:r w:rsidR="00616E7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they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may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nevertheless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open up new political opportunities to collaborate, such as by linking similar instruments </w:t>
      </w:r>
      <w:r w:rsidR="00681D0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(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like</w:t>
      </w:r>
      <w:r w:rsidR="00681D0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emissions trading)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 different countries.</w:t>
      </w:r>
    </w:p>
    <w:p w14:paraId="401ABE6A" w14:textId="77777777" w:rsidR="005E077F" w:rsidRPr="0050726A" w:rsidRDefault="005E077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5D07C545" w14:textId="26071C8C" w:rsidR="00AE009F" w:rsidRPr="0050726A" w:rsidRDefault="000E3C6E" w:rsidP="00A87B7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/>
          <w:sz w:val="24"/>
          <w:szCs w:val="24"/>
        </w:rPr>
        <w:t>T</w:t>
      </w:r>
      <w:r w:rsidR="005E077F" w:rsidRPr="0050726A">
        <w:rPr>
          <w:rFonts w:asciiTheme="minorHAnsi" w:hAnsiTheme="minorHAnsi"/>
          <w:sz w:val="24"/>
          <w:szCs w:val="24"/>
        </w:rPr>
        <w:t>wo important challenges remain for th</w:t>
      </w:r>
      <w:r w:rsidRPr="0050726A">
        <w:rPr>
          <w:rFonts w:asciiTheme="minorHAnsi" w:hAnsiTheme="minorHAnsi"/>
          <w:sz w:val="24"/>
          <w:szCs w:val="24"/>
        </w:rPr>
        <w:t xml:space="preserve">ose working on </w:t>
      </w:r>
      <w:r w:rsidR="00B16C36" w:rsidRPr="0050726A">
        <w:rPr>
          <w:rFonts w:asciiTheme="minorHAnsi" w:hAnsiTheme="minorHAnsi"/>
          <w:sz w:val="24"/>
          <w:szCs w:val="24"/>
        </w:rPr>
        <w:t>national policies</w:t>
      </w:r>
      <w:r w:rsidR="005E077F" w:rsidRPr="0050726A">
        <w:rPr>
          <w:rFonts w:asciiTheme="minorHAnsi" w:hAnsiTheme="minorHAnsi"/>
          <w:sz w:val="24"/>
          <w:szCs w:val="24"/>
        </w:rPr>
        <w:t xml:space="preserve">. </w:t>
      </w:r>
      <w:r w:rsidR="00D811C1" w:rsidRPr="0050726A">
        <w:rPr>
          <w:rFonts w:asciiTheme="minorHAnsi" w:hAnsiTheme="minorHAnsi"/>
          <w:sz w:val="24"/>
          <w:szCs w:val="24"/>
        </w:rPr>
        <w:t xml:space="preserve">First, </w:t>
      </w:r>
      <w:r w:rsidR="00085197" w:rsidRPr="0050726A">
        <w:rPr>
          <w:rFonts w:asciiTheme="minorHAnsi" w:hAnsiTheme="minorHAnsi"/>
          <w:sz w:val="24"/>
          <w:szCs w:val="24"/>
        </w:rPr>
        <w:t xml:space="preserve">scholars must find </w:t>
      </w:r>
      <w:r w:rsidR="00B16C36" w:rsidRPr="0050726A">
        <w:rPr>
          <w:rFonts w:asciiTheme="minorHAnsi" w:hAnsiTheme="minorHAnsi"/>
          <w:sz w:val="24"/>
          <w:szCs w:val="24"/>
        </w:rPr>
        <w:t xml:space="preserve">better ways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to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define and </w:t>
      </w:r>
      <w:r w:rsidR="002229C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track policy adoption</w:t>
      </w:r>
      <w:r w:rsidR="00410A3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 and innovations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;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n under-appreciated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challenge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when policy</w:t>
      </w:r>
      <w:r w:rsidR="001853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-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making activity is constant and no single actor is responsible for collecting comparable data.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 the international regime </w:t>
      </w:r>
      <w:r w:rsidR="002229C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shifts to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 more bottom-up architecture, with each party pledging and reviewing its own policy commitments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(in UNFCCC speak</w:t>
      </w:r>
      <w:r w:rsidR="00FD0F9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: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‘intended nationally determined contributions’)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we expect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this </w:t>
      </w:r>
      <w:r w:rsidR="00D15E9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hitherto </w:t>
      </w:r>
      <w:r w:rsidR="004A78F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largely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academic task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to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become considerably more policy-relevant.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Second, having collected comparable data,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explan</w:t>
      </w:r>
      <w:r w:rsidR="002229C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ations for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what is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caus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ing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observed differences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can be sought</w:t>
      </w:r>
      <w:r w:rsidR="004A78F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-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 </w:t>
      </w:r>
      <w:r w:rsidR="00C161E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precondition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for 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altering, through purposive steering, the </w:t>
      </w:r>
      <w:r w:rsidR="001853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future </w:t>
      </w:r>
      <w:r w:rsidR="005B4B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orientation of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govern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ance.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Again, experience suggests that explanations will take time to derive.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D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ecades of comparative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policy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analysis suggest that </w:t>
      </w:r>
      <w:r w:rsidR="00C530C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cross-national variations </w:t>
      </w:r>
      <w:r w:rsidR="00B16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are likely to arise from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complicated 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nexus of</w:t>
      </w:r>
      <w:r w:rsidR="00735FB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D811C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factors that are </w:t>
      </w:r>
      <w:r w:rsidR="00735FB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internal and</w:t>
      </w:r>
      <w:r w:rsidR="00D811C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/or </w:t>
      </w:r>
      <w:r w:rsidR="00735FB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external </w:t>
      </w:r>
      <w:r w:rsidR="00D811C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to particular countrie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="005E077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42</w:t>
      </w:r>
    </w:p>
    <w:p w14:paraId="0E27BCF7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2588FB7E" w14:textId="62F19DA6" w:rsidR="00AE009F" w:rsidRPr="0050726A" w:rsidRDefault="00AA78AB" w:rsidP="00A87B7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Those working on transnational governance have also begun to reflect upon the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distribution</w:t>
      </w:r>
      <w:r w:rsidR="0097323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of </w:t>
      </w:r>
      <w:r w:rsidR="003C2C6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non</w:t>
      </w:r>
      <w:r w:rsidR="0087488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-</w:t>
      </w:r>
      <w:r w:rsidR="003C2C6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state </w:t>
      </w:r>
      <w:r w:rsidR="0097323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initiatives.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As territorial categories </w:t>
      </w:r>
      <w:r w:rsidR="003C2C6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are assumed to be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less relevant, other categorisations have been </w:t>
      </w:r>
      <w:r w:rsidR="0092104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invented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. </w:t>
      </w:r>
      <w:r w:rsidR="00AE009F" w:rsidRPr="0050726A">
        <w:rPr>
          <w:rFonts w:asciiTheme="minorHAnsi" w:hAnsiTheme="minorHAnsi"/>
          <w:sz w:val="24"/>
          <w:szCs w:val="24"/>
        </w:rPr>
        <w:t>Abbott</w:t>
      </w:r>
      <w:r w:rsidR="00943DC6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25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for example</w:t>
      </w:r>
      <w:r w:rsidR="00943DC6" w:rsidRPr="0050726A">
        <w:rPr>
          <w:rFonts w:asciiTheme="minorHAnsi" w:hAnsiTheme="minorHAnsi"/>
          <w:sz w:val="24"/>
          <w:szCs w:val="24"/>
        </w:rPr>
        <w:t>,</w:t>
      </w:r>
      <w:r w:rsidR="00AE009F" w:rsidRPr="0050726A">
        <w:rPr>
          <w:rFonts w:asciiTheme="minorHAnsi" w:hAnsiTheme="minorHAnsi"/>
          <w:sz w:val="24"/>
          <w:szCs w:val="24"/>
        </w:rPr>
        <w:t xml:space="preserve"> reveals that </w:t>
      </w:r>
      <w:r w:rsidR="00A87B72" w:rsidRPr="0050726A">
        <w:rPr>
          <w:rFonts w:asciiTheme="minorHAnsi" w:hAnsiTheme="minorHAnsi"/>
          <w:sz w:val="24"/>
          <w:szCs w:val="24"/>
        </w:rPr>
        <w:t xml:space="preserve">transnational initiatives </w:t>
      </w:r>
      <w:r w:rsidR="00AE009F" w:rsidRPr="0050726A">
        <w:rPr>
          <w:rFonts w:asciiTheme="minorHAnsi" w:hAnsiTheme="minorHAnsi"/>
          <w:sz w:val="24"/>
          <w:szCs w:val="24"/>
        </w:rPr>
        <w:t xml:space="preserve">perform </w:t>
      </w:r>
      <w:r w:rsidR="00B16C36" w:rsidRPr="0050726A">
        <w:rPr>
          <w:rFonts w:asciiTheme="minorHAnsi" w:hAnsiTheme="minorHAnsi"/>
          <w:sz w:val="24"/>
          <w:szCs w:val="24"/>
        </w:rPr>
        <w:t xml:space="preserve">myriad </w:t>
      </w:r>
      <w:r w:rsidR="00B77D63" w:rsidRPr="0050726A">
        <w:rPr>
          <w:rFonts w:asciiTheme="minorHAnsi" w:hAnsiTheme="minorHAnsi"/>
          <w:sz w:val="24"/>
          <w:szCs w:val="24"/>
        </w:rPr>
        <w:t>functions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 including some </w:t>
      </w:r>
      <w:r w:rsidR="00F7597C" w:rsidRPr="0050726A">
        <w:rPr>
          <w:rFonts w:asciiTheme="minorHAnsi" w:hAnsiTheme="minorHAnsi" w:cs="Calibri"/>
          <w:sz w:val="24"/>
          <w:szCs w:val="24"/>
          <w:lang w:val="en-US"/>
        </w:rPr>
        <w:t>(</w:t>
      </w:r>
      <w:r w:rsidR="00A87B72" w:rsidRPr="0050726A">
        <w:rPr>
          <w:rFonts w:asciiTheme="minorHAnsi" w:hAnsiTheme="minorHAnsi" w:cs="Calibri"/>
          <w:sz w:val="24"/>
          <w:szCs w:val="24"/>
          <w:lang w:val="en-US"/>
        </w:rPr>
        <w:t xml:space="preserve">such as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rulemaking and implementation</w:t>
      </w:r>
      <w:r w:rsidR="00F7597C" w:rsidRPr="0050726A">
        <w:rPr>
          <w:rFonts w:asciiTheme="minorHAnsi" w:hAnsiTheme="minorHAnsi" w:cs="Calibri"/>
          <w:sz w:val="24"/>
          <w:szCs w:val="24"/>
          <w:lang w:val="en-US"/>
        </w:rPr>
        <w:t>)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F7597C" w:rsidRPr="0050726A">
        <w:rPr>
          <w:rFonts w:asciiTheme="minorHAnsi" w:hAnsiTheme="minorHAnsi" w:cs="Calibri"/>
          <w:sz w:val="24"/>
          <w:szCs w:val="24"/>
          <w:lang w:val="en-US"/>
        </w:rPr>
        <w:t xml:space="preserve">usually </w:t>
      </w:r>
      <w:r w:rsidR="00413EBE" w:rsidRPr="0050726A">
        <w:rPr>
          <w:rFonts w:asciiTheme="minorHAnsi" w:hAnsiTheme="minorHAnsi" w:cs="Calibri"/>
          <w:sz w:val="24"/>
          <w:szCs w:val="24"/>
          <w:lang w:val="en-US"/>
        </w:rPr>
        <w:t>considered</w:t>
      </w:r>
      <w:r w:rsidR="00B77D63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the preserve of states.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Two, however, stand out: capacity building and information sharing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12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50726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– governing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functions where the state’s comparative advantage is </w:t>
      </w:r>
      <w:r w:rsidR="001853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relatively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low, especially at a restricted spatial scale.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This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finding </w:t>
      </w:r>
      <w:r w:rsidR="000E3C6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suggests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that actors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may be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self-organi</w:t>
      </w:r>
      <w:r w:rsidR="00FD0F9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ing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512B7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around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a mutually beneficial division of labour</w:t>
      </w:r>
      <w:r w:rsidR="00413EBE" w:rsidRPr="0050726A">
        <w:rPr>
          <w:rFonts w:asciiTheme="minorHAnsi" w:hAnsiTheme="minorHAnsi" w:cs="Calibri"/>
          <w:sz w:val="24"/>
          <w:szCs w:val="24"/>
          <w:lang w:val="en-US"/>
        </w:rPr>
        <w:t>,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 as </w:t>
      </w:r>
      <w:r w:rsidR="00A87B72" w:rsidRPr="0050726A">
        <w:rPr>
          <w:rFonts w:asciiTheme="minorHAnsi" w:hAnsiTheme="minorHAnsi" w:cs="Calibri"/>
          <w:sz w:val="24"/>
          <w:szCs w:val="24"/>
          <w:lang w:val="en-US"/>
        </w:rPr>
        <w:t>envisaged</w:t>
      </w:r>
      <w:r w:rsidR="009011ED" w:rsidRPr="0050726A">
        <w:rPr>
          <w:rFonts w:asciiTheme="minorHAnsi" w:hAnsiTheme="minorHAnsi" w:cs="Calibri"/>
          <w:sz w:val="24"/>
          <w:szCs w:val="24"/>
          <w:lang w:val="en-US"/>
        </w:rPr>
        <w:t xml:space="preserve"> in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Ostrom’s </w:t>
      </w:r>
      <w:r w:rsidR="00410A31" w:rsidRPr="0050726A">
        <w:rPr>
          <w:rFonts w:asciiTheme="minorHAnsi" w:hAnsiTheme="minorHAnsi" w:cs="Calibri"/>
          <w:sz w:val="24"/>
          <w:szCs w:val="24"/>
          <w:lang w:val="en-US"/>
        </w:rPr>
        <w:t>reading</w:t>
      </w:r>
      <w:r w:rsidR="00A87B72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of polycentricity.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19, 44-46</w:t>
      </w:r>
    </w:p>
    <w:p w14:paraId="1324C740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04FC97C1" w14:textId="685B889F" w:rsidR="00AE009F" w:rsidRPr="0050726A" w:rsidRDefault="00AE009F" w:rsidP="00A87B7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Finally, much like the databases of policy activity, </w:t>
      </w:r>
      <w:r w:rsidR="00A90FC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most</w:t>
      </w:r>
      <w:r w:rsidR="002B0C3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(</w:t>
      </w:r>
      <w:r w:rsidR="00A90FC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but not all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47</w:t>
      </w:r>
      <w:r w:rsidR="002B0C3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)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studies of transnational governance offer </w:t>
      </w:r>
      <w:r w:rsidR="0092104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rather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static </w:t>
      </w:r>
      <w:r w:rsidR="001C6E3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snapshots, which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struggle to account for dynamic processes of evolution</w:t>
      </w:r>
      <w:r w:rsidR="0092104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 diffusion and performance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For example, how do </w:t>
      </w:r>
      <w:r w:rsidR="00DC24D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they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spread across borders and in which countries are </w:t>
      </w:r>
      <w:r w:rsidR="00A87B7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they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most active? What factors help to bring about </w:t>
      </w:r>
      <w:r w:rsidR="00C263D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mutual learning from </w:t>
      </w:r>
      <w:r w:rsidR="002E4E0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these processes of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experimentation, without which </w:t>
      </w:r>
      <w:r w:rsidR="0031264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</w:t>
      </w:r>
      <w:r w:rsidR="002E4E0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oft-claimed </w:t>
      </w:r>
      <w:r w:rsidR="0031264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advantages of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polycentrism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48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might </w:t>
      </w:r>
      <w:r w:rsidR="0031264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not emerge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?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77D6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And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who remains </w:t>
      </w:r>
      <w:r w:rsidR="002E4E0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actively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involved once </w:t>
      </w:r>
      <w:r w:rsidR="002E4E0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scheme is up and running, for how long and why</w:t>
      </w:r>
      <w:r w:rsidR="00F7597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?</w:t>
      </w:r>
    </w:p>
    <w:p w14:paraId="69566EC0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33E398F6" w14:textId="20C5B459" w:rsidR="00AE009F" w:rsidRPr="0050726A" w:rsidRDefault="00E664EE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O</w:t>
      </w:r>
      <w:r w:rsidR="00AE009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rigins</w:t>
      </w:r>
    </w:p>
    <w:p w14:paraId="3D6FEDB5" w14:textId="77E87C92" w:rsidR="00AE009F" w:rsidRPr="0050726A" w:rsidRDefault="00E13467" w:rsidP="00A87B7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two new strands of literature would seem to bear out the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general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claim that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climate governance has become more polycentric.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49, 50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i/>
          <w:sz w:val="24"/>
          <w:szCs w:val="24"/>
          <w:shd w:val="clear" w:color="auto" w:fill="FFFFFF"/>
        </w:rPr>
        <w:t xml:space="preserve">Why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it has become so is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much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less clear, not least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lastRenderedPageBreak/>
        <w:t xml:space="preserve">because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both strands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offer </w:t>
      </w:r>
      <w:r w:rsidR="0031264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partial perspectives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This </w:t>
      </w:r>
      <w:r w:rsidR="002D536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constitutes a significant research gap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 environmental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social </w:t>
      </w:r>
      <w:r w:rsidR="001833A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science</w:t>
      </w:r>
      <w:r w:rsidR="00E63D5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,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two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broad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categories of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motivation to engage in multi-actor governance are normally cited: financial and non-financial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51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2D5361" w:rsidRPr="0050726A">
        <w:rPr>
          <w:rFonts w:asciiTheme="minorHAnsi" w:hAnsiTheme="minorHAnsi"/>
          <w:sz w:val="24"/>
          <w:szCs w:val="24"/>
        </w:rPr>
        <w:t>How well d</w:t>
      </w:r>
      <w:r w:rsidR="00AE009F" w:rsidRPr="0050726A">
        <w:rPr>
          <w:rFonts w:asciiTheme="minorHAnsi" w:hAnsiTheme="minorHAnsi"/>
          <w:sz w:val="24"/>
          <w:szCs w:val="24"/>
        </w:rPr>
        <w:t>o these carry across to the ‘new’ climate governance?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As regards transnational governance, </w:t>
      </w:r>
      <w:r w:rsidR="00756025" w:rsidRPr="0050726A">
        <w:rPr>
          <w:rFonts w:asciiTheme="minorHAnsi" w:hAnsiTheme="minorHAnsi"/>
          <w:sz w:val="24"/>
          <w:szCs w:val="24"/>
        </w:rPr>
        <w:t xml:space="preserve">most </w:t>
      </w:r>
      <w:r w:rsidR="00950A29" w:rsidRPr="0050726A">
        <w:rPr>
          <w:rFonts w:asciiTheme="minorHAnsi" w:hAnsiTheme="minorHAnsi"/>
          <w:sz w:val="24"/>
          <w:szCs w:val="24"/>
        </w:rPr>
        <w:t xml:space="preserve">scholars are </w:t>
      </w:r>
      <w:r w:rsidR="00AE009F" w:rsidRPr="0050726A">
        <w:rPr>
          <w:rFonts w:asciiTheme="minorHAnsi" w:hAnsiTheme="minorHAnsi"/>
          <w:sz w:val="24"/>
          <w:szCs w:val="24"/>
        </w:rPr>
        <w:t xml:space="preserve">still identifying </w:t>
      </w:r>
      <w:r w:rsidR="002D5361" w:rsidRPr="0050726A">
        <w:rPr>
          <w:rFonts w:asciiTheme="minorHAnsi" w:hAnsiTheme="minorHAnsi"/>
          <w:sz w:val="24"/>
          <w:szCs w:val="24"/>
        </w:rPr>
        <w:t xml:space="preserve">potential </w:t>
      </w:r>
      <w:r w:rsidR="00950A29" w:rsidRPr="0050726A">
        <w:rPr>
          <w:rFonts w:asciiTheme="minorHAnsi" w:hAnsiTheme="minorHAnsi"/>
          <w:sz w:val="24"/>
          <w:szCs w:val="24"/>
        </w:rPr>
        <w:t>sub-</w:t>
      </w:r>
      <w:r w:rsidR="00AE009F" w:rsidRPr="0050726A">
        <w:rPr>
          <w:rFonts w:asciiTheme="minorHAnsi" w:hAnsiTheme="minorHAnsi"/>
          <w:sz w:val="24"/>
          <w:szCs w:val="24"/>
        </w:rPr>
        <w:t xml:space="preserve">categories of motivation, </w:t>
      </w:r>
      <w:r w:rsidR="009A2058" w:rsidRPr="0050726A">
        <w:rPr>
          <w:rFonts w:asciiTheme="minorHAnsi" w:hAnsiTheme="minorHAnsi"/>
          <w:sz w:val="24"/>
          <w:szCs w:val="24"/>
        </w:rPr>
        <w:t>including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moral concerns</w:t>
      </w:r>
      <w:r w:rsidR="009A2058" w:rsidRPr="0050726A">
        <w:rPr>
          <w:rFonts w:asciiTheme="minorHAnsi" w:hAnsiTheme="minorHAnsi" w:cs="Calibri"/>
          <w:sz w:val="24"/>
          <w:szCs w:val="24"/>
          <w:lang w:val="en-US"/>
        </w:rPr>
        <w:t xml:space="preserve">, fear of 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new regulation (or 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the 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>opportunity to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 secure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first-mover advantages by 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>shap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>ing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 it)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>,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 xml:space="preserve"> the pursuit of direct financial rewards</w:t>
      </w:r>
      <w:r w:rsidR="009A2058" w:rsidRPr="0050726A">
        <w:rPr>
          <w:rFonts w:asciiTheme="minorHAnsi" w:hAnsiTheme="minorHAnsi" w:cs="Calibri"/>
          <w:sz w:val="24"/>
          <w:szCs w:val="24"/>
          <w:lang w:val="en-US"/>
        </w:rPr>
        <w:t>,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 indirect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 or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‘non-climate’ </w:t>
      </w:r>
      <w:r w:rsidR="0037682F" w:rsidRPr="0050726A">
        <w:rPr>
          <w:rFonts w:asciiTheme="minorHAnsi" w:hAnsiTheme="minorHAnsi" w:cs="Calibri"/>
          <w:sz w:val="24"/>
          <w:szCs w:val="24"/>
          <w:lang w:val="en-US"/>
        </w:rPr>
        <w:t xml:space="preserve">benefits (e.g. reputational enhancement), </w:t>
      </w:r>
      <w:r w:rsidR="003246D0" w:rsidRPr="0050726A">
        <w:rPr>
          <w:rFonts w:asciiTheme="minorHAnsi" w:hAnsiTheme="minorHAnsi" w:cs="Calibri"/>
          <w:sz w:val="24"/>
          <w:szCs w:val="24"/>
          <w:lang w:val="en-US"/>
        </w:rPr>
        <w:t xml:space="preserve">and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the satisfa</w:t>
      </w:r>
      <w:r w:rsidR="00E04ED3" w:rsidRPr="0050726A">
        <w:rPr>
          <w:rFonts w:asciiTheme="minorHAnsi" w:hAnsiTheme="minorHAnsi" w:cs="Calibri"/>
          <w:sz w:val="24"/>
          <w:szCs w:val="24"/>
          <w:lang w:val="en-US"/>
        </w:rPr>
        <w:t>ction of consumer expectations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4, 24, 25, 34</w:t>
      </w:r>
    </w:p>
    <w:p w14:paraId="09FF1884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1A5C38AD" w14:textId="2707C78F" w:rsidR="00AE009F" w:rsidRPr="0050726A" w:rsidRDefault="00AE009F" w:rsidP="00716462">
      <w:pPr>
        <w:autoSpaceDE w:val="0"/>
        <w:autoSpaceDN w:val="0"/>
        <w:adjustRightInd w:val="0"/>
        <w:spacing w:after="0"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Studies of the emergence of new national policies have also hypothesised </w:t>
      </w:r>
      <w:r w:rsidR="009A205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but not yet fully tested</w:t>
      </w:r>
      <w:r w:rsidR="009A205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for </w:t>
      </w:r>
      <w:r w:rsidR="009A205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similar meta-motivations.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Dubash </w:t>
      </w:r>
      <w:r w:rsidRPr="0050726A">
        <w:rPr>
          <w:rFonts w:asciiTheme="minorHAnsi" w:hAnsiTheme="minorHAnsi" w:cs="Lucida Sans Unicode"/>
          <w:i/>
          <w:iCs/>
          <w:sz w:val="24"/>
          <w:szCs w:val="24"/>
          <w:shd w:val="clear" w:color="auto" w:fill="FFFFFF"/>
        </w:rPr>
        <w:t>et al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31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for example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9E420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mention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need to comply with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UNFCCC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requirements, the desire to reap competitive advantages </w:t>
      </w:r>
      <w:r w:rsidR="009E420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and/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or </w:t>
      </w:r>
      <w:r w:rsidR="009E420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indirectly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empower pro-environmental political actors (see also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52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).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Studies of specific policy innovations have </w:t>
      </w:r>
      <w:r w:rsidR="00950A2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tried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to disentangle these</w:t>
      </w:r>
      <w:r w:rsidR="00950A2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motivations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950A2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using large ‘n’ statistical techniques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53, 54</w:t>
      </w:r>
      <w:r w:rsidR="00EB5B6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2C771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We </w:t>
      </w:r>
      <w:r w:rsidR="002D536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have </w:t>
      </w:r>
      <w:r w:rsidR="002C771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already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noted </w:t>
      </w:r>
      <w:r w:rsidR="002C771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how </w:t>
      </w:r>
      <w:r w:rsidR="004F6970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such </w:t>
      </w:r>
      <w:r w:rsidR="002D536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studies </w:t>
      </w:r>
      <w:r w:rsidR="009E420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tend to gloss over </w:t>
      </w:r>
      <w:r w:rsidR="004F6970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 subtle but important differen</w:t>
      </w:r>
      <w:r w:rsidR="00020EE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ces between </w:t>
      </w:r>
      <w:r w:rsidR="00E172B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and within </w:t>
      </w:r>
      <w:r w:rsidR="00020EE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individual </w:t>
      </w:r>
      <w:r w:rsidR="00950A29" w:rsidRPr="0050726A">
        <w:rPr>
          <w:rFonts w:asciiTheme="minorHAnsi" w:hAnsiTheme="minorHAnsi" w:cs="AdvOT5843c571"/>
          <w:color w:val="000000"/>
          <w:sz w:val="24"/>
          <w:szCs w:val="24"/>
        </w:rPr>
        <w:t>policies</w:t>
      </w:r>
      <w:r w:rsidR="002D536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; </w:t>
      </w:r>
      <w:r w:rsidR="00F53B9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analysts </w:t>
      </w:r>
      <w:r w:rsidR="002D536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are also becoming more aware of their 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>insensitiv</w:t>
      </w:r>
      <w:r w:rsidR="002D536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ity to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slow processes of refinement 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as </w:t>
      </w:r>
      <w:r w:rsidR="00F53B9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policies 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>diffuse and take r</w:t>
      </w:r>
      <w:r w:rsidR="00E04ED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oot in </w:t>
      </w:r>
      <w:r w:rsidR="00F53B9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particular </w:t>
      </w:r>
      <w:r w:rsidR="00E04ED3" w:rsidRPr="0050726A">
        <w:rPr>
          <w:rFonts w:asciiTheme="minorHAnsi" w:hAnsiTheme="minorHAnsi" w:cs="AdvOT5843c571"/>
          <w:color w:val="000000"/>
          <w:sz w:val="24"/>
          <w:szCs w:val="24"/>
        </w:rPr>
        <w:t>jurisdictions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55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Case study analyses have shown that </w:t>
      </w:r>
      <w:r w:rsidR="0071340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instrument constituencies drive </w:t>
      </w:r>
      <w:r w:rsidR="00F53B9D" w:rsidRPr="0050726A">
        <w:rPr>
          <w:rFonts w:asciiTheme="minorHAnsi" w:hAnsiTheme="minorHAnsi" w:cs="AdvOT5843c571"/>
          <w:color w:val="000000"/>
          <w:sz w:val="24"/>
          <w:szCs w:val="24"/>
        </w:rPr>
        <w:t>these processes</w:t>
      </w:r>
      <w:r w:rsidR="00E63D5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motivated by a desire to diffuse a </w:t>
      </w:r>
      <w:r w:rsidR="00F53B9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particular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policy instrument 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>(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such as emissions trading</w:t>
      </w:r>
      <w:r w:rsidR="004F6970" w:rsidRPr="0050726A">
        <w:rPr>
          <w:rFonts w:asciiTheme="minorHAnsi" w:hAnsiTheme="minorHAnsi" w:cs="AdvOT5843c571"/>
          <w:color w:val="000000"/>
          <w:sz w:val="24"/>
          <w:szCs w:val="24"/>
        </w:rPr>
        <w:t>)</w:t>
      </w:r>
      <w:r w:rsidR="00FD0F94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11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E63D5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often in collaboration </w:t>
      </w:r>
      <w:r w:rsidR="002D536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with </w:t>
      </w:r>
      <w:r w:rsidR="00E04ED3" w:rsidRPr="0050726A">
        <w:rPr>
          <w:rFonts w:asciiTheme="minorHAnsi" w:hAnsiTheme="minorHAnsi"/>
          <w:sz w:val="24"/>
          <w:szCs w:val="24"/>
        </w:rPr>
        <w:t>policy entrepreneur</w:t>
      </w:r>
      <w:r w:rsidR="0037682F" w:rsidRPr="0050726A">
        <w:rPr>
          <w:rFonts w:asciiTheme="minorHAnsi" w:hAnsiTheme="minorHAnsi"/>
          <w:sz w:val="24"/>
          <w:szCs w:val="24"/>
        </w:rPr>
        <w:t>s</w:t>
      </w:r>
      <w:r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56, 57</w:t>
      </w:r>
    </w:p>
    <w:p w14:paraId="5EF70B94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46841896" w14:textId="1F7FB526" w:rsidR="005B725B" w:rsidRPr="0050726A" w:rsidRDefault="00AE009F" w:rsidP="00164EA9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/>
          <w:sz w:val="24"/>
          <w:szCs w:val="24"/>
        </w:rPr>
        <w:t xml:space="preserve">Centre stage in these policy adoption processes are </w:t>
      </w:r>
      <w:r w:rsidR="009A0848" w:rsidRPr="0050726A">
        <w:rPr>
          <w:rFonts w:asciiTheme="minorHAnsi" w:hAnsiTheme="minorHAnsi"/>
          <w:sz w:val="24"/>
          <w:szCs w:val="24"/>
        </w:rPr>
        <w:t xml:space="preserve">(sub)national </w:t>
      </w:r>
      <w:r w:rsidRPr="0050726A">
        <w:rPr>
          <w:rFonts w:asciiTheme="minorHAnsi" w:hAnsiTheme="minorHAnsi"/>
          <w:sz w:val="24"/>
          <w:szCs w:val="24"/>
        </w:rPr>
        <w:t xml:space="preserve">politicians – a </w:t>
      </w:r>
      <w:r w:rsidR="0077332A" w:rsidRPr="0050726A">
        <w:rPr>
          <w:rFonts w:asciiTheme="minorHAnsi" w:hAnsiTheme="minorHAnsi"/>
          <w:sz w:val="24"/>
          <w:szCs w:val="24"/>
        </w:rPr>
        <w:t xml:space="preserve">distinct </w:t>
      </w:r>
      <w:r w:rsidR="00FD0F94" w:rsidRPr="0050726A">
        <w:rPr>
          <w:rFonts w:asciiTheme="minorHAnsi" w:hAnsiTheme="minorHAnsi"/>
          <w:sz w:val="24"/>
          <w:szCs w:val="24"/>
        </w:rPr>
        <w:t xml:space="preserve">actor </w:t>
      </w:r>
      <w:r w:rsidRPr="0050726A">
        <w:rPr>
          <w:rFonts w:asciiTheme="minorHAnsi" w:hAnsiTheme="minorHAnsi"/>
          <w:sz w:val="24"/>
          <w:szCs w:val="24"/>
        </w:rPr>
        <w:t xml:space="preserve">category </w:t>
      </w:r>
      <w:r w:rsidR="00E172B7" w:rsidRPr="0050726A">
        <w:rPr>
          <w:rFonts w:asciiTheme="minorHAnsi" w:hAnsiTheme="minorHAnsi"/>
          <w:sz w:val="24"/>
          <w:szCs w:val="24"/>
        </w:rPr>
        <w:t xml:space="preserve">all too often </w:t>
      </w:r>
      <w:r w:rsidRPr="0050726A">
        <w:rPr>
          <w:rFonts w:asciiTheme="minorHAnsi" w:hAnsiTheme="minorHAnsi"/>
          <w:sz w:val="24"/>
          <w:szCs w:val="24"/>
        </w:rPr>
        <w:t xml:space="preserve">ignored by transnational </w:t>
      </w:r>
      <w:r w:rsidR="00E172B7" w:rsidRPr="0050726A">
        <w:rPr>
          <w:rFonts w:asciiTheme="minorHAnsi" w:hAnsiTheme="minorHAnsi"/>
          <w:sz w:val="24"/>
          <w:szCs w:val="24"/>
        </w:rPr>
        <w:t xml:space="preserve">and international </w:t>
      </w:r>
      <w:r w:rsidRPr="0050726A">
        <w:rPr>
          <w:rFonts w:asciiTheme="minorHAnsi" w:hAnsiTheme="minorHAnsi"/>
          <w:sz w:val="24"/>
          <w:szCs w:val="24"/>
        </w:rPr>
        <w:t>scholars.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One of the enduring </w:t>
      </w:r>
      <w:r w:rsidRPr="0050726A">
        <w:rPr>
          <w:rFonts w:asciiTheme="minorHAnsi" w:hAnsiTheme="minorHAnsi"/>
          <w:sz w:val="24"/>
          <w:szCs w:val="24"/>
        </w:rPr>
        <w:lastRenderedPageBreak/>
        <w:t xml:space="preserve">puzzles in </w:t>
      </w:r>
      <w:r w:rsidR="000049BB" w:rsidRPr="0050726A">
        <w:rPr>
          <w:rFonts w:asciiTheme="minorHAnsi" w:hAnsiTheme="minorHAnsi"/>
          <w:sz w:val="24"/>
          <w:szCs w:val="24"/>
        </w:rPr>
        <w:t xml:space="preserve">public </w:t>
      </w:r>
      <w:r w:rsidRPr="0050726A">
        <w:rPr>
          <w:rFonts w:asciiTheme="minorHAnsi" w:hAnsiTheme="minorHAnsi"/>
          <w:sz w:val="24"/>
          <w:szCs w:val="24"/>
        </w:rPr>
        <w:t xml:space="preserve">policy analysis is what motivates </w:t>
      </w:r>
      <w:r w:rsidR="009A0848" w:rsidRPr="0050726A">
        <w:rPr>
          <w:rFonts w:asciiTheme="minorHAnsi" w:hAnsiTheme="minorHAnsi"/>
          <w:sz w:val="24"/>
          <w:szCs w:val="24"/>
        </w:rPr>
        <w:t>them</w:t>
      </w:r>
      <w:r w:rsidRPr="0050726A">
        <w:rPr>
          <w:rFonts w:asciiTheme="minorHAnsi" w:hAnsiTheme="minorHAnsi"/>
          <w:sz w:val="24"/>
          <w:szCs w:val="24"/>
        </w:rPr>
        <w:t xml:space="preserve"> to </w:t>
      </w:r>
      <w:r w:rsidR="005B4BC5" w:rsidRPr="0050726A">
        <w:rPr>
          <w:rFonts w:asciiTheme="minorHAnsi" w:hAnsiTheme="minorHAnsi"/>
          <w:sz w:val="24"/>
          <w:szCs w:val="24"/>
        </w:rPr>
        <w:t>address climate change</w:t>
      </w:r>
      <w:r w:rsidR="00345102" w:rsidRPr="0050726A">
        <w:rPr>
          <w:rFonts w:asciiTheme="minorHAnsi" w:hAnsiTheme="minorHAnsi"/>
          <w:sz w:val="24"/>
          <w:szCs w:val="24"/>
        </w:rPr>
        <w:t>: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to </w:t>
      </w:r>
      <w:r w:rsidR="000049B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claim credit by adopting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successful and </w:t>
      </w:r>
      <w:r w:rsidR="000049B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innovative policies, to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avoid blame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for </w:t>
      </w:r>
      <w:r w:rsidR="0077332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things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that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go wrong, </w:t>
      </w:r>
      <w:r w:rsidR="005B725B" w:rsidRPr="0050726A">
        <w:rPr>
          <w:rFonts w:asciiTheme="minorHAnsi" w:hAnsiTheme="minorHAnsi" w:cs="AdvOT5843c571"/>
          <w:color w:val="000000"/>
          <w:sz w:val="24"/>
          <w:szCs w:val="24"/>
        </w:rPr>
        <w:t>or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to generate a </w:t>
      </w:r>
      <w:r w:rsidR="00C90A76" w:rsidRPr="0050726A">
        <w:rPr>
          <w:rFonts w:asciiTheme="minorHAnsi" w:hAnsiTheme="minorHAnsi" w:cs="AdvOT5843c571"/>
          <w:color w:val="000000"/>
          <w:sz w:val="24"/>
          <w:szCs w:val="24"/>
        </w:rPr>
        <w:t>long-term</w:t>
      </w:r>
      <w:r w:rsidR="0077332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policy legacy?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58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Howlett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59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argues that when it comes to </w:t>
      </w:r>
      <w:r w:rsidR="00C622A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long-term problem</w:t>
      </w:r>
      <w:r w:rsidR="00621DD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77332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like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climate change</w:t>
      </w:r>
      <w:r w:rsidR="0039755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where the causal chains connecting </w:t>
      </w:r>
      <w:r w:rsidR="00E172B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specific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policy interventions and impacts are convoluted, politicians </w:t>
      </w:r>
      <w:r w:rsidR="00266F4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will normally </w:t>
      </w:r>
      <w:r w:rsidR="00E172B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opt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to do nothing 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(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or 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at the most,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very little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)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413EB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rather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than something </w:t>
      </w:r>
      <w:r w:rsidR="00266F4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bold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(</w:t>
      </w:r>
      <w:r w:rsidR="00164EA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such as</w:t>
      </w:r>
      <w:r w:rsidR="009A084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adopt a binding medium</w:t>
      </w:r>
      <w:r w:rsidR="00413EB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-</w:t>
      </w:r>
      <w:r w:rsidR="009A084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term </w:t>
      </w:r>
      <w:r w:rsidR="00266F4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emissions target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) for which they might eventually be blamed</w:t>
      </w:r>
      <w:r w:rsidR="00E172B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by powerful interest groups and/or voters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</w:p>
    <w:p w14:paraId="54B01AF1" w14:textId="77777777" w:rsidR="005B725B" w:rsidRPr="0050726A" w:rsidRDefault="005B725B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03067156" w14:textId="7024D380" w:rsidR="00266F42" w:rsidRPr="0050726A" w:rsidRDefault="005B725B" w:rsidP="00164EA9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But i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 this 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blame</w:t>
      </w:r>
      <w:r w:rsidR="0077332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-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avoidance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motivation </w:t>
      </w:r>
      <w:r w:rsidR="00DC24D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is 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really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as </w:t>
      </w:r>
      <w:r w:rsidR="0077332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common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as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Howlett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suggests, </w:t>
      </w:r>
      <w:r w:rsidR="0077332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what is driving the </w:t>
      </w:r>
      <w:r w:rsidR="00E172B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new </w:t>
      </w:r>
      <w:r w:rsidR="00AE009F" w:rsidRPr="0050726A">
        <w:rPr>
          <w:rFonts w:asciiTheme="minorHAnsi" w:hAnsiTheme="minorHAnsi"/>
          <w:sz w:val="24"/>
          <w:szCs w:val="24"/>
        </w:rPr>
        <w:t>policy activity</w:t>
      </w:r>
      <w:r w:rsidR="00266F42" w:rsidRPr="0050726A">
        <w:rPr>
          <w:rFonts w:asciiTheme="minorHAnsi" w:hAnsiTheme="minorHAnsi"/>
          <w:sz w:val="24"/>
          <w:szCs w:val="24"/>
        </w:rPr>
        <w:t xml:space="preserve"> noted above</w:t>
      </w:r>
      <w:r w:rsidR="00AE009F" w:rsidRPr="0050726A">
        <w:rPr>
          <w:rFonts w:asciiTheme="minorHAnsi" w:hAnsiTheme="minorHAnsi"/>
          <w:sz w:val="24"/>
          <w:szCs w:val="24"/>
        </w:rPr>
        <w:t>?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E172B7" w:rsidRPr="0050726A">
        <w:rPr>
          <w:rFonts w:asciiTheme="minorHAnsi" w:hAnsiTheme="minorHAnsi"/>
          <w:sz w:val="24"/>
          <w:szCs w:val="24"/>
        </w:rPr>
        <w:t xml:space="preserve">Are </w:t>
      </w:r>
      <w:r w:rsidR="0077332A" w:rsidRPr="0050726A">
        <w:rPr>
          <w:rFonts w:asciiTheme="minorHAnsi" w:hAnsiTheme="minorHAnsi"/>
          <w:sz w:val="24"/>
          <w:szCs w:val="24"/>
        </w:rPr>
        <w:t xml:space="preserve">politicians </w:t>
      </w:r>
      <w:r w:rsidR="00AE009F" w:rsidRPr="0050726A">
        <w:rPr>
          <w:rFonts w:asciiTheme="minorHAnsi" w:hAnsiTheme="minorHAnsi"/>
          <w:sz w:val="24"/>
          <w:szCs w:val="24"/>
        </w:rPr>
        <w:t xml:space="preserve">engaging in </w:t>
      </w:r>
      <w:r w:rsidR="0077332A" w:rsidRPr="0050726A">
        <w:rPr>
          <w:rFonts w:asciiTheme="minorHAnsi" w:hAnsiTheme="minorHAnsi"/>
          <w:sz w:val="24"/>
          <w:szCs w:val="24"/>
        </w:rPr>
        <w:t xml:space="preserve">complex </w:t>
      </w:r>
      <w:r w:rsidR="00AE009F" w:rsidRPr="0050726A">
        <w:rPr>
          <w:rFonts w:asciiTheme="minorHAnsi" w:hAnsiTheme="minorHAnsi"/>
          <w:sz w:val="24"/>
          <w:szCs w:val="24"/>
        </w:rPr>
        <w:t xml:space="preserve">forms of political risk management, for example by emulating and learning from </w:t>
      </w:r>
      <w:r w:rsidR="0077332A" w:rsidRPr="0050726A">
        <w:rPr>
          <w:rFonts w:asciiTheme="minorHAnsi" w:hAnsiTheme="minorHAnsi"/>
          <w:sz w:val="24"/>
          <w:szCs w:val="24"/>
        </w:rPr>
        <w:t>what other countries are doing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60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– </w:t>
      </w:r>
      <w:r w:rsidR="0077332A" w:rsidRPr="0050726A">
        <w:rPr>
          <w:rFonts w:asciiTheme="minorHAnsi" w:hAnsiTheme="minorHAnsi"/>
          <w:sz w:val="24"/>
          <w:szCs w:val="24"/>
        </w:rPr>
        <w:t xml:space="preserve">a form of diffusion </w:t>
      </w:r>
      <w:r w:rsidR="00AE009F" w:rsidRPr="0050726A">
        <w:rPr>
          <w:rFonts w:asciiTheme="minorHAnsi" w:hAnsiTheme="minorHAnsi"/>
          <w:sz w:val="24"/>
          <w:szCs w:val="24"/>
        </w:rPr>
        <w:t xml:space="preserve">which </w:t>
      </w:r>
      <w:r w:rsidRPr="0050726A">
        <w:rPr>
          <w:rFonts w:asciiTheme="minorHAnsi" w:hAnsiTheme="minorHAnsi"/>
          <w:sz w:val="24"/>
          <w:szCs w:val="24"/>
        </w:rPr>
        <w:t xml:space="preserve">might </w:t>
      </w:r>
      <w:r w:rsidR="00AE009F" w:rsidRPr="0050726A">
        <w:rPr>
          <w:rFonts w:asciiTheme="minorHAnsi" w:hAnsiTheme="minorHAnsi"/>
          <w:sz w:val="24"/>
          <w:szCs w:val="24"/>
        </w:rPr>
        <w:t xml:space="preserve">in turn enable </w:t>
      </w:r>
      <w:r w:rsidR="0077332A" w:rsidRPr="0050726A">
        <w:rPr>
          <w:rFonts w:asciiTheme="minorHAnsi" w:hAnsiTheme="minorHAnsi"/>
          <w:sz w:val="24"/>
          <w:szCs w:val="24"/>
        </w:rPr>
        <w:t xml:space="preserve">greater </w:t>
      </w:r>
      <w:r w:rsidR="00AE009F" w:rsidRPr="0050726A">
        <w:rPr>
          <w:rFonts w:asciiTheme="minorHAnsi" w:hAnsiTheme="minorHAnsi"/>
          <w:sz w:val="24"/>
          <w:szCs w:val="24"/>
        </w:rPr>
        <w:t>polycentrism</w:t>
      </w:r>
      <w:r w:rsidR="00E172B7" w:rsidRPr="0050726A">
        <w:rPr>
          <w:rFonts w:asciiTheme="minorHAnsi" w:hAnsiTheme="minorHAnsi"/>
          <w:sz w:val="24"/>
          <w:szCs w:val="24"/>
        </w:rPr>
        <w:t>?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Or </w:t>
      </w:r>
      <w:r w:rsidR="00E172B7" w:rsidRPr="0050726A">
        <w:rPr>
          <w:rFonts w:asciiTheme="minorHAnsi" w:hAnsiTheme="minorHAnsi"/>
          <w:sz w:val="24"/>
          <w:szCs w:val="24"/>
        </w:rPr>
        <w:t>are they</w:t>
      </w:r>
      <w:r w:rsidR="00397556" w:rsidRPr="0050726A">
        <w:rPr>
          <w:rFonts w:asciiTheme="minorHAnsi" w:hAnsiTheme="minorHAnsi"/>
          <w:sz w:val="24"/>
          <w:szCs w:val="24"/>
        </w:rPr>
        <w:t>,</w:t>
      </w:r>
      <w:r w:rsidRPr="0050726A">
        <w:rPr>
          <w:rFonts w:asciiTheme="minorHAnsi" w:hAnsiTheme="minorHAnsi"/>
          <w:sz w:val="24"/>
          <w:szCs w:val="24"/>
        </w:rPr>
        <w:t xml:space="preserve"> as Dubash </w:t>
      </w:r>
      <w:r w:rsidRPr="0050726A">
        <w:rPr>
          <w:rFonts w:asciiTheme="minorHAnsi" w:hAnsiTheme="minorHAnsi"/>
          <w:i/>
          <w:iCs/>
          <w:sz w:val="24"/>
          <w:szCs w:val="24"/>
        </w:rPr>
        <w:t>et al</w:t>
      </w:r>
      <w:r w:rsidRPr="0050726A">
        <w:rPr>
          <w:rFonts w:asciiTheme="minorHAnsi" w:hAnsiTheme="minorHAnsi"/>
          <w:sz w:val="24"/>
          <w:szCs w:val="24"/>
        </w:rPr>
        <w:t xml:space="preserve">. seem to </w:t>
      </w:r>
      <w:r w:rsidR="009A0848" w:rsidRPr="0050726A">
        <w:rPr>
          <w:rFonts w:asciiTheme="minorHAnsi" w:hAnsiTheme="minorHAnsi"/>
          <w:sz w:val="24"/>
          <w:szCs w:val="24"/>
        </w:rPr>
        <w:t>indicate</w:t>
      </w:r>
      <w:r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31</w:t>
      </w:r>
      <w:r w:rsidR="00AE009F" w:rsidRPr="0050726A">
        <w:rPr>
          <w:rFonts w:asciiTheme="minorHAnsi" w:hAnsiTheme="minorHAnsi"/>
          <w:sz w:val="24"/>
          <w:szCs w:val="24"/>
        </w:rPr>
        <w:t xml:space="preserve"> engaging in </w:t>
      </w:r>
      <w:r w:rsidRPr="0050726A">
        <w:rPr>
          <w:rFonts w:asciiTheme="minorHAnsi" w:hAnsiTheme="minorHAnsi"/>
          <w:sz w:val="24"/>
          <w:szCs w:val="24"/>
        </w:rPr>
        <w:t xml:space="preserve">a </w:t>
      </w:r>
      <w:r w:rsidR="0077332A" w:rsidRPr="0050726A">
        <w:rPr>
          <w:rFonts w:asciiTheme="minorHAnsi" w:hAnsiTheme="minorHAnsi"/>
          <w:sz w:val="24"/>
          <w:szCs w:val="24"/>
        </w:rPr>
        <w:t xml:space="preserve">more </w:t>
      </w:r>
      <w:r w:rsidR="00AE009F" w:rsidRPr="0050726A">
        <w:rPr>
          <w:rFonts w:asciiTheme="minorHAnsi" w:hAnsiTheme="minorHAnsi"/>
          <w:sz w:val="24"/>
          <w:szCs w:val="24"/>
        </w:rPr>
        <w:t xml:space="preserve">negative form of policy </w:t>
      </w:r>
      <w:r w:rsidR="003B38C8" w:rsidRPr="0050726A">
        <w:rPr>
          <w:rFonts w:asciiTheme="minorHAnsi" w:hAnsiTheme="minorHAnsi"/>
          <w:sz w:val="24"/>
          <w:szCs w:val="24"/>
        </w:rPr>
        <w:t>innovation, which</w:t>
      </w:r>
      <w:r w:rsidR="003C12A3" w:rsidRPr="0050726A">
        <w:rPr>
          <w:rFonts w:asciiTheme="minorHAnsi" w:hAnsiTheme="minorHAnsi"/>
          <w:sz w:val="24"/>
          <w:szCs w:val="24"/>
        </w:rPr>
        <w:t xml:space="preserve"> is </w:t>
      </w:r>
      <w:r w:rsidR="00AE009F" w:rsidRPr="0050726A">
        <w:rPr>
          <w:rFonts w:asciiTheme="minorHAnsi" w:hAnsiTheme="minorHAnsi"/>
          <w:sz w:val="24"/>
          <w:szCs w:val="24"/>
        </w:rPr>
        <w:t>symbolic</w:t>
      </w:r>
      <w:r w:rsidR="00266F42" w:rsidRPr="0050726A">
        <w:rPr>
          <w:rFonts w:asciiTheme="minorHAnsi" w:hAnsiTheme="minorHAnsi"/>
          <w:sz w:val="24"/>
          <w:szCs w:val="24"/>
        </w:rPr>
        <w:t xml:space="preserve"> </w:t>
      </w:r>
      <w:r w:rsidR="003C12A3" w:rsidRPr="0050726A">
        <w:rPr>
          <w:rFonts w:asciiTheme="minorHAnsi" w:hAnsiTheme="minorHAnsi"/>
          <w:sz w:val="24"/>
          <w:szCs w:val="24"/>
        </w:rPr>
        <w:t xml:space="preserve">and/or simply intended to </w:t>
      </w:r>
      <w:r w:rsidR="00266F42" w:rsidRPr="0050726A">
        <w:rPr>
          <w:rFonts w:asciiTheme="minorHAnsi" w:hAnsiTheme="minorHAnsi"/>
          <w:sz w:val="24"/>
          <w:szCs w:val="24"/>
        </w:rPr>
        <w:t>capture funding from abroad</w:t>
      </w:r>
      <w:r w:rsidR="003B38C8" w:rsidRPr="0050726A">
        <w:rPr>
          <w:rFonts w:asciiTheme="minorHAnsi" w:hAnsiTheme="minorHAnsi"/>
          <w:sz w:val="24"/>
          <w:szCs w:val="24"/>
        </w:rPr>
        <w:t>?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59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397556" w:rsidRPr="0050726A">
        <w:rPr>
          <w:rFonts w:asciiTheme="minorHAnsi" w:hAnsiTheme="minorHAnsi"/>
          <w:sz w:val="24"/>
          <w:szCs w:val="24"/>
        </w:rPr>
        <w:t>Whilst suggestive of explanations, t</w:t>
      </w:r>
      <w:r w:rsidR="00AE009F" w:rsidRPr="0050726A">
        <w:rPr>
          <w:rFonts w:asciiTheme="minorHAnsi" w:hAnsiTheme="minorHAnsi"/>
          <w:sz w:val="24"/>
          <w:szCs w:val="24"/>
        </w:rPr>
        <w:t xml:space="preserve">he databases do not dig deeply enough into specific cases to reveal which </w:t>
      </w:r>
      <w:r w:rsidR="0077332A" w:rsidRPr="0050726A">
        <w:rPr>
          <w:rFonts w:asciiTheme="minorHAnsi" w:hAnsiTheme="minorHAnsi"/>
          <w:sz w:val="24"/>
          <w:szCs w:val="24"/>
        </w:rPr>
        <w:t>holds</w:t>
      </w:r>
      <w:r w:rsidR="00E172B7" w:rsidRPr="0050726A">
        <w:rPr>
          <w:rFonts w:asciiTheme="minorHAnsi" w:hAnsiTheme="minorHAnsi"/>
          <w:sz w:val="24"/>
          <w:szCs w:val="24"/>
        </w:rPr>
        <w:t xml:space="preserve"> true</w:t>
      </w:r>
      <w:r w:rsidR="00AE009F" w:rsidRPr="0050726A">
        <w:rPr>
          <w:rFonts w:asciiTheme="minorHAnsi" w:hAnsiTheme="minorHAnsi"/>
          <w:sz w:val="24"/>
          <w:szCs w:val="24"/>
        </w:rPr>
        <w:t>.</w:t>
      </w:r>
    </w:p>
    <w:p w14:paraId="2936A54B" w14:textId="77777777" w:rsidR="00266F42" w:rsidRPr="0050726A" w:rsidRDefault="00266F42" w:rsidP="00164EA9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306FF8CE" w14:textId="0229C6B0" w:rsidR="00AE009F" w:rsidRPr="0050726A" w:rsidRDefault="00AE009F" w:rsidP="00164EA9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Interestingly, the proximate trigger to </w:t>
      </w:r>
      <w:r w:rsidRPr="0050726A">
        <w:rPr>
          <w:rFonts w:asciiTheme="minorHAnsi" w:hAnsiTheme="minorHAnsi" w:cs="Lucida Sans Unicode"/>
          <w:i/>
          <w:sz w:val="24"/>
          <w:szCs w:val="24"/>
          <w:shd w:val="clear" w:color="auto" w:fill="FFFFFF"/>
        </w:rPr>
        <w:t>initiate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266F4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many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77332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new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transnational scheme</w:t>
      </w:r>
      <w:r w:rsidR="00FD0F9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266F4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also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derives from </w:t>
      </w:r>
      <w:r w:rsidR="001B5C8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state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action, chiefly from local governments.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 their database, Hale and Roger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26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estimate </w:t>
      </w:r>
      <w:r w:rsidR="00F21F9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that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approximately a third were originally initiated – or ‘orchestrated’ </w:t>
      </w:r>
      <w:r w:rsidR="00DC24D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-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by state bodies and/or international organisations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(e.g.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the World Bank</w:t>
      </w:r>
      <w:r w:rsidR="0037682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)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established by states.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This </w:t>
      </w:r>
      <w:r w:rsidR="005B725B" w:rsidRPr="0050726A">
        <w:rPr>
          <w:rFonts w:asciiTheme="minorHAnsi" w:hAnsiTheme="minorHAnsi"/>
          <w:sz w:val="24"/>
          <w:szCs w:val="24"/>
        </w:rPr>
        <w:t xml:space="preserve">finding </w:t>
      </w:r>
      <w:r w:rsidRPr="0050726A">
        <w:rPr>
          <w:rFonts w:asciiTheme="minorHAnsi" w:hAnsiTheme="minorHAnsi"/>
          <w:sz w:val="24"/>
          <w:szCs w:val="24"/>
        </w:rPr>
        <w:t xml:space="preserve">hints at </w:t>
      </w:r>
      <w:r w:rsidR="005B725B" w:rsidRPr="0050726A">
        <w:rPr>
          <w:rFonts w:asciiTheme="minorHAnsi" w:hAnsiTheme="minorHAnsi"/>
          <w:sz w:val="24"/>
          <w:szCs w:val="24"/>
        </w:rPr>
        <w:t xml:space="preserve">two </w:t>
      </w:r>
      <w:r w:rsidR="001B5C8F" w:rsidRPr="0050726A">
        <w:rPr>
          <w:rFonts w:asciiTheme="minorHAnsi" w:hAnsiTheme="minorHAnsi"/>
          <w:sz w:val="24"/>
          <w:szCs w:val="24"/>
        </w:rPr>
        <w:t>intriguing</w:t>
      </w:r>
      <w:r w:rsidR="00F21F9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possibilit</w:t>
      </w:r>
      <w:r w:rsidR="005B725B" w:rsidRPr="0050726A">
        <w:rPr>
          <w:rFonts w:asciiTheme="minorHAnsi" w:hAnsiTheme="minorHAnsi"/>
          <w:sz w:val="24"/>
          <w:szCs w:val="24"/>
        </w:rPr>
        <w:t>ies.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5B725B" w:rsidRPr="0050726A">
        <w:rPr>
          <w:rFonts w:asciiTheme="minorHAnsi" w:hAnsiTheme="minorHAnsi"/>
          <w:sz w:val="24"/>
          <w:szCs w:val="24"/>
        </w:rPr>
        <w:t xml:space="preserve">One is that </w:t>
      </w:r>
      <w:r w:rsidR="00796315" w:rsidRPr="0050726A">
        <w:rPr>
          <w:rFonts w:asciiTheme="minorHAnsi" w:hAnsiTheme="minorHAnsi"/>
          <w:sz w:val="24"/>
          <w:szCs w:val="24"/>
        </w:rPr>
        <w:t xml:space="preserve">national </w:t>
      </w:r>
      <w:r w:rsidR="005B725B" w:rsidRPr="0050726A">
        <w:rPr>
          <w:rFonts w:asciiTheme="minorHAnsi" w:hAnsiTheme="minorHAnsi"/>
          <w:sz w:val="24"/>
          <w:szCs w:val="24"/>
        </w:rPr>
        <w:t xml:space="preserve">politicians </w:t>
      </w:r>
      <w:r w:rsidR="00410A31" w:rsidRPr="0050726A">
        <w:rPr>
          <w:rFonts w:asciiTheme="minorHAnsi" w:hAnsiTheme="minorHAnsi"/>
          <w:sz w:val="24"/>
          <w:szCs w:val="24"/>
        </w:rPr>
        <w:t xml:space="preserve">may </w:t>
      </w:r>
      <w:r w:rsidR="005B725B" w:rsidRPr="0050726A">
        <w:rPr>
          <w:rFonts w:asciiTheme="minorHAnsi" w:hAnsiTheme="minorHAnsi"/>
          <w:sz w:val="24"/>
          <w:szCs w:val="24"/>
        </w:rPr>
        <w:t xml:space="preserve">be making </w:t>
      </w:r>
      <w:r w:rsidR="0050726A" w:rsidRPr="0050726A">
        <w:rPr>
          <w:rFonts w:asciiTheme="minorHAnsi" w:hAnsiTheme="minorHAnsi"/>
          <w:sz w:val="24"/>
          <w:szCs w:val="24"/>
        </w:rPr>
        <w:t>much</w:t>
      </w:r>
      <w:r w:rsidR="0077332A" w:rsidRPr="0050726A">
        <w:rPr>
          <w:rFonts w:asciiTheme="minorHAnsi" w:hAnsiTheme="minorHAnsi"/>
          <w:sz w:val="24"/>
          <w:szCs w:val="24"/>
        </w:rPr>
        <w:t xml:space="preserve"> more </w:t>
      </w:r>
      <w:r w:rsidR="005B725B" w:rsidRPr="0050726A">
        <w:rPr>
          <w:rFonts w:asciiTheme="minorHAnsi" w:hAnsiTheme="minorHAnsi"/>
          <w:sz w:val="24"/>
          <w:szCs w:val="24"/>
        </w:rPr>
        <w:t xml:space="preserve">complex political choices </w:t>
      </w:r>
      <w:r w:rsidR="0050726A" w:rsidRPr="0050726A">
        <w:rPr>
          <w:rFonts w:asciiTheme="minorHAnsi" w:hAnsiTheme="minorHAnsi"/>
          <w:sz w:val="24"/>
          <w:szCs w:val="24"/>
        </w:rPr>
        <w:t>about credit and blame across</w:t>
      </w:r>
      <w:r w:rsidR="005B725B" w:rsidRPr="0050726A">
        <w:rPr>
          <w:rFonts w:asciiTheme="minorHAnsi" w:hAnsiTheme="minorHAnsi"/>
          <w:sz w:val="24"/>
          <w:szCs w:val="24"/>
        </w:rPr>
        <w:t xml:space="preserve"> different </w:t>
      </w:r>
      <w:r w:rsidR="0050726A" w:rsidRPr="0050726A">
        <w:rPr>
          <w:rFonts w:asciiTheme="minorHAnsi" w:hAnsiTheme="minorHAnsi"/>
          <w:sz w:val="24"/>
          <w:szCs w:val="24"/>
        </w:rPr>
        <w:t xml:space="preserve">many </w:t>
      </w:r>
      <w:r w:rsidR="005B725B" w:rsidRPr="0050726A">
        <w:rPr>
          <w:rFonts w:asciiTheme="minorHAnsi" w:hAnsiTheme="minorHAnsi"/>
          <w:i/>
          <w:sz w:val="24"/>
          <w:szCs w:val="24"/>
        </w:rPr>
        <w:t>types</w:t>
      </w:r>
      <w:r w:rsidR="005B725B" w:rsidRPr="0050726A">
        <w:rPr>
          <w:rFonts w:asciiTheme="minorHAnsi" w:hAnsiTheme="minorHAnsi"/>
          <w:sz w:val="24"/>
          <w:szCs w:val="24"/>
        </w:rPr>
        <w:t xml:space="preserve"> of governance (</w:t>
      </w:r>
      <w:r w:rsidR="009A0848" w:rsidRPr="0050726A">
        <w:rPr>
          <w:rFonts w:asciiTheme="minorHAnsi" w:hAnsiTheme="minorHAnsi"/>
          <w:sz w:val="24"/>
          <w:szCs w:val="24"/>
        </w:rPr>
        <w:t xml:space="preserve">i.e. </w:t>
      </w:r>
      <w:r w:rsidR="00796315" w:rsidRPr="0050726A">
        <w:rPr>
          <w:rFonts w:asciiTheme="minorHAnsi" w:hAnsiTheme="minorHAnsi"/>
          <w:sz w:val="24"/>
          <w:szCs w:val="24"/>
        </w:rPr>
        <w:t xml:space="preserve">national </w:t>
      </w:r>
      <w:r w:rsidR="005B725B" w:rsidRPr="0050726A">
        <w:rPr>
          <w:rFonts w:asciiTheme="minorHAnsi" w:hAnsiTheme="minorHAnsi"/>
          <w:sz w:val="24"/>
          <w:szCs w:val="24"/>
        </w:rPr>
        <w:t>policy vs. transnational</w:t>
      </w:r>
      <w:r w:rsidR="0050726A" w:rsidRPr="0050726A">
        <w:rPr>
          <w:rFonts w:asciiTheme="minorHAnsi" w:hAnsiTheme="minorHAnsi"/>
          <w:sz w:val="24"/>
          <w:szCs w:val="24"/>
        </w:rPr>
        <w:t xml:space="preserve"> etc.</w:t>
      </w:r>
      <w:r w:rsidR="005B725B" w:rsidRPr="0050726A">
        <w:rPr>
          <w:rFonts w:asciiTheme="minorHAnsi" w:hAnsiTheme="minorHAnsi"/>
          <w:sz w:val="24"/>
          <w:szCs w:val="24"/>
        </w:rPr>
        <w:t>).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2A528A" w:rsidRPr="0050726A">
        <w:rPr>
          <w:rFonts w:asciiTheme="minorHAnsi" w:hAnsiTheme="minorHAnsi"/>
          <w:sz w:val="24"/>
          <w:szCs w:val="24"/>
        </w:rPr>
        <w:t>Another is that</w:t>
      </w:r>
      <w:r w:rsidR="003642EB" w:rsidRPr="0050726A">
        <w:rPr>
          <w:rFonts w:asciiTheme="minorHAnsi" w:hAnsiTheme="minorHAnsi"/>
          <w:sz w:val="24"/>
          <w:szCs w:val="24"/>
        </w:rPr>
        <w:t xml:space="preserve"> </w:t>
      </w:r>
      <w:r w:rsidR="00266F42" w:rsidRPr="0050726A">
        <w:rPr>
          <w:rFonts w:asciiTheme="minorHAnsi" w:hAnsiTheme="minorHAnsi"/>
          <w:sz w:val="24"/>
          <w:szCs w:val="24"/>
        </w:rPr>
        <w:t xml:space="preserve">the </w:t>
      </w:r>
      <w:r w:rsidR="0077332A" w:rsidRPr="0050726A">
        <w:rPr>
          <w:rFonts w:asciiTheme="minorHAnsi" w:hAnsiTheme="minorHAnsi"/>
          <w:sz w:val="24"/>
          <w:szCs w:val="24"/>
        </w:rPr>
        <w:t xml:space="preserve">politicians </w:t>
      </w:r>
      <w:r w:rsidR="003642EB" w:rsidRPr="0050726A">
        <w:rPr>
          <w:rFonts w:asciiTheme="minorHAnsi" w:hAnsiTheme="minorHAnsi"/>
          <w:sz w:val="24"/>
          <w:szCs w:val="24"/>
        </w:rPr>
        <w:t xml:space="preserve">that </w:t>
      </w:r>
      <w:r w:rsidR="0077332A" w:rsidRPr="0050726A">
        <w:rPr>
          <w:rFonts w:asciiTheme="minorHAnsi" w:hAnsiTheme="minorHAnsi"/>
          <w:sz w:val="24"/>
          <w:szCs w:val="24"/>
        </w:rPr>
        <w:t>do w</w:t>
      </w:r>
      <w:r w:rsidR="00F21F9B" w:rsidRPr="0050726A">
        <w:rPr>
          <w:rFonts w:asciiTheme="minorHAnsi" w:hAnsiTheme="minorHAnsi"/>
          <w:sz w:val="24"/>
          <w:szCs w:val="24"/>
        </w:rPr>
        <w:t xml:space="preserve">ish to act </w:t>
      </w:r>
      <w:r w:rsidR="003642EB" w:rsidRPr="0050726A">
        <w:rPr>
          <w:rFonts w:asciiTheme="minorHAnsi" w:hAnsiTheme="minorHAnsi"/>
          <w:sz w:val="24"/>
          <w:szCs w:val="24"/>
        </w:rPr>
        <w:t xml:space="preserve">may </w:t>
      </w:r>
      <w:r w:rsidR="0077332A" w:rsidRPr="0050726A">
        <w:rPr>
          <w:rFonts w:asciiTheme="minorHAnsi" w:hAnsiTheme="minorHAnsi"/>
          <w:sz w:val="24"/>
          <w:szCs w:val="24"/>
        </w:rPr>
        <w:t xml:space="preserve">be engaging </w:t>
      </w:r>
      <w:r w:rsidR="003642EB" w:rsidRPr="0050726A">
        <w:rPr>
          <w:rFonts w:asciiTheme="minorHAnsi" w:hAnsiTheme="minorHAnsi"/>
          <w:sz w:val="24"/>
          <w:szCs w:val="24"/>
        </w:rPr>
        <w:lastRenderedPageBreak/>
        <w:t xml:space="preserve">in subtly different </w:t>
      </w:r>
      <w:r w:rsidR="00266F42" w:rsidRPr="0050726A">
        <w:rPr>
          <w:rFonts w:asciiTheme="minorHAnsi" w:hAnsiTheme="minorHAnsi"/>
          <w:sz w:val="24"/>
          <w:szCs w:val="24"/>
        </w:rPr>
        <w:t xml:space="preserve">(that is, </w:t>
      </w:r>
      <w:r w:rsidR="0077332A" w:rsidRPr="0050726A">
        <w:rPr>
          <w:rFonts w:asciiTheme="minorHAnsi" w:hAnsiTheme="minorHAnsi"/>
          <w:sz w:val="24"/>
          <w:szCs w:val="24"/>
        </w:rPr>
        <w:t>domain-specific</w:t>
      </w:r>
      <w:r w:rsidR="00266F42" w:rsidRPr="0050726A">
        <w:rPr>
          <w:rFonts w:asciiTheme="minorHAnsi" w:hAnsiTheme="minorHAnsi"/>
          <w:sz w:val="24"/>
          <w:szCs w:val="24"/>
        </w:rPr>
        <w:t>)</w:t>
      </w:r>
      <w:r w:rsidR="0077332A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forms of </w:t>
      </w:r>
      <w:r w:rsidR="00F21F9B" w:rsidRPr="0050726A">
        <w:rPr>
          <w:rFonts w:asciiTheme="minorHAnsi" w:hAnsiTheme="minorHAnsi"/>
          <w:sz w:val="24"/>
          <w:szCs w:val="24"/>
        </w:rPr>
        <w:t xml:space="preserve">state </w:t>
      </w:r>
      <w:r w:rsidRPr="0050726A">
        <w:rPr>
          <w:rFonts w:asciiTheme="minorHAnsi" w:hAnsiTheme="minorHAnsi"/>
          <w:sz w:val="24"/>
          <w:szCs w:val="24"/>
        </w:rPr>
        <w:t>steering</w:t>
      </w:r>
      <w:r w:rsidR="003642EB" w:rsidRPr="0050726A">
        <w:rPr>
          <w:rFonts w:asciiTheme="minorHAnsi" w:hAnsiTheme="minorHAnsi"/>
          <w:sz w:val="24"/>
          <w:szCs w:val="24"/>
        </w:rPr>
        <w:t xml:space="preserve"> to deliver functional polycentric governance</w:t>
      </w:r>
      <w:r w:rsidR="00266F42" w:rsidRPr="0050726A">
        <w:rPr>
          <w:rFonts w:asciiTheme="minorHAnsi" w:hAnsiTheme="minorHAnsi"/>
          <w:sz w:val="24"/>
          <w:szCs w:val="24"/>
        </w:rPr>
        <w:t xml:space="preserve">. If true, these </w:t>
      </w:r>
      <w:r w:rsidR="009A0848" w:rsidRPr="0050726A">
        <w:rPr>
          <w:rFonts w:asciiTheme="minorHAnsi" w:hAnsiTheme="minorHAnsi"/>
          <w:sz w:val="24"/>
          <w:szCs w:val="24"/>
        </w:rPr>
        <w:t>interventions</w:t>
      </w:r>
      <w:r w:rsidR="000339A8" w:rsidRPr="0050726A">
        <w:rPr>
          <w:rFonts w:asciiTheme="minorHAnsi" w:hAnsiTheme="minorHAnsi"/>
          <w:sz w:val="24"/>
          <w:szCs w:val="24"/>
        </w:rPr>
        <w:t xml:space="preserve"> </w:t>
      </w:r>
      <w:r w:rsidR="00266F42" w:rsidRPr="0050726A">
        <w:rPr>
          <w:rFonts w:asciiTheme="minorHAnsi" w:hAnsiTheme="minorHAnsi"/>
          <w:sz w:val="24"/>
          <w:szCs w:val="24"/>
        </w:rPr>
        <w:t xml:space="preserve">would </w:t>
      </w:r>
      <w:r w:rsidR="000339A8" w:rsidRPr="0050726A">
        <w:rPr>
          <w:rFonts w:asciiTheme="minorHAnsi" w:hAnsiTheme="minorHAnsi"/>
          <w:sz w:val="24"/>
          <w:szCs w:val="24"/>
        </w:rPr>
        <w:t xml:space="preserve">seem to </w:t>
      </w:r>
      <w:r w:rsidRPr="0050726A">
        <w:rPr>
          <w:rFonts w:asciiTheme="minorHAnsi" w:hAnsiTheme="minorHAnsi"/>
          <w:sz w:val="24"/>
          <w:szCs w:val="24"/>
        </w:rPr>
        <w:t xml:space="preserve">go </w:t>
      </w:r>
      <w:r w:rsidR="00F21F9B" w:rsidRPr="0050726A">
        <w:rPr>
          <w:rFonts w:asciiTheme="minorHAnsi" w:hAnsiTheme="minorHAnsi"/>
          <w:sz w:val="24"/>
          <w:szCs w:val="24"/>
        </w:rPr>
        <w:t xml:space="preserve">well </w:t>
      </w:r>
      <w:r w:rsidRPr="0050726A">
        <w:rPr>
          <w:rFonts w:asciiTheme="minorHAnsi" w:hAnsiTheme="minorHAnsi"/>
          <w:i/>
          <w:sz w:val="24"/>
          <w:szCs w:val="24"/>
        </w:rPr>
        <w:t>beyond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9A0848" w:rsidRPr="0050726A">
        <w:rPr>
          <w:rFonts w:asciiTheme="minorHAnsi" w:hAnsiTheme="minorHAnsi"/>
          <w:sz w:val="24"/>
          <w:szCs w:val="24"/>
        </w:rPr>
        <w:t xml:space="preserve">the </w:t>
      </w:r>
      <w:r w:rsidR="003642EB" w:rsidRPr="0050726A">
        <w:rPr>
          <w:rFonts w:asciiTheme="minorHAnsi" w:hAnsiTheme="minorHAnsi"/>
          <w:sz w:val="24"/>
          <w:szCs w:val="24"/>
        </w:rPr>
        <w:t xml:space="preserve">baseline tasks </w:t>
      </w:r>
      <w:r w:rsidR="009A0848" w:rsidRPr="0050726A">
        <w:rPr>
          <w:rFonts w:asciiTheme="minorHAnsi" w:hAnsiTheme="minorHAnsi"/>
          <w:sz w:val="24"/>
          <w:szCs w:val="24"/>
        </w:rPr>
        <w:t xml:space="preserve">commonly </w:t>
      </w:r>
      <w:r w:rsidR="000339A8" w:rsidRPr="0050726A">
        <w:rPr>
          <w:rFonts w:asciiTheme="minorHAnsi" w:hAnsiTheme="minorHAnsi"/>
          <w:sz w:val="24"/>
          <w:szCs w:val="24"/>
        </w:rPr>
        <w:t xml:space="preserve">identified in polycentric theory, </w:t>
      </w:r>
      <w:r w:rsidR="003642EB" w:rsidRPr="0050726A">
        <w:rPr>
          <w:rFonts w:asciiTheme="minorHAnsi" w:hAnsiTheme="minorHAnsi"/>
          <w:sz w:val="24"/>
          <w:szCs w:val="24"/>
        </w:rPr>
        <w:t xml:space="preserve">such as </w:t>
      </w:r>
      <w:r w:rsidRPr="0050726A">
        <w:rPr>
          <w:rFonts w:asciiTheme="minorHAnsi" w:hAnsiTheme="minorHAnsi"/>
          <w:sz w:val="24"/>
          <w:szCs w:val="24"/>
        </w:rPr>
        <w:t>guaranteeing due process, collecting data and helping to scale up successful innovations.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61, 62</w:t>
      </w:r>
    </w:p>
    <w:p w14:paraId="52A8B70C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14:paraId="2D833AC0" w14:textId="0F67C392" w:rsidR="00AE009F" w:rsidRPr="0050726A" w:rsidRDefault="00E664EE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P</w:t>
      </w:r>
      <w:r w:rsidR="00AE009F"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 xml:space="preserve">erformance </w:t>
      </w:r>
    </w:p>
    <w:p w14:paraId="1E71A71A" w14:textId="22846ED1" w:rsidR="00A936B3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As faith in a </w:t>
      </w:r>
      <w:r w:rsidR="00DE389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multilateral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approach declines and governance </w:t>
      </w:r>
      <w:r w:rsidR="003E078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becomes more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polycentric</w:t>
      </w:r>
      <w:r w:rsidR="003E078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 some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theorists </w:t>
      </w:r>
      <w:r w:rsidR="00EF56F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have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suggest</w:t>
      </w:r>
      <w:r w:rsidR="00EF56F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ed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that gaps in the former may, under </w:t>
      </w:r>
      <w:r w:rsidR="00EF56F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certain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favourable circumstances, be plugged by the latter.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48</w:t>
      </w:r>
      <w:r w:rsidR="00A436E9" w:rsidRPr="0050726A">
        <w:rPr>
          <w:rFonts w:asciiTheme="minorHAnsi" w:eastAsia="Times New Roman" w:hAnsiTheme="minorHAnsi"/>
          <w:sz w:val="24"/>
          <w:vertAlign w:val="superscript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But before </w:t>
      </w:r>
      <w:r w:rsidR="00EF56F7" w:rsidRPr="0050726A">
        <w:rPr>
          <w:rFonts w:asciiTheme="minorHAnsi" w:hAnsiTheme="minorHAnsi"/>
          <w:sz w:val="24"/>
          <w:szCs w:val="24"/>
        </w:rPr>
        <w:t xml:space="preserve">we </w:t>
      </w:r>
      <w:r w:rsidR="00052A12" w:rsidRPr="0050726A">
        <w:rPr>
          <w:rFonts w:asciiTheme="minorHAnsi" w:hAnsiTheme="minorHAnsi"/>
          <w:sz w:val="24"/>
          <w:szCs w:val="24"/>
        </w:rPr>
        <w:t>raise</w:t>
      </w:r>
      <w:r w:rsidR="00EF56F7" w:rsidRPr="0050726A">
        <w:rPr>
          <w:rFonts w:asciiTheme="minorHAnsi" w:hAnsiTheme="minorHAnsi"/>
          <w:sz w:val="24"/>
          <w:szCs w:val="24"/>
        </w:rPr>
        <w:t xml:space="preserve"> our hopes</w:t>
      </w:r>
      <w:r w:rsidR="00413EBE" w:rsidRPr="0050726A">
        <w:rPr>
          <w:rFonts w:asciiTheme="minorHAnsi" w:hAnsiTheme="minorHAnsi"/>
          <w:sz w:val="24"/>
          <w:szCs w:val="24"/>
        </w:rPr>
        <w:t>,</w:t>
      </w:r>
      <w:r w:rsidR="00EF56F7" w:rsidRPr="0050726A">
        <w:rPr>
          <w:rFonts w:asciiTheme="minorHAnsi" w:hAnsiTheme="minorHAnsi"/>
          <w:sz w:val="24"/>
          <w:szCs w:val="24"/>
        </w:rPr>
        <w:t xml:space="preserve"> we </w:t>
      </w:r>
      <w:r w:rsidRPr="0050726A">
        <w:rPr>
          <w:rFonts w:asciiTheme="minorHAnsi" w:hAnsiTheme="minorHAnsi"/>
          <w:sz w:val="24"/>
          <w:szCs w:val="24"/>
        </w:rPr>
        <w:t xml:space="preserve">should </w:t>
      </w:r>
      <w:r w:rsidR="002F3AC5" w:rsidRPr="0050726A">
        <w:rPr>
          <w:rFonts w:asciiTheme="minorHAnsi" w:hAnsiTheme="minorHAnsi"/>
          <w:sz w:val="24"/>
          <w:szCs w:val="24"/>
        </w:rPr>
        <w:t xml:space="preserve">better </w:t>
      </w:r>
      <w:r w:rsidR="003E078C" w:rsidRPr="0050726A">
        <w:rPr>
          <w:rFonts w:asciiTheme="minorHAnsi" w:hAnsiTheme="minorHAnsi"/>
          <w:sz w:val="24"/>
          <w:szCs w:val="24"/>
        </w:rPr>
        <w:t xml:space="preserve">understand </w:t>
      </w:r>
      <w:r w:rsidRPr="0050726A">
        <w:rPr>
          <w:rFonts w:asciiTheme="minorHAnsi" w:hAnsiTheme="minorHAnsi"/>
          <w:sz w:val="24"/>
          <w:szCs w:val="24"/>
        </w:rPr>
        <w:t xml:space="preserve">how the new forms </w:t>
      </w:r>
      <w:r w:rsidR="00413EBE" w:rsidRPr="0050726A">
        <w:rPr>
          <w:rFonts w:asciiTheme="minorHAnsi" w:hAnsiTheme="minorHAnsi"/>
          <w:sz w:val="24"/>
          <w:szCs w:val="24"/>
        </w:rPr>
        <w:t xml:space="preserve">of governing </w:t>
      </w:r>
      <w:r w:rsidRPr="0050726A">
        <w:rPr>
          <w:rFonts w:asciiTheme="minorHAnsi" w:hAnsiTheme="minorHAnsi"/>
          <w:sz w:val="24"/>
          <w:szCs w:val="24"/>
        </w:rPr>
        <w:t xml:space="preserve">are actually </w:t>
      </w:r>
      <w:r w:rsidR="00A936B3" w:rsidRPr="0050726A">
        <w:rPr>
          <w:rFonts w:asciiTheme="minorHAnsi" w:hAnsiTheme="minorHAnsi"/>
          <w:sz w:val="24"/>
          <w:szCs w:val="24"/>
        </w:rPr>
        <w:t xml:space="preserve">(not) </w:t>
      </w:r>
      <w:r w:rsidRPr="0050726A">
        <w:rPr>
          <w:rFonts w:asciiTheme="minorHAnsi" w:hAnsiTheme="minorHAnsi"/>
          <w:sz w:val="24"/>
          <w:szCs w:val="24"/>
        </w:rPr>
        <w:t>performing.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63, 64</w:t>
      </w:r>
      <w:r w:rsidR="002F3AC5" w:rsidRPr="0050726A">
        <w:rPr>
          <w:rFonts w:asciiTheme="minorHAnsi" w:hAnsiTheme="minorHAnsi"/>
          <w:sz w:val="24"/>
          <w:szCs w:val="24"/>
        </w:rPr>
        <w:t xml:space="preserve"> </w:t>
      </w:r>
      <w:r w:rsidR="00A936B3" w:rsidRPr="0050726A">
        <w:rPr>
          <w:rFonts w:asciiTheme="minorHAnsi" w:hAnsiTheme="minorHAnsi"/>
          <w:sz w:val="24"/>
          <w:szCs w:val="24"/>
        </w:rPr>
        <w:t>T</w:t>
      </w:r>
      <w:r w:rsidR="00BE56B5" w:rsidRPr="0050726A">
        <w:rPr>
          <w:rFonts w:asciiTheme="minorHAnsi" w:hAnsiTheme="minorHAnsi"/>
          <w:sz w:val="24"/>
          <w:szCs w:val="24"/>
        </w:rPr>
        <w:t xml:space="preserve">his </w:t>
      </w:r>
      <w:r w:rsidR="007B0A98" w:rsidRPr="0050726A">
        <w:rPr>
          <w:rFonts w:asciiTheme="minorHAnsi" w:hAnsiTheme="minorHAnsi"/>
          <w:sz w:val="24"/>
          <w:szCs w:val="24"/>
        </w:rPr>
        <w:t xml:space="preserve">vital </w:t>
      </w:r>
      <w:r w:rsidR="00A11177" w:rsidRPr="0050726A">
        <w:rPr>
          <w:rFonts w:asciiTheme="minorHAnsi" w:hAnsiTheme="minorHAnsi"/>
          <w:sz w:val="24"/>
          <w:szCs w:val="24"/>
        </w:rPr>
        <w:t xml:space="preserve">evaluation </w:t>
      </w:r>
      <w:r w:rsidR="00744B98" w:rsidRPr="0050726A">
        <w:rPr>
          <w:rFonts w:asciiTheme="minorHAnsi" w:hAnsiTheme="minorHAnsi"/>
          <w:sz w:val="24"/>
          <w:szCs w:val="24"/>
        </w:rPr>
        <w:t xml:space="preserve">task is proving to be </w:t>
      </w:r>
      <w:r w:rsidR="00BE56B5" w:rsidRPr="0050726A">
        <w:rPr>
          <w:rFonts w:asciiTheme="minorHAnsi" w:hAnsiTheme="minorHAnsi"/>
          <w:sz w:val="24"/>
          <w:szCs w:val="24"/>
        </w:rPr>
        <w:t>technically complex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65, 66</w:t>
      </w:r>
      <w:r w:rsidR="00BE56B5" w:rsidRPr="0050726A">
        <w:rPr>
          <w:rFonts w:asciiTheme="minorHAnsi" w:hAnsiTheme="minorHAnsi"/>
          <w:sz w:val="24"/>
          <w:szCs w:val="24"/>
        </w:rPr>
        <w:t xml:space="preserve"> and politically sensitive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67, 68</w:t>
      </w:r>
      <w:r w:rsidR="00A936B3" w:rsidRPr="0050726A">
        <w:rPr>
          <w:rFonts w:asciiTheme="minorHAnsi" w:hAnsiTheme="minorHAnsi"/>
          <w:sz w:val="24"/>
          <w:szCs w:val="24"/>
        </w:rPr>
        <w:t>, so much so that e</w:t>
      </w:r>
      <w:r w:rsidRPr="0050726A">
        <w:rPr>
          <w:rFonts w:asciiTheme="minorHAnsi" w:hAnsiTheme="minorHAnsi"/>
          <w:sz w:val="24"/>
          <w:szCs w:val="24"/>
        </w:rPr>
        <w:t>ven</w:t>
      </w:r>
      <w:r w:rsidR="002F3AC5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for the UNFCCC, now more than 20 years in the making, it is difficult to make definitive statements about performance.</w:t>
      </w:r>
    </w:p>
    <w:p w14:paraId="092451A3" w14:textId="77777777" w:rsidR="007B0A98" w:rsidRPr="0050726A" w:rsidRDefault="007B0A98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26718EB4" w14:textId="740C0199" w:rsidR="00052A12" w:rsidRPr="0050726A" w:rsidRDefault="007B0A98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 xml:space="preserve">At present, much </w:t>
      </w:r>
      <w:r w:rsidR="00AE009F" w:rsidRPr="0050726A">
        <w:rPr>
          <w:rFonts w:asciiTheme="minorHAnsi" w:hAnsiTheme="minorHAnsi"/>
          <w:sz w:val="24"/>
          <w:szCs w:val="24"/>
        </w:rPr>
        <w:t xml:space="preserve">climate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policy evaluation 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relies upon states self-reporting their activities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and achievements 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to the UNFCCC. This work is driven by the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immediate 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political pressure to fulfil international commitments, hence the heavy emphasis on very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broad </w:t>
      </w:r>
      <w:r w:rsidR="00052A1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compliance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exercises.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67, 69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936B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These exercises 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have in turn informed academic </w:t>
      </w:r>
      <w:r w:rsidR="0061796E" w:rsidRPr="0050726A">
        <w:rPr>
          <w:rFonts w:asciiTheme="minorHAnsi" w:hAnsiTheme="minorHAnsi" w:cs="AdvOT5843c571"/>
          <w:color w:val="000000"/>
          <w:sz w:val="24"/>
          <w:szCs w:val="24"/>
        </w:rPr>
        <w:t>studies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which </w:t>
      </w:r>
      <w:r w:rsidR="006C2A4A" w:rsidRPr="0050726A">
        <w:rPr>
          <w:rFonts w:asciiTheme="minorHAnsi" w:hAnsiTheme="minorHAnsi" w:cs="AdvOT5843c571"/>
          <w:color w:val="000000"/>
          <w:sz w:val="24"/>
          <w:szCs w:val="24"/>
        </w:rPr>
        <w:t>have sought</w:t>
      </w:r>
      <w:r w:rsidR="00DA7EC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to </w:t>
      </w:r>
      <w:r w:rsidR="006C2A4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construct indices </w:t>
      </w:r>
      <w:r w:rsidR="00052A1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showing </w:t>
      </w:r>
      <w:r w:rsidR="00AE009F" w:rsidRPr="0050726A">
        <w:rPr>
          <w:rFonts w:asciiTheme="minorHAnsi" w:hAnsiTheme="minorHAnsi"/>
          <w:sz w:val="24"/>
          <w:szCs w:val="24"/>
        </w:rPr>
        <w:t xml:space="preserve">the countries </w:t>
      </w:r>
      <w:r w:rsidR="00756025" w:rsidRPr="0050726A">
        <w:rPr>
          <w:rFonts w:asciiTheme="minorHAnsi" w:hAnsiTheme="minorHAnsi"/>
          <w:sz w:val="24"/>
          <w:szCs w:val="24"/>
        </w:rPr>
        <w:t xml:space="preserve">(but typically not the specific </w:t>
      </w:r>
      <w:r w:rsidR="00052A12" w:rsidRPr="0050726A">
        <w:rPr>
          <w:rFonts w:asciiTheme="minorHAnsi" w:hAnsiTheme="minorHAnsi"/>
          <w:sz w:val="24"/>
          <w:szCs w:val="24"/>
        </w:rPr>
        <w:t xml:space="preserve">national </w:t>
      </w:r>
      <w:r w:rsidR="00756025" w:rsidRPr="0050726A">
        <w:rPr>
          <w:rFonts w:asciiTheme="minorHAnsi" w:hAnsiTheme="minorHAnsi"/>
          <w:i/>
          <w:sz w:val="24"/>
          <w:szCs w:val="24"/>
        </w:rPr>
        <w:t>policies</w:t>
      </w:r>
      <w:r w:rsidR="00756025" w:rsidRPr="0050726A">
        <w:rPr>
          <w:rFonts w:asciiTheme="minorHAnsi" w:hAnsiTheme="minorHAnsi"/>
          <w:sz w:val="24"/>
          <w:szCs w:val="24"/>
        </w:rPr>
        <w:t xml:space="preserve">) </w:t>
      </w:r>
      <w:r w:rsidR="00AE009F" w:rsidRPr="0050726A">
        <w:rPr>
          <w:rFonts w:asciiTheme="minorHAnsi" w:hAnsiTheme="minorHAnsi"/>
          <w:sz w:val="24"/>
          <w:szCs w:val="24"/>
        </w:rPr>
        <w:t>that hav</w:t>
      </w:r>
      <w:r w:rsidR="00E04ED3" w:rsidRPr="0050726A">
        <w:rPr>
          <w:rFonts w:asciiTheme="minorHAnsi" w:hAnsiTheme="minorHAnsi"/>
          <w:sz w:val="24"/>
          <w:szCs w:val="24"/>
        </w:rPr>
        <w:t xml:space="preserve">e </w:t>
      </w:r>
      <w:r w:rsidR="00052A12" w:rsidRPr="0050726A">
        <w:rPr>
          <w:rFonts w:asciiTheme="minorHAnsi" w:hAnsiTheme="minorHAnsi"/>
          <w:sz w:val="24"/>
          <w:szCs w:val="24"/>
        </w:rPr>
        <w:t xml:space="preserve">generated the greatest net </w:t>
      </w:r>
      <w:r w:rsidR="00E04ED3" w:rsidRPr="0050726A">
        <w:rPr>
          <w:rFonts w:asciiTheme="minorHAnsi" w:hAnsiTheme="minorHAnsi"/>
          <w:sz w:val="24"/>
          <w:szCs w:val="24"/>
        </w:rPr>
        <w:t>emission</w:t>
      </w:r>
      <w:r w:rsidR="00052A12" w:rsidRPr="0050726A">
        <w:rPr>
          <w:rFonts w:asciiTheme="minorHAnsi" w:hAnsiTheme="minorHAnsi"/>
          <w:sz w:val="24"/>
          <w:szCs w:val="24"/>
        </w:rPr>
        <w:t xml:space="preserve"> reductions</w:t>
      </w:r>
      <w:r w:rsidR="006C2A4A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42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6C2A4A" w:rsidRPr="0050726A">
        <w:rPr>
          <w:rFonts w:asciiTheme="minorHAnsi" w:hAnsiTheme="minorHAnsi"/>
          <w:sz w:val="24"/>
          <w:szCs w:val="24"/>
        </w:rPr>
        <w:t xml:space="preserve">Other researchers are now building on this work to go beyond broad </w:t>
      </w:r>
      <w:r w:rsidR="00AE009F" w:rsidRPr="0050726A">
        <w:rPr>
          <w:rFonts w:asciiTheme="minorHAnsi" w:hAnsiTheme="minorHAnsi"/>
          <w:sz w:val="24"/>
          <w:szCs w:val="24"/>
        </w:rPr>
        <w:t>correlates of perfo</w:t>
      </w:r>
      <w:r w:rsidR="00E04ED3" w:rsidRPr="0050726A">
        <w:rPr>
          <w:rFonts w:asciiTheme="minorHAnsi" w:hAnsiTheme="minorHAnsi"/>
          <w:sz w:val="24"/>
          <w:szCs w:val="24"/>
        </w:rPr>
        <w:t>rmance</w:t>
      </w:r>
      <w:r w:rsidR="006C2A4A" w:rsidRPr="0050726A">
        <w:rPr>
          <w:rFonts w:asciiTheme="minorHAnsi" w:hAnsiTheme="minorHAnsi"/>
          <w:sz w:val="24"/>
          <w:szCs w:val="24"/>
        </w:rPr>
        <w:t xml:space="preserve"> to examine the interaction between the effects of state characteristics (income levels, democratic institutions</w:t>
      </w:r>
      <w:r w:rsidR="00052A12" w:rsidRPr="0050726A">
        <w:rPr>
          <w:rFonts w:asciiTheme="minorHAnsi" w:hAnsiTheme="minorHAnsi"/>
          <w:sz w:val="24"/>
          <w:szCs w:val="24"/>
        </w:rPr>
        <w:t xml:space="preserve"> etc.</w:t>
      </w:r>
      <w:r w:rsidR="006C2A4A" w:rsidRPr="0050726A">
        <w:rPr>
          <w:rFonts w:asciiTheme="minorHAnsi" w:hAnsiTheme="minorHAnsi"/>
          <w:sz w:val="24"/>
          <w:szCs w:val="24"/>
        </w:rPr>
        <w:t xml:space="preserve">) and international factors </w:t>
      </w:r>
      <w:r w:rsidR="006C2A4A" w:rsidRPr="0050726A">
        <w:rPr>
          <w:rFonts w:asciiTheme="minorHAnsi" w:hAnsiTheme="minorHAnsi"/>
          <w:sz w:val="24"/>
          <w:szCs w:val="24"/>
        </w:rPr>
        <w:lastRenderedPageBreak/>
        <w:t>(international agreements, policy diffusion etc.)</w:t>
      </w:r>
      <w:r w:rsidRPr="0050726A">
        <w:rPr>
          <w:rFonts w:asciiTheme="minorHAnsi" w:hAnsiTheme="minorHAnsi"/>
          <w:sz w:val="24"/>
          <w:szCs w:val="24"/>
        </w:rPr>
        <w:t xml:space="preserve"> - </w:t>
      </w:r>
      <w:r w:rsidR="006C2A4A" w:rsidRPr="0050726A">
        <w:rPr>
          <w:rFonts w:asciiTheme="minorHAnsi" w:hAnsiTheme="minorHAnsi"/>
          <w:sz w:val="24"/>
          <w:szCs w:val="24"/>
        </w:rPr>
        <w:t xml:space="preserve">a </w:t>
      </w:r>
      <w:r w:rsidRPr="0050726A">
        <w:rPr>
          <w:rFonts w:asciiTheme="minorHAnsi" w:hAnsiTheme="minorHAnsi"/>
          <w:sz w:val="24"/>
          <w:szCs w:val="24"/>
        </w:rPr>
        <w:t xml:space="preserve">complex </w:t>
      </w:r>
      <w:r w:rsidR="006C2A4A" w:rsidRPr="0050726A">
        <w:rPr>
          <w:rFonts w:asciiTheme="minorHAnsi" w:hAnsiTheme="minorHAnsi"/>
          <w:sz w:val="24"/>
          <w:szCs w:val="24"/>
        </w:rPr>
        <w:t>task which requires panel data covering many countries and long time period</w:t>
      </w:r>
      <w:r w:rsidR="00C11F00" w:rsidRPr="0050726A">
        <w:rPr>
          <w:rFonts w:asciiTheme="minorHAnsi" w:hAnsiTheme="minorHAnsi"/>
          <w:sz w:val="24"/>
          <w:szCs w:val="24"/>
        </w:rPr>
        <w:t>s</w:t>
      </w:r>
      <w:r w:rsidR="00E04ED3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70</w:t>
      </w:r>
    </w:p>
    <w:p w14:paraId="543AA384" w14:textId="77777777" w:rsidR="00052A12" w:rsidRPr="0050726A" w:rsidRDefault="00052A12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515C8EBD" w14:textId="02AA3423" w:rsidR="00784871" w:rsidRPr="0050726A" w:rsidRDefault="006C2A4A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>W</w:t>
      </w:r>
      <w:r w:rsidR="00AE009F" w:rsidRPr="0050726A">
        <w:rPr>
          <w:rFonts w:asciiTheme="minorHAnsi" w:hAnsiTheme="minorHAnsi"/>
          <w:sz w:val="24"/>
          <w:szCs w:val="24"/>
        </w:rPr>
        <w:t xml:space="preserve">hen it comes to evaluating the performance of </w:t>
      </w:r>
      <w:r w:rsidR="00AE009F" w:rsidRPr="0050726A">
        <w:rPr>
          <w:rFonts w:asciiTheme="minorHAnsi" w:hAnsiTheme="minorHAnsi"/>
          <w:i/>
          <w:sz w:val="24"/>
          <w:szCs w:val="24"/>
        </w:rPr>
        <w:t>individual</w:t>
      </w:r>
      <w:r w:rsidR="00AE009F" w:rsidRPr="0050726A">
        <w:rPr>
          <w:rFonts w:asciiTheme="minorHAnsi" w:hAnsiTheme="minorHAnsi"/>
          <w:sz w:val="24"/>
          <w:szCs w:val="24"/>
        </w:rPr>
        <w:t xml:space="preserve"> policies, </w:t>
      </w:r>
      <w:r w:rsidR="00744B98" w:rsidRPr="0050726A">
        <w:rPr>
          <w:rFonts w:asciiTheme="minorHAnsi" w:hAnsiTheme="minorHAnsi"/>
          <w:sz w:val="24"/>
          <w:szCs w:val="24"/>
        </w:rPr>
        <w:t xml:space="preserve">and thus </w:t>
      </w:r>
      <w:r w:rsidR="00A936B3" w:rsidRPr="0050726A">
        <w:rPr>
          <w:rFonts w:asciiTheme="minorHAnsi" w:hAnsiTheme="minorHAnsi"/>
          <w:sz w:val="24"/>
          <w:szCs w:val="24"/>
        </w:rPr>
        <w:t xml:space="preserve">actively </w:t>
      </w:r>
      <w:r w:rsidR="00744B98" w:rsidRPr="0050726A">
        <w:rPr>
          <w:rFonts w:asciiTheme="minorHAnsi" w:hAnsiTheme="minorHAnsi"/>
          <w:sz w:val="24"/>
          <w:szCs w:val="24"/>
        </w:rPr>
        <w:t>support</w:t>
      </w:r>
      <w:r w:rsidR="00FD0F94" w:rsidRPr="0050726A">
        <w:rPr>
          <w:rFonts w:asciiTheme="minorHAnsi" w:hAnsiTheme="minorHAnsi"/>
          <w:sz w:val="24"/>
          <w:szCs w:val="24"/>
        </w:rPr>
        <w:t>ing</w:t>
      </w:r>
      <w:r w:rsidR="00744B98" w:rsidRPr="0050726A">
        <w:rPr>
          <w:rFonts w:asciiTheme="minorHAnsi" w:hAnsiTheme="minorHAnsi"/>
          <w:sz w:val="24"/>
          <w:szCs w:val="24"/>
        </w:rPr>
        <w:t xml:space="preserve"> </w:t>
      </w:r>
      <w:r w:rsidR="00A936B3" w:rsidRPr="0050726A">
        <w:rPr>
          <w:rFonts w:asciiTheme="minorHAnsi" w:hAnsiTheme="minorHAnsi"/>
          <w:sz w:val="24"/>
          <w:szCs w:val="24"/>
        </w:rPr>
        <w:t xml:space="preserve">governance </w:t>
      </w:r>
      <w:r w:rsidR="00744B98" w:rsidRPr="0050726A">
        <w:rPr>
          <w:rFonts w:asciiTheme="minorHAnsi" w:hAnsiTheme="minorHAnsi"/>
          <w:sz w:val="24"/>
          <w:szCs w:val="24"/>
        </w:rPr>
        <w:t xml:space="preserve">innovation through polycentric experimentation, </w:t>
      </w:r>
      <w:r w:rsidR="00AE009F" w:rsidRPr="0050726A">
        <w:rPr>
          <w:rFonts w:asciiTheme="minorHAnsi" w:hAnsiTheme="minorHAnsi"/>
          <w:sz w:val="24"/>
          <w:szCs w:val="24"/>
        </w:rPr>
        <w:t xml:space="preserve">there is </w:t>
      </w:r>
      <w:r w:rsidR="00DA7ECF" w:rsidRPr="0050726A">
        <w:rPr>
          <w:rFonts w:asciiTheme="minorHAnsi" w:hAnsiTheme="minorHAnsi"/>
          <w:sz w:val="24"/>
          <w:szCs w:val="24"/>
        </w:rPr>
        <w:t>very little</w:t>
      </w:r>
      <w:r w:rsidR="00AE009F" w:rsidRPr="0050726A">
        <w:rPr>
          <w:rFonts w:asciiTheme="minorHAnsi" w:hAnsiTheme="minorHAnsi"/>
          <w:sz w:val="24"/>
          <w:szCs w:val="24"/>
        </w:rPr>
        <w:t xml:space="preserve"> comparable data</w:t>
      </w:r>
      <w:r w:rsidR="00EF7388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42, 63, 71-73</w:t>
      </w:r>
      <w:r w:rsidR="002F3059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although a rece</w:t>
      </w:r>
      <w:r w:rsidR="00E04ED3" w:rsidRPr="0050726A">
        <w:rPr>
          <w:rFonts w:asciiTheme="minorHAnsi" w:hAnsiTheme="minorHAnsi"/>
          <w:sz w:val="24"/>
          <w:szCs w:val="24"/>
        </w:rPr>
        <w:t xml:space="preserve">nt </w:t>
      </w:r>
      <w:r w:rsidR="002D745F" w:rsidRPr="0050726A">
        <w:rPr>
          <w:rFonts w:asciiTheme="minorHAnsi" w:hAnsiTheme="minorHAnsi"/>
          <w:sz w:val="24"/>
          <w:szCs w:val="24"/>
        </w:rPr>
        <w:t>systematic review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74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EF7388" w:rsidRPr="0050726A">
        <w:rPr>
          <w:rFonts w:asciiTheme="minorHAnsi" w:hAnsiTheme="minorHAnsi"/>
          <w:sz w:val="24"/>
          <w:szCs w:val="24"/>
        </w:rPr>
        <w:t>finds</w:t>
      </w:r>
      <w:r w:rsidR="00AE009F" w:rsidRPr="0050726A">
        <w:rPr>
          <w:rFonts w:asciiTheme="minorHAnsi" w:hAnsiTheme="minorHAnsi"/>
          <w:sz w:val="24"/>
          <w:szCs w:val="24"/>
        </w:rPr>
        <w:t xml:space="preserve"> that those </w:t>
      </w:r>
      <w:r w:rsidR="00A936B3" w:rsidRPr="0050726A">
        <w:rPr>
          <w:rFonts w:asciiTheme="minorHAnsi" w:hAnsiTheme="minorHAnsi"/>
          <w:sz w:val="24"/>
          <w:szCs w:val="24"/>
        </w:rPr>
        <w:t xml:space="preserve">policies </w:t>
      </w:r>
      <w:r w:rsidR="00AE009F" w:rsidRPr="0050726A">
        <w:rPr>
          <w:rFonts w:asciiTheme="minorHAnsi" w:hAnsiTheme="minorHAnsi"/>
          <w:sz w:val="24"/>
          <w:szCs w:val="24"/>
        </w:rPr>
        <w:t xml:space="preserve">that perform </w:t>
      </w:r>
      <w:r w:rsidR="00A936B3" w:rsidRPr="0050726A">
        <w:rPr>
          <w:rFonts w:asciiTheme="minorHAnsi" w:hAnsiTheme="minorHAnsi"/>
          <w:sz w:val="24"/>
          <w:szCs w:val="24"/>
        </w:rPr>
        <w:t xml:space="preserve">the </w:t>
      </w:r>
      <w:r w:rsidR="00AE009F" w:rsidRPr="0050726A">
        <w:rPr>
          <w:rFonts w:asciiTheme="minorHAnsi" w:hAnsiTheme="minorHAnsi"/>
          <w:sz w:val="24"/>
          <w:szCs w:val="24"/>
        </w:rPr>
        <w:t>best are well-timed, embody progressively ambitious targets, and offer flexibility to target groups.</w:t>
      </w:r>
    </w:p>
    <w:p w14:paraId="66DCCF29" w14:textId="77777777" w:rsidR="00784871" w:rsidRPr="0050726A" w:rsidRDefault="00784871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40044451" w14:textId="313ABD21" w:rsidR="00AE009F" w:rsidRPr="0050726A" w:rsidRDefault="0050726A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 xml:space="preserve">Eventually, a political cost may have to be paid for not </w:t>
      </w:r>
      <w:r w:rsidR="002F3AC5" w:rsidRPr="0050726A">
        <w:rPr>
          <w:rFonts w:asciiTheme="minorHAnsi" w:hAnsiTheme="minorHAnsi"/>
          <w:sz w:val="24"/>
          <w:szCs w:val="24"/>
        </w:rPr>
        <w:t>invest</w:t>
      </w:r>
      <w:r w:rsidRPr="0050726A">
        <w:rPr>
          <w:rFonts w:asciiTheme="minorHAnsi" w:hAnsiTheme="minorHAnsi"/>
          <w:sz w:val="24"/>
          <w:szCs w:val="24"/>
        </w:rPr>
        <w:t>ing</w:t>
      </w:r>
      <w:r w:rsidR="002F3AC5" w:rsidRPr="0050726A">
        <w:rPr>
          <w:rFonts w:asciiTheme="minorHAnsi" w:hAnsiTheme="minorHAnsi"/>
          <w:sz w:val="24"/>
          <w:szCs w:val="24"/>
        </w:rPr>
        <w:t xml:space="preserve"> in stronger performance assessment capacities</w:t>
      </w:r>
      <w:r w:rsidR="00744B98" w:rsidRPr="0050726A">
        <w:rPr>
          <w:rFonts w:asciiTheme="minorHAnsi" w:hAnsiTheme="minorHAnsi"/>
          <w:sz w:val="24"/>
          <w:szCs w:val="24"/>
        </w:rPr>
        <w:t xml:space="preserve">. </w:t>
      </w:r>
      <w:r w:rsidR="00A936B3" w:rsidRPr="0050726A">
        <w:rPr>
          <w:rFonts w:asciiTheme="minorHAnsi" w:hAnsiTheme="minorHAnsi"/>
          <w:sz w:val="24"/>
          <w:szCs w:val="24"/>
        </w:rPr>
        <w:t>Recall that b</w:t>
      </w:r>
      <w:r w:rsidR="002D745F" w:rsidRPr="0050726A">
        <w:rPr>
          <w:rFonts w:asciiTheme="minorHAnsi" w:hAnsiTheme="minorHAnsi"/>
          <w:sz w:val="24"/>
          <w:szCs w:val="24"/>
        </w:rPr>
        <w:t>oth Ostrom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19, 49</w:t>
      </w:r>
      <w:r w:rsidR="002D745F" w:rsidRPr="0050726A">
        <w:rPr>
          <w:rFonts w:asciiTheme="minorHAnsi" w:hAnsiTheme="minorHAnsi"/>
          <w:sz w:val="24"/>
          <w:szCs w:val="24"/>
        </w:rPr>
        <w:t xml:space="preserve"> and the IPCC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75</w:t>
      </w:r>
      <w:r w:rsidR="002D745F" w:rsidRPr="0050726A">
        <w:rPr>
          <w:rFonts w:asciiTheme="minorHAnsi" w:hAnsiTheme="minorHAnsi"/>
          <w:sz w:val="24"/>
          <w:szCs w:val="24"/>
        </w:rPr>
        <w:t xml:space="preserve"> </w:t>
      </w:r>
      <w:r w:rsidR="007B0A98" w:rsidRPr="0050726A">
        <w:rPr>
          <w:rFonts w:asciiTheme="minorHAnsi" w:hAnsiTheme="minorHAnsi"/>
          <w:sz w:val="24"/>
          <w:szCs w:val="24"/>
        </w:rPr>
        <w:t xml:space="preserve">underscore the </w:t>
      </w:r>
      <w:r w:rsidR="00052A12" w:rsidRPr="0050726A">
        <w:rPr>
          <w:rFonts w:asciiTheme="minorHAnsi" w:hAnsiTheme="minorHAnsi"/>
          <w:sz w:val="24"/>
          <w:szCs w:val="24"/>
        </w:rPr>
        <w:t xml:space="preserve">political </w:t>
      </w:r>
      <w:r w:rsidR="002D745F" w:rsidRPr="0050726A">
        <w:rPr>
          <w:rFonts w:asciiTheme="minorHAnsi" w:hAnsiTheme="minorHAnsi"/>
          <w:sz w:val="24"/>
          <w:szCs w:val="24"/>
        </w:rPr>
        <w:t xml:space="preserve">importance </w:t>
      </w:r>
      <w:r w:rsidR="007B0A98" w:rsidRPr="0050726A">
        <w:rPr>
          <w:rFonts w:asciiTheme="minorHAnsi" w:hAnsiTheme="minorHAnsi"/>
          <w:sz w:val="24"/>
          <w:szCs w:val="24"/>
        </w:rPr>
        <w:t xml:space="preserve">of </w:t>
      </w:r>
      <w:r w:rsidR="00052A12" w:rsidRPr="0050726A">
        <w:rPr>
          <w:rFonts w:asciiTheme="minorHAnsi" w:hAnsiTheme="minorHAnsi"/>
          <w:sz w:val="24"/>
          <w:szCs w:val="24"/>
        </w:rPr>
        <w:t xml:space="preserve">revealing </w:t>
      </w:r>
      <w:r w:rsidR="007B0A98" w:rsidRPr="0050726A">
        <w:rPr>
          <w:rFonts w:asciiTheme="minorHAnsi" w:hAnsiTheme="minorHAnsi"/>
          <w:sz w:val="24"/>
          <w:szCs w:val="24"/>
        </w:rPr>
        <w:t xml:space="preserve">the </w:t>
      </w:r>
      <w:r w:rsidR="00052A12" w:rsidRPr="0050726A">
        <w:rPr>
          <w:rFonts w:asciiTheme="minorHAnsi" w:hAnsiTheme="minorHAnsi"/>
          <w:sz w:val="24"/>
          <w:szCs w:val="24"/>
        </w:rPr>
        <w:t xml:space="preserve">potential </w:t>
      </w:r>
      <w:r w:rsidR="002D745F" w:rsidRPr="0050726A">
        <w:rPr>
          <w:rFonts w:asciiTheme="minorHAnsi" w:hAnsiTheme="minorHAnsi"/>
          <w:sz w:val="24"/>
          <w:szCs w:val="24"/>
        </w:rPr>
        <w:t>co-benefits of acting (</w:t>
      </w:r>
      <w:r w:rsidR="00526A03" w:rsidRPr="0050726A">
        <w:rPr>
          <w:rFonts w:asciiTheme="minorHAnsi" w:hAnsiTheme="minorHAnsi"/>
          <w:sz w:val="24"/>
          <w:szCs w:val="24"/>
        </w:rPr>
        <w:t>e.g.</w:t>
      </w:r>
      <w:r w:rsidR="002D745F" w:rsidRPr="0050726A">
        <w:rPr>
          <w:rFonts w:asciiTheme="minorHAnsi" w:hAnsiTheme="minorHAnsi"/>
          <w:sz w:val="24"/>
          <w:szCs w:val="24"/>
        </w:rPr>
        <w:t xml:space="preserve"> health </w:t>
      </w:r>
      <w:r w:rsidR="00526A03" w:rsidRPr="0050726A">
        <w:rPr>
          <w:rFonts w:asciiTheme="minorHAnsi" w:hAnsiTheme="minorHAnsi"/>
          <w:sz w:val="24"/>
          <w:szCs w:val="24"/>
        </w:rPr>
        <w:t xml:space="preserve">or </w:t>
      </w:r>
      <w:r w:rsidR="002D745F" w:rsidRPr="0050726A">
        <w:rPr>
          <w:rFonts w:asciiTheme="minorHAnsi" w:hAnsiTheme="minorHAnsi"/>
          <w:sz w:val="24"/>
          <w:szCs w:val="24"/>
        </w:rPr>
        <w:t xml:space="preserve">economic competitiveness) as a means to </w:t>
      </w:r>
      <w:r w:rsidR="00052A12" w:rsidRPr="0050726A">
        <w:rPr>
          <w:rFonts w:asciiTheme="minorHAnsi" w:hAnsiTheme="minorHAnsi"/>
          <w:sz w:val="24"/>
          <w:szCs w:val="24"/>
        </w:rPr>
        <w:t xml:space="preserve">overcome </w:t>
      </w:r>
      <w:r w:rsidR="002D745F" w:rsidRPr="0050726A">
        <w:rPr>
          <w:rFonts w:asciiTheme="minorHAnsi" w:hAnsiTheme="minorHAnsi"/>
          <w:sz w:val="24"/>
          <w:szCs w:val="24"/>
        </w:rPr>
        <w:t xml:space="preserve">public acceptability </w:t>
      </w:r>
      <w:r w:rsidR="00052A12" w:rsidRPr="0050726A">
        <w:rPr>
          <w:rFonts w:asciiTheme="minorHAnsi" w:hAnsiTheme="minorHAnsi"/>
          <w:sz w:val="24"/>
          <w:szCs w:val="24"/>
        </w:rPr>
        <w:t>concerns</w:t>
      </w:r>
      <w:r w:rsidR="00756025" w:rsidRPr="0050726A">
        <w:rPr>
          <w:rFonts w:asciiTheme="minorHAnsi" w:hAnsiTheme="minorHAnsi"/>
          <w:sz w:val="24"/>
          <w:szCs w:val="24"/>
        </w:rPr>
        <w:t>.</w:t>
      </w:r>
      <w:r w:rsidR="002D745F" w:rsidRPr="0050726A">
        <w:rPr>
          <w:rFonts w:asciiTheme="minorHAnsi" w:hAnsiTheme="minorHAnsi"/>
          <w:sz w:val="24"/>
          <w:szCs w:val="24"/>
        </w:rPr>
        <w:t xml:space="preserve"> However, </w:t>
      </w:r>
      <w:r w:rsidR="00A11177" w:rsidRPr="0050726A">
        <w:rPr>
          <w:rFonts w:asciiTheme="minorHAnsi" w:hAnsiTheme="minorHAnsi"/>
          <w:sz w:val="24"/>
          <w:szCs w:val="24"/>
        </w:rPr>
        <w:t xml:space="preserve">since </w:t>
      </w:r>
      <w:r w:rsidR="002D745F" w:rsidRPr="0050726A">
        <w:rPr>
          <w:rFonts w:asciiTheme="minorHAnsi" w:hAnsiTheme="minorHAnsi"/>
          <w:sz w:val="24"/>
          <w:szCs w:val="24"/>
        </w:rPr>
        <w:t xml:space="preserve">accurate </w:t>
      </w:r>
      <w:r w:rsidR="00A936B3" w:rsidRPr="0050726A">
        <w:rPr>
          <w:rFonts w:asciiTheme="minorHAnsi" w:hAnsiTheme="minorHAnsi"/>
          <w:sz w:val="24"/>
          <w:szCs w:val="24"/>
        </w:rPr>
        <w:t xml:space="preserve">and timely </w:t>
      </w:r>
      <w:r w:rsidR="00AA78AB" w:rsidRPr="0050726A">
        <w:rPr>
          <w:rFonts w:asciiTheme="minorHAnsi" w:hAnsiTheme="minorHAnsi"/>
          <w:i/>
          <w:sz w:val="24"/>
          <w:szCs w:val="24"/>
        </w:rPr>
        <w:t>ex post</w:t>
      </w:r>
      <w:r w:rsidR="00AA78AB" w:rsidRPr="0050726A">
        <w:rPr>
          <w:rFonts w:asciiTheme="minorHAnsi" w:hAnsiTheme="minorHAnsi"/>
          <w:sz w:val="24"/>
          <w:szCs w:val="24"/>
        </w:rPr>
        <w:t xml:space="preserve"> </w:t>
      </w:r>
      <w:r w:rsidR="00756025" w:rsidRPr="0050726A">
        <w:rPr>
          <w:rFonts w:asciiTheme="minorHAnsi" w:hAnsiTheme="minorHAnsi"/>
          <w:sz w:val="24"/>
          <w:szCs w:val="24"/>
        </w:rPr>
        <w:t xml:space="preserve">policy </w:t>
      </w:r>
      <w:r w:rsidR="002D745F" w:rsidRPr="0050726A">
        <w:rPr>
          <w:rFonts w:asciiTheme="minorHAnsi" w:hAnsiTheme="minorHAnsi"/>
          <w:sz w:val="24"/>
          <w:szCs w:val="24"/>
        </w:rPr>
        <w:t>evaluations of such benefits are often lacking</w:t>
      </w:r>
      <w:r w:rsidR="005B4972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66, 76</w:t>
      </w:r>
      <w:r w:rsidR="005B4972" w:rsidRPr="0050726A">
        <w:rPr>
          <w:rFonts w:asciiTheme="minorHAnsi" w:hAnsiTheme="minorHAnsi"/>
          <w:sz w:val="24"/>
          <w:szCs w:val="24"/>
        </w:rPr>
        <w:t xml:space="preserve"> politicians </w:t>
      </w:r>
      <w:r w:rsidR="00AA78AB" w:rsidRPr="0050726A">
        <w:rPr>
          <w:rFonts w:asciiTheme="minorHAnsi" w:hAnsiTheme="minorHAnsi"/>
          <w:sz w:val="24"/>
          <w:szCs w:val="24"/>
        </w:rPr>
        <w:t xml:space="preserve">do not necessarily have the evidence </w:t>
      </w:r>
      <w:r w:rsidR="00052A12" w:rsidRPr="0050726A">
        <w:rPr>
          <w:rFonts w:asciiTheme="minorHAnsi" w:hAnsiTheme="minorHAnsi"/>
          <w:sz w:val="24"/>
          <w:szCs w:val="24"/>
        </w:rPr>
        <w:t xml:space="preserve">of </w:t>
      </w:r>
      <w:r w:rsidR="00AA78AB" w:rsidRPr="0050726A">
        <w:rPr>
          <w:rFonts w:asciiTheme="minorHAnsi" w:hAnsiTheme="minorHAnsi"/>
          <w:sz w:val="24"/>
          <w:szCs w:val="24"/>
        </w:rPr>
        <w:t xml:space="preserve">co-benefits </w:t>
      </w:r>
      <w:r w:rsidR="00052A12" w:rsidRPr="0050726A">
        <w:rPr>
          <w:rFonts w:asciiTheme="minorHAnsi" w:hAnsiTheme="minorHAnsi"/>
          <w:sz w:val="24"/>
          <w:szCs w:val="24"/>
        </w:rPr>
        <w:t xml:space="preserve">to hand </w:t>
      </w:r>
      <w:r w:rsidR="00744B98" w:rsidRPr="0050726A">
        <w:rPr>
          <w:rFonts w:asciiTheme="minorHAnsi" w:hAnsiTheme="minorHAnsi"/>
          <w:sz w:val="24"/>
          <w:szCs w:val="24"/>
        </w:rPr>
        <w:t xml:space="preserve">to </w:t>
      </w:r>
      <w:r w:rsidR="00784871" w:rsidRPr="0050726A">
        <w:rPr>
          <w:rFonts w:asciiTheme="minorHAnsi" w:hAnsiTheme="minorHAnsi"/>
          <w:sz w:val="24"/>
          <w:szCs w:val="24"/>
        </w:rPr>
        <w:t xml:space="preserve">muster </w:t>
      </w:r>
      <w:r w:rsidR="005B4972" w:rsidRPr="0050726A">
        <w:rPr>
          <w:rFonts w:asciiTheme="minorHAnsi" w:hAnsiTheme="minorHAnsi"/>
          <w:sz w:val="24"/>
          <w:szCs w:val="24"/>
        </w:rPr>
        <w:t xml:space="preserve">a </w:t>
      </w:r>
      <w:r w:rsidR="00784871" w:rsidRPr="0050726A">
        <w:rPr>
          <w:rFonts w:asciiTheme="minorHAnsi" w:hAnsiTheme="minorHAnsi"/>
          <w:sz w:val="24"/>
          <w:szCs w:val="24"/>
        </w:rPr>
        <w:t xml:space="preserve">strong </w:t>
      </w:r>
      <w:r w:rsidR="00A936B3" w:rsidRPr="0050726A">
        <w:rPr>
          <w:rFonts w:asciiTheme="minorHAnsi" w:hAnsiTheme="minorHAnsi"/>
          <w:sz w:val="24"/>
          <w:szCs w:val="24"/>
        </w:rPr>
        <w:t xml:space="preserve">political </w:t>
      </w:r>
      <w:r w:rsidR="005B4972" w:rsidRPr="0050726A">
        <w:rPr>
          <w:rFonts w:asciiTheme="minorHAnsi" w:hAnsiTheme="minorHAnsi"/>
          <w:sz w:val="24"/>
          <w:szCs w:val="24"/>
        </w:rPr>
        <w:t>case</w:t>
      </w:r>
      <w:r w:rsidR="00AA78AB" w:rsidRPr="0050726A">
        <w:rPr>
          <w:rFonts w:asciiTheme="minorHAnsi" w:hAnsiTheme="minorHAnsi"/>
          <w:sz w:val="24"/>
          <w:szCs w:val="24"/>
        </w:rPr>
        <w:t xml:space="preserve"> for policy innovation</w:t>
      </w:r>
      <w:r w:rsidR="002D745F" w:rsidRPr="0050726A">
        <w:rPr>
          <w:rFonts w:asciiTheme="minorHAnsi" w:hAnsiTheme="minorHAnsi"/>
          <w:sz w:val="24"/>
          <w:szCs w:val="24"/>
        </w:rPr>
        <w:t xml:space="preserve">. </w:t>
      </w:r>
      <w:r w:rsidR="00744B98" w:rsidRPr="0050726A">
        <w:rPr>
          <w:rFonts w:asciiTheme="minorHAnsi" w:hAnsiTheme="minorHAnsi"/>
          <w:sz w:val="24"/>
          <w:szCs w:val="24"/>
        </w:rPr>
        <w:t>The</w:t>
      </w:r>
      <w:r w:rsidR="00A936B3" w:rsidRPr="0050726A">
        <w:rPr>
          <w:rFonts w:asciiTheme="minorHAnsi" w:hAnsiTheme="minorHAnsi"/>
          <w:sz w:val="24"/>
          <w:szCs w:val="24"/>
        </w:rPr>
        <w:t>re</w:t>
      </w:r>
      <w:r w:rsidR="00744B98" w:rsidRPr="0050726A">
        <w:rPr>
          <w:rFonts w:asciiTheme="minorHAnsi" w:hAnsiTheme="minorHAnsi"/>
          <w:sz w:val="24"/>
          <w:szCs w:val="24"/>
        </w:rPr>
        <w:t xml:space="preserve"> </w:t>
      </w:r>
      <w:r w:rsidR="00A936B3" w:rsidRPr="0050726A">
        <w:rPr>
          <w:rFonts w:asciiTheme="minorHAnsi" w:hAnsiTheme="minorHAnsi"/>
          <w:sz w:val="24"/>
          <w:szCs w:val="24"/>
        </w:rPr>
        <w:t xml:space="preserve">is a </w:t>
      </w:r>
      <w:r w:rsidR="00744B98" w:rsidRPr="0050726A">
        <w:rPr>
          <w:rFonts w:asciiTheme="minorHAnsi" w:hAnsiTheme="minorHAnsi"/>
          <w:sz w:val="24"/>
          <w:szCs w:val="24"/>
        </w:rPr>
        <w:t xml:space="preserve">paradox </w:t>
      </w:r>
      <w:r w:rsidR="00A936B3" w:rsidRPr="0050726A">
        <w:rPr>
          <w:rFonts w:asciiTheme="minorHAnsi" w:hAnsiTheme="minorHAnsi"/>
          <w:sz w:val="24"/>
          <w:szCs w:val="24"/>
        </w:rPr>
        <w:t>at work here</w:t>
      </w:r>
      <w:r w:rsidR="00FD0F94" w:rsidRPr="0050726A">
        <w:rPr>
          <w:rFonts w:asciiTheme="minorHAnsi" w:hAnsiTheme="minorHAnsi"/>
          <w:sz w:val="24"/>
          <w:szCs w:val="24"/>
        </w:rPr>
        <w:t>,</w:t>
      </w:r>
      <w:r w:rsidR="00A936B3" w:rsidRPr="0050726A">
        <w:rPr>
          <w:rFonts w:asciiTheme="minorHAnsi" w:hAnsiTheme="minorHAnsi"/>
          <w:sz w:val="24"/>
          <w:szCs w:val="24"/>
        </w:rPr>
        <w:t xml:space="preserve"> because </w:t>
      </w:r>
      <w:r w:rsidR="00744B98" w:rsidRPr="0050726A">
        <w:rPr>
          <w:rFonts w:asciiTheme="minorHAnsi" w:hAnsiTheme="minorHAnsi"/>
          <w:sz w:val="24"/>
          <w:szCs w:val="24"/>
        </w:rPr>
        <w:t>o</w:t>
      </w:r>
      <w:r w:rsidR="00AE009F" w:rsidRPr="0050726A">
        <w:rPr>
          <w:rFonts w:asciiTheme="minorHAnsi" w:hAnsiTheme="minorHAnsi"/>
          <w:sz w:val="24"/>
          <w:szCs w:val="24"/>
        </w:rPr>
        <w:t xml:space="preserve">ne of the reasons for this </w:t>
      </w:r>
      <w:r w:rsidR="005B1C9C" w:rsidRPr="0050726A">
        <w:rPr>
          <w:rFonts w:asciiTheme="minorHAnsi" w:hAnsiTheme="minorHAnsi"/>
          <w:sz w:val="24"/>
          <w:szCs w:val="24"/>
        </w:rPr>
        <w:t>knowledge gap</w:t>
      </w:r>
      <w:r w:rsidR="00AE009F" w:rsidRPr="0050726A">
        <w:rPr>
          <w:rFonts w:asciiTheme="minorHAnsi" w:hAnsiTheme="minorHAnsi"/>
          <w:sz w:val="24"/>
          <w:szCs w:val="24"/>
        </w:rPr>
        <w:t xml:space="preserve"> is that governors (including politicians) </w:t>
      </w:r>
      <w:r w:rsidR="00052A12" w:rsidRPr="0050726A">
        <w:rPr>
          <w:rFonts w:asciiTheme="minorHAnsi" w:hAnsiTheme="minorHAnsi"/>
          <w:sz w:val="24"/>
          <w:szCs w:val="24"/>
        </w:rPr>
        <w:t xml:space="preserve">are often </w:t>
      </w:r>
      <w:r w:rsidR="00AE009F" w:rsidRPr="0050726A">
        <w:rPr>
          <w:rFonts w:asciiTheme="minorHAnsi" w:hAnsiTheme="minorHAnsi"/>
          <w:sz w:val="24"/>
          <w:szCs w:val="24"/>
        </w:rPr>
        <w:t>unwilling to invest in long</w:t>
      </w:r>
      <w:r w:rsidR="005B1C9C" w:rsidRPr="0050726A">
        <w:rPr>
          <w:rFonts w:asciiTheme="minorHAnsi" w:hAnsiTheme="minorHAnsi"/>
          <w:sz w:val="24"/>
          <w:szCs w:val="24"/>
        </w:rPr>
        <w:t>-</w:t>
      </w:r>
      <w:r w:rsidR="00AE009F" w:rsidRPr="0050726A">
        <w:rPr>
          <w:rFonts w:asciiTheme="minorHAnsi" w:hAnsiTheme="minorHAnsi"/>
          <w:sz w:val="24"/>
          <w:szCs w:val="24"/>
        </w:rPr>
        <w:t xml:space="preserve">term </w:t>
      </w:r>
      <w:r w:rsidR="00AA78AB" w:rsidRPr="0050726A">
        <w:rPr>
          <w:rFonts w:asciiTheme="minorHAnsi" w:hAnsiTheme="minorHAnsi"/>
          <w:i/>
          <w:sz w:val="24"/>
          <w:szCs w:val="24"/>
        </w:rPr>
        <w:t>ex post</w:t>
      </w:r>
      <w:r w:rsidR="00AA78A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evaluation capacities</w:t>
      </w:r>
      <w:r w:rsidR="00410A31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77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3E078C" w:rsidRPr="0050726A">
        <w:rPr>
          <w:rFonts w:asciiTheme="minorHAnsi" w:hAnsiTheme="minorHAnsi"/>
          <w:sz w:val="24"/>
          <w:szCs w:val="24"/>
        </w:rPr>
        <w:t xml:space="preserve">in case </w:t>
      </w:r>
      <w:r w:rsidR="00AE009F" w:rsidRPr="0050726A">
        <w:rPr>
          <w:rFonts w:asciiTheme="minorHAnsi" w:hAnsiTheme="minorHAnsi"/>
          <w:sz w:val="24"/>
          <w:szCs w:val="24"/>
        </w:rPr>
        <w:t xml:space="preserve">they reveal </w:t>
      </w:r>
      <w:r w:rsidR="00784871" w:rsidRPr="0050726A">
        <w:rPr>
          <w:rFonts w:asciiTheme="minorHAnsi" w:hAnsiTheme="minorHAnsi"/>
          <w:i/>
          <w:sz w:val="24"/>
          <w:szCs w:val="24"/>
        </w:rPr>
        <w:t>inter alia</w:t>
      </w:r>
      <w:r w:rsidR="00784871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embarrassing </w:t>
      </w:r>
      <w:r w:rsidR="00A936B3" w:rsidRPr="0050726A">
        <w:rPr>
          <w:rFonts w:asciiTheme="minorHAnsi" w:hAnsiTheme="minorHAnsi"/>
          <w:sz w:val="24"/>
          <w:szCs w:val="24"/>
        </w:rPr>
        <w:t xml:space="preserve">levels of </w:t>
      </w:r>
      <w:r w:rsidR="00AE009F" w:rsidRPr="0050726A">
        <w:rPr>
          <w:rFonts w:asciiTheme="minorHAnsi" w:hAnsiTheme="minorHAnsi"/>
          <w:sz w:val="24"/>
          <w:szCs w:val="24"/>
        </w:rPr>
        <w:t>under-performance.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78</w:t>
      </w:r>
    </w:p>
    <w:p w14:paraId="7EBDAAE4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4D51FA5E" w14:textId="2D1A8196" w:rsidR="00AE009F" w:rsidRPr="0050726A" w:rsidRDefault="00AE009F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 xml:space="preserve">In the transnational governance domain, even less is known about </w:t>
      </w:r>
      <w:r w:rsidR="000C2DB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performance</w:t>
      </w:r>
      <w:r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24, 79</w:t>
      </w:r>
      <w:r w:rsidR="001F62BA" w:rsidRPr="0050726A">
        <w:rPr>
          <w:rFonts w:asciiTheme="minorHAnsi" w:hAnsiTheme="minorHAnsi"/>
          <w:sz w:val="24"/>
          <w:szCs w:val="24"/>
        </w:rPr>
        <w:t xml:space="preserve"> </w:t>
      </w:r>
      <w:r w:rsidR="00FD0F94" w:rsidRPr="0050726A">
        <w:rPr>
          <w:rFonts w:asciiTheme="minorHAnsi" w:hAnsiTheme="minorHAnsi"/>
          <w:sz w:val="24"/>
          <w:szCs w:val="24"/>
        </w:rPr>
        <w:t>U</w:t>
      </w:r>
      <w:r w:rsidRPr="0050726A">
        <w:rPr>
          <w:rFonts w:asciiTheme="minorHAnsi" w:hAnsiTheme="minorHAnsi"/>
          <w:sz w:val="24"/>
          <w:szCs w:val="24"/>
        </w:rPr>
        <w:t xml:space="preserve">nlike national policy, where </w:t>
      </w:r>
      <w:r w:rsidR="00CC08A5" w:rsidRPr="0050726A">
        <w:rPr>
          <w:rFonts w:asciiTheme="minorHAnsi" w:hAnsiTheme="minorHAnsi"/>
          <w:sz w:val="24"/>
          <w:szCs w:val="24"/>
        </w:rPr>
        <w:t xml:space="preserve">some </w:t>
      </w:r>
      <w:r w:rsidR="000C2DB3" w:rsidRPr="0050726A">
        <w:rPr>
          <w:rFonts w:asciiTheme="minorHAnsi" w:hAnsiTheme="minorHAnsi"/>
          <w:sz w:val="24"/>
          <w:szCs w:val="24"/>
        </w:rPr>
        <w:t xml:space="preserve">forms of </w:t>
      </w:r>
      <w:r w:rsidRPr="0050726A">
        <w:rPr>
          <w:rFonts w:asciiTheme="minorHAnsi" w:hAnsiTheme="minorHAnsi"/>
          <w:sz w:val="24"/>
          <w:szCs w:val="24"/>
        </w:rPr>
        <w:t xml:space="preserve">evaluation </w:t>
      </w:r>
      <w:r w:rsidR="000C2DB3" w:rsidRPr="0050726A">
        <w:rPr>
          <w:rFonts w:asciiTheme="minorHAnsi" w:hAnsiTheme="minorHAnsi"/>
          <w:sz w:val="24"/>
          <w:szCs w:val="24"/>
        </w:rPr>
        <w:t xml:space="preserve">are </w:t>
      </w:r>
      <w:r w:rsidR="00CC08A5" w:rsidRPr="0050726A">
        <w:rPr>
          <w:rFonts w:asciiTheme="minorHAnsi" w:hAnsiTheme="minorHAnsi"/>
          <w:sz w:val="24"/>
          <w:szCs w:val="24"/>
        </w:rPr>
        <w:t xml:space="preserve">at least </w:t>
      </w:r>
      <w:r w:rsidR="00A936B3" w:rsidRPr="0050726A">
        <w:rPr>
          <w:rFonts w:asciiTheme="minorHAnsi" w:hAnsiTheme="minorHAnsi"/>
          <w:sz w:val="24"/>
          <w:szCs w:val="24"/>
        </w:rPr>
        <w:t xml:space="preserve">routinely </w:t>
      </w:r>
      <w:r w:rsidRPr="0050726A">
        <w:rPr>
          <w:rFonts w:asciiTheme="minorHAnsi" w:hAnsiTheme="minorHAnsi"/>
          <w:sz w:val="24"/>
          <w:szCs w:val="24"/>
        </w:rPr>
        <w:t xml:space="preserve">undertaken, no single actor </w:t>
      </w:r>
      <w:r w:rsidR="00EC1F8E" w:rsidRPr="0050726A">
        <w:rPr>
          <w:rFonts w:asciiTheme="minorHAnsi" w:hAnsiTheme="minorHAnsi"/>
          <w:sz w:val="24"/>
          <w:szCs w:val="24"/>
        </w:rPr>
        <w:t>has yet felt</w:t>
      </w:r>
      <w:r w:rsidRPr="0050726A">
        <w:rPr>
          <w:rFonts w:asciiTheme="minorHAnsi" w:hAnsiTheme="minorHAnsi"/>
          <w:sz w:val="24"/>
          <w:szCs w:val="24"/>
        </w:rPr>
        <w:t xml:space="preserve"> compelled to lead.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More fundamentally, scholars disagree on how </w:t>
      </w:r>
      <w:r w:rsidR="00EC1F8E" w:rsidRPr="0050726A">
        <w:rPr>
          <w:rFonts w:asciiTheme="minorHAnsi" w:hAnsiTheme="minorHAnsi"/>
          <w:sz w:val="24"/>
          <w:szCs w:val="24"/>
        </w:rPr>
        <w:t xml:space="preserve">even </w:t>
      </w:r>
      <w:r w:rsidRPr="0050726A">
        <w:rPr>
          <w:rFonts w:asciiTheme="minorHAnsi" w:hAnsiTheme="minorHAnsi"/>
          <w:sz w:val="24"/>
          <w:szCs w:val="24"/>
        </w:rPr>
        <w:t xml:space="preserve">to approach </w:t>
      </w:r>
      <w:r w:rsidRPr="0050726A">
        <w:rPr>
          <w:rFonts w:asciiTheme="minorHAnsi" w:hAnsiTheme="minorHAnsi"/>
          <w:sz w:val="24"/>
          <w:szCs w:val="24"/>
        </w:rPr>
        <w:lastRenderedPageBreak/>
        <w:t>the topic.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Beisheim and Campe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80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3D23F6" w:rsidRPr="0050726A">
        <w:rPr>
          <w:rFonts w:asciiTheme="minorHAnsi" w:hAnsiTheme="minorHAnsi"/>
          <w:sz w:val="24"/>
          <w:szCs w:val="24"/>
        </w:rPr>
        <w:t>argue</w:t>
      </w:r>
      <w:r w:rsidRPr="0050726A">
        <w:rPr>
          <w:rFonts w:asciiTheme="minorHAnsi" w:hAnsiTheme="minorHAnsi"/>
          <w:sz w:val="24"/>
          <w:szCs w:val="24"/>
        </w:rPr>
        <w:t xml:space="preserve"> that </w:t>
      </w:r>
      <w:r w:rsidR="00F43979" w:rsidRPr="0050726A">
        <w:rPr>
          <w:rFonts w:asciiTheme="minorHAnsi" w:hAnsiTheme="minorHAnsi"/>
          <w:sz w:val="24"/>
          <w:szCs w:val="24"/>
        </w:rPr>
        <w:t xml:space="preserve">in principle </w:t>
      </w:r>
      <w:r w:rsidR="00EC1F8E" w:rsidRPr="0050726A">
        <w:rPr>
          <w:rFonts w:asciiTheme="minorHAnsi" w:hAnsiTheme="minorHAnsi"/>
          <w:sz w:val="24"/>
          <w:szCs w:val="24"/>
        </w:rPr>
        <w:t xml:space="preserve">there are </w:t>
      </w:r>
      <w:r w:rsidR="00F43979" w:rsidRPr="0050726A">
        <w:rPr>
          <w:rFonts w:asciiTheme="minorHAnsi" w:hAnsiTheme="minorHAnsi"/>
          <w:sz w:val="24"/>
          <w:szCs w:val="24"/>
        </w:rPr>
        <w:t xml:space="preserve">several analytical </w:t>
      </w:r>
      <w:r w:rsidR="00EC1F8E" w:rsidRPr="0050726A">
        <w:rPr>
          <w:rFonts w:asciiTheme="minorHAnsi" w:hAnsiTheme="minorHAnsi"/>
          <w:sz w:val="24"/>
          <w:szCs w:val="24"/>
        </w:rPr>
        <w:t>entry points</w:t>
      </w:r>
      <w:r w:rsidR="00A936B3" w:rsidRPr="0050726A">
        <w:rPr>
          <w:rFonts w:asciiTheme="minorHAnsi" w:hAnsiTheme="minorHAnsi"/>
          <w:sz w:val="24"/>
          <w:szCs w:val="24"/>
        </w:rPr>
        <w:t xml:space="preserve">, </w:t>
      </w:r>
      <w:r w:rsidR="00F43979" w:rsidRPr="0050726A">
        <w:rPr>
          <w:rFonts w:asciiTheme="minorHAnsi" w:hAnsiTheme="minorHAnsi"/>
          <w:sz w:val="24"/>
          <w:szCs w:val="24"/>
        </w:rPr>
        <w:t>with</w:t>
      </w:r>
      <w:r w:rsidR="00A936B3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the difficulty of measurement </w:t>
      </w:r>
      <w:r w:rsidR="00EC1F8E" w:rsidRPr="0050726A">
        <w:rPr>
          <w:rFonts w:asciiTheme="minorHAnsi" w:hAnsiTheme="minorHAnsi"/>
          <w:sz w:val="24"/>
          <w:szCs w:val="24"/>
        </w:rPr>
        <w:t xml:space="preserve">significantly </w:t>
      </w:r>
      <w:r w:rsidRPr="0050726A">
        <w:rPr>
          <w:rFonts w:asciiTheme="minorHAnsi" w:hAnsiTheme="minorHAnsi"/>
          <w:sz w:val="24"/>
          <w:szCs w:val="24"/>
        </w:rPr>
        <w:t>increas</w:t>
      </w:r>
      <w:r w:rsidR="00F43979" w:rsidRPr="0050726A">
        <w:rPr>
          <w:rFonts w:asciiTheme="minorHAnsi" w:hAnsiTheme="minorHAnsi"/>
          <w:sz w:val="24"/>
          <w:szCs w:val="24"/>
        </w:rPr>
        <w:t>ing</w:t>
      </w:r>
      <w:r w:rsidRPr="0050726A">
        <w:rPr>
          <w:rFonts w:asciiTheme="minorHAnsi" w:hAnsiTheme="minorHAnsi"/>
          <w:sz w:val="24"/>
          <w:szCs w:val="24"/>
        </w:rPr>
        <w:t xml:space="preserve"> as one moves along the </w:t>
      </w:r>
      <w:r w:rsidR="000C2DB3" w:rsidRPr="0050726A">
        <w:rPr>
          <w:rFonts w:asciiTheme="minorHAnsi" w:hAnsiTheme="minorHAnsi"/>
          <w:sz w:val="24"/>
          <w:szCs w:val="24"/>
        </w:rPr>
        <w:t xml:space="preserve">impact </w:t>
      </w:r>
      <w:r w:rsidRPr="0050726A">
        <w:rPr>
          <w:rFonts w:asciiTheme="minorHAnsi" w:hAnsiTheme="minorHAnsi"/>
          <w:sz w:val="24"/>
          <w:szCs w:val="24"/>
        </w:rPr>
        <w:t>chain</w:t>
      </w:r>
      <w:r w:rsidR="00A936B3" w:rsidRPr="0050726A">
        <w:rPr>
          <w:rFonts w:asciiTheme="minorHAnsi" w:hAnsiTheme="minorHAnsi"/>
          <w:sz w:val="24"/>
          <w:szCs w:val="24"/>
        </w:rPr>
        <w:t xml:space="preserve"> from </w:t>
      </w:r>
      <w:r w:rsidR="0050726A" w:rsidRPr="0050726A">
        <w:rPr>
          <w:rFonts w:asciiTheme="minorHAnsi" w:hAnsiTheme="minorHAnsi"/>
          <w:sz w:val="24"/>
          <w:szCs w:val="24"/>
        </w:rPr>
        <w:t xml:space="preserve">policy and governance </w:t>
      </w:r>
      <w:r w:rsidR="00A936B3" w:rsidRPr="0050726A">
        <w:rPr>
          <w:rFonts w:asciiTheme="minorHAnsi" w:hAnsiTheme="minorHAnsi"/>
          <w:sz w:val="24"/>
          <w:szCs w:val="24"/>
        </w:rPr>
        <w:t>outputs, to outcomes and impacts</w:t>
      </w:r>
      <w:r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For national policy, ‘tonnes of emissions reduced’ is a common </w:t>
      </w:r>
      <w:r w:rsidR="00A936B3" w:rsidRPr="0050726A">
        <w:rPr>
          <w:rFonts w:asciiTheme="minorHAnsi" w:hAnsiTheme="minorHAnsi"/>
          <w:sz w:val="24"/>
          <w:szCs w:val="24"/>
        </w:rPr>
        <w:t xml:space="preserve">outcome </w:t>
      </w:r>
      <w:r w:rsidRPr="0050726A">
        <w:rPr>
          <w:rFonts w:asciiTheme="minorHAnsi" w:hAnsiTheme="minorHAnsi"/>
          <w:sz w:val="24"/>
          <w:szCs w:val="24"/>
        </w:rPr>
        <w:t>measure.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But amongst governance scholars, who tend to focus on “soft results”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51</w:t>
      </w:r>
      <w:r w:rsidR="00EF7388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such as learning, trust and legitimacy, </w:t>
      </w:r>
      <w:r w:rsidR="005B1C9C" w:rsidRPr="0050726A">
        <w:rPr>
          <w:rFonts w:asciiTheme="minorHAnsi" w:hAnsiTheme="minorHAnsi"/>
          <w:sz w:val="24"/>
          <w:szCs w:val="24"/>
        </w:rPr>
        <w:t>th</w:t>
      </w:r>
      <w:r w:rsidR="003119FF" w:rsidRPr="0050726A">
        <w:rPr>
          <w:rFonts w:asciiTheme="minorHAnsi" w:hAnsiTheme="minorHAnsi"/>
          <w:sz w:val="24"/>
          <w:szCs w:val="24"/>
        </w:rPr>
        <w:t xml:space="preserve">ere is concern that </w:t>
      </w:r>
      <w:r w:rsidR="009729A9" w:rsidRPr="0050726A">
        <w:rPr>
          <w:rFonts w:asciiTheme="minorHAnsi" w:hAnsiTheme="minorHAnsi"/>
          <w:sz w:val="24"/>
          <w:szCs w:val="24"/>
        </w:rPr>
        <w:t xml:space="preserve">emissions </w:t>
      </w:r>
      <w:r w:rsidR="00EC1F8E" w:rsidRPr="0050726A">
        <w:rPr>
          <w:rFonts w:asciiTheme="minorHAnsi" w:hAnsiTheme="minorHAnsi"/>
          <w:sz w:val="24"/>
          <w:szCs w:val="24"/>
        </w:rPr>
        <w:t xml:space="preserve">– and thus outcomes - </w:t>
      </w:r>
      <w:r w:rsidR="003119FF" w:rsidRPr="0050726A">
        <w:rPr>
          <w:rFonts w:asciiTheme="minorHAnsi" w:hAnsiTheme="minorHAnsi"/>
          <w:sz w:val="24"/>
          <w:szCs w:val="24"/>
        </w:rPr>
        <w:t xml:space="preserve">may be </w:t>
      </w:r>
      <w:r w:rsidRPr="0050726A">
        <w:rPr>
          <w:rFonts w:asciiTheme="minorHAnsi" w:hAnsiTheme="minorHAnsi"/>
          <w:sz w:val="24"/>
          <w:szCs w:val="24"/>
        </w:rPr>
        <w:t xml:space="preserve">entirely the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wrong </w:t>
      </w:r>
      <w:r w:rsidR="009729A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place to start</w:t>
      </w:r>
      <w:r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</w:t>
      </w:r>
      <w:r w:rsidRPr="0050726A">
        <w:rPr>
          <w:rFonts w:asciiTheme="minorHAnsi" w:hAnsiTheme="minorHAnsi"/>
          <w:sz w:val="24"/>
          <w:szCs w:val="24"/>
        </w:rPr>
        <w:t xml:space="preserve"> given the very mixed motives for </w:t>
      </w:r>
      <w:r w:rsidR="00F43979" w:rsidRPr="0050726A">
        <w:rPr>
          <w:rFonts w:asciiTheme="minorHAnsi" w:hAnsiTheme="minorHAnsi"/>
          <w:sz w:val="24"/>
          <w:szCs w:val="24"/>
        </w:rPr>
        <w:t>adopting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A11177" w:rsidRPr="0050726A">
        <w:rPr>
          <w:rFonts w:asciiTheme="minorHAnsi" w:hAnsiTheme="minorHAnsi"/>
          <w:sz w:val="24"/>
          <w:szCs w:val="24"/>
        </w:rPr>
        <w:t xml:space="preserve">policies </w:t>
      </w:r>
      <w:r w:rsidRPr="0050726A">
        <w:rPr>
          <w:rFonts w:asciiTheme="minorHAnsi" w:hAnsiTheme="minorHAnsi"/>
          <w:sz w:val="24"/>
          <w:szCs w:val="24"/>
        </w:rPr>
        <w:t>in the first place.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EC1F8E" w:rsidRPr="0050726A">
        <w:rPr>
          <w:rFonts w:asciiTheme="minorHAnsi" w:hAnsiTheme="minorHAnsi"/>
          <w:sz w:val="24"/>
          <w:szCs w:val="24"/>
        </w:rPr>
        <w:t>Green</w:t>
      </w:r>
      <w:r w:rsidR="0091399E" w:rsidRPr="0050726A">
        <w:rPr>
          <w:rFonts w:asciiTheme="minorHAnsi" w:hAnsiTheme="minorHAnsi"/>
          <w:sz w:val="24"/>
          <w:szCs w:val="24"/>
        </w:rPr>
        <w:t>,</w:t>
      </w:r>
      <w:r w:rsidR="00EC1F8E" w:rsidRPr="0050726A">
        <w:rPr>
          <w:rFonts w:asciiTheme="minorHAnsi" w:hAnsiTheme="minorHAnsi"/>
          <w:sz w:val="24"/>
          <w:szCs w:val="24"/>
        </w:rPr>
        <w:t xml:space="preserve"> for example</w:t>
      </w:r>
      <w:r w:rsidR="0091399E" w:rsidRPr="0050726A">
        <w:rPr>
          <w:rFonts w:asciiTheme="minorHAnsi" w:hAnsiTheme="minorHAnsi"/>
          <w:sz w:val="24"/>
          <w:szCs w:val="24"/>
        </w:rPr>
        <w:t>,</w:t>
      </w:r>
      <w:r w:rsidR="00EC1F8E" w:rsidRPr="0050726A">
        <w:rPr>
          <w:rFonts w:asciiTheme="minorHAnsi" w:hAnsiTheme="minorHAnsi"/>
          <w:sz w:val="24"/>
          <w:szCs w:val="24"/>
        </w:rPr>
        <w:t xml:space="preserve"> suggests that analysts should focus on the outputs of transnational governance, and assess these over time, on the basis that the objectives and activities of </w:t>
      </w:r>
      <w:r w:rsidR="00413EBE" w:rsidRPr="0050726A">
        <w:rPr>
          <w:rFonts w:asciiTheme="minorHAnsi" w:hAnsiTheme="minorHAnsi"/>
          <w:sz w:val="24"/>
          <w:szCs w:val="24"/>
        </w:rPr>
        <w:t>such</w:t>
      </w:r>
      <w:r w:rsidR="00EC1F8E" w:rsidRPr="0050726A">
        <w:rPr>
          <w:rFonts w:asciiTheme="minorHAnsi" w:hAnsiTheme="minorHAnsi"/>
          <w:sz w:val="24"/>
          <w:szCs w:val="24"/>
        </w:rPr>
        <w:t xml:space="preserve"> arrangements are often not directly intended to </w:t>
      </w:r>
      <w:r w:rsidR="00F43979" w:rsidRPr="0050726A">
        <w:rPr>
          <w:rFonts w:asciiTheme="minorHAnsi" w:hAnsiTheme="minorHAnsi"/>
          <w:sz w:val="24"/>
          <w:szCs w:val="24"/>
        </w:rPr>
        <w:t>trigger</w:t>
      </w:r>
      <w:r w:rsidR="00EC1F8E" w:rsidRPr="0050726A">
        <w:rPr>
          <w:rFonts w:asciiTheme="minorHAnsi" w:hAnsiTheme="minorHAnsi"/>
          <w:sz w:val="24"/>
          <w:szCs w:val="24"/>
        </w:rPr>
        <w:t xml:space="preserve"> emission reductions, but rather offer indirect (or ‘process’) contributions (e.g. </w:t>
      </w:r>
      <w:r w:rsidR="00F43979" w:rsidRPr="0050726A">
        <w:rPr>
          <w:rFonts w:asciiTheme="minorHAnsi" w:hAnsiTheme="minorHAnsi"/>
          <w:sz w:val="24"/>
          <w:szCs w:val="24"/>
        </w:rPr>
        <w:t xml:space="preserve">sharing knowledge, </w:t>
      </w:r>
      <w:r w:rsidR="00EC1F8E" w:rsidRPr="0050726A">
        <w:rPr>
          <w:rFonts w:asciiTheme="minorHAnsi" w:hAnsiTheme="minorHAnsi"/>
          <w:sz w:val="24"/>
          <w:szCs w:val="24"/>
        </w:rPr>
        <w:t>enhancing awareness etc.).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34</w:t>
      </w:r>
      <w:r w:rsidR="00EC1F8E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Yet without </w:t>
      </w:r>
      <w:r w:rsidR="009729A9" w:rsidRPr="0050726A">
        <w:rPr>
          <w:rFonts w:asciiTheme="minorHAnsi" w:hAnsiTheme="minorHAnsi"/>
          <w:sz w:val="24"/>
          <w:szCs w:val="24"/>
        </w:rPr>
        <w:t xml:space="preserve">a source of comparable and transparent </w:t>
      </w:r>
      <w:r w:rsidRPr="0050726A">
        <w:rPr>
          <w:rFonts w:asciiTheme="minorHAnsi" w:hAnsiTheme="minorHAnsi"/>
          <w:sz w:val="24"/>
          <w:szCs w:val="24"/>
        </w:rPr>
        <w:t xml:space="preserve">information </w:t>
      </w:r>
      <w:r w:rsidR="00EC1F8E" w:rsidRPr="0050726A">
        <w:rPr>
          <w:rFonts w:asciiTheme="minorHAnsi" w:hAnsiTheme="minorHAnsi"/>
          <w:sz w:val="24"/>
          <w:szCs w:val="24"/>
        </w:rPr>
        <w:t xml:space="preserve">on outcomes </w:t>
      </w:r>
      <w:r w:rsidRPr="0050726A">
        <w:rPr>
          <w:rFonts w:asciiTheme="minorHAnsi" w:hAnsiTheme="minorHAnsi"/>
          <w:sz w:val="24"/>
          <w:szCs w:val="24"/>
        </w:rPr>
        <w:t xml:space="preserve">it will be </w:t>
      </w:r>
      <w:r w:rsidR="003119FF" w:rsidRPr="0050726A">
        <w:rPr>
          <w:rFonts w:asciiTheme="minorHAnsi" w:hAnsiTheme="minorHAnsi"/>
          <w:sz w:val="24"/>
          <w:szCs w:val="24"/>
        </w:rPr>
        <w:t xml:space="preserve">very </w:t>
      </w:r>
      <w:r w:rsidRPr="0050726A">
        <w:rPr>
          <w:rFonts w:asciiTheme="minorHAnsi" w:hAnsiTheme="minorHAnsi"/>
          <w:sz w:val="24"/>
          <w:szCs w:val="24"/>
        </w:rPr>
        <w:t xml:space="preserve">difficult to </w:t>
      </w:r>
      <w:r w:rsidR="009729A9" w:rsidRPr="0050726A">
        <w:rPr>
          <w:rFonts w:asciiTheme="minorHAnsi" w:hAnsiTheme="minorHAnsi"/>
          <w:sz w:val="24"/>
          <w:szCs w:val="24"/>
        </w:rPr>
        <w:t xml:space="preserve">verify the </w:t>
      </w:r>
      <w:r w:rsidR="00F43979" w:rsidRPr="0050726A">
        <w:rPr>
          <w:rFonts w:asciiTheme="minorHAnsi" w:hAnsiTheme="minorHAnsi"/>
          <w:sz w:val="24"/>
          <w:szCs w:val="24"/>
        </w:rPr>
        <w:t>(</w:t>
      </w:r>
      <w:r w:rsidR="00EC1F8E" w:rsidRPr="0050726A">
        <w:rPr>
          <w:rFonts w:asciiTheme="minorHAnsi" w:hAnsiTheme="minorHAnsi"/>
          <w:sz w:val="24"/>
          <w:szCs w:val="24"/>
        </w:rPr>
        <w:t>big</w:t>
      </w:r>
      <w:r w:rsidR="00F43979" w:rsidRPr="0050726A">
        <w:rPr>
          <w:rFonts w:asciiTheme="minorHAnsi" w:hAnsiTheme="minorHAnsi"/>
          <w:sz w:val="24"/>
          <w:szCs w:val="24"/>
        </w:rPr>
        <w:t>)</w:t>
      </w:r>
      <w:r w:rsidR="00EC1F8E" w:rsidRPr="0050726A">
        <w:rPr>
          <w:rFonts w:asciiTheme="minorHAnsi" w:hAnsiTheme="minorHAnsi"/>
          <w:sz w:val="24"/>
          <w:szCs w:val="24"/>
        </w:rPr>
        <w:t xml:space="preserve"> </w:t>
      </w:r>
      <w:r w:rsidR="009729A9" w:rsidRPr="0050726A">
        <w:rPr>
          <w:rFonts w:asciiTheme="minorHAnsi" w:hAnsiTheme="minorHAnsi"/>
          <w:sz w:val="24"/>
          <w:szCs w:val="24"/>
        </w:rPr>
        <w:t xml:space="preserve">claim that </w:t>
      </w:r>
      <w:r w:rsidRPr="0050726A">
        <w:rPr>
          <w:rFonts w:asciiTheme="minorHAnsi" w:hAnsiTheme="minorHAnsi"/>
          <w:sz w:val="24"/>
          <w:szCs w:val="24"/>
        </w:rPr>
        <w:t>the effects of polycentric governance are “slowly cumulating and can be expected to increase their contributions over time”.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19</w:t>
      </w:r>
    </w:p>
    <w:p w14:paraId="5CFEC6A2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35171091" w14:textId="01BEB2E0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</w:rPr>
        <w:t xml:space="preserve">As the </w:t>
      </w:r>
      <w:r w:rsidR="00EC1F8E" w:rsidRPr="0050726A">
        <w:rPr>
          <w:rFonts w:asciiTheme="minorHAnsi" w:hAnsiTheme="minorHAnsi"/>
          <w:sz w:val="24"/>
          <w:szCs w:val="24"/>
        </w:rPr>
        <w:t xml:space="preserve">fascinating </w:t>
      </w:r>
      <w:r w:rsidRPr="0050726A">
        <w:rPr>
          <w:rFonts w:asciiTheme="minorHAnsi" w:hAnsiTheme="minorHAnsi"/>
          <w:sz w:val="24"/>
          <w:szCs w:val="24"/>
        </w:rPr>
        <w:t xml:space="preserve">debate about performance </w:t>
      </w:r>
      <w:r w:rsidR="00EC1F8E" w:rsidRPr="0050726A">
        <w:rPr>
          <w:rFonts w:asciiTheme="minorHAnsi" w:hAnsiTheme="minorHAnsi"/>
          <w:sz w:val="24"/>
          <w:szCs w:val="24"/>
        </w:rPr>
        <w:t>advances</w:t>
      </w:r>
      <w:r w:rsidRPr="0050726A">
        <w:rPr>
          <w:rFonts w:asciiTheme="minorHAnsi" w:hAnsiTheme="minorHAnsi"/>
          <w:sz w:val="24"/>
          <w:szCs w:val="24"/>
        </w:rPr>
        <w:t>, some fairly simple proxy measures could be tested.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For example, </w:t>
      </w:r>
      <w:r w:rsidR="00932F45" w:rsidRPr="0050726A">
        <w:rPr>
          <w:rFonts w:asciiTheme="minorHAnsi" w:hAnsiTheme="minorHAnsi"/>
          <w:sz w:val="24"/>
          <w:szCs w:val="24"/>
        </w:rPr>
        <w:t>as a first order, output</w:t>
      </w:r>
      <w:r w:rsidR="00977187" w:rsidRPr="0050726A">
        <w:rPr>
          <w:rFonts w:asciiTheme="minorHAnsi" w:hAnsiTheme="minorHAnsi"/>
          <w:sz w:val="24"/>
          <w:szCs w:val="24"/>
        </w:rPr>
        <w:t>-</w:t>
      </w:r>
      <w:r w:rsidR="00932F45" w:rsidRPr="0050726A">
        <w:rPr>
          <w:rFonts w:asciiTheme="minorHAnsi" w:hAnsiTheme="minorHAnsi"/>
          <w:sz w:val="24"/>
          <w:szCs w:val="24"/>
        </w:rPr>
        <w:t xml:space="preserve">based </w:t>
      </w:r>
      <w:r w:rsidR="00977187" w:rsidRPr="0050726A">
        <w:rPr>
          <w:rFonts w:asciiTheme="minorHAnsi" w:hAnsiTheme="minorHAnsi"/>
          <w:sz w:val="24"/>
          <w:szCs w:val="24"/>
        </w:rPr>
        <w:t xml:space="preserve">measure </w:t>
      </w:r>
      <w:r w:rsidR="00932F45" w:rsidRPr="0050726A">
        <w:rPr>
          <w:rFonts w:asciiTheme="minorHAnsi" w:hAnsiTheme="minorHAnsi"/>
          <w:sz w:val="24"/>
          <w:szCs w:val="24"/>
        </w:rPr>
        <w:t xml:space="preserve">of performance, we might explore whether </w:t>
      </w:r>
      <w:r w:rsidRPr="0050726A">
        <w:rPr>
          <w:rFonts w:asciiTheme="minorHAnsi" w:hAnsiTheme="minorHAnsi"/>
          <w:sz w:val="24"/>
          <w:szCs w:val="24"/>
        </w:rPr>
        <w:t xml:space="preserve">the </w:t>
      </w:r>
      <w:r w:rsidR="00E22138" w:rsidRPr="0050726A">
        <w:rPr>
          <w:rFonts w:asciiTheme="minorHAnsi" w:hAnsiTheme="minorHAnsi"/>
          <w:sz w:val="24"/>
          <w:szCs w:val="24"/>
        </w:rPr>
        <w:t>‘</w:t>
      </w:r>
      <w:r w:rsidRPr="0050726A">
        <w:rPr>
          <w:rFonts w:asciiTheme="minorHAnsi" w:hAnsiTheme="minorHAnsi"/>
          <w:sz w:val="24"/>
          <w:szCs w:val="24"/>
        </w:rPr>
        <w:t>new</w:t>
      </w:r>
      <w:r w:rsidR="00E22138" w:rsidRPr="0050726A">
        <w:rPr>
          <w:rFonts w:asciiTheme="minorHAnsi" w:hAnsiTheme="minorHAnsi"/>
          <w:sz w:val="24"/>
          <w:szCs w:val="24"/>
        </w:rPr>
        <w:t>’</w:t>
      </w:r>
      <w:r w:rsidRPr="0050726A">
        <w:rPr>
          <w:rFonts w:asciiTheme="minorHAnsi" w:hAnsiTheme="minorHAnsi"/>
          <w:sz w:val="24"/>
          <w:szCs w:val="24"/>
        </w:rPr>
        <w:t xml:space="preserve"> forms of governance incorporate </w:t>
      </w:r>
      <w:r w:rsidR="00853D5D" w:rsidRPr="0050726A">
        <w:rPr>
          <w:rFonts w:asciiTheme="minorHAnsi" w:hAnsiTheme="minorHAnsi"/>
          <w:sz w:val="24"/>
          <w:szCs w:val="24"/>
        </w:rPr>
        <w:t xml:space="preserve">rigorous </w:t>
      </w:r>
      <w:r w:rsidR="00A11177" w:rsidRPr="0050726A">
        <w:rPr>
          <w:rFonts w:asciiTheme="minorHAnsi" w:hAnsiTheme="minorHAnsi"/>
          <w:sz w:val="24"/>
          <w:szCs w:val="24"/>
        </w:rPr>
        <w:t xml:space="preserve">monitoring and </w:t>
      </w:r>
      <w:r w:rsidRPr="0050726A">
        <w:rPr>
          <w:rFonts w:asciiTheme="minorHAnsi" w:hAnsiTheme="minorHAnsi"/>
          <w:sz w:val="24"/>
          <w:szCs w:val="24"/>
        </w:rPr>
        <w:t>evaluation procedures</w:t>
      </w:r>
      <w:r w:rsidR="00EC1F8E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 xml:space="preserve">The </w:t>
      </w:r>
      <w:r w:rsidR="000863CF" w:rsidRPr="0050726A">
        <w:rPr>
          <w:rFonts w:asciiTheme="minorHAnsi" w:hAnsiTheme="minorHAnsi"/>
          <w:sz w:val="24"/>
          <w:szCs w:val="24"/>
        </w:rPr>
        <w:t xml:space="preserve">two strands of </w:t>
      </w:r>
      <w:r w:rsidRPr="0050726A">
        <w:rPr>
          <w:rFonts w:asciiTheme="minorHAnsi" w:hAnsiTheme="minorHAnsi"/>
          <w:sz w:val="24"/>
          <w:szCs w:val="24"/>
        </w:rPr>
        <w:t xml:space="preserve">literature suggest that </w:t>
      </w:r>
      <w:r w:rsidR="00905942" w:rsidRPr="0050726A">
        <w:rPr>
          <w:rFonts w:asciiTheme="minorHAnsi" w:hAnsiTheme="minorHAnsi"/>
          <w:sz w:val="24"/>
          <w:szCs w:val="24"/>
        </w:rPr>
        <w:t>both national and, in particular, transnational governance,</w:t>
      </w:r>
      <w:r w:rsidRPr="0050726A">
        <w:rPr>
          <w:rFonts w:asciiTheme="minorHAnsi" w:hAnsiTheme="minorHAnsi"/>
          <w:sz w:val="24"/>
          <w:szCs w:val="24"/>
        </w:rPr>
        <w:t xml:space="preserve"> </w:t>
      </w:r>
      <w:r w:rsidR="00EF7388" w:rsidRPr="0050726A">
        <w:rPr>
          <w:rFonts w:asciiTheme="minorHAnsi" w:hAnsiTheme="minorHAnsi"/>
          <w:sz w:val="24"/>
          <w:szCs w:val="24"/>
        </w:rPr>
        <w:t>tend not to</w:t>
      </w:r>
      <w:r w:rsidR="004C2EA4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24, 78</w:t>
      </w:r>
      <w:r w:rsidR="00185ED0" w:rsidRPr="0050726A">
        <w:rPr>
          <w:rFonts w:asciiTheme="minorHAnsi" w:hAnsiTheme="minorHAnsi"/>
          <w:sz w:val="24"/>
          <w:szCs w:val="24"/>
        </w:rPr>
        <w:t xml:space="preserve"> </w:t>
      </w:r>
      <w:r w:rsidRPr="0050726A">
        <w:rPr>
          <w:rFonts w:asciiTheme="minorHAnsi" w:hAnsiTheme="minorHAnsi"/>
          <w:sz w:val="24"/>
          <w:szCs w:val="24"/>
        </w:rPr>
        <w:t>Second, at an even more basic level</w:t>
      </w:r>
      <w:r w:rsidR="003119FF" w:rsidRPr="0050726A">
        <w:rPr>
          <w:rFonts w:asciiTheme="minorHAnsi" w:hAnsiTheme="minorHAnsi"/>
          <w:sz w:val="24"/>
          <w:szCs w:val="24"/>
        </w:rPr>
        <w:t>,</w:t>
      </w:r>
      <w:r w:rsidRPr="0050726A">
        <w:rPr>
          <w:rFonts w:asciiTheme="minorHAnsi" w:hAnsiTheme="minorHAnsi"/>
          <w:sz w:val="24"/>
          <w:szCs w:val="24"/>
        </w:rPr>
        <w:t xml:space="preserve"> do </w:t>
      </w:r>
      <w:r w:rsidR="003119FF" w:rsidRPr="0050726A">
        <w:rPr>
          <w:rFonts w:asciiTheme="minorHAnsi" w:hAnsiTheme="minorHAnsi"/>
          <w:sz w:val="24"/>
          <w:szCs w:val="24"/>
        </w:rPr>
        <w:t xml:space="preserve">the forms </w:t>
      </w:r>
      <w:r w:rsidRPr="0050726A">
        <w:rPr>
          <w:rFonts w:asciiTheme="minorHAnsi" w:hAnsiTheme="minorHAnsi"/>
          <w:sz w:val="24"/>
          <w:szCs w:val="24"/>
        </w:rPr>
        <w:t>endure long enough to perform?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0863CF" w:rsidRPr="0050726A">
        <w:rPr>
          <w:rFonts w:asciiTheme="minorHAnsi" w:hAnsiTheme="minorHAnsi"/>
          <w:sz w:val="24"/>
          <w:szCs w:val="24"/>
        </w:rPr>
        <w:t>W</w:t>
      </w:r>
      <w:r w:rsidRPr="0050726A">
        <w:rPr>
          <w:rFonts w:asciiTheme="minorHAnsi" w:hAnsiTheme="minorHAnsi"/>
          <w:sz w:val="24"/>
          <w:szCs w:val="24"/>
        </w:rPr>
        <w:t xml:space="preserve">hile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many bottom-up </w:t>
      </w:r>
      <w:r w:rsidR="003119FF" w:rsidRPr="0050726A">
        <w:rPr>
          <w:rFonts w:asciiTheme="minorHAnsi" w:hAnsiTheme="minorHAnsi" w:cs="Calibri"/>
          <w:sz w:val="24"/>
          <w:szCs w:val="24"/>
          <w:lang w:val="en-US"/>
        </w:rPr>
        <w:t xml:space="preserve">environmental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initiatives </w:t>
      </w:r>
      <w:r w:rsidR="00413EBE" w:rsidRPr="0050726A">
        <w:rPr>
          <w:rFonts w:asciiTheme="minorHAnsi" w:hAnsiTheme="minorHAnsi" w:cs="Calibri"/>
          <w:sz w:val="24"/>
          <w:szCs w:val="24"/>
          <w:lang w:val="en-US"/>
        </w:rPr>
        <w:t>emerge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r w:rsidR="003119FF" w:rsidRPr="0050726A">
        <w:rPr>
          <w:rFonts w:asciiTheme="minorHAnsi" w:hAnsiTheme="minorHAnsi" w:cs="Calibri"/>
          <w:sz w:val="24"/>
          <w:szCs w:val="24"/>
          <w:lang w:val="en-US"/>
        </w:rPr>
        <w:t xml:space="preserve">experience suggests that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many </w:t>
      </w:r>
      <w:r w:rsidR="003119FF" w:rsidRPr="0050726A">
        <w:rPr>
          <w:rFonts w:asciiTheme="minorHAnsi" w:hAnsiTheme="minorHAnsi" w:cs="Calibri"/>
          <w:sz w:val="24"/>
          <w:szCs w:val="24"/>
          <w:lang w:val="en-US"/>
        </w:rPr>
        <w:t xml:space="preserve">quickly and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>quietly “sink”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81</w:t>
      </w:r>
      <w:r w:rsidR="00A11177" w:rsidRPr="0050726A">
        <w:rPr>
          <w:rFonts w:asciiTheme="minorHAnsi" w:hAnsiTheme="minorHAnsi" w:cs="Calibri"/>
          <w:sz w:val="24"/>
          <w:szCs w:val="24"/>
          <w:lang w:val="en-US"/>
        </w:rPr>
        <w:t>,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561217" w:rsidRPr="0050726A">
        <w:rPr>
          <w:rFonts w:asciiTheme="minorHAnsi" w:hAnsiTheme="minorHAnsi" w:cs="Calibri"/>
          <w:sz w:val="24"/>
          <w:szCs w:val="24"/>
          <w:lang w:val="en-US"/>
        </w:rPr>
        <w:t>particularly when state</w:t>
      </w:r>
      <w:r w:rsidR="005513F1" w:rsidRPr="0050726A">
        <w:rPr>
          <w:rFonts w:asciiTheme="minorHAnsi" w:hAnsiTheme="minorHAnsi" w:cs="Calibri"/>
          <w:sz w:val="24"/>
          <w:szCs w:val="24"/>
          <w:lang w:val="en-US"/>
        </w:rPr>
        <w:t>s</w:t>
      </w:r>
      <w:r w:rsidR="00561217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5513F1" w:rsidRPr="0050726A">
        <w:rPr>
          <w:rFonts w:asciiTheme="minorHAnsi" w:hAnsiTheme="minorHAnsi" w:cs="Calibri"/>
          <w:sz w:val="24"/>
          <w:szCs w:val="24"/>
          <w:lang w:val="en-US"/>
        </w:rPr>
        <w:t xml:space="preserve">withdraw </w:t>
      </w:r>
      <w:r w:rsidR="00561217" w:rsidRPr="0050726A">
        <w:rPr>
          <w:rFonts w:asciiTheme="minorHAnsi" w:hAnsiTheme="minorHAnsi" w:cs="Calibri"/>
          <w:sz w:val="24"/>
          <w:szCs w:val="24"/>
          <w:lang w:val="en-US"/>
        </w:rPr>
        <w:t>support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>.</w:t>
      </w:r>
      <w:r w:rsidR="00A70E5B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Many of the </w:t>
      </w:r>
      <w:r w:rsidR="00E916D5" w:rsidRPr="0050726A">
        <w:rPr>
          <w:rFonts w:asciiTheme="minorHAnsi" w:hAnsiTheme="minorHAnsi" w:cs="Calibri"/>
          <w:sz w:val="24"/>
          <w:szCs w:val="24"/>
          <w:lang w:val="en-US"/>
        </w:rPr>
        <w:t xml:space="preserve">public-private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partnerships adopted at the </w:t>
      </w:r>
      <w:r w:rsidR="00E916D5" w:rsidRPr="0050726A">
        <w:rPr>
          <w:rFonts w:asciiTheme="minorHAnsi" w:hAnsiTheme="minorHAnsi" w:cs="Calibri"/>
          <w:sz w:val="24"/>
          <w:szCs w:val="24"/>
          <w:lang w:val="en-US"/>
        </w:rPr>
        <w:t xml:space="preserve">Johannesburg World Summit on </w:t>
      </w:r>
      <w:r w:rsidR="00E916D5" w:rsidRPr="0050726A">
        <w:rPr>
          <w:rFonts w:asciiTheme="minorHAnsi" w:hAnsiTheme="minorHAnsi" w:cs="Calibri"/>
          <w:sz w:val="24"/>
          <w:szCs w:val="24"/>
          <w:lang w:val="en-US"/>
        </w:rPr>
        <w:lastRenderedPageBreak/>
        <w:t xml:space="preserve">Sustainable Development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>in 2002 have suffered this fate.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82</w:t>
      </w:r>
      <w:r w:rsidR="003119FF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9729A9" w:rsidRPr="0050726A">
        <w:rPr>
          <w:rFonts w:asciiTheme="minorHAnsi" w:hAnsiTheme="minorHAnsi" w:cs="Calibri"/>
          <w:sz w:val="24"/>
          <w:szCs w:val="24"/>
          <w:lang w:val="en-US"/>
        </w:rPr>
        <w:t>New w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>ork on the lives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83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 of national policies</w:t>
      </w:r>
      <w:r w:rsidR="00E22138" w:rsidRPr="0050726A">
        <w:rPr>
          <w:rFonts w:asciiTheme="minorHAnsi" w:hAnsiTheme="minorHAnsi" w:cs="Calibri"/>
          <w:sz w:val="24"/>
          <w:szCs w:val="24"/>
          <w:lang w:val="en-US"/>
        </w:rPr>
        <w:t>, which could be extended to the transnational domain,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 xml:space="preserve"> is shedding light on their perilous existence.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84</w:t>
      </w:r>
      <w:r w:rsidR="00A70E5B" w:rsidRPr="0050726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Pr="0050726A">
        <w:rPr>
          <w:rFonts w:asciiTheme="minorHAnsi" w:hAnsiTheme="minorHAnsi" w:cs="Calibri"/>
          <w:sz w:val="24"/>
          <w:szCs w:val="24"/>
          <w:lang w:val="en-US"/>
        </w:rPr>
        <w:t>B</w:t>
      </w:r>
      <w:r w:rsidR="00D52B7F" w:rsidRPr="0050726A">
        <w:rPr>
          <w:rFonts w:asciiTheme="minorHAnsi" w:hAnsiTheme="minorHAnsi"/>
          <w:sz w:val="24"/>
          <w:szCs w:val="24"/>
        </w:rPr>
        <w:t>iesenbender and Tosun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85</w:t>
      </w:r>
      <w:r w:rsidRPr="0050726A">
        <w:rPr>
          <w:rFonts w:asciiTheme="minorHAnsi" w:hAnsiTheme="minorHAnsi"/>
          <w:sz w:val="24"/>
          <w:szCs w:val="24"/>
        </w:rPr>
        <w:t xml:space="preserve"> have revealed that </w:t>
      </w:r>
      <w:r w:rsidR="005513F1" w:rsidRPr="0050726A">
        <w:rPr>
          <w:rFonts w:asciiTheme="minorHAnsi" w:hAnsiTheme="minorHAnsi"/>
          <w:sz w:val="24"/>
          <w:szCs w:val="24"/>
        </w:rPr>
        <w:t xml:space="preserve">national interest groups dominate </w:t>
      </w:r>
      <w:r w:rsidRPr="0050726A">
        <w:rPr>
          <w:rFonts w:asciiTheme="minorHAnsi" w:hAnsiTheme="minorHAnsi"/>
          <w:sz w:val="24"/>
          <w:szCs w:val="24"/>
        </w:rPr>
        <w:t>post-adoption process</w:t>
      </w:r>
      <w:r w:rsidR="00E22138" w:rsidRPr="0050726A">
        <w:rPr>
          <w:rFonts w:asciiTheme="minorHAnsi" w:hAnsiTheme="minorHAnsi"/>
          <w:sz w:val="24"/>
          <w:szCs w:val="24"/>
        </w:rPr>
        <w:t>es</w:t>
      </w:r>
      <w:r w:rsidRPr="0050726A">
        <w:rPr>
          <w:rFonts w:asciiTheme="minorHAnsi" w:hAnsiTheme="minorHAnsi"/>
          <w:sz w:val="24"/>
          <w:szCs w:val="24"/>
        </w:rPr>
        <w:t xml:space="preserve"> by exerting </w:t>
      </w:r>
      <w:r w:rsidRPr="0050726A">
        <w:rPr>
          <w:rFonts w:asciiTheme="minorHAnsi" w:hAnsiTheme="minorHAnsi"/>
          <w:i/>
          <w:sz w:val="24"/>
          <w:szCs w:val="24"/>
        </w:rPr>
        <w:t>downward</w:t>
      </w:r>
      <w:r w:rsidRPr="0050726A">
        <w:rPr>
          <w:rFonts w:asciiTheme="minorHAnsi" w:hAnsiTheme="minorHAnsi"/>
          <w:sz w:val="24"/>
          <w:szCs w:val="24"/>
        </w:rPr>
        <w:t xml:space="preserve"> pressure on </w:t>
      </w:r>
      <w:r w:rsidR="000863CF" w:rsidRPr="0050726A">
        <w:rPr>
          <w:rFonts w:asciiTheme="minorHAnsi" w:hAnsiTheme="minorHAnsi"/>
          <w:sz w:val="24"/>
          <w:szCs w:val="24"/>
        </w:rPr>
        <w:t xml:space="preserve">policy </w:t>
      </w:r>
      <w:r w:rsidRPr="0050726A">
        <w:rPr>
          <w:rFonts w:asciiTheme="minorHAnsi" w:hAnsiTheme="minorHAnsi"/>
          <w:sz w:val="24"/>
          <w:szCs w:val="24"/>
        </w:rPr>
        <w:t xml:space="preserve">standards. States </w:t>
      </w:r>
      <w:r w:rsidR="00F04AD9" w:rsidRPr="0050726A">
        <w:rPr>
          <w:rFonts w:asciiTheme="minorHAnsi" w:hAnsiTheme="minorHAnsi"/>
          <w:sz w:val="24"/>
          <w:szCs w:val="24"/>
        </w:rPr>
        <w:t xml:space="preserve">tend to </w:t>
      </w:r>
      <w:r w:rsidRPr="0050726A">
        <w:rPr>
          <w:rFonts w:asciiTheme="minorHAnsi" w:hAnsiTheme="minorHAnsi"/>
          <w:sz w:val="24"/>
          <w:szCs w:val="24"/>
        </w:rPr>
        <w:t xml:space="preserve">respond to pressure from </w:t>
      </w:r>
      <w:r w:rsidR="000863CF" w:rsidRPr="0050726A">
        <w:rPr>
          <w:rFonts w:asciiTheme="minorHAnsi" w:hAnsiTheme="minorHAnsi"/>
          <w:sz w:val="24"/>
          <w:szCs w:val="24"/>
        </w:rPr>
        <w:t xml:space="preserve">domestic </w:t>
      </w:r>
      <w:r w:rsidRPr="0050726A">
        <w:rPr>
          <w:rFonts w:asciiTheme="minorHAnsi" w:hAnsiTheme="minorHAnsi"/>
          <w:sz w:val="24"/>
          <w:szCs w:val="24"/>
        </w:rPr>
        <w:t xml:space="preserve">interest groups by quietly pulling back from an international norm, rather than </w:t>
      </w:r>
      <w:r w:rsidR="009729A9" w:rsidRPr="0050726A">
        <w:rPr>
          <w:rFonts w:asciiTheme="minorHAnsi" w:hAnsiTheme="minorHAnsi"/>
          <w:sz w:val="24"/>
          <w:szCs w:val="24"/>
        </w:rPr>
        <w:t xml:space="preserve">openly </w:t>
      </w:r>
      <w:r w:rsidR="000863CF" w:rsidRPr="0050726A">
        <w:rPr>
          <w:rFonts w:asciiTheme="minorHAnsi" w:hAnsiTheme="minorHAnsi"/>
          <w:sz w:val="24"/>
          <w:szCs w:val="24"/>
        </w:rPr>
        <w:t>withdrawing from it</w:t>
      </w:r>
      <w:r w:rsidRPr="0050726A">
        <w:rPr>
          <w:rFonts w:asciiTheme="minorHAnsi" w:hAnsiTheme="minorHAnsi"/>
          <w:sz w:val="24"/>
          <w:szCs w:val="24"/>
        </w:rPr>
        <w:t>.</w:t>
      </w:r>
    </w:p>
    <w:p w14:paraId="50E34ABD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3AB71A1D" w14:textId="4CD38262" w:rsidR="00AE009F" w:rsidRPr="0050726A" w:rsidRDefault="004742BE" w:rsidP="00A11177">
      <w:pPr>
        <w:spacing w:line="480" w:lineRule="auto"/>
        <w:ind w:right="-330"/>
        <w:jc w:val="both"/>
        <w:rPr>
          <w:rFonts w:asciiTheme="minorHAnsi" w:hAnsiTheme="minorHAnsi" w:cs="Calibri"/>
          <w:sz w:val="24"/>
          <w:szCs w:val="24"/>
          <w:lang w:val="en-US"/>
        </w:rPr>
      </w:pPr>
      <w:r w:rsidRPr="0050726A">
        <w:rPr>
          <w:rFonts w:asciiTheme="minorHAnsi" w:hAnsiTheme="minorHAnsi"/>
          <w:sz w:val="24"/>
          <w:szCs w:val="24"/>
        </w:rPr>
        <w:t xml:space="preserve">Although </w:t>
      </w:r>
      <w:r w:rsidR="009729A9" w:rsidRPr="0050726A">
        <w:rPr>
          <w:rFonts w:asciiTheme="minorHAnsi" w:hAnsiTheme="minorHAnsi"/>
          <w:sz w:val="24"/>
          <w:szCs w:val="24"/>
        </w:rPr>
        <w:t xml:space="preserve">much </w:t>
      </w:r>
      <w:r w:rsidRPr="0050726A">
        <w:rPr>
          <w:rFonts w:asciiTheme="minorHAnsi" w:hAnsiTheme="minorHAnsi"/>
          <w:sz w:val="24"/>
          <w:szCs w:val="24"/>
        </w:rPr>
        <w:t xml:space="preserve">more work on performance is </w:t>
      </w:r>
      <w:r w:rsidR="009729A9" w:rsidRPr="0050726A">
        <w:rPr>
          <w:rFonts w:asciiTheme="minorHAnsi" w:hAnsiTheme="minorHAnsi"/>
          <w:sz w:val="24"/>
          <w:szCs w:val="24"/>
        </w:rPr>
        <w:t>required</w:t>
      </w:r>
      <w:r w:rsidRPr="0050726A">
        <w:rPr>
          <w:rFonts w:asciiTheme="minorHAnsi" w:hAnsiTheme="minorHAnsi"/>
          <w:sz w:val="24"/>
          <w:szCs w:val="24"/>
        </w:rPr>
        <w:t xml:space="preserve">, three </w:t>
      </w:r>
      <w:r w:rsidR="009729A9" w:rsidRPr="0050726A">
        <w:rPr>
          <w:rFonts w:asciiTheme="minorHAnsi" w:hAnsiTheme="minorHAnsi"/>
          <w:sz w:val="24"/>
          <w:szCs w:val="24"/>
        </w:rPr>
        <w:t xml:space="preserve">important things </w:t>
      </w:r>
      <w:r w:rsidRPr="0050726A">
        <w:rPr>
          <w:rFonts w:asciiTheme="minorHAnsi" w:hAnsiTheme="minorHAnsi"/>
          <w:sz w:val="24"/>
          <w:szCs w:val="24"/>
        </w:rPr>
        <w:t xml:space="preserve">are already </w:t>
      </w:r>
      <w:r w:rsidR="009729A9" w:rsidRPr="0050726A">
        <w:rPr>
          <w:rFonts w:asciiTheme="minorHAnsi" w:hAnsiTheme="minorHAnsi"/>
          <w:sz w:val="24"/>
          <w:szCs w:val="24"/>
        </w:rPr>
        <w:t>known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First, </w:t>
      </w:r>
      <w:r w:rsidRPr="0050726A">
        <w:rPr>
          <w:rFonts w:asciiTheme="minorHAnsi" w:hAnsiTheme="minorHAnsi"/>
          <w:sz w:val="24"/>
          <w:szCs w:val="24"/>
        </w:rPr>
        <w:t xml:space="preserve">the </w:t>
      </w:r>
      <w:r w:rsidR="00AE009F" w:rsidRPr="0050726A">
        <w:rPr>
          <w:rFonts w:asciiTheme="minorHAnsi" w:hAnsiTheme="minorHAnsi"/>
          <w:sz w:val="24"/>
          <w:szCs w:val="24"/>
        </w:rPr>
        <w:t xml:space="preserve">‘new’ forms of governance </w:t>
      </w:r>
      <w:r w:rsidR="00F15FF2" w:rsidRPr="0050726A">
        <w:rPr>
          <w:rFonts w:asciiTheme="minorHAnsi" w:hAnsiTheme="minorHAnsi"/>
          <w:sz w:val="24"/>
          <w:szCs w:val="24"/>
        </w:rPr>
        <w:t xml:space="preserve">evidently </w:t>
      </w:r>
      <w:r w:rsidR="00AA78AB" w:rsidRPr="0050726A">
        <w:rPr>
          <w:rFonts w:asciiTheme="minorHAnsi" w:hAnsiTheme="minorHAnsi"/>
          <w:sz w:val="24"/>
          <w:szCs w:val="24"/>
        </w:rPr>
        <w:t>have weaknesses and hence are not without risk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A78AB" w:rsidRPr="0050726A">
        <w:rPr>
          <w:rFonts w:asciiTheme="minorHAnsi" w:hAnsiTheme="minorHAnsi"/>
          <w:sz w:val="24"/>
          <w:szCs w:val="24"/>
        </w:rPr>
        <w:t>By the same token, a</w:t>
      </w:r>
      <w:r w:rsidR="00AE009F" w:rsidRPr="0050726A">
        <w:rPr>
          <w:rFonts w:asciiTheme="minorHAnsi" w:hAnsiTheme="minorHAnsi"/>
          <w:sz w:val="24"/>
          <w:szCs w:val="24"/>
        </w:rPr>
        <w:t>lthough there remain huge gaps in understanding precisely what works</w:t>
      </w:r>
      <w:r w:rsidR="00C71DA7" w:rsidRPr="0050726A">
        <w:rPr>
          <w:rFonts w:asciiTheme="minorHAnsi" w:hAnsiTheme="minorHAnsi"/>
          <w:sz w:val="24"/>
          <w:szCs w:val="24"/>
        </w:rPr>
        <w:t xml:space="preserve">, polycentric governance is </w:t>
      </w:r>
      <w:r w:rsidR="00AA78AB" w:rsidRPr="0050726A">
        <w:rPr>
          <w:rFonts w:asciiTheme="minorHAnsi" w:hAnsiTheme="minorHAnsi"/>
          <w:sz w:val="24"/>
          <w:szCs w:val="24"/>
        </w:rPr>
        <w:t xml:space="preserve">unlikely to be </w:t>
      </w:r>
      <w:r w:rsidR="00C71DA7" w:rsidRPr="0050726A">
        <w:rPr>
          <w:rFonts w:asciiTheme="minorHAnsi" w:hAnsiTheme="minorHAnsi"/>
          <w:sz w:val="24"/>
          <w:szCs w:val="24"/>
        </w:rPr>
        <w:t>a panacea.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86</w:t>
      </w:r>
      <w:r w:rsidR="00C71DA7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Second, </w:t>
      </w:r>
      <w:r w:rsidR="002D7FA0" w:rsidRPr="0050726A">
        <w:rPr>
          <w:rFonts w:asciiTheme="minorHAnsi" w:hAnsiTheme="minorHAnsi"/>
          <w:sz w:val="24"/>
          <w:szCs w:val="24"/>
        </w:rPr>
        <w:t xml:space="preserve">performance </w:t>
      </w:r>
      <w:r w:rsidR="00AE009F" w:rsidRPr="0050726A">
        <w:rPr>
          <w:rFonts w:asciiTheme="minorHAnsi" w:hAnsiTheme="minorHAnsi"/>
          <w:sz w:val="24"/>
          <w:szCs w:val="24"/>
        </w:rPr>
        <w:t>e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valuation</w:t>
      </w:r>
      <w:r w:rsidR="002D7FA0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B96B8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appears not to </w:t>
      </w:r>
      <w:r w:rsidR="007125D6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self-organise </w:t>
      </w:r>
      <w:r w:rsidR="00413EBE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as easily </w:t>
      </w:r>
      <w:r w:rsidR="007125D6" w:rsidRPr="0050726A">
        <w:rPr>
          <w:rFonts w:asciiTheme="minorHAnsi" w:hAnsiTheme="minorHAnsi" w:cs="AdvOT5843c571"/>
          <w:color w:val="000000"/>
          <w:sz w:val="24"/>
          <w:szCs w:val="24"/>
        </w:rPr>
        <w:t>from the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bottom up</w:t>
      </w:r>
      <w:r w:rsidR="004969F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as Ostrom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>claimed</w:t>
      </w:r>
      <w:r w:rsidR="004969F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it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>would</w:t>
      </w:r>
      <w:r w:rsidR="004969F8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87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2D7FA0" w:rsidRPr="0050726A">
        <w:rPr>
          <w:rFonts w:asciiTheme="minorHAnsi" w:hAnsiTheme="minorHAnsi" w:cs="AdvOT5843c571"/>
          <w:color w:val="000000"/>
          <w:sz w:val="24"/>
          <w:szCs w:val="24"/>
        </w:rPr>
        <w:t>Indeed</w:t>
      </w:r>
      <w:r w:rsidR="00E916D5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2D7FA0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o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ne of the largest </w:t>
      </w:r>
      <w:r w:rsidR="00AE009F" w:rsidRPr="0050726A">
        <w:rPr>
          <w:rFonts w:asciiTheme="minorHAnsi" w:hAnsiTheme="minorHAnsi"/>
          <w:sz w:val="24"/>
          <w:szCs w:val="24"/>
        </w:rPr>
        <w:t xml:space="preserve">meta-analyses </w:t>
      </w:r>
      <w:r w:rsidR="00C679D0" w:rsidRPr="0050726A">
        <w:rPr>
          <w:rFonts w:asciiTheme="minorHAnsi" w:hAnsiTheme="minorHAnsi"/>
          <w:sz w:val="24"/>
          <w:szCs w:val="24"/>
        </w:rPr>
        <w:t>of climate policy evaluation</w:t>
      </w:r>
      <w:r w:rsidR="00CD1EEE" w:rsidRPr="0050726A">
        <w:rPr>
          <w:rFonts w:asciiTheme="minorHAnsi" w:hAnsiTheme="minorHAnsi"/>
          <w:sz w:val="24"/>
          <w:szCs w:val="24"/>
        </w:rPr>
        <w:t>s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77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suggest</w:t>
      </w:r>
      <w:r w:rsidR="005F77BA" w:rsidRPr="0050726A">
        <w:rPr>
          <w:rFonts w:asciiTheme="minorHAnsi" w:hAnsiTheme="minorHAnsi"/>
          <w:sz w:val="24"/>
          <w:szCs w:val="24"/>
        </w:rPr>
        <w:t>s</w:t>
      </w:r>
      <w:r w:rsidR="00AE009F" w:rsidRPr="0050726A">
        <w:rPr>
          <w:rFonts w:asciiTheme="minorHAnsi" w:hAnsiTheme="minorHAnsi"/>
          <w:sz w:val="24"/>
          <w:szCs w:val="24"/>
        </w:rPr>
        <w:t xml:space="preserve"> that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non-state actors</w:t>
      </w:r>
      <w:r w:rsidR="00BE56B5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such as academics and consultants</w:t>
      </w:r>
      <w:r w:rsidR="00BE56B5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are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unwilling and/or unable to fill in the resulting gaps</w:t>
      </w:r>
      <w:r w:rsidR="00BE5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D54259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in </w:t>
      </w:r>
      <w:r w:rsidR="009729A9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baseline </w:t>
      </w:r>
      <w:r w:rsidR="00D54259" w:rsidRPr="0050726A">
        <w:rPr>
          <w:rFonts w:asciiTheme="minorHAnsi" w:hAnsiTheme="minorHAnsi" w:cs="AdvOT5843c571"/>
          <w:color w:val="000000"/>
          <w:sz w:val="24"/>
          <w:szCs w:val="24"/>
        </w:rPr>
        <w:t>evaluation that polycentric theory assumes states will deliver</w:t>
      </w:r>
      <w:r w:rsidR="005F77B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. Their reluctance is especially marked in relation to the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more reflexive types </w:t>
      </w:r>
      <w:r w:rsidR="005F77B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of evaluation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that </w:t>
      </w:r>
      <w:r w:rsidR="00F15FF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challenge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extant policy goals.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88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Third, the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three </w:t>
      </w:r>
      <w:r w:rsidR="00D54259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domains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of governing are </w:t>
      </w:r>
      <w:r w:rsidR="00D54259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much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more interdependent than was originally foreseen.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Moreover, if </w:t>
      </w:r>
      <w:r w:rsidR="00AE009F" w:rsidRPr="0050726A">
        <w:rPr>
          <w:rFonts w:asciiTheme="minorHAnsi" w:hAnsiTheme="minorHAnsi" w:cs="Calibri"/>
          <w:sz w:val="24"/>
          <w:szCs w:val="24"/>
          <w:lang w:val="en-US"/>
        </w:rPr>
        <w:t>B</w:t>
      </w:r>
      <w:r w:rsidR="00AE009F" w:rsidRPr="0050726A">
        <w:rPr>
          <w:rFonts w:asciiTheme="minorHAnsi" w:hAnsiTheme="minorHAnsi"/>
          <w:sz w:val="24"/>
          <w:szCs w:val="24"/>
        </w:rPr>
        <w:t>iesenbender and Tosun</w:t>
      </w:r>
      <w:r w:rsidR="009729A9" w:rsidRPr="0050726A">
        <w:rPr>
          <w:rFonts w:asciiTheme="minorHAnsi" w:hAnsiTheme="minorHAnsi"/>
          <w:sz w:val="24"/>
          <w:szCs w:val="24"/>
        </w:rPr>
        <w:t xml:space="preserve">’s </w:t>
      </w:r>
      <w:r w:rsidR="00F73E67" w:rsidRPr="0050726A">
        <w:rPr>
          <w:rFonts w:asciiTheme="minorHAnsi" w:hAnsiTheme="minorHAnsi"/>
          <w:sz w:val="24"/>
          <w:szCs w:val="24"/>
        </w:rPr>
        <w:t xml:space="preserve">argument </w:t>
      </w:r>
      <w:r w:rsidR="003268B6" w:rsidRPr="0050726A">
        <w:rPr>
          <w:rFonts w:asciiTheme="minorHAnsi" w:hAnsiTheme="minorHAnsi"/>
          <w:sz w:val="24"/>
          <w:szCs w:val="24"/>
        </w:rPr>
        <w:t xml:space="preserve">about states preferring to </w:t>
      </w:r>
      <w:r w:rsidR="00F73E67" w:rsidRPr="0050726A">
        <w:rPr>
          <w:rFonts w:asciiTheme="minorHAnsi" w:hAnsiTheme="minorHAnsi"/>
          <w:sz w:val="24"/>
          <w:szCs w:val="24"/>
        </w:rPr>
        <w:t>quietly pull back from international norm</w:t>
      </w:r>
      <w:r w:rsidR="003268B6" w:rsidRPr="0050726A">
        <w:rPr>
          <w:rFonts w:asciiTheme="minorHAnsi" w:hAnsiTheme="minorHAnsi"/>
          <w:sz w:val="24"/>
          <w:szCs w:val="24"/>
        </w:rPr>
        <w:t xml:space="preserve">s is </w:t>
      </w:r>
      <w:r w:rsidR="00D975E1" w:rsidRPr="0050726A">
        <w:rPr>
          <w:rFonts w:asciiTheme="minorHAnsi" w:hAnsiTheme="minorHAnsi"/>
          <w:sz w:val="24"/>
          <w:szCs w:val="24"/>
        </w:rPr>
        <w:t>correct</w:t>
      </w:r>
      <w:r w:rsidR="009729A9" w:rsidRPr="0050726A">
        <w:rPr>
          <w:rFonts w:asciiTheme="minorHAnsi" w:hAnsiTheme="minorHAnsi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85</w:t>
      </w:r>
      <w:r w:rsidR="00AE009F" w:rsidRPr="0050726A">
        <w:rPr>
          <w:rFonts w:asciiTheme="minorHAnsi" w:hAnsiTheme="minorHAnsi"/>
          <w:sz w:val="24"/>
          <w:szCs w:val="24"/>
        </w:rPr>
        <w:t xml:space="preserve"> </w:t>
      </w:r>
      <w:r w:rsidR="009729A9" w:rsidRPr="0050726A">
        <w:rPr>
          <w:rFonts w:asciiTheme="minorHAnsi" w:hAnsiTheme="minorHAnsi"/>
          <w:sz w:val="24"/>
          <w:szCs w:val="24"/>
        </w:rPr>
        <w:t xml:space="preserve">national </w:t>
      </w:r>
      <w:r w:rsidR="002D7FA0" w:rsidRPr="0050726A">
        <w:rPr>
          <w:rFonts w:asciiTheme="minorHAnsi" w:hAnsiTheme="minorHAnsi"/>
          <w:sz w:val="24"/>
          <w:szCs w:val="24"/>
        </w:rPr>
        <w:t>p</w:t>
      </w:r>
      <w:r w:rsidRPr="0050726A">
        <w:rPr>
          <w:rFonts w:asciiTheme="minorHAnsi" w:hAnsiTheme="minorHAnsi"/>
          <w:sz w:val="24"/>
          <w:szCs w:val="24"/>
        </w:rPr>
        <w:t xml:space="preserve">oliticians </w:t>
      </w:r>
      <w:r w:rsidR="003268B6" w:rsidRPr="0050726A">
        <w:rPr>
          <w:rFonts w:asciiTheme="minorHAnsi" w:hAnsiTheme="minorHAnsi"/>
          <w:sz w:val="24"/>
          <w:szCs w:val="24"/>
        </w:rPr>
        <w:t xml:space="preserve">looking for a window of opportunity to engage in </w:t>
      </w:r>
      <w:r w:rsidR="009729A9" w:rsidRPr="0050726A">
        <w:rPr>
          <w:rFonts w:asciiTheme="minorHAnsi" w:hAnsiTheme="minorHAnsi"/>
          <w:sz w:val="24"/>
          <w:szCs w:val="24"/>
        </w:rPr>
        <w:t xml:space="preserve">national </w:t>
      </w:r>
      <w:r w:rsidR="003268B6" w:rsidRPr="0050726A">
        <w:rPr>
          <w:rFonts w:asciiTheme="minorHAnsi" w:hAnsiTheme="minorHAnsi"/>
          <w:sz w:val="24"/>
          <w:szCs w:val="24"/>
        </w:rPr>
        <w:t xml:space="preserve">policy innovation could be </w:t>
      </w:r>
      <w:r w:rsidR="00D54259" w:rsidRPr="0050726A">
        <w:rPr>
          <w:rFonts w:asciiTheme="minorHAnsi" w:hAnsiTheme="minorHAnsi"/>
          <w:sz w:val="24"/>
          <w:szCs w:val="24"/>
        </w:rPr>
        <w:t xml:space="preserve">condemned </w:t>
      </w:r>
      <w:r w:rsidR="002D7FA0" w:rsidRPr="0050726A">
        <w:rPr>
          <w:rFonts w:asciiTheme="minorHAnsi" w:hAnsiTheme="minorHAnsi"/>
          <w:sz w:val="24"/>
          <w:szCs w:val="24"/>
        </w:rPr>
        <w:t xml:space="preserve">to </w:t>
      </w:r>
      <w:r w:rsidR="00AE009F" w:rsidRPr="0050726A">
        <w:rPr>
          <w:rFonts w:asciiTheme="minorHAnsi" w:hAnsiTheme="minorHAnsi"/>
          <w:sz w:val="24"/>
          <w:szCs w:val="24"/>
        </w:rPr>
        <w:t xml:space="preserve">wait </w:t>
      </w:r>
      <w:r w:rsidR="002D7FA0" w:rsidRPr="0050726A">
        <w:rPr>
          <w:rFonts w:asciiTheme="minorHAnsi" w:hAnsiTheme="minorHAnsi"/>
          <w:sz w:val="24"/>
          <w:szCs w:val="24"/>
        </w:rPr>
        <w:t xml:space="preserve">for the next cycle of </w:t>
      </w:r>
      <w:r w:rsidR="00AE009F" w:rsidRPr="0050726A">
        <w:rPr>
          <w:rFonts w:asciiTheme="minorHAnsi" w:hAnsiTheme="minorHAnsi"/>
          <w:sz w:val="24"/>
          <w:szCs w:val="24"/>
        </w:rPr>
        <w:t xml:space="preserve">international </w:t>
      </w:r>
      <w:r w:rsidR="00A11177" w:rsidRPr="0050726A">
        <w:rPr>
          <w:rFonts w:asciiTheme="minorHAnsi" w:hAnsiTheme="minorHAnsi"/>
          <w:sz w:val="24"/>
          <w:szCs w:val="24"/>
        </w:rPr>
        <w:t xml:space="preserve">negotiation </w:t>
      </w:r>
      <w:r w:rsidR="002D7FA0" w:rsidRPr="0050726A">
        <w:rPr>
          <w:rFonts w:asciiTheme="minorHAnsi" w:hAnsiTheme="minorHAnsi"/>
          <w:sz w:val="24"/>
          <w:szCs w:val="24"/>
        </w:rPr>
        <w:t xml:space="preserve">to </w:t>
      </w:r>
      <w:r w:rsidR="00D54259" w:rsidRPr="0050726A">
        <w:rPr>
          <w:rFonts w:asciiTheme="minorHAnsi" w:hAnsiTheme="minorHAnsi"/>
          <w:sz w:val="24"/>
          <w:szCs w:val="24"/>
        </w:rPr>
        <w:t>(</w:t>
      </w:r>
      <w:r w:rsidR="002D7FA0" w:rsidRPr="0050726A">
        <w:rPr>
          <w:rFonts w:asciiTheme="minorHAnsi" w:hAnsiTheme="minorHAnsi"/>
          <w:sz w:val="24"/>
          <w:szCs w:val="24"/>
        </w:rPr>
        <w:t>slowly</w:t>
      </w:r>
      <w:r w:rsidR="00D54259" w:rsidRPr="0050726A">
        <w:rPr>
          <w:rFonts w:asciiTheme="minorHAnsi" w:hAnsiTheme="minorHAnsi"/>
          <w:sz w:val="24"/>
          <w:szCs w:val="24"/>
        </w:rPr>
        <w:t>)</w:t>
      </w:r>
      <w:r w:rsidR="002D7FA0" w:rsidRPr="0050726A">
        <w:rPr>
          <w:rFonts w:asciiTheme="minorHAnsi" w:hAnsiTheme="minorHAnsi"/>
          <w:sz w:val="24"/>
          <w:szCs w:val="24"/>
        </w:rPr>
        <w:t xml:space="preserve"> </w:t>
      </w:r>
      <w:r w:rsidR="00A11177" w:rsidRPr="0050726A">
        <w:rPr>
          <w:rFonts w:asciiTheme="minorHAnsi" w:hAnsiTheme="minorHAnsi"/>
          <w:sz w:val="24"/>
          <w:szCs w:val="24"/>
        </w:rPr>
        <w:t>reach agreement</w:t>
      </w:r>
      <w:r w:rsidR="00AE009F" w:rsidRPr="0050726A">
        <w:rPr>
          <w:rFonts w:asciiTheme="minorHAnsi" w:hAnsiTheme="minorHAnsi"/>
          <w:sz w:val="24"/>
          <w:szCs w:val="24"/>
        </w:rPr>
        <w:t>.</w:t>
      </w:r>
    </w:p>
    <w:p w14:paraId="1D71A221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14:paraId="2B658C6E" w14:textId="52A4866D" w:rsidR="00AE009F" w:rsidRPr="0050726A" w:rsidRDefault="00E664EE" w:rsidP="00716462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Moving forwards</w:t>
      </w:r>
    </w:p>
    <w:p w14:paraId="71C91387" w14:textId="4C82F535" w:rsidR="00AE009F" w:rsidRPr="0050726A" w:rsidRDefault="004742BE" w:rsidP="00A11177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  <w:lang w:val="en-CA"/>
        </w:rPr>
      </w:pPr>
      <w:r w:rsidRPr="0050726A">
        <w:rPr>
          <w:rFonts w:asciiTheme="minorHAnsi" w:hAnsiTheme="minorHAnsi"/>
          <w:sz w:val="24"/>
          <w:szCs w:val="24"/>
          <w:lang w:val="en-CA"/>
        </w:rPr>
        <w:lastRenderedPageBreak/>
        <w:t xml:space="preserve">We have shown that 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 xml:space="preserve">each </w:t>
      </w:r>
      <w:r w:rsidR="00CE57D2" w:rsidRPr="0050726A">
        <w:rPr>
          <w:rFonts w:asciiTheme="minorHAnsi" w:hAnsiTheme="minorHAnsi"/>
          <w:sz w:val="24"/>
          <w:szCs w:val="24"/>
          <w:lang w:val="en-CA"/>
        </w:rPr>
        <w:t xml:space="preserve">governance 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 xml:space="preserve">domain has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attracted 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 xml:space="preserve">its own strand of scholarship.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Much research effort has </w:t>
      </w:r>
      <w:r w:rsidR="00D55C7A" w:rsidRPr="0050726A">
        <w:rPr>
          <w:rFonts w:asciiTheme="minorHAnsi" w:hAnsiTheme="minorHAnsi"/>
          <w:sz w:val="24"/>
          <w:szCs w:val="24"/>
          <w:lang w:val="en-CA"/>
        </w:rPr>
        <w:t>–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 rightly in our view – been invested by each strand into mapping the expanding universe of cases </w:t>
      </w:r>
      <w:r w:rsidRPr="0050726A">
        <w:rPr>
          <w:rFonts w:asciiTheme="minorHAnsi" w:hAnsiTheme="minorHAnsi"/>
          <w:sz w:val="24"/>
          <w:szCs w:val="24"/>
          <w:lang w:val="en-CA"/>
        </w:rPr>
        <w:t>with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>in each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>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>T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his activity has confirmed that </w:t>
      </w:r>
      <w:r w:rsidR="00D55C7A" w:rsidRPr="0050726A">
        <w:rPr>
          <w:rFonts w:asciiTheme="minorHAnsi" w:hAnsiTheme="minorHAnsi"/>
          <w:sz w:val="24"/>
          <w:szCs w:val="24"/>
        </w:rPr>
        <w:t>much</w:t>
      </w:r>
      <w:r w:rsidR="00AE009F" w:rsidRPr="0050726A">
        <w:rPr>
          <w:rFonts w:asciiTheme="minorHAnsi" w:hAnsiTheme="minorHAnsi"/>
          <w:sz w:val="24"/>
          <w:szCs w:val="24"/>
        </w:rPr>
        <w:t xml:space="preserve"> of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the activity within 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>the transnational and (sub)national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 domain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>s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 is ‘new’</w:t>
      </w:r>
      <w:r w:rsidR="00413EBE" w:rsidRPr="0050726A">
        <w:rPr>
          <w:rFonts w:asciiTheme="minorHAnsi" w:hAnsiTheme="minorHAnsi"/>
          <w:sz w:val="24"/>
          <w:szCs w:val="24"/>
          <w:lang w:val="en-CA"/>
        </w:rPr>
        <w:t>,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 in that it dates from the mid</w:t>
      </w:r>
      <w:r w:rsidR="000E1577" w:rsidRPr="0050726A">
        <w:rPr>
          <w:rFonts w:asciiTheme="minorHAnsi" w:hAnsiTheme="minorHAnsi"/>
          <w:sz w:val="24"/>
          <w:szCs w:val="24"/>
          <w:lang w:val="en-CA"/>
        </w:rPr>
        <w:t>-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>2000s.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This inspires hope that climate governance </w:t>
      </w:r>
      <w:r w:rsidR="00AA7BFE" w:rsidRPr="0050726A">
        <w:rPr>
          <w:rFonts w:asciiTheme="minorHAnsi" w:hAnsiTheme="minorHAnsi"/>
          <w:i/>
          <w:sz w:val="24"/>
          <w:szCs w:val="24"/>
          <w:lang w:val="en-CA"/>
        </w:rPr>
        <w:t>in toto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is </w:t>
      </w:r>
      <w:r w:rsidR="00331A83" w:rsidRPr="0050726A">
        <w:rPr>
          <w:rFonts w:asciiTheme="minorHAnsi" w:hAnsiTheme="minorHAnsi"/>
          <w:sz w:val="24"/>
          <w:szCs w:val="24"/>
          <w:lang w:val="en-CA"/>
        </w:rPr>
        <w:t xml:space="preserve">more active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than </w:t>
      </w:r>
      <w:r w:rsidR="00AA7BFE" w:rsidRPr="0050726A">
        <w:rPr>
          <w:rFonts w:asciiTheme="minorHAnsi" w:hAnsiTheme="minorHAnsi"/>
          <w:sz w:val="24"/>
          <w:szCs w:val="24"/>
          <w:lang w:val="en-CA"/>
        </w:rPr>
        <w:t xml:space="preserve">critics </w:t>
      </w:r>
      <w:r w:rsidR="007A661C" w:rsidRPr="0050726A">
        <w:rPr>
          <w:rFonts w:asciiTheme="minorHAnsi" w:hAnsiTheme="minorHAnsi"/>
          <w:sz w:val="24"/>
          <w:szCs w:val="24"/>
          <w:lang w:val="en-CA"/>
        </w:rPr>
        <w:t xml:space="preserve">transfixed by </w:t>
      </w:r>
      <w:r w:rsidR="000E1577" w:rsidRPr="0050726A">
        <w:rPr>
          <w:rFonts w:asciiTheme="minorHAnsi" w:hAnsiTheme="minorHAnsi"/>
          <w:sz w:val="24"/>
          <w:szCs w:val="24"/>
          <w:lang w:val="en-CA"/>
        </w:rPr>
        <w:t>UNFCCC</w:t>
      </w:r>
      <w:r w:rsidR="00977187" w:rsidRPr="0050726A">
        <w:rPr>
          <w:rFonts w:asciiTheme="minorHAnsi" w:hAnsiTheme="minorHAnsi"/>
          <w:sz w:val="24"/>
          <w:szCs w:val="24"/>
          <w:lang w:val="en-CA"/>
        </w:rPr>
        <w:t>-</w:t>
      </w:r>
      <w:r w:rsidR="007A661C" w:rsidRPr="0050726A">
        <w:rPr>
          <w:rFonts w:asciiTheme="minorHAnsi" w:hAnsiTheme="minorHAnsi"/>
          <w:sz w:val="24"/>
          <w:szCs w:val="24"/>
          <w:lang w:val="en-CA"/>
        </w:rPr>
        <w:t>related meeting</w:t>
      </w:r>
      <w:r w:rsidR="0089769F" w:rsidRPr="0050726A">
        <w:rPr>
          <w:rFonts w:asciiTheme="minorHAnsi" w:hAnsiTheme="minorHAnsi"/>
          <w:sz w:val="24"/>
          <w:szCs w:val="24"/>
          <w:lang w:val="en-CA"/>
        </w:rPr>
        <w:t>s</w:t>
      </w:r>
      <w:r w:rsidR="007A661C" w:rsidRPr="0050726A">
        <w:rPr>
          <w:rFonts w:asciiTheme="minorHAnsi" w:hAnsiTheme="minorHAnsi"/>
          <w:sz w:val="24"/>
          <w:szCs w:val="24"/>
          <w:lang w:val="en-CA"/>
        </w:rPr>
        <w:t xml:space="preserve"> have assumed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>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  <w:lang w:val="en-CA"/>
        </w:rPr>
        <w:t xml:space="preserve">It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has also added empirical flesh to Ostrom’s claim that </w:t>
      </w:r>
      <w:r w:rsidR="00AE009F" w:rsidRPr="0050726A">
        <w:rPr>
          <w:rFonts w:asciiTheme="minorHAnsi" w:hAnsiTheme="minorHAnsi"/>
          <w:sz w:val="24"/>
          <w:szCs w:val="24"/>
        </w:rPr>
        <w:t>climate governance has become consid</w:t>
      </w:r>
      <w:r w:rsidR="00B10E6B" w:rsidRPr="0050726A">
        <w:rPr>
          <w:rFonts w:asciiTheme="minorHAnsi" w:hAnsiTheme="minorHAnsi"/>
          <w:sz w:val="24"/>
          <w:szCs w:val="24"/>
        </w:rPr>
        <w:t>erably more polycentric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49</w:t>
      </w:r>
      <w:r w:rsidR="004400C7" w:rsidRPr="0050726A">
        <w:rPr>
          <w:rFonts w:asciiTheme="minorHAnsi" w:hAnsiTheme="minorHAnsi"/>
          <w:sz w:val="24"/>
          <w:szCs w:val="24"/>
        </w:rPr>
        <w:t>;</w:t>
      </w:r>
      <w:r w:rsidR="00AE009F" w:rsidRPr="0050726A">
        <w:rPr>
          <w:rFonts w:asciiTheme="minorHAnsi" w:hAnsiTheme="minorHAnsi"/>
          <w:sz w:val="24"/>
          <w:szCs w:val="24"/>
        </w:rPr>
        <w:t xml:space="preserve"> a phenomenon that scholars </w:t>
      </w:r>
      <w:r w:rsidR="00EF5C36" w:rsidRPr="0050726A">
        <w:rPr>
          <w:rFonts w:asciiTheme="minorHAnsi" w:hAnsiTheme="minorHAnsi"/>
          <w:sz w:val="24"/>
          <w:szCs w:val="24"/>
        </w:rPr>
        <w:t xml:space="preserve">working in the separate streams were </w:t>
      </w:r>
      <w:r w:rsidR="00AE009F" w:rsidRPr="0050726A">
        <w:rPr>
          <w:rFonts w:asciiTheme="minorHAnsi" w:hAnsiTheme="minorHAnsi"/>
          <w:sz w:val="24"/>
          <w:szCs w:val="24"/>
        </w:rPr>
        <w:t xml:space="preserve">struggling to </w:t>
      </w:r>
      <w:r w:rsidR="00EF5C36" w:rsidRPr="0050726A">
        <w:rPr>
          <w:rFonts w:asciiTheme="minorHAnsi" w:hAnsiTheme="minorHAnsi"/>
          <w:sz w:val="24"/>
          <w:szCs w:val="24"/>
        </w:rPr>
        <w:t xml:space="preserve">account for </w:t>
      </w:r>
      <w:r w:rsidR="00C679D0" w:rsidRPr="0050726A">
        <w:rPr>
          <w:rFonts w:asciiTheme="minorHAnsi" w:hAnsiTheme="minorHAnsi"/>
          <w:sz w:val="24"/>
          <w:szCs w:val="24"/>
        </w:rPr>
        <w:t xml:space="preserve">using </w:t>
      </w:r>
      <w:r w:rsidR="00CD65DB" w:rsidRPr="0050726A">
        <w:rPr>
          <w:rFonts w:asciiTheme="minorHAnsi" w:hAnsiTheme="minorHAnsi"/>
          <w:sz w:val="24"/>
          <w:szCs w:val="24"/>
        </w:rPr>
        <w:t>their own internal</w:t>
      </w:r>
      <w:r w:rsidR="00AE009F" w:rsidRPr="0050726A">
        <w:rPr>
          <w:rFonts w:asciiTheme="minorHAnsi" w:hAnsiTheme="minorHAnsi"/>
          <w:sz w:val="24"/>
          <w:szCs w:val="24"/>
        </w:rPr>
        <w:t xml:space="preserve"> analytical categori</w:t>
      </w:r>
      <w:r w:rsidR="00C679D0" w:rsidRPr="0050726A">
        <w:rPr>
          <w:rFonts w:asciiTheme="minorHAnsi" w:hAnsiTheme="minorHAnsi"/>
          <w:sz w:val="24"/>
          <w:szCs w:val="24"/>
        </w:rPr>
        <w:t>es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CD65DB" w:rsidRPr="0050726A">
        <w:rPr>
          <w:rFonts w:asciiTheme="minorHAnsi" w:hAnsiTheme="minorHAnsi"/>
          <w:sz w:val="24"/>
          <w:szCs w:val="24"/>
        </w:rPr>
        <w:t>New scholarship has shown that t</w:t>
      </w:r>
      <w:r w:rsidR="00AE009F" w:rsidRPr="0050726A">
        <w:rPr>
          <w:rFonts w:asciiTheme="minorHAnsi" w:hAnsiTheme="minorHAnsi"/>
          <w:sz w:val="24"/>
          <w:szCs w:val="24"/>
        </w:rPr>
        <w:t xml:space="preserve">he </w:t>
      </w:r>
      <w:r w:rsidR="00AA7BFE" w:rsidRPr="0050726A">
        <w:rPr>
          <w:rFonts w:asciiTheme="minorHAnsi" w:hAnsiTheme="minorHAnsi"/>
          <w:sz w:val="24"/>
          <w:szCs w:val="24"/>
        </w:rPr>
        <w:t xml:space="preserve">advent of </w:t>
      </w:r>
      <w:r w:rsidR="00AE009F" w:rsidRPr="0050726A">
        <w:rPr>
          <w:rFonts w:asciiTheme="minorHAnsi" w:hAnsiTheme="minorHAnsi"/>
          <w:sz w:val="24"/>
          <w:szCs w:val="24"/>
        </w:rPr>
        <w:t xml:space="preserve">‘new’ </w:t>
      </w:r>
      <w:r w:rsidR="00AA7BFE" w:rsidRPr="0050726A">
        <w:rPr>
          <w:rFonts w:asciiTheme="minorHAnsi" w:hAnsiTheme="minorHAnsi"/>
          <w:sz w:val="24"/>
          <w:szCs w:val="24"/>
        </w:rPr>
        <w:t xml:space="preserve">forms of </w:t>
      </w:r>
      <w:r w:rsidR="00AE009F" w:rsidRPr="0050726A">
        <w:rPr>
          <w:rFonts w:asciiTheme="minorHAnsi" w:hAnsiTheme="minorHAnsi"/>
          <w:sz w:val="24"/>
          <w:szCs w:val="24"/>
        </w:rPr>
        <w:t xml:space="preserve">climate governance </w:t>
      </w:r>
      <w:r w:rsidR="00AA7BFE" w:rsidRPr="0050726A">
        <w:rPr>
          <w:rFonts w:asciiTheme="minorHAnsi" w:hAnsiTheme="minorHAnsi"/>
          <w:sz w:val="24"/>
          <w:szCs w:val="24"/>
        </w:rPr>
        <w:t xml:space="preserve">has made the overall landscape more </w:t>
      </w:r>
      <w:r w:rsidR="00AE009F" w:rsidRPr="0050726A">
        <w:rPr>
          <w:rFonts w:asciiTheme="minorHAnsi" w:hAnsiTheme="minorHAnsi"/>
          <w:sz w:val="24"/>
          <w:szCs w:val="24"/>
        </w:rPr>
        <w:t>polycentric</w:t>
      </w:r>
      <w:r w:rsidR="00CD65DB" w:rsidRPr="0050726A">
        <w:rPr>
          <w:rFonts w:asciiTheme="minorHAnsi" w:hAnsiTheme="minorHAnsi"/>
          <w:sz w:val="24"/>
          <w:szCs w:val="24"/>
        </w:rPr>
        <w:t xml:space="preserve">, </w:t>
      </w:r>
      <w:r w:rsidR="00413EBE" w:rsidRPr="0050726A">
        <w:rPr>
          <w:rFonts w:asciiTheme="minorHAnsi" w:hAnsiTheme="minorHAnsi"/>
          <w:sz w:val="24"/>
          <w:szCs w:val="24"/>
        </w:rPr>
        <w:t xml:space="preserve">spanning </w:t>
      </w:r>
      <w:r w:rsidR="00AE009F" w:rsidRPr="0050726A">
        <w:rPr>
          <w:rFonts w:asciiTheme="minorHAnsi" w:hAnsiTheme="minorHAnsi"/>
          <w:sz w:val="24"/>
          <w:szCs w:val="24"/>
        </w:rPr>
        <w:t>many spatial levels (international, national</w:t>
      </w:r>
      <w:r w:rsidR="00D55C7A" w:rsidRPr="0050726A">
        <w:rPr>
          <w:rFonts w:asciiTheme="minorHAnsi" w:hAnsiTheme="minorHAnsi"/>
          <w:sz w:val="24"/>
          <w:szCs w:val="24"/>
        </w:rPr>
        <w:t>,</w:t>
      </w:r>
      <w:r w:rsidR="00AE009F" w:rsidRPr="0050726A">
        <w:rPr>
          <w:rFonts w:asciiTheme="minorHAnsi" w:hAnsiTheme="minorHAnsi"/>
          <w:sz w:val="24"/>
          <w:szCs w:val="24"/>
        </w:rPr>
        <w:t xml:space="preserve"> etc.) </w:t>
      </w:r>
      <w:r w:rsidR="00CD65DB" w:rsidRPr="0050726A">
        <w:rPr>
          <w:rFonts w:asciiTheme="minorHAnsi" w:hAnsiTheme="minorHAnsi"/>
          <w:sz w:val="24"/>
          <w:szCs w:val="24"/>
        </w:rPr>
        <w:t xml:space="preserve">and </w:t>
      </w:r>
      <w:r w:rsidR="00AE009F" w:rsidRPr="0050726A">
        <w:rPr>
          <w:rFonts w:asciiTheme="minorHAnsi" w:hAnsiTheme="minorHAnsi"/>
          <w:sz w:val="24"/>
          <w:szCs w:val="24"/>
        </w:rPr>
        <w:t>work</w:t>
      </w:r>
      <w:r w:rsidR="00CD65DB" w:rsidRPr="0050726A">
        <w:rPr>
          <w:rFonts w:asciiTheme="minorHAnsi" w:hAnsiTheme="minorHAnsi"/>
          <w:sz w:val="24"/>
          <w:szCs w:val="24"/>
        </w:rPr>
        <w:t xml:space="preserve">ing </w:t>
      </w:r>
      <w:r w:rsidR="00AE009F" w:rsidRPr="0050726A">
        <w:rPr>
          <w:rFonts w:asciiTheme="minorHAnsi" w:hAnsiTheme="minorHAnsi"/>
          <w:sz w:val="24"/>
          <w:szCs w:val="24"/>
        </w:rPr>
        <w:t>through many modes (markets, networks and hierarchies) and domains of action (public policy, transnational governance).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EF5C36" w:rsidRPr="0050726A">
        <w:rPr>
          <w:rFonts w:asciiTheme="minorHAnsi" w:hAnsiTheme="minorHAnsi"/>
          <w:sz w:val="24"/>
          <w:szCs w:val="24"/>
        </w:rPr>
        <w:t xml:space="preserve">This </w:t>
      </w:r>
      <w:r w:rsidR="00331A83" w:rsidRPr="0050726A">
        <w:rPr>
          <w:rFonts w:asciiTheme="minorHAnsi" w:hAnsiTheme="minorHAnsi"/>
          <w:sz w:val="24"/>
          <w:szCs w:val="24"/>
        </w:rPr>
        <w:t xml:space="preserve">pattern </w:t>
      </w:r>
      <w:r w:rsidR="00AE009F" w:rsidRPr="0050726A">
        <w:rPr>
          <w:rFonts w:asciiTheme="minorHAnsi" w:hAnsiTheme="minorHAnsi"/>
          <w:sz w:val="24"/>
          <w:szCs w:val="24"/>
        </w:rPr>
        <w:t>bear</w:t>
      </w:r>
      <w:r w:rsidR="00331A83" w:rsidRPr="0050726A">
        <w:rPr>
          <w:rFonts w:asciiTheme="minorHAnsi" w:hAnsiTheme="minorHAnsi"/>
          <w:sz w:val="24"/>
          <w:szCs w:val="24"/>
        </w:rPr>
        <w:t>s</w:t>
      </w:r>
      <w:r w:rsidR="00AE009F" w:rsidRPr="0050726A">
        <w:rPr>
          <w:rFonts w:asciiTheme="minorHAnsi" w:hAnsiTheme="minorHAnsi"/>
          <w:sz w:val="24"/>
          <w:szCs w:val="24"/>
        </w:rPr>
        <w:t xml:space="preserve"> out </w:t>
      </w:r>
      <w:r w:rsidR="00EF5C36" w:rsidRPr="0050726A">
        <w:rPr>
          <w:rFonts w:asciiTheme="minorHAnsi" w:hAnsiTheme="minorHAnsi"/>
          <w:sz w:val="24"/>
          <w:szCs w:val="24"/>
        </w:rPr>
        <w:t>many</w:t>
      </w:r>
      <w:r w:rsidR="00D55C7A" w:rsidRPr="0050726A">
        <w:rPr>
          <w:rFonts w:asciiTheme="minorHAnsi" w:hAnsiTheme="minorHAnsi"/>
          <w:sz w:val="24"/>
          <w:szCs w:val="24"/>
        </w:rPr>
        <w:t>,</w:t>
      </w:r>
      <w:r w:rsidR="00EF5C36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but not all</w:t>
      </w:r>
      <w:r w:rsidR="00D55C7A" w:rsidRPr="0050726A">
        <w:rPr>
          <w:rFonts w:asciiTheme="minorHAnsi" w:hAnsiTheme="minorHAnsi"/>
          <w:sz w:val="24"/>
          <w:szCs w:val="24"/>
        </w:rPr>
        <w:t>,</w:t>
      </w:r>
      <w:r w:rsidR="00AE009F" w:rsidRPr="0050726A">
        <w:rPr>
          <w:rFonts w:asciiTheme="minorHAnsi" w:hAnsiTheme="minorHAnsi"/>
          <w:sz w:val="24"/>
          <w:szCs w:val="24"/>
        </w:rPr>
        <w:t xml:space="preserve"> of Ostrom’s predictions.</w:t>
      </w:r>
    </w:p>
    <w:p w14:paraId="49FF0B64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  <w:lang w:val="en-CA"/>
        </w:rPr>
      </w:pPr>
    </w:p>
    <w:p w14:paraId="5864E427" w14:textId="3BE9268F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/>
          <w:sz w:val="24"/>
          <w:szCs w:val="24"/>
          <w:lang w:val="en-CA"/>
        </w:rPr>
        <w:t xml:space="preserve">As new </w:t>
      </w:r>
      <w:r w:rsidR="00D55C7A" w:rsidRPr="0050726A">
        <w:rPr>
          <w:rFonts w:asciiTheme="minorHAnsi" w:hAnsiTheme="minorHAnsi"/>
          <w:sz w:val="24"/>
          <w:szCs w:val="24"/>
          <w:lang w:val="en-CA"/>
        </w:rPr>
        <w:t xml:space="preserve">research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 xml:space="preserve">in the </w:t>
      </w:r>
      <w:r w:rsidR="007A661C" w:rsidRPr="0050726A">
        <w:rPr>
          <w:rFonts w:asciiTheme="minorHAnsi" w:hAnsiTheme="minorHAnsi"/>
          <w:sz w:val="24"/>
          <w:szCs w:val="24"/>
          <w:lang w:val="en-CA"/>
        </w:rPr>
        <w:t xml:space="preserve">separate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>strands emerges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, two analytical challenges cry out for </w:t>
      </w:r>
      <w:r w:rsidR="00EF5C36" w:rsidRPr="0050726A">
        <w:rPr>
          <w:rFonts w:asciiTheme="minorHAnsi" w:hAnsiTheme="minorHAnsi"/>
          <w:sz w:val="24"/>
          <w:szCs w:val="24"/>
          <w:lang w:val="en-CA"/>
        </w:rPr>
        <w:t xml:space="preserve">greater </w:t>
      </w:r>
      <w:r w:rsidRPr="0050726A">
        <w:rPr>
          <w:rFonts w:asciiTheme="minorHAnsi" w:hAnsiTheme="minorHAnsi"/>
          <w:sz w:val="24"/>
          <w:szCs w:val="24"/>
          <w:lang w:val="en-CA"/>
        </w:rPr>
        <w:t>attention.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The first is to </w:t>
      </w:r>
      <w:r w:rsidR="007A661C" w:rsidRPr="0050726A">
        <w:rPr>
          <w:rFonts w:asciiTheme="minorHAnsi" w:hAnsiTheme="minorHAnsi"/>
          <w:sz w:val="24"/>
          <w:szCs w:val="24"/>
          <w:lang w:val="en-CA"/>
        </w:rPr>
        <w:t xml:space="preserve">build bridges between the strands in order to </w:t>
      </w:r>
      <w:r w:rsidR="00CE57D2" w:rsidRPr="0050726A">
        <w:rPr>
          <w:rFonts w:asciiTheme="minorHAnsi" w:hAnsiTheme="minorHAnsi"/>
          <w:sz w:val="24"/>
          <w:szCs w:val="24"/>
          <w:lang w:val="en-CA"/>
        </w:rPr>
        <w:t xml:space="preserve">better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understand the interaction between the three </w:t>
      </w:r>
      <w:r w:rsidR="00CE57D2" w:rsidRPr="0050726A">
        <w:rPr>
          <w:rFonts w:asciiTheme="minorHAnsi" w:hAnsiTheme="minorHAnsi"/>
          <w:sz w:val="24"/>
          <w:szCs w:val="24"/>
          <w:lang w:val="en-CA"/>
        </w:rPr>
        <w:t>governance domains</w:t>
      </w:r>
      <w:r w:rsidRPr="0050726A">
        <w:rPr>
          <w:rFonts w:asciiTheme="minorHAnsi" w:hAnsiTheme="minorHAnsi"/>
          <w:sz w:val="24"/>
          <w:szCs w:val="24"/>
          <w:lang w:val="en-CA"/>
        </w:rPr>
        <w:t>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For example, 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 xml:space="preserve">that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many of the transnational initiatives 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 xml:space="preserve">have </w:t>
      </w:r>
      <w:r w:rsidRPr="0050726A">
        <w:rPr>
          <w:rFonts w:asciiTheme="minorHAnsi" w:hAnsiTheme="minorHAnsi"/>
          <w:sz w:val="24"/>
          <w:szCs w:val="24"/>
          <w:lang w:val="en-CA"/>
        </w:rPr>
        <w:t>emerged in the shadow of state action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 xml:space="preserve"> bears out earlier predictions that </w:t>
      </w:r>
      <w:r w:rsidR="001D6929" w:rsidRPr="0050726A">
        <w:rPr>
          <w:rFonts w:asciiTheme="minorHAnsi" w:hAnsiTheme="minorHAnsi"/>
          <w:sz w:val="24"/>
          <w:szCs w:val="24"/>
          <w:lang w:val="en-CA"/>
        </w:rPr>
        <w:t xml:space="preserve">transnational 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 xml:space="preserve">and </w:t>
      </w:r>
      <w:r w:rsidR="001D6929" w:rsidRPr="0050726A">
        <w:rPr>
          <w:rFonts w:asciiTheme="minorHAnsi" w:hAnsiTheme="minorHAnsi"/>
          <w:sz w:val="24"/>
          <w:szCs w:val="24"/>
          <w:lang w:val="en-CA"/>
        </w:rPr>
        <w:t>state</w:t>
      </w:r>
      <w:r w:rsidR="003C2C64" w:rsidRPr="0050726A">
        <w:rPr>
          <w:rFonts w:asciiTheme="minorHAnsi" w:hAnsiTheme="minorHAnsi"/>
          <w:sz w:val="24"/>
          <w:szCs w:val="24"/>
          <w:lang w:val="en-CA"/>
        </w:rPr>
        <w:t xml:space="preserve">-led 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 xml:space="preserve">governance </w:t>
      </w:r>
      <w:r w:rsidR="00EF5C36" w:rsidRPr="0050726A">
        <w:rPr>
          <w:rFonts w:asciiTheme="minorHAnsi" w:hAnsiTheme="minorHAnsi"/>
          <w:sz w:val="24"/>
          <w:szCs w:val="24"/>
          <w:lang w:val="en-CA"/>
        </w:rPr>
        <w:t xml:space="preserve">are likely to be 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>ti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>gh</w:t>
      </w:r>
      <w:r w:rsidR="009479F9" w:rsidRPr="0050726A">
        <w:rPr>
          <w:rFonts w:asciiTheme="minorHAnsi" w:hAnsiTheme="minorHAnsi"/>
          <w:sz w:val="24"/>
          <w:szCs w:val="24"/>
          <w:lang w:val="en-CA"/>
        </w:rPr>
        <w:t>tly interconnected</w:t>
      </w:r>
      <w:r w:rsidR="00A11177" w:rsidRPr="0050726A">
        <w:rPr>
          <w:rFonts w:asciiTheme="minorHAnsi" w:hAnsiTheme="minorHAnsi"/>
          <w:sz w:val="24"/>
          <w:szCs w:val="24"/>
          <w:lang w:val="en-CA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89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Similarly,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 xml:space="preserve">data </w:t>
      </w:r>
      <w:r w:rsidR="00331A83" w:rsidRPr="0050726A">
        <w:rPr>
          <w:rFonts w:asciiTheme="minorHAnsi" w:hAnsiTheme="minorHAnsi"/>
          <w:sz w:val="24"/>
          <w:szCs w:val="24"/>
          <w:lang w:val="en-CA"/>
        </w:rPr>
        <w:t xml:space="preserve">on national policy activity </w:t>
      </w:r>
      <w:r w:rsidR="004400C7" w:rsidRPr="0050726A">
        <w:rPr>
          <w:rFonts w:asciiTheme="minorHAnsi" w:hAnsiTheme="minorHAnsi"/>
          <w:sz w:val="24"/>
          <w:szCs w:val="24"/>
          <w:lang w:val="en-CA"/>
        </w:rPr>
        <w:t xml:space="preserve">(itself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 xml:space="preserve">collected via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transnational action </w:t>
      </w:r>
      <w:r w:rsidR="004400C7" w:rsidRPr="0050726A">
        <w:rPr>
          <w:rFonts w:asciiTheme="minorHAnsi" w:hAnsiTheme="minorHAnsi"/>
          <w:sz w:val="24"/>
          <w:szCs w:val="24"/>
          <w:lang w:val="en-CA"/>
        </w:rPr>
        <w:t xml:space="preserve">-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such as Green Globe and Climate </w:t>
      </w:r>
      <w:r w:rsidR="00977187" w:rsidRPr="0050726A">
        <w:rPr>
          <w:rFonts w:asciiTheme="minorHAnsi" w:hAnsiTheme="minorHAnsi"/>
          <w:sz w:val="24"/>
          <w:szCs w:val="24"/>
          <w:lang w:val="en-CA"/>
        </w:rPr>
        <w:t>Action Tracker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) has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 xml:space="preserve">allowed academics to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reveal the </w:t>
      </w:r>
      <w:r w:rsidR="004400C7" w:rsidRPr="0050726A">
        <w:rPr>
          <w:rFonts w:asciiTheme="minorHAnsi" w:hAnsiTheme="minorHAnsi"/>
          <w:sz w:val="24"/>
          <w:szCs w:val="24"/>
          <w:lang w:val="en-CA"/>
        </w:rPr>
        <w:t xml:space="preserve">timing and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extent of national </w:t>
      </w:r>
      <w:r w:rsidR="004400C7" w:rsidRPr="0050726A">
        <w:rPr>
          <w:rFonts w:asciiTheme="minorHAnsi" w:hAnsiTheme="minorHAnsi"/>
          <w:sz w:val="24"/>
          <w:szCs w:val="24"/>
          <w:lang w:val="en-CA"/>
        </w:rPr>
        <w:t>policy activity</w:t>
      </w:r>
      <w:r w:rsidRPr="0050726A">
        <w:rPr>
          <w:rFonts w:asciiTheme="minorHAnsi" w:hAnsiTheme="minorHAnsi"/>
          <w:sz w:val="24"/>
          <w:szCs w:val="24"/>
          <w:lang w:val="en-CA"/>
        </w:rPr>
        <w:t>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However, at present, </w:t>
      </w:r>
      <w:r w:rsidR="005A4EBD" w:rsidRPr="0050726A">
        <w:rPr>
          <w:rFonts w:asciiTheme="minorHAnsi" w:hAnsiTheme="minorHAnsi"/>
          <w:sz w:val="24"/>
          <w:szCs w:val="24"/>
          <w:lang w:val="en-CA"/>
        </w:rPr>
        <w:t>academics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 have barely 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 xml:space="preserve">typologised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the many possible forms of interaction </w:t>
      </w:r>
      <w:r w:rsidR="00331A83" w:rsidRPr="0050726A">
        <w:rPr>
          <w:rFonts w:asciiTheme="minorHAnsi" w:hAnsiTheme="minorHAnsi"/>
          <w:sz w:val="24"/>
          <w:szCs w:val="24"/>
          <w:lang w:val="en-CA"/>
        </w:rPr>
        <w:t>between the domains</w:t>
      </w:r>
      <w:r w:rsidR="00082365" w:rsidRPr="0050726A">
        <w:rPr>
          <w:rFonts w:asciiTheme="minorHAnsi" w:hAnsiTheme="minorHAnsi"/>
          <w:sz w:val="24"/>
          <w:szCs w:val="24"/>
          <w:lang w:val="en-CA"/>
        </w:rPr>
        <w:t>,</w:t>
      </w:r>
      <w:r w:rsidR="00331A83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/>
          <w:sz w:val="24"/>
          <w:szCs w:val="24"/>
          <w:lang w:val="en-CA"/>
        </w:rPr>
        <w:t xml:space="preserve">let alone 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>trace</w:t>
      </w:r>
      <w:r w:rsidR="00CA226E" w:rsidRPr="0050726A">
        <w:rPr>
          <w:rFonts w:asciiTheme="minorHAnsi" w:hAnsiTheme="minorHAnsi"/>
          <w:sz w:val="24"/>
          <w:szCs w:val="24"/>
          <w:lang w:val="en-CA"/>
        </w:rPr>
        <w:t>d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 xml:space="preserve"> them out empirically or </w:t>
      </w:r>
      <w:r w:rsidRPr="0050726A">
        <w:rPr>
          <w:rFonts w:asciiTheme="minorHAnsi" w:hAnsiTheme="minorHAnsi"/>
          <w:sz w:val="24"/>
          <w:szCs w:val="24"/>
          <w:lang w:val="en-CA"/>
        </w:rPr>
        <w:t>explained their causes.</w:t>
      </w:r>
      <w:r w:rsidR="00A70E5B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lastRenderedPageBreak/>
        <w:t xml:space="preserve">In principle, at least four </w:t>
      </w:r>
      <w:r w:rsidR="00EF5C36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types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of interaction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between actions across the domains </w:t>
      </w:r>
      <w:r w:rsidR="005A4EB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are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possible: they could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 xml:space="preserve">complement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one another without actually interacting; they could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>merge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; they could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 xml:space="preserve">compete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and conflict with one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another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; or some could actively replace other types</w:t>
      </w:r>
      <w:r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23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These forms of interaction </w:t>
      </w:r>
      <w:r w:rsidR="005A4EB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-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termed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>co-existence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>fusion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>competition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and </w:t>
      </w:r>
      <w:r w:rsidRPr="0050726A">
        <w:rPr>
          <w:rFonts w:asciiTheme="minorHAnsi" w:hAnsiTheme="minorHAnsi" w:cs="AdvOTf90d833a.I"/>
          <w:color w:val="000000"/>
          <w:sz w:val="24"/>
          <w:szCs w:val="24"/>
        </w:rPr>
        <w:t>replacement respectively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43</w:t>
      </w:r>
      <w:r w:rsidR="009E251E" w:rsidRPr="0050726A">
        <w:rPr>
          <w:rFonts w:asciiTheme="minorHAnsi" w:hAnsiTheme="minorHAnsi" w:cs="AdvOTf90d833a.I"/>
          <w:color w:val="000000"/>
          <w:sz w:val="24"/>
          <w:szCs w:val="24"/>
        </w:rPr>
        <w:t xml:space="preserve"> </w:t>
      </w:r>
      <w:r w:rsidR="005A4EBD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– could form the basis of a common programme of </w:t>
      </w:r>
      <w:r w:rsidR="001833A7" w:rsidRPr="0050726A">
        <w:rPr>
          <w:rFonts w:asciiTheme="minorHAnsi" w:hAnsiTheme="minorHAnsi" w:cs="AdvOT5843c571"/>
          <w:color w:val="000000"/>
          <w:sz w:val="24"/>
          <w:szCs w:val="24"/>
        </w:rPr>
        <w:t>research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2528FE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>Ostrom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19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 xml:space="preserve"> was </w:t>
      </w:r>
      <w:r w:rsidR="002B16D6" w:rsidRPr="0050726A">
        <w:rPr>
          <w:rFonts w:asciiTheme="minorHAnsi" w:hAnsiTheme="minorHAnsi"/>
          <w:sz w:val="24"/>
          <w:szCs w:val="24"/>
          <w:lang w:val="en-CA"/>
        </w:rPr>
        <w:t xml:space="preserve">generally 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 xml:space="preserve">optimistic, believing that the net result </w:t>
      </w:r>
      <w:r w:rsidR="00EF5C36" w:rsidRPr="0050726A">
        <w:rPr>
          <w:rFonts w:asciiTheme="minorHAnsi" w:hAnsiTheme="minorHAnsi"/>
          <w:sz w:val="24"/>
          <w:szCs w:val="24"/>
          <w:lang w:val="en-CA"/>
        </w:rPr>
        <w:t>of the interactions would be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2B16D6" w:rsidRPr="0050726A">
        <w:rPr>
          <w:rFonts w:asciiTheme="minorHAnsi" w:hAnsiTheme="minorHAnsi"/>
          <w:sz w:val="24"/>
          <w:szCs w:val="24"/>
          <w:lang w:val="en-CA"/>
        </w:rPr>
        <w:t xml:space="preserve">synergistic and hence </w:t>
      </w:r>
      <w:r w:rsidR="002528FE" w:rsidRPr="0050726A">
        <w:rPr>
          <w:rFonts w:asciiTheme="minorHAnsi" w:hAnsiTheme="minorHAnsi"/>
          <w:sz w:val="24"/>
          <w:szCs w:val="24"/>
          <w:lang w:val="en-CA"/>
        </w:rPr>
        <w:t>“cumulatively additive”, but we believe that the jury is still out on this matter.</w:t>
      </w:r>
      <w:r w:rsidR="009F56C6" w:rsidRPr="0050726A">
        <w:rPr>
          <w:rFonts w:asciiTheme="minorHAnsi" w:hAnsiTheme="minorHAnsi"/>
          <w:sz w:val="24"/>
          <w:szCs w:val="24"/>
        </w:rPr>
        <w:t xml:space="preserve"> </w:t>
      </w:r>
    </w:p>
    <w:p w14:paraId="31918A6E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AdvOT5843c571"/>
          <w:color w:val="000000"/>
          <w:sz w:val="24"/>
          <w:szCs w:val="24"/>
        </w:rPr>
      </w:pPr>
    </w:p>
    <w:p w14:paraId="377864C5" w14:textId="501C5277" w:rsidR="00AE009F" w:rsidRPr="0050726A" w:rsidRDefault="00331A83" w:rsidP="00BD4ABC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axis of interaction running between international governance, exemplified by the UNFCCC, and the other two domains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, appears especially influential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There is plenty of case-specific evidence (and much speculation) that international processes (be they active in the form of new commitments, or </w:t>
      </w:r>
      <w:r w:rsidR="005A4EBD" w:rsidRPr="0050726A">
        <w:rPr>
          <w:rFonts w:asciiTheme="minorHAnsi" w:hAnsiTheme="minorHAnsi" w:cs="AdvOT5843c571"/>
          <w:color w:val="000000"/>
          <w:sz w:val="24"/>
          <w:szCs w:val="24"/>
        </w:rPr>
        <w:t>vice versa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) matter </w:t>
      </w:r>
      <w:r w:rsidR="00CE57D2" w:rsidRPr="0050726A">
        <w:rPr>
          <w:rFonts w:asciiTheme="minorHAnsi" w:hAnsiTheme="minorHAnsi" w:cs="AdvOT5843c571"/>
          <w:color w:val="000000"/>
          <w:sz w:val="24"/>
          <w:szCs w:val="24"/>
        </w:rPr>
        <w:t>immensely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for other </w:t>
      </w:r>
      <w:r w:rsidR="00CE57D2" w:rsidRPr="0050726A">
        <w:rPr>
          <w:rFonts w:asciiTheme="minorHAnsi" w:hAnsiTheme="minorHAnsi" w:cs="AdvOT5843c571"/>
          <w:color w:val="000000"/>
          <w:sz w:val="24"/>
          <w:szCs w:val="24"/>
        </w:rPr>
        <w:t>governance domains</w:t>
      </w:r>
      <w:r w:rsidR="002E3595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2E3595" w:rsidRPr="0050726A">
        <w:rPr>
          <w:rFonts w:asciiTheme="minorHAnsi" w:hAnsiTheme="minorHAnsi" w:cs="AdvOT5843c571"/>
          <w:color w:val="000000"/>
          <w:sz w:val="24"/>
          <w:szCs w:val="24"/>
        </w:rPr>
        <w:t>For example, Moncel and van Asselt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52</w:t>
      </w:r>
      <w:r w:rsidR="002E359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EF5C36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have </w:t>
      </w:r>
      <w:r w:rsidR="002E3595" w:rsidRPr="0050726A">
        <w:rPr>
          <w:rFonts w:asciiTheme="minorHAnsi" w:hAnsiTheme="minorHAnsi" w:cs="AdvOT5843c571"/>
          <w:color w:val="000000"/>
          <w:sz w:val="24"/>
          <w:szCs w:val="24"/>
        </w:rPr>
        <w:t>claim</w:t>
      </w:r>
      <w:r w:rsidR="00EF5C36" w:rsidRPr="0050726A">
        <w:rPr>
          <w:rFonts w:asciiTheme="minorHAnsi" w:hAnsiTheme="minorHAnsi" w:cs="AdvOT5843c571"/>
          <w:color w:val="000000"/>
          <w:sz w:val="24"/>
          <w:szCs w:val="24"/>
        </w:rPr>
        <w:t>ed</w:t>
      </w:r>
      <w:r w:rsidR="002E359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that the </w:t>
      </w:r>
      <w:r w:rsidR="002E3595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 xml:space="preserve">UNFCCC has </w:t>
      </w:r>
      <w:r w:rsidR="00CE57D2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>indirectly catal</w:t>
      </w:r>
      <w:r w:rsidR="00E63D5D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>y</w:t>
      </w:r>
      <w:r w:rsidR="00CE57D2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>sed</w:t>
      </w:r>
      <w:r w:rsidR="002E3595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 xml:space="preserve"> </w:t>
      </w:r>
      <w:r w:rsidR="00E63D5D" w:rsidRPr="0050726A">
        <w:rPr>
          <w:rFonts w:asciiTheme="minorHAnsi" w:eastAsia="FrutigerLTPro-BoldCn" w:hAnsiTheme="minorHAnsi" w:cs="FrutigerLTPro-Condensed"/>
          <w:color w:val="181716"/>
          <w:sz w:val="24"/>
          <w:szCs w:val="24"/>
          <w:lang w:eastAsia="en-GB"/>
        </w:rPr>
        <w:t>action in other domains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2B0C3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But how, why and when the</w:t>
      </w:r>
      <w:r w:rsidR="00DB428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se side effects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matter</w:t>
      </w:r>
      <w:r w:rsidR="001654C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remains </w:t>
      </w:r>
      <w:r w:rsidR="00E63D5D" w:rsidRPr="0050726A">
        <w:rPr>
          <w:rFonts w:asciiTheme="minorHAnsi" w:hAnsiTheme="minorHAnsi" w:cs="AdvOT5843c571"/>
          <w:color w:val="000000"/>
          <w:sz w:val="24"/>
          <w:szCs w:val="24"/>
        </w:rPr>
        <w:t>a matter for conjecture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For example, a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 the countries that are seeking to push the </w:t>
      </w:r>
      <w:r w:rsidR="00DB428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UNFCCC process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also the most active adopters of national policy and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/or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DB428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incubators of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transnational governance?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Does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perception that a particular state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pulling back from international cooperation </w:t>
      </w:r>
      <w:r w:rsidR="006C2A4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nudge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domestic actors 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into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governing through other domains, as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appears to be the case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 </w:t>
      </w:r>
      <w:r w:rsidR="002528F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some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US </w:t>
      </w:r>
      <w:r w:rsidR="001833A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states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?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25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1157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rocess tracing work on the timing and sequence of these interactions </w:t>
      </w:r>
      <w:r w:rsidR="00EF5C3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w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ould indicate </w:t>
      </w:r>
      <w:r w:rsidR="00597FD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where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the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main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impulses </w:t>
      </w:r>
      <w:r w:rsidR="00CE57D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arise.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90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Either way, exploring the interactions empirically –</w:t>
      </w:r>
      <w:r w:rsidR="00CE57D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perhaps 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even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statistically – will offer a 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more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informed basis on which to understand </w:t>
      </w:r>
      <w:r w:rsidR="002528F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climate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governance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91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than dichotomous modes of thinking</w:t>
      </w:r>
      <w:r w:rsidR="00B1157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which assume </w:t>
      </w:r>
      <w:r w:rsidR="00B1157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that</w:t>
      </w:r>
      <w:r w:rsidR="002528F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monocentric governance is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broken and </w:t>
      </w:r>
      <w:r w:rsidR="004400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transformative </w:t>
      </w:r>
      <w:r w:rsidR="005A4EB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governance </w:t>
      </w:r>
      <w:r w:rsidR="001654C5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must </w:t>
      </w:r>
      <w:r w:rsidR="004400C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be </w:t>
      </w:r>
      <w:r w:rsidR="002528F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polycentric</w:t>
      </w:r>
      <w:r w:rsidR="00A44C2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92</w:t>
      </w:r>
    </w:p>
    <w:p w14:paraId="20BEA5FF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4CF2E59A" w14:textId="11E3FC74" w:rsidR="002528FE" w:rsidRPr="0050726A" w:rsidRDefault="00DF6467" w:rsidP="00164EA9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second challenge is to understand </w:t>
      </w:r>
      <w:r w:rsidR="0050726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better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 role</w:t>
      </w:r>
      <w:r w:rsidR="00597FD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(s)</w:t>
      </w:r>
      <w:r w:rsidR="00CE57D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played by state</w:t>
      </w:r>
      <w:r w:rsidR="00F309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 </w:t>
      </w:r>
      <w:r w:rsidR="005F623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in the </w:t>
      </w:r>
      <w:r w:rsidR="00331A83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three </w:t>
      </w:r>
      <w:r w:rsidR="005F623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domains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>It is somewhat surprising that this question should have arisen so quickly</w:t>
      </w:r>
      <w:r w:rsidR="00E311CD" w:rsidRPr="0050726A">
        <w:rPr>
          <w:rFonts w:asciiTheme="minorHAnsi" w:hAnsiTheme="minorHAnsi"/>
          <w:sz w:val="24"/>
          <w:szCs w:val="24"/>
        </w:rPr>
        <w:t xml:space="preserve">, given </w:t>
      </w:r>
      <w:r w:rsidR="002528FE" w:rsidRPr="0050726A">
        <w:rPr>
          <w:rFonts w:asciiTheme="minorHAnsi" w:hAnsiTheme="minorHAnsi"/>
          <w:sz w:val="24"/>
          <w:szCs w:val="24"/>
        </w:rPr>
        <w:t xml:space="preserve">that </w:t>
      </w:r>
      <w:r w:rsidR="00AE009F" w:rsidRPr="0050726A">
        <w:rPr>
          <w:rFonts w:asciiTheme="minorHAnsi" w:hAnsiTheme="minorHAnsi"/>
          <w:sz w:val="24"/>
          <w:szCs w:val="24"/>
        </w:rPr>
        <w:t xml:space="preserve">previous work has </w:t>
      </w:r>
      <w:r w:rsidR="00EF5C36" w:rsidRPr="0050726A">
        <w:rPr>
          <w:rFonts w:asciiTheme="minorHAnsi" w:hAnsiTheme="minorHAnsi"/>
          <w:sz w:val="24"/>
          <w:szCs w:val="24"/>
        </w:rPr>
        <w:t xml:space="preserve">assumed that </w:t>
      </w:r>
      <w:r w:rsidRPr="0050726A">
        <w:rPr>
          <w:rFonts w:asciiTheme="minorHAnsi" w:hAnsiTheme="minorHAnsi"/>
          <w:sz w:val="24"/>
          <w:szCs w:val="24"/>
        </w:rPr>
        <w:t xml:space="preserve">governance </w:t>
      </w:r>
      <w:r w:rsidR="00AE009F" w:rsidRPr="0050726A">
        <w:rPr>
          <w:rFonts w:asciiTheme="minorHAnsi" w:hAnsiTheme="minorHAnsi"/>
          <w:sz w:val="24"/>
          <w:szCs w:val="24"/>
        </w:rPr>
        <w:t xml:space="preserve">is </w:t>
      </w:r>
      <w:r w:rsidR="00331A83" w:rsidRPr="0050726A">
        <w:rPr>
          <w:rFonts w:asciiTheme="minorHAnsi" w:hAnsiTheme="minorHAnsi"/>
          <w:sz w:val="24"/>
          <w:szCs w:val="24"/>
        </w:rPr>
        <w:t xml:space="preserve">usually </w:t>
      </w:r>
      <w:r w:rsidR="00AE009F" w:rsidRPr="0050726A">
        <w:rPr>
          <w:rFonts w:asciiTheme="minorHAnsi" w:hAnsiTheme="minorHAnsi"/>
          <w:sz w:val="24"/>
          <w:szCs w:val="24"/>
        </w:rPr>
        <w:t>enacted “without government”.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93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1654C5" w:rsidRPr="0050726A">
        <w:rPr>
          <w:rFonts w:asciiTheme="minorHAnsi" w:hAnsiTheme="minorHAnsi"/>
          <w:sz w:val="24"/>
          <w:szCs w:val="24"/>
        </w:rPr>
        <w:t>T</w:t>
      </w:r>
      <w:r w:rsidR="00AE009F" w:rsidRPr="0050726A">
        <w:rPr>
          <w:rFonts w:asciiTheme="minorHAnsi" w:hAnsiTheme="minorHAnsi"/>
          <w:sz w:val="24"/>
          <w:szCs w:val="24"/>
        </w:rPr>
        <w:t xml:space="preserve">he </w:t>
      </w:r>
      <w:r w:rsidRPr="0050726A">
        <w:rPr>
          <w:rFonts w:asciiTheme="minorHAnsi" w:hAnsiTheme="minorHAnsi"/>
          <w:sz w:val="24"/>
          <w:szCs w:val="24"/>
        </w:rPr>
        <w:t xml:space="preserve">strand of </w:t>
      </w:r>
      <w:r w:rsidR="00AE009F" w:rsidRPr="0050726A">
        <w:rPr>
          <w:rFonts w:asciiTheme="minorHAnsi" w:hAnsiTheme="minorHAnsi"/>
          <w:sz w:val="24"/>
          <w:szCs w:val="24"/>
        </w:rPr>
        <w:t xml:space="preserve">work on </w:t>
      </w:r>
      <w:r w:rsidRPr="0050726A">
        <w:rPr>
          <w:rFonts w:asciiTheme="minorHAnsi" w:hAnsiTheme="minorHAnsi"/>
          <w:sz w:val="24"/>
          <w:szCs w:val="24"/>
        </w:rPr>
        <w:t xml:space="preserve">transnational </w:t>
      </w:r>
      <w:r w:rsidR="00AE009F" w:rsidRPr="0050726A">
        <w:rPr>
          <w:rFonts w:asciiTheme="minorHAnsi" w:hAnsiTheme="minorHAnsi"/>
          <w:sz w:val="24"/>
          <w:szCs w:val="24"/>
        </w:rPr>
        <w:t xml:space="preserve">governance </w:t>
      </w:r>
      <w:r w:rsidRPr="0050726A">
        <w:rPr>
          <w:rFonts w:asciiTheme="minorHAnsi" w:hAnsiTheme="minorHAnsi"/>
          <w:sz w:val="24"/>
          <w:szCs w:val="24"/>
        </w:rPr>
        <w:t xml:space="preserve">has </w:t>
      </w:r>
      <w:r w:rsidR="001654C5" w:rsidRPr="0050726A">
        <w:rPr>
          <w:rFonts w:asciiTheme="minorHAnsi" w:hAnsiTheme="minorHAnsi"/>
          <w:sz w:val="24"/>
          <w:szCs w:val="24"/>
        </w:rPr>
        <w:t xml:space="preserve">tended not </w:t>
      </w:r>
      <w:r w:rsidR="003B34CE" w:rsidRPr="0050726A">
        <w:rPr>
          <w:rFonts w:asciiTheme="minorHAnsi" w:hAnsiTheme="minorHAnsi"/>
          <w:sz w:val="24"/>
          <w:szCs w:val="24"/>
        </w:rPr>
        <w:t xml:space="preserve">to </w:t>
      </w:r>
      <w:r w:rsidR="001654C5" w:rsidRPr="0050726A">
        <w:rPr>
          <w:rFonts w:asciiTheme="minorHAnsi" w:hAnsiTheme="minorHAnsi"/>
          <w:sz w:val="24"/>
          <w:szCs w:val="24"/>
        </w:rPr>
        <w:t xml:space="preserve">explore </w:t>
      </w:r>
      <w:r w:rsidR="00CE57D2" w:rsidRPr="0050726A">
        <w:rPr>
          <w:rFonts w:asciiTheme="minorHAnsi" w:hAnsiTheme="minorHAnsi"/>
          <w:sz w:val="24"/>
          <w:szCs w:val="24"/>
        </w:rPr>
        <w:t xml:space="preserve">state </w:t>
      </w:r>
      <w:r w:rsidR="001654C5" w:rsidRPr="0050726A">
        <w:rPr>
          <w:rFonts w:asciiTheme="minorHAnsi" w:hAnsiTheme="minorHAnsi"/>
          <w:sz w:val="24"/>
          <w:szCs w:val="24"/>
        </w:rPr>
        <w:t xml:space="preserve">roles that deeply, having implicitly </w:t>
      </w:r>
      <w:r w:rsidR="00AE009F" w:rsidRPr="0050726A">
        <w:rPr>
          <w:rFonts w:asciiTheme="minorHAnsi" w:hAnsiTheme="minorHAnsi"/>
          <w:sz w:val="24"/>
          <w:szCs w:val="24"/>
        </w:rPr>
        <w:t>embrac</w:t>
      </w:r>
      <w:r w:rsidR="001654C5" w:rsidRPr="0050726A">
        <w:rPr>
          <w:rFonts w:asciiTheme="minorHAnsi" w:hAnsiTheme="minorHAnsi"/>
          <w:sz w:val="24"/>
          <w:szCs w:val="24"/>
        </w:rPr>
        <w:t>ed</w:t>
      </w:r>
      <w:r w:rsidR="00AE009F" w:rsidRPr="0050726A">
        <w:rPr>
          <w:rFonts w:asciiTheme="minorHAnsi" w:hAnsiTheme="minorHAnsi"/>
          <w:sz w:val="24"/>
          <w:szCs w:val="24"/>
        </w:rPr>
        <w:t xml:space="preserve"> a ‘small state’ framing</w:t>
      </w:r>
      <w:r w:rsidR="001654C5" w:rsidRPr="0050726A">
        <w:rPr>
          <w:rFonts w:asciiTheme="minorHAnsi" w:hAnsiTheme="minorHAnsi"/>
          <w:sz w:val="24"/>
          <w:szCs w:val="24"/>
        </w:rPr>
        <w:t xml:space="preserve"> of governance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But more detailed work </w:t>
      </w:r>
      <w:r w:rsidR="002528FE" w:rsidRPr="0050726A">
        <w:rPr>
          <w:rFonts w:asciiTheme="minorHAnsi" w:hAnsiTheme="minorHAnsi"/>
          <w:sz w:val="24"/>
          <w:szCs w:val="24"/>
        </w:rPr>
        <w:t xml:space="preserve">is </w:t>
      </w:r>
      <w:r w:rsidR="00124602" w:rsidRPr="0050726A">
        <w:rPr>
          <w:rFonts w:asciiTheme="minorHAnsi" w:hAnsiTheme="minorHAnsi"/>
          <w:sz w:val="24"/>
          <w:szCs w:val="24"/>
        </w:rPr>
        <w:t xml:space="preserve">now </w:t>
      </w:r>
      <w:r w:rsidR="00EF5C36" w:rsidRPr="0050726A">
        <w:rPr>
          <w:rFonts w:asciiTheme="minorHAnsi" w:hAnsiTheme="minorHAnsi"/>
          <w:sz w:val="24"/>
          <w:szCs w:val="24"/>
        </w:rPr>
        <w:t xml:space="preserve">shedding </w:t>
      </w:r>
      <w:r w:rsidR="00124602" w:rsidRPr="0050726A">
        <w:rPr>
          <w:rFonts w:asciiTheme="minorHAnsi" w:hAnsiTheme="minorHAnsi"/>
          <w:sz w:val="24"/>
          <w:szCs w:val="24"/>
        </w:rPr>
        <w:t xml:space="preserve">light </w:t>
      </w:r>
      <w:r w:rsidR="009F56C6" w:rsidRPr="0050726A">
        <w:rPr>
          <w:rFonts w:asciiTheme="minorHAnsi" w:hAnsiTheme="minorHAnsi"/>
          <w:sz w:val="24"/>
          <w:szCs w:val="24"/>
        </w:rPr>
        <w:t xml:space="preserve">on the multiple, sometimes </w:t>
      </w:r>
      <w:r w:rsidR="00EF5C36" w:rsidRPr="0050726A">
        <w:rPr>
          <w:rFonts w:asciiTheme="minorHAnsi" w:hAnsiTheme="minorHAnsi"/>
          <w:sz w:val="24"/>
          <w:szCs w:val="24"/>
        </w:rPr>
        <w:t xml:space="preserve">overlapping roles </w:t>
      </w:r>
      <w:r w:rsidR="00331A83" w:rsidRPr="0050726A">
        <w:rPr>
          <w:rFonts w:asciiTheme="minorHAnsi" w:hAnsiTheme="minorHAnsi"/>
          <w:sz w:val="24"/>
          <w:szCs w:val="24"/>
        </w:rPr>
        <w:t>that state</w:t>
      </w:r>
      <w:r w:rsidR="00F309E6" w:rsidRPr="0050726A">
        <w:rPr>
          <w:rFonts w:asciiTheme="minorHAnsi" w:hAnsiTheme="minorHAnsi"/>
          <w:sz w:val="24"/>
          <w:szCs w:val="24"/>
        </w:rPr>
        <w:t xml:space="preserve"> politicians and bureaucrats</w:t>
      </w:r>
      <w:r w:rsidR="00331A83" w:rsidRPr="0050726A">
        <w:rPr>
          <w:rFonts w:asciiTheme="minorHAnsi" w:hAnsiTheme="minorHAnsi"/>
          <w:sz w:val="24"/>
          <w:szCs w:val="24"/>
        </w:rPr>
        <w:t xml:space="preserve"> </w:t>
      </w:r>
      <w:r w:rsidR="00EF5C36" w:rsidRPr="0050726A">
        <w:rPr>
          <w:rFonts w:asciiTheme="minorHAnsi" w:hAnsiTheme="minorHAnsi"/>
          <w:sz w:val="24"/>
          <w:szCs w:val="24"/>
        </w:rPr>
        <w:t>play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A70E5B" w:rsidRPr="0050726A">
        <w:rPr>
          <w:rFonts w:asciiTheme="minorHAnsi" w:hAnsiTheme="minorHAnsi"/>
          <w:sz w:val="24"/>
          <w:szCs w:val="24"/>
        </w:rPr>
        <w:t xml:space="preserve"> </w:t>
      </w:r>
      <w:r w:rsidR="00AE009F" w:rsidRPr="0050726A">
        <w:rPr>
          <w:rFonts w:asciiTheme="minorHAnsi" w:hAnsiTheme="minorHAnsi"/>
          <w:sz w:val="24"/>
          <w:szCs w:val="24"/>
        </w:rPr>
        <w:t xml:space="preserve">For example, through ‘new’ climate governance work we </w:t>
      </w:r>
      <w:r w:rsidRPr="0050726A">
        <w:rPr>
          <w:rFonts w:asciiTheme="minorHAnsi" w:hAnsiTheme="minorHAnsi"/>
          <w:sz w:val="24"/>
          <w:szCs w:val="24"/>
        </w:rPr>
        <w:t xml:space="preserve">are </w:t>
      </w:r>
      <w:r w:rsidR="00BE27D2" w:rsidRPr="0050726A">
        <w:rPr>
          <w:rFonts w:asciiTheme="minorHAnsi" w:hAnsiTheme="minorHAnsi"/>
          <w:sz w:val="24"/>
          <w:szCs w:val="24"/>
        </w:rPr>
        <w:t xml:space="preserve">now </w:t>
      </w:r>
      <w:r w:rsidRPr="0050726A">
        <w:rPr>
          <w:rFonts w:asciiTheme="minorHAnsi" w:hAnsiTheme="minorHAnsi"/>
          <w:sz w:val="24"/>
          <w:szCs w:val="24"/>
        </w:rPr>
        <w:t xml:space="preserve">appreciating </w:t>
      </w:r>
      <w:r w:rsidR="00AE009F" w:rsidRPr="0050726A">
        <w:rPr>
          <w:rFonts w:asciiTheme="minorHAnsi" w:hAnsiTheme="minorHAnsi"/>
          <w:sz w:val="24"/>
          <w:szCs w:val="24"/>
        </w:rPr>
        <w:t xml:space="preserve">that so-called ‘leader’ states </w:t>
      </w:r>
      <w:r w:rsidR="002528FE" w:rsidRPr="0050726A">
        <w:rPr>
          <w:rFonts w:asciiTheme="minorHAnsi" w:hAnsiTheme="minorHAnsi"/>
          <w:sz w:val="24"/>
          <w:szCs w:val="24"/>
        </w:rPr>
        <w:t xml:space="preserve">that </w:t>
      </w:r>
      <w:r w:rsidR="00BE27D2" w:rsidRPr="0050726A">
        <w:rPr>
          <w:rFonts w:asciiTheme="minorHAnsi" w:hAnsiTheme="minorHAnsi"/>
          <w:sz w:val="24"/>
          <w:szCs w:val="24"/>
        </w:rPr>
        <w:t>engage in policy innovation</w:t>
      </w:r>
      <w:r w:rsidR="002528FE" w:rsidRPr="0050726A">
        <w:rPr>
          <w:rFonts w:asciiTheme="minorHAnsi" w:hAnsiTheme="minorHAnsi"/>
          <w:sz w:val="24"/>
          <w:szCs w:val="24"/>
        </w:rPr>
        <w:t xml:space="preserve">, also </w:t>
      </w:r>
      <w:r w:rsidR="00AE009F" w:rsidRPr="0050726A">
        <w:rPr>
          <w:rFonts w:asciiTheme="minorHAnsi" w:hAnsiTheme="minorHAnsi"/>
          <w:sz w:val="24"/>
          <w:szCs w:val="24"/>
        </w:rPr>
        <w:t>work through international organisations (</w:t>
      </w:r>
      <w:r w:rsidR="00164EA9" w:rsidRPr="0050726A">
        <w:rPr>
          <w:rFonts w:asciiTheme="minorHAnsi" w:hAnsiTheme="minorHAnsi"/>
          <w:sz w:val="24"/>
          <w:szCs w:val="24"/>
        </w:rPr>
        <w:t>such as</w:t>
      </w:r>
      <w:r w:rsidR="00AE009F" w:rsidRPr="0050726A">
        <w:rPr>
          <w:rFonts w:asciiTheme="minorHAnsi" w:hAnsiTheme="minorHAnsi"/>
          <w:sz w:val="24"/>
          <w:szCs w:val="24"/>
        </w:rPr>
        <w:t xml:space="preserve"> the World Bank) and supranational bodies </w:t>
      </w:r>
      <w:r w:rsidR="001833A7" w:rsidRPr="0050726A">
        <w:rPr>
          <w:rFonts w:asciiTheme="minorHAnsi" w:hAnsiTheme="minorHAnsi"/>
          <w:sz w:val="24"/>
          <w:szCs w:val="24"/>
        </w:rPr>
        <w:t>(</w:t>
      </w:r>
      <w:r w:rsidR="00164EA9" w:rsidRPr="0050726A">
        <w:rPr>
          <w:rFonts w:asciiTheme="minorHAnsi" w:hAnsiTheme="minorHAnsi"/>
          <w:sz w:val="24"/>
          <w:szCs w:val="24"/>
        </w:rPr>
        <w:t>such as</w:t>
      </w:r>
      <w:r w:rsidR="00AE009F" w:rsidRPr="0050726A">
        <w:rPr>
          <w:rFonts w:asciiTheme="minorHAnsi" w:hAnsiTheme="minorHAnsi"/>
          <w:sz w:val="24"/>
          <w:szCs w:val="24"/>
        </w:rPr>
        <w:t xml:space="preserve"> the EU) to ‘orchestrate’ new for</w:t>
      </w:r>
      <w:r w:rsidR="004D03A3" w:rsidRPr="0050726A">
        <w:rPr>
          <w:rFonts w:asciiTheme="minorHAnsi" w:hAnsiTheme="minorHAnsi"/>
          <w:sz w:val="24"/>
          <w:szCs w:val="24"/>
        </w:rPr>
        <w:t>ms of transnational governance</w:t>
      </w:r>
      <w:r w:rsidR="00AE009F" w:rsidRPr="0050726A">
        <w:rPr>
          <w:rFonts w:asciiTheme="minorHAnsi" w:hAnsiTheme="minorHAnsi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94</w:t>
      </w:r>
    </w:p>
    <w:p w14:paraId="1D5F271B" w14:textId="77777777" w:rsidR="002528FE" w:rsidRPr="0050726A" w:rsidRDefault="002528FE" w:rsidP="00716462">
      <w:pPr>
        <w:spacing w:line="480" w:lineRule="auto"/>
        <w:ind w:right="-330"/>
        <w:jc w:val="both"/>
        <w:rPr>
          <w:rFonts w:asciiTheme="minorHAnsi" w:hAnsiTheme="minorHAnsi"/>
          <w:sz w:val="24"/>
          <w:szCs w:val="24"/>
        </w:rPr>
      </w:pPr>
    </w:p>
    <w:p w14:paraId="666BE856" w14:textId="1CA02724" w:rsidR="00AE009F" w:rsidRPr="0050726A" w:rsidRDefault="00331A83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cholars </w:t>
      </w:r>
      <w:r w:rsidR="00DF646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accept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that </w:t>
      </w:r>
      <w:r w:rsidR="00DF646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even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polycentric orders need some </w:t>
      </w:r>
      <w:r w:rsidR="00E449D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’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legal framework</w:t>
      </w:r>
      <w:r w:rsidR="00E449D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’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61, 62</w:t>
      </w:r>
      <w:r w:rsidR="009A584C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2528F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But s</w:t>
      </w:r>
      <w:r w:rsidR="00AE009F" w:rsidRPr="0050726A">
        <w:rPr>
          <w:rFonts w:asciiTheme="minorHAnsi" w:hAnsiTheme="minorHAnsi"/>
          <w:sz w:val="24"/>
          <w:szCs w:val="24"/>
        </w:rPr>
        <w:t xml:space="preserve">ome states </w:t>
      </w:r>
      <w:r w:rsidR="00E63D5D" w:rsidRPr="0050726A">
        <w:rPr>
          <w:rFonts w:asciiTheme="minorHAnsi" w:hAnsiTheme="minorHAnsi"/>
          <w:sz w:val="24"/>
          <w:szCs w:val="24"/>
        </w:rPr>
        <w:t xml:space="preserve">are </w:t>
      </w:r>
      <w:r w:rsidR="00CE57D2" w:rsidRPr="0050726A">
        <w:rPr>
          <w:rFonts w:asciiTheme="minorHAnsi" w:hAnsiTheme="minorHAnsi"/>
          <w:sz w:val="24"/>
          <w:szCs w:val="24"/>
        </w:rPr>
        <w:t>offer</w:t>
      </w:r>
      <w:r w:rsidR="00E63D5D" w:rsidRPr="0050726A">
        <w:rPr>
          <w:rFonts w:asciiTheme="minorHAnsi" w:hAnsiTheme="minorHAnsi"/>
          <w:sz w:val="24"/>
          <w:szCs w:val="24"/>
        </w:rPr>
        <w:t>ing</w:t>
      </w:r>
      <w:r w:rsidR="00DF6467" w:rsidRPr="0050726A">
        <w:rPr>
          <w:rFonts w:asciiTheme="minorHAnsi" w:hAnsiTheme="minorHAnsi"/>
          <w:sz w:val="24"/>
          <w:szCs w:val="24"/>
        </w:rPr>
        <w:t xml:space="preserve"> </w:t>
      </w:r>
      <w:r w:rsidR="00BE4752" w:rsidRPr="0050726A">
        <w:rPr>
          <w:rFonts w:asciiTheme="minorHAnsi" w:hAnsiTheme="minorHAnsi"/>
          <w:sz w:val="24"/>
          <w:szCs w:val="24"/>
        </w:rPr>
        <w:t xml:space="preserve">a good deal </w:t>
      </w:r>
      <w:r w:rsidR="00DF6467" w:rsidRPr="0050726A">
        <w:rPr>
          <w:rFonts w:asciiTheme="minorHAnsi" w:hAnsiTheme="minorHAnsi"/>
          <w:sz w:val="24"/>
          <w:szCs w:val="24"/>
        </w:rPr>
        <w:t xml:space="preserve">more. They are </w:t>
      </w:r>
      <w:r w:rsidR="00AE009F" w:rsidRPr="0050726A">
        <w:rPr>
          <w:rFonts w:asciiTheme="minorHAnsi" w:hAnsiTheme="minorHAnsi"/>
          <w:sz w:val="24"/>
          <w:szCs w:val="24"/>
        </w:rPr>
        <w:t xml:space="preserve">actively </w:t>
      </w:r>
      <w:r w:rsidR="00AE009F" w:rsidRPr="0050726A">
        <w:rPr>
          <w:rFonts w:asciiTheme="minorHAnsi" w:hAnsiTheme="minorHAnsi" w:cs="AdvOT5843c571"/>
          <w:sz w:val="24"/>
          <w:szCs w:val="24"/>
        </w:rPr>
        <w:t>nurturing national policy inventions by: working with policy instrument constituencies (emissions trading and feed</w:t>
      </w:r>
      <w:r w:rsidR="00E311CD" w:rsidRPr="0050726A">
        <w:rPr>
          <w:rFonts w:asciiTheme="minorHAnsi" w:hAnsiTheme="minorHAnsi" w:cs="AdvOT5843c571"/>
          <w:sz w:val="24"/>
          <w:szCs w:val="24"/>
        </w:rPr>
        <w:t>-</w:t>
      </w:r>
      <w:r w:rsidR="00AE009F" w:rsidRPr="0050726A">
        <w:rPr>
          <w:rFonts w:asciiTheme="minorHAnsi" w:hAnsiTheme="minorHAnsi" w:cs="AdvOT5843c571"/>
          <w:sz w:val="24"/>
          <w:szCs w:val="24"/>
        </w:rPr>
        <w:t>in tar</w:t>
      </w:r>
      <w:r w:rsidR="00A44C27" w:rsidRPr="0050726A">
        <w:rPr>
          <w:rFonts w:asciiTheme="minorHAnsi" w:hAnsiTheme="minorHAnsi" w:cs="AdvOT5843c571"/>
          <w:sz w:val="24"/>
          <w:szCs w:val="24"/>
        </w:rPr>
        <w:t>iffs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55</w:t>
      </w:r>
      <w:r w:rsidR="00A44C27" w:rsidRPr="0050726A">
        <w:rPr>
          <w:rFonts w:asciiTheme="minorHAnsi" w:hAnsiTheme="minorHAnsi" w:cs="AdvOT5843c571"/>
          <w:sz w:val="24"/>
          <w:szCs w:val="24"/>
        </w:rPr>
        <w:t xml:space="preserve"> being prominent examples</w:t>
      </w:r>
      <w:r w:rsidR="00AE009F" w:rsidRPr="0050726A">
        <w:rPr>
          <w:rFonts w:asciiTheme="minorHAnsi" w:hAnsiTheme="minorHAnsi" w:cs="AdvOT5843c571"/>
          <w:sz w:val="24"/>
          <w:szCs w:val="24"/>
        </w:rPr>
        <w:t>);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facilitating their diffusion by creating learning capacities in organisations such as the OECD</w:t>
      </w:r>
      <w:r w:rsidR="005F6239" w:rsidRPr="0050726A">
        <w:rPr>
          <w:rFonts w:asciiTheme="minorHAnsi" w:hAnsiTheme="minorHAnsi" w:cs="AdvOT5843c571"/>
          <w:color w:val="000000"/>
          <w:sz w:val="24"/>
          <w:szCs w:val="24"/>
        </w:rPr>
        <w:t>, the World Bank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and the European Commission</w:t>
      </w:r>
      <w:r w:rsidR="00AE009F" w:rsidRPr="0050726A">
        <w:rPr>
          <w:rFonts w:asciiTheme="minorHAnsi" w:hAnsiTheme="minorHAnsi" w:cs="AdvOT5843c571"/>
          <w:sz w:val="24"/>
          <w:szCs w:val="24"/>
        </w:rPr>
        <w:t>;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and encouraging learning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by establishing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bodies </w:t>
      </w:r>
      <w:r w:rsidR="00B96B8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with a capacity to evaluate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such as the European Environment Agency</w:t>
      </w:r>
      <w:r w:rsidR="00AE009F" w:rsidRPr="0050726A">
        <w:rPr>
          <w:rFonts w:asciiTheme="minorHAnsi" w:hAnsiTheme="minorHAnsi" w:cs="AdvOT5843c571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67</w:t>
      </w:r>
      <w:r w:rsidR="00AE009F" w:rsidRPr="0050726A">
        <w:rPr>
          <w:rFonts w:asciiTheme="minorHAnsi" w:hAnsiTheme="minorHAnsi" w:cs="AdvOT5843c571"/>
          <w:sz w:val="24"/>
          <w:szCs w:val="24"/>
        </w:rPr>
        <w:t xml:space="preserve"> </w:t>
      </w:r>
      <w:r w:rsidR="00BE4752" w:rsidRPr="0050726A">
        <w:rPr>
          <w:rFonts w:asciiTheme="minorHAnsi" w:hAnsiTheme="minorHAnsi" w:cs="AdvOT5843c571"/>
          <w:sz w:val="24"/>
          <w:szCs w:val="24"/>
        </w:rPr>
        <w:t xml:space="preserve">While these may appear to be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subtle activities, </w:t>
      </w:r>
      <w:r w:rsidR="00BE475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we surmise that they are likely to be politically demanding,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68</w:t>
      </w:r>
      <w:r w:rsidR="00BE475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and certainly no less tricky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than crafting international regimes.</w:t>
      </w:r>
      <w:r w:rsidR="00BE475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Understanding the choices </w:t>
      </w:r>
      <w:r w:rsidR="00BE475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lying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behind </w:t>
      </w:r>
      <w:r w:rsidR="00BE27D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them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BE4752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will </w:t>
      </w:r>
      <w:r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require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 much better understanding of the behaviour of politicians and senior bureaucrats.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0638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Fresh w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ork is needed on which factors – electoral, economic, ideological or legal </w:t>
      </w:r>
      <w:r w:rsidR="004E41C0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–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tip the balance from claiming credit, to avoiding blame</w:t>
      </w:r>
      <w:r w:rsidR="00E311CD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to producing legacy effects.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lastRenderedPageBreak/>
        <w:t>Subsequently, what determines their willingness to lead (or to stymie) efforts to govern transnationally, as compared to national or international action?</w:t>
      </w:r>
      <w:r w:rsidR="00A70E5B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DF646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We believe that 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earching for more conditional explanations for state (in)action</w:t>
      </w:r>
      <w:r w:rsidR="007246DE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across a wider variety of contexts</w:t>
      </w:r>
      <w:r w:rsidR="00C70698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 including emerging democracies,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95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DF646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is 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a more productive way to understand the promise and limits of polycentric governing</w:t>
      </w:r>
      <w:r w:rsidR="00DF6467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,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than assuming that initiative</w:t>
      </w:r>
      <w:r w:rsidR="00106381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F309E6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will</w:t>
      </w:r>
      <w:r w:rsidR="00AE009F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come either from the top or the bottom.</w:t>
      </w:r>
    </w:p>
    <w:p w14:paraId="54BD078E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72D7A408" w14:textId="75C0BA78" w:rsidR="00AE009F" w:rsidRPr="0050726A" w:rsidRDefault="00597FDA" w:rsidP="00716462">
      <w:pPr>
        <w:spacing w:line="480" w:lineRule="auto"/>
        <w:ind w:right="-330"/>
        <w:jc w:val="both"/>
        <w:rPr>
          <w:rFonts w:asciiTheme="minorHAnsi" w:hAnsiTheme="minorHAnsi" w:cs="AdvOT5843c571"/>
          <w:color w:val="000000"/>
          <w:sz w:val="24"/>
          <w:szCs w:val="24"/>
        </w:rPr>
      </w:pPr>
      <w:r w:rsidRPr="0050726A">
        <w:rPr>
          <w:rFonts w:asciiTheme="minorHAnsi" w:hAnsiTheme="minorHAnsi" w:cs="AdvOT5843c571"/>
          <w:color w:val="000000"/>
          <w:sz w:val="24"/>
          <w:szCs w:val="24"/>
        </w:rPr>
        <w:t>A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fuller and firmer appreciation of the inherent messiness of the interactions between the three domains will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greatly </w:t>
      </w:r>
      <w:r w:rsidR="00BE475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enhance </w:t>
      </w:r>
      <w:r w:rsidR="00331A8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our collective understanding of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</w:t>
      </w:r>
      <w:r w:rsidR="00CE57D2" w:rsidRPr="0050726A">
        <w:rPr>
          <w:rFonts w:asciiTheme="minorHAnsi" w:hAnsiTheme="minorHAnsi" w:cs="AdvOT5843c571"/>
          <w:color w:val="000000"/>
          <w:sz w:val="24"/>
          <w:szCs w:val="24"/>
        </w:rPr>
        <w:t>‘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new</w:t>
      </w:r>
      <w:r w:rsidR="00CE57D2" w:rsidRPr="0050726A">
        <w:rPr>
          <w:rFonts w:asciiTheme="minorHAnsi" w:hAnsiTheme="minorHAnsi" w:cs="AdvOT5843c571"/>
          <w:color w:val="000000"/>
          <w:sz w:val="24"/>
          <w:szCs w:val="24"/>
        </w:rPr>
        <w:t>’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governance</w:t>
      </w:r>
      <w:r w:rsidR="002528FE" w:rsidRPr="0050726A">
        <w:rPr>
          <w:rFonts w:asciiTheme="minorHAnsi" w:hAnsiTheme="minorHAnsi" w:cs="AdvOT5843c571"/>
          <w:color w:val="000000"/>
          <w:sz w:val="24"/>
          <w:szCs w:val="24"/>
        </w:rPr>
        <w:t>; knowledge which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if translated into governance design activities,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could 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inform the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Paris 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conference in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2015.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For researchers, it implies a need to build </w:t>
      </w:r>
      <w:r w:rsidR="002B0C3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stronger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bridges between the research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>strands</w:t>
      </w:r>
      <w:r w:rsidR="005A5327">
        <w:rPr>
          <w:rFonts w:asciiTheme="minorHAnsi" w:hAnsiTheme="minorHAnsi" w:cs="AdvOT5843c571"/>
          <w:color w:val="000000"/>
          <w:sz w:val="24"/>
          <w:szCs w:val="24"/>
        </w:rPr>
        <w:t>, and work on mitigation and adaptation (the latter being especially under-represented in our stock take)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8354E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Bridge building is </w:t>
      </w:r>
      <w:r w:rsidR="00BE4752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not </w:t>
      </w:r>
      <w:r w:rsidR="008354EF" w:rsidRPr="0050726A">
        <w:rPr>
          <w:rFonts w:asciiTheme="minorHAnsi" w:hAnsiTheme="minorHAnsi" w:cs="AdvOT5843c571"/>
          <w:color w:val="000000"/>
          <w:sz w:val="24"/>
          <w:szCs w:val="24"/>
        </w:rPr>
        <w:t>a trivial task – concepts developed in the national policy literature will need careful translation into the transnational realm, and vice versa. But</w:t>
      </w:r>
      <w:r w:rsidR="004E41C0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by</w:t>
      </w:r>
      <w:r w:rsidR="008354E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illustrating how </w:t>
      </w:r>
      <w:r w:rsidR="00E311CD" w:rsidRPr="0050726A">
        <w:rPr>
          <w:rFonts w:asciiTheme="minorHAnsi" w:hAnsiTheme="minorHAnsi" w:cs="AdvOT5843c571"/>
          <w:color w:val="000000"/>
          <w:sz w:val="24"/>
          <w:szCs w:val="24"/>
        </w:rPr>
        <w:t>each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906FF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strand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speak</w:t>
      </w:r>
      <w:r w:rsidR="00E311CD" w:rsidRPr="0050726A">
        <w:rPr>
          <w:rFonts w:asciiTheme="minorHAnsi" w:hAnsiTheme="minorHAnsi" w:cs="AdvOT5843c571"/>
          <w:color w:val="000000"/>
          <w:sz w:val="24"/>
          <w:szCs w:val="24"/>
        </w:rPr>
        <w:t>s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to </w:t>
      </w:r>
      <w:r w:rsidR="00906FF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shared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analytical puzzles of distribution, initiation and performance, we have shown that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although </w:t>
      </w:r>
      <w:r w:rsidR="00906FF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all three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>are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guilty of </w:t>
      </w:r>
      <w:r w:rsidR="00A44C27" w:rsidRPr="0050726A">
        <w:rPr>
          <w:rFonts w:asciiTheme="minorHAnsi" w:hAnsiTheme="minorHAnsi" w:cs="AdvOT5843c571"/>
          <w:color w:val="000000"/>
          <w:sz w:val="24"/>
          <w:szCs w:val="24"/>
        </w:rPr>
        <w:t>concept stretching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96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the</w:t>
      </w:r>
      <w:r w:rsidR="00906FF3" w:rsidRPr="0050726A">
        <w:rPr>
          <w:rFonts w:asciiTheme="minorHAnsi" w:hAnsiTheme="minorHAnsi" w:cs="AdvOT5843c571"/>
          <w:color w:val="000000"/>
          <w:sz w:val="24"/>
          <w:szCs w:val="24"/>
        </w:rPr>
        <w:t>y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906FF3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are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nonetheless essentially complementary – </w:t>
      </w:r>
      <w:r w:rsidR="004E41C0" w:rsidRPr="0050726A">
        <w:rPr>
          <w:rFonts w:asciiTheme="minorHAnsi" w:hAnsiTheme="minorHAnsi" w:cs="AdvOT5843c571"/>
          <w:color w:val="000000"/>
          <w:sz w:val="24"/>
          <w:szCs w:val="24"/>
        </w:rPr>
        <w:t>an encouraging foundation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for future collaboration.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Indeed, the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welcome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shift from single cases to more comprehensive databases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suggests that convergence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>is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eminently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>possible</w:t>
      </w:r>
      <w:r w:rsidR="0050726A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in the short term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Further breakthroughs will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>, we believe,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be made when larger ‘n’ quantitative studies are connected to qualitativ</w:t>
      </w:r>
      <w:r w:rsidR="00A44C27" w:rsidRPr="0050726A">
        <w:rPr>
          <w:rFonts w:asciiTheme="minorHAnsi" w:hAnsiTheme="minorHAnsi" w:cs="AdvOT5843c571"/>
          <w:color w:val="000000"/>
          <w:sz w:val="24"/>
          <w:szCs w:val="24"/>
        </w:rPr>
        <w:t>e analyses of individual cases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97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A44C27" w:rsidRPr="0050726A">
        <w:rPr>
          <w:rFonts w:asciiTheme="minorHAnsi" w:hAnsiTheme="minorHAnsi" w:cs="AdvOT5843c571"/>
          <w:color w:val="000000"/>
          <w:sz w:val="24"/>
          <w:szCs w:val="24"/>
        </w:rPr>
        <w:t>Hale and Roger’s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26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insightful analysis of the most dynamic orchestrators of transnational governance offers a very good ex</w:t>
      </w:r>
      <w:r w:rsidR="00DB054B" w:rsidRPr="0050726A">
        <w:rPr>
          <w:rFonts w:asciiTheme="minorHAnsi" w:hAnsiTheme="minorHAnsi" w:cs="AdvOT5843c571"/>
          <w:color w:val="000000"/>
          <w:sz w:val="24"/>
          <w:szCs w:val="24"/>
        </w:rPr>
        <w:t>a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mpl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>e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of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what can be learnt by </w:t>
      </w:r>
      <w:r w:rsidR="008B045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creatively 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mix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>ing methods</w:t>
      </w:r>
      <w:r w:rsidR="00AE009F" w:rsidRPr="0050726A">
        <w:rPr>
          <w:rFonts w:asciiTheme="minorHAnsi" w:hAnsiTheme="minorHAnsi" w:cs="AdvOT5843c571"/>
          <w:color w:val="000000"/>
          <w:sz w:val="24"/>
          <w:szCs w:val="24"/>
        </w:rPr>
        <w:t>.</w:t>
      </w:r>
    </w:p>
    <w:p w14:paraId="55BCB1C1" w14:textId="77777777" w:rsidR="00AE009F" w:rsidRPr="0050726A" w:rsidRDefault="00AE009F" w:rsidP="00716462">
      <w:pPr>
        <w:spacing w:line="480" w:lineRule="auto"/>
        <w:ind w:right="-330"/>
        <w:jc w:val="both"/>
        <w:rPr>
          <w:rFonts w:asciiTheme="minorHAnsi" w:hAnsiTheme="minorHAnsi" w:cs="AdvOT5843c571"/>
          <w:color w:val="000000"/>
          <w:sz w:val="24"/>
          <w:szCs w:val="24"/>
        </w:rPr>
      </w:pPr>
    </w:p>
    <w:p w14:paraId="081C1AEF" w14:textId="05F23FBC" w:rsidR="006E4C9A" w:rsidRPr="0050726A" w:rsidRDefault="00AE009F" w:rsidP="006E4C9A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AdvOT5843c571"/>
          <w:color w:val="000000"/>
          <w:sz w:val="24"/>
          <w:szCs w:val="24"/>
        </w:rPr>
        <w:lastRenderedPageBreak/>
        <w:t xml:space="preserve">For practitioners, messiness in governance 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implies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that some of the initially high hopes that bottom-up forms of governing would </w:t>
      </w:r>
      <w:r w:rsidR="006A0327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magically spring up and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save the day</w:t>
      </w:r>
      <w:r w:rsidR="008B045F" w:rsidRPr="0050726A">
        <w:rPr>
          <w:rFonts w:asciiTheme="minorHAnsi" w:hAnsiTheme="minorHAnsi" w:cs="AdvOT5843c571"/>
          <w:color w:val="000000"/>
          <w:sz w:val="24"/>
          <w:szCs w:val="24"/>
        </w:rPr>
        <w:t>,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should be tempered.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Unfortunately, given the acute urgency of moving the world onto a path of radical decarbonisation, it </w:t>
      </w:r>
      <w:r w:rsidR="009F5FE8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could be some time before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precise circumstances in which the new forms of governance are emerging and performing are </w:t>
      </w:r>
      <w:r w:rsidR="00106381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sufficiently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understood.</w:t>
      </w:r>
      <w:r w:rsidR="00A70E5B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C65D30">
        <w:rPr>
          <w:rFonts w:asciiTheme="minorHAnsi" w:hAnsiTheme="minorHAnsi" w:cs="AdvOT5843c571"/>
          <w:color w:val="000000"/>
          <w:sz w:val="24"/>
          <w:szCs w:val="24"/>
        </w:rPr>
        <w:t>Political e</w:t>
      </w:r>
      <w:r w:rsidR="008C71CB" w:rsidRPr="0050726A">
        <w:rPr>
          <w:rFonts w:asciiTheme="minorHAnsi" w:hAnsiTheme="minorHAnsi"/>
          <w:sz w:val="24"/>
          <w:szCs w:val="24"/>
        </w:rPr>
        <w:t xml:space="preserve">fforts to catalogue and evaluate the </w:t>
      </w:r>
      <w:r w:rsidR="00561A5F" w:rsidRPr="0050726A">
        <w:rPr>
          <w:rFonts w:asciiTheme="minorHAnsi" w:hAnsiTheme="minorHAnsi"/>
          <w:sz w:val="24"/>
          <w:szCs w:val="24"/>
        </w:rPr>
        <w:t>‘</w:t>
      </w:r>
      <w:r w:rsidR="008C71CB" w:rsidRPr="0050726A">
        <w:rPr>
          <w:rFonts w:asciiTheme="minorHAnsi" w:hAnsiTheme="minorHAnsi"/>
          <w:sz w:val="24"/>
          <w:szCs w:val="24"/>
        </w:rPr>
        <w:t>new</w:t>
      </w:r>
      <w:r w:rsidR="00561A5F" w:rsidRPr="0050726A">
        <w:rPr>
          <w:rFonts w:asciiTheme="minorHAnsi" w:hAnsiTheme="minorHAnsi"/>
          <w:sz w:val="24"/>
          <w:szCs w:val="24"/>
        </w:rPr>
        <w:t>’</w:t>
      </w:r>
      <w:r w:rsidR="008C71CB" w:rsidRPr="0050726A">
        <w:rPr>
          <w:rFonts w:asciiTheme="minorHAnsi" w:hAnsiTheme="minorHAnsi"/>
          <w:sz w:val="24"/>
          <w:szCs w:val="24"/>
        </w:rPr>
        <w:t xml:space="preserve"> climate governance </w:t>
      </w:r>
      <w:r w:rsidR="008B045F" w:rsidRPr="0050726A">
        <w:rPr>
          <w:rFonts w:asciiTheme="minorHAnsi" w:hAnsiTheme="minorHAnsi"/>
          <w:sz w:val="24"/>
          <w:szCs w:val="24"/>
        </w:rPr>
        <w:t xml:space="preserve">should </w:t>
      </w:r>
      <w:r w:rsidR="008C71CB" w:rsidRPr="0050726A">
        <w:rPr>
          <w:rFonts w:asciiTheme="minorHAnsi" w:hAnsiTheme="minorHAnsi"/>
          <w:sz w:val="24"/>
          <w:szCs w:val="24"/>
        </w:rPr>
        <w:t>be strengthened</w:t>
      </w:r>
      <w:r w:rsidR="008B045F" w:rsidRPr="0050726A">
        <w:rPr>
          <w:rFonts w:asciiTheme="minorHAnsi" w:hAnsiTheme="minorHAnsi"/>
          <w:sz w:val="24"/>
          <w:szCs w:val="24"/>
        </w:rPr>
        <w:t>,</w:t>
      </w:r>
      <w:r w:rsidR="008C71CB" w:rsidRPr="0050726A">
        <w:rPr>
          <w:rFonts w:asciiTheme="minorHAnsi" w:hAnsiTheme="minorHAnsi"/>
          <w:sz w:val="24"/>
          <w:szCs w:val="24"/>
        </w:rPr>
        <w:t xml:space="preserve"> building on existing activities both within (e.g. the Non-State Actors Zone for Climate Action</w:t>
      </w:r>
      <w:r w:rsidR="00C11347" w:rsidRPr="0050726A">
        <w:rPr>
          <w:rFonts w:asciiTheme="minorHAnsi" w:eastAsia="Times New Roman" w:hAnsiTheme="minorHAnsi"/>
          <w:sz w:val="24"/>
          <w:vertAlign w:val="superscript"/>
        </w:rPr>
        <w:t>13</w:t>
      </w:r>
      <w:r w:rsidR="008C71CB" w:rsidRPr="0050726A">
        <w:rPr>
          <w:rFonts w:asciiTheme="minorHAnsi" w:hAnsiTheme="minorHAnsi"/>
          <w:sz w:val="24"/>
          <w:szCs w:val="24"/>
        </w:rPr>
        <w:t xml:space="preserve">) and outside the UNFCCC. In the meantime,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and knowing what social scientists are beginning to discover about the dense and messy interconnections between the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>three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domains, it would, as Ostrom 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>reminded us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 </w:t>
      </w:r>
      <w:r w:rsidR="006A0327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just </w:t>
      </w:r>
      <w:r w:rsidR="00E666B5" w:rsidRPr="0050726A">
        <w:rPr>
          <w:rFonts w:asciiTheme="minorHAnsi" w:hAnsiTheme="minorHAnsi" w:cs="AdvOT5843c571"/>
          <w:color w:val="000000"/>
          <w:sz w:val="24"/>
          <w:szCs w:val="24"/>
        </w:rPr>
        <w:t>before her untimely death</w:t>
      </w:r>
      <w:r w:rsidR="00DF6467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,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be extremely un</w:t>
      </w:r>
      <w:r w:rsidR="008B045F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fortunate if there was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any let-up in </w:t>
      </w:r>
      <w:r w:rsidR="002048F6" w:rsidRPr="0050726A">
        <w:rPr>
          <w:rFonts w:asciiTheme="minorHAnsi" w:hAnsiTheme="minorHAnsi" w:cs="AdvOT5843c571"/>
          <w:color w:val="000000"/>
          <w:sz w:val="24"/>
          <w:szCs w:val="24"/>
        </w:rPr>
        <w:t xml:space="preserve">the </w:t>
      </w:r>
      <w:r w:rsidRPr="0050726A">
        <w:rPr>
          <w:rFonts w:asciiTheme="minorHAnsi" w:hAnsiTheme="minorHAnsi" w:cs="AdvOT5843c571"/>
          <w:color w:val="000000"/>
          <w:sz w:val="24"/>
          <w:szCs w:val="24"/>
        </w:rPr>
        <w:t>diplomatic efforts to craft an ambitious international agreement in Paris.</w:t>
      </w:r>
    </w:p>
    <w:p w14:paraId="316D86D6" w14:textId="77777777" w:rsidR="006E4C9A" w:rsidRPr="0050726A" w:rsidRDefault="006E4C9A" w:rsidP="006E4C9A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292A0FC4" w14:textId="073C02D4" w:rsidR="0060137F" w:rsidRDefault="0060137F" w:rsidP="006E4C9A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Correspondence</w:t>
      </w:r>
    </w:p>
    <w:p w14:paraId="4AA3F9D2" w14:textId="46957D81" w:rsidR="0060137F" w:rsidRDefault="0060137F" w:rsidP="006E4C9A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Correspondence and requests for material should be sent to Andy Jordan: </w:t>
      </w:r>
      <w:hyperlink r:id="rId21" w:history="1">
        <w:r w:rsidRPr="000D48B2">
          <w:rPr>
            <w:rStyle w:val="Hyperlink"/>
            <w:rFonts w:asciiTheme="minorHAnsi" w:hAnsiTheme="minorHAnsi" w:cs="Lucida Sans Unicode"/>
            <w:sz w:val="24"/>
            <w:szCs w:val="24"/>
            <w:shd w:val="clear" w:color="auto" w:fill="FFFFFF"/>
          </w:rPr>
          <w:t>a.jordan@uea.ac.uk</w:t>
        </w:r>
      </w:hyperlink>
    </w:p>
    <w:p w14:paraId="4DAB95F0" w14:textId="77777777" w:rsidR="0060137F" w:rsidRDefault="0060137F" w:rsidP="006E4C9A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</w:p>
    <w:p w14:paraId="5947D269" w14:textId="02625E3A" w:rsidR="00F05A20" w:rsidRPr="0050726A" w:rsidRDefault="00F05A20" w:rsidP="006E4C9A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50726A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Acknowledgements</w:t>
      </w:r>
    </w:p>
    <w:p w14:paraId="67960239" w14:textId="1205EE3A" w:rsidR="00D10C6D" w:rsidRDefault="00105495" w:rsidP="0038354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Very helpful comments on earlier drafts were received from Robbert Biesbroek and four anonymous referees. </w:t>
      </w:r>
      <w:r w:rsidR="00D708D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Th</w:t>
      </w:r>
      <w:r w:rsidR="0050726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e writing of this </w:t>
      </w:r>
      <w:r w:rsidR="00D708D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article was </w:t>
      </w:r>
      <w:r w:rsidR="0050726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facilitated </w:t>
      </w:r>
      <w:r w:rsidR="00D708D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by </w:t>
      </w:r>
      <w:r w:rsidR="0050726A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funding from the </w:t>
      </w:r>
      <w:r w:rsidR="008E7F39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COST </w:t>
      </w:r>
      <w:r w:rsidR="00D708D4" w:rsidRPr="0050726A">
        <w:rPr>
          <w:rFonts w:asciiTheme="minorHAnsi" w:hAnsiTheme="minorHAnsi" w:cs="Lucida Sans Unicode"/>
          <w:sz w:val="24"/>
          <w:szCs w:val="24"/>
          <w:shd w:val="clear" w:color="auto" w:fill="FFFFFF"/>
        </w:rPr>
        <w:t>network INOGOV – Innovations in Climate Governance (IS1309)</w:t>
      </w:r>
      <w:r w:rsid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: </w:t>
      </w:r>
      <w:hyperlink r:id="rId22" w:history="1">
        <w:r w:rsidR="0060137F" w:rsidRPr="000D48B2">
          <w:rPr>
            <w:rStyle w:val="Hyperlink"/>
            <w:rFonts w:asciiTheme="minorHAnsi" w:hAnsiTheme="minorHAnsi" w:cs="Lucida Sans Unicode"/>
            <w:sz w:val="24"/>
            <w:szCs w:val="24"/>
            <w:shd w:val="clear" w:color="auto" w:fill="FFFFFF"/>
          </w:rPr>
          <w:t>www.inogov.eu</w:t>
        </w:r>
      </w:hyperlink>
      <w:r>
        <w:rPr>
          <w:rFonts w:asciiTheme="minorHAnsi" w:hAnsiTheme="minorHAnsi" w:cs="Lucida Sans Unicode"/>
          <w:sz w:val="24"/>
          <w:szCs w:val="24"/>
          <w:shd w:val="clear" w:color="auto" w:fill="FFFFFF"/>
        </w:rPr>
        <w:t>.</w:t>
      </w:r>
    </w:p>
    <w:p w14:paraId="2C645361" w14:textId="77777777" w:rsidR="0050726A" w:rsidRDefault="0050726A" w:rsidP="0038354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p w14:paraId="6FFC94B4" w14:textId="6947C162" w:rsidR="0060137F" w:rsidRDefault="0060137F" w:rsidP="00383544">
      <w:pPr>
        <w:spacing w:line="480" w:lineRule="auto"/>
        <w:ind w:right="-330"/>
        <w:jc w:val="both"/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</w:pPr>
      <w:r w:rsidRPr="0060137F">
        <w:rPr>
          <w:rFonts w:asciiTheme="minorHAnsi" w:hAnsiTheme="minorHAnsi" w:cs="Lucida Sans Unicode"/>
          <w:b/>
          <w:sz w:val="24"/>
          <w:szCs w:val="24"/>
          <w:shd w:val="clear" w:color="auto" w:fill="FFFFFF"/>
        </w:rPr>
        <w:t>Statement of contributions</w:t>
      </w:r>
    </w:p>
    <w:p w14:paraId="7DFA4B2D" w14:textId="44943A9A" w:rsidR="0060137F" w:rsidRPr="0060137F" w:rsidRDefault="0060137F" w:rsidP="00383544">
      <w:pPr>
        <w:spacing w:line="480" w:lineRule="auto"/>
        <w:ind w:right="-330"/>
        <w:jc w:val="both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  <w:r w:rsidRP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lastRenderedPageBreak/>
        <w:t>AJ and DH conceived and designed the paper, contributed material</w:t>
      </w:r>
      <w:r w:rsidR="00105495">
        <w:rPr>
          <w:rFonts w:asciiTheme="minorHAnsi" w:hAnsiTheme="minorHAnsi" w:cs="Lucida Sans Unicode"/>
          <w:sz w:val="24"/>
          <w:szCs w:val="24"/>
          <w:shd w:val="clear" w:color="auto" w:fill="FFFFFF"/>
        </w:rPr>
        <w:t>s</w:t>
      </w:r>
      <w:r w:rsidRP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and wrote </w:t>
      </w:r>
      <w:r w:rsidR="00105495">
        <w:rPr>
          <w:rFonts w:asciiTheme="minorHAnsi" w:hAnsiTheme="minorHAnsi" w:cs="Lucida Sans Unicode"/>
          <w:sz w:val="24"/>
          <w:szCs w:val="24"/>
          <w:shd w:val="clear" w:color="auto" w:fill="FFFFFF"/>
        </w:rPr>
        <w:t>it</w:t>
      </w:r>
      <w:r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. </w:t>
      </w:r>
      <w:r w:rsidRP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t xml:space="preserve"> </w:t>
      </w:r>
      <w:r w:rsidR="00105495">
        <w:rPr>
          <w:rFonts w:asciiTheme="minorHAnsi" w:hAnsiTheme="minorHAnsi" w:cs="Lucida Sans Unicode"/>
          <w:sz w:val="24"/>
          <w:szCs w:val="24"/>
          <w:shd w:val="clear" w:color="auto" w:fill="FFFFFF"/>
        </w:rPr>
        <w:t>MH, HvA, TR, JS, JT, JF an</w:t>
      </w:r>
      <w:r w:rsidRPr="0060137F">
        <w:rPr>
          <w:rFonts w:asciiTheme="minorHAnsi" w:hAnsiTheme="minorHAnsi" w:cs="Lucida Sans Unicode"/>
          <w:sz w:val="24"/>
          <w:szCs w:val="24"/>
          <w:shd w:val="clear" w:color="auto" w:fill="FFFFFF"/>
        </w:rPr>
        <w:t>d EB contributed materials and wrote the paper.</w:t>
      </w:r>
    </w:p>
    <w:p w14:paraId="37895A2C" w14:textId="53153A4A" w:rsidR="00C11347" w:rsidRPr="0050726A" w:rsidRDefault="00C11347" w:rsidP="00C11347">
      <w:pPr>
        <w:pStyle w:val="NormalWeb"/>
        <w:jc w:val="center"/>
        <w:rPr>
          <w:rFonts w:asciiTheme="minorHAnsi" w:hAnsiTheme="minorHAnsi"/>
          <w:b/>
          <w:sz w:val="22"/>
        </w:rPr>
      </w:pPr>
      <w:r w:rsidRPr="0050726A">
        <w:rPr>
          <w:rFonts w:asciiTheme="minorHAnsi" w:hAnsiTheme="minorHAnsi"/>
          <w:b/>
          <w:sz w:val="22"/>
        </w:rPr>
        <w:t>References</w:t>
      </w:r>
    </w:p>
    <w:p w14:paraId="2B5522D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1. Jordan, A.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Going beyond two degrees? The risks and opportunities of alternative options.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b/>
          <w:bCs/>
          <w:sz w:val="22"/>
        </w:rPr>
        <w:t xml:space="preserve"> 13</w:t>
      </w:r>
      <w:r w:rsidRPr="0050726A">
        <w:rPr>
          <w:rFonts w:asciiTheme="minorHAnsi" w:hAnsiTheme="minorHAnsi"/>
          <w:sz w:val="22"/>
        </w:rPr>
        <w:t>, 751-769 (2013).</w:t>
      </w:r>
    </w:p>
    <w:p w14:paraId="7C26C901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2. Davis, S. J., Cao, L., Caldeira, K. &amp; Hoffert, M. I. Rethinking wedges. </w:t>
      </w:r>
      <w:r w:rsidRPr="0050726A">
        <w:rPr>
          <w:rFonts w:asciiTheme="minorHAnsi" w:hAnsiTheme="minorHAnsi"/>
          <w:i/>
          <w:iCs/>
          <w:sz w:val="22"/>
        </w:rPr>
        <w:t>Environmental Research Letters</w:t>
      </w:r>
      <w:r w:rsidRPr="0050726A">
        <w:rPr>
          <w:rFonts w:asciiTheme="minorHAnsi" w:hAnsiTheme="minorHAnsi"/>
          <w:b/>
          <w:bCs/>
          <w:sz w:val="22"/>
        </w:rPr>
        <w:t xml:space="preserve"> 8</w:t>
      </w:r>
      <w:r w:rsidRPr="0050726A">
        <w:rPr>
          <w:rFonts w:asciiTheme="minorHAnsi" w:hAnsiTheme="minorHAnsi"/>
          <w:sz w:val="22"/>
        </w:rPr>
        <w:t>, 011001 (2013).</w:t>
      </w:r>
    </w:p>
    <w:p w14:paraId="76FA13F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3. Levi-Faur, D. in </w:t>
      </w:r>
      <w:r w:rsidRPr="0050726A">
        <w:rPr>
          <w:rFonts w:asciiTheme="minorHAnsi" w:hAnsiTheme="minorHAnsi"/>
          <w:i/>
          <w:iCs/>
          <w:sz w:val="22"/>
        </w:rPr>
        <w:t xml:space="preserve">Oxford Handbook of Governance </w:t>
      </w:r>
      <w:r w:rsidRPr="0050726A">
        <w:rPr>
          <w:rFonts w:asciiTheme="minorHAnsi" w:hAnsiTheme="minorHAnsi"/>
          <w:sz w:val="22"/>
        </w:rPr>
        <w:t>(Oxford University Press, Oxford, 2012).</w:t>
      </w:r>
    </w:p>
    <w:p w14:paraId="72DCB41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4. Hoffmann, M. J. in </w:t>
      </w:r>
      <w:r w:rsidRPr="0050726A">
        <w:rPr>
          <w:rFonts w:asciiTheme="minorHAnsi" w:hAnsiTheme="minorHAnsi"/>
          <w:i/>
          <w:iCs/>
          <w:sz w:val="22"/>
        </w:rPr>
        <w:t xml:space="preserve">Climate governance at the crossroads: experimenting with a global response after Kyoto </w:t>
      </w:r>
      <w:r w:rsidRPr="0050726A">
        <w:rPr>
          <w:rFonts w:asciiTheme="minorHAnsi" w:hAnsiTheme="minorHAnsi"/>
          <w:sz w:val="22"/>
        </w:rPr>
        <w:t>(Oxford University Press, 2011).</w:t>
      </w:r>
    </w:p>
    <w:p w14:paraId="17F5833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5. Keohane, R. O. &amp; Victor, D. G. The regime complex for climate change. </w:t>
      </w:r>
      <w:r w:rsidRPr="0050726A">
        <w:rPr>
          <w:rFonts w:asciiTheme="minorHAnsi" w:hAnsiTheme="minorHAnsi"/>
          <w:i/>
          <w:iCs/>
          <w:sz w:val="22"/>
        </w:rPr>
        <w:t>Perspectives on politics</w:t>
      </w:r>
      <w:r w:rsidRPr="0050726A">
        <w:rPr>
          <w:rFonts w:asciiTheme="minorHAnsi" w:hAnsiTheme="minorHAnsi"/>
          <w:b/>
          <w:bCs/>
          <w:sz w:val="22"/>
        </w:rPr>
        <w:t xml:space="preserve"> 9</w:t>
      </w:r>
      <w:r w:rsidRPr="0050726A">
        <w:rPr>
          <w:rFonts w:asciiTheme="minorHAnsi" w:hAnsiTheme="minorHAnsi"/>
          <w:sz w:val="22"/>
        </w:rPr>
        <w:t>, 7-23 (2011).</w:t>
      </w:r>
    </w:p>
    <w:p w14:paraId="40B88D8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6. Falkner, R., Stephan, H. &amp; Vogler, J. International climate policy after Copenhagen: Towards a ‘building blocks’ approach. </w:t>
      </w:r>
      <w:r w:rsidRPr="0050726A">
        <w:rPr>
          <w:rFonts w:asciiTheme="minorHAnsi" w:hAnsiTheme="minorHAnsi"/>
          <w:i/>
          <w:iCs/>
          <w:sz w:val="22"/>
        </w:rPr>
        <w:t>Global Policy</w:t>
      </w:r>
      <w:r w:rsidRPr="0050726A">
        <w:rPr>
          <w:rFonts w:asciiTheme="minorHAnsi" w:hAnsiTheme="minorHAnsi"/>
          <w:b/>
          <w:bCs/>
          <w:sz w:val="22"/>
        </w:rPr>
        <w:t xml:space="preserve"> 1</w:t>
      </w:r>
      <w:r w:rsidRPr="0050726A">
        <w:rPr>
          <w:rFonts w:asciiTheme="minorHAnsi" w:hAnsiTheme="minorHAnsi"/>
          <w:sz w:val="22"/>
        </w:rPr>
        <w:t>, 252-262 (2010).</w:t>
      </w:r>
    </w:p>
    <w:p w14:paraId="03197F9C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7. Biermann, F.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Earth system governance: A research framework. </w:t>
      </w:r>
      <w:r w:rsidRPr="0050726A">
        <w:rPr>
          <w:rFonts w:asciiTheme="minorHAnsi" w:hAnsiTheme="minorHAnsi"/>
          <w:i/>
          <w:iCs/>
          <w:sz w:val="22"/>
        </w:rPr>
        <w:t>International Environmental Agreements: Politics, Law and Economics</w:t>
      </w:r>
      <w:r w:rsidRPr="0050726A">
        <w:rPr>
          <w:rFonts w:asciiTheme="minorHAnsi" w:hAnsiTheme="minorHAnsi"/>
          <w:b/>
          <w:bCs/>
          <w:sz w:val="22"/>
        </w:rPr>
        <w:t xml:space="preserve"> 10</w:t>
      </w:r>
      <w:r w:rsidRPr="0050726A">
        <w:rPr>
          <w:rFonts w:asciiTheme="minorHAnsi" w:hAnsiTheme="minorHAnsi"/>
          <w:sz w:val="22"/>
        </w:rPr>
        <w:t>, 277-298 (2010).</w:t>
      </w:r>
    </w:p>
    <w:p w14:paraId="04412CD0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8. Biermann, F. in </w:t>
      </w:r>
      <w:r w:rsidRPr="0050726A">
        <w:rPr>
          <w:rFonts w:asciiTheme="minorHAnsi" w:hAnsiTheme="minorHAnsi"/>
          <w:i/>
          <w:iCs/>
          <w:sz w:val="22"/>
        </w:rPr>
        <w:t xml:space="preserve">Earth system governance: world politics in the anthropocene </w:t>
      </w:r>
      <w:r w:rsidRPr="0050726A">
        <w:rPr>
          <w:rFonts w:asciiTheme="minorHAnsi" w:hAnsiTheme="minorHAnsi"/>
          <w:sz w:val="22"/>
        </w:rPr>
        <w:t>(MIT Press, Cambridge (MA); London, 2014).</w:t>
      </w:r>
    </w:p>
    <w:p w14:paraId="5360D05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9. Aldy, J. E. &amp; Stavins, R. N. in </w:t>
      </w:r>
      <w:r w:rsidRPr="0050726A">
        <w:rPr>
          <w:rFonts w:asciiTheme="minorHAnsi" w:hAnsiTheme="minorHAnsi"/>
          <w:i/>
          <w:iCs/>
          <w:sz w:val="22"/>
        </w:rPr>
        <w:t xml:space="preserve">Post-Kyoto International Climate Policy: Implementing Architectures for Agreement </w:t>
      </w:r>
      <w:r w:rsidRPr="0050726A">
        <w:rPr>
          <w:rFonts w:asciiTheme="minorHAnsi" w:hAnsiTheme="minorHAnsi"/>
          <w:sz w:val="22"/>
        </w:rPr>
        <w:t>(Cambridge University Press, Cambridge, 2009).</w:t>
      </w:r>
    </w:p>
    <w:p w14:paraId="4424E9C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10. World Bank. World Development Report 2010: Development and Climate Change. (2010).</w:t>
      </w:r>
    </w:p>
    <w:p w14:paraId="5729DFA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11. Voß, J. &amp; Simons, A. Instrument constituencies and the supply side of policy innovation: the social life of emissions trading.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735-754 (2014).</w:t>
      </w:r>
    </w:p>
    <w:p w14:paraId="7C75A10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12. Bulkeley, H.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Governing climate change transnationally: assessing the evidence from a database of sixty initiatives. </w:t>
      </w:r>
      <w:r w:rsidRPr="0050726A">
        <w:rPr>
          <w:rFonts w:asciiTheme="minorHAnsi" w:hAnsiTheme="minorHAnsi"/>
          <w:i/>
          <w:iCs/>
          <w:sz w:val="22"/>
        </w:rPr>
        <w:t>Environment and Planning C: Government and Policy</w:t>
      </w:r>
      <w:r w:rsidRPr="0050726A">
        <w:rPr>
          <w:rFonts w:asciiTheme="minorHAnsi" w:hAnsiTheme="minorHAnsi"/>
          <w:b/>
          <w:bCs/>
          <w:sz w:val="22"/>
        </w:rPr>
        <w:t xml:space="preserve"> 30</w:t>
      </w:r>
      <w:r w:rsidRPr="0050726A">
        <w:rPr>
          <w:rFonts w:asciiTheme="minorHAnsi" w:hAnsiTheme="minorHAnsi"/>
          <w:sz w:val="22"/>
        </w:rPr>
        <w:t>, 591-612 (2012).</w:t>
      </w:r>
    </w:p>
    <w:p w14:paraId="47B0169C" w14:textId="1DB417ED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13. </w:t>
      </w:r>
      <w:r w:rsidRPr="0050726A">
        <w:rPr>
          <w:rFonts w:asciiTheme="minorHAnsi" w:hAnsiTheme="minorHAnsi"/>
        </w:rPr>
        <w:t>http://climateaction.unfccc.int/</w:t>
      </w:r>
      <w:r w:rsidRPr="0050726A">
        <w:rPr>
          <w:rFonts w:asciiTheme="minorHAnsi" w:hAnsiTheme="minorHAnsi"/>
          <w:sz w:val="22"/>
        </w:rPr>
        <w:t>.</w:t>
      </w:r>
    </w:p>
    <w:p w14:paraId="49604300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14. Rayner, S. How to eat an elephant: a bottom-up approach to climate policy.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b/>
          <w:bCs/>
          <w:sz w:val="22"/>
        </w:rPr>
        <w:t xml:space="preserve"> 10</w:t>
      </w:r>
      <w:r w:rsidRPr="0050726A">
        <w:rPr>
          <w:rFonts w:asciiTheme="minorHAnsi" w:hAnsiTheme="minorHAnsi"/>
          <w:sz w:val="22"/>
        </w:rPr>
        <w:t>, 615-621 (2010).</w:t>
      </w:r>
    </w:p>
    <w:p w14:paraId="0CF73929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15. Stewart, R. B., Oppenheimer, M. &amp; Rudyk, B. A new strategy for global climate protection. </w:t>
      </w:r>
      <w:r w:rsidRPr="0050726A">
        <w:rPr>
          <w:rFonts w:asciiTheme="minorHAnsi" w:hAnsiTheme="minorHAnsi"/>
          <w:i/>
          <w:iCs/>
          <w:sz w:val="22"/>
        </w:rPr>
        <w:t>Clim. Change</w:t>
      </w:r>
      <w:r w:rsidRPr="0050726A">
        <w:rPr>
          <w:rFonts w:asciiTheme="minorHAnsi" w:hAnsiTheme="minorHAnsi"/>
          <w:b/>
          <w:bCs/>
          <w:sz w:val="22"/>
        </w:rPr>
        <w:t xml:space="preserve"> 120</w:t>
      </w:r>
      <w:r w:rsidRPr="0050726A">
        <w:rPr>
          <w:rFonts w:asciiTheme="minorHAnsi" w:hAnsiTheme="minorHAnsi"/>
          <w:sz w:val="22"/>
        </w:rPr>
        <w:t>, 1-12 (2013).</w:t>
      </w:r>
    </w:p>
    <w:p w14:paraId="03588B6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16. Rayner, S. &amp; Caine, M. in </w:t>
      </w:r>
      <w:r w:rsidRPr="0050726A">
        <w:rPr>
          <w:rFonts w:asciiTheme="minorHAnsi" w:hAnsiTheme="minorHAnsi"/>
          <w:i/>
          <w:iCs/>
          <w:sz w:val="22"/>
        </w:rPr>
        <w:t xml:space="preserve">The Hartwell Approach to Climate Policy </w:t>
      </w:r>
      <w:r w:rsidRPr="0050726A">
        <w:rPr>
          <w:rFonts w:asciiTheme="minorHAnsi" w:hAnsiTheme="minorHAnsi"/>
          <w:sz w:val="22"/>
        </w:rPr>
        <w:t>(Routledge, Oxon, 2014).</w:t>
      </w:r>
    </w:p>
    <w:p w14:paraId="76E98A8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17. Green, J. F., Sterner, T. &amp; Wagner, G. A balance of bottom-up and top-down in linking climate policies. </w:t>
      </w:r>
      <w:r w:rsidRPr="0050726A">
        <w:rPr>
          <w:rFonts w:asciiTheme="minorHAnsi" w:hAnsiTheme="minorHAnsi"/>
          <w:i/>
          <w:iCs/>
          <w:sz w:val="22"/>
        </w:rPr>
        <w:t>Nature Climate Change</w:t>
      </w:r>
      <w:r w:rsidRPr="0050726A">
        <w:rPr>
          <w:rFonts w:asciiTheme="minorHAnsi" w:hAnsiTheme="minorHAnsi"/>
          <w:b/>
          <w:bCs/>
          <w:sz w:val="22"/>
        </w:rPr>
        <w:t xml:space="preserve"> 4</w:t>
      </w:r>
      <w:r w:rsidRPr="0050726A">
        <w:rPr>
          <w:rFonts w:asciiTheme="minorHAnsi" w:hAnsiTheme="minorHAnsi"/>
          <w:sz w:val="22"/>
        </w:rPr>
        <w:t>, 1064-1067 (2014).</w:t>
      </w:r>
    </w:p>
    <w:p w14:paraId="7874EE4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18. Dobson, A. in </w:t>
      </w:r>
      <w:r w:rsidRPr="0050726A">
        <w:rPr>
          <w:rFonts w:asciiTheme="minorHAnsi" w:hAnsiTheme="minorHAnsi"/>
          <w:i/>
          <w:iCs/>
          <w:sz w:val="22"/>
        </w:rPr>
        <w:t xml:space="preserve">Green Political Thought </w:t>
      </w:r>
      <w:r w:rsidRPr="0050726A">
        <w:rPr>
          <w:rFonts w:asciiTheme="minorHAnsi" w:hAnsiTheme="minorHAnsi"/>
          <w:sz w:val="22"/>
        </w:rPr>
        <w:t>(Routledge, London; New York, 2007).</w:t>
      </w:r>
    </w:p>
    <w:p w14:paraId="38E7114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19. Ostrom, E. Polycentric systems for coping with collective action and global environmental change.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20</w:t>
      </w:r>
      <w:r w:rsidRPr="0050726A">
        <w:rPr>
          <w:rFonts w:asciiTheme="minorHAnsi" w:hAnsiTheme="minorHAnsi"/>
          <w:sz w:val="22"/>
        </w:rPr>
        <w:t>, 550-557 (2010).</w:t>
      </w:r>
    </w:p>
    <w:p w14:paraId="138DF29C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20. Townshend, T.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How national legislation can help to solve climate change. </w:t>
      </w:r>
      <w:r w:rsidRPr="0050726A">
        <w:rPr>
          <w:rFonts w:asciiTheme="minorHAnsi" w:hAnsiTheme="minorHAnsi"/>
          <w:i/>
          <w:iCs/>
          <w:sz w:val="22"/>
        </w:rPr>
        <w:t>Nature Climate Change</w:t>
      </w:r>
      <w:r w:rsidRPr="0050726A">
        <w:rPr>
          <w:rFonts w:asciiTheme="minorHAnsi" w:hAnsiTheme="minorHAnsi"/>
          <w:b/>
          <w:bCs/>
          <w:sz w:val="22"/>
        </w:rPr>
        <w:t xml:space="preserve"> 3</w:t>
      </w:r>
      <w:r w:rsidRPr="0050726A">
        <w:rPr>
          <w:rFonts w:asciiTheme="minorHAnsi" w:hAnsiTheme="minorHAnsi"/>
          <w:sz w:val="22"/>
        </w:rPr>
        <w:t>, 430-432 (2013).</w:t>
      </w:r>
    </w:p>
    <w:p w14:paraId="47A1182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21. Roberts, N. C. Public entrepreneurship and innovation. </w:t>
      </w:r>
      <w:r w:rsidRPr="0050726A">
        <w:rPr>
          <w:rFonts w:asciiTheme="minorHAnsi" w:hAnsiTheme="minorHAnsi"/>
          <w:i/>
          <w:iCs/>
          <w:sz w:val="22"/>
        </w:rPr>
        <w:t>Review of Policy Research</w:t>
      </w:r>
      <w:r w:rsidRPr="0050726A">
        <w:rPr>
          <w:rFonts w:asciiTheme="minorHAnsi" w:hAnsiTheme="minorHAnsi"/>
          <w:b/>
          <w:bCs/>
          <w:sz w:val="22"/>
        </w:rPr>
        <w:t xml:space="preserve"> 11</w:t>
      </w:r>
      <w:r w:rsidRPr="0050726A">
        <w:rPr>
          <w:rFonts w:asciiTheme="minorHAnsi" w:hAnsiTheme="minorHAnsi"/>
          <w:sz w:val="22"/>
        </w:rPr>
        <w:t>, 55-74 (1992).</w:t>
      </w:r>
    </w:p>
    <w:p w14:paraId="0A283C9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22. Stavins, R.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in </w:t>
      </w:r>
      <w:r w:rsidRPr="0050726A">
        <w:rPr>
          <w:rFonts w:asciiTheme="minorHAnsi" w:hAnsiTheme="minorHAnsi"/>
          <w:i/>
          <w:iCs/>
          <w:sz w:val="22"/>
        </w:rPr>
        <w:t xml:space="preserve">Climate Change 2014: Mitigation of Climate Change. Contribution of Working Group III to the Fifth Assessment Report of the Intergovernmental Panel on Climate Change </w:t>
      </w:r>
      <w:r w:rsidRPr="0050726A">
        <w:rPr>
          <w:rFonts w:asciiTheme="minorHAnsi" w:hAnsiTheme="minorHAnsi"/>
          <w:sz w:val="22"/>
        </w:rPr>
        <w:t>(ed Edenhofer, O. et al.) 1001-1082 (Cambridge University Press, Cambridge, UK; New York, USA, 2014).</w:t>
      </w:r>
    </w:p>
    <w:p w14:paraId="44A9AEC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23. Abbott, K. W. Strengthening the transnational regime complex for climate change. </w:t>
      </w:r>
      <w:r w:rsidRPr="0050726A">
        <w:rPr>
          <w:rFonts w:asciiTheme="minorHAnsi" w:hAnsiTheme="minorHAnsi"/>
          <w:i/>
          <w:iCs/>
          <w:sz w:val="22"/>
        </w:rPr>
        <w:t>Transnational Environmental Law</w:t>
      </w:r>
      <w:r w:rsidRPr="0050726A">
        <w:rPr>
          <w:rFonts w:asciiTheme="minorHAnsi" w:hAnsiTheme="minorHAnsi"/>
          <w:b/>
          <w:bCs/>
          <w:sz w:val="22"/>
        </w:rPr>
        <w:t xml:space="preserve"> 3</w:t>
      </w:r>
      <w:r w:rsidRPr="0050726A">
        <w:rPr>
          <w:rFonts w:asciiTheme="minorHAnsi" w:hAnsiTheme="minorHAnsi"/>
          <w:sz w:val="22"/>
        </w:rPr>
        <w:t>, 57-88 (2014).</w:t>
      </w:r>
    </w:p>
    <w:p w14:paraId="3CA298B4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24. Bulkeley, H.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in </w:t>
      </w:r>
      <w:r w:rsidRPr="0050726A">
        <w:rPr>
          <w:rFonts w:asciiTheme="minorHAnsi" w:hAnsiTheme="minorHAnsi"/>
          <w:i/>
          <w:iCs/>
          <w:sz w:val="22"/>
        </w:rPr>
        <w:t xml:space="preserve">Transnational Climate Change Governance </w:t>
      </w:r>
      <w:r w:rsidRPr="0050726A">
        <w:rPr>
          <w:rFonts w:asciiTheme="minorHAnsi" w:hAnsiTheme="minorHAnsi"/>
          <w:sz w:val="22"/>
        </w:rPr>
        <w:t>(Cambridge University Press, New York, 2014).</w:t>
      </w:r>
    </w:p>
    <w:p w14:paraId="44C902C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25. Abbott, K. W. The transnational regime complex for climate change. </w:t>
      </w:r>
      <w:r w:rsidRPr="0050726A">
        <w:rPr>
          <w:rFonts w:asciiTheme="minorHAnsi" w:hAnsiTheme="minorHAnsi"/>
          <w:i/>
          <w:iCs/>
          <w:sz w:val="22"/>
        </w:rPr>
        <w:t>Environment &amp; Planning C: Government &amp; Policy</w:t>
      </w:r>
      <w:r w:rsidRPr="0050726A">
        <w:rPr>
          <w:rFonts w:asciiTheme="minorHAnsi" w:hAnsiTheme="minorHAnsi"/>
          <w:b/>
          <w:bCs/>
          <w:sz w:val="22"/>
        </w:rPr>
        <w:t xml:space="preserve"> 30</w:t>
      </w:r>
      <w:r w:rsidRPr="0050726A">
        <w:rPr>
          <w:rFonts w:asciiTheme="minorHAnsi" w:hAnsiTheme="minorHAnsi"/>
          <w:sz w:val="22"/>
        </w:rPr>
        <w:t>, 571-590 (2011).</w:t>
      </w:r>
    </w:p>
    <w:p w14:paraId="6E7BD6B7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26. Hale, T. &amp; Roger, C. Orchestration and transnational climate governance. </w:t>
      </w:r>
      <w:r w:rsidRPr="0050726A">
        <w:rPr>
          <w:rFonts w:asciiTheme="minorHAnsi" w:hAnsiTheme="minorHAnsi"/>
          <w:i/>
          <w:iCs/>
          <w:sz w:val="22"/>
        </w:rPr>
        <w:t>The Review of International Organizations</w:t>
      </w:r>
      <w:r w:rsidRPr="0050726A">
        <w:rPr>
          <w:rFonts w:asciiTheme="minorHAnsi" w:hAnsiTheme="minorHAnsi"/>
          <w:b/>
          <w:bCs/>
          <w:sz w:val="22"/>
        </w:rPr>
        <w:t xml:space="preserve"> 9</w:t>
      </w:r>
      <w:r w:rsidRPr="0050726A">
        <w:rPr>
          <w:rFonts w:asciiTheme="minorHAnsi" w:hAnsiTheme="minorHAnsi"/>
          <w:sz w:val="22"/>
        </w:rPr>
        <w:t>, 59-82 (2013).</w:t>
      </w:r>
    </w:p>
    <w:p w14:paraId="1FE92F8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27. Bulkeley, H. A., Broto, V. C. &amp; Edwards, G. A. in </w:t>
      </w:r>
      <w:r w:rsidRPr="0050726A">
        <w:rPr>
          <w:rFonts w:asciiTheme="minorHAnsi" w:hAnsiTheme="minorHAnsi"/>
          <w:i/>
          <w:iCs/>
          <w:sz w:val="22"/>
        </w:rPr>
        <w:t xml:space="preserve">An urban politics of climate change: Experimentation and the governing of socio-technical transitions </w:t>
      </w:r>
      <w:r w:rsidRPr="0050726A">
        <w:rPr>
          <w:rFonts w:asciiTheme="minorHAnsi" w:hAnsiTheme="minorHAnsi"/>
          <w:sz w:val="22"/>
        </w:rPr>
        <w:t>(Routledge, Abingdon, Oxon ; New York, NY, 2014).</w:t>
      </w:r>
    </w:p>
    <w:p w14:paraId="4FD224D7" w14:textId="4D638C88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28. </w:t>
      </w:r>
      <w:r w:rsidRPr="0050726A">
        <w:rPr>
          <w:rFonts w:asciiTheme="minorHAnsi" w:hAnsiTheme="minorHAnsi"/>
        </w:rPr>
        <w:t>http://www.unep.org/ccac/Media/PressReleases/Coalitionstepsupambitionforclimateaction/tabid/794355/Default.aspx</w:t>
      </w:r>
      <w:r w:rsidRPr="0050726A">
        <w:rPr>
          <w:rFonts w:asciiTheme="minorHAnsi" w:hAnsiTheme="minorHAnsi"/>
          <w:sz w:val="22"/>
        </w:rPr>
        <w:t>.</w:t>
      </w:r>
    </w:p>
    <w:p w14:paraId="4BDC262B" w14:textId="377A3BCF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29. </w:t>
      </w:r>
      <w:r w:rsidRPr="0050726A">
        <w:rPr>
          <w:rFonts w:asciiTheme="minorHAnsi" w:hAnsiTheme="minorHAnsi"/>
        </w:rPr>
        <w:t>http://www.ccacoalition.org/docs/pdf/CCAC_Annual_Report_2013-2014.pdf</w:t>
      </w:r>
      <w:r w:rsidRPr="0050726A">
        <w:rPr>
          <w:rFonts w:asciiTheme="minorHAnsi" w:hAnsiTheme="minorHAnsi"/>
          <w:sz w:val="22"/>
        </w:rPr>
        <w:t>.</w:t>
      </w:r>
    </w:p>
    <w:p w14:paraId="57B1263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30. Nachmany, M.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The GLOBE Climate Legislation Study: A Review of Climate Change Legislation in 66 Countries. </w:t>
      </w:r>
      <w:r w:rsidRPr="0050726A">
        <w:rPr>
          <w:rFonts w:asciiTheme="minorHAnsi" w:hAnsiTheme="minorHAnsi"/>
          <w:i/>
          <w:iCs/>
          <w:sz w:val="22"/>
        </w:rPr>
        <w:t>GLOBE International and the Grantham Research Institute, London School of Economics, London, UK</w:t>
      </w:r>
      <w:r w:rsidRPr="0050726A">
        <w:rPr>
          <w:rFonts w:asciiTheme="minorHAnsi" w:hAnsiTheme="minorHAnsi"/>
          <w:sz w:val="22"/>
        </w:rPr>
        <w:t xml:space="preserve"> (2014).</w:t>
      </w:r>
    </w:p>
    <w:p w14:paraId="42133F8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31. Dubash, N. K., Hagemann, M., Höhne, N. &amp; Upadhyaya, P. Developments in national climate change mitigation legislation and strategy.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b/>
          <w:bCs/>
          <w:sz w:val="22"/>
        </w:rPr>
        <w:t xml:space="preserve"> 13</w:t>
      </w:r>
      <w:r w:rsidRPr="0050726A">
        <w:rPr>
          <w:rFonts w:asciiTheme="minorHAnsi" w:hAnsiTheme="minorHAnsi"/>
          <w:sz w:val="22"/>
        </w:rPr>
        <w:t>, 649-664 (2013).</w:t>
      </w:r>
    </w:p>
    <w:p w14:paraId="7779F9E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32. Massey, E., Biesbroek, R., Huitema, D. &amp; Jordan, A. Climate policy innovation: the adoption and diffusion of adaptation policies across Europe.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434-443 (2014).</w:t>
      </w:r>
    </w:p>
    <w:p w14:paraId="1D762D61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33. Harris, P. G. in </w:t>
      </w:r>
      <w:r w:rsidRPr="0050726A">
        <w:rPr>
          <w:rFonts w:asciiTheme="minorHAnsi" w:hAnsiTheme="minorHAnsi"/>
          <w:i/>
          <w:iCs/>
          <w:sz w:val="22"/>
        </w:rPr>
        <w:t xml:space="preserve">What's Wrong with Climate Politics and how to Fix it </w:t>
      </w:r>
      <w:r w:rsidRPr="0050726A">
        <w:rPr>
          <w:rFonts w:asciiTheme="minorHAnsi" w:hAnsiTheme="minorHAnsi"/>
          <w:sz w:val="22"/>
        </w:rPr>
        <w:t>(Polity Press, Cambridge, 2013).</w:t>
      </w:r>
    </w:p>
    <w:p w14:paraId="59B796E9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34. Green, J. F. in </w:t>
      </w:r>
      <w:r w:rsidRPr="0050726A">
        <w:rPr>
          <w:rFonts w:asciiTheme="minorHAnsi" w:hAnsiTheme="minorHAnsi"/>
          <w:i/>
          <w:iCs/>
          <w:sz w:val="22"/>
        </w:rPr>
        <w:t xml:space="preserve">Rethinking private authority: agents and entrepreneurs in global environmental governance </w:t>
      </w:r>
      <w:r w:rsidRPr="0050726A">
        <w:rPr>
          <w:rFonts w:asciiTheme="minorHAnsi" w:hAnsiTheme="minorHAnsi"/>
          <w:sz w:val="22"/>
        </w:rPr>
        <w:t>(Princeton University Press, Princeton, 2013).</w:t>
      </w:r>
    </w:p>
    <w:p w14:paraId="73255D1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35. Paterson, M. in </w:t>
      </w:r>
      <w:r w:rsidRPr="0050726A">
        <w:rPr>
          <w:rFonts w:asciiTheme="minorHAnsi" w:hAnsiTheme="minorHAnsi"/>
          <w:i/>
          <w:iCs/>
          <w:sz w:val="22"/>
        </w:rPr>
        <w:t xml:space="preserve">Global warming and global politics </w:t>
      </w:r>
      <w:r w:rsidRPr="0050726A">
        <w:rPr>
          <w:rFonts w:asciiTheme="minorHAnsi" w:hAnsiTheme="minorHAnsi"/>
          <w:sz w:val="22"/>
        </w:rPr>
        <w:t>(Routledge, London, 1996).</w:t>
      </w:r>
    </w:p>
    <w:p w14:paraId="7B70D2C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36. Jordan, A., Huitema, D., Van Asselt, H., Rayner, T. &amp; Berkhout, F. in </w:t>
      </w:r>
      <w:r w:rsidRPr="0050726A">
        <w:rPr>
          <w:rFonts w:asciiTheme="minorHAnsi" w:hAnsiTheme="minorHAnsi"/>
          <w:i/>
          <w:iCs/>
          <w:sz w:val="22"/>
        </w:rPr>
        <w:t>Climate change policy in the European Union: confronting the dilemmas of mitigation and adaptation?</w:t>
      </w:r>
      <w:r w:rsidRPr="0050726A">
        <w:rPr>
          <w:rFonts w:asciiTheme="minorHAnsi" w:hAnsiTheme="minorHAnsi"/>
          <w:sz w:val="22"/>
        </w:rPr>
        <w:t xml:space="preserve"> (Cambridge University Press, Cambridge; New York, 2010).</w:t>
      </w:r>
    </w:p>
    <w:p w14:paraId="3254237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37. Jordan, A., Van Asselt, H., Berkhout, F., Huitema, D. &amp; Rayner, T. Climate change policy in the European Union: understanding the paradoxes of multi-level governing. </w:t>
      </w:r>
      <w:r w:rsidRPr="0050726A">
        <w:rPr>
          <w:rFonts w:asciiTheme="minorHAnsi" w:hAnsiTheme="minorHAnsi"/>
          <w:i/>
          <w:iCs/>
          <w:sz w:val="22"/>
        </w:rPr>
        <w:t>Global 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12</w:t>
      </w:r>
      <w:r w:rsidRPr="0050726A">
        <w:rPr>
          <w:rFonts w:asciiTheme="minorHAnsi" w:hAnsiTheme="minorHAnsi"/>
          <w:sz w:val="22"/>
        </w:rPr>
        <w:t>, 43-66 (2012).</w:t>
      </w:r>
    </w:p>
    <w:p w14:paraId="60E27FF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38. Harrison, K. &amp; Sundstrom, L. M. in </w:t>
      </w:r>
      <w:r w:rsidRPr="0050726A">
        <w:rPr>
          <w:rFonts w:asciiTheme="minorHAnsi" w:hAnsiTheme="minorHAnsi"/>
          <w:i/>
          <w:iCs/>
          <w:sz w:val="22"/>
        </w:rPr>
        <w:t xml:space="preserve">Global commons, domestic decisions: The comparative politics of climate change </w:t>
      </w:r>
      <w:r w:rsidRPr="0050726A">
        <w:rPr>
          <w:rFonts w:asciiTheme="minorHAnsi" w:hAnsiTheme="minorHAnsi"/>
          <w:sz w:val="22"/>
        </w:rPr>
        <w:t>(MIT Press, Cambridge, Mass, 2010).</w:t>
      </w:r>
    </w:p>
    <w:p w14:paraId="6C536BA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39. Schaffrin, A., Sewerin, S. &amp; Seubert, S. The innovativeness of national policy portfolios–climate policy change in Austria, Germany, and the UK.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860-883 (2014).</w:t>
      </w:r>
    </w:p>
    <w:p w14:paraId="575713AE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40. Jordan, A. &amp; Huitema, D. Policy innovation in a changing climate: sources, patterns and effects.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387-394 (2014).</w:t>
      </w:r>
    </w:p>
    <w:p w14:paraId="429AE4D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41. Jordan, A. &amp; Huitema, D. Innovations in climate policy: conclusions and new directions.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906-925 (2014).</w:t>
      </w:r>
    </w:p>
    <w:p w14:paraId="4B49AB6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42. Lachapelle, E. &amp; Paterson, M. Drivers of national climate policy.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b/>
          <w:bCs/>
          <w:sz w:val="22"/>
        </w:rPr>
        <w:t xml:space="preserve"> 13</w:t>
      </w:r>
      <w:r w:rsidRPr="0050726A">
        <w:rPr>
          <w:rFonts w:asciiTheme="minorHAnsi" w:hAnsiTheme="minorHAnsi"/>
          <w:sz w:val="22"/>
        </w:rPr>
        <w:t>, 547-571 (2013).</w:t>
      </w:r>
    </w:p>
    <w:p w14:paraId="64424B9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43. Jordan, A., Wurzel, R. K. &amp; Zito, A. The rise of ‘new’policy instruments in comparative perspective: has governance eclipsed government? </w:t>
      </w:r>
      <w:r w:rsidRPr="0050726A">
        <w:rPr>
          <w:rFonts w:asciiTheme="minorHAnsi" w:hAnsiTheme="minorHAnsi"/>
          <w:i/>
          <w:iCs/>
          <w:sz w:val="22"/>
        </w:rPr>
        <w:t>Political Studies</w:t>
      </w:r>
      <w:r w:rsidRPr="0050726A">
        <w:rPr>
          <w:rFonts w:asciiTheme="minorHAnsi" w:hAnsiTheme="minorHAnsi"/>
          <w:b/>
          <w:bCs/>
          <w:sz w:val="22"/>
        </w:rPr>
        <w:t xml:space="preserve"> 53</w:t>
      </w:r>
      <w:r w:rsidRPr="0050726A">
        <w:rPr>
          <w:rFonts w:asciiTheme="minorHAnsi" w:hAnsiTheme="minorHAnsi"/>
          <w:sz w:val="22"/>
        </w:rPr>
        <w:t>, 477-496 (2005).</w:t>
      </w:r>
    </w:p>
    <w:p w14:paraId="5E5AB54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44. Ostrom, E. Coping with tragedies of the commons. </w:t>
      </w:r>
      <w:r w:rsidRPr="0050726A">
        <w:rPr>
          <w:rFonts w:asciiTheme="minorHAnsi" w:hAnsiTheme="minorHAnsi"/>
          <w:i/>
          <w:iCs/>
          <w:sz w:val="22"/>
        </w:rPr>
        <w:t>Annual review of political science</w:t>
      </w:r>
      <w:r w:rsidRPr="0050726A">
        <w:rPr>
          <w:rFonts w:asciiTheme="minorHAnsi" w:hAnsiTheme="minorHAnsi"/>
          <w:b/>
          <w:bCs/>
          <w:sz w:val="22"/>
        </w:rPr>
        <w:t xml:space="preserve"> 2</w:t>
      </w:r>
      <w:r w:rsidRPr="0050726A">
        <w:rPr>
          <w:rFonts w:asciiTheme="minorHAnsi" w:hAnsiTheme="minorHAnsi"/>
          <w:sz w:val="22"/>
        </w:rPr>
        <w:t>, 493-535 (1999).</w:t>
      </w:r>
    </w:p>
    <w:p w14:paraId="58E91AF7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45. Ostrom, E. in </w:t>
      </w:r>
      <w:r w:rsidRPr="0050726A">
        <w:rPr>
          <w:rFonts w:asciiTheme="minorHAnsi" w:hAnsiTheme="minorHAnsi"/>
          <w:i/>
          <w:iCs/>
          <w:sz w:val="22"/>
        </w:rPr>
        <w:t xml:space="preserve">Governing the commons: The evolution of institutions for collective action </w:t>
      </w:r>
      <w:r w:rsidRPr="0050726A">
        <w:rPr>
          <w:rFonts w:asciiTheme="minorHAnsi" w:hAnsiTheme="minorHAnsi"/>
          <w:sz w:val="22"/>
        </w:rPr>
        <w:t>(Cambridge University Press, 1990).</w:t>
      </w:r>
    </w:p>
    <w:p w14:paraId="01BC5C1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46. Ostrom, V. in </w:t>
      </w:r>
      <w:r w:rsidRPr="0050726A">
        <w:rPr>
          <w:rFonts w:asciiTheme="minorHAnsi" w:hAnsiTheme="minorHAnsi"/>
          <w:i/>
          <w:iCs/>
          <w:sz w:val="22"/>
        </w:rPr>
        <w:t xml:space="preserve">Polycentricity and local public economies: readings from the Workshop in Political Theory and Policy Analysis </w:t>
      </w:r>
      <w:r w:rsidRPr="0050726A">
        <w:rPr>
          <w:rFonts w:asciiTheme="minorHAnsi" w:hAnsiTheme="minorHAnsi"/>
          <w:sz w:val="22"/>
        </w:rPr>
        <w:t>(ed McGinnis, M. D.) 52-74 (University of Michigan Press, Ann Arbor, 1999).</w:t>
      </w:r>
    </w:p>
    <w:p w14:paraId="3225701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47. Widerberg, O. &amp; Pattberg, P. International cooperative initiatives in global climate governance: raising the ambition level or delegitimizing the UNFCCC? </w:t>
      </w:r>
      <w:r w:rsidRPr="0050726A">
        <w:rPr>
          <w:rFonts w:asciiTheme="minorHAnsi" w:hAnsiTheme="minorHAnsi"/>
          <w:i/>
          <w:iCs/>
          <w:sz w:val="22"/>
        </w:rPr>
        <w:t>Global Policy</w:t>
      </w:r>
      <w:r w:rsidRPr="0050726A">
        <w:rPr>
          <w:rFonts w:asciiTheme="minorHAnsi" w:hAnsiTheme="minorHAnsi"/>
          <w:b/>
          <w:bCs/>
          <w:sz w:val="22"/>
        </w:rPr>
        <w:t xml:space="preserve"> 6</w:t>
      </w:r>
      <w:r w:rsidRPr="0050726A">
        <w:rPr>
          <w:rFonts w:asciiTheme="minorHAnsi" w:hAnsiTheme="minorHAnsi"/>
          <w:sz w:val="22"/>
        </w:rPr>
        <w:t>, 45-56 (2014).</w:t>
      </w:r>
    </w:p>
    <w:p w14:paraId="614AE43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48. Cole, D. H. Advantages of a polycentric approach to climate change policy. </w:t>
      </w:r>
      <w:r w:rsidRPr="0050726A">
        <w:rPr>
          <w:rFonts w:asciiTheme="minorHAnsi" w:hAnsiTheme="minorHAnsi"/>
          <w:i/>
          <w:iCs/>
          <w:sz w:val="22"/>
        </w:rPr>
        <w:t>Nature Climate Change</w:t>
      </w:r>
      <w:r w:rsidRPr="0050726A">
        <w:rPr>
          <w:rFonts w:asciiTheme="minorHAnsi" w:hAnsiTheme="minorHAnsi"/>
          <w:b/>
          <w:bCs/>
          <w:sz w:val="22"/>
        </w:rPr>
        <w:t xml:space="preserve"> 5</w:t>
      </w:r>
      <w:r w:rsidRPr="0050726A">
        <w:rPr>
          <w:rFonts w:asciiTheme="minorHAnsi" w:hAnsiTheme="minorHAnsi"/>
          <w:sz w:val="22"/>
        </w:rPr>
        <w:t>, 114-118 (2015).</w:t>
      </w:r>
    </w:p>
    <w:p w14:paraId="1123425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49. Ostrom, E. A polycentric approach for coping with climate change. </w:t>
      </w:r>
      <w:r w:rsidRPr="0050726A">
        <w:rPr>
          <w:rFonts w:asciiTheme="minorHAnsi" w:hAnsiTheme="minorHAnsi"/>
          <w:i/>
          <w:iCs/>
          <w:sz w:val="22"/>
        </w:rPr>
        <w:t>Annals of Economics and Finance</w:t>
      </w:r>
      <w:r w:rsidRPr="0050726A">
        <w:rPr>
          <w:rFonts w:asciiTheme="minorHAnsi" w:hAnsiTheme="minorHAnsi"/>
          <w:b/>
          <w:bCs/>
          <w:sz w:val="22"/>
        </w:rPr>
        <w:t xml:space="preserve"> 15</w:t>
      </w:r>
      <w:r w:rsidRPr="0050726A">
        <w:rPr>
          <w:rFonts w:asciiTheme="minorHAnsi" w:hAnsiTheme="minorHAnsi"/>
          <w:sz w:val="22"/>
        </w:rPr>
        <w:t>, 71-108 (2014).</w:t>
      </w:r>
    </w:p>
    <w:p w14:paraId="10B3F9D1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50. Rayner, T. &amp; Jordan, A. The European Union: the polycentric climate policy leader? </w:t>
      </w:r>
      <w:r w:rsidRPr="0050726A">
        <w:rPr>
          <w:rFonts w:asciiTheme="minorHAnsi" w:hAnsiTheme="minorHAnsi"/>
          <w:i/>
          <w:iCs/>
          <w:sz w:val="22"/>
        </w:rPr>
        <w:t>Wiley Interdisciplinary Reviews: Climate Change</w:t>
      </w:r>
      <w:r w:rsidRPr="0050726A">
        <w:rPr>
          <w:rFonts w:asciiTheme="minorHAnsi" w:hAnsiTheme="minorHAnsi"/>
          <w:b/>
          <w:bCs/>
          <w:sz w:val="22"/>
        </w:rPr>
        <w:t xml:space="preserve"> 4</w:t>
      </w:r>
      <w:r w:rsidRPr="0050726A">
        <w:rPr>
          <w:rFonts w:asciiTheme="minorHAnsi" w:hAnsiTheme="minorHAnsi"/>
          <w:sz w:val="22"/>
        </w:rPr>
        <w:t>, 75-90 (2013).</w:t>
      </w:r>
    </w:p>
    <w:p w14:paraId="638378F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51. Newell, P., Pattberg, P. &amp; Schroeder, H. Multiactor governance and the environment. </w:t>
      </w:r>
      <w:r w:rsidRPr="0050726A">
        <w:rPr>
          <w:rFonts w:asciiTheme="minorHAnsi" w:hAnsiTheme="minorHAnsi"/>
          <w:i/>
          <w:iCs/>
          <w:sz w:val="22"/>
        </w:rPr>
        <w:t>Annual Review of Environment and Resources</w:t>
      </w:r>
      <w:r w:rsidRPr="0050726A">
        <w:rPr>
          <w:rFonts w:asciiTheme="minorHAnsi" w:hAnsiTheme="minorHAnsi"/>
          <w:b/>
          <w:bCs/>
          <w:sz w:val="22"/>
        </w:rPr>
        <w:t xml:space="preserve"> 37</w:t>
      </w:r>
      <w:r w:rsidRPr="0050726A">
        <w:rPr>
          <w:rFonts w:asciiTheme="minorHAnsi" w:hAnsiTheme="minorHAnsi"/>
          <w:sz w:val="22"/>
        </w:rPr>
        <w:t>, 365 (2012).</w:t>
      </w:r>
    </w:p>
    <w:p w14:paraId="45C4F58C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52. Moncel, R. &amp; Asselt, H. All hands on deck! Mobilizing climate change action beyond the UNFCCC. </w:t>
      </w:r>
      <w:r w:rsidRPr="0050726A">
        <w:rPr>
          <w:rFonts w:asciiTheme="minorHAnsi" w:hAnsiTheme="minorHAnsi"/>
          <w:i/>
          <w:iCs/>
          <w:sz w:val="22"/>
        </w:rPr>
        <w:t>Review of European Community &amp; International Environmental Law</w:t>
      </w:r>
      <w:r w:rsidRPr="0050726A">
        <w:rPr>
          <w:rFonts w:asciiTheme="minorHAnsi" w:hAnsiTheme="minorHAnsi"/>
          <w:b/>
          <w:bCs/>
          <w:sz w:val="22"/>
        </w:rPr>
        <w:t xml:space="preserve"> 21</w:t>
      </w:r>
      <w:r w:rsidRPr="0050726A">
        <w:rPr>
          <w:rFonts w:asciiTheme="minorHAnsi" w:hAnsiTheme="minorHAnsi"/>
          <w:sz w:val="22"/>
        </w:rPr>
        <w:t>, 163-176 (2012).</w:t>
      </w:r>
    </w:p>
    <w:p w14:paraId="300CD6D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53. Matisoff, D. C. &amp; Edwards, J. Kindred spirits or intergovernmental competition? The innovation and diffusion of energy policies in the American states (1990–2008).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795-817 (2014).</w:t>
      </w:r>
    </w:p>
    <w:p w14:paraId="779A23C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54. Stadelmann, M. &amp; Castro, P. Climate policy innovation in the south–domestic and international determinants of renewable energy policies in developing and emerging countries.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413-423 (2014).</w:t>
      </w:r>
    </w:p>
    <w:p w14:paraId="6F5AB1C6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55. Jacobs, D. Policy invention as evolutionary tinkering and codification: the emergence of feed-in tariffs for renewable electricity.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755-773 (2014).</w:t>
      </w:r>
    </w:p>
    <w:p w14:paraId="0562F324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56. Huitema, D. &amp; Meijerink, S. V. in </w:t>
      </w:r>
      <w:r w:rsidRPr="0050726A">
        <w:rPr>
          <w:rFonts w:asciiTheme="minorHAnsi" w:hAnsiTheme="minorHAnsi"/>
          <w:i/>
          <w:iCs/>
          <w:sz w:val="22"/>
        </w:rPr>
        <w:t xml:space="preserve">Water policy entrepreneurs: A research companion to water transitions around the globe </w:t>
      </w:r>
      <w:r w:rsidRPr="0050726A">
        <w:rPr>
          <w:rFonts w:asciiTheme="minorHAnsi" w:hAnsiTheme="minorHAnsi"/>
          <w:sz w:val="22"/>
        </w:rPr>
        <w:t>(Edward Elgar, Cheltenham; Northampton, MA, 2009).</w:t>
      </w:r>
    </w:p>
    <w:p w14:paraId="4016697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57. Boasson, E. L. &amp; Wettestad, J. Policy invention and entrepreneurship: bankrolling the burying of carbon in the EU.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404-412 (2014).</w:t>
      </w:r>
    </w:p>
    <w:p w14:paraId="36D80B30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58. Weaver, R. K. in </w:t>
      </w:r>
      <w:r w:rsidRPr="0050726A">
        <w:rPr>
          <w:rFonts w:asciiTheme="minorHAnsi" w:hAnsiTheme="minorHAnsi"/>
          <w:i/>
          <w:iCs/>
          <w:sz w:val="22"/>
        </w:rPr>
        <w:t xml:space="preserve">Automatic government: The politics of indexation </w:t>
      </w:r>
      <w:r w:rsidRPr="0050726A">
        <w:rPr>
          <w:rFonts w:asciiTheme="minorHAnsi" w:hAnsiTheme="minorHAnsi"/>
          <w:sz w:val="22"/>
        </w:rPr>
        <w:t>(Brookings Institution, Washington, D.C., 1988).</w:t>
      </w:r>
    </w:p>
    <w:p w14:paraId="193202F0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59. Howlett, M. Why are policy innovations rare and so often negative? Blame avoidance and problem denial in climate change policy-making.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395-403 (2014).</w:t>
      </w:r>
    </w:p>
    <w:p w14:paraId="2EA76424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60. Benson, D. &amp; Jordan, A. What have we learned from policy transfer research? Dolowitz and Marsh revisited. </w:t>
      </w:r>
      <w:r w:rsidRPr="0050726A">
        <w:rPr>
          <w:rFonts w:asciiTheme="minorHAnsi" w:hAnsiTheme="minorHAnsi"/>
          <w:i/>
          <w:iCs/>
          <w:sz w:val="22"/>
        </w:rPr>
        <w:t>Political studies review</w:t>
      </w:r>
      <w:r w:rsidRPr="0050726A">
        <w:rPr>
          <w:rFonts w:asciiTheme="minorHAnsi" w:hAnsiTheme="minorHAnsi"/>
          <w:b/>
          <w:bCs/>
          <w:sz w:val="22"/>
        </w:rPr>
        <w:t xml:space="preserve"> 9</w:t>
      </w:r>
      <w:r w:rsidRPr="0050726A">
        <w:rPr>
          <w:rFonts w:asciiTheme="minorHAnsi" w:hAnsiTheme="minorHAnsi"/>
          <w:sz w:val="22"/>
        </w:rPr>
        <w:t>, 366-378 (2011).</w:t>
      </w:r>
    </w:p>
    <w:p w14:paraId="66B9805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61. Mansbridge, J. The role of the state in governing the commons. </w:t>
      </w:r>
      <w:r w:rsidRPr="0050726A">
        <w:rPr>
          <w:rFonts w:asciiTheme="minorHAnsi" w:hAnsiTheme="minorHAnsi"/>
          <w:i/>
          <w:iCs/>
          <w:sz w:val="22"/>
        </w:rPr>
        <w:t>Environmental Science and Policy</w:t>
      </w:r>
      <w:r w:rsidRPr="0050726A">
        <w:rPr>
          <w:rFonts w:asciiTheme="minorHAnsi" w:hAnsiTheme="minorHAnsi"/>
          <w:b/>
          <w:bCs/>
          <w:sz w:val="22"/>
        </w:rPr>
        <w:t xml:space="preserve"> 36</w:t>
      </w:r>
      <w:r w:rsidRPr="0050726A">
        <w:rPr>
          <w:rFonts w:asciiTheme="minorHAnsi" w:hAnsiTheme="minorHAnsi"/>
          <w:sz w:val="22"/>
        </w:rPr>
        <w:t>, 8-10 (2014).</w:t>
      </w:r>
    </w:p>
    <w:p w14:paraId="757D331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62. Aligică, P. D. in </w:t>
      </w:r>
      <w:r w:rsidRPr="0050726A">
        <w:rPr>
          <w:rFonts w:asciiTheme="minorHAnsi" w:hAnsiTheme="minorHAnsi"/>
          <w:i/>
          <w:iCs/>
          <w:sz w:val="22"/>
        </w:rPr>
        <w:t xml:space="preserve">Institutional Diversity and Political Economy: the Ostroms and Beyond </w:t>
      </w:r>
      <w:r w:rsidRPr="0050726A">
        <w:rPr>
          <w:rFonts w:asciiTheme="minorHAnsi" w:hAnsiTheme="minorHAnsi"/>
          <w:sz w:val="22"/>
        </w:rPr>
        <w:t>(Oxford University Press, Oxford; New York, 2014).</w:t>
      </w:r>
    </w:p>
    <w:p w14:paraId="5F1ED180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63. Aldy, J. E. The crucial role of policy surveillance in international climate policy. </w:t>
      </w:r>
      <w:r w:rsidRPr="0050726A">
        <w:rPr>
          <w:rFonts w:asciiTheme="minorHAnsi" w:hAnsiTheme="minorHAnsi"/>
          <w:i/>
          <w:iCs/>
          <w:sz w:val="22"/>
        </w:rPr>
        <w:t>Clim. Change</w:t>
      </w:r>
      <w:r w:rsidRPr="0050726A">
        <w:rPr>
          <w:rFonts w:asciiTheme="minorHAnsi" w:hAnsiTheme="minorHAnsi"/>
          <w:b/>
          <w:bCs/>
          <w:sz w:val="22"/>
        </w:rPr>
        <w:t xml:space="preserve"> 126</w:t>
      </w:r>
      <w:r w:rsidRPr="0050726A">
        <w:rPr>
          <w:rFonts w:asciiTheme="minorHAnsi" w:hAnsiTheme="minorHAnsi"/>
          <w:sz w:val="22"/>
        </w:rPr>
        <w:t>, 279-292 (2014).</w:t>
      </w:r>
    </w:p>
    <w:p w14:paraId="3C57FFF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64. Ford, J. D., Berrang-Ford, L., Lesnikowski, A., Barrera, M. &amp; Heymann, S. J. How to track adaptation to climate change: a typology of approaches for national-level application. </w:t>
      </w:r>
      <w:r w:rsidRPr="0050726A">
        <w:rPr>
          <w:rFonts w:asciiTheme="minorHAnsi" w:hAnsiTheme="minorHAnsi"/>
          <w:i/>
          <w:iCs/>
          <w:sz w:val="22"/>
        </w:rPr>
        <w:t>Ecology and Society</w:t>
      </w:r>
      <w:r w:rsidRPr="0050726A">
        <w:rPr>
          <w:rFonts w:asciiTheme="minorHAnsi" w:hAnsiTheme="minorHAnsi"/>
          <w:b/>
          <w:bCs/>
          <w:sz w:val="22"/>
        </w:rPr>
        <w:t xml:space="preserve"> 18</w:t>
      </w:r>
      <w:r w:rsidRPr="0050726A">
        <w:rPr>
          <w:rFonts w:asciiTheme="minorHAnsi" w:hAnsiTheme="minorHAnsi"/>
          <w:sz w:val="22"/>
        </w:rPr>
        <w:t>, 40 (2013).</w:t>
      </w:r>
    </w:p>
    <w:p w14:paraId="170409E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65. Öko-Institut, Cambridge Economics, AMEC, Harmelink Consulting &amp; TNO. Ex-post quantification of the effects and costs of policies and measures. </w:t>
      </w:r>
      <w:r w:rsidRPr="0050726A">
        <w:rPr>
          <w:rFonts w:asciiTheme="minorHAnsi" w:hAnsiTheme="minorHAnsi"/>
          <w:b/>
          <w:bCs/>
          <w:sz w:val="22"/>
        </w:rPr>
        <w:t>CLIMA.A.3/SER/2010/0005</w:t>
      </w:r>
      <w:r w:rsidRPr="0050726A">
        <w:rPr>
          <w:rFonts w:asciiTheme="minorHAnsi" w:hAnsiTheme="minorHAnsi"/>
          <w:sz w:val="22"/>
        </w:rPr>
        <w:t xml:space="preserve"> (2012).</w:t>
      </w:r>
    </w:p>
    <w:p w14:paraId="10FD25A9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66. Mickwitz, P. in </w:t>
      </w:r>
      <w:r w:rsidRPr="0050726A">
        <w:rPr>
          <w:rFonts w:asciiTheme="minorHAnsi" w:hAnsiTheme="minorHAnsi"/>
          <w:i/>
          <w:iCs/>
          <w:sz w:val="22"/>
        </w:rPr>
        <w:t xml:space="preserve">Environmental policy in the EU: Actors, institutions and processes </w:t>
      </w:r>
      <w:r w:rsidRPr="0050726A">
        <w:rPr>
          <w:rFonts w:asciiTheme="minorHAnsi" w:hAnsiTheme="minorHAnsi"/>
          <w:sz w:val="22"/>
        </w:rPr>
        <w:t>(eds Jordan, A. &amp; Adelle, C.) 267-286 (Routledge, London; New York, 2013).</w:t>
      </w:r>
    </w:p>
    <w:p w14:paraId="5A9A7B17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67. Hildén, M., Jordan, A. &amp; Rayner, T. Climate policy innovation: developing an evaluation perspective.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884-905 (2014).</w:t>
      </w:r>
    </w:p>
    <w:p w14:paraId="7371121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68. Martens, M. Voice or loyalty? The evolution of the European Environment Agency (EEA). </w:t>
      </w:r>
      <w:r w:rsidRPr="0050726A">
        <w:rPr>
          <w:rFonts w:asciiTheme="minorHAnsi" w:hAnsiTheme="minorHAnsi"/>
          <w:i/>
          <w:iCs/>
          <w:sz w:val="22"/>
        </w:rPr>
        <w:t>JCMS: Journal of Common Market Studies</w:t>
      </w:r>
      <w:r w:rsidRPr="0050726A">
        <w:rPr>
          <w:rFonts w:asciiTheme="minorHAnsi" w:hAnsiTheme="minorHAnsi"/>
          <w:b/>
          <w:bCs/>
          <w:sz w:val="22"/>
        </w:rPr>
        <w:t xml:space="preserve"> 48</w:t>
      </w:r>
      <w:r w:rsidRPr="0050726A">
        <w:rPr>
          <w:rFonts w:asciiTheme="minorHAnsi" w:hAnsiTheme="minorHAnsi"/>
          <w:sz w:val="22"/>
        </w:rPr>
        <w:t>, 881-901 (2010).</w:t>
      </w:r>
    </w:p>
    <w:p w14:paraId="53D1174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69. AEA, ECOFYS, Fraunhofer &amp; ICCS. Quantification of the effects on greenhouse gas emissions of policies and&lt;br /&gt;measures: Final Report. </w:t>
      </w:r>
      <w:r w:rsidRPr="0050726A">
        <w:rPr>
          <w:rFonts w:asciiTheme="minorHAnsi" w:hAnsiTheme="minorHAnsi"/>
          <w:b/>
          <w:bCs/>
          <w:sz w:val="22"/>
        </w:rPr>
        <w:t>ENV.C.1/SER/2007/0019</w:t>
      </w:r>
      <w:r w:rsidRPr="0050726A">
        <w:rPr>
          <w:rFonts w:asciiTheme="minorHAnsi" w:hAnsiTheme="minorHAnsi"/>
          <w:sz w:val="22"/>
        </w:rPr>
        <w:t xml:space="preserve"> (2009).</w:t>
      </w:r>
    </w:p>
    <w:p w14:paraId="177643A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70. Bernauer, T. &amp; Böhmelt, T. National climate policies in international comparison: the climate change cooperation index. </w:t>
      </w:r>
      <w:r w:rsidRPr="0050726A">
        <w:rPr>
          <w:rFonts w:asciiTheme="minorHAnsi" w:hAnsiTheme="minorHAnsi"/>
          <w:i/>
          <w:iCs/>
          <w:sz w:val="22"/>
        </w:rPr>
        <w:t>Environ. Sci. &amp; Policy</w:t>
      </w:r>
      <w:r w:rsidRPr="0050726A">
        <w:rPr>
          <w:rFonts w:asciiTheme="minorHAnsi" w:hAnsiTheme="minorHAnsi"/>
          <w:b/>
          <w:bCs/>
          <w:sz w:val="22"/>
        </w:rPr>
        <w:t xml:space="preserve"> 25</w:t>
      </w:r>
      <w:r w:rsidRPr="0050726A">
        <w:rPr>
          <w:rFonts w:asciiTheme="minorHAnsi" w:hAnsiTheme="minorHAnsi"/>
          <w:sz w:val="22"/>
        </w:rPr>
        <w:t>, 196-206 (2013).</w:t>
      </w:r>
    </w:p>
    <w:p w14:paraId="2F0F11A0" w14:textId="3B59E0C0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71. </w:t>
      </w:r>
      <w:r w:rsidRPr="0050726A">
        <w:rPr>
          <w:rFonts w:asciiTheme="minorHAnsi" w:hAnsiTheme="minorHAnsi"/>
        </w:rPr>
        <w:t>http://www.wri.org/sites/default/files/pdf/critical_decade_for_climate_policy_tools_and_initiatives_to_track_our_progress.pdf</w:t>
      </w:r>
      <w:r w:rsidRPr="0050726A">
        <w:rPr>
          <w:rFonts w:asciiTheme="minorHAnsi" w:hAnsiTheme="minorHAnsi"/>
          <w:sz w:val="22"/>
        </w:rPr>
        <w:t>.</w:t>
      </w:r>
    </w:p>
    <w:p w14:paraId="7023EF6E" w14:textId="1B423AC1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72. </w:t>
      </w:r>
      <w:r w:rsidRPr="0050726A">
        <w:rPr>
          <w:rFonts w:asciiTheme="minorHAnsi" w:hAnsiTheme="minorHAnsi"/>
        </w:rPr>
        <w:t>http://act2015.org/ACT%202015_Improving%20Transparency%20and%20Accountability.pdf</w:t>
      </w:r>
      <w:r w:rsidRPr="0050726A">
        <w:rPr>
          <w:rFonts w:asciiTheme="minorHAnsi" w:hAnsiTheme="minorHAnsi"/>
          <w:sz w:val="22"/>
        </w:rPr>
        <w:t>.</w:t>
      </w:r>
    </w:p>
    <w:p w14:paraId="2DA533A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73. Aldy, J. E. &amp; Pizer, W. A. Comparability of effort in international climate policy architecture. </w:t>
      </w:r>
      <w:r w:rsidRPr="0050726A">
        <w:rPr>
          <w:rFonts w:asciiTheme="minorHAnsi" w:hAnsiTheme="minorHAnsi"/>
          <w:i/>
          <w:iCs/>
          <w:sz w:val="22"/>
        </w:rPr>
        <w:t>HKS Working Paper No. RWP14-006</w:t>
      </w:r>
      <w:r w:rsidRPr="0050726A">
        <w:rPr>
          <w:rFonts w:asciiTheme="minorHAnsi" w:hAnsiTheme="minorHAnsi"/>
          <w:sz w:val="22"/>
        </w:rPr>
        <w:t xml:space="preserve"> (2014).</w:t>
      </w:r>
    </w:p>
    <w:p w14:paraId="35BBDF6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74. Auld, G., Mallett, A., Burlica, B., Nolan-Poupart, F. &amp; Slater, R. Evaluating the effects of policy innovations: lessons from a systematic review of policies promoting low-carbon technology.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444-458 (2014).</w:t>
      </w:r>
    </w:p>
    <w:p w14:paraId="0375E8FB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75. Somanathan, E.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in </w:t>
      </w:r>
      <w:r w:rsidRPr="0050726A">
        <w:rPr>
          <w:rFonts w:asciiTheme="minorHAnsi" w:hAnsiTheme="minorHAnsi"/>
          <w:i/>
          <w:iCs/>
          <w:sz w:val="22"/>
        </w:rPr>
        <w:t xml:space="preserve">Climate change 2014: mitigation of climate change. Contribution of working group III to the Fifth Assessment Report of the Intergovernmental Panel on Climate Change </w:t>
      </w:r>
      <w:r w:rsidRPr="0050726A">
        <w:rPr>
          <w:rFonts w:asciiTheme="minorHAnsi" w:hAnsiTheme="minorHAnsi"/>
          <w:sz w:val="22"/>
        </w:rPr>
        <w:t>(ed Edenhofer, O. et al.) 1141-1205 (Cambridge University Press, Cambridge, UK; New York, USA, 2014).</w:t>
      </w:r>
    </w:p>
    <w:p w14:paraId="5D779D01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76. Thompson, T. M., Rausch, S., Saari, R. K. &amp; Selin, N. E. A systems approach to evaluating the air quality co-benefits of US carbon policies. </w:t>
      </w:r>
      <w:r w:rsidRPr="0050726A">
        <w:rPr>
          <w:rFonts w:asciiTheme="minorHAnsi" w:hAnsiTheme="minorHAnsi"/>
          <w:i/>
          <w:iCs/>
          <w:sz w:val="22"/>
        </w:rPr>
        <w:t>Nature Clim. Change</w:t>
      </w:r>
      <w:r w:rsidRPr="0050726A">
        <w:rPr>
          <w:rFonts w:asciiTheme="minorHAnsi" w:hAnsiTheme="minorHAnsi"/>
          <w:b/>
          <w:bCs/>
          <w:sz w:val="22"/>
        </w:rPr>
        <w:t xml:space="preserve"> 4</w:t>
      </w:r>
      <w:r w:rsidRPr="0050726A">
        <w:rPr>
          <w:rFonts w:asciiTheme="minorHAnsi" w:hAnsiTheme="minorHAnsi"/>
          <w:sz w:val="22"/>
        </w:rPr>
        <w:t>, 917-923 (2014).</w:t>
      </w:r>
    </w:p>
    <w:p w14:paraId="50CF1591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77. Huitema, D.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The evaluation of climate policy: theory and emerging practice in Europe. </w:t>
      </w:r>
      <w:r w:rsidRPr="0050726A">
        <w:rPr>
          <w:rFonts w:asciiTheme="minorHAnsi" w:hAnsiTheme="minorHAnsi"/>
          <w:i/>
          <w:iCs/>
          <w:sz w:val="22"/>
        </w:rPr>
        <w:t>Policy Sci.</w:t>
      </w:r>
      <w:r w:rsidRPr="0050726A">
        <w:rPr>
          <w:rFonts w:asciiTheme="minorHAnsi" w:hAnsiTheme="minorHAnsi"/>
          <w:b/>
          <w:bCs/>
          <w:sz w:val="22"/>
        </w:rPr>
        <w:t xml:space="preserve"> 44</w:t>
      </w:r>
      <w:r w:rsidRPr="0050726A">
        <w:rPr>
          <w:rFonts w:asciiTheme="minorHAnsi" w:hAnsiTheme="minorHAnsi"/>
          <w:sz w:val="22"/>
        </w:rPr>
        <w:t>, 179-198 (2011).</w:t>
      </w:r>
    </w:p>
    <w:p w14:paraId="337B2C3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78. Hildén, M. Evaluation, assessment, and policy innovation: exploring the links in relation to emissions trading. </w:t>
      </w:r>
      <w:r w:rsidRPr="0050726A">
        <w:rPr>
          <w:rFonts w:asciiTheme="minorHAnsi" w:hAnsiTheme="minorHAnsi"/>
          <w:i/>
          <w:iCs/>
          <w:sz w:val="22"/>
        </w:rPr>
        <w:t>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23</w:t>
      </w:r>
      <w:r w:rsidRPr="0050726A">
        <w:rPr>
          <w:rFonts w:asciiTheme="minorHAnsi" w:hAnsiTheme="minorHAnsi"/>
          <w:sz w:val="22"/>
        </w:rPr>
        <w:t>, 839-859 (2014).</w:t>
      </w:r>
    </w:p>
    <w:p w14:paraId="175C6AA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>79. Harrison, N.</w:t>
      </w:r>
      <w:r w:rsidRPr="0050726A">
        <w:rPr>
          <w:rFonts w:asciiTheme="minorHAnsi" w:hAnsiTheme="minorHAnsi"/>
          <w:i/>
          <w:iCs/>
          <w:sz w:val="22"/>
        </w:rPr>
        <w:t xml:space="preserve"> et al</w:t>
      </w:r>
      <w:r w:rsidRPr="0050726A">
        <w:rPr>
          <w:rFonts w:asciiTheme="minorHAnsi" w:hAnsiTheme="minorHAnsi"/>
          <w:sz w:val="22"/>
        </w:rPr>
        <w:t xml:space="preserve">. in </w:t>
      </w:r>
      <w:r w:rsidRPr="0050726A">
        <w:rPr>
          <w:rFonts w:asciiTheme="minorHAnsi" w:hAnsiTheme="minorHAnsi"/>
          <w:i/>
          <w:iCs/>
          <w:sz w:val="22"/>
        </w:rPr>
        <w:t xml:space="preserve">Enhancing Ambition through International Cooperation Initiatives </w:t>
      </w:r>
      <w:r w:rsidRPr="0050726A">
        <w:rPr>
          <w:rFonts w:asciiTheme="minorHAnsi" w:hAnsiTheme="minorHAnsi"/>
          <w:sz w:val="22"/>
        </w:rPr>
        <w:t>(Nordic Council of Ministers, Copenhagen, Denmark, 2014).</w:t>
      </w:r>
    </w:p>
    <w:p w14:paraId="4F74BB1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80. Beisheim, M. &amp; Campe, S. Transnational public–private partnerships’ performance in water governance: institutional design matters. </w:t>
      </w:r>
      <w:r w:rsidRPr="0050726A">
        <w:rPr>
          <w:rFonts w:asciiTheme="minorHAnsi" w:hAnsiTheme="minorHAnsi"/>
          <w:i/>
          <w:iCs/>
          <w:sz w:val="22"/>
        </w:rPr>
        <w:t>Environment and Planning C: Government &amp; Policy</w:t>
      </w:r>
      <w:r w:rsidRPr="0050726A">
        <w:rPr>
          <w:rFonts w:asciiTheme="minorHAnsi" w:hAnsiTheme="minorHAnsi"/>
          <w:b/>
          <w:bCs/>
          <w:sz w:val="22"/>
        </w:rPr>
        <w:t xml:space="preserve"> 30</w:t>
      </w:r>
      <w:r w:rsidRPr="0050726A">
        <w:rPr>
          <w:rFonts w:asciiTheme="minorHAnsi" w:hAnsiTheme="minorHAnsi"/>
          <w:sz w:val="22"/>
        </w:rPr>
        <w:t>, 627 (2012).</w:t>
      </w:r>
    </w:p>
    <w:p w14:paraId="4C398E09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81. Benson, D., Jordan, A., Cook, H. &amp; Smith, L. Collaborative environmental governance: are watershed partnerships swimming or are they sinking? </w:t>
      </w:r>
      <w:r w:rsidRPr="0050726A">
        <w:rPr>
          <w:rFonts w:asciiTheme="minorHAnsi" w:hAnsiTheme="minorHAnsi"/>
          <w:i/>
          <w:iCs/>
          <w:sz w:val="22"/>
        </w:rPr>
        <w:t>Land Use Policy</w:t>
      </w:r>
      <w:r w:rsidRPr="0050726A">
        <w:rPr>
          <w:rFonts w:asciiTheme="minorHAnsi" w:hAnsiTheme="minorHAnsi"/>
          <w:b/>
          <w:bCs/>
          <w:sz w:val="22"/>
        </w:rPr>
        <w:t xml:space="preserve"> 30</w:t>
      </w:r>
      <w:r w:rsidRPr="0050726A">
        <w:rPr>
          <w:rFonts w:asciiTheme="minorHAnsi" w:hAnsiTheme="minorHAnsi"/>
          <w:sz w:val="22"/>
        </w:rPr>
        <w:t>, 748-757 (2013).</w:t>
      </w:r>
    </w:p>
    <w:p w14:paraId="570AC9B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82. Chan, M. in </w:t>
      </w:r>
      <w:r w:rsidRPr="0050726A">
        <w:rPr>
          <w:rFonts w:asciiTheme="minorHAnsi" w:hAnsiTheme="minorHAnsi"/>
          <w:i/>
          <w:iCs/>
          <w:sz w:val="22"/>
        </w:rPr>
        <w:t xml:space="preserve">Partnerships for Sustainable Development: Emergence, Adaptation and Impacts in Global and Domestic Governance Contexts </w:t>
      </w:r>
      <w:r w:rsidRPr="0050726A">
        <w:rPr>
          <w:rFonts w:asciiTheme="minorHAnsi" w:hAnsiTheme="minorHAnsi"/>
          <w:sz w:val="22"/>
        </w:rPr>
        <w:t>(Vrije Universiteit, PhD Thesis, Amsterdam, 2014).</w:t>
      </w:r>
    </w:p>
    <w:p w14:paraId="53E907C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83. Jenkins, J. A. &amp; Patashnik, E. M. in </w:t>
      </w:r>
      <w:r w:rsidRPr="0050726A">
        <w:rPr>
          <w:rFonts w:asciiTheme="minorHAnsi" w:hAnsiTheme="minorHAnsi"/>
          <w:i/>
          <w:iCs/>
          <w:sz w:val="22"/>
        </w:rPr>
        <w:t xml:space="preserve">Living legislation: durability, change, and the politics of American lawmaking </w:t>
      </w:r>
      <w:r w:rsidRPr="0050726A">
        <w:rPr>
          <w:rFonts w:asciiTheme="minorHAnsi" w:hAnsiTheme="minorHAnsi"/>
          <w:sz w:val="22"/>
        </w:rPr>
        <w:t>(University of Chicago Press, Chicago, 2012).</w:t>
      </w:r>
    </w:p>
    <w:p w14:paraId="2DDD6EFC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84. Jordan, A., Bauer, M. W. &amp; Green-Pedersen, C. Policy dismantling. </w:t>
      </w:r>
      <w:r w:rsidRPr="0050726A">
        <w:rPr>
          <w:rFonts w:asciiTheme="minorHAnsi" w:hAnsiTheme="minorHAnsi"/>
          <w:i/>
          <w:iCs/>
          <w:sz w:val="22"/>
        </w:rPr>
        <w:t>Journal of European Public Policy</w:t>
      </w:r>
      <w:r w:rsidRPr="0050726A">
        <w:rPr>
          <w:rFonts w:asciiTheme="minorHAnsi" w:hAnsiTheme="minorHAnsi"/>
          <w:b/>
          <w:bCs/>
          <w:sz w:val="22"/>
        </w:rPr>
        <w:t xml:space="preserve"> 20</w:t>
      </w:r>
      <w:r w:rsidRPr="0050726A">
        <w:rPr>
          <w:rFonts w:asciiTheme="minorHAnsi" w:hAnsiTheme="minorHAnsi"/>
          <w:sz w:val="22"/>
        </w:rPr>
        <w:t>, 795-805 (2013).</w:t>
      </w:r>
    </w:p>
    <w:p w14:paraId="22F78AC5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85. Biesenbender, S. &amp; Tosun, J. Domestic politics and the diffusion of international policy innovations: how does accommodation happen? </w:t>
      </w:r>
      <w:r w:rsidRPr="0050726A">
        <w:rPr>
          <w:rFonts w:asciiTheme="minorHAnsi" w:hAnsiTheme="minorHAnsi"/>
          <w:i/>
          <w:iCs/>
          <w:sz w:val="22"/>
        </w:rPr>
        <w:t>Global Environ. Change</w:t>
      </w:r>
      <w:r w:rsidRPr="0050726A">
        <w:rPr>
          <w:rFonts w:asciiTheme="minorHAnsi" w:hAnsiTheme="minorHAnsi"/>
          <w:b/>
          <w:bCs/>
          <w:sz w:val="22"/>
        </w:rPr>
        <w:t xml:space="preserve"> 29</w:t>
      </w:r>
      <w:r w:rsidRPr="0050726A">
        <w:rPr>
          <w:rFonts w:asciiTheme="minorHAnsi" w:hAnsiTheme="minorHAnsi"/>
          <w:sz w:val="22"/>
        </w:rPr>
        <w:t>, 424-433 (2014).</w:t>
      </w:r>
    </w:p>
    <w:p w14:paraId="0D937D8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86. Ostrom, E., Janssen, M. A. &amp; Anderies, J. M. Going beyond panaceas. </w:t>
      </w:r>
      <w:r w:rsidRPr="0050726A">
        <w:rPr>
          <w:rFonts w:asciiTheme="minorHAnsi" w:hAnsiTheme="minorHAnsi"/>
          <w:i/>
          <w:iCs/>
          <w:sz w:val="22"/>
        </w:rPr>
        <w:t>Proc. Natl. Acad. Sci. U. S. A.</w:t>
      </w:r>
      <w:r w:rsidRPr="0050726A">
        <w:rPr>
          <w:rFonts w:asciiTheme="minorHAnsi" w:hAnsiTheme="minorHAnsi"/>
          <w:b/>
          <w:bCs/>
          <w:sz w:val="22"/>
        </w:rPr>
        <w:t xml:space="preserve"> 104</w:t>
      </w:r>
      <w:r w:rsidRPr="0050726A">
        <w:rPr>
          <w:rFonts w:asciiTheme="minorHAnsi" w:hAnsiTheme="minorHAnsi"/>
          <w:sz w:val="22"/>
        </w:rPr>
        <w:t>, 15176-15178 (2007).</w:t>
      </w:r>
    </w:p>
    <w:p w14:paraId="6E42CB2D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87. Ostrom, E. in </w:t>
      </w:r>
      <w:r w:rsidRPr="0050726A">
        <w:rPr>
          <w:rFonts w:asciiTheme="minorHAnsi" w:hAnsiTheme="minorHAnsi"/>
          <w:i/>
          <w:iCs/>
          <w:sz w:val="22"/>
        </w:rPr>
        <w:t xml:space="preserve">Understanding institutional diversity </w:t>
      </w:r>
      <w:r w:rsidRPr="0050726A">
        <w:rPr>
          <w:rFonts w:asciiTheme="minorHAnsi" w:hAnsiTheme="minorHAnsi"/>
          <w:sz w:val="22"/>
        </w:rPr>
        <w:t>(Princeton University Press, Princeton, NJ, 2005).</w:t>
      </w:r>
    </w:p>
    <w:p w14:paraId="13796D38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88. Fischer, F. in </w:t>
      </w:r>
      <w:r w:rsidRPr="0050726A">
        <w:rPr>
          <w:rFonts w:asciiTheme="minorHAnsi" w:hAnsiTheme="minorHAnsi"/>
          <w:i/>
          <w:iCs/>
          <w:sz w:val="22"/>
        </w:rPr>
        <w:t xml:space="preserve">Evaluating public policy </w:t>
      </w:r>
      <w:r w:rsidRPr="0050726A">
        <w:rPr>
          <w:rFonts w:asciiTheme="minorHAnsi" w:hAnsiTheme="minorHAnsi"/>
          <w:sz w:val="22"/>
        </w:rPr>
        <w:t>(Cengage Learning, Mason, 2006).</w:t>
      </w:r>
    </w:p>
    <w:p w14:paraId="345FB82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89. Bäckstrand, K. Accountability of networked climate governance: the rise of transnational climate partnerships. </w:t>
      </w:r>
      <w:r w:rsidRPr="0050726A">
        <w:rPr>
          <w:rFonts w:asciiTheme="minorHAnsi" w:hAnsiTheme="minorHAnsi"/>
          <w:i/>
          <w:iCs/>
          <w:sz w:val="22"/>
        </w:rPr>
        <w:t>Global Environmental Politics</w:t>
      </w:r>
      <w:r w:rsidRPr="0050726A">
        <w:rPr>
          <w:rFonts w:asciiTheme="minorHAnsi" w:hAnsiTheme="minorHAnsi"/>
          <w:b/>
          <w:bCs/>
          <w:sz w:val="22"/>
        </w:rPr>
        <w:t xml:space="preserve"> 8</w:t>
      </w:r>
      <w:r w:rsidRPr="0050726A">
        <w:rPr>
          <w:rFonts w:asciiTheme="minorHAnsi" w:hAnsiTheme="minorHAnsi"/>
          <w:sz w:val="22"/>
        </w:rPr>
        <w:t>, 74-102 (2008).</w:t>
      </w:r>
    </w:p>
    <w:p w14:paraId="5728ED49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90. Fankhauser, S., Gennaioli, C. &amp; Collins, M. Do international factors influence the passage of climate change legislation?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sz w:val="22"/>
        </w:rPr>
        <w:t>, advance online publication, 3 March 2015 (DOI 10.1080/14693062.2014.1000814).</w:t>
      </w:r>
    </w:p>
    <w:p w14:paraId="5823F50A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91. Aligica, P. D. &amp; Sabetti, F. in </w:t>
      </w:r>
      <w:r w:rsidRPr="0050726A">
        <w:rPr>
          <w:rFonts w:asciiTheme="minorHAnsi" w:hAnsiTheme="minorHAnsi"/>
          <w:i/>
          <w:iCs/>
          <w:sz w:val="22"/>
        </w:rPr>
        <w:t xml:space="preserve">Choice, rules and collective action: The Ostrom's on the study of institutions and governance </w:t>
      </w:r>
      <w:r w:rsidRPr="0050726A">
        <w:rPr>
          <w:rFonts w:asciiTheme="minorHAnsi" w:hAnsiTheme="minorHAnsi"/>
          <w:sz w:val="22"/>
        </w:rPr>
        <w:t>(eds Ostrom, E., Ostrom, V., Sabetti, F. &amp; Aligica, P. D.) 1-19 (ECPR Press, London, 2014).</w:t>
      </w:r>
    </w:p>
    <w:p w14:paraId="767C739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92. Hare, W., Stockwell, C., Flachsland, C. &amp; Oberthür, S. The architecture of the global climate regime: a top-down perspective. </w:t>
      </w:r>
      <w:r w:rsidRPr="0050726A">
        <w:rPr>
          <w:rFonts w:asciiTheme="minorHAnsi" w:hAnsiTheme="minorHAnsi"/>
          <w:i/>
          <w:iCs/>
          <w:sz w:val="22"/>
        </w:rPr>
        <w:t>Climate Policy</w:t>
      </w:r>
      <w:r w:rsidRPr="0050726A">
        <w:rPr>
          <w:rFonts w:asciiTheme="minorHAnsi" w:hAnsiTheme="minorHAnsi"/>
          <w:b/>
          <w:bCs/>
          <w:sz w:val="22"/>
        </w:rPr>
        <w:t xml:space="preserve"> 10</w:t>
      </w:r>
      <w:r w:rsidRPr="0050726A">
        <w:rPr>
          <w:rFonts w:asciiTheme="minorHAnsi" w:hAnsiTheme="minorHAnsi"/>
          <w:sz w:val="22"/>
        </w:rPr>
        <w:t>, 600-614 (2010).</w:t>
      </w:r>
    </w:p>
    <w:p w14:paraId="1F6A9A4F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93. Rhodes, R. A. W. The new governance: governing without government. </w:t>
      </w:r>
      <w:r w:rsidRPr="0050726A">
        <w:rPr>
          <w:rFonts w:asciiTheme="minorHAnsi" w:hAnsiTheme="minorHAnsi"/>
          <w:i/>
          <w:iCs/>
          <w:sz w:val="22"/>
        </w:rPr>
        <w:t>Political Studies</w:t>
      </w:r>
      <w:r w:rsidRPr="0050726A">
        <w:rPr>
          <w:rFonts w:asciiTheme="minorHAnsi" w:hAnsiTheme="minorHAnsi"/>
          <w:b/>
          <w:bCs/>
          <w:sz w:val="22"/>
        </w:rPr>
        <w:t xml:space="preserve"> 44</w:t>
      </w:r>
      <w:r w:rsidRPr="0050726A">
        <w:rPr>
          <w:rFonts w:asciiTheme="minorHAnsi" w:hAnsiTheme="minorHAnsi"/>
          <w:sz w:val="22"/>
        </w:rPr>
        <w:t>, 652-667 (1996).</w:t>
      </w:r>
    </w:p>
    <w:p w14:paraId="57AE7C53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94. Roger, C., Halte, T. &amp; Andonova, L. How do domestic politics condition participation in transnational climate governance? Paper presented at ISA, 56th Annual Convention, New Orleans, 18-21 February (2015). </w:t>
      </w:r>
    </w:p>
    <w:p w14:paraId="5BE45BC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95. Fuhr, H. &amp; Lederer, M. Varieties of carbon governance in newly industrializing countries. </w:t>
      </w:r>
      <w:r w:rsidRPr="0050726A">
        <w:rPr>
          <w:rFonts w:asciiTheme="minorHAnsi" w:hAnsiTheme="minorHAnsi"/>
          <w:i/>
          <w:iCs/>
          <w:sz w:val="22"/>
        </w:rPr>
        <w:t>The Journal of Environment &amp; Development</w:t>
      </w:r>
      <w:r w:rsidRPr="0050726A">
        <w:rPr>
          <w:rFonts w:asciiTheme="minorHAnsi" w:hAnsiTheme="minorHAnsi"/>
          <w:b/>
          <w:bCs/>
          <w:sz w:val="22"/>
        </w:rPr>
        <w:t xml:space="preserve"> 18</w:t>
      </w:r>
      <w:r w:rsidRPr="0050726A">
        <w:rPr>
          <w:rFonts w:asciiTheme="minorHAnsi" w:hAnsiTheme="minorHAnsi"/>
          <w:sz w:val="22"/>
        </w:rPr>
        <w:t>, 327-345 (2009).</w:t>
      </w:r>
    </w:p>
    <w:p w14:paraId="62A118FC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t xml:space="preserve">96. Sartori, G. Concept misformation in comparative politics. </w:t>
      </w:r>
      <w:r w:rsidRPr="0050726A">
        <w:rPr>
          <w:rFonts w:asciiTheme="minorHAnsi" w:hAnsiTheme="minorHAnsi"/>
          <w:i/>
          <w:iCs/>
          <w:sz w:val="22"/>
        </w:rPr>
        <w:t>The American Political Science Review</w:t>
      </w:r>
      <w:r w:rsidRPr="0050726A">
        <w:rPr>
          <w:rFonts w:asciiTheme="minorHAnsi" w:hAnsiTheme="minorHAnsi"/>
          <w:b/>
          <w:bCs/>
          <w:sz w:val="22"/>
        </w:rPr>
        <w:t xml:space="preserve"> 64</w:t>
      </w:r>
      <w:r w:rsidRPr="0050726A">
        <w:rPr>
          <w:rFonts w:asciiTheme="minorHAnsi" w:hAnsiTheme="minorHAnsi"/>
          <w:sz w:val="22"/>
        </w:rPr>
        <w:t>, 1033-1053 (1970).</w:t>
      </w:r>
    </w:p>
    <w:p w14:paraId="594870E2" w14:textId="77777777" w:rsidR="00C11347" w:rsidRPr="0050726A" w:rsidRDefault="00C11347" w:rsidP="00C11347">
      <w:pPr>
        <w:pStyle w:val="NormalWeb"/>
        <w:rPr>
          <w:rFonts w:asciiTheme="minorHAnsi" w:hAnsiTheme="minorHAnsi"/>
          <w:sz w:val="22"/>
        </w:rPr>
      </w:pPr>
      <w:r w:rsidRPr="0050726A">
        <w:rPr>
          <w:rFonts w:asciiTheme="minorHAnsi" w:hAnsiTheme="minorHAnsi"/>
          <w:sz w:val="22"/>
        </w:rPr>
        <w:lastRenderedPageBreak/>
        <w:t xml:space="preserve">97. Lieberman, E. S. Nested analysis as a mixed-method strategy for comparative research. </w:t>
      </w:r>
      <w:r w:rsidRPr="0050726A">
        <w:rPr>
          <w:rFonts w:asciiTheme="minorHAnsi" w:hAnsiTheme="minorHAnsi"/>
          <w:i/>
          <w:iCs/>
          <w:sz w:val="22"/>
        </w:rPr>
        <w:t>American Political Science Review</w:t>
      </w:r>
      <w:r w:rsidRPr="0050726A">
        <w:rPr>
          <w:rFonts w:asciiTheme="minorHAnsi" w:hAnsiTheme="minorHAnsi"/>
          <w:b/>
          <w:bCs/>
          <w:sz w:val="22"/>
        </w:rPr>
        <w:t xml:space="preserve"> 99</w:t>
      </w:r>
      <w:r w:rsidRPr="0050726A">
        <w:rPr>
          <w:rFonts w:asciiTheme="minorHAnsi" w:hAnsiTheme="minorHAnsi"/>
          <w:sz w:val="22"/>
        </w:rPr>
        <w:t>, 435-452 (2005).</w:t>
      </w:r>
    </w:p>
    <w:p w14:paraId="58B72C8E" w14:textId="2106AE99" w:rsidR="006E4C9A" w:rsidRPr="0050726A" w:rsidRDefault="006E4C9A" w:rsidP="00C11347">
      <w:pPr>
        <w:pStyle w:val="NormalWeb"/>
        <w:jc w:val="center"/>
        <w:rPr>
          <w:rFonts w:asciiTheme="minorHAnsi" w:hAnsiTheme="minorHAnsi" w:cs="Lucida Sans Unicode"/>
          <w:sz w:val="24"/>
          <w:szCs w:val="24"/>
          <w:shd w:val="clear" w:color="auto" w:fill="FFFFFF"/>
        </w:rPr>
      </w:pPr>
    </w:p>
    <w:sectPr w:rsidR="006E4C9A" w:rsidRPr="0050726A" w:rsidSect="0042341C">
      <w:footerReference w:type="default" r:id="rId23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2505" w14:textId="77777777" w:rsidR="00F4522F" w:rsidRDefault="00F4522F" w:rsidP="009217F0">
      <w:pPr>
        <w:spacing w:after="0" w:line="240" w:lineRule="auto"/>
      </w:pPr>
      <w:r>
        <w:separator/>
      </w:r>
    </w:p>
  </w:endnote>
  <w:endnote w:type="continuationSeparator" w:id="0">
    <w:p w14:paraId="6DE5740B" w14:textId="77777777" w:rsidR="00F4522F" w:rsidRDefault="00F4522F" w:rsidP="0092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O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f90d833a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Pro-Bold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rutigerLTPro-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5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10320" w14:textId="77777777" w:rsidR="00F4522F" w:rsidRDefault="00F45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41ADB5" w14:textId="77777777" w:rsidR="00F4522F" w:rsidRDefault="00F45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E7470" w14:textId="77777777" w:rsidR="00F4522F" w:rsidRDefault="00F4522F" w:rsidP="009217F0">
      <w:pPr>
        <w:spacing w:after="0" w:line="240" w:lineRule="auto"/>
      </w:pPr>
      <w:r>
        <w:separator/>
      </w:r>
    </w:p>
  </w:footnote>
  <w:footnote w:type="continuationSeparator" w:id="0">
    <w:p w14:paraId="6F4F69D9" w14:textId="77777777" w:rsidR="00F4522F" w:rsidRDefault="00F4522F" w:rsidP="0092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A5"/>
    <w:multiLevelType w:val="hybridMultilevel"/>
    <w:tmpl w:val="DFD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38E"/>
    <w:multiLevelType w:val="hybridMultilevel"/>
    <w:tmpl w:val="61EE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DD2"/>
    <w:multiLevelType w:val="hybridMultilevel"/>
    <w:tmpl w:val="6CA8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62B"/>
    <w:multiLevelType w:val="hybridMultilevel"/>
    <w:tmpl w:val="523C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5253A"/>
    <w:multiLevelType w:val="hybridMultilevel"/>
    <w:tmpl w:val="D216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58A"/>
    <w:multiLevelType w:val="hybridMultilevel"/>
    <w:tmpl w:val="97B81B08"/>
    <w:lvl w:ilvl="0" w:tplc="6A04B44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25F0348"/>
    <w:multiLevelType w:val="hybridMultilevel"/>
    <w:tmpl w:val="3708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340E"/>
    <w:multiLevelType w:val="hybridMultilevel"/>
    <w:tmpl w:val="523C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9529A0"/>
    <w:multiLevelType w:val="hybridMultilevel"/>
    <w:tmpl w:val="5AEA4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148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F161AC"/>
    <w:multiLevelType w:val="hybridMultilevel"/>
    <w:tmpl w:val="054C8A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2B515B"/>
    <w:multiLevelType w:val="hybridMultilevel"/>
    <w:tmpl w:val="93E0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B3A76"/>
    <w:multiLevelType w:val="multilevel"/>
    <w:tmpl w:val="238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F7A8C"/>
    <w:multiLevelType w:val="hybridMultilevel"/>
    <w:tmpl w:val="2FC6040A"/>
    <w:lvl w:ilvl="0" w:tplc="5A445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0660A0"/>
    <w:multiLevelType w:val="hybridMultilevel"/>
    <w:tmpl w:val="27F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E1A"/>
    <w:multiLevelType w:val="hybridMultilevel"/>
    <w:tmpl w:val="2AE630C6"/>
    <w:lvl w:ilvl="0" w:tplc="D44CF9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C7"/>
    <w:rsid w:val="000027D1"/>
    <w:rsid w:val="00002DCE"/>
    <w:rsid w:val="00003439"/>
    <w:rsid w:val="00003BF1"/>
    <w:rsid w:val="000049BB"/>
    <w:rsid w:val="0001240F"/>
    <w:rsid w:val="00014F39"/>
    <w:rsid w:val="00015B3A"/>
    <w:rsid w:val="00017316"/>
    <w:rsid w:val="00020EE3"/>
    <w:rsid w:val="000234B5"/>
    <w:rsid w:val="000234F1"/>
    <w:rsid w:val="00023CDE"/>
    <w:rsid w:val="00024518"/>
    <w:rsid w:val="00025832"/>
    <w:rsid w:val="0002779C"/>
    <w:rsid w:val="00027B1E"/>
    <w:rsid w:val="000339A8"/>
    <w:rsid w:val="000375A7"/>
    <w:rsid w:val="000378A2"/>
    <w:rsid w:val="0004411B"/>
    <w:rsid w:val="000457E4"/>
    <w:rsid w:val="00052A12"/>
    <w:rsid w:val="00055CCD"/>
    <w:rsid w:val="00056B98"/>
    <w:rsid w:val="0006398D"/>
    <w:rsid w:val="00064540"/>
    <w:rsid w:val="000678FE"/>
    <w:rsid w:val="0007066E"/>
    <w:rsid w:val="0007427E"/>
    <w:rsid w:val="0007582F"/>
    <w:rsid w:val="00075A19"/>
    <w:rsid w:val="00080934"/>
    <w:rsid w:val="00082365"/>
    <w:rsid w:val="000825BC"/>
    <w:rsid w:val="00084EDC"/>
    <w:rsid w:val="00085197"/>
    <w:rsid w:val="00085869"/>
    <w:rsid w:val="000863CF"/>
    <w:rsid w:val="0009349F"/>
    <w:rsid w:val="00094ECD"/>
    <w:rsid w:val="000958EC"/>
    <w:rsid w:val="0009675B"/>
    <w:rsid w:val="00096FF2"/>
    <w:rsid w:val="00097FE6"/>
    <w:rsid w:val="000B0D7D"/>
    <w:rsid w:val="000B3F28"/>
    <w:rsid w:val="000C1308"/>
    <w:rsid w:val="000C2DB3"/>
    <w:rsid w:val="000C7582"/>
    <w:rsid w:val="000D1A6A"/>
    <w:rsid w:val="000D1EC4"/>
    <w:rsid w:val="000D2EA3"/>
    <w:rsid w:val="000D64BE"/>
    <w:rsid w:val="000D6AA8"/>
    <w:rsid w:val="000E0113"/>
    <w:rsid w:val="000E1577"/>
    <w:rsid w:val="000E2CE9"/>
    <w:rsid w:val="000E3C6E"/>
    <w:rsid w:val="000E43C4"/>
    <w:rsid w:val="000E525D"/>
    <w:rsid w:val="000E62EB"/>
    <w:rsid w:val="000E7584"/>
    <w:rsid w:val="000F1F40"/>
    <w:rsid w:val="000F21D1"/>
    <w:rsid w:val="000F4D8D"/>
    <w:rsid w:val="000F5F1B"/>
    <w:rsid w:val="001022E6"/>
    <w:rsid w:val="00103F04"/>
    <w:rsid w:val="00103FCF"/>
    <w:rsid w:val="00105495"/>
    <w:rsid w:val="00106381"/>
    <w:rsid w:val="00110BF4"/>
    <w:rsid w:val="00120181"/>
    <w:rsid w:val="00120759"/>
    <w:rsid w:val="0012179D"/>
    <w:rsid w:val="00124602"/>
    <w:rsid w:val="00124B80"/>
    <w:rsid w:val="00124F78"/>
    <w:rsid w:val="00125DDC"/>
    <w:rsid w:val="00143313"/>
    <w:rsid w:val="0014509B"/>
    <w:rsid w:val="00145515"/>
    <w:rsid w:val="0014692B"/>
    <w:rsid w:val="001514E0"/>
    <w:rsid w:val="00152579"/>
    <w:rsid w:val="001526BD"/>
    <w:rsid w:val="0015530A"/>
    <w:rsid w:val="00156481"/>
    <w:rsid w:val="00156C09"/>
    <w:rsid w:val="00162D02"/>
    <w:rsid w:val="00164EA9"/>
    <w:rsid w:val="001654C5"/>
    <w:rsid w:val="00170AAB"/>
    <w:rsid w:val="00173620"/>
    <w:rsid w:val="00173DD6"/>
    <w:rsid w:val="0017580D"/>
    <w:rsid w:val="001764E9"/>
    <w:rsid w:val="00177B0E"/>
    <w:rsid w:val="001814E3"/>
    <w:rsid w:val="001833A7"/>
    <w:rsid w:val="00184DC1"/>
    <w:rsid w:val="001853C7"/>
    <w:rsid w:val="00185ED0"/>
    <w:rsid w:val="00186642"/>
    <w:rsid w:val="00187CCE"/>
    <w:rsid w:val="001965FD"/>
    <w:rsid w:val="0019692B"/>
    <w:rsid w:val="001A2C71"/>
    <w:rsid w:val="001A3BB5"/>
    <w:rsid w:val="001A5B42"/>
    <w:rsid w:val="001B107E"/>
    <w:rsid w:val="001B23F4"/>
    <w:rsid w:val="001B442C"/>
    <w:rsid w:val="001B5B59"/>
    <w:rsid w:val="001B5C8F"/>
    <w:rsid w:val="001B725A"/>
    <w:rsid w:val="001C0288"/>
    <w:rsid w:val="001C0A1D"/>
    <w:rsid w:val="001C171C"/>
    <w:rsid w:val="001C4788"/>
    <w:rsid w:val="001C6E34"/>
    <w:rsid w:val="001C75B2"/>
    <w:rsid w:val="001D0486"/>
    <w:rsid w:val="001D2897"/>
    <w:rsid w:val="001D48CD"/>
    <w:rsid w:val="001D535B"/>
    <w:rsid w:val="001D5DB6"/>
    <w:rsid w:val="001D686B"/>
    <w:rsid w:val="001D6929"/>
    <w:rsid w:val="001D7B5B"/>
    <w:rsid w:val="001F24E6"/>
    <w:rsid w:val="001F62BA"/>
    <w:rsid w:val="001F6562"/>
    <w:rsid w:val="001F6BF5"/>
    <w:rsid w:val="00200A42"/>
    <w:rsid w:val="00201B58"/>
    <w:rsid w:val="0020383B"/>
    <w:rsid w:val="002048F6"/>
    <w:rsid w:val="00205383"/>
    <w:rsid w:val="00206913"/>
    <w:rsid w:val="00212AD0"/>
    <w:rsid w:val="002139AE"/>
    <w:rsid w:val="00214D71"/>
    <w:rsid w:val="00215EF2"/>
    <w:rsid w:val="00216DDE"/>
    <w:rsid w:val="00220440"/>
    <w:rsid w:val="0022069C"/>
    <w:rsid w:val="00221B2D"/>
    <w:rsid w:val="0022296C"/>
    <w:rsid w:val="002229C4"/>
    <w:rsid w:val="002231FB"/>
    <w:rsid w:val="00231AC7"/>
    <w:rsid w:val="0023763C"/>
    <w:rsid w:val="00237DB5"/>
    <w:rsid w:val="00241A39"/>
    <w:rsid w:val="0024393B"/>
    <w:rsid w:val="00245313"/>
    <w:rsid w:val="00247C08"/>
    <w:rsid w:val="00250ABA"/>
    <w:rsid w:val="00251A6E"/>
    <w:rsid w:val="002528AF"/>
    <w:rsid w:val="002528FE"/>
    <w:rsid w:val="002661FE"/>
    <w:rsid w:val="0026663A"/>
    <w:rsid w:val="00266F42"/>
    <w:rsid w:val="002673D8"/>
    <w:rsid w:val="0027070F"/>
    <w:rsid w:val="00272063"/>
    <w:rsid w:val="00272A7D"/>
    <w:rsid w:val="002740BA"/>
    <w:rsid w:val="002875BB"/>
    <w:rsid w:val="00287CA3"/>
    <w:rsid w:val="0029142F"/>
    <w:rsid w:val="00296208"/>
    <w:rsid w:val="00296FE2"/>
    <w:rsid w:val="002A0843"/>
    <w:rsid w:val="002A3752"/>
    <w:rsid w:val="002A3A9C"/>
    <w:rsid w:val="002A3FF3"/>
    <w:rsid w:val="002A528A"/>
    <w:rsid w:val="002A5FC6"/>
    <w:rsid w:val="002B0C32"/>
    <w:rsid w:val="002B0DCC"/>
    <w:rsid w:val="002B16D6"/>
    <w:rsid w:val="002B3087"/>
    <w:rsid w:val="002B416E"/>
    <w:rsid w:val="002C02EE"/>
    <w:rsid w:val="002C3939"/>
    <w:rsid w:val="002C6C9A"/>
    <w:rsid w:val="002C7714"/>
    <w:rsid w:val="002D14DE"/>
    <w:rsid w:val="002D284F"/>
    <w:rsid w:val="002D5361"/>
    <w:rsid w:val="002D6694"/>
    <w:rsid w:val="002D745F"/>
    <w:rsid w:val="002D7819"/>
    <w:rsid w:val="002D7FA0"/>
    <w:rsid w:val="002E261E"/>
    <w:rsid w:val="002E3595"/>
    <w:rsid w:val="002E4E0B"/>
    <w:rsid w:val="002E68D2"/>
    <w:rsid w:val="002F05E2"/>
    <w:rsid w:val="002F0A66"/>
    <w:rsid w:val="002F2739"/>
    <w:rsid w:val="002F3059"/>
    <w:rsid w:val="002F3AC5"/>
    <w:rsid w:val="002F4AE6"/>
    <w:rsid w:val="0030084D"/>
    <w:rsid w:val="00304C6A"/>
    <w:rsid w:val="00307DC0"/>
    <w:rsid w:val="003119FF"/>
    <w:rsid w:val="0031264A"/>
    <w:rsid w:val="00312D0E"/>
    <w:rsid w:val="00315C7D"/>
    <w:rsid w:val="00321A72"/>
    <w:rsid w:val="0032328A"/>
    <w:rsid w:val="003246D0"/>
    <w:rsid w:val="003268B6"/>
    <w:rsid w:val="0033052E"/>
    <w:rsid w:val="00331A83"/>
    <w:rsid w:val="00333303"/>
    <w:rsid w:val="00336351"/>
    <w:rsid w:val="00336E15"/>
    <w:rsid w:val="003374CF"/>
    <w:rsid w:val="00341958"/>
    <w:rsid w:val="003431FB"/>
    <w:rsid w:val="003442E6"/>
    <w:rsid w:val="00345102"/>
    <w:rsid w:val="00352FCE"/>
    <w:rsid w:val="00361564"/>
    <w:rsid w:val="0036263A"/>
    <w:rsid w:val="003629D0"/>
    <w:rsid w:val="003636B2"/>
    <w:rsid w:val="003642EB"/>
    <w:rsid w:val="00367695"/>
    <w:rsid w:val="00374045"/>
    <w:rsid w:val="0037682F"/>
    <w:rsid w:val="00383544"/>
    <w:rsid w:val="0038360D"/>
    <w:rsid w:val="00385D18"/>
    <w:rsid w:val="00387A1D"/>
    <w:rsid w:val="00390F0B"/>
    <w:rsid w:val="00392A7A"/>
    <w:rsid w:val="003949FF"/>
    <w:rsid w:val="00396192"/>
    <w:rsid w:val="00397556"/>
    <w:rsid w:val="003A07C2"/>
    <w:rsid w:val="003A25D8"/>
    <w:rsid w:val="003A422D"/>
    <w:rsid w:val="003A7079"/>
    <w:rsid w:val="003A7C25"/>
    <w:rsid w:val="003B1993"/>
    <w:rsid w:val="003B34CE"/>
    <w:rsid w:val="003B38C8"/>
    <w:rsid w:val="003B3ADC"/>
    <w:rsid w:val="003B3E4B"/>
    <w:rsid w:val="003B445A"/>
    <w:rsid w:val="003B6DB4"/>
    <w:rsid w:val="003C022E"/>
    <w:rsid w:val="003C12A3"/>
    <w:rsid w:val="003C2C64"/>
    <w:rsid w:val="003C3C0D"/>
    <w:rsid w:val="003C4DD3"/>
    <w:rsid w:val="003C7577"/>
    <w:rsid w:val="003C7587"/>
    <w:rsid w:val="003D02B3"/>
    <w:rsid w:val="003D20CF"/>
    <w:rsid w:val="003D23F6"/>
    <w:rsid w:val="003D639E"/>
    <w:rsid w:val="003D6DED"/>
    <w:rsid w:val="003E078C"/>
    <w:rsid w:val="003E16D0"/>
    <w:rsid w:val="003E43DB"/>
    <w:rsid w:val="003E6982"/>
    <w:rsid w:val="003F01E8"/>
    <w:rsid w:val="003F030D"/>
    <w:rsid w:val="003F0927"/>
    <w:rsid w:val="003F517C"/>
    <w:rsid w:val="00400279"/>
    <w:rsid w:val="004005E7"/>
    <w:rsid w:val="00403146"/>
    <w:rsid w:val="004036E9"/>
    <w:rsid w:val="00410A31"/>
    <w:rsid w:val="00412EFF"/>
    <w:rsid w:val="00413553"/>
    <w:rsid w:val="00413D40"/>
    <w:rsid w:val="00413EBE"/>
    <w:rsid w:val="00415FBE"/>
    <w:rsid w:val="00421304"/>
    <w:rsid w:val="00422542"/>
    <w:rsid w:val="0042341C"/>
    <w:rsid w:val="00426BD8"/>
    <w:rsid w:val="00426D62"/>
    <w:rsid w:val="004278C7"/>
    <w:rsid w:val="00430CD8"/>
    <w:rsid w:val="00430F1F"/>
    <w:rsid w:val="00431B25"/>
    <w:rsid w:val="004400C7"/>
    <w:rsid w:val="004512F6"/>
    <w:rsid w:val="004606E7"/>
    <w:rsid w:val="00461430"/>
    <w:rsid w:val="004623CF"/>
    <w:rsid w:val="00466483"/>
    <w:rsid w:val="004677E1"/>
    <w:rsid w:val="00470E12"/>
    <w:rsid w:val="00471A4F"/>
    <w:rsid w:val="004742BE"/>
    <w:rsid w:val="004747C1"/>
    <w:rsid w:val="00474FD3"/>
    <w:rsid w:val="00475272"/>
    <w:rsid w:val="00483BDA"/>
    <w:rsid w:val="00484D35"/>
    <w:rsid w:val="00491322"/>
    <w:rsid w:val="00491564"/>
    <w:rsid w:val="004969F8"/>
    <w:rsid w:val="004A78F1"/>
    <w:rsid w:val="004B1656"/>
    <w:rsid w:val="004B3AE1"/>
    <w:rsid w:val="004C01F6"/>
    <w:rsid w:val="004C2EA4"/>
    <w:rsid w:val="004D02B0"/>
    <w:rsid w:val="004D03A3"/>
    <w:rsid w:val="004D127E"/>
    <w:rsid w:val="004E2862"/>
    <w:rsid w:val="004E41C0"/>
    <w:rsid w:val="004E59A4"/>
    <w:rsid w:val="004F021B"/>
    <w:rsid w:val="004F4F09"/>
    <w:rsid w:val="004F55F8"/>
    <w:rsid w:val="004F597E"/>
    <w:rsid w:val="004F6970"/>
    <w:rsid w:val="004F69FD"/>
    <w:rsid w:val="004F6BEE"/>
    <w:rsid w:val="005001FE"/>
    <w:rsid w:val="005018E4"/>
    <w:rsid w:val="005043C2"/>
    <w:rsid w:val="0050726A"/>
    <w:rsid w:val="00507D4B"/>
    <w:rsid w:val="00510453"/>
    <w:rsid w:val="00512B74"/>
    <w:rsid w:val="00512DF2"/>
    <w:rsid w:val="00513533"/>
    <w:rsid w:val="00515E29"/>
    <w:rsid w:val="005259FD"/>
    <w:rsid w:val="00526A03"/>
    <w:rsid w:val="0053318A"/>
    <w:rsid w:val="00533DDE"/>
    <w:rsid w:val="00535891"/>
    <w:rsid w:val="00537F7F"/>
    <w:rsid w:val="005508A8"/>
    <w:rsid w:val="00550A5C"/>
    <w:rsid w:val="005513F1"/>
    <w:rsid w:val="00552080"/>
    <w:rsid w:val="00557FD6"/>
    <w:rsid w:val="00561217"/>
    <w:rsid w:val="00561A5F"/>
    <w:rsid w:val="005639E5"/>
    <w:rsid w:val="00563C58"/>
    <w:rsid w:val="00565E48"/>
    <w:rsid w:val="00567704"/>
    <w:rsid w:val="00570AE8"/>
    <w:rsid w:val="00572DF7"/>
    <w:rsid w:val="0057672F"/>
    <w:rsid w:val="00581C65"/>
    <w:rsid w:val="00582FB5"/>
    <w:rsid w:val="005835DA"/>
    <w:rsid w:val="00583DFA"/>
    <w:rsid w:val="00583F44"/>
    <w:rsid w:val="00586A17"/>
    <w:rsid w:val="00597FDA"/>
    <w:rsid w:val="005A08EB"/>
    <w:rsid w:val="005A1420"/>
    <w:rsid w:val="005A148B"/>
    <w:rsid w:val="005A2312"/>
    <w:rsid w:val="005A350A"/>
    <w:rsid w:val="005A39FF"/>
    <w:rsid w:val="005A4324"/>
    <w:rsid w:val="005A47BD"/>
    <w:rsid w:val="005A4EBD"/>
    <w:rsid w:val="005A5327"/>
    <w:rsid w:val="005B137F"/>
    <w:rsid w:val="005B1C9C"/>
    <w:rsid w:val="005B3390"/>
    <w:rsid w:val="005B458C"/>
    <w:rsid w:val="005B4972"/>
    <w:rsid w:val="005B4BC5"/>
    <w:rsid w:val="005B5BCC"/>
    <w:rsid w:val="005B725B"/>
    <w:rsid w:val="005B7FFC"/>
    <w:rsid w:val="005C1DE0"/>
    <w:rsid w:val="005C1E36"/>
    <w:rsid w:val="005C3A57"/>
    <w:rsid w:val="005C4902"/>
    <w:rsid w:val="005C799D"/>
    <w:rsid w:val="005C7DEE"/>
    <w:rsid w:val="005D1AF7"/>
    <w:rsid w:val="005D1F58"/>
    <w:rsid w:val="005D3853"/>
    <w:rsid w:val="005D42A1"/>
    <w:rsid w:val="005E077F"/>
    <w:rsid w:val="005E0B62"/>
    <w:rsid w:val="005E0DFF"/>
    <w:rsid w:val="005E193A"/>
    <w:rsid w:val="005E1B3E"/>
    <w:rsid w:val="005E3385"/>
    <w:rsid w:val="005E3D82"/>
    <w:rsid w:val="005E3FD1"/>
    <w:rsid w:val="005E623E"/>
    <w:rsid w:val="005E653C"/>
    <w:rsid w:val="005E6E71"/>
    <w:rsid w:val="005F3943"/>
    <w:rsid w:val="005F4DA6"/>
    <w:rsid w:val="005F6239"/>
    <w:rsid w:val="005F77BA"/>
    <w:rsid w:val="006009AA"/>
    <w:rsid w:val="0060137F"/>
    <w:rsid w:val="006014AE"/>
    <w:rsid w:val="006021F5"/>
    <w:rsid w:val="0061174E"/>
    <w:rsid w:val="00612188"/>
    <w:rsid w:val="00612579"/>
    <w:rsid w:val="00614022"/>
    <w:rsid w:val="00616E77"/>
    <w:rsid w:val="0061796E"/>
    <w:rsid w:val="00620D51"/>
    <w:rsid w:val="00621D8C"/>
    <w:rsid w:val="00621DD3"/>
    <w:rsid w:val="0062315B"/>
    <w:rsid w:val="006308E9"/>
    <w:rsid w:val="00631B61"/>
    <w:rsid w:val="00636D7F"/>
    <w:rsid w:val="00642411"/>
    <w:rsid w:val="006520E9"/>
    <w:rsid w:val="006574B0"/>
    <w:rsid w:val="00670644"/>
    <w:rsid w:val="0067150D"/>
    <w:rsid w:val="0067267F"/>
    <w:rsid w:val="00674174"/>
    <w:rsid w:val="00674410"/>
    <w:rsid w:val="00675FD3"/>
    <w:rsid w:val="006812C2"/>
    <w:rsid w:val="00681D04"/>
    <w:rsid w:val="00684D3A"/>
    <w:rsid w:val="006877AB"/>
    <w:rsid w:val="00694134"/>
    <w:rsid w:val="00695CF0"/>
    <w:rsid w:val="006A0327"/>
    <w:rsid w:val="006A0BF8"/>
    <w:rsid w:val="006A380C"/>
    <w:rsid w:val="006A3E1E"/>
    <w:rsid w:val="006A5B73"/>
    <w:rsid w:val="006A6B33"/>
    <w:rsid w:val="006B03A0"/>
    <w:rsid w:val="006B3E96"/>
    <w:rsid w:val="006B46F6"/>
    <w:rsid w:val="006B6D7F"/>
    <w:rsid w:val="006C025A"/>
    <w:rsid w:val="006C03AE"/>
    <w:rsid w:val="006C2A4A"/>
    <w:rsid w:val="006C2A9D"/>
    <w:rsid w:val="006C3CA7"/>
    <w:rsid w:val="006C6BAB"/>
    <w:rsid w:val="006C7045"/>
    <w:rsid w:val="006D0907"/>
    <w:rsid w:val="006D3E9F"/>
    <w:rsid w:val="006D44F7"/>
    <w:rsid w:val="006D530D"/>
    <w:rsid w:val="006D656B"/>
    <w:rsid w:val="006E4C9A"/>
    <w:rsid w:val="006E666D"/>
    <w:rsid w:val="006F244E"/>
    <w:rsid w:val="006F2872"/>
    <w:rsid w:val="0070113B"/>
    <w:rsid w:val="007031EB"/>
    <w:rsid w:val="00705321"/>
    <w:rsid w:val="00705E80"/>
    <w:rsid w:val="00706DB2"/>
    <w:rsid w:val="007125D6"/>
    <w:rsid w:val="0071340B"/>
    <w:rsid w:val="00714964"/>
    <w:rsid w:val="00716462"/>
    <w:rsid w:val="00717D80"/>
    <w:rsid w:val="0072028F"/>
    <w:rsid w:val="00723F88"/>
    <w:rsid w:val="007246DE"/>
    <w:rsid w:val="0072670A"/>
    <w:rsid w:val="00731E33"/>
    <w:rsid w:val="007340B8"/>
    <w:rsid w:val="00735FB6"/>
    <w:rsid w:val="00737807"/>
    <w:rsid w:val="00743103"/>
    <w:rsid w:val="00744B98"/>
    <w:rsid w:val="00744BBE"/>
    <w:rsid w:val="00745D2B"/>
    <w:rsid w:val="007501F2"/>
    <w:rsid w:val="007528F6"/>
    <w:rsid w:val="00756025"/>
    <w:rsid w:val="0075640F"/>
    <w:rsid w:val="007630F6"/>
    <w:rsid w:val="0077332A"/>
    <w:rsid w:val="00774BA8"/>
    <w:rsid w:val="00784473"/>
    <w:rsid w:val="00784871"/>
    <w:rsid w:val="007852AB"/>
    <w:rsid w:val="00785BA3"/>
    <w:rsid w:val="00787465"/>
    <w:rsid w:val="00790C63"/>
    <w:rsid w:val="007961E0"/>
    <w:rsid w:val="00796315"/>
    <w:rsid w:val="007A085D"/>
    <w:rsid w:val="007A3855"/>
    <w:rsid w:val="007A4437"/>
    <w:rsid w:val="007A5992"/>
    <w:rsid w:val="007A5FC7"/>
    <w:rsid w:val="007A661C"/>
    <w:rsid w:val="007B0419"/>
    <w:rsid w:val="007B0A56"/>
    <w:rsid w:val="007B0A98"/>
    <w:rsid w:val="007B13D6"/>
    <w:rsid w:val="007B2B34"/>
    <w:rsid w:val="007B4A85"/>
    <w:rsid w:val="007C3D7E"/>
    <w:rsid w:val="007D241F"/>
    <w:rsid w:val="007D272C"/>
    <w:rsid w:val="007D4277"/>
    <w:rsid w:val="007D6B61"/>
    <w:rsid w:val="007D767A"/>
    <w:rsid w:val="007D77BD"/>
    <w:rsid w:val="007E16F9"/>
    <w:rsid w:val="007E3C63"/>
    <w:rsid w:val="007F0028"/>
    <w:rsid w:val="007F0129"/>
    <w:rsid w:val="007F0587"/>
    <w:rsid w:val="007F0B5F"/>
    <w:rsid w:val="007F216B"/>
    <w:rsid w:val="007F2FDD"/>
    <w:rsid w:val="007F3B29"/>
    <w:rsid w:val="007F5E58"/>
    <w:rsid w:val="007F7498"/>
    <w:rsid w:val="00801C0B"/>
    <w:rsid w:val="008065C1"/>
    <w:rsid w:val="008077CD"/>
    <w:rsid w:val="008121F8"/>
    <w:rsid w:val="008139DD"/>
    <w:rsid w:val="00814C9B"/>
    <w:rsid w:val="008219CD"/>
    <w:rsid w:val="0082290D"/>
    <w:rsid w:val="00823520"/>
    <w:rsid w:val="008252DD"/>
    <w:rsid w:val="00827763"/>
    <w:rsid w:val="008319A0"/>
    <w:rsid w:val="008331DA"/>
    <w:rsid w:val="0083515E"/>
    <w:rsid w:val="008354EF"/>
    <w:rsid w:val="008401B0"/>
    <w:rsid w:val="00840CD3"/>
    <w:rsid w:val="00841B23"/>
    <w:rsid w:val="0084313D"/>
    <w:rsid w:val="00843229"/>
    <w:rsid w:val="00853D5D"/>
    <w:rsid w:val="00861E25"/>
    <w:rsid w:val="00862698"/>
    <w:rsid w:val="00863752"/>
    <w:rsid w:val="00866978"/>
    <w:rsid w:val="008672A5"/>
    <w:rsid w:val="00870B2F"/>
    <w:rsid w:val="00874242"/>
    <w:rsid w:val="0087488F"/>
    <w:rsid w:val="00875C97"/>
    <w:rsid w:val="008773A8"/>
    <w:rsid w:val="0087779E"/>
    <w:rsid w:val="008777F1"/>
    <w:rsid w:val="00881BE4"/>
    <w:rsid w:val="0088478A"/>
    <w:rsid w:val="00884839"/>
    <w:rsid w:val="0089029F"/>
    <w:rsid w:val="00891865"/>
    <w:rsid w:val="00892030"/>
    <w:rsid w:val="008938D6"/>
    <w:rsid w:val="008941FD"/>
    <w:rsid w:val="0089603E"/>
    <w:rsid w:val="0089648E"/>
    <w:rsid w:val="0089769F"/>
    <w:rsid w:val="008A2429"/>
    <w:rsid w:val="008A3892"/>
    <w:rsid w:val="008A3C4E"/>
    <w:rsid w:val="008A4A22"/>
    <w:rsid w:val="008A73FC"/>
    <w:rsid w:val="008B045F"/>
    <w:rsid w:val="008B0C36"/>
    <w:rsid w:val="008B16A8"/>
    <w:rsid w:val="008B4423"/>
    <w:rsid w:val="008B4B7C"/>
    <w:rsid w:val="008B535D"/>
    <w:rsid w:val="008B565D"/>
    <w:rsid w:val="008B584D"/>
    <w:rsid w:val="008B78E8"/>
    <w:rsid w:val="008B7EF2"/>
    <w:rsid w:val="008C09E5"/>
    <w:rsid w:val="008C3EFE"/>
    <w:rsid w:val="008C4E28"/>
    <w:rsid w:val="008C63B6"/>
    <w:rsid w:val="008C71CB"/>
    <w:rsid w:val="008D3A6B"/>
    <w:rsid w:val="008D7B55"/>
    <w:rsid w:val="008E29E7"/>
    <w:rsid w:val="008E6119"/>
    <w:rsid w:val="008E745B"/>
    <w:rsid w:val="008E7851"/>
    <w:rsid w:val="008E7933"/>
    <w:rsid w:val="008E7C6C"/>
    <w:rsid w:val="008E7F39"/>
    <w:rsid w:val="009011ED"/>
    <w:rsid w:val="009026E1"/>
    <w:rsid w:val="009058F6"/>
    <w:rsid w:val="00905942"/>
    <w:rsid w:val="00906FF3"/>
    <w:rsid w:val="00912A56"/>
    <w:rsid w:val="0091399E"/>
    <w:rsid w:val="00915356"/>
    <w:rsid w:val="00921048"/>
    <w:rsid w:val="009217F0"/>
    <w:rsid w:val="009220D5"/>
    <w:rsid w:val="00923A6F"/>
    <w:rsid w:val="00924D2D"/>
    <w:rsid w:val="00927255"/>
    <w:rsid w:val="00927604"/>
    <w:rsid w:val="00930A00"/>
    <w:rsid w:val="009316B3"/>
    <w:rsid w:val="00932F45"/>
    <w:rsid w:val="00933011"/>
    <w:rsid w:val="00933293"/>
    <w:rsid w:val="0093595F"/>
    <w:rsid w:val="00936164"/>
    <w:rsid w:val="00941FFB"/>
    <w:rsid w:val="00943DC6"/>
    <w:rsid w:val="0094584C"/>
    <w:rsid w:val="0094604F"/>
    <w:rsid w:val="009479F9"/>
    <w:rsid w:val="00950A29"/>
    <w:rsid w:val="00950B7C"/>
    <w:rsid w:val="00951514"/>
    <w:rsid w:val="0095166C"/>
    <w:rsid w:val="00952AD3"/>
    <w:rsid w:val="0095386A"/>
    <w:rsid w:val="00956097"/>
    <w:rsid w:val="00963F2A"/>
    <w:rsid w:val="00964B57"/>
    <w:rsid w:val="0096591B"/>
    <w:rsid w:val="009670EE"/>
    <w:rsid w:val="00971071"/>
    <w:rsid w:val="009719CB"/>
    <w:rsid w:val="009729A9"/>
    <w:rsid w:val="00973231"/>
    <w:rsid w:val="0097517D"/>
    <w:rsid w:val="00975C8F"/>
    <w:rsid w:val="00977187"/>
    <w:rsid w:val="009828B4"/>
    <w:rsid w:val="00982E0E"/>
    <w:rsid w:val="00983CF1"/>
    <w:rsid w:val="00983D16"/>
    <w:rsid w:val="00984B4F"/>
    <w:rsid w:val="00990C31"/>
    <w:rsid w:val="009916D3"/>
    <w:rsid w:val="00994AE1"/>
    <w:rsid w:val="009956FA"/>
    <w:rsid w:val="009A0848"/>
    <w:rsid w:val="009A0A76"/>
    <w:rsid w:val="009A2058"/>
    <w:rsid w:val="009A57F5"/>
    <w:rsid w:val="009A584C"/>
    <w:rsid w:val="009B59FE"/>
    <w:rsid w:val="009B66A6"/>
    <w:rsid w:val="009B7843"/>
    <w:rsid w:val="009C27EC"/>
    <w:rsid w:val="009C3FE8"/>
    <w:rsid w:val="009C6B1F"/>
    <w:rsid w:val="009D039F"/>
    <w:rsid w:val="009D0C0B"/>
    <w:rsid w:val="009D1026"/>
    <w:rsid w:val="009D337C"/>
    <w:rsid w:val="009D4239"/>
    <w:rsid w:val="009D73D1"/>
    <w:rsid w:val="009D76D2"/>
    <w:rsid w:val="009D7A9A"/>
    <w:rsid w:val="009E12A2"/>
    <w:rsid w:val="009E251E"/>
    <w:rsid w:val="009E4209"/>
    <w:rsid w:val="009E588E"/>
    <w:rsid w:val="009E7FAF"/>
    <w:rsid w:val="009F23CE"/>
    <w:rsid w:val="009F23EA"/>
    <w:rsid w:val="009F3C55"/>
    <w:rsid w:val="009F56C6"/>
    <w:rsid w:val="009F5FE8"/>
    <w:rsid w:val="009F6C67"/>
    <w:rsid w:val="00A00B6B"/>
    <w:rsid w:val="00A013B8"/>
    <w:rsid w:val="00A027E3"/>
    <w:rsid w:val="00A0383D"/>
    <w:rsid w:val="00A04383"/>
    <w:rsid w:val="00A05C55"/>
    <w:rsid w:val="00A07F73"/>
    <w:rsid w:val="00A11177"/>
    <w:rsid w:val="00A15711"/>
    <w:rsid w:val="00A1731E"/>
    <w:rsid w:val="00A17615"/>
    <w:rsid w:val="00A21E4A"/>
    <w:rsid w:val="00A24464"/>
    <w:rsid w:val="00A24A0A"/>
    <w:rsid w:val="00A31494"/>
    <w:rsid w:val="00A349C0"/>
    <w:rsid w:val="00A3558F"/>
    <w:rsid w:val="00A42FBF"/>
    <w:rsid w:val="00A436E9"/>
    <w:rsid w:val="00A44C27"/>
    <w:rsid w:val="00A45D96"/>
    <w:rsid w:val="00A4695B"/>
    <w:rsid w:val="00A469BE"/>
    <w:rsid w:val="00A47C80"/>
    <w:rsid w:val="00A50005"/>
    <w:rsid w:val="00A55BCF"/>
    <w:rsid w:val="00A56AEB"/>
    <w:rsid w:val="00A60163"/>
    <w:rsid w:val="00A60721"/>
    <w:rsid w:val="00A631CC"/>
    <w:rsid w:val="00A6661C"/>
    <w:rsid w:val="00A7007C"/>
    <w:rsid w:val="00A70E5B"/>
    <w:rsid w:val="00A72FBD"/>
    <w:rsid w:val="00A74B37"/>
    <w:rsid w:val="00A7591C"/>
    <w:rsid w:val="00A76E4D"/>
    <w:rsid w:val="00A77933"/>
    <w:rsid w:val="00A8287E"/>
    <w:rsid w:val="00A837B2"/>
    <w:rsid w:val="00A87B72"/>
    <w:rsid w:val="00A90FC3"/>
    <w:rsid w:val="00A93515"/>
    <w:rsid w:val="00A936B3"/>
    <w:rsid w:val="00A94BA3"/>
    <w:rsid w:val="00A97427"/>
    <w:rsid w:val="00AA3F96"/>
    <w:rsid w:val="00AA6F47"/>
    <w:rsid w:val="00AA71B6"/>
    <w:rsid w:val="00AA78AB"/>
    <w:rsid w:val="00AA7BFE"/>
    <w:rsid w:val="00AB234E"/>
    <w:rsid w:val="00AB5117"/>
    <w:rsid w:val="00AB6135"/>
    <w:rsid w:val="00AC0E13"/>
    <w:rsid w:val="00AC2550"/>
    <w:rsid w:val="00AC40C4"/>
    <w:rsid w:val="00AC7E5A"/>
    <w:rsid w:val="00AD00DA"/>
    <w:rsid w:val="00AE009F"/>
    <w:rsid w:val="00AE23A8"/>
    <w:rsid w:val="00AE7522"/>
    <w:rsid w:val="00AF6D63"/>
    <w:rsid w:val="00B00205"/>
    <w:rsid w:val="00B01DEC"/>
    <w:rsid w:val="00B01EB1"/>
    <w:rsid w:val="00B02A51"/>
    <w:rsid w:val="00B03BD8"/>
    <w:rsid w:val="00B10E6B"/>
    <w:rsid w:val="00B11571"/>
    <w:rsid w:val="00B11EF9"/>
    <w:rsid w:val="00B12FBE"/>
    <w:rsid w:val="00B14BC1"/>
    <w:rsid w:val="00B15690"/>
    <w:rsid w:val="00B16C36"/>
    <w:rsid w:val="00B22724"/>
    <w:rsid w:val="00B22A05"/>
    <w:rsid w:val="00B25EAC"/>
    <w:rsid w:val="00B2795D"/>
    <w:rsid w:val="00B308AB"/>
    <w:rsid w:val="00B348CA"/>
    <w:rsid w:val="00B3734E"/>
    <w:rsid w:val="00B373AA"/>
    <w:rsid w:val="00B442A5"/>
    <w:rsid w:val="00B50D8E"/>
    <w:rsid w:val="00B51941"/>
    <w:rsid w:val="00B60EE1"/>
    <w:rsid w:val="00B61FF8"/>
    <w:rsid w:val="00B67D34"/>
    <w:rsid w:val="00B73A3B"/>
    <w:rsid w:val="00B73F81"/>
    <w:rsid w:val="00B74B58"/>
    <w:rsid w:val="00B75F7F"/>
    <w:rsid w:val="00B77D63"/>
    <w:rsid w:val="00B81755"/>
    <w:rsid w:val="00B82042"/>
    <w:rsid w:val="00B82876"/>
    <w:rsid w:val="00B82A3F"/>
    <w:rsid w:val="00B83902"/>
    <w:rsid w:val="00B83EB4"/>
    <w:rsid w:val="00B86608"/>
    <w:rsid w:val="00B914B9"/>
    <w:rsid w:val="00B92389"/>
    <w:rsid w:val="00B9285A"/>
    <w:rsid w:val="00B93FA5"/>
    <w:rsid w:val="00B96B8B"/>
    <w:rsid w:val="00BA0383"/>
    <w:rsid w:val="00BA3024"/>
    <w:rsid w:val="00BA5AEC"/>
    <w:rsid w:val="00BB5419"/>
    <w:rsid w:val="00BB60CC"/>
    <w:rsid w:val="00BC145E"/>
    <w:rsid w:val="00BC223B"/>
    <w:rsid w:val="00BC6409"/>
    <w:rsid w:val="00BC6AE1"/>
    <w:rsid w:val="00BD04E8"/>
    <w:rsid w:val="00BD072C"/>
    <w:rsid w:val="00BD1F9D"/>
    <w:rsid w:val="00BD3765"/>
    <w:rsid w:val="00BD4ABC"/>
    <w:rsid w:val="00BD4EBF"/>
    <w:rsid w:val="00BD67D5"/>
    <w:rsid w:val="00BD6FDE"/>
    <w:rsid w:val="00BE27D2"/>
    <w:rsid w:val="00BE33E3"/>
    <w:rsid w:val="00BE4752"/>
    <w:rsid w:val="00BE56B5"/>
    <w:rsid w:val="00BF0562"/>
    <w:rsid w:val="00BF557E"/>
    <w:rsid w:val="00BF779D"/>
    <w:rsid w:val="00C01D63"/>
    <w:rsid w:val="00C05D78"/>
    <w:rsid w:val="00C05E05"/>
    <w:rsid w:val="00C07413"/>
    <w:rsid w:val="00C07C08"/>
    <w:rsid w:val="00C10C68"/>
    <w:rsid w:val="00C10D3D"/>
    <w:rsid w:val="00C10F17"/>
    <w:rsid w:val="00C11347"/>
    <w:rsid w:val="00C114B1"/>
    <w:rsid w:val="00C11F00"/>
    <w:rsid w:val="00C12C17"/>
    <w:rsid w:val="00C15FF1"/>
    <w:rsid w:val="00C161E2"/>
    <w:rsid w:val="00C238A4"/>
    <w:rsid w:val="00C258D8"/>
    <w:rsid w:val="00C25C1B"/>
    <w:rsid w:val="00C263D4"/>
    <w:rsid w:val="00C37EE2"/>
    <w:rsid w:val="00C43751"/>
    <w:rsid w:val="00C43FBD"/>
    <w:rsid w:val="00C468E2"/>
    <w:rsid w:val="00C530CA"/>
    <w:rsid w:val="00C6111D"/>
    <w:rsid w:val="00C622A2"/>
    <w:rsid w:val="00C65D30"/>
    <w:rsid w:val="00C679D0"/>
    <w:rsid w:val="00C70698"/>
    <w:rsid w:val="00C71DA7"/>
    <w:rsid w:val="00C7282A"/>
    <w:rsid w:val="00C743E5"/>
    <w:rsid w:val="00C7504F"/>
    <w:rsid w:val="00C75323"/>
    <w:rsid w:val="00C843F2"/>
    <w:rsid w:val="00C87A7F"/>
    <w:rsid w:val="00C90756"/>
    <w:rsid w:val="00C90A76"/>
    <w:rsid w:val="00C9208F"/>
    <w:rsid w:val="00CA13DA"/>
    <w:rsid w:val="00CA1B10"/>
    <w:rsid w:val="00CA226E"/>
    <w:rsid w:val="00CA2780"/>
    <w:rsid w:val="00CA3275"/>
    <w:rsid w:val="00CA3834"/>
    <w:rsid w:val="00CA45AB"/>
    <w:rsid w:val="00CA76BF"/>
    <w:rsid w:val="00CB0D49"/>
    <w:rsid w:val="00CB1784"/>
    <w:rsid w:val="00CB2172"/>
    <w:rsid w:val="00CB543A"/>
    <w:rsid w:val="00CB7BE1"/>
    <w:rsid w:val="00CC08A5"/>
    <w:rsid w:val="00CD1EEE"/>
    <w:rsid w:val="00CD4AB7"/>
    <w:rsid w:val="00CD592F"/>
    <w:rsid w:val="00CD5BA9"/>
    <w:rsid w:val="00CD65DB"/>
    <w:rsid w:val="00CE25EC"/>
    <w:rsid w:val="00CE3A8B"/>
    <w:rsid w:val="00CE47B0"/>
    <w:rsid w:val="00CE4D1C"/>
    <w:rsid w:val="00CE5333"/>
    <w:rsid w:val="00CE57D2"/>
    <w:rsid w:val="00CE5E07"/>
    <w:rsid w:val="00CE63B8"/>
    <w:rsid w:val="00CF0AD6"/>
    <w:rsid w:val="00CF16B4"/>
    <w:rsid w:val="00CF19A6"/>
    <w:rsid w:val="00CF624B"/>
    <w:rsid w:val="00D0041B"/>
    <w:rsid w:val="00D02253"/>
    <w:rsid w:val="00D03F79"/>
    <w:rsid w:val="00D050D3"/>
    <w:rsid w:val="00D06CF6"/>
    <w:rsid w:val="00D10C6D"/>
    <w:rsid w:val="00D142D9"/>
    <w:rsid w:val="00D15E98"/>
    <w:rsid w:val="00D1687F"/>
    <w:rsid w:val="00D2030B"/>
    <w:rsid w:val="00D20FBA"/>
    <w:rsid w:val="00D220EF"/>
    <w:rsid w:val="00D301AB"/>
    <w:rsid w:val="00D3254D"/>
    <w:rsid w:val="00D3271B"/>
    <w:rsid w:val="00D34C56"/>
    <w:rsid w:val="00D3508E"/>
    <w:rsid w:val="00D37025"/>
    <w:rsid w:val="00D41885"/>
    <w:rsid w:val="00D42C8D"/>
    <w:rsid w:val="00D52980"/>
    <w:rsid w:val="00D52B7F"/>
    <w:rsid w:val="00D54259"/>
    <w:rsid w:val="00D55C7A"/>
    <w:rsid w:val="00D564DE"/>
    <w:rsid w:val="00D576FB"/>
    <w:rsid w:val="00D60732"/>
    <w:rsid w:val="00D60E57"/>
    <w:rsid w:val="00D613C8"/>
    <w:rsid w:val="00D616AB"/>
    <w:rsid w:val="00D708D4"/>
    <w:rsid w:val="00D7205C"/>
    <w:rsid w:val="00D741E1"/>
    <w:rsid w:val="00D7673A"/>
    <w:rsid w:val="00D80DD7"/>
    <w:rsid w:val="00D811C1"/>
    <w:rsid w:val="00D81ED9"/>
    <w:rsid w:val="00D82A86"/>
    <w:rsid w:val="00D87B36"/>
    <w:rsid w:val="00D92738"/>
    <w:rsid w:val="00D93BC3"/>
    <w:rsid w:val="00D94300"/>
    <w:rsid w:val="00D95AD9"/>
    <w:rsid w:val="00D975E1"/>
    <w:rsid w:val="00DA7ECF"/>
    <w:rsid w:val="00DB054B"/>
    <w:rsid w:val="00DB0ECF"/>
    <w:rsid w:val="00DB4288"/>
    <w:rsid w:val="00DB5DC3"/>
    <w:rsid w:val="00DB6414"/>
    <w:rsid w:val="00DB6D33"/>
    <w:rsid w:val="00DC0C56"/>
    <w:rsid w:val="00DC0E00"/>
    <w:rsid w:val="00DC24DA"/>
    <w:rsid w:val="00DC42BF"/>
    <w:rsid w:val="00DC4C1B"/>
    <w:rsid w:val="00DC5069"/>
    <w:rsid w:val="00DC7542"/>
    <w:rsid w:val="00DD465C"/>
    <w:rsid w:val="00DD5411"/>
    <w:rsid w:val="00DE389E"/>
    <w:rsid w:val="00DE70B3"/>
    <w:rsid w:val="00DF14BA"/>
    <w:rsid w:val="00DF20D4"/>
    <w:rsid w:val="00DF2111"/>
    <w:rsid w:val="00DF4410"/>
    <w:rsid w:val="00DF5581"/>
    <w:rsid w:val="00DF6467"/>
    <w:rsid w:val="00DF6829"/>
    <w:rsid w:val="00DF72D1"/>
    <w:rsid w:val="00DF7E19"/>
    <w:rsid w:val="00E01373"/>
    <w:rsid w:val="00E038C6"/>
    <w:rsid w:val="00E04ED3"/>
    <w:rsid w:val="00E05DF9"/>
    <w:rsid w:val="00E0776F"/>
    <w:rsid w:val="00E11754"/>
    <w:rsid w:val="00E133C7"/>
    <w:rsid w:val="00E13467"/>
    <w:rsid w:val="00E15DC9"/>
    <w:rsid w:val="00E172B7"/>
    <w:rsid w:val="00E20331"/>
    <w:rsid w:val="00E22138"/>
    <w:rsid w:val="00E26276"/>
    <w:rsid w:val="00E311CD"/>
    <w:rsid w:val="00E33959"/>
    <w:rsid w:val="00E33F76"/>
    <w:rsid w:val="00E35840"/>
    <w:rsid w:val="00E3633A"/>
    <w:rsid w:val="00E40ED5"/>
    <w:rsid w:val="00E449DF"/>
    <w:rsid w:val="00E450FC"/>
    <w:rsid w:val="00E4528C"/>
    <w:rsid w:val="00E47B6E"/>
    <w:rsid w:val="00E5098C"/>
    <w:rsid w:val="00E53743"/>
    <w:rsid w:val="00E53ED4"/>
    <w:rsid w:val="00E55BA2"/>
    <w:rsid w:val="00E62A15"/>
    <w:rsid w:val="00E62E78"/>
    <w:rsid w:val="00E63D5D"/>
    <w:rsid w:val="00E641AA"/>
    <w:rsid w:val="00E65180"/>
    <w:rsid w:val="00E664EE"/>
    <w:rsid w:val="00E666B5"/>
    <w:rsid w:val="00E71FEE"/>
    <w:rsid w:val="00E7435F"/>
    <w:rsid w:val="00E74D9E"/>
    <w:rsid w:val="00E75037"/>
    <w:rsid w:val="00E75225"/>
    <w:rsid w:val="00E75CB8"/>
    <w:rsid w:val="00E80F54"/>
    <w:rsid w:val="00E81839"/>
    <w:rsid w:val="00E853C7"/>
    <w:rsid w:val="00E87339"/>
    <w:rsid w:val="00E90F1A"/>
    <w:rsid w:val="00E9115E"/>
    <w:rsid w:val="00E916D5"/>
    <w:rsid w:val="00E95872"/>
    <w:rsid w:val="00EA084F"/>
    <w:rsid w:val="00EA1164"/>
    <w:rsid w:val="00EA2EEA"/>
    <w:rsid w:val="00EA2F8F"/>
    <w:rsid w:val="00EA3707"/>
    <w:rsid w:val="00EB06F0"/>
    <w:rsid w:val="00EB50EA"/>
    <w:rsid w:val="00EB5B66"/>
    <w:rsid w:val="00EB5C71"/>
    <w:rsid w:val="00EC1F8E"/>
    <w:rsid w:val="00ED3CC2"/>
    <w:rsid w:val="00ED4477"/>
    <w:rsid w:val="00EE1B21"/>
    <w:rsid w:val="00EE3682"/>
    <w:rsid w:val="00EE4302"/>
    <w:rsid w:val="00EE4631"/>
    <w:rsid w:val="00EF3195"/>
    <w:rsid w:val="00EF56F7"/>
    <w:rsid w:val="00EF5C36"/>
    <w:rsid w:val="00EF680C"/>
    <w:rsid w:val="00EF7388"/>
    <w:rsid w:val="00F003E0"/>
    <w:rsid w:val="00F04AD9"/>
    <w:rsid w:val="00F05A20"/>
    <w:rsid w:val="00F113DB"/>
    <w:rsid w:val="00F11A59"/>
    <w:rsid w:val="00F123BE"/>
    <w:rsid w:val="00F15FF2"/>
    <w:rsid w:val="00F166B2"/>
    <w:rsid w:val="00F21DEC"/>
    <w:rsid w:val="00F21F9B"/>
    <w:rsid w:val="00F2230C"/>
    <w:rsid w:val="00F234BF"/>
    <w:rsid w:val="00F2353B"/>
    <w:rsid w:val="00F309E6"/>
    <w:rsid w:val="00F30C48"/>
    <w:rsid w:val="00F31003"/>
    <w:rsid w:val="00F31525"/>
    <w:rsid w:val="00F3401D"/>
    <w:rsid w:val="00F34E1A"/>
    <w:rsid w:val="00F42550"/>
    <w:rsid w:val="00F43979"/>
    <w:rsid w:val="00F43C00"/>
    <w:rsid w:val="00F4522F"/>
    <w:rsid w:val="00F45A23"/>
    <w:rsid w:val="00F52C91"/>
    <w:rsid w:val="00F536AA"/>
    <w:rsid w:val="00F53B9D"/>
    <w:rsid w:val="00F54A31"/>
    <w:rsid w:val="00F55250"/>
    <w:rsid w:val="00F55F76"/>
    <w:rsid w:val="00F57AE1"/>
    <w:rsid w:val="00F6042B"/>
    <w:rsid w:val="00F61356"/>
    <w:rsid w:val="00F63125"/>
    <w:rsid w:val="00F640EC"/>
    <w:rsid w:val="00F67A39"/>
    <w:rsid w:val="00F67C55"/>
    <w:rsid w:val="00F7399D"/>
    <w:rsid w:val="00F73E67"/>
    <w:rsid w:val="00F7597C"/>
    <w:rsid w:val="00F760AA"/>
    <w:rsid w:val="00F76629"/>
    <w:rsid w:val="00F80CDB"/>
    <w:rsid w:val="00F818FD"/>
    <w:rsid w:val="00F82A86"/>
    <w:rsid w:val="00F8372F"/>
    <w:rsid w:val="00F83930"/>
    <w:rsid w:val="00F86042"/>
    <w:rsid w:val="00F8659A"/>
    <w:rsid w:val="00F868D8"/>
    <w:rsid w:val="00F916F8"/>
    <w:rsid w:val="00F95781"/>
    <w:rsid w:val="00F957C5"/>
    <w:rsid w:val="00F977F6"/>
    <w:rsid w:val="00FA12A8"/>
    <w:rsid w:val="00FA1DBF"/>
    <w:rsid w:val="00FA6D25"/>
    <w:rsid w:val="00FB1282"/>
    <w:rsid w:val="00FB2C1A"/>
    <w:rsid w:val="00FB4233"/>
    <w:rsid w:val="00FB4745"/>
    <w:rsid w:val="00FB7C09"/>
    <w:rsid w:val="00FC3974"/>
    <w:rsid w:val="00FC61D7"/>
    <w:rsid w:val="00FD0F94"/>
    <w:rsid w:val="00FD12BE"/>
    <w:rsid w:val="00FD2532"/>
    <w:rsid w:val="00FD5449"/>
    <w:rsid w:val="00FD7F56"/>
    <w:rsid w:val="00FE0DEE"/>
    <w:rsid w:val="00FE27B1"/>
    <w:rsid w:val="00FE2E2C"/>
    <w:rsid w:val="00FE7481"/>
    <w:rsid w:val="00FF1BD4"/>
    <w:rsid w:val="00FF1EF2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737E9"/>
  <w15:docId w15:val="{FBD1E762-AD7A-442B-B03D-89A955F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1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2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C6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9C6B1F"/>
    <w:pPr>
      <w:spacing w:after="200" w:line="240" w:lineRule="auto"/>
    </w:pPr>
    <w:rPr>
      <w:sz w:val="20"/>
      <w:szCs w:val="20"/>
      <w:lang w:val="de-D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6B1F"/>
    <w:rPr>
      <w:sz w:val="20"/>
      <w:lang w:val="de-DE"/>
    </w:rPr>
  </w:style>
  <w:style w:type="character" w:styleId="Emphasis">
    <w:name w:val="Emphasis"/>
    <w:basedOn w:val="DefaultParagraphFont"/>
    <w:uiPriority w:val="99"/>
    <w:qFormat/>
    <w:rsid w:val="009C6B1F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9C6B1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C6B1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9C6B1F"/>
  </w:style>
  <w:style w:type="paragraph" w:customStyle="1" w:styleId="1">
    <w:name w:val="1"/>
    <w:basedOn w:val="Normal"/>
    <w:rsid w:val="003C7587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773A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73A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73A8"/>
    <w:rPr>
      <w:b/>
      <w:sz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8773A8"/>
    <w:pPr>
      <w:spacing w:after="0" w:line="240" w:lineRule="auto"/>
    </w:pPr>
    <w:rPr>
      <w:rFonts w:ascii="Segoe UI" w:hAnsi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3A8"/>
    <w:rPr>
      <w:rFonts w:ascii="Segoe UI" w:hAnsi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9217F0"/>
    <w:pPr>
      <w:spacing w:after="0" w:line="240" w:lineRule="auto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17F0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9217F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DF6829"/>
    <w:pPr>
      <w:ind w:left="720"/>
      <w:contextualSpacing/>
    </w:pPr>
  </w:style>
  <w:style w:type="character" w:customStyle="1" w:styleId="A0">
    <w:name w:val="A0"/>
    <w:uiPriority w:val="99"/>
    <w:rsid w:val="00581C65"/>
    <w:rPr>
      <w:color w:val="000000"/>
      <w:sz w:val="13"/>
    </w:rPr>
  </w:style>
  <w:style w:type="paragraph" w:styleId="BodyTextIndent2">
    <w:name w:val="Body Text Indent 2"/>
    <w:basedOn w:val="Normal"/>
    <w:link w:val="BodyTextIndent2Char"/>
    <w:uiPriority w:val="99"/>
    <w:rsid w:val="00C9075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0756"/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ED3CC2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52FCE"/>
    <w:rPr>
      <w:rFonts w:cs="Times New Roman"/>
      <w:color w:val="800080"/>
      <w:u w:val="single"/>
    </w:rPr>
  </w:style>
  <w:style w:type="character" w:customStyle="1" w:styleId="fn">
    <w:name w:val="fn"/>
    <w:basedOn w:val="DefaultParagraphFont"/>
    <w:uiPriority w:val="99"/>
    <w:rsid w:val="00582FB5"/>
    <w:rPr>
      <w:rFonts w:cs="Times New Roman"/>
    </w:rPr>
  </w:style>
  <w:style w:type="character" w:customStyle="1" w:styleId="comma">
    <w:name w:val="comma"/>
    <w:basedOn w:val="DefaultParagraphFont"/>
    <w:uiPriority w:val="99"/>
    <w:rsid w:val="00582F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FF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46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unhideWhenUsed/>
    <w:rsid w:val="007246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46DE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46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83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839"/>
    <w:rPr>
      <w:lang w:eastAsia="en-US"/>
    </w:rPr>
  </w:style>
  <w:style w:type="paragraph" w:styleId="NormalWeb">
    <w:name w:val="Normal (Web)"/>
    <w:basedOn w:val="Normal"/>
    <w:uiPriority w:val="99"/>
    <w:unhideWhenUsed/>
    <w:rsid w:val="006E4C9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385186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385186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ve.huitema@vu.nl" TargetMode="External"/><Relationship Id="rId18" Type="http://schemas.openxmlformats.org/officeDocument/2006/relationships/hyperlink" Target="mailto:jale.tosun@ipw.uni-heidelberg.de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mailto:a.jordan@uea.ac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a.jordan@uea.ac.uk" TargetMode="External"/><Relationship Id="rId17" Type="http://schemas.openxmlformats.org/officeDocument/2006/relationships/hyperlink" Target="mailto:J.Schoenefeld@uea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mailto:t.rayner@uea.ac.uk" TargetMode="External"/><Relationship Id="rId20" Type="http://schemas.openxmlformats.org/officeDocument/2006/relationships/hyperlink" Target="mailto:elin@cicero.oslo.no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mailto:harro.vanasselt@sei-international.org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j.forster@uea.ac.uk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mikael.hilden@ymparisto.fi" TargetMode="External"/><Relationship Id="rId22" Type="http://schemas.openxmlformats.org/officeDocument/2006/relationships/hyperlink" Target="http://www.inogov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0" ma:contentTypeDescription="Create a new document." ma:contentTypeScope="" ma:versionID="1e1be56f539a0afa99335a869b1b5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cfbdc240aa83f35d65b9230de7ab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F0E9-475C-4910-ABBF-185ACA33225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1D3E05-A393-466D-BD8A-1F8FE2AA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1AD8E-E992-4878-88BD-5A171A3F2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46648-77E5-439F-82A6-BEDAB222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4E51FA04</Template>
  <TotalTime>0</TotalTime>
  <Pages>27</Pages>
  <Words>7359</Words>
  <Characters>43858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[Draft Perspectives Article]</vt:lpstr>
    </vt:vector>
  </TitlesOfParts>
  <Company>University of East Anglia</Company>
  <LinksUpToDate>false</LinksUpToDate>
  <CharactersWithSpaces>51115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Andy Jordan (ENV)</dc:creator>
  <cp:keywords/>
  <cp:lastModifiedBy>Andy Jordan (ENV)</cp:lastModifiedBy>
  <cp:revision>2</cp:revision>
  <cp:lastPrinted>2015-04-02T12:41:00Z</cp:lastPrinted>
  <dcterms:created xsi:type="dcterms:W3CDTF">2015-06-09T09:47:00Z</dcterms:created>
  <dcterms:modified xsi:type="dcterms:W3CDTF">2015-06-09T09:47:00Z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0x01010078AE83F6EBA8BD47AFA93FB8E7F85D14</vt:lpwstr>
  </property>
  <property fmtid="{D5CDD505-2E9C-101B-9397-08002B2CF9AE}" pid="4" name="_AdHocReviewCycleID">
    <vt:i4>1073281061</vt:i4>
  </property>
  <property fmtid="{D5CDD505-2E9C-101B-9397-08002B2CF9AE}" pid="5" name="_EmailSubject">
    <vt:lpwstr>NCC text + response to refs</vt:lpwstr>
  </property>
  <property fmtid="{D5CDD505-2E9C-101B-9397-08002B2CF9AE}" pid="6" name="_AuthorEmail">
    <vt:lpwstr>A.Jordan@uea.ac.uk</vt:lpwstr>
  </property>
  <property fmtid="{D5CDD505-2E9C-101B-9397-08002B2CF9AE}" pid="7" name="_AuthorEmailDisplayName">
    <vt:lpwstr>Andy Jordan (ENV)</vt:lpwstr>
  </property>
  <property fmtid="{D5CDD505-2E9C-101B-9397-08002B2CF9AE}" pid="8" name="WnCUserId">
    <vt:lpwstr>5456</vt:lpwstr>
  </property>
  <property fmtid="{D5CDD505-2E9C-101B-9397-08002B2CF9AE}" pid="9" name="WnCSubscriberId">
    <vt:lpwstr>4060</vt:lpwstr>
  </property>
  <property fmtid="{D5CDD505-2E9C-101B-9397-08002B2CF9AE}" pid="10" name="RWProductId">
    <vt:lpwstr>WnC</vt:lpwstr>
  </property>
  <property fmtid="{D5CDD505-2E9C-101B-9397-08002B2CF9AE}" pid="11" name="WnC4Folder">
    <vt:lpwstr>Documents///NCC_The new climate governance_revised version_with coversheet_NO FIELD CODES.final(1)</vt:lpwstr>
  </property>
  <property fmtid="{D5CDD505-2E9C-101B-9397-08002B2CF9AE}" pid="12" name="_PreviousAdHocReviewCycleID">
    <vt:i4>1913027376</vt:i4>
  </property>
</Properties>
</file>