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628FD3" w14:textId="77777777" w:rsidR="00BA1B64" w:rsidRDefault="00BA1B64" w:rsidP="00BA1B64">
      <w:pPr>
        <w:pStyle w:val="Heading1"/>
      </w:pPr>
      <w:r>
        <w:t>Title</w:t>
      </w:r>
    </w:p>
    <w:p w14:paraId="3B0D9D5E" w14:textId="77777777" w:rsidR="00285D72" w:rsidRDefault="00285D72" w:rsidP="008B035F">
      <w:pPr>
        <w:spacing w:after="0" w:line="360" w:lineRule="auto"/>
      </w:pPr>
      <w:r w:rsidRPr="00232175">
        <w:t xml:space="preserve">Pharmacokinetic modelling of </w:t>
      </w:r>
      <w:proofErr w:type="spellStart"/>
      <w:r w:rsidRPr="00232175">
        <w:t>multislice</w:t>
      </w:r>
      <w:proofErr w:type="spellEnd"/>
      <w:r w:rsidRPr="00232175">
        <w:t xml:space="preserve"> dynamic contrast enhanced MRI in normal healing radial fractures</w:t>
      </w:r>
      <w:proofErr w:type="gramStart"/>
      <w:r w:rsidRPr="00232175">
        <w:t>;</w:t>
      </w:r>
      <w:proofErr w:type="gramEnd"/>
      <w:r w:rsidRPr="00232175">
        <w:t xml:space="preserve"> a pilot study.</w:t>
      </w:r>
    </w:p>
    <w:p w14:paraId="132ECF40" w14:textId="77777777" w:rsidR="007A5DEA" w:rsidRPr="00232175" w:rsidRDefault="007A5DEA" w:rsidP="008B035F">
      <w:pPr>
        <w:spacing w:after="0" w:line="360" w:lineRule="auto"/>
      </w:pPr>
    </w:p>
    <w:p w14:paraId="5C24FC30" w14:textId="04A66931" w:rsidR="00285D72" w:rsidRDefault="00285D72" w:rsidP="008B035F">
      <w:pPr>
        <w:spacing w:line="360" w:lineRule="auto"/>
        <w:rPr>
          <w:vertAlign w:val="superscript"/>
        </w:rPr>
      </w:pPr>
      <w:r>
        <w:t>Mark Lewis FRCR</w:t>
      </w:r>
      <w:r>
        <w:rPr>
          <w:vertAlign w:val="superscript"/>
        </w:rPr>
        <w:t>1</w:t>
      </w:r>
      <w:r>
        <w:t xml:space="preserve">, Darren </w:t>
      </w:r>
      <w:proofErr w:type="spellStart"/>
      <w:r>
        <w:t>Ebreo</w:t>
      </w:r>
      <w:proofErr w:type="spellEnd"/>
      <w:r>
        <w:t xml:space="preserve"> MRCS</w:t>
      </w:r>
      <w:r>
        <w:rPr>
          <w:vertAlign w:val="superscript"/>
        </w:rPr>
        <w:t>2</w:t>
      </w:r>
      <w:r>
        <w:t>, Paul N Malcolm FRCR</w:t>
      </w:r>
      <w:r>
        <w:rPr>
          <w:vertAlign w:val="superscript"/>
        </w:rPr>
        <w:t>1</w:t>
      </w:r>
      <w:proofErr w:type="gramStart"/>
      <w:r>
        <w:t xml:space="preserve">,  </w:t>
      </w:r>
      <w:r w:rsidRPr="00E10ACF">
        <w:t>Richard</w:t>
      </w:r>
      <w:proofErr w:type="gramEnd"/>
      <w:r w:rsidRPr="00E10ACF">
        <w:t xml:space="preserve"> </w:t>
      </w:r>
      <w:r w:rsidR="007A5DEA">
        <w:t>G</w:t>
      </w:r>
      <w:r w:rsidRPr="00E10ACF">
        <w:t>reenwood</w:t>
      </w:r>
      <w:r>
        <w:t xml:space="preserve"> MSc</w:t>
      </w:r>
      <w:r>
        <w:rPr>
          <w:vertAlign w:val="superscript"/>
        </w:rPr>
        <w:t>1</w:t>
      </w:r>
      <w:r>
        <w:t xml:space="preserve">, </w:t>
      </w:r>
      <w:proofErr w:type="spellStart"/>
      <w:r w:rsidRPr="00E10ACF">
        <w:t>A</w:t>
      </w:r>
      <w:r>
        <w:t>mratlal</w:t>
      </w:r>
      <w:proofErr w:type="spellEnd"/>
      <w:r>
        <w:t xml:space="preserve"> </w:t>
      </w:r>
      <w:r w:rsidRPr="00E10ACF">
        <w:t xml:space="preserve">D Patel </w:t>
      </w:r>
      <w:r>
        <w:t>FRCS (</w:t>
      </w:r>
      <w:proofErr w:type="spellStart"/>
      <w:r>
        <w:t>Orth</w:t>
      </w:r>
      <w:proofErr w:type="spellEnd"/>
      <w:r>
        <w:t>)</w:t>
      </w:r>
      <w:r>
        <w:rPr>
          <w:vertAlign w:val="superscript"/>
        </w:rPr>
        <w:t>2</w:t>
      </w:r>
      <w:r>
        <w:t xml:space="preserve">, </w:t>
      </w:r>
      <w:proofErr w:type="spellStart"/>
      <w:r>
        <w:t>Bahman</w:t>
      </w:r>
      <w:proofErr w:type="spellEnd"/>
      <w:r>
        <w:t xml:space="preserve"> </w:t>
      </w:r>
      <w:proofErr w:type="spellStart"/>
      <w:r>
        <w:t>Kasmai</w:t>
      </w:r>
      <w:proofErr w:type="spellEnd"/>
      <w:r w:rsidR="007A5DEA">
        <w:t xml:space="preserve"> MSc</w:t>
      </w:r>
      <w:r>
        <w:rPr>
          <w:vertAlign w:val="superscript"/>
        </w:rPr>
        <w:t>1</w:t>
      </w:r>
      <w:r>
        <w:t>, Glyn Johnson PhD</w:t>
      </w:r>
      <w:r>
        <w:rPr>
          <w:vertAlign w:val="superscript"/>
        </w:rPr>
        <w:t>3</w:t>
      </w:r>
      <w:r>
        <w:t xml:space="preserve">, </w:t>
      </w:r>
      <w:proofErr w:type="spellStart"/>
      <w:r>
        <w:t>Andoni</w:t>
      </w:r>
      <w:proofErr w:type="spellEnd"/>
      <w:r>
        <w:t xml:space="preserve"> P Toms </w:t>
      </w:r>
      <w:r w:rsidR="00BA4EA8">
        <w:t xml:space="preserve">FRCR </w:t>
      </w:r>
      <w:r>
        <w:t>PhD</w:t>
      </w:r>
      <w:r>
        <w:rPr>
          <w:vertAlign w:val="superscript"/>
        </w:rPr>
        <w:t>1</w:t>
      </w:r>
      <w:r>
        <w:t>.</w:t>
      </w:r>
    </w:p>
    <w:p w14:paraId="6BF0C5E5" w14:textId="77777777" w:rsidR="00285D72" w:rsidRPr="00E10ACF" w:rsidRDefault="00285D72" w:rsidP="008B035F">
      <w:pPr>
        <w:spacing w:after="0" w:line="360" w:lineRule="auto"/>
      </w:pPr>
      <w:r>
        <w:rPr>
          <w:vertAlign w:val="superscript"/>
        </w:rPr>
        <w:t>1</w:t>
      </w:r>
      <w:r w:rsidRPr="00E10ACF">
        <w:t>Norfolk and Norwich University Hospitals NHS Trust</w:t>
      </w:r>
    </w:p>
    <w:p w14:paraId="0EE4DF1A" w14:textId="77777777" w:rsidR="00285D72" w:rsidRDefault="00285D72" w:rsidP="008B035F">
      <w:pPr>
        <w:spacing w:after="0" w:line="360" w:lineRule="auto"/>
      </w:pPr>
      <w:r w:rsidRPr="00E10ACF">
        <w:t>Department of Radiology</w:t>
      </w:r>
    </w:p>
    <w:p w14:paraId="7D4F9420" w14:textId="77777777" w:rsidR="00285D72" w:rsidRPr="00E10ACF" w:rsidRDefault="00285D72" w:rsidP="008B035F">
      <w:pPr>
        <w:spacing w:after="0" w:line="360" w:lineRule="auto"/>
      </w:pPr>
      <w:r>
        <w:rPr>
          <w:vertAlign w:val="superscript"/>
        </w:rPr>
        <w:t>2</w:t>
      </w:r>
      <w:r w:rsidRPr="00E10ACF">
        <w:t>Norfolk and Norwich University Hospitals NHS Trust</w:t>
      </w:r>
    </w:p>
    <w:p w14:paraId="70F28BDA" w14:textId="77777777" w:rsidR="00285D72" w:rsidRDefault="00285D72" w:rsidP="008B035F">
      <w:pPr>
        <w:spacing w:after="0" w:line="360" w:lineRule="auto"/>
      </w:pPr>
      <w:r>
        <w:t>Department of Orthopaedics and Trauma</w:t>
      </w:r>
    </w:p>
    <w:p w14:paraId="05D18E70" w14:textId="7F1E21E3" w:rsidR="007A5DEA" w:rsidRPr="00411AAD" w:rsidRDefault="00285D72" w:rsidP="008B035F">
      <w:pPr>
        <w:spacing w:after="0" w:line="360" w:lineRule="auto"/>
      </w:pPr>
      <w:r>
        <w:rPr>
          <w:vertAlign w:val="superscript"/>
        </w:rPr>
        <w:t>3</w:t>
      </w:r>
      <w:r w:rsidRPr="00411AAD">
        <w:t>University of East Anglia</w:t>
      </w:r>
      <w:r>
        <w:t xml:space="preserve">, </w:t>
      </w:r>
      <w:r w:rsidRPr="00E10ACF">
        <w:t>School of Medicine</w:t>
      </w:r>
      <w:r>
        <w:t>, United Kingdom</w:t>
      </w:r>
    </w:p>
    <w:p w14:paraId="3714D1F0" w14:textId="77777777" w:rsidR="00285D72" w:rsidRPr="00411AAD" w:rsidRDefault="00285D72" w:rsidP="008B035F">
      <w:pPr>
        <w:spacing w:after="0" w:line="360" w:lineRule="auto"/>
        <w:rPr>
          <w:b/>
          <w:vertAlign w:val="superscript"/>
        </w:rPr>
      </w:pPr>
    </w:p>
    <w:p w14:paraId="34C6C3A6" w14:textId="77777777" w:rsidR="00285D72" w:rsidRDefault="00285D72" w:rsidP="008B035F">
      <w:pPr>
        <w:spacing w:after="0" w:line="360" w:lineRule="auto"/>
      </w:pPr>
      <w:r w:rsidRPr="00E10ACF">
        <w:t>Principal investigator and corresponding author:</w:t>
      </w:r>
    </w:p>
    <w:p w14:paraId="53521D67" w14:textId="77777777" w:rsidR="007A5DEA" w:rsidRPr="00E10ACF" w:rsidRDefault="007A5DEA" w:rsidP="008B035F">
      <w:pPr>
        <w:spacing w:after="0" w:line="360" w:lineRule="auto"/>
      </w:pPr>
    </w:p>
    <w:p w14:paraId="484C7A84" w14:textId="77777777" w:rsidR="00285D72" w:rsidRPr="00E10ACF" w:rsidRDefault="00285D72" w:rsidP="008B035F">
      <w:pPr>
        <w:spacing w:after="0" w:line="360" w:lineRule="auto"/>
      </w:pPr>
      <w:r w:rsidRPr="00E10ACF">
        <w:t>Dr Mark Lewis FRCR</w:t>
      </w:r>
    </w:p>
    <w:p w14:paraId="3904F12C" w14:textId="77777777" w:rsidR="00285D72" w:rsidRPr="00E10ACF" w:rsidRDefault="00285D72" w:rsidP="008B035F">
      <w:pPr>
        <w:spacing w:after="0" w:line="360" w:lineRule="auto"/>
      </w:pPr>
      <w:r w:rsidRPr="00E10ACF">
        <w:t>Norfolk and Norwich University Hospitals NHS Trust</w:t>
      </w:r>
    </w:p>
    <w:p w14:paraId="0DA4E8F3" w14:textId="77777777" w:rsidR="00285D72" w:rsidRPr="00E10ACF" w:rsidRDefault="00285D72" w:rsidP="008B035F">
      <w:pPr>
        <w:spacing w:after="0" w:line="360" w:lineRule="auto"/>
      </w:pPr>
      <w:r w:rsidRPr="00E10ACF">
        <w:t>Department of Radiology</w:t>
      </w:r>
    </w:p>
    <w:p w14:paraId="0A895C17" w14:textId="215B49AF" w:rsidR="00285D72" w:rsidRDefault="007A5DEA" w:rsidP="008B035F">
      <w:pPr>
        <w:spacing w:after="0" w:line="360" w:lineRule="auto"/>
      </w:pPr>
      <w:hyperlink r:id="rId9" w:history="1">
        <w:r w:rsidRPr="0045744C">
          <w:rPr>
            <w:rStyle w:val="Hyperlink"/>
          </w:rPr>
          <w:t>mark.lewis@nnuh.nhs.uk</w:t>
        </w:r>
      </w:hyperlink>
    </w:p>
    <w:p w14:paraId="103ED389" w14:textId="77777777" w:rsidR="007A5DEA" w:rsidRPr="00E10ACF" w:rsidRDefault="007A5DEA" w:rsidP="008B035F">
      <w:pPr>
        <w:spacing w:after="0" w:line="360" w:lineRule="auto"/>
      </w:pPr>
    </w:p>
    <w:p w14:paraId="529E9F78" w14:textId="77777777" w:rsidR="00285D72" w:rsidRPr="00E10ACF" w:rsidRDefault="00285D72" w:rsidP="008B035F">
      <w:pPr>
        <w:spacing w:after="0" w:line="360" w:lineRule="auto"/>
      </w:pPr>
      <w:r w:rsidRPr="00E10ACF">
        <w:t>Norwich Radiology Academy</w:t>
      </w:r>
    </w:p>
    <w:p w14:paraId="2A589284" w14:textId="77777777" w:rsidR="00285D72" w:rsidRPr="00E10ACF" w:rsidRDefault="00285D72" w:rsidP="008B035F">
      <w:pPr>
        <w:spacing w:after="0" w:line="360" w:lineRule="auto"/>
      </w:pPr>
      <w:proofErr w:type="spellStart"/>
      <w:r w:rsidRPr="00E10ACF">
        <w:t>Cotman</w:t>
      </w:r>
      <w:proofErr w:type="spellEnd"/>
      <w:r w:rsidRPr="00E10ACF">
        <w:t xml:space="preserve"> Centre</w:t>
      </w:r>
    </w:p>
    <w:p w14:paraId="22F99637" w14:textId="77777777" w:rsidR="00285D72" w:rsidRPr="00E10ACF" w:rsidRDefault="00285D72" w:rsidP="008B035F">
      <w:pPr>
        <w:spacing w:after="0" w:line="360" w:lineRule="auto"/>
      </w:pPr>
      <w:proofErr w:type="spellStart"/>
      <w:r w:rsidRPr="00E10ACF">
        <w:t>Colney</w:t>
      </w:r>
      <w:proofErr w:type="spellEnd"/>
      <w:r w:rsidRPr="00E10ACF">
        <w:t xml:space="preserve"> Lane</w:t>
      </w:r>
    </w:p>
    <w:p w14:paraId="5C0481AA" w14:textId="77777777" w:rsidR="00285D72" w:rsidRPr="00E10ACF" w:rsidRDefault="00285D72" w:rsidP="008B035F">
      <w:pPr>
        <w:spacing w:after="0" w:line="360" w:lineRule="auto"/>
      </w:pPr>
      <w:r w:rsidRPr="00E10ACF">
        <w:t>NORWICH</w:t>
      </w:r>
    </w:p>
    <w:p w14:paraId="33EF2DC0" w14:textId="77777777" w:rsidR="00285D72" w:rsidRDefault="00285D72" w:rsidP="008B035F">
      <w:pPr>
        <w:spacing w:after="0" w:line="360" w:lineRule="auto"/>
      </w:pPr>
      <w:r w:rsidRPr="00E10ACF">
        <w:t>NR4 7UB</w:t>
      </w:r>
    </w:p>
    <w:p w14:paraId="462685D5" w14:textId="77777777" w:rsidR="007A5DEA" w:rsidRPr="00E10ACF" w:rsidRDefault="007A5DEA" w:rsidP="008B035F">
      <w:pPr>
        <w:spacing w:after="0" w:line="360" w:lineRule="auto"/>
      </w:pPr>
    </w:p>
    <w:p w14:paraId="79BAF42A" w14:textId="77777777" w:rsidR="00285D72" w:rsidRPr="00E10ACF" w:rsidRDefault="00285D72" w:rsidP="008B035F">
      <w:pPr>
        <w:spacing w:after="0" w:line="360" w:lineRule="auto"/>
      </w:pPr>
      <w:r>
        <w:t xml:space="preserve">Acknowledgements / </w:t>
      </w:r>
      <w:r w:rsidRPr="00E10ACF">
        <w:t>Grant support:</w:t>
      </w:r>
    </w:p>
    <w:p w14:paraId="1435F229" w14:textId="77777777" w:rsidR="00285D72" w:rsidRPr="00E10ACF" w:rsidRDefault="00285D72" w:rsidP="008B035F">
      <w:pPr>
        <w:spacing w:after="0" w:line="360" w:lineRule="auto"/>
      </w:pPr>
      <w:r w:rsidRPr="00E10ACF">
        <w:t>This work was supported by a charitable grant from the British Society of Skeletal Radiology</w:t>
      </w:r>
    </w:p>
    <w:p w14:paraId="7497CEF5" w14:textId="77777777" w:rsidR="00285D72" w:rsidRPr="00E10ACF" w:rsidRDefault="00285D72" w:rsidP="008B035F">
      <w:pPr>
        <w:spacing w:after="0" w:line="360" w:lineRule="auto"/>
        <w:rPr>
          <w:rFonts w:ascii="Arial" w:hAnsi="Arial" w:cs="Arial"/>
          <w:szCs w:val="24"/>
        </w:rPr>
      </w:pPr>
    </w:p>
    <w:p w14:paraId="4EE90C40" w14:textId="215674C4" w:rsidR="007A5DEA" w:rsidRPr="00744150" w:rsidRDefault="00285D72" w:rsidP="008B035F">
      <w:pPr>
        <w:pStyle w:val="Heading1"/>
      </w:pPr>
      <w:r w:rsidRPr="00E10ACF">
        <w:lastRenderedPageBreak/>
        <w:t>Running title</w:t>
      </w:r>
    </w:p>
    <w:p w14:paraId="2992CA3F" w14:textId="0CCA3DCD" w:rsidR="00285D72" w:rsidRPr="00E10ACF" w:rsidRDefault="00822B5C">
      <w:r>
        <w:t>DCE-MRI of healing fractures.</w:t>
      </w:r>
    </w:p>
    <w:p w14:paraId="0C316028" w14:textId="77777777" w:rsidR="004E2E4C" w:rsidRDefault="004E2E4C">
      <w:pPr>
        <w:spacing w:after="200" w:line="276" w:lineRule="auto"/>
        <w:rPr>
          <w:rFonts w:eastAsiaTheme="majorEastAsia" w:cstheme="majorBidi"/>
          <w:b/>
          <w:bCs/>
          <w:i/>
          <w:szCs w:val="26"/>
        </w:rPr>
      </w:pPr>
      <w:r>
        <w:br w:type="page"/>
      </w:r>
    </w:p>
    <w:p w14:paraId="0342D2D0" w14:textId="18A51E17" w:rsidR="000635C3" w:rsidRPr="00F87143" w:rsidRDefault="00F87143" w:rsidP="008B035F">
      <w:pPr>
        <w:pStyle w:val="Heading1"/>
      </w:pPr>
      <w:r w:rsidRPr="00F87143">
        <w:lastRenderedPageBreak/>
        <w:t>Abstract</w:t>
      </w:r>
    </w:p>
    <w:p w14:paraId="1D1A6518" w14:textId="2427C798" w:rsidR="00F87143" w:rsidRDefault="00F87143" w:rsidP="000635C3">
      <w:r>
        <w:t xml:space="preserve">Purpose </w:t>
      </w:r>
      <w:r>
        <w:br/>
        <w:t xml:space="preserve">DCE MRI </w:t>
      </w:r>
      <w:r w:rsidR="005A1A47">
        <w:t xml:space="preserve">(Dynamic contrast-enhanced MRI) </w:t>
      </w:r>
      <w:r>
        <w:t xml:space="preserve">is an established technique for characterising abnormal tissue microvasculature within solid tumours, but has also shown promise for assessing bone and bone marrow. This study aims to define the range of quantitative pharmacokinetic parameters in normal healing bone with dynamic contrast enhanced MRI. </w:t>
      </w:r>
      <w:r>
        <w:br/>
      </w:r>
      <w:r>
        <w:br/>
        <w:t xml:space="preserve">Materials and Methods </w:t>
      </w:r>
      <w:r>
        <w:br/>
        <w:t xml:space="preserve">In this study ethical approval for 8 patients </w:t>
      </w:r>
      <w:proofErr w:type="gramStart"/>
      <w:r>
        <w:t>was</w:t>
      </w:r>
      <w:proofErr w:type="gramEnd"/>
      <w:r>
        <w:t xml:space="preserve"> obtained. Inclusion criteria were an extra-articular distal radial fracture in patients aged 20-50 </w:t>
      </w:r>
      <w:proofErr w:type="gramStart"/>
      <w:r>
        <w:t>years which</w:t>
      </w:r>
      <w:proofErr w:type="gramEnd"/>
      <w:r>
        <w:t xml:space="preserve"> had united by 6 weeks in plaster cast. </w:t>
      </w:r>
      <w:proofErr w:type="gramStart"/>
      <w:r w:rsidR="005A1A47">
        <w:t>This was assessed by an experienced orthopaedic surgeon</w:t>
      </w:r>
      <w:proofErr w:type="gramEnd"/>
      <w:r w:rsidR="005A1A47">
        <w:t>.  DCE-MRI was performed at 1.</w:t>
      </w:r>
      <w:r w:rsidR="00AB2CB7">
        <w:t>5T 6 weeks after initial injury.</w:t>
      </w:r>
      <w:r w:rsidR="00A62F98">
        <w:t xml:space="preserve">  The </w:t>
      </w:r>
      <w:proofErr w:type="spellStart"/>
      <w:r w:rsidR="00A62F98">
        <w:t>K</w:t>
      </w:r>
      <w:r w:rsidR="00A62F98" w:rsidRPr="008B035F">
        <w:t>trans</w:t>
      </w:r>
      <w:proofErr w:type="spellEnd"/>
      <w:r w:rsidR="00A62F98">
        <w:t>,</w:t>
      </w:r>
      <w:r w:rsidR="00A62F98" w:rsidRPr="008B035F">
        <w:t xml:space="preserve"> </w:t>
      </w:r>
      <w:proofErr w:type="spellStart"/>
      <w:r w:rsidR="00A62F98">
        <w:t>Kep</w:t>
      </w:r>
      <w:proofErr w:type="spellEnd"/>
      <w:r w:rsidR="00A62F98">
        <w:t xml:space="preserve"> and IAUC values for the fracture site and adjacent marrow were obtained for each patient.</w:t>
      </w:r>
      <w:r>
        <w:br/>
      </w:r>
      <w:r>
        <w:br/>
        <w:t xml:space="preserve">Results </w:t>
      </w:r>
      <w:r>
        <w:br/>
        <w:t xml:space="preserve">The mean T1, </w:t>
      </w:r>
      <w:proofErr w:type="spellStart"/>
      <w:r>
        <w:t>Ktrans</w:t>
      </w:r>
      <w:proofErr w:type="spellEnd"/>
      <w:r>
        <w:t xml:space="preserve">, </w:t>
      </w:r>
      <w:proofErr w:type="spellStart"/>
      <w:r>
        <w:t>Keρ</w:t>
      </w:r>
      <w:proofErr w:type="spellEnd"/>
      <w:r>
        <w:t xml:space="preserve"> and IAUC at the fracture site were 1713 (SD 645), 0.09 (SD 0.07), 0.17 (SD 0.17) and 4.9 (SD 4.4). The relative standard deviation (RSD) for the fracture site ranged from </w:t>
      </w:r>
      <w:r w:rsidR="00822B5C">
        <w:t>0.38</w:t>
      </w:r>
      <w:r>
        <w:t xml:space="preserve"> to </w:t>
      </w:r>
      <w:r w:rsidR="00822B5C">
        <w:t>0.97</w:t>
      </w:r>
      <w:r>
        <w:t xml:space="preserve"> and for the adjacent marrow ranged from </w:t>
      </w:r>
      <w:r w:rsidR="00822B5C">
        <w:t>0.95–3.88</w:t>
      </w:r>
      <w:r>
        <w:t xml:space="preserve">. Within each patient the range of RSDs was </w:t>
      </w:r>
      <w:r w:rsidR="00822B5C">
        <w:t>0.04</w:t>
      </w:r>
      <w:r>
        <w:t>–</w:t>
      </w:r>
      <w:r w:rsidR="00822B5C">
        <w:t>0.</w:t>
      </w:r>
      <w:r>
        <w:t>4</w:t>
      </w:r>
      <w:r w:rsidR="00822B5C">
        <w:t>2</w:t>
      </w:r>
      <w:r>
        <w:t xml:space="preserve"> for T1, </w:t>
      </w:r>
      <w:r w:rsidR="00822B5C">
        <w:t>0.26</w:t>
      </w:r>
      <w:r>
        <w:t>–</w:t>
      </w:r>
      <w:r w:rsidR="00822B5C">
        <w:t>0.91</w:t>
      </w:r>
      <w:r>
        <w:t xml:space="preserve"> for </w:t>
      </w:r>
      <w:proofErr w:type="spellStart"/>
      <w:r>
        <w:t>Ktrans</w:t>
      </w:r>
      <w:proofErr w:type="spellEnd"/>
      <w:r>
        <w:t xml:space="preserve">, </w:t>
      </w:r>
      <w:r w:rsidR="00822B5C">
        <w:t>0.14</w:t>
      </w:r>
      <w:r>
        <w:t>–1</w:t>
      </w:r>
      <w:r w:rsidR="00822B5C">
        <w:t>.</w:t>
      </w:r>
      <w:r>
        <w:t>0</w:t>
      </w:r>
      <w:r w:rsidR="00822B5C">
        <w:t>6</w:t>
      </w:r>
      <w:r>
        <w:t xml:space="preserve"> for </w:t>
      </w:r>
      <w:proofErr w:type="spellStart"/>
      <w:r>
        <w:t>Keρ</w:t>
      </w:r>
      <w:proofErr w:type="spellEnd"/>
      <w:r>
        <w:t xml:space="preserve"> and </w:t>
      </w:r>
      <w:r w:rsidR="00822B5C">
        <w:t>0.</w:t>
      </w:r>
      <w:r>
        <w:t>3</w:t>
      </w:r>
      <w:r w:rsidR="00822B5C">
        <w:t>5</w:t>
      </w:r>
      <w:r>
        <w:t>–</w:t>
      </w:r>
      <w:r w:rsidR="00822B5C">
        <w:t>0.</w:t>
      </w:r>
      <w:r>
        <w:t>9</w:t>
      </w:r>
      <w:r w:rsidR="00822B5C">
        <w:t>6</w:t>
      </w:r>
      <w:r>
        <w:t xml:space="preserve"> for the IAUC</w:t>
      </w:r>
      <w:r w:rsidR="00A62F98">
        <w:t>.</w:t>
      </w:r>
      <w:r>
        <w:br/>
      </w:r>
      <w:r>
        <w:br/>
        <w:t xml:space="preserve">Conclusion: </w:t>
      </w:r>
      <w:r>
        <w:br/>
      </w:r>
      <w:r w:rsidR="00822B5C">
        <w:t>Pharmacokinetic measures of perfusion can be obtained from healing fractures using DCE-</w:t>
      </w:r>
      <w:r w:rsidR="00822B5C">
        <w:lastRenderedPageBreak/>
        <w:t xml:space="preserve">MRI with “excellent” </w:t>
      </w:r>
      <w:proofErr w:type="spellStart"/>
      <w:r w:rsidR="00822B5C">
        <w:t>intraclass</w:t>
      </w:r>
      <w:proofErr w:type="spellEnd"/>
      <w:r w:rsidR="00822B5C">
        <w:t xml:space="preserve"> correlation coefficients for inter and intra-</w:t>
      </w:r>
      <w:proofErr w:type="spellStart"/>
      <w:r w:rsidR="00822B5C">
        <w:t>rater</w:t>
      </w:r>
      <w:proofErr w:type="spellEnd"/>
      <w:r w:rsidR="00822B5C">
        <w:t xml:space="preserve"> reliability. The use of these perfusion parameters is limited by wide patient-to-patient variation and slice-to-slice variation within patients. </w:t>
      </w:r>
    </w:p>
    <w:p w14:paraId="771BE865" w14:textId="77777777" w:rsidR="00822B5C" w:rsidRDefault="00822B5C">
      <w:pPr>
        <w:spacing w:after="200" w:line="276" w:lineRule="auto"/>
        <w:rPr>
          <w:rFonts w:eastAsiaTheme="majorEastAsia" w:cstheme="majorBidi"/>
          <w:b/>
          <w:bCs/>
          <w:i/>
          <w:szCs w:val="26"/>
        </w:rPr>
      </w:pPr>
      <w:r>
        <w:br w:type="page"/>
      </w:r>
    </w:p>
    <w:p w14:paraId="0503A776" w14:textId="146162E7" w:rsidR="0013050B" w:rsidRPr="000635C3" w:rsidRDefault="0013050B" w:rsidP="008B035F">
      <w:pPr>
        <w:pStyle w:val="Heading2"/>
      </w:pPr>
      <w:r>
        <w:lastRenderedPageBreak/>
        <w:t>Keywords</w:t>
      </w:r>
    </w:p>
    <w:p w14:paraId="4EECFC6D" w14:textId="77777777" w:rsidR="0013050B" w:rsidRDefault="0013050B" w:rsidP="008B035F">
      <w:pPr>
        <w:pStyle w:val="ListParagraph"/>
        <w:numPr>
          <w:ilvl w:val="0"/>
          <w:numId w:val="1"/>
        </w:numPr>
        <w:spacing w:line="360" w:lineRule="auto"/>
      </w:pPr>
      <w:r>
        <w:t>DCE_MRI</w:t>
      </w:r>
    </w:p>
    <w:p w14:paraId="733B522C" w14:textId="45CC5573" w:rsidR="0013050B" w:rsidRDefault="0013050B" w:rsidP="008B035F">
      <w:pPr>
        <w:pStyle w:val="ListParagraph"/>
        <w:numPr>
          <w:ilvl w:val="0"/>
          <w:numId w:val="1"/>
        </w:numPr>
        <w:spacing w:line="360" w:lineRule="auto"/>
      </w:pPr>
      <w:r>
        <w:t>Fracture</w:t>
      </w:r>
    </w:p>
    <w:p w14:paraId="3B680E04" w14:textId="77777777" w:rsidR="0013050B" w:rsidRDefault="0013050B" w:rsidP="008B035F">
      <w:pPr>
        <w:pStyle w:val="ListParagraph"/>
        <w:numPr>
          <w:ilvl w:val="0"/>
          <w:numId w:val="1"/>
        </w:numPr>
        <w:spacing w:line="360" w:lineRule="auto"/>
      </w:pPr>
      <w:r>
        <w:t>Radius</w:t>
      </w:r>
    </w:p>
    <w:p w14:paraId="5646DD3A" w14:textId="46F2FF5C" w:rsidR="0013050B" w:rsidRDefault="0013050B" w:rsidP="008B035F">
      <w:pPr>
        <w:pStyle w:val="ListParagraph"/>
        <w:numPr>
          <w:ilvl w:val="0"/>
          <w:numId w:val="1"/>
        </w:numPr>
        <w:spacing w:line="360" w:lineRule="auto"/>
      </w:pPr>
      <w:r>
        <w:t>Reliability</w:t>
      </w:r>
    </w:p>
    <w:p w14:paraId="156E4E0D" w14:textId="2520E7A4" w:rsidR="00BA1B64" w:rsidRDefault="00BA1B64">
      <w:pPr>
        <w:rPr>
          <w:rFonts w:eastAsiaTheme="majorEastAsia" w:cstheme="majorBidi"/>
          <w:b/>
          <w:bCs/>
          <w:szCs w:val="28"/>
        </w:rPr>
      </w:pPr>
    </w:p>
    <w:p w14:paraId="13F946DA" w14:textId="77777777" w:rsidR="0009522E" w:rsidRDefault="0009522E">
      <w:pPr>
        <w:spacing w:after="200" w:line="276" w:lineRule="auto"/>
        <w:rPr>
          <w:rFonts w:eastAsiaTheme="majorEastAsia" w:cstheme="majorBidi"/>
          <w:b/>
          <w:bCs/>
          <w:caps/>
          <w:szCs w:val="28"/>
        </w:rPr>
      </w:pPr>
      <w:r>
        <w:br w:type="page"/>
      </w:r>
    </w:p>
    <w:p w14:paraId="5D7C5D1C" w14:textId="210EA19A" w:rsidR="00B41F65" w:rsidRPr="005837C0" w:rsidRDefault="00900D3F" w:rsidP="008B035F">
      <w:pPr>
        <w:pStyle w:val="Heading1"/>
      </w:pPr>
      <w:r w:rsidRPr="005837C0">
        <w:lastRenderedPageBreak/>
        <w:t>Introduction</w:t>
      </w:r>
    </w:p>
    <w:p w14:paraId="070CE37A" w14:textId="1A559709" w:rsidR="00B41F65" w:rsidRPr="005837C0" w:rsidRDefault="00B41F65" w:rsidP="00B15BD0">
      <w:pPr>
        <w:spacing w:after="0"/>
        <w:rPr>
          <w:rFonts w:cs="Arial"/>
        </w:rPr>
      </w:pPr>
      <w:r w:rsidRPr="005837C0">
        <w:rPr>
          <w:rFonts w:cs="Arial"/>
        </w:rPr>
        <w:t>Fracture healing relies on adequate bone perfusion, as well as many other factors, in order to achieve union.  A poor or absent blood supply can lead to abnormal or incomplete healing</w:t>
      </w:r>
      <w:r w:rsidRPr="005837C0">
        <w:rPr>
          <w:rFonts w:cs="Arial"/>
        </w:rPr>
        <w:fldChar w:fldCharType="begin"/>
      </w:r>
      <w:r w:rsidR="004A3889">
        <w:rPr>
          <w:rFonts w:cs="Arial"/>
        </w:rPr>
        <w:instrText xml:space="preserve"> ADDIN ZOTERO_ITEM CSL_CITATION {"citationID":"24oojfedmn","properties":{"formattedCitation":"(1)","plainCitation":"(1)"},"citationItems":[{"id":381,"uris":["http://zotero.org/users/173564/items/XA6NDWAZ"],"uri":["http://zotero.org/users/173564/items/XA6NDWAZ"],"itemData":{"id":381,"type":"chapter","title":"Fracture Healing","container-title":"Radiology of Skeletal Trauma","publisher":"Churchill Livingstone","publisher-place":"New York","page":"197-221","volume":"1","edition":"2","event-place":"New York","author":[{"literal":"Rogers LF, Hendrix RW"}],"issued":{"date-parts":[["1992"]]}}}],"schema":"https://github.com/citation-style-language/schema/raw/master/csl-citation.json"} </w:instrText>
      </w:r>
      <w:r w:rsidRPr="005837C0">
        <w:rPr>
          <w:rFonts w:cs="Arial"/>
        </w:rPr>
        <w:fldChar w:fldCharType="separate"/>
      </w:r>
      <w:r w:rsidR="004A3889" w:rsidRPr="008B035F">
        <w:rPr>
          <w:rFonts w:ascii="Calibri" w:hAnsi="Calibri" w:cs="Calibri"/>
        </w:rPr>
        <w:t>(1)</w:t>
      </w:r>
      <w:r w:rsidRPr="005837C0">
        <w:rPr>
          <w:rFonts w:cs="Arial"/>
        </w:rPr>
        <w:fldChar w:fldCharType="end"/>
      </w:r>
      <w:r w:rsidRPr="005837C0">
        <w:rPr>
          <w:rFonts w:cs="Arial"/>
        </w:rPr>
        <w:t xml:space="preserve">, which may lead to significant morbidity or </w:t>
      </w:r>
      <w:r w:rsidR="00794FCF">
        <w:rPr>
          <w:rFonts w:cs="Arial"/>
        </w:rPr>
        <w:t xml:space="preserve">necessitate </w:t>
      </w:r>
      <w:r w:rsidRPr="005837C0">
        <w:rPr>
          <w:rFonts w:cs="Arial"/>
        </w:rPr>
        <w:t xml:space="preserve">surgical procedures to correct.  </w:t>
      </w:r>
      <w:r w:rsidR="008820AD" w:rsidRPr="005837C0">
        <w:rPr>
          <w:rFonts w:cs="Arial"/>
        </w:rPr>
        <w:t xml:space="preserve">Dynamic Contrast Enhanced MRI </w:t>
      </w:r>
      <w:r w:rsidR="008820AD">
        <w:rPr>
          <w:rFonts w:cs="Arial"/>
        </w:rPr>
        <w:t>(</w:t>
      </w:r>
      <w:r w:rsidR="009158A8" w:rsidRPr="005837C0">
        <w:rPr>
          <w:rFonts w:cs="Arial"/>
        </w:rPr>
        <w:t>DCE-MRI</w:t>
      </w:r>
      <w:r w:rsidR="008820AD">
        <w:rPr>
          <w:rFonts w:cs="Arial"/>
        </w:rPr>
        <w:t>)</w:t>
      </w:r>
      <w:r w:rsidR="009158A8" w:rsidRPr="005837C0">
        <w:rPr>
          <w:rFonts w:cs="Arial"/>
        </w:rPr>
        <w:t xml:space="preserve"> has been used for the non-invasive evaluation of the perfusion of bone </w:t>
      </w:r>
      <w:r w:rsidR="009158A8" w:rsidRPr="005837C0">
        <w:rPr>
          <w:rFonts w:cs="Arial"/>
        </w:rPr>
        <w:fldChar w:fldCharType="begin"/>
      </w:r>
      <w:r w:rsidR="004A3889">
        <w:rPr>
          <w:rFonts w:cs="Arial"/>
        </w:rPr>
        <w:instrText xml:space="preserve"> ADDIN ZOTERO_ITEM CSL_CITATION {"citationID":"1r0dti8025","properties":{"formattedCitation":"{\\rtf (2\\uc0\\u8211{}4)}","plainCitation":"(2–4)"},"citationItems":[{"id":286,"uris":["http://zotero.org/users/173564/items/QKWNJRU6"],"uri":["http://zotero.org/users/173564/items/QKWNJRU6"],"itemData":{"id":286,"type":"article-journal","title":"Determining and optimizing the precision of quantitative measurements of perfusion from dynamic contrast enhanced MRI","container-title":"Journal of Magnetic Resonance Imaging: JMRI","page":"575-584","volume":"18","issue":"5","source":"NCBI PubMed","abstract":"PURPOSE\n\nTo examine the sensitivity of quantitative dynamic contrast enhanced MRI (DCE-MRI) perfusion maps to errors in the various source images and to determine optimal imaging parameters for reducing this sensitivity.\n\n\nMATERIALS AND METHODS\n\nA detailed analysis of the precision of a DCE-MRI protocol was performed using the \"propagation of errors\" technique to investigate the effect of errors in the source images on errors in K(trans). Optimal parameter values and interactions between parameters were examined. The propagation of errors analysis was validated by Monte-Carlo simulations.\n\n\nRESULTS\n\nThe precision of K(trans) was found to be most sensitive to artifacts in the tissue portion of the baseline images and least sensitive to noise in the arterial portion of the dynamic images. The tip-angle strongly affected the precision, with the optimum being a function of tissue T1(0).\n\n\nCONCLUSION\n\nProtocol optimization requires matching the tip-angle to the anticipated T1(0) of the tissue of interest; however such optimization yields a relatively small improvement. Future developmental efforts would be most productively focused on minimizing the artifact level.","DOI":"10.1002/jmri.10399","ISSN":"1053-1807","note":"PMID: 14579401","journalAbbreviation":"J Magn Reson Imaging","author":[{"family":"Dale","given":"Brian M"},{"family":"Jesberger","given":"John A"},{"family":"Lewin","given":"Jonathan S"},{"family":"Hillenbrand","given":"Claudia M"},{"family":"Duerk","given":"Jeffrey L"}],"issued":{"date-parts":[["2003",11]]},"PMID":"14579401"}},{"id":234,"uris":["http://zotero.org/users/173564/items/JWTQK3UT"],"uri":["http://zotero.org/users/173564/items/JWTQK3UT"],"itemData":{"id":234,"type":"article-journal","title":"Blood perfusion of vertebral lesions evaluated with gadolinium-enhanced dynamic MRI: in comparison with compression fracture and metastasis","container-title":"Journal of Magnetic Resonance Imaging: JMRI","page":"308-314","volume":"15","issue":"3","source":"NCBI PubMed","abstract":"PURPOSE\n\nTo investigate blood perfusion of vertebral lesions using dynamic Gd-DTPA-enhanced MRI.\n\n\nMATERIALS AND METHODS\n\nDynamic MR studies were performed for cases of acute compression fracture, chronic compression fracture, metastatic vertebral lesions with or without compression fracture. A total of 42 patients (71 vertebral segments) were included. Five types of time-intensity curves (TICs) were defined as: nearly no enhancement (type A), slow enhancement (type B), a rapid contrast wash-in followed by an equilibrium phase (type C), a rapid contrast wash-in followed by early wash-out (type D), and a rapid contrast wash-in with a second slower-rising slope (type E).\n\n\nRESULTS\n\nMetastatic vertebral lesions with or without fracture had a higher peak enhancement percentage and steeper enhancement slope than those of chronic compression fracture, but had no difference as compared to those of acute compression fracture. The type D curve had high positive predictive value for metastatic group (100%), and the type E curve had high positive predictive value for benign compression fracture (85.7%).\n\n\nCONCLUSION\n\nType D and E curves are valuable in the differentiation of benign and malignant vertebral lesions.","ISSN":"1053-1807","note":"PMID: 11891976","shortTitle":"Blood perfusion of vertebral lesions evaluated with gadolinium-enhanced dynamic MRI","journalAbbreviation":"J Magn Reson Imaging","author":[{"family":"Chen","given":"Wei-Tsung"},{"family":"Shih","given":"Tiffany Ting-Fang"},{"family":"Chen","given":"Ran-Chou"},{"family":"Lo","given":"Hsin-Yen"},{"family":"Chou","given":"Chen-Te"},{"family":"Lee","given":"Jiunn-Ming"},{"family":"Tu","given":"Hsing-Yang"}],"issued":{"date-parts":[["2002",3]]},"PMID":"11891976"}},{"id":22,"uris":["http://zotero.org/users/173564/items/3K9EKWRV"],"uri":["http://zotero.org/users/173564/items/3K9EKWRV"],"itemData":{"id":22,"type":"article-journal","title":"Acute fracture of the neck of the femur. An assessment of perfusion of the head by dynamic MRI","container-title":"The Journal of Bone and Joint Surgery. British Volume","page":"596-599","volume":"81","issue":"4","source":"NCBI PubMed","abstract":"We performed dynamic MRI of the femoral head within 48 hours of injury on 22 patients with subcapital fracture of the neck of the femur and on a control group of 20 of whom ten were healthy subjects and ten were patients with an intertrochanteric fracture. Three MRI patterns emerged when the results between the fractured side and the contralateral femoral head were compared. In all of the control group and in those patients who had undisplaced fractures (Garden stages I and II), perfusion of the femoral head was considered to be at the same level as on the unaffected side. In patients with displaced fractures (Garden stages III and IV) almost all the femoral heads on the fractured side were impaired or totally avascular, although some had the same level of perfusion as the unaffected side. We conclude that dynamic MRI, a new non-invasive imaging technique, is useful for evaluating the perfusion of the femoral head.","ISSN":"0301-620X","note":"PMID: 10463727","journalAbbreviation":"J Bone Joint Surg Br","author":[{"family":"Konishiike","given":"T"},{"family":"Makihata","given":"E"},{"family":"Tago","given":"H"},{"family":"Sato","given":"T"},{"family":"Inoue","given":"H"}],"issued":{"date-parts":[["1999",7]]},"PMID":"10463727"}}],"schema":"https://github.com/citation-style-language/schema/raw/master/csl-citation.json"} </w:instrText>
      </w:r>
      <w:r w:rsidR="009158A8" w:rsidRPr="005837C0">
        <w:rPr>
          <w:rFonts w:cs="Arial"/>
        </w:rPr>
        <w:fldChar w:fldCharType="separate"/>
      </w:r>
      <w:r w:rsidR="004A3889" w:rsidRPr="008B035F">
        <w:rPr>
          <w:rFonts w:ascii="Calibri" w:hAnsi="Calibri" w:cs="Calibri"/>
          <w:szCs w:val="24"/>
        </w:rPr>
        <w:t>(2–4)</w:t>
      </w:r>
      <w:r w:rsidR="009158A8" w:rsidRPr="005837C0">
        <w:rPr>
          <w:rFonts w:cs="Arial"/>
        </w:rPr>
        <w:fldChar w:fldCharType="end"/>
      </w:r>
      <w:r w:rsidR="009158A8" w:rsidRPr="005837C0">
        <w:rPr>
          <w:rFonts w:cs="Arial"/>
        </w:rPr>
        <w:t xml:space="preserve"> and to assess fracture fragment viability prior to surgical intervention</w:t>
      </w:r>
      <w:r w:rsidR="009158A8" w:rsidRPr="005837C0">
        <w:rPr>
          <w:rFonts w:cs="Arial"/>
        </w:rPr>
        <w:fldChar w:fldCharType="begin"/>
      </w:r>
      <w:r w:rsidR="004A3889">
        <w:rPr>
          <w:rFonts w:cs="Arial"/>
        </w:rPr>
        <w:instrText xml:space="preserve"> ADDIN ZOTERO_ITEM CSL_CITATION {"citationID":"iqrtccvmj","properties":{"formattedCitation":"(5)","plainCitation":"(5)"},"citationItems":[{"id":71,"uris":["http://zotero.org/users/173564/items/659WNFH7"],"uri":["http://zotero.org/users/173564/items/659WNFH7"],"itemData":{"id":71,"type":"article-journal","title":"Is dynamic contrast-enhanced MRI useful for assessing proximal fragment vascularity in scaphoid fracture delayed and non-union?","container-title":"Skeletal radiology","page":"983-992","volume":"42","issue":"7","source":"NCBI PubMed","abstract":"OBJECTIVE: To assess dynamic contrast-enhanced magnetic resonance imaging (DCE MRI) as a measure of vascularity in scaphoid delayed-union or non-union.\nMATERIALS AND METHODS: Thirty-five patients (34 male, one female; mean age, 27.4 ± 9.4 years; range, 16-51 years) with scaphoid delayed-union and non-union who underwent DCE MRI of the scaphoid between September 2002 and October 2012 were retrospectively reviewed. Proximal fragment vascularity was classified as good, fair, or poor on unenhanced MRI, contrast-enhanced MRI, and DCE MRI. For DCE MRI, enhancement slope, Eslope comparison of proximal and distal fragments was used to classify the proximal fragment as good, fair, or poor vascularity. Proximal fragment vascularity was similarly graded at surgery in all patients. Paired t test and McNemar test were used for data comparison. Kappa value was used to assess level of agreement between MRI findings and surgical findings.\nRESULTS: Twenty-five (71 %) of 35 patients had good vascularity, four (11 %) had fair vascularity, and six (17 %) had poor vascularity of the proximal scaphoid fragment at surgery. DCE MRI parameters had the highest correlation with surgical findings (kappa = 0.57). Proximal scaphoid fragments with surgical poor vascularity had a significantly lower Emax and Eslope than those with good vascularity (p = 0.0043 and 0.027). The sensitivity, specificity, positive and negative predictive value and accuracy of DCE MRI in predicting impaired vascularity was 67, 86, 67, 86, and 80 %, respectively, which was better than that seen with unenhanced and post-contrast MRI. Flattened time intensity curves in both proximal and distal fragments were a feature of protracted non-union with a mean time interval of 101.6 ± 95.5 months between injury and MRI.\nCONCLUSIONS: DCE MRI has a higher diagnostic accuracy than either non-enhanced MRI or contrast enhanced MRI for assessing proximal fragment vascularity in scaphoid delayed-union and non-union. For proper interpretation of contrast-enhanced studies in scaphoid vascularity, one needs to incorporate the time frame between injury and MRI.","DOI":"10.1007/s00256-013-1627-2","ISSN":"1432-2161","note":"PMID: 23653220","journalAbbreviation":"Skeletal Radiol.","language":"eng","author":[{"family":"Ng","given":"Alex W H"},{"family":"Griffith","given":"James F"},{"family":"Taljanovic","given":"Mihra S"},{"family":"Li","given":"Alvin"},{"family":"Tse","given":"W L"},{"family":"Ho","given":"P C"}],"issued":{"date-parts":[["2013",7]]},"PMID":"23653220"}}],"schema":"https://github.com/citation-style-language/schema/raw/master/csl-citation.json"} </w:instrText>
      </w:r>
      <w:r w:rsidR="009158A8" w:rsidRPr="005837C0">
        <w:rPr>
          <w:rFonts w:cs="Arial"/>
        </w:rPr>
        <w:fldChar w:fldCharType="separate"/>
      </w:r>
      <w:r w:rsidR="004A3889" w:rsidRPr="008B035F">
        <w:rPr>
          <w:rFonts w:ascii="Calibri" w:hAnsi="Calibri" w:cs="Calibri"/>
        </w:rPr>
        <w:t>(5)</w:t>
      </w:r>
      <w:r w:rsidR="009158A8" w:rsidRPr="005837C0">
        <w:rPr>
          <w:rFonts w:cs="Arial"/>
        </w:rPr>
        <w:fldChar w:fldCharType="end"/>
      </w:r>
      <w:r w:rsidR="009158A8" w:rsidRPr="005837C0">
        <w:rPr>
          <w:rFonts w:cs="Arial"/>
        </w:rPr>
        <w:t>.  DCE-MRI has been shown</w:t>
      </w:r>
      <w:r w:rsidR="00AB6617" w:rsidRPr="005837C0">
        <w:rPr>
          <w:rFonts w:cs="Arial"/>
        </w:rPr>
        <w:t xml:space="preserve"> </w:t>
      </w:r>
      <w:r w:rsidR="009158A8" w:rsidRPr="005837C0">
        <w:rPr>
          <w:rFonts w:cs="Arial"/>
        </w:rPr>
        <w:t>to have a higher diagnostic</w:t>
      </w:r>
      <w:r w:rsidR="00AB6617" w:rsidRPr="005837C0">
        <w:rPr>
          <w:rFonts w:cs="Arial"/>
        </w:rPr>
        <w:t xml:space="preserve"> </w:t>
      </w:r>
      <w:r w:rsidR="009158A8" w:rsidRPr="005837C0">
        <w:rPr>
          <w:rFonts w:cs="Arial"/>
        </w:rPr>
        <w:t xml:space="preserve">accuracy </w:t>
      </w:r>
      <w:r w:rsidR="00AB6617" w:rsidRPr="005837C0">
        <w:rPr>
          <w:rFonts w:cs="Arial"/>
        </w:rPr>
        <w:t xml:space="preserve">for bone viability </w:t>
      </w:r>
      <w:r w:rsidR="009158A8" w:rsidRPr="005837C0">
        <w:rPr>
          <w:rFonts w:cs="Arial"/>
        </w:rPr>
        <w:t>than either unenhanced MRI or contrast-enhanced MRI</w:t>
      </w:r>
      <w:r w:rsidR="009158A8" w:rsidRPr="005837C0">
        <w:rPr>
          <w:rFonts w:cs="Arial"/>
        </w:rPr>
        <w:fldChar w:fldCharType="begin"/>
      </w:r>
      <w:r w:rsidR="004A3889">
        <w:rPr>
          <w:rFonts w:cs="Arial"/>
        </w:rPr>
        <w:instrText xml:space="preserve"> ADDIN ZOTERO_ITEM CSL_CITATION {"citationID":"47r3r52p2","properties":{"formattedCitation":"(5)","plainCitation":"(5)"},"citationItems":[{"id":71,"uris":["http://zotero.org/users/173564/items/659WNFH7"],"uri":["http://zotero.org/users/173564/items/659WNFH7"],"itemData":{"id":71,"type":"article-journal","title":"Is dynamic contrast-enhanced MRI useful for assessing proximal fragment vascularity in scaphoid fracture delayed and non-union?","container-title":"Skeletal radiology","page":"983-992","volume":"42","issue":"7","source":"NCBI PubMed","abstract":"OBJECTIVE: To assess dynamic contrast-enhanced magnetic resonance imaging (DCE MRI) as a measure of vascularity in scaphoid delayed-union or non-union.\nMATERIALS AND METHODS: Thirty-five patients (34 male, one female; mean age, 27.4 ± 9.4 years; range, 16-51 years) with scaphoid delayed-union and non-union who underwent DCE MRI of the scaphoid between September 2002 and October 2012 were retrospectively reviewed. Proximal fragment vascularity was classified as good, fair, or poor on unenhanced MRI, contrast-enhanced MRI, and DCE MRI. For DCE MRI, enhancement slope, Eslope comparison of proximal and distal fragments was used to classify the proximal fragment as good, fair, or poor vascularity. Proximal fragment vascularity was similarly graded at surgery in all patients. Paired t test and McNemar test were used for data comparison. Kappa value was used to assess level of agreement between MRI findings and surgical findings.\nRESULTS: Twenty-five (71 %) of 35 patients had good vascularity, four (11 %) had fair vascularity, and six (17 %) had poor vascularity of the proximal scaphoid fragment at surgery. DCE MRI parameters had the highest correlation with surgical findings (kappa = 0.57). Proximal scaphoid fragments with surgical poor vascularity had a significantly lower Emax and Eslope than those with good vascularity (p = 0.0043 and 0.027). The sensitivity, specificity, positive and negative predictive value and accuracy of DCE MRI in predicting impaired vascularity was 67, 86, 67, 86, and 80 %, respectively, which was better than that seen with unenhanced and post-contrast MRI. Flattened time intensity curves in both proximal and distal fragments were a feature of protracted non-union with a mean time interval of 101.6 ± 95.5 months between injury and MRI.\nCONCLUSIONS: DCE MRI has a higher diagnostic accuracy than either non-enhanced MRI or contrast enhanced MRI for assessing proximal fragment vascularity in scaphoid delayed-union and non-union. For proper interpretation of contrast-enhanced studies in scaphoid vascularity, one needs to incorporate the time frame between injury and MRI.","DOI":"10.1007/s00256-013-1627-2","ISSN":"1432-2161","note":"PMID: 23653220","journalAbbreviation":"Skeletal Radiol.","language":"eng","author":[{"family":"Ng","given":"Alex W H"},{"family":"Griffith","given":"James F"},{"family":"Taljanovic","given":"Mihra S"},{"family":"Li","given":"Alvin"},{"family":"Tse","given":"W L"},{"family":"Ho","given":"P C"}],"issued":{"date-parts":[["2013",7]]},"PMID":"23653220"}}],"schema":"https://github.com/citation-style-language/schema/raw/master/csl-citation.json"} </w:instrText>
      </w:r>
      <w:r w:rsidR="009158A8" w:rsidRPr="005837C0">
        <w:rPr>
          <w:rFonts w:cs="Arial"/>
        </w:rPr>
        <w:fldChar w:fldCharType="separate"/>
      </w:r>
      <w:r w:rsidR="004A3889" w:rsidRPr="008B035F">
        <w:rPr>
          <w:rFonts w:ascii="Calibri" w:hAnsi="Calibri" w:cs="Calibri"/>
        </w:rPr>
        <w:t>(5)</w:t>
      </w:r>
      <w:r w:rsidR="009158A8" w:rsidRPr="005837C0">
        <w:rPr>
          <w:rFonts w:cs="Arial"/>
        </w:rPr>
        <w:fldChar w:fldCharType="end"/>
      </w:r>
      <w:r w:rsidR="009158A8" w:rsidRPr="005837C0">
        <w:rPr>
          <w:rFonts w:cs="Arial"/>
        </w:rPr>
        <w:t>.</w:t>
      </w:r>
    </w:p>
    <w:p w14:paraId="147F6CCE" w14:textId="77777777" w:rsidR="00B14D3C" w:rsidRPr="005837C0" w:rsidRDefault="00B14D3C" w:rsidP="00B15BD0">
      <w:pPr>
        <w:spacing w:after="0"/>
        <w:rPr>
          <w:rFonts w:cs="Arial"/>
        </w:rPr>
      </w:pPr>
    </w:p>
    <w:p w14:paraId="777DD820" w14:textId="0B2D8266" w:rsidR="00B14D3C" w:rsidRDefault="00B14D3C" w:rsidP="00B14D3C">
      <w:pPr>
        <w:spacing w:after="0"/>
        <w:rPr>
          <w:rFonts w:cs="Arial"/>
        </w:rPr>
      </w:pPr>
      <w:r w:rsidRPr="005837C0">
        <w:rPr>
          <w:rFonts w:cs="Arial"/>
        </w:rPr>
        <w:t xml:space="preserve">Fracture non-union is a clinically important </w:t>
      </w:r>
      <w:r w:rsidR="008820AD" w:rsidRPr="005837C0">
        <w:rPr>
          <w:rFonts w:cs="Arial"/>
        </w:rPr>
        <w:t>entity, which</w:t>
      </w:r>
      <w:r w:rsidRPr="005837C0">
        <w:rPr>
          <w:rFonts w:cs="Arial"/>
        </w:rPr>
        <w:t xml:space="preserve"> can be associated with significant </w:t>
      </w:r>
      <w:proofErr w:type="gramStart"/>
      <w:r w:rsidRPr="005837C0">
        <w:rPr>
          <w:rFonts w:cs="Arial"/>
        </w:rPr>
        <w:t>morbidity</w:t>
      </w:r>
      <w:proofErr w:type="gramEnd"/>
      <w:r w:rsidRPr="005837C0">
        <w:rPr>
          <w:rFonts w:cs="Arial"/>
        </w:rPr>
        <w:t xml:space="preserve">.  Currently there are no available non-invasive diagnostic </w:t>
      </w:r>
      <w:r w:rsidR="008820AD" w:rsidRPr="005837C0">
        <w:rPr>
          <w:rFonts w:cs="Arial"/>
        </w:rPr>
        <w:t>tests, which</w:t>
      </w:r>
      <w:r w:rsidRPr="005837C0">
        <w:rPr>
          <w:rFonts w:cs="Arial"/>
        </w:rPr>
        <w:t xml:space="preserve"> can be used to identify fractures at increased risk of non-union.  DCE-MRI can be used to measure and describe the perfusion at the fracture site and potentially identify abnormalities in perfusion at an early stage and allow for earlier intervention, which could range from further manipulation of the fracture site to complex revascularization procedures.</w:t>
      </w:r>
    </w:p>
    <w:p w14:paraId="4061D1EC" w14:textId="77777777" w:rsidR="008820AD" w:rsidRPr="005837C0" w:rsidRDefault="008820AD" w:rsidP="00E26598">
      <w:pPr>
        <w:spacing w:after="0"/>
        <w:rPr>
          <w:rFonts w:cs="Arial"/>
        </w:rPr>
      </w:pPr>
    </w:p>
    <w:p w14:paraId="74A4C96F" w14:textId="26A0D71A" w:rsidR="00C07937" w:rsidRPr="005837C0" w:rsidRDefault="004B72B7" w:rsidP="00E26598">
      <w:pPr>
        <w:widowControl w:val="0"/>
        <w:autoSpaceDE w:val="0"/>
        <w:autoSpaceDN w:val="0"/>
        <w:adjustRightInd w:val="0"/>
        <w:spacing w:after="0"/>
        <w:rPr>
          <w:rFonts w:cs="Arial"/>
        </w:rPr>
      </w:pPr>
      <w:r>
        <w:rPr>
          <w:rFonts w:cs="Arial"/>
        </w:rPr>
        <w:t>T</w:t>
      </w:r>
      <w:r w:rsidR="00B41F65" w:rsidRPr="005837C0">
        <w:rPr>
          <w:rFonts w:cs="Arial"/>
        </w:rPr>
        <w:t>he purpose of this study is to observe and describe the properties of</w:t>
      </w:r>
      <w:r w:rsidR="00AB6617" w:rsidRPr="005837C0">
        <w:rPr>
          <w:rFonts w:cs="Arial"/>
        </w:rPr>
        <w:t xml:space="preserve"> normal</w:t>
      </w:r>
      <w:r w:rsidR="00B41F65" w:rsidRPr="005837C0">
        <w:rPr>
          <w:rFonts w:cs="Arial"/>
        </w:rPr>
        <w:t xml:space="preserve"> healing fractures </w:t>
      </w:r>
      <w:r w:rsidR="009158A8" w:rsidRPr="005837C0">
        <w:rPr>
          <w:rFonts w:cs="Arial"/>
        </w:rPr>
        <w:t>with</w:t>
      </w:r>
      <w:r w:rsidR="00B41F65" w:rsidRPr="005837C0">
        <w:rPr>
          <w:rFonts w:cs="Arial"/>
        </w:rPr>
        <w:t xml:space="preserve"> DCE-MRI </w:t>
      </w:r>
      <w:r w:rsidR="00B41F65" w:rsidRPr="00E26598">
        <w:rPr>
          <w:rFonts w:cs="Arial"/>
        </w:rPr>
        <w:t xml:space="preserve">using extra-articular fractures of the </w:t>
      </w:r>
      <w:r w:rsidR="009158A8" w:rsidRPr="00E26598">
        <w:rPr>
          <w:rFonts w:cs="Arial"/>
        </w:rPr>
        <w:t>distal radius</w:t>
      </w:r>
      <w:r w:rsidR="00B41F65" w:rsidRPr="00E26598">
        <w:rPr>
          <w:rFonts w:cs="Arial"/>
        </w:rPr>
        <w:t xml:space="preserve"> as a model.</w:t>
      </w:r>
      <w:r w:rsidR="00C07937" w:rsidRPr="00E26598">
        <w:rPr>
          <w:rFonts w:cs="Arial"/>
        </w:rPr>
        <w:t xml:space="preserve">  </w:t>
      </w:r>
      <w:r w:rsidR="00E26598" w:rsidRPr="00E26598">
        <w:rPr>
          <w:rFonts w:cs="Arial"/>
        </w:rPr>
        <w:t xml:space="preserve">Extra-articular, non-displaced fractures of the distal radius are inherently stable at </w:t>
      </w:r>
      <w:proofErr w:type="gramStart"/>
      <w:r w:rsidR="00E26598" w:rsidRPr="00E26598">
        <w:rPr>
          <w:rFonts w:cs="Arial"/>
        </w:rPr>
        <w:t>six week</w:t>
      </w:r>
      <w:proofErr w:type="gramEnd"/>
      <w:r w:rsidR="00E26598" w:rsidRPr="00E26598">
        <w:rPr>
          <w:rFonts w:cs="Arial"/>
        </w:rPr>
        <w:t xml:space="preserve"> follow-up and are very unlikely to result in any symptomatic malunion</w:t>
      </w:r>
      <w:r w:rsidR="00E26598" w:rsidRPr="00E26598">
        <w:rPr>
          <w:rFonts w:cs="Times New Roman"/>
          <w:szCs w:val="24"/>
          <w:vertAlign w:val="superscript"/>
        </w:rPr>
        <w:t>12</w:t>
      </w:r>
      <w:r w:rsidR="00E26598" w:rsidRPr="00E26598">
        <w:rPr>
          <w:rFonts w:cs="Arial"/>
        </w:rPr>
        <w:t>.</w:t>
      </w:r>
      <w:r>
        <w:rPr>
          <w:rFonts w:cs="Arial"/>
        </w:rPr>
        <w:t xml:space="preserve"> </w:t>
      </w:r>
      <w:r w:rsidRPr="00E26598">
        <w:rPr>
          <w:rFonts w:cs="Arial"/>
        </w:rPr>
        <w:t xml:space="preserve">The </w:t>
      </w:r>
      <w:r>
        <w:rPr>
          <w:rFonts w:cs="Arial"/>
        </w:rPr>
        <w:t xml:space="preserve">primary </w:t>
      </w:r>
      <w:r w:rsidRPr="00E26598">
        <w:rPr>
          <w:rFonts w:cs="Arial"/>
        </w:rPr>
        <w:t xml:space="preserve">aim is to provide reference measurements derived from pharmacokinetic modelling of normal healing bone.  </w:t>
      </w:r>
      <w:r>
        <w:rPr>
          <w:rFonts w:cs="Arial"/>
        </w:rPr>
        <w:t>The secondary aim is to measure the inter</w:t>
      </w:r>
      <w:r w:rsidR="00244251">
        <w:rPr>
          <w:rFonts w:cs="Arial"/>
        </w:rPr>
        <w:t>-</w:t>
      </w:r>
      <w:r>
        <w:rPr>
          <w:rFonts w:cs="Arial"/>
        </w:rPr>
        <w:t xml:space="preserve"> and intra-</w:t>
      </w:r>
      <w:proofErr w:type="spellStart"/>
      <w:r>
        <w:rPr>
          <w:rFonts w:cs="Arial"/>
        </w:rPr>
        <w:t>rater</w:t>
      </w:r>
      <w:proofErr w:type="spellEnd"/>
      <w:r>
        <w:rPr>
          <w:rFonts w:cs="Arial"/>
        </w:rPr>
        <w:t xml:space="preserve"> reliability of these measurements.</w:t>
      </w:r>
    </w:p>
    <w:p w14:paraId="7A574216" w14:textId="77777777" w:rsidR="00AB6617" w:rsidRPr="00DB2C59" w:rsidRDefault="006506D2">
      <w:pPr>
        <w:pStyle w:val="Heading1"/>
      </w:pPr>
      <w:r w:rsidRPr="005837C0">
        <w:lastRenderedPageBreak/>
        <w:t>Methods</w:t>
      </w:r>
    </w:p>
    <w:p w14:paraId="19FD6C5B" w14:textId="77777777" w:rsidR="006506D2" w:rsidRPr="005837C0" w:rsidRDefault="009158A8" w:rsidP="00DB2C59">
      <w:pPr>
        <w:pStyle w:val="Heading2"/>
      </w:pPr>
      <w:r w:rsidRPr="005837C0">
        <w:t>Patients</w:t>
      </w:r>
    </w:p>
    <w:p w14:paraId="2A329798" w14:textId="6E209C3D" w:rsidR="009158A8" w:rsidRPr="005837C0" w:rsidRDefault="006506D2" w:rsidP="00B15BD0">
      <w:pPr>
        <w:spacing w:after="0"/>
        <w:rPr>
          <w:rFonts w:cs="Arial"/>
        </w:rPr>
      </w:pPr>
      <w:r w:rsidRPr="005837C0">
        <w:rPr>
          <w:rFonts w:cs="Arial"/>
        </w:rPr>
        <w:t xml:space="preserve">National ethics committee review was obtained for a total of </w:t>
      </w:r>
      <w:r w:rsidR="00E04A57" w:rsidRPr="005837C0">
        <w:rPr>
          <w:rFonts w:cs="Arial"/>
        </w:rPr>
        <w:t>eight</w:t>
      </w:r>
      <w:r w:rsidRPr="005837C0">
        <w:rPr>
          <w:rFonts w:cs="Arial"/>
        </w:rPr>
        <w:t xml:space="preserve"> patients.  To recruit a population wi</w:t>
      </w:r>
      <w:r w:rsidR="00AB6617" w:rsidRPr="005837C0">
        <w:rPr>
          <w:rFonts w:cs="Arial"/>
        </w:rPr>
        <w:t>th normal healing bone</w:t>
      </w:r>
      <w:r w:rsidR="008820AD">
        <w:rPr>
          <w:rFonts w:cs="Arial"/>
        </w:rPr>
        <w:t>,</w:t>
      </w:r>
      <w:r w:rsidR="00AB6617" w:rsidRPr="005837C0">
        <w:rPr>
          <w:rFonts w:cs="Arial"/>
        </w:rPr>
        <w:t xml:space="preserve"> </w:t>
      </w:r>
      <w:proofErr w:type="gramStart"/>
      <w:r w:rsidR="00AB6617" w:rsidRPr="005837C0">
        <w:rPr>
          <w:rFonts w:cs="Arial"/>
        </w:rPr>
        <w:t>patients</w:t>
      </w:r>
      <w:proofErr w:type="gramEnd"/>
      <w:r w:rsidR="00AB6617" w:rsidRPr="005837C0">
        <w:rPr>
          <w:rFonts w:cs="Arial"/>
        </w:rPr>
        <w:t xml:space="preserve"> aged </w:t>
      </w:r>
      <w:r w:rsidRPr="005837C0">
        <w:rPr>
          <w:rFonts w:cs="Arial"/>
        </w:rPr>
        <w:t xml:space="preserve">between 20 and 50 were included into the study.  Patients were identified by a regular PACS search and were provided with the study literature at their first fracture clinic appointment.  </w:t>
      </w:r>
      <w:r w:rsidR="00900D3F" w:rsidRPr="005837C0">
        <w:rPr>
          <w:rFonts w:cs="Arial"/>
        </w:rPr>
        <w:t>P</w:t>
      </w:r>
      <w:r w:rsidRPr="005837C0">
        <w:rPr>
          <w:rFonts w:cs="Arial"/>
        </w:rPr>
        <w:t>atients with an extra-articular fracture of the distal radius</w:t>
      </w:r>
      <w:r w:rsidR="00900D3F" w:rsidRPr="005837C0">
        <w:rPr>
          <w:rFonts w:cs="Arial"/>
        </w:rPr>
        <w:t xml:space="preserve"> deemed suitable for conservative management and without any of the exclusion criteria (table 1) were enrolled.  </w:t>
      </w:r>
    </w:p>
    <w:p w14:paraId="71EE6AB6" w14:textId="77777777" w:rsidR="009158A8" w:rsidRPr="005837C0" w:rsidRDefault="009158A8" w:rsidP="00B15BD0">
      <w:pPr>
        <w:spacing w:after="0"/>
        <w:rPr>
          <w:rFonts w:cs="Arial"/>
        </w:rPr>
      </w:pPr>
    </w:p>
    <w:p w14:paraId="6280AB0F" w14:textId="699A047F" w:rsidR="00900D3F" w:rsidRDefault="00E26598" w:rsidP="00B15BD0">
      <w:pPr>
        <w:spacing w:after="0"/>
        <w:rPr>
          <w:rFonts w:cs="Arial"/>
        </w:rPr>
      </w:pPr>
      <w:r w:rsidRPr="00E26598">
        <w:rPr>
          <w:rFonts w:cs="Arial"/>
        </w:rPr>
        <w:t xml:space="preserve">Patients were reviewed in an orthopaedic clinic by an orthopaedic surgeon </w:t>
      </w:r>
      <w:r w:rsidR="00BC2C4E">
        <w:rPr>
          <w:rFonts w:cs="Arial"/>
        </w:rPr>
        <w:t>of 2</w:t>
      </w:r>
      <w:r w:rsidR="00926F0F">
        <w:rPr>
          <w:rFonts w:cs="Arial"/>
        </w:rPr>
        <w:t>3</w:t>
      </w:r>
      <w:r w:rsidR="00BC2C4E">
        <w:rPr>
          <w:rFonts w:cs="Arial"/>
        </w:rPr>
        <w:t xml:space="preserve"> years (AP) </w:t>
      </w:r>
      <w:r w:rsidR="00926F0F">
        <w:rPr>
          <w:rFonts w:cs="Arial"/>
        </w:rPr>
        <w:t xml:space="preserve">experience </w:t>
      </w:r>
      <w:r w:rsidRPr="00E26598">
        <w:rPr>
          <w:rFonts w:cs="Arial"/>
        </w:rPr>
        <w:t xml:space="preserve">at six weeks following the injury and plain radiography was performed to assess for evidence of cortical union.  </w:t>
      </w:r>
      <w:r w:rsidR="00926F0F">
        <w:rPr>
          <w:rFonts w:cs="Arial"/>
        </w:rPr>
        <w:t>All i</w:t>
      </w:r>
      <w:r w:rsidRPr="00E26598">
        <w:rPr>
          <w:rFonts w:cs="Arial"/>
        </w:rPr>
        <w:t>maging was performed on the same day as the clinic appointment. Clinical evidence of union was accepted as the absence of pain or movement at the fracture site on direct palpation combined with pain-free flexion and extension of the wrist joint after a period of six weeks immobilisation in cast</w:t>
      </w:r>
      <w:r w:rsidR="00CB4742">
        <w:rPr>
          <w:rFonts w:cs="Arial"/>
        </w:rPr>
        <w:fldChar w:fldCharType="begin"/>
      </w:r>
      <w:r w:rsidR="004A3889">
        <w:rPr>
          <w:rFonts w:cs="Arial"/>
        </w:rPr>
        <w:instrText xml:space="preserve"> ADDIN ZOTERO_ITEM CSL_CITATION {"citationID":"2qoti1kqod","properties":{"formattedCitation":"(6)","plainCitation":"(6)"},"citationItems":[{"id":331,"uris":["http://zotero.org/users/173564/items/TKT7P94T"],"uri":["http://zotero.org/users/173564/items/TKT7P94T"],"itemData":{"id":331,"type":"article-journal","title":"Nonunion of distal radius fractures","container-title":"Clinical Orthopaedics and Related Research","page":"51-56","issue":"419","source":"PubMed","abstract":"Nonunion of a distal radius fracture is extremely uncommon. Healing problems in the distal radius seem to be related to unstable situations, such as concomitant fracture of the distal radius and ulna, and to an inadequate period of immobilization. Nonunion should be suspected if there is continuing pain after remobilization of the wrist in combination with a progressing deformity. The diagnosis may be confirmed by showing movement at the fracture site on lateral radiographs of the wrist in flexion and extension. Because of the rarity of distal radius fracture nonunion, it is not surprising that there is no consensus on the optimum mode of operative treatment. Based on our experience with reconstruction surgery in 23 patients, we think that most nonunions of the distal radius are amenable to attempts to re-align and heal the fracture even when the distal fragment is small. Therefore, surgeons should try to preserve even a small amount of wrist motion and reserve wrist fusion as a final resort.","ISSN":"0009-921X","note":"PMID: 15021131","journalAbbreviation":"Clin. Orthop. Relat. Res.","language":"eng","author":[{"family":"Prommersberger","given":"Karl-Josef"},{"family":"Fernandez","given":"Diego L."}],"issued":{"date-parts":[["2004",2]]},"PMID":"15021131"}}],"schema":"https://github.com/citation-style-language/schema/raw/master/csl-citation.json"} </w:instrText>
      </w:r>
      <w:r w:rsidR="00CB4742">
        <w:rPr>
          <w:rFonts w:cs="Arial"/>
        </w:rPr>
        <w:fldChar w:fldCharType="separate"/>
      </w:r>
      <w:r w:rsidR="004A3889" w:rsidRPr="008B035F">
        <w:rPr>
          <w:rFonts w:ascii="Calibri" w:hAnsi="Calibri" w:cs="Calibri"/>
        </w:rPr>
        <w:t>(6)</w:t>
      </w:r>
      <w:r w:rsidR="00CB4742">
        <w:rPr>
          <w:rFonts w:cs="Arial"/>
        </w:rPr>
        <w:fldChar w:fldCharType="end"/>
      </w:r>
      <w:r w:rsidRPr="00E26598">
        <w:rPr>
          <w:rFonts w:cs="Arial"/>
        </w:rPr>
        <w:t xml:space="preserve"> .</w:t>
      </w:r>
    </w:p>
    <w:p w14:paraId="7D2F4612" w14:textId="77777777" w:rsidR="00E26598" w:rsidRPr="005837C0" w:rsidRDefault="00E26598" w:rsidP="00B15BD0">
      <w:pPr>
        <w:spacing w:after="0"/>
        <w:rPr>
          <w:rFonts w:cs="Arial"/>
        </w:rPr>
      </w:pPr>
    </w:p>
    <w:p w14:paraId="19A028C3" w14:textId="77777777" w:rsidR="009158A8" w:rsidRPr="005837C0" w:rsidRDefault="009158A8" w:rsidP="00DB2C59">
      <w:pPr>
        <w:pStyle w:val="Heading2"/>
      </w:pPr>
      <w:r w:rsidRPr="005837C0">
        <w:t>MRI protocol</w:t>
      </w:r>
    </w:p>
    <w:p w14:paraId="30487D02" w14:textId="263896B9" w:rsidR="00CD2BB1" w:rsidRPr="005837C0" w:rsidRDefault="009158A8" w:rsidP="00B15BD0">
      <w:pPr>
        <w:spacing w:after="0"/>
        <w:rPr>
          <w:rFonts w:cs="Arial"/>
        </w:rPr>
      </w:pPr>
      <w:r w:rsidRPr="005837C0">
        <w:rPr>
          <w:rFonts w:cs="Arial"/>
        </w:rPr>
        <w:t xml:space="preserve">All MRI examinations were </w:t>
      </w:r>
      <w:r w:rsidR="00CD2BB1" w:rsidRPr="005837C0">
        <w:rPr>
          <w:rFonts w:cs="Arial"/>
        </w:rPr>
        <w:t>performed</w:t>
      </w:r>
      <w:r w:rsidRPr="005837C0">
        <w:rPr>
          <w:rFonts w:cs="Arial"/>
        </w:rPr>
        <w:t xml:space="preserve"> </w:t>
      </w:r>
      <w:r w:rsidR="00CD2BB1" w:rsidRPr="005837C0">
        <w:rPr>
          <w:rFonts w:cs="Arial"/>
        </w:rPr>
        <w:t xml:space="preserve">on a 1.5T system (GE </w:t>
      </w:r>
      <w:proofErr w:type="spellStart"/>
      <w:r w:rsidR="00CD2BB1" w:rsidRPr="005837C0">
        <w:rPr>
          <w:rFonts w:cs="Arial"/>
        </w:rPr>
        <w:t>Sig</w:t>
      </w:r>
      <w:r w:rsidR="001E0611" w:rsidRPr="005837C0">
        <w:rPr>
          <w:rFonts w:cs="Arial"/>
        </w:rPr>
        <w:t>n</w:t>
      </w:r>
      <w:r w:rsidR="00CD2BB1" w:rsidRPr="005837C0">
        <w:rPr>
          <w:rFonts w:cs="Arial"/>
        </w:rPr>
        <w:t>a</w:t>
      </w:r>
      <w:proofErr w:type="spellEnd"/>
      <w:r w:rsidR="00CD2BB1" w:rsidRPr="005837C0">
        <w:rPr>
          <w:rFonts w:cs="Arial"/>
        </w:rPr>
        <w:t xml:space="preserve"> </w:t>
      </w:r>
      <w:proofErr w:type="spellStart"/>
      <w:r w:rsidR="00CD2BB1" w:rsidRPr="005837C0">
        <w:rPr>
          <w:rFonts w:cs="Arial"/>
        </w:rPr>
        <w:t>HDxt</w:t>
      </w:r>
      <w:proofErr w:type="spellEnd"/>
      <w:r w:rsidR="00CD2BB1" w:rsidRPr="005837C0">
        <w:rPr>
          <w:rFonts w:cs="Arial"/>
        </w:rPr>
        <w:t xml:space="preserve">, </w:t>
      </w:r>
      <w:r w:rsidR="00CD2BB1" w:rsidRPr="005837C0">
        <w:rPr>
          <w:rFonts w:cs="Arial"/>
          <w:color w:val="131413"/>
        </w:rPr>
        <w:t xml:space="preserve">GE Healthcare, </w:t>
      </w:r>
      <w:r w:rsidR="00CD2BB1" w:rsidRPr="005837C0">
        <w:rPr>
          <w:rFonts w:cs="Arial"/>
        </w:rPr>
        <w:t xml:space="preserve">Bucks, UK) using a phased array wrist coil.  The wrist was examined in a prone </w:t>
      </w:r>
      <w:proofErr w:type="spellStart"/>
      <w:r w:rsidR="00CD2BB1" w:rsidRPr="005837C0">
        <w:rPr>
          <w:rFonts w:cs="Arial"/>
        </w:rPr>
        <w:t>positon</w:t>
      </w:r>
      <w:proofErr w:type="spellEnd"/>
      <w:r w:rsidR="00CD2BB1" w:rsidRPr="005837C0">
        <w:rPr>
          <w:rFonts w:cs="Arial"/>
        </w:rPr>
        <w:t xml:space="preserve"> with the arm extended above the head.  </w:t>
      </w:r>
      <w:r w:rsidR="00567575">
        <w:rPr>
          <w:rFonts w:cs="Arial"/>
        </w:rPr>
        <w:t>An HD wrist coil was used (</w:t>
      </w:r>
      <w:proofErr w:type="spellStart"/>
      <w:r w:rsidR="000B3AA1">
        <w:rPr>
          <w:rFonts w:cs="Arial"/>
        </w:rPr>
        <w:t>Invivo</w:t>
      </w:r>
      <w:proofErr w:type="spellEnd"/>
      <w:r w:rsidR="000B3AA1">
        <w:rPr>
          <w:rFonts w:cs="Arial"/>
        </w:rPr>
        <w:t xml:space="preserve">, </w:t>
      </w:r>
      <w:proofErr w:type="spellStart"/>
      <w:r w:rsidR="000B3AA1">
        <w:rPr>
          <w:rFonts w:cs="Arial"/>
        </w:rPr>
        <w:t>Gainsville</w:t>
      </w:r>
      <w:proofErr w:type="spellEnd"/>
      <w:r w:rsidR="000B3AA1">
        <w:rPr>
          <w:rFonts w:cs="Arial"/>
        </w:rPr>
        <w:t>, FL., USA.</w:t>
      </w:r>
      <w:r w:rsidR="00C0189B">
        <w:rPr>
          <w:rFonts w:cs="Arial"/>
        </w:rPr>
        <w:t>)</w:t>
      </w:r>
      <w:proofErr w:type="gramStart"/>
      <w:r w:rsidR="00567575">
        <w:rPr>
          <w:rFonts w:cs="Arial"/>
        </w:rPr>
        <w:t>,</w:t>
      </w:r>
      <w:r w:rsidR="00C0189B">
        <w:rPr>
          <w:rFonts w:cs="Arial"/>
        </w:rPr>
        <w:t xml:space="preserve">  </w:t>
      </w:r>
      <w:r w:rsidR="00CD2BB1" w:rsidRPr="005837C0">
        <w:rPr>
          <w:rFonts w:cs="Arial"/>
        </w:rPr>
        <w:t>The</w:t>
      </w:r>
      <w:proofErr w:type="gramEnd"/>
      <w:r w:rsidR="00CD2BB1" w:rsidRPr="005837C0">
        <w:rPr>
          <w:rFonts w:cs="Arial"/>
        </w:rPr>
        <w:t xml:space="preserve"> MRI protocol consisted of coronal T1 </w:t>
      </w:r>
      <w:r w:rsidR="002C4AB5" w:rsidRPr="005837C0">
        <w:rPr>
          <w:rFonts w:cs="Arial"/>
        </w:rPr>
        <w:t xml:space="preserve">and T2 weighted anatomical images </w:t>
      </w:r>
      <w:r w:rsidR="00CD2BB1" w:rsidRPr="005837C0">
        <w:rPr>
          <w:rFonts w:cs="Arial"/>
        </w:rPr>
        <w:t>and 5 coronal T1 weighted images of variable flip angle</w:t>
      </w:r>
      <w:r w:rsidR="00B15BD0" w:rsidRPr="005837C0">
        <w:rPr>
          <w:rFonts w:cs="Arial"/>
        </w:rPr>
        <w:t>s</w:t>
      </w:r>
      <w:r w:rsidR="00CD2BB1" w:rsidRPr="005837C0">
        <w:rPr>
          <w:rFonts w:cs="Arial"/>
        </w:rPr>
        <w:t xml:space="preserve"> (</w:t>
      </w:r>
      <w:r w:rsidR="00B15BD0" w:rsidRPr="005837C0">
        <w:rPr>
          <w:rFonts w:cs="Arial"/>
        </w:rPr>
        <w:t>5</w:t>
      </w:r>
      <w:r w:rsidR="00E82C75">
        <w:rPr>
          <w:rFonts w:cs="Arial"/>
        </w:rPr>
        <w:t>°</w:t>
      </w:r>
      <w:r w:rsidR="00B15BD0" w:rsidRPr="005837C0">
        <w:rPr>
          <w:rFonts w:cs="Arial"/>
        </w:rPr>
        <w:t>,8</w:t>
      </w:r>
      <w:r w:rsidR="00E82C75">
        <w:rPr>
          <w:rFonts w:cs="Arial"/>
        </w:rPr>
        <w:t>°</w:t>
      </w:r>
      <w:r w:rsidR="00B15BD0" w:rsidRPr="005837C0">
        <w:rPr>
          <w:rFonts w:cs="Arial"/>
        </w:rPr>
        <w:t>, 15</w:t>
      </w:r>
      <w:r w:rsidR="00E82C75">
        <w:rPr>
          <w:rFonts w:cs="Arial"/>
        </w:rPr>
        <w:t>°</w:t>
      </w:r>
      <w:r w:rsidR="00B15BD0" w:rsidRPr="005837C0">
        <w:rPr>
          <w:rFonts w:cs="Arial"/>
        </w:rPr>
        <w:t>, 20</w:t>
      </w:r>
      <w:r w:rsidR="00E82C75">
        <w:rPr>
          <w:rFonts w:cs="Arial"/>
        </w:rPr>
        <w:t>°</w:t>
      </w:r>
      <w:r w:rsidR="00B15BD0" w:rsidRPr="005837C0">
        <w:rPr>
          <w:rFonts w:cs="Arial"/>
        </w:rPr>
        <w:t>, 30</w:t>
      </w:r>
      <w:r w:rsidR="00E82C75">
        <w:rPr>
          <w:rFonts w:cs="Arial"/>
        </w:rPr>
        <w:t>°</w:t>
      </w:r>
      <w:r w:rsidR="00B15BD0" w:rsidRPr="005837C0">
        <w:rPr>
          <w:rFonts w:cs="Arial"/>
        </w:rPr>
        <w:t>).</w:t>
      </w:r>
      <w:r w:rsidR="002C4AB5" w:rsidRPr="005837C0">
        <w:rPr>
          <w:rFonts w:cs="Arial"/>
        </w:rPr>
        <w:t xml:space="preserve">  </w:t>
      </w:r>
      <w:r w:rsidR="00B15BD0" w:rsidRPr="005837C0">
        <w:rPr>
          <w:rFonts w:cs="Arial"/>
        </w:rPr>
        <w:t>A</w:t>
      </w:r>
      <w:r w:rsidR="00567575">
        <w:rPr>
          <w:rFonts w:cs="Arial"/>
        </w:rPr>
        <w:t xml:space="preserve"> 3D gradient echo,</w:t>
      </w:r>
      <w:r w:rsidR="00B15BD0" w:rsidRPr="005837C0">
        <w:rPr>
          <w:rFonts w:cs="Arial"/>
        </w:rPr>
        <w:t xml:space="preserve"> T1 </w:t>
      </w:r>
      <w:r w:rsidR="00B15BD0" w:rsidRPr="005837C0">
        <w:rPr>
          <w:rFonts w:cs="Arial"/>
        </w:rPr>
        <w:lastRenderedPageBreak/>
        <w:t>weighted coronal acquisition</w:t>
      </w:r>
      <w:r w:rsidR="00AB6617" w:rsidRPr="005837C0">
        <w:rPr>
          <w:rFonts w:cs="Arial"/>
        </w:rPr>
        <w:t xml:space="preserve"> with a </w:t>
      </w:r>
      <w:r w:rsidR="00361749" w:rsidRPr="005837C0">
        <w:rPr>
          <w:rFonts w:cs="Arial"/>
        </w:rPr>
        <w:t>matrix size of 48 x 48</w:t>
      </w:r>
      <w:r w:rsidR="00B15BD0" w:rsidRPr="005837C0">
        <w:rPr>
          <w:rFonts w:cs="Arial"/>
        </w:rPr>
        <w:t xml:space="preserve"> was used for the dynamic acquisition.  </w:t>
      </w:r>
      <w:r w:rsidR="00361749" w:rsidRPr="005837C0">
        <w:rPr>
          <w:rFonts w:cs="Arial"/>
        </w:rPr>
        <w:t>S</w:t>
      </w:r>
      <w:r w:rsidR="00B15BD0" w:rsidRPr="005837C0">
        <w:rPr>
          <w:rFonts w:cs="Arial"/>
        </w:rPr>
        <w:t xml:space="preserve">ix slices </w:t>
      </w:r>
      <w:r w:rsidR="00361749" w:rsidRPr="005837C0">
        <w:rPr>
          <w:rFonts w:cs="Arial"/>
        </w:rPr>
        <w:t xml:space="preserve">(thickness 5mm) were used to cover </w:t>
      </w:r>
      <w:r w:rsidR="00B15BD0" w:rsidRPr="005837C0">
        <w:rPr>
          <w:rFonts w:cs="Arial"/>
        </w:rPr>
        <w:t xml:space="preserve">the wrist in </w:t>
      </w:r>
      <w:proofErr w:type="spellStart"/>
      <w:r w:rsidR="00B15BD0" w:rsidRPr="005837C0">
        <w:rPr>
          <w:rFonts w:cs="Arial"/>
        </w:rPr>
        <w:t>antero</w:t>
      </w:r>
      <w:proofErr w:type="spellEnd"/>
      <w:r w:rsidR="00B15BD0" w:rsidRPr="005837C0">
        <w:rPr>
          <w:rFonts w:cs="Arial"/>
        </w:rPr>
        <w:t>-posterior plane were made</w:t>
      </w:r>
      <w:r w:rsidR="00361749" w:rsidRPr="005837C0">
        <w:rPr>
          <w:rFonts w:cs="Arial"/>
        </w:rPr>
        <w:t xml:space="preserve"> for the first two patients.  This was </w:t>
      </w:r>
      <w:r w:rsidR="00B15BD0" w:rsidRPr="005837C0">
        <w:rPr>
          <w:rFonts w:cs="Arial"/>
        </w:rPr>
        <w:t>increas</w:t>
      </w:r>
      <w:r w:rsidR="00361749" w:rsidRPr="005837C0">
        <w:rPr>
          <w:rFonts w:cs="Arial"/>
        </w:rPr>
        <w:t xml:space="preserve">ed to </w:t>
      </w:r>
      <w:r w:rsidR="00B15BD0" w:rsidRPr="005837C0">
        <w:rPr>
          <w:rFonts w:cs="Arial"/>
        </w:rPr>
        <w:t xml:space="preserve">eight </w:t>
      </w:r>
      <w:r w:rsidR="00361749" w:rsidRPr="005837C0">
        <w:rPr>
          <w:rFonts w:cs="Arial"/>
        </w:rPr>
        <w:t xml:space="preserve">(5mm slice thickness) </w:t>
      </w:r>
      <w:r w:rsidR="00B15BD0" w:rsidRPr="005837C0">
        <w:rPr>
          <w:rFonts w:cs="Arial"/>
        </w:rPr>
        <w:t>after the second patient following review of the first two datasets</w:t>
      </w:r>
      <w:r w:rsidR="00361749" w:rsidRPr="005837C0">
        <w:rPr>
          <w:rFonts w:cs="Arial"/>
        </w:rPr>
        <w:t xml:space="preserve"> to see if it was possible to capture an artery on the edge slices</w:t>
      </w:r>
      <w:r w:rsidR="00B15BD0" w:rsidRPr="005837C0">
        <w:rPr>
          <w:rFonts w:cs="Arial"/>
        </w:rPr>
        <w:t xml:space="preserve">.  The dynamic images </w:t>
      </w:r>
      <w:r w:rsidR="00CD2BB1" w:rsidRPr="005837C0">
        <w:rPr>
          <w:rFonts w:cs="Arial"/>
        </w:rPr>
        <w:t xml:space="preserve">were </w:t>
      </w:r>
      <w:r w:rsidR="00361749" w:rsidRPr="005837C0">
        <w:rPr>
          <w:rFonts w:cs="Arial"/>
        </w:rPr>
        <w:t>acquired with a temporal resolution of</w:t>
      </w:r>
      <w:r w:rsidR="00CD2BB1" w:rsidRPr="005837C0">
        <w:rPr>
          <w:rFonts w:cs="Arial"/>
        </w:rPr>
        <w:t xml:space="preserve"> </w:t>
      </w:r>
      <w:r w:rsidR="00B15BD0" w:rsidRPr="005837C0">
        <w:rPr>
          <w:rFonts w:cs="Arial"/>
        </w:rPr>
        <w:t>1</w:t>
      </w:r>
      <w:r w:rsidR="00CD2BB1" w:rsidRPr="005837C0">
        <w:rPr>
          <w:rFonts w:cs="Arial"/>
        </w:rPr>
        <w:t xml:space="preserve"> second for 10 minutes after the injection of 0.1mg/kg </w:t>
      </w:r>
      <w:proofErr w:type="spellStart"/>
      <w:r w:rsidR="00CD2BB1" w:rsidRPr="005837C0">
        <w:rPr>
          <w:rFonts w:cs="Arial"/>
        </w:rPr>
        <w:t>gadobutrol</w:t>
      </w:r>
      <w:proofErr w:type="spellEnd"/>
      <w:r w:rsidR="00CD2BB1" w:rsidRPr="005837C0">
        <w:rPr>
          <w:rFonts w:cs="Arial"/>
        </w:rPr>
        <w:t xml:space="preserve"> (</w:t>
      </w:r>
      <w:proofErr w:type="spellStart"/>
      <w:r w:rsidR="00CD2BB1" w:rsidRPr="005837C0">
        <w:rPr>
          <w:rFonts w:cs="Arial"/>
        </w:rPr>
        <w:t>Gadovist</w:t>
      </w:r>
      <w:proofErr w:type="spellEnd"/>
      <w:r w:rsidR="00CD2BB1" w:rsidRPr="005837C0">
        <w:rPr>
          <w:rFonts w:cs="Arial"/>
        </w:rPr>
        <w:t>, Bayer Healthcare)</w:t>
      </w:r>
      <w:r w:rsidR="00E04A57" w:rsidRPr="005837C0">
        <w:rPr>
          <w:rFonts w:cs="Arial"/>
        </w:rPr>
        <w:t xml:space="preserve"> at 2ml per second</w:t>
      </w:r>
      <w:r w:rsidR="00CD2BB1" w:rsidRPr="005837C0">
        <w:rPr>
          <w:rFonts w:cs="Arial"/>
        </w:rPr>
        <w:t xml:space="preserve"> using an MR compatible pump and subsequently flushed with 20ml normal saline.</w:t>
      </w:r>
      <w:r w:rsidR="00A70B53">
        <w:rPr>
          <w:rFonts w:cs="Arial"/>
        </w:rPr>
        <w:t xml:space="preserve">  A summary of the pulse sequence variables is provided in Table 2.</w:t>
      </w:r>
    </w:p>
    <w:p w14:paraId="67F08A18" w14:textId="77777777" w:rsidR="00900D3F" w:rsidRPr="005837C0" w:rsidRDefault="00900D3F" w:rsidP="00B15BD0">
      <w:pPr>
        <w:spacing w:after="0"/>
        <w:rPr>
          <w:rFonts w:cs="Arial"/>
        </w:rPr>
      </w:pPr>
    </w:p>
    <w:p w14:paraId="11EEA8CB" w14:textId="77777777" w:rsidR="00E04A57" w:rsidRPr="005837C0" w:rsidRDefault="00E04A57" w:rsidP="00DB2C59">
      <w:pPr>
        <w:pStyle w:val="Heading2"/>
      </w:pPr>
      <w:r w:rsidRPr="005837C0">
        <w:t>Image Analysis</w:t>
      </w:r>
    </w:p>
    <w:p w14:paraId="138E37B3" w14:textId="5AB024E7" w:rsidR="00E04A57" w:rsidRDefault="00E04A57" w:rsidP="003470CE">
      <w:pPr>
        <w:spacing w:after="0"/>
        <w:rPr>
          <w:rFonts w:cs="Arial"/>
        </w:rPr>
      </w:pPr>
      <w:r w:rsidRPr="005837C0">
        <w:rPr>
          <w:rFonts w:cs="Arial"/>
        </w:rPr>
        <w:t xml:space="preserve">DICOM data were imported into a software programme written in </w:t>
      </w:r>
      <w:proofErr w:type="spellStart"/>
      <w:r w:rsidRPr="005837C0">
        <w:rPr>
          <w:rFonts w:cs="Arial"/>
        </w:rPr>
        <w:t>MatLab</w:t>
      </w:r>
      <w:proofErr w:type="spellEnd"/>
      <w:r w:rsidRPr="005837C0">
        <w:rPr>
          <w:rFonts w:cs="Arial"/>
        </w:rPr>
        <w:t xml:space="preserve"> (</w:t>
      </w:r>
      <w:r w:rsidR="00B14D3C" w:rsidRPr="005837C0">
        <w:rPr>
          <w:rFonts w:cs="Arial"/>
        </w:rPr>
        <w:t xml:space="preserve">7.8, The </w:t>
      </w:r>
      <w:proofErr w:type="spellStart"/>
      <w:r w:rsidR="00B14D3C" w:rsidRPr="005837C0">
        <w:rPr>
          <w:rFonts w:cs="Arial"/>
        </w:rPr>
        <w:t>MathWorks</w:t>
      </w:r>
      <w:proofErr w:type="spellEnd"/>
      <w:r w:rsidR="00B14D3C" w:rsidRPr="005837C0">
        <w:rPr>
          <w:rFonts w:cs="Arial"/>
        </w:rPr>
        <w:t xml:space="preserve"> Inc., Natick, MA, 2000</w:t>
      </w:r>
      <w:r w:rsidR="00B15BD0" w:rsidRPr="005837C0">
        <w:rPr>
          <w:rFonts w:cs="Arial"/>
        </w:rPr>
        <w:t>) by one of the authors (BK</w:t>
      </w:r>
      <w:proofErr w:type="gramStart"/>
      <w:r w:rsidRPr="005837C0">
        <w:rPr>
          <w:rFonts w:cs="Arial"/>
        </w:rPr>
        <w:t>)</w:t>
      </w:r>
      <w:r w:rsidR="00B15BD0" w:rsidRPr="005837C0">
        <w:rPr>
          <w:rFonts w:cs="Arial"/>
        </w:rPr>
        <w:t xml:space="preserve"> which</w:t>
      </w:r>
      <w:proofErr w:type="gramEnd"/>
      <w:r w:rsidR="00B15BD0" w:rsidRPr="005837C0">
        <w:rPr>
          <w:rFonts w:cs="Arial"/>
        </w:rPr>
        <w:t xml:space="preserve"> separated each slice of the dynamic data acquisition into separate datasets</w:t>
      </w:r>
      <w:r w:rsidRPr="005837C0">
        <w:rPr>
          <w:rFonts w:cs="Arial"/>
        </w:rPr>
        <w:t>.</w:t>
      </w:r>
      <w:r w:rsidR="00C05CDA">
        <w:rPr>
          <w:rFonts w:cs="Arial"/>
        </w:rPr>
        <w:t xml:space="preserve"> </w:t>
      </w:r>
      <w:r w:rsidR="00C0189B">
        <w:rPr>
          <w:rFonts w:cs="Arial"/>
        </w:rPr>
        <w:t>The accuracy of the pre-contrast T1 measureme</w:t>
      </w:r>
      <w:r w:rsidR="00E8100F">
        <w:rPr>
          <w:rFonts w:cs="Arial"/>
        </w:rPr>
        <w:t>n</w:t>
      </w:r>
      <w:r w:rsidR="00C0189B">
        <w:rPr>
          <w:rFonts w:cs="Arial"/>
        </w:rPr>
        <w:t xml:space="preserve">ts using the in-house </w:t>
      </w:r>
      <w:proofErr w:type="spellStart"/>
      <w:r w:rsidR="00C0189B">
        <w:rPr>
          <w:rFonts w:cs="Arial"/>
        </w:rPr>
        <w:t>Matlab</w:t>
      </w:r>
      <w:proofErr w:type="spellEnd"/>
      <w:r w:rsidR="00C0189B">
        <w:rPr>
          <w:rFonts w:cs="Arial"/>
        </w:rPr>
        <w:t xml:space="preserve"> program was validated using the </w:t>
      </w:r>
      <w:proofErr w:type="spellStart"/>
      <w:r w:rsidR="00C0189B">
        <w:rPr>
          <w:rFonts w:cs="Arial"/>
        </w:rPr>
        <w:t>Eurospin</w:t>
      </w:r>
      <w:proofErr w:type="spellEnd"/>
      <w:r w:rsidR="00C0189B">
        <w:rPr>
          <w:rFonts w:cs="Arial"/>
        </w:rPr>
        <w:t xml:space="preserve"> Test Object TO5 phantom (Diagnostic Sonar, Livingstone, UK).  </w:t>
      </w:r>
      <w:proofErr w:type="gramStart"/>
      <w:r w:rsidR="00C05CDA">
        <w:rPr>
          <w:rFonts w:cs="Arial"/>
        </w:rPr>
        <w:t xml:space="preserve">ROIs were drawn over the fracture site by </w:t>
      </w:r>
      <w:r w:rsidR="003470CE">
        <w:rPr>
          <w:rFonts w:cs="Arial"/>
        </w:rPr>
        <w:t>two readers</w:t>
      </w:r>
      <w:proofErr w:type="gramEnd"/>
      <w:r w:rsidR="003470CE">
        <w:rPr>
          <w:rFonts w:cs="Arial"/>
        </w:rPr>
        <w:t xml:space="preserve">: a radiologist with 12 </w:t>
      </w:r>
      <w:r w:rsidR="00926F0F">
        <w:rPr>
          <w:rFonts w:cs="Arial"/>
        </w:rPr>
        <w:t>years’ experience</w:t>
      </w:r>
      <w:r w:rsidR="003470CE">
        <w:rPr>
          <w:rFonts w:cs="Arial"/>
        </w:rPr>
        <w:t xml:space="preserve"> in MSK radiology (APT) and a radiology fellow (ML).</w:t>
      </w:r>
      <w:r w:rsidR="00C05CDA">
        <w:rPr>
          <w:rFonts w:cs="Arial"/>
        </w:rPr>
        <w:t xml:space="preserve"> </w:t>
      </w:r>
      <w:r w:rsidR="006208E8">
        <w:rPr>
          <w:rFonts w:cs="Arial"/>
        </w:rPr>
        <w:t xml:space="preserve">ROIs were drawn directly on to the DCE images with a registered T1 </w:t>
      </w:r>
      <w:r w:rsidR="00926F0F">
        <w:rPr>
          <w:rFonts w:cs="Arial"/>
        </w:rPr>
        <w:t>anatomical</w:t>
      </w:r>
      <w:r w:rsidR="006208E8">
        <w:rPr>
          <w:rFonts w:cs="Arial"/>
        </w:rPr>
        <w:t xml:space="preserve"> image adjacent for accuracy (Figure </w:t>
      </w:r>
      <w:r w:rsidR="005E2812">
        <w:rPr>
          <w:rFonts w:cs="Arial"/>
        </w:rPr>
        <w:t>1</w:t>
      </w:r>
      <w:r w:rsidR="006208E8">
        <w:rPr>
          <w:rFonts w:cs="Arial"/>
        </w:rPr>
        <w:t>)</w:t>
      </w:r>
      <w:r w:rsidR="00B239CC">
        <w:rPr>
          <w:rFonts w:cs="Arial"/>
        </w:rPr>
        <w:t>.</w:t>
      </w:r>
      <w:r w:rsidR="005D263D">
        <w:rPr>
          <w:rFonts w:cs="Arial"/>
        </w:rPr>
        <w:t xml:space="preserve">  </w:t>
      </w:r>
      <w:r w:rsidR="003470CE">
        <w:rPr>
          <w:rFonts w:cs="Arial"/>
        </w:rPr>
        <w:t>ROI measur</w:t>
      </w:r>
      <w:r w:rsidR="00DB3466">
        <w:rPr>
          <w:rFonts w:cs="Arial"/>
        </w:rPr>
        <w:t>e</w:t>
      </w:r>
      <w:r w:rsidR="003470CE">
        <w:rPr>
          <w:rFonts w:cs="Arial"/>
        </w:rPr>
        <w:t>ments</w:t>
      </w:r>
      <w:r w:rsidR="00C05CDA">
        <w:rPr>
          <w:rFonts w:cs="Arial"/>
        </w:rPr>
        <w:t xml:space="preserve"> were then analysed in </w:t>
      </w:r>
      <w:proofErr w:type="spellStart"/>
      <w:r w:rsidR="00C05CDA">
        <w:rPr>
          <w:rFonts w:cs="Arial"/>
        </w:rPr>
        <w:t>ClearCanvas</w:t>
      </w:r>
      <w:proofErr w:type="spellEnd"/>
      <w:r w:rsidR="00C05CDA">
        <w:rPr>
          <w:rFonts w:cs="Arial"/>
        </w:rPr>
        <w:t xml:space="preserve"> © </w:t>
      </w:r>
      <w:r w:rsidR="005D263D">
        <w:rPr>
          <w:rFonts w:cs="Arial"/>
        </w:rPr>
        <w:t>(</w:t>
      </w:r>
      <w:proofErr w:type="spellStart"/>
      <w:r w:rsidR="00C05CDA">
        <w:rPr>
          <w:rFonts w:cs="Arial"/>
        </w:rPr>
        <w:t>ClearCanvas</w:t>
      </w:r>
      <w:proofErr w:type="spellEnd"/>
      <w:r w:rsidR="00C05CDA">
        <w:rPr>
          <w:rFonts w:cs="Arial"/>
        </w:rPr>
        <w:t>, Ontario, Canada) using the DCE Tool plug</w:t>
      </w:r>
      <w:r w:rsidR="005D263D">
        <w:rPr>
          <w:rFonts w:cs="Arial"/>
        </w:rPr>
        <w:t>-</w:t>
      </w:r>
      <w:r w:rsidR="00C05CDA">
        <w:rPr>
          <w:rFonts w:cs="Arial"/>
        </w:rPr>
        <w:t>in. Maps of pre-contrast T</w:t>
      </w:r>
      <w:r w:rsidR="00C05CDA">
        <w:rPr>
          <w:rFonts w:cs="Arial"/>
          <w:vertAlign w:val="subscript"/>
        </w:rPr>
        <w:t>1</w:t>
      </w:r>
      <w:r w:rsidR="00C05CDA">
        <w:rPr>
          <w:rFonts w:cs="Arial"/>
        </w:rPr>
        <w:t xml:space="preserve"> </w:t>
      </w:r>
      <w:r w:rsidR="00C0189B">
        <w:rPr>
          <w:rFonts w:cs="Arial"/>
        </w:rPr>
        <w:t>(</w:t>
      </w:r>
      <w:r w:rsidR="00C05CDA">
        <w:rPr>
          <w:rFonts w:cs="Arial"/>
        </w:rPr>
        <w:t>T</w:t>
      </w:r>
      <w:r w:rsidR="00C05CDA">
        <w:rPr>
          <w:rFonts w:cs="Arial"/>
          <w:vertAlign w:val="subscript"/>
        </w:rPr>
        <w:t>10</w:t>
      </w:r>
      <w:r w:rsidR="00C0189B" w:rsidRPr="008B035F">
        <w:rPr>
          <w:rFonts w:cs="Arial"/>
        </w:rPr>
        <w:t>)</w:t>
      </w:r>
      <w:r w:rsidR="00C05CDA">
        <w:rPr>
          <w:rFonts w:cs="Arial"/>
        </w:rPr>
        <w:t xml:space="preserve"> were first calculated from the variable flip angle T1</w:t>
      </w:r>
      <w:r w:rsidR="005D263D">
        <w:rPr>
          <w:rFonts w:cs="Arial"/>
        </w:rPr>
        <w:t xml:space="preserve"> weighted </w:t>
      </w:r>
      <w:r w:rsidR="00C05CDA">
        <w:rPr>
          <w:rFonts w:cs="Arial"/>
        </w:rPr>
        <w:t xml:space="preserve">images.  </w:t>
      </w:r>
      <w:r w:rsidR="003470CE">
        <w:rPr>
          <w:rFonts w:cs="Arial"/>
        </w:rPr>
        <w:t>T</w:t>
      </w:r>
      <w:r w:rsidR="003470CE">
        <w:rPr>
          <w:rFonts w:cs="Arial"/>
          <w:vertAlign w:val="subscript"/>
        </w:rPr>
        <w:t>10</w:t>
      </w:r>
      <w:r w:rsidR="003470CE">
        <w:rPr>
          <w:rFonts w:cs="Arial"/>
        </w:rPr>
        <w:t xml:space="preserve"> values were then used to calculate contrast agent concentration from the changes in signal intensity during the dynamic </w:t>
      </w:r>
      <w:r w:rsidR="00097657">
        <w:rPr>
          <w:rFonts w:cs="Arial"/>
        </w:rPr>
        <w:t>acquisition</w:t>
      </w:r>
      <w:r w:rsidR="00097657">
        <w:rPr>
          <w:rFonts w:cs="Arial"/>
        </w:rPr>
        <w:fldChar w:fldCharType="begin"/>
      </w:r>
      <w:r w:rsidR="004A3889">
        <w:rPr>
          <w:rFonts w:cs="Arial"/>
        </w:rPr>
        <w:instrText xml:space="preserve"> ADDIN ZOTERO_ITEM CSL_CITATION {"citationID":"md6eijrot","properties":{"formattedCitation":"(7)","plainCitation":"(7)"},"citationItems":[{"id":89,"uris":["http://zotero.org/users/173564/items/7KID2RHB"],"uri":["http://zotero.org/users/173564/items/7KID2RHB"],"itemData":{"id":89,"type":"article-journal","title":"Estimating kinetic parameters from dynamic contrast-enhanced T(1)-weighted MRI of a diffusable tracer: standardized quantities and symbols","container-title":"Journal of Magnetic Resonance Imaging: JMRI","page":"223-232","volume":"10","issue":"3","source":"NCBI PubMed","abstract":"We describe a standard set of quantity names and symbols related to the estimation of kinetic parameters from dynamic contrast-enhanced T(1)-weighted magnetic resonance imaging data, using diffusable agents such as gadopentetate dimeglumine (Gd-DTPA). These include a) the volume transfer constant K(trans) (min(-1)); b) the volume of extravascular extracellular space (EES) per unit volume of tissue v(e) (0 &lt; v(e) &lt; 1); and c) the flux rate constant between EES and plasma k(ep) (min(-1)). The rate constant is the ratio of the transfer constant to the EES (k(ep) = K(trans)/v(e)). Under flow-limited conditions K(trans) equals the blood plasma flow per unit volume of tissue; under permeability-limited conditions K(trans) equals the permeability surface area product per unit volume of tissue. We relate these quantities to previously published work from our groups; our future publications will refer to these standardized terms, and we propose that these be adopted as international standards.","ISSN":"1053-1807","note":"PMID: 10508281","shortTitle":"Estimating kinetic parameters from dynamic contrast-enhanced T(1)-weighted MRI of a diffusable tracer","journalAbbreviation":"J Magn Reson Imaging","author":[{"family":"Tofts","given":"P S"},{"family":"Brix","given":"G"},{"family":"Buckley","given":"D L"},{"family":"Evelhoch","given":"J L"},{"family":"Henderson","given":"E"},{"family":"Knopp","given":"M V"},{"family":"Larsson","given":"H B"},{"family":"Lee","given":"T Y"},{"family":"Mayr","given":"N A"},{"family":"Parker","given":"G J"},{"family":"Port","given":"R E"},{"family":"Taylor","given":"J"},{"family":"Weisskoff","given":"R M"}],"issued":{"date-parts":[["1999",9]]},"PMID":"10508281"}}],"schema":"https://github.com/citation-style-language/schema/raw/master/csl-citation.json"} </w:instrText>
      </w:r>
      <w:r w:rsidR="00097657">
        <w:rPr>
          <w:rFonts w:cs="Arial"/>
        </w:rPr>
        <w:fldChar w:fldCharType="separate"/>
      </w:r>
      <w:r w:rsidR="004A3889" w:rsidRPr="008B035F">
        <w:rPr>
          <w:rFonts w:ascii="Calibri" w:hAnsi="Calibri" w:cs="Calibri"/>
        </w:rPr>
        <w:t>(7)</w:t>
      </w:r>
      <w:r w:rsidR="00097657">
        <w:rPr>
          <w:rFonts w:cs="Arial"/>
        </w:rPr>
        <w:fldChar w:fldCharType="end"/>
      </w:r>
      <w:r w:rsidR="003470CE">
        <w:rPr>
          <w:rFonts w:cs="Arial"/>
        </w:rPr>
        <w:t xml:space="preserve">. The transfer constant, </w:t>
      </w:r>
      <w:proofErr w:type="spellStart"/>
      <w:r w:rsidR="003470CE">
        <w:rPr>
          <w:rFonts w:cs="Arial"/>
        </w:rPr>
        <w:t>K</w:t>
      </w:r>
      <w:r w:rsidR="003470CE">
        <w:rPr>
          <w:rFonts w:cs="Arial"/>
          <w:vertAlign w:val="superscript"/>
        </w:rPr>
        <w:t>trans</w:t>
      </w:r>
      <w:proofErr w:type="spellEnd"/>
      <w:r w:rsidR="003470CE">
        <w:rPr>
          <w:rFonts w:cs="Arial"/>
        </w:rPr>
        <w:t xml:space="preserve">, </w:t>
      </w:r>
      <w:r w:rsidR="003470CE">
        <w:rPr>
          <w:rFonts w:cs="Arial"/>
        </w:rPr>
        <w:lastRenderedPageBreak/>
        <w:t xml:space="preserve">and transfer rate, </w:t>
      </w:r>
      <w:proofErr w:type="spellStart"/>
      <w:r w:rsidR="003470CE">
        <w:rPr>
          <w:rFonts w:cs="Arial"/>
        </w:rPr>
        <w:t>k</w:t>
      </w:r>
      <w:r w:rsidR="003470CE">
        <w:rPr>
          <w:rFonts w:cs="Arial"/>
          <w:vertAlign w:val="subscript"/>
        </w:rPr>
        <w:t>ep</w:t>
      </w:r>
      <w:proofErr w:type="spellEnd"/>
      <w:r w:rsidR="003470CE" w:rsidRPr="005837C0">
        <w:rPr>
          <w:rFonts w:cs="Arial"/>
        </w:rPr>
        <w:t xml:space="preserve"> </w:t>
      </w:r>
      <w:r w:rsidR="003470CE">
        <w:rPr>
          <w:rFonts w:cs="Arial"/>
        </w:rPr>
        <w:t>were then estimated by fitting the standard Tofts model to the concentration time curves</w:t>
      </w:r>
      <w:r w:rsidR="00097657">
        <w:rPr>
          <w:rFonts w:cs="Arial"/>
        </w:rPr>
        <w:fldChar w:fldCharType="begin"/>
      </w:r>
      <w:r w:rsidR="004A3889">
        <w:rPr>
          <w:rFonts w:cs="Arial"/>
        </w:rPr>
        <w:instrText xml:space="preserve"> ADDIN ZOTERO_ITEM CSL_CITATION {"citationID":"1kh23livud","properties":{"formattedCitation":"(8)","plainCitation":"(8)"},"citationItems":[{"id":47,"uris":["http://zotero.org/users/173564/items/52DQHA5N"],"uri":["http://zotero.org/users/173564/items/52DQHA5N"],"itemData":{"id":47,"type":"article-journal","title":"Measurement of the blood-brain barrier permeability and leakage space using dynamic MR imaging. 1. Fundamental concepts","container-title":"Magnetic Resonance in Medicine","page":"357-367","volume":"17","issue":"2","source":"PubMed","abstract":"Leakage of Gd-DTPA through a defective blood-brain barrier is measured quantitatively using dynamic MRI scanning, in which repeated scans are made after a bolus injection. Image registration artifacts are minimized; a dose of 0.1 mM/kg and an IR sequence enable enhancement to be measured quantitatively. The triexponential enhancement curve is fitted to a theoretical model based on compartmental analysis. The transfer constant, or permeability surface area product per unit volume of tissue (k), and leakage space per unit volume of tissue (v1) are measured. Estimates for a quickly enhancing multiple sclerosis lesion are k = 0.050 min-1, v1 = 21%; for a slow one k = 0.013 min-1, v1 = 49%. This implies permeability in the range 4-17 x 10(-6) cm s-1, in broad agreement with other physiological methods. The method is noninvasive and can be used to make serial measurements in patients and in experimental animal models. The time course of pathological aspects of diseases with blood-brain barrier breakdown, such as multiple sclerosis, tumors, and infections (e.g., HIV) can be studied, along with their response to therapy. The measurements are of physiological variables and are therefore independent of imaging equipment and field.","ISSN":"0740-3194","note":"PMID: 2062210","journalAbbreviation":"Magn Reson Med","language":"eng","author":[{"family":"Tofts","given":"P. S."},{"family":"Kermode","given":"A. G."}],"issued":{"date-parts":[["1991",2]]},"PMID":"2062210"}}],"schema":"https://github.com/citation-style-language/schema/raw/master/csl-citation.json"} </w:instrText>
      </w:r>
      <w:r w:rsidR="00097657">
        <w:rPr>
          <w:rFonts w:cs="Arial"/>
        </w:rPr>
        <w:fldChar w:fldCharType="separate"/>
      </w:r>
      <w:r w:rsidR="004A3889" w:rsidRPr="008B035F">
        <w:rPr>
          <w:rFonts w:ascii="Calibri" w:hAnsi="Calibri" w:cs="Calibri"/>
        </w:rPr>
        <w:t>(8)</w:t>
      </w:r>
      <w:r w:rsidR="00097657">
        <w:rPr>
          <w:rFonts w:cs="Arial"/>
        </w:rPr>
        <w:fldChar w:fldCharType="end"/>
      </w:r>
      <w:r w:rsidR="00097657">
        <w:rPr>
          <w:rFonts w:cs="Arial"/>
        </w:rPr>
        <w:t>.</w:t>
      </w:r>
      <w:r w:rsidR="003470CE">
        <w:rPr>
          <w:rFonts w:cs="Arial"/>
        </w:rPr>
        <w:t xml:space="preserve"> </w:t>
      </w:r>
      <w:r w:rsidR="00DB3466">
        <w:rPr>
          <w:rFonts w:cs="Arial"/>
        </w:rPr>
        <w:t>Since reliable arterial signals could not be obtained due to the positioning of the dynamic scans, the arterial input function, AIF, was</w:t>
      </w:r>
      <w:r w:rsidR="00097657">
        <w:rPr>
          <w:rFonts w:cs="Arial"/>
        </w:rPr>
        <w:t xml:space="preserve"> obtained from population values</w:t>
      </w:r>
      <w:r w:rsidR="00097657">
        <w:rPr>
          <w:rFonts w:cs="Arial"/>
        </w:rPr>
        <w:fldChar w:fldCharType="begin"/>
      </w:r>
      <w:r w:rsidR="004A3889">
        <w:rPr>
          <w:rFonts w:cs="Arial"/>
        </w:rPr>
        <w:instrText xml:space="preserve"> ADDIN ZOTERO_ITEM CSL_CITATION {"citationID":"8ojahqpck","properties":{"formattedCitation":"(9)","plainCitation":"(9)"},"citationItems":[{"id":"Euzs14O0/1o64jwKE","uris":["http://zotero.org/users/173564/items/WN65IFEH"],"uri":["http://zotero.org/users/173564/items/WN65IFEH"],"itemData":{"id":"Euzs14O0/1o64jwKE","type":"article-journal","title":"Experimentally-derived functional form for a population-averaged high-temporal-resolution arterial input function for dynamic contrast-enhanced MRI","container-title":"Magnetic Resonance in Medicine: Official Journal of the Society of Magnetic Resonance in Medicine / Society of Magnetic Resonance in Medicine","page":"993-1000","volume":"56","issue":"5","source":"NCBI PubMed","abstract":"Rapid T(1)-weighted 3D spoiled gradient-echo (GRE) data sets were acquired in the abdomen of 23 cancer patients during a total of 113 separate visits to allow dynamic contrast-enhanced MRI (DCE-MRI) analysis of tumor microvasculature. The arterial input function (AIF) was measured in each patient at each visit using an automated AIF extraction method following a standardized bolus administration of gadodiamide. The AIFs for each patient were combined to obtain a mean AIF that is representative for any individual. The functional form of this general AIF may be useful for studies in which AIF measurements are not possible. Improvements in the reproducibility of DCE-MRI model parameters (K(trans), v(e), and v(p)) were observed when this new, high-temporal-resolution population AIF was used, indicating the potential for increased sensitivity to therapy-induced change.","DOI":"10.1002/mrm.21066","ISSN":"0740-3194","note":"PMID: 17036301","journalAbbreviation":"Magn Reson Med","language":"eng","author":[{"family":"Parker","given":"Geoff J. M."},{"family":"Roberts","given":"Caleb"},{"family":"Macdonald","given":"Andrew"},{"family":"Buonaccorsi","given":"Giovanni A."},{"family":"Cheung","given":"Sue"},{"family":"Buckley","given":"David L."},{"family":"Jackson","given":"Alan"},{"family":"Watson","given":"Yvonne"},{"family":"Davies","given":"Karen"},{"family":"Jayson","given":"Gordon C."}],"issued":{"year":2006,"month":11},"PMID":"17036301","page-first":"993","container-title-short":"Magn Reson Med"}}],"schema":"https://github.com/citation-style-language/schema/raw/master/csl-citation.json"} </w:instrText>
      </w:r>
      <w:r w:rsidR="00097657">
        <w:rPr>
          <w:rFonts w:cs="Arial"/>
        </w:rPr>
        <w:fldChar w:fldCharType="separate"/>
      </w:r>
      <w:r w:rsidR="004A3889" w:rsidRPr="008B035F">
        <w:rPr>
          <w:rFonts w:ascii="Calibri" w:hAnsi="Calibri" w:cs="Calibri"/>
        </w:rPr>
        <w:t>(9)</w:t>
      </w:r>
      <w:r w:rsidR="00097657">
        <w:rPr>
          <w:rFonts w:cs="Arial"/>
        </w:rPr>
        <w:fldChar w:fldCharType="end"/>
      </w:r>
      <w:r w:rsidR="00DB3466">
        <w:rPr>
          <w:rFonts w:cs="Arial"/>
        </w:rPr>
        <w:t>. Values of the semi-quantitative parameter, the initial area under the curve (IAUC</w:t>
      </w:r>
      <w:r w:rsidR="00097657">
        <w:rPr>
          <w:rFonts w:cs="Arial"/>
        </w:rPr>
        <w:t>)</w:t>
      </w:r>
      <w:r w:rsidR="00DB3466">
        <w:rPr>
          <w:rFonts w:cs="Arial"/>
        </w:rPr>
        <w:t>, were also calculated by summing the concentration values from the time of arrival of the bolus, estimated visually, to 60 seconds afterwards.</w:t>
      </w:r>
    </w:p>
    <w:p w14:paraId="0ECC857B" w14:textId="77777777" w:rsidR="00C0189B" w:rsidRDefault="00C0189B" w:rsidP="003470CE">
      <w:pPr>
        <w:spacing w:after="0"/>
        <w:rPr>
          <w:rFonts w:cs="Arial"/>
        </w:rPr>
      </w:pPr>
    </w:p>
    <w:p w14:paraId="2B9AF54E" w14:textId="244F9E3B" w:rsidR="00C0189B" w:rsidRDefault="00C0189B" w:rsidP="00C0189B">
      <w:r>
        <w:t xml:space="preserve">Signal intensities were converted </w:t>
      </w:r>
      <w:r w:rsidR="0005705E">
        <w:t xml:space="preserve">to </w:t>
      </w:r>
      <w:r w:rsidR="00926F0F">
        <w:t xml:space="preserve">gadolinium </w:t>
      </w:r>
      <w:r>
        <w:t>(</w:t>
      </w:r>
      <w:proofErr w:type="spellStart"/>
      <w:r>
        <w:t>Gd</w:t>
      </w:r>
      <w:proofErr w:type="spellEnd"/>
      <w:r>
        <w:t>) concentrations using standard algorithms described in the Clear Canvas DCE Tool website (</w:t>
      </w:r>
      <w:hyperlink r:id="rId10" w:history="1">
        <w:r>
          <w:rPr>
            <w:rStyle w:val="Hyperlink"/>
            <w:color w:val="386EFF"/>
          </w:rPr>
          <w:t>http://www.thedcetool.com/scientific</w:t>
        </w:r>
      </w:hyperlink>
      <w:r>
        <w:t xml:space="preserve">). Briefly, </w:t>
      </w:r>
      <w:proofErr w:type="spellStart"/>
      <w:r>
        <w:t>Gd</w:t>
      </w:r>
      <w:proofErr w:type="spellEnd"/>
      <w:r>
        <w:t xml:space="preserve"> concentration is given by</w:t>
      </w:r>
    </w:p>
    <w:p w14:paraId="72C18B19" w14:textId="77777777" w:rsidR="00C0189B" w:rsidRDefault="00C0189B" w:rsidP="00C0189B">
      <w:pPr>
        <w:ind w:firstLine="720"/>
      </w:pPr>
      <w:r>
        <w:rPr>
          <w:rFonts w:ascii="Arial" w:eastAsia="Times New Roman" w:hAnsi="Arial" w:cs="Arial"/>
          <w:position w:val="-16"/>
          <w:szCs w:val="24"/>
          <w:lang w:val="en-US"/>
        </w:rPr>
        <w:object w:dxaOrig="1995" w:dyaOrig="435" w14:anchorId="3C1BDD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8pt;height:22.15pt" o:ole="">
            <v:imagedata r:id="rId11" o:title=""/>
          </v:shape>
          <o:OLEObject Type="Embed" ProgID="Equation.DSMT4" ShapeID="_x0000_i1025" DrawAspect="Content" ObjectID="_1383904434" r:id="rId12"/>
        </w:object>
      </w:r>
      <w:r>
        <w:t xml:space="preserve"> </w:t>
      </w:r>
    </w:p>
    <w:p w14:paraId="06022F27" w14:textId="77777777" w:rsidR="00C0189B" w:rsidRDefault="00C0189B" w:rsidP="00C0189B">
      <w:proofErr w:type="gramStart"/>
      <w:r>
        <w:t>where</w:t>
      </w:r>
      <w:proofErr w:type="gramEnd"/>
      <w:r>
        <w:t xml:space="preserve"> </w:t>
      </w:r>
      <w:r>
        <w:rPr>
          <w:i/>
        </w:rPr>
        <w:t>R</w:t>
      </w:r>
      <w:r>
        <w:rPr>
          <w:vertAlign w:val="subscript"/>
        </w:rPr>
        <w:t>1</w:t>
      </w:r>
      <w:r>
        <w:rPr>
          <w:i/>
          <w:vertAlign w:val="subscript"/>
        </w:rPr>
        <w:t xml:space="preserve"> </w:t>
      </w:r>
      <w:r>
        <w:t xml:space="preserve"> is the relaxation rate, 1/T1, </w:t>
      </w:r>
      <w:r>
        <w:rPr>
          <w:i/>
        </w:rPr>
        <w:t>R</w:t>
      </w:r>
      <w:r>
        <w:rPr>
          <w:vertAlign w:val="subscript"/>
        </w:rPr>
        <w:t>10</w:t>
      </w:r>
      <w:r>
        <w:t xml:space="preserve"> is the pre-contrast relaxation rate and </w:t>
      </w:r>
      <w:r>
        <w:rPr>
          <w:i/>
        </w:rPr>
        <w:t>k</w:t>
      </w:r>
      <w:r>
        <w:t xml:space="preserve"> is a constant related to </w:t>
      </w:r>
      <w:proofErr w:type="spellStart"/>
      <w:r>
        <w:t>Gd</w:t>
      </w:r>
      <w:proofErr w:type="spellEnd"/>
      <w:r>
        <w:t xml:space="preserve"> relaxivity. </w:t>
      </w:r>
      <w:r>
        <w:rPr>
          <w:i/>
        </w:rPr>
        <w:t>R</w:t>
      </w:r>
      <w:r>
        <w:rPr>
          <w:vertAlign w:val="subscript"/>
        </w:rPr>
        <w:t>1</w:t>
      </w:r>
      <w:r>
        <w:t xml:space="preserve"> can be calculated from signal intensity, </w:t>
      </w:r>
      <w:r>
        <w:rPr>
          <w:i/>
        </w:rPr>
        <w:t>S</w:t>
      </w:r>
      <w:r>
        <w:t>, by</w:t>
      </w:r>
    </w:p>
    <w:p w14:paraId="1CD7A265" w14:textId="77777777" w:rsidR="00C0189B" w:rsidRDefault="00C0189B" w:rsidP="00C0189B">
      <w:pPr>
        <w:pStyle w:val="Equation"/>
      </w:pPr>
      <w:r>
        <w:rPr>
          <w:position w:val="-32"/>
        </w:rPr>
        <w:object w:dxaOrig="3120" w:dyaOrig="780" w14:anchorId="13FEA8B5">
          <v:shape id="_x0000_i1026" type="#_x0000_t75" style="width:156.2pt;height:39.9pt" o:ole="">
            <v:imagedata r:id="rId13" o:title=""/>
          </v:shape>
          <o:OLEObject Type="Embed" ProgID="Equation.DSMT4" ShapeID="_x0000_i1026" DrawAspect="Content" ObjectID="_1383904435" r:id="rId14"/>
        </w:object>
      </w:r>
    </w:p>
    <w:p w14:paraId="29FE6F3C" w14:textId="77777777" w:rsidR="00926F0F" w:rsidRDefault="00926F0F" w:rsidP="00C0189B">
      <w:pPr>
        <w:pStyle w:val="NoIndent"/>
      </w:pPr>
    </w:p>
    <w:p w14:paraId="177DAB26" w14:textId="77777777" w:rsidR="00C0189B" w:rsidRDefault="00C0189B" w:rsidP="00C0189B">
      <w:pPr>
        <w:pStyle w:val="NoIndent"/>
      </w:pPr>
      <w:proofErr w:type="gramStart"/>
      <w:r>
        <w:t>where</w:t>
      </w:r>
      <w:proofErr w:type="gramEnd"/>
      <w:r>
        <w:t xml:space="preserve"> </w:t>
      </w:r>
      <w:r>
        <w:rPr>
          <w:i/>
        </w:rPr>
        <w:t>TR</w:t>
      </w:r>
      <w:r>
        <w:t xml:space="preserve"> is the repetition time, </w:t>
      </w:r>
      <w:r>
        <w:rPr>
          <w:i/>
        </w:rPr>
        <w:t>S</w:t>
      </w:r>
      <w:r>
        <w:rPr>
          <w:vertAlign w:val="subscript"/>
        </w:rPr>
        <w:t>0</w:t>
      </w:r>
      <w:r>
        <w:t xml:space="preserve"> is the pre-contrast signal and </w:t>
      </w:r>
      <w:r>
        <w:rPr>
          <w:i/>
        </w:rPr>
        <w:t>α</w:t>
      </w:r>
      <w:r>
        <w:t xml:space="preserve"> is the flip angle.</w:t>
      </w:r>
    </w:p>
    <w:p w14:paraId="572974E2" w14:textId="77777777" w:rsidR="00C0189B" w:rsidRDefault="00C0189B" w:rsidP="003470CE">
      <w:pPr>
        <w:spacing w:after="0"/>
        <w:rPr>
          <w:rFonts w:cs="Arial"/>
        </w:rPr>
      </w:pPr>
    </w:p>
    <w:p w14:paraId="51FB8B3E" w14:textId="77777777" w:rsidR="00DE6211" w:rsidRDefault="00DE6211" w:rsidP="00B15BD0">
      <w:pPr>
        <w:spacing w:after="0"/>
        <w:rPr>
          <w:rFonts w:cs="Arial"/>
        </w:rPr>
      </w:pPr>
    </w:p>
    <w:p w14:paraId="3A19B2B9" w14:textId="77777777" w:rsidR="00DE6211" w:rsidRDefault="00DE6211" w:rsidP="00DE6211">
      <w:pPr>
        <w:pStyle w:val="Heading2"/>
      </w:pPr>
      <w:r>
        <w:t>Statistics</w:t>
      </w:r>
    </w:p>
    <w:p w14:paraId="7D808639" w14:textId="2234802D" w:rsidR="00D42EA3" w:rsidRDefault="00DE6211" w:rsidP="00D42EA3">
      <w:r>
        <w:rPr>
          <w:rFonts w:cs="Arial"/>
        </w:rPr>
        <w:t xml:space="preserve">Descriptive statistics were used to describe </w:t>
      </w:r>
      <w:r w:rsidR="00CB4742">
        <w:rPr>
          <w:rFonts w:cs="Arial"/>
        </w:rPr>
        <w:t xml:space="preserve">the </w:t>
      </w:r>
      <w:r w:rsidR="00D42EA3">
        <w:rPr>
          <w:rFonts w:cs="Arial"/>
        </w:rPr>
        <w:t xml:space="preserve">radiological </w:t>
      </w:r>
      <w:r w:rsidR="00CB4742">
        <w:rPr>
          <w:rFonts w:cs="Arial"/>
        </w:rPr>
        <w:t>output variables</w:t>
      </w:r>
      <w:r w:rsidR="00D42EA3">
        <w:rPr>
          <w:rFonts w:cs="Arial"/>
        </w:rPr>
        <w:t xml:space="preserve">.  </w:t>
      </w:r>
      <w:r w:rsidR="00D42EA3">
        <w:t xml:space="preserve">All but one of the pharmacokinetic parameters at the fracture site met the criteria for parametrically </w:t>
      </w:r>
      <w:r w:rsidR="00D42EA3">
        <w:lastRenderedPageBreak/>
        <w:t xml:space="preserve">distributed data according to the </w:t>
      </w:r>
      <w:proofErr w:type="spellStart"/>
      <w:r w:rsidR="00D42EA3">
        <w:t>D’Agostino</w:t>
      </w:r>
      <w:proofErr w:type="spellEnd"/>
      <w:r w:rsidR="00D42EA3">
        <w:t>-Pearson test whereas all but one parameter for the adjacent marrow failed the test for normally distributed data.</w:t>
      </w:r>
    </w:p>
    <w:p w14:paraId="06EA3DF3" w14:textId="532605AE" w:rsidR="00DE6211" w:rsidRPr="005837C0" w:rsidRDefault="00D42EA3" w:rsidP="00B15BD0">
      <w:pPr>
        <w:spacing w:after="0"/>
        <w:rPr>
          <w:rFonts w:cs="Arial"/>
        </w:rPr>
      </w:pPr>
      <w:r>
        <w:rPr>
          <w:rFonts w:cs="Arial"/>
        </w:rPr>
        <w:t>Mixed two-way i</w:t>
      </w:r>
      <w:r w:rsidR="00DE6211">
        <w:rPr>
          <w:rFonts w:cs="Arial"/>
        </w:rPr>
        <w:t xml:space="preserve">ntra-class correlation coefficients </w:t>
      </w:r>
      <w:r>
        <w:rPr>
          <w:rFonts w:cs="Arial"/>
        </w:rPr>
        <w:t xml:space="preserve">using average measures for consistency </w:t>
      </w:r>
      <w:r w:rsidR="00DE6211">
        <w:rPr>
          <w:rFonts w:cs="Arial"/>
        </w:rPr>
        <w:t>were used to assess reliability</w:t>
      </w:r>
      <w:r w:rsidR="00D14AD4">
        <w:rPr>
          <w:rFonts w:cs="Arial"/>
        </w:rPr>
        <w:t xml:space="preserve"> along with Bland-Altman plots to assess the</w:t>
      </w:r>
      <w:r w:rsidR="0005705E">
        <w:rPr>
          <w:rFonts w:cs="Arial"/>
        </w:rPr>
        <w:t xml:space="preserve"> 95%</w:t>
      </w:r>
      <w:r w:rsidR="00D14AD4">
        <w:rPr>
          <w:rFonts w:cs="Arial"/>
        </w:rPr>
        <w:t xml:space="preserve"> limits of variation</w:t>
      </w:r>
      <w:r w:rsidR="0005705E">
        <w:rPr>
          <w:rFonts w:cs="Arial"/>
        </w:rPr>
        <w:t xml:space="preserve"> between observations</w:t>
      </w:r>
      <w:r w:rsidR="00DE6211">
        <w:rPr>
          <w:rFonts w:cs="Arial"/>
        </w:rPr>
        <w:t xml:space="preserve">. </w:t>
      </w:r>
    </w:p>
    <w:p w14:paraId="6357457A" w14:textId="77777777" w:rsidR="00E04A57" w:rsidRPr="005837C0" w:rsidRDefault="00E04A57" w:rsidP="00B15BD0">
      <w:pPr>
        <w:spacing w:after="0"/>
        <w:rPr>
          <w:rFonts w:cs="Arial"/>
        </w:rPr>
      </w:pPr>
    </w:p>
    <w:p w14:paraId="26114DFC" w14:textId="77777777" w:rsidR="00DB2C59" w:rsidRDefault="00DB2C59">
      <w:pPr>
        <w:rPr>
          <w:rFonts w:eastAsiaTheme="majorEastAsia" w:cstheme="majorBidi"/>
          <w:b/>
          <w:bCs/>
          <w:szCs w:val="28"/>
        </w:rPr>
      </w:pPr>
      <w:r>
        <w:br w:type="page"/>
      </w:r>
    </w:p>
    <w:p w14:paraId="00E98F46" w14:textId="77777777" w:rsidR="00DB2C59" w:rsidRPr="00DB2C59" w:rsidRDefault="00900D3F" w:rsidP="00BA1B64">
      <w:pPr>
        <w:pStyle w:val="Heading1"/>
      </w:pPr>
      <w:r w:rsidRPr="005837C0">
        <w:t>Results</w:t>
      </w:r>
    </w:p>
    <w:p w14:paraId="3681CBC6" w14:textId="18E751D9" w:rsidR="0098716C" w:rsidRDefault="001926C1" w:rsidP="0098716C">
      <w:r w:rsidRPr="005837C0">
        <w:t xml:space="preserve">Thirty-three patients were identified as having </w:t>
      </w:r>
      <w:r w:rsidR="00E82C75">
        <w:t>suitable fractures for study inclusion</w:t>
      </w:r>
      <w:r w:rsidRPr="005837C0">
        <w:t xml:space="preserve">.  Twenty-five were excluded; 6 for a history of current cigarette smoking, 8 as they underwent open reduction and internal fixation following a failure of conservative management, 3 as they were from out of area and would not be followed up locally, 2 as they failed to attend follow up, 1 who was unable to consent and 1 patient who </w:t>
      </w:r>
      <w:r w:rsidR="00E82C75">
        <w:t>was</w:t>
      </w:r>
      <w:r w:rsidRPr="005837C0">
        <w:t xml:space="preserve"> claustrophobi</w:t>
      </w:r>
      <w:r w:rsidR="00E82C75">
        <w:t>c</w:t>
      </w:r>
      <w:r w:rsidRPr="005837C0">
        <w:t xml:space="preserve">.  </w:t>
      </w:r>
      <w:r w:rsidR="00CB4742">
        <w:t xml:space="preserve">The average age of the participants was 31 (range 20-41 years).  The group was comprised of six females and two males.  </w:t>
      </w:r>
      <w:r w:rsidR="00990406" w:rsidRPr="005837C0">
        <w:t xml:space="preserve">The average time from injury to MRI scan was 42.75 days (range 39-48 days).  </w:t>
      </w:r>
      <w:r w:rsidR="002B01B0" w:rsidRPr="005837C0">
        <w:t>Eight co</w:t>
      </w:r>
      <w:r w:rsidR="00990406" w:rsidRPr="005837C0">
        <w:t xml:space="preserve">mplete datasets were obtained.  </w:t>
      </w:r>
      <w:r w:rsidR="0098716C">
        <w:t>The mean</w:t>
      </w:r>
      <w:r w:rsidR="00170DD3">
        <w:t xml:space="preserve"> T1</w:t>
      </w:r>
      <w:r w:rsidR="005D263D">
        <w:t xml:space="preserve"> intensity values</w:t>
      </w:r>
      <w:r w:rsidR="00170DD3">
        <w:t>,</w:t>
      </w:r>
      <w:r w:rsidR="0098716C">
        <w:t xml:space="preserve"> </w:t>
      </w:r>
      <w:proofErr w:type="spellStart"/>
      <w:r w:rsidR="0098716C">
        <w:t>K</w:t>
      </w:r>
      <w:r w:rsidR="0098716C" w:rsidRPr="00097657">
        <w:rPr>
          <w:vertAlign w:val="superscript"/>
        </w:rPr>
        <w:t>trans</w:t>
      </w:r>
      <w:proofErr w:type="spellEnd"/>
      <w:r w:rsidR="0098716C">
        <w:t xml:space="preserve">, </w:t>
      </w:r>
      <w:proofErr w:type="spellStart"/>
      <w:r w:rsidR="0047683B">
        <w:t>K</w:t>
      </w:r>
      <w:r w:rsidR="0047683B">
        <w:rPr>
          <w:vertAlign w:val="subscript"/>
        </w:rPr>
        <w:t>ep</w:t>
      </w:r>
      <w:proofErr w:type="spellEnd"/>
      <w:r w:rsidR="0047683B">
        <w:t xml:space="preserve"> </w:t>
      </w:r>
      <w:r w:rsidR="0098716C">
        <w:t>and IAUC at the fracture site were</w:t>
      </w:r>
      <w:r w:rsidR="00170DD3">
        <w:t xml:space="preserve"> 1713 (SD 645)</w:t>
      </w:r>
      <w:r w:rsidR="000635C3">
        <w:t>, 0.09</w:t>
      </w:r>
      <w:r w:rsidR="0098716C">
        <w:t xml:space="preserve"> (SD 0.07), 0.17 (SD 0.17) and 4.9 (SD 4.4)</w:t>
      </w:r>
      <w:r w:rsidR="00303E8B">
        <w:t xml:space="preserve">. </w:t>
      </w:r>
      <w:r w:rsidR="0098716C">
        <w:t xml:space="preserve"> </w:t>
      </w:r>
      <w:r w:rsidR="00377999">
        <w:t xml:space="preserve">The median </w:t>
      </w:r>
      <w:r w:rsidR="00170DD3">
        <w:t xml:space="preserve">T1, </w:t>
      </w:r>
      <w:proofErr w:type="spellStart"/>
      <w:r w:rsidR="00377999">
        <w:t>K</w:t>
      </w:r>
      <w:r w:rsidR="00377999" w:rsidRPr="00097657">
        <w:rPr>
          <w:vertAlign w:val="superscript"/>
        </w:rPr>
        <w:t>trans</w:t>
      </w:r>
      <w:proofErr w:type="spellEnd"/>
      <w:r w:rsidR="00377999">
        <w:t xml:space="preserve">, </w:t>
      </w:r>
      <w:proofErr w:type="spellStart"/>
      <w:r w:rsidR="00DB3466">
        <w:t>k</w:t>
      </w:r>
      <w:r w:rsidR="00DB3466">
        <w:rPr>
          <w:vertAlign w:val="subscript"/>
        </w:rPr>
        <w:t>ep</w:t>
      </w:r>
      <w:proofErr w:type="spellEnd"/>
      <w:r w:rsidR="00DB3466">
        <w:t xml:space="preserve"> </w:t>
      </w:r>
      <w:r w:rsidR="00377999">
        <w:t xml:space="preserve">and IAUC in the adjacent marrow were </w:t>
      </w:r>
      <w:r w:rsidR="00170DD3">
        <w:t xml:space="preserve">428.7 (IQR 224–330), </w:t>
      </w:r>
      <w:r w:rsidR="00377999">
        <w:t xml:space="preserve">0.09 (IQR 0.02–0.14), 3.86 (IQR 0.02–0.27) and 4.28 (IQR 0.97–7.5) (Table 2). The relative standard deviation (RSD) for the fracture site ranged from </w:t>
      </w:r>
      <w:r w:rsidR="00A45AC9">
        <w:t>0.38</w:t>
      </w:r>
      <w:r w:rsidR="00377999">
        <w:t xml:space="preserve"> to </w:t>
      </w:r>
      <w:r w:rsidR="00A45AC9">
        <w:t>0.97</w:t>
      </w:r>
      <w:r w:rsidR="00377999">
        <w:t xml:space="preserve"> and for the adjacent marrow ranged from </w:t>
      </w:r>
      <w:r w:rsidR="00A45AC9">
        <w:t>0.95</w:t>
      </w:r>
      <w:r w:rsidR="00377999">
        <w:t>–</w:t>
      </w:r>
      <w:r w:rsidR="00A45AC9">
        <w:t>3.88.</w:t>
      </w:r>
      <w:r w:rsidR="00377999">
        <w:t xml:space="preserve"> Within each patient the range of RSDs was </w:t>
      </w:r>
      <w:r w:rsidR="00A45AC9">
        <w:t>0.04</w:t>
      </w:r>
      <w:r w:rsidR="00170DD3">
        <w:t>–</w:t>
      </w:r>
      <w:r w:rsidR="00A45AC9">
        <w:t>0.42</w:t>
      </w:r>
      <w:r w:rsidR="00170DD3">
        <w:t xml:space="preserve"> for T1, </w:t>
      </w:r>
      <w:r w:rsidR="00A45AC9">
        <w:t>0.26</w:t>
      </w:r>
      <w:r w:rsidR="00377999">
        <w:t>–</w:t>
      </w:r>
      <w:r w:rsidR="00A45AC9">
        <w:t>0.91</w:t>
      </w:r>
      <w:r w:rsidR="00377999">
        <w:t xml:space="preserve"> for </w:t>
      </w:r>
      <w:proofErr w:type="spellStart"/>
      <w:r w:rsidR="00377999">
        <w:t>K</w:t>
      </w:r>
      <w:r w:rsidR="00377999" w:rsidRPr="00097657">
        <w:rPr>
          <w:vertAlign w:val="superscript"/>
        </w:rPr>
        <w:t>trans</w:t>
      </w:r>
      <w:proofErr w:type="spellEnd"/>
      <w:r w:rsidR="00377999">
        <w:t xml:space="preserve">, </w:t>
      </w:r>
      <w:r w:rsidR="00A45AC9">
        <w:t>0.14</w:t>
      </w:r>
      <w:r w:rsidR="00377999">
        <w:t>–</w:t>
      </w:r>
      <w:r w:rsidR="00A45AC9">
        <w:t>1.06</w:t>
      </w:r>
      <w:r w:rsidR="00377999">
        <w:t xml:space="preserve"> for </w:t>
      </w:r>
      <w:proofErr w:type="spellStart"/>
      <w:r w:rsidR="00DB3466">
        <w:t>k</w:t>
      </w:r>
      <w:r w:rsidR="00DB3466">
        <w:rPr>
          <w:vertAlign w:val="subscript"/>
        </w:rPr>
        <w:t>ep</w:t>
      </w:r>
      <w:proofErr w:type="spellEnd"/>
      <w:r w:rsidR="00DB3466">
        <w:t xml:space="preserve"> </w:t>
      </w:r>
      <w:r w:rsidR="00377999">
        <w:t xml:space="preserve">and </w:t>
      </w:r>
      <w:r w:rsidR="00A45AC9">
        <w:t>0.35</w:t>
      </w:r>
      <w:r w:rsidR="00377999">
        <w:t>–</w:t>
      </w:r>
      <w:r w:rsidR="00A45AC9">
        <w:t>0.96</w:t>
      </w:r>
      <w:r w:rsidR="00377999">
        <w:t xml:space="preserve"> for the IAUC.</w:t>
      </w:r>
      <w:r w:rsidR="009019DE">
        <w:t xml:space="preserve">  The full results are provided in Tables </w:t>
      </w:r>
      <w:r w:rsidR="00C31664">
        <w:t xml:space="preserve">3 </w:t>
      </w:r>
      <w:r w:rsidR="009019DE">
        <w:t xml:space="preserve">and </w:t>
      </w:r>
      <w:r w:rsidR="00C31664">
        <w:t>4</w:t>
      </w:r>
      <w:r w:rsidR="009019DE">
        <w:t>.</w:t>
      </w:r>
    </w:p>
    <w:p w14:paraId="59EADF00" w14:textId="55715C21" w:rsidR="004A3889" w:rsidRDefault="004A3889" w:rsidP="0098716C">
      <w:r>
        <w:t xml:space="preserve">Representative spatial maps of the fracture site and bone marrow were created from the ROIs for </w:t>
      </w:r>
      <w:proofErr w:type="spellStart"/>
      <w:r>
        <w:t>K</w:t>
      </w:r>
      <w:r w:rsidRPr="008B035F">
        <w:rPr>
          <w:vertAlign w:val="superscript"/>
        </w:rPr>
        <w:t>trans</w:t>
      </w:r>
      <w:proofErr w:type="spellEnd"/>
      <w:r>
        <w:t xml:space="preserve"> and </w:t>
      </w:r>
      <w:proofErr w:type="spellStart"/>
      <w:r>
        <w:t>K</w:t>
      </w:r>
      <w:r w:rsidRPr="008B035F">
        <w:rPr>
          <w:vertAlign w:val="subscript"/>
        </w:rPr>
        <w:t>ep</w:t>
      </w:r>
      <w:proofErr w:type="spellEnd"/>
      <w:r>
        <w:t xml:space="preserve"> (Figure 2).</w:t>
      </w:r>
    </w:p>
    <w:p w14:paraId="2C733AA8" w14:textId="4B6AC792" w:rsidR="00377999" w:rsidRPr="005837C0" w:rsidRDefault="00377999" w:rsidP="0098716C">
      <w:r>
        <w:t xml:space="preserve">The </w:t>
      </w:r>
      <w:proofErr w:type="spellStart"/>
      <w:r w:rsidR="00F12A98">
        <w:t>intraclass</w:t>
      </w:r>
      <w:proofErr w:type="spellEnd"/>
      <w:r w:rsidR="00F12A98">
        <w:t xml:space="preserve"> correlation coefficients</w:t>
      </w:r>
      <w:r>
        <w:t xml:space="preserve"> for all parameters w</w:t>
      </w:r>
      <w:r w:rsidR="00F12A98">
        <w:t>ere</w:t>
      </w:r>
      <w:r>
        <w:t xml:space="preserve"> “excellent”</w:t>
      </w:r>
      <w:r w:rsidR="009019DE">
        <w:fldChar w:fldCharType="begin"/>
      </w:r>
      <w:r w:rsidR="004A3889">
        <w:instrText xml:space="preserve"> ADDIN ZOTERO_ITEM CSL_CITATION {"citationID":"1mmtufiqm8","properties":{"formattedCitation":"(10)","plainCitation":"(10)"},"citationItems":[{"id":107,"uris":["http://zotero.org/users/173564/items/8UT3TMTK"],"uri":["http://zotero.org/users/173564/items/8UT3TMTK"],"itemData":{"id":107,"type":"article-journal","title":"A general methodology for the analysis of experiments with repeated measurement of categorical data","container-title":"Biometrics","page":"133-158","volume":"33","issue":"1","source":"NCBI PubMed","abstract":"This paper is concerned with the analysis of multivariate categorical data which are obtained from repeated measurement experiments. An expository discussion of pertinent hypotheses for such situations is given, and appropriate test statistics are developed through the application of weighted least squares methods. Special consideration is given to computational problems associated with the manipulation of large tables including the treatment of empty cells. Three applications of the methodology are provided.","ISSN":"0006-341X","note":"PMID: 843570","journalAbbreviation":"Biometrics","author":[{"family":"Koch","given":"G G"},{"family":"Landis","given":"J R"},{"family":"Freeman","given":"J L"},{"family":"Freeman","given":"D H","suffix":"Jr"},{"family":"Lehnen","given":"R C"}],"issued":{"date-parts":[["1977",3]]},"PMID":"843570"}}],"schema":"https://github.com/citation-style-language/schema/raw/master/csl-citation.json"} </w:instrText>
      </w:r>
      <w:r w:rsidR="009019DE">
        <w:fldChar w:fldCharType="separate"/>
      </w:r>
      <w:r w:rsidR="004A3889" w:rsidRPr="008B035F">
        <w:rPr>
          <w:rFonts w:ascii="Calibri" w:hAnsi="Calibri" w:cs="Calibri"/>
        </w:rPr>
        <w:t>(10)</w:t>
      </w:r>
      <w:r w:rsidR="009019DE">
        <w:fldChar w:fldCharType="end"/>
      </w:r>
      <w:r>
        <w:t xml:space="preserve"> with </w:t>
      </w:r>
      <w:r w:rsidR="00F12A98">
        <w:t>ICC</w:t>
      </w:r>
      <w:r>
        <w:t xml:space="preserve"> ranging from 0.8–0.99.</w:t>
      </w:r>
      <w:r w:rsidR="00F12A98">
        <w:t xml:space="preserve"> Bland-Altman mean-difference plots demonstrated no funnelling to suggest a correlation between variation and magnitude of the measurements (Figures </w:t>
      </w:r>
      <w:r w:rsidR="005E2812">
        <w:t>5 and 6</w:t>
      </w:r>
      <w:r w:rsidR="00F12A98">
        <w:t xml:space="preserve">). The </w:t>
      </w:r>
      <w:r w:rsidR="00D7375C">
        <w:t xml:space="preserve">95% limits of agreement were in the same order of magnitude as the mean pharmacokinetic measures (Tables </w:t>
      </w:r>
      <w:r w:rsidR="004A3889">
        <w:t>4</w:t>
      </w:r>
      <w:r w:rsidR="00D7375C">
        <w:t xml:space="preserve"> and </w:t>
      </w:r>
      <w:r w:rsidR="004A3889">
        <w:t>5</w:t>
      </w:r>
      <w:r w:rsidR="00D7375C">
        <w:t>).</w:t>
      </w:r>
    </w:p>
    <w:p w14:paraId="173DC19F" w14:textId="77777777" w:rsidR="004A3889" w:rsidRDefault="004A3889">
      <w:pPr>
        <w:spacing w:after="200" w:line="276" w:lineRule="auto"/>
        <w:rPr>
          <w:rFonts w:eastAsiaTheme="majorEastAsia" w:cstheme="majorBidi"/>
          <w:b/>
          <w:bCs/>
          <w:i/>
          <w:szCs w:val="26"/>
        </w:rPr>
      </w:pPr>
      <w:r>
        <w:br w:type="page"/>
      </w:r>
    </w:p>
    <w:p w14:paraId="5B9DFCB2" w14:textId="32C3A92C" w:rsidR="00BA1B64" w:rsidRPr="00BA1B64" w:rsidRDefault="002B01B0">
      <w:pPr>
        <w:pStyle w:val="Heading1"/>
      </w:pPr>
      <w:r w:rsidRPr="005837C0">
        <w:t>Discussion</w:t>
      </w:r>
    </w:p>
    <w:p w14:paraId="56F4254F" w14:textId="4FFE4FF0" w:rsidR="007A3F63" w:rsidRPr="005837C0" w:rsidRDefault="007A3F63" w:rsidP="003F5702">
      <w:r w:rsidRPr="005837C0">
        <w:t>DCE-MRI is an established technique for the assessment of malignant tumours and their response to treatment where the increased permeability and u</w:t>
      </w:r>
      <w:r w:rsidR="000D07AB" w:rsidRPr="005837C0">
        <w:t>p</w:t>
      </w:r>
      <w:r w:rsidRPr="005837C0">
        <w:t>take of contrast correlates to</w:t>
      </w:r>
      <w:r w:rsidR="000D07AB" w:rsidRPr="005837C0">
        <w:t xml:space="preserve"> tumour activity and prognosis</w:t>
      </w:r>
      <w:r w:rsidR="000D07AB" w:rsidRPr="005837C0">
        <w:fldChar w:fldCharType="begin"/>
      </w:r>
      <w:r w:rsidR="004A3889">
        <w:instrText xml:space="preserve"> ADDIN ZOTERO_ITEM CSL_CITATION {"citationID":"qgvu5754h","properties":{"formattedCitation":"(11, 12)","plainCitation":"(11, 12)"},"citationItems":[{"id":268,"uris":["http://zotero.org/users/173564/items/7SFAK84X"],"uri":["http://zotero.org/users/173564/items/7SFAK84X"],"itemData":{"id":268,"type":"article-journal","title":"Changes in tumor perfusion induced by chemotherapy in bone sarcomas: color Doppler flow imaging compared with contrast-enhanced MR imaging and three-phase bone scintigraphy","container-title":"Radiology","page":"421-431","volume":"191","issue":"2","source":"NCBI PubMed","abstract":"PURPOSE: To prospectively evaluate color Doppler flow imaging (CDFI) with spectral analysis versus dynamic gadolinium-enhanced magnetic resonance (MR) imaging and three-phase bone scintigraphy in monitoring the effect of chemotherapy on bone sarcomas.\nMATERIALS AND METHODS: Seventeen osteosarcomas and five Ewing sarcomas were examined with these imaging techniques before and after chemotherapy. Results were compared with the histopathologic response.\nRESULTS: Before chemotherapy, high systolic Doppler frequency shifts (DFSs) and/or low-impedance Doppler signals were found in all but one tumor. Resistive indexes (RIs) in tumor-feeding arteries were substantially lower than in contralateral normal arteries. After chemotherapy, DFSs disappeared in five of seven good respondents and remained substantial in all but one poor respondent. RIs increased substantially in all good respondents and decreased or showed minor changes only in all but one poor respondent.\nCONCLUSION: CDFI with spectral analysis has an advantage over the other two techniques in monitoring the efficacy of chemotherapy in bone sarcomas because of its superior accuracy, noninvasive nature, availability, and low cost.","DOI":"10.1148/radiology.191.2.8153316","ISSN":"0033-8419","note":"PMID: 8153316","shortTitle":"Changes in tumor perfusion induced by chemotherapy in bone sarcomas","journalAbbreviation":"Radiology","language":"eng","author":[{"family":"van der Woude","given":"H. J."},{"family":"Bloem","given":"J. L."},{"family":"Schipper","given":"J."},{"family":"Hermans","given":"J."},{"family":"van Eck-Smit","given":"B. L."},{"family":"van Oostayen","given":"J."},{"family":"Nooy","given":"M. A."},{"family":"Taminiau","given":"A. H."},{"family":"Holscher","given":"H. C."},{"family":"Hogendoorn","given":"P. C."}],"issued":{"date-parts":[["1994",5]]},"PMID":"8153316"}},{"id":270,"uris":["http://zotero.org/users/173564/items/H8T89K8N"],"uri":["http://zotero.org/users/173564/items/H8T89K8N"],"itemData":{"id":270,"type":"article-journal","title":"Osteosarcoma and Ewing's sarcoma after neoadjuvant chemotherapy: value of dynamic MR imaging in detecting viable tumor before surgery","container-title":"AJR. American journal of roentgenology","page":"593-598","volume":"165","issue":"3","source":"NCBI PubMed","abstract":"OBJECTIVE: This study analyzed the value of dynamic contrast-enhanced and subtraction MR images in detecting residual viable tumor before surgery, with emphasis on timing of enhancement, in patients with high-grade osteosarcoma and Ewing's sarcoma after neoadjuvant chemotherapy.\nSUBJECTS AND METHODS: Twenty-one patients with proved osteosarcoma or Ewing's sarcoma were treated with neoadjuvant chemotherapy followed by surgery. After IV administration of gadopentetate dimeglumine, dynamic enhancement patterns on preoperative MR images were compared with corresponding areas on histologic sections of the resected specimens. On dynamic subtraction images obtained with high temporal resolution (1.5-3 sec), the interval between arrival of the bolus of contrast agent in an artery and start of tumoral enhancement was used to distinguish residual viable tumor. Early enhancing foci (interval artery-tumor &lt; 6 sec) and late or nonenhancing areas seen on MR images were correlated with the histopathologic findings in these areas of the resected specimens.\nRESULTS: Early and progressively enhancing structures seen on MR images corresponded to feeding arteries, physeal vessels, or residual viable tumor at specific preferential sites on corresponding histologic sections of the resected specimens. Tumor foci as small as 3-5 mm2 could be detected on dynamic MR images. Remnant viable tumor was often located subperiosteally and at the margins of the tumor. Occasionally, active periosteal reaction without presence of viable tumor contributed to early enhancement. Late and gradually enhancing or nonenhancing areas corresponded histopathologically to regions of chemotherapy-induced necrosis, mucomyxoid degeneration, or fibrosis. Alternatively, late or nonenhancing areas were associated with reactive changes such as edema, hemorrhage, or osteomyelitis or with tumor-related extracellular matrices such as abundant osteoid or chondroid. Viable tumor areas with scarce formation of matrix on microscopy, such as small cell osteosarcoma areas or Ewing's sarcoma, showed early enhancement with rapid washout of contrast agent on the dynamic MR images.\nCONCLUSION: Fast dynamic contrast-enhanced sequences are essential for identifying residual tumor before surgery. A short time interval of less than 6 sec between arterial enhancement and tumoral enhancement strongly correlates with presence of viable tumor. Both therapy-related alterations of tissue and tumor-related matrices must be considered when late or lack of enhancement is noted on dynamic MR images.","DOI":"10.2214/ajr.165.3.7645476","ISSN":"0361-803X","note":"PMID: 7645476","shortTitle":"Osteosarcoma and Ewing's sarcoma after neoadjuvant chemotherapy","journalAbbreviation":"AJR Am J Roentgenol","language":"eng","author":[{"family":"van der Woude","given":"H. J."},{"family":"Bloem","given":"J. L."},{"family":"Verstraete","given":"K. L."},{"family":"Taminiau","given":"A. H."},{"family":"Nooy","given":"M. A."},{"family":"Hogendoorn","given":"P. C."}],"issued":{"date-parts":[["1995",9]]},"PMID":"7645476"}}],"schema":"https://github.com/citation-style-language/schema/raw/master/csl-citation.json"} </w:instrText>
      </w:r>
      <w:r w:rsidR="000D07AB" w:rsidRPr="005837C0">
        <w:fldChar w:fldCharType="separate"/>
      </w:r>
      <w:r w:rsidR="004A3889" w:rsidRPr="008B035F">
        <w:rPr>
          <w:rFonts w:ascii="Calibri" w:hAnsi="Calibri" w:cs="Calibri"/>
        </w:rPr>
        <w:t>(11,12)</w:t>
      </w:r>
      <w:r w:rsidR="000D07AB" w:rsidRPr="005837C0">
        <w:fldChar w:fldCharType="end"/>
      </w:r>
      <w:r w:rsidRPr="005837C0">
        <w:t xml:space="preserve">.  This </w:t>
      </w:r>
      <w:r w:rsidR="00346A01">
        <w:t xml:space="preserve">aim of this </w:t>
      </w:r>
      <w:r w:rsidRPr="005837C0">
        <w:t xml:space="preserve">study </w:t>
      </w:r>
      <w:r w:rsidR="00346A01">
        <w:t xml:space="preserve">was </w:t>
      </w:r>
      <w:r w:rsidR="00EF1923">
        <w:t xml:space="preserve">to </w:t>
      </w:r>
      <w:r w:rsidR="00387378">
        <w:t xml:space="preserve">use DCE-MRI to </w:t>
      </w:r>
      <w:r w:rsidR="00EF1923">
        <w:t xml:space="preserve">define a reference range of pharmacokinetic </w:t>
      </w:r>
      <w:r w:rsidR="00E82C75">
        <w:t xml:space="preserve">measures in normal healing bone </w:t>
      </w:r>
      <w:r w:rsidR="00346A01">
        <w:t xml:space="preserve">against which </w:t>
      </w:r>
      <w:r w:rsidR="00D84E4E" w:rsidRPr="005837C0">
        <w:t>patients at risk of non-union c</w:t>
      </w:r>
      <w:r w:rsidR="00346A01">
        <w:t>ould</w:t>
      </w:r>
      <w:r w:rsidR="00A62F98">
        <w:t xml:space="preserve"> </w:t>
      </w:r>
      <w:r w:rsidR="00EF1923">
        <w:t xml:space="preserve">then </w:t>
      </w:r>
      <w:r w:rsidR="00D84E4E" w:rsidRPr="005837C0">
        <w:t>be compared.</w:t>
      </w:r>
      <w:r w:rsidR="00346A01">
        <w:t xml:space="preserve"> However the variability demonstrated in pharmacokinetic outcome measures means that is has not been possible to produce a useful reference range</w:t>
      </w:r>
      <w:r w:rsidR="00387378">
        <w:t xml:space="preserve"> from this dataset</w:t>
      </w:r>
      <w:r w:rsidR="00346A01">
        <w:t xml:space="preserve">. It has however been possible to assess </w:t>
      </w:r>
      <w:r w:rsidR="00387378">
        <w:t xml:space="preserve">aspects of </w:t>
      </w:r>
      <w:r w:rsidR="00346A01">
        <w:t xml:space="preserve">the reliability of DCE-MRI in the assessment of </w:t>
      </w:r>
      <w:r w:rsidR="00387378">
        <w:t xml:space="preserve">perfusion associated with </w:t>
      </w:r>
      <w:r w:rsidR="00346A01">
        <w:t>fracture healing.</w:t>
      </w:r>
    </w:p>
    <w:p w14:paraId="6F483012" w14:textId="1B535099" w:rsidR="003F5702" w:rsidRDefault="00387378" w:rsidP="003F5702">
      <w:r>
        <w:t>This study</w:t>
      </w:r>
      <w:r w:rsidR="007A3F63" w:rsidRPr="005837C0">
        <w:t xml:space="preserve"> demonstrate</w:t>
      </w:r>
      <w:r>
        <w:t>s</w:t>
      </w:r>
      <w:r w:rsidR="007A3F63" w:rsidRPr="005837C0">
        <w:t xml:space="preserve"> that it is technically feasible to perform </w:t>
      </w:r>
      <w:r w:rsidR="003F5702">
        <w:t>pharmacokinetic modelling of DCE-MRI in healing</w:t>
      </w:r>
      <w:r w:rsidR="007A3F63" w:rsidRPr="005837C0">
        <w:t xml:space="preserve"> fra</w:t>
      </w:r>
      <w:r w:rsidR="00521364" w:rsidRPr="005837C0">
        <w:t>ctures</w:t>
      </w:r>
      <w:r w:rsidR="003F5702">
        <w:t xml:space="preserve">. </w:t>
      </w:r>
      <w:proofErr w:type="gramStart"/>
      <w:r w:rsidR="003F5702">
        <w:t>Endpoint</w:t>
      </w:r>
      <w:proofErr w:type="gramEnd"/>
      <w:r w:rsidR="003F5702">
        <w:t xml:space="preserve"> measures</w:t>
      </w:r>
      <w:r>
        <w:t xml:space="preserve"> of perfusion</w:t>
      </w:r>
      <w:r w:rsidR="003F5702">
        <w:t xml:space="preserve"> can be calculated with a high degree of</w:t>
      </w:r>
      <w:r>
        <w:t xml:space="preserve"> inter and intra-</w:t>
      </w:r>
      <w:proofErr w:type="spellStart"/>
      <w:r>
        <w:t>rater</w:t>
      </w:r>
      <w:proofErr w:type="spellEnd"/>
      <w:r w:rsidR="003F5702">
        <w:t xml:space="preserve"> reliability</w:t>
      </w:r>
      <w:r>
        <w:t xml:space="preserve"> measured by ICCs</w:t>
      </w:r>
      <w:r w:rsidR="003F5702">
        <w:t xml:space="preserve">. However there is considerable variation in the </w:t>
      </w:r>
      <w:r>
        <w:t>perfusion measures</w:t>
      </w:r>
      <w:r w:rsidR="003F5702">
        <w:t xml:space="preserve"> across this relatively small </w:t>
      </w:r>
      <w:r>
        <w:t xml:space="preserve">but clearly defined population </w:t>
      </w:r>
      <w:r w:rsidR="003F5702">
        <w:t>sample</w:t>
      </w:r>
      <w:r>
        <w:t xml:space="preserve">, targeting </w:t>
      </w:r>
      <w:r w:rsidR="00EF1923">
        <w:t>a relatively simple fracture with tightly controlled exclusion criteria</w:t>
      </w:r>
      <w:r w:rsidR="00A62F98">
        <w:t xml:space="preserve">.  </w:t>
      </w:r>
      <w:r w:rsidR="003F5702">
        <w:t xml:space="preserve">The relative standard deviation suggests large differences in </w:t>
      </w:r>
      <w:proofErr w:type="spellStart"/>
      <w:r w:rsidR="003F5702">
        <w:t>K</w:t>
      </w:r>
      <w:r w:rsidR="003F5702" w:rsidRPr="00097657">
        <w:rPr>
          <w:vertAlign w:val="superscript"/>
        </w:rPr>
        <w:t>trans</w:t>
      </w:r>
      <w:proofErr w:type="spellEnd"/>
      <w:r w:rsidR="003F5702">
        <w:t xml:space="preserve">, </w:t>
      </w:r>
      <w:proofErr w:type="spellStart"/>
      <w:r w:rsidR="00DB3466">
        <w:t>k</w:t>
      </w:r>
      <w:r w:rsidR="00DB3466">
        <w:rPr>
          <w:vertAlign w:val="subscript"/>
        </w:rPr>
        <w:t>ep</w:t>
      </w:r>
      <w:proofErr w:type="spellEnd"/>
      <w:r w:rsidR="00DB3466">
        <w:t xml:space="preserve"> </w:t>
      </w:r>
      <w:r w:rsidR="003F5702">
        <w:t>and IAUC between patients. Even with</w:t>
      </w:r>
      <w:r w:rsidR="00EF1923">
        <w:t>in</w:t>
      </w:r>
      <w:r w:rsidR="003F5702">
        <w:t xml:space="preserve"> patients there is significant variability between adjacent MR slices. </w:t>
      </w:r>
    </w:p>
    <w:p w14:paraId="3F6923B7" w14:textId="74480ACA" w:rsidR="00231E2A" w:rsidRDefault="003F5702" w:rsidP="00231E2A">
      <w:pPr>
        <w:rPr>
          <w:rFonts w:cs="Arial"/>
        </w:rPr>
      </w:pPr>
      <w:r>
        <w:t>There are a number of</w:t>
      </w:r>
      <w:r w:rsidR="00EF1923">
        <w:t xml:space="preserve"> possible</w:t>
      </w:r>
      <w:r>
        <w:t xml:space="preserve"> reasons for this variability. The “excellent” inter-</w:t>
      </w:r>
      <w:proofErr w:type="spellStart"/>
      <w:r>
        <w:t>rater</w:t>
      </w:r>
      <w:proofErr w:type="spellEnd"/>
      <w:r>
        <w:t xml:space="preserve"> reliability suggests that </w:t>
      </w:r>
      <w:r w:rsidR="00387378">
        <w:t>most of this</w:t>
      </w:r>
      <w:r>
        <w:t xml:space="preserve"> variability is </w:t>
      </w:r>
      <w:r w:rsidR="00387378">
        <w:t xml:space="preserve">either </w:t>
      </w:r>
      <w:r>
        <w:t>dependent on the fracture</w:t>
      </w:r>
      <w:r w:rsidR="00EF1923">
        <w:t>, the patient, or both</w:t>
      </w:r>
      <w:r w:rsidR="00387378">
        <w:t>, but</w:t>
      </w:r>
      <w:r>
        <w:t xml:space="preserve"> not the observers. The variability within each patient </w:t>
      </w:r>
      <w:r w:rsidR="00346A01">
        <w:t xml:space="preserve">may by </w:t>
      </w:r>
      <w:proofErr w:type="gramStart"/>
      <w:r w:rsidR="00346A01">
        <w:t>caused</w:t>
      </w:r>
      <w:proofErr w:type="gramEnd"/>
      <w:r w:rsidR="00346A01">
        <w:t xml:space="preserve"> by heterogeneous fracture morphology </w:t>
      </w:r>
      <w:r>
        <w:t xml:space="preserve">that </w:t>
      </w:r>
      <w:r w:rsidR="00EF1923">
        <w:t>contribute to the within-patient slice-to-slice variab</w:t>
      </w:r>
      <w:r w:rsidR="00387378">
        <w:t>i</w:t>
      </w:r>
      <w:r w:rsidR="00EF1923">
        <w:t>lity</w:t>
      </w:r>
      <w:r>
        <w:t>. The variability between patients may also be caused by differences in the severity and surface area of the fracture as well as chronological variations in fracture healing between patients.</w:t>
      </w:r>
      <w:r w:rsidR="00EF1923">
        <w:t xml:space="preserve"> </w:t>
      </w:r>
      <w:r w:rsidR="00346A01">
        <w:t>M</w:t>
      </w:r>
      <w:r w:rsidR="00EF1923">
        <w:t xml:space="preserve">ore complex patterns of fracture and associated soft tissue injury may take longer to heal than simple transverse fractures. There </w:t>
      </w:r>
      <w:r w:rsidR="00346A01">
        <w:t>may</w:t>
      </w:r>
      <w:r w:rsidR="00231E2A">
        <w:t xml:space="preserve"> also</w:t>
      </w:r>
      <w:r w:rsidR="00EF1923">
        <w:t xml:space="preserve"> be patient</w:t>
      </w:r>
      <w:r w:rsidR="00346A01">
        <w:t>-</w:t>
      </w:r>
      <w:r w:rsidR="00EF1923">
        <w:t>dependent varia</w:t>
      </w:r>
      <w:r w:rsidR="00387378">
        <w:t>tion</w:t>
      </w:r>
      <w:r w:rsidR="00EF1923">
        <w:t xml:space="preserve"> in their ability to mount a repair response that could contribute to these findings.</w:t>
      </w:r>
      <w:r>
        <w:t xml:space="preserve"> </w:t>
      </w:r>
      <w:r w:rsidR="00231E2A">
        <w:t xml:space="preserve"> </w:t>
      </w:r>
      <w:r w:rsidR="00AE7181" w:rsidRPr="005837C0">
        <w:rPr>
          <w:rFonts w:cs="Arial"/>
        </w:rPr>
        <w:t xml:space="preserve">Other authors have also described local variability in the pharmacokinetic modelling of growing bone, with significant variability seen between the </w:t>
      </w:r>
      <w:proofErr w:type="spellStart"/>
      <w:r w:rsidR="00AE7181" w:rsidRPr="005837C0">
        <w:rPr>
          <w:rFonts w:cs="Arial"/>
        </w:rPr>
        <w:t>periosteum</w:t>
      </w:r>
      <w:proofErr w:type="spellEnd"/>
      <w:r w:rsidR="00AE7181" w:rsidRPr="005837C0">
        <w:rPr>
          <w:rFonts w:cs="Arial"/>
        </w:rPr>
        <w:t xml:space="preserve">, </w:t>
      </w:r>
      <w:proofErr w:type="spellStart"/>
      <w:r w:rsidR="00AE7181" w:rsidRPr="005837C0">
        <w:rPr>
          <w:rFonts w:cs="Arial"/>
        </w:rPr>
        <w:t>metaphyseal</w:t>
      </w:r>
      <w:proofErr w:type="spellEnd"/>
      <w:r w:rsidR="00AE7181" w:rsidRPr="005837C0">
        <w:rPr>
          <w:rFonts w:cs="Arial"/>
        </w:rPr>
        <w:t xml:space="preserve"> </w:t>
      </w:r>
      <w:proofErr w:type="spellStart"/>
      <w:r w:rsidR="00AE7181" w:rsidRPr="005837C0">
        <w:rPr>
          <w:rFonts w:cs="Arial"/>
        </w:rPr>
        <w:t>spongiosa</w:t>
      </w:r>
      <w:proofErr w:type="spellEnd"/>
      <w:r w:rsidR="00AE7181" w:rsidRPr="005837C0">
        <w:rPr>
          <w:rFonts w:cs="Arial"/>
        </w:rPr>
        <w:t xml:space="preserve"> and the </w:t>
      </w:r>
      <w:proofErr w:type="spellStart"/>
      <w:r w:rsidR="00AE7181" w:rsidRPr="005837C0">
        <w:rPr>
          <w:rFonts w:cs="Arial"/>
        </w:rPr>
        <w:t>metaphyseal</w:t>
      </w:r>
      <w:proofErr w:type="spellEnd"/>
      <w:r w:rsidR="00AE7181" w:rsidRPr="005837C0">
        <w:rPr>
          <w:rFonts w:cs="Arial"/>
        </w:rPr>
        <w:t xml:space="preserve"> marrow</w:t>
      </w:r>
      <w:r w:rsidR="006F4EA5" w:rsidRPr="005837C0">
        <w:rPr>
          <w:rFonts w:cs="Arial"/>
        </w:rPr>
        <w:fldChar w:fldCharType="begin"/>
      </w:r>
      <w:r w:rsidR="004A3889">
        <w:rPr>
          <w:rFonts w:cs="Arial"/>
        </w:rPr>
        <w:instrText xml:space="preserve"> ADDIN ZOTERO_ITEM CSL_CITATION {"citationID":"18h18trr1g","properties":{"formattedCitation":"(13)","plainCitation":"(13)"},"citationItems":[{"id":250,"uris":["http://zotero.org/users/173564/items/2NW8CD8W"],"uri":["http://zotero.org/users/173564/items/2NW8CD8W"],"itemData":{"id":250,"type":"article-journal","title":"Dynamic gadolinium-enhanced MRI of the proximal femur: preliminary experience in healthy children","container-title":"AJR. American journal of roentgenology","page":"W440-446","volume":"203","issue":"4","source":"PubMed","abstract":"OBJECTIVE: The purpose of this study is to use dynamic contrast-enhanced MRI to evaluate the perfusion characteristics of the proximal femur in the growing skeleton.\nMATERIALS AND METHODS: We evaluated 159 subjects (mean age, 5.67 years) who underwent a well-controlled protocol of contrast-enhanced MRI of the abdomen and hips. Perfusion and permeability parameters (enhancement ratio peak, AUC, time to peak, and rate of extraction) for six regions of the proximal femur were calculated.\nRESULTS: A decrease with age was found for all contrast kinetics parameters in all regions (p &lt; 0.001). Perfusion parameters differed between the regions (p &lt; 0.001). The highest perfusion and permeability parameters were found in the metaphyseal spongiosa, metaphyseal marrow, and periosteum. The metaphyseal spongiosa had a highly vascular pattern of enhancement and showed the highest enhancement ratio peak, AUC, and rate of extraction and the lowest time to peak. The metaphyseal marrow showed a vascular pattern of enhancement with a lower peak compared with the metaphyseal spongiosa. The periosteum showed prompt nonvascular contrast enhancement that reached a plateau that remained elevated.\nCONCLUSION: The highest enhancement was seen in areas involved with growth: the metaphyseal spongiosa, which is related to endochondral ossification, and the periosteal cambium, which is related to membranous ossification. The enhancement characteristics are radically different: in the spongiosa; enhancement is brisk and declines, with a vascular pattern, whereas contrast uptake increases with time in the periosteum. Recognition of normal enhancement patterns of the proximal femur is important for distinguishing normal development from pathologic processes.","DOI":"10.2214/AJR.13.12341","ISSN":"1546-3141","note":"PMID: 25247974","shortTitle":"Dynamic gadolinium-enhanced MRI of the proximal femur","journalAbbreviation":"AJR Am J Roentgenol","language":"eng","author":[{"family":"Bedoya","given":"Maria A."},{"family":"Jaimes","given":"Camilo"},{"family":"Khrichenko","given":"D'mitry"},{"family":"Delgado","given":"Jorge"},{"family":"Dardzinski","given":"Bernard J."},{"family":"Jaramillo","given":"Diego"}],"issued":{"date-parts":[["2014",10]]},"PMID":"25247974"}}],"schema":"https://github.com/citation-style-language/schema/raw/master/csl-citation.json"} </w:instrText>
      </w:r>
      <w:r w:rsidR="006F4EA5" w:rsidRPr="005837C0">
        <w:rPr>
          <w:rFonts w:cs="Arial"/>
        </w:rPr>
        <w:fldChar w:fldCharType="separate"/>
      </w:r>
      <w:r w:rsidR="004A3889" w:rsidRPr="008B035F">
        <w:rPr>
          <w:rFonts w:ascii="Calibri" w:hAnsi="Calibri" w:cs="Calibri"/>
        </w:rPr>
        <w:t>(13)</w:t>
      </w:r>
      <w:r w:rsidR="006F4EA5" w:rsidRPr="005837C0">
        <w:rPr>
          <w:rFonts w:cs="Arial"/>
        </w:rPr>
        <w:fldChar w:fldCharType="end"/>
      </w:r>
      <w:r w:rsidR="00A572C9">
        <w:rPr>
          <w:rFonts w:cs="Arial"/>
        </w:rPr>
        <w:t xml:space="preserve"> and also between red and yellow bone marrow</w:t>
      </w:r>
      <w:r w:rsidR="004A3889">
        <w:rPr>
          <w:rFonts w:cs="Arial"/>
        </w:rPr>
        <w:fldChar w:fldCharType="begin"/>
      </w:r>
      <w:r w:rsidR="004A3889">
        <w:rPr>
          <w:rFonts w:cs="Arial"/>
        </w:rPr>
        <w:instrText xml:space="preserve"> ADDIN ZOTERO_ITEM CSL_CITATION {"citationID":"2ggnd47ojn","properties":{"formattedCitation":"(14)","plainCitation":"(14)"},"citationItems":[{"id":598,"uris":["http://zotero.org/users/173564/items/WT5PHXTG"],"uri":["http://zotero.org/users/173564/items/WT5PHXTG"],"itemData":{"id":598,"type":"article-journal","title":"Study of proximal femoral bone perfusion with 3D T1 dynamic contrast-enhanced MRI: a feasibility study","container-title":"European Radiology","page":"3217-3223","volume":"24","issue":"12","source":"PubMed","abstract":"OBJECTIVE: The objective of this study was to compare measurements of semi-quantitative and pharmacokinetic parameters in areas of red (RBM) and yellow bone marrow (YBM) of the hip, using an in-house high-resolution DCE T1 sequence, and to assess intra- and inter-observer reproducibility of these measurements.\nMETHODS: The right hips of 21 adult patients under 50 years of age were studied. Spatial resolution was 1.8 × 1.8 × 1.8 mm(3), and temporal resolution was 13.5 seconds. Two musculoskeletal radiologists independently processed DCE images and measured semi-quantitative and pharmacokinetic parameters in areas of YBM and RBM. Signal-to-noise (SNR) and contrast-to-noise (CNR) ratios were calculated. Intra- and inter-observer reproducibility was assessed.\nRESULTS: Area under the curve (AUC) and initial slope (IS) were significantly greater for RBM than for YBM (p &lt; 0.05). K(trans) and kep were also significantly greater for RBM (p &lt; 0.05). There was no significant difference in time to peak between the regions (p &lt; 0.05). SNR, CNR, and intra- and inter-observer reproducibility were all good.\nCONCLUSIONS: DCE study of the whole hip is feasible with high spatial resolution using a 3D T1 sequence. Measures were possible even in low vascularized areas of the femoral head. K(trans), kep, AUC, and IS values were significantly different between red and yellow marrow, whereas TTP values were not.\nKEY POINTS: High-spatial-resolution dynamic contrast-enhanced MRI of hip structures is feasible. Intra- and inter-observer reproducibility is good. Red and yellow bone marrow have different perfusion patterns.","DOI":"10.1007/s00330-014-3340-5","ISSN":"1432-1084","note":"PMID: 25120203","shortTitle":"Study of proximal femoral bone perfusion with 3D T1 dynamic contrast-enhanced MRI","journalAbbreviation":"Eur Radiol","language":"eng","author":[{"family":"Budzik","given":"Jean-François"},{"family":"Lefebvre","given":"Guillaume"},{"family":"Forzy","given":"Gerard"},{"family":"Rafei","given":"Mazen","dropping-particle":"El"},{"family":"Chechin","given":"David"},{"family":"Cotten","given":"Anne"}],"issued":{"date-parts":[["2014",12]]},"PMID":"25120203"}}],"schema":"https://github.com/citation-style-language/schema/raw/master/csl-citation.json"} </w:instrText>
      </w:r>
      <w:r w:rsidR="004A3889">
        <w:rPr>
          <w:rFonts w:cs="Arial"/>
        </w:rPr>
        <w:fldChar w:fldCharType="separate"/>
      </w:r>
      <w:r w:rsidR="004A3889" w:rsidRPr="008B035F">
        <w:rPr>
          <w:rFonts w:ascii="Calibri" w:hAnsi="Calibri" w:cs="Calibri"/>
        </w:rPr>
        <w:t>(14)</w:t>
      </w:r>
      <w:r w:rsidR="004A3889">
        <w:rPr>
          <w:rFonts w:cs="Arial"/>
        </w:rPr>
        <w:fldChar w:fldCharType="end"/>
      </w:r>
      <w:r w:rsidR="00A572C9">
        <w:rPr>
          <w:rFonts w:cs="Arial"/>
        </w:rPr>
        <w:t>.</w:t>
      </w:r>
      <w:r w:rsidR="00AE7181" w:rsidRPr="005837C0">
        <w:rPr>
          <w:rFonts w:cs="Arial"/>
        </w:rPr>
        <w:t xml:space="preserve">  </w:t>
      </w:r>
    </w:p>
    <w:p w14:paraId="3F8C0304" w14:textId="375416C6" w:rsidR="00231E2A" w:rsidRPr="00231E2A" w:rsidRDefault="00231E2A" w:rsidP="00231E2A">
      <w:r w:rsidRPr="005837C0">
        <w:t>The vari</w:t>
      </w:r>
      <w:r w:rsidR="00387378">
        <w:t>ation</w:t>
      </w:r>
      <w:r w:rsidRPr="005837C0">
        <w:t xml:space="preserve"> in T1 values may </w:t>
      </w:r>
      <w:r>
        <w:t xml:space="preserve">also </w:t>
      </w:r>
      <w:r w:rsidR="00387378">
        <w:t>indicate</w:t>
      </w:r>
      <w:r w:rsidRPr="005837C0">
        <w:t xml:space="preserve"> different stages of healing, with a greater calcium matrix providing a lower T1</w:t>
      </w:r>
      <w:r>
        <w:t xml:space="preserve"> further complicating the analysis</w:t>
      </w:r>
      <w:r w:rsidRPr="005837C0">
        <w:t xml:space="preserve">.  </w:t>
      </w:r>
      <w:r>
        <w:t>It</w:t>
      </w:r>
      <w:r w:rsidRPr="005837C0">
        <w:t xml:space="preserve"> may </w:t>
      </w:r>
      <w:r>
        <w:t xml:space="preserve">be </w:t>
      </w:r>
      <w:r w:rsidRPr="005837C0">
        <w:t>that an earlier DCE-MRI could be</w:t>
      </w:r>
      <w:r>
        <w:t xml:space="preserve"> more</w:t>
      </w:r>
      <w:r w:rsidRPr="005837C0">
        <w:t xml:space="preserve"> useful in assessment of fracture</w:t>
      </w:r>
      <w:r w:rsidR="00387378">
        <w:t xml:space="preserve"> perfusion</w:t>
      </w:r>
      <w:r w:rsidRPr="005837C0">
        <w:t xml:space="preserve"> as changes in the enhancement patterns (e.g. lower than expected </w:t>
      </w:r>
      <w:proofErr w:type="spellStart"/>
      <w:r w:rsidRPr="005837C0">
        <w:t>K</w:t>
      </w:r>
      <w:r w:rsidRPr="005837C0">
        <w:rPr>
          <w:vertAlign w:val="subscript"/>
        </w:rPr>
        <w:t>trans</w:t>
      </w:r>
      <w:proofErr w:type="spellEnd"/>
      <w:r w:rsidRPr="005837C0">
        <w:t>) may be more obvious prior to union and may reflec</w:t>
      </w:r>
      <w:r>
        <w:t>t lower than ideal vascularity or</w:t>
      </w:r>
      <w:r w:rsidRPr="005837C0">
        <w:t xml:space="preserve"> perfusion. </w:t>
      </w:r>
    </w:p>
    <w:p w14:paraId="795C7AA1" w14:textId="16D961AA" w:rsidR="00231E2A" w:rsidRPr="00231E2A" w:rsidRDefault="00FC6266" w:rsidP="00231E2A">
      <w:r>
        <w:rPr>
          <w:rFonts w:cs="Arial"/>
        </w:rPr>
        <w:t>None of th</w:t>
      </w:r>
      <w:r w:rsidR="0047683B">
        <w:rPr>
          <w:rFonts w:cs="Arial"/>
        </w:rPr>
        <w:t>e</w:t>
      </w:r>
      <w:r>
        <w:rPr>
          <w:rFonts w:cs="Arial"/>
        </w:rPr>
        <w:t xml:space="preserve"> time intensity curves demonstrated an obvious vascular phase during initial passage of the contrast bolus. We therefore</w:t>
      </w:r>
      <w:r w:rsidR="0047683B">
        <w:rPr>
          <w:rFonts w:cs="Arial"/>
        </w:rPr>
        <w:t xml:space="preserve"> chose to use the unmodified Toft’s model rather than the modified model</w:t>
      </w:r>
      <w:r>
        <w:rPr>
          <w:rFonts w:cs="Arial"/>
        </w:rPr>
        <w:t xml:space="preserve"> since the latter</w:t>
      </w:r>
      <w:r w:rsidR="0047683B">
        <w:rPr>
          <w:rFonts w:cs="Arial"/>
        </w:rPr>
        <w:t xml:space="preserve"> </w:t>
      </w:r>
      <w:r>
        <w:rPr>
          <w:rFonts w:cs="Arial"/>
        </w:rPr>
        <w:t>is</w:t>
      </w:r>
      <w:r w:rsidR="0047683B">
        <w:rPr>
          <w:rFonts w:cs="Arial"/>
        </w:rPr>
        <w:t xml:space="preserve"> unreliable </w:t>
      </w:r>
      <w:r>
        <w:rPr>
          <w:rFonts w:cs="Arial"/>
        </w:rPr>
        <w:t xml:space="preserve">in the absence of an obvious vascular phase.  The lack of a vascular phase may be due to the </w:t>
      </w:r>
      <w:r w:rsidR="00B15BD0" w:rsidRPr="005837C0">
        <w:rPr>
          <w:rFonts w:cs="Arial"/>
        </w:rPr>
        <w:t xml:space="preserve">peripheral fracture site, which </w:t>
      </w:r>
      <w:r w:rsidR="00D84E4E" w:rsidRPr="005837C0">
        <w:rPr>
          <w:rFonts w:cs="Arial"/>
        </w:rPr>
        <w:t xml:space="preserve">probably has </w:t>
      </w:r>
      <w:r w:rsidR="00B15BD0" w:rsidRPr="005837C0">
        <w:rPr>
          <w:rFonts w:cs="Arial"/>
        </w:rPr>
        <w:t xml:space="preserve">a very different </w:t>
      </w:r>
      <w:r>
        <w:rPr>
          <w:rFonts w:cs="Arial"/>
        </w:rPr>
        <w:t>AIF</w:t>
      </w:r>
      <w:r w:rsidR="00B15BD0" w:rsidRPr="005837C0">
        <w:rPr>
          <w:rFonts w:cs="Arial"/>
        </w:rPr>
        <w:t xml:space="preserve"> compared to </w:t>
      </w:r>
      <w:r>
        <w:rPr>
          <w:rFonts w:cs="Arial"/>
        </w:rPr>
        <w:t>that</w:t>
      </w:r>
      <w:r w:rsidR="00B15BD0" w:rsidRPr="005837C0">
        <w:rPr>
          <w:rFonts w:cs="Arial"/>
        </w:rPr>
        <w:t xml:space="preserve"> used in</w:t>
      </w:r>
      <w:r w:rsidR="00780AAB" w:rsidRPr="005837C0">
        <w:rPr>
          <w:rFonts w:cs="Arial"/>
        </w:rPr>
        <w:t xml:space="preserve"> </w:t>
      </w:r>
      <w:r w:rsidR="00B15BD0" w:rsidRPr="005837C0">
        <w:rPr>
          <w:rFonts w:cs="Arial"/>
        </w:rPr>
        <w:t>this study</w:t>
      </w:r>
      <w:r w:rsidR="00990406" w:rsidRPr="005837C0">
        <w:rPr>
          <w:rFonts w:cs="Arial"/>
        </w:rPr>
        <w:t xml:space="preserve">, which </w:t>
      </w:r>
      <w:r>
        <w:rPr>
          <w:rFonts w:cs="Arial"/>
        </w:rPr>
        <w:t>was</w:t>
      </w:r>
      <w:r w:rsidR="00990406" w:rsidRPr="005837C0">
        <w:rPr>
          <w:rFonts w:cs="Arial"/>
        </w:rPr>
        <w:t xml:space="preserve"> calculated</w:t>
      </w:r>
      <w:r w:rsidR="008352FE" w:rsidRPr="005837C0">
        <w:rPr>
          <w:rFonts w:cs="Arial"/>
        </w:rPr>
        <w:t xml:space="preserve"> </w:t>
      </w:r>
      <w:r w:rsidR="00990406" w:rsidRPr="005837C0">
        <w:rPr>
          <w:rFonts w:cs="Arial"/>
        </w:rPr>
        <w:t xml:space="preserve">from </w:t>
      </w:r>
      <w:r w:rsidR="008352FE" w:rsidRPr="005837C0">
        <w:rPr>
          <w:rFonts w:cs="Arial"/>
        </w:rPr>
        <w:t>AIFs taken from the abdominal aorta</w:t>
      </w:r>
      <w:r w:rsidR="008352FE" w:rsidRPr="005837C0">
        <w:rPr>
          <w:rFonts w:cs="Arial"/>
        </w:rPr>
        <w:fldChar w:fldCharType="begin"/>
      </w:r>
      <w:r w:rsidR="004A3889">
        <w:rPr>
          <w:rFonts w:cs="Arial"/>
        </w:rPr>
        <w:instrText xml:space="preserve"> ADDIN ZOTERO_ITEM CSL_CITATION {"citationID":"8f37tqmoc","properties":{"formattedCitation":"(9)","plainCitation":"(9)"},"citationItems":[{"id":266,"uris":["http://zotero.org/users/173564/items/WN65IFEH"],"uri":["http://zotero.org/users/173564/items/WN65IFEH"],"itemData":{"id":266,"type":"article-journal","title":"Experimentally-derived functional form for a population-averaged high-temporal-resolution arterial input function for dynamic contrast-enhanced MRI","container-title":"Magnetic Resonance in Medicine: Official Journal of the Society of Magnetic Resonance in Medicine / Society of Magnetic Resonance in Medicine","page":"993-1000","volume":"56","issue":"5","source":"NCBI PubMed","abstract":"Rapid T(1)-weighted 3D spoiled gradient-echo (GRE) data sets were acquired in the abdomen of 23 cancer patients during a total of 113 separate visits to allow dynamic contrast-enhanced MRI (DCE-MRI) analysis of tumor microvasculature. The arterial input function (AIF) was measured in each patient at each visit using an automated AIF extraction method following a standardized bolus administration of gadodiamide. The AIFs for each patient were combined to obtain a mean AIF that is representative for any individual. The functional form of this general AIF may be useful for studies in which AIF measurements are not possible. Improvements in the reproducibility of DCE-MRI model parameters (K(trans), v(e), and v(p)) were observed when this new, high-temporal-resolution population AIF was used, indicating the potential for increased sensitivity to therapy-induced change.","DOI":"10.1002/mrm.21066","ISSN":"0740-3194","note":"PMID: 17036301","journalAbbreviation":"Magn Reson Med","language":"eng","author":[{"family":"Parker","given":"Geoff J. M."},{"family":"Roberts","given":"Caleb"},{"family":"Macdonald","given":"Andrew"},{"family":"Buonaccorsi","given":"Giovanni A."},{"family":"Cheung","given":"Sue"},{"family":"Buckley","given":"David L."},{"family":"Jackson","given":"Alan"},{"family":"Watson","given":"Yvonne"},{"family":"Davies","given":"Karen"},{"family":"Jayson","given":"Gordon C."}],"issued":{"date-parts":[["2006",11]]},"PMID":"17036301"}}],"schema":"https://github.com/citation-style-language/schema/raw/master/csl-citation.json"} </w:instrText>
      </w:r>
      <w:r w:rsidR="008352FE" w:rsidRPr="005837C0">
        <w:rPr>
          <w:rFonts w:cs="Arial"/>
        </w:rPr>
        <w:fldChar w:fldCharType="separate"/>
      </w:r>
      <w:r w:rsidR="004A3889" w:rsidRPr="008B035F">
        <w:rPr>
          <w:rFonts w:ascii="Calibri" w:hAnsi="Calibri" w:cs="Calibri"/>
        </w:rPr>
        <w:t>(9)</w:t>
      </w:r>
      <w:r w:rsidR="008352FE" w:rsidRPr="005837C0">
        <w:rPr>
          <w:rFonts w:cs="Arial"/>
        </w:rPr>
        <w:fldChar w:fldCharType="end"/>
      </w:r>
      <w:r w:rsidR="00B15BD0" w:rsidRPr="005837C0">
        <w:rPr>
          <w:rFonts w:cs="Arial"/>
        </w:rPr>
        <w:t xml:space="preserve">.  Attempts to measure the actual AIF on each patient </w:t>
      </w:r>
      <w:r w:rsidR="00990406" w:rsidRPr="005837C0">
        <w:rPr>
          <w:rFonts w:cs="Arial"/>
        </w:rPr>
        <w:t>proved too</w:t>
      </w:r>
      <w:r w:rsidR="00B15BD0" w:rsidRPr="005837C0">
        <w:rPr>
          <w:rFonts w:cs="Arial"/>
        </w:rPr>
        <w:t xml:space="preserve"> </w:t>
      </w:r>
      <w:r w:rsidR="00247690" w:rsidRPr="005837C0">
        <w:rPr>
          <w:rFonts w:cs="Arial"/>
        </w:rPr>
        <w:t xml:space="preserve">difficult due to </w:t>
      </w:r>
      <w:r w:rsidR="00D84E4E" w:rsidRPr="005837C0">
        <w:rPr>
          <w:rFonts w:cs="Arial"/>
        </w:rPr>
        <w:t xml:space="preserve">the absence of large vessels in the imaged area and </w:t>
      </w:r>
      <w:r w:rsidR="009066FB" w:rsidRPr="005837C0">
        <w:rPr>
          <w:rFonts w:cs="Arial"/>
        </w:rPr>
        <w:t>in part</w:t>
      </w:r>
      <w:r w:rsidR="00D84E4E" w:rsidRPr="005837C0">
        <w:rPr>
          <w:rFonts w:cs="Arial"/>
        </w:rPr>
        <w:t xml:space="preserve"> due </w:t>
      </w:r>
      <w:r w:rsidR="00E82C75">
        <w:rPr>
          <w:rFonts w:cs="Arial"/>
        </w:rPr>
        <w:t xml:space="preserve">to </w:t>
      </w:r>
      <w:r w:rsidR="00247690" w:rsidRPr="005837C0">
        <w:rPr>
          <w:rFonts w:cs="Arial"/>
        </w:rPr>
        <w:t>the coronal orientation, which was chosen to maximise the assessment of the fracture site</w:t>
      </w:r>
      <w:r w:rsidR="00D84E4E" w:rsidRPr="005837C0">
        <w:rPr>
          <w:rFonts w:cs="Arial"/>
        </w:rPr>
        <w:t xml:space="preserve">.  </w:t>
      </w:r>
      <w:r w:rsidR="00072DFE">
        <w:rPr>
          <w:rFonts w:cs="Arial"/>
        </w:rPr>
        <w:t>An axial acquisition would have optimised imaging of the radial artery but not the radial fracture.</w:t>
      </w:r>
    </w:p>
    <w:p w14:paraId="6BD96BF2" w14:textId="77777777" w:rsidR="00D84E4E" w:rsidRPr="005837C0" w:rsidRDefault="00D84E4E" w:rsidP="00B15BD0">
      <w:pPr>
        <w:spacing w:after="0"/>
        <w:rPr>
          <w:rFonts w:cs="Arial"/>
        </w:rPr>
      </w:pPr>
    </w:p>
    <w:p w14:paraId="0F0F0DB1" w14:textId="1250A2D3" w:rsidR="00990406" w:rsidRDefault="00990406" w:rsidP="00B15BD0">
      <w:pPr>
        <w:spacing w:after="0"/>
      </w:pPr>
      <w:r w:rsidRPr="005837C0">
        <w:rPr>
          <w:rFonts w:cs="Arial"/>
        </w:rPr>
        <w:t xml:space="preserve">There are limitations to this study.  </w:t>
      </w:r>
      <w:r w:rsidR="006F6C54">
        <w:rPr>
          <w:rFonts w:cs="Arial"/>
        </w:rPr>
        <w:t>The first is that</w:t>
      </w:r>
      <w:r w:rsidRPr="005837C0">
        <w:rPr>
          <w:rFonts w:cs="Arial"/>
        </w:rPr>
        <w:t xml:space="preserve"> </w:t>
      </w:r>
      <w:r w:rsidR="000D07AB" w:rsidRPr="005837C0">
        <w:rPr>
          <w:rFonts w:cs="Arial"/>
        </w:rPr>
        <w:t xml:space="preserve">the use of population based AIFs has been shown to cause discrepancies in </w:t>
      </w:r>
      <w:proofErr w:type="spellStart"/>
      <w:r w:rsidR="000D07AB" w:rsidRPr="005837C0">
        <w:rPr>
          <w:rFonts w:cs="Arial"/>
        </w:rPr>
        <w:t>K</w:t>
      </w:r>
      <w:r w:rsidR="000D07AB" w:rsidRPr="00097657">
        <w:rPr>
          <w:rFonts w:cs="Arial"/>
          <w:vertAlign w:val="superscript"/>
        </w:rPr>
        <w:t>trans</w:t>
      </w:r>
      <w:proofErr w:type="spellEnd"/>
      <w:r w:rsidR="000D07AB" w:rsidRPr="005837C0">
        <w:rPr>
          <w:rFonts w:cs="Arial"/>
        </w:rPr>
        <w:t xml:space="preserve"> values, although it is not clear to what </w:t>
      </w:r>
      <w:r w:rsidR="00D84E4E" w:rsidRPr="005837C0">
        <w:rPr>
          <w:rFonts w:cs="Arial"/>
        </w:rPr>
        <w:t>extent this affects</w:t>
      </w:r>
      <w:r w:rsidR="006175D1" w:rsidRPr="005837C0">
        <w:rPr>
          <w:rFonts w:cs="Arial"/>
        </w:rPr>
        <w:t xml:space="preserve"> our data</w:t>
      </w:r>
      <w:r w:rsidR="00387378">
        <w:rPr>
          <w:rFonts w:cs="Arial"/>
        </w:rPr>
        <w:t>, and any discrepancy would be applied to the whole dataset</w:t>
      </w:r>
      <w:r w:rsidR="006175D1" w:rsidRPr="005837C0">
        <w:rPr>
          <w:rFonts w:cs="Arial"/>
        </w:rPr>
        <w:t>.</w:t>
      </w:r>
      <w:r w:rsidR="00387378">
        <w:rPr>
          <w:rFonts w:cs="Arial"/>
        </w:rPr>
        <w:t xml:space="preserve"> Therefore this would not affect the variation demonstrated in the results.</w:t>
      </w:r>
      <w:r w:rsidR="006175D1" w:rsidRPr="005837C0">
        <w:rPr>
          <w:rFonts w:cs="Arial"/>
        </w:rPr>
        <w:t xml:space="preserve"> </w:t>
      </w:r>
      <w:r w:rsidR="006F6C54">
        <w:rPr>
          <w:rFonts w:cs="Arial"/>
        </w:rPr>
        <w:t>The second is</w:t>
      </w:r>
      <w:r w:rsidR="006175D1" w:rsidRPr="005837C0">
        <w:rPr>
          <w:rFonts w:cs="Arial"/>
        </w:rPr>
        <w:t xml:space="preserve"> </w:t>
      </w:r>
      <w:r w:rsidR="005D263D">
        <w:rPr>
          <w:rFonts w:cs="Arial"/>
        </w:rPr>
        <w:t xml:space="preserve">that </w:t>
      </w:r>
      <w:r w:rsidR="006175D1" w:rsidRPr="005837C0">
        <w:rPr>
          <w:rFonts w:cs="Arial"/>
        </w:rPr>
        <w:t xml:space="preserve">the sample size </w:t>
      </w:r>
      <w:r w:rsidR="006F6C54">
        <w:rPr>
          <w:rFonts w:cs="Arial"/>
        </w:rPr>
        <w:t>of this study</w:t>
      </w:r>
      <w:r w:rsidR="00231E2A">
        <w:rPr>
          <w:rFonts w:cs="Arial"/>
        </w:rPr>
        <w:t xml:space="preserve"> is small</w:t>
      </w:r>
      <w:r w:rsidR="006F6C54">
        <w:rPr>
          <w:rFonts w:cs="Arial"/>
        </w:rPr>
        <w:t xml:space="preserve">. It is </w:t>
      </w:r>
      <w:r w:rsidR="008E16C4">
        <w:rPr>
          <w:rFonts w:cs="Arial"/>
        </w:rPr>
        <w:t xml:space="preserve">clear from the results of this study that the variability between patients requires a larger sample to define a reference </w:t>
      </w:r>
      <w:r w:rsidR="006175D1" w:rsidRPr="005837C0">
        <w:rPr>
          <w:rFonts w:cs="Arial"/>
        </w:rPr>
        <w:t xml:space="preserve">range </w:t>
      </w:r>
      <w:r w:rsidR="008E16C4">
        <w:rPr>
          <w:rFonts w:cs="Arial"/>
        </w:rPr>
        <w:t>with confidence. I</w:t>
      </w:r>
      <w:r w:rsidR="00231E2A">
        <w:rPr>
          <w:rFonts w:cs="Arial"/>
        </w:rPr>
        <w:t xml:space="preserve">t </w:t>
      </w:r>
      <w:r w:rsidR="008E16C4">
        <w:rPr>
          <w:rFonts w:cs="Arial"/>
        </w:rPr>
        <w:t xml:space="preserve">also </w:t>
      </w:r>
      <w:r w:rsidR="00231E2A">
        <w:rPr>
          <w:rFonts w:cs="Arial"/>
        </w:rPr>
        <w:t>provide</w:t>
      </w:r>
      <w:r w:rsidR="008E16C4">
        <w:rPr>
          <w:rFonts w:cs="Arial"/>
        </w:rPr>
        <w:t>s</w:t>
      </w:r>
      <w:r w:rsidR="00231E2A">
        <w:rPr>
          <w:rFonts w:cs="Arial"/>
        </w:rPr>
        <w:t xml:space="preserve"> measures that could</w:t>
      </w:r>
      <w:r w:rsidR="006F6C54">
        <w:rPr>
          <w:rFonts w:cs="Arial"/>
        </w:rPr>
        <w:t xml:space="preserve"> be used in further sample size calculations</w:t>
      </w:r>
      <w:r w:rsidR="006175D1" w:rsidRPr="005837C0">
        <w:rPr>
          <w:rFonts w:cs="Arial"/>
        </w:rPr>
        <w:t>.</w:t>
      </w:r>
      <w:r w:rsidR="006F6C54">
        <w:rPr>
          <w:rFonts w:cs="Arial"/>
        </w:rPr>
        <w:t xml:space="preserve">  </w:t>
      </w:r>
      <w:r w:rsidR="004D4399">
        <w:rPr>
          <w:rFonts w:cs="Arial"/>
        </w:rPr>
        <w:t xml:space="preserve">A third </w:t>
      </w:r>
      <w:r w:rsidR="00231E2A">
        <w:rPr>
          <w:rFonts w:cs="Arial"/>
        </w:rPr>
        <w:t>possible limitation</w:t>
      </w:r>
      <w:r w:rsidR="004D4399">
        <w:rPr>
          <w:rFonts w:cs="Arial"/>
        </w:rPr>
        <w:t xml:space="preserve"> is that</w:t>
      </w:r>
      <w:r w:rsidR="006F6C54" w:rsidRPr="005837C0">
        <w:t xml:space="preserve"> a history of manipulation of the fracture was not recorded.  Extra-articular fractures which do not require reduction are more likely to progress to union before those that are displaced</w:t>
      </w:r>
      <w:r w:rsidR="00F508CA">
        <w:fldChar w:fldCharType="begin"/>
      </w:r>
      <w:r w:rsidR="004A3889">
        <w:instrText xml:space="preserve"> ADDIN ZOTERO_ITEM CSL_CITATION {"citationID":"17cup802gh","properties":{"formattedCitation":"(15)","plainCitation":"(15)"},"citationItems":[{"id":253,"uris":["http://zotero.org/users/173564/items/ZHXT2IDN"],"uri":["http://zotero.org/users/173564/items/ZHXT2IDN"],"itemData":{"id":253,"type":"article-journal","title":"Early displacement of distal radius fracture","container-title":"Acta Orthopaedica Scandinavica","page":"229-231","volume":"57","issue":"3","source":"PubMed","abstract":"In a retrospective series of 269 patients with distal radius fracture, initially undisplaced fractures (Older Type 1) had a good radiographical prognosis, whereas the more comminuted fractures showed increasing shortening until union, averaging 8 mm. Secondary displacement most often occurred during the first 2 weeks of immobilization, indicating that the radiographical control should be performed at that time. Reduction and fixation with plaster of the severely displaced Type 3 and 4 fractures never led to a satisfying radiographical end-result. Therefore, alternative methods of fixation should be considered in these fractures.","ISSN":"0001-6470","note":"PMID: 3739663","journalAbbreviation":"Acta Orthop Scand","language":"eng","author":[{"family":"Solgaard","given":"S."}],"issued":{"date-parts":[["1986",6]]},"PMID":"3739663"}}],"schema":"https://github.com/citation-style-language/schema/raw/master/csl-citation.json"} </w:instrText>
      </w:r>
      <w:r w:rsidR="00F508CA">
        <w:fldChar w:fldCharType="separate"/>
      </w:r>
      <w:r w:rsidR="004A3889" w:rsidRPr="008B035F">
        <w:rPr>
          <w:rFonts w:ascii="Calibri" w:hAnsi="Calibri" w:cs="Calibri"/>
        </w:rPr>
        <w:t>(15)</w:t>
      </w:r>
      <w:r w:rsidR="00F508CA">
        <w:fldChar w:fldCharType="end"/>
      </w:r>
      <w:r w:rsidR="006F6C54" w:rsidRPr="005837C0">
        <w:t xml:space="preserve"> and a fully healed fracture is unlikely to demonstrate high capillary permeability</w:t>
      </w:r>
      <w:r w:rsidR="005D263D">
        <w:fldChar w:fldCharType="begin"/>
      </w:r>
      <w:r w:rsidR="005D263D">
        <w:instrText xml:space="preserve"> ADDIN ZOTERO_ITEM CSL_CITATION {"citationID":"22nh7escia","properties":{"formattedCitation":"(16)","plainCitation":"(16)"},"citationItems":[{"id":28,"uris":["http://zotero.org/users/173564/items/43E7QCXN"],"uri":["http://zotero.org/users/173564/items/43E7QCXN"],"itemData":{"id":28,"type":"article-journal","title":"Evaluating automated dynamic contrast enhanced wrist 3T MRI in healthy volunteers: one-year longitudinal observational study","container-title":"European journal of radiology","page":"1286-1291","volume":"82","issue":"8","source":"NCBI PubMed","abstract":"RATIONAL AND OBJECTIVE: Dynamic contrast enhanced (DCE)-MRI has great potential to provide quantitative measure of inflammatory activity in rheumatoid arthritis. There is no current benchmark to establish the stability of signal in the joints of healthy subjects when imaged with DCE-MRI longitudinally, which is crucial so as to differentiate changes induced by treatment from the inherent variability of perfusion measures. The objective of this study was to test a pixel-by-pixel parametric map based approach for analysis of DCE-MRI (Dynamika) and to investigate the variability in signal characteristics over time in healthy controls using longitudinally acquired images.\nMATERIALS AND METHODS: 10 healthy volunteers enrolled, dominant wrists were imaged with contrast enhanced 3T MRI at baseline, week 12, 24 and 52 and scored with RAMRIS, DCE-MRI was analysed using a novel quantification parametric map based approach. Radiographs were obtained at baseline and week 52 and scored using modified Sharp van der Heidje method. RAMRIS scores and dynamic MRI measures were correlated.\nRESULTS: No erosions were seen on radiographs, whereas MRI showed erosion-like changes, low grade bone marrow oedema and low-moderate synovial enhancement. The DCE-MRI parameters were stable (baseline scores, variability) (mean±st.dev); in whole wrist analysis, MEmean (1.3±0.07, -0.08±0.1 at week 24) and IREmean (0.008±0.004, -0.002±0.005 at week 12 and 24). In the rough wrist ROI, MEmean (1.2±0.07, 0.04±0.02 at week 52) and IREmean (0.001±0.0008, 0.0006±0.0009 at week 52) and precise wrist ROI, MEmean (1.2±0.09, 0.04±0.04 at week 52) and IREmean (0.001±0.0008, 0.0008±0.001 at week 24 and 52). The Dynamic parameters obtained using fully automated analysis demonstrated strong, statistically significant correlations with RAMRIS synovitis scores.\nCONCLUSION: The study demonstrated that contrast enhancement does occur in healthy volunteers but the inherent variability of perfusion measures obtained with quantitative DCE-MRI method is low and stable, suggesting its suitability for longitudinal studies of inflammatory arthritis. These results also provide important information regarding potential cut-off levels for imaging remission goals in patients with RA using both RAMRIS and DCE-MRI extracted parametric parameters.","DOI":"10.1016/j.ejrad.2013.02.041","ISSN":"1872-7727","note":"PMID: 23562303","shortTitle":"Evaluating automated dynamic contrast enhanced wrist 3T MRI in healthy volunteers","journalAbbreviation":"Eur J Radiol","language":"eng","author":[{"family":"Rastogi","given":"Anshul"},{"family":"Kubassova","given":"Olga"},{"family":"Krasnosselskaia","given":"Lada V"},{"family":"Lim","given":"Adrian K P"},{"family":"Satchithananda","given":"Keshthra"},{"family":"Boesen","given":"Mikael"},{"family":"Binks","given":"Michael"},{"family":"Hajnal","given":"Joseph V"},{"family":"Taylor","given":"Peter C"}],"issued":{"date-parts":[["2013",8]]},"PMID":"23562303"}}],"schema":"https://github.com/citation-style-language/schema/raw/master/csl-citation.json"} </w:instrText>
      </w:r>
      <w:r w:rsidR="005D263D">
        <w:fldChar w:fldCharType="separate"/>
      </w:r>
      <w:r w:rsidR="005D263D" w:rsidRPr="008B035F">
        <w:rPr>
          <w:rFonts w:ascii="Calibri" w:hAnsi="Calibri" w:cs="Calibri"/>
        </w:rPr>
        <w:t>(16)</w:t>
      </w:r>
      <w:r w:rsidR="005D263D">
        <w:fldChar w:fldCharType="end"/>
      </w:r>
      <w:r w:rsidR="006F6C54" w:rsidRPr="005837C0">
        <w:t xml:space="preserve">.  </w:t>
      </w:r>
    </w:p>
    <w:p w14:paraId="69EA0ECF" w14:textId="77777777" w:rsidR="00A572C9" w:rsidRDefault="00A572C9" w:rsidP="00B15BD0">
      <w:pPr>
        <w:spacing w:after="0"/>
      </w:pPr>
    </w:p>
    <w:p w14:paraId="652D670D" w14:textId="7317B415" w:rsidR="00A572C9" w:rsidRDefault="00175F2C" w:rsidP="00A572C9">
      <w:pPr>
        <w:rPr>
          <w:rFonts w:eastAsia="Times New Roman"/>
        </w:rPr>
      </w:pPr>
      <w:r>
        <w:rPr>
          <w:rFonts w:eastAsia="Times New Roman"/>
        </w:rPr>
        <w:t>Further, t</w:t>
      </w:r>
      <w:r w:rsidR="00A572C9" w:rsidRPr="00175C55">
        <w:rPr>
          <w:rFonts w:eastAsia="Times New Roman"/>
        </w:rPr>
        <w:t xml:space="preserve">he </w:t>
      </w:r>
      <w:r w:rsidR="008E16C4">
        <w:rPr>
          <w:rFonts w:eastAsia="Times New Roman"/>
        </w:rPr>
        <w:t xml:space="preserve">MR </w:t>
      </w:r>
      <w:r w:rsidR="00A572C9" w:rsidRPr="00175C55">
        <w:rPr>
          <w:rFonts w:eastAsia="Times New Roman"/>
        </w:rPr>
        <w:t>signal is unlikely to reach equilibrium in 48 excitations</w:t>
      </w:r>
      <w:r>
        <w:rPr>
          <w:rFonts w:eastAsia="Times New Roman"/>
        </w:rPr>
        <w:t xml:space="preserve">.  </w:t>
      </w:r>
      <w:r w:rsidR="008E16C4">
        <w:rPr>
          <w:rFonts w:eastAsia="Times New Roman"/>
        </w:rPr>
        <w:t xml:space="preserve">If </w:t>
      </w:r>
      <w:r>
        <w:rPr>
          <w:rFonts w:eastAsia="Times New Roman"/>
        </w:rPr>
        <w:t xml:space="preserve">this </w:t>
      </w:r>
      <w:r w:rsidR="007A5DEA">
        <w:rPr>
          <w:rFonts w:eastAsia="Times New Roman"/>
        </w:rPr>
        <w:t>has</w:t>
      </w:r>
      <w:r w:rsidR="008E16C4">
        <w:rPr>
          <w:rFonts w:eastAsia="Times New Roman"/>
        </w:rPr>
        <w:t xml:space="preserve"> affected the results then</w:t>
      </w:r>
      <w:r w:rsidR="00A572C9" w:rsidRPr="00175C55">
        <w:rPr>
          <w:rFonts w:eastAsia="Times New Roman"/>
        </w:rPr>
        <w:t xml:space="preserve"> all subjects</w:t>
      </w:r>
      <w:r w:rsidR="007A5DEA">
        <w:rPr>
          <w:rFonts w:eastAsia="Times New Roman"/>
        </w:rPr>
        <w:t xml:space="preserve"> </w:t>
      </w:r>
      <w:r>
        <w:rPr>
          <w:rFonts w:eastAsia="Times New Roman"/>
        </w:rPr>
        <w:t>sh</w:t>
      </w:r>
      <w:r w:rsidR="007A5DEA">
        <w:rPr>
          <w:rFonts w:eastAsia="Times New Roman"/>
        </w:rPr>
        <w:t>ould be affected</w:t>
      </w:r>
      <w:r w:rsidR="00A572C9" w:rsidRPr="00175C55">
        <w:rPr>
          <w:rFonts w:eastAsia="Times New Roman"/>
        </w:rPr>
        <w:t xml:space="preserve"> equally. Th</w:t>
      </w:r>
      <w:r w:rsidR="008E16C4">
        <w:rPr>
          <w:rFonts w:eastAsia="Times New Roman"/>
        </w:rPr>
        <w:t>erefore</w:t>
      </w:r>
      <w:r w:rsidR="00A572C9" w:rsidRPr="00175C55">
        <w:rPr>
          <w:rFonts w:eastAsia="Times New Roman"/>
        </w:rPr>
        <w:t xml:space="preserve"> although absolute values of DCE parameters </w:t>
      </w:r>
      <w:r w:rsidR="008E16C4">
        <w:rPr>
          <w:rFonts w:eastAsia="Times New Roman"/>
        </w:rPr>
        <w:t>might</w:t>
      </w:r>
      <w:r w:rsidR="00A572C9" w:rsidRPr="00175C55">
        <w:rPr>
          <w:rFonts w:eastAsia="Times New Roman"/>
        </w:rPr>
        <w:t xml:space="preserve"> </w:t>
      </w:r>
      <w:r w:rsidR="008E16C4">
        <w:rPr>
          <w:rFonts w:eastAsia="Times New Roman"/>
        </w:rPr>
        <w:t>be affected</w:t>
      </w:r>
      <w:r w:rsidR="00A572C9" w:rsidRPr="00175C55">
        <w:rPr>
          <w:rFonts w:eastAsia="Times New Roman"/>
        </w:rPr>
        <w:t>,</w:t>
      </w:r>
      <w:r w:rsidR="008E16C4">
        <w:rPr>
          <w:rFonts w:eastAsia="Times New Roman"/>
        </w:rPr>
        <w:t xml:space="preserve"> the</w:t>
      </w:r>
      <w:r w:rsidR="00A572C9" w:rsidRPr="00175C55">
        <w:rPr>
          <w:rFonts w:eastAsia="Times New Roman"/>
        </w:rPr>
        <w:t xml:space="preserve"> relative values between subjects will </w:t>
      </w:r>
      <w:r w:rsidR="00A572C9">
        <w:rPr>
          <w:rFonts w:eastAsia="Times New Roman"/>
        </w:rPr>
        <w:t xml:space="preserve">be </w:t>
      </w:r>
      <w:r w:rsidR="00A572C9" w:rsidRPr="00175C55">
        <w:rPr>
          <w:rFonts w:eastAsia="Times New Roman"/>
        </w:rPr>
        <w:t>unaffected. </w:t>
      </w:r>
    </w:p>
    <w:p w14:paraId="6C5ED891" w14:textId="78B6F703" w:rsidR="002B01B0" w:rsidRPr="005837C0" w:rsidRDefault="000D07AB" w:rsidP="00B15BD0">
      <w:pPr>
        <w:spacing w:after="0"/>
        <w:rPr>
          <w:rFonts w:cs="Arial"/>
        </w:rPr>
      </w:pPr>
      <w:r w:rsidRPr="005837C0">
        <w:rPr>
          <w:rFonts w:cs="Arial"/>
        </w:rPr>
        <w:t xml:space="preserve">Overall </w:t>
      </w:r>
      <w:r w:rsidR="0055118D">
        <w:rPr>
          <w:rFonts w:cs="Arial"/>
        </w:rPr>
        <w:t xml:space="preserve">this </w:t>
      </w:r>
      <w:r w:rsidR="002B01B0" w:rsidRPr="005837C0">
        <w:rPr>
          <w:rFonts w:cs="Arial"/>
        </w:rPr>
        <w:t xml:space="preserve">study </w:t>
      </w:r>
      <w:r w:rsidRPr="005837C0">
        <w:rPr>
          <w:rFonts w:cs="Arial"/>
        </w:rPr>
        <w:t xml:space="preserve">demonstrates that </w:t>
      </w:r>
      <w:r w:rsidR="00612571">
        <w:rPr>
          <w:rFonts w:cs="Arial"/>
        </w:rPr>
        <w:t xml:space="preserve">pharmacokinetic </w:t>
      </w:r>
      <w:r w:rsidR="001E3D37">
        <w:rPr>
          <w:rFonts w:cs="Arial"/>
        </w:rPr>
        <w:t>measures</w:t>
      </w:r>
      <w:r w:rsidR="00612571">
        <w:rPr>
          <w:rFonts w:cs="Arial"/>
        </w:rPr>
        <w:t xml:space="preserve"> of perfusion</w:t>
      </w:r>
      <w:r w:rsidRPr="005837C0">
        <w:rPr>
          <w:rFonts w:cs="Arial"/>
        </w:rPr>
        <w:t xml:space="preserve"> can be </w:t>
      </w:r>
      <w:r w:rsidR="001E3D37">
        <w:rPr>
          <w:rFonts w:cs="Arial"/>
        </w:rPr>
        <w:t>obtained</w:t>
      </w:r>
      <w:r w:rsidR="001E3D37" w:rsidRPr="005837C0">
        <w:rPr>
          <w:rFonts w:cs="Arial"/>
        </w:rPr>
        <w:t xml:space="preserve"> </w:t>
      </w:r>
      <w:r w:rsidRPr="005837C0">
        <w:rPr>
          <w:rFonts w:cs="Arial"/>
        </w:rPr>
        <w:t>from peripheral fracture sites</w:t>
      </w:r>
      <w:r w:rsidR="001E3D37">
        <w:rPr>
          <w:rFonts w:cs="Arial"/>
        </w:rPr>
        <w:t xml:space="preserve"> with encouraging reliability. The 95% limits of agreement between </w:t>
      </w:r>
      <w:proofErr w:type="spellStart"/>
      <w:r w:rsidR="001E3D37">
        <w:rPr>
          <w:rFonts w:cs="Arial"/>
        </w:rPr>
        <w:t>raters</w:t>
      </w:r>
      <w:proofErr w:type="spellEnd"/>
      <w:r w:rsidR="001E3D37">
        <w:rPr>
          <w:rFonts w:cs="Arial"/>
        </w:rPr>
        <w:t xml:space="preserve"> are relatively broad but this may be a reflection of the relatively small sample size. T1 and perfusion measures are highly variable between and within patients. Even within a tightly controlled group of patients with a simple fracture the heterogeneity of outcome measures was higher than anticipated. </w:t>
      </w:r>
      <w:r w:rsidR="001E3D37">
        <w:rPr>
          <w:rFonts w:cs="Arial"/>
        </w:rPr>
        <w:t xml:space="preserve">While </w:t>
      </w:r>
      <w:r w:rsidR="001E3D37" w:rsidRPr="005837C0">
        <w:rPr>
          <w:rFonts w:cs="Arial"/>
        </w:rPr>
        <w:t xml:space="preserve">there is a predictable sequence of </w:t>
      </w:r>
      <w:proofErr w:type="spellStart"/>
      <w:r w:rsidR="001E3D37" w:rsidRPr="005837C0">
        <w:rPr>
          <w:rFonts w:cs="Arial"/>
        </w:rPr>
        <w:t>neoangiogenesis</w:t>
      </w:r>
      <w:proofErr w:type="spellEnd"/>
      <w:r w:rsidR="001E3D37" w:rsidRPr="005837C0">
        <w:rPr>
          <w:rFonts w:cs="Arial"/>
        </w:rPr>
        <w:t xml:space="preserve"> in uncomplicated fractures there </w:t>
      </w:r>
      <w:r w:rsidR="001E3D37">
        <w:rPr>
          <w:rFonts w:cs="Arial"/>
        </w:rPr>
        <w:t>appear to be causes of variation that are outside the observers calculating the outcome measures. Some of t</w:t>
      </w:r>
      <w:r w:rsidR="001E3D37" w:rsidRPr="005837C0">
        <w:rPr>
          <w:rFonts w:cs="Arial"/>
        </w:rPr>
        <w:t xml:space="preserve">hese </w:t>
      </w:r>
      <w:r w:rsidR="001E3D37">
        <w:rPr>
          <w:rFonts w:cs="Arial"/>
        </w:rPr>
        <w:t xml:space="preserve">causes may be related to fracture specific </w:t>
      </w:r>
      <w:r w:rsidR="00C9118D">
        <w:rPr>
          <w:rFonts w:cs="Arial"/>
        </w:rPr>
        <w:t xml:space="preserve">variations and others may be </w:t>
      </w:r>
      <w:r w:rsidR="001E3D37" w:rsidRPr="005837C0">
        <w:rPr>
          <w:rFonts w:cs="Arial"/>
        </w:rPr>
        <w:t>patient related factors such as cardiovascular function, nutrition and co-morbidities.</w:t>
      </w:r>
      <w:r w:rsidR="00C9118D">
        <w:rPr>
          <w:rFonts w:cs="Arial"/>
        </w:rPr>
        <w:t xml:space="preserve"> </w:t>
      </w:r>
      <w:r w:rsidR="001E3D37">
        <w:rPr>
          <w:rFonts w:cs="Arial"/>
        </w:rPr>
        <w:t>Two approaches to addressing this might</w:t>
      </w:r>
      <w:r w:rsidR="00BA4EA8">
        <w:rPr>
          <w:rFonts w:cs="Arial"/>
        </w:rPr>
        <w:t xml:space="preserve"> be to use </w:t>
      </w:r>
      <w:r w:rsidR="001E3D37">
        <w:rPr>
          <w:rFonts w:cs="Arial"/>
        </w:rPr>
        <w:t>larger sample</w:t>
      </w:r>
      <w:r w:rsidR="00BA4EA8">
        <w:rPr>
          <w:rFonts w:cs="Arial"/>
        </w:rPr>
        <w:t xml:space="preserve">s with subset analysis of patient related factors and fracture morphology </w:t>
      </w:r>
      <w:r w:rsidR="001E3D37">
        <w:rPr>
          <w:rFonts w:cs="Arial"/>
        </w:rPr>
        <w:t>or to apply DCE-MRI earlier on in the healing process</w:t>
      </w:r>
      <w:r w:rsidR="00BA4EA8">
        <w:rPr>
          <w:rFonts w:cs="Arial"/>
        </w:rPr>
        <w:t xml:space="preserve"> when the pharmacokinetics of perfusion might be more homogeneous</w:t>
      </w:r>
      <w:r w:rsidR="001E3D37">
        <w:rPr>
          <w:rFonts w:cs="Arial"/>
        </w:rPr>
        <w:t>.</w:t>
      </w:r>
      <w:r w:rsidR="006175D1" w:rsidRPr="005837C0">
        <w:rPr>
          <w:rFonts w:cs="Arial"/>
        </w:rPr>
        <w:t xml:space="preserve"> </w:t>
      </w:r>
    </w:p>
    <w:p w14:paraId="0DA72B17" w14:textId="77777777" w:rsidR="002B01B0" w:rsidRPr="005837C0" w:rsidRDefault="002B01B0" w:rsidP="00B15BD0">
      <w:pPr>
        <w:spacing w:after="0"/>
        <w:rPr>
          <w:rFonts w:cs="Arial"/>
        </w:rPr>
      </w:pPr>
    </w:p>
    <w:p w14:paraId="774F4EE8" w14:textId="77777777" w:rsidR="004A3889" w:rsidRDefault="004A3889">
      <w:pPr>
        <w:spacing w:after="200" w:line="276" w:lineRule="auto"/>
        <w:rPr>
          <w:rFonts w:eastAsiaTheme="majorEastAsia" w:cstheme="majorBidi"/>
          <w:b/>
          <w:bCs/>
          <w:caps/>
          <w:szCs w:val="28"/>
        </w:rPr>
      </w:pPr>
      <w:r>
        <w:br w:type="page"/>
      </w:r>
    </w:p>
    <w:p w14:paraId="5D5B030F" w14:textId="77777777" w:rsidR="006E5292" w:rsidRPr="00BA1B64" w:rsidRDefault="006E5292" w:rsidP="005D263D">
      <w:pPr>
        <w:pStyle w:val="Heading1"/>
        <w:spacing w:after="0"/>
      </w:pPr>
      <w:r w:rsidRPr="00BA1B64">
        <w:rPr>
          <w:rStyle w:val="Heading1Char"/>
          <w:b/>
          <w:bCs/>
        </w:rPr>
        <w:t>References</w:t>
      </w:r>
    </w:p>
    <w:p w14:paraId="7A47BD14" w14:textId="23823EA1" w:rsidR="005D263D" w:rsidRPr="008B035F" w:rsidRDefault="006E5292" w:rsidP="008B035F">
      <w:pPr>
        <w:pStyle w:val="Bibliography"/>
        <w:spacing w:after="0" w:line="480" w:lineRule="auto"/>
        <w:rPr>
          <w:rFonts w:ascii="Calibri" w:hAnsi="Calibri" w:cs="Calibri"/>
        </w:rPr>
      </w:pPr>
      <w:r w:rsidRPr="005837C0">
        <w:rPr>
          <w:rFonts w:cs="Arial"/>
        </w:rPr>
        <w:fldChar w:fldCharType="begin"/>
      </w:r>
      <w:r w:rsidR="004A3889">
        <w:rPr>
          <w:rFonts w:cs="Arial"/>
        </w:rPr>
        <w:instrText xml:space="preserve"> ADDIN ZOTERO_BIBL {"custom":[]} CSL_BIBLIOGRAPHY </w:instrText>
      </w:r>
      <w:r w:rsidRPr="005837C0">
        <w:rPr>
          <w:rFonts w:cs="Arial"/>
        </w:rPr>
        <w:fldChar w:fldCharType="separate"/>
      </w:r>
      <w:r w:rsidR="005D263D" w:rsidRPr="008B035F">
        <w:rPr>
          <w:rFonts w:ascii="Calibri" w:hAnsi="Calibri" w:cs="Calibri"/>
        </w:rPr>
        <w:t xml:space="preserve">1. Rogers LF, Hendrix RW: Fracture Healing. </w:t>
      </w:r>
      <w:proofErr w:type="gramStart"/>
      <w:r w:rsidR="005D263D" w:rsidRPr="008B035F">
        <w:rPr>
          <w:rFonts w:ascii="Calibri" w:hAnsi="Calibri" w:cs="Calibri"/>
        </w:rPr>
        <w:t xml:space="preserve">In </w:t>
      </w:r>
      <w:r w:rsidR="005D263D" w:rsidRPr="008B035F">
        <w:rPr>
          <w:rFonts w:ascii="Calibri" w:hAnsi="Calibri" w:cs="Calibri"/>
          <w:i/>
          <w:iCs/>
        </w:rPr>
        <w:t>Radiology of Skeletal Trauma</w:t>
      </w:r>
      <w:r w:rsidR="005D263D" w:rsidRPr="008B035F">
        <w:rPr>
          <w:rFonts w:ascii="Calibri" w:hAnsi="Calibri" w:cs="Calibri"/>
        </w:rPr>
        <w:t>.</w:t>
      </w:r>
      <w:proofErr w:type="gramEnd"/>
      <w:r w:rsidR="005D263D" w:rsidRPr="008B035F">
        <w:rPr>
          <w:rFonts w:ascii="Calibri" w:hAnsi="Calibri" w:cs="Calibri"/>
        </w:rPr>
        <w:t xml:space="preserve"> </w:t>
      </w:r>
      <w:r w:rsidR="005D263D" w:rsidRPr="008B035F">
        <w:rPr>
          <w:rFonts w:ascii="Calibri" w:hAnsi="Calibri" w:cs="Calibri"/>
          <w:i/>
          <w:iCs/>
        </w:rPr>
        <w:t>Volume 1</w:t>
      </w:r>
      <w:r w:rsidR="005D263D" w:rsidRPr="008B035F">
        <w:rPr>
          <w:rFonts w:ascii="Calibri" w:hAnsi="Calibri" w:cs="Calibri"/>
        </w:rPr>
        <w:t>. 2nd edition. New York: Churchill Livingstone; 1992:197–221.</w:t>
      </w:r>
    </w:p>
    <w:p w14:paraId="2D2D9F41"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2. Dale BM, </w:t>
      </w:r>
      <w:proofErr w:type="spellStart"/>
      <w:r w:rsidRPr="008B035F">
        <w:rPr>
          <w:rFonts w:ascii="Calibri" w:hAnsi="Calibri" w:cs="Calibri"/>
        </w:rPr>
        <w:t>Jesberger</w:t>
      </w:r>
      <w:proofErr w:type="spellEnd"/>
      <w:r w:rsidRPr="008B035F">
        <w:rPr>
          <w:rFonts w:ascii="Calibri" w:hAnsi="Calibri" w:cs="Calibri"/>
        </w:rPr>
        <w:t xml:space="preserve"> JA, </w:t>
      </w:r>
      <w:proofErr w:type="spellStart"/>
      <w:r w:rsidRPr="008B035F">
        <w:rPr>
          <w:rFonts w:ascii="Calibri" w:hAnsi="Calibri" w:cs="Calibri"/>
        </w:rPr>
        <w:t>Lewin</w:t>
      </w:r>
      <w:proofErr w:type="spellEnd"/>
      <w:r w:rsidRPr="008B035F">
        <w:rPr>
          <w:rFonts w:ascii="Calibri" w:hAnsi="Calibri" w:cs="Calibri"/>
        </w:rPr>
        <w:t xml:space="preserve"> JS, Hillenbrand CM, </w:t>
      </w:r>
      <w:proofErr w:type="spellStart"/>
      <w:r w:rsidRPr="008B035F">
        <w:rPr>
          <w:rFonts w:ascii="Calibri" w:hAnsi="Calibri" w:cs="Calibri"/>
        </w:rPr>
        <w:t>Duerk</w:t>
      </w:r>
      <w:proofErr w:type="spellEnd"/>
      <w:r w:rsidRPr="008B035F">
        <w:rPr>
          <w:rFonts w:ascii="Calibri" w:hAnsi="Calibri" w:cs="Calibri"/>
        </w:rPr>
        <w:t xml:space="preserve"> JL: Determining and optimizing the precision of quantitative measurements of perfusion from dynamic contrast enhanced MRI. </w:t>
      </w:r>
      <w:proofErr w:type="gramStart"/>
      <w:r w:rsidRPr="008B035F">
        <w:rPr>
          <w:rFonts w:ascii="Calibri" w:hAnsi="Calibri" w:cs="Calibri"/>
          <w:i/>
          <w:iCs/>
        </w:rPr>
        <w:t xml:space="preserve">J </w:t>
      </w:r>
      <w:proofErr w:type="spellStart"/>
      <w:r w:rsidRPr="008B035F">
        <w:rPr>
          <w:rFonts w:ascii="Calibri" w:hAnsi="Calibri" w:cs="Calibri"/>
          <w:i/>
          <w:iCs/>
        </w:rPr>
        <w:t>Magn</w:t>
      </w:r>
      <w:proofErr w:type="spellEnd"/>
      <w:r w:rsidRPr="008B035F">
        <w:rPr>
          <w:rFonts w:ascii="Calibri" w:hAnsi="Calibri" w:cs="Calibri"/>
          <w:i/>
          <w:iCs/>
        </w:rPr>
        <w:t xml:space="preserve"> </w:t>
      </w:r>
      <w:proofErr w:type="spellStart"/>
      <w:r w:rsidRPr="008B035F">
        <w:rPr>
          <w:rFonts w:ascii="Calibri" w:hAnsi="Calibri" w:cs="Calibri"/>
          <w:i/>
          <w:iCs/>
        </w:rPr>
        <w:t>Reson</w:t>
      </w:r>
      <w:proofErr w:type="spellEnd"/>
      <w:r w:rsidRPr="008B035F">
        <w:rPr>
          <w:rFonts w:ascii="Calibri" w:hAnsi="Calibri" w:cs="Calibri"/>
          <w:i/>
          <w:iCs/>
        </w:rPr>
        <w:t xml:space="preserve"> Imaging</w:t>
      </w:r>
      <w:r w:rsidRPr="008B035F">
        <w:rPr>
          <w:rFonts w:ascii="Calibri" w:hAnsi="Calibri" w:cs="Calibri"/>
        </w:rPr>
        <w:t xml:space="preserve"> 2003; 18:575–584.</w:t>
      </w:r>
      <w:proofErr w:type="gramEnd"/>
    </w:p>
    <w:p w14:paraId="4A43452C"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3. Chen W-T, Shih TT-F, Chen R-C, et al.: Blood perfusion of vertebral lesions evaluated with gadolinium-enhanced dynamic MRI: in comparison with compression fracture and metastasis. </w:t>
      </w:r>
      <w:proofErr w:type="gramStart"/>
      <w:r w:rsidRPr="008B035F">
        <w:rPr>
          <w:rFonts w:ascii="Calibri" w:hAnsi="Calibri" w:cs="Calibri"/>
          <w:i/>
          <w:iCs/>
        </w:rPr>
        <w:t xml:space="preserve">J </w:t>
      </w:r>
      <w:proofErr w:type="spellStart"/>
      <w:r w:rsidRPr="008B035F">
        <w:rPr>
          <w:rFonts w:ascii="Calibri" w:hAnsi="Calibri" w:cs="Calibri"/>
          <w:i/>
          <w:iCs/>
        </w:rPr>
        <w:t>Magn</w:t>
      </w:r>
      <w:proofErr w:type="spellEnd"/>
      <w:r w:rsidRPr="008B035F">
        <w:rPr>
          <w:rFonts w:ascii="Calibri" w:hAnsi="Calibri" w:cs="Calibri"/>
          <w:i/>
          <w:iCs/>
        </w:rPr>
        <w:t xml:space="preserve"> </w:t>
      </w:r>
      <w:proofErr w:type="spellStart"/>
      <w:r w:rsidRPr="008B035F">
        <w:rPr>
          <w:rFonts w:ascii="Calibri" w:hAnsi="Calibri" w:cs="Calibri"/>
          <w:i/>
          <w:iCs/>
        </w:rPr>
        <w:t>Reson</w:t>
      </w:r>
      <w:proofErr w:type="spellEnd"/>
      <w:r w:rsidRPr="008B035F">
        <w:rPr>
          <w:rFonts w:ascii="Calibri" w:hAnsi="Calibri" w:cs="Calibri"/>
          <w:i/>
          <w:iCs/>
        </w:rPr>
        <w:t xml:space="preserve"> Imaging</w:t>
      </w:r>
      <w:r w:rsidRPr="008B035F">
        <w:rPr>
          <w:rFonts w:ascii="Calibri" w:hAnsi="Calibri" w:cs="Calibri"/>
        </w:rPr>
        <w:t xml:space="preserve"> 2002; 15:308–314.</w:t>
      </w:r>
      <w:proofErr w:type="gramEnd"/>
    </w:p>
    <w:p w14:paraId="11C18A8B"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4. </w:t>
      </w:r>
      <w:proofErr w:type="spellStart"/>
      <w:r w:rsidRPr="008B035F">
        <w:rPr>
          <w:rFonts w:ascii="Calibri" w:hAnsi="Calibri" w:cs="Calibri"/>
        </w:rPr>
        <w:t>Konishiike</w:t>
      </w:r>
      <w:proofErr w:type="spellEnd"/>
      <w:r w:rsidRPr="008B035F">
        <w:rPr>
          <w:rFonts w:ascii="Calibri" w:hAnsi="Calibri" w:cs="Calibri"/>
        </w:rPr>
        <w:t xml:space="preserve"> T, </w:t>
      </w:r>
      <w:proofErr w:type="spellStart"/>
      <w:r w:rsidRPr="008B035F">
        <w:rPr>
          <w:rFonts w:ascii="Calibri" w:hAnsi="Calibri" w:cs="Calibri"/>
        </w:rPr>
        <w:t>Makihata</w:t>
      </w:r>
      <w:proofErr w:type="spellEnd"/>
      <w:r w:rsidRPr="008B035F">
        <w:rPr>
          <w:rFonts w:ascii="Calibri" w:hAnsi="Calibri" w:cs="Calibri"/>
        </w:rPr>
        <w:t xml:space="preserve"> E, </w:t>
      </w:r>
      <w:proofErr w:type="spellStart"/>
      <w:r w:rsidRPr="008B035F">
        <w:rPr>
          <w:rFonts w:ascii="Calibri" w:hAnsi="Calibri" w:cs="Calibri"/>
        </w:rPr>
        <w:t>Tago</w:t>
      </w:r>
      <w:proofErr w:type="spellEnd"/>
      <w:r w:rsidRPr="008B035F">
        <w:rPr>
          <w:rFonts w:ascii="Calibri" w:hAnsi="Calibri" w:cs="Calibri"/>
        </w:rPr>
        <w:t xml:space="preserve"> H, Sato T, Inoue H: Acute fracture of the neck of the femur. </w:t>
      </w:r>
      <w:proofErr w:type="gramStart"/>
      <w:r w:rsidRPr="008B035F">
        <w:rPr>
          <w:rFonts w:ascii="Calibri" w:hAnsi="Calibri" w:cs="Calibri"/>
        </w:rPr>
        <w:t>An assessment of perfusion of the head by dynamic MRI.</w:t>
      </w:r>
      <w:proofErr w:type="gramEnd"/>
      <w:r w:rsidRPr="008B035F">
        <w:rPr>
          <w:rFonts w:ascii="Calibri" w:hAnsi="Calibri" w:cs="Calibri"/>
        </w:rPr>
        <w:t xml:space="preserve"> </w:t>
      </w:r>
      <w:proofErr w:type="gramStart"/>
      <w:r w:rsidRPr="008B035F">
        <w:rPr>
          <w:rFonts w:ascii="Calibri" w:hAnsi="Calibri" w:cs="Calibri"/>
          <w:i/>
          <w:iCs/>
        </w:rPr>
        <w:t xml:space="preserve">J Bone Joint </w:t>
      </w:r>
      <w:proofErr w:type="spellStart"/>
      <w:r w:rsidRPr="008B035F">
        <w:rPr>
          <w:rFonts w:ascii="Calibri" w:hAnsi="Calibri" w:cs="Calibri"/>
          <w:i/>
          <w:iCs/>
        </w:rPr>
        <w:t>Surg</w:t>
      </w:r>
      <w:proofErr w:type="spellEnd"/>
      <w:r w:rsidRPr="008B035F">
        <w:rPr>
          <w:rFonts w:ascii="Calibri" w:hAnsi="Calibri" w:cs="Calibri"/>
          <w:i/>
          <w:iCs/>
        </w:rPr>
        <w:t xml:space="preserve"> Br</w:t>
      </w:r>
      <w:r w:rsidRPr="008B035F">
        <w:rPr>
          <w:rFonts w:ascii="Calibri" w:hAnsi="Calibri" w:cs="Calibri"/>
        </w:rPr>
        <w:t xml:space="preserve"> 1999; 81:596–599.</w:t>
      </w:r>
      <w:proofErr w:type="gramEnd"/>
    </w:p>
    <w:p w14:paraId="48ECBD01"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5. Ng AWH, Griffith JF, </w:t>
      </w:r>
      <w:proofErr w:type="spellStart"/>
      <w:r w:rsidRPr="008B035F">
        <w:rPr>
          <w:rFonts w:ascii="Calibri" w:hAnsi="Calibri" w:cs="Calibri"/>
        </w:rPr>
        <w:t>Taljanovic</w:t>
      </w:r>
      <w:proofErr w:type="spellEnd"/>
      <w:r w:rsidRPr="008B035F">
        <w:rPr>
          <w:rFonts w:ascii="Calibri" w:hAnsi="Calibri" w:cs="Calibri"/>
        </w:rPr>
        <w:t xml:space="preserve"> MS, Li A, </w:t>
      </w:r>
      <w:proofErr w:type="spellStart"/>
      <w:r w:rsidRPr="008B035F">
        <w:rPr>
          <w:rFonts w:ascii="Calibri" w:hAnsi="Calibri" w:cs="Calibri"/>
        </w:rPr>
        <w:t>Tse</w:t>
      </w:r>
      <w:proofErr w:type="spellEnd"/>
      <w:r w:rsidRPr="008B035F">
        <w:rPr>
          <w:rFonts w:ascii="Calibri" w:hAnsi="Calibri" w:cs="Calibri"/>
        </w:rPr>
        <w:t xml:space="preserve"> WL, </w:t>
      </w:r>
      <w:proofErr w:type="spellStart"/>
      <w:r w:rsidRPr="008B035F">
        <w:rPr>
          <w:rFonts w:ascii="Calibri" w:hAnsi="Calibri" w:cs="Calibri"/>
        </w:rPr>
        <w:t>Ho</w:t>
      </w:r>
      <w:proofErr w:type="spellEnd"/>
      <w:r w:rsidRPr="008B035F">
        <w:rPr>
          <w:rFonts w:ascii="Calibri" w:hAnsi="Calibri" w:cs="Calibri"/>
        </w:rPr>
        <w:t xml:space="preserve"> PC: Is dynamic contrast-enhanced MRI useful for assessing proximal fragment vascularity in scaphoid fracture delayed and non-union? </w:t>
      </w:r>
      <w:proofErr w:type="gramStart"/>
      <w:r w:rsidRPr="008B035F">
        <w:rPr>
          <w:rFonts w:ascii="Calibri" w:hAnsi="Calibri" w:cs="Calibri"/>
          <w:i/>
          <w:iCs/>
        </w:rPr>
        <w:t xml:space="preserve">Skeletal </w:t>
      </w:r>
      <w:proofErr w:type="spellStart"/>
      <w:r w:rsidRPr="008B035F">
        <w:rPr>
          <w:rFonts w:ascii="Calibri" w:hAnsi="Calibri" w:cs="Calibri"/>
          <w:i/>
          <w:iCs/>
        </w:rPr>
        <w:t>Radiol</w:t>
      </w:r>
      <w:proofErr w:type="spellEnd"/>
      <w:r w:rsidRPr="008B035F">
        <w:rPr>
          <w:rFonts w:ascii="Calibri" w:hAnsi="Calibri" w:cs="Calibri"/>
        </w:rPr>
        <w:t xml:space="preserve"> 2013; 42:983–992.</w:t>
      </w:r>
      <w:proofErr w:type="gramEnd"/>
    </w:p>
    <w:p w14:paraId="3D1BA648"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6. </w:t>
      </w:r>
      <w:proofErr w:type="spellStart"/>
      <w:r w:rsidRPr="008B035F">
        <w:rPr>
          <w:rFonts w:ascii="Calibri" w:hAnsi="Calibri" w:cs="Calibri"/>
        </w:rPr>
        <w:t>Prommersberger</w:t>
      </w:r>
      <w:proofErr w:type="spellEnd"/>
      <w:r w:rsidRPr="008B035F">
        <w:rPr>
          <w:rFonts w:ascii="Calibri" w:hAnsi="Calibri" w:cs="Calibri"/>
        </w:rPr>
        <w:t xml:space="preserve"> K-J, Fernandez DL: </w:t>
      </w:r>
      <w:proofErr w:type="spellStart"/>
      <w:r w:rsidRPr="008B035F">
        <w:rPr>
          <w:rFonts w:ascii="Calibri" w:hAnsi="Calibri" w:cs="Calibri"/>
        </w:rPr>
        <w:t>Nonunion</w:t>
      </w:r>
      <w:proofErr w:type="spellEnd"/>
      <w:r w:rsidRPr="008B035F">
        <w:rPr>
          <w:rFonts w:ascii="Calibri" w:hAnsi="Calibri" w:cs="Calibri"/>
        </w:rPr>
        <w:t xml:space="preserve"> of distal radius fractures. </w:t>
      </w:r>
      <w:proofErr w:type="spellStart"/>
      <w:proofErr w:type="gramStart"/>
      <w:r w:rsidRPr="008B035F">
        <w:rPr>
          <w:rFonts w:ascii="Calibri" w:hAnsi="Calibri" w:cs="Calibri"/>
          <w:i/>
          <w:iCs/>
        </w:rPr>
        <w:t>Clin</w:t>
      </w:r>
      <w:proofErr w:type="spellEnd"/>
      <w:r w:rsidRPr="008B035F">
        <w:rPr>
          <w:rFonts w:ascii="Calibri" w:hAnsi="Calibri" w:cs="Calibri"/>
          <w:i/>
          <w:iCs/>
        </w:rPr>
        <w:t xml:space="preserve"> </w:t>
      </w:r>
      <w:proofErr w:type="spellStart"/>
      <w:r w:rsidRPr="008B035F">
        <w:rPr>
          <w:rFonts w:ascii="Calibri" w:hAnsi="Calibri" w:cs="Calibri"/>
          <w:i/>
          <w:iCs/>
        </w:rPr>
        <w:t>Orthop</w:t>
      </w:r>
      <w:proofErr w:type="spellEnd"/>
      <w:r w:rsidRPr="008B035F">
        <w:rPr>
          <w:rFonts w:ascii="Calibri" w:hAnsi="Calibri" w:cs="Calibri"/>
          <w:i/>
          <w:iCs/>
        </w:rPr>
        <w:t xml:space="preserve"> </w:t>
      </w:r>
      <w:proofErr w:type="spellStart"/>
      <w:r w:rsidRPr="008B035F">
        <w:rPr>
          <w:rFonts w:ascii="Calibri" w:hAnsi="Calibri" w:cs="Calibri"/>
          <w:i/>
          <w:iCs/>
        </w:rPr>
        <w:t>Relat</w:t>
      </w:r>
      <w:proofErr w:type="spellEnd"/>
      <w:r w:rsidRPr="008B035F">
        <w:rPr>
          <w:rFonts w:ascii="Calibri" w:hAnsi="Calibri" w:cs="Calibri"/>
          <w:i/>
          <w:iCs/>
        </w:rPr>
        <w:t xml:space="preserve"> Res</w:t>
      </w:r>
      <w:r w:rsidRPr="008B035F">
        <w:rPr>
          <w:rFonts w:ascii="Calibri" w:hAnsi="Calibri" w:cs="Calibri"/>
        </w:rPr>
        <w:t xml:space="preserve"> 2004:51–56.</w:t>
      </w:r>
      <w:proofErr w:type="gramEnd"/>
    </w:p>
    <w:p w14:paraId="68C6E69B"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7. Tofts PS, Brix G, Buckley DL, et al.: Estimating kinetic parameters from dynamic contrast-enhanced </w:t>
      </w:r>
      <w:proofErr w:type="gramStart"/>
      <w:r w:rsidRPr="008B035F">
        <w:rPr>
          <w:rFonts w:ascii="Calibri" w:hAnsi="Calibri" w:cs="Calibri"/>
        </w:rPr>
        <w:t>T(</w:t>
      </w:r>
      <w:proofErr w:type="gramEnd"/>
      <w:r w:rsidRPr="008B035F">
        <w:rPr>
          <w:rFonts w:ascii="Calibri" w:hAnsi="Calibri" w:cs="Calibri"/>
        </w:rPr>
        <w:t xml:space="preserve">1)-weighted MRI of a </w:t>
      </w:r>
      <w:proofErr w:type="spellStart"/>
      <w:r w:rsidRPr="008B035F">
        <w:rPr>
          <w:rFonts w:ascii="Calibri" w:hAnsi="Calibri" w:cs="Calibri"/>
        </w:rPr>
        <w:t>diffusable</w:t>
      </w:r>
      <w:proofErr w:type="spellEnd"/>
      <w:r w:rsidRPr="008B035F">
        <w:rPr>
          <w:rFonts w:ascii="Calibri" w:hAnsi="Calibri" w:cs="Calibri"/>
        </w:rPr>
        <w:t xml:space="preserve"> tracer: standardized quantities and symbols. </w:t>
      </w:r>
      <w:r w:rsidRPr="008B035F">
        <w:rPr>
          <w:rFonts w:ascii="Calibri" w:hAnsi="Calibri" w:cs="Calibri"/>
          <w:i/>
          <w:iCs/>
        </w:rPr>
        <w:t xml:space="preserve">J </w:t>
      </w:r>
      <w:proofErr w:type="spellStart"/>
      <w:r w:rsidRPr="008B035F">
        <w:rPr>
          <w:rFonts w:ascii="Calibri" w:hAnsi="Calibri" w:cs="Calibri"/>
          <w:i/>
          <w:iCs/>
        </w:rPr>
        <w:t>Magn</w:t>
      </w:r>
      <w:proofErr w:type="spellEnd"/>
      <w:r w:rsidRPr="008B035F">
        <w:rPr>
          <w:rFonts w:ascii="Calibri" w:hAnsi="Calibri" w:cs="Calibri"/>
          <w:i/>
          <w:iCs/>
        </w:rPr>
        <w:t xml:space="preserve"> </w:t>
      </w:r>
      <w:proofErr w:type="spellStart"/>
      <w:r w:rsidRPr="008B035F">
        <w:rPr>
          <w:rFonts w:ascii="Calibri" w:hAnsi="Calibri" w:cs="Calibri"/>
          <w:i/>
          <w:iCs/>
        </w:rPr>
        <w:t>Reson</w:t>
      </w:r>
      <w:proofErr w:type="spellEnd"/>
      <w:r w:rsidRPr="008B035F">
        <w:rPr>
          <w:rFonts w:ascii="Calibri" w:hAnsi="Calibri" w:cs="Calibri"/>
          <w:i/>
          <w:iCs/>
        </w:rPr>
        <w:t xml:space="preserve"> Imaging</w:t>
      </w:r>
      <w:r w:rsidRPr="008B035F">
        <w:rPr>
          <w:rFonts w:ascii="Calibri" w:hAnsi="Calibri" w:cs="Calibri"/>
        </w:rPr>
        <w:t xml:space="preserve"> 1999; 10:223–232.</w:t>
      </w:r>
    </w:p>
    <w:p w14:paraId="3189A8F8"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8. Tofts PS, Kermode AG: Measurement of the blood-brain barrier permeability and leakage space using dynamic MR imaging. 1. Fundamental concepts. </w:t>
      </w:r>
      <w:proofErr w:type="spellStart"/>
      <w:r w:rsidRPr="008B035F">
        <w:rPr>
          <w:rFonts w:ascii="Calibri" w:hAnsi="Calibri" w:cs="Calibri"/>
          <w:i/>
          <w:iCs/>
        </w:rPr>
        <w:t>Magn</w:t>
      </w:r>
      <w:proofErr w:type="spellEnd"/>
      <w:r w:rsidRPr="008B035F">
        <w:rPr>
          <w:rFonts w:ascii="Calibri" w:hAnsi="Calibri" w:cs="Calibri"/>
          <w:i/>
          <w:iCs/>
        </w:rPr>
        <w:t xml:space="preserve"> </w:t>
      </w:r>
      <w:proofErr w:type="spellStart"/>
      <w:r w:rsidRPr="008B035F">
        <w:rPr>
          <w:rFonts w:ascii="Calibri" w:hAnsi="Calibri" w:cs="Calibri"/>
          <w:i/>
          <w:iCs/>
        </w:rPr>
        <w:t>Reson</w:t>
      </w:r>
      <w:proofErr w:type="spellEnd"/>
      <w:r w:rsidRPr="008B035F">
        <w:rPr>
          <w:rFonts w:ascii="Calibri" w:hAnsi="Calibri" w:cs="Calibri"/>
          <w:i/>
          <w:iCs/>
        </w:rPr>
        <w:t xml:space="preserve"> Med</w:t>
      </w:r>
      <w:r w:rsidRPr="008B035F">
        <w:rPr>
          <w:rFonts w:ascii="Calibri" w:hAnsi="Calibri" w:cs="Calibri"/>
        </w:rPr>
        <w:t xml:space="preserve"> 1991; 17:357–367.</w:t>
      </w:r>
    </w:p>
    <w:p w14:paraId="0923F1B6"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9. Parker GJM, Roberts C, Macdonald A, et al.: </w:t>
      </w:r>
      <w:proofErr w:type="gramStart"/>
      <w:r w:rsidRPr="008B035F">
        <w:rPr>
          <w:rFonts w:ascii="Calibri" w:hAnsi="Calibri" w:cs="Calibri"/>
        </w:rPr>
        <w:t>Experimentally-derived</w:t>
      </w:r>
      <w:proofErr w:type="gramEnd"/>
      <w:r w:rsidRPr="008B035F">
        <w:rPr>
          <w:rFonts w:ascii="Calibri" w:hAnsi="Calibri" w:cs="Calibri"/>
        </w:rPr>
        <w:t xml:space="preserve"> functional form for a population-averaged high-temporal-resolution arterial input function for dynamic contrast-enhanced MRI. </w:t>
      </w:r>
      <w:proofErr w:type="spellStart"/>
      <w:proofErr w:type="gramStart"/>
      <w:r w:rsidRPr="008B035F">
        <w:rPr>
          <w:rFonts w:ascii="Calibri" w:hAnsi="Calibri" w:cs="Calibri"/>
          <w:i/>
          <w:iCs/>
        </w:rPr>
        <w:t>Magn</w:t>
      </w:r>
      <w:proofErr w:type="spellEnd"/>
      <w:r w:rsidRPr="008B035F">
        <w:rPr>
          <w:rFonts w:ascii="Calibri" w:hAnsi="Calibri" w:cs="Calibri"/>
          <w:i/>
          <w:iCs/>
        </w:rPr>
        <w:t xml:space="preserve"> </w:t>
      </w:r>
      <w:proofErr w:type="spellStart"/>
      <w:r w:rsidRPr="008B035F">
        <w:rPr>
          <w:rFonts w:ascii="Calibri" w:hAnsi="Calibri" w:cs="Calibri"/>
          <w:i/>
          <w:iCs/>
        </w:rPr>
        <w:t>Reson</w:t>
      </w:r>
      <w:proofErr w:type="spellEnd"/>
      <w:r w:rsidRPr="008B035F">
        <w:rPr>
          <w:rFonts w:ascii="Calibri" w:hAnsi="Calibri" w:cs="Calibri"/>
          <w:i/>
          <w:iCs/>
        </w:rPr>
        <w:t xml:space="preserve"> Med</w:t>
      </w:r>
      <w:r w:rsidRPr="008B035F">
        <w:rPr>
          <w:rFonts w:ascii="Calibri" w:hAnsi="Calibri" w:cs="Calibri"/>
        </w:rPr>
        <w:t xml:space="preserve"> 2006; 56:993–1000.</w:t>
      </w:r>
      <w:proofErr w:type="gramEnd"/>
    </w:p>
    <w:p w14:paraId="42FC8EC3"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10. Koch GG, Landis JR, Freeman JL, Freeman DH </w:t>
      </w:r>
      <w:proofErr w:type="spellStart"/>
      <w:r w:rsidRPr="008B035F">
        <w:rPr>
          <w:rFonts w:ascii="Calibri" w:hAnsi="Calibri" w:cs="Calibri"/>
        </w:rPr>
        <w:t>Jr</w:t>
      </w:r>
      <w:proofErr w:type="spellEnd"/>
      <w:r w:rsidRPr="008B035F">
        <w:rPr>
          <w:rFonts w:ascii="Calibri" w:hAnsi="Calibri" w:cs="Calibri"/>
        </w:rPr>
        <w:t xml:space="preserve">, </w:t>
      </w:r>
      <w:proofErr w:type="spellStart"/>
      <w:r w:rsidRPr="008B035F">
        <w:rPr>
          <w:rFonts w:ascii="Calibri" w:hAnsi="Calibri" w:cs="Calibri"/>
        </w:rPr>
        <w:t>Lehnen</w:t>
      </w:r>
      <w:proofErr w:type="spellEnd"/>
      <w:r w:rsidRPr="008B035F">
        <w:rPr>
          <w:rFonts w:ascii="Calibri" w:hAnsi="Calibri" w:cs="Calibri"/>
        </w:rPr>
        <w:t xml:space="preserve"> RC: A general methodology for the analysis of experiments with repeated measurement of categorical data. </w:t>
      </w:r>
      <w:proofErr w:type="gramStart"/>
      <w:r w:rsidRPr="008B035F">
        <w:rPr>
          <w:rFonts w:ascii="Calibri" w:hAnsi="Calibri" w:cs="Calibri"/>
          <w:i/>
          <w:iCs/>
        </w:rPr>
        <w:t>Biometrics</w:t>
      </w:r>
      <w:r w:rsidRPr="008B035F">
        <w:rPr>
          <w:rFonts w:ascii="Calibri" w:hAnsi="Calibri" w:cs="Calibri"/>
        </w:rPr>
        <w:t xml:space="preserve"> 1977; 33:133–158.</w:t>
      </w:r>
      <w:proofErr w:type="gramEnd"/>
    </w:p>
    <w:p w14:paraId="6DFD98CB"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11. </w:t>
      </w:r>
      <w:proofErr w:type="gramStart"/>
      <w:r w:rsidRPr="008B035F">
        <w:rPr>
          <w:rFonts w:ascii="Calibri" w:hAnsi="Calibri" w:cs="Calibri"/>
        </w:rPr>
        <w:t>van</w:t>
      </w:r>
      <w:proofErr w:type="gramEnd"/>
      <w:r w:rsidRPr="008B035F">
        <w:rPr>
          <w:rFonts w:ascii="Calibri" w:hAnsi="Calibri" w:cs="Calibri"/>
        </w:rPr>
        <w:t xml:space="preserve"> der </w:t>
      </w:r>
      <w:proofErr w:type="spellStart"/>
      <w:r w:rsidRPr="008B035F">
        <w:rPr>
          <w:rFonts w:ascii="Calibri" w:hAnsi="Calibri" w:cs="Calibri"/>
        </w:rPr>
        <w:t>Woude</w:t>
      </w:r>
      <w:proofErr w:type="spellEnd"/>
      <w:r w:rsidRPr="008B035F">
        <w:rPr>
          <w:rFonts w:ascii="Calibri" w:hAnsi="Calibri" w:cs="Calibri"/>
        </w:rPr>
        <w:t xml:space="preserve"> HJ, </w:t>
      </w:r>
      <w:proofErr w:type="spellStart"/>
      <w:r w:rsidRPr="008B035F">
        <w:rPr>
          <w:rFonts w:ascii="Calibri" w:hAnsi="Calibri" w:cs="Calibri"/>
        </w:rPr>
        <w:t>Bloem</w:t>
      </w:r>
      <w:proofErr w:type="spellEnd"/>
      <w:r w:rsidRPr="008B035F">
        <w:rPr>
          <w:rFonts w:ascii="Calibri" w:hAnsi="Calibri" w:cs="Calibri"/>
        </w:rPr>
        <w:t xml:space="preserve"> JL, </w:t>
      </w:r>
      <w:proofErr w:type="spellStart"/>
      <w:r w:rsidRPr="008B035F">
        <w:rPr>
          <w:rFonts w:ascii="Calibri" w:hAnsi="Calibri" w:cs="Calibri"/>
        </w:rPr>
        <w:t>Schipper</w:t>
      </w:r>
      <w:proofErr w:type="spellEnd"/>
      <w:r w:rsidRPr="008B035F">
        <w:rPr>
          <w:rFonts w:ascii="Calibri" w:hAnsi="Calibri" w:cs="Calibri"/>
        </w:rPr>
        <w:t xml:space="preserve"> J, et al.: Changes in </w:t>
      </w:r>
      <w:proofErr w:type="spellStart"/>
      <w:r w:rsidRPr="008B035F">
        <w:rPr>
          <w:rFonts w:ascii="Calibri" w:hAnsi="Calibri" w:cs="Calibri"/>
        </w:rPr>
        <w:t>tumor</w:t>
      </w:r>
      <w:proofErr w:type="spellEnd"/>
      <w:r w:rsidRPr="008B035F">
        <w:rPr>
          <w:rFonts w:ascii="Calibri" w:hAnsi="Calibri" w:cs="Calibri"/>
        </w:rPr>
        <w:t xml:space="preserve"> perfusion induced by chemotherapy in bone sarcomas: </w:t>
      </w:r>
      <w:proofErr w:type="spellStart"/>
      <w:r w:rsidRPr="008B035F">
        <w:rPr>
          <w:rFonts w:ascii="Calibri" w:hAnsi="Calibri" w:cs="Calibri"/>
        </w:rPr>
        <w:t>color</w:t>
      </w:r>
      <w:proofErr w:type="spellEnd"/>
      <w:r w:rsidRPr="008B035F">
        <w:rPr>
          <w:rFonts w:ascii="Calibri" w:hAnsi="Calibri" w:cs="Calibri"/>
        </w:rPr>
        <w:t xml:space="preserve"> Doppler flow imaging compared with contrast-enhanced MR imaging and three-phase bone </w:t>
      </w:r>
      <w:proofErr w:type="spellStart"/>
      <w:r w:rsidRPr="008B035F">
        <w:rPr>
          <w:rFonts w:ascii="Calibri" w:hAnsi="Calibri" w:cs="Calibri"/>
        </w:rPr>
        <w:t>scintigraphy</w:t>
      </w:r>
      <w:proofErr w:type="spellEnd"/>
      <w:r w:rsidRPr="008B035F">
        <w:rPr>
          <w:rFonts w:ascii="Calibri" w:hAnsi="Calibri" w:cs="Calibri"/>
        </w:rPr>
        <w:t xml:space="preserve">. </w:t>
      </w:r>
      <w:proofErr w:type="gramStart"/>
      <w:r w:rsidRPr="008B035F">
        <w:rPr>
          <w:rFonts w:ascii="Calibri" w:hAnsi="Calibri" w:cs="Calibri"/>
          <w:i/>
          <w:iCs/>
        </w:rPr>
        <w:t>Radiology</w:t>
      </w:r>
      <w:r w:rsidRPr="008B035F">
        <w:rPr>
          <w:rFonts w:ascii="Calibri" w:hAnsi="Calibri" w:cs="Calibri"/>
        </w:rPr>
        <w:t xml:space="preserve"> 1994; 191:421–431.</w:t>
      </w:r>
      <w:proofErr w:type="gramEnd"/>
    </w:p>
    <w:p w14:paraId="34DB884D"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12. </w:t>
      </w:r>
      <w:proofErr w:type="gramStart"/>
      <w:r w:rsidRPr="008B035F">
        <w:rPr>
          <w:rFonts w:ascii="Calibri" w:hAnsi="Calibri" w:cs="Calibri"/>
        </w:rPr>
        <w:t>van</w:t>
      </w:r>
      <w:proofErr w:type="gramEnd"/>
      <w:r w:rsidRPr="008B035F">
        <w:rPr>
          <w:rFonts w:ascii="Calibri" w:hAnsi="Calibri" w:cs="Calibri"/>
        </w:rPr>
        <w:t xml:space="preserve"> der </w:t>
      </w:r>
      <w:proofErr w:type="spellStart"/>
      <w:r w:rsidRPr="008B035F">
        <w:rPr>
          <w:rFonts w:ascii="Calibri" w:hAnsi="Calibri" w:cs="Calibri"/>
        </w:rPr>
        <w:t>Woude</w:t>
      </w:r>
      <w:proofErr w:type="spellEnd"/>
      <w:r w:rsidRPr="008B035F">
        <w:rPr>
          <w:rFonts w:ascii="Calibri" w:hAnsi="Calibri" w:cs="Calibri"/>
        </w:rPr>
        <w:t xml:space="preserve"> HJ, </w:t>
      </w:r>
      <w:proofErr w:type="spellStart"/>
      <w:r w:rsidRPr="008B035F">
        <w:rPr>
          <w:rFonts w:ascii="Calibri" w:hAnsi="Calibri" w:cs="Calibri"/>
        </w:rPr>
        <w:t>Bloem</w:t>
      </w:r>
      <w:proofErr w:type="spellEnd"/>
      <w:r w:rsidRPr="008B035F">
        <w:rPr>
          <w:rFonts w:ascii="Calibri" w:hAnsi="Calibri" w:cs="Calibri"/>
        </w:rPr>
        <w:t xml:space="preserve"> JL, </w:t>
      </w:r>
      <w:proofErr w:type="spellStart"/>
      <w:r w:rsidRPr="008B035F">
        <w:rPr>
          <w:rFonts w:ascii="Calibri" w:hAnsi="Calibri" w:cs="Calibri"/>
        </w:rPr>
        <w:t>Verstraete</w:t>
      </w:r>
      <w:proofErr w:type="spellEnd"/>
      <w:r w:rsidRPr="008B035F">
        <w:rPr>
          <w:rFonts w:ascii="Calibri" w:hAnsi="Calibri" w:cs="Calibri"/>
        </w:rPr>
        <w:t xml:space="preserve"> KL, </w:t>
      </w:r>
      <w:proofErr w:type="spellStart"/>
      <w:r w:rsidRPr="008B035F">
        <w:rPr>
          <w:rFonts w:ascii="Calibri" w:hAnsi="Calibri" w:cs="Calibri"/>
        </w:rPr>
        <w:t>Taminiau</w:t>
      </w:r>
      <w:proofErr w:type="spellEnd"/>
      <w:r w:rsidRPr="008B035F">
        <w:rPr>
          <w:rFonts w:ascii="Calibri" w:hAnsi="Calibri" w:cs="Calibri"/>
        </w:rPr>
        <w:t xml:space="preserve"> AH, </w:t>
      </w:r>
      <w:proofErr w:type="spellStart"/>
      <w:r w:rsidRPr="008B035F">
        <w:rPr>
          <w:rFonts w:ascii="Calibri" w:hAnsi="Calibri" w:cs="Calibri"/>
        </w:rPr>
        <w:t>Nooy</w:t>
      </w:r>
      <w:proofErr w:type="spellEnd"/>
      <w:r w:rsidRPr="008B035F">
        <w:rPr>
          <w:rFonts w:ascii="Calibri" w:hAnsi="Calibri" w:cs="Calibri"/>
        </w:rPr>
        <w:t xml:space="preserve"> MA, </w:t>
      </w:r>
      <w:proofErr w:type="spellStart"/>
      <w:r w:rsidRPr="008B035F">
        <w:rPr>
          <w:rFonts w:ascii="Calibri" w:hAnsi="Calibri" w:cs="Calibri"/>
        </w:rPr>
        <w:t>Hogendoorn</w:t>
      </w:r>
      <w:proofErr w:type="spellEnd"/>
      <w:r w:rsidRPr="008B035F">
        <w:rPr>
          <w:rFonts w:ascii="Calibri" w:hAnsi="Calibri" w:cs="Calibri"/>
        </w:rPr>
        <w:t xml:space="preserve"> PC: Osteosarcoma and Ewing’s sarcoma after </w:t>
      </w:r>
      <w:proofErr w:type="spellStart"/>
      <w:r w:rsidRPr="008B035F">
        <w:rPr>
          <w:rFonts w:ascii="Calibri" w:hAnsi="Calibri" w:cs="Calibri"/>
        </w:rPr>
        <w:t>neoadjuvant</w:t>
      </w:r>
      <w:proofErr w:type="spellEnd"/>
      <w:r w:rsidRPr="008B035F">
        <w:rPr>
          <w:rFonts w:ascii="Calibri" w:hAnsi="Calibri" w:cs="Calibri"/>
        </w:rPr>
        <w:t xml:space="preserve"> chemotherapy: value of dynamic MR imaging in detecting viable </w:t>
      </w:r>
      <w:proofErr w:type="spellStart"/>
      <w:r w:rsidRPr="008B035F">
        <w:rPr>
          <w:rFonts w:ascii="Calibri" w:hAnsi="Calibri" w:cs="Calibri"/>
        </w:rPr>
        <w:t>tumor</w:t>
      </w:r>
      <w:proofErr w:type="spellEnd"/>
      <w:r w:rsidRPr="008B035F">
        <w:rPr>
          <w:rFonts w:ascii="Calibri" w:hAnsi="Calibri" w:cs="Calibri"/>
        </w:rPr>
        <w:t xml:space="preserve"> before surgery. </w:t>
      </w:r>
      <w:r w:rsidRPr="008B035F">
        <w:rPr>
          <w:rFonts w:ascii="Calibri" w:hAnsi="Calibri" w:cs="Calibri"/>
          <w:i/>
          <w:iCs/>
        </w:rPr>
        <w:t xml:space="preserve">AJR Am J </w:t>
      </w:r>
      <w:proofErr w:type="spellStart"/>
      <w:r w:rsidRPr="008B035F">
        <w:rPr>
          <w:rFonts w:ascii="Calibri" w:hAnsi="Calibri" w:cs="Calibri"/>
          <w:i/>
          <w:iCs/>
        </w:rPr>
        <w:t>Roentgenol</w:t>
      </w:r>
      <w:proofErr w:type="spellEnd"/>
      <w:r w:rsidRPr="008B035F">
        <w:rPr>
          <w:rFonts w:ascii="Calibri" w:hAnsi="Calibri" w:cs="Calibri"/>
        </w:rPr>
        <w:t xml:space="preserve"> 1995</w:t>
      </w:r>
      <w:proofErr w:type="gramStart"/>
      <w:r w:rsidRPr="008B035F">
        <w:rPr>
          <w:rFonts w:ascii="Calibri" w:hAnsi="Calibri" w:cs="Calibri"/>
        </w:rPr>
        <w:t>;</w:t>
      </w:r>
      <w:proofErr w:type="gramEnd"/>
      <w:r w:rsidRPr="008B035F">
        <w:rPr>
          <w:rFonts w:ascii="Calibri" w:hAnsi="Calibri" w:cs="Calibri"/>
        </w:rPr>
        <w:t xml:space="preserve"> 165:593–598.</w:t>
      </w:r>
    </w:p>
    <w:p w14:paraId="6508C2AB"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13. </w:t>
      </w:r>
      <w:proofErr w:type="spellStart"/>
      <w:r w:rsidRPr="008B035F">
        <w:rPr>
          <w:rFonts w:ascii="Calibri" w:hAnsi="Calibri" w:cs="Calibri"/>
        </w:rPr>
        <w:t>Bedoya</w:t>
      </w:r>
      <w:proofErr w:type="spellEnd"/>
      <w:r w:rsidRPr="008B035F">
        <w:rPr>
          <w:rFonts w:ascii="Calibri" w:hAnsi="Calibri" w:cs="Calibri"/>
        </w:rPr>
        <w:t xml:space="preserve"> MA, </w:t>
      </w:r>
      <w:proofErr w:type="spellStart"/>
      <w:r w:rsidRPr="008B035F">
        <w:rPr>
          <w:rFonts w:ascii="Calibri" w:hAnsi="Calibri" w:cs="Calibri"/>
        </w:rPr>
        <w:t>Jaimes</w:t>
      </w:r>
      <w:proofErr w:type="spellEnd"/>
      <w:r w:rsidRPr="008B035F">
        <w:rPr>
          <w:rFonts w:ascii="Calibri" w:hAnsi="Calibri" w:cs="Calibri"/>
        </w:rPr>
        <w:t xml:space="preserve"> C, </w:t>
      </w:r>
      <w:proofErr w:type="spellStart"/>
      <w:r w:rsidRPr="008B035F">
        <w:rPr>
          <w:rFonts w:ascii="Calibri" w:hAnsi="Calibri" w:cs="Calibri"/>
        </w:rPr>
        <w:t>Khrichenko</w:t>
      </w:r>
      <w:proofErr w:type="spellEnd"/>
      <w:r w:rsidRPr="008B035F">
        <w:rPr>
          <w:rFonts w:ascii="Calibri" w:hAnsi="Calibri" w:cs="Calibri"/>
        </w:rPr>
        <w:t xml:space="preserve"> D, Delgado J, </w:t>
      </w:r>
      <w:proofErr w:type="spellStart"/>
      <w:r w:rsidRPr="008B035F">
        <w:rPr>
          <w:rFonts w:ascii="Calibri" w:hAnsi="Calibri" w:cs="Calibri"/>
        </w:rPr>
        <w:t>Dardzinski</w:t>
      </w:r>
      <w:proofErr w:type="spellEnd"/>
      <w:r w:rsidRPr="008B035F">
        <w:rPr>
          <w:rFonts w:ascii="Calibri" w:hAnsi="Calibri" w:cs="Calibri"/>
        </w:rPr>
        <w:t xml:space="preserve"> BJ, Jaramillo D: Dynamic gadolinium-enhanced MRI of the proximal femur: preliminary experience in healthy children. </w:t>
      </w:r>
      <w:proofErr w:type="gramStart"/>
      <w:r w:rsidRPr="008B035F">
        <w:rPr>
          <w:rFonts w:ascii="Calibri" w:hAnsi="Calibri" w:cs="Calibri"/>
          <w:i/>
          <w:iCs/>
        </w:rPr>
        <w:t xml:space="preserve">AJR Am J </w:t>
      </w:r>
      <w:proofErr w:type="spellStart"/>
      <w:r w:rsidRPr="008B035F">
        <w:rPr>
          <w:rFonts w:ascii="Calibri" w:hAnsi="Calibri" w:cs="Calibri"/>
          <w:i/>
          <w:iCs/>
        </w:rPr>
        <w:t>Roentgenol</w:t>
      </w:r>
      <w:proofErr w:type="spellEnd"/>
      <w:r w:rsidRPr="008B035F">
        <w:rPr>
          <w:rFonts w:ascii="Calibri" w:hAnsi="Calibri" w:cs="Calibri"/>
        </w:rPr>
        <w:t xml:space="preserve"> 2014; 203:W440–446.</w:t>
      </w:r>
      <w:proofErr w:type="gramEnd"/>
    </w:p>
    <w:p w14:paraId="1C210C04"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14. </w:t>
      </w:r>
      <w:proofErr w:type="spellStart"/>
      <w:r w:rsidRPr="008B035F">
        <w:rPr>
          <w:rFonts w:ascii="Calibri" w:hAnsi="Calibri" w:cs="Calibri"/>
        </w:rPr>
        <w:t>Budzik</w:t>
      </w:r>
      <w:proofErr w:type="spellEnd"/>
      <w:r w:rsidRPr="008B035F">
        <w:rPr>
          <w:rFonts w:ascii="Calibri" w:hAnsi="Calibri" w:cs="Calibri"/>
        </w:rPr>
        <w:t xml:space="preserve"> J-F, Lefebvre G, </w:t>
      </w:r>
      <w:proofErr w:type="spellStart"/>
      <w:r w:rsidRPr="008B035F">
        <w:rPr>
          <w:rFonts w:ascii="Calibri" w:hAnsi="Calibri" w:cs="Calibri"/>
        </w:rPr>
        <w:t>Forzy</w:t>
      </w:r>
      <w:proofErr w:type="spellEnd"/>
      <w:r w:rsidRPr="008B035F">
        <w:rPr>
          <w:rFonts w:ascii="Calibri" w:hAnsi="Calibri" w:cs="Calibri"/>
        </w:rPr>
        <w:t xml:space="preserve"> G, </w:t>
      </w:r>
      <w:proofErr w:type="spellStart"/>
      <w:r w:rsidRPr="008B035F">
        <w:rPr>
          <w:rFonts w:ascii="Calibri" w:hAnsi="Calibri" w:cs="Calibri"/>
        </w:rPr>
        <w:t>Rafei</w:t>
      </w:r>
      <w:proofErr w:type="spellEnd"/>
      <w:r w:rsidRPr="008B035F">
        <w:rPr>
          <w:rFonts w:ascii="Calibri" w:hAnsi="Calibri" w:cs="Calibri"/>
        </w:rPr>
        <w:t xml:space="preserve"> M El, </w:t>
      </w:r>
      <w:proofErr w:type="spellStart"/>
      <w:r w:rsidRPr="008B035F">
        <w:rPr>
          <w:rFonts w:ascii="Calibri" w:hAnsi="Calibri" w:cs="Calibri"/>
        </w:rPr>
        <w:t>Chechin</w:t>
      </w:r>
      <w:proofErr w:type="spellEnd"/>
      <w:r w:rsidRPr="008B035F">
        <w:rPr>
          <w:rFonts w:ascii="Calibri" w:hAnsi="Calibri" w:cs="Calibri"/>
        </w:rPr>
        <w:t xml:space="preserve"> D, </w:t>
      </w:r>
      <w:proofErr w:type="spellStart"/>
      <w:r w:rsidRPr="008B035F">
        <w:rPr>
          <w:rFonts w:ascii="Calibri" w:hAnsi="Calibri" w:cs="Calibri"/>
        </w:rPr>
        <w:t>Cotten</w:t>
      </w:r>
      <w:proofErr w:type="spellEnd"/>
      <w:r w:rsidRPr="008B035F">
        <w:rPr>
          <w:rFonts w:ascii="Calibri" w:hAnsi="Calibri" w:cs="Calibri"/>
        </w:rPr>
        <w:t xml:space="preserve"> A: Study of proximal femoral bone perfusion with 3D T1 dynamic contrast-enhanced MRI: a feasibility study. </w:t>
      </w:r>
      <w:proofErr w:type="spellStart"/>
      <w:proofErr w:type="gramStart"/>
      <w:r w:rsidRPr="008B035F">
        <w:rPr>
          <w:rFonts w:ascii="Calibri" w:hAnsi="Calibri" w:cs="Calibri"/>
          <w:i/>
          <w:iCs/>
        </w:rPr>
        <w:t>Eur</w:t>
      </w:r>
      <w:proofErr w:type="spellEnd"/>
      <w:r w:rsidRPr="008B035F">
        <w:rPr>
          <w:rFonts w:ascii="Calibri" w:hAnsi="Calibri" w:cs="Calibri"/>
          <w:i/>
          <w:iCs/>
        </w:rPr>
        <w:t xml:space="preserve"> </w:t>
      </w:r>
      <w:proofErr w:type="spellStart"/>
      <w:r w:rsidRPr="008B035F">
        <w:rPr>
          <w:rFonts w:ascii="Calibri" w:hAnsi="Calibri" w:cs="Calibri"/>
          <w:i/>
          <w:iCs/>
        </w:rPr>
        <w:t>Radiol</w:t>
      </w:r>
      <w:proofErr w:type="spellEnd"/>
      <w:r w:rsidRPr="008B035F">
        <w:rPr>
          <w:rFonts w:ascii="Calibri" w:hAnsi="Calibri" w:cs="Calibri"/>
        </w:rPr>
        <w:t xml:space="preserve"> 2014; 24:3217–3223.</w:t>
      </w:r>
      <w:proofErr w:type="gramEnd"/>
    </w:p>
    <w:p w14:paraId="3AD6AC87"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15. </w:t>
      </w:r>
      <w:proofErr w:type="spellStart"/>
      <w:r w:rsidRPr="008B035F">
        <w:rPr>
          <w:rFonts w:ascii="Calibri" w:hAnsi="Calibri" w:cs="Calibri"/>
        </w:rPr>
        <w:t>Solgaard</w:t>
      </w:r>
      <w:proofErr w:type="spellEnd"/>
      <w:r w:rsidRPr="008B035F">
        <w:rPr>
          <w:rFonts w:ascii="Calibri" w:hAnsi="Calibri" w:cs="Calibri"/>
        </w:rPr>
        <w:t xml:space="preserve"> S: Early displacement of distal radius fracture. </w:t>
      </w:r>
      <w:proofErr w:type="spellStart"/>
      <w:r w:rsidRPr="008B035F">
        <w:rPr>
          <w:rFonts w:ascii="Calibri" w:hAnsi="Calibri" w:cs="Calibri"/>
          <w:i/>
          <w:iCs/>
        </w:rPr>
        <w:t>Acta</w:t>
      </w:r>
      <w:proofErr w:type="spellEnd"/>
      <w:r w:rsidRPr="008B035F">
        <w:rPr>
          <w:rFonts w:ascii="Calibri" w:hAnsi="Calibri" w:cs="Calibri"/>
          <w:i/>
          <w:iCs/>
        </w:rPr>
        <w:t xml:space="preserve"> </w:t>
      </w:r>
      <w:proofErr w:type="spellStart"/>
      <w:r w:rsidRPr="008B035F">
        <w:rPr>
          <w:rFonts w:ascii="Calibri" w:hAnsi="Calibri" w:cs="Calibri"/>
          <w:i/>
          <w:iCs/>
        </w:rPr>
        <w:t>Orthop</w:t>
      </w:r>
      <w:proofErr w:type="spellEnd"/>
      <w:r w:rsidRPr="008B035F">
        <w:rPr>
          <w:rFonts w:ascii="Calibri" w:hAnsi="Calibri" w:cs="Calibri"/>
          <w:i/>
          <w:iCs/>
        </w:rPr>
        <w:t xml:space="preserve"> </w:t>
      </w:r>
      <w:proofErr w:type="spellStart"/>
      <w:r w:rsidRPr="008B035F">
        <w:rPr>
          <w:rFonts w:ascii="Calibri" w:hAnsi="Calibri" w:cs="Calibri"/>
          <w:i/>
          <w:iCs/>
        </w:rPr>
        <w:t>Scand</w:t>
      </w:r>
      <w:proofErr w:type="spellEnd"/>
      <w:r w:rsidRPr="008B035F">
        <w:rPr>
          <w:rFonts w:ascii="Calibri" w:hAnsi="Calibri" w:cs="Calibri"/>
        </w:rPr>
        <w:t xml:space="preserve"> 1986; 57:229–231.</w:t>
      </w:r>
    </w:p>
    <w:p w14:paraId="58A57DED" w14:textId="77777777" w:rsidR="005D263D" w:rsidRPr="008B035F" w:rsidRDefault="005D263D" w:rsidP="008B035F">
      <w:pPr>
        <w:pStyle w:val="Bibliography"/>
        <w:spacing w:after="0" w:line="480" w:lineRule="auto"/>
        <w:rPr>
          <w:rFonts w:ascii="Calibri" w:hAnsi="Calibri" w:cs="Calibri"/>
        </w:rPr>
      </w:pPr>
      <w:r w:rsidRPr="008B035F">
        <w:rPr>
          <w:rFonts w:ascii="Calibri" w:hAnsi="Calibri" w:cs="Calibri"/>
        </w:rPr>
        <w:t xml:space="preserve">16. </w:t>
      </w:r>
      <w:proofErr w:type="spellStart"/>
      <w:r w:rsidRPr="008B035F">
        <w:rPr>
          <w:rFonts w:ascii="Calibri" w:hAnsi="Calibri" w:cs="Calibri"/>
        </w:rPr>
        <w:t>Rastogi</w:t>
      </w:r>
      <w:proofErr w:type="spellEnd"/>
      <w:r w:rsidRPr="008B035F">
        <w:rPr>
          <w:rFonts w:ascii="Calibri" w:hAnsi="Calibri" w:cs="Calibri"/>
        </w:rPr>
        <w:t xml:space="preserve"> A, </w:t>
      </w:r>
      <w:proofErr w:type="spellStart"/>
      <w:r w:rsidRPr="008B035F">
        <w:rPr>
          <w:rFonts w:ascii="Calibri" w:hAnsi="Calibri" w:cs="Calibri"/>
        </w:rPr>
        <w:t>Kubassova</w:t>
      </w:r>
      <w:proofErr w:type="spellEnd"/>
      <w:r w:rsidRPr="008B035F">
        <w:rPr>
          <w:rFonts w:ascii="Calibri" w:hAnsi="Calibri" w:cs="Calibri"/>
        </w:rPr>
        <w:t xml:space="preserve"> O, </w:t>
      </w:r>
      <w:proofErr w:type="spellStart"/>
      <w:r w:rsidRPr="008B035F">
        <w:rPr>
          <w:rFonts w:ascii="Calibri" w:hAnsi="Calibri" w:cs="Calibri"/>
        </w:rPr>
        <w:t>Krasnosselskaia</w:t>
      </w:r>
      <w:proofErr w:type="spellEnd"/>
      <w:r w:rsidRPr="008B035F">
        <w:rPr>
          <w:rFonts w:ascii="Calibri" w:hAnsi="Calibri" w:cs="Calibri"/>
        </w:rPr>
        <w:t xml:space="preserve"> LV, et al.: Evaluating automated dynamic contrast enhanced wrist 3T MRI in healthy volunteers: one-year longitudinal observational study. </w:t>
      </w:r>
      <w:proofErr w:type="spellStart"/>
      <w:proofErr w:type="gramStart"/>
      <w:r w:rsidRPr="008B035F">
        <w:rPr>
          <w:rFonts w:ascii="Calibri" w:hAnsi="Calibri" w:cs="Calibri"/>
          <w:i/>
          <w:iCs/>
        </w:rPr>
        <w:t>Eur</w:t>
      </w:r>
      <w:proofErr w:type="spellEnd"/>
      <w:r w:rsidRPr="008B035F">
        <w:rPr>
          <w:rFonts w:ascii="Calibri" w:hAnsi="Calibri" w:cs="Calibri"/>
          <w:i/>
          <w:iCs/>
        </w:rPr>
        <w:t xml:space="preserve"> J </w:t>
      </w:r>
      <w:proofErr w:type="spellStart"/>
      <w:r w:rsidRPr="008B035F">
        <w:rPr>
          <w:rFonts w:ascii="Calibri" w:hAnsi="Calibri" w:cs="Calibri"/>
          <w:i/>
          <w:iCs/>
        </w:rPr>
        <w:t>Radiol</w:t>
      </w:r>
      <w:proofErr w:type="spellEnd"/>
      <w:r w:rsidRPr="008B035F">
        <w:rPr>
          <w:rFonts w:ascii="Calibri" w:hAnsi="Calibri" w:cs="Calibri"/>
        </w:rPr>
        <w:t xml:space="preserve"> 2013; 82:1286–1291.</w:t>
      </w:r>
      <w:proofErr w:type="gramEnd"/>
    </w:p>
    <w:p w14:paraId="55B31DD6" w14:textId="512E0883" w:rsidR="00521364" w:rsidRPr="005837C0" w:rsidRDefault="006E5292" w:rsidP="008B035F">
      <w:pPr>
        <w:pStyle w:val="Bibliography"/>
        <w:spacing w:after="0" w:line="480" w:lineRule="auto"/>
        <w:rPr>
          <w:rFonts w:cs="Arial"/>
        </w:rPr>
      </w:pPr>
      <w:r w:rsidRPr="005837C0">
        <w:rPr>
          <w:rFonts w:cs="Arial"/>
        </w:rPr>
        <w:fldChar w:fldCharType="end"/>
      </w:r>
    </w:p>
    <w:p w14:paraId="538C703C" w14:textId="19573F2F" w:rsidR="00BA1B64" w:rsidRPr="00AF7EB9" w:rsidRDefault="00BA1B64" w:rsidP="005D263D">
      <w:pPr>
        <w:pStyle w:val="Heading1"/>
        <w:spacing w:after="0"/>
      </w:pPr>
      <w:r>
        <w:t>Tables</w:t>
      </w:r>
    </w:p>
    <w:p w14:paraId="4DBA914D" w14:textId="77777777" w:rsidR="00BA1B64" w:rsidRPr="0066528E" w:rsidRDefault="0066528E" w:rsidP="0066528E">
      <w:pPr>
        <w:pStyle w:val="Heading2"/>
      </w:pPr>
      <w:r>
        <w:t>Table 1</w:t>
      </w:r>
    </w:p>
    <w:tbl>
      <w:tblPr>
        <w:tblStyle w:val="LightShading"/>
        <w:tblW w:w="0" w:type="auto"/>
        <w:tblInd w:w="828" w:type="dxa"/>
        <w:tblLook w:val="04A0" w:firstRow="1" w:lastRow="0" w:firstColumn="1" w:lastColumn="0" w:noHBand="0" w:noVBand="1"/>
      </w:tblPr>
      <w:tblGrid>
        <w:gridCol w:w="5409"/>
      </w:tblGrid>
      <w:tr w:rsidR="003F5073" w:rsidRPr="005837C0" w14:paraId="0684BEC1" w14:textId="77777777" w:rsidTr="0066528E">
        <w:trPr>
          <w:cnfStyle w:val="100000000000" w:firstRow="1" w:lastRow="0" w:firstColumn="0" w:lastColumn="0" w:oddVBand="0" w:evenVBand="0" w:oddHBand="0"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5409" w:type="dxa"/>
            <w:shd w:val="clear" w:color="auto" w:fill="auto"/>
            <w:vAlign w:val="center"/>
          </w:tcPr>
          <w:p w14:paraId="09651935" w14:textId="77777777" w:rsidR="003F5073" w:rsidRPr="005837C0" w:rsidRDefault="00BA1B64" w:rsidP="00AF7EB9">
            <w:pPr>
              <w:pStyle w:val="ListParagraph"/>
            </w:pPr>
            <w:r>
              <w:t>Exclusion criteria</w:t>
            </w:r>
          </w:p>
        </w:tc>
      </w:tr>
      <w:tr w:rsidR="003F5073" w:rsidRPr="005837C0" w14:paraId="071C2660" w14:textId="77777777" w:rsidTr="0066528E">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5409" w:type="dxa"/>
            <w:shd w:val="clear" w:color="auto" w:fill="auto"/>
            <w:vAlign w:val="center"/>
          </w:tcPr>
          <w:p w14:paraId="2D96A3F1" w14:textId="77777777" w:rsidR="003F5073" w:rsidRPr="00BA1B64" w:rsidRDefault="003F5073" w:rsidP="00AF7EB9">
            <w:pPr>
              <w:pStyle w:val="ListParagraph"/>
              <w:rPr>
                <w:b w:val="0"/>
              </w:rPr>
            </w:pPr>
            <w:r w:rsidRPr="00BA1B64">
              <w:rPr>
                <w:b w:val="0"/>
              </w:rPr>
              <w:t>Diabetes Mellitus</w:t>
            </w:r>
          </w:p>
        </w:tc>
      </w:tr>
      <w:tr w:rsidR="003F5073" w:rsidRPr="005837C0" w14:paraId="32628B17" w14:textId="77777777" w:rsidTr="0066528E">
        <w:trPr>
          <w:trHeight w:val="434"/>
        </w:trPr>
        <w:tc>
          <w:tcPr>
            <w:cnfStyle w:val="001000000000" w:firstRow="0" w:lastRow="0" w:firstColumn="1" w:lastColumn="0" w:oddVBand="0" w:evenVBand="0" w:oddHBand="0" w:evenHBand="0" w:firstRowFirstColumn="0" w:firstRowLastColumn="0" w:lastRowFirstColumn="0" w:lastRowLastColumn="0"/>
            <w:tcW w:w="5409" w:type="dxa"/>
            <w:shd w:val="clear" w:color="auto" w:fill="auto"/>
            <w:vAlign w:val="center"/>
          </w:tcPr>
          <w:p w14:paraId="5DF8F1D6" w14:textId="77777777" w:rsidR="003F5073" w:rsidRPr="00BA1B64" w:rsidRDefault="003F5073" w:rsidP="00AF7EB9">
            <w:pPr>
              <w:pStyle w:val="ListParagraph"/>
              <w:rPr>
                <w:b w:val="0"/>
              </w:rPr>
            </w:pPr>
            <w:r w:rsidRPr="00BA1B64">
              <w:rPr>
                <w:b w:val="0"/>
              </w:rPr>
              <w:t>Peripheral vascular disease</w:t>
            </w:r>
          </w:p>
        </w:tc>
      </w:tr>
      <w:tr w:rsidR="003F5073" w:rsidRPr="005837C0" w14:paraId="5E4665DB" w14:textId="77777777" w:rsidTr="0066528E">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5409" w:type="dxa"/>
            <w:shd w:val="clear" w:color="auto" w:fill="auto"/>
            <w:vAlign w:val="center"/>
          </w:tcPr>
          <w:p w14:paraId="097EBDDC" w14:textId="77777777" w:rsidR="003F5073" w:rsidRPr="00BA1B64" w:rsidRDefault="003F5073" w:rsidP="00AF7EB9">
            <w:pPr>
              <w:pStyle w:val="ListParagraph"/>
              <w:rPr>
                <w:b w:val="0"/>
              </w:rPr>
            </w:pPr>
            <w:r w:rsidRPr="00BA1B64">
              <w:rPr>
                <w:b w:val="0"/>
              </w:rPr>
              <w:t>Heart or renal failure</w:t>
            </w:r>
          </w:p>
        </w:tc>
      </w:tr>
      <w:tr w:rsidR="003F5073" w:rsidRPr="005837C0" w14:paraId="1B8C7F7D" w14:textId="77777777" w:rsidTr="0066528E">
        <w:trPr>
          <w:trHeight w:val="424"/>
        </w:trPr>
        <w:tc>
          <w:tcPr>
            <w:cnfStyle w:val="001000000000" w:firstRow="0" w:lastRow="0" w:firstColumn="1" w:lastColumn="0" w:oddVBand="0" w:evenVBand="0" w:oddHBand="0" w:evenHBand="0" w:firstRowFirstColumn="0" w:firstRowLastColumn="0" w:lastRowFirstColumn="0" w:lastRowLastColumn="0"/>
            <w:tcW w:w="5409" w:type="dxa"/>
            <w:shd w:val="clear" w:color="auto" w:fill="auto"/>
            <w:vAlign w:val="center"/>
          </w:tcPr>
          <w:p w14:paraId="4DBE6098" w14:textId="77777777" w:rsidR="003F5073" w:rsidRPr="00BA1B64" w:rsidRDefault="003F5073" w:rsidP="00AF7EB9">
            <w:pPr>
              <w:pStyle w:val="ListParagraph"/>
              <w:rPr>
                <w:b w:val="0"/>
              </w:rPr>
            </w:pPr>
            <w:r w:rsidRPr="00BA1B64">
              <w:rPr>
                <w:b w:val="0"/>
              </w:rPr>
              <w:t>Metabolic syndrome.</w:t>
            </w:r>
          </w:p>
        </w:tc>
      </w:tr>
      <w:tr w:rsidR="003F5073" w:rsidRPr="005837C0" w14:paraId="3BD844F3" w14:textId="77777777" w:rsidTr="0066528E">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5409" w:type="dxa"/>
            <w:shd w:val="clear" w:color="auto" w:fill="auto"/>
            <w:vAlign w:val="center"/>
          </w:tcPr>
          <w:p w14:paraId="780390D5" w14:textId="77777777" w:rsidR="003F5073" w:rsidRPr="00BA1B64" w:rsidRDefault="003F5073" w:rsidP="00AF7EB9">
            <w:pPr>
              <w:pStyle w:val="ListParagraph"/>
              <w:rPr>
                <w:b w:val="0"/>
              </w:rPr>
            </w:pPr>
            <w:proofErr w:type="spellStart"/>
            <w:r w:rsidRPr="00BA1B64">
              <w:rPr>
                <w:b w:val="0"/>
              </w:rPr>
              <w:t>Vasculitis</w:t>
            </w:r>
            <w:proofErr w:type="spellEnd"/>
          </w:p>
        </w:tc>
      </w:tr>
      <w:tr w:rsidR="003F5073" w:rsidRPr="005837C0" w14:paraId="2C250A32" w14:textId="77777777" w:rsidTr="0066528E">
        <w:trPr>
          <w:trHeight w:val="434"/>
        </w:trPr>
        <w:tc>
          <w:tcPr>
            <w:cnfStyle w:val="001000000000" w:firstRow="0" w:lastRow="0" w:firstColumn="1" w:lastColumn="0" w:oddVBand="0" w:evenVBand="0" w:oddHBand="0" w:evenHBand="0" w:firstRowFirstColumn="0" w:firstRowLastColumn="0" w:lastRowFirstColumn="0" w:lastRowLastColumn="0"/>
            <w:tcW w:w="5409" w:type="dxa"/>
            <w:shd w:val="clear" w:color="auto" w:fill="auto"/>
            <w:vAlign w:val="center"/>
          </w:tcPr>
          <w:p w14:paraId="72D9E4A2" w14:textId="77777777" w:rsidR="003F5073" w:rsidRPr="00BA1B64" w:rsidRDefault="003F5073" w:rsidP="00AF7EB9">
            <w:pPr>
              <w:pStyle w:val="ListParagraph"/>
              <w:rPr>
                <w:b w:val="0"/>
              </w:rPr>
            </w:pPr>
            <w:r w:rsidRPr="00BA1B64">
              <w:rPr>
                <w:b w:val="0"/>
              </w:rPr>
              <w:t>Inflammatory arthritis</w:t>
            </w:r>
          </w:p>
        </w:tc>
      </w:tr>
      <w:tr w:rsidR="003F5073" w:rsidRPr="005837C0" w14:paraId="6D84CF35" w14:textId="77777777" w:rsidTr="0066528E">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5409" w:type="dxa"/>
            <w:shd w:val="clear" w:color="auto" w:fill="auto"/>
            <w:vAlign w:val="center"/>
          </w:tcPr>
          <w:p w14:paraId="2404F702" w14:textId="77777777" w:rsidR="003F5073" w:rsidRPr="00BA1B64" w:rsidRDefault="003F5073" w:rsidP="00AF7EB9">
            <w:pPr>
              <w:pStyle w:val="ListParagraph"/>
              <w:rPr>
                <w:b w:val="0"/>
              </w:rPr>
            </w:pPr>
            <w:r w:rsidRPr="00BA1B64">
              <w:rPr>
                <w:b w:val="0"/>
              </w:rPr>
              <w:t>Long-term steroid users</w:t>
            </w:r>
          </w:p>
        </w:tc>
      </w:tr>
      <w:tr w:rsidR="003F5073" w:rsidRPr="005837C0" w14:paraId="047D5D97" w14:textId="77777777" w:rsidTr="0066528E">
        <w:trPr>
          <w:trHeight w:val="424"/>
        </w:trPr>
        <w:tc>
          <w:tcPr>
            <w:cnfStyle w:val="001000000000" w:firstRow="0" w:lastRow="0" w:firstColumn="1" w:lastColumn="0" w:oddVBand="0" w:evenVBand="0" w:oddHBand="0" w:evenHBand="0" w:firstRowFirstColumn="0" w:firstRowLastColumn="0" w:lastRowFirstColumn="0" w:lastRowLastColumn="0"/>
            <w:tcW w:w="5409" w:type="dxa"/>
            <w:shd w:val="clear" w:color="auto" w:fill="auto"/>
            <w:vAlign w:val="center"/>
          </w:tcPr>
          <w:p w14:paraId="1B0E0909" w14:textId="77777777" w:rsidR="003F5073" w:rsidRPr="00BA1B64" w:rsidRDefault="003F5073" w:rsidP="00AF7EB9">
            <w:pPr>
              <w:pStyle w:val="ListParagraph"/>
              <w:rPr>
                <w:b w:val="0"/>
              </w:rPr>
            </w:pPr>
            <w:r w:rsidRPr="00BA1B64">
              <w:rPr>
                <w:b w:val="0"/>
              </w:rPr>
              <w:t>Smokers</w:t>
            </w:r>
          </w:p>
        </w:tc>
      </w:tr>
      <w:tr w:rsidR="003F5073" w:rsidRPr="005837C0" w14:paraId="298A1991" w14:textId="77777777" w:rsidTr="0066528E">
        <w:trPr>
          <w:cnfStyle w:val="000000100000" w:firstRow="0" w:lastRow="0" w:firstColumn="0" w:lastColumn="0" w:oddVBand="0" w:evenVBand="0" w:oddHBand="1" w:evenHBand="0" w:firstRowFirstColumn="0" w:firstRowLastColumn="0" w:lastRowFirstColumn="0" w:lastRowLastColumn="0"/>
          <w:trHeight w:val="434"/>
        </w:trPr>
        <w:tc>
          <w:tcPr>
            <w:cnfStyle w:val="001000000000" w:firstRow="0" w:lastRow="0" w:firstColumn="1" w:lastColumn="0" w:oddVBand="0" w:evenVBand="0" w:oddHBand="0" w:evenHBand="0" w:firstRowFirstColumn="0" w:firstRowLastColumn="0" w:lastRowFirstColumn="0" w:lastRowLastColumn="0"/>
            <w:tcW w:w="5409" w:type="dxa"/>
            <w:shd w:val="clear" w:color="auto" w:fill="auto"/>
            <w:vAlign w:val="center"/>
          </w:tcPr>
          <w:p w14:paraId="587C09A0" w14:textId="77777777" w:rsidR="003F5073" w:rsidRPr="00BA1B64" w:rsidRDefault="003F5073" w:rsidP="00AF7EB9">
            <w:pPr>
              <w:pStyle w:val="ListParagraph"/>
              <w:rPr>
                <w:b w:val="0"/>
              </w:rPr>
            </w:pPr>
            <w:r w:rsidRPr="00BA1B64">
              <w:rPr>
                <w:b w:val="0"/>
              </w:rPr>
              <w:t>Patients unable to consent</w:t>
            </w:r>
          </w:p>
        </w:tc>
      </w:tr>
      <w:tr w:rsidR="003F5073" w:rsidRPr="005837C0" w14:paraId="4D2CD0EF" w14:textId="77777777" w:rsidTr="0066528E">
        <w:trPr>
          <w:trHeight w:val="424"/>
        </w:trPr>
        <w:tc>
          <w:tcPr>
            <w:cnfStyle w:val="001000000000" w:firstRow="0" w:lastRow="0" w:firstColumn="1" w:lastColumn="0" w:oddVBand="0" w:evenVBand="0" w:oddHBand="0" w:evenHBand="0" w:firstRowFirstColumn="0" w:firstRowLastColumn="0" w:lastRowFirstColumn="0" w:lastRowLastColumn="0"/>
            <w:tcW w:w="5409" w:type="dxa"/>
            <w:shd w:val="clear" w:color="auto" w:fill="auto"/>
            <w:vAlign w:val="center"/>
          </w:tcPr>
          <w:p w14:paraId="32038C5E" w14:textId="77777777" w:rsidR="003F5073" w:rsidRPr="00BA1B64" w:rsidRDefault="003F5073" w:rsidP="00AF7EB9">
            <w:pPr>
              <w:pStyle w:val="ListParagraph"/>
              <w:rPr>
                <w:b w:val="0"/>
              </w:rPr>
            </w:pPr>
            <w:r w:rsidRPr="00BA1B64">
              <w:rPr>
                <w:b w:val="0"/>
              </w:rPr>
              <w:t>Previous contrast medium reaction</w:t>
            </w:r>
          </w:p>
        </w:tc>
      </w:tr>
      <w:tr w:rsidR="003F5073" w:rsidRPr="005837C0" w14:paraId="1184CC4E" w14:textId="77777777" w:rsidTr="0066528E">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5409" w:type="dxa"/>
            <w:shd w:val="clear" w:color="auto" w:fill="auto"/>
            <w:vAlign w:val="center"/>
          </w:tcPr>
          <w:p w14:paraId="4B58320C" w14:textId="77777777" w:rsidR="003F5073" w:rsidRPr="00BA1B64" w:rsidRDefault="003F5073" w:rsidP="00AF7EB9">
            <w:pPr>
              <w:pStyle w:val="ListParagraph"/>
              <w:rPr>
                <w:b w:val="0"/>
              </w:rPr>
            </w:pPr>
            <w:r w:rsidRPr="00BA1B64">
              <w:rPr>
                <w:b w:val="0"/>
              </w:rPr>
              <w:t>Contraindication to MRI</w:t>
            </w:r>
          </w:p>
        </w:tc>
      </w:tr>
      <w:tr w:rsidR="003F5073" w:rsidRPr="005837C0" w14:paraId="1391299B" w14:textId="77777777" w:rsidTr="0066528E">
        <w:trPr>
          <w:trHeight w:val="434"/>
        </w:trPr>
        <w:tc>
          <w:tcPr>
            <w:cnfStyle w:val="001000000000" w:firstRow="0" w:lastRow="0" w:firstColumn="1" w:lastColumn="0" w:oddVBand="0" w:evenVBand="0" w:oddHBand="0" w:evenHBand="0" w:firstRowFirstColumn="0" w:firstRowLastColumn="0" w:lastRowFirstColumn="0" w:lastRowLastColumn="0"/>
            <w:tcW w:w="5409" w:type="dxa"/>
            <w:shd w:val="clear" w:color="auto" w:fill="auto"/>
            <w:vAlign w:val="center"/>
          </w:tcPr>
          <w:p w14:paraId="2E9E8CED" w14:textId="77777777" w:rsidR="003F5073" w:rsidRPr="00BA1B64" w:rsidRDefault="003F5073" w:rsidP="00AF7EB9">
            <w:pPr>
              <w:pStyle w:val="ListParagraph"/>
              <w:rPr>
                <w:b w:val="0"/>
              </w:rPr>
            </w:pPr>
            <w:r w:rsidRPr="00BA1B64">
              <w:rPr>
                <w:b w:val="0"/>
              </w:rPr>
              <w:t xml:space="preserve">Open injuries </w:t>
            </w:r>
          </w:p>
        </w:tc>
      </w:tr>
    </w:tbl>
    <w:p w14:paraId="42F5DA0D" w14:textId="77777777" w:rsidR="00BA1B64" w:rsidRDefault="00BA1B64">
      <w:pPr>
        <w:rPr>
          <w:rFonts w:cs="Arial"/>
        </w:rPr>
      </w:pPr>
    </w:p>
    <w:p w14:paraId="6CBB0E25" w14:textId="77777777" w:rsidR="00D9296A" w:rsidRDefault="00D9296A">
      <w:pPr>
        <w:rPr>
          <w:rFonts w:cs="Arial"/>
        </w:rPr>
      </w:pPr>
    </w:p>
    <w:p w14:paraId="5F1A9115" w14:textId="77777777" w:rsidR="007869DC" w:rsidRPr="005837C0" w:rsidRDefault="007869DC">
      <w:pPr>
        <w:rPr>
          <w:rFonts w:cs="Arial"/>
        </w:rPr>
      </w:pPr>
      <w:r w:rsidRPr="005837C0">
        <w:rPr>
          <w:rFonts w:cs="Arial"/>
        </w:rPr>
        <w:br w:type="page"/>
      </w:r>
    </w:p>
    <w:p w14:paraId="7282A0E8" w14:textId="77777777" w:rsidR="00A70B53" w:rsidRDefault="00A70B53" w:rsidP="008B035F">
      <w:pPr>
        <w:pStyle w:val="Heading2"/>
      </w:pPr>
      <w:r>
        <w:t>Table 2</w:t>
      </w:r>
    </w:p>
    <w:p w14:paraId="4BBCD54F" w14:textId="77777777" w:rsidR="00A70B53" w:rsidRDefault="00A70B53">
      <w:pPr>
        <w:spacing w:after="200" w:line="276" w:lineRule="auto"/>
      </w:pPr>
    </w:p>
    <w:tbl>
      <w:tblPr>
        <w:tblStyle w:val="LightShading"/>
        <w:tblW w:w="0" w:type="auto"/>
        <w:tblLook w:val="04A0" w:firstRow="1" w:lastRow="0" w:firstColumn="1" w:lastColumn="0" w:noHBand="0" w:noVBand="1"/>
      </w:tblPr>
      <w:tblGrid>
        <w:gridCol w:w="4621"/>
        <w:gridCol w:w="4621"/>
      </w:tblGrid>
      <w:tr w:rsidR="00A70B53" w14:paraId="1140644D" w14:textId="77777777" w:rsidTr="008B03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21" w:type="dxa"/>
            <w:shd w:val="clear" w:color="auto" w:fill="auto"/>
          </w:tcPr>
          <w:p w14:paraId="6A078DE7" w14:textId="51977297" w:rsidR="00A70B53" w:rsidRDefault="00A70B53" w:rsidP="00A70B53">
            <w:pPr>
              <w:spacing w:after="200" w:line="276" w:lineRule="auto"/>
            </w:pPr>
            <w:r>
              <w:t>MRI Sequence Parameter</w:t>
            </w:r>
          </w:p>
        </w:tc>
        <w:tc>
          <w:tcPr>
            <w:tcW w:w="4621" w:type="dxa"/>
            <w:shd w:val="clear" w:color="auto" w:fill="auto"/>
          </w:tcPr>
          <w:p w14:paraId="3EDBCC7B" w14:textId="3A13E2D2" w:rsidR="00A70B53" w:rsidRDefault="00A70B53">
            <w:pPr>
              <w:spacing w:after="200" w:line="276" w:lineRule="auto"/>
              <w:cnfStyle w:val="100000000000" w:firstRow="1" w:lastRow="0" w:firstColumn="0" w:lastColumn="0" w:oddVBand="0" w:evenVBand="0" w:oddHBand="0" w:evenHBand="0" w:firstRowFirstColumn="0" w:firstRowLastColumn="0" w:lastRowFirstColumn="0" w:lastRowLastColumn="0"/>
            </w:pPr>
            <w:r>
              <w:t>Value</w:t>
            </w:r>
          </w:p>
        </w:tc>
      </w:tr>
      <w:tr w:rsidR="00A70B53" w14:paraId="1384F1C3" w14:textId="77777777" w:rsidTr="008B03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21" w:type="dxa"/>
            <w:shd w:val="clear" w:color="auto" w:fill="auto"/>
          </w:tcPr>
          <w:p w14:paraId="6E549ABD" w14:textId="77777777" w:rsidR="00A70B53" w:rsidRDefault="00A70B53">
            <w:pPr>
              <w:spacing w:after="200" w:line="276" w:lineRule="auto"/>
            </w:pPr>
          </w:p>
        </w:tc>
        <w:tc>
          <w:tcPr>
            <w:tcW w:w="4621" w:type="dxa"/>
            <w:shd w:val="clear" w:color="auto" w:fill="auto"/>
          </w:tcPr>
          <w:p w14:paraId="3EC12A6A" w14:textId="77777777" w:rsidR="00A70B53" w:rsidRDefault="00A70B53">
            <w:pPr>
              <w:spacing w:after="200" w:line="276" w:lineRule="auto"/>
              <w:cnfStyle w:val="000000100000" w:firstRow="0" w:lastRow="0" w:firstColumn="0" w:lastColumn="0" w:oddVBand="0" w:evenVBand="0" w:oddHBand="1" w:evenHBand="0" w:firstRowFirstColumn="0" w:firstRowLastColumn="0" w:lastRowFirstColumn="0" w:lastRowLastColumn="0"/>
            </w:pPr>
          </w:p>
        </w:tc>
      </w:tr>
      <w:tr w:rsidR="00A70B53" w14:paraId="43C21959" w14:textId="77777777" w:rsidTr="008B035F">
        <w:tc>
          <w:tcPr>
            <w:cnfStyle w:val="001000000000" w:firstRow="0" w:lastRow="0" w:firstColumn="1" w:lastColumn="0" w:oddVBand="0" w:evenVBand="0" w:oddHBand="0" w:evenHBand="0" w:firstRowFirstColumn="0" w:firstRowLastColumn="0" w:lastRowFirstColumn="0" w:lastRowLastColumn="0"/>
            <w:tcW w:w="4621" w:type="dxa"/>
            <w:shd w:val="clear" w:color="auto" w:fill="auto"/>
          </w:tcPr>
          <w:p w14:paraId="6E3B83BA" w14:textId="27F17592" w:rsidR="00A70B53" w:rsidRDefault="00A70B53">
            <w:pPr>
              <w:spacing w:after="200" w:line="276" w:lineRule="auto"/>
            </w:pPr>
            <w:r>
              <w:t>TE</w:t>
            </w:r>
          </w:p>
        </w:tc>
        <w:tc>
          <w:tcPr>
            <w:tcW w:w="4621" w:type="dxa"/>
            <w:shd w:val="clear" w:color="auto" w:fill="auto"/>
          </w:tcPr>
          <w:p w14:paraId="7C39781E" w14:textId="077DEE03" w:rsidR="00A70B53" w:rsidRDefault="00A70B53">
            <w:pPr>
              <w:spacing w:after="200" w:line="276" w:lineRule="auto"/>
              <w:cnfStyle w:val="000000000000" w:firstRow="0" w:lastRow="0" w:firstColumn="0" w:lastColumn="0" w:oddVBand="0" w:evenVBand="0" w:oddHBand="0" w:evenHBand="0" w:firstRowFirstColumn="0" w:firstRowLastColumn="0" w:lastRowFirstColumn="0" w:lastRowLastColumn="0"/>
            </w:pPr>
            <w:r>
              <w:t>0.94</w:t>
            </w:r>
          </w:p>
        </w:tc>
      </w:tr>
      <w:tr w:rsidR="00A70B53" w14:paraId="5EA9CF14" w14:textId="77777777" w:rsidTr="008B03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21" w:type="dxa"/>
            <w:shd w:val="clear" w:color="auto" w:fill="auto"/>
          </w:tcPr>
          <w:p w14:paraId="08534E51" w14:textId="75382F5D" w:rsidR="00A70B53" w:rsidRDefault="00A70B53">
            <w:pPr>
              <w:spacing w:after="200" w:line="276" w:lineRule="auto"/>
            </w:pPr>
            <w:r>
              <w:t>TR</w:t>
            </w:r>
          </w:p>
        </w:tc>
        <w:tc>
          <w:tcPr>
            <w:tcW w:w="4621" w:type="dxa"/>
            <w:shd w:val="clear" w:color="auto" w:fill="auto"/>
          </w:tcPr>
          <w:p w14:paraId="7EF02AE0" w14:textId="052099DF" w:rsidR="00A70B53" w:rsidRDefault="00A70B53">
            <w:pPr>
              <w:spacing w:after="200" w:line="276" w:lineRule="auto"/>
              <w:cnfStyle w:val="000000100000" w:firstRow="0" w:lastRow="0" w:firstColumn="0" w:lastColumn="0" w:oddVBand="0" w:evenVBand="0" w:oddHBand="1" w:evenHBand="0" w:firstRowFirstColumn="0" w:firstRowLastColumn="0" w:lastRowFirstColumn="0" w:lastRowLastColumn="0"/>
            </w:pPr>
            <w:r>
              <w:t>2.28</w:t>
            </w:r>
          </w:p>
        </w:tc>
      </w:tr>
      <w:tr w:rsidR="00A70B53" w14:paraId="58299B37" w14:textId="77777777" w:rsidTr="008B035F">
        <w:tc>
          <w:tcPr>
            <w:cnfStyle w:val="001000000000" w:firstRow="0" w:lastRow="0" w:firstColumn="1" w:lastColumn="0" w:oddVBand="0" w:evenVBand="0" w:oddHBand="0" w:evenHBand="0" w:firstRowFirstColumn="0" w:firstRowLastColumn="0" w:lastRowFirstColumn="0" w:lastRowLastColumn="0"/>
            <w:tcW w:w="4621" w:type="dxa"/>
            <w:shd w:val="clear" w:color="auto" w:fill="auto"/>
          </w:tcPr>
          <w:p w14:paraId="337A2E46" w14:textId="4EBBBD01" w:rsidR="00A70B53" w:rsidRDefault="00A70B53">
            <w:pPr>
              <w:spacing w:after="200" w:line="276" w:lineRule="auto"/>
            </w:pPr>
            <w:r>
              <w:t>Flip Angle</w:t>
            </w:r>
          </w:p>
        </w:tc>
        <w:tc>
          <w:tcPr>
            <w:tcW w:w="4621" w:type="dxa"/>
            <w:shd w:val="clear" w:color="auto" w:fill="auto"/>
          </w:tcPr>
          <w:p w14:paraId="714DFE81" w14:textId="134EA3A9" w:rsidR="00A70B53" w:rsidRDefault="00A70B53">
            <w:pPr>
              <w:spacing w:after="200" w:line="276" w:lineRule="auto"/>
              <w:cnfStyle w:val="000000000000" w:firstRow="0" w:lastRow="0" w:firstColumn="0" w:lastColumn="0" w:oddVBand="0" w:evenVBand="0" w:oddHBand="0" w:evenHBand="0" w:firstRowFirstColumn="0" w:firstRowLastColumn="0" w:lastRowFirstColumn="0" w:lastRowLastColumn="0"/>
            </w:pPr>
            <w:r>
              <w:t>30</w:t>
            </w:r>
          </w:p>
        </w:tc>
      </w:tr>
      <w:tr w:rsidR="00A70B53" w14:paraId="2004953B" w14:textId="77777777" w:rsidTr="008B03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21" w:type="dxa"/>
            <w:shd w:val="clear" w:color="auto" w:fill="auto"/>
          </w:tcPr>
          <w:p w14:paraId="4F346CAA" w14:textId="188D16AE" w:rsidR="00A70B53" w:rsidRDefault="00A70B53">
            <w:pPr>
              <w:spacing w:after="200" w:line="276" w:lineRule="auto"/>
            </w:pPr>
            <w:r>
              <w:t>Number of excitations (NEX)</w:t>
            </w:r>
          </w:p>
        </w:tc>
        <w:tc>
          <w:tcPr>
            <w:tcW w:w="4621" w:type="dxa"/>
            <w:shd w:val="clear" w:color="auto" w:fill="auto"/>
          </w:tcPr>
          <w:p w14:paraId="29398DE0" w14:textId="77ABBEC4" w:rsidR="00A70B53" w:rsidRDefault="00A70B53">
            <w:pPr>
              <w:spacing w:after="200" w:line="276" w:lineRule="auto"/>
              <w:cnfStyle w:val="000000100000" w:firstRow="0" w:lastRow="0" w:firstColumn="0" w:lastColumn="0" w:oddVBand="0" w:evenVBand="0" w:oddHBand="1" w:evenHBand="0" w:firstRowFirstColumn="0" w:firstRowLastColumn="0" w:lastRowFirstColumn="0" w:lastRowLastColumn="0"/>
            </w:pPr>
            <w:r>
              <w:t>1</w:t>
            </w:r>
          </w:p>
        </w:tc>
      </w:tr>
      <w:tr w:rsidR="00A70B53" w14:paraId="7045C032" w14:textId="77777777" w:rsidTr="008B035F">
        <w:tc>
          <w:tcPr>
            <w:cnfStyle w:val="001000000000" w:firstRow="0" w:lastRow="0" w:firstColumn="1" w:lastColumn="0" w:oddVBand="0" w:evenVBand="0" w:oddHBand="0" w:evenHBand="0" w:firstRowFirstColumn="0" w:firstRowLastColumn="0" w:lastRowFirstColumn="0" w:lastRowLastColumn="0"/>
            <w:tcW w:w="4621" w:type="dxa"/>
            <w:shd w:val="clear" w:color="auto" w:fill="auto"/>
          </w:tcPr>
          <w:p w14:paraId="6ADDBD84" w14:textId="12C24FD4" w:rsidR="00A70B53" w:rsidRDefault="00A70B53">
            <w:pPr>
              <w:spacing w:after="200" w:line="276" w:lineRule="auto"/>
            </w:pPr>
            <w:r>
              <w:t>Matrix</w:t>
            </w:r>
          </w:p>
        </w:tc>
        <w:tc>
          <w:tcPr>
            <w:tcW w:w="4621" w:type="dxa"/>
            <w:shd w:val="clear" w:color="auto" w:fill="auto"/>
          </w:tcPr>
          <w:p w14:paraId="57BC5CEC" w14:textId="4056A620" w:rsidR="00A70B53" w:rsidRDefault="00A70B53">
            <w:pPr>
              <w:spacing w:after="200" w:line="276" w:lineRule="auto"/>
              <w:cnfStyle w:val="000000000000" w:firstRow="0" w:lastRow="0" w:firstColumn="0" w:lastColumn="0" w:oddVBand="0" w:evenVBand="0" w:oddHBand="0" w:evenHBand="0" w:firstRowFirstColumn="0" w:firstRowLastColumn="0" w:lastRowFirstColumn="0" w:lastRowLastColumn="0"/>
            </w:pPr>
            <w:r>
              <w:t>48x48</w:t>
            </w:r>
          </w:p>
        </w:tc>
      </w:tr>
      <w:tr w:rsidR="00A70B53" w14:paraId="115CF2EE" w14:textId="77777777" w:rsidTr="008B03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21" w:type="dxa"/>
            <w:shd w:val="clear" w:color="auto" w:fill="auto"/>
          </w:tcPr>
          <w:p w14:paraId="3EEB1EAC" w14:textId="572FF689" w:rsidR="00A70B53" w:rsidRDefault="00A70B53">
            <w:pPr>
              <w:spacing w:after="200" w:line="276" w:lineRule="auto"/>
            </w:pPr>
            <w:r>
              <w:t>Thickness</w:t>
            </w:r>
          </w:p>
        </w:tc>
        <w:tc>
          <w:tcPr>
            <w:tcW w:w="4621" w:type="dxa"/>
            <w:shd w:val="clear" w:color="auto" w:fill="auto"/>
          </w:tcPr>
          <w:p w14:paraId="5D048486" w14:textId="6611C899" w:rsidR="00A70B53" w:rsidRDefault="00A70B53">
            <w:pPr>
              <w:spacing w:after="200" w:line="276" w:lineRule="auto"/>
              <w:cnfStyle w:val="000000100000" w:firstRow="0" w:lastRow="0" w:firstColumn="0" w:lastColumn="0" w:oddVBand="0" w:evenVBand="0" w:oddHBand="1" w:evenHBand="0" w:firstRowFirstColumn="0" w:firstRowLastColumn="0" w:lastRowFirstColumn="0" w:lastRowLastColumn="0"/>
            </w:pPr>
            <w:r>
              <w:t>5mm</w:t>
            </w:r>
          </w:p>
        </w:tc>
      </w:tr>
      <w:tr w:rsidR="00A70B53" w14:paraId="2C784547" w14:textId="77777777" w:rsidTr="008B035F">
        <w:tc>
          <w:tcPr>
            <w:cnfStyle w:val="001000000000" w:firstRow="0" w:lastRow="0" w:firstColumn="1" w:lastColumn="0" w:oddVBand="0" w:evenVBand="0" w:oddHBand="0" w:evenHBand="0" w:firstRowFirstColumn="0" w:firstRowLastColumn="0" w:lastRowFirstColumn="0" w:lastRowLastColumn="0"/>
            <w:tcW w:w="4621" w:type="dxa"/>
            <w:shd w:val="clear" w:color="auto" w:fill="auto"/>
          </w:tcPr>
          <w:p w14:paraId="7B9171FA" w14:textId="1D0670E3" w:rsidR="00A70B53" w:rsidRDefault="00A70B53">
            <w:pPr>
              <w:spacing w:after="200" w:line="276" w:lineRule="auto"/>
            </w:pPr>
            <w:r>
              <w:t>Gap</w:t>
            </w:r>
          </w:p>
        </w:tc>
        <w:tc>
          <w:tcPr>
            <w:tcW w:w="4621" w:type="dxa"/>
            <w:shd w:val="clear" w:color="auto" w:fill="auto"/>
          </w:tcPr>
          <w:p w14:paraId="15CE7557" w14:textId="1B2581DE" w:rsidR="00A70B53" w:rsidRDefault="00A70B53">
            <w:pPr>
              <w:spacing w:after="200" w:line="276" w:lineRule="auto"/>
              <w:cnfStyle w:val="000000000000" w:firstRow="0" w:lastRow="0" w:firstColumn="0" w:lastColumn="0" w:oddVBand="0" w:evenVBand="0" w:oddHBand="0" w:evenHBand="0" w:firstRowFirstColumn="0" w:firstRowLastColumn="0" w:lastRowFirstColumn="0" w:lastRowLastColumn="0"/>
            </w:pPr>
            <w:r>
              <w:t>0mm</w:t>
            </w:r>
          </w:p>
        </w:tc>
      </w:tr>
      <w:tr w:rsidR="00A70B53" w14:paraId="285698C0" w14:textId="77777777" w:rsidTr="008B03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21" w:type="dxa"/>
            <w:shd w:val="clear" w:color="auto" w:fill="auto"/>
          </w:tcPr>
          <w:p w14:paraId="03E3F178" w14:textId="1D2EB43A" w:rsidR="00A70B53" w:rsidRDefault="00A70B53">
            <w:pPr>
              <w:spacing w:after="200" w:line="276" w:lineRule="auto"/>
            </w:pPr>
            <w:r>
              <w:t>FOV</w:t>
            </w:r>
          </w:p>
        </w:tc>
        <w:tc>
          <w:tcPr>
            <w:tcW w:w="4621" w:type="dxa"/>
            <w:shd w:val="clear" w:color="auto" w:fill="auto"/>
          </w:tcPr>
          <w:p w14:paraId="5AB3371F" w14:textId="23C4CA92" w:rsidR="00A70B53" w:rsidRDefault="00A70B53">
            <w:pPr>
              <w:spacing w:after="200" w:line="276" w:lineRule="auto"/>
              <w:cnfStyle w:val="000000100000" w:firstRow="0" w:lastRow="0" w:firstColumn="0" w:lastColumn="0" w:oddVBand="0" w:evenVBand="0" w:oddHBand="1" w:evenHBand="0" w:firstRowFirstColumn="0" w:firstRowLastColumn="0" w:lastRowFirstColumn="0" w:lastRowLastColumn="0"/>
            </w:pPr>
            <w:r>
              <w:t>34cm</w:t>
            </w:r>
          </w:p>
        </w:tc>
      </w:tr>
      <w:tr w:rsidR="00A70B53" w14:paraId="7BC17D3C" w14:textId="77777777" w:rsidTr="008B035F">
        <w:tc>
          <w:tcPr>
            <w:cnfStyle w:val="001000000000" w:firstRow="0" w:lastRow="0" w:firstColumn="1" w:lastColumn="0" w:oddVBand="0" w:evenVBand="0" w:oddHBand="0" w:evenHBand="0" w:firstRowFirstColumn="0" w:firstRowLastColumn="0" w:lastRowFirstColumn="0" w:lastRowLastColumn="0"/>
            <w:tcW w:w="4621" w:type="dxa"/>
            <w:shd w:val="clear" w:color="auto" w:fill="auto"/>
          </w:tcPr>
          <w:p w14:paraId="7A22FBCE" w14:textId="48EE61D4" w:rsidR="00A70B53" w:rsidRDefault="00A70B53">
            <w:pPr>
              <w:spacing w:after="200" w:line="276" w:lineRule="auto"/>
            </w:pPr>
            <w:r>
              <w:t>Slices</w:t>
            </w:r>
          </w:p>
        </w:tc>
        <w:tc>
          <w:tcPr>
            <w:tcW w:w="4621" w:type="dxa"/>
            <w:shd w:val="clear" w:color="auto" w:fill="auto"/>
          </w:tcPr>
          <w:p w14:paraId="2B2313F6" w14:textId="7C2BE5BE" w:rsidR="00A70B53" w:rsidRDefault="00A70B53">
            <w:pPr>
              <w:spacing w:after="200" w:line="276" w:lineRule="auto"/>
              <w:cnfStyle w:val="000000000000" w:firstRow="0" w:lastRow="0" w:firstColumn="0" w:lastColumn="0" w:oddVBand="0" w:evenVBand="0" w:oddHBand="0" w:evenHBand="0" w:firstRowFirstColumn="0" w:firstRowLastColumn="0" w:lastRowFirstColumn="0" w:lastRowLastColumn="0"/>
            </w:pPr>
            <w:r>
              <w:t>8</w:t>
            </w:r>
          </w:p>
        </w:tc>
      </w:tr>
      <w:tr w:rsidR="00A70B53" w14:paraId="6C9872CE" w14:textId="77777777" w:rsidTr="008B03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21" w:type="dxa"/>
            <w:shd w:val="clear" w:color="auto" w:fill="auto"/>
          </w:tcPr>
          <w:p w14:paraId="33ABB963" w14:textId="77777777" w:rsidR="00A70B53" w:rsidRDefault="00A70B53">
            <w:pPr>
              <w:spacing w:after="200" w:line="276" w:lineRule="auto"/>
            </w:pPr>
          </w:p>
        </w:tc>
        <w:tc>
          <w:tcPr>
            <w:tcW w:w="4621" w:type="dxa"/>
            <w:shd w:val="clear" w:color="auto" w:fill="auto"/>
          </w:tcPr>
          <w:p w14:paraId="5DF3C9FA" w14:textId="77777777" w:rsidR="00A70B53" w:rsidRDefault="00A70B53">
            <w:pPr>
              <w:spacing w:after="200" w:line="276" w:lineRule="auto"/>
              <w:cnfStyle w:val="000000100000" w:firstRow="0" w:lastRow="0" w:firstColumn="0" w:lastColumn="0" w:oddVBand="0" w:evenVBand="0" w:oddHBand="1" w:evenHBand="0" w:firstRowFirstColumn="0" w:firstRowLastColumn="0" w:lastRowFirstColumn="0" w:lastRowLastColumn="0"/>
            </w:pPr>
          </w:p>
        </w:tc>
      </w:tr>
    </w:tbl>
    <w:p w14:paraId="1F897937" w14:textId="1863E7B5" w:rsidR="00A70B53" w:rsidRDefault="00A70B53">
      <w:pPr>
        <w:spacing w:after="200" w:line="276" w:lineRule="auto"/>
        <w:rPr>
          <w:rFonts w:eastAsiaTheme="majorEastAsia" w:cstheme="majorBidi"/>
          <w:bCs/>
          <w:i/>
          <w:szCs w:val="26"/>
        </w:rPr>
      </w:pPr>
      <w:r>
        <w:br w:type="page"/>
      </w:r>
    </w:p>
    <w:p w14:paraId="193CC559" w14:textId="431F9DA7" w:rsidR="006E5292" w:rsidRPr="00994640" w:rsidRDefault="007869DC" w:rsidP="00994640">
      <w:pPr>
        <w:pStyle w:val="Heading2"/>
      </w:pPr>
      <w:r w:rsidRPr="00994640">
        <w:t xml:space="preserve">Table </w:t>
      </w:r>
      <w:r w:rsidR="00926F0F" w:rsidRPr="00994640">
        <w:t>3</w:t>
      </w:r>
    </w:p>
    <w:p w14:paraId="4E60D378" w14:textId="77777777" w:rsidR="007869DC" w:rsidRPr="005837C0" w:rsidRDefault="007869DC" w:rsidP="007869DC">
      <w:pPr>
        <w:spacing w:after="0" w:line="240" w:lineRule="auto"/>
        <w:rPr>
          <w:rFonts w:cs="Arial"/>
          <w:sz w:val="16"/>
          <w:szCs w:val="16"/>
        </w:rPr>
      </w:pPr>
    </w:p>
    <w:p w14:paraId="739D8798" w14:textId="77777777" w:rsidR="00D9296A" w:rsidRDefault="00D9296A" w:rsidP="00D9296A">
      <w:pPr>
        <w:spacing w:after="0" w:line="360" w:lineRule="auto"/>
        <w:rPr>
          <w:rFonts w:cs="Arial"/>
        </w:rPr>
      </w:pPr>
    </w:p>
    <w:p w14:paraId="7657FA59" w14:textId="2EEFF69F" w:rsidR="00240B15" w:rsidRDefault="00240B15">
      <w:pPr>
        <w:spacing w:after="200" w:line="276" w:lineRule="auto"/>
        <w:rPr>
          <w:rFonts w:cs="Arial"/>
        </w:rPr>
      </w:pPr>
    </w:p>
    <w:tbl>
      <w:tblPr>
        <w:tblpPr w:leftFromText="180" w:rightFromText="180" w:vertAnchor="text" w:horzAnchor="margin" w:tblpXSpec="center" w:tblpY="80"/>
        <w:tblW w:w="7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3"/>
        <w:gridCol w:w="1416"/>
        <w:gridCol w:w="1416"/>
        <w:gridCol w:w="1416"/>
        <w:gridCol w:w="1416"/>
      </w:tblGrid>
      <w:tr w:rsidR="00240B15" w:rsidRPr="00276187" w14:paraId="092C8901" w14:textId="77777777" w:rsidTr="00240B15">
        <w:trPr>
          <w:trHeight w:val="626"/>
        </w:trPr>
        <w:tc>
          <w:tcPr>
            <w:tcW w:w="1993" w:type="dxa"/>
            <w:tcBorders>
              <w:top w:val="single" w:sz="4" w:space="0" w:color="auto"/>
              <w:left w:val="single" w:sz="4" w:space="0" w:color="FFFFFF"/>
              <w:right w:val="single" w:sz="4" w:space="0" w:color="FFFFFF"/>
            </w:tcBorders>
            <w:shd w:val="clear" w:color="auto" w:fill="auto"/>
            <w:noWrap/>
            <w:vAlign w:val="center"/>
          </w:tcPr>
          <w:p w14:paraId="0088866D" w14:textId="77777777" w:rsidR="00240B15" w:rsidRPr="00276187" w:rsidRDefault="00240B15" w:rsidP="00240B15">
            <w:pPr>
              <w:spacing w:after="0" w:line="240" w:lineRule="auto"/>
              <w:rPr>
                <w:rFonts w:ascii="Calibri" w:hAnsi="Calibri" w:cs="Arial"/>
                <w:sz w:val="20"/>
                <w:szCs w:val="20"/>
              </w:rPr>
            </w:pPr>
            <w:r w:rsidRPr="00276187">
              <w:rPr>
                <w:rFonts w:ascii="Calibri" w:hAnsi="Calibri" w:cs="Arial"/>
                <w:sz w:val="20"/>
                <w:szCs w:val="20"/>
              </w:rPr>
              <w:t> </w:t>
            </w:r>
          </w:p>
        </w:tc>
        <w:tc>
          <w:tcPr>
            <w:tcW w:w="1416" w:type="dxa"/>
            <w:tcBorders>
              <w:left w:val="single" w:sz="4" w:space="0" w:color="FFFFFF"/>
              <w:right w:val="single" w:sz="4" w:space="0" w:color="FFFFFF"/>
            </w:tcBorders>
            <w:shd w:val="clear" w:color="auto" w:fill="auto"/>
            <w:noWrap/>
            <w:vAlign w:val="center"/>
          </w:tcPr>
          <w:p w14:paraId="1099AD7C" w14:textId="77777777" w:rsidR="00240B15" w:rsidRPr="00276187" w:rsidRDefault="00240B15" w:rsidP="00240B15">
            <w:pPr>
              <w:spacing w:after="0" w:line="240" w:lineRule="auto"/>
              <w:jc w:val="center"/>
              <w:rPr>
                <w:rFonts w:ascii="Calibri" w:hAnsi="Calibri" w:cs="Arial"/>
                <w:b/>
                <w:sz w:val="20"/>
                <w:szCs w:val="20"/>
              </w:rPr>
            </w:pPr>
            <w:r w:rsidRPr="00276187">
              <w:rPr>
                <w:rFonts w:ascii="Calibri" w:hAnsi="Calibri" w:cs="Arial"/>
                <w:b/>
                <w:sz w:val="20"/>
                <w:szCs w:val="20"/>
              </w:rPr>
              <w:t>T1</w:t>
            </w:r>
          </w:p>
        </w:tc>
        <w:tc>
          <w:tcPr>
            <w:tcW w:w="1416" w:type="dxa"/>
            <w:tcBorders>
              <w:left w:val="single" w:sz="4" w:space="0" w:color="FFFFFF"/>
              <w:right w:val="single" w:sz="4" w:space="0" w:color="FFFFFF"/>
            </w:tcBorders>
            <w:shd w:val="clear" w:color="auto" w:fill="auto"/>
            <w:noWrap/>
            <w:vAlign w:val="center"/>
          </w:tcPr>
          <w:p w14:paraId="72A13620" w14:textId="77777777" w:rsidR="00240B15" w:rsidRPr="00276187" w:rsidRDefault="00240B15" w:rsidP="00240B15">
            <w:pPr>
              <w:spacing w:after="0" w:line="240" w:lineRule="auto"/>
              <w:jc w:val="center"/>
              <w:rPr>
                <w:rFonts w:ascii="Calibri" w:hAnsi="Calibri" w:cs="Arial"/>
                <w:b/>
                <w:sz w:val="20"/>
                <w:szCs w:val="20"/>
              </w:rPr>
            </w:pPr>
            <w:proofErr w:type="spellStart"/>
            <w:r w:rsidRPr="00276187">
              <w:rPr>
                <w:rFonts w:ascii="Calibri" w:hAnsi="Calibri" w:cs="Arial"/>
                <w:b/>
                <w:sz w:val="20"/>
                <w:szCs w:val="20"/>
              </w:rPr>
              <w:t>K</w:t>
            </w:r>
            <w:r w:rsidRPr="00097657">
              <w:rPr>
                <w:rFonts w:ascii="Calibri" w:hAnsi="Calibri" w:cs="Arial"/>
                <w:b/>
                <w:sz w:val="20"/>
                <w:szCs w:val="20"/>
                <w:vertAlign w:val="superscript"/>
              </w:rPr>
              <w:t>trans</w:t>
            </w:r>
            <w:proofErr w:type="spellEnd"/>
          </w:p>
        </w:tc>
        <w:tc>
          <w:tcPr>
            <w:tcW w:w="1416" w:type="dxa"/>
            <w:tcBorders>
              <w:left w:val="single" w:sz="4" w:space="0" w:color="FFFFFF"/>
              <w:right w:val="single" w:sz="4" w:space="0" w:color="FFFFFF"/>
            </w:tcBorders>
            <w:shd w:val="clear" w:color="auto" w:fill="auto"/>
            <w:noWrap/>
            <w:vAlign w:val="center"/>
          </w:tcPr>
          <w:p w14:paraId="2DA66B4A" w14:textId="77777777" w:rsidR="00240B15" w:rsidRPr="00276187" w:rsidRDefault="00240B15" w:rsidP="00240B15">
            <w:pPr>
              <w:spacing w:after="0" w:line="240" w:lineRule="auto"/>
              <w:jc w:val="center"/>
              <w:rPr>
                <w:rFonts w:ascii="Calibri" w:hAnsi="Calibri" w:cs="Arial"/>
                <w:b/>
                <w:sz w:val="20"/>
                <w:szCs w:val="20"/>
              </w:rPr>
            </w:pPr>
            <w:proofErr w:type="spellStart"/>
            <w:r w:rsidRPr="00276187">
              <w:rPr>
                <w:rFonts w:ascii="Calibri" w:hAnsi="Calibri" w:cs="Arial"/>
                <w:b/>
                <w:sz w:val="20"/>
                <w:szCs w:val="20"/>
              </w:rPr>
              <w:t>K</w:t>
            </w:r>
            <w:r>
              <w:rPr>
                <w:rFonts w:ascii="Calibri" w:hAnsi="Calibri" w:cs="Arial"/>
                <w:b/>
                <w:sz w:val="20"/>
                <w:szCs w:val="20"/>
                <w:vertAlign w:val="subscript"/>
              </w:rPr>
              <w:t>ep</w:t>
            </w:r>
            <w:proofErr w:type="spellEnd"/>
          </w:p>
        </w:tc>
        <w:tc>
          <w:tcPr>
            <w:tcW w:w="1416" w:type="dxa"/>
            <w:tcBorders>
              <w:left w:val="single" w:sz="4" w:space="0" w:color="FFFFFF"/>
              <w:right w:val="single" w:sz="4" w:space="0" w:color="FFFFFF"/>
            </w:tcBorders>
            <w:shd w:val="clear" w:color="auto" w:fill="auto"/>
            <w:noWrap/>
            <w:vAlign w:val="center"/>
          </w:tcPr>
          <w:p w14:paraId="646EC947" w14:textId="77777777" w:rsidR="00240B15" w:rsidRPr="00276187" w:rsidRDefault="00240B15" w:rsidP="00240B15">
            <w:pPr>
              <w:spacing w:after="0" w:line="240" w:lineRule="auto"/>
              <w:jc w:val="center"/>
              <w:rPr>
                <w:rFonts w:ascii="Calibri" w:hAnsi="Calibri" w:cs="Arial"/>
                <w:b/>
                <w:sz w:val="20"/>
                <w:szCs w:val="20"/>
              </w:rPr>
            </w:pPr>
            <w:r w:rsidRPr="00276187">
              <w:rPr>
                <w:rFonts w:ascii="Calibri" w:hAnsi="Calibri" w:cs="Arial"/>
                <w:b/>
                <w:sz w:val="20"/>
                <w:szCs w:val="20"/>
              </w:rPr>
              <w:t>IAUC</w:t>
            </w:r>
          </w:p>
        </w:tc>
      </w:tr>
      <w:tr w:rsidR="00240B15" w:rsidRPr="00276187" w14:paraId="0F5D3733" w14:textId="77777777" w:rsidTr="00240B15">
        <w:trPr>
          <w:trHeight w:val="626"/>
        </w:trPr>
        <w:tc>
          <w:tcPr>
            <w:tcW w:w="1993" w:type="dxa"/>
            <w:tcBorders>
              <w:left w:val="single" w:sz="4" w:space="0" w:color="FFFFFF"/>
              <w:bottom w:val="single" w:sz="4" w:space="0" w:color="FFFFFF"/>
              <w:right w:val="single" w:sz="4" w:space="0" w:color="FFFFFF"/>
            </w:tcBorders>
            <w:shd w:val="clear" w:color="auto" w:fill="auto"/>
            <w:noWrap/>
            <w:vAlign w:val="center"/>
          </w:tcPr>
          <w:p w14:paraId="0C90A789" w14:textId="77777777" w:rsidR="00240B15" w:rsidRPr="00276187" w:rsidRDefault="00240B15" w:rsidP="00240B15">
            <w:pPr>
              <w:spacing w:after="0" w:line="240" w:lineRule="auto"/>
              <w:rPr>
                <w:rFonts w:ascii="Calibri" w:hAnsi="Calibri" w:cs="Arial"/>
                <w:sz w:val="20"/>
                <w:szCs w:val="20"/>
              </w:rPr>
            </w:pPr>
            <w:r>
              <w:rPr>
                <w:rFonts w:ascii="Calibri" w:hAnsi="Calibri" w:cs="Arial"/>
                <w:sz w:val="20"/>
                <w:szCs w:val="20"/>
              </w:rPr>
              <w:t>Fracture</w:t>
            </w:r>
          </w:p>
        </w:tc>
        <w:tc>
          <w:tcPr>
            <w:tcW w:w="1416" w:type="dxa"/>
            <w:tcBorders>
              <w:left w:val="single" w:sz="4" w:space="0" w:color="FFFFFF"/>
              <w:bottom w:val="single" w:sz="4" w:space="0" w:color="FFFFFF"/>
              <w:right w:val="single" w:sz="4" w:space="0" w:color="FFFFFF"/>
            </w:tcBorders>
            <w:shd w:val="clear" w:color="auto" w:fill="auto"/>
            <w:noWrap/>
            <w:vAlign w:val="center"/>
          </w:tcPr>
          <w:p w14:paraId="2477E0C7" w14:textId="77777777" w:rsidR="00240B15" w:rsidRPr="00276187" w:rsidRDefault="00240B15" w:rsidP="00240B15">
            <w:pPr>
              <w:spacing w:after="0" w:line="240" w:lineRule="auto"/>
              <w:jc w:val="center"/>
              <w:rPr>
                <w:rFonts w:ascii="Calibri" w:hAnsi="Calibri" w:cs="Arial"/>
                <w:sz w:val="20"/>
                <w:szCs w:val="20"/>
              </w:rPr>
            </w:pPr>
          </w:p>
        </w:tc>
        <w:tc>
          <w:tcPr>
            <w:tcW w:w="1416" w:type="dxa"/>
            <w:tcBorders>
              <w:left w:val="single" w:sz="4" w:space="0" w:color="FFFFFF"/>
              <w:bottom w:val="single" w:sz="4" w:space="0" w:color="FFFFFF"/>
              <w:right w:val="single" w:sz="4" w:space="0" w:color="FFFFFF"/>
            </w:tcBorders>
            <w:shd w:val="clear" w:color="auto" w:fill="auto"/>
            <w:noWrap/>
            <w:vAlign w:val="center"/>
          </w:tcPr>
          <w:p w14:paraId="25F6FA00" w14:textId="77777777" w:rsidR="00240B15" w:rsidRPr="00276187" w:rsidRDefault="00240B15" w:rsidP="00240B15">
            <w:pPr>
              <w:spacing w:after="0" w:line="240" w:lineRule="auto"/>
              <w:jc w:val="center"/>
              <w:rPr>
                <w:rFonts w:ascii="Calibri" w:hAnsi="Calibri" w:cs="Arial"/>
                <w:sz w:val="20"/>
                <w:szCs w:val="20"/>
              </w:rPr>
            </w:pPr>
          </w:p>
        </w:tc>
        <w:tc>
          <w:tcPr>
            <w:tcW w:w="1416" w:type="dxa"/>
            <w:tcBorders>
              <w:left w:val="single" w:sz="4" w:space="0" w:color="FFFFFF"/>
              <w:bottom w:val="single" w:sz="4" w:space="0" w:color="FFFFFF"/>
              <w:right w:val="single" w:sz="4" w:space="0" w:color="FFFFFF"/>
            </w:tcBorders>
            <w:shd w:val="clear" w:color="auto" w:fill="auto"/>
            <w:noWrap/>
            <w:vAlign w:val="center"/>
          </w:tcPr>
          <w:p w14:paraId="0EE1A553" w14:textId="77777777" w:rsidR="00240B15" w:rsidRPr="00276187" w:rsidRDefault="00240B15" w:rsidP="00240B15">
            <w:pPr>
              <w:spacing w:after="0" w:line="240" w:lineRule="auto"/>
              <w:jc w:val="center"/>
              <w:rPr>
                <w:rFonts w:ascii="Calibri" w:hAnsi="Calibri" w:cs="Arial"/>
                <w:sz w:val="20"/>
                <w:szCs w:val="20"/>
              </w:rPr>
            </w:pPr>
          </w:p>
        </w:tc>
        <w:tc>
          <w:tcPr>
            <w:tcW w:w="1416" w:type="dxa"/>
            <w:tcBorders>
              <w:left w:val="single" w:sz="4" w:space="0" w:color="FFFFFF"/>
              <w:bottom w:val="single" w:sz="4" w:space="0" w:color="FFFFFF"/>
              <w:right w:val="single" w:sz="4" w:space="0" w:color="FFFFFF"/>
            </w:tcBorders>
            <w:shd w:val="clear" w:color="auto" w:fill="auto"/>
            <w:noWrap/>
            <w:vAlign w:val="center"/>
          </w:tcPr>
          <w:p w14:paraId="01901408" w14:textId="77777777" w:rsidR="00240B15" w:rsidRPr="00276187" w:rsidRDefault="00240B15" w:rsidP="00240B15">
            <w:pPr>
              <w:spacing w:after="0" w:line="240" w:lineRule="auto"/>
              <w:jc w:val="center"/>
              <w:rPr>
                <w:rFonts w:ascii="Calibri" w:hAnsi="Calibri" w:cs="Arial"/>
                <w:sz w:val="20"/>
                <w:szCs w:val="20"/>
              </w:rPr>
            </w:pPr>
          </w:p>
        </w:tc>
      </w:tr>
      <w:tr w:rsidR="00240B15" w:rsidRPr="00276187" w14:paraId="59CF5120" w14:textId="77777777" w:rsidTr="00240B15">
        <w:trPr>
          <w:trHeight w:val="626"/>
        </w:trPr>
        <w:tc>
          <w:tcPr>
            <w:tcW w:w="1993" w:type="dxa"/>
            <w:tcBorders>
              <w:left w:val="single" w:sz="4" w:space="0" w:color="FFFFFF"/>
              <w:bottom w:val="single" w:sz="4" w:space="0" w:color="FFFFFF"/>
              <w:right w:val="single" w:sz="4" w:space="0" w:color="FFFFFF"/>
            </w:tcBorders>
            <w:shd w:val="clear" w:color="auto" w:fill="auto"/>
            <w:noWrap/>
            <w:vAlign w:val="center"/>
          </w:tcPr>
          <w:p w14:paraId="061B4D2A" w14:textId="77777777" w:rsidR="00240B15" w:rsidRPr="00276187" w:rsidRDefault="00240B15" w:rsidP="00240B15">
            <w:pPr>
              <w:spacing w:after="0" w:line="240" w:lineRule="auto"/>
              <w:rPr>
                <w:rFonts w:ascii="Calibri" w:hAnsi="Calibri" w:cs="Arial"/>
                <w:sz w:val="20"/>
                <w:szCs w:val="20"/>
              </w:rPr>
            </w:pPr>
            <w:r w:rsidRPr="00276187">
              <w:rPr>
                <w:rFonts w:ascii="Calibri" w:hAnsi="Calibri" w:cs="Arial"/>
                <w:sz w:val="20"/>
                <w:szCs w:val="20"/>
              </w:rPr>
              <w:t>Mean (95% CI)</w:t>
            </w:r>
          </w:p>
        </w:tc>
        <w:tc>
          <w:tcPr>
            <w:tcW w:w="1416" w:type="dxa"/>
            <w:tcBorders>
              <w:left w:val="single" w:sz="4" w:space="0" w:color="FFFFFF"/>
              <w:bottom w:val="single" w:sz="4" w:space="0" w:color="FFFFFF"/>
              <w:right w:val="single" w:sz="4" w:space="0" w:color="FFFFFF"/>
            </w:tcBorders>
            <w:shd w:val="clear" w:color="auto" w:fill="auto"/>
            <w:noWrap/>
            <w:vAlign w:val="center"/>
          </w:tcPr>
          <w:p w14:paraId="606BF49F"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1713.7</w:t>
            </w:r>
          </w:p>
          <w:p w14:paraId="28946E56"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(1441–1986)</w:t>
            </w:r>
          </w:p>
        </w:tc>
        <w:tc>
          <w:tcPr>
            <w:tcW w:w="1416" w:type="dxa"/>
            <w:tcBorders>
              <w:left w:val="single" w:sz="4" w:space="0" w:color="FFFFFF"/>
              <w:bottom w:val="single" w:sz="4" w:space="0" w:color="FFFFFF"/>
              <w:right w:val="single" w:sz="4" w:space="0" w:color="FFFFFF"/>
            </w:tcBorders>
            <w:shd w:val="clear" w:color="auto" w:fill="auto"/>
            <w:noWrap/>
            <w:vAlign w:val="center"/>
          </w:tcPr>
          <w:p w14:paraId="6159B10E"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0.09</w:t>
            </w:r>
          </w:p>
          <w:p w14:paraId="48EA61CB"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(0.06-0.12)</w:t>
            </w:r>
          </w:p>
        </w:tc>
        <w:tc>
          <w:tcPr>
            <w:tcW w:w="1416" w:type="dxa"/>
            <w:tcBorders>
              <w:left w:val="single" w:sz="4" w:space="0" w:color="FFFFFF"/>
              <w:bottom w:val="single" w:sz="4" w:space="0" w:color="FFFFFF"/>
              <w:right w:val="single" w:sz="4" w:space="0" w:color="FFFFFF"/>
            </w:tcBorders>
            <w:shd w:val="clear" w:color="auto" w:fill="auto"/>
            <w:noWrap/>
            <w:vAlign w:val="center"/>
          </w:tcPr>
          <w:p w14:paraId="62B67E50"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0.17</w:t>
            </w:r>
          </w:p>
          <w:p w14:paraId="0E18AD8A"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(0.10-0.25)</w:t>
            </w:r>
          </w:p>
        </w:tc>
        <w:tc>
          <w:tcPr>
            <w:tcW w:w="1416" w:type="dxa"/>
            <w:tcBorders>
              <w:left w:val="single" w:sz="4" w:space="0" w:color="FFFFFF"/>
              <w:bottom w:val="single" w:sz="4" w:space="0" w:color="FFFFFF"/>
              <w:right w:val="single" w:sz="4" w:space="0" w:color="FFFFFF"/>
            </w:tcBorders>
            <w:shd w:val="clear" w:color="auto" w:fill="auto"/>
            <w:noWrap/>
            <w:vAlign w:val="center"/>
          </w:tcPr>
          <w:p w14:paraId="63C63EE1"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4.9</w:t>
            </w:r>
          </w:p>
          <w:p w14:paraId="47671CF9"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(3.07-6.75)</w:t>
            </w:r>
          </w:p>
        </w:tc>
      </w:tr>
      <w:tr w:rsidR="00240B15" w:rsidRPr="00276187" w14:paraId="3F4B794B" w14:textId="77777777" w:rsidTr="00240B15">
        <w:trPr>
          <w:trHeight w:val="626"/>
        </w:trPr>
        <w:tc>
          <w:tcPr>
            <w:tcW w:w="1993"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01681C35" w14:textId="77777777" w:rsidR="00240B15" w:rsidRPr="00276187" w:rsidRDefault="00240B15" w:rsidP="00240B15">
            <w:pPr>
              <w:spacing w:after="0" w:line="240" w:lineRule="auto"/>
              <w:rPr>
                <w:rFonts w:ascii="Calibri" w:hAnsi="Calibri" w:cs="Arial"/>
                <w:sz w:val="20"/>
                <w:szCs w:val="20"/>
              </w:rPr>
            </w:pPr>
            <w:r w:rsidRPr="00276187">
              <w:rPr>
                <w:rFonts w:ascii="Calibri" w:hAnsi="Calibri" w:cs="Arial"/>
                <w:sz w:val="20"/>
                <w:szCs w:val="20"/>
              </w:rPr>
              <w:t>SD</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120EE018"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645</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5FB7AD18"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0.08</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247855CA"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0.17</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377FDCEE"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4.36</w:t>
            </w:r>
          </w:p>
        </w:tc>
      </w:tr>
      <w:tr w:rsidR="00240B15" w:rsidRPr="00276187" w14:paraId="06FA0A08" w14:textId="77777777" w:rsidTr="00240B15">
        <w:trPr>
          <w:trHeight w:val="626"/>
        </w:trPr>
        <w:tc>
          <w:tcPr>
            <w:tcW w:w="1993"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4D78FC20" w14:textId="77777777" w:rsidR="00240B15" w:rsidRPr="00276187" w:rsidRDefault="00240B15" w:rsidP="00240B15">
            <w:pPr>
              <w:spacing w:after="0" w:line="240" w:lineRule="auto"/>
              <w:rPr>
                <w:rFonts w:ascii="Calibri" w:hAnsi="Calibri" w:cs="Arial"/>
                <w:sz w:val="20"/>
                <w:szCs w:val="20"/>
              </w:rPr>
            </w:pPr>
            <w:r w:rsidRPr="00276187">
              <w:rPr>
                <w:rFonts w:ascii="Calibri" w:hAnsi="Calibri" w:cs="Arial"/>
                <w:sz w:val="20"/>
                <w:szCs w:val="20"/>
              </w:rPr>
              <w:t>Median (95% CI)</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356D3536"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1740</w:t>
            </w:r>
          </w:p>
          <w:p w14:paraId="399F2D70"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(1267–1854)</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2A9EECD8"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0.09</w:t>
            </w:r>
          </w:p>
          <w:p w14:paraId="2DF0D510"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(0.03–0.12)</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0B2AA24E"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0.13</w:t>
            </w:r>
          </w:p>
          <w:p w14:paraId="7DA1357E"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(0.05–0.26)</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2C8E1497"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4.48</w:t>
            </w:r>
          </w:p>
          <w:p w14:paraId="61B8BB65"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(1.63–6.83)</w:t>
            </w:r>
          </w:p>
        </w:tc>
      </w:tr>
      <w:tr w:rsidR="00240B15" w:rsidRPr="00276187" w14:paraId="5544C722" w14:textId="77777777" w:rsidTr="00240B15">
        <w:trPr>
          <w:trHeight w:val="626"/>
        </w:trPr>
        <w:tc>
          <w:tcPr>
            <w:tcW w:w="1993"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415F7D71" w14:textId="77777777" w:rsidR="00240B15" w:rsidRPr="00276187" w:rsidRDefault="00240B15" w:rsidP="00240B15">
            <w:pPr>
              <w:spacing w:after="0" w:line="240" w:lineRule="auto"/>
              <w:rPr>
                <w:rFonts w:ascii="Calibri" w:hAnsi="Calibri" w:cs="Arial"/>
                <w:sz w:val="20"/>
                <w:szCs w:val="20"/>
              </w:rPr>
            </w:pPr>
            <w:r w:rsidRPr="00276187">
              <w:rPr>
                <w:rFonts w:ascii="Calibri" w:hAnsi="Calibri" w:cs="Arial"/>
                <w:sz w:val="20"/>
                <w:szCs w:val="20"/>
              </w:rPr>
              <w:t>Interquartile Range</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075C3C29"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1255–2033</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787C97C7"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0.02–0.14</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5ED7B7E9"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0.02–0.27</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14B740FC"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0.97–7.5</w:t>
            </w:r>
          </w:p>
        </w:tc>
      </w:tr>
      <w:tr w:rsidR="00240B15" w:rsidRPr="00276187" w14:paraId="10C9290B" w14:textId="77777777" w:rsidTr="00240B15">
        <w:trPr>
          <w:trHeight w:val="626"/>
        </w:trPr>
        <w:tc>
          <w:tcPr>
            <w:tcW w:w="1993"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4A98370C" w14:textId="77777777" w:rsidR="00240B15" w:rsidRPr="00276187" w:rsidRDefault="00240B15" w:rsidP="00240B15">
            <w:pPr>
              <w:spacing w:after="0" w:line="240" w:lineRule="auto"/>
              <w:rPr>
                <w:rFonts w:ascii="Calibri" w:hAnsi="Calibri" w:cs="Arial"/>
                <w:sz w:val="20"/>
                <w:szCs w:val="20"/>
              </w:rPr>
            </w:pPr>
            <w:r w:rsidRPr="00276187">
              <w:rPr>
                <w:rFonts w:ascii="Calibri" w:hAnsi="Calibri" w:cs="Arial"/>
                <w:sz w:val="20"/>
                <w:szCs w:val="20"/>
              </w:rPr>
              <w:t>Relative Standard Deviation</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4C849D14"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0.38</w:t>
            </w:r>
          </w:p>
        </w:tc>
        <w:tc>
          <w:tcPr>
            <w:tcW w:w="1416" w:type="dxa"/>
            <w:tcBorders>
              <w:top w:val="single" w:sz="4" w:space="0" w:color="FFFFFF"/>
              <w:left w:val="single" w:sz="4" w:space="0" w:color="FFFFFF"/>
              <w:bottom w:val="single" w:sz="4" w:space="0" w:color="FFFFFF"/>
              <w:right w:val="single" w:sz="4" w:space="0" w:color="FFFFFF"/>
            </w:tcBorders>
            <w:shd w:val="clear" w:color="auto" w:fill="auto"/>
            <w:vAlign w:val="center"/>
          </w:tcPr>
          <w:p w14:paraId="168ADA51"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0.83</w:t>
            </w:r>
          </w:p>
        </w:tc>
        <w:tc>
          <w:tcPr>
            <w:tcW w:w="1416" w:type="dxa"/>
            <w:tcBorders>
              <w:top w:val="single" w:sz="4" w:space="0" w:color="FFFFFF"/>
              <w:left w:val="single" w:sz="4" w:space="0" w:color="FFFFFF"/>
              <w:bottom w:val="single" w:sz="4" w:space="0" w:color="FFFFFF"/>
              <w:right w:val="single" w:sz="4" w:space="0" w:color="FFFFFF"/>
            </w:tcBorders>
            <w:shd w:val="clear" w:color="auto" w:fill="auto"/>
            <w:vAlign w:val="center"/>
          </w:tcPr>
          <w:p w14:paraId="67E604EE"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0.97</w:t>
            </w:r>
          </w:p>
        </w:tc>
        <w:tc>
          <w:tcPr>
            <w:tcW w:w="1416" w:type="dxa"/>
            <w:tcBorders>
              <w:top w:val="single" w:sz="4" w:space="0" w:color="FFFFFF"/>
              <w:left w:val="single" w:sz="4" w:space="0" w:color="FFFFFF"/>
              <w:bottom w:val="single" w:sz="4" w:space="0" w:color="FFFFFF"/>
              <w:right w:val="single" w:sz="4" w:space="0" w:color="FFFFFF"/>
            </w:tcBorders>
            <w:shd w:val="clear" w:color="auto" w:fill="auto"/>
            <w:vAlign w:val="center"/>
          </w:tcPr>
          <w:p w14:paraId="7E57FE71"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0.89</w:t>
            </w:r>
          </w:p>
        </w:tc>
      </w:tr>
      <w:tr w:rsidR="00240B15" w:rsidRPr="00276187" w14:paraId="634CB27D" w14:textId="77777777" w:rsidTr="00240B15">
        <w:trPr>
          <w:trHeight w:val="626"/>
        </w:trPr>
        <w:tc>
          <w:tcPr>
            <w:tcW w:w="1993" w:type="dxa"/>
            <w:tcBorders>
              <w:top w:val="single" w:sz="4" w:space="0" w:color="FFFFFF"/>
              <w:left w:val="single" w:sz="4" w:space="0" w:color="FFFFFF"/>
              <w:right w:val="single" w:sz="4" w:space="0" w:color="FFFFFF"/>
            </w:tcBorders>
            <w:shd w:val="clear" w:color="auto" w:fill="auto"/>
            <w:noWrap/>
            <w:vAlign w:val="center"/>
          </w:tcPr>
          <w:p w14:paraId="1038455E" w14:textId="77777777" w:rsidR="00240B15" w:rsidRPr="00276187" w:rsidRDefault="00240B15" w:rsidP="00240B15">
            <w:pPr>
              <w:spacing w:after="0" w:line="240" w:lineRule="auto"/>
              <w:rPr>
                <w:rFonts w:ascii="Calibri" w:hAnsi="Calibri" w:cs="Arial"/>
                <w:sz w:val="20"/>
                <w:szCs w:val="20"/>
              </w:rPr>
            </w:pPr>
            <w:proofErr w:type="spellStart"/>
            <w:r w:rsidRPr="00276187">
              <w:rPr>
                <w:rFonts w:ascii="Calibri" w:hAnsi="Calibri" w:cs="Arial"/>
                <w:sz w:val="20"/>
                <w:szCs w:val="20"/>
              </w:rPr>
              <w:t>D’Agostino</w:t>
            </w:r>
            <w:proofErr w:type="spellEnd"/>
            <w:r w:rsidRPr="00276187">
              <w:rPr>
                <w:rFonts w:ascii="Calibri" w:hAnsi="Calibri" w:cs="Arial"/>
                <w:sz w:val="20"/>
                <w:szCs w:val="20"/>
              </w:rPr>
              <w:t>-Pearson</w:t>
            </w:r>
          </w:p>
        </w:tc>
        <w:tc>
          <w:tcPr>
            <w:tcW w:w="1416" w:type="dxa"/>
            <w:tcBorders>
              <w:top w:val="single" w:sz="4" w:space="0" w:color="FFFFFF"/>
              <w:left w:val="single" w:sz="4" w:space="0" w:color="FFFFFF"/>
              <w:right w:val="single" w:sz="4" w:space="0" w:color="FFFFFF"/>
            </w:tcBorders>
            <w:shd w:val="clear" w:color="auto" w:fill="auto"/>
            <w:noWrap/>
            <w:vAlign w:val="center"/>
          </w:tcPr>
          <w:p w14:paraId="59C9EDBB"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0.0573</w:t>
            </w:r>
          </w:p>
        </w:tc>
        <w:tc>
          <w:tcPr>
            <w:tcW w:w="1416" w:type="dxa"/>
            <w:tcBorders>
              <w:top w:val="single" w:sz="4" w:space="0" w:color="FFFFFF"/>
              <w:left w:val="single" w:sz="4" w:space="0" w:color="FFFFFF"/>
              <w:right w:val="single" w:sz="4" w:space="0" w:color="FFFFFF"/>
            </w:tcBorders>
            <w:shd w:val="clear" w:color="auto" w:fill="auto"/>
            <w:vAlign w:val="center"/>
          </w:tcPr>
          <w:p w14:paraId="32B1FCD2"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0.39</w:t>
            </w:r>
          </w:p>
        </w:tc>
        <w:tc>
          <w:tcPr>
            <w:tcW w:w="1416" w:type="dxa"/>
            <w:tcBorders>
              <w:top w:val="single" w:sz="4" w:space="0" w:color="FFFFFF"/>
              <w:left w:val="single" w:sz="4" w:space="0" w:color="FFFFFF"/>
              <w:right w:val="single" w:sz="4" w:space="0" w:color="FFFFFF"/>
            </w:tcBorders>
            <w:shd w:val="clear" w:color="auto" w:fill="auto"/>
            <w:vAlign w:val="center"/>
          </w:tcPr>
          <w:p w14:paraId="713CCE9E"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0.04</w:t>
            </w:r>
          </w:p>
        </w:tc>
        <w:tc>
          <w:tcPr>
            <w:tcW w:w="1416" w:type="dxa"/>
            <w:tcBorders>
              <w:top w:val="single" w:sz="4" w:space="0" w:color="FFFFFF"/>
              <w:left w:val="single" w:sz="4" w:space="0" w:color="FFFFFF"/>
              <w:right w:val="single" w:sz="4" w:space="0" w:color="FFFFFF"/>
            </w:tcBorders>
            <w:shd w:val="clear" w:color="auto" w:fill="auto"/>
            <w:vAlign w:val="center"/>
          </w:tcPr>
          <w:p w14:paraId="44CF646E"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0.05</w:t>
            </w:r>
          </w:p>
        </w:tc>
      </w:tr>
      <w:tr w:rsidR="00240B15" w:rsidRPr="00276187" w14:paraId="0F3D3327" w14:textId="77777777" w:rsidTr="00240B15">
        <w:trPr>
          <w:gridAfter w:val="4"/>
          <w:wAfter w:w="5664" w:type="dxa"/>
          <w:trHeight w:val="626"/>
        </w:trPr>
        <w:tc>
          <w:tcPr>
            <w:tcW w:w="1993" w:type="dxa"/>
            <w:tcBorders>
              <w:left w:val="single" w:sz="4" w:space="0" w:color="FFFFFF"/>
              <w:right w:val="single" w:sz="4" w:space="0" w:color="FFFFFF"/>
            </w:tcBorders>
            <w:shd w:val="clear" w:color="auto" w:fill="auto"/>
            <w:noWrap/>
            <w:vAlign w:val="center"/>
          </w:tcPr>
          <w:p w14:paraId="10686025" w14:textId="77777777" w:rsidR="00240B15" w:rsidRPr="00276187" w:rsidRDefault="00240B15" w:rsidP="00240B15">
            <w:pPr>
              <w:spacing w:after="0" w:line="240" w:lineRule="auto"/>
              <w:rPr>
                <w:rFonts w:ascii="Calibri" w:hAnsi="Calibri" w:cs="Arial"/>
                <w:sz w:val="20"/>
                <w:szCs w:val="20"/>
              </w:rPr>
            </w:pPr>
            <w:proofErr w:type="spellStart"/>
            <w:r>
              <w:rPr>
                <w:rFonts w:ascii="Calibri" w:hAnsi="Calibri" w:cs="Arial"/>
                <w:sz w:val="20"/>
                <w:szCs w:val="20"/>
              </w:rPr>
              <w:t>Metaphyseal</w:t>
            </w:r>
            <w:proofErr w:type="spellEnd"/>
            <w:r>
              <w:rPr>
                <w:rFonts w:ascii="Calibri" w:hAnsi="Calibri" w:cs="Arial"/>
                <w:sz w:val="20"/>
                <w:szCs w:val="20"/>
              </w:rPr>
              <w:t xml:space="preserve"> Marrow</w:t>
            </w:r>
          </w:p>
        </w:tc>
      </w:tr>
      <w:tr w:rsidR="00240B15" w:rsidRPr="00276187" w14:paraId="38A042F2" w14:textId="77777777" w:rsidTr="00240B15">
        <w:trPr>
          <w:trHeight w:val="626"/>
        </w:trPr>
        <w:tc>
          <w:tcPr>
            <w:tcW w:w="1993" w:type="dxa"/>
            <w:tcBorders>
              <w:left w:val="single" w:sz="4" w:space="0" w:color="FFFFFF"/>
              <w:bottom w:val="single" w:sz="4" w:space="0" w:color="FFFFFF"/>
              <w:right w:val="single" w:sz="4" w:space="0" w:color="FFFFFF"/>
            </w:tcBorders>
            <w:shd w:val="clear" w:color="auto" w:fill="auto"/>
            <w:noWrap/>
            <w:vAlign w:val="center"/>
          </w:tcPr>
          <w:p w14:paraId="39E00C20" w14:textId="77777777" w:rsidR="00240B15" w:rsidRPr="00276187" w:rsidRDefault="00240B15" w:rsidP="00240B15">
            <w:pPr>
              <w:spacing w:after="0" w:line="240" w:lineRule="auto"/>
              <w:rPr>
                <w:rFonts w:ascii="Calibri" w:hAnsi="Calibri" w:cs="Arial"/>
                <w:sz w:val="20"/>
                <w:szCs w:val="20"/>
              </w:rPr>
            </w:pPr>
            <w:r w:rsidRPr="00276187">
              <w:rPr>
                <w:rFonts w:ascii="Calibri" w:hAnsi="Calibri" w:cs="Arial"/>
                <w:sz w:val="20"/>
                <w:szCs w:val="20"/>
              </w:rPr>
              <w:t>Mean (95% CI)</w:t>
            </w:r>
          </w:p>
        </w:tc>
        <w:tc>
          <w:tcPr>
            <w:tcW w:w="1416" w:type="dxa"/>
            <w:tcBorders>
              <w:left w:val="single" w:sz="4" w:space="0" w:color="FFFFFF"/>
              <w:bottom w:val="single" w:sz="4" w:space="0" w:color="FFFFFF"/>
              <w:right w:val="single" w:sz="4" w:space="0" w:color="FFFFFF"/>
            </w:tcBorders>
            <w:shd w:val="clear" w:color="auto" w:fill="auto"/>
            <w:noWrap/>
            <w:vAlign w:val="center"/>
          </w:tcPr>
          <w:p w14:paraId="633E00DD"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428.7</w:t>
            </w:r>
          </w:p>
          <w:p w14:paraId="5CB404EF"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(178–678</w:t>
            </w:r>
            <w:r w:rsidRPr="00276187">
              <w:rPr>
                <w:rFonts w:ascii="Calibri" w:hAnsi="Calibri" w:cs="Arial"/>
                <w:sz w:val="20"/>
                <w:szCs w:val="20"/>
              </w:rPr>
              <w:t>)</w:t>
            </w:r>
          </w:p>
        </w:tc>
        <w:tc>
          <w:tcPr>
            <w:tcW w:w="1416" w:type="dxa"/>
            <w:tcBorders>
              <w:left w:val="single" w:sz="4" w:space="0" w:color="FFFFFF"/>
              <w:bottom w:val="single" w:sz="4" w:space="0" w:color="FFFFFF"/>
              <w:right w:val="single" w:sz="4" w:space="0" w:color="FFFFFF"/>
            </w:tcBorders>
            <w:shd w:val="clear" w:color="auto" w:fill="auto"/>
            <w:noWrap/>
            <w:vAlign w:val="center"/>
          </w:tcPr>
          <w:p w14:paraId="012E3F30"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0.09</w:t>
            </w:r>
          </w:p>
          <w:p w14:paraId="663AB94D"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(0.03–0.15)</w:t>
            </w:r>
          </w:p>
        </w:tc>
        <w:tc>
          <w:tcPr>
            <w:tcW w:w="1416" w:type="dxa"/>
            <w:tcBorders>
              <w:left w:val="single" w:sz="4" w:space="0" w:color="FFFFFF"/>
              <w:bottom w:val="single" w:sz="4" w:space="0" w:color="FFFFFF"/>
              <w:right w:val="single" w:sz="4" w:space="0" w:color="FFFFFF"/>
            </w:tcBorders>
            <w:shd w:val="clear" w:color="auto" w:fill="auto"/>
            <w:noWrap/>
            <w:vAlign w:val="center"/>
          </w:tcPr>
          <w:p w14:paraId="75E3A6E5"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0.11</w:t>
            </w:r>
          </w:p>
          <w:p w14:paraId="3986A863"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(0.05–0.17</w:t>
            </w:r>
            <w:r w:rsidRPr="00276187">
              <w:rPr>
                <w:rFonts w:ascii="Calibri" w:hAnsi="Calibri" w:cs="Arial"/>
                <w:sz w:val="20"/>
                <w:szCs w:val="20"/>
              </w:rPr>
              <w:t>)</w:t>
            </w:r>
          </w:p>
        </w:tc>
        <w:tc>
          <w:tcPr>
            <w:tcW w:w="1416" w:type="dxa"/>
            <w:tcBorders>
              <w:left w:val="single" w:sz="4" w:space="0" w:color="FFFFFF"/>
              <w:bottom w:val="single" w:sz="4" w:space="0" w:color="FFFFFF"/>
              <w:right w:val="single" w:sz="4" w:space="0" w:color="FFFFFF"/>
            </w:tcBorders>
            <w:shd w:val="clear" w:color="auto" w:fill="auto"/>
            <w:noWrap/>
            <w:vAlign w:val="center"/>
          </w:tcPr>
          <w:p w14:paraId="7DF6A7EA"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4.28</w:t>
            </w:r>
          </w:p>
          <w:p w14:paraId="7A94C6EC"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(1.5–6.8</w:t>
            </w:r>
            <w:r w:rsidRPr="00276187">
              <w:rPr>
                <w:rFonts w:ascii="Calibri" w:hAnsi="Calibri" w:cs="Arial"/>
                <w:sz w:val="20"/>
                <w:szCs w:val="20"/>
              </w:rPr>
              <w:t>)</w:t>
            </w:r>
          </w:p>
        </w:tc>
      </w:tr>
      <w:tr w:rsidR="00240B15" w:rsidRPr="00276187" w14:paraId="42224376" w14:textId="77777777" w:rsidTr="00240B15">
        <w:trPr>
          <w:trHeight w:val="626"/>
        </w:trPr>
        <w:tc>
          <w:tcPr>
            <w:tcW w:w="1993"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77351773" w14:textId="77777777" w:rsidR="00240B15" w:rsidRPr="00276187" w:rsidRDefault="00240B15" w:rsidP="00240B15">
            <w:pPr>
              <w:spacing w:after="0" w:line="240" w:lineRule="auto"/>
              <w:rPr>
                <w:rFonts w:ascii="Calibri" w:hAnsi="Calibri" w:cs="Arial"/>
                <w:sz w:val="20"/>
                <w:szCs w:val="20"/>
              </w:rPr>
            </w:pPr>
            <w:r w:rsidRPr="00276187">
              <w:rPr>
                <w:rFonts w:ascii="Calibri" w:hAnsi="Calibri" w:cs="Arial"/>
                <w:sz w:val="20"/>
                <w:szCs w:val="20"/>
              </w:rPr>
              <w:t>SD</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4AD1994D"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509</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65F308FF"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0.11</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37ACF94D"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0.12</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01E4D093"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5.2</w:t>
            </w:r>
          </w:p>
        </w:tc>
      </w:tr>
      <w:tr w:rsidR="00240B15" w:rsidRPr="00276187" w14:paraId="33F2D6B9" w14:textId="77777777" w:rsidTr="00240B15">
        <w:trPr>
          <w:trHeight w:val="626"/>
        </w:trPr>
        <w:tc>
          <w:tcPr>
            <w:tcW w:w="1993"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3782D837" w14:textId="77777777" w:rsidR="00240B15" w:rsidRPr="00276187" w:rsidRDefault="00240B15" w:rsidP="00240B15">
            <w:pPr>
              <w:spacing w:after="0" w:line="240" w:lineRule="auto"/>
              <w:rPr>
                <w:rFonts w:ascii="Calibri" w:hAnsi="Calibri" w:cs="Arial"/>
                <w:sz w:val="20"/>
                <w:szCs w:val="20"/>
              </w:rPr>
            </w:pPr>
            <w:r w:rsidRPr="00276187">
              <w:rPr>
                <w:rFonts w:ascii="Calibri" w:hAnsi="Calibri" w:cs="Arial"/>
                <w:sz w:val="20"/>
                <w:szCs w:val="20"/>
              </w:rPr>
              <w:t>Median (95% CI)</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31AD985D"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260</w:t>
            </w:r>
          </w:p>
          <w:p w14:paraId="6BBAEE37"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(227–328)</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7D51AA4A"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0.04</w:t>
            </w:r>
          </w:p>
          <w:p w14:paraId="40FED1E4"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(0.02–0.11)</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0AC6FF28"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0.06</w:t>
            </w:r>
          </w:p>
          <w:p w14:paraId="0F376785" w14:textId="3B20A6CE"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(0.03–0.17</w:t>
            </w:r>
            <w:r w:rsidRPr="00276187">
              <w:rPr>
                <w:rFonts w:ascii="Calibri" w:hAnsi="Calibri" w:cs="Arial"/>
                <w:sz w:val="20"/>
                <w:szCs w:val="20"/>
              </w:rPr>
              <w:t>)</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5B8AFF74"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1.79</w:t>
            </w:r>
          </w:p>
          <w:p w14:paraId="7E76F06F"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(0.9–6.0)</w:t>
            </w:r>
          </w:p>
        </w:tc>
      </w:tr>
      <w:tr w:rsidR="00240B15" w:rsidRPr="00276187" w14:paraId="32AA9310" w14:textId="77777777" w:rsidTr="00240B15">
        <w:trPr>
          <w:trHeight w:val="626"/>
        </w:trPr>
        <w:tc>
          <w:tcPr>
            <w:tcW w:w="1993"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06244F8D" w14:textId="77777777" w:rsidR="00240B15" w:rsidRPr="00276187" w:rsidRDefault="00240B15" w:rsidP="00240B15">
            <w:pPr>
              <w:spacing w:after="0" w:line="240" w:lineRule="auto"/>
              <w:rPr>
                <w:rFonts w:ascii="Calibri" w:hAnsi="Calibri" w:cs="Arial"/>
                <w:sz w:val="20"/>
                <w:szCs w:val="20"/>
              </w:rPr>
            </w:pPr>
            <w:r w:rsidRPr="00276187">
              <w:rPr>
                <w:rFonts w:ascii="Calibri" w:hAnsi="Calibri" w:cs="Arial"/>
                <w:sz w:val="20"/>
                <w:szCs w:val="20"/>
              </w:rPr>
              <w:t>Interquartile Range</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3A0C8D9E"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224–330</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0EA1C57C"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0.02–0.13</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6F21ECC7"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0.03–0.16</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03857A1E"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0.8–6.7</w:t>
            </w:r>
          </w:p>
        </w:tc>
      </w:tr>
      <w:tr w:rsidR="00240B15" w:rsidRPr="00276187" w14:paraId="2BCB13E5" w14:textId="77777777" w:rsidTr="00240B15">
        <w:trPr>
          <w:trHeight w:val="626"/>
        </w:trPr>
        <w:tc>
          <w:tcPr>
            <w:tcW w:w="1993"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54D88F33" w14:textId="77777777" w:rsidR="00240B15" w:rsidRPr="00276187" w:rsidRDefault="00240B15" w:rsidP="00240B15">
            <w:pPr>
              <w:spacing w:after="0" w:line="240" w:lineRule="auto"/>
              <w:rPr>
                <w:rFonts w:ascii="Calibri" w:hAnsi="Calibri" w:cs="Arial"/>
                <w:sz w:val="20"/>
                <w:szCs w:val="20"/>
              </w:rPr>
            </w:pPr>
            <w:r w:rsidRPr="00276187">
              <w:rPr>
                <w:rFonts w:ascii="Calibri" w:hAnsi="Calibri" w:cs="Arial"/>
                <w:sz w:val="20"/>
                <w:szCs w:val="20"/>
              </w:rPr>
              <w:t>Relative Standard Deviation</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12FA6ED2"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1</w:t>
            </w:r>
            <w:r>
              <w:rPr>
                <w:rFonts w:ascii="Calibri" w:hAnsi="Calibri" w:cs="Arial"/>
                <w:sz w:val="20"/>
                <w:szCs w:val="20"/>
              </w:rPr>
              <w:t>.</w:t>
            </w:r>
            <w:r w:rsidRPr="00276187">
              <w:rPr>
                <w:rFonts w:ascii="Calibri" w:hAnsi="Calibri" w:cs="Arial"/>
                <w:sz w:val="20"/>
                <w:szCs w:val="20"/>
              </w:rPr>
              <w:t>19</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2C7A3938"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1</w:t>
            </w:r>
            <w:r>
              <w:rPr>
                <w:rFonts w:ascii="Calibri" w:hAnsi="Calibri" w:cs="Arial"/>
                <w:sz w:val="20"/>
                <w:szCs w:val="20"/>
              </w:rPr>
              <w:t>.</w:t>
            </w:r>
            <w:r w:rsidRPr="00276187">
              <w:rPr>
                <w:rFonts w:ascii="Calibri" w:hAnsi="Calibri" w:cs="Arial"/>
                <w:sz w:val="20"/>
                <w:szCs w:val="20"/>
              </w:rPr>
              <w:t>29</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67F1E565" w14:textId="77777777" w:rsidR="00240B15" w:rsidRPr="00276187" w:rsidRDefault="00240B15" w:rsidP="00240B15">
            <w:pPr>
              <w:spacing w:after="0" w:line="240" w:lineRule="auto"/>
              <w:jc w:val="center"/>
              <w:rPr>
                <w:rFonts w:ascii="Calibri" w:hAnsi="Calibri" w:cs="Arial"/>
                <w:sz w:val="20"/>
                <w:szCs w:val="20"/>
              </w:rPr>
            </w:pPr>
            <w:r>
              <w:rPr>
                <w:rFonts w:ascii="Calibri" w:hAnsi="Calibri" w:cs="Arial"/>
                <w:sz w:val="20"/>
                <w:szCs w:val="20"/>
              </w:rPr>
              <w:t>1.07</w:t>
            </w:r>
          </w:p>
        </w:tc>
        <w:tc>
          <w:tcPr>
            <w:tcW w:w="1416" w:type="dxa"/>
            <w:tcBorders>
              <w:top w:val="single" w:sz="4" w:space="0" w:color="FFFFFF"/>
              <w:left w:val="single" w:sz="4" w:space="0" w:color="FFFFFF"/>
              <w:bottom w:val="single" w:sz="4" w:space="0" w:color="FFFFFF"/>
              <w:right w:val="single" w:sz="4" w:space="0" w:color="FFFFFF"/>
            </w:tcBorders>
            <w:shd w:val="clear" w:color="auto" w:fill="auto"/>
            <w:noWrap/>
            <w:vAlign w:val="center"/>
          </w:tcPr>
          <w:p w14:paraId="45FA3B8B"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1</w:t>
            </w:r>
            <w:r>
              <w:rPr>
                <w:rFonts w:ascii="Calibri" w:hAnsi="Calibri" w:cs="Arial"/>
                <w:sz w:val="20"/>
                <w:szCs w:val="20"/>
              </w:rPr>
              <w:t>.</w:t>
            </w:r>
            <w:r w:rsidRPr="00276187">
              <w:rPr>
                <w:rFonts w:ascii="Calibri" w:hAnsi="Calibri" w:cs="Arial"/>
                <w:sz w:val="20"/>
                <w:szCs w:val="20"/>
              </w:rPr>
              <w:t>22</w:t>
            </w:r>
          </w:p>
        </w:tc>
      </w:tr>
      <w:tr w:rsidR="00240B15" w:rsidRPr="00276187" w14:paraId="0885E5D7" w14:textId="77777777" w:rsidTr="00240B15">
        <w:trPr>
          <w:trHeight w:val="626"/>
        </w:trPr>
        <w:tc>
          <w:tcPr>
            <w:tcW w:w="1993" w:type="dxa"/>
            <w:tcBorders>
              <w:top w:val="single" w:sz="4" w:space="0" w:color="FFFFFF"/>
              <w:left w:val="single" w:sz="4" w:space="0" w:color="FFFFFF"/>
              <w:right w:val="single" w:sz="4" w:space="0" w:color="FFFFFF"/>
            </w:tcBorders>
            <w:shd w:val="clear" w:color="auto" w:fill="auto"/>
            <w:noWrap/>
            <w:vAlign w:val="center"/>
          </w:tcPr>
          <w:p w14:paraId="28C70E36" w14:textId="77777777" w:rsidR="00240B15" w:rsidRPr="00276187" w:rsidRDefault="00240B15" w:rsidP="00240B15">
            <w:pPr>
              <w:spacing w:after="0" w:line="240" w:lineRule="auto"/>
              <w:rPr>
                <w:rFonts w:ascii="Calibri" w:hAnsi="Calibri" w:cs="Arial"/>
                <w:sz w:val="20"/>
                <w:szCs w:val="20"/>
              </w:rPr>
            </w:pPr>
            <w:proofErr w:type="spellStart"/>
            <w:r w:rsidRPr="00276187">
              <w:rPr>
                <w:rFonts w:ascii="Calibri" w:hAnsi="Calibri" w:cs="Arial"/>
                <w:sz w:val="20"/>
                <w:szCs w:val="20"/>
              </w:rPr>
              <w:t>D’Agostino</w:t>
            </w:r>
            <w:proofErr w:type="spellEnd"/>
            <w:r w:rsidRPr="00276187">
              <w:rPr>
                <w:rFonts w:ascii="Calibri" w:hAnsi="Calibri" w:cs="Arial"/>
                <w:sz w:val="20"/>
                <w:szCs w:val="20"/>
              </w:rPr>
              <w:t>-Pearson</w:t>
            </w:r>
          </w:p>
        </w:tc>
        <w:tc>
          <w:tcPr>
            <w:tcW w:w="1416" w:type="dxa"/>
            <w:tcBorders>
              <w:top w:val="single" w:sz="4" w:space="0" w:color="FFFFFF"/>
              <w:left w:val="single" w:sz="4" w:space="0" w:color="FFFFFF"/>
              <w:right w:val="single" w:sz="4" w:space="0" w:color="FFFFFF"/>
            </w:tcBorders>
            <w:shd w:val="clear" w:color="auto" w:fill="auto"/>
            <w:noWrap/>
            <w:vAlign w:val="center"/>
          </w:tcPr>
          <w:p w14:paraId="7778F52C"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&lt;0.0001</w:t>
            </w:r>
          </w:p>
        </w:tc>
        <w:tc>
          <w:tcPr>
            <w:tcW w:w="1416" w:type="dxa"/>
            <w:tcBorders>
              <w:top w:val="single" w:sz="4" w:space="0" w:color="FFFFFF"/>
              <w:left w:val="single" w:sz="4" w:space="0" w:color="FFFFFF"/>
              <w:right w:val="single" w:sz="4" w:space="0" w:color="FFFFFF"/>
            </w:tcBorders>
            <w:shd w:val="clear" w:color="auto" w:fill="auto"/>
            <w:noWrap/>
            <w:vAlign w:val="center"/>
          </w:tcPr>
          <w:p w14:paraId="766284BA"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0.017</w:t>
            </w:r>
          </w:p>
        </w:tc>
        <w:tc>
          <w:tcPr>
            <w:tcW w:w="1416" w:type="dxa"/>
            <w:tcBorders>
              <w:top w:val="single" w:sz="4" w:space="0" w:color="FFFFFF"/>
              <w:left w:val="single" w:sz="4" w:space="0" w:color="FFFFFF"/>
              <w:right w:val="single" w:sz="4" w:space="0" w:color="FFFFFF"/>
            </w:tcBorders>
            <w:shd w:val="clear" w:color="auto" w:fill="auto"/>
            <w:noWrap/>
            <w:vAlign w:val="center"/>
          </w:tcPr>
          <w:p w14:paraId="3C8ADB91"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&lt;0.0001</w:t>
            </w:r>
          </w:p>
        </w:tc>
        <w:tc>
          <w:tcPr>
            <w:tcW w:w="1416" w:type="dxa"/>
            <w:tcBorders>
              <w:top w:val="single" w:sz="4" w:space="0" w:color="FFFFFF"/>
              <w:left w:val="single" w:sz="4" w:space="0" w:color="FFFFFF"/>
              <w:right w:val="single" w:sz="4" w:space="0" w:color="FFFFFF"/>
            </w:tcBorders>
            <w:shd w:val="clear" w:color="auto" w:fill="auto"/>
            <w:noWrap/>
            <w:vAlign w:val="center"/>
          </w:tcPr>
          <w:p w14:paraId="3616173A" w14:textId="77777777" w:rsidR="00240B15" w:rsidRPr="00276187" w:rsidRDefault="00240B15" w:rsidP="00240B15">
            <w:pPr>
              <w:spacing w:after="0" w:line="240" w:lineRule="auto"/>
              <w:jc w:val="center"/>
              <w:rPr>
                <w:rFonts w:ascii="Calibri" w:hAnsi="Calibri" w:cs="Arial"/>
                <w:sz w:val="20"/>
                <w:szCs w:val="20"/>
              </w:rPr>
            </w:pPr>
            <w:r w:rsidRPr="00276187">
              <w:rPr>
                <w:rFonts w:ascii="Calibri" w:hAnsi="Calibri" w:cs="Arial"/>
                <w:sz w:val="20"/>
                <w:szCs w:val="20"/>
              </w:rPr>
              <w:t>0.09</w:t>
            </w:r>
          </w:p>
        </w:tc>
      </w:tr>
    </w:tbl>
    <w:p w14:paraId="4C715C0D" w14:textId="77777777" w:rsidR="00D9296A" w:rsidRDefault="00D9296A">
      <w:pPr>
        <w:rPr>
          <w:rFonts w:cs="Arial"/>
        </w:rPr>
      </w:pPr>
    </w:p>
    <w:p w14:paraId="1C68C513" w14:textId="77777777" w:rsidR="00AB5951" w:rsidRDefault="00AB5951">
      <w:pPr>
        <w:rPr>
          <w:rFonts w:cs="Arial"/>
        </w:rPr>
      </w:pPr>
    </w:p>
    <w:p w14:paraId="794B8DA3" w14:textId="77777777" w:rsidR="00AB5951" w:rsidRDefault="00AB5951">
      <w:pPr>
        <w:rPr>
          <w:rFonts w:cs="Arial"/>
        </w:rPr>
      </w:pPr>
    </w:p>
    <w:p w14:paraId="3B97CCFA" w14:textId="77777777" w:rsidR="00AB5951" w:rsidRDefault="00AB5951">
      <w:pPr>
        <w:rPr>
          <w:rFonts w:cs="Arial"/>
        </w:rPr>
      </w:pPr>
    </w:p>
    <w:p w14:paraId="4C739256" w14:textId="77777777" w:rsidR="00AB5951" w:rsidRDefault="00AB5951">
      <w:pPr>
        <w:rPr>
          <w:rFonts w:cs="Arial"/>
        </w:rPr>
      </w:pPr>
    </w:p>
    <w:p w14:paraId="09DF1371" w14:textId="77777777" w:rsidR="00AB5951" w:rsidRDefault="00AB5951">
      <w:pPr>
        <w:rPr>
          <w:rFonts w:cs="Arial"/>
        </w:rPr>
      </w:pPr>
    </w:p>
    <w:p w14:paraId="46B26984" w14:textId="77777777" w:rsidR="00AB5951" w:rsidRDefault="00AB5951">
      <w:pPr>
        <w:rPr>
          <w:rFonts w:cs="Arial"/>
        </w:rPr>
      </w:pPr>
    </w:p>
    <w:p w14:paraId="7A628134" w14:textId="77777777" w:rsidR="00AB5951" w:rsidRDefault="00AB5951">
      <w:pPr>
        <w:rPr>
          <w:rFonts w:cs="Arial"/>
        </w:rPr>
      </w:pPr>
    </w:p>
    <w:p w14:paraId="15FA925C" w14:textId="77777777" w:rsidR="00AB5951" w:rsidRDefault="00AB5951">
      <w:pPr>
        <w:rPr>
          <w:rFonts w:cs="Arial"/>
        </w:rPr>
      </w:pPr>
    </w:p>
    <w:p w14:paraId="00F18D9E" w14:textId="77777777" w:rsidR="00AB5951" w:rsidRDefault="00AB5951">
      <w:pPr>
        <w:rPr>
          <w:rFonts w:cs="Arial"/>
        </w:rPr>
      </w:pPr>
    </w:p>
    <w:p w14:paraId="09D8DCF5" w14:textId="77777777" w:rsidR="00AB5951" w:rsidRDefault="00AB5951">
      <w:pPr>
        <w:rPr>
          <w:rFonts w:cs="Arial"/>
        </w:rPr>
      </w:pPr>
    </w:p>
    <w:p w14:paraId="31259E2A" w14:textId="373936EE" w:rsidR="00AB5951" w:rsidRDefault="00AB5951" w:rsidP="008B035F">
      <w:pPr>
        <w:pStyle w:val="Heading2"/>
      </w:pPr>
      <w:r>
        <w:br w:type="page"/>
        <w:t xml:space="preserve">Table </w:t>
      </w:r>
      <w:r w:rsidR="00926F0F">
        <w:t>4</w:t>
      </w:r>
    </w:p>
    <w:tbl>
      <w:tblPr>
        <w:tblStyle w:val="LightShading"/>
        <w:tblpPr w:leftFromText="180" w:rightFromText="180" w:horzAnchor="margin" w:tblpY="10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4"/>
        <w:gridCol w:w="1279"/>
        <w:gridCol w:w="1667"/>
        <w:gridCol w:w="1667"/>
        <w:gridCol w:w="1667"/>
        <w:gridCol w:w="1667"/>
      </w:tblGrid>
      <w:tr w:rsidR="00AB5951" w:rsidRPr="00724A8E" w14:paraId="4A4672E0" w14:textId="77777777" w:rsidTr="008B035F">
        <w:trPr>
          <w:cnfStyle w:val="100000000000" w:firstRow="1" w:lastRow="0" w:firstColumn="0" w:lastColumn="0" w:oddVBand="0" w:evenVBand="0" w:oddHBand="0"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1244" w:type="dxa"/>
            <w:tcBorders>
              <w:left w:val="single" w:sz="4" w:space="0" w:color="FFFFFF" w:themeColor="background1"/>
              <w:right w:val="single" w:sz="4" w:space="0" w:color="FFFFFF" w:themeColor="background1"/>
            </w:tcBorders>
            <w:shd w:val="clear" w:color="auto" w:fill="auto"/>
            <w:vAlign w:val="center"/>
          </w:tcPr>
          <w:p w14:paraId="0B31706D" w14:textId="77777777" w:rsidR="00AB5951" w:rsidRPr="00724A8E" w:rsidRDefault="00AB5951" w:rsidP="008B035F">
            <w:pPr>
              <w:spacing w:after="0" w:line="240" w:lineRule="auto"/>
              <w:rPr>
                <w:b w:val="0"/>
                <w:bCs w:val="0"/>
                <w:color w:val="auto"/>
                <w:sz w:val="20"/>
                <w:szCs w:val="20"/>
              </w:rPr>
            </w:pPr>
            <w:r w:rsidRPr="00724A8E">
              <w:rPr>
                <w:b w:val="0"/>
                <w:sz w:val="20"/>
                <w:szCs w:val="20"/>
              </w:rPr>
              <w:t>Reliability</w:t>
            </w:r>
          </w:p>
        </w:tc>
        <w:tc>
          <w:tcPr>
            <w:tcW w:w="1279" w:type="dxa"/>
            <w:tcBorders>
              <w:left w:val="single" w:sz="4" w:space="0" w:color="FFFFFF" w:themeColor="background1"/>
              <w:right w:val="single" w:sz="4" w:space="0" w:color="FFFFFF" w:themeColor="background1"/>
            </w:tcBorders>
            <w:shd w:val="clear" w:color="auto" w:fill="auto"/>
            <w:vAlign w:val="center"/>
          </w:tcPr>
          <w:p w14:paraId="02B2BDCC" w14:textId="77777777" w:rsidR="00AB5951" w:rsidRPr="00724A8E" w:rsidRDefault="00AB5951" w:rsidP="008B035F">
            <w:pPr>
              <w:spacing w:after="0" w:line="240" w:lineRule="auto"/>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724A8E">
              <w:rPr>
                <w:b w:val="0"/>
                <w:sz w:val="20"/>
                <w:szCs w:val="20"/>
              </w:rPr>
              <w:t>Measure</w:t>
            </w:r>
          </w:p>
        </w:tc>
        <w:tc>
          <w:tcPr>
            <w:tcW w:w="1667" w:type="dxa"/>
            <w:tcBorders>
              <w:left w:val="single" w:sz="4" w:space="0" w:color="FFFFFF" w:themeColor="background1"/>
              <w:right w:val="single" w:sz="4" w:space="0" w:color="FFFFFF" w:themeColor="background1"/>
            </w:tcBorders>
            <w:shd w:val="clear" w:color="auto" w:fill="auto"/>
            <w:vAlign w:val="center"/>
          </w:tcPr>
          <w:p w14:paraId="1E27F76E" w14:textId="77777777" w:rsidR="00AB5951" w:rsidRPr="00724A8E" w:rsidRDefault="00AB5951" w:rsidP="008B035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724A8E">
              <w:rPr>
                <w:b w:val="0"/>
                <w:sz w:val="20"/>
                <w:szCs w:val="20"/>
              </w:rPr>
              <w:t>T1</w:t>
            </w:r>
          </w:p>
        </w:tc>
        <w:tc>
          <w:tcPr>
            <w:tcW w:w="1667" w:type="dxa"/>
            <w:tcBorders>
              <w:left w:val="single" w:sz="4" w:space="0" w:color="FFFFFF" w:themeColor="background1"/>
              <w:right w:val="single" w:sz="4" w:space="0" w:color="FFFFFF" w:themeColor="background1"/>
            </w:tcBorders>
            <w:shd w:val="clear" w:color="auto" w:fill="auto"/>
            <w:vAlign w:val="center"/>
          </w:tcPr>
          <w:p w14:paraId="7E4BF2E7" w14:textId="77777777" w:rsidR="00AB5951" w:rsidRPr="00724A8E" w:rsidRDefault="00AB5951" w:rsidP="008B035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proofErr w:type="spellStart"/>
            <w:r w:rsidRPr="00724A8E">
              <w:rPr>
                <w:b w:val="0"/>
                <w:sz w:val="20"/>
                <w:szCs w:val="20"/>
              </w:rPr>
              <w:t>Ktrans</w:t>
            </w:r>
            <w:proofErr w:type="spellEnd"/>
          </w:p>
        </w:tc>
        <w:tc>
          <w:tcPr>
            <w:tcW w:w="1667" w:type="dxa"/>
            <w:tcBorders>
              <w:left w:val="single" w:sz="4" w:space="0" w:color="FFFFFF" w:themeColor="background1"/>
              <w:right w:val="single" w:sz="4" w:space="0" w:color="FFFFFF" w:themeColor="background1"/>
            </w:tcBorders>
            <w:shd w:val="clear" w:color="auto" w:fill="auto"/>
            <w:vAlign w:val="center"/>
          </w:tcPr>
          <w:p w14:paraId="42B284C0" w14:textId="77777777" w:rsidR="00AB5951" w:rsidRPr="00724A8E" w:rsidRDefault="00AB5951" w:rsidP="008B035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proofErr w:type="spellStart"/>
            <w:r w:rsidRPr="00724A8E">
              <w:rPr>
                <w:b w:val="0"/>
                <w:sz w:val="20"/>
                <w:szCs w:val="20"/>
              </w:rPr>
              <w:t>Kep</w:t>
            </w:r>
            <w:proofErr w:type="spellEnd"/>
          </w:p>
        </w:tc>
        <w:tc>
          <w:tcPr>
            <w:tcW w:w="1667" w:type="dxa"/>
            <w:tcBorders>
              <w:left w:val="single" w:sz="4" w:space="0" w:color="FFFFFF" w:themeColor="background1"/>
              <w:right w:val="single" w:sz="4" w:space="0" w:color="FFFFFF" w:themeColor="background1"/>
            </w:tcBorders>
            <w:shd w:val="clear" w:color="auto" w:fill="auto"/>
            <w:vAlign w:val="center"/>
          </w:tcPr>
          <w:p w14:paraId="559B84E7" w14:textId="77777777" w:rsidR="00AB5951" w:rsidRPr="00724A8E" w:rsidRDefault="00AB5951" w:rsidP="008B035F">
            <w:pPr>
              <w:spacing w:after="0" w:line="240" w:lineRule="auto"/>
              <w:jc w:val="center"/>
              <w:cnfStyle w:val="100000000000" w:firstRow="1" w:lastRow="0" w:firstColumn="0" w:lastColumn="0" w:oddVBand="0" w:evenVBand="0" w:oddHBand="0" w:evenHBand="0" w:firstRowFirstColumn="0" w:firstRowLastColumn="0" w:lastRowFirstColumn="0" w:lastRowLastColumn="0"/>
              <w:rPr>
                <w:b w:val="0"/>
                <w:bCs w:val="0"/>
                <w:color w:val="auto"/>
                <w:sz w:val="20"/>
                <w:szCs w:val="20"/>
              </w:rPr>
            </w:pPr>
            <w:r w:rsidRPr="00724A8E">
              <w:rPr>
                <w:b w:val="0"/>
                <w:sz w:val="20"/>
                <w:szCs w:val="20"/>
              </w:rPr>
              <w:t>IAUC</w:t>
            </w:r>
          </w:p>
        </w:tc>
      </w:tr>
      <w:tr w:rsidR="00AB5951" w:rsidRPr="00724A8E" w14:paraId="343219D7" w14:textId="77777777" w:rsidTr="008B035F">
        <w:trPr>
          <w:cnfStyle w:val="000000100000" w:firstRow="0" w:lastRow="0" w:firstColumn="0" w:lastColumn="0" w:oddVBand="0" w:evenVBand="0" w:oddHBand="1" w:evenHBand="0" w:firstRowFirstColumn="0" w:firstRowLastColumn="0" w:lastRowFirstColumn="0" w:lastRowLastColumn="0"/>
          <w:trHeight w:val="892"/>
        </w:trPr>
        <w:tc>
          <w:tcPr>
            <w:cnfStyle w:val="001000000000" w:firstRow="0" w:lastRow="0" w:firstColumn="1" w:lastColumn="0" w:oddVBand="0" w:evenVBand="0" w:oddHBand="0" w:evenHBand="0" w:firstRowFirstColumn="0" w:firstRowLastColumn="0" w:lastRowFirstColumn="0" w:lastRowLastColumn="0"/>
            <w:tcW w:w="1244" w:type="dxa"/>
            <w:vMerge w:val="restart"/>
            <w:tcBorders>
              <w:left w:val="single" w:sz="4" w:space="0" w:color="FFFFFF" w:themeColor="background1"/>
              <w:right w:val="single" w:sz="4" w:space="0" w:color="FFFFFF" w:themeColor="background1"/>
            </w:tcBorders>
            <w:shd w:val="clear" w:color="auto" w:fill="auto"/>
            <w:vAlign w:val="center"/>
          </w:tcPr>
          <w:p w14:paraId="0BB1D6DE" w14:textId="77777777" w:rsidR="00AB5951" w:rsidRPr="00724A8E" w:rsidRDefault="00AB5951" w:rsidP="008B035F">
            <w:pPr>
              <w:spacing w:after="0" w:line="240" w:lineRule="auto"/>
              <w:rPr>
                <w:b w:val="0"/>
                <w:bCs w:val="0"/>
                <w:color w:val="auto"/>
                <w:sz w:val="20"/>
                <w:szCs w:val="20"/>
              </w:rPr>
            </w:pPr>
            <w:r w:rsidRPr="00724A8E">
              <w:rPr>
                <w:b w:val="0"/>
                <w:sz w:val="20"/>
                <w:szCs w:val="20"/>
              </w:rPr>
              <w:t>Inter-</w:t>
            </w:r>
            <w:proofErr w:type="spellStart"/>
            <w:r w:rsidRPr="00724A8E">
              <w:rPr>
                <w:b w:val="0"/>
                <w:sz w:val="20"/>
                <w:szCs w:val="20"/>
              </w:rPr>
              <w:t>rater</w:t>
            </w:r>
            <w:proofErr w:type="spellEnd"/>
          </w:p>
        </w:tc>
        <w:tc>
          <w:tcPr>
            <w:tcW w:w="1279" w:type="dxa"/>
            <w:tcBorders>
              <w:left w:val="single" w:sz="4" w:space="0" w:color="FFFFFF" w:themeColor="background1"/>
              <w:right w:val="single" w:sz="4" w:space="0" w:color="FFFFFF" w:themeColor="background1"/>
            </w:tcBorders>
            <w:shd w:val="clear" w:color="auto" w:fill="auto"/>
            <w:vAlign w:val="center"/>
          </w:tcPr>
          <w:p w14:paraId="408CADCF" w14:textId="77777777" w:rsidR="00AB5951" w:rsidRPr="00724A8E" w:rsidRDefault="00AB5951" w:rsidP="008B035F">
            <w:pPr>
              <w:spacing w:after="0" w:line="240" w:lineRule="auto"/>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Difference*</w:t>
            </w:r>
          </w:p>
        </w:tc>
        <w:tc>
          <w:tcPr>
            <w:tcW w:w="1667" w:type="dxa"/>
            <w:tcBorders>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6FF4A9A6"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-3.38</w:t>
            </w:r>
          </w:p>
          <w:p w14:paraId="181D4223"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(-254.02–247.27)</w:t>
            </w:r>
          </w:p>
        </w:tc>
        <w:tc>
          <w:tcPr>
            <w:tcW w:w="1667" w:type="dxa"/>
            <w:tcBorders>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357F03DE"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-0.03</w:t>
            </w:r>
          </w:p>
          <w:p w14:paraId="64C43C9B"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(-0.13–0.08)</w:t>
            </w:r>
          </w:p>
        </w:tc>
        <w:tc>
          <w:tcPr>
            <w:tcW w:w="1667" w:type="dxa"/>
            <w:tcBorders>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5755E1CC"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0.01</w:t>
            </w:r>
          </w:p>
          <w:p w14:paraId="14C420A2"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(-0.05–0.08)</w:t>
            </w:r>
          </w:p>
        </w:tc>
        <w:tc>
          <w:tcPr>
            <w:tcW w:w="1667" w:type="dxa"/>
            <w:tcBorders>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4324B24E"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-0.062</w:t>
            </w:r>
          </w:p>
          <w:p w14:paraId="71D930CD"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(-8.41–7.17)</w:t>
            </w:r>
          </w:p>
        </w:tc>
      </w:tr>
      <w:tr w:rsidR="00AB5951" w:rsidRPr="00724A8E" w14:paraId="56F26AE4" w14:textId="77777777" w:rsidTr="008B035F">
        <w:trPr>
          <w:trHeight w:val="892"/>
        </w:trPr>
        <w:tc>
          <w:tcPr>
            <w:cnfStyle w:val="001000000000" w:firstRow="0" w:lastRow="0" w:firstColumn="1" w:lastColumn="0" w:oddVBand="0" w:evenVBand="0" w:oddHBand="0" w:evenHBand="0" w:firstRowFirstColumn="0" w:firstRowLastColumn="0" w:lastRowFirstColumn="0" w:lastRowLastColumn="0"/>
            <w:tcW w:w="1244" w:type="dxa"/>
            <w:vMerge/>
            <w:tcBorders>
              <w:left w:val="single" w:sz="4" w:space="0" w:color="FFFFFF" w:themeColor="background1"/>
              <w:right w:val="single" w:sz="4" w:space="0" w:color="FFFFFF" w:themeColor="background1"/>
            </w:tcBorders>
            <w:shd w:val="clear" w:color="auto" w:fill="auto"/>
            <w:vAlign w:val="center"/>
          </w:tcPr>
          <w:p w14:paraId="01162035" w14:textId="77777777" w:rsidR="00AB5951" w:rsidRPr="00724A8E" w:rsidRDefault="00AB5951" w:rsidP="008B035F">
            <w:pPr>
              <w:spacing w:after="0" w:line="240" w:lineRule="auto"/>
              <w:rPr>
                <w:b w:val="0"/>
                <w:bCs w:val="0"/>
                <w:color w:val="auto"/>
                <w:sz w:val="20"/>
                <w:szCs w:val="20"/>
              </w:rPr>
            </w:pPr>
          </w:p>
        </w:tc>
        <w:tc>
          <w:tcPr>
            <w:tcW w:w="1279" w:type="dxa"/>
            <w:tcBorders>
              <w:left w:val="single" w:sz="4" w:space="0" w:color="FFFFFF" w:themeColor="background1"/>
              <w:right w:val="single" w:sz="4" w:space="0" w:color="FFFFFF" w:themeColor="background1"/>
            </w:tcBorders>
            <w:shd w:val="clear" w:color="auto" w:fill="auto"/>
            <w:vAlign w:val="center"/>
          </w:tcPr>
          <w:p w14:paraId="48DE2F3A" w14:textId="77777777" w:rsidR="00AB5951" w:rsidRPr="00724A8E" w:rsidRDefault="00AB5951" w:rsidP="008B035F">
            <w:pPr>
              <w:spacing w:after="0" w:line="240" w:lineRule="auto"/>
              <w:cnfStyle w:val="000000000000" w:firstRow="0" w:lastRow="0" w:firstColumn="0" w:lastColumn="0" w:oddVBand="0" w:evenVBand="0" w:oddHBand="0" w:evenHBand="0" w:firstRowFirstColumn="0" w:firstRowLastColumn="0" w:lastRowFirstColumn="0" w:lastRowLastColumn="0"/>
              <w:rPr>
                <w:color w:val="auto"/>
                <w:sz w:val="20"/>
                <w:szCs w:val="20"/>
              </w:rPr>
            </w:pPr>
            <w:r w:rsidRPr="00724A8E">
              <w:rPr>
                <w:sz w:val="20"/>
                <w:szCs w:val="20"/>
              </w:rPr>
              <w:t>ICC</w:t>
            </w:r>
            <w:r w:rsidRPr="00724A8E">
              <w:rPr>
                <w:sz w:val="20"/>
                <w:szCs w:val="20"/>
                <w:vertAlign w:val="superscript"/>
              </w:rPr>
              <w:t>†</w:t>
            </w:r>
          </w:p>
        </w:tc>
        <w:tc>
          <w:tcPr>
            <w:tcW w:w="16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0EC690BA"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0.96</w:t>
            </w:r>
          </w:p>
          <w:p w14:paraId="72AAE78A"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(0.81–0.99)</w:t>
            </w:r>
          </w:p>
        </w:tc>
        <w:tc>
          <w:tcPr>
            <w:tcW w:w="16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21818D46"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0.98</w:t>
            </w:r>
          </w:p>
          <w:p w14:paraId="02157EE4"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(0.92–0.99)</w:t>
            </w:r>
          </w:p>
        </w:tc>
        <w:tc>
          <w:tcPr>
            <w:tcW w:w="16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0DB196BF"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0.95</w:t>
            </w:r>
          </w:p>
          <w:p w14:paraId="70F0CD6A"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(0.79–0.99)</w:t>
            </w:r>
          </w:p>
        </w:tc>
        <w:tc>
          <w:tcPr>
            <w:tcW w:w="16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61055CE8"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0.89</w:t>
            </w:r>
          </w:p>
          <w:p w14:paraId="25CA24CC"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(0.42–0.98)</w:t>
            </w:r>
          </w:p>
        </w:tc>
      </w:tr>
      <w:tr w:rsidR="00AB5951" w:rsidRPr="00724A8E" w14:paraId="41C8A852" w14:textId="77777777" w:rsidTr="008B035F">
        <w:trPr>
          <w:cnfStyle w:val="000000100000" w:firstRow="0" w:lastRow="0" w:firstColumn="0" w:lastColumn="0" w:oddVBand="0" w:evenVBand="0" w:oddHBand="1" w:evenHBand="0" w:firstRowFirstColumn="0" w:firstRowLastColumn="0" w:lastRowFirstColumn="0" w:lastRowLastColumn="0"/>
          <w:trHeight w:val="892"/>
        </w:trPr>
        <w:tc>
          <w:tcPr>
            <w:cnfStyle w:val="001000000000" w:firstRow="0" w:lastRow="0" w:firstColumn="1" w:lastColumn="0" w:oddVBand="0" w:evenVBand="0" w:oddHBand="0" w:evenHBand="0" w:firstRowFirstColumn="0" w:firstRowLastColumn="0" w:lastRowFirstColumn="0" w:lastRowLastColumn="0"/>
            <w:tcW w:w="1244" w:type="dxa"/>
            <w:vMerge w:val="restart"/>
            <w:tcBorders>
              <w:left w:val="single" w:sz="4" w:space="0" w:color="FFFFFF" w:themeColor="background1"/>
              <w:right w:val="single" w:sz="4" w:space="0" w:color="FFFFFF" w:themeColor="background1"/>
            </w:tcBorders>
            <w:shd w:val="clear" w:color="auto" w:fill="auto"/>
            <w:vAlign w:val="center"/>
          </w:tcPr>
          <w:p w14:paraId="2CFBA34B" w14:textId="77777777" w:rsidR="00AB5951" w:rsidRPr="00724A8E" w:rsidRDefault="00AB5951" w:rsidP="008B035F">
            <w:pPr>
              <w:spacing w:after="0" w:line="240" w:lineRule="auto"/>
              <w:rPr>
                <w:b w:val="0"/>
                <w:bCs w:val="0"/>
                <w:color w:val="auto"/>
                <w:sz w:val="20"/>
                <w:szCs w:val="20"/>
              </w:rPr>
            </w:pPr>
            <w:r w:rsidRPr="00724A8E">
              <w:rPr>
                <w:b w:val="0"/>
                <w:sz w:val="20"/>
                <w:szCs w:val="20"/>
              </w:rPr>
              <w:t>Intra-</w:t>
            </w:r>
            <w:proofErr w:type="spellStart"/>
            <w:r w:rsidRPr="00724A8E">
              <w:rPr>
                <w:b w:val="0"/>
                <w:sz w:val="20"/>
                <w:szCs w:val="20"/>
              </w:rPr>
              <w:t>rater</w:t>
            </w:r>
            <w:proofErr w:type="spellEnd"/>
          </w:p>
        </w:tc>
        <w:tc>
          <w:tcPr>
            <w:tcW w:w="1279" w:type="dxa"/>
            <w:tcBorders>
              <w:left w:val="single" w:sz="4" w:space="0" w:color="FFFFFF" w:themeColor="background1"/>
              <w:right w:val="single" w:sz="4" w:space="0" w:color="FFFFFF" w:themeColor="background1"/>
            </w:tcBorders>
            <w:shd w:val="clear" w:color="auto" w:fill="auto"/>
            <w:vAlign w:val="center"/>
          </w:tcPr>
          <w:p w14:paraId="4CB42E64" w14:textId="77777777" w:rsidR="00AB5951" w:rsidRPr="00724A8E" w:rsidRDefault="00AB5951" w:rsidP="008B035F">
            <w:pPr>
              <w:spacing w:after="0" w:line="240" w:lineRule="auto"/>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Difference*</w:t>
            </w:r>
          </w:p>
        </w:tc>
        <w:tc>
          <w:tcPr>
            <w:tcW w:w="16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37648A5F"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151.71</w:t>
            </w:r>
          </w:p>
          <w:p w14:paraId="271D2266"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(-698–1002.1)</w:t>
            </w:r>
          </w:p>
        </w:tc>
        <w:tc>
          <w:tcPr>
            <w:tcW w:w="16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23BD6C43"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0.0</w:t>
            </w:r>
          </w:p>
          <w:p w14:paraId="34EF0B93"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(-0.05–0.05)</w:t>
            </w:r>
          </w:p>
        </w:tc>
        <w:tc>
          <w:tcPr>
            <w:tcW w:w="16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519BD9F2"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0.0</w:t>
            </w:r>
          </w:p>
          <w:p w14:paraId="6305070F"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(-0.22–0.22)</w:t>
            </w:r>
          </w:p>
        </w:tc>
        <w:tc>
          <w:tcPr>
            <w:tcW w:w="16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vAlign w:val="center"/>
          </w:tcPr>
          <w:p w14:paraId="52ECA4BD"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-0.27</w:t>
            </w:r>
          </w:p>
          <w:p w14:paraId="5B78BBC7" w14:textId="77777777" w:rsidR="00AB5951" w:rsidRPr="00724A8E" w:rsidRDefault="00AB5951" w:rsidP="008B035F">
            <w:pPr>
              <w:spacing w:after="0" w:line="240" w:lineRule="auto"/>
              <w:jc w:val="center"/>
              <w:cnfStyle w:val="000000100000" w:firstRow="0" w:lastRow="0" w:firstColumn="0" w:lastColumn="0" w:oddVBand="0" w:evenVBand="0" w:oddHBand="1" w:evenHBand="0" w:firstRowFirstColumn="0" w:firstRowLastColumn="0" w:lastRowFirstColumn="0" w:lastRowLastColumn="0"/>
              <w:rPr>
                <w:color w:val="auto"/>
                <w:sz w:val="20"/>
                <w:szCs w:val="20"/>
              </w:rPr>
            </w:pPr>
            <w:r w:rsidRPr="00724A8E">
              <w:rPr>
                <w:sz w:val="20"/>
                <w:szCs w:val="20"/>
              </w:rPr>
              <w:t>(-3.26–2.72)</w:t>
            </w:r>
          </w:p>
        </w:tc>
      </w:tr>
      <w:tr w:rsidR="00AB5951" w:rsidRPr="00724A8E" w14:paraId="23E3647A" w14:textId="77777777" w:rsidTr="008B035F">
        <w:trPr>
          <w:trHeight w:val="892"/>
        </w:trPr>
        <w:tc>
          <w:tcPr>
            <w:cnfStyle w:val="001000000000" w:firstRow="0" w:lastRow="0" w:firstColumn="1" w:lastColumn="0" w:oddVBand="0" w:evenVBand="0" w:oddHBand="0" w:evenHBand="0" w:firstRowFirstColumn="0" w:firstRowLastColumn="0" w:lastRowFirstColumn="0" w:lastRowLastColumn="0"/>
            <w:tcW w:w="1244" w:type="dxa"/>
            <w:vMerge/>
            <w:tcBorders>
              <w:left w:val="single" w:sz="4" w:space="0" w:color="FFFFFF" w:themeColor="background1"/>
              <w:right w:val="single" w:sz="4" w:space="0" w:color="FFFFFF" w:themeColor="background1"/>
            </w:tcBorders>
            <w:shd w:val="clear" w:color="auto" w:fill="auto"/>
            <w:vAlign w:val="center"/>
          </w:tcPr>
          <w:p w14:paraId="49EE2243" w14:textId="77777777" w:rsidR="00AB5951" w:rsidRPr="00724A8E" w:rsidRDefault="00AB5951" w:rsidP="008B035F">
            <w:pPr>
              <w:spacing w:after="0" w:line="240" w:lineRule="auto"/>
              <w:rPr>
                <w:b w:val="0"/>
                <w:bCs w:val="0"/>
                <w:color w:val="auto"/>
                <w:sz w:val="20"/>
                <w:szCs w:val="20"/>
              </w:rPr>
            </w:pPr>
          </w:p>
        </w:tc>
        <w:tc>
          <w:tcPr>
            <w:tcW w:w="1279" w:type="dxa"/>
            <w:tcBorders>
              <w:left w:val="single" w:sz="4" w:space="0" w:color="FFFFFF" w:themeColor="background1"/>
              <w:right w:val="single" w:sz="4" w:space="0" w:color="FFFFFF" w:themeColor="background1"/>
            </w:tcBorders>
            <w:shd w:val="clear" w:color="auto" w:fill="auto"/>
            <w:vAlign w:val="center"/>
          </w:tcPr>
          <w:p w14:paraId="4FA54153" w14:textId="77777777" w:rsidR="00AB5951" w:rsidRPr="00724A8E" w:rsidRDefault="00AB5951" w:rsidP="008B035F">
            <w:pPr>
              <w:spacing w:after="0" w:line="240" w:lineRule="auto"/>
              <w:cnfStyle w:val="000000000000" w:firstRow="0" w:lastRow="0" w:firstColumn="0" w:lastColumn="0" w:oddVBand="0" w:evenVBand="0" w:oddHBand="0" w:evenHBand="0" w:firstRowFirstColumn="0" w:firstRowLastColumn="0" w:lastRowFirstColumn="0" w:lastRowLastColumn="0"/>
              <w:rPr>
                <w:color w:val="auto"/>
                <w:sz w:val="20"/>
                <w:szCs w:val="20"/>
              </w:rPr>
            </w:pPr>
            <w:r w:rsidRPr="00724A8E">
              <w:rPr>
                <w:sz w:val="20"/>
                <w:szCs w:val="20"/>
              </w:rPr>
              <w:t>ICC</w:t>
            </w:r>
            <w:r w:rsidRPr="00724A8E">
              <w:rPr>
                <w:sz w:val="20"/>
                <w:szCs w:val="20"/>
                <w:vertAlign w:val="superscript"/>
              </w:rPr>
              <w:t>†</w:t>
            </w:r>
          </w:p>
        </w:tc>
        <w:tc>
          <w:tcPr>
            <w:tcW w:w="1667"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14:paraId="11C7F6F4"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0.8</w:t>
            </w:r>
          </w:p>
          <w:p w14:paraId="3F59B466"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(0.55–0.91)</w:t>
            </w:r>
          </w:p>
        </w:tc>
        <w:tc>
          <w:tcPr>
            <w:tcW w:w="1667"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14:paraId="6F6A8B03"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0.97</w:t>
            </w:r>
          </w:p>
          <w:p w14:paraId="6563E9C0"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(0.93–0.99)</w:t>
            </w:r>
          </w:p>
        </w:tc>
        <w:tc>
          <w:tcPr>
            <w:tcW w:w="1667"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14:paraId="450B47BC"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0.87</w:t>
            </w:r>
          </w:p>
          <w:p w14:paraId="5CCBE118"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(0.69–0.94)</w:t>
            </w:r>
          </w:p>
        </w:tc>
        <w:tc>
          <w:tcPr>
            <w:tcW w:w="1667" w:type="dxa"/>
            <w:tcBorders>
              <w:top w:val="single" w:sz="4" w:space="0" w:color="FFFFFF" w:themeColor="background1"/>
              <w:left w:val="single" w:sz="4" w:space="0" w:color="FFFFFF" w:themeColor="background1"/>
              <w:right w:val="single" w:sz="4" w:space="0" w:color="FFFFFF" w:themeColor="background1"/>
            </w:tcBorders>
            <w:shd w:val="clear" w:color="auto" w:fill="auto"/>
            <w:vAlign w:val="center"/>
          </w:tcPr>
          <w:p w14:paraId="148741D8"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0.97</w:t>
            </w:r>
          </w:p>
          <w:p w14:paraId="23F5B311" w14:textId="77777777" w:rsidR="00AB5951" w:rsidRPr="00724A8E" w:rsidRDefault="00AB5951" w:rsidP="008B035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Arial"/>
                <w:color w:val="auto"/>
                <w:sz w:val="20"/>
                <w:szCs w:val="20"/>
              </w:rPr>
            </w:pPr>
            <w:r w:rsidRPr="00724A8E">
              <w:rPr>
                <w:rFonts w:cs="Arial"/>
                <w:sz w:val="20"/>
                <w:szCs w:val="20"/>
              </w:rPr>
              <w:t>(0.92–0.99)</w:t>
            </w:r>
          </w:p>
        </w:tc>
      </w:tr>
    </w:tbl>
    <w:p w14:paraId="3981F17B" w14:textId="77777777" w:rsidR="00AB5951" w:rsidRDefault="00AB5951" w:rsidP="00AB5951"/>
    <w:p w14:paraId="4919C590" w14:textId="77777777" w:rsidR="00AB5951" w:rsidRDefault="00AB5951" w:rsidP="008B035F">
      <w:pPr>
        <w:spacing w:after="0"/>
      </w:pPr>
      <w:r>
        <w:t>*Mean difference between observations and 95% limits of agreement.</w:t>
      </w:r>
    </w:p>
    <w:p w14:paraId="7CBD02E5" w14:textId="77777777" w:rsidR="00AB5951" w:rsidRPr="00724A8E" w:rsidRDefault="00AB5951" w:rsidP="008B035F">
      <w:pPr>
        <w:spacing w:after="0"/>
      </w:pPr>
      <w:proofErr w:type="gramStart"/>
      <w:r w:rsidRPr="00724A8E">
        <w:rPr>
          <w:vertAlign w:val="superscript"/>
        </w:rPr>
        <w:t>†</w:t>
      </w:r>
      <w:proofErr w:type="spellStart"/>
      <w:r w:rsidRPr="00724A8E">
        <w:t>Intraclass</w:t>
      </w:r>
      <w:proofErr w:type="spellEnd"/>
      <w:r>
        <w:t xml:space="preserve"> correlation coefficient two-way random measures for consistency.</w:t>
      </w:r>
      <w:proofErr w:type="gramEnd"/>
    </w:p>
    <w:p w14:paraId="2D274FBC" w14:textId="77777777" w:rsidR="00AB5951" w:rsidRDefault="00AB5951">
      <w:pPr>
        <w:rPr>
          <w:rFonts w:cs="Arial"/>
        </w:rPr>
        <w:sectPr w:rsidR="00AB5951">
          <w:footerReference w:type="default" r:id="rId15"/>
          <w:pgSz w:w="11906" w:h="16838"/>
          <w:pgMar w:top="1440" w:right="1440" w:bottom="1440" w:left="1440" w:header="708" w:footer="708" w:gutter="0"/>
          <w:cols w:space="708"/>
          <w:docGrid w:linePitch="360"/>
        </w:sectPr>
      </w:pPr>
    </w:p>
    <w:p w14:paraId="1225D4D0" w14:textId="7D928D5F" w:rsidR="00D9296A" w:rsidRPr="00AB5951" w:rsidRDefault="00D9296A" w:rsidP="00994640">
      <w:pPr>
        <w:pStyle w:val="Heading2"/>
      </w:pPr>
      <w:r>
        <w:t xml:space="preserve">Table </w:t>
      </w:r>
      <w:r w:rsidR="00926F0F">
        <w:t>5</w:t>
      </w:r>
    </w:p>
    <w:tbl>
      <w:tblPr>
        <w:tblW w:w="11572" w:type="dxa"/>
        <w:jc w:val="center"/>
        <w:tblInd w:w="93"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000" w:firstRow="0" w:lastRow="0" w:firstColumn="0" w:lastColumn="0" w:noHBand="0" w:noVBand="0"/>
      </w:tblPr>
      <w:tblGrid>
        <w:gridCol w:w="828"/>
        <w:gridCol w:w="892"/>
        <w:gridCol w:w="894"/>
        <w:gridCol w:w="899"/>
        <w:gridCol w:w="894"/>
        <w:gridCol w:w="896"/>
        <w:gridCol w:w="896"/>
        <w:gridCol w:w="896"/>
        <w:gridCol w:w="895"/>
        <w:gridCol w:w="896"/>
        <w:gridCol w:w="895"/>
        <w:gridCol w:w="896"/>
        <w:gridCol w:w="895"/>
      </w:tblGrid>
      <w:tr w:rsidR="00587DA8" w:rsidRPr="00232A4E" w14:paraId="2A37712C" w14:textId="77777777" w:rsidTr="00587DA8">
        <w:trPr>
          <w:trHeight w:val="455"/>
          <w:jc w:val="center"/>
        </w:trPr>
        <w:tc>
          <w:tcPr>
            <w:tcW w:w="828" w:type="dxa"/>
            <w:tcBorders>
              <w:top w:val="single" w:sz="4" w:space="0" w:color="auto"/>
              <w:bottom w:val="single" w:sz="4" w:space="0" w:color="auto"/>
            </w:tcBorders>
            <w:shd w:val="clear" w:color="auto" w:fill="auto"/>
            <w:noWrap/>
            <w:vAlign w:val="center"/>
          </w:tcPr>
          <w:p w14:paraId="5061EFED" w14:textId="77777777" w:rsidR="00587DA8" w:rsidRPr="00232A4E" w:rsidRDefault="00587DA8" w:rsidP="00D9296A">
            <w:pPr>
              <w:spacing w:after="0" w:line="240" w:lineRule="auto"/>
              <w:jc w:val="center"/>
              <w:rPr>
                <w:rFonts w:ascii="Calibri" w:hAnsi="Calibri" w:cs="Arial"/>
                <w:sz w:val="20"/>
                <w:szCs w:val="20"/>
              </w:rPr>
            </w:pPr>
          </w:p>
        </w:tc>
        <w:tc>
          <w:tcPr>
            <w:tcW w:w="2685" w:type="dxa"/>
            <w:gridSpan w:val="3"/>
            <w:tcBorders>
              <w:top w:val="single" w:sz="4" w:space="0" w:color="auto"/>
              <w:bottom w:val="single" w:sz="4" w:space="0" w:color="auto"/>
            </w:tcBorders>
            <w:shd w:val="clear" w:color="auto" w:fill="auto"/>
            <w:noWrap/>
            <w:vAlign w:val="center"/>
          </w:tcPr>
          <w:p w14:paraId="583E320F" w14:textId="77777777" w:rsidR="00587DA8" w:rsidRPr="00232A4E" w:rsidRDefault="00587DA8" w:rsidP="00D9296A">
            <w:pPr>
              <w:spacing w:after="0" w:line="240" w:lineRule="auto"/>
              <w:jc w:val="center"/>
              <w:rPr>
                <w:rFonts w:ascii="Calibri" w:hAnsi="Calibri" w:cs="Arial"/>
                <w:b/>
                <w:sz w:val="20"/>
                <w:szCs w:val="20"/>
              </w:rPr>
            </w:pPr>
            <w:r w:rsidRPr="00232A4E">
              <w:rPr>
                <w:rFonts w:ascii="Calibri" w:hAnsi="Calibri" w:cs="Arial"/>
                <w:b/>
                <w:sz w:val="20"/>
                <w:szCs w:val="20"/>
              </w:rPr>
              <w:t>T1</w:t>
            </w:r>
          </w:p>
        </w:tc>
        <w:tc>
          <w:tcPr>
            <w:tcW w:w="2686" w:type="dxa"/>
            <w:gridSpan w:val="3"/>
            <w:tcBorders>
              <w:top w:val="single" w:sz="4" w:space="0" w:color="auto"/>
              <w:bottom w:val="single" w:sz="4" w:space="0" w:color="auto"/>
            </w:tcBorders>
            <w:shd w:val="clear" w:color="auto" w:fill="auto"/>
            <w:noWrap/>
            <w:vAlign w:val="center"/>
          </w:tcPr>
          <w:p w14:paraId="651356EB" w14:textId="77777777" w:rsidR="00587DA8" w:rsidRPr="00232A4E" w:rsidRDefault="00587DA8" w:rsidP="00D9296A">
            <w:pPr>
              <w:spacing w:after="0" w:line="240" w:lineRule="auto"/>
              <w:jc w:val="center"/>
              <w:rPr>
                <w:rFonts w:ascii="Calibri" w:hAnsi="Calibri" w:cs="Arial"/>
                <w:b/>
                <w:sz w:val="20"/>
                <w:szCs w:val="20"/>
              </w:rPr>
            </w:pPr>
            <w:proofErr w:type="spellStart"/>
            <w:r w:rsidRPr="00232A4E">
              <w:rPr>
                <w:rFonts w:ascii="Calibri" w:hAnsi="Calibri" w:cs="Arial"/>
                <w:b/>
                <w:sz w:val="20"/>
                <w:szCs w:val="20"/>
              </w:rPr>
              <w:t>K</w:t>
            </w:r>
            <w:r w:rsidRPr="00097657">
              <w:rPr>
                <w:rFonts w:ascii="Calibri" w:hAnsi="Calibri" w:cs="Arial"/>
                <w:b/>
                <w:sz w:val="20"/>
                <w:szCs w:val="20"/>
                <w:vertAlign w:val="superscript"/>
              </w:rPr>
              <w:t>trans</w:t>
            </w:r>
            <w:proofErr w:type="spellEnd"/>
          </w:p>
        </w:tc>
        <w:tc>
          <w:tcPr>
            <w:tcW w:w="2687" w:type="dxa"/>
            <w:gridSpan w:val="3"/>
            <w:tcBorders>
              <w:top w:val="single" w:sz="4" w:space="0" w:color="auto"/>
              <w:bottom w:val="single" w:sz="4" w:space="0" w:color="auto"/>
            </w:tcBorders>
            <w:shd w:val="clear" w:color="auto" w:fill="auto"/>
            <w:noWrap/>
            <w:vAlign w:val="center"/>
          </w:tcPr>
          <w:p w14:paraId="31FA5DAC" w14:textId="5CB67599" w:rsidR="00587DA8" w:rsidRPr="00097657" w:rsidRDefault="0017585E" w:rsidP="00D9296A">
            <w:pPr>
              <w:spacing w:after="0" w:line="240" w:lineRule="auto"/>
              <w:jc w:val="center"/>
              <w:rPr>
                <w:rFonts w:ascii="Calibri" w:hAnsi="Calibri" w:cs="Arial"/>
                <w:b/>
                <w:sz w:val="20"/>
                <w:szCs w:val="20"/>
                <w:vertAlign w:val="subscript"/>
              </w:rPr>
            </w:pPr>
            <w:proofErr w:type="spellStart"/>
            <w:proofErr w:type="gramStart"/>
            <w:r>
              <w:rPr>
                <w:rFonts w:ascii="Calibri" w:hAnsi="Calibri" w:cs="Arial"/>
                <w:b/>
                <w:sz w:val="20"/>
                <w:szCs w:val="20"/>
              </w:rPr>
              <w:t>k</w:t>
            </w:r>
            <w:r>
              <w:rPr>
                <w:rFonts w:ascii="Calibri" w:hAnsi="Calibri" w:cs="Arial"/>
                <w:b/>
                <w:sz w:val="20"/>
                <w:szCs w:val="20"/>
                <w:vertAlign w:val="subscript"/>
              </w:rPr>
              <w:t>ep</w:t>
            </w:r>
            <w:proofErr w:type="spellEnd"/>
            <w:proofErr w:type="gramEnd"/>
          </w:p>
        </w:tc>
        <w:tc>
          <w:tcPr>
            <w:tcW w:w="2686" w:type="dxa"/>
            <w:gridSpan w:val="3"/>
            <w:tcBorders>
              <w:top w:val="single" w:sz="4" w:space="0" w:color="auto"/>
              <w:bottom w:val="single" w:sz="4" w:space="0" w:color="auto"/>
            </w:tcBorders>
            <w:shd w:val="clear" w:color="auto" w:fill="auto"/>
            <w:noWrap/>
            <w:vAlign w:val="center"/>
          </w:tcPr>
          <w:p w14:paraId="6CE86354" w14:textId="77777777" w:rsidR="00587DA8" w:rsidRPr="00232A4E" w:rsidRDefault="00587DA8" w:rsidP="00D9296A">
            <w:pPr>
              <w:spacing w:after="0" w:line="240" w:lineRule="auto"/>
              <w:jc w:val="center"/>
              <w:rPr>
                <w:rFonts w:ascii="Calibri" w:hAnsi="Calibri" w:cs="Arial"/>
                <w:b/>
                <w:sz w:val="20"/>
                <w:szCs w:val="20"/>
              </w:rPr>
            </w:pPr>
            <w:r w:rsidRPr="00232A4E">
              <w:rPr>
                <w:rFonts w:ascii="Calibri" w:hAnsi="Calibri" w:cs="Arial"/>
                <w:b/>
                <w:sz w:val="20"/>
                <w:szCs w:val="20"/>
              </w:rPr>
              <w:t>IAUC</w:t>
            </w:r>
          </w:p>
        </w:tc>
      </w:tr>
      <w:tr w:rsidR="00587DA8" w14:paraId="34915A54" w14:textId="77777777" w:rsidTr="00587DA8">
        <w:trPr>
          <w:trHeight w:val="455"/>
          <w:jc w:val="center"/>
        </w:trPr>
        <w:tc>
          <w:tcPr>
            <w:tcW w:w="828" w:type="dxa"/>
            <w:tcBorders>
              <w:top w:val="single" w:sz="4" w:space="0" w:color="auto"/>
              <w:bottom w:val="single" w:sz="4" w:space="0" w:color="auto"/>
            </w:tcBorders>
            <w:shd w:val="clear" w:color="auto" w:fill="auto"/>
            <w:noWrap/>
            <w:vAlign w:val="center"/>
          </w:tcPr>
          <w:p w14:paraId="2BFD6EF1"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Case</w:t>
            </w:r>
          </w:p>
        </w:tc>
        <w:tc>
          <w:tcPr>
            <w:tcW w:w="892" w:type="dxa"/>
            <w:tcBorders>
              <w:top w:val="single" w:sz="4" w:space="0" w:color="auto"/>
              <w:bottom w:val="single" w:sz="4" w:space="0" w:color="auto"/>
            </w:tcBorders>
            <w:shd w:val="clear" w:color="auto" w:fill="auto"/>
            <w:noWrap/>
            <w:vAlign w:val="center"/>
          </w:tcPr>
          <w:p w14:paraId="3495D1BE"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Mean</w:t>
            </w:r>
          </w:p>
        </w:tc>
        <w:tc>
          <w:tcPr>
            <w:tcW w:w="894" w:type="dxa"/>
            <w:tcBorders>
              <w:top w:val="single" w:sz="4" w:space="0" w:color="auto"/>
              <w:bottom w:val="single" w:sz="4" w:space="0" w:color="auto"/>
            </w:tcBorders>
            <w:shd w:val="clear" w:color="auto" w:fill="auto"/>
            <w:noWrap/>
            <w:vAlign w:val="center"/>
          </w:tcPr>
          <w:p w14:paraId="729C36B8"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SD</w:t>
            </w:r>
          </w:p>
        </w:tc>
        <w:tc>
          <w:tcPr>
            <w:tcW w:w="899" w:type="dxa"/>
            <w:tcBorders>
              <w:top w:val="single" w:sz="4" w:space="0" w:color="auto"/>
              <w:bottom w:val="single" w:sz="4" w:space="0" w:color="auto"/>
            </w:tcBorders>
            <w:shd w:val="clear" w:color="auto" w:fill="auto"/>
            <w:noWrap/>
            <w:vAlign w:val="center"/>
          </w:tcPr>
          <w:p w14:paraId="6DEC22BB"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RSD (%)</w:t>
            </w:r>
          </w:p>
        </w:tc>
        <w:tc>
          <w:tcPr>
            <w:tcW w:w="894" w:type="dxa"/>
            <w:tcBorders>
              <w:top w:val="single" w:sz="4" w:space="0" w:color="auto"/>
              <w:bottom w:val="single" w:sz="4" w:space="0" w:color="auto"/>
            </w:tcBorders>
            <w:shd w:val="clear" w:color="auto" w:fill="auto"/>
            <w:noWrap/>
            <w:vAlign w:val="center"/>
          </w:tcPr>
          <w:p w14:paraId="16FD63BC"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Mean</w:t>
            </w:r>
          </w:p>
        </w:tc>
        <w:tc>
          <w:tcPr>
            <w:tcW w:w="896" w:type="dxa"/>
            <w:tcBorders>
              <w:top w:val="single" w:sz="4" w:space="0" w:color="auto"/>
              <w:bottom w:val="single" w:sz="4" w:space="0" w:color="auto"/>
            </w:tcBorders>
            <w:shd w:val="clear" w:color="auto" w:fill="auto"/>
            <w:noWrap/>
            <w:vAlign w:val="center"/>
          </w:tcPr>
          <w:p w14:paraId="11E7EA42"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SD</w:t>
            </w:r>
          </w:p>
        </w:tc>
        <w:tc>
          <w:tcPr>
            <w:tcW w:w="896" w:type="dxa"/>
            <w:tcBorders>
              <w:top w:val="single" w:sz="4" w:space="0" w:color="auto"/>
              <w:bottom w:val="single" w:sz="4" w:space="0" w:color="auto"/>
            </w:tcBorders>
            <w:shd w:val="clear" w:color="auto" w:fill="auto"/>
            <w:noWrap/>
            <w:vAlign w:val="center"/>
          </w:tcPr>
          <w:p w14:paraId="091299FB"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RSD (%)</w:t>
            </w:r>
          </w:p>
        </w:tc>
        <w:tc>
          <w:tcPr>
            <w:tcW w:w="896" w:type="dxa"/>
            <w:tcBorders>
              <w:top w:val="single" w:sz="4" w:space="0" w:color="auto"/>
              <w:bottom w:val="single" w:sz="4" w:space="0" w:color="auto"/>
            </w:tcBorders>
            <w:shd w:val="clear" w:color="auto" w:fill="auto"/>
            <w:noWrap/>
            <w:vAlign w:val="center"/>
          </w:tcPr>
          <w:p w14:paraId="29A9E7E9"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Mean</w:t>
            </w:r>
          </w:p>
        </w:tc>
        <w:tc>
          <w:tcPr>
            <w:tcW w:w="895" w:type="dxa"/>
            <w:tcBorders>
              <w:top w:val="single" w:sz="4" w:space="0" w:color="auto"/>
              <w:bottom w:val="single" w:sz="4" w:space="0" w:color="auto"/>
            </w:tcBorders>
            <w:shd w:val="clear" w:color="auto" w:fill="auto"/>
            <w:noWrap/>
            <w:vAlign w:val="center"/>
          </w:tcPr>
          <w:p w14:paraId="7632922F"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SD</w:t>
            </w:r>
          </w:p>
        </w:tc>
        <w:tc>
          <w:tcPr>
            <w:tcW w:w="896" w:type="dxa"/>
            <w:tcBorders>
              <w:top w:val="single" w:sz="4" w:space="0" w:color="auto"/>
              <w:bottom w:val="single" w:sz="4" w:space="0" w:color="auto"/>
            </w:tcBorders>
            <w:shd w:val="clear" w:color="auto" w:fill="auto"/>
            <w:noWrap/>
            <w:vAlign w:val="center"/>
          </w:tcPr>
          <w:p w14:paraId="0D1F0C4A"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RSD (%)</w:t>
            </w:r>
          </w:p>
        </w:tc>
        <w:tc>
          <w:tcPr>
            <w:tcW w:w="895" w:type="dxa"/>
            <w:tcBorders>
              <w:top w:val="single" w:sz="4" w:space="0" w:color="auto"/>
              <w:bottom w:val="single" w:sz="4" w:space="0" w:color="auto"/>
            </w:tcBorders>
            <w:shd w:val="clear" w:color="auto" w:fill="auto"/>
            <w:noWrap/>
            <w:vAlign w:val="center"/>
          </w:tcPr>
          <w:p w14:paraId="7B27260E"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Mean</w:t>
            </w:r>
          </w:p>
        </w:tc>
        <w:tc>
          <w:tcPr>
            <w:tcW w:w="896" w:type="dxa"/>
            <w:tcBorders>
              <w:top w:val="single" w:sz="4" w:space="0" w:color="auto"/>
              <w:bottom w:val="single" w:sz="4" w:space="0" w:color="auto"/>
            </w:tcBorders>
            <w:shd w:val="clear" w:color="auto" w:fill="auto"/>
            <w:noWrap/>
            <w:vAlign w:val="center"/>
          </w:tcPr>
          <w:p w14:paraId="27EBE99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SD</w:t>
            </w:r>
          </w:p>
        </w:tc>
        <w:tc>
          <w:tcPr>
            <w:tcW w:w="895" w:type="dxa"/>
            <w:tcBorders>
              <w:top w:val="single" w:sz="4" w:space="0" w:color="auto"/>
              <w:bottom w:val="single" w:sz="4" w:space="0" w:color="auto"/>
            </w:tcBorders>
            <w:shd w:val="clear" w:color="auto" w:fill="auto"/>
            <w:noWrap/>
            <w:vAlign w:val="center"/>
          </w:tcPr>
          <w:p w14:paraId="206DEFB3"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RSD (%)</w:t>
            </w:r>
          </w:p>
        </w:tc>
      </w:tr>
      <w:tr w:rsidR="00587DA8" w14:paraId="1A4C28EE" w14:textId="77777777" w:rsidTr="00587DA8">
        <w:trPr>
          <w:trHeight w:val="455"/>
          <w:jc w:val="center"/>
        </w:trPr>
        <w:tc>
          <w:tcPr>
            <w:tcW w:w="828" w:type="dxa"/>
            <w:tcBorders>
              <w:top w:val="single" w:sz="4" w:space="0" w:color="auto"/>
            </w:tcBorders>
            <w:shd w:val="clear" w:color="auto" w:fill="auto"/>
            <w:noWrap/>
            <w:vAlign w:val="center"/>
          </w:tcPr>
          <w:p w14:paraId="47431A1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w:t>
            </w:r>
          </w:p>
        </w:tc>
        <w:tc>
          <w:tcPr>
            <w:tcW w:w="892" w:type="dxa"/>
            <w:tcBorders>
              <w:top w:val="single" w:sz="4" w:space="0" w:color="auto"/>
            </w:tcBorders>
            <w:shd w:val="clear" w:color="auto" w:fill="auto"/>
            <w:noWrap/>
            <w:vAlign w:val="center"/>
          </w:tcPr>
          <w:p w14:paraId="744D9CF4"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1987</w:t>
            </w:r>
          </w:p>
        </w:tc>
        <w:tc>
          <w:tcPr>
            <w:tcW w:w="894" w:type="dxa"/>
            <w:tcBorders>
              <w:top w:val="single" w:sz="4" w:space="0" w:color="auto"/>
            </w:tcBorders>
            <w:shd w:val="clear" w:color="auto" w:fill="auto"/>
            <w:noWrap/>
            <w:vAlign w:val="center"/>
          </w:tcPr>
          <w:p w14:paraId="608B3559"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269</w:t>
            </w:r>
          </w:p>
        </w:tc>
        <w:tc>
          <w:tcPr>
            <w:tcW w:w="899" w:type="dxa"/>
            <w:tcBorders>
              <w:top w:val="single" w:sz="4" w:space="0" w:color="auto"/>
            </w:tcBorders>
            <w:shd w:val="clear" w:color="auto" w:fill="auto"/>
            <w:noWrap/>
            <w:vAlign w:val="center"/>
          </w:tcPr>
          <w:p w14:paraId="578A8926"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13.5</w:t>
            </w:r>
          </w:p>
        </w:tc>
        <w:tc>
          <w:tcPr>
            <w:tcW w:w="894" w:type="dxa"/>
            <w:tcBorders>
              <w:top w:val="single" w:sz="4" w:space="0" w:color="auto"/>
            </w:tcBorders>
            <w:shd w:val="clear" w:color="auto" w:fill="auto"/>
            <w:noWrap/>
            <w:vAlign w:val="center"/>
          </w:tcPr>
          <w:p w14:paraId="78BC4D4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0.02</w:t>
            </w:r>
          </w:p>
        </w:tc>
        <w:tc>
          <w:tcPr>
            <w:tcW w:w="896" w:type="dxa"/>
            <w:tcBorders>
              <w:top w:val="single" w:sz="4" w:space="0" w:color="auto"/>
            </w:tcBorders>
            <w:shd w:val="clear" w:color="auto" w:fill="auto"/>
            <w:noWrap/>
            <w:vAlign w:val="center"/>
          </w:tcPr>
          <w:p w14:paraId="6AED416E"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0.02</w:t>
            </w:r>
          </w:p>
        </w:tc>
        <w:tc>
          <w:tcPr>
            <w:tcW w:w="896" w:type="dxa"/>
            <w:tcBorders>
              <w:top w:val="single" w:sz="4" w:space="0" w:color="auto"/>
            </w:tcBorders>
            <w:shd w:val="clear" w:color="auto" w:fill="auto"/>
            <w:noWrap/>
            <w:vAlign w:val="center"/>
          </w:tcPr>
          <w:p w14:paraId="2AF4126C"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91.2</w:t>
            </w:r>
          </w:p>
        </w:tc>
        <w:tc>
          <w:tcPr>
            <w:tcW w:w="896" w:type="dxa"/>
            <w:tcBorders>
              <w:top w:val="single" w:sz="4" w:space="0" w:color="auto"/>
            </w:tcBorders>
            <w:shd w:val="clear" w:color="auto" w:fill="auto"/>
            <w:noWrap/>
            <w:vAlign w:val="center"/>
          </w:tcPr>
          <w:p w14:paraId="70737DA4"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0.03</w:t>
            </w:r>
          </w:p>
        </w:tc>
        <w:tc>
          <w:tcPr>
            <w:tcW w:w="895" w:type="dxa"/>
            <w:tcBorders>
              <w:top w:val="single" w:sz="4" w:space="0" w:color="auto"/>
            </w:tcBorders>
            <w:shd w:val="clear" w:color="auto" w:fill="auto"/>
            <w:noWrap/>
            <w:vAlign w:val="center"/>
          </w:tcPr>
          <w:p w14:paraId="19A7F690"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0.04</w:t>
            </w:r>
          </w:p>
        </w:tc>
        <w:tc>
          <w:tcPr>
            <w:tcW w:w="896" w:type="dxa"/>
            <w:tcBorders>
              <w:top w:val="single" w:sz="4" w:space="0" w:color="auto"/>
            </w:tcBorders>
            <w:shd w:val="clear" w:color="auto" w:fill="auto"/>
            <w:noWrap/>
            <w:vAlign w:val="center"/>
          </w:tcPr>
          <w:p w14:paraId="5BAAC110"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105.6</w:t>
            </w:r>
          </w:p>
        </w:tc>
        <w:tc>
          <w:tcPr>
            <w:tcW w:w="895" w:type="dxa"/>
            <w:tcBorders>
              <w:top w:val="single" w:sz="4" w:space="0" w:color="auto"/>
            </w:tcBorders>
            <w:shd w:val="clear" w:color="auto" w:fill="auto"/>
            <w:noWrap/>
            <w:vAlign w:val="center"/>
          </w:tcPr>
          <w:p w14:paraId="40BD58FB"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1.14</w:t>
            </w:r>
          </w:p>
        </w:tc>
        <w:tc>
          <w:tcPr>
            <w:tcW w:w="896" w:type="dxa"/>
            <w:tcBorders>
              <w:top w:val="single" w:sz="4" w:space="0" w:color="auto"/>
            </w:tcBorders>
            <w:shd w:val="clear" w:color="auto" w:fill="auto"/>
            <w:noWrap/>
            <w:vAlign w:val="center"/>
          </w:tcPr>
          <w:p w14:paraId="3B0B6AA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0.69</w:t>
            </w:r>
          </w:p>
        </w:tc>
        <w:tc>
          <w:tcPr>
            <w:tcW w:w="895" w:type="dxa"/>
            <w:tcBorders>
              <w:top w:val="single" w:sz="4" w:space="0" w:color="auto"/>
            </w:tcBorders>
            <w:shd w:val="clear" w:color="auto" w:fill="auto"/>
            <w:noWrap/>
            <w:vAlign w:val="center"/>
          </w:tcPr>
          <w:p w14:paraId="4008525A"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60.7</w:t>
            </w:r>
          </w:p>
        </w:tc>
      </w:tr>
      <w:tr w:rsidR="00587DA8" w14:paraId="5852BAEE" w14:textId="77777777" w:rsidTr="00587DA8">
        <w:trPr>
          <w:trHeight w:val="455"/>
          <w:jc w:val="center"/>
        </w:trPr>
        <w:tc>
          <w:tcPr>
            <w:tcW w:w="828" w:type="dxa"/>
            <w:shd w:val="clear" w:color="auto" w:fill="auto"/>
            <w:noWrap/>
            <w:vAlign w:val="center"/>
          </w:tcPr>
          <w:p w14:paraId="76CAEAF4"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w:t>
            </w:r>
          </w:p>
        </w:tc>
        <w:tc>
          <w:tcPr>
            <w:tcW w:w="892" w:type="dxa"/>
            <w:shd w:val="clear" w:color="auto" w:fill="auto"/>
            <w:noWrap/>
            <w:vAlign w:val="center"/>
          </w:tcPr>
          <w:p w14:paraId="61A49131"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2367</w:t>
            </w:r>
          </w:p>
        </w:tc>
        <w:tc>
          <w:tcPr>
            <w:tcW w:w="894" w:type="dxa"/>
            <w:shd w:val="clear" w:color="auto" w:fill="auto"/>
            <w:noWrap/>
            <w:vAlign w:val="center"/>
          </w:tcPr>
          <w:p w14:paraId="0162FD11"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985</w:t>
            </w:r>
          </w:p>
        </w:tc>
        <w:tc>
          <w:tcPr>
            <w:tcW w:w="899" w:type="dxa"/>
            <w:shd w:val="clear" w:color="auto" w:fill="auto"/>
            <w:noWrap/>
            <w:vAlign w:val="center"/>
          </w:tcPr>
          <w:p w14:paraId="4D9316BE"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41.6</w:t>
            </w:r>
          </w:p>
        </w:tc>
        <w:tc>
          <w:tcPr>
            <w:tcW w:w="894" w:type="dxa"/>
            <w:shd w:val="clear" w:color="auto" w:fill="auto"/>
            <w:noWrap/>
            <w:vAlign w:val="center"/>
          </w:tcPr>
          <w:p w14:paraId="1EDC5F41" w14:textId="56E85B4D"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w:t>
            </w:r>
            <w:r w:rsidR="00175F2C">
              <w:rPr>
                <w:rFonts w:ascii="Calibri" w:hAnsi="Calibri" w:cs="Arial"/>
                <w:sz w:val="20"/>
                <w:szCs w:val="20"/>
              </w:rPr>
              <w:t>.003</w:t>
            </w:r>
          </w:p>
        </w:tc>
        <w:tc>
          <w:tcPr>
            <w:tcW w:w="896" w:type="dxa"/>
            <w:shd w:val="clear" w:color="auto" w:fill="auto"/>
            <w:noWrap/>
            <w:vAlign w:val="center"/>
          </w:tcPr>
          <w:p w14:paraId="073EF298" w14:textId="433274BA" w:rsidR="00587DA8" w:rsidRPr="00232A4E" w:rsidRDefault="00587DA8" w:rsidP="0035506B">
            <w:pPr>
              <w:spacing w:after="0" w:line="240" w:lineRule="auto"/>
              <w:jc w:val="center"/>
              <w:rPr>
                <w:rFonts w:ascii="Calibri" w:hAnsi="Calibri" w:cs="Arial"/>
                <w:sz w:val="20"/>
                <w:szCs w:val="20"/>
              </w:rPr>
            </w:pPr>
            <w:r w:rsidRPr="00232A4E">
              <w:rPr>
                <w:rFonts w:ascii="Calibri" w:hAnsi="Calibri" w:cs="Arial"/>
                <w:sz w:val="20"/>
                <w:szCs w:val="20"/>
              </w:rPr>
              <w:t>0</w:t>
            </w:r>
            <w:r w:rsidR="00175F2C">
              <w:rPr>
                <w:rFonts w:ascii="Calibri" w:hAnsi="Calibri" w:cs="Arial"/>
                <w:sz w:val="20"/>
                <w:szCs w:val="20"/>
              </w:rPr>
              <w:t>.00</w:t>
            </w:r>
            <w:r w:rsidR="0035506B">
              <w:rPr>
                <w:rFonts w:ascii="Calibri" w:hAnsi="Calibri" w:cs="Arial"/>
                <w:sz w:val="20"/>
                <w:szCs w:val="20"/>
              </w:rPr>
              <w:t>05</w:t>
            </w:r>
          </w:p>
        </w:tc>
        <w:tc>
          <w:tcPr>
            <w:tcW w:w="896" w:type="dxa"/>
            <w:shd w:val="clear" w:color="auto" w:fill="auto"/>
            <w:noWrap/>
            <w:vAlign w:val="center"/>
          </w:tcPr>
          <w:p w14:paraId="14ED6A9E" w14:textId="7A466A9F" w:rsidR="00587DA8" w:rsidRPr="00232A4E" w:rsidRDefault="0035506B" w:rsidP="00D9296A">
            <w:pPr>
              <w:spacing w:after="0" w:line="240" w:lineRule="auto"/>
              <w:jc w:val="center"/>
              <w:rPr>
                <w:rFonts w:ascii="Calibri" w:hAnsi="Calibri" w:cs="Arial"/>
                <w:sz w:val="20"/>
                <w:szCs w:val="20"/>
              </w:rPr>
            </w:pPr>
            <w:r>
              <w:rPr>
                <w:rFonts w:ascii="Calibri" w:hAnsi="Calibri" w:cs="Arial"/>
                <w:sz w:val="20"/>
                <w:szCs w:val="20"/>
              </w:rPr>
              <w:t>14.4</w:t>
            </w:r>
          </w:p>
        </w:tc>
        <w:tc>
          <w:tcPr>
            <w:tcW w:w="896" w:type="dxa"/>
            <w:shd w:val="clear" w:color="auto" w:fill="auto"/>
            <w:noWrap/>
            <w:vAlign w:val="center"/>
          </w:tcPr>
          <w:p w14:paraId="731FE81E" w14:textId="68893E4D"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w:t>
            </w:r>
            <w:r w:rsidR="0035506B">
              <w:rPr>
                <w:rFonts w:ascii="Calibri" w:hAnsi="Calibri" w:cs="Arial"/>
                <w:sz w:val="20"/>
                <w:szCs w:val="20"/>
              </w:rPr>
              <w:t>.003</w:t>
            </w:r>
          </w:p>
        </w:tc>
        <w:tc>
          <w:tcPr>
            <w:tcW w:w="895" w:type="dxa"/>
            <w:shd w:val="clear" w:color="auto" w:fill="auto"/>
            <w:noWrap/>
            <w:vAlign w:val="center"/>
          </w:tcPr>
          <w:p w14:paraId="2A18B3FF" w14:textId="01B4DF23"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w:t>
            </w:r>
            <w:r w:rsidR="0035506B">
              <w:rPr>
                <w:rFonts w:ascii="Calibri" w:hAnsi="Calibri" w:cs="Arial"/>
                <w:sz w:val="20"/>
                <w:szCs w:val="20"/>
              </w:rPr>
              <w:t>.0005</w:t>
            </w:r>
            <w:bookmarkStart w:id="0" w:name="_GoBack"/>
            <w:bookmarkEnd w:id="0"/>
          </w:p>
        </w:tc>
        <w:tc>
          <w:tcPr>
            <w:tcW w:w="896" w:type="dxa"/>
            <w:shd w:val="clear" w:color="auto" w:fill="auto"/>
            <w:noWrap/>
            <w:vAlign w:val="center"/>
          </w:tcPr>
          <w:p w14:paraId="10BE0319" w14:textId="7A75525D" w:rsidR="00587DA8" w:rsidRPr="00232A4E" w:rsidRDefault="0035506B" w:rsidP="00D9296A">
            <w:pPr>
              <w:spacing w:after="0" w:line="240" w:lineRule="auto"/>
              <w:jc w:val="center"/>
              <w:rPr>
                <w:rFonts w:ascii="Calibri" w:hAnsi="Calibri" w:cs="Arial"/>
                <w:sz w:val="20"/>
                <w:szCs w:val="20"/>
              </w:rPr>
            </w:pPr>
            <w:r>
              <w:rPr>
                <w:rFonts w:ascii="Calibri" w:hAnsi="Calibri" w:cs="Arial"/>
                <w:sz w:val="20"/>
                <w:szCs w:val="20"/>
              </w:rPr>
              <w:t>14.40</w:t>
            </w:r>
          </w:p>
        </w:tc>
        <w:tc>
          <w:tcPr>
            <w:tcW w:w="895" w:type="dxa"/>
            <w:shd w:val="clear" w:color="auto" w:fill="auto"/>
            <w:noWrap/>
            <w:vAlign w:val="center"/>
          </w:tcPr>
          <w:p w14:paraId="6489982B"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0.15</w:t>
            </w:r>
          </w:p>
        </w:tc>
        <w:tc>
          <w:tcPr>
            <w:tcW w:w="896" w:type="dxa"/>
            <w:shd w:val="clear" w:color="auto" w:fill="auto"/>
            <w:noWrap/>
            <w:vAlign w:val="center"/>
          </w:tcPr>
          <w:p w14:paraId="0D9F8B68"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0.07</w:t>
            </w:r>
          </w:p>
        </w:tc>
        <w:tc>
          <w:tcPr>
            <w:tcW w:w="895" w:type="dxa"/>
            <w:shd w:val="clear" w:color="auto" w:fill="auto"/>
            <w:noWrap/>
            <w:vAlign w:val="center"/>
          </w:tcPr>
          <w:p w14:paraId="3CB3C9D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46.3</w:t>
            </w:r>
          </w:p>
        </w:tc>
      </w:tr>
      <w:tr w:rsidR="00587DA8" w14:paraId="7511049B" w14:textId="77777777" w:rsidTr="00587DA8">
        <w:trPr>
          <w:trHeight w:val="455"/>
          <w:jc w:val="center"/>
        </w:trPr>
        <w:tc>
          <w:tcPr>
            <w:tcW w:w="828" w:type="dxa"/>
            <w:shd w:val="clear" w:color="auto" w:fill="auto"/>
            <w:noWrap/>
            <w:vAlign w:val="center"/>
          </w:tcPr>
          <w:p w14:paraId="78DA326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3</w:t>
            </w:r>
          </w:p>
        </w:tc>
        <w:tc>
          <w:tcPr>
            <w:tcW w:w="892" w:type="dxa"/>
            <w:shd w:val="clear" w:color="auto" w:fill="auto"/>
            <w:noWrap/>
            <w:vAlign w:val="center"/>
          </w:tcPr>
          <w:p w14:paraId="65CC492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1304</w:t>
            </w:r>
          </w:p>
        </w:tc>
        <w:tc>
          <w:tcPr>
            <w:tcW w:w="894" w:type="dxa"/>
            <w:shd w:val="clear" w:color="auto" w:fill="auto"/>
            <w:noWrap/>
            <w:vAlign w:val="center"/>
          </w:tcPr>
          <w:p w14:paraId="691F0567"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51</w:t>
            </w:r>
          </w:p>
        </w:tc>
        <w:tc>
          <w:tcPr>
            <w:tcW w:w="899" w:type="dxa"/>
            <w:shd w:val="clear" w:color="auto" w:fill="auto"/>
            <w:noWrap/>
            <w:vAlign w:val="center"/>
          </w:tcPr>
          <w:p w14:paraId="661F2F03"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3.9</w:t>
            </w:r>
          </w:p>
        </w:tc>
        <w:tc>
          <w:tcPr>
            <w:tcW w:w="894" w:type="dxa"/>
            <w:shd w:val="clear" w:color="auto" w:fill="auto"/>
            <w:noWrap/>
            <w:vAlign w:val="center"/>
          </w:tcPr>
          <w:p w14:paraId="555B63D3"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0.17</w:t>
            </w:r>
          </w:p>
        </w:tc>
        <w:tc>
          <w:tcPr>
            <w:tcW w:w="896" w:type="dxa"/>
            <w:shd w:val="clear" w:color="auto" w:fill="auto"/>
            <w:noWrap/>
            <w:vAlign w:val="center"/>
          </w:tcPr>
          <w:p w14:paraId="2E117869"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0.08</w:t>
            </w:r>
          </w:p>
        </w:tc>
        <w:tc>
          <w:tcPr>
            <w:tcW w:w="896" w:type="dxa"/>
            <w:shd w:val="clear" w:color="auto" w:fill="auto"/>
            <w:noWrap/>
            <w:vAlign w:val="center"/>
          </w:tcPr>
          <w:p w14:paraId="6F45170E"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46.4</w:t>
            </w:r>
          </w:p>
        </w:tc>
        <w:tc>
          <w:tcPr>
            <w:tcW w:w="896" w:type="dxa"/>
            <w:shd w:val="clear" w:color="auto" w:fill="auto"/>
            <w:noWrap/>
            <w:vAlign w:val="center"/>
          </w:tcPr>
          <w:p w14:paraId="489255CB"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0.33</w:t>
            </w:r>
          </w:p>
        </w:tc>
        <w:tc>
          <w:tcPr>
            <w:tcW w:w="895" w:type="dxa"/>
            <w:shd w:val="clear" w:color="auto" w:fill="auto"/>
            <w:noWrap/>
            <w:vAlign w:val="center"/>
          </w:tcPr>
          <w:p w14:paraId="30F22131"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0.2</w:t>
            </w:r>
          </w:p>
        </w:tc>
        <w:tc>
          <w:tcPr>
            <w:tcW w:w="896" w:type="dxa"/>
            <w:shd w:val="clear" w:color="auto" w:fill="auto"/>
            <w:noWrap/>
            <w:vAlign w:val="center"/>
          </w:tcPr>
          <w:p w14:paraId="53F02379"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61.8</w:t>
            </w:r>
          </w:p>
        </w:tc>
        <w:tc>
          <w:tcPr>
            <w:tcW w:w="895" w:type="dxa"/>
            <w:shd w:val="clear" w:color="auto" w:fill="auto"/>
            <w:noWrap/>
            <w:vAlign w:val="center"/>
          </w:tcPr>
          <w:p w14:paraId="3E8DCE8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11.22</w:t>
            </w:r>
          </w:p>
        </w:tc>
        <w:tc>
          <w:tcPr>
            <w:tcW w:w="896" w:type="dxa"/>
            <w:shd w:val="clear" w:color="auto" w:fill="auto"/>
            <w:noWrap/>
            <w:vAlign w:val="center"/>
          </w:tcPr>
          <w:p w14:paraId="61389DEE"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5.23</w:t>
            </w:r>
          </w:p>
        </w:tc>
        <w:tc>
          <w:tcPr>
            <w:tcW w:w="895" w:type="dxa"/>
            <w:shd w:val="clear" w:color="auto" w:fill="auto"/>
            <w:noWrap/>
            <w:vAlign w:val="center"/>
          </w:tcPr>
          <w:p w14:paraId="540F9697"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46.5</w:t>
            </w:r>
          </w:p>
        </w:tc>
      </w:tr>
      <w:tr w:rsidR="00587DA8" w14:paraId="53BD4893" w14:textId="77777777" w:rsidTr="00587DA8">
        <w:trPr>
          <w:trHeight w:val="455"/>
          <w:jc w:val="center"/>
        </w:trPr>
        <w:tc>
          <w:tcPr>
            <w:tcW w:w="828" w:type="dxa"/>
            <w:shd w:val="clear" w:color="auto" w:fill="auto"/>
            <w:noWrap/>
            <w:vAlign w:val="center"/>
          </w:tcPr>
          <w:p w14:paraId="28EAA1C6"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4</w:t>
            </w:r>
          </w:p>
        </w:tc>
        <w:tc>
          <w:tcPr>
            <w:tcW w:w="892" w:type="dxa"/>
            <w:shd w:val="clear" w:color="auto" w:fill="auto"/>
            <w:noWrap/>
            <w:vAlign w:val="center"/>
          </w:tcPr>
          <w:p w14:paraId="4C4CFF52"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991</w:t>
            </w:r>
          </w:p>
        </w:tc>
        <w:tc>
          <w:tcPr>
            <w:tcW w:w="894" w:type="dxa"/>
            <w:shd w:val="clear" w:color="auto" w:fill="auto"/>
            <w:noWrap/>
            <w:vAlign w:val="center"/>
          </w:tcPr>
          <w:p w14:paraId="40EBD730"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54</w:t>
            </w:r>
          </w:p>
        </w:tc>
        <w:tc>
          <w:tcPr>
            <w:tcW w:w="899" w:type="dxa"/>
            <w:shd w:val="clear" w:color="auto" w:fill="auto"/>
            <w:noWrap/>
            <w:vAlign w:val="center"/>
          </w:tcPr>
          <w:p w14:paraId="32AB239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5.4</w:t>
            </w:r>
          </w:p>
        </w:tc>
        <w:tc>
          <w:tcPr>
            <w:tcW w:w="894" w:type="dxa"/>
            <w:shd w:val="clear" w:color="auto" w:fill="auto"/>
            <w:noWrap/>
            <w:vAlign w:val="center"/>
          </w:tcPr>
          <w:p w14:paraId="6A80C81E"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0.14</w:t>
            </w:r>
          </w:p>
        </w:tc>
        <w:tc>
          <w:tcPr>
            <w:tcW w:w="896" w:type="dxa"/>
            <w:shd w:val="clear" w:color="auto" w:fill="auto"/>
            <w:noWrap/>
            <w:vAlign w:val="center"/>
          </w:tcPr>
          <w:p w14:paraId="698A218E"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0.04</w:t>
            </w:r>
          </w:p>
        </w:tc>
        <w:tc>
          <w:tcPr>
            <w:tcW w:w="896" w:type="dxa"/>
            <w:shd w:val="clear" w:color="auto" w:fill="auto"/>
            <w:noWrap/>
            <w:vAlign w:val="center"/>
          </w:tcPr>
          <w:p w14:paraId="73362BAF"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26.2</w:t>
            </w:r>
          </w:p>
        </w:tc>
        <w:tc>
          <w:tcPr>
            <w:tcW w:w="896" w:type="dxa"/>
            <w:shd w:val="clear" w:color="auto" w:fill="auto"/>
            <w:noWrap/>
            <w:vAlign w:val="center"/>
          </w:tcPr>
          <w:p w14:paraId="0036D662"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0.2</w:t>
            </w:r>
          </w:p>
        </w:tc>
        <w:tc>
          <w:tcPr>
            <w:tcW w:w="895" w:type="dxa"/>
            <w:shd w:val="clear" w:color="auto" w:fill="auto"/>
            <w:noWrap/>
            <w:vAlign w:val="center"/>
          </w:tcPr>
          <w:p w14:paraId="52CB202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0.03</w:t>
            </w:r>
          </w:p>
        </w:tc>
        <w:tc>
          <w:tcPr>
            <w:tcW w:w="896" w:type="dxa"/>
            <w:shd w:val="clear" w:color="auto" w:fill="auto"/>
            <w:noWrap/>
            <w:vAlign w:val="center"/>
          </w:tcPr>
          <w:p w14:paraId="559E4F7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13.6</w:t>
            </w:r>
          </w:p>
        </w:tc>
        <w:tc>
          <w:tcPr>
            <w:tcW w:w="895" w:type="dxa"/>
            <w:shd w:val="clear" w:color="auto" w:fill="auto"/>
            <w:noWrap/>
            <w:vAlign w:val="center"/>
          </w:tcPr>
          <w:p w14:paraId="355C6147"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7.24</w:t>
            </w:r>
          </w:p>
        </w:tc>
        <w:tc>
          <w:tcPr>
            <w:tcW w:w="896" w:type="dxa"/>
            <w:shd w:val="clear" w:color="auto" w:fill="auto"/>
            <w:noWrap/>
            <w:vAlign w:val="center"/>
          </w:tcPr>
          <w:p w14:paraId="340CA5BA"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2.51</w:t>
            </w:r>
          </w:p>
        </w:tc>
        <w:tc>
          <w:tcPr>
            <w:tcW w:w="895" w:type="dxa"/>
            <w:shd w:val="clear" w:color="auto" w:fill="auto"/>
            <w:noWrap/>
            <w:vAlign w:val="center"/>
          </w:tcPr>
          <w:p w14:paraId="643EAE9A"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34.6</w:t>
            </w:r>
          </w:p>
        </w:tc>
      </w:tr>
      <w:tr w:rsidR="00587DA8" w14:paraId="526B8187" w14:textId="77777777" w:rsidTr="00587DA8">
        <w:trPr>
          <w:trHeight w:val="455"/>
          <w:jc w:val="center"/>
        </w:trPr>
        <w:tc>
          <w:tcPr>
            <w:tcW w:w="828" w:type="dxa"/>
            <w:shd w:val="clear" w:color="auto" w:fill="auto"/>
            <w:noWrap/>
            <w:vAlign w:val="center"/>
          </w:tcPr>
          <w:p w14:paraId="1F960832"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5</w:t>
            </w:r>
          </w:p>
        </w:tc>
        <w:tc>
          <w:tcPr>
            <w:tcW w:w="892" w:type="dxa"/>
            <w:shd w:val="clear" w:color="auto" w:fill="auto"/>
            <w:noWrap/>
            <w:vAlign w:val="center"/>
          </w:tcPr>
          <w:p w14:paraId="59C52301"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2379</w:t>
            </w:r>
          </w:p>
        </w:tc>
        <w:tc>
          <w:tcPr>
            <w:tcW w:w="894" w:type="dxa"/>
            <w:shd w:val="clear" w:color="auto" w:fill="auto"/>
            <w:noWrap/>
            <w:vAlign w:val="center"/>
          </w:tcPr>
          <w:p w14:paraId="7ADCCA1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173</w:t>
            </w:r>
          </w:p>
        </w:tc>
        <w:tc>
          <w:tcPr>
            <w:tcW w:w="899" w:type="dxa"/>
            <w:shd w:val="clear" w:color="auto" w:fill="auto"/>
            <w:noWrap/>
            <w:vAlign w:val="center"/>
          </w:tcPr>
          <w:p w14:paraId="034176FA"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7.2</w:t>
            </w:r>
          </w:p>
        </w:tc>
        <w:tc>
          <w:tcPr>
            <w:tcW w:w="894" w:type="dxa"/>
            <w:shd w:val="clear" w:color="auto" w:fill="auto"/>
            <w:noWrap/>
            <w:vAlign w:val="center"/>
          </w:tcPr>
          <w:p w14:paraId="017E054E"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0.03</w:t>
            </w:r>
          </w:p>
        </w:tc>
        <w:tc>
          <w:tcPr>
            <w:tcW w:w="896" w:type="dxa"/>
            <w:shd w:val="clear" w:color="auto" w:fill="auto"/>
            <w:noWrap/>
            <w:vAlign w:val="center"/>
          </w:tcPr>
          <w:p w14:paraId="5A9E227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0.02</w:t>
            </w:r>
          </w:p>
        </w:tc>
        <w:tc>
          <w:tcPr>
            <w:tcW w:w="896" w:type="dxa"/>
            <w:shd w:val="clear" w:color="auto" w:fill="auto"/>
            <w:noWrap/>
            <w:vAlign w:val="center"/>
          </w:tcPr>
          <w:p w14:paraId="7F9CB7EA"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72.8</w:t>
            </w:r>
          </w:p>
        </w:tc>
        <w:tc>
          <w:tcPr>
            <w:tcW w:w="896" w:type="dxa"/>
            <w:shd w:val="clear" w:color="auto" w:fill="auto"/>
            <w:noWrap/>
            <w:vAlign w:val="center"/>
          </w:tcPr>
          <w:p w14:paraId="3A487BC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0.04</w:t>
            </w:r>
          </w:p>
        </w:tc>
        <w:tc>
          <w:tcPr>
            <w:tcW w:w="895" w:type="dxa"/>
            <w:shd w:val="clear" w:color="auto" w:fill="auto"/>
            <w:noWrap/>
            <w:vAlign w:val="center"/>
          </w:tcPr>
          <w:p w14:paraId="09C2419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0.04</w:t>
            </w:r>
          </w:p>
        </w:tc>
        <w:tc>
          <w:tcPr>
            <w:tcW w:w="896" w:type="dxa"/>
            <w:shd w:val="clear" w:color="auto" w:fill="auto"/>
            <w:noWrap/>
            <w:vAlign w:val="center"/>
          </w:tcPr>
          <w:p w14:paraId="7C5BEB37"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98.3</w:t>
            </w:r>
          </w:p>
        </w:tc>
        <w:tc>
          <w:tcPr>
            <w:tcW w:w="895" w:type="dxa"/>
            <w:shd w:val="clear" w:color="auto" w:fill="auto"/>
            <w:noWrap/>
            <w:vAlign w:val="center"/>
          </w:tcPr>
          <w:p w14:paraId="6D5B8C3F"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1.43</w:t>
            </w:r>
          </w:p>
        </w:tc>
        <w:tc>
          <w:tcPr>
            <w:tcW w:w="896" w:type="dxa"/>
            <w:shd w:val="clear" w:color="auto" w:fill="auto"/>
            <w:noWrap/>
            <w:vAlign w:val="center"/>
          </w:tcPr>
          <w:p w14:paraId="6C20430C"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1.37</w:t>
            </w:r>
          </w:p>
        </w:tc>
        <w:tc>
          <w:tcPr>
            <w:tcW w:w="895" w:type="dxa"/>
            <w:shd w:val="clear" w:color="auto" w:fill="auto"/>
            <w:noWrap/>
            <w:vAlign w:val="center"/>
          </w:tcPr>
          <w:p w14:paraId="2CB90E6F"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95.9</w:t>
            </w:r>
          </w:p>
        </w:tc>
      </w:tr>
      <w:tr w:rsidR="00587DA8" w14:paraId="5EF9AAEA" w14:textId="77777777" w:rsidTr="00587DA8">
        <w:trPr>
          <w:trHeight w:val="455"/>
          <w:jc w:val="center"/>
        </w:trPr>
        <w:tc>
          <w:tcPr>
            <w:tcW w:w="828" w:type="dxa"/>
            <w:shd w:val="clear" w:color="auto" w:fill="auto"/>
            <w:noWrap/>
            <w:vAlign w:val="center"/>
          </w:tcPr>
          <w:p w14:paraId="015503A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6</w:t>
            </w:r>
          </w:p>
        </w:tc>
        <w:tc>
          <w:tcPr>
            <w:tcW w:w="892" w:type="dxa"/>
            <w:shd w:val="clear" w:color="auto" w:fill="auto"/>
            <w:noWrap/>
            <w:vAlign w:val="center"/>
          </w:tcPr>
          <w:p w14:paraId="35797E20"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2117</w:t>
            </w:r>
          </w:p>
        </w:tc>
        <w:tc>
          <w:tcPr>
            <w:tcW w:w="894" w:type="dxa"/>
            <w:shd w:val="clear" w:color="auto" w:fill="auto"/>
            <w:noWrap/>
            <w:vAlign w:val="center"/>
          </w:tcPr>
          <w:p w14:paraId="10E85969"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523</w:t>
            </w:r>
          </w:p>
        </w:tc>
        <w:tc>
          <w:tcPr>
            <w:tcW w:w="899" w:type="dxa"/>
            <w:shd w:val="clear" w:color="auto" w:fill="auto"/>
            <w:noWrap/>
            <w:vAlign w:val="center"/>
          </w:tcPr>
          <w:p w14:paraId="3CBAD089"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24.7</w:t>
            </w:r>
          </w:p>
        </w:tc>
        <w:tc>
          <w:tcPr>
            <w:tcW w:w="894" w:type="dxa"/>
            <w:shd w:val="clear" w:color="auto" w:fill="auto"/>
            <w:noWrap/>
            <w:vAlign w:val="center"/>
          </w:tcPr>
          <w:p w14:paraId="65DEE4DE"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0.11</w:t>
            </w:r>
          </w:p>
        </w:tc>
        <w:tc>
          <w:tcPr>
            <w:tcW w:w="896" w:type="dxa"/>
            <w:shd w:val="clear" w:color="auto" w:fill="auto"/>
            <w:noWrap/>
            <w:vAlign w:val="center"/>
          </w:tcPr>
          <w:p w14:paraId="32FF155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0.04</w:t>
            </w:r>
          </w:p>
        </w:tc>
        <w:tc>
          <w:tcPr>
            <w:tcW w:w="896" w:type="dxa"/>
            <w:shd w:val="clear" w:color="auto" w:fill="auto"/>
            <w:noWrap/>
            <w:vAlign w:val="center"/>
          </w:tcPr>
          <w:p w14:paraId="7EE21AF1"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31.1</w:t>
            </w:r>
          </w:p>
        </w:tc>
        <w:tc>
          <w:tcPr>
            <w:tcW w:w="896" w:type="dxa"/>
            <w:shd w:val="clear" w:color="auto" w:fill="auto"/>
            <w:noWrap/>
            <w:vAlign w:val="center"/>
          </w:tcPr>
          <w:p w14:paraId="4330912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0.3</w:t>
            </w:r>
          </w:p>
        </w:tc>
        <w:tc>
          <w:tcPr>
            <w:tcW w:w="895" w:type="dxa"/>
            <w:shd w:val="clear" w:color="auto" w:fill="auto"/>
            <w:noWrap/>
            <w:vAlign w:val="center"/>
          </w:tcPr>
          <w:p w14:paraId="393E4E7B"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0.05</w:t>
            </w:r>
          </w:p>
        </w:tc>
        <w:tc>
          <w:tcPr>
            <w:tcW w:w="896" w:type="dxa"/>
            <w:shd w:val="clear" w:color="auto" w:fill="auto"/>
            <w:noWrap/>
            <w:vAlign w:val="center"/>
          </w:tcPr>
          <w:p w14:paraId="26558413"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15.9</w:t>
            </w:r>
          </w:p>
        </w:tc>
        <w:tc>
          <w:tcPr>
            <w:tcW w:w="895" w:type="dxa"/>
            <w:shd w:val="clear" w:color="auto" w:fill="auto"/>
            <w:noWrap/>
            <w:vAlign w:val="center"/>
          </w:tcPr>
          <w:p w14:paraId="39B89A01"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6.55</w:t>
            </w:r>
          </w:p>
        </w:tc>
        <w:tc>
          <w:tcPr>
            <w:tcW w:w="896" w:type="dxa"/>
            <w:shd w:val="clear" w:color="auto" w:fill="auto"/>
            <w:noWrap/>
            <w:vAlign w:val="center"/>
          </w:tcPr>
          <w:p w14:paraId="79F8EEA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3.59</w:t>
            </w:r>
          </w:p>
        </w:tc>
        <w:tc>
          <w:tcPr>
            <w:tcW w:w="895" w:type="dxa"/>
            <w:shd w:val="clear" w:color="auto" w:fill="auto"/>
            <w:noWrap/>
            <w:vAlign w:val="center"/>
          </w:tcPr>
          <w:p w14:paraId="5DE96CA4"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54.7</w:t>
            </w:r>
          </w:p>
        </w:tc>
      </w:tr>
      <w:tr w:rsidR="00587DA8" w14:paraId="125CA6FD" w14:textId="77777777" w:rsidTr="00587DA8">
        <w:trPr>
          <w:trHeight w:val="455"/>
          <w:jc w:val="center"/>
        </w:trPr>
        <w:tc>
          <w:tcPr>
            <w:tcW w:w="828" w:type="dxa"/>
            <w:shd w:val="clear" w:color="auto" w:fill="auto"/>
            <w:noWrap/>
            <w:vAlign w:val="center"/>
          </w:tcPr>
          <w:p w14:paraId="2B1EBCF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7</w:t>
            </w:r>
          </w:p>
        </w:tc>
        <w:tc>
          <w:tcPr>
            <w:tcW w:w="892" w:type="dxa"/>
            <w:shd w:val="clear" w:color="auto" w:fill="auto"/>
            <w:noWrap/>
            <w:vAlign w:val="center"/>
          </w:tcPr>
          <w:p w14:paraId="5543D6B3"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1406</w:t>
            </w:r>
          </w:p>
        </w:tc>
        <w:tc>
          <w:tcPr>
            <w:tcW w:w="894" w:type="dxa"/>
            <w:shd w:val="clear" w:color="auto" w:fill="auto"/>
            <w:noWrap/>
            <w:vAlign w:val="center"/>
          </w:tcPr>
          <w:p w14:paraId="269066BF"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298</w:t>
            </w:r>
          </w:p>
        </w:tc>
        <w:tc>
          <w:tcPr>
            <w:tcW w:w="899" w:type="dxa"/>
            <w:shd w:val="clear" w:color="auto" w:fill="auto"/>
            <w:noWrap/>
            <w:vAlign w:val="center"/>
          </w:tcPr>
          <w:p w14:paraId="0CC27F70"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21.2</w:t>
            </w:r>
          </w:p>
        </w:tc>
        <w:tc>
          <w:tcPr>
            <w:tcW w:w="894" w:type="dxa"/>
            <w:shd w:val="clear" w:color="auto" w:fill="auto"/>
            <w:noWrap/>
            <w:vAlign w:val="center"/>
          </w:tcPr>
          <w:p w14:paraId="1C9F9B32"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0.17</w:t>
            </w:r>
          </w:p>
        </w:tc>
        <w:tc>
          <w:tcPr>
            <w:tcW w:w="896" w:type="dxa"/>
            <w:shd w:val="clear" w:color="auto" w:fill="auto"/>
            <w:noWrap/>
            <w:vAlign w:val="center"/>
          </w:tcPr>
          <w:p w14:paraId="321186C9"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0.06</w:t>
            </w:r>
          </w:p>
        </w:tc>
        <w:tc>
          <w:tcPr>
            <w:tcW w:w="896" w:type="dxa"/>
            <w:shd w:val="clear" w:color="auto" w:fill="auto"/>
            <w:noWrap/>
            <w:vAlign w:val="center"/>
          </w:tcPr>
          <w:p w14:paraId="656C9AA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34.2</w:t>
            </w:r>
          </w:p>
        </w:tc>
        <w:tc>
          <w:tcPr>
            <w:tcW w:w="896" w:type="dxa"/>
            <w:shd w:val="clear" w:color="auto" w:fill="auto"/>
            <w:noWrap/>
            <w:vAlign w:val="center"/>
          </w:tcPr>
          <w:p w14:paraId="12758CA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0.39</w:t>
            </w:r>
          </w:p>
        </w:tc>
        <w:tc>
          <w:tcPr>
            <w:tcW w:w="895" w:type="dxa"/>
            <w:shd w:val="clear" w:color="auto" w:fill="auto"/>
            <w:noWrap/>
            <w:vAlign w:val="center"/>
          </w:tcPr>
          <w:p w14:paraId="42A28F6E"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0.19</w:t>
            </w:r>
          </w:p>
        </w:tc>
        <w:tc>
          <w:tcPr>
            <w:tcW w:w="896" w:type="dxa"/>
            <w:shd w:val="clear" w:color="auto" w:fill="auto"/>
            <w:noWrap/>
            <w:vAlign w:val="center"/>
          </w:tcPr>
          <w:p w14:paraId="71654CD8"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50.6</w:t>
            </w:r>
          </w:p>
        </w:tc>
        <w:tc>
          <w:tcPr>
            <w:tcW w:w="895" w:type="dxa"/>
            <w:shd w:val="clear" w:color="auto" w:fill="auto"/>
            <w:noWrap/>
            <w:vAlign w:val="center"/>
          </w:tcPr>
          <w:p w14:paraId="5641EB29"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7.56</w:t>
            </w:r>
          </w:p>
        </w:tc>
        <w:tc>
          <w:tcPr>
            <w:tcW w:w="896" w:type="dxa"/>
            <w:shd w:val="clear" w:color="auto" w:fill="auto"/>
            <w:noWrap/>
            <w:vAlign w:val="center"/>
          </w:tcPr>
          <w:p w14:paraId="39E764E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2.85</w:t>
            </w:r>
          </w:p>
        </w:tc>
        <w:tc>
          <w:tcPr>
            <w:tcW w:w="895" w:type="dxa"/>
            <w:shd w:val="clear" w:color="auto" w:fill="auto"/>
            <w:noWrap/>
            <w:vAlign w:val="center"/>
          </w:tcPr>
          <w:p w14:paraId="7D17BA8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37.7</w:t>
            </w:r>
          </w:p>
        </w:tc>
      </w:tr>
      <w:tr w:rsidR="00587DA8" w14:paraId="2333ADFB" w14:textId="77777777" w:rsidTr="00587DA8">
        <w:trPr>
          <w:trHeight w:val="455"/>
          <w:jc w:val="center"/>
        </w:trPr>
        <w:tc>
          <w:tcPr>
            <w:tcW w:w="828" w:type="dxa"/>
            <w:tcBorders>
              <w:bottom w:val="single" w:sz="4" w:space="0" w:color="auto"/>
            </w:tcBorders>
            <w:shd w:val="clear" w:color="auto" w:fill="auto"/>
            <w:noWrap/>
            <w:vAlign w:val="center"/>
          </w:tcPr>
          <w:p w14:paraId="077F03D1"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8</w:t>
            </w:r>
          </w:p>
        </w:tc>
        <w:tc>
          <w:tcPr>
            <w:tcW w:w="892" w:type="dxa"/>
            <w:tcBorders>
              <w:bottom w:val="single" w:sz="4" w:space="0" w:color="auto"/>
            </w:tcBorders>
            <w:shd w:val="clear" w:color="auto" w:fill="auto"/>
            <w:noWrap/>
            <w:vAlign w:val="center"/>
          </w:tcPr>
          <w:p w14:paraId="2EC21C7A"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1157</w:t>
            </w:r>
          </w:p>
        </w:tc>
        <w:tc>
          <w:tcPr>
            <w:tcW w:w="894" w:type="dxa"/>
            <w:tcBorders>
              <w:bottom w:val="single" w:sz="4" w:space="0" w:color="auto"/>
            </w:tcBorders>
            <w:shd w:val="clear" w:color="auto" w:fill="auto"/>
            <w:noWrap/>
            <w:vAlign w:val="center"/>
          </w:tcPr>
          <w:p w14:paraId="67CB4CF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212</w:t>
            </w:r>
          </w:p>
        </w:tc>
        <w:tc>
          <w:tcPr>
            <w:tcW w:w="899" w:type="dxa"/>
            <w:tcBorders>
              <w:bottom w:val="single" w:sz="4" w:space="0" w:color="auto"/>
            </w:tcBorders>
            <w:shd w:val="clear" w:color="auto" w:fill="auto"/>
            <w:noWrap/>
            <w:vAlign w:val="center"/>
          </w:tcPr>
          <w:p w14:paraId="7D544EA2"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18.3</w:t>
            </w:r>
          </w:p>
        </w:tc>
        <w:tc>
          <w:tcPr>
            <w:tcW w:w="894" w:type="dxa"/>
            <w:tcBorders>
              <w:bottom w:val="single" w:sz="4" w:space="0" w:color="auto"/>
            </w:tcBorders>
            <w:shd w:val="clear" w:color="auto" w:fill="auto"/>
            <w:noWrap/>
            <w:vAlign w:val="center"/>
          </w:tcPr>
          <w:p w14:paraId="265991D1"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0.08</w:t>
            </w:r>
          </w:p>
        </w:tc>
        <w:tc>
          <w:tcPr>
            <w:tcW w:w="896" w:type="dxa"/>
            <w:tcBorders>
              <w:bottom w:val="single" w:sz="4" w:space="0" w:color="auto"/>
            </w:tcBorders>
            <w:shd w:val="clear" w:color="auto" w:fill="auto"/>
            <w:noWrap/>
            <w:vAlign w:val="center"/>
          </w:tcPr>
          <w:p w14:paraId="553BC73B"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0.03</w:t>
            </w:r>
          </w:p>
        </w:tc>
        <w:tc>
          <w:tcPr>
            <w:tcW w:w="896" w:type="dxa"/>
            <w:tcBorders>
              <w:bottom w:val="single" w:sz="4" w:space="0" w:color="auto"/>
            </w:tcBorders>
            <w:shd w:val="clear" w:color="auto" w:fill="auto"/>
            <w:noWrap/>
            <w:vAlign w:val="center"/>
          </w:tcPr>
          <w:p w14:paraId="71570722"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39.9</w:t>
            </w:r>
          </w:p>
        </w:tc>
        <w:tc>
          <w:tcPr>
            <w:tcW w:w="896" w:type="dxa"/>
            <w:tcBorders>
              <w:bottom w:val="single" w:sz="4" w:space="0" w:color="auto"/>
            </w:tcBorders>
            <w:shd w:val="clear" w:color="auto" w:fill="auto"/>
            <w:noWrap/>
            <w:vAlign w:val="center"/>
          </w:tcPr>
          <w:p w14:paraId="32B9A85A"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0.1</w:t>
            </w:r>
          </w:p>
        </w:tc>
        <w:tc>
          <w:tcPr>
            <w:tcW w:w="895" w:type="dxa"/>
            <w:tcBorders>
              <w:bottom w:val="single" w:sz="4" w:space="0" w:color="auto"/>
            </w:tcBorders>
            <w:shd w:val="clear" w:color="auto" w:fill="auto"/>
            <w:noWrap/>
            <w:vAlign w:val="center"/>
          </w:tcPr>
          <w:p w14:paraId="177C480F"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0.04</w:t>
            </w:r>
          </w:p>
        </w:tc>
        <w:tc>
          <w:tcPr>
            <w:tcW w:w="896" w:type="dxa"/>
            <w:tcBorders>
              <w:bottom w:val="single" w:sz="4" w:space="0" w:color="auto"/>
            </w:tcBorders>
            <w:shd w:val="clear" w:color="auto" w:fill="auto"/>
            <w:noWrap/>
            <w:vAlign w:val="center"/>
          </w:tcPr>
          <w:p w14:paraId="15E5263E"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41.3</w:t>
            </w:r>
          </w:p>
        </w:tc>
        <w:tc>
          <w:tcPr>
            <w:tcW w:w="895" w:type="dxa"/>
            <w:tcBorders>
              <w:bottom w:val="single" w:sz="4" w:space="0" w:color="auto"/>
            </w:tcBorders>
            <w:shd w:val="clear" w:color="auto" w:fill="auto"/>
            <w:noWrap/>
            <w:vAlign w:val="center"/>
          </w:tcPr>
          <w:p w14:paraId="12F8D43F"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4.01</w:t>
            </w:r>
          </w:p>
        </w:tc>
        <w:tc>
          <w:tcPr>
            <w:tcW w:w="896" w:type="dxa"/>
            <w:tcBorders>
              <w:bottom w:val="single" w:sz="4" w:space="0" w:color="auto"/>
            </w:tcBorders>
            <w:shd w:val="clear" w:color="auto" w:fill="auto"/>
            <w:noWrap/>
            <w:vAlign w:val="center"/>
          </w:tcPr>
          <w:p w14:paraId="6EF31F72"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2.16</w:t>
            </w:r>
          </w:p>
        </w:tc>
        <w:tc>
          <w:tcPr>
            <w:tcW w:w="895" w:type="dxa"/>
            <w:tcBorders>
              <w:bottom w:val="single" w:sz="4" w:space="0" w:color="auto"/>
            </w:tcBorders>
            <w:shd w:val="clear" w:color="auto" w:fill="auto"/>
            <w:noWrap/>
            <w:vAlign w:val="center"/>
          </w:tcPr>
          <w:p w14:paraId="000A38DA"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53.8</w:t>
            </w:r>
          </w:p>
        </w:tc>
      </w:tr>
      <w:tr w:rsidR="00587DA8" w14:paraId="54424C7D" w14:textId="77777777" w:rsidTr="00587DA8">
        <w:trPr>
          <w:trHeight w:val="455"/>
          <w:jc w:val="center"/>
        </w:trPr>
        <w:tc>
          <w:tcPr>
            <w:tcW w:w="828" w:type="dxa"/>
            <w:tcBorders>
              <w:top w:val="single" w:sz="4" w:space="0" w:color="auto"/>
            </w:tcBorders>
            <w:shd w:val="clear" w:color="auto" w:fill="auto"/>
            <w:noWrap/>
            <w:vAlign w:val="center"/>
          </w:tcPr>
          <w:p w14:paraId="10A6452A"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Mean</w:t>
            </w:r>
          </w:p>
        </w:tc>
        <w:tc>
          <w:tcPr>
            <w:tcW w:w="892" w:type="dxa"/>
            <w:tcBorders>
              <w:top w:val="single" w:sz="4" w:space="0" w:color="auto"/>
            </w:tcBorders>
            <w:shd w:val="clear" w:color="auto" w:fill="auto"/>
            <w:noWrap/>
            <w:vAlign w:val="center"/>
          </w:tcPr>
          <w:p w14:paraId="55B8083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1713</w:t>
            </w:r>
          </w:p>
        </w:tc>
        <w:tc>
          <w:tcPr>
            <w:tcW w:w="894" w:type="dxa"/>
            <w:tcBorders>
              <w:top w:val="single" w:sz="4" w:space="0" w:color="auto"/>
            </w:tcBorders>
            <w:shd w:val="clear" w:color="auto" w:fill="auto"/>
            <w:noWrap/>
            <w:vAlign w:val="center"/>
          </w:tcPr>
          <w:p w14:paraId="1020FDE8"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321</w:t>
            </w:r>
          </w:p>
        </w:tc>
        <w:tc>
          <w:tcPr>
            <w:tcW w:w="899" w:type="dxa"/>
            <w:tcBorders>
              <w:top w:val="single" w:sz="4" w:space="0" w:color="auto"/>
            </w:tcBorders>
            <w:shd w:val="clear" w:color="auto" w:fill="auto"/>
            <w:noWrap/>
            <w:vAlign w:val="center"/>
          </w:tcPr>
          <w:p w14:paraId="5CB9566A"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17.0</w:t>
            </w:r>
          </w:p>
        </w:tc>
        <w:tc>
          <w:tcPr>
            <w:tcW w:w="894" w:type="dxa"/>
            <w:tcBorders>
              <w:top w:val="single" w:sz="4" w:space="0" w:color="auto"/>
            </w:tcBorders>
            <w:shd w:val="clear" w:color="auto" w:fill="auto"/>
            <w:noWrap/>
            <w:vAlign w:val="center"/>
          </w:tcPr>
          <w:p w14:paraId="4D3515FF"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0.09</w:t>
            </w:r>
          </w:p>
        </w:tc>
        <w:tc>
          <w:tcPr>
            <w:tcW w:w="896" w:type="dxa"/>
            <w:tcBorders>
              <w:top w:val="single" w:sz="4" w:space="0" w:color="auto"/>
            </w:tcBorders>
            <w:shd w:val="clear" w:color="auto" w:fill="auto"/>
            <w:noWrap/>
            <w:vAlign w:val="center"/>
          </w:tcPr>
          <w:p w14:paraId="0899AA49"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0.03</w:t>
            </w:r>
          </w:p>
        </w:tc>
        <w:tc>
          <w:tcPr>
            <w:tcW w:w="896" w:type="dxa"/>
            <w:tcBorders>
              <w:top w:val="single" w:sz="4" w:space="0" w:color="auto"/>
            </w:tcBorders>
            <w:shd w:val="clear" w:color="auto" w:fill="auto"/>
            <w:noWrap/>
            <w:vAlign w:val="center"/>
          </w:tcPr>
          <w:p w14:paraId="0A267369"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42.7</w:t>
            </w:r>
          </w:p>
        </w:tc>
        <w:tc>
          <w:tcPr>
            <w:tcW w:w="896" w:type="dxa"/>
            <w:tcBorders>
              <w:top w:val="single" w:sz="4" w:space="0" w:color="auto"/>
            </w:tcBorders>
            <w:shd w:val="clear" w:color="auto" w:fill="auto"/>
            <w:noWrap/>
            <w:vAlign w:val="center"/>
          </w:tcPr>
          <w:p w14:paraId="0026422A"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0.17</w:t>
            </w:r>
          </w:p>
        </w:tc>
        <w:tc>
          <w:tcPr>
            <w:tcW w:w="895" w:type="dxa"/>
            <w:tcBorders>
              <w:top w:val="single" w:sz="4" w:space="0" w:color="auto"/>
            </w:tcBorders>
            <w:shd w:val="clear" w:color="auto" w:fill="auto"/>
            <w:noWrap/>
            <w:vAlign w:val="center"/>
          </w:tcPr>
          <w:p w14:paraId="56C4EF84"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0.07</w:t>
            </w:r>
          </w:p>
        </w:tc>
        <w:tc>
          <w:tcPr>
            <w:tcW w:w="896" w:type="dxa"/>
            <w:tcBorders>
              <w:top w:val="single" w:sz="4" w:space="0" w:color="auto"/>
            </w:tcBorders>
            <w:shd w:val="clear" w:color="auto" w:fill="auto"/>
            <w:noWrap/>
            <w:vAlign w:val="center"/>
          </w:tcPr>
          <w:p w14:paraId="5C2585E0"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48.4</w:t>
            </w:r>
          </w:p>
        </w:tc>
        <w:tc>
          <w:tcPr>
            <w:tcW w:w="895" w:type="dxa"/>
            <w:tcBorders>
              <w:top w:val="single" w:sz="4" w:space="0" w:color="auto"/>
            </w:tcBorders>
            <w:shd w:val="clear" w:color="auto" w:fill="auto"/>
            <w:noWrap/>
            <w:vAlign w:val="center"/>
          </w:tcPr>
          <w:p w14:paraId="268DD252"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4.91</w:t>
            </w:r>
          </w:p>
        </w:tc>
        <w:tc>
          <w:tcPr>
            <w:tcW w:w="896" w:type="dxa"/>
            <w:tcBorders>
              <w:top w:val="single" w:sz="4" w:space="0" w:color="auto"/>
            </w:tcBorders>
            <w:shd w:val="clear" w:color="auto" w:fill="auto"/>
            <w:noWrap/>
            <w:vAlign w:val="center"/>
          </w:tcPr>
          <w:p w14:paraId="29CA5581"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2.31</w:t>
            </w:r>
          </w:p>
        </w:tc>
        <w:tc>
          <w:tcPr>
            <w:tcW w:w="895" w:type="dxa"/>
            <w:tcBorders>
              <w:top w:val="single" w:sz="4" w:space="0" w:color="auto"/>
            </w:tcBorders>
            <w:shd w:val="clear" w:color="auto" w:fill="auto"/>
            <w:noWrap/>
            <w:vAlign w:val="center"/>
          </w:tcPr>
          <w:p w14:paraId="523EF4CD"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53.8</w:t>
            </w:r>
          </w:p>
        </w:tc>
      </w:tr>
      <w:tr w:rsidR="00587DA8" w14:paraId="51E5D3DD" w14:textId="77777777" w:rsidTr="00587DA8">
        <w:trPr>
          <w:trHeight w:val="455"/>
          <w:jc w:val="center"/>
        </w:trPr>
        <w:tc>
          <w:tcPr>
            <w:tcW w:w="828" w:type="dxa"/>
            <w:tcBorders>
              <w:bottom w:val="single" w:sz="4" w:space="0" w:color="auto"/>
            </w:tcBorders>
            <w:shd w:val="clear" w:color="auto" w:fill="auto"/>
            <w:noWrap/>
            <w:vAlign w:val="center"/>
          </w:tcPr>
          <w:p w14:paraId="0E7D4675"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SD</w:t>
            </w:r>
          </w:p>
        </w:tc>
        <w:tc>
          <w:tcPr>
            <w:tcW w:w="892" w:type="dxa"/>
            <w:tcBorders>
              <w:bottom w:val="single" w:sz="4" w:space="0" w:color="auto"/>
            </w:tcBorders>
            <w:shd w:val="clear" w:color="auto" w:fill="auto"/>
            <w:noWrap/>
            <w:vAlign w:val="center"/>
          </w:tcPr>
          <w:p w14:paraId="7704B152"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561</w:t>
            </w:r>
          </w:p>
        </w:tc>
        <w:tc>
          <w:tcPr>
            <w:tcW w:w="894" w:type="dxa"/>
            <w:tcBorders>
              <w:bottom w:val="single" w:sz="4" w:space="0" w:color="auto"/>
            </w:tcBorders>
            <w:shd w:val="clear" w:color="auto" w:fill="auto"/>
            <w:noWrap/>
            <w:vAlign w:val="center"/>
          </w:tcPr>
          <w:p w14:paraId="0A13872F"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307</w:t>
            </w:r>
          </w:p>
        </w:tc>
        <w:tc>
          <w:tcPr>
            <w:tcW w:w="899" w:type="dxa"/>
            <w:tcBorders>
              <w:bottom w:val="single" w:sz="4" w:space="0" w:color="auto"/>
            </w:tcBorders>
            <w:shd w:val="clear" w:color="auto" w:fill="auto"/>
            <w:noWrap/>
            <w:vAlign w:val="center"/>
          </w:tcPr>
          <w:p w14:paraId="2A35DB3C"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12.5</w:t>
            </w:r>
          </w:p>
        </w:tc>
        <w:tc>
          <w:tcPr>
            <w:tcW w:w="894" w:type="dxa"/>
            <w:tcBorders>
              <w:bottom w:val="single" w:sz="4" w:space="0" w:color="auto"/>
            </w:tcBorders>
            <w:shd w:val="clear" w:color="auto" w:fill="auto"/>
            <w:noWrap/>
            <w:vAlign w:val="center"/>
          </w:tcPr>
          <w:p w14:paraId="6F28595F"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0.07</w:t>
            </w:r>
          </w:p>
        </w:tc>
        <w:tc>
          <w:tcPr>
            <w:tcW w:w="896" w:type="dxa"/>
            <w:tcBorders>
              <w:bottom w:val="single" w:sz="4" w:space="0" w:color="auto"/>
            </w:tcBorders>
            <w:shd w:val="clear" w:color="auto" w:fill="auto"/>
            <w:noWrap/>
            <w:vAlign w:val="center"/>
          </w:tcPr>
          <w:p w14:paraId="79F983C6"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0.03</w:t>
            </w:r>
          </w:p>
        </w:tc>
        <w:tc>
          <w:tcPr>
            <w:tcW w:w="896" w:type="dxa"/>
            <w:tcBorders>
              <w:bottom w:val="single" w:sz="4" w:space="0" w:color="auto"/>
            </w:tcBorders>
            <w:shd w:val="clear" w:color="auto" w:fill="auto"/>
            <w:noWrap/>
            <w:vAlign w:val="center"/>
          </w:tcPr>
          <w:p w14:paraId="74414347"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28.2</w:t>
            </w:r>
          </w:p>
        </w:tc>
        <w:tc>
          <w:tcPr>
            <w:tcW w:w="896" w:type="dxa"/>
            <w:tcBorders>
              <w:bottom w:val="single" w:sz="4" w:space="0" w:color="auto"/>
            </w:tcBorders>
            <w:shd w:val="clear" w:color="auto" w:fill="auto"/>
            <w:noWrap/>
            <w:vAlign w:val="center"/>
          </w:tcPr>
          <w:p w14:paraId="06BF00D8"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0.15</w:t>
            </w:r>
          </w:p>
        </w:tc>
        <w:tc>
          <w:tcPr>
            <w:tcW w:w="895" w:type="dxa"/>
            <w:tcBorders>
              <w:bottom w:val="single" w:sz="4" w:space="0" w:color="auto"/>
            </w:tcBorders>
            <w:shd w:val="clear" w:color="auto" w:fill="auto"/>
            <w:noWrap/>
            <w:vAlign w:val="center"/>
          </w:tcPr>
          <w:p w14:paraId="6890104B"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0.08</w:t>
            </w:r>
          </w:p>
        </w:tc>
        <w:tc>
          <w:tcPr>
            <w:tcW w:w="896" w:type="dxa"/>
            <w:tcBorders>
              <w:bottom w:val="single" w:sz="4" w:space="0" w:color="auto"/>
            </w:tcBorders>
            <w:shd w:val="clear" w:color="auto" w:fill="auto"/>
            <w:noWrap/>
            <w:vAlign w:val="center"/>
          </w:tcPr>
          <w:p w14:paraId="79CE056E"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38.9</w:t>
            </w:r>
          </w:p>
        </w:tc>
        <w:tc>
          <w:tcPr>
            <w:tcW w:w="895" w:type="dxa"/>
            <w:tcBorders>
              <w:bottom w:val="single" w:sz="4" w:space="0" w:color="auto"/>
            </w:tcBorders>
            <w:shd w:val="clear" w:color="auto" w:fill="auto"/>
            <w:noWrap/>
            <w:vAlign w:val="center"/>
          </w:tcPr>
          <w:p w14:paraId="6FB33449"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3.87</w:t>
            </w:r>
          </w:p>
        </w:tc>
        <w:tc>
          <w:tcPr>
            <w:tcW w:w="896" w:type="dxa"/>
            <w:tcBorders>
              <w:bottom w:val="single" w:sz="4" w:space="0" w:color="auto"/>
            </w:tcBorders>
            <w:shd w:val="clear" w:color="auto" w:fill="auto"/>
            <w:noWrap/>
            <w:vAlign w:val="center"/>
          </w:tcPr>
          <w:p w14:paraId="48E9C0F1"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1.65</w:t>
            </w:r>
          </w:p>
        </w:tc>
        <w:tc>
          <w:tcPr>
            <w:tcW w:w="895" w:type="dxa"/>
            <w:tcBorders>
              <w:bottom w:val="single" w:sz="4" w:space="0" w:color="auto"/>
            </w:tcBorders>
            <w:shd w:val="clear" w:color="auto" w:fill="auto"/>
            <w:noWrap/>
            <w:vAlign w:val="center"/>
          </w:tcPr>
          <w:p w14:paraId="4A9BB118" w14:textId="77777777" w:rsidR="00587DA8" w:rsidRPr="00232A4E" w:rsidRDefault="00587DA8" w:rsidP="00D9296A">
            <w:pPr>
              <w:spacing w:after="0" w:line="240" w:lineRule="auto"/>
              <w:jc w:val="center"/>
              <w:rPr>
                <w:rFonts w:ascii="Calibri" w:hAnsi="Calibri" w:cs="Arial"/>
                <w:sz w:val="20"/>
                <w:szCs w:val="20"/>
              </w:rPr>
            </w:pPr>
            <w:r w:rsidRPr="00232A4E">
              <w:rPr>
                <w:rFonts w:ascii="Calibri" w:hAnsi="Calibri" w:cs="Arial"/>
                <w:sz w:val="20"/>
                <w:szCs w:val="20"/>
              </w:rPr>
              <w:t>19.1</w:t>
            </w:r>
          </w:p>
        </w:tc>
      </w:tr>
    </w:tbl>
    <w:p w14:paraId="78FD9F92" w14:textId="77777777" w:rsidR="00D9296A" w:rsidRDefault="00D9296A">
      <w:pPr>
        <w:rPr>
          <w:rFonts w:cs="Arial"/>
        </w:rPr>
      </w:pPr>
    </w:p>
    <w:p w14:paraId="34DF9F86" w14:textId="77777777" w:rsidR="00D9296A" w:rsidRDefault="00D9296A">
      <w:pPr>
        <w:rPr>
          <w:rFonts w:cs="Arial"/>
        </w:rPr>
        <w:sectPr w:rsidR="00D9296A" w:rsidSect="00D9296A">
          <w:pgSz w:w="16838" w:h="11906" w:orient="landscape"/>
          <w:pgMar w:top="1440" w:right="1440" w:bottom="1440" w:left="1440" w:header="708" w:footer="708" w:gutter="0"/>
          <w:cols w:space="708"/>
          <w:docGrid w:linePitch="360"/>
        </w:sectPr>
      </w:pPr>
    </w:p>
    <w:p w14:paraId="01F79859" w14:textId="77777777" w:rsidR="00191809" w:rsidRPr="00BA1B64" w:rsidRDefault="00191809" w:rsidP="00BA1B64">
      <w:pPr>
        <w:pStyle w:val="Heading1"/>
      </w:pPr>
      <w:r w:rsidRPr="005837C0">
        <w:t>Legends</w:t>
      </w:r>
    </w:p>
    <w:p w14:paraId="129C3872" w14:textId="77777777" w:rsidR="0066528E" w:rsidRDefault="0066528E" w:rsidP="0066528E">
      <w:pPr>
        <w:pStyle w:val="Heading2"/>
      </w:pPr>
      <w:r>
        <w:t>Table 1</w:t>
      </w:r>
    </w:p>
    <w:p w14:paraId="0E2E240B" w14:textId="77777777" w:rsidR="0066528E" w:rsidRDefault="0066528E" w:rsidP="0066528E">
      <w:proofErr w:type="gramStart"/>
      <w:r>
        <w:rPr>
          <w:rFonts w:cs="Arial"/>
        </w:rPr>
        <w:t>Table listing the exclusion criteria including comorbidities that might influence the pharmacokinetics of fracture perfusion.</w:t>
      </w:r>
      <w:proofErr w:type="gramEnd"/>
    </w:p>
    <w:p w14:paraId="0DAB427C" w14:textId="674F408F" w:rsidR="00926F0F" w:rsidRDefault="00926F0F" w:rsidP="0066528E">
      <w:pPr>
        <w:pStyle w:val="Heading2"/>
      </w:pPr>
      <w:r>
        <w:t xml:space="preserve">Table 2 </w:t>
      </w:r>
    </w:p>
    <w:p w14:paraId="7E22582C" w14:textId="23E42B57" w:rsidR="00926F0F" w:rsidRDefault="00926F0F" w:rsidP="008B035F">
      <w:r>
        <w:t>Pulse sequence parameters for the DCE-MRI sequence</w:t>
      </w:r>
    </w:p>
    <w:p w14:paraId="1B296E13" w14:textId="01E5BCB0" w:rsidR="0066528E" w:rsidRDefault="0066528E" w:rsidP="0066528E">
      <w:pPr>
        <w:pStyle w:val="Heading2"/>
      </w:pPr>
      <w:r>
        <w:t xml:space="preserve">Table </w:t>
      </w:r>
      <w:r w:rsidR="00926F0F">
        <w:t>3</w:t>
      </w:r>
    </w:p>
    <w:p w14:paraId="3BA82501" w14:textId="65846C00" w:rsidR="0066528E" w:rsidRPr="0066528E" w:rsidRDefault="0066528E" w:rsidP="008B035F">
      <w:pPr>
        <w:rPr>
          <w:rFonts w:cs="Arial"/>
        </w:rPr>
      </w:pPr>
      <w:r>
        <w:t>Table summarising the descriptive statistics of pharmacokinetic modelling parameters in normal healing fractures.</w:t>
      </w:r>
    </w:p>
    <w:p w14:paraId="3CA06896" w14:textId="24302175" w:rsidR="0066528E" w:rsidRDefault="0066528E" w:rsidP="0066528E">
      <w:pPr>
        <w:pStyle w:val="Heading2"/>
      </w:pPr>
      <w:r>
        <w:t xml:space="preserve">Table </w:t>
      </w:r>
      <w:r w:rsidR="00926F0F">
        <w:t>4</w:t>
      </w:r>
    </w:p>
    <w:p w14:paraId="6DCE0E14" w14:textId="148380D6" w:rsidR="00F12A98" w:rsidRDefault="00F12A98" w:rsidP="008B035F">
      <w:r>
        <w:t>Table summarising reliability measurements for inter and intra-</w:t>
      </w:r>
      <w:proofErr w:type="spellStart"/>
      <w:r>
        <w:t>rater</w:t>
      </w:r>
      <w:proofErr w:type="spellEnd"/>
      <w:r>
        <w:t xml:space="preserve"> reliability.</w:t>
      </w:r>
    </w:p>
    <w:p w14:paraId="14FEF82D" w14:textId="65804DBC" w:rsidR="00F12A98" w:rsidRPr="00F12A98" w:rsidRDefault="00F12A98" w:rsidP="00994640">
      <w:pPr>
        <w:pStyle w:val="Heading2"/>
      </w:pPr>
      <w:r>
        <w:t xml:space="preserve">Table </w:t>
      </w:r>
      <w:r w:rsidR="00926F0F">
        <w:t>5</w:t>
      </w:r>
    </w:p>
    <w:p w14:paraId="70D9186F" w14:textId="77777777" w:rsidR="0066528E" w:rsidRPr="0066528E" w:rsidRDefault="0066528E" w:rsidP="0066528E">
      <w:r>
        <w:rPr>
          <w:rFonts w:cs="Arial"/>
        </w:rPr>
        <w:t>Table demonstrating range of pharmacokinetic modelling parameters within each patient</w:t>
      </w:r>
    </w:p>
    <w:p w14:paraId="538B4146" w14:textId="77777777" w:rsidR="00BA1B64" w:rsidRPr="00F95FD6" w:rsidRDefault="00191809" w:rsidP="00F95FD6">
      <w:pPr>
        <w:pStyle w:val="Heading2"/>
      </w:pPr>
      <w:r w:rsidRPr="005837C0">
        <w:t>Figure 1</w:t>
      </w:r>
    </w:p>
    <w:p w14:paraId="397C62FA" w14:textId="7DC5DD6E" w:rsidR="00994640" w:rsidRPr="005837C0" w:rsidRDefault="00994640" w:rsidP="00994640">
      <w:pPr>
        <w:spacing w:after="0"/>
        <w:rPr>
          <w:rFonts w:cs="Arial"/>
        </w:rPr>
      </w:pPr>
      <w:r>
        <w:rPr>
          <w:rFonts w:cs="Arial"/>
        </w:rPr>
        <w:t>Side by side images of the 3D T1 gradient echo dynamic sequence and the T1 coronal anatomical images showing ROI placement for the DCE analysis.</w:t>
      </w:r>
    </w:p>
    <w:p w14:paraId="2506D17B" w14:textId="5774DE2E" w:rsidR="003708CD" w:rsidRDefault="003708CD" w:rsidP="008B035F">
      <w:pPr>
        <w:pStyle w:val="Heading2"/>
      </w:pPr>
      <w:r>
        <w:t>Figure 2</w:t>
      </w:r>
    </w:p>
    <w:p w14:paraId="119F1EBF" w14:textId="0927E8E1" w:rsidR="003708CD" w:rsidRDefault="00994640" w:rsidP="00B15BD0">
      <w:pPr>
        <w:spacing w:after="0"/>
        <w:rPr>
          <w:rFonts w:cs="Arial"/>
        </w:rPr>
      </w:pPr>
      <w:r>
        <w:rPr>
          <w:rFonts w:cs="Arial"/>
        </w:rPr>
        <w:t xml:space="preserve">Representative spatial maps of </w:t>
      </w:r>
      <w:proofErr w:type="spellStart"/>
      <w:r>
        <w:rPr>
          <w:rFonts w:cs="Arial"/>
        </w:rPr>
        <w:t>Ktrans</w:t>
      </w:r>
      <w:proofErr w:type="spellEnd"/>
      <w:r>
        <w:rPr>
          <w:rFonts w:cs="Arial"/>
        </w:rPr>
        <w:t xml:space="preserve"> and </w:t>
      </w:r>
      <w:proofErr w:type="spellStart"/>
      <w:r>
        <w:rPr>
          <w:rFonts w:cs="Arial"/>
        </w:rPr>
        <w:t>Kep</w:t>
      </w:r>
      <w:proofErr w:type="spellEnd"/>
      <w:r>
        <w:rPr>
          <w:rFonts w:cs="Arial"/>
        </w:rPr>
        <w:t xml:space="preserve"> of the fracture site and bone marrow for patients 2 and 7.  </w:t>
      </w:r>
    </w:p>
    <w:p w14:paraId="5321A675" w14:textId="77777777" w:rsidR="00191809" w:rsidRPr="005837C0" w:rsidRDefault="00191809" w:rsidP="00B15BD0">
      <w:pPr>
        <w:spacing w:after="0"/>
        <w:rPr>
          <w:rFonts w:cs="Arial"/>
        </w:rPr>
      </w:pPr>
    </w:p>
    <w:p w14:paraId="4CFBB7AF" w14:textId="2ACCBAE6" w:rsidR="00191809" w:rsidRPr="005837C0" w:rsidRDefault="00F95FD6" w:rsidP="00BA1B64">
      <w:pPr>
        <w:pStyle w:val="Heading2"/>
      </w:pPr>
      <w:r>
        <w:t xml:space="preserve">Figure </w:t>
      </w:r>
      <w:r w:rsidR="003708CD">
        <w:t>3</w:t>
      </w:r>
    </w:p>
    <w:p w14:paraId="6FC2A4F7" w14:textId="58CD3571" w:rsidR="007625E7" w:rsidRDefault="00191809" w:rsidP="00B15BD0">
      <w:pPr>
        <w:spacing w:after="0"/>
        <w:rPr>
          <w:rFonts w:cs="Arial"/>
        </w:rPr>
      </w:pPr>
      <w:proofErr w:type="gramStart"/>
      <w:r w:rsidRPr="005837C0">
        <w:rPr>
          <w:rFonts w:cs="Arial"/>
        </w:rPr>
        <w:t>Individual</w:t>
      </w:r>
      <w:r w:rsidR="00097657">
        <w:rPr>
          <w:rFonts w:cs="Arial"/>
        </w:rPr>
        <w:t xml:space="preserve"> signal </w:t>
      </w:r>
      <w:proofErr w:type="spellStart"/>
      <w:r w:rsidR="00097657">
        <w:rPr>
          <w:rFonts w:cs="Arial"/>
        </w:rPr>
        <w:t>vs</w:t>
      </w:r>
      <w:proofErr w:type="spellEnd"/>
      <w:r w:rsidRPr="005837C0">
        <w:rPr>
          <w:rFonts w:cs="Arial"/>
        </w:rPr>
        <w:t xml:space="preserve"> time-enhancement graphs for each of the studied patients </w:t>
      </w:r>
      <w:r w:rsidR="007625E7">
        <w:rPr>
          <w:rFonts w:cs="Arial"/>
        </w:rPr>
        <w:t>demonstrating heterogeneous enhancement characteristics.</w:t>
      </w:r>
      <w:proofErr w:type="gramEnd"/>
      <w:r w:rsidR="007625E7">
        <w:rPr>
          <w:rFonts w:cs="Arial"/>
        </w:rPr>
        <w:t xml:space="preserve"> Some fractures have typical arterial wash-in and </w:t>
      </w:r>
      <w:proofErr w:type="gramStart"/>
      <w:r w:rsidR="007625E7">
        <w:rPr>
          <w:rFonts w:cs="Arial"/>
        </w:rPr>
        <w:t>wash-out</w:t>
      </w:r>
      <w:proofErr w:type="gramEnd"/>
      <w:r w:rsidR="007625E7">
        <w:rPr>
          <w:rFonts w:cs="Arial"/>
        </w:rPr>
        <w:t xml:space="preserve"> enhancement of MR signal</w:t>
      </w:r>
      <w:r w:rsidR="00BA4EA8">
        <w:rPr>
          <w:rFonts w:cs="Arial"/>
        </w:rPr>
        <w:t xml:space="preserve"> but o</w:t>
      </w:r>
      <w:r w:rsidR="00587DA8">
        <w:rPr>
          <w:rFonts w:cs="Arial"/>
        </w:rPr>
        <w:t>thers</w:t>
      </w:r>
      <w:r w:rsidR="007625E7">
        <w:rPr>
          <w:rFonts w:cs="Arial"/>
        </w:rPr>
        <w:t xml:space="preserve"> have gradual continuous enhancement curves </w:t>
      </w:r>
      <w:r w:rsidR="00587DA8">
        <w:rPr>
          <w:rFonts w:cs="Arial"/>
        </w:rPr>
        <w:t xml:space="preserve">that do not reach </w:t>
      </w:r>
      <w:r w:rsidR="007625E7">
        <w:rPr>
          <w:rFonts w:cs="Arial"/>
        </w:rPr>
        <w:t>equilibrium</w:t>
      </w:r>
      <w:r w:rsidR="00BA4EA8">
        <w:rPr>
          <w:rFonts w:cs="Arial"/>
        </w:rPr>
        <w:t>.</w:t>
      </w:r>
    </w:p>
    <w:p w14:paraId="193F8341" w14:textId="77777777" w:rsidR="007625E7" w:rsidRDefault="007625E7" w:rsidP="00B15BD0">
      <w:pPr>
        <w:spacing w:after="0"/>
        <w:rPr>
          <w:rFonts w:cs="Arial"/>
        </w:rPr>
      </w:pPr>
    </w:p>
    <w:p w14:paraId="349B2144" w14:textId="275A45B2" w:rsidR="00191809" w:rsidRDefault="00F95FD6" w:rsidP="007625E7">
      <w:pPr>
        <w:pStyle w:val="Heading2"/>
      </w:pPr>
      <w:r>
        <w:t xml:space="preserve">Figure </w:t>
      </w:r>
      <w:r w:rsidR="003708CD">
        <w:t>4</w:t>
      </w:r>
    </w:p>
    <w:p w14:paraId="3E580093" w14:textId="77777777" w:rsidR="00D9296A" w:rsidRDefault="007625E7" w:rsidP="007625E7">
      <w:proofErr w:type="gramStart"/>
      <w:r>
        <w:t>Dot-plots demonstrating the variability of pharmacokinetic parameters between patients and between slices in the same patient.</w:t>
      </w:r>
      <w:proofErr w:type="gramEnd"/>
      <w:r w:rsidR="00E0675B">
        <w:t xml:space="preserve"> </w:t>
      </w:r>
    </w:p>
    <w:p w14:paraId="5B1DC618" w14:textId="23CF1A82" w:rsidR="00994640" w:rsidRDefault="00994640" w:rsidP="008B035F">
      <w:pPr>
        <w:pStyle w:val="Heading2"/>
      </w:pPr>
      <w:r>
        <w:t>Figure 5</w:t>
      </w:r>
    </w:p>
    <w:p w14:paraId="64B5D74C" w14:textId="77777777" w:rsidR="00BA4EA8" w:rsidRDefault="00BA4EA8" w:rsidP="00BA4EA8">
      <w:r>
        <w:t xml:space="preserve">Bland-Altman plots demonstrating the mean differences in observations between the two </w:t>
      </w:r>
      <w:proofErr w:type="spellStart"/>
      <w:r>
        <w:t>raters</w:t>
      </w:r>
      <w:proofErr w:type="spellEnd"/>
      <w:r>
        <w:t xml:space="preserve"> plotted against the average of the observation for T1, </w:t>
      </w:r>
      <w:proofErr w:type="spellStart"/>
      <w:r>
        <w:t>Ktrans</w:t>
      </w:r>
      <w:proofErr w:type="spellEnd"/>
      <w:r>
        <w:t xml:space="preserve">, </w:t>
      </w:r>
      <w:proofErr w:type="spellStart"/>
      <w:r>
        <w:t>Kep</w:t>
      </w:r>
      <w:proofErr w:type="spellEnd"/>
      <w:r>
        <w:t xml:space="preserve"> and IAUC.  </w:t>
      </w:r>
    </w:p>
    <w:p w14:paraId="5B38A6C5" w14:textId="2762C097" w:rsidR="00994640" w:rsidRDefault="00994640" w:rsidP="008B035F">
      <w:pPr>
        <w:pStyle w:val="Heading2"/>
      </w:pPr>
      <w:r>
        <w:t>Figure 6</w:t>
      </w:r>
    </w:p>
    <w:p w14:paraId="5CA1D675" w14:textId="2DF3FE2D" w:rsidR="00D9296A" w:rsidRPr="00D9296A" w:rsidRDefault="00BA4EA8" w:rsidP="008B035F">
      <w:r>
        <w:t xml:space="preserve">Bland-Altman plots demonstrating the mean differences in observations between first and second observations for </w:t>
      </w:r>
      <w:proofErr w:type="spellStart"/>
      <w:r>
        <w:t>rater</w:t>
      </w:r>
      <w:proofErr w:type="spellEnd"/>
      <w:r>
        <w:t xml:space="preserve"> 1 plotted against the average of the observation for T1, </w:t>
      </w:r>
      <w:proofErr w:type="spellStart"/>
      <w:r>
        <w:t>Ktrans</w:t>
      </w:r>
      <w:proofErr w:type="spellEnd"/>
      <w:r>
        <w:t xml:space="preserve">, </w:t>
      </w:r>
      <w:proofErr w:type="spellStart"/>
      <w:r>
        <w:t>Kep</w:t>
      </w:r>
      <w:proofErr w:type="spellEnd"/>
      <w:r>
        <w:t xml:space="preserve"> and IAUC.  </w:t>
      </w:r>
    </w:p>
    <w:sectPr w:rsidR="00D9296A" w:rsidRPr="00D9296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73D607" w14:textId="77777777" w:rsidR="00175F2C" w:rsidRDefault="00175F2C" w:rsidP="00BA1B64">
      <w:pPr>
        <w:spacing w:after="0" w:line="240" w:lineRule="auto"/>
      </w:pPr>
      <w:r>
        <w:separator/>
      </w:r>
    </w:p>
  </w:endnote>
  <w:endnote w:type="continuationSeparator" w:id="0">
    <w:p w14:paraId="6F95AEBB" w14:textId="77777777" w:rsidR="00175F2C" w:rsidRDefault="00175F2C" w:rsidP="00BA1B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3601577"/>
      <w:docPartObj>
        <w:docPartGallery w:val="Page Numbers (Bottom of Page)"/>
        <w:docPartUnique/>
      </w:docPartObj>
    </w:sdtPr>
    <w:sdtEndPr>
      <w:rPr>
        <w:noProof/>
      </w:rPr>
    </w:sdtEndPr>
    <w:sdtContent>
      <w:p w14:paraId="5BEABE74" w14:textId="77777777" w:rsidR="00175F2C" w:rsidRDefault="00175F2C">
        <w:pPr>
          <w:pStyle w:val="Footer"/>
          <w:jc w:val="right"/>
        </w:pPr>
        <w:r>
          <w:fldChar w:fldCharType="begin"/>
        </w:r>
        <w:r>
          <w:instrText xml:space="preserve"> PAGE   \* MERGEFORMAT </w:instrText>
        </w:r>
        <w:r>
          <w:fldChar w:fldCharType="separate"/>
        </w:r>
        <w:r w:rsidR="008B035F">
          <w:rPr>
            <w:noProof/>
          </w:rPr>
          <w:t>8</w:t>
        </w:r>
        <w:r>
          <w:rPr>
            <w:noProof/>
          </w:rPr>
          <w:fldChar w:fldCharType="end"/>
        </w:r>
      </w:p>
    </w:sdtContent>
  </w:sdt>
  <w:p w14:paraId="579941C1" w14:textId="77777777" w:rsidR="00175F2C" w:rsidRDefault="00175F2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EEEE4F" w14:textId="77777777" w:rsidR="00175F2C" w:rsidRDefault="00175F2C" w:rsidP="00BA1B64">
      <w:pPr>
        <w:spacing w:after="0" w:line="240" w:lineRule="auto"/>
      </w:pPr>
      <w:r>
        <w:separator/>
      </w:r>
    </w:p>
  </w:footnote>
  <w:footnote w:type="continuationSeparator" w:id="0">
    <w:p w14:paraId="0012479A" w14:textId="77777777" w:rsidR="00175F2C" w:rsidRDefault="00175F2C" w:rsidP="00BA1B6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51058"/>
    <w:multiLevelType w:val="hybridMultilevel"/>
    <w:tmpl w:val="885A531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6D2"/>
    <w:rsid w:val="00017DC6"/>
    <w:rsid w:val="0005705E"/>
    <w:rsid w:val="000635C3"/>
    <w:rsid w:val="00072DFE"/>
    <w:rsid w:val="0009522E"/>
    <w:rsid w:val="00097657"/>
    <w:rsid w:val="000B3AA1"/>
    <w:rsid w:val="000D07AB"/>
    <w:rsid w:val="0013050B"/>
    <w:rsid w:val="00170DD3"/>
    <w:rsid w:val="0017585E"/>
    <w:rsid w:val="00175F2C"/>
    <w:rsid w:val="00191809"/>
    <w:rsid w:val="001926C1"/>
    <w:rsid w:val="001C4026"/>
    <w:rsid w:val="001D16A3"/>
    <w:rsid w:val="001E0611"/>
    <w:rsid w:val="001E3D37"/>
    <w:rsid w:val="00231430"/>
    <w:rsid w:val="00231E2A"/>
    <w:rsid w:val="00240B15"/>
    <w:rsid w:val="00244251"/>
    <w:rsid w:val="00247690"/>
    <w:rsid w:val="00265633"/>
    <w:rsid w:val="00265816"/>
    <w:rsid w:val="00285D72"/>
    <w:rsid w:val="002976C9"/>
    <w:rsid w:val="002B01B0"/>
    <w:rsid w:val="002C4AB5"/>
    <w:rsid w:val="002E07CA"/>
    <w:rsid w:val="00302E27"/>
    <w:rsid w:val="00303E8B"/>
    <w:rsid w:val="00324F8B"/>
    <w:rsid w:val="00346A01"/>
    <w:rsid w:val="003470CE"/>
    <w:rsid w:val="0035099E"/>
    <w:rsid w:val="0035506B"/>
    <w:rsid w:val="00361749"/>
    <w:rsid w:val="003708CD"/>
    <w:rsid w:val="00377999"/>
    <w:rsid w:val="00387378"/>
    <w:rsid w:val="003A39E7"/>
    <w:rsid w:val="003F5073"/>
    <w:rsid w:val="003F5702"/>
    <w:rsid w:val="00415266"/>
    <w:rsid w:val="0041638B"/>
    <w:rsid w:val="0047683B"/>
    <w:rsid w:val="004A3889"/>
    <w:rsid w:val="004B72B7"/>
    <w:rsid w:val="004D4399"/>
    <w:rsid w:val="004E2E4C"/>
    <w:rsid w:val="00521364"/>
    <w:rsid w:val="0055118D"/>
    <w:rsid w:val="00567575"/>
    <w:rsid w:val="00575DC0"/>
    <w:rsid w:val="005837C0"/>
    <w:rsid w:val="00587DA8"/>
    <w:rsid w:val="005A1A47"/>
    <w:rsid w:val="005C6D82"/>
    <w:rsid w:val="005D263D"/>
    <w:rsid w:val="005E2812"/>
    <w:rsid w:val="00612571"/>
    <w:rsid w:val="006175D1"/>
    <w:rsid w:val="006208E8"/>
    <w:rsid w:val="006506D2"/>
    <w:rsid w:val="0066528E"/>
    <w:rsid w:val="006B58E4"/>
    <w:rsid w:val="006B6920"/>
    <w:rsid w:val="006D7A3C"/>
    <w:rsid w:val="006E5292"/>
    <w:rsid w:val="006F4EA5"/>
    <w:rsid w:val="006F6C54"/>
    <w:rsid w:val="0072288C"/>
    <w:rsid w:val="00744150"/>
    <w:rsid w:val="007625E7"/>
    <w:rsid w:val="00780AAB"/>
    <w:rsid w:val="007869DC"/>
    <w:rsid w:val="00794FCF"/>
    <w:rsid w:val="00797259"/>
    <w:rsid w:val="007A3F63"/>
    <w:rsid w:val="007A5DEA"/>
    <w:rsid w:val="00822B5C"/>
    <w:rsid w:val="008352FE"/>
    <w:rsid w:val="008820AD"/>
    <w:rsid w:val="00891B4C"/>
    <w:rsid w:val="00895C02"/>
    <w:rsid w:val="008B035F"/>
    <w:rsid w:val="008E16C4"/>
    <w:rsid w:val="00900D3F"/>
    <w:rsid w:val="009019DE"/>
    <w:rsid w:val="009066FB"/>
    <w:rsid w:val="00906927"/>
    <w:rsid w:val="009158A8"/>
    <w:rsid w:val="00923528"/>
    <w:rsid w:val="00926F0F"/>
    <w:rsid w:val="0095014F"/>
    <w:rsid w:val="00951DFD"/>
    <w:rsid w:val="0098716C"/>
    <w:rsid w:val="00990406"/>
    <w:rsid w:val="00994640"/>
    <w:rsid w:val="009F5DE7"/>
    <w:rsid w:val="00A376BC"/>
    <w:rsid w:val="00A45AC9"/>
    <w:rsid w:val="00A572C9"/>
    <w:rsid w:val="00A62F98"/>
    <w:rsid w:val="00A70B53"/>
    <w:rsid w:val="00AB148C"/>
    <w:rsid w:val="00AB2CB7"/>
    <w:rsid w:val="00AB5951"/>
    <w:rsid w:val="00AB6617"/>
    <w:rsid w:val="00AE7181"/>
    <w:rsid w:val="00AF7EB9"/>
    <w:rsid w:val="00B0046E"/>
    <w:rsid w:val="00B14D3C"/>
    <w:rsid w:val="00B15BD0"/>
    <w:rsid w:val="00B239CC"/>
    <w:rsid w:val="00B41F65"/>
    <w:rsid w:val="00B704EB"/>
    <w:rsid w:val="00B918FF"/>
    <w:rsid w:val="00B97B24"/>
    <w:rsid w:val="00BA1B64"/>
    <w:rsid w:val="00BA4EA8"/>
    <w:rsid w:val="00BA7FE5"/>
    <w:rsid w:val="00BB3C64"/>
    <w:rsid w:val="00BC2C4E"/>
    <w:rsid w:val="00C0189B"/>
    <w:rsid w:val="00C05CDA"/>
    <w:rsid w:val="00C07937"/>
    <w:rsid w:val="00C31664"/>
    <w:rsid w:val="00C9118D"/>
    <w:rsid w:val="00CB4742"/>
    <w:rsid w:val="00CC1708"/>
    <w:rsid w:val="00CD2BB1"/>
    <w:rsid w:val="00CE3EAF"/>
    <w:rsid w:val="00D14AD4"/>
    <w:rsid w:val="00D42EA3"/>
    <w:rsid w:val="00D7375C"/>
    <w:rsid w:val="00D84E4E"/>
    <w:rsid w:val="00D9296A"/>
    <w:rsid w:val="00DB2C59"/>
    <w:rsid w:val="00DB3466"/>
    <w:rsid w:val="00DC2C22"/>
    <w:rsid w:val="00DE6211"/>
    <w:rsid w:val="00E04A57"/>
    <w:rsid w:val="00E0675B"/>
    <w:rsid w:val="00E1052C"/>
    <w:rsid w:val="00E10746"/>
    <w:rsid w:val="00E116CB"/>
    <w:rsid w:val="00E15201"/>
    <w:rsid w:val="00E26598"/>
    <w:rsid w:val="00E335F7"/>
    <w:rsid w:val="00E8100F"/>
    <w:rsid w:val="00E8265F"/>
    <w:rsid w:val="00E82C75"/>
    <w:rsid w:val="00E85BA6"/>
    <w:rsid w:val="00EC3B17"/>
    <w:rsid w:val="00ED0CDD"/>
    <w:rsid w:val="00EF1923"/>
    <w:rsid w:val="00F12A98"/>
    <w:rsid w:val="00F25219"/>
    <w:rsid w:val="00F508CA"/>
    <w:rsid w:val="00F6360C"/>
    <w:rsid w:val="00F75522"/>
    <w:rsid w:val="00F87143"/>
    <w:rsid w:val="00F95FD6"/>
    <w:rsid w:val="00FA02F7"/>
    <w:rsid w:val="00FA471B"/>
    <w:rsid w:val="00FB0621"/>
    <w:rsid w:val="00FC6266"/>
    <w:rsid w:val="00FF25F8"/>
    <w:rsid w:val="00FF788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shapelayout v:ext="edit">
      <o:idmap v:ext="edit" data="1"/>
    </o:shapelayout>
  </w:shapeDefaults>
  <w:decimalSymbol w:val="."/>
  <w:listSeparator w:val=","/>
  <w14:docId w14:val="7EFCA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716C"/>
    <w:pPr>
      <w:spacing w:after="480" w:line="480" w:lineRule="auto"/>
    </w:pPr>
    <w:rPr>
      <w:sz w:val="24"/>
    </w:rPr>
  </w:style>
  <w:style w:type="paragraph" w:styleId="Heading1">
    <w:name w:val="heading 1"/>
    <w:basedOn w:val="Normal"/>
    <w:next w:val="Normal"/>
    <w:link w:val="Heading1Char"/>
    <w:uiPriority w:val="9"/>
    <w:qFormat/>
    <w:rsid w:val="00A572C9"/>
    <w:pPr>
      <w:keepNext/>
      <w:keepLines/>
      <w:outlineLvl w:val="0"/>
    </w:pPr>
    <w:rPr>
      <w:rFonts w:eastAsiaTheme="majorEastAsia" w:cstheme="majorBidi"/>
      <w:b/>
      <w:bCs/>
      <w:caps/>
      <w:szCs w:val="28"/>
    </w:rPr>
  </w:style>
  <w:style w:type="paragraph" w:styleId="Heading2">
    <w:name w:val="heading 2"/>
    <w:basedOn w:val="Normal"/>
    <w:next w:val="Normal"/>
    <w:link w:val="Heading2Char"/>
    <w:uiPriority w:val="9"/>
    <w:unhideWhenUsed/>
    <w:qFormat/>
    <w:rsid w:val="00A572C9"/>
    <w:pPr>
      <w:keepNext/>
      <w:keepLines/>
      <w:spacing w:after="240"/>
      <w:outlineLvl w:val="1"/>
    </w:pPr>
    <w:rPr>
      <w:rFonts w:eastAsiaTheme="majorEastAsia" w:cstheme="majorBidi"/>
      <w:b/>
      <w:bCs/>
      <w:i/>
      <w:szCs w:val="26"/>
    </w:rPr>
  </w:style>
  <w:style w:type="paragraph" w:styleId="Heading3">
    <w:name w:val="heading 3"/>
    <w:basedOn w:val="Normal"/>
    <w:next w:val="Normal"/>
    <w:link w:val="Heading3Char"/>
    <w:uiPriority w:val="9"/>
    <w:unhideWhenUsed/>
    <w:qFormat/>
    <w:rsid w:val="007625E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6E5292"/>
    <w:pPr>
      <w:spacing w:after="240" w:line="240" w:lineRule="auto"/>
    </w:pPr>
  </w:style>
  <w:style w:type="table" w:styleId="TableGrid">
    <w:name w:val="Table Grid"/>
    <w:basedOn w:val="TableNormal"/>
    <w:uiPriority w:val="59"/>
    <w:rsid w:val="005213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14D3C"/>
    <w:rPr>
      <w:color w:val="0000FF" w:themeColor="hyperlink"/>
      <w:u w:val="single"/>
    </w:rPr>
  </w:style>
  <w:style w:type="table" w:styleId="LightShading">
    <w:name w:val="Light Shading"/>
    <w:basedOn w:val="TableNormal"/>
    <w:uiPriority w:val="60"/>
    <w:rsid w:val="00951DF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1Char">
    <w:name w:val="Heading 1 Char"/>
    <w:basedOn w:val="DefaultParagraphFont"/>
    <w:link w:val="Heading1"/>
    <w:uiPriority w:val="9"/>
    <w:rsid w:val="00A572C9"/>
    <w:rPr>
      <w:rFonts w:eastAsiaTheme="majorEastAsia" w:cstheme="majorBidi"/>
      <w:b/>
      <w:bCs/>
      <w:caps/>
      <w:sz w:val="24"/>
      <w:szCs w:val="28"/>
    </w:rPr>
  </w:style>
  <w:style w:type="character" w:customStyle="1" w:styleId="Heading2Char">
    <w:name w:val="Heading 2 Char"/>
    <w:basedOn w:val="DefaultParagraphFont"/>
    <w:link w:val="Heading2"/>
    <w:uiPriority w:val="9"/>
    <w:rsid w:val="00A572C9"/>
    <w:rPr>
      <w:rFonts w:eastAsiaTheme="majorEastAsia" w:cstheme="majorBidi"/>
      <w:b/>
      <w:bCs/>
      <w:i/>
      <w:sz w:val="24"/>
      <w:szCs w:val="26"/>
    </w:rPr>
  </w:style>
  <w:style w:type="paragraph" w:styleId="Header">
    <w:name w:val="header"/>
    <w:basedOn w:val="Normal"/>
    <w:link w:val="HeaderChar"/>
    <w:uiPriority w:val="99"/>
    <w:unhideWhenUsed/>
    <w:rsid w:val="00BA1B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1B64"/>
    <w:rPr>
      <w:sz w:val="24"/>
    </w:rPr>
  </w:style>
  <w:style w:type="paragraph" w:styleId="Footer">
    <w:name w:val="footer"/>
    <w:basedOn w:val="Normal"/>
    <w:link w:val="FooterChar"/>
    <w:uiPriority w:val="99"/>
    <w:unhideWhenUsed/>
    <w:rsid w:val="00BA1B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1B64"/>
    <w:rPr>
      <w:sz w:val="24"/>
    </w:rPr>
  </w:style>
  <w:style w:type="paragraph" w:styleId="BalloonText">
    <w:name w:val="Balloon Text"/>
    <w:basedOn w:val="Normal"/>
    <w:link w:val="BalloonTextChar"/>
    <w:uiPriority w:val="99"/>
    <w:semiHidden/>
    <w:unhideWhenUsed/>
    <w:rsid w:val="00D929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96A"/>
    <w:rPr>
      <w:rFonts w:ascii="Tahoma" w:hAnsi="Tahoma" w:cs="Tahoma"/>
      <w:sz w:val="16"/>
      <w:szCs w:val="16"/>
    </w:rPr>
  </w:style>
  <w:style w:type="character" w:customStyle="1" w:styleId="Heading3Char">
    <w:name w:val="Heading 3 Char"/>
    <w:basedOn w:val="DefaultParagraphFont"/>
    <w:link w:val="Heading3"/>
    <w:uiPriority w:val="9"/>
    <w:rsid w:val="007625E7"/>
    <w:rPr>
      <w:rFonts w:asciiTheme="majorHAnsi" w:eastAsiaTheme="majorEastAsia" w:hAnsiTheme="majorHAnsi" w:cstheme="majorBidi"/>
      <w:b/>
      <w:bCs/>
      <w:color w:val="4F81BD" w:themeColor="accent1"/>
      <w:sz w:val="24"/>
    </w:rPr>
  </w:style>
  <w:style w:type="paragraph" w:styleId="ListParagraph">
    <w:name w:val="List Paragraph"/>
    <w:basedOn w:val="Normal"/>
    <w:uiPriority w:val="34"/>
    <w:qFormat/>
    <w:rsid w:val="00AF7EB9"/>
    <w:pPr>
      <w:spacing w:after="0" w:line="240" w:lineRule="auto"/>
      <w:ind w:left="284"/>
      <w:contextualSpacing/>
    </w:pPr>
  </w:style>
  <w:style w:type="character" w:styleId="CommentReference">
    <w:name w:val="annotation reference"/>
    <w:basedOn w:val="DefaultParagraphFont"/>
    <w:uiPriority w:val="99"/>
    <w:semiHidden/>
    <w:unhideWhenUsed/>
    <w:rsid w:val="00AB148C"/>
    <w:rPr>
      <w:sz w:val="18"/>
      <w:szCs w:val="18"/>
    </w:rPr>
  </w:style>
  <w:style w:type="paragraph" w:styleId="CommentText">
    <w:name w:val="annotation text"/>
    <w:basedOn w:val="Normal"/>
    <w:link w:val="CommentTextChar"/>
    <w:uiPriority w:val="99"/>
    <w:semiHidden/>
    <w:unhideWhenUsed/>
    <w:rsid w:val="00AB148C"/>
    <w:pPr>
      <w:spacing w:line="240" w:lineRule="auto"/>
    </w:pPr>
    <w:rPr>
      <w:szCs w:val="24"/>
    </w:rPr>
  </w:style>
  <w:style w:type="character" w:customStyle="1" w:styleId="CommentTextChar">
    <w:name w:val="Comment Text Char"/>
    <w:basedOn w:val="DefaultParagraphFont"/>
    <w:link w:val="CommentText"/>
    <w:uiPriority w:val="99"/>
    <w:semiHidden/>
    <w:rsid w:val="00AB148C"/>
    <w:rPr>
      <w:sz w:val="24"/>
      <w:szCs w:val="24"/>
    </w:rPr>
  </w:style>
  <w:style w:type="paragraph" w:styleId="CommentSubject">
    <w:name w:val="annotation subject"/>
    <w:basedOn w:val="CommentText"/>
    <w:next w:val="CommentText"/>
    <w:link w:val="CommentSubjectChar"/>
    <w:uiPriority w:val="99"/>
    <w:semiHidden/>
    <w:unhideWhenUsed/>
    <w:rsid w:val="00AB148C"/>
    <w:rPr>
      <w:b/>
      <w:bCs/>
      <w:sz w:val="20"/>
      <w:szCs w:val="20"/>
    </w:rPr>
  </w:style>
  <w:style w:type="character" w:customStyle="1" w:styleId="CommentSubjectChar">
    <w:name w:val="Comment Subject Char"/>
    <w:basedOn w:val="CommentTextChar"/>
    <w:link w:val="CommentSubject"/>
    <w:uiPriority w:val="99"/>
    <w:semiHidden/>
    <w:rsid w:val="00AB148C"/>
    <w:rPr>
      <w:b/>
      <w:bCs/>
      <w:sz w:val="20"/>
      <w:szCs w:val="20"/>
    </w:rPr>
  </w:style>
  <w:style w:type="paragraph" w:customStyle="1" w:styleId="NoIndent">
    <w:name w:val="No Indent"/>
    <w:basedOn w:val="Normal"/>
    <w:next w:val="Normal"/>
    <w:qFormat/>
    <w:rsid w:val="00C0189B"/>
    <w:pPr>
      <w:spacing w:after="120" w:line="240" w:lineRule="auto"/>
      <w:jc w:val="both"/>
    </w:pPr>
    <w:rPr>
      <w:rFonts w:ascii="Arial" w:eastAsia="Times New Roman" w:hAnsi="Arial" w:cs="Arial"/>
      <w:sz w:val="22"/>
      <w:lang w:val="en-US"/>
    </w:rPr>
  </w:style>
  <w:style w:type="paragraph" w:customStyle="1" w:styleId="Equation">
    <w:name w:val="Equation"/>
    <w:basedOn w:val="Normal"/>
    <w:next w:val="NoIndent"/>
    <w:qFormat/>
    <w:rsid w:val="00C0189B"/>
    <w:pPr>
      <w:tabs>
        <w:tab w:val="right" w:pos="9000"/>
      </w:tabs>
      <w:spacing w:after="120" w:line="240" w:lineRule="auto"/>
      <w:ind w:left="720"/>
      <w:jc w:val="both"/>
    </w:pPr>
    <w:rPr>
      <w:rFonts w:ascii="Arial" w:eastAsia="Times New Roman" w:hAnsi="Arial" w:cs="Arial"/>
      <w:szCs w:val="24"/>
      <w:lang w:val="en-US"/>
    </w:rPr>
  </w:style>
  <w:style w:type="paragraph" w:styleId="Revision">
    <w:name w:val="Revision"/>
    <w:hidden/>
    <w:uiPriority w:val="99"/>
    <w:semiHidden/>
    <w:rsid w:val="00A572C9"/>
    <w:pPr>
      <w:spacing w:after="0" w:line="240" w:lineRule="auto"/>
    </w:pPr>
    <w:rPr>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716C"/>
    <w:pPr>
      <w:spacing w:after="480" w:line="480" w:lineRule="auto"/>
    </w:pPr>
    <w:rPr>
      <w:sz w:val="24"/>
    </w:rPr>
  </w:style>
  <w:style w:type="paragraph" w:styleId="Heading1">
    <w:name w:val="heading 1"/>
    <w:basedOn w:val="Normal"/>
    <w:next w:val="Normal"/>
    <w:link w:val="Heading1Char"/>
    <w:uiPriority w:val="9"/>
    <w:qFormat/>
    <w:rsid w:val="00A572C9"/>
    <w:pPr>
      <w:keepNext/>
      <w:keepLines/>
      <w:outlineLvl w:val="0"/>
    </w:pPr>
    <w:rPr>
      <w:rFonts w:eastAsiaTheme="majorEastAsia" w:cstheme="majorBidi"/>
      <w:b/>
      <w:bCs/>
      <w:caps/>
      <w:szCs w:val="28"/>
    </w:rPr>
  </w:style>
  <w:style w:type="paragraph" w:styleId="Heading2">
    <w:name w:val="heading 2"/>
    <w:basedOn w:val="Normal"/>
    <w:next w:val="Normal"/>
    <w:link w:val="Heading2Char"/>
    <w:uiPriority w:val="9"/>
    <w:unhideWhenUsed/>
    <w:qFormat/>
    <w:rsid w:val="00A572C9"/>
    <w:pPr>
      <w:keepNext/>
      <w:keepLines/>
      <w:spacing w:after="240"/>
      <w:outlineLvl w:val="1"/>
    </w:pPr>
    <w:rPr>
      <w:rFonts w:eastAsiaTheme="majorEastAsia" w:cstheme="majorBidi"/>
      <w:b/>
      <w:bCs/>
      <w:i/>
      <w:szCs w:val="26"/>
    </w:rPr>
  </w:style>
  <w:style w:type="paragraph" w:styleId="Heading3">
    <w:name w:val="heading 3"/>
    <w:basedOn w:val="Normal"/>
    <w:next w:val="Normal"/>
    <w:link w:val="Heading3Char"/>
    <w:uiPriority w:val="9"/>
    <w:unhideWhenUsed/>
    <w:qFormat/>
    <w:rsid w:val="007625E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unhideWhenUsed/>
    <w:rsid w:val="006E5292"/>
    <w:pPr>
      <w:spacing w:after="240" w:line="240" w:lineRule="auto"/>
    </w:pPr>
  </w:style>
  <w:style w:type="table" w:styleId="TableGrid">
    <w:name w:val="Table Grid"/>
    <w:basedOn w:val="TableNormal"/>
    <w:uiPriority w:val="59"/>
    <w:rsid w:val="0052136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14D3C"/>
    <w:rPr>
      <w:color w:val="0000FF" w:themeColor="hyperlink"/>
      <w:u w:val="single"/>
    </w:rPr>
  </w:style>
  <w:style w:type="table" w:styleId="LightShading">
    <w:name w:val="Light Shading"/>
    <w:basedOn w:val="TableNormal"/>
    <w:uiPriority w:val="60"/>
    <w:rsid w:val="00951DF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1Char">
    <w:name w:val="Heading 1 Char"/>
    <w:basedOn w:val="DefaultParagraphFont"/>
    <w:link w:val="Heading1"/>
    <w:uiPriority w:val="9"/>
    <w:rsid w:val="00A572C9"/>
    <w:rPr>
      <w:rFonts w:eastAsiaTheme="majorEastAsia" w:cstheme="majorBidi"/>
      <w:b/>
      <w:bCs/>
      <w:caps/>
      <w:sz w:val="24"/>
      <w:szCs w:val="28"/>
    </w:rPr>
  </w:style>
  <w:style w:type="character" w:customStyle="1" w:styleId="Heading2Char">
    <w:name w:val="Heading 2 Char"/>
    <w:basedOn w:val="DefaultParagraphFont"/>
    <w:link w:val="Heading2"/>
    <w:uiPriority w:val="9"/>
    <w:rsid w:val="00A572C9"/>
    <w:rPr>
      <w:rFonts w:eastAsiaTheme="majorEastAsia" w:cstheme="majorBidi"/>
      <w:b/>
      <w:bCs/>
      <w:i/>
      <w:sz w:val="24"/>
      <w:szCs w:val="26"/>
    </w:rPr>
  </w:style>
  <w:style w:type="paragraph" w:styleId="Header">
    <w:name w:val="header"/>
    <w:basedOn w:val="Normal"/>
    <w:link w:val="HeaderChar"/>
    <w:uiPriority w:val="99"/>
    <w:unhideWhenUsed/>
    <w:rsid w:val="00BA1B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1B64"/>
    <w:rPr>
      <w:sz w:val="24"/>
    </w:rPr>
  </w:style>
  <w:style w:type="paragraph" w:styleId="Footer">
    <w:name w:val="footer"/>
    <w:basedOn w:val="Normal"/>
    <w:link w:val="FooterChar"/>
    <w:uiPriority w:val="99"/>
    <w:unhideWhenUsed/>
    <w:rsid w:val="00BA1B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1B64"/>
    <w:rPr>
      <w:sz w:val="24"/>
    </w:rPr>
  </w:style>
  <w:style w:type="paragraph" w:styleId="BalloonText">
    <w:name w:val="Balloon Text"/>
    <w:basedOn w:val="Normal"/>
    <w:link w:val="BalloonTextChar"/>
    <w:uiPriority w:val="99"/>
    <w:semiHidden/>
    <w:unhideWhenUsed/>
    <w:rsid w:val="00D929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296A"/>
    <w:rPr>
      <w:rFonts w:ascii="Tahoma" w:hAnsi="Tahoma" w:cs="Tahoma"/>
      <w:sz w:val="16"/>
      <w:szCs w:val="16"/>
    </w:rPr>
  </w:style>
  <w:style w:type="character" w:customStyle="1" w:styleId="Heading3Char">
    <w:name w:val="Heading 3 Char"/>
    <w:basedOn w:val="DefaultParagraphFont"/>
    <w:link w:val="Heading3"/>
    <w:uiPriority w:val="9"/>
    <w:rsid w:val="007625E7"/>
    <w:rPr>
      <w:rFonts w:asciiTheme="majorHAnsi" w:eastAsiaTheme="majorEastAsia" w:hAnsiTheme="majorHAnsi" w:cstheme="majorBidi"/>
      <w:b/>
      <w:bCs/>
      <w:color w:val="4F81BD" w:themeColor="accent1"/>
      <w:sz w:val="24"/>
    </w:rPr>
  </w:style>
  <w:style w:type="paragraph" w:styleId="ListParagraph">
    <w:name w:val="List Paragraph"/>
    <w:basedOn w:val="Normal"/>
    <w:uiPriority w:val="34"/>
    <w:qFormat/>
    <w:rsid w:val="00AF7EB9"/>
    <w:pPr>
      <w:spacing w:after="0" w:line="240" w:lineRule="auto"/>
      <w:ind w:left="284"/>
      <w:contextualSpacing/>
    </w:pPr>
  </w:style>
  <w:style w:type="character" w:styleId="CommentReference">
    <w:name w:val="annotation reference"/>
    <w:basedOn w:val="DefaultParagraphFont"/>
    <w:uiPriority w:val="99"/>
    <w:semiHidden/>
    <w:unhideWhenUsed/>
    <w:rsid w:val="00AB148C"/>
    <w:rPr>
      <w:sz w:val="18"/>
      <w:szCs w:val="18"/>
    </w:rPr>
  </w:style>
  <w:style w:type="paragraph" w:styleId="CommentText">
    <w:name w:val="annotation text"/>
    <w:basedOn w:val="Normal"/>
    <w:link w:val="CommentTextChar"/>
    <w:uiPriority w:val="99"/>
    <w:semiHidden/>
    <w:unhideWhenUsed/>
    <w:rsid w:val="00AB148C"/>
    <w:pPr>
      <w:spacing w:line="240" w:lineRule="auto"/>
    </w:pPr>
    <w:rPr>
      <w:szCs w:val="24"/>
    </w:rPr>
  </w:style>
  <w:style w:type="character" w:customStyle="1" w:styleId="CommentTextChar">
    <w:name w:val="Comment Text Char"/>
    <w:basedOn w:val="DefaultParagraphFont"/>
    <w:link w:val="CommentText"/>
    <w:uiPriority w:val="99"/>
    <w:semiHidden/>
    <w:rsid w:val="00AB148C"/>
    <w:rPr>
      <w:sz w:val="24"/>
      <w:szCs w:val="24"/>
    </w:rPr>
  </w:style>
  <w:style w:type="paragraph" w:styleId="CommentSubject">
    <w:name w:val="annotation subject"/>
    <w:basedOn w:val="CommentText"/>
    <w:next w:val="CommentText"/>
    <w:link w:val="CommentSubjectChar"/>
    <w:uiPriority w:val="99"/>
    <w:semiHidden/>
    <w:unhideWhenUsed/>
    <w:rsid w:val="00AB148C"/>
    <w:rPr>
      <w:b/>
      <w:bCs/>
      <w:sz w:val="20"/>
      <w:szCs w:val="20"/>
    </w:rPr>
  </w:style>
  <w:style w:type="character" w:customStyle="1" w:styleId="CommentSubjectChar">
    <w:name w:val="Comment Subject Char"/>
    <w:basedOn w:val="CommentTextChar"/>
    <w:link w:val="CommentSubject"/>
    <w:uiPriority w:val="99"/>
    <w:semiHidden/>
    <w:rsid w:val="00AB148C"/>
    <w:rPr>
      <w:b/>
      <w:bCs/>
      <w:sz w:val="20"/>
      <w:szCs w:val="20"/>
    </w:rPr>
  </w:style>
  <w:style w:type="paragraph" w:customStyle="1" w:styleId="NoIndent">
    <w:name w:val="No Indent"/>
    <w:basedOn w:val="Normal"/>
    <w:next w:val="Normal"/>
    <w:qFormat/>
    <w:rsid w:val="00C0189B"/>
    <w:pPr>
      <w:spacing w:after="120" w:line="240" w:lineRule="auto"/>
      <w:jc w:val="both"/>
    </w:pPr>
    <w:rPr>
      <w:rFonts w:ascii="Arial" w:eastAsia="Times New Roman" w:hAnsi="Arial" w:cs="Arial"/>
      <w:sz w:val="22"/>
      <w:lang w:val="en-US"/>
    </w:rPr>
  </w:style>
  <w:style w:type="paragraph" w:customStyle="1" w:styleId="Equation">
    <w:name w:val="Equation"/>
    <w:basedOn w:val="Normal"/>
    <w:next w:val="NoIndent"/>
    <w:qFormat/>
    <w:rsid w:val="00C0189B"/>
    <w:pPr>
      <w:tabs>
        <w:tab w:val="right" w:pos="9000"/>
      </w:tabs>
      <w:spacing w:after="120" w:line="240" w:lineRule="auto"/>
      <w:ind w:left="720"/>
      <w:jc w:val="both"/>
    </w:pPr>
    <w:rPr>
      <w:rFonts w:ascii="Arial" w:eastAsia="Times New Roman" w:hAnsi="Arial" w:cs="Arial"/>
      <w:szCs w:val="24"/>
      <w:lang w:val="en-US"/>
    </w:rPr>
  </w:style>
  <w:style w:type="paragraph" w:styleId="Revision">
    <w:name w:val="Revision"/>
    <w:hidden/>
    <w:uiPriority w:val="99"/>
    <w:semiHidden/>
    <w:rsid w:val="00A572C9"/>
    <w:pPr>
      <w:spacing w:after="0" w:line="240" w:lineRule="auto"/>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6303108">
      <w:bodyDiv w:val="1"/>
      <w:marLeft w:val="0"/>
      <w:marRight w:val="0"/>
      <w:marTop w:val="0"/>
      <w:marBottom w:val="0"/>
      <w:divBdr>
        <w:top w:val="none" w:sz="0" w:space="0" w:color="auto"/>
        <w:left w:val="none" w:sz="0" w:space="0" w:color="auto"/>
        <w:bottom w:val="none" w:sz="0" w:space="0" w:color="auto"/>
        <w:right w:val="none" w:sz="0" w:space="0" w:color="auto"/>
      </w:divBdr>
    </w:div>
    <w:div w:id="408382595">
      <w:bodyDiv w:val="1"/>
      <w:marLeft w:val="0"/>
      <w:marRight w:val="0"/>
      <w:marTop w:val="0"/>
      <w:marBottom w:val="0"/>
      <w:divBdr>
        <w:top w:val="none" w:sz="0" w:space="0" w:color="auto"/>
        <w:left w:val="none" w:sz="0" w:space="0" w:color="auto"/>
        <w:bottom w:val="none" w:sz="0" w:space="0" w:color="auto"/>
        <w:right w:val="none" w:sz="0" w:space="0" w:color="auto"/>
      </w:divBdr>
    </w:div>
    <w:div w:id="527646654">
      <w:bodyDiv w:val="1"/>
      <w:marLeft w:val="0"/>
      <w:marRight w:val="0"/>
      <w:marTop w:val="0"/>
      <w:marBottom w:val="0"/>
      <w:divBdr>
        <w:top w:val="none" w:sz="0" w:space="0" w:color="auto"/>
        <w:left w:val="none" w:sz="0" w:space="0" w:color="auto"/>
        <w:bottom w:val="none" w:sz="0" w:space="0" w:color="auto"/>
        <w:right w:val="none" w:sz="0" w:space="0" w:color="auto"/>
      </w:divBdr>
    </w:div>
    <w:div w:id="538514589">
      <w:bodyDiv w:val="1"/>
      <w:marLeft w:val="0"/>
      <w:marRight w:val="0"/>
      <w:marTop w:val="0"/>
      <w:marBottom w:val="0"/>
      <w:divBdr>
        <w:top w:val="none" w:sz="0" w:space="0" w:color="auto"/>
        <w:left w:val="none" w:sz="0" w:space="0" w:color="auto"/>
        <w:bottom w:val="none" w:sz="0" w:space="0" w:color="auto"/>
        <w:right w:val="none" w:sz="0" w:space="0" w:color="auto"/>
      </w:divBdr>
    </w:div>
    <w:div w:id="923226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emf"/><Relationship Id="rId12" Type="http://schemas.openxmlformats.org/officeDocument/2006/relationships/oleObject" Target="embeddings/oleObject1.bin"/><Relationship Id="rId13" Type="http://schemas.openxmlformats.org/officeDocument/2006/relationships/image" Target="media/image2.emf"/><Relationship Id="rId14" Type="http://schemas.openxmlformats.org/officeDocument/2006/relationships/oleObject" Target="embeddings/oleObject2.bin"/><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mark.lewis@nnuh.nhs.uk" TargetMode="External"/><Relationship Id="rId10" Type="http://schemas.openxmlformats.org/officeDocument/2006/relationships/hyperlink" Target="http://www.thedcetool.com/scientifi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7CC635-52EA-D544-8235-EC81FA8E8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25</Pages>
  <Words>10023</Words>
  <Characters>57133</Characters>
  <Application>Microsoft Macintosh Word</Application>
  <DocSecurity>0</DocSecurity>
  <Lines>476</Lines>
  <Paragraphs>134</Paragraphs>
  <ScaleCrop>false</ScaleCrop>
  <HeadingPairs>
    <vt:vector size="2" baseType="variant">
      <vt:variant>
        <vt:lpstr>Title</vt:lpstr>
      </vt:variant>
      <vt:variant>
        <vt:i4>1</vt:i4>
      </vt:variant>
    </vt:vector>
  </HeadingPairs>
  <TitlesOfParts>
    <vt:vector size="1" baseType="lpstr">
      <vt:lpstr/>
    </vt:vector>
  </TitlesOfParts>
  <Company>Norfolk &amp; Norwich University NHS Foundation Trust</Company>
  <LinksUpToDate>false</LinksUpToDate>
  <CharactersWithSpaces>67022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Lewis</dc:creator>
  <cp:lastModifiedBy>Glyn Johnson</cp:lastModifiedBy>
  <cp:revision>5</cp:revision>
  <cp:lastPrinted>2015-08-06T11:08:00Z</cp:lastPrinted>
  <dcterms:created xsi:type="dcterms:W3CDTF">2015-08-19T09:44:00Z</dcterms:created>
  <dcterms:modified xsi:type="dcterms:W3CDTF">2015-11-26T13:07:00Z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zotero-version="4.0.28.1"&gt;&lt;session id="UaOWAZiV"/&gt;&lt;style id="http://www.zotero.org/styles/journal-of-magnetic-resonance-imaging" hasBibliography="1" bibliographyStyleHasBeenSet="1"/&gt;&lt;prefs&gt;&lt;pref name="fieldType" value="Field"/&gt;&lt;pref</vt:lpwstr>
  </property>
  <property fmtid="{D5CDD505-2E9C-101B-9397-08002B2CF9AE}" pid="3" name="ZOTERO_PREF_2">
    <vt:lpwstr> name="storeReferences" value="true"/&gt;&lt;pref name="automaticJournalAbbreviations" value=""/&gt;&lt;pref name="noteType" value=""/&gt;&lt;/prefs&gt;&lt;/data&gt;</vt:lpwstr>
  </property>
</Properties>
</file>