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20F" w:rsidRDefault="00B8420F">
      <w:pPr>
        <w:rPr>
          <w:rFonts w:cs="Arial"/>
        </w:rPr>
      </w:pPr>
    </w:p>
    <w:p w:rsidR="00B8420F" w:rsidRPr="00C10824" w:rsidRDefault="00B8420F" w:rsidP="009247BE">
      <w:pPr>
        <w:jc w:val="center"/>
        <w:rPr>
          <w:sz w:val="36"/>
          <w:szCs w:val="36"/>
        </w:rPr>
      </w:pPr>
      <w:r w:rsidRPr="00C10824">
        <w:rPr>
          <w:sz w:val="36"/>
          <w:szCs w:val="36"/>
        </w:rPr>
        <w:t xml:space="preserve">Visual Performance Management </w:t>
      </w:r>
      <w:r w:rsidR="001817A2">
        <w:rPr>
          <w:sz w:val="36"/>
          <w:szCs w:val="36"/>
        </w:rPr>
        <w:t>in Housing Associations</w:t>
      </w:r>
      <w:r w:rsidRPr="00C10824">
        <w:rPr>
          <w:sz w:val="36"/>
          <w:szCs w:val="36"/>
        </w:rPr>
        <w:t xml:space="preserve">: A Crisis of Legitimation or the Shape of things to </w:t>
      </w:r>
      <w:r w:rsidR="00DD5652">
        <w:rPr>
          <w:sz w:val="36"/>
          <w:szCs w:val="36"/>
        </w:rPr>
        <w:t>c</w:t>
      </w:r>
      <w:r w:rsidR="00DD5652" w:rsidRPr="00C10824">
        <w:rPr>
          <w:sz w:val="36"/>
          <w:szCs w:val="36"/>
        </w:rPr>
        <w:t>ome</w:t>
      </w:r>
      <w:r w:rsidR="00B21D22">
        <w:rPr>
          <w:sz w:val="36"/>
          <w:szCs w:val="36"/>
        </w:rPr>
        <w:t>?</w:t>
      </w:r>
    </w:p>
    <w:p w:rsidR="00B8420F" w:rsidRDefault="00B8420F" w:rsidP="005103F5">
      <w:pPr>
        <w:jc w:val="center"/>
        <w:rPr>
          <w:rFonts w:cs="Arial"/>
        </w:rPr>
      </w:pPr>
    </w:p>
    <w:p w:rsidR="00B8420F" w:rsidRDefault="00B8420F" w:rsidP="005103F5">
      <w:pPr>
        <w:jc w:val="center"/>
        <w:rPr>
          <w:rFonts w:cs="Arial"/>
        </w:rPr>
      </w:pPr>
    </w:p>
    <w:p w:rsidR="00B8420F" w:rsidRDefault="00B8420F" w:rsidP="005103F5">
      <w:pPr>
        <w:jc w:val="center"/>
        <w:rPr>
          <w:rFonts w:cs="Arial"/>
        </w:rPr>
      </w:pPr>
    </w:p>
    <w:p w:rsidR="00B8420F" w:rsidRDefault="00B8420F" w:rsidP="005103F5">
      <w:pPr>
        <w:jc w:val="center"/>
        <w:rPr>
          <w:rFonts w:cs="Arial"/>
        </w:rPr>
      </w:pPr>
    </w:p>
    <w:p w:rsidR="00B8420F" w:rsidRDefault="00B8420F" w:rsidP="005103F5">
      <w:pPr>
        <w:jc w:val="center"/>
        <w:rPr>
          <w:rFonts w:cs="Arial"/>
        </w:rPr>
      </w:pPr>
    </w:p>
    <w:p w:rsidR="00B8420F" w:rsidRDefault="00B8420F" w:rsidP="005103F5">
      <w:pPr>
        <w:jc w:val="center"/>
        <w:rPr>
          <w:rFonts w:cs="Arial"/>
        </w:rPr>
      </w:pPr>
    </w:p>
    <w:p w:rsidR="00B8420F" w:rsidRDefault="00B8420F" w:rsidP="005103F5">
      <w:pPr>
        <w:jc w:val="center"/>
        <w:rPr>
          <w:rFonts w:cs="Arial"/>
        </w:rPr>
      </w:pPr>
    </w:p>
    <w:p w:rsidR="00B8420F" w:rsidRDefault="00B8420F" w:rsidP="005103F5">
      <w:pPr>
        <w:jc w:val="center"/>
      </w:pPr>
      <w:r>
        <w:t>Graham Manville</w:t>
      </w:r>
      <w:r w:rsidR="001817A2">
        <w:t>*</w:t>
      </w:r>
      <w:r>
        <w:t>, University of East Anglia, U</w:t>
      </w:r>
      <w:r w:rsidR="00F57CD9">
        <w:t>K</w:t>
      </w:r>
    </w:p>
    <w:p w:rsidR="00B8420F" w:rsidRDefault="00B8420F" w:rsidP="005103F5">
      <w:pPr>
        <w:jc w:val="center"/>
      </w:pPr>
      <w:r>
        <w:t xml:space="preserve">Richard </w:t>
      </w:r>
      <w:proofErr w:type="spellStart"/>
      <w:r>
        <w:t>Greatbanks</w:t>
      </w:r>
      <w:proofErr w:type="spellEnd"/>
      <w:r>
        <w:t>, University of Otago, New Zealand</w:t>
      </w:r>
    </w:p>
    <w:p w:rsidR="001817A2" w:rsidRDefault="001817A2" w:rsidP="005103F5">
      <w:pPr>
        <w:jc w:val="center"/>
      </w:pPr>
      <w:r>
        <w:t>T</w:t>
      </w:r>
      <w:r w:rsidR="009247BE">
        <w:t>h</w:t>
      </w:r>
      <w:r>
        <w:t>om</w:t>
      </w:r>
      <w:r w:rsidR="009247BE">
        <w:t>as</w:t>
      </w:r>
      <w:r>
        <w:t xml:space="preserve"> Wainwright, </w:t>
      </w:r>
      <w:r w:rsidR="00F57CD9">
        <w:t>Royal Holloway, University of London</w:t>
      </w:r>
      <w:r>
        <w:t xml:space="preserve">, </w:t>
      </w:r>
      <w:r w:rsidR="00F57CD9">
        <w:t>UK</w:t>
      </w:r>
    </w:p>
    <w:p w:rsidR="00B8420F" w:rsidRDefault="00B8420F" w:rsidP="005103F5">
      <w:pPr>
        <w:jc w:val="center"/>
      </w:pPr>
      <w:r>
        <w:t>Martin Broad, University of Southampton, U</w:t>
      </w:r>
      <w:r w:rsidR="00F57CD9">
        <w:t>K</w:t>
      </w:r>
    </w:p>
    <w:p w:rsidR="00B8420F" w:rsidRDefault="00B8420F" w:rsidP="00C10824">
      <w:pPr>
        <w:rPr>
          <w:rFonts w:cs="Arial"/>
        </w:rPr>
      </w:pPr>
    </w:p>
    <w:p w:rsidR="00B8420F" w:rsidRDefault="00B8420F" w:rsidP="00C10824">
      <w:pPr>
        <w:rPr>
          <w:rFonts w:cs="Arial"/>
        </w:rPr>
      </w:pPr>
    </w:p>
    <w:p w:rsidR="00B8420F" w:rsidRDefault="00B8420F" w:rsidP="00C10824">
      <w:pPr>
        <w:rPr>
          <w:rFonts w:cs="Arial"/>
        </w:rPr>
      </w:pPr>
    </w:p>
    <w:p w:rsidR="00B8420F" w:rsidRDefault="00B8420F" w:rsidP="00C10824">
      <w:pPr>
        <w:rPr>
          <w:rFonts w:cs="Arial"/>
        </w:rPr>
      </w:pPr>
    </w:p>
    <w:p w:rsidR="00B8420F" w:rsidRDefault="00B8420F" w:rsidP="00C10824">
      <w:pPr>
        <w:rPr>
          <w:rFonts w:cs="Arial"/>
        </w:rPr>
      </w:pPr>
    </w:p>
    <w:p w:rsidR="00B8420F" w:rsidRDefault="00B8420F">
      <w:pPr>
        <w:rPr>
          <w:rFonts w:cs="Arial"/>
        </w:rPr>
      </w:pPr>
      <w:r>
        <w:rPr>
          <w:rFonts w:cs="Arial"/>
        </w:rPr>
        <w:br w:type="page"/>
      </w:r>
    </w:p>
    <w:p w:rsidR="00B8420F" w:rsidRPr="001C27D2" w:rsidRDefault="00B8420F" w:rsidP="00C10824">
      <w:pPr>
        <w:rPr>
          <w:b/>
          <w:bCs/>
        </w:rPr>
      </w:pPr>
      <w:r w:rsidRPr="001C27D2">
        <w:rPr>
          <w:b/>
          <w:bCs/>
        </w:rPr>
        <w:lastRenderedPageBreak/>
        <w:t>Abstract</w:t>
      </w:r>
    </w:p>
    <w:p w:rsidR="00B8420F" w:rsidRDefault="00B8420F" w:rsidP="009247BE">
      <w:pPr>
        <w:rPr>
          <w:rFonts w:cs="Arial"/>
        </w:rPr>
      </w:pPr>
      <w:r>
        <w:t>Housing Associations</w:t>
      </w:r>
      <w:r w:rsidR="00CE2E0A">
        <w:t xml:space="preserve"> in the United Kingdom (UK)</w:t>
      </w:r>
      <w:r>
        <w:t xml:space="preserve"> are </w:t>
      </w:r>
      <w:r w:rsidR="009247BE">
        <w:t>under</w:t>
      </w:r>
      <w:r>
        <w:t>going significant reform</w:t>
      </w:r>
      <w:r w:rsidR="00283541">
        <w:t>, potentially</w:t>
      </w:r>
      <w:r>
        <w:t xml:space="preserve"> facing a crisis of legitimation with respect to their values. The latest reforms have </w:t>
      </w:r>
      <w:r w:rsidR="00CF014A">
        <w:t>included</w:t>
      </w:r>
      <w:r>
        <w:t xml:space="preserve"> further deregulation and </w:t>
      </w:r>
      <w:r w:rsidR="00110720">
        <w:t xml:space="preserve">limiting the </w:t>
      </w:r>
      <w:r>
        <w:t xml:space="preserve">availability </w:t>
      </w:r>
      <w:r w:rsidR="00E87A58">
        <w:t>of bank</w:t>
      </w:r>
      <w:r w:rsidR="009247BE">
        <w:t xml:space="preserve"> </w:t>
      </w:r>
      <w:r w:rsidR="00E87A58">
        <w:t>finance at</w:t>
      </w:r>
      <w:r>
        <w:t xml:space="preserve"> fixed low interest </w:t>
      </w:r>
      <w:r w:rsidR="00BD02D6">
        <w:t>rates, previously regarded as a necessity</w:t>
      </w:r>
      <w:r>
        <w:t xml:space="preserve"> for investment in growth and refurbishment of housing stock. These</w:t>
      </w:r>
      <w:r w:rsidR="00BD02D6">
        <w:t xml:space="preserve"> are </w:t>
      </w:r>
      <w:r>
        <w:t xml:space="preserve">challenging times </w:t>
      </w:r>
      <w:r w:rsidR="00BD02D6">
        <w:t>for Housing Associations</w:t>
      </w:r>
      <w:r w:rsidR="00283541">
        <w:t>;</w:t>
      </w:r>
      <w:r w:rsidR="00BD02D6">
        <w:t xml:space="preserve"> forcing</w:t>
      </w:r>
      <w:r>
        <w:t xml:space="preserve"> leaders to effectively manage </w:t>
      </w:r>
      <w:r w:rsidR="001817A2">
        <w:t xml:space="preserve">organisational business </w:t>
      </w:r>
      <w:r>
        <w:t>performance</w:t>
      </w:r>
      <w:r w:rsidR="009247BE">
        <w:t>, becoming</w:t>
      </w:r>
      <w:r>
        <w:t xml:space="preserve"> less reliant on regulatory bodies for guidance and legitimation.</w:t>
      </w:r>
    </w:p>
    <w:p w:rsidR="00BA7E62" w:rsidRDefault="00BA7E62">
      <w:pPr>
        <w:spacing w:after="0" w:line="240" w:lineRule="auto"/>
      </w:pPr>
      <w:r>
        <w:br w:type="page"/>
      </w:r>
    </w:p>
    <w:p w:rsidR="00DE774E" w:rsidRPr="003E16A3" w:rsidRDefault="00DE774E" w:rsidP="00DE774E">
      <w:pPr>
        <w:rPr>
          <w:rFonts w:asciiTheme="minorHAnsi" w:eastAsiaTheme="minorEastAsia" w:hAnsiTheme="minorHAnsi" w:cstheme="minorBidi"/>
          <w:b/>
          <w:lang w:val="en-NZ" w:eastAsia="en-NZ"/>
        </w:rPr>
      </w:pPr>
      <w:r w:rsidRPr="003E16A3">
        <w:rPr>
          <w:rFonts w:asciiTheme="minorHAnsi" w:eastAsiaTheme="minorEastAsia" w:hAnsiTheme="minorHAnsi" w:cstheme="minorBidi"/>
          <w:b/>
          <w:lang w:val="en-NZ" w:eastAsia="en-NZ"/>
        </w:rPr>
        <w:lastRenderedPageBreak/>
        <w:t>Introduction</w:t>
      </w:r>
    </w:p>
    <w:p w:rsidR="00DE774E" w:rsidRPr="00DE774E" w:rsidRDefault="00DE774E" w:rsidP="00DE774E">
      <w:pPr>
        <w:rPr>
          <w:rFonts w:asciiTheme="minorHAnsi" w:eastAsiaTheme="minorEastAsia" w:hAnsiTheme="minorHAnsi" w:cstheme="minorBidi"/>
          <w:lang w:val="en-NZ" w:eastAsia="en-NZ"/>
        </w:rPr>
      </w:pPr>
      <w:r w:rsidRPr="00DE774E">
        <w:rPr>
          <w:rFonts w:asciiTheme="minorHAnsi" w:eastAsiaTheme="minorEastAsia" w:hAnsiTheme="minorHAnsi" w:cstheme="minorBidi"/>
          <w:lang w:val="en-NZ" w:eastAsia="en-NZ"/>
        </w:rPr>
        <w:t>Since the global financial crisis</w:t>
      </w:r>
      <w:r>
        <w:rPr>
          <w:rFonts w:asciiTheme="minorHAnsi" w:eastAsiaTheme="minorEastAsia" w:hAnsiTheme="minorHAnsi" w:cstheme="minorBidi"/>
          <w:lang w:val="en-NZ" w:eastAsia="en-NZ"/>
        </w:rPr>
        <w:t xml:space="preserve"> (GFC)</w:t>
      </w:r>
      <w:r w:rsidRPr="00DE774E">
        <w:rPr>
          <w:rFonts w:asciiTheme="minorHAnsi" w:eastAsiaTheme="minorEastAsia" w:hAnsiTheme="minorHAnsi" w:cstheme="minorBidi"/>
          <w:lang w:val="en-NZ" w:eastAsia="en-NZ"/>
        </w:rPr>
        <w:t xml:space="preserve"> of 2008 Social Housing has been subjected to significant reform which is changing the way leaders manage their organisations. The aim of this paper is twofold; first to evaluate the impact of the reforms to social housing and second, to investigate how visual performance management is being applied within housing associations at a time of uncertainty and unprecedented change.</w:t>
      </w:r>
    </w:p>
    <w:p w:rsidR="00DE774E" w:rsidRPr="00DE774E" w:rsidRDefault="00DE774E" w:rsidP="00DE774E">
      <w:pPr>
        <w:rPr>
          <w:rFonts w:asciiTheme="minorHAnsi" w:eastAsiaTheme="minorEastAsia" w:hAnsiTheme="minorHAnsi" w:cstheme="minorBidi"/>
          <w:lang w:val="en-NZ" w:eastAsia="en-NZ"/>
        </w:rPr>
      </w:pPr>
      <w:r w:rsidRPr="00DE774E">
        <w:rPr>
          <w:rFonts w:asciiTheme="minorHAnsi" w:eastAsiaTheme="minorEastAsia" w:hAnsiTheme="minorHAnsi" w:cstheme="minorBidi"/>
          <w:lang w:val="en-NZ" w:eastAsia="en-NZ"/>
        </w:rPr>
        <w:t>This study begins by providing a historical perspective of social housing before evaluating the extent of the recent changes facing housing associations. The primary data analyses how leaders apply visual performance approaches to manage their organisations. We conclude by considering the practical implications of visual management for leaders within social housing.</w:t>
      </w:r>
    </w:p>
    <w:p w:rsidR="00B16F6D" w:rsidRDefault="00B16F6D" w:rsidP="00A50C89">
      <w:pPr>
        <w:rPr>
          <w:b/>
        </w:rPr>
      </w:pPr>
    </w:p>
    <w:p w:rsidR="00A50C89" w:rsidRPr="00BA7E62" w:rsidRDefault="00A50C89" w:rsidP="00A50C89">
      <w:pPr>
        <w:rPr>
          <w:b/>
        </w:rPr>
      </w:pPr>
      <w:r w:rsidRPr="00BA7E62">
        <w:rPr>
          <w:b/>
        </w:rPr>
        <w:t>Historical Regulation with Housing Association</w:t>
      </w:r>
      <w:r w:rsidR="00DE774E">
        <w:rPr>
          <w:b/>
        </w:rPr>
        <w:t>s</w:t>
      </w:r>
    </w:p>
    <w:p w:rsidR="00CF014A" w:rsidRDefault="00A50C89" w:rsidP="009247BE">
      <w:r>
        <w:t xml:space="preserve">Housing Associations have a long history dating back to </w:t>
      </w:r>
      <w:r w:rsidR="008F6839">
        <w:t>the 11</w:t>
      </w:r>
      <w:r w:rsidR="008F6839" w:rsidRPr="008F6839">
        <w:rPr>
          <w:vertAlign w:val="superscript"/>
        </w:rPr>
        <w:t>th</w:t>
      </w:r>
      <w:r w:rsidR="008F6839">
        <w:t xml:space="preserve"> century</w:t>
      </w:r>
      <w:r>
        <w:t xml:space="preserve"> </w:t>
      </w:r>
      <w:proofErr w:type="spellStart"/>
      <w:r w:rsidR="00E87A58">
        <w:t>Alm</w:t>
      </w:r>
      <w:r w:rsidR="008F6839">
        <w:t>shouses</w:t>
      </w:r>
      <w:proofErr w:type="spellEnd"/>
      <w:r w:rsidR="008F6839">
        <w:t xml:space="preserve"> </w:t>
      </w:r>
      <w:r w:rsidR="00E87A58">
        <w:t>which provided</w:t>
      </w:r>
      <w:r w:rsidR="008F6839">
        <w:t xml:space="preserve"> </w:t>
      </w:r>
      <w:r>
        <w:t xml:space="preserve">housing to </w:t>
      </w:r>
      <w:r w:rsidR="008F6839">
        <w:t>poor and elderly people</w:t>
      </w:r>
      <w:r>
        <w:t>. The modern day</w:t>
      </w:r>
      <w:r w:rsidR="008F6839">
        <w:t xml:space="preserve"> UK</w:t>
      </w:r>
      <w:r>
        <w:t xml:space="preserve"> </w:t>
      </w:r>
      <w:r w:rsidR="008F6839">
        <w:t>h</w:t>
      </w:r>
      <w:r>
        <w:t xml:space="preserve">ousing </w:t>
      </w:r>
      <w:r w:rsidR="008F6839">
        <w:t>a</w:t>
      </w:r>
      <w:r>
        <w:t xml:space="preserve">ssociation was derived from </w:t>
      </w:r>
      <w:proofErr w:type="spellStart"/>
      <w:r>
        <w:t>Almshouses</w:t>
      </w:r>
      <w:proofErr w:type="spellEnd"/>
      <w:r w:rsidR="00953096">
        <w:t>,</w:t>
      </w:r>
      <w:r>
        <w:t xml:space="preserve"> </w:t>
      </w:r>
      <w:r w:rsidR="009247BE">
        <w:t xml:space="preserve">initially </w:t>
      </w:r>
      <w:r>
        <w:t>established to</w:t>
      </w:r>
      <w:r w:rsidR="008F6839">
        <w:t xml:space="preserve"> continue to</w:t>
      </w:r>
      <w:r>
        <w:t xml:space="preserve"> provide accommodation for the poor and elderly. The concept of </w:t>
      </w:r>
      <w:r w:rsidR="00AD661A">
        <w:t xml:space="preserve">UK </w:t>
      </w:r>
      <w:r>
        <w:t>social housing expanded over time through Victorian philanthropy and eventually became subject to regulation by the Housing Corporation from the 1960s</w:t>
      </w:r>
      <w:r w:rsidR="009777F1">
        <w:t>,</w:t>
      </w:r>
      <w:r>
        <w:t xml:space="preserve"> and were until recently referred to as Registered Social Landlords (RSLs). The sector witnessed its largest increase in social housing during the late 1980’s as a result of the large scale asset transfer of council housing from the public sector to the third sector. Since 1988 there have been more than 500,000 tenants that have consented </w:t>
      </w:r>
      <w:r w:rsidR="00E87A58">
        <w:t>to housing</w:t>
      </w:r>
      <w:r>
        <w:t xml:space="preserve"> stock transfer from local authorities to RSLs (</w:t>
      </w:r>
      <w:proofErr w:type="spellStart"/>
      <w:r>
        <w:t>Manochin</w:t>
      </w:r>
      <w:proofErr w:type="spellEnd"/>
      <w:r>
        <w:t xml:space="preserve"> et al., 2008). </w:t>
      </w:r>
      <w:r w:rsidR="009247BE">
        <w:t xml:space="preserve">This leads </w:t>
      </w:r>
      <w:r w:rsidR="000E6A25">
        <w:t xml:space="preserve">Mullins (2002, p25) </w:t>
      </w:r>
      <w:r w:rsidR="009247BE">
        <w:t xml:space="preserve">to </w:t>
      </w:r>
      <w:r w:rsidR="000E6A25">
        <w:t>argue that “non-profit housing is one of the most significant public service sectors.”</w:t>
      </w:r>
      <w:r w:rsidR="00CF014A">
        <w:t xml:space="preserve"> In further research,</w:t>
      </w:r>
      <w:r w:rsidR="000E6A25">
        <w:t xml:space="preserve">  </w:t>
      </w:r>
      <w:r w:rsidR="00CF014A">
        <w:t xml:space="preserve">Mullins (2010, p3) argues that Housing Associations “are a distant uncle of the Third Sector” on account of their ability to generate a surplus, while privileging social over economic value creation. Such public service models have unfairly been referred to as profits in </w:t>
      </w:r>
      <w:r w:rsidR="00B4715A">
        <w:t>disguise;</w:t>
      </w:r>
      <w:r w:rsidR="00CF014A">
        <w:t xml:space="preserve"> nevertheless, they are regarded as a vital part of the Third Sector and fulfil an important societal responsibility for providing housing to lower income and vulnerable families and citizens.</w:t>
      </w:r>
    </w:p>
    <w:p w:rsidR="00A50C89" w:rsidRDefault="00A50C89" w:rsidP="009247BE">
      <w:r>
        <w:t xml:space="preserve">Housing Associations have grown </w:t>
      </w:r>
      <w:r w:rsidR="000E6A25">
        <w:t xml:space="preserve">further </w:t>
      </w:r>
      <w:r>
        <w:t>during the first decade of the 21</w:t>
      </w:r>
      <w:r w:rsidRPr="001F0555">
        <w:rPr>
          <w:vertAlign w:val="superscript"/>
        </w:rPr>
        <w:t>st</w:t>
      </w:r>
      <w:r>
        <w:t xml:space="preserve"> century as a result of the “Supporting People” initiative which ring-fenced central government funding aimed at providing supplementary support services to enable tenants to live independently in their own homes.  Supporting </w:t>
      </w:r>
      <w:r w:rsidR="000E6A25">
        <w:t xml:space="preserve">People </w:t>
      </w:r>
      <w:r>
        <w:t xml:space="preserve">funding was administered and regulated by local government </w:t>
      </w:r>
      <w:r w:rsidR="00283541">
        <w:t xml:space="preserve">through </w:t>
      </w:r>
      <w:r>
        <w:t xml:space="preserve">a nationally agreed regulatory </w:t>
      </w:r>
      <w:r w:rsidR="00BA7E62">
        <w:t>Quality Assurance Framework (</w:t>
      </w:r>
      <w:r>
        <w:t>QAF</w:t>
      </w:r>
      <w:r w:rsidR="00BA7E62">
        <w:t>)</w:t>
      </w:r>
      <w:r>
        <w:t xml:space="preserve">. </w:t>
      </w:r>
    </w:p>
    <w:p w:rsidR="00A50C89" w:rsidRDefault="00A50C89" w:rsidP="00A50C89">
      <w:r>
        <w:t>The combined regulatory frameworks of QAF, administered by local government</w:t>
      </w:r>
      <w:r w:rsidR="00283541">
        <w:t>,</w:t>
      </w:r>
      <w:r>
        <w:t xml:space="preserve"> and the Housing Corporation’s own framework</w:t>
      </w:r>
      <w:r w:rsidR="000A2239">
        <w:t>, has resulted in RSLs being</w:t>
      </w:r>
      <w:r>
        <w:t xml:space="preserve"> required to demonstrate good governance and value for money by reporting on a series of key performance indicators (KPIs).  The move away from local government to </w:t>
      </w:r>
      <w:r w:rsidR="000A2239">
        <w:t>not-for-</w:t>
      </w:r>
      <w:r>
        <w:t xml:space="preserve">profit third sector organisations presented </w:t>
      </w:r>
      <w:r w:rsidR="000A2239">
        <w:t xml:space="preserve">further </w:t>
      </w:r>
      <w:r>
        <w:t xml:space="preserve">governance challenges as </w:t>
      </w:r>
      <w:r w:rsidR="000A2239">
        <w:t xml:space="preserve">these not-for-profit organisations </w:t>
      </w:r>
      <w:r>
        <w:t xml:space="preserve">were exposed to more commercial management structures which </w:t>
      </w:r>
      <w:r w:rsidR="000A2239">
        <w:t xml:space="preserve">have </w:t>
      </w:r>
      <w:r>
        <w:t xml:space="preserve">changed the values and norms of housing associations to a </w:t>
      </w:r>
      <w:r w:rsidR="000A2239">
        <w:t xml:space="preserve">more </w:t>
      </w:r>
      <w:r>
        <w:t xml:space="preserve">performance orientated culture (Duckworth, </w:t>
      </w:r>
      <w:r w:rsidR="00226F68">
        <w:t>1996</w:t>
      </w:r>
      <w:r>
        <w:t xml:space="preserve">; </w:t>
      </w:r>
      <w:proofErr w:type="spellStart"/>
      <w:r>
        <w:t>Manochin</w:t>
      </w:r>
      <w:proofErr w:type="spellEnd"/>
      <w:r>
        <w:t xml:space="preserve"> et al., 2008). </w:t>
      </w:r>
    </w:p>
    <w:p w:rsidR="00A50C89" w:rsidRDefault="00A50C89" w:rsidP="002C1743">
      <w:r>
        <w:lastRenderedPageBreak/>
        <w:t>The</w:t>
      </w:r>
      <w:r w:rsidR="00BA7E62">
        <w:t xml:space="preserve"> highly regulated nature of</w:t>
      </w:r>
      <w:r>
        <w:t xml:space="preserve"> housing associations </w:t>
      </w:r>
      <w:r w:rsidR="002C1743">
        <w:t xml:space="preserve">in the past </w:t>
      </w:r>
      <w:r>
        <w:t>provide</w:t>
      </w:r>
      <w:r w:rsidR="00BA7E62">
        <w:t>d</w:t>
      </w:r>
      <w:r>
        <w:t xml:space="preserve"> a degree of similarity or institutional isomorphism (Di Maggio and Powell, 1983)</w:t>
      </w:r>
      <w:r w:rsidR="00687AA8">
        <w:t xml:space="preserve"> across this sector</w:t>
      </w:r>
      <w:r>
        <w:t>. Institutional isomorphism manifests itself in three ways, namely</w:t>
      </w:r>
      <w:r w:rsidR="00C3731E">
        <w:t>,</w:t>
      </w:r>
      <w:r>
        <w:t xml:space="preserve"> </w:t>
      </w:r>
      <w:r w:rsidR="00C3731E">
        <w:t>coercive</w:t>
      </w:r>
      <w:r>
        <w:t xml:space="preserve"> isomorphism through regulatory compliance, mimetic isomorphism as a result of RSLs seeking out best practice and copying it</w:t>
      </w:r>
      <w:r w:rsidR="00CE2E0A">
        <w:t>,</w:t>
      </w:r>
      <w:r>
        <w:t xml:space="preserve"> </w:t>
      </w:r>
      <w:r w:rsidR="00283541">
        <w:t xml:space="preserve">and </w:t>
      </w:r>
      <w:r>
        <w:t>normative isomorphism which represents the lifeworld (</w:t>
      </w:r>
      <w:proofErr w:type="spellStart"/>
      <w:r>
        <w:t>Habermas</w:t>
      </w:r>
      <w:proofErr w:type="spellEnd"/>
      <w:r>
        <w:t>, 1987)</w:t>
      </w:r>
      <w:r w:rsidR="00BA7E62">
        <w:t xml:space="preserve"> or </w:t>
      </w:r>
      <w:r w:rsidR="00E87A58">
        <w:t>environmental</w:t>
      </w:r>
      <w:r w:rsidR="00BA7E62">
        <w:t xml:space="preserve"> culture</w:t>
      </w:r>
      <w:r w:rsidR="00CE2E0A">
        <w:t xml:space="preserve"> </w:t>
      </w:r>
      <w:r>
        <w:t xml:space="preserve">of RSLs. </w:t>
      </w:r>
      <w:r w:rsidR="00BA7E62">
        <w:t xml:space="preserve">Studies employing a combined </w:t>
      </w:r>
      <w:proofErr w:type="spellStart"/>
      <w:r>
        <w:t>Habermasian</w:t>
      </w:r>
      <w:proofErr w:type="spellEnd"/>
      <w:r>
        <w:t xml:space="preserve"> and Institutional theor</w:t>
      </w:r>
      <w:r w:rsidR="00BA7E62">
        <w:t>etical lens have been</w:t>
      </w:r>
      <w:r>
        <w:t xml:space="preserve"> </w:t>
      </w:r>
      <w:r w:rsidR="00E1307A">
        <w:t>employed</w:t>
      </w:r>
      <w:r>
        <w:t xml:space="preserve"> to investigate change within the </w:t>
      </w:r>
      <w:r w:rsidR="00CE2E0A">
        <w:t xml:space="preserve">UK </w:t>
      </w:r>
      <w:r>
        <w:t>National Health Service (NHS)</w:t>
      </w:r>
      <w:r w:rsidR="00E1307A">
        <w:t xml:space="preserve"> (Broadbent et al, 1991</w:t>
      </w:r>
      <w:r w:rsidR="00712B47">
        <w:t>; 2001</w:t>
      </w:r>
      <w:r w:rsidR="00E1307A">
        <w:t>)</w:t>
      </w:r>
      <w:r w:rsidR="00CE2E0A">
        <w:t>,</w:t>
      </w:r>
      <w:r>
        <w:t xml:space="preserve"> but it has yet to be extended to the Third Sector.</w:t>
      </w:r>
      <w:r w:rsidR="006F6210">
        <w:t xml:space="preserve"> </w:t>
      </w:r>
      <w:bookmarkStart w:id="0" w:name="_GoBack"/>
      <w:bookmarkEnd w:id="0"/>
    </w:p>
    <w:p w:rsidR="00A50C89" w:rsidRPr="00DE7DAA" w:rsidRDefault="006F6210" w:rsidP="00A50C89">
      <w:pPr>
        <w:rPr>
          <w:b/>
        </w:rPr>
      </w:pPr>
      <w:r w:rsidRPr="00DE7DAA">
        <w:rPr>
          <w:b/>
        </w:rPr>
        <w:t xml:space="preserve">Environmental Change </w:t>
      </w:r>
      <w:r w:rsidR="00DE7DAA" w:rsidRPr="00DE7DAA">
        <w:rPr>
          <w:b/>
        </w:rPr>
        <w:t xml:space="preserve">within </w:t>
      </w:r>
      <w:r w:rsidRPr="00DE7DAA">
        <w:rPr>
          <w:b/>
        </w:rPr>
        <w:t>Social Housing</w:t>
      </w:r>
    </w:p>
    <w:p w:rsidR="00A50C89" w:rsidRDefault="00A50C89" w:rsidP="002C1743">
      <w:r>
        <w:t>The GFC of 2008 has resulted in a prolonged period of austerity and public sector cuts within the UK</w:t>
      </w:r>
      <w:r w:rsidR="000C5E98">
        <w:t>, and</w:t>
      </w:r>
      <w:r>
        <w:t xml:space="preserve"> has provided a </w:t>
      </w:r>
      <w:r w:rsidR="002C1743">
        <w:t xml:space="preserve">politicians with a </w:t>
      </w:r>
      <w:r>
        <w:t>justification for  rebalancing of public services</w:t>
      </w:r>
      <w:r w:rsidR="000C5E98">
        <w:t>; conveniently fitting</w:t>
      </w:r>
      <w:r>
        <w:t xml:space="preserve"> with the paradigm of the current UK </w:t>
      </w:r>
      <w:r w:rsidR="008C15CB">
        <w:t xml:space="preserve">Conservative </w:t>
      </w:r>
      <w:r w:rsidR="002C1743">
        <w:t xml:space="preserve">-led </w:t>
      </w:r>
      <w:r w:rsidR="008C15CB">
        <w:t>coalition</w:t>
      </w:r>
      <w:r w:rsidR="008C15CB" w:rsidDel="008C15CB">
        <w:t xml:space="preserve"> </w:t>
      </w:r>
      <w:r>
        <w:t>government (</w:t>
      </w:r>
      <w:proofErr w:type="spellStart"/>
      <w:r>
        <w:t>Hodgkins</w:t>
      </w:r>
      <w:proofErr w:type="spellEnd"/>
      <w:r>
        <w:t xml:space="preserve"> and Robbins, 2013; Manville</w:t>
      </w:r>
      <w:r w:rsidR="00CD7FAD">
        <w:t xml:space="preserve"> and Broad, 2013). The winds of</w:t>
      </w:r>
      <w:r>
        <w:t xml:space="preserve"> change are beginning to be felt more tangibly within social housing as the</w:t>
      </w:r>
      <w:r w:rsidR="008C15CB">
        <w:t xml:space="preserve"> environment changes expressed as </w:t>
      </w:r>
      <w:r>
        <w:t xml:space="preserve"> </w:t>
      </w:r>
      <w:proofErr w:type="spellStart"/>
      <w:r>
        <w:t>Habermasian</w:t>
      </w:r>
      <w:proofErr w:type="spellEnd"/>
      <w:r>
        <w:t xml:space="preserve"> steering media of law</w:t>
      </w:r>
      <w:r w:rsidR="000C5E98">
        <w:t>,</w:t>
      </w:r>
      <w:r>
        <w:t xml:space="preserve"> power and money (</w:t>
      </w:r>
      <w:proofErr w:type="spellStart"/>
      <w:r>
        <w:t>Habermas</w:t>
      </w:r>
      <w:proofErr w:type="spellEnd"/>
      <w:r>
        <w:t>, 1987)</w:t>
      </w:r>
      <w:r w:rsidR="000C5E98">
        <w:t>,</w:t>
      </w:r>
      <w:r>
        <w:t xml:space="preserve"> </w:t>
      </w:r>
      <w:r w:rsidR="006F6210">
        <w:t>discussed</w:t>
      </w:r>
      <w:r>
        <w:t xml:space="preserve"> by Manville and Broad (2013)</w:t>
      </w:r>
      <w:r w:rsidR="000C5E98">
        <w:t>,</w:t>
      </w:r>
      <w:r>
        <w:t xml:space="preserve"> are becoming more tangible in the form of private sector competition</w:t>
      </w:r>
      <w:r w:rsidR="000C5E98">
        <w:t xml:space="preserve"> and</w:t>
      </w:r>
      <w:r>
        <w:t xml:space="preserve"> bond issuance as a source of finance and </w:t>
      </w:r>
      <w:r w:rsidR="001662C5">
        <w:t xml:space="preserve"> welfare </w:t>
      </w:r>
      <w:r>
        <w:t>benefit reform. A summary of the key changes influencing social housing are provided in table 1.</w:t>
      </w:r>
    </w:p>
    <w:p w:rsidR="00CF014A" w:rsidRDefault="00CF014A">
      <w:pPr>
        <w:spacing w:after="0" w:line="240" w:lineRule="auto"/>
      </w:pPr>
      <w:r>
        <w:br w:type="page"/>
      </w:r>
    </w:p>
    <w:p w:rsidR="002E77F1" w:rsidRDefault="002E77F1" w:rsidP="002E77F1">
      <w:pPr>
        <w:spacing w:after="0"/>
      </w:pPr>
      <w:r>
        <w:t>Table 1: Environmental Changes within Social Housing from 2008 to 20015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839"/>
        <w:gridCol w:w="1417"/>
        <w:gridCol w:w="2268"/>
        <w:gridCol w:w="2217"/>
      </w:tblGrid>
      <w:tr w:rsidR="00A50C89" w:rsidTr="00631757">
        <w:tc>
          <w:tcPr>
            <w:tcW w:w="1275" w:type="dxa"/>
          </w:tcPr>
          <w:p w:rsidR="00A50C89" w:rsidRPr="00A50C89" w:rsidRDefault="0007506F" w:rsidP="00DA62A8">
            <w:pPr>
              <w:rPr>
                <w:rFonts w:ascii="Tahoma" w:hAnsi="Tahoma"/>
                <w:sz w:val="16"/>
                <w:szCs w:val="16"/>
              </w:rPr>
            </w:pPr>
            <w:r>
              <w:br w:type="page"/>
            </w:r>
            <w:r w:rsidR="00A50C89" w:rsidRPr="00A50C89">
              <w:rPr>
                <w:rFonts w:ascii="Tahoma" w:hAnsi="Tahoma"/>
                <w:sz w:val="16"/>
                <w:szCs w:val="16"/>
              </w:rPr>
              <w:t>Criteria</w:t>
            </w:r>
          </w:p>
        </w:tc>
        <w:tc>
          <w:tcPr>
            <w:tcW w:w="1839" w:type="dxa"/>
          </w:tcPr>
          <w:p w:rsidR="00A50C89" w:rsidRPr="00A50C89" w:rsidRDefault="00A50C89" w:rsidP="00DA62A8">
            <w:pPr>
              <w:rPr>
                <w:rFonts w:ascii="Tahoma" w:hAnsi="Tahoma"/>
                <w:sz w:val="16"/>
                <w:szCs w:val="16"/>
              </w:rPr>
            </w:pPr>
            <w:r w:rsidRPr="00A50C89">
              <w:rPr>
                <w:rFonts w:ascii="Tahoma" w:hAnsi="Tahoma"/>
                <w:sz w:val="16"/>
                <w:szCs w:val="16"/>
              </w:rPr>
              <w:t>Condition up to 2008</w:t>
            </w:r>
          </w:p>
        </w:tc>
        <w:tc>
          <w:tcPr>
            <w:tcW w:w="1417" w:type="dxa"/>
          </w:tcPr>
          <w:p w:rsidR="008C15CB" w:rsidRPr="00A50C89" w:rsidRDefault="008C15CB" w:rsidP="008C15CB">
            <w:pPr>
              <w:rPr>
                <w:rFonts w:ascii="Tahoma" w:hAnsi="Tahoma"/>
                <w:sz w:val="16"/>
                <w:szCs w:val="16"/>
              </w:rPr>
            </w:pPr>
            <w:r>
              <w:rPr>
                <w:rFonts w:ascii="Tahoma" w:hAnsi="Tahoma"/>
                <w:sz w:val="16"/>
                <w:szCs w:val="16"/>
              </w:rPr>
              <w:t xml:space="preserve">Environmental </w:t>
            </w:r>
            <w:r w:rsidR="00E87A58">
              <w:rPr>
                <w:rFonts w:ascii="Tahoma" w:hAnsi="Tahoma"/>
                <w:sz w:val="16"/>
                <w:szCs w:val="16"/>
              </w:rPr>
              <w:t>C</w:t>
            </w:r>
            <w:r>
              <w:rPr>
                <w:rFonts w:ascii="Tahoma" w:hAnsi="Tahoma"/>
                <w:sz w:val="16"/>
                <w:szCs w:val="16"/>
              </w:rPr>
              <w:t>hange</w:t>
            </w:r>
          </w:p>
        </w:tc>
        <w:tc>
          <w:tcPr>
            <w:tcW w:w="2268" w:type="dxa"/>
          </w:tcPr>
          <w:p w:rsidR="00A50C89" w:rsidRPr="00A50C89" w:rsidRDefault="00A50C89" w:rsidP="00A17A8A">
            <w:pPr>
              <w:rPr>
                <w:rFonts w:ascii="Tahoma" w:hAnsi="Tahoma"/>
                <w:sz w:val="16"/>
                <w:szCs w:val="16"/>
              </w:rPr>
            </w:pPr>
            <w:r w:rsidRPr="00A50C89">
              <w:rPr>
                <w:rFonts w:ascii="Tahoma" w:hAnsi="Tahoma"/>
                <w:sz w:val="16"/>
                <w:szCs w:val="16"/>
              </w:rPr>
              <w:t xml:space="preserve">Condition from </w:t>
            </w:r>
            <w:r w:rsidR="00A17A8A" w:rsidRPr="00A50C89">
              <w:rPr>
                <w:rFonts w:ascii="Tahoma" w:hAnsi="Tahoma"/>
                <w:sz w:val="16"/>
                <w:szCs w:val="16"/>
              </w:rPr>
              <w:t>201</w:t>
            </w:r>
            <w:r w:rsidR="00A17A8A">
              <w:rPr>
                <w:rFonts w:ascii="Tahoma" w:hAnsi="Tahoma"/>
                <w:sz w:val="16"/>
                <w:szCs w:val="16"/>
              </w:rPr>
              <w:t>5</w:t>
            </w:r>
          </w:p>
        </w:tc>
        <w:tc>
          <w:tcPr>
            <w:tcW w:w="2217" w:type="dxa"/>
          </w:tcPr>
          <w:p w:rsidR="00A50C89" w:rsidRPr="00A50C89" w:rsidRDefault="00A50C89" w:rsidP="00DA62A8">
            <w:pPr>
              <w:rPr>
                <w:rFonts w:ascii="Tahoma" w:hAnsi="Tahoma"/>
                <w:sz w:val="16"/>
                <w:szCs w:val="16"/>
              </w:rPr>
            </w:pPr>
            <w:r w:rsidRPr="00A50C89">
              <w:rPr>
                <w:rFonts w:ascii="Tahoma" w:hAnsi="Tahoma"/>
                <w:sz w:val="16"/>
                <w:szCs w:val="16"/>
              </w:rPr>
              <w:t>Implications</w:t>
            </w:r>
          </w:p>
        </w:tc>
      </w:tr>
      <w:tr w:rsidR="00A50C89" w:rsidTr="00631757">
        <w:tc>
          <w:tcPr>
            <w:tcW w:w="1275" w:type="dxa"/>
          </w:tcPr>
          <w:p w:rsidR="00A50C89" w:rsidRPr="00A50C89" w:rsidRDefault="00A50C89" w:rsidP="00DA62A8">
            <w:pPr>
              <w:rPr>
                <w:rFonts w:ascii="Tahoma" w:hAnsi="Tahoma"/>
                <w:sz w:val="16"/>
                <w:szCs w:val="16"/>
              </w:rPr>
            </w:pPr>
            <w:r w:rsidRPr="00A50C89">
              <w:rPr>
                <w:rFonts w:ascii="Tahoma" w:hAnsi="Tahoma"/>
                <w:sz w:val="16"/>
                <w:szCs w:val="16"/>
              </w:rPr>
              <w:t>Business Model</w:t>
            </w:r>
          </w:p>
        </w:tc>
        <w:tc>
          <w:tcPr>
            <w:tcW w:w="1839" w:type="dxa"/>
          </w:tcPr>
          <w:p w:rsidR="00A50C89" w:rsidRPr="00A50C89" w:rsidRDefault="00A50C89" w:rsidP="00DA62A8">
            <w:pPr>
              <w:rPr>
                <w:rFonts w:ascii="Tahoma" w:hAnsi="Tahoma"/>
                <w:sz w:val="16"/>
                <w:szCs w:val="16"/>
              </w:rPr>
            </w:pPr>
            <w:r w:rsidRPr="00A50C89">
              <w:rPr>
                <w:rFonts w:ascii="Tahoma" w:hAnsi="Tahoma"/>
                <w:sz w:val="16"/>
                <w:szCs w:val="16"/>
              </w:rPr>
              <w:t>Registered Social Landlord</w:t>
            </w:r>
          </w:p>
        </w:tc>
        <w:tc>
          <w:tcPr>
            <w:tcW w:w="1417" w:type="dxa"/>
          </w:tcPr>
          <w:p w:rsidR="00A50C89" w:rsidRPr="00A50C89" w:rsidRDefault="00A50C89" w:rsidP="00DA62A8">
            <w:pPr>
              <w:rPr>
                <w:rFonts w:ascii="Tahoma" w:hAnsi="Tahoma"/>
                <w:sz w:val="16"/>
                <w:szCs w:val="16"/>
              </w:rPr>
            </w:pPr>
            <w:r w:rsidRPr="00A50C89">
              <w:rPr>
                <w:rFonts w:ascii="Tahoma" w:hAnsi="Tahoma"/>
                <w:sz w:val="16"/>
                <w:szCs w:val="16"/>
              </w:rPr>
              <w:t>Law</w:t>
            </w:r>
          </w:p>
          <w:p w:rsidR="00A50C89" w:rsidRPr="00A50C89" w:rsidRDefault="00A50C89" w:rsidP="00DA62A8">
            <w:pPr>
              <w:rPr>
                <w:rFonts w:ascii="Tahoma" w:hAnsi="Tahoma"/>
                <w:sz w:val="16"/>
                <w:szCs w:val="16"/>
              </w:rPr>
            </w:pPr>
            <w:r w:rsidRPr="00A50C89">
              <w:rPr>
                <w:rFonts w:ascii="Tahoma" w:hAnsi="Tahoma"/>
                <w:sz w:val="16"/>
                <w:szCs w:val="16"/>
              </w:rPr>
              <w:t>(Housing Regenerations Act (2008)</w:t>
            </w:r>
          </w:p>
        </w:tc>
        <w:tc>
          <w:tcPr>
            <w:tcW w:w="2268" w:type="dxa"/>
          </w:tcPr>
          <w:p w:rsidR="00A50C89" w:rsidRPr="00A50C89" w:rsidRDefault="00A50C89" w:rsidP="00DA62A8">
            <w:pPr>
              <w:rPr>
                <w:rFonts w:ascii="Tahoma" w:hAnsi="Tahoma"/>
                <w:sz w:val="16"/>
                <w:szCs w:val="16"/>
              </w:rPr>
            </w:pPr>
            <w:r w:rsidRPr="00A50C89">
              <w:rPr>
                <w:rFonts w:ascii="Tahoma" w:hAnsi="Tahoma"/>
                <w:sz w:val="16"/>
                <w:szCs w:val="16"/>
              </w:rPr>
              <w:t>Registered Provider which now include private sector competitors</w:t>
            </w:r>
            <w:r w:rsidR="00A17A8A">
              <w:rPr>
                <w:rFonts w:ascii="Tahoma" w:hAnsi="Tahoma"/>
                <w:sz w:val="16"/>
                <w:szCs w:val="16"/>
              </w:rPr>
              <w:t>. Effective from April 2010.</w:t>
            </w:r>
          </w:p>
        </w:tc>
        <w:tc>
          <w:tcPr>
            <w:tcW w:w="2217" w:type="dxa"/>
          </w:tcPr>
          <w:p w:rsidR="00A50C89" w:rsidRPr="00A50C89" w:rsidRDefault="00A50C89" w:rsidP="00DA62A8">
            <w:pPr>
              <w:rPr>
                <w:rFonts w:ascii="Tahoma" w:hAnsi="Tahoma"/>
                <w:sz w:val="16"/>
                <w:szCs w:val="16"/>
              </w:rPr>
            </w:pPr>
            <w:r w:rsidRPr="00A50C89">
              <w:rPr>
                <w:rFonts w:ascii="Tahoma" w:hAnsi="Tahoma"/>
                <w:sz w:val="16"/>
                <w:szCs w:val="16"/>
              </w:rPr>
              <w:t>Private sector competitors eligible for housing grant</w:t>
            </w:r>
          </w:p>
        </w:tc>
      </w:tr>
      <w:tr w:rsidR="00A50C89" w:rsidTr="00631757">
        <w:tc>
          <w:tcPr>
            <w:tcW w:w="1275" w:type="dxa"/>
          </w:tcPr>
          <w:p w:rsidR="00A50C89" w:rsidRPr="00A50C89" w:rsidRDefault="00A50C89" w:rsidP="00A50C89">
            <w:pPr>
              <w:jc w:val="center"/>
              <w:rPr>
                <w:rFonts w:ascii="Tahoma" w:hAnsi="Tahoma"/>
                <w:sz w:val="16"/>
                <w:szCs w:val="16"/>
              </w:rPr>
            </w:pPr>
            <w:r w:rsidRPr="00A50C89">
              <w:rPr>
                <w:rFonts w:ascii="Tahoma" w:hAnsi="Tahoma"/>
                <w:sz w:val="16"/>
                <w:szCs w:val="16"/>
              </w:rPr>
              <w:t>Rental Income from Housing Benefit</w:t>
            </w:r>
          </w:p>
        </w:tc>
        <w:tc>
          <w:tcPr>
            <w:tcW w:w="1839" w:type="dxa"/>
          </w:tcPr>
          <w:p w:rsidR="00A50C89" w:rsidRPr="00A50C89" w:rsidRDefault="00A50C89" w:rsidP="00DA62A8">
            <w:pPr>
              <w:rPr>
                <w:rFonts w:ascii="Tahoma" w:hAnsi="Tahoma"/>
                <w:sz w:val="16"/>
                <w:szCs w:val="16"/>
              </w:rPr>
            </w:pPr>
            <w:r w:rsidRPr="00A50C89">
              <w:rPr>
                <w:rFonts w:ascii="Tahoma" w:hAnsi="Tahoma"/>
                <w:sz w:val="16"/>
                <w:szCs w:val="16"/>
              </w:rPr>
              <w:t>Paid Directly to Landlord</w:t>
            </w:r>
          </w:p>
        </w:tc>
        <w:tc>
          <w:tcPr>
            <w:tcW w:w="1417" w:type="dxa"/>
          </w:tcPr>
          <w:p w:rsidR="00A50C89" w:rsidRPr="00A50C89" w:rsidRDefault="00A50C89" w:rsidP="00DA62A8">
            <w:pPr>
              <w:rPr>
                <w:rFonts w:ascii="Tahoma" w:hAnsi="Tahoma"/>
                <w:sz w:val="16"/>
                <w:szCs w:val="16"/>
              </w:rPr>
            </w:pPr>
            <w:r w:rsidRPr="00A50C89">
              <w:rPr>
                <w:rFonts w:ascii="Tahoma" w:hAnsi="Tahoma"/>
                <w:sz w:val="16"/>
                <w:szCs w:val="16"/>
              </w:rPr>
              <w:t>Finance</w:t>
            </w:r>
          </w:p>
          <w:p w:rsidR="00A50C89" w:rsidRPr="00A50C89" w:rsidRDefault="00A50C89" w:rsidP="00DA62A8">
            <w:pPr>
              <w:rPr>
                <w:rFonts w:ascii="Tahoma" w:hAnsi="Tahoma"/>
                <w:sz w:val="16"/>
                <w:szCs w:val="16"/>
              </w:rPr>
            </w:pPr>
            <w:r w:rsidRPr="00A50C89">
              <w:rPr>
                <w:rFonts w:ascii="Tahoma" w:hAnsi="Tahoma"/>
                <w:sz w:val="16"/>
                <w:szCs w:val="16"/>
              </w:rPr>
              <w:t>Welfare Reform Act (2012)</w:t>
            </w:r>
          </w:p>
        </w:tc>
        <w:tc>
          <w:tcPr>
            <w:tcW w:w="2268" w:type="dxa"/>
          </w:tcPr>
          <w:p w:rsidR="00A50C89" w:rsidRPr="00A50C89" w:rsidRDefault="00A50C89" w:rsidP="00DA62A8">
            <w:pPr>
              <w:rPr>
                <w:rFonts w:ascii="Tahoma" w:hAnsi="Tahoma"/>
                <w:sz w:val="16"/>
                <w:szCs w:val="16"/>
              </w:rPr>
            </w:pPr>
            <w:r w:rsidRPr="00A50C89">
              <w:rPr>
                <w:rFonts w:ascii="Tahoma" w:hAnsi="Tahoma"/>
                <w:sz w:val="16"/>
                <w:szCs w:val="16"/>
              </w:rPr>
              <w:t>Paid directly to service user</w:t>
            </w:r>
            <w:r w:rsidR="001817A2">
              <w:rPr>
                <w:rFonts w:ascii="Tahoma" w:hAnsi="Tahoma"/>
                <w:sz w:val="16"/>
                <w:szCs w:val="16"/>
              </w:rPr>
              <w:t xml:space="preserve"> from February 2015.</w:t>
            </w:r>
          </w:p>
        </w:tc>
        <w:tc>
          <w:tcPr>
            <w:tcW w:w="2217" w:type="dxa"/>
          </w:tcPr>
          <w:p w:rsidR="00A50C89" w:rsidRPr="00A50C89" w:rsidRDefault="00A50C89" w:rsidP="00DA62A8">
            <w:pPr>
              <w:rPr>
                <w:rFonts w:ascii="Tahoma" w:hAnsi="Tahoma"/>
                <w:sz w:val="16"/>
                <w:szCs w:val="16"/>
              </w:rPr>
            </w:pPr>
            <w:r w:rsidRPr="00A50C89">
              <w:rPr>
                <w:rFonts w:ascii="Tahoma" w:hAnsi="Tahoma"/>
                <w:sz w:val="16"/>
                <w:szCs w:val="16"/>
              </w:rPr>
              <w:t>Increase in rental arrears, need for financial education of service users</w:t>
            </w:r>
          </w:p>
        </w:tc>
      </w:tr>
      <w:tr w:rsidR="00A50C89" w:rsidTr="00631757">
        <w:tc>
          <w:tcPr>
            <w:tcW w:w="1275" w:type="dxa"/>
          </w:tcPr>
          <w:p w:rsidR="00A50C89" w:rsidRPr="00A50C89" w:rsidRDefault="00A50C89" w:rsidP="00DA62A8">
            <w:pPr>
              <w:rPr>
                <w:rFonts w:ascii="Tahoma" w:hAnsi="Tahoma"/>
                <w:sz w:val="16"/>
                <w:szCs w:val="16"/>
              </w:rPr>
            </w:pPr>
            <w:r w:rsidRPr="00A50C89">
              <w:rPr>
                <w:rFonts w:ascii="Tahoma" w:hAnsi="Tahoma"/>
                <w:sz w:val="16"/>
                <w:szCs w:val="16"/>
              </w:rPr>
              <w:t>Bedroom Tax</w:t>
            </w:r>
          </w:p>
        </w:tc>
        <w:tc>
          <w:tcPr>
            <w:tcW w:w="1839" w:type="dxa"/>
          </w:tcPr>
          <w:p w:rsidR="00A50C89" w:rsidRPr="00A50C89" w:rsidRDefault="00A50C89" w:rsidP="00DA62A8">
            <w:pPr>
              <w:rPr>
                <w:rFonts w:ascii="Tahoma" w:hAnsi="Tahoma"/>
                <w:sz w:val="16"/>
                <w:szCs w:val="16"/>
              </w:rPr>
            </w:pPr>
            <w:r w:rsidRPr="00A50C89">
              <w:rPr>
                <w:rFonts w:ascii="Tahoma" w:hAnsi="Tahoma"/>
                <w:sz w:val="16"/>
                <w:szCs w:val="16"/>
              </w:rPr>
              <w:t>Spare  bedrooms in social housing not subjected to a penalty</w:t>
            </w:r>
          </w:p>
        </w:tc>
        <w:tc>
          <w:tcPr>
            <w:tcW w:w="1417" w:type="dxa"/>
          </w:tcPr>
          <w:p w:rsidR="00A50C89" w:rsidRPr="00A50C89" w:rsidRDefault="00A50C89" w:rsidP="00DA62A8">
            <w:pPr>
              <w:rPr>
                <w:rFonts w:ascii="Tahoma" w:hAnsi="Tahoma"/>
                <w:sz w:val="16"/>
                <w:szCs w:val="16"/>
              </w:rPr>
            </w:pPr>
            <w:r w:rsidRPr="00A50C89">
              <w:rPr>
                <w:rFonts w:ascii="Tahoma" w:hAnsi="Tahoma"/>
                <w:sz w:val="16"/>
                <w:szCs w:val="16"/>
              </w:rPr>
              <w:t>Legal</w:t>
            </w:r>
          </w:p>
          <w:p w:rsidR="00A50C89" w:rsidRPr="00A50C89" w:rsidRDefault="00A50C89" w:rsidP="00DA62A8">
            <w:pPr>
              <w:rPr>
                <w:rFonts w:ascii="Tahoma" w:hAnsi="Tahoma"/>
                <w:sz w:val="16"/>
                <w:szCs w:val="16"/>
              </w:rPr>
            </w:pPr>
            <w:r w:rsidRPr="00A50C89">
              <w:rPr>
                <w:rFonts w:ascii="Tahoma" w:hAnsi="Tahoma"/>
                <w:sz w:val="16"/>
                <w:szCs w:val="16"/>
              </w:rPr>
              <w:t>Welfare Reform Ac t (2012)</w:t>
            </w:r>
          </w:p>
        </w:tc>
        <w:tc>
          <w:tcPr>
            <w:tcW w:w="2268" w:type="dxa"/>
          </w:tcPr>
          <w:p w:rsidR="00A50C89" w:rsidRPr="00A50C89" w:rsidRDefault="00A50C89" w:rsidP="00DA62A8">
            <w:pPr>
              <w:rPr>
                <w:rFonts w:ascii="Tahoma" w:hAnsi="Tahoma"/>
                <w:sz w:val="16"/>
                <w:szCs w:val="16"/>
              </w:rPr>
            </w:pPr>
            <w:r w:rsidRPr="00A50C89">
              <w:rPr>
                <w:rFonts w:ascii="Tahoma" w:hAnsi="Tahoma"/>
                <w:sz w:val="16"/>
                <w:szCs w:val="16"/>
              </w:rPr>
              <w:t>Removal of spare room subsidy (Bedroom tax)</w:t>
            </w:r>
            <w:r w:rsidR="001817A2">
              <w:rPr>
                <w:rFonts w:ascii="Tahoma" w:hAnsi="Tahoma"/>
                <w:sz w:val="16"/>
                <w:szCs w:val="16"/>
              </w:rPr>
              <w:t>. Effective from April 2013.</w:t>
            </w:r>
          </w:p>
        </w:tc>
        <w:tc>
          <w:tcPr>
            <w:tcW w:w="2217" w:type="dxa"/>
          </w:tcPr>
          <w:p w:rsidR="00A50C89" w:rsidRPr="00A50C89" w:rsidRDefault="00A50C89" w:rsidP="00DA62A8">
            <w:pPr>
              <w:rPr>
                <w:rFonts w:ascii="Tahoma" w:hAnsi="Tahoma"/>
                <w:sz w:val="16"/>
                <w:szCs w:val="16"/>
              </w:rPr>
            </w:pPr>
            <w:r w:rsidRPr="00A50C89">
              <w:rPr>
                <w:rFonts w:ascii="Tahoma" w:hAnsi="Tahoma"/>
                <w:sz w:val="16"/>
                <w:szCs w:val="16"/>
              </w:rPr>
              <w:t>Benefit penalty to tenants with spare bedrooms</w:t>
            </w:r>
          </w:p>
        </w:tc>
      </w:tr>
      <w:tr w:rsidR="00A50C89" w:rsidTr="00631757">
        <w:tc>
          <w:tcPr>
            <w:tcW w:w="1275" w:type="dxa"/>
          </w:tcPr>
          <w:p w:rsidR="00A50C89" w:rsidRPr="00A50C89" w:rsidRDefault="00A50C89" w:rsidP="00DA62A8">
            <w:pPr>
              <w:rPr>
                <w:rFonts w:ascii="Tahoma" w:hAnsi="Tahoma"/>
                <w:sz w:val="16"/>
                <w:szCs w:val="16"/>
              </w:rPr>
            </w:pPr>
            <w:r w:rsidRPr="00A50C89">
              <w:rPr>
                <w:rFonts w:ascii="Tahoma" w:hAnsi="Tahoma"/>
                <w:sz w:val="16"/>
                <w:szCs w:val="16"/>
              </w:rPr>
              <w:t>Benefit Reform</w:t>
            </w:r>
          </w:p>
        </w:tc>
        <w:tc>
          <w:tcPr>
            <w:tcW w:w="1839" w:type="dxa"/>
          </w:tcPr>
          <w:p w:rsidR="00A50C89" w:rsidRPr="00A50C89" w:rsidRDefault="00A50C89" w:rsidP="00DA62A8">
            <w:pPr>
              <w:rPr>
                <w:rFonts w:ascii="Tahoma" w:hAnsi="Tahoma"/>
                <w:sz w:val="16"/>
                <w:szCs w:val="16"/>
              </w:rPr>
            </w:pPr>
            <w:r w:rsidRPr="00A50C89">
              <w:rPr>
                <w:rFonts w:ascii="Tahoma" w:hAnsi="Tahoma"/>
                <w:sz w:val="16"/>
                <w:szCs w:val="16"/>
              </w:rPr>
              <w:t>Separate Benefits for claimants</w:t>
            </w:r>
          </w:p>
        </w:tc>
        <w:tc>
          <w:tcPr>
            <w:tcW w:w="1417" w:type="dxa"/>
          </w:tcPr>
          <w:p w:rsidR="00A50C89" w:rsidRPr="00A50C89" w:rsidRDefault="00A50C89" w:rsidP="00DA62A8">
            <w:pPr>
              <w:rPr>
                <w:rFonts w:ascii="Tahoma" w:hAnsi="Tahoma"/>
                <w:sz w:val="16"/>
                <w:szCs w:val="16"/>
              </w:rPr>
            </w:pPr>
            <w:r w:rsidRPr="00A50C89">
              <w:rPr>
                <w:rFonts w:ascii="Tahoma" w:hAnsi="Tahoma"/>
                <w:sz w:val="16"/>
                <w:szCs w:val="16"/>
              </w:rPr>
              <w:t>Law</w:t>
            </w:r>
          </w:p>
          <w:p w:rsidR="00A50C89" w:rsidRPr="00A50C89" w:rsidRDefault="00A50C89" w:rsidP="00DA62A8">
            <w:pPr>
              <w:rPr>
                <w:rFonts w:ascii="Tahoma" w:hAnsi="Tahoma"/>
                <w:sz w:val="16"/>
                <w:szCs w:val="16"/>
              </w:rPr>
            </w:pPr>
            <w:r w:rsidRPr="00A50C89">
              <w:rPr>
                <w:rFonts w:ascii="Tahoma" w:hAnsi="Tahoma"/>
                <w:sz w:val="16"/>
                <w:szCs w:val="16"/>
              </w:rPr>
              <w:t>Welfare Reform Act (2012)</w:t>
            </w:r>
          </w:p>
        </w:tc>
        <w:tc>
          <w:tcPr>
            <w:tcW w:w="2268" w:type="dxa"/>
          </w:tcPr>
          <w:p w:rsidR="00A50C89" w:rsidRPr="00A50C89" w:rsidRDefault="00A50C89" w:rsidP="00DA62A8">
            <w:pPr>
              <w:rPr>
                <w:rFonts w:ascii="Tahoma" w:hAnsi="Tahoma"/>
                <w:sz w:val="16"/>
                <w:szCs w:val="16"/>
              </w:rPr>
            </w:pPr>
            <w:r w:rsidRPr="00A50C89">
              <w:rPr>
                <w:rFonts w:ascii="Tahoma" w:hAnsi="Tahoma"/>
                <w:sz w:val="16"/>
                <w:szCs w:val="16"/>
              </w:rPr>
              <w:t>Universal Credit with a £25K ceiling for claimants</w:t>
            </w:r>
          </w:p>
        </w:tc>
        <w:tc>
          <w:tcPr>
            <w:tcW w:w="2217" w:type="dxa"/>
          </w:tcPr>
          <w:p w:rsidR="00A50C89" w:rsidRPr="00A50C89" w:rsidRDefault="00A50C89" w:rsidP="00DA62A8">
            <w:pPr>
              <w:rPr>
                <w:rFonts w:ascii="Tahoma" w:hAnsi="Tahoma"/>
                <w:sz w:val="16"/>
                <w:szCs w:val="16"/>
              </w:rPr>
            </w:pPr>
            <w:r w:rsidRPr="00A50C89">
              <w:rPr>
                <w:rFonts w:ascii="Tahoma" w:hAnsi="Tahoma"/>
                <w:sz w:val="16"/>
                <w:szCs w:val="16"/>
              </w:rPr>
              <w:t>Social Exclusion in arrears of high rent such as London.</w:t>
            </w:r>
          </w:p>
        </w:tc>
      </w:tr>
      <w:tr w:rsidR="00A50C89" w:rsidTr="00631757">
        <w:tc>
          <w:tcPr>
            <w:tcW w:w="1275" w:type="dxa"/>
          </w:tcPr>
          <w:p w:rsidR="00A50C89" w:rsidRPr="00A50C89" w:rsidRDefault="00A50C89" w:rsidP="00DA62A8">
            <w:pPr>
              <w:rPr>
                <w:rFonts w:ascii="Tahoma" w:hAnsi="Tahoma"/>
                <w:sz w:val="16"/>
                <w:szCs w:val="16"/>
              </w:rPr>
            </w:pPr>
            <w:r w:rsidRPr="00A50C89">
              <w:rPr>
                <w:rFonts w:ascii="Tahoma" w:hAnsi="Tahoma"/>
                <w:sz w:val="16"/>
                <w:szCs w:val="16"/>
              </w:rPr>
              <w:t>Long Term  Fixed Interest Financing</w:t>
            </w:r>
          </w:p>
        </w:tc>
        <w:tc>
          <w:tcPr>
            <w:tcW w:w="1839" w:type="dxa"/>
          </w:tcPr>
          <w:p w:rsidR="00A50C89" w:rsidRPr="00A50C89" w:rsidRDefault="00A50C89" w:rsidP="00DA62A8">
            <w:pPr>
              <w:rPr>
                <w:rFonts w:ascii="Tahoma" w:hAnsi="Tahoma"/>
                <w:sz w:val="16"/>
                <w:szCs w:val="16"/>
              </w:rPr>
            </w:pPr>
            <w:r w:rsidRPr="00A50C89">
              <w:rPr>
                <w:rFonts w:ascii="Tahoma" w:hAnsi="Tahoma"/>
                <w:sz w:val="16"/>
                <w:szCs w:val="16"/>
              </w:rPr>
              <w:t xml:space="preserve">Predominantly Bank loans with </w:t>
            </w:r>
            <w:r w:rsidR="00631757">
              <w:rPr>
                <w:rFonts w:ascii="Tahoma" w:hAnsi="Tahoma"/>
                <w:sz w:val="16"/>
                <w:szCs w:val="16"/>
              </w:rPr>
              <w:t>long term fixed interest</w:t>
            </w:r>
          </w:p>
        </w:tc>
        <w:tc>
          <w:tcPr>
            <w:tcW w:w="1417" w:type="dxa"/>
          </w:tcPr>
          <w:p w:rsidR="00A50C89" w:rsidRPr="00A50C89" w:rsidRDefault="00A50C89" w:rsidP="00DA62A8">
            <w:pPr>
              <w:rPr>
                <w:rFonts w:ascii="Tahoma" w:hAnsi="Tahoma"/>
                <w:sz w:val="16"/>
                <w:szCs w:val="16"/>
              </w:rPr>
            </w:pPr>
            <w:r w:rsidRPr="00A50C89">
              <w:rPr>
                <w:rFonts w:ascii="Tahoma" w:hAnsi="Tahoma"/>
                <w:sz w:val="16"/>
                <w:szCs w:val="16"/>
              </w:rPr>
              <w:t>Finance</w:t>
            </w:r>
          </w:p>
        </w:tc>
        <w:tc>
          <w:tcPr>
            <w:tcW w:w="2268" w:type="dxa"/>
          </w:tcPr>
          <w:p w:rsidR="00A50C89" w:rsidRPr="00A50C89" w:rsidRDefault="00A50C89" w:rsidP="008C15CB">
            <w:pPr>
              <w:rPr>
                <w:rFonts w:ascii="Tahoma" w:hAnsi="Tahoma"/>
                <w:sz w:val="16"/>
                <w:szCs w:val="16"/>
              </w:rPr>
            </w:pPr>
            <w:r w:rsidRPr="00A50C89">
              <w:rPr>
                <w:rFonts w:ascii="Tahoma" w:hAnsi="Tahoma"/>
                <w:sz w:val="16"/>
                <w:szCs w:val="16"/>
              </w:rPr>
              <w:t>Bank finance carrying a higher interest charge and the emergence of bond markets</w:t>
            </w:r>
            <w:r w:rsidR="00F837F1">
              <w:rPr>
                <w:rFonts w:ascii="Tahoma" w:hAnsi="Tahoma"/>
                <w:sz w:val="16"/>
                <w:szCs w:val="16"/>
              </w:rPr>
              <w:t xml:space="preserve"> (Manville and Broad, </w:t>
            </w:r>
            <w:r w:rsidR="008C15CB">
              <w:rPr>
                <w:rFonts w:ascii="Tahoma" w:hAnsi="Tahoma"/>
                <w:sz w:val="16"/>
                <w:szCs w:val="16"/>
              </w:rPr>
              <w:t>2013</w:t>
            </w:r>
            <w:r w:rsidR="00F837F1">
              <w:rPr>
                <w:rFonts w:ascii="Tahoma" w:hAnsi="Tahoma"/>
                <w:sz w:val="16"/>
                <w:szCs w:val="16"/>
              </w:rPr>
              <w:t>; Wainwright and Manville, 2014)</w:t>
            </w:r>
          </w:p>
        </w:tc>
        <w:tc>
          <w:tcPr>
            <w:tcW w:w="2217" w:type="dxa"/>
          </w:tcPr>
          <w:p w:rsidR="00A50C89" w:rsidRPr="00A50C89" w:rsidRDefault="00A50C89" w:rsidP="00DA62A8">
            <w:pPr>
              <w:rPr>
                <w:rFonts w:ascii="Tahoma" w:hAnsi="Tahoma"/>
                <w:sz w:val="16"/>
                <w:szCs w:val="16"/>
              </w:rPr>
            </w:pPr>
            <w:r w:rsidRPr="00A50C89">
              <w:rPr>
                <w:rFonts w:ascii="Tahoma" w:hAnsi="Tahoma"/>
                <w:sz w:val="16"/>
                <w:szCs w:val="16"/>
              </w:rPr>
              <w:t>Greater commercialisation of financing with credit rating scrutiny for bond issuance.</w:t>
            </w:r>
          </w:p>
        </w:tc>
      </w:tr>
      <w:tr w:rsidR="00A50C89" w:rsidTr="00631757">
        <w:trPr>
          <w:trHeight w:val="1628"/>
        </w:trPr>
        <w:tc>
          <w:tcPr>
            <w:tcW w:w="1275" w:type="dxa"/>
          </w:tcPr>
          <w:p w:rsidR="00A50C89" w:rsidRPr="00A50C89" w:rsidRDefault="00A50C89" w:rsidP="00DA62A8">
            <w:pPr>
              <w:rPr>
                <w:rFonts w:ascii="Tahoma" w:hAnsi="Tahoma"/>
                <w:sz w:val="16"/>
                <w:szCs w:val="16"/>
              </w:rPr>
            </w:pPr>
            <w:r w:rsidRPr="00A50C89">
              <w:rPr>
                <w:rFonts w:ascii="Tahoma" w:hAnsi="Tahoma"/>
                <w:sz w:val="16"/>
                <w:szCs w:val="16"/>
              </w:rPr>
              <w:t>Performance Measurement Rationale</w:t>
            </w:r>
          </w:p>
        </w:tc>
        <w:tc>
          <w:tcPr>
            <w:tcW w:w="1839" w:type="dxa"/>
          </w:tcPr>
          <w:p w:rsidR="00A50C89" w:rsidRPr="00A50C89" w:rsidRDefault="00A50C89" w:rsidP="00DA62A8">
            <w:pPr>
              <w:rPr>
                <w:rFonts w:ascii="Tahoma" w:hAnsi="Tahoma"/>
                <w:sz w:val="16"/>
                <w:szCs w:val="16"/>
              </w:rPr>
            </w:pPr>
            <w:r w:rsidRPr="00A50C89">
              <w:rPr>
                <w:rFonts w:ascii="Tahoma" w:hAnsi="Tahoma"/>
                <w:sz w:val="16"/>
                <w:szCs w:val="16"/>
              </w:rPr>
              <w:t>Performance Dashboards for Compliance to demonstrate good governance and continuous improvement</w:t>
            </w:r>
          </w:p>
        </w:tc>
        <w:tc>
          <w:tcPr>
            <w:tcW w:w="1417" w:type="dxa"/>
          </w:tcPr>
          <w:p w:rsidR="00A50C89" w:rsidRPr="00A50C89" w:rsidRDefault="00A50C89" w:rsidP="00DA62A8">
            <w:pPr>
              <w:rPr>
                <w:rFonts w:ascii="Tahoma" w:hAnsi="Tahoma"/>
                <w:sz w:val="16"/>
                <w:szCs w:val="16"/>
              </w:rPr>
            </w:pPr>
            <w:r w:rsidRPr="00A50C89">
              <w:rPr>
                <w:rFonts w:ascii="Tahoma" w:hAnsi="Tahoma"/>
                <w:sz w:val="16"/>
                <w:szCs w:val="16"/>
              </w:rPr>
              <w:t>Power</w:t>
            </w:r>
          </w:p>
        </w:tc>
        <w:tc>
          <w:tcPr>
            <w:tcW w:w="2268" w:type="dxa"/>
          </w:tcPr>
          <w:p w:rsidR="00A50C89" w:rsidRPr="00A50C89" w:rsidRDefault="00A50C89" w:rsidP="00DA62A8">
            <w:pPr>
              <w:rPr>
                <w:rFonts w:ascii="Tahoma" w:hAnsi="Tahoma"/>
                <w:sz w:val="16"/>
                <w:szCs w:val="16"/>
              </w:rPr>
            </w:pPr>
            <w:r w:rsidRPr="00A50C89">
              <w:rPr>
                <w:rFonts w:ascii="Tahoma" w:hAnsi="Tahoma"/>
                <w:sz w:val="16"/>
                <w:szCs w:val="16"/>
              </w:rPr>
              <w:t xml:space="preserve">Lighter touch regulation and the emergence of holistic performance measurement frameworks such as the Balanced Scorecard </w:t>
            </w:r>
            <w:r w:rsidR="00F837F1">
              <w:rPr>
                <w:rFonts w:ascii="Tahoma" w:hAnsi="Tahoma"/>
                <w:sz w:val="16"/>
                <w:szCs w:val="16"/>
              </w:rPr>
              <w:t xml:space="preserve"> (Manville, 2007; </w:t>
            </w:r>
            <w:proofErr w:type="spellStart"/>
            <w:r w:rsidR="00F837F1">
              <w:rPr>
                <w:rFonts w:ascii="Tahoma" w:hAnsi="Tahoma"/>
                <w:sz w:val="16"/>
                <w:szCs w:val="16"/>
              </w:rPr>
              <w:t>Manochin</w:t>
            </w:r>
            <w:proofErr w:type="spellEnd"/>
            <w:r w:rsidR="00F837F1">
              <w:rPr>
                <w:rFonts w:ascii="Tahoma" w:hAnsi="Tahoma"/>
                <w:sz w:val="16"/>
                <w:szCs w:val="16"/>
              </w:rPr>
              <w:t xml:space="preserve"> et al., 2008)</w:t>
            </w:r>
          </w:p>
        </w:tc>
        <w:tc>
          <w:tcPr>
            <w:tcW w:w="2217" w:type="dxa"/>
          </w:tcPr>
          <w:p w:rsidR="00A50C89" w:rsidRPr="00A50C89" w:rsidRDefault="00A50C89" w:rsidP="00DA62A8">
            <w:pPr>
              <w:rPr>
                <w:rFonts w:ascii="Tahoma" w:hAnsi="Tahoma"/>
                <w:sz w:val="16"/>
                <w:szCs w:val="16"/>
              </w:rPr>
            </w:pPr>
            <w:r w:rsidRPr="00A50C89">
              <w:rPr>
                <w:rFonts w:ascii="Tahoma" w:hAnsi="Tahoma"/>
                <w:sz w:val="16"/>
                <w:szCs w:val="16"/>
              </w:rPr>
              <w:t>Coercive isomorphism</w:t>
            </w:r>
            <w:r w:rsidR="008871B7">
              <w:rPr>
                <w:rFonts w:ascii="Tahoma" w:hAnsi="Tahoma"/>
                <w:sz w:val="16"/>
                <w:szCs w:val="16"/>
              </w:rPr>
              <w:t xml:space="preserve"> giving way to competitive isomorphism (Di Maggio and Powell, 1983)</w:t>
            </w:r>
            <w:r w:rsidRPr="00A50C89">
              <w:rPr>
                <w:rFonts w:ascii="Tahoma" w:hAnsi="Tahoma"/>
                <w:sz w:val="16"/>
                <w:szCs w:val="16"/>
              </w:rPr>
              <w:t xml:space="preserve"> </w:t>
            </w:r>
          </w:p>
        </w:tc>
      </w:tr>
      <w:tr w:rsidR="00A50C89" w:rsidTr="00631757">
        <w:tc>
          <w:tcPr>
            <w:tcW w:w="1275" w:type="dxa"/>
          </w:tcPr>
          <w:p w:rsidR="00A50C89" w:rsidRPr="00A50C89" w:rsidRDefault="00A50C89" w:rsidP="00DA62A8">
            <w:pPr>
              <w:rPr>
                <w:rFonts w:ascii="Tahoma" w:hAnsi="Tahoma"/>
                <w:sz w:val="16"/>
                <w:szCs w:val="16"/>
              </w:rPr>
            </w:pPr>
            <w:r w:rsidRPr="00A50C89">
              <w:rPr>
                <w:rFonts w:ascii="Tahoma" w:hAnsi="Tahoma"/>
                <w:sz w:val="16"/>
                <w:szCs w:val="16"/>
              </w:rPr>
              <w:t>Regulatory Control</w:t>
            </w:r>
          </w:p>
        </w:tc>
        <w:tc>
          <w:tcPr>
            <w:tcW w:w="1839" w:type="dxa"/>
          </w:tcPr>
          <w:p w:rsidR="00A50C89" w:rsidRPr="00A50C89" w:rsidRDefault="00A50C89" w:rsidP="00DA62A8">
            <w:pPr>
              <w:rPr>
                <w:rFonts w:ascii="Tahoma" w:hAnsi="Tahoma"/>
                <w:sz w:val="16"/>
                <w:szCs w:val="16"/>
              </w:rPr>
            </w:pPr>
            <w:r w:rsidRPr="00A50C89">
              <w:rPr>
                <w:rFonts w:ascii="Tahoma" w:hAnsi="Tahoma"/>
                <w:sz w:val="16"/>
                <w:szCs w:val="16"/>
              </w:rPr>
              <w:t>Stability of Housing Corporation for four decades</w:t>
            </w:r>
          </w:p>
        </w:tc>
        <w:tc>
          <w:tcPr>
            <w:tcW w:w="1417" w:type="dxa"/>
          </w:tcPr>
          <w:p w:rsidR="00A50C89" w:rsidRPr="00A50C89" w:rsidRDefault="00A50C89" w:rsidP="00DA62A8">
            <w:pPr>
              <w:rPr>
                <w:rFonts w:ascii="Tahoma" w:hAnsi="Tahoma"/>
                <w:sz w:val="16"/>
                <w:szCs w:val="16"/>
              </w:rPr>
            </w:pPr>
            <w:r w:rsidRPr="00A50C89">
              <w:rPr>
                <w:rFonts w:ascii="Tahoma" w:hAnsi="Tahoma"/>
                <w:sz w:val="16"/>
                <w:szCs w:val="16"/>
              </w:rPr>
              <w:t>Power</w:t>
            </w:r>
          </w:p>
        </w:tc>
        <w:tc>
          <w:tcPr>
            <w:tcW w:w="2268" w:type="dxa"/>
          </w:tcPr>
          <w:p w:rsidR="00A50C89" w:rsidRPr="00A50C89" w:rsidRDefault="00A50C89" w:rsidP="00DA62A8">
            <w:pPr>
              <w:rPr>
                <w:rFonts w:ascii="Tahoma" w:hAnsi="Tahoma"/>
                <w:sz w:val="16"/>
                <w:szCs w:val="16"/>
              </w:rPr>
            </w:pPr>
            <w:r w:rsidRPr="00A50C89">
              <w:rPr>
                <w:rFonts w:ascii="Tahoma" w:hAnsi="Tahoma"/>
                <w:sz w:val="16"/>
                <w:szCs w:val="16"/>
              </w:rPr>
              <w:t xml:space="preserve">“Bonfire of the Regulators” (Mullins, 2010). Three changes in regulatory bodies in five years </w:t>
            </w:r>
          </w:p>
        </w:tc>
        <w:tc>
          <w:tcPr>
            <w:tcW w:w="2217" w:type="dxa"/>
          </w:tcPr>
          <w:p w:rsidR="00A50C89" w:rsidRPr="00A50C89" w:rsidRDefault="00A50C89" w:rsidP="00DA62A8">
            <w:pPr>
              <w:rPr>
                <w:rFonts w:ascii="Tahoma" w:hAnsi="Tahoma"/>
                <w:sz w:val="16"/>
                <w:szCs w:val="16"/>
              </w:rPr>
            </w:pPr>
            <w:r w:rsidRPr="00A50C89">
              <w:rPr>
                <w:rFonts w:ascii="Tahoma" w:hAnsi="Tahoma"/>
                <w:sz w:val="16"/>
                <w:szCs w:val="16"/>
              </w:rPr>
              <w:t>Less prescriptive with a lighter touch.</w:t>
            </w:r>
          </w:p>
        </w:tc>
      </w:tr>
      <w:tr w:rsidR="00A50C89" w:rsidTr="00631757">
        <w:trPr>
          <w:trHeight w:val="1457"/>
        </w:trPr>
        <w:tc>
          <w:tcPr>
            <w:tcW w:w="1275" w:type="dxa"/>
          </w:tcPr>
          <w:p w:rsidR="00A50C89" w:rsidRPr="00A50C89" w:rsidRDefault="00A50C89" w:rsidP="00DA62A8">
            <w:pPr>
              <w:rPr>
                <w:rFonts w:ascii="Tahoma" w:hAnsi="Tahoma"/>
                <w:sz w:val="16"/>
                <w:szCs w:val="16"/>
              </w:rPr>
            </w:pPr>
            <w:r w:rsidRPr="00A50C89">
              <w:rPr>
                <w:rFonts w:ascii="Tahoma" w:hAnsi="Tahoma"/>
                <w:sz w:val="16"/>
                <w:szCs w:val="16"/>
              </w:rPr>
              <w:t>Benchmarking</w:t>
            </w:r>
          </w:p>
        </w:tc>
        <w:tc>
          <w:tcPr>
            <w:tcW w:w="1839" w:type="dxa"/>
          </w:tcPr>
          <w:p w:rsidR="00A50C89" w:rsidRPr="00A50C89" w:rsidRDefault="00BA7E62" w:rsidP="00BA7E62">
            <w:pPr>
              <w:rPr>
                <w:rFonts w:ascii="Tahoma" w:hAnsi="Tahoma"/>
                <w:sz w:val="16"/>
                <w:szCs w:val="16"/>
              </w:rPr>
            </w:pPr>
            <w:r>
              <w:rPr>
                <w:rFonts w:ascii="Tahoma" w:hAnsi="Tahoma"/>
                <w:sz w:val="16"/>
                <w:szCs w:val="16"/>
              </w:rPr>
              <w:t>The role</w:t>
            </w:r>
            <w:r w:rsidR="00A50C89" w:rsidRPr="00A50C89">
              <w:rPr>
                <w:rFonts w:ascii="Tahoma" w:hAnsi="Tahoma"/>
                <w:sz w:val="16"/>
                <w:szCs w:val="16"/>
              </w:rPr>
              <w:t xml:space="preserve"> of</w:t>
            </w:r>
            <w:r>
              <w:rPr>
                <w:rFonts w:ascii="Tahoma" w:hAnsi="Tahoma"/>
                <w:sz w:val="16"/>
                <w:szCs w:val="16"/>
              </w:rPr>
              <w:t xml:space="preserve"> the housing</w:t>
            </w:r>
            <w:r w:rsidR="00A50C89" w:rsidRPr="00A50C89">
              <w:rPr>
                <w:rFonts w:ascii="Tahoma" w:hAnsi="Tahoma"/>
                <w:sz w:val="16"/>
                <w:szCs w:val="16"/>
              </w:rPr>
              <w:t xml:space="preserve"> regulator </w:t>
            </w:r>
            <w:r>
              <w:rPr>
                <w:rFonts w:ascii="Tahoma" w:hAnsi="Tahoma"/>
                <w:sz w:val="16"/>
                <w:szCs w:val="16"/>
              </w:rPr>
              <w:t>to provide comparative data across set KPIs</w:t>
            </w:r>
            <w:r w:rsidR="00A50C89" w:rsidRPr="00A50C89">
              <w:rPr>
                <w:rFonts w:ascii="Tahoma" w:hAnsi="Tahoma"/>
                <w:sz w:val="16"/>
                <w:szCs w:val="16"/>
              </w:rPr>
              <w:t xml:space="preserve"> </w:t>
            </w:r>
          </w:p>
        </w:tc>
        <w:tc>
          <w:tcPr>
            <w:tcW w:w="1417" w:type="dxa"/>
          </w:tcPr>
          <w:p w:rsidR="00A50C89" w:rsidRPr="00A50C89" w:rsidRDefault="00A50C89" w:rsidP="00DA62A8">
            <w:pPr>
              <w:rPr>
                <w:rFonts w:ascii="Tahoma" w:hAnsi="Tahoma"/>
                <w:sz w:val="16"/>
                <w:szCs w:val="16"/>
              </w:rPr>
            </w:pPr>
            <w:r w:rsidRPr="00A50C89">
              <w:rPr>
                <w:rFonts w:ascii="Tahoma" w:hAnsi="Tahoma"/>
                <w:sz w:val="16"/>
                <w:szCs w:val="16"/>
              </w:rPr>
              <w:t>Power</w:t>
            </w:r>
          </w:p>
        </w:tc>
        <w:tc>
          <w:tcPr>
            <w:tcW w:w="2268" w:type="dxa"/>
          </w:tcPr>
          <w:p w:rsidR="00F837F1" w:rsidRPr="00A50C89" w:rsidRDefault="00E71CE0" w:rsidP="000F3022">
            <w:pPr>
              <w:rPr>
                <w:rFonts w:ascii="Tahoma" w:hAnsi="Tahoma"/>
                <w:sz w:val="16"/>
                <w:szCs w:val="16"/>
              </w:rPr>
            </w:pPr>
            <w:r>
              <w:rPr>
                <w:rFonts w:ascii="Tahoma" w:hAnsi="Tahoma"/>
                <w:sz w:val="16"/>
                <w:szCs w:val="16"/>
              </w:rPr>
              <w:t xml:space="preserve">Benchmarking conducted by other agencies. Need to use benchmarking as a means of learning rather than simply measuring </w:t>
            </w:r>
            <w:r w:rsidR="000F3022">
              <w:rPr>
                <w:rFonts w:ascii="Tahoma" w:hAnsi="Tahoma"/>
                <w:sz w:val="16"/>
                <w:szCs w:val="16"/>
              </w:rPr>
              <w:t>(</w:t>
            </w:r>
            <w:proofErr w:type="spellStart"/>
            <w:r w:rsidR="00F837F1">
              <w:rPr>
                <w:rFonts w:ascii="Tahoma" w:hAnsi="Tahoma"/>
                <w:sz w:val="16"/>
                <w:szCs w:val="16"/>
              </w:rPr>
              <w:t>Tillema</w:t>
            </w:r>
            <w:proofErr w:type="spellEnd"/>
            <w:r w:rsidR="000F3022">
              <w:rPr>
                <w:rFonts w:ascii="Tahoma" w:hAnsi="Tahoma"/>
                <w:sz w:val="16"/>
                <w:szCs w:val="16"/>
              </w:rPr>
              <w:t>,</w:t>
            </w:r>
            <w:r w:rsidR="00F837F1">
              <w:rPr>
                <w:rFonts w:ascii="Tahoma" w:hAnsi="Tahoma"/>
                <w:sz w:val="16"/>
                <w:szCs w:val="16"/>
              </w:rPr>
              <w:t xml:space="preserve"> 2010)</w:t>
            </w:r>
          </w:p>
        </w:tc>
        <w:tc>
          <w:tcPr>
            <w:tcW w:w="2217" w:type="dxa"/>
          </w:tcPr>
          <w:p w:rsidR="00A50C89" w:rsidRPr="00A50C89" w:rsidRDefault="00A50C89" w:rsidP="00DA62A8">
            <w:pPr>
              <w:rPr>
                <w:rFonts w:ascii="Tahoma" w:hAnsi="Tahoma"/>
                <w:sz w:val="16"/>
                <w:szCs w:val="16"/>
              </w:rPr>
            </w:pPr>
            <w:r w:rsidRPr="00A50C89">
              <w:rPr>
                <w:rFonts w:ascii="Tahoma" w:hAnsi="Tahoma"/>
                <w:sz w:val="16"/>
                <w:szCs w:val="16"/>
              </w:rPr>
              <w:t xml:space="preserve">Housing Associations needing to be more self </w:t>
            </w:r>
            <w:r w:rsidR="008871B7">
              <w:rPr>
                <w:rFonts w:ascii="Tahoma" w:hAnsi="Tahoma"/>
                <w:sz w:val="16"/>
                <w:szCs w:val="16"/>
              </w:rPr>
              <w:t>–</w:t>
            </w:r>
            <w:r w:rsidRPr="00A50C89">
              <w:rPr>
                <w:rFonts w:ascii="Tahoma" w:hAnsi="Tahoma"/>
                <w:sz w:val="16"/>
                <w:szCs w:val="16"/>
              </w:rPr>
              <w:t>directed</w:t>
            </w:r>
            <w:r w:rsidR="008871B7">
              <w:rPr>
                <w:rFonts w:ascii="Tahoma" w:hAnsi="Tahoma"/>
                <w:sz w:val="16"/>
                <w:szCs w:val="16"/>
              </w:rPr>
              <w:t xml:space="preserve"> and use benchmarking for their own strategic planning in order to remain sustainable.</w:t>
            </w:r>
          </w:p>
        </w:tc>
      </w:tr>
      <w:tr w:rsidR="00A50C89" w:rsidTr="00631757">
        <w:tc>
          <w:tcPr>
            <w:tcW w:w="1275" w:type="dxa"/>
          </w:tcPr>
          <w:p w:rsidR="00A50C89" w:rsidRPr="00A50C89" w:rsidRDefault="00A50C89" w:rsidP="00DA62A8">
            <w:pPr>
              <w:rPr>
                <w:rFonts w:ascii="Tahoma" w:hAnsi="Tahoma"/>
                <w:sz w:val="16"/>
                <w:szCs w:val="16"/>
              </w:rPr>
            </w:pPr>
            <w:r w:rsidRPr="00A50C89">
              <w:rPr>
                <w:rFonts w:ascii="Tahoma" w:hAnsi="Tahoma"/>
                <w:sz w:val="16"/>
                <w:szCs w:val="16"/>
              </w:rPr>
              <w:t>Supplementary Services for Housing</w:t>
            </w:r>
          </w:p>
        </w:tc>
        <w:tc>
          <w:tcPr>
            <w:tcW w:w="1839" w:type="dxa"/>
          </w:tcPr>
          <w:p w:rsidR="00A50C89" w:rsidRPr="00A50C89" w:rsidRDefault="00A50C89" w:rsidP="00DA62A8">
            <w:pPr>
              <w:rPr>
                <w:rFonts w:ascii="Tahoma" w:hAnsi="Tahoma"/>
                <w:sz w:val="16"/>
                <w:szCs w:val="16"/>
              </w:rPr>
            </w:pPr>
            <w:r w:rsidRPr="00A50C89">
              <w:rPr>
                <w:rFonts w:ascii="Tahoma" w:hAnsi="Tahoma"/>
                <w:sz w:val="16"/>
                <w:szCs w:val="16"/>
              </w:rPr>
              <w:t>Central Government Supporting People Initiative Contracting to local government underpinned with regulatory compliance</w:t>
            </w:r>
          </w:p>
        </w:tc>
        <w:tc>
          <w:tcPr>
            <w:tcW w:w="1417" w:type="dxa"/>
          </w:tcPr>
          <w:p w:rsidR="00A50C89" w:rsidRPr="00A50C89" w:rsidRDefault="00A50C89" w:rsidP="00DA62A8">
            <w:pPr>
              <w:rPr>
                <w:rFonts w:ascii="Tahoma" w:hAnsi="Tahoma"/>
                <w:sz w:val="16"/>
                <w:szCs w:val="16"/>
              </w:rPr>
            </w:pPr>
            <w:r w:rsidRPr="00A50C89">
              <w:rPr>
                <w:rFonts w:ascii="Tahoma" w:hAnsi="Tahoma"/>
                <w:sz w:val="16"/>
                <w:szCs w:val="16"/>
              </w:rPr>
              <w:t>Legal Power</w:t>
            </w:r>
          </w:p>
          <w:p w:rsidR="00A50C89" w:rsidRPr="00A50C89" w:rsidRDefault="00A50C89" w:rsidP="00DA62A8">
            <w:pPr>
              <w:rPr>
                <w:rFonts w:ascii="Tahoma" w:hAnsi="Tahoma"/>
                <w:sz w:val="16"/>
                <w:szCs w:val="16"/>
              </w:rPr>
            </w:pPr>
            <w:r w:rsidRPr="00A50C89">
              <w:rPr>
                <w:rFonts w:ascii="Tahoma" w:hAnsi="Tahoma"/>
                <w:sz w:val="16"/>
                <w:szCs w:val="16"/>
              </w:rPr>
              <w:t>Localism Act (2011)</w:t>
            </w:r>
          </w:p>
        </w:tc>
        <w:tc>
          <w:tcPr>
            <w:tcW w:w="2268" w:type="dxa"/>
          </w:tcPr>
          <w:p w:rsidR="00A50C89" w:rsidRPr="00A50C89" w:rsidRDefault="00A50C89" w:rsidP="00DA62A8">
            <w:pPr>
              <w:rPr>
                <w:rFonts w:ascii="Tahoma" w:hAnsi="Tahoma"/>
                <w:sz w:val="16"/>
                <w:szCs w:val="16"/>
              </w:rPr>
            </w:pPr>
            <w:r w:rsidRPr="00A50C89">
              <w:rPr>
                <w:rFonts w:ascii="Tahoma" w:hAnsi="Tahoma"/>
                <w:sz w:val="16"/>
                <w:szCs w:val="16"/>
              </w:rPr>
              <w:t>Abolition of Supporting People Initiative and devolution of contracts to local governments</w:t>
            </w:r>
          </w:p>
        </w:tc>
        <w:tc>
          <w:tcPr>
            <w:tcW w:w="2217" w:type="dxa"/>
          </w:tcPr>
          <w:p w:rsidR="00A50C89" w:rsidRPr="00A50C89" w:rsidRDefault="00A50C89" w:rsidP="00DA62A8">
            <w:pPr>
              <w:rPr>
                <w:rFonts w:ascii="Tahoma" w:hAnsi="Tahoma"/>
                <w:sz w:val="16"/>
                <w:szCs w:val="16"/>
              </w:rPr>
            </w:pPr>
            <w:r w:rsidRPr="00A50C89">
              <w:rPr>
                <w:rFonts w:ascii="Tahoma" w:hAnsi="Tahoma"/>
                <w:sz w:val="16"/>
                <w:szCs w:val="16"/>
              </w:rPr>
              <w:t>Removal of ring fenced supporting people funding and the emergence of a post code lottery of services</w:t>
            </w:r>
          </w:p>
        </w:tc>
      </w:tr>
    </w:tbl>
    <w:p w:rsidR="00A50C89" w:rsidRPr="00DE7DAA" w:rsidRDefault="0007506F" w:rsidP="000328E1">
      <w:pPr>
        <w:spacing w:after="0" w:line="240" w:lineRule="auto"/>
        <w:rPr>
          <w:b/>
        </w:rPr>
      </w:pPr>
      <w:r>
        <w:br w:type="page"/>
      </w:r>
      <w:r w:rsidR="00A50C89" w:rsidRPr="00DE7DAA">
        <w:rPr>
          <w:b/>
        </w:rPr>
        <w:t>A Crisis of Legitimation</w:t>
      </w:r>
    </w:p>
    <w:p w:rsidR="008F3FE2" w:rsidRDefault="00A50C89" w:rsidP="002C1743">
      <w:r>
        <w:t xml:space="preserve">The seismic changes taking place within </w:t>
      </w:r>
      <w:r w:rsidR="00EE76B9">
        <w:t>s</w:t>
      </w:r>
      <w:r>
        <w:t xml:space="preserve">ocial </w:t>
      </w:r>
      <w:r w:rsidR="00EE76B9">
        <w:t>h</w:t>
      </w:r>
      <w:r>
        <w:t>ousing could be argued to invoke a crisis of legitimation</w:t>
      </w:r>
      <w:r w:rsidR="006E3E41">
        <w:t xml:space="preserve"> (</w:t>
      </w:r>
      <w:proofErr w:type="spellStart"/>
      <w:r w:rsidR="006E3E41">
        <w:t>Habermas</w:t>
      </w:r>
      <w:proofErr w:type="spellEnd"/>
      <w:r w:rsidR="006E3E41">
        <w:t>, 1976)</w:t>
      </w:r>
      <w:r>
        <w:t xml:space="preserve"> </w:t>
      </w:r>
      <w:r w:rsidR="002C1743">
        <w:t>i</w:t>
      </w:r>
      <w:r>
        <w:t xml:space="preserve">n the sector. As </w:t>
      </w:r>
      <w:r w:rsidR="00EE76B9">
        <w:t>previously discussed</w:t>
      </w:r>
      <w:r>
        <w:t xml:space="preserve">, housing associations </w:t>
      </w:r>
      <w:r w:rsidR="00EE76B9">
        <w:t xml:space="preserve">traditionally </w:t>
      </w:r>
      <w:r>
        <w:t>differ from private sector organisations as</w:t>
      </w:r>
      <w:r w:rsidR="00EE76B9">
        <w:t>, unlike the private sector</w:t>
      </w:r>
      <w:r w:rsidR="00E87A58">
        <w:t>, they</w:t>
      </w:r>
      <w:r>
        <w:t xml:space="preserve"> </w:t>
      </w:r>
      <w:r w:rsidR="00EE76B9">
        <w:t xml:space="preserve">have </w:t>
      </w:r>
      <w:r>
        <w:t xml:space="preserve">historically </w:t>
      </w:r>
      <w:r w:rsidR="00EE76B9">
        <w:t xml:space="preserve">been </w:t>
      </w:r>
      <w:r>
        <w:t>subjected to heavy regulation</w:t>
      </w:r>
      <w:r w:rsidR="00EE76B9">
        <w:t>.</w:t>
      </w:r>
      <w:r>
        <w:t xml:space="preserve"> </w:t>
      </w:r>
      <w:r w:rsidR="00EE76B9">
        <w:t>A</w:t>
      </w:r>
      <w:r>
        <w:t>ddition</w:t>
      </w:r>
      <w:r w:rsidR="00EE76B9">
        <w:t>ally</w:t>
      </w:r>
      <w:r>
        <w:t xml:space="preserve"> they </w:t>
      </w:r>
      <w:r w:rsidR="00EE76B9">
        <w:t xml:space="preserve">have </w:t>
      </w:r>
      <w:r>
        <w:t xml:space="preserve">a complex governance structure which includes </w:t>
      </w:r>
      <w:r w:rsidR="00EE76B9">
        <w:t xml:space="preserve">multiple </w:t>
      </w:r>
      <w:r>
        <w:t>service users</w:t>
      </w:r>
      <w:r w:rsidR="00EE76B9">
        <w:t xml:space="preserve"> and</w:t>
      </w:r>
      <w:r>
        <w:t xml:space="preserve"> government </w:t>
      </w:r>
      <w:r w:rsidR="00EE76B9">
        <w:t xml:space="preserve">stakeholders. Finally, they are regarded as </w:t>
      </w:r>
      <w:r>
        <w:t xml:space="preserve">third sector </w:t>
      </w:r>
      <w:r w:rsidR="00EE76B9">
        <w:t>organisations</w:t>
      </w:r>
      <w:r w:rsidR="00FF43C3">
        <w:t xml:space="preserve"> </w:t>
      </w:r>
      <w:r w:rsidR="00E65DFE">
        <w:t>which</w:t>
      </w:r>
      <w:r w:rsidR="00283541">
        <w:t xml:space="preserve"> </w:t>
      </w:r>
      <w:r w:rsidR="00FF43C3">
        <w:t>fulfil a vital social role</w:t>
      </w:r>
      <w:r w:rsidR="00E65DFE">
        <w:t xml:space="preserve"> whilst remaining financially sustainable</w:t>
      </w:r>
      <w:r w:rsidR="00EE76B9">
        <w:t xml:space="preserve">. </w:t>
      </w:r>
      <w:r>
        <w:t xml:space="preserve">For many years there has been </w:t>
      </w:r>
      <w:r w:rsidR="00FF43C3">
        <w:t xml:space="preserve">mounting </w:t>
      </w:r>
      <w:r>
        <w:t>evidence of commercial disciplines</w:t>
      </w:r>
      <w:r w:rsidR="002C1743">
        <w:t xml:space="preserve"> and metrics</w:t>
      </w:r>
      <w:r>
        <w:t xml:space="preserve"> being adopted by housing associations </w:t>
      </w:r>
      <w:r w:rsidR="00FF43C3">
        <w:t xml:space="preserve">in an effort to </w:t>
      </w:r>
      <w:r>
        <w:t xml:space="preserve">optimise their organisational effectiveness (Manville 2007; </w:t>
      </w:r>
      <w:proofErr w:type="spellStart"/>
      <w:r>
        <w:t>Manochin</w:t>
      </w:r>
      <w:proofErr w:type="spellEnd"/>
      <w:r>
        <w:t xml:space="preserve"> et al, 2008, 2011)</w:t>
      </w:r>
      <w:r w:rsidR="00283541">
        <w:t>.</w:t>
      </w:r>
      <w:r w:rsidR="00FF43C3">
        <w:t xml:space="preserve"> </w:t>
      </w:r>
      <w:r w:rsidR="002C1743">
        <w:t>While the adoption of organisational effectiveness practices have slowly been adopted within social housing over the last 20 years, t</w:t>
      </w:r>
      <w:r w:rsidR="00283541">
        <w:t>he</w:t>
      </w:r>
      <w:r>
        <w:t xml:space="preserve"> GFC </w:t>
      </w:r>
      <w:r w:rsidR="008871B7">
        <w:t>provided a</w:t>
      </w:r>
      <w:r>
        <w:t xml:space="preserve"> convenient </w:t>
      </w:r>
      <w:r w:rsidR="008871B7">
        <w:t>narrative</w:t>
      </w:r>
      <w:r>
        <w:t xml:space="preserve"> to </w:t>
      </w:r>
      <w:r w:rsidR="002C1743">
        <w:t xml:space="preserve">accelerate a </w:t>
      </w:r>
      <w:r w:rsidR="00283541">
        <w:t xml:space="preserve">push </w:t>
      </w:r>
      <w:r>
        <w:t>t</w:t>
      </w:r>
      <w:r w:rsidR="002C1743">
        <w:t>owards achieving</w:t>
      </w:r>
      <w:r>
        <w:t xml:space="preserve"> a neo-liberal agenda of “Trojan horse” privatisation (</w:t>
      </w:r>
      <w:proofErr w:type="spellStart"/>
      <w:r>
        <w:t>Hodgkins</w:t>
      </w:r>
      <w:proofErr w:type="spellEnd"/>
      <w:r>
        <w:t xml:space="preserve"> and Robbins, 2013, p13). </w:t>
      </w:r>
    </w:p>
    <w:p w:rsidR="00A50C89" w:rsidRDefault="00EB7B3F" w:rsidP="00A50C89">
      <w:r>
        <w:t xml:space="preserve">The GFC </w:t>
      </w:r>
      <w:r w:rsidR="00E65DFE">
        <w:t xml:space="preserve">has required the current and the previous government to dramatically change their spending priorities, for example </w:t>
      </w:r>
      <w:r>
        <w:t xml:space="preserve">to prop-up the fragile banking and financial services sector, and ultimately the wider economy (Manville and </w:t>
      </w:r>
      <w:proofErr w:type="spellStart"/>
      <w:r>
        <w:t>Greatbanks</w:t>
      </w:r>
      <w:proofErr w:type="spellEnd"/>
      <w:r>
        <w:t>, 2013).</w:t>
      </w:r>
      <w:r w:rsidRPr="00EB7B3F">
        <w:t xml:space="preserve"> </w:t>
      </w:r>
      <w:r>
        <w:t xml:space="preserve">This has led to UK government debt as a percentage of GDP rising from </w:t>
      </w:r>
      <w:r w:rsidR="006E3E41">
        <w:t>approx.</w:t>
      </w:r>
      <w:r>
        <w:t xml:space="preserve"> 40% in 2007 to a projected 75% by 2015 (HM Treasury, 2011).</w:t>
      </w:r>
      <w:r w:rsidRPr="00EB7B3F">
        <w:t xml:space="preserve"> </w:t>
      </w:r>
      <w:r w:rsidRPr="004D3C9A">
        <w:t>The 2008 GFC</w:t>
      </w:r>
      <w:r>
        <w:t>,</w:t>
      </w:r>
      <w:r w:rsidRPr="004D3C9A">
        <w:t xml:space="preserve"> and the </w:t>
      </w:r>
      <w:r>
        <w:t xml:space="preserve">subsequent </w:t>
      </w:r>
      <w:r w:rsidRPr="004D3C9A">
        <w:t>2010 UK general election resulting in a coalition government</w:t>
      </w:r>
      <w:r>
        <w:t>,</w:t>
      </w:r>
      <w:r w:rsidRPr="004D3C9A">
        <w:t xml:space="preserve"> has led to a change of emphasis </w:t>
      </w:r>
      <w:r w:rsidR="00E65DFE">
        <w:t>of social housing</w:t>
      </w:r>
      <w:r w:rsidRPr="004D3C9A">
        <w:t xml:space="preserve"> colonisation by the public sector to a more competitive colonisation with private sector performance disciplines</w:t>
      </w:r>
      <w:r w:rsidR="008871B7">
        <w:t xml:space="preserve"> leading to more hybridisation within the this part of the third sector (Mullins et al., 2012)</w:t>
      </w:r>
      <w:r w:rsidRPr="004D3C9A">
        <w:t>.</w:t>
      </w:r>
      <w:r w:rsidR="00E65DFE">
        <w:t xml:space="preserve"> </w:t>
      </w:r>
      <w:r w:rsidR="00A50C89">
        <w:t xml:space="preserve">The changes to the </w:t>
      </w:r>
      <w:r w:rsidR="00E65DFE">
        <w:t>competitive environment of</w:t>
      </w:r>
      <w:r w:rsidR="00A50C89">
        <w:t xml:space="preserve"> social housing sector </w:t>
      </w:r>
      <w:r w:rsidR="008F3FE2">
        <w:t xml:space="preserve">is shifting to a </w:t>
      </w:r>
      <w:r w:rsidR="00A50C89">
        <w:t xml:space="preserve">normative </w:t>
      </w:r>
      <w:r w:rsidR="00FF43C3">
        <w:t>stance</w:t>
      </w:r>
      <w:r w:rsidR="001817A2">
        <w:t xml:space="preserve"> of</w:t>
      </w:r>
      <w:r w:rsidR="00A50C89" w:rsidRPr="00C95E08">
        <w:t xml:space="preserve"> </w:t>
      </w:r>
      <w:r w:rsidR="00A50C89">
        <w:t>an increasingly commercial behaviour which has the potential of leading to mission drift (Morris, 2012).</w:t>
      </w:r>
    </w:p>
    <w:p w:rsidR="00A50C89" w:rsidRDefault="00A50C89" w:rsidP="00C10824">
      <w:pPr>
        <w:rPr>
          <w:rFonts w:cs="Arial"/>
        </w:rPr>
      </w:pPr>
    </w:p>
    <w:p w:rsidR="00B8420F" w:rsidRPr="00DE7DAA" w:rsidRDefault="00B8420F" w:rsidP="00C10824">
      <w:pPr>
        <w:rPr>
          <w:b/>
        </w:rPr>
      </w:pPr>
      <w:r w:rsidRPr="00DE7DAA">
        <w:rPr>
          <w:b/>
        </w:rPr>
        <w:t xml:space="preserve">Performance </w:t>
      </w:r>
      <w:r w:rsidR="00EB7B3F" w:rsidRPr="00DE7DAA">
        <w:rPr>
          <w:b/>
        </w:rPr>
        <w:t>Management</w:t>
      </w:r>
    </w:p>
    <w:p w:rsidR="00B8420F" w:rsidRPr="00B460A8" w:rsidRDefault="00CC2B1C" w:rsidP="00466894">
      <w:pPr>
        <w:rPr>
          <w:rFonts w:asciiTheme="minorHAnsi" w:hAnsiTheme="minorHAnsi" w:cs="Arial"/>
        </w:rPr>
      </w:pPr>
      <w:r>
        <w:t>In</w:t>
      </w:r>
      <w:r w:rsidR="00B8420F">
        <w:t xml:space="preserve"> </w:t>
      </w:r>
      <w:r w:rsidR="008871B7">
        <w:t>recent years,</w:t>
      </w:r>
      <w:r w:rsidR="00B8420F">
        <w:t xml:space="preserve"> </w:t>
      </w:r>
      <w:r w:rsidR="001817A2">
        <w:t xml:space="preserve">the Housing Corporation </w:t>
      </w:r>
      <w:r w:rsidR="00B8420F">
        <w:t xml:space="preserve">has been replaced by two successive regulatory bodies, the Tenants Services Authority (TSA) </w:t>
      </w:r>
      <w:r w:rsidR="00486CDF">
        <w:t xml:space="preserve">in 2010 </w:t>
      </w:r>
      <w:r w:rsidR="00B8420F">
        <w:t>and latterly the Housing Communities Agency</w:t>
      </w:r>
      <w:r w:rsidR="00486CDF">
        <w:t xml:space="preserve"> in 2012</w:t>
      </w:r>
      <w:r w:rsidR="00B8420F">
        <w:t xml:space="preserve"> (Manville and Broad, 2013)</w:t>
      </w:r>
      <w:r w:rsidR="00486CDF">
        <w:t>.</w:t>
      </w:r>
      <w:r w:rsidR="00E1307A">
        <w:t xml:space="preserve"> </w:t>
      </w:r>
      <w:r w:rsidR="004C13F5" w:rsidRPr="00EB7B3F">
        <w:rPr>
          <w:rFonts w:asciiTheme="minorHAnsi" w:hAnsiTheme="minorHAnsi" w:cs="Times New Roman"/>
          <w:lang w:eastAsia="en-US"/>
        </w:rPr>
        <w:t xml:space="preserve">The 2015 </w:t>
      </w:r>
      <w:r w:rsidR="008F3FE2">
        <w:rPr>
          <w:rFonts w:asciiTheme="minorHAnsi" w:hAnsiTheme="minorHAnsi" w:cs="Times New Roman"/>
          <w:lang w:eastAsia="en-US"/>
        </w:rPr>
        <w:t xml:space="preserve">environment </w:t>
      </w:r>
      <w:r w:rsidR="004C13F5" w:rsidRPr="00EB7B3F">
        <w:rPr>
          <w:rFonts w:asciiTheme="minorHAnsi" w:hAnsiTheme="minorHAnsi" w:cs="Times New Roman"/>
          <w:lang w:eastAsia="en-US"/>
        </w:rPr>
        <w:t xml:space="preserve">of social housing is different from </w:t>
      </w:r>
      <w:r w:rsidR="00EB7B3F">
        <w:rPr>
          <w:rFonts w:asciiTheme="minorHAnsi" w:hAnsiTheme="minorHAnsi" w:cs="Times New Roman"/>
          <w:lang w:eastAsia="en-US"/>
        </w:rPr>
        <w:t>that of</w:t>
      </w:r>
      <w:r w:rsidR="00EB7B3F" w:rsidRPr="00EB7B3F">
        <w:rPr>
          <w:rFonts w:asciiTheme="minorHAnsi" w:hAnsiTheme="minorHAnsi" w:cs="Times New Roman"/>
          <w:lang w:eastAsia="en-US"/>
        </w:rPr>
        <w:t xml:space="preserve"> </w:t>
      </w:r>
      <w:r w:rsidR="004C13F5" w:rsidRPr="00EB7B3F">
        <w:rPr>
          <w:rFonts w:asciiTheme="minorHAnsi" w:hAnsiTheme="minorHAnsi" w:cs="Times New Roman"/>
          <w:lang w:eastAsia="en-US"/>
        </w:rPr>
        <w:t>2008</w:t>
      </w:r>
      <w:r w:rsidR="00EB7B3F">
        <w:rPr>
          <w:rFonts w:asciiTheme="minorHAnsi" w:hAnsiTheme="minorHAnsi" w:cs="Times New Roman"/>
          <w:lang w:eastAsia="en-US"/>
        </w:rPr>
        <w:t>;</w:t>
      </w:r>
      <w:r w:rsidR="004C13F5" w:rsidRPr="00EB7B3F">
        <w:rPr>
          <w:rFonts w:asciiTheme="minorHAnsi" w:hAnsiTheme="minorHAnsi" w:cs="Times New Roman"/>
          <w:lang w:eastAsia="en-US"/>
        </w:rPr>
        <w:t xml:space="preserve"> social housing providers are no longer referred to as Registered Social Landlords (RSLs) but as Registered Providers, which now includes private sector providers (HMRC 2013). </w:t>
      </w:r>
      <w:r w:rsidR="008871B7">
        <w:rPr>
          <w:rFonts w:asciiTheme="minorHAnsi" w:hAnsiTheme="minorHAnsi" w:cs="Times New Roman"/>
          <w:lang w:eastAsia="en-US"/>
        </w:rPr>
        <w:t xml:space="preserve"> A summary of the changes steering the social housing sector are shown in table 1. </w:t>
      </w:r>
      <w:r w:rsidR="004C13F5" w:rsidRPr="00EB7B3F">
        <w:rPr>
          <w:rFonts w:asciiTheme="minorHAnsi" w:hAnsiTheme="minorHAnsi" w:cs="Times New Roman"/>
          <w:lang w:eastAsia="en-US"/>
        </w:rPr>
        <w:t>The mission of a shaper</w:t>
      </w:r>
      <w:r w:rsidR="00CF7AFB">
        <w:rPr>
          <w:rFonts w:asciiTheme="minorHAnsi" w:hAnsiTheme="minorHAnsi" w:cs="Times New Roman"/>
          <w:lang w:eastAsia="en-US"/>
        </w:rPr>
        <w:t xml:space="preserve"> of</w:t>
      </w:r>
      <w:r w:rsidR="004C13F5" w:rsidRPr="00EB7B3F">
        <w:rPr>
          <w:rFonts w:asciiTheme="minorHAnsi" w:hAnsiTheme="minorHAnsi" w:cs="Times New Roman"/>
          <w:lang w:eastAsia="en-US"/>
        </w:rPr>
        <w:t xml:space="preserve"> society</w:t>
      </w:r>
      <w:r w:rsidR="00CF7AFB">
        <w:rPr>
          <w:rFonts w:asciiTheme="minorHAnsi" w:hAnsiTheme="minorHAnsi" w:cs="Times New Roman"/>
          <w:lang w:eastAsia="en-US"/>
        </w:rPr>
        <w:t xml:space="preserve"> where financial control is of secondary importance (Johnson et al., 2008)</w:t>
      </w:r>
      <w:r w:rsidR="004C13F5" w:rsidRPr="00EB7B3F">
        <w:rPr>
          <w:rFonts w:asciiTheme="minorHAnsi" w:hAnsiTheme="minorHAnsi" w:cs="Times New Roman"/>
          <w:lang w:eastAsia="en-US"/>
        </w:rPr>
        <w:t xml:space="preserve"> is now evolving into a more commercial reality as organisations must become and remain competitive whilst attempting to stay true to their </w:t>
      </w:r>
      <w:r w:rsidR="008F3FE2">
        <w:rPr>
          <w:rFonts w:asciiTheme="minorHAnsi" w:hAnsiTheme="minorHAnsi" w:cs="Times New Roman"/>
          <w:lang w:eastAsia="en-US"/>
        </w:rPr>
        <w:t>organisational</w:t>
      </w:r>
      <w:r w:rsidR="008F3FE2" w:rsidRPr="00EB7B3F">
        <w:rPr>
          <w:rFonts w:asciiTheme="minorHAnsi" w:hAnsiTheme="minorHAnsi" w:cs="Times New Roman"/>
          <w:lang w:eastAsia="en-US"/>
        </w:rPr>
        <w:t xml:space="preserve"> </w:t>
      </w:r>
      <w:r w:rsidR="004C13F5" w:rsidRPr="00EB7B3F">
        <w:rPr>
          <w:rFonts w:asciiTheme="minorHAnsi" w:hAnsiTheme="minorHAnsi" w:cs="Times New Roman"/>
          <w:lang w:eastAsia="en-US"/>
        </w:rPr>
        <w:t>values and avoid mission drift (Morris, 2012).</w:t>
      </w:r>
      <w:r w:rsidR="004C13F5" w:rsidRPr="00B460A8">
        <w:rPr>
          <w:rFonts w:asciiTheme="minorHAnsi" w:hAnsiTheme="minorHAnsi" w:cs="Times New Roman"/>
          <w:highlight w:val="yellow"/>
          <w:lang w:eastAsia="en-US"/>
        </w:rPr>
        <w:t xml:space="preserve"> </w:t>
      </w:r>
      <w:r w:rsidR="008871B7">
        <w:rPr>
          <w:rFonts w:asciiTheme="minorHAnsi" w:hAnsiTheme="minorHAnsi" w:cs="Times New Roman"/>
          <w:lang w:eastAsia="en-US"/>
        </w:rPr>
        <w:t xml:space="preserve"> </w:t>
      </w:r>
    </w:p>
    <w:p w:rsidR="004F630C" w:rsidRDefault="004F630C" w:rsidP="00523268">
      <w:pPr>
        <w:rPr>
          <w:rFonts w:cs="Arial"/>
        </w:rPr>
      </w:pPr>
      <w:r>
        <w:rPr>
          <w:rFonts w:cs="Arial"/>
        </w:rPr>
        <w:t xml:space="preserve">Housing </w:t>
      </w:r>
      <w:r w:rsidR="00523268">
        <w:rPr>
          <w:rFonts w:cs="Arial"/>
        </w:rPr>
        <w:t>A</w:t>
      </w:r>
      <w:r>
        <w:rPr>
          <w:rFonts w:cs="Arial"/>
        </w:rPr>
        <w:t xml:space="preserve">ssociations are </w:t>
      </w:r>
      <w:r w:rsidR="00523268">
        <w:rPr>
          <w:rFonts w:cs="Arial"/>
        </w:rPr>
        <w:t xml:space="preserve">an </w:t>
      </w:r>
      <w:r w:rsidR="00CF7AFB">
        <w:rPr>
          <w:rFonts w:cs="Arial"/>
        </w:rPr>
        <w:t>important example</w:t>
      </w:r>
      <w:r>
        <w:rPr>
          <w:rFonts w:cs="Arial"/>
        </w:rPr>
        <w:t xml:space="preserve"> of where legislative reforms have opened up </w:t>
      </w:r>
      <w:r w:rsidR="001662C5">
        <w:rPr>
          <w:rFonts w:cs="Arial"/>
        </w:rPr>
        <w:t>non-profit</w:t>
      </w:r>
      <w:r>
        <w:rPr>
          <w:rFonts w:cs="Arial"/>
        </w:rPr>
        <w:t xml:space="preserve"> organisations to a new competitive landscape, where they now must reposition their focus from traditional</w:t>
      </w:r>
      <w:r w:rsidR="00EB7B3F">
        <w:rPr>
          <w:rFonts w:cs="Arial"/>
        </w:rPr>
        <w:t>ly</w:t>
      </w:r>
      <w:r>
        <w:rPr>
          <w:rFonts w:cs="Arial"/>
        </w:rPr>
        <w:t xml:space="preserve"> providing what was essentially a monopolistic community or social service, to having to compete with ‘for-profit’ organisations for the provision of the same social service. </w:t>
      </w:r>
      <w:proofErr w:type="spellStart"/>
      <w:r w:rsidR="00BC4538">
        <w:rPr>
          <w:rFonts w:cs="Arial"/>
        </w:rPr>
        <w:t>Helmig</w:t>
      </w:r>
      <w:proofErr w:type="spellEnd"/>
      <w:r w:rsidR="00BC4538">
        <w:rPr>
          <w:rFonts w:cs="Arial"/>
        </w:rPr>
        <w:t xml:space="preserve"> et al. (2014) argue </w:t>
      </w:r>
      <w:r w:rsidR="008505A6">
        <w:rPr>
          <w:rFonts w:cs="Arial"/>
        </w:rPr>
        <w:t xml:space="preserve">that the increased commercialization of traditional </w:t>
      </w:r>
      <w:r w:rsidR="001662C5">
        <w:rPr>
          <w:rFonts w:cs="Arial"/>
        </w:rPr>
        <w:t>non-profit</w:t>
      </w:r>
      <w:r w:rsidR="008505A6">
        <w:rPr>
          <w:rFonts w:cs="Arial"/>
        </w:rPr>
        <w:t xml:space="preserve"> sectors effectively</w:t>
      </w:r>
      <w:r w:rsidR="00BC4538">
        <w:rPr>
          <w:rFonts w:cs="Arial"/>
        </w:rPr>
        <w:t xml:space="preserve"> equates to a change in ‘mission’ for the </w:t>
      </w:r>
      <w:r w:rsidR="001662C5">
        <w:rPr>
          <w:rFonts w:cs="Arial"/>
        </w:rPr>
        <w:t>non-profit</w:t>
      </w:r>
      <w:r w:rsidR="00BC4538">
        <w:rPr>
          <w:rFonts w:cs="Arial"/>
        </w:rPr>
        <w:t xml:space="preserve"> organisation</w:t>
      </w:r>
      <w:r w:rsidR="008505A6">
        <w:rPr>
          <w:rFonts w:cs="Arial"/>
        </w:rPr>
        <w:t>,</w:t>
      </w:r>
      <w:r w:rsidR="00BC4538">
        <w:rPr>
          <w:rFonts w:cs="Arial"/>
        </w:rPr>
        <w:t xml:space="preserve"> who is now forced to re-evaluate their strategic goals from the achievement of mission objectives, to organisational survive in the ‘for-profit’ sense.</w:t>
      </w:r>
    </w:p>
    <w:p w:rsidR="004F630C" w:rsidRDefault="00BC4538" w:rsidP="00FC349D">
      <w:pPr>
        <w:rPr>
          <w:rFonts w:cs="Arial"/>
        </w:rPr>
      </w:pPr>
      <w:r>
        <w:rPr>
          <w:rFonts w:cs="Arial"/>
        </w:rPr>
        <w:t>In this research we find such</w:t>
      </w:r>
      <w:r w:rsidR="004F630C">
        <w:rPr>
          <w:rFonts w:cs="Arial"/>
        </w:rPr>
        <w:t xml:space="preserve"> </w:t>
      </w:r>
      <w:r>
        <w:rPr>
          <w:rFonts w:cs="Arial"/>
        </w:rPr>
        <w:t xml:space="preserve">legislative </w:t>
      </w:r>
      <w:r w:rsidR="004F630C">
        <w:rPr>
          <w:rFonts w:cs="Arial"/>
        </w:rPr>
        <w:t>transition</w:t>
      </w:r>
      <w:r>
        <w:rPr>
          <w:rFonts w:cs="Arial"/>
        </w:rPr>
        <w:t>s</w:t>
      </w:r>
      <w:r w:rsidR="004F630C">
        <w:rPr>
          <w:rFonts w:cs="Arial"/>
        </w:rPr>
        <w:t xml:space="preserve"> forc</w:t>
      </w:r>
      <w:r w:rsidR="005968FB">
        <w:rPr>
          <w:rFonts w:cs="Arial"/>
        </w:rPr>
        <w:t>e</w:t>
      </w:r>
      <w:r w:rsidR="004F630C">
        <w:rPr>
          <w:rFonts w:cs="Arial"/>
        </w:rPr>
        <w:t xml:space="preserve"> </w:t>
      </w:r>
      <w:r w:rsidR="00CE075D">
        <w:rPr>
          <w:rFonts w:cs="Arial"/>
        </w:rPr>
        <w:t>H</w:t>
      </w:r>
      <w:r>
        <w:rPr>
          <w:rFonts w:cs="Arial"/>
        </w:rPr>
        <w:t xml:space="preserve">ousing </w:t>
      </w:r>
      <w:r w:rsidR="00CE075D">
        <w:rPr>
          <w:rFonts w:cs="Arial"/>
        </w:rPr>
        <w:t>A</w:t>
      </w:r>
      <w:r>
        <w:rPr>
          <w:rFonts w:cs="Arial"/>
        </w:rPr>
        <w:t>ssociations</w:t>
      </w:r>
      <w:r w:rsidR="005968FB">
        <w:rPr>
          <w:rFonts w:cs="Arial"/>
        </w:rPr>
        <w:t>,</w:t>
      </w:r>
      <w:r>
        <w:rPr>
          <w:rFonts w:cs="Arial"/>
        </w:rPr>
        <w:t xml:space="preserve"> through coercive isomorphism, to compete </w:t>
      </w:r>
      <w:r w:rsidR="005968FB">
        <w:rPr>
          <w:rFonts w:cs="Arial"/>
        </w:rPr>
        <w:t xml:space="preserve">head on </w:t>
      </w:r>
      <w:r>
        <w:rPr>
          <w:rFonts w:cs="Arial"/>
        </w:rPr>
        <w:t xml:space="preserve">with private ‘for-profit’ </w:t>
      </w:r>
      <w:r w:rsidR="00EB7B3F">
        <w:rPr>
          <w:rFonts w:cs="Arial"/>
        </w:rPr>
        <w:t>Registered Providers</w:t>
      </w:r>
      <w:r>
        <w:rPr>
          <w:rFonts w:cs="Arial"/>
        </w:rPr>
        <w:t xml:space="preserve">, and therefore </w:t>
      </w:r>
      <w:r w:rsidR="005968FB">
        <w:rPr>
          <w:rFonts w:cs="Arial"/>
        </w:rPr>
        <w:t xml:space="preserve">act more like a traditional for-profit organisation. One aspect of such a transition is the need to monitor organisational performance differently. </w:t>
      </w:r>
      <w:proofErr w:type="spellStart"/>
      <w:r w:rsidR="005968FB">
        <w:rPr>
          <w:rFonts w:cs="Arial"/>
        </w:rPr>
        <w:t>Helmig</w:t>
      </w:r>
      <w:proofErr w:type="spellEnd"/>
      <w:r w:rsidR="005968FB">
        <w:rPr>
          <w:rFonts w:cs="Arial"/>
        </w:rPr>
        <w:t xml:space="preserve"> et al (2014) notes that as </w:t>
      </w:r>
      <w:r w:rsidR="001662C5">
        <w:rPr>
          <w:rFonts w:cs="Arial"/>
        </w:rPr>
        <w:t>non-profit</w:t>
      </w:r>
      <w:r w:rsidR="005968FB">
        <w:rPr>
          <w:rFonts w:cs="Arial"/>
        </w:rPr>
        <w:t xml:space="preserve"> government funding reduces, “good financial performance [becomes] more relevant to </w:t>
      </w:r>
      <w:r w:rsidR="001662C5">
        <w:rPr>
          <w:rFonts w:cs="Arial"/>
        </w:rPr>
        <w:t>non-profit</w:t>
      </w:r>
      <w:r w:rsidR="005968FB">
        <w:rPr>
          <w:rFonts w:cs="Arial"/>
        </w:rPr>
        <w:t xml:space="preserve"> organisations” (</w:t>
      </w:r>
      <w:proofErr w:type="spellStart"/>
      <w:r w:rsidR="005968FB">
        <w:rPr>
          <w:rFonts w:cs="Arial"/>
        </w:rPr>
        <w:t>Helmig</w:t>
      </w:r>
      <w:proofErr w:type="spellEnd"/>
      <w:r w:rsidR="005968FB">
        <w:rPr>
          <w:rFonts w:cs="Arial"/>
        </w:rPr>
        <w:t xml:space="preserve">, et al., 2014, p 1512). </w:t>
      </w:r>
    </w:p>
    <w:p w:rsidR="005968FB" w:rsidRDefault="005968FB" w:rsidP="00FC349D">
      <w:pPr>
        <w:rPr>
          <w:rFonts w:cs="Arial"/>
        </w:rPr>
      </w:pPr>
      <w:r>
        <w:rPr>
          <w:rFonts w:cs="Arial"/>
        </w:rPr>
        <w:t xml:space="preserve">With such transitional pressures in mind we now focus on visual performance </w:t>
      </w:r>
      <w:r w:rsidR="00EB7B3F">
        <w:rPr>
          <w:rFonts w:cs="Arial"/>
        </w:rPr>
        <w:t>management</w:t>
      </w:r>
      <w:r>
        <w:rPr>
          <w:rFonts w:cs="Arial"/>
        </w:rPr>
        <w:t xml:space="preserve">, and in particular the use of dashboards within </w:t>
      </w:r>
      <w:r w:rsidR="00CE075D">
        <w:rPr>
          <w:rFonts w:cs="Arial"/>
        </w:rPr>
        <w:t>H</w:t>
      </w:r>
      <w:r>
        <w:rPr>
          <w:rFonts w:cs="Arial"/>
        </w:rPr>
        <w:t xml:space="preserve">ousing </w:t>
      </w:r>
      <w:r w:rsidR="00CE075D">
        <w:rPr>
          <w:rFonts w:cs="Arial"/>
        </w:rPr>
        <w:t>A</w:t>
      </w:r>
      <w:r>
        <w:rPr>
          <w:rFonts w:cs="Arial"/>
        </w:rPr>
        <w:t xml:space="preserve">ssociations as one example of how this approach has gained acceptance within </w:t>
      </w:r>
      <w:r w:rsidR="001662C5">
        <w:rPr>
          <w:rFonts w:cs="Arial"/>
        </w:rPr>
        <w:t>non-profit</w:t>
      </w:r>
      <w:r>
        <w:rPr>
          <w:rFonts w:cs="Arial"/>
        </w:rPr>
        <w:t xml:space="preserve"> organisations in general.</w:t>
      </w:r>
    </w:p>
    <w:p w:rsidR="00FC349D" w:rsidRPr="00FC349D" w:rsidRDefault="00FC349D" w:rsidP="00FC349D">
      <w:pPr>
        <w:rPr>
          <w:rFonts w:cs="Arial"/>
        </w:rPr>
      </w:pPr>
    </w:p>
    <w:p w:rsidR="009C52CC" w:rsidRPr="00DE7DAA" w:rsidRDefault="002C3866" w:rsidP="00FC349D">
      <w:pPr>
        <w:rPr>
          <w:rFonts w:cs="Arial"/>
          <w:b/>
        </w:rPr>
      </w:pPr>
      <w:r w:rsidRPr="00DE7DAA">
        <w:rPr>
          <w:rFonts w:cs="Arial"/>
          <w:b/>
        </w:rPr>
        <w:t>V</w:t>
      </w:r>
      <w:r w:rsidR="009C52CC" w:rsidRPr="00DE7DAA">
        <w:rPr>
          <w:rFonts w:cs="Arial"/>
          <w:b/>
        </w:rPr>
        <w:t xml:space="preserve">isual performance </w:t>
      </w:r>
      <w:r w:rsidR="00EF3952" w:rsidRPr="00DE7DAA">
        <w:rPr>
          <w:rFonts w:cs="Arial"/>
          <w:b/>
        </w:rPr>
        <w:t xml:space="preserve">management </w:t>
      </w:r>
      <w:r w:rsidR="00382330" w:rsidRPr="00DE7DAA">
        <w:rPr>
          <w:rFonts w:cs="Arial"/>
          <w:b/>
        </w:rPr>
        <w:t xml:space="preserve">in </w:t>
      </w:r>
      <w:r w:rsidR="001662C5" w:rsidRPr="00DE7DAA">
        <w:rPr>
          <w:rFonts w:cs="Arial"/>
          <w:b/>
        </w:rPr>
        <w:t>non-profit</w:t>
      </w:r>
      <w:r w:rsidR="00565868" w:rsidRPr="00DE7DAA">
        <w:rPr>
          <w:rFonts w:cs="Arial"/>
          <w:b/>
        </w:rPr>
        <w:t xml:space="preserve"> and social enterprises</w:t>
      </w:r>
    </w:p>
    <w:p w:rsidR="00BA7E62" w:rsidRDefault="00BA7E62" w:rsidP="00BA7E62">
      <w:r>
        <w:t>Managing and reporting performance within the social housing sector is not straightforward, largely because of the multiplicity of stakeholders such as tenants, regulatory bodies, government</w:t>
      </w:r>
      <w:r w:rsidR="00CE075D">
        <w:t xml:space="preserve">, </w:t>
      </w:r>
      <w:r w:rsidR="00CF7AFB">
        <w:t>and private</w:t>
      </w:r>
      <w:r w:rsidR="00CE075D">
        <w:t xml:space="preserve"> </w:t>
      </w:r>
      <w:r w:rsidR="00CF7AFB">
        <w:t>financiers and</w:t>
      </w:r>
      <w:r>
        <w:t xml:space="preserve"> within the housing association itself, which makes performance management in this environment more complex. The concept of a picture telling a thousand words is a maxim that can facilitate the presentation of complex data in a readily digestible format. Visual performance has been adopted within housing associations as a means of communicating to its wide constituency of stakeholders. Recent literature advocates for the use of visual performance measurement within a Third Sector context, and offers several forms from simple traffic light (red, amber, green) indicators to an integrated performance management framework (Kaplan 2001; Manville, 2007; </w:t>
      </w:r>
      <w:proofErr w:type="spellStart"/>
      <w:r>
        <w:t>Manochin</w:t>
      </w:r>
      <w:proofErr w:type="spellEnd"/>
      <w:r>
        <w:t xml:space="preserve"> et al., 2011). The integrated performance management framework adopted by the housing association in Manville (2007) was the balanced scorecard (Kaplan and Norton, 1996). Kaplan and Norton (1996) devised an overarching framework for a holistic visual performance framework linked to a business strategy by applying KPIs from business processes, customer, innovation and learning, and financial perspectives. At present there is a lack of empirical evidence regarding the application of visual performance management (VPM</w:t>
      </w:r>
      <w:r w:rsidR="00CF7AFB">
        <w:t>) KPIs</w:t>
      </w:r>
      <w:r>
        <w:t xml:space="preserve"> within social housing to convey meaningful KPIs which can either demonstrate continuous improvement and good governance or relate to an organisational strategy.</w:t>
      </w:r>
    </w:p>
    <w:p w:rsidR="002C3866" w:rsidRDefault="002C3866" w:rsidP="00C10824">
      <w:pPr>
        <w:rPr>
          <w:rFonts w:cs="Arial"/>
        </w:rPr>
      </w:pPr>
    </w:p>
    <w:p w:rsidR="009C52CC" w:rsidRDefault="00A75FD6" w:rsidP="00CE075D">
      <w:pPr>
        <w:rPr>
          <w:rFonts w:cs="Arial"/>
        </w:rPr>
      </w:pPr>
      <w:r>
        <w:rPr>
          <w:rFonts w:cs="Arial"/>
        </w:rPr>
        <w:t xml:space="preserve">The use of </w:t>
      </w:r>
      <w:r w:rsidR="00F35305">
        <w:rPr>
          <w:rFonts w:cs="Arial"/>
        </w:rPr>
        <w:t>VPM</w:t>
      </w:r>
      <w:r w:rsidR="00BA7E62">
        <w:rPr>
          <w:rFonts w:cs="Arial"/>
        </w:rPr>
        <w:t xml:space="preserve"> </w:t>
      </w:r>
      <w:r>
        <w:rPr>
          <w:rFonts w:cs="Arial"/>
        </w:rPr>
        <w:t>as a method of reviewing and communication performance</w:t>
      </w:r>
      <w:r w:rsidR="009C52CC">
        <w:rPr>
          <w:rFonts w:cs="Arial"/>
        </w:rPr>
        <w:t xml:space="preserve"> against key </w:t>
      </w:r>
      <w:r w:rsidR="00F35305">
        <w:rPr>
          <w:rFonts w:cs="Arial"/>
        </w:rPr>
        <w:t>metrics</w:t>
      </w:r>
      <w:r>
        <w:rPr>
          <w:rFonts w:cs="Arial"/>
        </w:rPr>
        <w:t xml:space="preserve"> has become more widespread </w:t>
      </w:r>
      <w:r w:rsidR="009C52CC">
        <w:rPr>
          <w:rFonts w:cs="Arial"/>
        </w:rPr>
        <w:t>with the acceptance that performance is</w:t>
      </w:r>
      <w:r w:rsidR="004F7772">
        <w:rPr>
          <w:rFonts w:cs="Arial"/>
        </w:rPr>
        <w:t xml:space="preserve"> not </w:t>
      </w:r>
      <w:r w:rsidR="009C52CC">
        <w:rPr>
          <w:rFonts w:cs="Arial"/>
        </w:rPr>
        <w:t xml:space="preserve">just about reporting financial results. Many organisations in widely </w:t>
      </w:r>
      <w:r w:rsidR="00F35305">
        <w:rPr>
          <w:rFonts w:cs="Arial"/>
        </w:rPr>
        <w:t>differing sectors</w:t>
      </w:r>
      <w:r w:rsidR="009C52CC">
        <w:rPr>
          <w:rFonts w:cs="Arial"/>
        </w:rPr>
        <w:t xml:space="preserve"> find it appropriate to report non-financial performance of key organisational metrics, and thus find </w:t>
      </w:r>
      <w:r w:rsidR="00EB7B3F">
        <w:rPr>
          <w:rFonts w:cs="Arial"/>
        </w:rPr>
        <w:t xml:space="preserve">VPM </w:t>
      </w:r>
      <w:r w:rsidR="009C52CC">
        <w:rPr>
          <w:rFonts w:cs="Arial"/>
        </w:rPr>
        <w:t xml:space="preserve">an excellent way to achieve this communication. Visual performance </w:t>
      </w:r>
      <w:r w:rsidR="00EB7B3F">
        <w:rPr>
          <w:rFonts w:cs="Arial"/>
        </w:rPr>
        <w:t xml:space="preserve">management </w:t>
      </w:r>
      <w:r w:rsidR="009C52CC">
        <w:rPr>
          <w:rFonts w:cs="Arial"/>
        </w:rPr>
        <w:t>can also be used a</w:t>
      </w:r>
      <w:r w:rsidR="00F35305">
        <w:rPr>
          <w:rFonts w:cs="Arial"/>
        </w:rPr>
        <w:t>s</w:t>
      </w:r>
      <w:r w:rsidR="009C52CC">
        <w:rPr>
          <w:rFonts w:cs="Arial"/>
        </w:rPr>
        <w:t xml:space="preserve"> an effective means of communication to widely differing stakeholders, as diverse as housing association tenants, or government departments. </w:t>
      </w:r>
    </w:p>
    <w:p w:rsidR="008C5C07" w:rsidRDefault="008C5C07" w:rsidP="008C5C07">
      <w:pPr>
        <w:rPr>
          <w:rFonts w:cs="Arial"/>
        </w:rPr>
      </w:pPr>
      <w:proofErr w:type="spellStart"/>
      <w:r>
        <w:rPr>
          <w:rFonts w:cs="Arial"/>
        </w:rPr>
        <w:t>Azzam</w:t>
      </w:r>
      <w:proofErr w:type="spellEnd"/>
      <w:r>
        <w:rPr>
          <w:rFonts w:cs="Arial"/>
        </w:rPr>
        <w:t xml:space="preserve">, et al (2013) define data visualization by three criteria; that (a) it is based on qualitative or quantitative data, (b) results in an image that is representative of the raw data, and (c) is readable by viewers and supports exploration, examination, and communication of the data. </w:t>
      </w:r>
      <w:proofErr w:type="spellStart"/>
      <w:r>
        <w:rPr>
          <w:rFonts w:cs="Arial"/>
        </w:rPr>
        <w:t>Azzam</w:t>
      </w:r>
      <w:proofErr w:type="spellEnd"/>
      <w:r>
        <w:rPr>
          <w:rFonts w:cs="Arial"/>
        </w:rPr>
        <w:t xml:space="preserve"> et al note that “whilst these criteria may be self-evident, in practice it takes thoughtful consideration and application to achieve them.” (</w:t>
      </w:r>
      <w:proofErr w:type="spellStart"/>
      <w:r>
        <w:rPr>
          <w:rFonts w:cs="Arial"/>
        </w:rPr>
        <w:t>Azzam</w:t>
      </w:r>
      <w:proofErr w:type="spellEnd"/>
      <w:r>
        <w:rPr>
          <w:rFonts w:cs="Arial"/>
        </w:rPr>
        <w:t>, et al, 2013, p9). This summarizes the aims of VPM—that the data, and hence the underlying message, should be clearer and easier to understand by layman and expert alike, by using VPM rather than any other method, such as financial or management accounting practices.</w:t>
      </w:r>
    </w:p>
    <w:p w:rsidR="001451FA" w:rsidRDefault="004F7772" w:rsidP="001451FA">
      <w:pPr>
        <w:rPr>
          <w:rFonts w:cs="Arial"/>
        </w:rPr>
      </w:pPr>
      <w:r>
        <w:rPr>
          <w:rFonts w:cs="Arial"/>
        </w:rPr>
        <w:t xml:space="preserve">The popularization of visual performance reporting </w:t>
      </w:r>
      <w:r w:rsidR="00CB145A">
        <w:rPr>
          <w:rFonts w:cs="Arial"/>
        </w:rPr>
        <w:t>evolved from the development of executive information systems in the 1980s (</w:t>
      </w:r>
      <w:proofErr w:type="spellStart"/>
      <w:r w:rsidR="00CB145A">
        <w:rPr>
          <w:rFonts w:cs="Arial"/>
        </w:rPr>
        <w:t>Thierauf</w:t>
      </w:r>
      <w:proofErr w:type="spellEnd"/>
      <w:r w:rsidR="00CB145A">
        <w:rPr>
          <w:rFonts w:cs="Arial"/>
        </w:rPr>
        <w:t xml:space="preserve">, 1991), and later from </w:t>
      </w:r>
      <w:r>
        <w:rPr>
          <w:rFonts w:cs="Arial"/>
        </w:rPr>
        <w:t>the wide spread growth of Balanced Scorecard applications across many different sectors</w:t>
      </w:r>
      <w:r w:rsidR="005C1622">
        <w:rPr>
          <w:rFonts w:cs="Arial"/>
        </w:rPr>
        <w:t xml:space="preserve"> (</w:t>
      </w:r>
      <w:proofErr w:type="spellStart"/>
      <w:r w:rsidR="005C1622">
        <w:rPr>
          <w:rFonts w:cs="Arial"/>
        </w:rPr>
        <w:t>Poister</w:t>
      </w:r>
      <w:proofErr w:type="spellEnd"/>
      <w:r w:rsidR="005E1EBF">
        <w:rPr>
          <w:rFonts w:cs="Arial"/>
        </w:rPr>
        <w:t>,</w:t>
      </w:r>
      <w:r w:rsidR="00D376A7">
        <w:rPr>
          <w:rFonts w:cs="Arial"/>
        </w:rPr>
        <w:t xml:space="preserve"> </w:t>
      </w:r>
      <w:proofErr w:type="spellStart"/>
      <w:r w:rsidR="00D376A7">
        <w:rPr>
          <w:rFonts w:cs="Arial"/>
        </w:rPr>
        <w:t>Aristigueta</w:t>
      </w:r>
      <w:proofErr w:type="spellEnd"/>
      <w:r w:rsidR="00D376A7">
        <w:rPr>
          <w:rFonts w:cs="Arial"/>
        </w:rPr>
        <w:t xml:space="preserve"> and Hall</w:t>
      </w:r>
      <w:r w:rsidR="005C1622">
        <w:rPr>
          <w:rFonts w:cs="Arial"/>
        </w:rPr>
        <w:t>, 20</w:t>
      </w:r>
      <w:r w:rsidR="00D376A7">
        <w:rPr>
          <w:rFonts w:cs="Arial"/>
        </w:rPr>
        <w:t>14</w:t>
      </w:r>
      <w:r w:rsidR="005C1622">
        <w:rPr>
          <w:rFonts w:cs="Arial"/>
        </w:rPr>
        <w:t>)</w:t>
      </w:r>
      <w:r>
        <w:rPr>
          <w:rFonts w:cs="Arial"/>
        </w:rPr>
        <w:t>. From this starting point</w:t>
      </w:r>
      <w:r w:rsidR="00CB145A">
        <w:rPr>
          <w:rFonts w:cs="Arial"/>
        </w:rPr>
        <w:t>, and with the development of increasingly sophisticated business intelligence (BI) software,</w:t>
      </w:r>
      <w:r>
        <w:rPr>
          <w:rFonts w:cs="Arial"/>
        </w:rPr>
        <w:t xml:space="preserve"> many organisations have found that summarizing important performance data in a single screen or page, </w:t>
      </w:r>
      <w:r w:rsidR="00CB145A">
        <w:rPr>
          <w:rFonts w:cs="Arial"/>
        </w:rPr>
        <w:t>in</w:t>
      </w:r>
      <w:r>
        <w:rPr>
          <w:rFonts w:cs="Arial"/>
        </w:rPr>
        <w:t xml:space="preserve"> the form of a dashboard, allows for the rapid assimilation of critical performance data </w:t>
      </w:r>
      <w:r w:rsidR="00EB7B3F">
        <w:rPr>
          <w:rFonts w:cs="Arial"/>
        </w:rPr>
        <w:t xml:space="preserve">for </w:t>
      </w:r>
      <w:r w:rsidR="00CB145A">
        <w:rPr>
          <w:rFonts w:cs="Arial"/>
        </w:rPr>
        <w:t xml:space="preserve">potential decision making (Few, 2006; Smith, 2013). </w:t>
      </w:r>
      <w:r w:rsidR="004F49B0">
        <w:rPr>
          <w:rFonts w:cs="Arial"/>
        </w:rPr>
        <w:t>A typical dashboard provides “the most important information needed to achieve one or more objectives”</w:t>
      </w:r>
      <w:r w:rsidR="00565868">
        <w:rPr>
          <w:rFonts w:cs="Arial"/>
        </w:rPr>
        <w:t xml:space="preserve"> (Few, 2006, p12),</w:t>
      </w:r>
      <w:r w:rsidR="004F49B0">
        <w:rPr>
          <w:rFonts w:cs="Arial"/>
        </w:rPr>
        <w:t xml:space="preserve"> and is usually consolidated on a single screen or page</w:t>
      </w:r>
      <w:r w:rsidR="00565868">
        <w:rPr>
          <w:rFonts w:cs="Arial"/>
        </w:rPr>
        <w:t xml:space="preserve"> for convenience of use.</w:t>
      </w:r>
      <w:r w:rsidR="00344CD8" w:rsidRPr="00344CD8">
        <w:rPr>
          <w:rFonts w:cs="Arial"/>
        </w:rPr>
        <w:t xml:space="preserve"> </w:t>
      </w:r>
      <w:r w:rsidR="00344CD8">
        <w:rPr>
          <w:rFonts w:cs="Arial"/>
        </w:rPr>
        <w:t xml:space="preserve">However, despite the increasing availability of BI packages and the ever increasing volume of data available through ‘Big Data’ systems, many </w:t>
      </w:r>
      <w:r w:rsidR="001662C5">
        <w:rPr>
          <w:rFonts w:cs="Arial"/>
        </w:rPr>
        <w:t>non-profit</w:t>
      </w:r>
      <w:r w:rsidR="00344CD8">
        <w:rPr>
          <w:rFonts w:cs="Arial"/>
        </w:rPr>
        <w:t xml:space="preserve">s find </w:t>
      </w:r>
      <w:r w:rsidR="008242B0">
        <w:rPr>
          <w:rFonts w:cs="Arial"/>
        </w:rPr>
        <w:t xml:space="preserve">this situation overwhelming and </w:t>
      </w:r>
      <w:r w:rsidR="00D4597F">
        <w:rPr>
          <w:rFonts w:cs="Arial"/>
        </w:rPr>
        <w:t xml:space="preserve">struggle with </w:t>
      </w:r>
      <w:r w:rsidR="005E1EBF">
        <w:rPr>
          <w:rFonts w:cs="Arial"/>
        </w:rPr>
        <w:t xml:space="preserve">deciding </w:t>
      </w:r>
      <w:r w:rsidR="00D4597F">
        <w:rPr>
          <w:rFonts w:cs="Arial"/>
        </w:rPr>
        <w:t>where to start (Newcomer, 2004</w:t>
      </w:r>
      <w:r w:rsidR="00344CD8">
        <w:rPr>
          <w:rFonts w:cs="Arial"/>
        </w:rPr>
        <w:t xml:space="preserve">). As Smith (2013) points out, it is not more data faster, but the ability to filter the signal from the noise that is </w:t>
      </w:r>
      <w:r w:rsidR="00AD5111">
        <w:rPr>
          <w:rFonts w:cs="Arial"/>
        </w:rPr>
        <w:t xml:space="preserve">required </w:t>
      </w:r>
      <w:r w:rsidR="00344CD8">
        <w:rPr>
          <w:rFonts w:cs="Arial"/>
        </w:rPr>
        <w:t xml:space="preserve">(Smith, 2013, p24). The </w:t>
      </w:r>
      <w:r w:rsidR="009C3C05">
        <w:rPr>
          <w:rFonts w:cs="Arial"/>
        </w:rPr>
        <w:t>use of dashboards helps</w:t>
      </w:r>
      <w:r w:rsidR="00344CD8">
        <w:rPr>
          <w:rFonts w:cs="Arial"/>
        </w:rPr>
        <w:t xml:space="preserve"> achieve this focus</w:t>
      </w:r>
      <w:r w:rsidR="009C3C05">
        <w:rPr>
          <w:rFonts w:cs="Arial"/>
        </w:rPr>
        <w:t>.</w:t>
      </w:r>
    </w:p>
    <w:p w:rsidR="00CB145A" w:rsidRDefault="00CB145A" w:rsidP="001451FA">
      <w:pPr>
        <w:rPr>
          <w:rFonts w:cs="Arial"/>
        </w:rPr>
      </w:pPr>
      <w:r>
        <w:rPr>
          <w:rFonts w:cs="Arial"/>
        </w:rPr>
        <w:t>Smith (2013</w:t>
      </w:r>
      <w:r w:rsidR="00565868">
        <w:rPr>
          <w:rFonts w:cs="Arial"/>
        </w:rPr>
        <w:t>)</w:t>
      </w:r>
      <w:r>
        <w:rPr>
          <w:rFonts w:cs="Arial"/>
        </w:rPr>
        <w:t xml:space="preserve"> </w:t>
      </w:r>
      <w:r w:rsidR="009C3C05">
        <w:rPr>
          <w:rFonts w:cs="Arial"/>
        </w:rPr>
        <w:t xml:space="preserve">further </w:t>
      </w:r>
      <w:r>
        <w:rPr>
          <w:rFonts w:cs="Arial"/>
        </w:rPr>
        <w:t xml:space="preserve">argues the increased use of BI </w:t>
      </w:r>
      <w:r w:rsidR="004F49B0">
        <w:rPr>
          <w:rFonts w:cs="Arial"/>
        </w:rPr>
        <w:t xml:space="preserve">in </w:t>
      </w:r>
      <w:r w:rsidR="00565868">
        <w:rPr>
          <w:rFonts w:cs="Arial"/>
        </w:rPr>
        <w:t>‘</w:t>
      </w:r>
      <w:r w:rsidR="004F49B0">
        <w:rPr>
          <w:rFonts w:cs="Arial"/>
        </w:rPr>
        <w:t>for-profit</w:t>
      </w:r>
      <w:r w:rsidR="00565868">
        <w:rPr>
          <w:rFonts w:cs="Arial"/>
        </w:rPr>
        <w:t>’</w:t>
      </w:r>
      <w:r w:rsidR="004F49B0">
        <w:rPr>
          <w:rFonts w:cs="Arial"/>
        </w:rPr>
        <w:t xml:space="preserve"> organisations has inevitably led to its increased </w:t>
      </w:r>
      <w:r w:rsidR="005E1EBF">
        <w:rPr>
          <w:rFonts w:cs="Arial"/>
        </w:rPr>
        <w:t xml:space="preserve">adoption </w:t>
      </w:r>
      <w:r w:rsidR="004F49B0">
        <w:rPr>
          <w:rFonts w:cs="Arial"/>
        </w:rPr>
        <w:t xml:space="preserve">within the social and </w:t>
      </w:r>
      <w:r w:rsidR="001662C5">
        <w:rPr>
          <w:rFonts w:cs="Arial"/>
        </w:rPr>
        <w:t>non-profit</w:t>
      </w:r>
      <w:r w:rsidR="004F49B0">
        <w:rPr>
          <w:rFonts w:cs="Arial"/>
        </w:rPr>
        <w:t xml:space="preserve"> sectors. This transition from the for-profit sector, together with increasing media and regulatory scrutiny, has been the driving force for ever increasing levels of </w:t>
      </w:r>
      <w:r w:rsidR="00565868">
        <w:rPr>
          <w:rFonts w:cs="Arial"/>
        </w:rPr>
        <w:t xml:space="preserve">VPM and dashboard </w:t>
      </w:r>
      <w:r w:rsidR="004F49B0">
        <w:rPr>
          <w:rFonts w:cs="Arial"/>
        </w:rPr>
        <w:t xml:space="preserve">adoption within </w:t>
      </w:r>
      <w:r w:rsidR="001662C5">
        <w:rPr>
          <w:rFonts w:cs="Arial"/>
        </w:rPr>
        <w:t>non-profit</w:t>
      </w:r>
      <w:r w:rsidR="004F49B0">
        <w:rPr>
          <w:rFonts w:cs="Arial"/>
        </w:rPr>
        <w:t xml:space="preserve"> and social entries sectors (Smith, 2013; Butler, 2007). </w:t>
      </w:r>
    </w:p>
    <w:p w:rsidR="004F49B0" w:rsidRDefault="00565868" w:rsidP="001451FA">
      <w:pPr>
        <w:rPr>
          <w:rFonts w:cs="Arial"/>
        </w:rPr>
      </w:pPr>
      <w:r>
        <w:rPr>
          <w:rFonts w:cs="Arial"/>
        </w:rPr>
        <w:t>The use of dashboards has been particularly prevalent within US state and local government</w:t>
      </w:r>
      <w:r w:rsidR="005E1EBF">
        <w:rPr>
          <w:rFonts w:cs="Arial"/>
        </w:rPr>
        <w:t xml:space="preserve"> organisations</w:t>
      </w:r>
      <w:r>
        <w:rPr>
          <w:rFonts w:cs="Arial"/>
        </w:rPr>
        <w:t xml:space="preserve"> (</w:t>
      </w:r>
      <w:proofErr w:type="spellStart"/>
      <w:r>
        <w:rPr>
          <w:rFonts w:cs="Arial"/>
        </w:rPr>
        <w:t>Kamensky</w:t>
      </w:r>
      <w:proofErr w:type="spellEnd"/>
      <w:r>
        <w:rPr>
          <w:rFonts w:cs="Arial"/>
        </w:rPr>
        <w:t>, 2011</w:t>
      </w:r>
      <w:r w:rsidR="005E1EBF">
        <w:rPr>
          <w:rFonts w:cs="Arial"/>
        </w:rPr>
        <w:t xml:space="preserve">; </w:t>
      </w:r>
      <w:proofErr w:type="spellStart"/>
      <w:r w:rsidR="005E1EBF">
        <w:rPr>
          <w:rFonts w:cs="Arial"/>
        </w:rPr>
        <w:t>Poister</w:t>
      </w:r>
      <w:proofErr w:type="spellEnd"/>
      <w:r w:rsidR="005E1EBF">
        <w:rPr>
          <w:rFonts w:cs="Arial"/>
        </w:rPr>
        <w:t xml:space="preserve">, </w:t>
      </w:r>
      <w:proofErr w:type="spellStart"/>
      <w:r w:rsidR="005E1EBF">
        <w:rPr>
          <w:rFonts w:cs="Arial"/>
        </w:rPr>
        <w:t>Aristigueta</w:t>
      </w:r>
      <w:proofErr w:type="spellEnd"/>
      <w:r w:rsidR="005E1EBF">
        <w:rPr>
          <w:rFonts w:cs="Arial"/>
        </w:rPr>
        <w:t xml:space="preserve"> and Hall, 2014</w:t>
      </w:r>
      <w:r>
        <w:rPr>
          <w:rFonts w:cs="Arial"/>
        </w:rPr>
        <w:t xml:space="preserve">), and their potential for highlighting </w:t>
      </w:r>
      <w:r w:rsidR="006D1CF7">
        <w:rPr>
          <w:rFonts w:cs="Arial"/>
        </w:rPr>
        <w:t xml:space="preserve">improved </w:t>
      </w:r>
      <w:r>
        <w:rPr>
          <w:rFonts w:cs="Arial"/>
        </w:rPr>
        <w:t>performance reporting has been recognised by the Obama administration (US Office of Management and Budget, 2</w:t>
      </w:r>
      <w:r w:rsidR="006D1CF7">
        <w:rPr>
          <w:rFonts w:cs="Arial"/>
        </w:rPr>
        <w:t xml:space="preserve">010). </w:t>
      </w:r>
    </w:p>
    <w:p w:rsidR="004C4D00" w:rsidRDefault="00044225" w:rsidP="001451FA">
      <w:pPr>
        <w:rPr>
          <w:rFonts w:cs="Arial"/>
        </w:rPr>
      </w:pPr>
      <w:r>
        <w:rPr>
          <w:rFonts w:cs="Arial"/>
        </w:rPr>
        <w:t>Along with dashboards, the use of traffic light indicators to provide a visual overview of the organisational condition has become very popular. The use of ‘colour-condition’ indicators fits intuitively with the intention of dashboards</w:t>
      </w:r>
      <w:r w:rsidR="004C4D00">
        <w:rPr>
          <w:rFonts w:cs="Arial"/>
        </w:rPr>
        <w:t xml:space="preserve"> and has become a method by which housing associations attempt to demonstrate they are “well governed, well managed and financially viable” (</w:t>
      </w:r>
      <w:proofErr w:type="spellStart"/>
      <w:r w:rsidR="004C4D00">
        <w:rPr>
          <w:rFonts w:cs="Arial"/>
        </w:rPr>
        <w:t>Manochin</w:t>
      </w:r>
      <w:proofErr w:type="spellEnd"/>
      <w:r w:rsidR="004C4D00">
        <w:rPr>
          <w:rFonts w:cs="Arial"/>
        </w:rPr>
        <w:t>, et al., 2011, p29)</w:t>
      </w:r>
      <w:r w:rsidR="0008405C">
        <w:rPr>
          <w:rFonts w:cs="Arial"/>
        </w:rPr>
        <w:t>.</w:t>
      </w:r>
    </w:p>
    <w:p w:rsidR="008D34A3" w:rsidRDefault="001668AB" w:rsidP="001451FA">
      <w:pPr>
        <w:rPr>
          <w:rFonts w:cs="Arial"/>
        </w:rPr>
      </w:pPr>
      <w:r>
        <w:rPr>
          <w:rFonts w:cs="Arial"/>
        </w:rPr>
        <w:t xml:space="preserve">Smith (2013) outlines three generic applications of dashboards; strategic, analytical, and operational. Of these three approaches the strategic application, providing </w:t>
      </w:r>
      <w:r w:rsidR="008F3FE2">
        <w:rPr>
          <w:rFonts w:cs="Arial"/>
        </w:rPr>
        <w:t>a high level</w:t>
      </w:r>
      <w:r>
        <w:rPr>
          <w:rFonts w:cs="Arial"/>
        </w:rPr>
        <w:t xml:space="preserve"> overview of the entire business performance, appears to be the most common format (Few, 2006). </w:t>
      </w:r>
      <w:r w:rsidR="008D34A3">
        <w:rPr>
          <w:rFonts w:cs="Arial"/>
        </w:rPr>
        <w:t>Strategic dashboards tend to be used by senior management, and will</w:t>
      </w:r>
      <w:r>
        <w:rPr>
          <w:rFonts w:cs="Arial"/>
        </w:rPr>
        <w:t xml:space="preserve"> normally </w:t>
      </w:r>
      <w:r w:rsidR="008D34A3">
        <w:rPr>
          <w:rFonts w:cs="Arial"/>
        </w:rPr>
        <w:t>be updated in line</w:t>
      </w:r>
      <w:r>
        <w:rPr>
          <w:rFonts w:cs="Arial"/>
        </w:rPr>
        <w:t xml:space="preserve"> with the business cycle of the organisation to indicate the achievement of monthly or quarterly business goals</w:t>
      </w:r>
      <w:r w:rsidR="008D34A3">
        <w:rPr>
          <w:rFonts w:cs="Arial"/>
        </w:rPr>
        <w:t xml:space="preserve">. </w:t>
      </w:r>
    </w:p>
    <w:p w:rsidR="004F49B0" w:rsidRDefault="008D34A3" w:rsidP="001451FA">
      <w:pPr>
        <w:rPr>
          <w:rFonts w:cs="Arial"/>
        </w:rPr>
      </w:pPr>
      <w:r>
        <w:rPr>
          <w:rFonts w:cs="Arial"/>
        </w:rPr>
        <w:t>Analytical dashboard applications are generally used to make sense of business intelligence data</w:t>
      </w:r>
      <w:r w:rsidR="00E55831">
        <w:rPr>
          <w:rFonts w:cs="Arial"/>
        </w:rPr>
        <w:t>, and will be used b</w:t>
      </w:r>
      <w:r>
        <w:rPr>
          <w:rFonts w:cs="Arial"/>
        </w:rPr>
        <w:t xml:space="preserve">y data analysts, policy makers and </w:t>
      </w:r>
      <w:r w:rsidR="00E55831">
        <w:rPr>
          <w:rFonts w:cs="Arial"/>
        </w:rPr>
        <w:t>technical experts. Whilst the strategic dashboard provides a static overview, the analytical dashboard will usually be high</w:t>
      </w:r>
      <w:r w:rsidR="00EB7B3F">
        <w:rPr>
          <w:rFonts w:cs="Arial"/>
        </w:rPr>
        <w:t>ly</w:t>
      </w:r>
      <w:r w:rsidR="00E55831">
        <w:rPr>
          <w:rFonts w:cs="Arial"/>
        </w:rPr>
        <w:t xml:space="preserve"> interactive, and will allow detailed integration of the data to provide many different interpretations. Analytical dashboards will be updated as and when new information is available, </w:t>
      </w:r>
      <w:r w:rsidR="00461F2B">
        <w:rPr>
          <w:rFonts w:cs="Arial"/>
        </w:rPr>
        <w:t xml:space="preserve">or on an as required basis. </w:t>
      </w:r>
    </w:p>
    <w:p w:rsidR="00461F2B" w:rsidRDefault="00461F2B" w:rsidP="001451FA">
      <w:pPr>
        <w:rPr>
          <w:rFonts w:cs="Arial"/>
        </w:rPr>
      </w:pPr>
      <w:r>
        <w:rPr>
          <w:rFonts w:cs="Arial"/>
        </w:rPr>
        <w:t>Operational dashboard applications are used to monitor the detailed short-term condition of critical business processes—those that are essential to the organisation’s value chain and ultimately its long term success. Typical applications may include monitoring operational safety or quality, but could focus on anything the organisation believes is operationally important. The primary function of such applications is to highlight process abnormalities</w:t>
      </w:r>
      <w:r w:rsidR="006743E5">
        <w:rPr>
          <w:rFonts w:cs="Arial"/>
        </w:rPr>
        <w:t>, and so t</w:t>
      </w:r>
      <w:r>
        <w:rPr>
          <w:rFonts w:cs="Arial"/>
        </w:rPr>
        <w:t>hese dashboards tend to operate very close to real</w:t>
      </w:r>
      <w:r w:rsidR="006743E5">
        <w:rPr>
          <w:rFonts w:cs="Arial"/>
        </w:rPr>
        <w:t>-</w:t>
      </w:r>
      <w:r>
        <w:rPr>
          <w:rFonts w:cs="Arial"/>
        </w:rPr>
        <w:t xml:space="preserve">time with refresh rates typically less than a minute. </w:t>
      </w:r>
    </w:p>
    <w:p w:rsidR="004E102C" w:rsidRDefault="004E102C" w:rsidP="001451FA">
      <w:pPr>
        <w:rPr>
          <w:rFonts w:cs="Arial"/>
        </w:rPr>
      </w:pPr>
      <w:r>
        <w:rPr>
          <w:rFonts w:cs="Arial"/>
        </w:rPr>
        <w:t xml:space="preserve">Clearly then, the intended level of use within the organisation has major effect on the nature and content of the dashboard itself, and is therefore context dependant. </w:t>
      </w:r>
    </w:p>
    <w:p w:rsidR="00AF2053" w:rsidRDefault="00AF2053" w:rsidP="00C10824">
      <w:pPr>
        <w:rPr>
          <w:rFonts w:cs="Arial"/>
        </w:rPr>
      </w:pPr>
    </w:p>
    <w:p w:rsidR="00A75FD6" w:rsidRPr="00DE7DAA" w:rsidRDefault="003150D5" w:rsidP="00C10824">
      <w:pPr>
        <w:rPr>
          <w:rFonts w:cs="Arial"/>
          <w:b/>
        </w:rPr>
      </w:pPr>
      <w:r w:rsidRPr="00DE7DAA">
        <w:rPr>
          <w:rFonts w:cs="Arial"/>
          <w:b/>
        </w:rPr>
        <w:t>Research Questions</w:t>
      </w:r>
      <w:r w:rsidRPr="00DE7DAA">
        <w:rPr>
          <w:b/>
          <w:bCs/>
        </w:rPr>
        <w:t xml:space="preserve"> and </w:t>
      </w:r>
      <w:r w:rsidR="00F9249B" w:rsidRPr="00DE7DAA">
        <w:rPr>
          <w:b/>
          <w:bCs/>
        </w:rPr>
        <w:t>Method</w:t>
      </w:r>
    </w:p>
    <w:p w:rsidR="008871B7" w:rsidRDefault="008C5C07" w:rsidP="00C10824">
      <w:pPr>
        <w:rPr>
          <w:rFonts w:cs="Arial"/>
        </w:rPr>
      </w:pPr>
      <w:r>
        <w:rPr>
          <w:rFonts w:cs="Arial"/>
        </w:rPr>
        <w:t xml:space="preserve">From the above </w:t>
      </w:r>
      <w:r w:rsidR="00EB7B3F">
        <w:rPr>
          <w:rFonts w:cs="Arial"/>
        </w:rPr>
        <w:t>discussion</w:t>
      </w:r>
      <w:r w:rsidR="00E952F6">
        <w:rPr>
          <w:rFonts w:cs="Arial"/>
        </w:rPr>
        <w:t>,</w:t>
      </w:r>
      <w:r w:rsidR="00EB7B3F">
        <w:rPr>
          <w:rFonts w:cs="Arial"/>
        </w:rPr>
        <w:t xml:space="preserve"> </w:t>
      </w:r>
      <w:r w:rsidR="0032236B">
        <w:rPr>
          <w:rFonts w:cs="Arial"/>
        </w:rPr>
        <w:t>two</w:t>
      </w:r>
      <w:r w:rsidR="00A060AF">
        <w:rPr>
          <w:rFonts w:cs="Arial"/>
        </w:rPr>
        <w:t xml:space="preserve"> </w:t>
      </w:r>
      <w:r>
        <w:rPr>
          <w:rFonts w:cs="Arial"/>
        </w:rPr>
        <w:t xml:space="preserve">research questions emerge. </w:t>
      </w:r>
      <w:r w:rsidR="00F9249B">
        <w:rPr>
          <w:rFonts w:cs="Arial"/>
        </w:rPr>
        <w:t xml:space="preserve">First, how </w:t>
      </w:r>
      <w:r w:rsidR="003150D5">
        <w:rPr>
          <w:rFonts w:cs="Arial"/>
        </w:rPr>
        <w:t>are dashboards</w:t>
      </w:r>
      <w:r w:rsidR="00F9249B">
        <w:rPr>
          <w:rFonts w:cs="Arial"/>
        </w:rPr>
        <w:t xml:space="preserve"> used within housing associations</w:t>
      </w:r>
      <w:r w:rsidR="003150D5">
        <w:rPr>
          <w:rFonts w:cs="Arial"/>
        </w:rPr>
        <w:t>? Second</w:t>
      </w:r>
      <w:r w:rsidR="00CF7AFB">
        <w:rPr>
          <w:rFonts w:cs="Arial"/>
        </w:rPr>
        <w:t>, how</w:t>
      </w:r>
      <w:r w:rsidR="008F3FE2">
        <w:rPr>
          <w:rFonts w:cs="Arial"/>
        </w:rPr>
        <w:t xml:space="preserve"> </w:t>
      </w:r>
      <w:r w:rsidR="003150D5">
        <w:rPr>
          <w:rFonts w:cs="Arial"/>
        </w:rPr>
        <w:t xml:space="preserve">are dashboards </w:t>
      </w:r>
      <w:r w:rsidR="00A060AF">
        <w:rPr>
          <w:rFonts w:cs="Arial"/>
        </w:rPr>
        <w:t>used by the senior management team</w:t>
      </w:r>
      <w:r w:rsidR="00EB7B3F">
        <w:rPr>
          <w:rFonts w:cs="Arial"/>
        </w:rPr>
        <w:t>s</w:t>
      </w:r>
      <w:r w:rsidR="00A060AF">
        <w:rPr>
          <w:rFonts w:cs="Arial"/>
        </w:rPr>
        <w:t xml:space="preserve"> in a performance </w:t>
      </w:r>
      <w:r w:rsidR="00E55FB5">
        <w:rPr>
          <w:rFonts w:cs="Arial"/>
        </w:rPr>
        <w:t xml:space="preserve">management </w:t>
      </w:r>
      <w:r w:rsidR="00A060AF">
        <w:rPr>
          <w:rFonts w:cs="Arial"/>
        </w:rPr>
        <w:t xml:space="preserve">role? </w:t>
      </w:r>
    </w:p>
    <w:p w:rsidR="00E15AC1" w:rsidRDefault="003150D5" w:rsidP="00C10824">
      <w:r w:rsidRPr="00C16EE4">
        <w:rPr>
          <w:bCs/>
        </w:rPr>
        <w:t xml:space="preserve">A </w:t>
      </w:r>
      <w:r w:rsidR="00EF3952">
        <w:rPr>
          <w:bCs/>
        </w:rPr>
        <w:t>multiple</w:t>
      </w:r>
      <w:r w:rsidR="00EF3952" w:rsidRPr="00C16EE4">
        <w:rPr>
          <w:bCs/>
        </w:rPr>
        <w:t xml:space="preserve"> </w:t>
      </w:r>
      <w:r w:rsidRPr="00C16EE4">
        <w:rPr>
          <w:bCs/>
        </w:rPr>
        <w:t xml:space="preserve">case study analysis </w:t>
      </w:r>
      <w:r>
        <w:rPr>
          <w:bCs/>
        </w:rPr>
        <w:t>was</w:t>
      </w:r>
      <w:r w:rsidR="00A50C89" w:rsidRPr="00C16EE4">
        <w:rPr>
          <w:bCs/>
        </w:rPr>
        <w:t xml:space="preserve"> </w:t>
      </w:r>
      <w:r w:rsidR="00C16EE4">
        <w:rPr>
          <w:bCs/>
        </w:rPr>
        <w:t>adopted</w:t>
      </w:r>
      <w:r w:rsidR="00A50C89" w:rsidRPr="00C16EE4">
        <w:rPr>
          <w:bCs/>
        </w:rPr>
        <w:t xml:space="preserve"> in this study was which involved interviews with senior managers and directors within housing associations.</w:t>
      </w:r>
      <w:r w:rsidR="00D13886" w:rsidRPr="00C16EE4">
        <w:rPr>
          <w:bCs/>
        </w:rPr>
        <w:t xml:space="preserve"> In total 38 interviews were conducted over a five year period beginning just before the start of the GFC and completing in 2012. All interviews were digitally recorded and transcribed verbatim. In addition secondary data in the form of internal documents, external performance data and legal and regulatory documentation were employed to further understand the changes that were taking place within the sector. The internal and external performance reporting data provided an added richness to the comments from the senior management team within housing associations. </w:t>
      </w:r>
      <w:r w:rsidR="004F630C">
        <w:t xml:space="preserve">Using </w:t>
      </w:r>
      <w:r w:rsidR="00536DAE">
        <w:t xml:space="preserve">a </w:t>
      </w:r>
      <w:r w:rsidR="004F630C">
        <w:t xml:space="preserve">longitudinal study case method, the above research questions were used as the basis for examining the use, managerial role, and potential of benefits of dashboard performance reporting with UK housing associations. </w:t>
      </w:r>
    </w:p>
    <w:p w:rsidR="004F630C" w:rsidRDefault="004F630C" w:rsidP="00C10824"/>
    <w:p w:rsidR="00B8420F" w:rsidRPr="00DE7DAA" w:rsidRDefault="004F630C" w:rsidP="00C10824">
      <w:pPr>
        <w:rPr>
          <w:b/>
        </w:rPr>
      </w:pPr>
      <w:r w:rsidRPr="00DE7DAA">
        <w:rPr>
          <w:b/>
        </w:rPr>
        <w:t>Findings and Discussion</w:t>
      </w:r>
    </w:p>
    <w:p w:rsidR="00E15AC1" w:rsidRDefault="00E15AC1" w:rsidP="00C10824">
      <w:r>
        <w:t xml:space="preserve">Within </w:t>
      </w:r>
      <w:r w:rsidR="008900B2">
        <w:t>social housing</w:t>
      </w:r>
      <w:r>
        <w:t xml:space="preserve">, </w:t>
      </w:r>
      <w:r w:rsidR="00536DAE">
        <w:t>VPM</w:t>
      </w:r>
      <w:r>
        <w:t xml:space="preserve"> was </w:t>
      </w:r>
      <w:r w:rsidR="00F16C0B">
        <w:t xml:space="preserve">observed and </w:t>
      </w:r>
      <w:r>
        <w:t xml:space="preserve">used extensively in a number of ways. </w:t>
      </w:r>
      <w:r w:rsidR="00F16C0B">
        <w:t>Primarily</w:t>
      </w:r>
      <w:r>
        <w:t xml:space="preserve"> it was used to communicate performance to </w:t>
      </w:r>
      <w:r w:rsidR="00F16C0B">
        <w:t xml:space="preserve">external </w:t>
      </w:r>
      <w:r>
        <w:t xml:space="preserve">regulatory bodies as </w:t>
      </w:r>
      <w:r w:rsidR="00536DAE">
        <w:t xml:space="preserve">a </w:t>
      </w:r>
      <w:r>
        <w:t>form of coercive isomorphism</w:t>
      </w:r>
      <w:r w:rsidR="00F16C0B">
        <w:t xml:space="preserve"> by the </w:t>
      </w:r>
      <w:r w:rsidR="008F3FE2">
        <w:t xml:space="preserve">housing association </w:t>
      </w:r>
      <w:r w:rsidR="00F16C0B">
        <w:t>management team</w:t>
      </w:r>
      <w:r>
        <w:t xml:space="preserve"> to justify </w:t>
      </w:r>
      <w:r w:rsidR="00F16C0B">
        <w:t xml:space="preserve">and provided evidence of </w:t>
      </w:r>
      <w:r>
        <w:t>good governance and continuous improvement.</w:t>
      </w:r>
      <w:r w:rsidR="00536DAE">
        <w:t xml:space="preserve"> We now consider</w:t>
      </w:r>
      <w:r w:rsidR="00632DDD">
        <w:t xml:space="preserve"> the motivations for adopting</w:t>
      </w:r>
      <w:r w:rsidR="00536DAE">
        <w:t xml:space="preserve"> </w:t>
      </w:r>
      <w:r w:rsidR="00632DDD">
        <w:t>VPM in the context and language of institutional theory using the terms</w:t>
      </w:r>
      <w:r w:rsidR="00536DAE">
        <w:t xml:space="preserve"> coercive, </w:t>
      </w:r>
      <w:r w:rsidR="002F4967">
        <w:t xml:space="preserve">mimetic </w:t>
      </w:r>
      <w:r w:rsidR="00536DAE">
        <w:t>and</w:t>
      </w:r>
      <w:r w:rsidR="002F4967">
        <w:t xml:space="preserve"> normative</w:t>
      </w:r>
      <w:r w:rsidR="00536DAE">
        <w:t xml:space="preserve"> isomorphism </w:t>
      </w:r>
      <w:r w:rsidR="00FC6120">
        <w:t>within housing associations and explore its role in more detail.</w:t>
      </w:r>
    </w:p>
    <w:p w:rsidR="00E15AC1" w:rsidRPr="00D3710D" w:rsidRDefault="00536DAE" w:rsidP="00C10824">
      <w:pPr>
        <w:rPr>
          <w:b/>
        </w:rPr>
      </w:pPr>
      <w:r w:rsidRPr="00D3710D">
        <w:rPr>
          <w:b/>
        </w:rPr>
        <w:t>Coercive</w:t>
      </w:r>
      <w:r w:rsidR="00625A9E" w:rsidRPr="00D3710D">
        <w:rPr>
          <w:b/>
        </w:rPr>
        <w:t xml:space="preserve"> Isomorphism in compliance based performance measurement.</w:t>
      </w:r>
    </w:p>
    <w:p w:rsidR="00625A9E" w:rsidRDefault="00625A9E" w:rsidP="00C10824">
      <w:r>
        <w:t>The regulatory body</w:t>
      </w:r>
      <w:r w:rsidR="00DE7DAA">
        <w:t xml:space="preserve">, has been reformed several times since the GFC, changing from the Housing Corporation to the Tenants Services Authority and more recently to the Housing and Communities Agency. The interviews were undertaken during the time of this reform when it was called the Tenant Services </w:t>
      </w:r>
      <w:r w:rsidR="00554DD6">
        <w:t>A</w:t>
      </w:r>
      <w:r w:rsidR="00DE7DAA">
        <w:t xml:space="preserve">uthority, it </w:t>
      </w:r>
      <w:r w:rsidR="00CF7AFB">
        <w:t>was adjusting</w:t>
      </w:r>
      <w:r>
        <w:t xml:space="preserve"> to the aftermath of the GFC and the subsequent austerity measures and </w:t>
      </w:r>
      <w:r w:rsidR="00CF7AFB">
        <w:t>was tasked</w:t>
      </w:r>
      <w:r>
        <w:t xml:space="preserve"> with the role:</w:t>
      </w:r>
    </w:p>
    <w:p w:rsidR="007B278E" w:rsidRPr="00B460A8" w:rsidRDefault="00FC6120" w:rsidP="00B460A8">
      <w:pPr>
        <w:ind w:left="850" w:right="850"/>
        <w:jc w:val="both"/>
        <w:rPr>
          <w:rFonts w:asciiTheme="minorHAnsi" w:hAnsiTheme="minorHAnsi" w:cs="Arial"/>
        </w:rPr>
      </w:pPr>
      <w:r>
        <w:rPr>
          <w:rFonts w:asciiTheme="minorHAnsi" w:hAnsiTheme="minorHAnsi" w:cs="Arial"/>
        </w:rPr>
        <w:t>T</w:t>
      </w:r>
      <w:r w:rsidRPr="00B460A8">
        <w:rPr>
          <w:rFonts w:asciiTheme="minorHAnsi" w:hAnsiTheme="minorHAnsi" w:cs="Arial"/>
        </w:rPr>
        <w:t xml:space="preserve">o </w:t>
      </w:r>
      <w:r w:rsidR="004C13F5" w:rsidRPr="00B460A8">
        <w:rPr>
          <w:rFonts w:asciiTheme="minorHAnsi" w:hAnsiTheme="minorHAnsi" w:cs="Arial"/>
        </w:rPr>
        <w:t>ensure the integrity of the sector, and to ensure that residents and tenants receive a good service, but also that the sector is well managed, it’s financially viable, and it’s well governed as well. (REG)</w:t>
      </w:r>
    </w:p>
    <w:p w:rsidR="00625A9E" w:rsidRPr="00B460A8" w:rsidRDefault="004C13F5" w:rsidP="00554DD6">
      <w:pPr>
        <w:rPr>
          <w:rFonts w:asciiTheme="minorHAnsi" w:hAnsiTheme="minorHAnsi" w:cs="Arial"/>
        </w:rPr>
      </w:pPr>
      <w:r w:rsidRPr="00B460A8">
        <w:rPr>
          <w:rFonts w:asciiTheme="minorHAnsi" w:hAnsiTheme="minorHAnsi" w:cs="Arial"/>
        </w:rPr>
        <w:t>This is achieved by housing associations supplying performance data to the regulator against agreed KPIs</w:t>
      </w:r>
      <w:r w:rsidR="00FC6120">
        <w:rPr>
          <w:rFonts w:asciiTheme="minorHAnsi" w:hAnsiTheme="minorHAnsi" w:cs="Arial"/>
        </w:rPr>
        <w:t xml:space="preserve">. </w:t>
      </w:r>
      <w:r w:rsidRPr="00B460A8">
        <w:rPr>
          <w:rFonts w:asciiTheme="minorHAnsi" w:hAnsiTheme="minorHAnsi" w:cs="Arial"/>
        </w:rPr>
        <w:t xml:space="preserve"> </w:t>
      </w:r>
      <w:r w:rsidR="00632DDD">
        <w:rPr>
          <w:rFonts w:asciiTheme="minorHAnsi" w:hAnsiTheme="minorHAnsi" w:cs="Arial"/>
        </w:rPr>
        <w:t>The method of data collection has been either an ad hoc and labour intensive method adaptation of governance reports or by means of visual performance</w:t>
      </w:r>
      <w:r w:rsidR="00554DD6">
        <w:rPr>
          <w:rFonts w:asciiTheme="minorHAnsi" w:hAnsiTheme="minorHAnsi" w:cs="Arial"/>
        </w:rPr>
        <w:t>:</w:t>
      </w:r>
      <w:r w:rsidR="00632DDD">
        <w:rPr>
          <w:rFonts w:asciiTheme="minorHAnsi" w:hAnsiTheme="minorHAnsi" w:cs="Arial"/>
        </w:rPr>
        <w:t xml:space="preserve"> </w:t>
      </w:r>
    </w:p>
    <w:p w:rsidR="007B278E" w:rsidRPr="00B460A8" w:rsidRDefault="004C13F5" w:rsidP="00B460A8">
      <w:pPr>
        <w:ind w:left="850" w:right="850"/>
        <w:jc w:val="both"/>
        <w:rPr>
          <w:rFonts w:asciiTheme="minorHAnsi" w:hAnsiTheme="minorHAnsi" w:cs="Arial"/>
        </w:rPr>
      </w:pPr>
      <w:r w:rsidRPr="00B460A8">
        <w:rPr>
          <w:rFonts w:asciiTheme="minorHAnsi" w:eastAsia="Calibri" w:hAnsiTheme="minorHAnsi" w:cs="Arial"/>
        </w:rPr>
        <w:t>I mean when you receive Board reports for example, there is often a quite sophisticated suite of performance indicators within it, often using the traffic light methodology, so that Board members can identify quite quickly whether there</w:t>
      </w:r>
      <w:r w:rsidR="00FC6120">
        <w:rPr>
          <w:rFonts w:asciiTheme="minorHAnsi" w:eastAsia="Calibri" w:hAnsiTheme="minorHAnsi" w:cs="Arial"/>
        </w:rPr>
        <w:t xml:space="preserve"> are</w:t>
      </w:r>
      <w:r w:rsidRPr="00B460A8">
        <w:rPr>
          <w:rFonts w:asciiTheme="minorHAnsi" w:eastAsia="Calibri" w:hAnsiTheme="minorHAnsi" w:cs="Arial"/>
        </w:rPr>
        <w:t xml:space="preserve"> areas that the business is not performing in line with the targets that it’s set itself.</w:t>
      </w:r>
      <w:r w:rsidR="00FC6120">
        <w:rPr>
          <w:rFonts w:asciiTheme="minorHAnsi" w:eastAsia="Calibri" w:hAnsiTheme="minorHAnsi" w:cs="Arial"/>
        </w:rPr>
        <w:t xml:space="preserve"> </w:t>
      </w:r>
      <w:r w:rsidRPr="00B460A8">
        <w:rPr>
          <w:rFonts w:asciiTheme="minorHAnsi" w:eastAsia="Calibri" w:hAnsiTheme="minorHAnsi" w:cs="Arial"/>
        </w:rPr>
        <w:t>(REG)</w:t>
      </w:r>
    </w:p>
    <w:p w:rsidR="007B278E" w:rsidRPr="00B460A8" w:rsidRDefault="00FC6120" w:rsidP="00B460A8">
      <w:pPr>
        <w:ind w:left="850" w:right="850"/>
        <w:jc w:val="both"/>
        <w:rPr>
          <w:rFonts w:asciiTheme="minorHAnsi" w:hAnsiTheme="minorHAnsi" w:cs="Arial"/>
        </w:rPr>
      </w:pPr>
      <w:r>
        <w:rPr>
          <w:rFonts w:asciiTheme="minorHAnsi" w:eastAsia="Calibri" w:hAnsiTheme="minorHAnsi" w:cs="Arial"/>
        </w:rPr>
        <w:t>W</w:t>
      </w:r>
      <w:r w:rsidRPr="00B460A8">
        <w:rPr>
          <w:rFonts w:asciiTheme="minorHAnsi" w:eastAsia="Calibri" w:hAnsiTheme="minorHAnsi" w:cs="Arial"/>
        </w:rPr>
        <w:t xml:space="preserve">e </w:t>
      </w:r>
      <w:r w:rsidR="004C13F5" w:rsidRPr="00B460A8">
        <w:rPr>
          <w:rFonts w:asciiTheme="minorHAnsi" w:eastAsia="Calibri" w:hAnsiTheme="minorHAnsi" w:cs="Arial"/>
        </w:rPr>
        <w:t>have a set of KPI’s which drop out of our objectives, but is also linked to some of the Regulatory standards that we have to comply with.  So, for example, the TSA will be wanting to look at things like our performance on arrears, maintenance, and those sorts of things. (HA3 CEO)</w:t>
      </w:r>
    </w:p>
    <w:p w:rsidR="003741CB" w:rsidRDefault="003741CB" w:rsidP="00C10824">
      <w:pPr>
        <w:rPr>
          <w:rFonts w:ascii="Arial" w:hAnsi="Arial" w:cs="Arial"/>
        </w:rPr>
      </w:pPr>
    </w:p>
    <w:p w:rsidR="007F7824" w:rsidRPr="00F00FF3" w:rsidRDefault="007F7824" w:rsidP="007F7824">
      <w:pPr>
        <w:rPr>
          <w:rFonts w:asciiTheme="minorHAnsi" w:hAnsiTheme="minorHAnsi" w:cs="Arial"/>
          <w:b/>
        </w:rPr>
      </w:pPr>
      <w:r w:rsidRPr="00F00FF3">
        <w:rPr>
          <w:rFonts w:asciiTheme="minorHAnsi" w:hAnsiTheme="minorHAnsi" w:cs="Arial"/>
          <w:b/>
        </w:rPr>
        <w:t>Competitive Isomorphism within Social Housing</w:t>
      </w:r>
    </w:p>
    <w:p w:rsidR="00CC0C56" w:rsidRDefault="007F7824">
      <w:pPr>
        <w:rPr>
          <w:rFonts w:asciiTheme="minorHAnsi" w:hAnsiTheme="minorHAnsi" w:cs="Arial"/>
        </w:rPr>
      </w:pPr>
      <w:r w:rsidRPr="007D387A">
        <w:rPr>
          <w:lang w:val="en-NZ"/>
        </w:rPr>
        <w:t>Competitive isomorphism</w:t>
      </w:r>
      <w:r w:rsidR="007B552C" w:rsidRPr="007D387A">
        <w:rPr>
          <w:lang w:val="en-NZ"/>
        </w:rPr>
        <w:t xml:space="preserve"> (DiMaggio and Powell, 1983)</w:t>
      </w:r>
      <w:r w:rsidRPr="007D387A">
        <w:rPr>
          <w:lang w:val="en-NZ"/>
        </w:rPr>
        <w:t xml:space="preserve">, in a social housing context, is associated with the transition from highly regulated housing associations to </w:t>
      </w:r>
      <w:r w:rsidR="007B552C" w:rsidRPr="007D387A">
        <w:rPr>
          <w:lang w:val="en-NZ"/>
        </w:rPr>
        <w:t>an environment with lighter touch regulation and increased private sector competition.</w:t>
      </w:r>
      <w:r w:rsidR="007D387A">
        <w:rPr>
          <w:lang w:val="en-NZ"/>
        </w:rPr>
        <w:t xml:space="preserve"> </w:t>
      </w:r>
      <w:r w:rsidR="007A08D3" w:rsidRPr="007D387A">
        <w:rPr>
          <w:rFonts w:asciiTheme="minorHAnsi" w:hAnsiTheme="minorHAnsi" w:cs="Arial"/>
        </w:rPr>
        <w:t>Examples of c</w:t>
      </w:r>
      <w:r w:rsidR="004C13F5" w:rsidRPr="007D387A">
        <w:rPr>
          <w:rFonts w:asciiTheme="minorHAnsi" w:hAnsiTheme="minorHAnsi" w:cs="Arial"/>
        </w:rPr>
        <w:t xml:space="preserve">ompetitive </w:t>
      </w:r>
      <w:r w:rsidR="00554DD6" w:rsidRPr="007D387A">
        <w:rPr>
          <w:rFonts w:asciiTheme="minorHAnsi" w:hAnsiTheme="minorHAnsi" w:cs="Arial"/>
        </w:rPr>
        <w:t>i</w:t>
      </w:r>
      <w:r w:rsidR="004C13F5" w:rsidRPr="007D387A">
        <w:rPr>
          <w:rFonts w:asciiTheme="minorHAnsi" w:hAnsiTheme="minorHAnsi" w:cs="Arial"/>
        </w:rPr>
        <w:t>somorphism</w:t>
      </w:r>
      <w:r w:rsidR="007A08D3" w:rsidRPr="007D387A">
        <w:rPr>
          <w:rFonts w:asciiTheme="minorHAnsi" w:hAnsiTheme="minorHAnsi" w:cs="Arial"/>
        </w:rPr>
        <w:t xml:space="preserve"> were </w:t>
      </w:r>
      <w:r w:rsidR="007A08D3">
        <w:rPr>
          <w:rFonts w:asciiTheme="minorHAnsi" w:hAnsiTheme="minorHAnsi" w:cs="Arial"/>
        </w:rPr>
        <w:t xml:space="preserve">observed in the form of </w:t>
      </w:r>
      <w:r w:rsidR="007B552C">
        <w:rPr>
          <w:rFonts w:asciiTheme="minorHAnsi" w:hAnsiTheme="minorHAnsi" w:cs="Arial"/>
        </w:rPr>
        <w:t>increasing</w:t>
      </w:r>
      <w:r w:rsidR="007A08D3">
        <w:rPr>
          <w:rFonts w:asciiTheme="minorHAnsi" w:hAnsiTheme="minorHAnsi" w:cs="Arial"/>
        </w:rPr>
        <w:t xml:space="preserve"> competitive pressures within the sector. </w:t>
      </w:r>
      <w:r w:rsidR="004C13F5" w:rsidRPr="00B460A8">
        <w:rPr>
          <w:rFonts w:asciiTheme="minorHAnsi" w:hAnsiTheme="minorHAnsi" w:cs="Arial"/>
        </w:rPr>
        <w:t>With continued reform</w:t>
      </w:r>
      <w:r w:rsidR="00FC6120">
        <w:rPr>
          <w:rFonts w:asciiTheme="minorHAnsi" w:hAnsiTheme="minorHAnsi" w:cs="Arial"/>
        </w:rPr>
        <w:t>,</w:t>
      </w:r>
      <w:r w:rsidR="004C13F5" w:rsidRPr="00B460A8">
        <w:rPr>
          <w:rFonts w:asciiTheme="minorHAnsi" w:hAnsiTheme="minorHAnsi" w:cs="Arial"/>
        </w:rPr>
        <w:t xml:space="preserve"> including three name changes</w:t>
      </w:r>
      <w:r w:rsidR="00FC6120">
        <w:rPr>
          <w:rFonts w:asciiTheme="minorHAnsi" w:hAnsiTheme="minorHAnsi" w:cs="Arial"/>
        </w:rPr>
        <w:t>,</w:t>
      </w:r>
      <w:r w:rsidR="004C13F5" w:rsidRPr="00B460A8">
        <w:rPr>
          <w:rFonts w:asciiTheme="minorHAnsi" w:hAnsiTheme="minorHAnsi" w:cs="Arial"/>
        </w:rPr>
        <w:t xml:space="preserve"> the regulator is finding it difficult to provide leadership to the sector</w:t>
      </w:r>
      <w:r w:rsidR="00090AEB">
        <w:rPr>
          <w:rFonts w:asciiTheme="minorHAnsi" w:hAnsiTheme="minorHAnsi" w:cs="Arial"/>
        </w:rPr>
        <w:t xml:space="preserve">, a situation compounded by </w:t>
      </w:r>
      <w:r w:rsidR="004C13F5" w:rsidRPr="00B460A8">
        <w:rPr>
          <w:rFonts w:asciiTheme="minorHAnsi" w:hAnsiTheme="minorHAnsi" w:cs="Arial"/>
        </w:rPr>
        <w:t xml:space="preserve">the current </w:t>
      </w:r>
      <w:r w:rsidR="00FC6120">
        <w:rPr>
          <w:rFonts w:asciiTheme="minorHAnsi" w:hAnsiTheme="minorHAnsi" w:cs="Arial"/>
        </w:rPr>
        <w:t>G</w:t>
      </w:r>
      <w:r w:rsidR="00FC6120" w:rsidRPr="00B460A8">
        <w:rPr>
          <w:rFonts w:asciiTheme="minorHAnsi" w:hAnsiTheme="minorHAnsi" w:cs="Arial"/>
        </w:rPr>
        <w:t>overnment</w:t>
      </w:r>
      <w:r w:rsidR="00FC6120">
        <w:rPr>
          <w:rFonts w:asciiTheme="minorHAnsi" w:hAnsiTheme="minorHAnsi" w:cs="Arial"/>
        </w:rPr>
        <w:t>’s</w:t>
      </w:r>
      <w:r w:rsidR="00FC6120" w:rsidRPr="00B460A8">
        <w:rPr>
          <w:rFonts w:asciiTheme="minorHAnsi" w:hAnsiTheme="minorHAnsi" w:cs="Arial"/>
        </w:rPr>
        <w:t xml:space="preserve"> </w:t>
      </w:r>
      <w:r w:rsidR="004C13F5" w:rsidRPr="00B460A8">
        <w:rPr>
          <w:rFonts w:asciiTheme="minorHAnsi" w:hAnsiTheme="minorHAnsi" w:cs="Arial"/>
        </w:rPr>
        <w:t>prefer</w:t>
      </w:r>
      <w:r w:rsidR="00A00E87">
        <w:rPr>
          <w:rFonts w:asciiTheme="minorHAnsi" w:hAnsiTheme="minorHAnsi" w:cs="Arial"/>
        </w:rPr>
        <w:t>ence for</w:t>
      </w:r>
      <w:r w:rsidR="004C13F5" w:rsidRPr="00B460A8">
        <w:rPr>
          <w:rFonts w:asciiTheme="minorHAnsi" w:hAnsiTheme="minorHAnsi" w:cs="Arial"/>
        </w:rPr>
        <w:t xml:space="preserve"> </w:t>
      </w:r>
      <w:r w:rsidR="00CF7AFB" w:rsidRPr="00B460A8">
        <w:rPr>
          <w:rFonts w:asciiTheme="minorHAnsi" w:hAnsiTheme="minorHAnsi" w:cs="Arial"/>
        </w:rPr>
        <w:t xml:space="preserve">a </w:t>
      </w:r>
      <w:r w:rsidR="00CF7AFB">
        <w:rPr>
          <w:rFonts w:asciiTheme="minorHAnsi" w:hAnsiTheme="minorHAnsi" w:cs="Arial"/>
        </w:rPr>
        <w:t>laissez</w:t>
      </w:r>
      <w:r w:rsidR="00A00E87">
        <w:rPr>
          <w:rFonts w:asciiTheme="minorHAnsi" w:hAnsiTheme="minorHAnsi" w:cs="Arial"/>
        </w:rPr>
        <w:t>-</w:t>
      </w:r>
      <w:r w:rsidR="00FC6120">
        <w:rPr>
          <w:rFonts w:asciiTheme="minorHAnsi" w:hAnsiTheme="minorHAnsi" w:cs="Arial"/>
        </w:rPr>
        <w:t>faire</w:t>
      </w:r>
      <w:r w:rsidR="004C13F5" w:rsidRPr="00B460A8">
        <w:rPr>
          <w:rFonts w:asciiTheme="minorHAnsi" w:hAnsiTheme="minorHAnsi" w:cs="Arial"/>
        </w:rPr>
        <w:t xml:space="preserve"> approach. </w:t>
      </w:r>
      <w:r w:rsidR="007B552C">
        <w:rPr>
          <w:rFonts w:asciiTheme="minorHAnsi" w:hAnsiTheme="minorHAnsi" w:cs="Arial"/>
        </w:rPr>
        <w:t xml:space="preserve"> </w:t>
      </w:r>
      <w:r w:rsidR="007D387A">
        <w:rPr>
          <w:rFonts w:asciiTheme="minorHAnsi" w:hAnsiTheme="minorHAnsi" w:cs="Arial"/>
        </w:rPr>
        <w:t xml:space="preserve">This has led to </w:t>
      </w:r>
      <w:r w:rsidR="007B552C">
        <w:rPr>
          <w:rFonts w:asciiTheme="minorHAnsi" w:hAnsiTheme="minorHAnsi" w:cs="Arial"/>
        </w:rPr>
        <w:t xml:space="preserve">a hybridisation of social housing </w:t>
      </w:r>
      <w:r w:rsidR="007D387A">
        <w:rPr>
          <w:rFonts w:asciiTheme="minorHAnsi" w:hAnsiTheme="minorHAnsi" w:cs="Arial"/>
        </w:rPr>
        <w:t>where</w:t>
      </w:r>
      <w:r w:rsidR="007B552C">
        <w:rPr>
          <w:rFonts w:asciiTheme="minorHAnsi" w:hAnsiTheme="minorHAnsi" w:cs="Arial"/>
        </w:rPr>
        <w:t xml:space="preserve">, public, private and third sector providers </w:t>
      </w:r>
      <w:r w:rsidR="007D387A">
        <w:rPr>
          <w:rFonts w:asciiTheme="minorHAnsi" w:hAnsiTheme="minorHAnsi" w:cs="Arial"/>
        </w:rPr>
        <w:t xml:space="preserve">have now been brought together </w:t>
      </w:r>
      <w:r w:rsidR="007B552C">
        <w:rPr>
          <w:rFonts w:asciiTheme="minorHAnsi" w:hAnsiTheme="minorHAnsi" w:cs="Arial"/>
        </w:rPr>
        <w:t xml:space="preserve">under </w:t>
      </w:r>
      <w:r w:rsidR="007D387A">
        <w:rPr>
          <w:rFonts w:asciiTheme="minorHAnsi" w:hAnsiTheme="minorHAnsi" w:cs="Arial"/>
        </w:rPr>
        <w:t xml:space="preserve">one </w:t>
      </w:r>
      <w:r w:rsidR="007B552C">
        <w:rPr>
          <w:rFonts w:asciiTheme="minorHAnsi" w:hAnsiTheme="minorHAnsi" w:cs="Arial"/>
        </w:rPr>
        <w:t xml:space="preserve">new classification of Registered Provider. </w:t>
      </w:r>
      <w:r w:rsidR="004C13F5" w:rsidRPr="00B460A8">
        <w:rPr>
          <w:rFonts w:asciiTheme="minorHAnsi" w:hAnsiTheme="minorHAnsi" w:cs="Arial"/>
        </w:rPr>
        <w:t>This has benefits</w:t>
      </w:r>
      <w:r w:rsidR="00090AEB">
        <w:rPr>
          <w:rFonts w:asciiTheme="minorHAnsi" w:hAnsiTheme="minorHAnsi" w:cs="Arial"/>
        </w:rPr>
        <w:t>,</w:t>
      </w:r>
      <w:r w:rsidR="004C13F5" w:rsidRPr="00B460A8">
        <w:rPr>
          <w:rFonts w:asciiTheme="minorHAnsi" w:hAnsiTheme="minorHAnsi" w:cs="Arial"/>
        </w:rPr>
        <w:t xml:space="preserve"> but it also requires housing associations to take more responsibility and accountability for </w:t>
      </w:r>
      <w:r w:rsidR="00023429">
        <w:rPr>
          <w:rFonts w:asciiTheme="minorHAnsi" w:hAnsiTheme="minorHAnsi" w:cs="Arial"/>
        </w:rPr>
        <w:t>their</w:t>
      </w:r>
      <w:r w:rsidR="004C13F5" w:rsidRPr="00B460A8">
        <w:rPr>
          <w:rFonts w:asciiTheme="minorHAnsi" w:hAnsiTheme="minorHAnsi" w:cs="Arial"/>
        </w:rPr>
        <w:t xml:space="preserve"> governance. One housing association claimed</w:t>
      </w:r>
      <w:r w:rsidR="00554DD6">
        <w:rPr>
          <w:rFonts w:asciiTheme="minorHAnsi" w:hAnsiTheme="minorHAnsi" w:cs="Arial"/>
        </w:rPr>
        <w:t>:</w:t>
      </w:r>
      <w:r w:rsidR="004C13F5" w:rsidRPr="00B460A8">
        <w:rPr>
          <w:rFonts w:asciiTheme="minorHAnsi" w:hAnsiTheme="minorHAnsi" w:cs="Arial"/>
        </w:rPr>
        <w:t xml:space="preserve"> </w:t>
      </w:r>
    </w:p>
    <w:p w:rsidR="006F6210" w:rsidRDefault="004C13F5">
      <w:pPr>
        <w:ind w:left="993" w:right="804"/>
        <w:rPr>
          <w:rFonts w:asciiTheme="minorHAnsi" w:hAnsiTheme="minorHAnsi" w:cs="Times New Roman"/>
        </w:rPr>
      </w:pPr>
      <w:r w:rsidRPr="00B460A8">
        <w:rPr>
          <w:rFonts w:asciiTheme="minorHAnsi" w:hAnsiTheme="minorHAnsi" w:cs="Times New Roman"/>
        </w:rPr>
        <w:t xml:space="preserve">The regulatory environment is in such a pickle, that we just feel that we can’t rely on them to just kind of scrutinise us.  We have to do it properly for ourselves (HA3 CEO). </w:t>
      </w:r>
    </w:p>
    <w:p w:rsidR="00CC0C56" w:rsidRDefault="004C13F5" w:rsidP="00554DD6">
      <w:pPr>
        <w:rPr>
          <w:rFonts w:asciiTheme="minorHAnsi" w:hAnsiTheme="minorHAnsi" w:cs="Times New Roman"/>
        </w:rPr>
      </w:pPr>
      <w:r w:rsidRPr="00B460A8">
        <w:rPr>
          <w:rFonts w:asciiTheme="minorHAnsi" w:hAnsiTheme="minorHAnsi" w:cs="Times New Roman"/>
        </w:rPr>
        <w:t>This organisation also voiced concerns about the potential of private sector competition</w:t>
      </w:r>
      <w:r w:rsidR="00554DD6">
        <w:rPr>
          <w:rFonts w:asciiTheme="minorHAnsi" w:hAnsiTheme="minorHAnsi" w:cs="Times New Roman"/>
        </w:rPr>
        <w:t>:</w:t>
      </w:r>
      <w:r w:rsidRPr="00B460A8">
        <w:rPr>
          <w:rFonts w:asciiTheme="minorHAnsi" w:hAnsiTheme="minorHAnsi" w:cs="Times New Roman"/>
        </w:rPr>
        <w:t xml:space="preserve"> </w:t>
      </w:r>
    </w:p>
    <w:p w:rsidR="00CC0C56" w:rsidRDefault="004C13F5" w:rsidP="00CC0C56">
      <w:pPr>
        <w:ind w:left="851" w:right="804"/>
        <w:rPr>
          <w:rFonts w:asciiTheme="minorHAnsi" w:hAnsiTheme="minorHAnsi" w:cs="Times New Roman"/>
        </w:rPr>
      </w:pPr>
      <w:r w:rsidRPr="00B460A8">
        <w:rPr>
          <w:rFonts w:asciiTheme="minorHAnsi" w:hAnsiTheme="minorHAnsi" w:cs="Times New Roman"/>
        </w:rPr>
        <w:t xml:space="preserve">We’re keeping a very close eye on these companies like Serco, and Capita, and what have you, because they could well start to come in and pinch contracts from us I think (HA3 CEO). </w:t>
      </w:r>
    </w:p>
    <w:p w:rsidR="006F6210" w:rsidRDefault="004C13F5">
      <w:pPr>
        <w:ind w:right="95"/>
        <w:rPr>
          <w:rFonts w:asciiTheme="minorHAnsi" w:hAnsiTheme="minorHAnsi" w:cs="Times New Roman"/>
        </w:rPr>
      </w:pPr>
      <w:r w:rsidRPr="00B460A8">
        <w:rPr>
          <w:rFonts w:asciiTheme="minorHAnsi" w:hAnsiTheme="minorHAnsi" w:cs="Times New Roman"/>
        </w:rPr>
        <w:t>The arrival of private sector competition was also confirmed by the regulator</w:t>
      </w:r>
      <w:r w:rsidR="00554DD6">
        <w:rPr>
          <w:rFonts w:asciiTheme="minorHAnsi" w:hAnsiTheme="minorHAnsi" w:cs="Times New Roman"/>
        </w:rPr>
        <w:t>:</w:t>
      </w:r>
    </w:p>
    <w:p w:rsidR="006F6210" w:rsidRDefault="004C13F5" w:rsidP="00611C0A">
      <w:pPr>
        <w:ind w:left="851" w:right="946" w:hanging="131"/>
        <w:rPr>
          <w:rFonts w:asciiTheme="minorHAnsi" w:hAnsiTheme="minorHAnsi" w:cs="Arial"/>
        </w:rPr>
      </w:pPr>
      <w:r w:rsidRPr="00B460A8">
        <w:rPr>
          <w:rFonts w:asciiTheme="minorHAnsi" w:hAnsiTheme="minorHAnsi" w:cs="Times New Roman"/>
        </w:rPr>
        <w:t xml:space="preserve"> </w:t>
      </w:r>
      <w:r w:rsidRPr="00B460A8">
        <w:rPr>
          <w:rFonts w:asciiTheme="minorHAnsi" w:eastAsia="Calibri" w:hAnsiTheme="minorHAnsi" w:cs="Arial"/>
        </w:rPr>
        <w:t>It came about in the Housing and Regeneration Act, with effect from 1</w:t>
      </w:r>
      <w:r w:rsidRPr="00B460A8">
        <w:rPr>
          <w:rFonts w:asciiTheme="minorHAnsi" w:eastAsia="Calibri" w:hAnsiTheme="minorHAnsi" w:cs="Arial"/>
          <w:vertAlign w:val="superscript"/>
        </w:rPr>
        <w:t>st</w:t>
      </w:r>
      <w:r w:rsidRPr="00B460A8">
        <w:rPr>
          <w:rFonts w:asciiTheme="minorHAnsi" w:eastAsia="Calibri" w:hAnsiTheme="minorHAnsi" w:cs="Arial"/>
        </w:rPr>
        <w:t xml:space="preserve"> April this year</w:t>
      </w:r>
      <w:r w:rsidRPr="00B460A8">
        <w:rPr>
          <w:rFonts w:asciiTheme="minorHAnsi" w:hAnsiTheme="minorHAnsi" w:cs="Arial"/>
        </w:rPr>
        <w:t xml:space="preserve"> (2010)</w:t>
      </w:r>
      <w:r w:rsidRPr="00B460A8">
        <w:rPr>
          <w:rFonts w:asciiTheme="minorHAnsi" w:eastAsia="Calibri" w:hAnsiTheme="minorHAnsi" w:cs="Arial"/>
        </w:rPr>
        <w:t>, profit providers can apply to be admitted to our register. (REG)</w:t>
      </w:r>
    </w:p>
    <w:p w:rsidR="00EC0DEF" w:rsidRDefault="00EC0DEF" w:rsidP="00C10824"/>
    <w:p w:rsidR="00EC0DEF" w:rsidRPr="00EC0DEF" w:rsidRDefault="00EC0DEF" w:rsidP="00C10824">
      <w:pPr>
        <w:rPr>
          <w:b/>
        </w:rPr>
      </w:pPr>
      <w:r w:rsidRPr="00EC0DEF">
        <w:rPr>
          <w:b/>
        </w:rPr>
        <w:t>Mimetic Isomorphism in Visual Performance</w:t>
      </w:r>
    </w:p>
    <w:p w:rsidR="00AD5111" w:rsidRDefault="003B0CF5" w:rsidP="00C10824">
      <w:r>
        <w:t xml:space="preserve">With limited support from the housing regulator, housing associations have been turning to the private sector for ideas. This form of mimetic isomorphism (Di Maggio and Powell, 1983) has inspired housing associations to adopt holistic frameworks for visual performance management.  Holistic frameworks facilitate the communication </w:t>
      </w:r>
      <w:r w:rsidR="00CF7AFB">
        <w:t>of good</w:t>
      </w:r>
      <w:r w:rsidR="00F16C0B">
        <w:t xml:space="preserve"> managerial </w:t>
      </w:r>
      <w:r w:rsidR="00DA62A8">
        <w:t xml:space="preserve">and governance </w:t>
      </w:r>
      <w:r w:rsidR="00E15AC1">
        <w:t xml:space="preserve">performance to tenants and external stakeholders. </w:t>
      </w:r>
      <w:r w:rsidR="00824D67">
        <w:t xml:space="preserve">One </w:t>
      </w:r>
      <w:r w:rsidR="001633D4">
        <w:t>h</w:t>
      </w:r>
      <w:r w:rsidR="00824D67">
        <w:t xml:space="preserve">ousing </w:t>
      </w:r>
      <w:r w:rsidR="001633D4">
        <w:t>a</w:t>
      </w:r>
      <w:r w:rsidR="00824D67">
        <w:t xml:space="preserve">ssociation </w:t>
      </w:r>
      <w:r w:rsidR="00914110">
        <w:t xml:space="preserve">drew </w:t>
      </w:r>
      <w:r w:rsidR="00824D67">
        <w:t>from best practice within the private and public sector</w:t>
      </w:r>
      <w:r w:rsidR="00914110">
        <w:t>s</w:t>
      </w:r>
      <w:r w:rsidR="00824D67">
        <w:t xml:space="preserve"> </w:t>
      </w:r>
      <w:r w:rsidR="00914110">
        <w:t>by</w:t>
      </w:r>
      <w:r w:rsidR="00824D67">
        <w:t xml:space="preserve"> implementing a visual performance system based on the </w:t>
      </w:r>
      <w:r w:rsidR="008F3FE2">
        <w:t>European Foundation for Quality Management (</w:t>
      </w:r>
      <w:r w:rsidR="00824D67">
        <w:t>EFQM</w:t>
      </w:r>
      <w:r w:rsidR="008F3FE2">
        <w:t>)</w:t>
      </w:r>
      <w:r w:rsidR="00824D67">
        <w:t xml:space="preserve"> business excellence model</w:t>
      </w:r>
      <w:r w:rsidR="00102BA7">
        <w:t xml:space="preserve"> (EFQM, 2005)</w:t>
      </w:r>
      <w:r w:rsidR="00554DD6">
        <w:t>:</w:t>
      </w:r>
    </w:p>
    <w:p w:rsidR="007B278E" w:rsidRPr="00B460A8" w:rsidRDefault="00824D67" w:rsidP="00B460A8">
      <w:pPr>
        <w:ind w:left="850" w:right="850" w:hanging="10"/>
        <w:jc w:val="both"/>
        <w:rPr>
          <w:rFonts w:asciiTheme="minorHAnsi" w:hAnsiTheme="minorHAnsi" w:cs="Arial"/>
        </w:rPr>
      </w:pPr>
      <w:r>
        <w:rPr>
          <w:rFonts w:asciiTheme="minorHAnsi" w:eastAsia="Calibri" w:hAnsiTheme="minorHAnsi" w:cs="Arial"/>
        </w:rPr>
        <w:t>This</w:t>
      </w:r>
      <w:r w:rsidR="004C13F5" w:rsidRPr="00B460A8">
        <w:rPr>
          <w:rFonts w:asciiTheme="minorHAnsi" w:eastAsia="Calibri" w:hAnsiTheme="minorHAnsi" w:cs="Arial"/>
        </w:rPr>
        <w:t xml:space="preserve"> is absolutely hot off the press for us</w:t>
      </w:r>
      <w:r w:rsidR="00632DDD">
        <w:rPr>
          <w:rFonts w:asciiTheme="minorHAnsi" w:eastAsia="Calibri" w:hAnsiTheme="minorHAnsi" w:cs="Arial"/>
        </w:rPr>
        <w:t xml:space="preserve"> based</w:t>
      </w:r>
      <w:r w:rsidR="004C13F5" w:rsidRPr="00B460A8">
        <w:rPr>
          <w:rFonts w:asciiTheme="minorHAnsi" w:eastAsia="Calibri" w:hAnsiTheme="minorHAnsi" w:cs="Arial"/>
        </w:rPr>
        <w:t xml:space="preserve"> on something called Investors </w:t>
      </w:r>
      <w:r w:rsidR="00CF7AFB" w:rsidRPr="00B460A8">
        <w:rPr>
          <w:rFonts w:asciiTheme="minorHAnsi" w:eastAsia="Calibri" w:hAnsiTheme="minorHAnsi" w:cs="Arial"/>
        </w:rPr>
        <w:t>in</w:t>
      </w:r>
      <w:r w:rsidR="004C13F5" w:rsidRPr="00B460A8">
        <w:rPr>
          <w:rFonts w:asciiTheme="minorHAnsi" w:eastAsia="Calibri" w:hAnsiTheme="minorHAnsi" w:cs="Arial"/>
        </w:rPr>
        <w:t xml:space="preserve"> Excellence, which is a model that derives originally from the EFQM methodology, although it’s a lot simpler, but it’s a tool that is not set to</w:t>
      </w:r>
      <w:r w:rsidR="00632DDD">
        <w:rPr>
          <w:rFonts w:asciiTheme="minorHAnsi" w:eastAsia="Calibri" w:hAnsiTheme="minorHAnsi" w:cs="Arial"/>
        </w:rPr>
        <w:t>o</w:t>
      </w:r>
      <w:r w:rsidR="004C13F5" w:rsidRPr="00B460A8">
        <w:rPr>
          <w:rFonts w:asciiTheme="minorHAnsi" w:eastAsia="Calibri" w:hAnsiTheme="minorHAnsi" w:cs="Arial"/>
        </w:rPr>
        <w:t xml:space="preserve"> specific.  So for example, BMW have used it, JCB have signed up to it.  </w:t>
      </w:r>
      <w:r w:rsidR="004C13F5" w:rsidRPr="00B460A8">
        <w:rPr>
          <w:rFonts w:asciiTheme="minorHAnsi" w:hAnsiTheme="minorHAnsi" w:cs="Arial"/>
        </w:rPr>
        <w:t>(</w:t>
      </w:r>
      <w:r>
        <w:rPr>
          <w:rFonts w:asciiTheme="minorHAnsi" w:hAnsiTheme="minorHAnsi" w:cs="Arial"/>
        </w:rPr>
        <w:t>HA 1 Dir)</w:t>
      </w:r>
    </w:p>
    <w:p w:rsidR="00824D67" w:rsidRDefault="00824D67" w:rsidP="00C10824">
      <w:r>
        <w:t xml:space="preserve">Another </w:t>
      </w:r>
      <w:r w:rsidR="001633D4">
        <w:t>h</w:t>
      </w:r>
      <w:r>
        <w:t xml:space="preserve">ousing </w:t>
      </w:r>
      <w:r w:rsidR="001633D4">
        <w:t>a</w:t>
      </w:r>
      <w:r>
        <w:t>ssociation has implemented a proprietary balanced scorecard framework based on the Kaplan &amp; Norton (1996) BSC. This has been adopted not simply for performance monitoring but to drive their business strategy</w:t>
      </w:r>
      <w:r w:rsidR="00554DD6">
        <w:t>:</w:t>
      </w:r>
    </w:p>
    <w:p w:rsidR="007B278E" w:rsidRPr="00B460A8" w:rsidRDefault="004C13F5" w:rsidP="00B460A8">
      <w:pPr>
        <w:ind w:left="850" w:right="850"/>
        <w:jc w:val="both"/>
        <w:rPr>
          <w:rFonts w:asciiTheme="minorHAnsi" w:hAnsiTheme="minorHAnsi" w:cs="Arial"/>
        </w:rPr>
      </w:pPr>
      <w:r w:rsidRPr="00B460A8">
        <w:rPr>
          <w:rFonts w:asciiTheme="minorHAnsi" w:eastAsia="Calibri" w:hAnsiTheme="minorHAnsi" w:cs="Arial"/>
        </w:rPr>
        <w:t>In terms of performance, when you are looking at the Business Plan, it links in with our (proprietary scorecard software) that we have.  So any action plans formulated, linking in with those goals are then linked back to the Business Plan</w:t>
      </w:r>
      <w:r w:rsidRPr="00B460A8">
        <w:rPr>
          <w:rFonts w:asciiTheme="minorHAnsi" w:hAnsiTheme="minorHAnsi" w:cs="Arial"/>
        </w:rPr>
        <w:t>…</w:t>
      </w:r>
      <w:r w:rsidRPr="00B460A8">
        <w:rPr>
          <w:rFonts w:asciiTheme="minorHAnsi" w:eastAsia="Calibri" w:hAnsiTheme="minorHAnsi" w:cs="Arial"/>
        </w:rPr>
        <w:t>then that will be linked into our scorecard system, and we are fairly flexible with the scorecards; we can add new indicators, as and when required.</w:t>
      </w:r>
      <w:r w:rsidRPr="00B460A8">
        <w:rPr>
          <w:rFonts w:asciiTheme="minorHAnsi" w:hAnsiTheme="minorHAnsi" w:cs="Arial"/>
        </w:rPr>
        <w:t xml:space="preserve"> (HA2 </w:t>
      </w:r>
      <w:proofErr w:type="spellStart"/>
      <w:r w:rsidRPr="00B460A8">
        <w:rPr>
          <w:rFonts w:asciiTheme="minorHAnsi" w:hAnsiTheme="minorHAnsi" w:cs="Arial"/>
        </w:rPr>
        <w:t>Mgr</w:t>
      </w:r>
      <w:proofErr w:type="spellEnd"/>
      <w:r w:rsidRPr="00B460A8">
        <w:rPr>
          <w:rFonts w:asciiTheme="minorHAnsi" w:hAnsiTheme="minorHAnsi" w:cs="Arial"/>
        </w:rPr>
        <w:t xml:space="preserve"> 1)</w:t>
      </w:r>
    </w:p>
    <w:p w:rsidR="00E15AC1" w:rsidRDefault="008900B2" w:rsidP="00C10824">
      <w:r>
        <w:t xml:space="preserve">The balanced scorecard adopted by HA2 is a cascading scorecard of hierarchical scorecards and a screenshot of the top level scorecard </w:t>
      </w:r>
      <w:r w:rsidR="002F4967">
        <w:t xml:space="preserve">is </w:t>
      </w:r>
      <w:r w:rsidR="00632DDD">
        <w:t xml:space="preserve">shown in figure </w:t>
      </w:r>
      <w:r w:rsidR="003D1DC1">
        <w:t>1</w:t>
      </w:r>
      <w:r w:rsidR="002F4967">
        <w:t>.</w:t>
      </w:r>
      <w:r w:rsidR="00102BA7">
        <w:t xml:space="preserve"> This scorecard provides visual metrics on both financial and non-financial performance which supports the comments made by the housing manager that it is linked to their business plan. The same organisation employed visual performance to notify tenants on the performance of the housing association. </w:t>
      </w:r>
      <w:r w:rsidR="00E15AC1">
        <w:t xml:space="preserve">An example </w:t>
      </w:r>
      <w:r w:rsidR="00DA62A8">
        <w:t>is</w:t>
      </w:r>
      <w:r w:rsidR="00E15AC1">
        <w:t xml:space="preserve"> the service user scorecard which was communicated </w:t>
      </w:r>
      <w:r w:rsidR="00DA62A8">
        <w:t xml:space="preserve">to all tenants </w:t>
      </w:r>
      <w:r w:rsidR="00E15AC1">
        <w:t xml:space="preserve">via the quarterly </w:t>
      </w:r>
      <w:r w:rsidR="00DA62A8">
        <w:t>newsletter</w:t>
      </w:r>
      <w:r w:rsidR="00E15AC1">
        <w:t xml:space="preserve"> and was available as a pdf download from the </w:t>
      </w:r>
      <w:r w:rsidR="00DA62A8">
        <w:t xml:space="preserve">housing association’s </w:t>
      </w:r>
      <w:r w:rsidR="00E15AC1">
        <w:t>website</w:t>
      </w:r>
      <w:r w:rsidR="00E15AC1" w:rsidRPr="00632DDD">
        <w:t xml:space="preserve">. Figure </w:t>
      </w:r>
      <w:r w:rsidR="003D1DC1">
        <w:t xml:space="preserve">2 </w:t>
      </w:r>
      <w:r w:rsidR="00E15AC1">
        <w:t>below provides a simplified s</w:t>
      </w:r>
      <w:r w:rsidR="007F7824">
        <w:t>tatement</w:t>
      </w:r>
      <w:r w:rsidR="00E15AC1">
        <w:t xml:space="preserve"> derived from the </w:t>
      </w:r>
      <w:r w:rsidR="007F7824">
        <w:t xml:space="preserve">cascading scorecard into a visual report for a non-technical tenant audience. </w:t>
      </w:r>
    </w:p>
    <w:p w:rsidR="00AD5111" w:rsidRDefault="00AD5111" w:rsidP="00C10824"/>
    <w:p w:rsidR="00AD5111" w:rsidRDefault="00AD5111" w:rsidP="00C10824"/>
    <w:p w:rsidR="00C536D2" w:rsidRDefault="00C536D2">
      <w:pPr>
        <w:spacing w:after="0" w:line="240" w:lineRule="auto"/>
      </w:pPr>
      <w:r>
        <w:br w:type="page"/>
      </w:r>
    </w:p>
    <w:p w:rsidR="00C536D2" w:rsidRDefault="00C536D2">
      <w:pPr>
        <w:spacing w:after="0" w:line="240" w:lineRule="auto"/>
        <w:sectPr w:rsidR="00C536D2" w:rsidSect="001065E1">
          <w:footerReference w:type="default" r:id="rId8"/>
          <w:pgSz w:w="11906" w:h="16838"/>
          <w:pgMar w:top="1440" w:right="1440" w:bottom="1440" w:left="1440" w:header="708" w:footer="708" w:gutter="0"/>
          <w:cols w:space="708"/>
          <w:docGrid w:linePitch="360"/>
        </w:sectPr>
      </w:pPr>
    </w:p>
    <w:p w:rsidR="00C536D2" w:rsidRDefault="00C536D2" w:rsidP="00C536D2">
      <w:pPr>
        <w:spacing w:after="0" w:line="240" w:lineRule="auto"/>
      </w:pPr>
      <w:r>
        <w:t>Figure</w:t>
      </w:r>
      <w:r w:rsidR="007D387A">
        <w:t xml:space="preserve"> </w:t>
      </w:r>
      <w:r>
        <w:t>1: Cascading Scorecard</w:t>
      </w:r>
    </w:p>
    <w:p w:rsidR="00C536D2" w:rsidRDefault="00C536D2">
      <w:pPr>
        <w:spacing w:after="0" w:line="240" w:lineRule="auto"/>
      </w:pPr>
    </w:p>
    <w:p w:rsidR="00C536D2" w:rsidRDefault="00C536D2">
      <w:pPr>
        <w:spacing w:after="0" w:line="240" w:lineRule="auto"/>
      </w:pPr>
      <w:r>
        <w:rPr>
          <w:noProof/>
          <w:lang w:eastAsia="en-GB"/>
        </w:rPr>
        <w:drawing>
          <wp:inline distT="0" distB="0" distL="0" distR="0">
            <wp:extent cx="8028940" cy="5212715"/>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8940" cy="5212715"/>
                    </a:xfrm>
                    <a:prstGeom prst="rect">
                      <a:avLst/>
                    </a:prstGeom>
                    <a:noFill/>
                  </pic:spPr>
                </pic:pic>
              </a:graphicData>
            </a:graphic>
          </wp:inline>
        </w:drawing>
      </w:r>
    </w:p>
    <w:p w:rsidR="00C536D2" w:rsidRDefault="00C536D2">
      <w:pPr>
        <w:spacing w:after="0" w:line="240" w:lineRule="auto"/>
        <w:sectPr w:rsidR="00C536D2" w:rsidSect="00C536D2">
          <w:pgSz w:w="16838" w:h="11906" w:orient="landscape"/>
          <w:pgMar w:top="1440" w:right="1440" w:bottom="1440" w:left="1440" w:header="708" w:footer="708" w:gutter="0"/>
          <w:cols w:space="708"/>
          <w:docGrid w:linePitch="360"/>
        </w:sectPr>
      </w:pPr>
    </w:p>
    <w:p w:rsidR="00C536D2" w:rsidRDefault="00C536D2" w:rsidP="00C536D2">
      <w:pPr>
        <w:rPr>
          <w:rFonts w:cs="Arial"/>
        </w:rPr>
      </w:pPr>
      <w:r>
        <w:rPr>
          <w:rFonts w:cs="Arial"/>
        </w:rPr>
        <w:t>Figure 2: Service Users’ Scorecard</w:t>
      </w:r>
    </w:p>
    <w:p w:rsidR="00B8420F" w:rsidRDefault="00ED34C4" w:rsidP="00C10824">
      <w:pPr>
        <w:rPr>
          <w:rFonts w:cs="Arial"/>
        </w:rPr>
      </w:pPr>
      <w:r>
        <w:rPr>
          <w:rFonts w:cs="Arial"/>
          <w:noProof/>
          <w:lang w:eastAsia="en-GB"/>
        </w:rPr>
        <w:drawing>
          <wp:inline distT="0" distB="0" distL="0" distR="0">
            <wp:extent cx="5410200" cy="55435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410200" cy="5543550"/>
                    </a:xfrm>
                    <a:prstGeom prst="rect">
                      <a:avLst/>
                    </a:prstGeom>
                    <a:noFill/>
                    <a:ln w="9525">
                      <a:noFill/>
                      <a:miter lim="800000"/>
                      <a:headEnd/>
                      <a:tailEnd/>
                    </a:ln>
                  </pic:spPr>
                </pic:pic>
              </a:graphicData>
            </a:graphic>
          </wp:inline>
        </w:drawing>
      </w:r>
    </w:p>
    <w:p w:rsidR="00B8420F" w:rsidRPr="00F7160A" w:rsidRDefault="00E27134" w:rsidP="00C10824">
      <w:pPr>
        <w:rPr>
          <w:b/>
        </w:rPr>
      </w:pPr>
      <w:r w:rsidRPr="00F7160A">
        <w:rPr>
          <w:b/>
        </w:rPr>
        <w:t xml:space="preserve">Normative </w:t>
      </w:r>
      <w:r w:rsidR="003E16A3">
        <w:rPr>
          <w:b/>
        </w:rPr>
        <w:t>I</w:t>
      </w:r>
      <w:r w:rsidR="003E16A3" w:rsidRPr="00F7160A">
        <w:rPr>
          <w:b/>
        </w:rPr>
        <w:t xml:space="preserve">somorphism </w:t>
      </w:r>
      <w:r w:rsidRPr="00F7160A">
        <w:rPr>
          <w:b/>
        </w:rPr>
        <w:t>in Visual Performance</w:t>
      </w:r>
    </w:p>
    <w:p w:rsidR="00E27134" w:rsidRDefault="00E27134" w:rsidP="00C10824">
      <w:r>
        <w:t>Normative visual performance was evident in social housing</w:t>
      </w:r>
      <w:r w:rsidR="00BE6476">
        <w:t xml:space="preserve">. In one example </w:t>
      </w:r>
      <w:r>
        <w:t>the regulator was seeking to develop a database of comparative key performance indicators</w:t>
      </w:r>
      <w:r w:rsidR="00A342A9">
        <w:t xml:space="preserve"> in 2011</w:t>
      </w:r>
      <w:r w:rsidR="00554DD6">
        <w:t>:</w:t>
      </w:r>
    </w:p>
    <w:p w:rsidR="007B278E" w:rsidRPr="00B460A8" w:rsidRDefault="004C13F5" w:rsidP="00B460A8">
      <w:pPr>
        <w:ind w:left="850" w:right="850"/>
        <w:jc w:val="both"/>
        <w:rPr>
          <w:rFonts w:asciiTheme="minorHAnsi" w:hAnsiTheme="minorHAnsi"/>
        </w:rPr>
      </w:pPr>
      <w:r w:rsidRPr="00B460A8">
        <w:rPr>
          <w:rFonts w:asciiTheme="minorHAnsi" w:eastAsia="Calibri" w:hAnsiTheme="minorHAnsi" w:cs="Arial"/>
        </w:rPr>
        <w:t>We’re seeking to collect information across a variety of sources.  So, for example, a national PI database, so that housing associations, tenants and other stakeholders can, via our web portal, directly compare landlords’ performance against a number of performance indicators. (REG).</w:t>
      </w:r>
      <w:r w:rsidRPr="00B460A8">
        <w:rPr>
          <w:rFonts w:asciiTheme="minorHAnsi" w:hAnsiTheme="minorHAnsi" w:cs="Arial"/>
        </w:rPr>
        <w:t xml:space="preserve">   </w:t>
      </w:r>
    </w:p>
    <w:p w:rsidR="00E27134" w:rsidRDefault="0016482D" w:rsidP="00C10824">
      <w:r>
        <w:t xml:space="preserve">As a result of continued deregulation and instability the role of </w:t>
      </w:r>
      <w:r w:rsidR="00C7739C">
        <w:t xml:space="preserve">the </w:t>
      </w:r>
      <w:r>
        <w:t xml:space="preserve">benchmarking </w:t>
      </w:r>
      <w:r w:rsidR="00C7739C">
        <w:t>provider</w:t>
      </w:r>
      <w:r>
        <w:t xml:space="preserve"> has been taken by an agency </w:t>
      </w:r>
      <w:r w:rsidR="00C7739C">
        <w:t xml:space="preserve">jointly </w:t>
      </w:r>
      <w:r>
        <w:t>owned by the Chartered Institute of Housing and the National Housing Federation</w:t>
      </w:r>
      <w:r w:rsidR="00C7739C">
        <w:t xml:space="preserve">, known as </w:t>
      </w:r>
      <w:proofErr w:type="spellStart"/>
      <w:r w:rsidR="00C7739C">
        <w:t>HouseMark</w:t>
      </w:r>
      <w:proofErr w:type="spellEnd"/>
      <w:r w:rsidR="00C7739C">
        <w:t>,</w:t>
      </w:r>
      <w:r>
        <w:t xml:space="preserve"> which provides subscribing housing associations </w:t>
      </w:r>
      <w:r w:rsidR="00CF7AFB">
        <w:t>a customised</w:t>
      </w:r>
      <w:r w:rsidR="00C7739C">
        <w:t xml:space="preserve"> </w:t>
      </w:r>
      <w:r>
        <w:t>dashboard</w:t>
      </w:r>
      <w:r w:rsidR="00C7739C">
        <w:t xml:space="preserve"> based on historical performance and their relative performance within the sector</w:t>
      </w:r>
      <w:r w:rsidR="00554DD6">
        <w:t>:</w:t>
      </w:r>
    </w:p>
    <w:p w:rsidR="007B278E" w:rsidRPr="00B460A8" w:rsidRDefault="004C13F5" w:rsidP="00B460A8">
      <w:pPr>
        <w:ind w:left="850" w:right="850"/>
        <w:jc w:val="both"/>
        <w:rPr>
          <w:rFonts w:asciiTheme="minorHAnsi" w:hAnsiTheme="minorHAnsi"/>
        </w:rPr>
      </w:pPr>
      <w:proofErr w:type="spellStart"/>
      <w:r w:rsidRPr="00B460A8">
        <w:rPr>
          <w:rFonts w:asciiTheme="minorHAnsi" w:eastAsia="Calibri" w:hAnsiTheme="minorHAnsi" w:cs="Arial"/>
        </w:rPr>
        <w:t>HouseMark</w:t>
      </w:r>
      <w:proofErr w:type="spellEnd"/>
      <w:r w:rsidRPr="00B460A8">
        <w:rPr>
          <w:rFonts w:asciiTheme="minorHAnsi" w:eastAsia="Calibri" w:hAnsiTheme="minorHAnsi" w:cs="Arial"/>
        </w:rPr>
        <w:t xml:space="preserve"> provides support in terms of performance management and runs benchmarking for housing associations to allow housing associations to benchmark against comparative groups, </w:t>
      </w:r>
      <w:r w:rsidR="00BE6476">
        <w:rPr>
          <w:rFonts w:asciiTheme="minorHAnsi" w:eastAsia="Calibri" w:hAnsiTheme="minorHAnsi" w:cs="Arial"/>
        </w:rPr>
        <w:t xml:space="preserve">and </w:t>
      </w:r>
      <w:r w:rsidRPr="00B460A8">
        <w:rPr>
          <w:rFonts w:asciiTheme="minorHAnsi" w:eastAsia="Calibri" w:hAnsiTheme="minorHAnsi" w:cs="Arial"/>
        </w:rPr>
        <w:t>to set out where we are in terms of performance across the country, and indeed across the region.</w:t>
      </w:r>
      <w:r w:rsidR="009678A6">
        <w:rPr>
          <w:rFonts w:asciiTheme="minorHAnsi" w:eastAsia="Calibri" w:hAnsiTheme="minorHAnsi" w:cs="Arial"/>
        </w:rPr>
        <w:t xml:space="preserve"> </w:t>
      </w:r>
      <w:r w:rsidRPr="00B460A8">
        <w:rPr>
          <w:rFonts w:asciiTheme="minorHAnsi" w:hAnsiTheme="minorHAnsi" w:cs="Arial"/>
        </w:rPr>
        <w:t xml:space="preserve"> (HA2 Mgr1)</w:t>
      </w:r>
    </w:p>
    <w:p w:rsidR="00E27134" w:rsidRDefault="00A342A9" w:rsidP="00C10824">
      <w:r>
        <w:t xml:space="preserve">An example of </w:t>
      </w:r>
      <w:r w:rsidR="008900B2">
        <w:t xml:space="preserve">normative </w:t>
      </w:r>
      <w:r>
        <w:t xml:space="preserve">visual performance is shown in figure </w:t>
      </w:r>
      <w:r w:rsidR="003D1DC1">
        <w:t xml:space="preserve">3 </w:t>
      </w:r>
      <w:r>
        <w:t xml:space="preserve">below. This example of industry based benchmarking not only provides a quartile based comparison against commonly agreed KPIs, </w:t>
      </w:r>
      <w:r w:rsidR="00BE6476">
        <w:t xml:space="preserve">but </w:t>
      </w:r>
      <w:r>
        <w:t>also benchmarks the housing association against the performance in its previous year.</w:t>
      </w:r>
      <w:r w:rsidR="00DE7DAA">
        <w:t xml:space="preserve"> </w:t>
      </w:r>
      <w:r w:rsidR="00102BA7">
        <w:t xml:space="preserve"> This form of visual performance management emphasises non-financial performance measures such as tenant satisfaction but there are financially related metrics such as rent arrears and void loss as a result of unoccupied properties.</w:t>
      </w:r>
    </w:p>
    <w:p w:rsidR="00C536D2" w:rsidRPr="00F7160A" w:rsidRDefault="00C536D2" w:rsidP="00C536D2">
      <w:pPr>
        <w:rPr>
          <w:rFonts w:cs="Arial"/>
          <w:b/>
        </w:rPr>
      </w:pPr>
      <w:r>
        <w:rPr>
          <w:rFonts w:cs="Arial"/>
        </w:rPr>
        <w:t xml:space="preserve">Figure 3: Normative Visual performance </w:t>
      </w:r>
      <w:r w:rsidR="00917E7F">
        <w:rPr>
          <w:rFonts w:cs="Arial"/>
        </w:rPr>
        <w:t xml:space="preserve">in the form of a benchmarking analysis comparing the performance of the previous year and the performance of participating Registered Providers. </w:t>
      </w:r>
    </w:p>
    <w:p w:rsidR="00F7160A" w:rsidRDefault="00F7160A" w:rsidP="00C10824">
      <w:r w:rsidRPr="00F7160A">
        <w:rPr>
          <w:noProof/>
          <w:lang w:eastAsia="en-GB"/>
        </w:rPr>
        <w:drawing>
          <wp:inline distT="0" distB="0" distL="0" distR="0">
            <wp:extent cx="5285105" cy="58007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4415" cy="5810943"/>
                    </a:xfrm>
                    <a:prstGeom prst="rect">
                      <a:avLst/>
                    </a:prstGeom>
                    <a:noFill/>
                    <a:ln>
                      <a:noFill/>
                    </a:ln>
                  </pic:spPr>
                </pic:pic>
              </a:graphicData>
            </a:graphic>
          </wp:inline>
        </w:drawing>
      </w:r>
    </w:p>
    <w:p w:rsidR="00B8420F" w:rsidRDefault="00B8420F" w:rsidP="00C10824">
      <w:pPr>
        <w:rPr>
          <w:b/>
          <w:bCs/>
        </w:rPr>
      </w:pPr>
      <w:r w:rsidRPr="001C27D2">
        <w:rPr>
          <w:b/>
          <w:bCs/>
        </w:rPr>
        <w:t>Conclusion</w:t>
      </w:r>
      <w:r w:rsidR="00A55281">
        <w:rPr>
          <w:b/>
          <w:bCs/>
        </w:rPr>
        <w:t xml:space="preserve"> and </w:t>
      </w:r>
      <w:r w:rsidR="003E16A3">
        <w:rPr>
          <w:b/>
          <w:bCs/>
        </w:rPr>
        <w:t>I</w:t>
      </w:r>
      <w:r w:rsidR="003E16A3">
        <w:rPr>
          <w:b/>
          <w:bCs/>
        </w:rPr>
        <w:t>mplications</w:t>
      </w:r>
    </w:p>
    <w:p w:rsidR="0004528B" w:rsidRDefault="007B278E" w:rsidP="00C10824">
      <w:pPr>
        <w:rPr>
          <w:bCs/>
        </w:rPr>
      </w:pPr>
      <w:r>
        <w:rPr>
          <w:bCs/>
        </w:rPr>
        <w:t xml:space="preserve">The study asked </w:t>
      </w:r>
      <w:r w:rsidR="00CF7AFB">
        <w:rPr>
          <w:bCs/>
        </w:rPr>
        <w:t>two research</w:t>
      </w:r>
      <w:r>
        <w:rPr>
          <w:bCs/>
        </w:rPr>
        <w:t xml:space="preserve"> questions with respect to </w:t>
      </w:r>
      <w:r w:rsidR="00515E30">
        <w:rPr>
          <w:bCs/>
        </w:rPr>
        <w:t xml:space="preserve">the use of visual </w:t>
      </w:r>
      <w:r>
        <w:rPr>
          <w:bCs/>
        </w:rPr>
        <w:t>performance management</w:t>
      </w:r>
      <w:r w:rsidR="00515E30" w:rsidRPr="00515E30">
        <w:rPr>
          <w:bCs/>
        </w:rPr>
        <w:t xml:space="preserve"> </w:t>
      </w:r>
      <w:r w:rsidR="00515E30">
        <w:rPr>
          <w:bCs/>
        </w:rPr>
        <w:t>in a social housing environment</w:t>
      </w:r>
      <w:r>
        <w:rPr>
          <w:bCs/>
        </w:rPr>
        <w:t xml:space="preserve">. The first question asked how dashboards are used by the senior management team within </w:t>
      </w:r>
      <w:r w:rsidR="00CF7AFB">
        <w:rPr>
          <w:bCs/>
        </w:rPr>
        <w:t>housing.</w:t>
      </w:r>
      <w:r>
        <w:rPr>
          <w:bCs/>
        </w:rPr>
        <w:t xml:space="preserve"> The study found that visual performance dashboards were originally used to demonstrate good governance to the regulator as identified by </w:t>
      </w:r>
      <w:proofErr w:type="spellStart"/>
      <w:r>
        <w:rPr>
          <w:bCs/>
        </w:rPr>
        <w:t>Manochin</w:t>
      </w:r>
      <w:proofErr w:type="spellEnd"/>
      <w:r>
        <w:rPr>
          <w:bCs/>
        </w:rPr>
        <w:t xml:space="preserve"> et al. (2011) as a form of coercive isomorphism (Di Maggio and Powell, 1983). This paper develops </w:t>
      </w:r>
      <w:proofErr w:type="spellStart"/>
      <w:r>
        <w:rPr>
          <w:bCs/>
        </w:rPr>
        <w:t>Manochin’s</w:t>
      </w:r>
      <w:proofErr w:type="spellEnd"/>
      <w:r>
        <w:rPr>
          <w:bCs/>
        </w:rPr>
        <w:t xml:space="preserve"> work further by identifying the specific critical success factors and KPIs which are required for the stewardship of housing</w:t>
      </w:r>
      <w:r w:rsidR="00515E30">
        <w:rPr>
          <w:bCs/>
        </w:rPr>
        <w:t>. F</w:t>
      </w:r>
      <w:r>
        <w:rPr>
          <w:bCs/>
        </w:rPr>
        <w:t>or example</w:t>
      </w:r>
      <w:r w:rsidR="00515E30">
        <w:rPr>
          <w:bCs/>
        </w:rPr>
        <w:t>,</w:t>
      </w:r>
      <w:r>
        <w:rPr>
          <w:bCs/>
        </w:rPr>
        <w:t xml:space="preserve"> KPIs such as rent </w:t>
      </w:r>
      <w:r w:rsidR="00C7739C">
        <w:rPr>
          <w:bCs/>
        </w:rPr>
        <w:t>revenue</w:t>
      </w:r>
      <w:r>
        <w:rPr>
          <w:bCs/>
        </w:rPr>
        <w:t>,</w:t>
      </w:r>
      <w:r w:rsidR="00C7739C">
        <w:rPr>
          <w:bCs/>
        </w:rPr>
        <w:t xml:space="preserve"> volume of new business won and</w:t>
      </w:r>
      <w:r w:rsidR="00515E30">
        <w:rPr>
          <w:bCs/>
        </w:rPr>
        <w:t xml:space="preserve"> maintenance</w:t>
      </w:r>
      <w:r>
        <w:rPr>
          <w:bCs/>
        </w:rPr>
        <w:t xml:space="preserve"> as well as the KPIs relating to customer (tenant) satisfaction</w:t>
      </w:r>
      <w:r w:rsidR="00515E30">
        <w:rPr>
          <w:bCs/>
        </w:rPr>
        <w:t xml:space="preserve"> were all used within a VPM context</w:t>
      </w:r>
      <w:r>
        <w:rPr>
          <w:bCs/>
        </w:rPr>
        <w:t xml:space="preserve">. </w:t>
      </w:r>
    </w:p>
    <w:p w:rsidR="007B278E" w:rsidRDefault="0004528B" w:rsidP="00C10824">
      <w:pPr>
        <w:rPr>
          <w:bCs/>
        </w:rPr>
      </w:pPr>
      <w:r>
        <w:rPr>
          <w:bCs/>
        </w:rPr>
        <w:t xml:space="preserve">This was taken further by adopting </w:t>
      </w:r>
      <w:r w:rsidR="00515E30">
        <w:rPr>
          <w:bCs/>
        </w:rPr>
        <w:t xml:space="preserve">and transference of </w:t>
      </w:r>
      <w:r>
        <w:rPr>
          <w:bCs/>
        </w:rPr>
        <w:t>best practice from within industry</w:t>
      </w:r>
      <w:r w:rsidR="004A5664">
        <w:rPr>
          <w:bCs/>
        </w:rPr>
        <w:t xml:space="preserve"> </w:t>
      </w:r>
      <w:r>
        <w:rPr>
          <w:bCs/>
        </w:rPr>
        <w:t xml:space="preserve">and academia, </w:t>
      </w:r>
      <w:r w:rsidR="00515E30">
        <w:rPr>
          <w:bCs/>
        </w:rPr>
        <w:t xml:space="preserve">in the form of </w:t>
      </w:r>
      <w:r>
        <w:rPr>
          <w:bCs/>
        </w:rPr>
        <w:t>mimetic isomorphism (Di Maggio and Powell, 1983). For example one housing association</w:t>
      </w:r>
      <w:r w:rsidR="004A5664">
        <w:rPr>
          <w:bCs/>
        </w:rPr>
        <w:t xml:space="preserve"> adopted a proprietary balanced scorecard (Kaplan &amp; Norton, 1996) software package</w:t>
      </w:r>
      <w:r>
        <w:rPr>
          <w:bCs/>
        </w:rPr>
        <w:t xml:space="preserve"> </w:t>
      </w:r>
      <w:r w:rsidR="004A5664">
        <w:rPr>
          <w:bCs/>
        </w:rPr>
        <w:t xml:space="preserve">that allowed customisation for KPIs to be added or removed from the reporting framework. They were </w:t>
      </w:r>
      <w:r>
        <w:rPr>
          <w:bCs/>
        </w:rPr>
        <w:t>summarised KPIs on a single page</w:t>
      </w:r>
      <w:r w:rsidR="000C16B5">
        <w:rPr>
          <w:bCs/>
        </w:rPr>
        <w:t xml:space="preserve"> dashboard </w:t>
      </w:r>
      <w:r>
        <w:rPr>
          <w:bCs/>
        </w:rPr>
        <w:t>(Few, 2006; Smith, 2013)</w:t>
      </w:r>
      <w:r w:rsidR="004A5664">
        <w:rPr>
          <w:bCs/>
        </w:rPr>
        <w:t>, exportable in a variety of documents</w:t>
      </w:r>
      <w:r w:rsidR="00515E30">
        <w:rPr>
          <w:bCs/>
        </w:rPr>
        <w:t>,</w:t>
      </w:r>
      <w:r w:rsidR="000C16B5">
        <w:rPr>
          <w:bCs/>
        </w:rPr>
        <w:t xml:space="preserve"> similar to practice employed in North American non-profit organisations (</w:t>
      </w:r>
      <w:proofErr w:type="spellStart"/>
      <w:r w:rsidR="000C16B5">
        <w:rPr>
          <w:bCs/>
        </w:rPr>
        <w:t>Kamenski</w:t>
      </w:r>
      <w:proofErr w:type="spellEnd"/>
      <w:r w:rsidR="000C16B5">
        <w:rPr>
          <w:bCs/>
        </w:rPr>
        <w:t xml:space="preserve">, 2011; </w:t>
      </w:r>
      <w:proofErr w:type="spellStart"/>
      <w:r w:rsidR="000C16B5">
        <w:rPr>
          <w:bCs/>
        </w:rPr>
        <w:t>Poister</w:t>
      </w:r>
      <w:proofErr w:type="spellEnd"/>
      <w:r w:rsidR="000C16B5">
        <w:rPr>
          <w:bCs/>
        </w:rPr>
        <w:t xml:space="preserve"> et al, 2014).  These d</w:t>
      </w:r>
      <w:r w:rsidR="007B278E">
        <w:rPr>
          <w:bCs/>
        </w:rPr>
        <w:t xml:space="preserve">ashboards were used to communicate to other stakeholders such as employees with the reward scorecard (figure </w:t>
      </w:r>
      <w:r w:rsidR="009F486A">
        <w:rPr>
          <w:bCs/>
        </w:rPr>
        <w:t>1)</w:t>
      </w:r>
      <w:r w:rsidR="000C16B5">
        <w:rPr>
          <w:bCs/>
        </w:rPr>
        <w:t xml:space="preserve"> </w:t>
      </w:r>
      <w:r w:rsidR="007B278E">
        <w:rPr>
          <w:bCs/>
        </w:rPr>
        <w:t xml:space="preserve">and </w:t>
      </w:r>
      <w:r w:rsidR="000C16B5">
        <w:rPr>
          <w:bCs/>
        </w:rPr>
        <w:t>to</w:t>
      </w:r>
      <w:r w:rsidR="007B278E">
        <w:rPr>
          <w:bCs/>
        </w:rPr>
        <w:t xml:space="preserve"> tenants via the tenant scorecard</w:t>
      </w:r>
      <w:r w:rsidR="009F486A">
        <w:rPr>
          <w:bCs/>
        </w:rPr>
        <w:t xml:space="preserve"> </w:t>
      </w:r>
      <w:r w:rsidR="00C7739C">
        <w:rPr>
          <w:bCs/>
        </w:rPr>
        <w:t>as part of</w:t>
      </w:r>
      <w:r w:rsidR="000C16B5">
        <w:rPr>
          <w:bCs/>
        </w:rPr>
        <w:t xml:space="preserve"> a quarterly </w:t>
      </w:r>
      <w:r w:rsidR="00CF7AFB">
        <w:rPr>
          <w:bCs/>
        </w:rPr>
        <w:t>newsletter</w:t>
      </w:r>
      <w:r w:rsidR="000C16B5">
        <w:rPr>
          <w:bCs/>
        </w:rPr>
        <w:t xml:space="preserve"> </w:t>
      </w:r>
      <w:r w:rsidR="009F486A">
        <w:rPr>
          <w:bCs/>
        </w:rPr>
        <w:t>(figure 3). Both dashboards employed a traffic light methodology (</w:t>
      </w:r>
      <w:proofErr w:type="spellStart"/>
      <w:r w:rsidR="009F486A">
        <w:rPr>
          <w:bCs/>
        </w:rPr>
        <w:t>Manochin</w:t>
      </w:r>
      <w:proofErr w:type="spellEnd"/>
      <w:r w:rsidR="009F486A">
        <w:rPr>
          <w:bCs/>
        </w:rPr>
        <w:t xml:space="preserve"> et al., 2011)</w:t>
      </w:r>
      <w:r w:rsidR="00515E30">
        <w:rPr>
          <w:bCs/>
        </w:rPr>
        <w:t>,</w:t>
      </w:r>
      <w:r>
        <w:rPr>
          <w:bCs/>
        </w:rPr>
        <w:t xml:space="preserve"> and </w:t>
      </w:r>
      <w:r w:rsidR="009F486A">
        <w:rPr>
          <w:bCs/>
        </w:rPr>
        <w:t xml:space="preserve">facilitated </w:t>
      </w:r>
      <w:r>
        <w:rPr>
          <w:bCs/>
        </w:rPr>
        <w:t xml:space="preserve">easy </w:t>
      </w:r>
      <w:r w:rsidR="00515E30">
        <w:rPr>
          <w:bCs/>
        </w:rPr>
        <w:t>assimilation</w:t>
      </w:r>
      <w:r>
        <w:rPr>
          <w:bCs/>
        </w:rPr>
        <w:t xml:space="preserve"> by both expert and layperson (</w:t>
      </w:r>
      <w:proofErr w:type="spellStart"/>
      <w:r>
        <w:rPr>
          <w:bCs/>
        </w:rPr>
        <w:t>Azzam</w:t>
      </w:r>
      <w:proofErr w:type="spellEnd"/>
      <w:r>
        <w:rPr>
          <w:bCs/>
        </w:rPr>
        <w:t xml:space="preserve">, 2013). </w:t>
      </w:r>
    </w:p>
    <w:p w:rsidR="000C16B5" w:rsidRDefault="00B33FF7" w:rsidP="00023061">
      <w:pPr>
        <w:rPr>
          <w:bCs/>
        </w:rPr>
      </w:pPr>
      <w:r>
        <w:rPr>
          <w:bCs/>
        </w:rPr>
        <w:t>Analytical dashboards (Smith, 2013) are present across the industry and were initially attempted by the regulator</w:t>
      </w:r>
      <w:r w:rsidR="00515E30">
        <w:rPr>
          <w:bCs/>
        </w:rPr>
        <w:t>,</w:t>
      </w:r>
      <w:r>
        <w:rPr>
          <w:bCs/>
        </w:rPr>
        <w:t xml:space="preserve"> and further developed by the trade associations of the Chartered Institute of Housing and the National Housing Federation using their innovative </w:t>
      </w:r>
      <w:proofErr w:type="spellStart"/>
      <w:r>
        <w:rPr>
          <w:bCs/>
        </w:rPr>
        <w:t>Housemark</w:t>
      </w:r>
      <w:proofErr w:type="spellEnd"/>
      <w:r>
        <w:rPr>
          <w:bCs/>
        </w:rPr>
        <w:t xml:space="preserve"> software. This form of </w:t>
      </w:r>
      <w:r w:rsidR="00CF7AFB">
        <w:rPr>
          <w:bCs/>
        </w:rPr>
        <w:t>normative</w:t>
      </w:r>
      <w:r w:rsidR="000C16B5">
        <w:rPr>
          <w:bCs/>
        </w:rPr>
        <w:t xml:space="preserve"> isomorphism</w:t>
      </w:r>
      <w:r>
        <w:rPr>
          <w:bCs/>
        </w:rPr>
        <w:t xml:space="preserve"> (Di Maggio and Powell, 1983) </w:t>
      </w:r>
      <w:r w:rsidR="001055CC">
        <w:rPr>
          <w:bCs/>
        </w:rPr>
        <w:t xml:space="preserve">developed a set of agreed financial and </w:t>
      </w:r>
      <w:r w:rsidR="00515E30">
        <w:rPr>
          <w:bCs/>
        </w:rPr>
        <w:t>non-financial</w:t>
      </w:r>
      <w:r w:rsidR="001055CC">
        <w:rPr>
          <w:bCs/>
        </w:rPr>
        <w:t xml:space="preserve"> KPIs which were important to the sustainability of social housing. The KPIs included rent arrears and voids which are likely to be affected by the benefit reform highlighted in </w:t>
      </w:r>
      <w:r w:rsidR="00023061">
        <w:rPr>
          <w:bCs/>
        </w:rPr>
        <w:t xml:space="preserve">figure </w:t>
      </w:r>
      <w:r w:rsidR="001055CC">
        <w:rPr>
          <w:bCs/>
        </w:rPr>
        <w:t xml:space="preserve">1. There are also tenant KPIs and maintenance KPIs which are shown in the scorecards in the results section. The reporting of those KPIs </w:t>
      </w:r>
      <w:r>
        <w:rPr>
          <w:bCs/>
        </w:rPr>
        <w:t xml:space="preserve">allowed housing associations to compare their historical performance across </w:t>
      </w:r>
      <w:r w:rsidR="00901E54">
        <w:rPr>
          <w:bCs/>
        </w:rPr>
        <w:t xml:space="preserve">the </w:t>
      </w:r>
      <w:r>
        <w:rPr>
          <w:bCs/>
        </w:rPr>
        <w:t>industry</w:t>
      </w:r>
      <w:r w:rsidR="00CF7AFB">
        <w:rPr>
          <w:bCs/>
        </w:rPr>
        <w:t>, as</w:t>
      </w:r>
      <w:r>
        <w:rPr>
          <w:bCs/>
        </w:rPr>
        <w:t xml:space="preserve"> well as their relative performance within the industry.</w:t>
      </w:r>
      <w:r w:rsidR="000C16B5">
        <w:rPr>
          <w:bCs/>
        </w:rPr>
        <w:t xml:space="preserve"> </w:t>
      </w:r>
      <w:r w:rsidR="001055CC">
        <w:rPr>
          <w:bCs/>
        </w:rPr>
        <w:t xml:space="preserve">As </w:t>
      </w:r>
      <w:proofErr w:type="spellStart"/>
      <w:r w:rsidR="001055CC">
        <w:rPr>
          <w:bCs/>
        </w:rPr>
        <w:t>Tillema</w:t>
      </w:r>
      <w:proofErr w:type="spellEnd"/>
      <w:r w:rsidR="001055CC">
        <w:rPr>
          <w:bCs/>
        </w:rPr>
        <w:t xml:space="preserve"> </w:t>
      </w:r>
      <w:r w:rsidR="00901E54">
        <w:rPr>
          <w:bCs/>
        </w:rPr>
        <w:t>(</w:t>
      </w:r>
      <w:r w:rsidR="00C7739C">
        <w:rPr>
          <w:bCs/>
        </w:rPr>
        <w:t>2010</w:t>
      </w:r>
      <w:r w:rsidR="00CF7AFB">
        <w:rPr>
          <w:bCs/>
        </w:rPr>
        <w:t>) commented</w:t>
      </w:r>
      <w:r w:rsidR="001055CC">
        <w:rPr>
          <w:bCs/>
        </w:rPr>
        <w:t>, benchmarking alone does not necessarily lead to improved performance</w:t>
      </w:r>
      <w:r w:rsidR="00901E54">
        <w:rPr>
          <w:bCs/>
        </w:rPr>
        <w:t>;</w:t>
      </w:r>
      <w:r w:rsidR="001055CC">
        <w:rPr>
          <w:bCs/>
        </w:rPr>
        <w:t xml:space="preserve"> it is the action </w:t>
      </w:r>
      <w:r w:rsidR="00901E54">
        <w:rPr>
          <w:bCs/>
        </w:rPr>
        <w:t xml:space="preserve">taken </w:t>
      </w:r>
      <w:r w:rsidR="001055CC">
        <w:rPr>
          <w:bCs/>
        </w:rPr>
        <w:t xml:space="preserve">by the senior managers </w:t>
      </w:r>
      <w:r w:rsidR="00901E54">
        <w:rPr>
          <w:bCs/>
        </w:rPr>
        <w:t>and prompted by the</w:t>
      </w:r>
      <w:r w:rsidR="001055CC">
        <w:rPr>
          <w:bCs/>
        </w:rPr>
        <w:t xml:space="preserve"> visual performance representation</w:t>
      </w:r>
      <w:r w:rsidR="00901E54">
        <w:rPr>
          <w:bCs/>
        </w:rPr>
        <w:t>,</w:t>
      </w:r>
      <w:r w:rsidR="001055CC">
        <w:rPr>
          <w:bCs/>
        </w:rPr>
        <w:t xml:space="preserve"> which will lead to improved performance.</w:t>
      </w:r>
    </w:p>
    <w:p w:rsidR="00837246" w:rsidRDefault="00837246" w:rsidP="00023061">
      <w:pPr>
        <w:rPr>
          <w:bCs/>
        </w:rPr>
      </w:pPr>
      <w:r>
        <w:rPr>
          <w:bCs/>
        </w:rPr>
        <w:t>The second question was related to the rationale for the senior management team using visual performance management. Our findings reveal the motivation was increasingly coercive isomorphic (Di Maggio and Powell, 1983) in order to demonstrate good governance to stakeholders. The competitive isomorphism</w:t>
      </w:r>
      <w:r w:rsidR="008C7B40">
        <w:rPr>
          <w:bCs/>
        </w:rPr>
        <w:t xml:space="preserve"> (Di Maggio and Powell, 1983)</w:t>
      </w:r>
      <w:r>
        <w:rPr>
          <w:bCs/>
        </w:rPr>
        <w:t xml:space="preserve"> induced into social housing </w:t>
      </w:r>
      <w:r w:rsidR="008C7B40">
        <w:rPr>
          <w:bCs/>
        </w:rPr>
        <w:t xml:space="preserve">via the steering media of law, finance and power as summarised in table 1 </w:t>
      </w:r>
      <w:r w:rsidR="00DE774E">
        <w:rPr>
          <w:bCs/>
        </w:rPr>
        <w:t>h</w:t>
      </w:r>
      <w:r w:rsidR="008C7B40">
        <w:rPr>
          <w:bCs/>
        </w:rPr>
        <w:t xml:space="preserve">as effected a </w:t>
      </w:r>
      <w:proofErr w:type="spellStart"/>
      <w:r w:rsidR="008C7B40">
        <w:rPr>
          <w:bCs/>
        </w:rPr>
        <w:t>Habermasian</w:t>
      </w:r>
      <w:proofErr w:type="spellEnd"/>
      <w:r w:rsidR="008C7B40">
        <w:rPr>
          <w:bCs/>
        </w:rPr>
        <w:t xml:space="preserve"> challenge to the life world. The steering media have manifested themselves in </w:t>
      </w:r>
      <w:r w:rsidR="00C94817">
        <w:rPr>
          <w:bCs/>
        </w:rPr>
        <w:t>non-abstract</w:t>
      </w:r>
      <w:r w:rsidR="008C7B40">
        <w:rPr>
          <w:bCs/>
        </w:rPr>
        <w:t xml:space="preserve"> ways</w:t>
      </w:r>
      <w:r w:rsidR="00901E54">
        <w:rPr>
          <w:bCs/>
        </w:rPr>
        <w:t>,</w:t>
      </w:r>
      <w:r w:rsidR="008C7B40">
        <w:rPr>
          <w:bCs/>
        </w:rPr>
        <w:t xml:space="preserve"> such as the</w:t>
      </w:r>
      <w:r>
        <w:rPr>
          <w:bCs/>
        </w:rPr>
        <w:t xml:space="preserve"> GFC, </w:t>
      </w:r>
      <w:r w:rsidR="008C7B40">
        <w:rPr>
          <w:bCs/>
        </w:rPr>
        <w:t xml:space="preserve">the introduction of </w:t>
      </w:r>
      <w:r>
        <w:rPr>
          <w:bCs/>
        </w:rPr>
        <w:t>private sector competition and the resultant austerity measures on government debt and deficit reduction</w:t>
      </w:r>
      <w:r w:rsidR="008C7B40">
        <w:rPr>
          <w:bCs/>
        </w:rPr>
        <w:t>. This has led to</w:t>
      </w:r>
      <w:r>
        <w:rPr>
          <w:bCs/>
        </w:rPr>
        <w:t xml:space="preserve"> housing associations using </w:t>
      </w:r>
      <w:r w:rsidR="008C7B40">
        <w:rPr>
          <w:bCs/>
        </w:rPr>
        <w:t>visual performance as an integral part of their business strategy</w:t>
      </w:r>
      <w:r>
        <w:rPr>
          <w:bCs/>
        </w:rPr>
        <w:t xml:space="preserve"> for survival (</w:t>
      </w:r>
      <w:proofErr w:type="spellStart"/>
      <w:r>
        <w:rPr>
          <w:bCs/>
        </w:rPr>
        <w:t>Helmig</w:t>
      </w:r>
      <w:proofErr w:type="spellEnd"/>
      <w:r>
        <w:rPr>
          <w:bCs/>
        </w:rPr>
        <w:t xml:space="preserve"> et al., 2014) and for growth (Manville, 2007). Formalised holistic performance metrics in a visual form such as the balanced scorecard (Kaplan &amp; Norton, 1996) provide an opportunity to communicate sophisticated measures visually </w:t>
      </w:r>
      <w:r w:rsidR="008C7B40">
        <w:rPr>
          <w:bCs/>
        </w:rPr>
        <w:t xml:space="preserve">to a multiplicity of stakeholders (both internal and external) </w:t>
      </w:r>
      <w:r w:rsidR="00901E54">
        <w:rPr>
          <w:bCs/>
        </w:rPr>
        <w:t xml:space="preserve">and </w:t>
      </w:r>
      <w:r>
        <w:rPr>
          <w:bCs/>
        </w:rPr>
        <w:t xml:space="preserve">in a way </w:t>
      </w:r>
      <w:r w:rsidR="00901E54">
        <w:rPr>
          <w:bCs/>
        </w:rPr>
        <w:t xml:space="preserve">that </w:t>
      </w:r>
      <w:r>
        <w:rPr>
          <w:bCs/>
        </w:rPr>
        <w:t xml:space="preserve">the layperson to </w:t>
      </w:r>
      <w:r w:rsidR="00901E54">
        <w:rPr>
          <w:bCs/>
        </w:rPr>
        <w:t xml:space="preserve">can </w:t>
      </w:r>
      <w:r>
        <w:rPr>
          <w:bCs/>
        </w:rPr>
        <w:t>understand (</w:t>
      </w:r>
      <w:proofErr w:type="spellStart"/>
      <w:r>
        <w:rPr>
          <w:bCs/>
        </w:rPr>
        <w:t>Azzam</w:t>
      </w:r>
      <w:proofErr w:type="spellEnd"/>
      <w:r>
        <w:rPr>
          <w:bCs/>
        </w:rPr>
        <w:t>, 2013)</w:t>
      </w:r>
      <w:r w:rsidR="008C7B40">
        <w:rPr>
          <w:bCs/>
        </w:rPr>
        <w:t xml:space="preserve">. Such stakeholders include tenants, employees and other </w:t>
      </w:r>
      <w:r w:rsidR="00901E54">
        <w:rPr>
          <w:bCs/>
        </w:rPr>
        <w:t xml:space="preserve">parties, </w:t>
      </w:r>
      <w:r w:rsidR="008C7B40">
        <w:rPr>
          <w:bCs/>
        </w:rPr>
        <w:t>such as housing associations looking at bond issuance as a source of finance</w:t>
      </w:r>
      <w:r w:rsidR="001055CC">
        <w:rPr>
          <w:bCs/>
        </w:rPr>
        <w:t xml:space="preserve"> (Wainwright and Manville, 2014)</w:t>
      </w:r>
      <w:r w:rsidR="008C7B40">
        <w:rPr>
          <w:bCs/>
        </w:rPr>
        <w:t xml:space="preserve">. This </w:t>
      </w:r>
      <w:r w:rsidR="001055CC">
        <w:rPr>
          <w:bCs/>
        </w:rPr>
        <w:t>last section</w:t>
      </w:r>
      <w:r w:rsidR="008C7B40">
        <w:rPr>
          <w:bCs/>
        </w:rPr>
        <w:t xml:space="preserve"> also addresses the question related to governance and managerial functions.</w:t>
      </w:r>
    </w:p>
    <w:p w:rsidR="000F64FF" w:rsidRDefault="000F64FF" w:rsidP="00C10824">
      <w:pPr>
        <w:rPr>
          <w:bCs/>
        </w:rPr>
      </w:pPr>
      <w:r>
        <w:rPr>
          <w:bCs/>
        </w:rPr>
        <w:t xml:space="preserve">There are several implications for practice that this research study provides. The first is </w:t>
      </w:r>
      <w:r w:rsidR="00CF7AFB">
        <w:rPr>
          <w:bCs/>
        </w:rPr>
        <w:t>that it</w:t>
      </w:r>
      <w:r>
        <w:rPr>
          <w:bCs/>
        </w:rPr>
        <w:t xml:space="preserve"> </w:t>
      </w:r>
      <w:r w:rsidR="00CF7AFB">
        <w:rPr>
          <w:bCs/>
        </w:rPr>
        <w:t>unifies the</w:t>
      </w:r>
      <w:r>
        <w:rPr>
          <w:bCs/>
        </w:rPr>
        <w:t xml:space="preserve"> multiple environmental changes that have taken place within social </w:t>
      </w:r>
      <w:r w:rsidR="00CF7AFB">
        <w:rPr>
          <w:bCs/>
        </w:rPr>
        <w:t>housing over</w:t>
      </w:r>
      <w:r>
        <w:rPr>
          <w:bCs/>
        </w:rPr>
        <w:t xml:space="preserve"> the past several years which are leading to a more </w:t>
      </w:r>
      <w:r w:rsidR="00CF7AFB">
        <w:rPr>
          <w:bCs/>
        </w:rPr>
        <w:t>competitive and</w:t>
      </w:r>
      <w:r>
        <w:rPr>
          <w:bCs/>
        </w:rPr>
        <w:t xml:space="preserve"> commercial environment. The second is that it provides rich empirical </w:t>
      </w:r>
      <w:r w:rsidR="00CF7AFB">
        <w:rPr>
          <w:bCs/>
        </w:rPr>
        <w:t>evidence of</w:t>
      </w:r>
      <w:r w:rsidR="00AD661A">
        <w:rPr>
          <w:bCs/>
        </w:rPr>
        <w:t xml:space="preserve"> how these challenges are being addressed by Directors of housing associations using performance management </w:t>
      </w:r>
      <w:r w:rsidR="00CF7AFB">
        <w:rPr>
          <w:bCs/>
        </w:rPr>
        <w:t>dashboards and scorecards</w:t>
      </w:r>
      <w:r w:rsidR="00AD661A">
        <w:rPr>
          <w:bCs/>
        </w:rPr>
        <w:t xml:space="preserve">. The third practical implication is that it provides evidence that the </w:t>
      </w:r>
      <w:r w:rsidR="00DE774E">
        <w:rPr>
          <w:bCs/>
        </w:rPr>
        <w:t xml:space="preserve">rationale </w:t>
      </w:r>
      <w:r w:rsidR="00AD661A">
        <w:rPr>
          <w:bCs/>
        </w:rPr>
        <w:t xml:space="preserve">for using visual performance management is no longer </w:t>
      </w:r>
      <w:r w:rsidR="000F3022">
        <w:rPr>
          <w:bCs/>
        </w:rPr>
        <w:t xml:space="preserve">simply </w:t>
      </w:r>
      <w:r w:rsidR="00AD661A">
        <w:rPr>
          <w:bCs/>
        </w:rPr>
        <w:t>compliance but also to benchmark against other providers and to support their business strategy.</w:t>
      </w:r>
    </w:p>
    <w:p w:rsidR="001055CC" w:rsidRDefault="00C7739C" w:rsidP="00C10824">
      <w:pPr>
        <w:rPr>
          <w:bCs/>
        </w:rPr>
      </w:pPr>
      <w:r>
        <w:rPr>
          <w:bCs/>
        </w:rPr>
        <w:t xml:space="preserve"> </w:t>
      </w:r>
      <w:r w:rsidR="001055CC">
        <w:rPr>
          <w:bCs/>
        </w:rPr>
        <w:t>In summary the title of th</w:t>
      </w:r>
      <w:r w:rsidR="0037663F">
        <w:rPr>
          <w:bCs/>
        </w:rPr>
        <w:t xml:space="preserve">is study </w:t>
      </w:r>
      <w:r w:rsidR="001055CC">
        <w:rPr>
          <w:bCs/>
        </w:rPr>
        <w:t xml:space="preserve">posed the question of visual performance </w:t>
      </w:r>
      <w:r w:rsidR="0037663F">
        <w:rPr>
          <w:bCs/>
        </w:rPr>
        <w:t xml:space="preserve">management </w:t>
      </w:r>
      <w:r w:rsidR="001055CC">
        <w:rPr>
          <w:bCs/>
        </w:rPr>
        <w:t>within housing associations</w:t>
      </w:r>
      <w:r w:rsidR="0037663F">
        <w:rPr>
          <w:bCs/>
        </w:rPr>
        <w:t xml:space="preserve">: </w:t>
      </w:r>
      <w:r w:rsidR="001055CC">
        <w:rPr>
          <w:bCs/>
        </w:rPr>
        <w:t xml:space="preserve">a crisis of legitimation or the shape of things to come? The competitive space within social housing has changed dramatically </w:t>
      </w:r>
      <w:r w:rsidR="0037663F">
        <w:rPr>
          <w:bCs/>
        </w:rPr>
        <w:t xml:space="preserve">since the GFC and the social housing business model is far more </w:t>
      </w:r>
      <w:r w:rsidR="00B366BD">
        <w:rPr>
          <w:bCs/>
        </w:rPr>
        <w:t xml:space="preserve">of a </w:t>
      </w:r>
      <w:r w:rsidR="0037663F">
        <w:rPr>
          <w:bCs/>
        </w:rPr>
        <w:t xml:space="preserve">commercial hybridisation model </w:t>
      </w:r>
      <w:r w:rsidR="00B366BD">
        <w:rPr>
          <w:bCs/>
        </w:rPr>
        <w:t xml:space="preserve">than </w:t>
      </w:r>
      <w:r w:rsidR="0037663F">
        <w:rPr>
          <w:bCs/>
        </w:rPr>
        <w:t xml:space="preserve">when </w:t>
      </w:r>
      <w:r w:rsidR="00B366BD">
        <w:rPr>
          <w:bCs/>
        </w:rPr>
        <w:t xml:space="preserve">Mullins </w:t>
      </w:r>
      <w:r w:rsidR="0037663F">
        <w:rPr>
          <w:bCs/>
        </w:rPr>
        <w:t>(2010</w:t>
      </w:r>
      <w:r w:rsidR="00485C5E">
        <w:rPr>
          <w:bCs/>
        </w:rPr>
        <w:t>, p3</w:t>
      </w:r>
      <w:r w:rsidR="0037663F">
        <w:rPr>
          <w:bCs/>
        </w:rPr>
        <w:t xml:space="preserve">) made the statement that </w:t>
      </w:r>
      <w:r w:rsidR="00B366BD">
        <w:rPr>
          <w:bCs/>
        </w:rPr>
        <w:t>“</w:t>
      </w:r>
      <w:r w:rsidR="0037663F">
        <w:rPr>
          <w:bCs/>
        </w:rPr>
        <w:t xml:space="preserve">social housing is a distant </w:t>
      </w:r>
      <w:r w:rsidR="00485C5E">
        <w:rPr>
          <w:bCs/>
        </w:rPr>
        <w:t>uncle</w:t>
      </w:r>
      <w:r w:rsidR="0037663F">
        <w:rPr>
          <w:bCs/>
        </w:rPr>
        <w:t xml:space="preserve"> of the third sector</w:t>
      </w:r>
      <w:r w:rsidR="00B366BD">
        <w:rPr>
          <w:bCs/>
        </w:rPr>
        <w:t>”</w:t>
      </w:r>
      <w:r w:rsidR="0037663F">
        <w:rPr>
          <w:bCs/>
        </w:rPr>
        <w:t xml:space="preserve">. Perhaps a more accurate </w:t>
      </w:r>
      <w:r w:rsidR="00B366BD">
        <w:rPr>
          <w:bCs/>
        </w:rPr>
        <w:t xml:space="preserve">interpretation </w:t>
      </w:r>
      <w:r w:rsidR="004E7C81">
        <w:rPr>
          <w:bCs/>
        </w:rPr>
        <w:t>of this increasing commercialization, particularly</w:t>
      </w:r>
      <w:r w:rsidR="00B366BD">
        <w:rPr>
          <w:bCs/>
        </w:rPr>
        <w:t xml:space="preserve"> </w:t>
      </w:r>
      <w:r w:rsidR="0037663F">
        <w:rPr>
          <w:bCs/>
        </w:rPr>
        <w:t>in this new post GFC context</w:t>
      </w:r>
      <w:r w:rsidR="004E7C81">
        <w:rPr>
          <w:bCs/>
        </w:rPr>
        <w:t>,</w:t>
      </w:r>
      <w:r w:rsidR="0037663F">
        <w:rPr>
          <w:bCs/>
        </w:rPr>
        <w:t xml:space="preserve"> is that the social housing business model could be a shape of things to come in the third sector.</w:t>
      </w:r>
      <w:r w:rsidR="001055CC">
        <w:rPr>
          <w:bCs/>
        </w:rPr>
        <w:t xml:space="preserve"> </w:t>
      </w:r>
      <w:r w:rsidR="000F64FF">
        <w:rPr>
          <w:bCs/>
        </w:rPr>
        <w:t xml:space="preserve"> This paper provides the foundation for further research </w:t>
      </w:r>
      <w:r w:rsidR="000F3022">
        <w:rPr>
          <w:bCs/>
        </w:rPr>
        <w:t>into the application of</w:t>
      </w:r>
      <w:r w:rsidR="000F64FF">
        <w:rPr>
          <w:bCs/>
        </w:rPr>
        <w:t xml:space="preserve"> visual dashboards and scorecards for performance management within social </w:t>
      </w:r>
      <w:r w:rsidR="00E87A58">
        <w:rPr>
          <w:bCs/>
        </w:rPr>
        <w:t xml:space="preserve">housing. </w:t>
      </w:r>
      <w:r w:rsidR="000F64FF">
        <w:rPr>
          <w:bCs/>
        </w:rPr>
        <w:t>The efficacy of employing such methods of performance management could</w:t>
      </w:r>
      <w:r w:rsidR="000F3022">
        <w:rPr>
          <w:bCs/>
        </w:rPr>
        <w:t xml:space="preserve"> also</w:t>
      </w:r>
      <w:r w:rsidR="000F64FF">
        <w:rPr>
          <w:bCs/>
        </w:rPr>
        <w:t xml:space="preserve"> be explored in other parts of the third sector where visual performance can convey information in an accessible form to a multiple stakeholder constituency.</w:t>
      </w:r>
    </w:p>
    <w:p w:rsidR="00B8420F" w:rsidRDefault="00B8420F" w:rsidP="00C10824">
      <w:pPr>
        <w:rPr>
          <w:rFonts w:cs="Arial"/>
        </w:rPr>
      </w:pPr>
    </w:p>
    <w:p w:rsidR="00B8420F" w:rsidRDefault="00B8420F">
      <w:pPr>
        <w:rPr>
          <w:rFonts w:cs="Arial"/>
        </w:rPr>
      </w:pPr>
      <w:r>
        <w:rPr>
          <w:rFonts w:cs="Arial"/>
        </w:rPr>
        <w:br w:type="page"/>
      </w:r>
    </w:p>
    <w:p w:rsidR="00015F31" w:rsidRDefault="00015F31" w:rsidP="00015F31">
      <w:r>
        <w:t>References</w:t>
      </w:r>
    </w:p>
    <w:p w:rsidR="00015F31" w:rsidRDefault="00015F31" w:rsidP="00015F31">
      <w:pPr>
        <w:pStyle w:val="Pa11"/>
        <w:spacing w:after="120" w:line="240" w:lineRule="auto"/>
        <w:ind w:left="567" w:hanging="567"/>
        <w:jc w:val="both"/>
        <w:rPr>
          <w:rFonts w:asciiTheme="minorHAnsi" w:hAnsiTheme="minorHAnsi" w:cs="Times New Roman"/>
          <w:sz w:val="22"/>
          <w:szCs w:val="22"/>
          <w:highlight w:val="yellow"/>
        </w:rPr>
      </w:pPr>
    </w:p>
    <w:p w:rsidR="00015F31" w:rsidRPr="00627CF5" w:rsidRDefault="00015F31" w:rsidP="00015F31">
      <w:pPr>
        <w:spacing w:after="120" w:line="240" w:lineRule="auto"/>
        <w:ind w:left="567" w:hanging="567"/>
        <w:rPr>
          <w:rFonts w:asciiTheme="minorHAnsi" w:eastAsia="Times New Roman" w:hAnsiTheme="minorHAnsi" w:cs="Arial"/>
          <w:color w:val="222222"/>
          <w:lang w:val="en-NZ" w:eastAsia="en-NZ"/>
        </w:rPr>
      </w:pPr>
      <w:proofErr w:type="spellStart"/>
      <w:r w:rsidRPr="00627CF5">
        <w:rPr>
          <w:rFonts w:asciiTheme="minorHAnsi" w:eastAsia="Times New Roman" w:hAnsiTheme="minorHAnsi" w:cs="Arial"/>
          <w:color w:val="222222"/>
          <w:lang w:val="en-NZ" w:eastAsia="en-NZ"/>
        </w:rPr>
        <w:t>Azzam</w:t>
      </w:r>
      <w:proofErr w:type="spellEnd"/>
      <w:r w:rsidRPr="00627CF5">
        <w:rPr>
          <w:rFonts w:asciiTheme="minorHAnsi" w:eastAsia="Times New Roman" w:hAnsiTheme="minorHAnsi" w:cs="Arial"/>
          <w:color w:val="222222"/>
          <w:lang w:val="en-NZ" w:eastAsia="en-NZ"/>
        </w:rPr>
        <w:t xml:space="preserve">, T., Evergreen, S., </w:t>
      </w:r>
      <w:proofErr w:type="spellStart"/>
      <w:r w:rsidRPr="00627CF5">
        <w:rPr>
          <w:rFonts w:asciiTheme="minorHAnsi" w:eastAsia="Times New Roman" w:hAnsiTheme="minorHAnsi" w:cs="Arial"/>
          <w:color w:val="222222"/>
          <w:lang w:val="en-NZ" w:eastAsia="en-NZ"/>
        </w:rPr>
        <w:t>Germuth</w:t>
      </w:r>
      <w:proofErr w:type="spellEnd"/>
      <w:r w:rsidRPr="00627CF5">
        <w:rPr>
          <w:rFonts w:asciiTheme="minorHAnsi" w:eastAsia="Times New Roman" w:hAnsiTheme="minorHAnsi" w:cs="Arial"/>
          <w:color w:val="222222"/>
          <w:lang w:val="en-NZ" w:eastAsia="en-NZ"/>
        </w:rPr>
        <w:t xml:space="preserve">, A. A., </w:t>
      </w:r>
      <w:r>
        <w:rPr>
          <w:rFonts w:asciiTheme="minorHAnsi" w:eastAsia="Times New Roman" w:hAnsiTheme="minorHAnsi" w:cs="Arial"/>
          <w:color w:val="222222"/>
          <w:lang w:val="en-NZ" w:eastAsia="en-NZ"/>
        </w:rPr>
        <w:t>and</w:t>
      </w:r>
      <w:r w:rsidRPr="00627CF5">
        <w:rPr>
          <w:rFonts w:asciiTheme="minorHAnsi" w:eastAsia="Times New Roman" w:hAnsiTheme="minorHAnsi" w:cs="Arial"/>
          <w:color w:val="222222"/>
          <w:lang w:val="en-NZ" w:eastAsia="en-NZ"/>
        </w:rPr>
        <w:t xml:space="preserve"> </w:t>
      </w:r>
      <w:proofErr w:type="spellStart"/>
      <w:r w:rsidRPr="00627CF5">
        <w:rPr>
          <w:rFonts w:asciiTheme="minorHAnsi" w:eastAsia="Times New Roman" w:hAnsiTheme="minorHAnsi" w:cs="Arial"/>
          <w:color w:val="222222"/>
          <w:lang w:val="en-NZ" w:eastAsia="en-NZ"/>
        </w:rPr>
        <w:t>Kistler</w:t>
      </w:r>
      <w:proofErr w:type="spellEnd"/>
      <w:r w:rsidRPr="00627CF5">
        <w:rPr>
          <w:rFonts w:asciiTheme="minorHAnsi" w:eastAsia="Times New Roman" w:hAnsiTheme="minorHAnsi" w:cs="Arial"/>
          <w:color w:val="222222"/>
          <w:lang w:val="en-NZ" w:eastAsia="en-NZ"/>
        </w:rPr>
        <w:t>, S. J. (2013)</w:t>
      </w:r>
      <w:r>
        <w:rPr>
          <w:rFonts w:asciiTheme="minorHAnsi" w:eastAsia="Times New Roman" w:hAnsiTheme="minorHAnsi" w:cs="Arial"/>
          <w:color w:val="222222"/>
          <w:lang w:val="en-NZ" w:eastAsia="en-NZ"/>
        </w:rPr>
        <w:t>,</w:t>
      </w:r>
      <w:r w:rsidRPr="00627CF5">
        <w:rPr>
          <w:rFonts w:asciiTheme="minorHAnsi" w:eastAsia="Times New Roman" w:hAnsiTheme="minorHAnsi" w:cs="Arial"/>
          <w:color w:val="222222"/>
          <w:lang w:val="en-NZ" w:eastAsia="en-NZ"/>
        </w:rPr>
        <w:t xml:space="preserve"> Data visualization and evaluation. </w:t>
      </w:r>
      <w:r w:rsidRPr="00627CF5">
        <w:rPr>
          <w:rFonts w:asciiTheme="minorHAnsi" w:eastAsia="Times New Roman" w:hAnsiTheme="minorHAnsi" w:cs="Arial"/>
          <w:i/>
          <w:iCs/>
          <w:color w:val="222222"/>
          <w:lang w:val="en-NZ" w:eastAsia="en-NZ"/>
        </w:rPr>
        <w:t>New Directions for Evaluation</w:t>
      </w:r>
      <w:r w:rsidRPr="00627CF5">
        <w:rPr>
          <w:rFonts w:asciiTheme="minorHAnsi" w:eastAsia="Times New Roman" w:hAnsiTheme="minorHAnsi" w:cs="Arial"/>
          <w:color w:val="222222"/>
          <w:lang w:val="en-NZ" w:eastAsia="en-NZ"/>
        </w:rPr>
        <w:t xml:space="preserve">, 139, </w:t>
      </w:r>
      <w:r>
        <w:rPr>
          <w:rFonts w:asciiTheme="minorHAnsi" w:eastAsia="Times New Roman" w:hAnsiTheme="minorHAnsi" w:cs="Arial"/>
          <w:color w:val="222222"/>
          <w:lang w:val="en-NZ" w:eastAsia="en-NZ"/>
        </w:rPr>
        <w:t xml:space="preserve">p. </w:t>
      </w:r>
      <w:r w:rsidRPr="00627CF5">
        <w:rPr>
          <w:rFonts w:asciiTheme="minorHAnsi" w:eastAsia="Times New Roman" w:hAnsiTheme="minorHAnsi" w:cs="Arial"/>
          <w:color w:val="222222"/>
          <w:lang w:val="en-NZ" w:eastAsia="en-NZ"/>
        </w:rPr>
        <w:t>7.</w:t>
      </w:r>
    </w:p>
    <w:p w:rsidR="00015F31" w:rsidRPr="00627CF5" w:rsidRDefault="00015F31" w:rsidP="00015F31">
      <w:pPr>
        <w:autoSpaceDE w:val="0"/>
        <w:autoSpaceDN w:val="0"/>
        <w:adjustRightInd w:val="0"/>
        <w:spacing w:after="120" w:line="240" w:lineRule="auto"/>
        <w:ind w:left="567" w:hanging="567"/>
        <w:rPr>
          <w:rFonts w:asciiTheme="minorHAnsi" w:hAnsiTheme="minorHAnsi" w:cs="Times New Roman"/>
          <w:lang w:eastAsia="en-US"/>
        </w:rPr>
      </w:pPr>
      <w:r w:rsidRPr="00627CF5">
        <w:rPr>
          <w:rFonts w:asciiTheme="minorHAnsi" w:hAnsiTheme="minorHAnsi" w:cs="Times New Roman"/>
          <w:lang w:eastAsia="en-US"/>
        </w:rPr>
        <w:t>Broadbent, J., Laughlin, R. and Read, S. (1991)</w:t>
      </w:r>
      <w:r>
        <w:rPr>
          <w:rFonts w:asciiTheme="minorHAnsi" w:hAnsiTheme="minorHAnsi" w:cs="Times New Roman"/>
          <w:lang w:eastAsia="en-US"/>
        </w:rPr>
        <w:t>,</w:t>
      </w:r>
      <w:r w:rsidRPr="00627CF5">
        <w:rPr>
          <w:rFonts w:asciiTheme="minorHAnsi" w:hAnsiTheme="minorHAnsi" w:cs="Times New Roman"/>
          <w:lang w:eastAsia="en-US"/>
        </w:rPr>
        <w:t xml:space="preserve"> </w:t>
      </w:r>
      <w:proofErr w:type="gramStart"/>
      <w:r w:rsidRPr="00627CF5">
        <w:rPr>
          <w:rFonts w:asciiTheme="minorHAnsi" w:hAnsiTheme="minorHAnsi" w:cs="Times New Roman"/>
          <w:lang w:eastAsia="en-US"/>
        </w:rPr>
        <w:t>Recent</w:t>
      </w:r>
      <w:proofErr w:type="gramEnd"/>
      <w:r w:rsidRPr="00627CF5">
        <w:rPr>
          <w:rFonts w:asciiTheme="minorHAnsi" w:hAnsiTheme="minorHAnsi" w:cs="Times New Roman"/>
          <w:lang w:eastAsia="en-US"/>
        </w:rPr>
        <w:t xml:space="preserve"> financial and administrative changes in the NHS: a critical theory analysis. </w:t>
      </w:r>
      <w:r w:rsidRPr="00627CF5">
        <w:rPr>
          <w:rFonts w:asciiTheme="minorHAnsi" w:hAnsiTheme="minorHAnsi" w:cs="Times New Roman"/>
          <w:i/>
          <w:iCs/>
          <w:lang w:eastAsia="en-US"/>
        </w:rPr>
        <w:t>Critical Perspectives on Accounting</w:t>
      </w:r>
      <w:r w:rsidRPr="00627CF5">
        <w:rPr>
          <w:rFonts w:asciiTheme="minorHAnsi" w:hAnsiTheme="minorHAnsi" w:cs="Times New Roman"/>
          <w:lang w:eastAsia="en-US"/>
        </w:rPr>
        <w:t>, 2, p</w:t>
      </w:r>
      <w:r>
        <w:rPr>
          <w:rFonts w:asciiTheme="minorHAnsi" w:hAnsiTheme="minorHAnsi" w:cs="Times New Roman"/>
          <w:lang w:eastAsia="en-US"/>
        </w:rPr>
        <w:t>.</w:t>
      </w:r>
      <w:r w:rsidRPr="00627CF5">
        <w:rPr>
          <w:rFonts w:asciiTheme="minorHAnsi" w:hAnsiTheme="minorHAnsi" w:cs="Times New Roman"/>
          <w:lang w:eastAsia="en-US"/>
        </w:rPr>
        <w:t xml:space="preserve"> 1.</w:t>
      </w:r>
    </w:p>
    <w:p w:rsidR="00015F31" w:rsidRPr="00627CF5" w:rsidRDefault="00015F31" w:rsidP="00015F31">
      <w:pPr>
        <w:autoSpaceDE w:val="0"/>
        <w:autoSpaceDN w:val="0"/>
        <w:adjustRightInd w:val="0"/>
        <w:spacing w:after="120" w:line="240" w:lineRule="auto"/>
        <w:ind w:left="567" w:hanging="567"/>
        <w:rPr>
          <w:rFonts w:asciiTheme="minorHAnsi" w:hAnsiTheme="minorHAnsi" w:cs="Times New Roman"/>
        </w:rPr>
      </w:pPr>
      <w:r w:rsidRPr="00627CF5">
        <w:rPr>
          <w:rFonts w:asciiTheme="minorHAnsi" w:hAnsiTheme="minorHAnsi" w:cs="Times New Roman"/>
        </w:rPr>
        <w:t>Broadbent, J., Jacobs, K. and Laughlin, R. (2001)</w:t>
      </w:r>
      <w:r>
        <w:rPr>
          <w:rFonts w:asciiTheme="minorHAnsi" w:hAnsiTheme="minorHAnsi" w:cs="Times New Roman"/>
        </w:rPr>
        <w:t>,</w:t>
      </w:r>
      <w:r w:rsidRPr="00627CF5">
        <w:rPr>
          <w:rFonts w:asciiTheme="minorHAnsi" w:hAnsiTheme="minorHAnsi" w:cs="Times New Roman"/>
        </w:rPr>
        <w:t xml:space="preserve"> Organizational Resistance Strategies to Unwanted Accounting and Finance Changes: The Case of General Medical Practice in the UK. </w:t>
      </w:r>
      <w:r w:rsidRPr="00627CF5">
        <w:rPr>
          <w:rFonts w:asciiTheme="minorHAnsi" w:hAnsiTheme="minorHAnsi" w:cs="Times New Roman"/>
          <w:i/>
          <w:iCs/>
        </w:rPr>
        <w:t>Accounting, Auditing and Accountability Journal</w:t>
      </w:r>
      <w:r w:rsidRPr="00627CF5">
        <w:rPr>
          <w:rFonts w:asciiTheme="minorHAnsi" w:hAnsiTheme="minorHAnsi" w:cs="Times New Roman"/>
        </w:rPr>
        <w:t>, 14, p</w:t>
      </w:r>
      <w:r>
        <w:rPr>
          <w:rFonts w:asciiTheme="minorHAnsi" w:hAnsiTheme="minorHAnsi" w:cs="Times New Roman"/>
        </w:rPr>
        <w:t>.</w:t>
      </w:r>
      <w:r w:rsidRPr="00627CF5">
        <w:rPr>
          <w:rFonts w:asciiTheme="minorHAnsi" w:hAnsiTheme="minorHAnsi" w:cs="Times New Roman"/>
        </w:rPr>
        <w:t xml:space="preserve"> 565.</w:t>
      </w:r>
    </w:p>
    <w:p w:rsidR="00015F31" w:rsidRPr="006A58C9" w:rsidRDefault="00015F31" w:rsidP="00015F31">
      <w:pPr>
        <w:spacing w:after="120" w:line="240" w:lineRule="auto"/>
        <w:rPr>
          <w:rFonts w:asciiTheme="minorHAnsi" w:eastAsia="Times New Roman" w:hAnsiTheme="minorHAnsi" w:cs="Arial"/>
          <w:color w:val="222222"/>
          <w:lang w:val="en-NZ" w:eastAsia="en-NZ"/>
        </w:rPr>
      </w:pPr>
      <w:r w:rsidRPr="006A58C9">
        <w:rPr>
          <w:rFonts w:asciiTheme="minorHAnsi" w:eastAsia="Times New Roman" w:hAnsiTheme="minorHAnsi" w:cs="Arial"/>
          <w:color w:val="222222"/>
          <w:lang w:val="en-NZ" w:eastAsia="en-NZ"/>
        </w:rPr>
        <w:t xml:space="preserve">Butler, L. M. (2007), </w:t>
      </w:r>
      <w:proofErr w:type="gramStart"/>
      <w:r w:rsidRPr="006A58C9">
        <w:rPr>
          <w:rFonts w:asciiTheme="minorHAnsi" w:eastAsia="Times New Roman" w:hAnsiTheme="minorHAnsi" w:cs="Arial"/>
          <w:i/>
          <w:iCs/>
          <w:color w:val="222222"/>
          <w:lang w:val="en-NZ" w:eastAsia="en-NZ"/>
        </w:rPr>
        <w:t>The</w:t>
      </w:r>
      <w:proofErr w:type="gramEnd"/>
      <w:r w:rsidRPr="006A58C9">
        <w:rPr>
          <w:rFonts w:asciiTheme="minorHAnsi" w:eastAsia="Times New Roman" w:hAnsiTheme="minorHAnsi" w:cs="Arial"/>
          <w:i/>
          <w:iCs/>
          <w:color w:val="222222"/>
          <w:lang w:val="en-NZ" w:eastAsia="en-NZ"/>
        </w:rPr>
        <w:t xml:space="preserve"> </w:t>
      </w:r>
      <w:proofErr w:type="spellStart"/>
      <w:r w:rsidRPr="006A58C9">
        <w:rPr>
          <w:rFonts w:asciiTheme="minorHAnsi" w:eastAsia="Times New Roman" w:hAnsiTheme="minorHAnsi" w:cs="Arial"/>
          <w:i/>
          <w:iCs/>
          <w:color w:val="222222"/>
          <w:lang w:val="en-NZ" w:eastAsia="en-NZ"/>
        </w:rPr>
        <w:t>Nonprofit</w:t>
      </w:r>
      <w:proofErr w:type="spellEnd"/>
      <w:r w:rsidRPr="006A58C9">
        <w:rPr>
          <w:rFonts w:asciiTheme="minorHAnsi" w:eastAsia="Times New Roman" w:hAnsiTheme="minorHAnsi" w:cs="Arial"/>
          <w:i/>
          <w:iCs/>
          <w:color w:val="222222"/>
          <w:lang w:val="en-NZ" w:eastAsia="en-NZ"/>
        </w:rPr>
        <w:t xml:space="preserve"> Dashboard: A Tool for Tracking Process</w:t>
      </w:r>
      <w:r w:rsidRPr="006A58C9">
        <w:rPr>
          <w:rFonts w:asciiTheme="minorHAnsi" w:eastAsia="Times New Roman" w:hAnsiTheme="minorHAnsi" w:cs="Arial"/>
          <w:color w:val="222222"/>
          <w:lang w:val="en-NZ" w:eastAsia="en-NZ"/>
        </w:rPr>
        <w:t>. (</w:t>
      </w:r>
      <w:proofErr w:type="spellStart"/>
      <w:r w:rsidRPr="006A58C9">
        <w:rPr>
          <w:rFonts w:asciiTheme="minorHAnsi" w:eastAsia="Times New Roman" w:hAnsiTheme="minorHAnsi" w:cs="Arial"/>
          <w:color w:val="222222"/>
          <w:lang w:val="en-NZ" w:eastAsia="en-NZ"/>
        </w:rPr>
        <w:t>BoardSource</w:t>
      </w:r>
      <w:proofErr w:type="spellEnd"/>
      <w:r w:rsidRPr="006A58C9">
        <w:rPr>
          <w:rFonts w:asciiTheme="minorHAnsi" w:eastAsia="Times New Roman" w:hAnsiTheme="minorHAnsi" w:cs="Arial"/>
          <w:color w:val="222222"/>
          <w:lang w:val="en-NZ" w:eastAsia="en-NZ"/>
        </w:rPr>
        <w:t>).</w:t>
      </w:r>
    </w:p>
    <w:p w:rsidR="00015F31" w:rsidRPr="00DD5F13" w:rsidRDefault="00015F31" w:rsidP="00015F31">
      <w:pPr>
        <w:autoSpaceDE w:val="0"/>
        <w:autoSpaceDN w:val="0"/>
        <w:adjustRightInd w:val="0"/>
        <w:spacing w:after="120" w:line="240" w:lineRule="auto"/>
        <w:ind w:left="567" w:hanging="567"/>
        <w:jc w:val="both"/>
        <w:rPr>
          <w:rFonts w:asciiTheme="minorHAnsi" w:hAnsiTheme="minorHAnsi"/>
        </w:rPr>
      </w:pPr>
      <w:r w:rsidRPr="00DD5F13">
        <w:rPr>
          <w:rFonts w:asciiTheme="minorHAnsi" w:hAnsiTheme="minorHAnsi"/>
        </w:rPr>
        <w:t>Di Maggio, P. J. and Powell, W. W. (1983)</w:t>
      </w:r>
      <w:r>
        <w:rPr>
          <w:rFonts w:asciiTheme="minorHAnsi" w:hAnsiTheme="minorHAnsi"/>
        </w:rPr>
        <w:t>,</w:t>
      </w:r>
      <w:r w:rsidRPr="00DD5F13">
        <w:rPr>
          <w:rFonts w:asciiTheme="minorHAnsi" w:hAnsiTheme="minorHAnsi"/>
        </w:rPr>
        <w:t xml:space="preserve"> </w:t>
      </w:r>
      <w:proofErr w:type="gramStart"/>
      <w:r w:rsidRPr="00DD5F13">
        <w:rPr>
          <w:rFonts w:asciiTheme="minorHAnsi" w:hAnsiTheme="minorHAnsi"/>
        </w:rPr>
        <w:t>The</w:t>
      </w:r>
      <w:proofErr w:type="gramEnd"/>
      <w:r w:rsidRPr="00DD5F13">
        <w:rPr>
          <w:rFonts w:asciiTheme="minorHAnsi" w:hAnsiTheme="minorHAnsi"/>
        </w:rPr>
        <w:t xml:space="preserve"> iron cage revisited: Institutional isomorphism and collective rationa</w:t>
      </w:r>
      <w:r>
        <w:rPr>
          <w:rFonts w:asciiTheme="minorHAnsi" w:hAnsiTheme="minorHAnsi"/>
        </w:rPr>
        <w:t xml:space="preserve">lity in organisational fields. </w:t>
      </w:r>
      <w:r w:rsidRPr="00DD5F13">
        <w:rPr>
          <w:rFonts w:asciiTheme="minorHAnsi" w:hAnsiTheme="minorHAnsi"/>
          <w:i/>
          <w:iCs/>
        </w:rPr>
        <w:t>American Sociological Review</w:t>
      </w:r>
      <w:r w:rsidRPr="00DD5F13">
        <w:rPr>
          <w:rFonts w:asciiTheme="minorHAnsi" w:hAnsiTheme="minorHAnsi"/>
        </w:rPr>
        <w:t>, 48, p. 147.</w:t>
      </w:r>
    </w:p>
    <w:p w:rsidR="00226F68" w:rsidRPr="00BD3984" w:rsidRDefault="00226F68" w:rsidP="00226F68">
      <w:pPr>
        <w:spacing w:after="120" w:line="240" w:lineRule="auto"/>
        <w:rPr>
          <w:rFonts w:asciiTheme="minorHAnsi" w:hAnsiTheme="minorHAnsi"/>
        </w:rPr>
      </w:pPr>
      <w:r w:rsidRPr="00BD3984">
        <w:rPr>
          <w:rFonts w:asciiTheme="minorHAnsi" w:hAnsiTheme="minorHAnsi" w:cs="Arial"/>
        </w:rPr>
        <w:t>Duckworth, S. (1996), Social Housing: Charity or Not</w:t>
      </w:r>
      <w:r>
        <w:rPr>
          <w:rFonts w:asciiTheme="minorHAnsi" w:hAnsiTheme="minorHAnsi" w:cs="Arial"/>
        </w:rPr>
        <w:t>.</w:t>
      </w:r>
      <w:r w:rsidRPr="00BD3984">
        <w:rPr>
          <w:rFonts w:asciiTheme="minorHAnsi" w:hAnsiTheme="minorHAnsi" w:cs="Arial"/>
        </w:rPr>
        <w:t xml:space="preserve"> </w:t>
      </w:r>
      <w:r w:rsidRPr="00BD3984">
        <w:rPr>
          <w:rStyle w:val="journalname"/>
          <w:rFonts w:asciiTheme="minorHAnsi" w:hAnsiTheme="minorHAnsi"/>
          <w:i/>
        </w:rPr>
        <w:t>Public Money &amp; Management</w:t>
      </w:r>
      <w:r w:rsidRPr="00BD3984">
        <w:rPr>
          <w:rFonts w:asciiTheme="minorHAnsi" w:hAnsiTheme="minorHAnsi"/>
        </w:rPr>
        <w:t xml:space="preserve">, </w:t>
      </w:r>
      <w:r w:rsidRPr="00BD3984">
        <w:rPr>
          <w:rStyle w:val="volume"/>
          <w:rFonts w:asciiTheme="minorHAnsi" w:hAnsiTheme="minorHAnsi"/>
        </w:rPr>
        <w:t>16</w:t>
      </w:r>
      <w:r w:rsidRPr="00BD3984">
        <w:rPr>
          <w:rFonts w:asciiTheme="minorHAnsi" w:hAnsiTheme="minorHAnsi"/>
        </w:rPr>
        <w:t xml:space="preserve">, </w:t>
      </w:r>
      <w:r w:rsidRPr="00BD3984">
        <w:rPr>
          <w:rStyle w:val="issue"/>
          <w:rFonts w:asciiTheme="minorHAnsi" w:hAnsiTheme="minorHAnsi"/>
        </w:rPr>
        <w:t>4</w:t>
      </w:r>
      <w:r w:rsidRPr="00BD3984">
        <w:rPr>
          <w:rFonts w:asciiTheme="minorHAnsi" w:hAnsiTheme="minorHAnsi"/>
        </w:rPr>
        <w:t>, p. 3.</w:t>
      </w:r>
    </w:p>
    <w:p w:rsidR="00226F68" w:rsidRPr="00127AE7" w:rsidRDefault="00226F68" w:rsidP="00226F68">
      <w:pPr>
        <w:autoSpaceDE w:val="0"/>
        <w:autoSpaceDN w:val="0"/>
        <w:adjustRightInd w:val="0"/>
        <w:ind w:left="567" w:hanging="567"/>
        <w:jc w:val="both"/>
      </w:pPr>
      <w:r w:rsidRPr="00127AE7">
        <w:t xml:space="preserve">EFQM (2005). </w:t>
      </w:r>
      <w:r w:rsidRPr="00127AE7">
        <w:rPr>
          <w:i/>
          <w:iCs/>
        </w:rPr>
        <w:t xml:space="preserve">The Business Excellence Model for SMEs. </w:t>
      </w:r>
      <w:r w:rsidRPr="00127AE7">
        <w:t>Brussels: European Foundation for Quality Management.</w:t>
      </w:r>
    </w:p>
    <w:p w:rsidR="00015F31" w:rsidRPr="00351E84" w:rsidRDefault="00015F31" w:rsidP="00015F31">
      <w:pPr>
        <w:spacing w:after="120" w:line="240" w:lineRule="auto"/>
        <w:ind w:left="720" w:hanging="720"/>
        <w:rPr>
          <w:rFonts w:asciiTheme="minorHAnsi" w:eastAsia="Times New Roman" w:hAnsiTheme="minorHAnsi" w:cs="Arial"/>
          <w:color w:val="222222"/>
          <w:lang w:val="en-NZ" w:eastAsia="en-NZ"/>
        </w:rPr>
      </w:pPr>
      <w:r w:rsidRPr="00351E84">
        <w:rPr>
          <w:rFonts w:asciiTheme="minorHAnsi" w:eastAsia="Times New Roman" w:hAnsiTheme="minorHAnsi" w:cs="Arial"/>
          <w:color w:val="222222"/>
          <w:lang w:val="en-NZ" w:eastAsia="en-NZ"/>
        </w:rPr>
        <w:t xml:space="preserve">Few, S. (2006), </w:t>
      </w:r>
      <w:r w:rsidRPr="00351E84">
        <w:rPr>
          <w:rFonts w:asciiTheme="minorHAnsi" w:eastAsia="Times New Roman" w:hAnsiTheme="minorHAnsi" w:cs="Arial"/>
          <w:i/>
          <w:iCs/>
          <w:color w:val="222222"/>
          <w:lang w:val="en-NZ" w:eastAsia="en-NZ"/>
        </w:rPr>
        <w:t>Information dashboard design: Effective visual communication of data</w:t>
      </w:r>
      <w:r w:rsidRPr="00351E84">
        <w:rPr>
          <w:rFonts w:asciiTheme="minorHAnsi" w:eastAsia="Times New Roman" w:hAnsiTheme="minorHAnsi" w:cs="Arial"/>
          <w:color w:val="222222"/>
          <w:lang w:val="en-NZ" w:eastAsia="en-NZ"/>
        </w:rPr>
        <w:t>. (O'Reilly Media</w:t>
      </w:r>
      <w:r>
        <w:rPr>
          <w:rFonts w:asciiTheme="minorHAnsi" w:eastAsia="Times New Roman" w:hAnsiTheme="minorHAnsi" w:cs="Arial"/>
          <w:color w:val="222222"/>
          <w:lang w:val="en-NZ" w:eastAsia="en-NZ"/>
        </w:rPr>
        <w:t xml:space="preserve"> Inc.</w:t>
      </w:r>
      <w:r w:rsidRPr="00351E84">
        <w:rPr>
          <w:rFonts w:asciiTheme="minorHAnsi" w:eastAsia="Times New Roman" w:hAnsiTheme="minorHAnsi" w:cs="Arial"/>
          <w:color w:val="222222"/>
          <w:lang w:val="en-NZ" w:eastAsia="en-NZ"/>
        </w:rPr>
        <w:t>).</w:t>
      </w:r>
    </w:p>
    <w:p w:rsidR="00015F31" w:rsidRPr="006E3E41" w:rsidRDefault="00015F31" w:rsidP="00015F31">
      <w:pPr>
        <w:spacing w:after="120" w:line="240" w:lineRule="auto"/>
        <w:ind w:left="567" w:hanging="567"/>
        <w:rPr>
          <w:rFonts w:asciiTheme="minorHAnsi" w:hAnsiTheme="minorHAnsi" w:cs="Times New Roman"/>
          <w:lang w:eastAsia="en-US"/>
        </w:rPr>
      </w:pPr>
      <w:proofErr w:type="spellStart"/>
      <w:r w:rsidRPr="006E3E41">
        <w:rPr>
          <w:rFonts w:asciiTheme="minorHAnsi" w:hAnsiTheme="minorHAnsi" w:cs="Times New Roman"/>
          <w:lang w:eastAsia="en-US"/>
        </w:rPr>
        <w:t>Habermas</w:t>
      </w:r>
      <w:proofErr w:type="spellEnd"/>
      <w:r w:rsidRPr="006E3E41">
        <w:rPr>
          <w:rFonts w:asciiTheme="minorHAnsi" w:hAnsiTheme="minorHAnsi" w:cs="Times New Roman"/>
          <w:lang w:eastAsia="en-US"/>
        </w:rPr>
        <w:t xml:space="preserve">, J. (1976), </w:t>
      </w:r>
      <w:r w:rsidRPr="006E3E41">
        <w:rPr>
          <w:rFonts w:asciiTheme="minorHAnsi" w:hAnsiTheme="minorHAnsi" w:cs="Times New Roman"/>
          <w:i/>
          <w:iCs/>
          <w:lang w:eastAsia="en-US"/>
        </w:rPr>
        <w:t>Legitimation Crisis</w:t>
      </w:r>
      <w:r w:rsidRPr="006E3E41">
        <w:rPr>
          <w:rFonts w:asciiTheme="minorHAnsi" w:hAnsiTheme="minorHAnsi" w:cs="Times New Roman"/>
          <w:lang w:eastAsia="en-US"/>
        </w:rPr>
        <w:t>. (Heinemann).</w:t>
      </w:r>
    </w:p>
    <w:p w:rsidR="00015F31" w:rsidRPr="006E3E41" w:rsidRDefault="00015F31" w:rsidP="00015F31">
      <w:pPr>
        <w:spacing w:after="120" w:line="240" w:lineRule="auto"/>
        <w:ind w:left="567" w:hanging="567"/>
        <w:rPr>
          <w:rFonts w:asciiTheme="minorHAnsi" w:hAnsiTheme="minorHAnsi" w:cs="Times New Roman"/>
          <w:lang w:eastAsia="en-US"/>
        </w:rPr>
      </w:pPr>
      <w:proofErr w:type="spellStart"/>
      <w:r w:rsidRPr="006E3E41">
        <w:rPr>
          <w:rFonts w:asciiTheme="minorHAnsi" w:hAnsiTheme="minorHAnsi" w:cs="Times New Roman"/>
          <w:lang w:eastAsia="en-US"/>
        </w:rPr>
        <w:t>Habermas</w:t>
      </w:r>
      <w:proofErr w:type="spellEnd"/>
      <w:r w:rsidRPr="006E3E41">
        <w:rPr>
          <w:rFonts w:asciiTheme="minorHAnsi" w:hAnsiTheme="minorHAnsi" w:cs="Times New Roman"/>
          <w:lang w:eastAsia="en-US"/>
        </w:rPr>
        <w:t xml:space="preserve">, J. (1987), </w:t>
      </w:r>
      <w:proofErr w:type="gramStart"/>
      <w:r w:rsidRPr="006E3E41">
        <w:rPr>
          <w:rFonts w:asciiTheme="minorHAnsi" w:hAnsiTheme="minorHAnsi" w:cs="Times New Roman"/>
          <w:i/>
          <w:iCs/>
          <w:lang w:eastAsia="en-US"/>
        </w:rPr>
        <w:t>The</w:t>
      </w:r>
      <w:proofErr w:type="gramEnd"/>
      <w:r w:rsidRPr="006E3E41">
        <w:rPr>
          <w:rFonts w:asciiTheme="minorHAnsi" w:hAnsiTheme="minorHAnsi" w:cs="Times New Roman"/>
          <w:i/>
          <w:iCs/>
          <w:lang w:eastAsia="en-US"/>
        </w:rPr>
        <w:t xml:space="preserve"> Theory of Communicative Action: Volume 2: The Critique of Functionalist Realism. </w:t>
      </w:r>
      <w:r w:rsidRPr="006E3E41">
        <w:rPr>
          <w:rFonts w:asciiTheme="minorHAnsi" w:hAnsiTheme="minorHAnsi" w:cs="Times New Roman"/>
          <w:iCs/>
          <w:lang w:eastAsia="en-US"/>
        </w:rPr>
        <w:t>(</w:t>
      </w:r>
      <w:r w:rsidRPr="006E3E41">
        <w:rPr>
          <w:rFonts w:asciiTheme="minorHAnsi" w:hAnsiTheme="minorHAnsi" w:cs="Times New Roman"/>
          <w:lang w:eastAsia="en-US"/>
        </w:rPr>
        <w:t>Polity Press).</w:t>
      </w:r>
    </w:p>
    <w:p w:rsidR="00015F31" w:rsidRPr="00ED0E7E" w:rsidRDefault="00015F31" w:rsidP="00015F31">
      <w:pPr>
        <w:spacing w:after="120" w:line="240" w:lineRule="auto"/>
        <w:ind w:left="567" w:hanging="567"/>
        <w:rPr>
          <w:rFonts w:asciiTheme="minorHAnsi" w:eastAsia="Times New Roman" w:hAnsiTheme="minorHAnsi" w:cs="Arial"/>
          <w:color w:val="222222"/>
          <w:lang w:val="en-NZ" w:eastAsia="en-NZ"/>
        </w:rPr>
      </w:pPr>
      <w:proofErr w:type="spellStart"/>
      <w:r w:rsidRPr="00ED0E7E">
        <w:rPr>
          <w:rFonts w:asciiTheme="minorHAnsi" w:eastAsia="Times New Roman" w:hAnsiTheme="minorHAnsi" w:cs="Arial"/>
          <w:color w:val="222222"/>
          <w:lang w:val="en-NZ" w:eastAsia="en-NZ"/>
        </w:rPr>
        <w:t>Helmig</w:t>
      </w:r>
      <w:proofErr w:type="spellEnd"/>
      <w:r w:rsidRPr="00ED0E7E">
        <w:rPr>
          <w:rFonts w:asciiTheme="minorHAnsi" w:eastAsia="Times New Roman" w:hAnsiTheme="minorHAnsi" w:cs="Arial"/>
          <w:color w:val="222222"/>
          <w:lang w:val="en-NZ" w:eastAsia="en-NZ"/>
        </w:rPr>
        <w:t xml:space="preserve">, B., </w:t>
      </w:r>
      <w:proofErr w:type="spellStart"/>
      <w:r w:rsidRPr="00ED0E7E">
        <w:rPr>
          <w:rFonts w:asciiTheme="minorHAnsi" w:eastAsia="Times New Roman" w:hAnsiTheme="minorHAnsi" w:cs="Arial"/>
          <w:color w:val="222222"/>
          <w:lang w:val="en-NZ" w:eastAsia="en-NZ"/>
        </w:rPr>
        <w:t>Ingerfurth</w:t>
      </w:r>
      <w:proofErr w:type="spellEnd"/>
      <w:r w:rsidRPr="00ED0E7E">
        <w:rPr>
          <w:rFonts w:asciiTheme="minorHAnsi" w:eastAsia="Times New Roman" w:hAnsiTheme="minorHAnsi" w:cs="Arial"/>
          <w:color w:val="222222"/>
          <w:lang w:val="en-NZ" w:eastAsia="en-NZ"/>
        </w:rPr>
        <w:t xml:space="preserve">, S., and </w:t>
      </w:r>
      <w:proofErr w:type="spellStart"/>
      <w:r w:rsidRPr="00ED0E7E">
        <w:rPr>
          <w:rFonts w:asciiTheme="minorHAnsi" w:eastAsia="Times New Roman" w:hAnsiTheme="minorHAnsi" w:cs="Arial"/>
          <w:color w:val="222222"/>
          <w:lang w:val="en-NZ" w:eastAsia="en-NZ"/>
        </w:rPr>
        <w:t>Pinz</w:t>
      </w:r>
      <w:proofErr w:type="spellEnd"/>
      <w:r w:rsidRPr="00ED0E7E">
        <w:rPr>
          <w:rFonts w:asciiTheme="minorHAnsi" w:eastAsia="Times New Roman" w:hAnsiTheme="minorHAnsi" w:cs="Arial"/>
          <w:color w:val="222222"/>
          <w:lang w:val="en-NZ" w:eastAsia="en-NZ"/>
        </w:rPr>
        <w:t xml:space="preserve">, A. (2014), Success and failure of </w:t>
      </w:r>
      <w:proofErr w:type="spellStart"/>
      <w:r w:rsidRPr="00ED0E7E">
        <w:rPr>
          <w:rFonts w:asciiTheme="minorHAnsi" w:eastAsia="Times New Roman" w:hAnsiTheme="minorHAnsi" w:cs="Arial"/>
          <w:color w:val="222222"/>
          <w:lang w:val="en-NZ" w:eastAsia="en-NZ"/>
        </w:rPr>
        <w:t>nonprofit</w:t>
      </w:r>
      <w:proofErr w:type="spellEnd"/>
      <w:r w:rsidRPr="00ED0E7E">
        <w:rPr>
          <w:rFonts w:asciiTheme="minorHAnsi" w:eastAsia="Times New Roman" w:hAnsiTheme="minorHAnsi" w:cs="Arial"/>
          <w:color w:val="222222"/>
          <w:lang w:val="en-NZ" w:eastAsia="en-NZ"/>
        </w:rPr>
        <w:t xml:space="preserve"> organizations: Theoretical foundations, empirical evidence, and future research. </w:t>
      </w:r>
      <w:r w:rsidRPr="00ED0E7E">
        <w:rPr>
          <w:rFonts w:asciiTheme="minorHAnsi" w:eastAsia="Times New Roman" w:hAnsiTheme="minorHAnsi" w:cs="Arial"/>
          <w:i/>
          <w:iCs/>
          <w:color w:val="222222"/>
          <w:lang w:val="en-NZ" w:eastAsia="en-NZ"/>
        </w:rPr>
        <w:t xml:space="preserve">VOLUNTAS: International Journal of Voluntary and </w:t>
      </w:r>
      <w:proofErr w:type="spellStart"/>
      <w:r w:rsidRPr="00ED0E7E">
        <w:rPr>
          <w:rFonts w:asciiTheme="minorHAnsi" w:eastAsia="Times New Roman" w:hAnsiTheme="minorHAnsi" w:cs="Arial"/>
          <w:i/>
          <w:iCs/>
          <w:color w:val="222222"/>
          <w:lang w:val="en-NZ" w:eastAsia="en-NZ"/>
        </w:rPr>
        <w:t>Nonprofit</w:t>
      </w:r>
      <w:proofErr w:type="spellEnd"/>
      <w:r w:rsidRPr="00ED0E7E">
        <w:rPr>
          <w:rFonts w:asciiTheme="minorHAnsi" w:eastAsia="Times New Roman" w:hAnsiTheme="minorHAnsi" w:cs="Arial"/>
          <w:i/>
          <w:iCs/>
          <w:color w:val="222222"/>
          <w:lang w:val="en-NZ" w:eastAsia="en-NZ"/>
        </w:rPr>
        <w:t xml:space="preserve"> Organizations</w:t>
      </w:r>
      <w:r w:rsidRPr="00ED0E7E">
        <w:rPr>
          <w:rFonts w:asciiTheme="minorHAnsi" w:eastAsia="Times New Roman" w:hAnsiTheme="minorHAnsi" w:cs="Arial"/>
          <w:color w:val="222222"/>
          <w:lang w:val="en-NZ" w:eastAsia="en-NZ"/>
        </w:rPr>
        <w:t xml:space="preserve">, </w:t>
      </w:r>
      <w:r w:rsidRPr="00ED0E7E">
        <w:rPr>
          <w:rFonts w:asciiTheme="minorHAnsi" w:eastAsia="Times New Roman" w:hAnsiTheme="minorHAnsi" w:cs="Arial"/>
          <w:iCs/>
          <w:color w:val="222222"/>
          <w:lang w:val="en-NZ" w:eastAsia="en-NZ"/>
        </w:rPr>
        <w:t xml:space="preserve">25, </w:t>
      </w:r>
      <w:r w:rsidRPr="00ED0E7E">
        <w:rPr>
          <w:rFonts w:asciiTheme="minorHAnsi" w:eastAsia="Times New Roman" w:hAnsiTheme="minorHAnsi" w:cs="Arial"/>
          <w:color w:val="222222"/>
          <w:lang w:val="en-NZ" w:eastAsia="en-NZ"/>
        </w:rPr>
        <w:t>6, p. 1509.</w:t>
      </w:r>
    </w:p>
    <w:p w:rsidR="00BD3030" w:rsidRPr="00127AE7" w:rsidRDefault="00BD3030" w:rsidP="00BD3030">
      <w:pPr>
        <w:tabs>
          <w:tab w:val="left" w:pos="360"/>
        </w:tabs>
        <w:autoSpaceDE w:val="0"/>
        <w:autoSpaceDN w:val="0"/>
        <w:adjustRightInd w:val="0"/>
        <w:ind w:left="567" w:hanging="567"/>
      </w:pPr>
      <w:r w:rsidRPr="00127AE7">
        <w:t xml:space="preserve">HMRC (2013). </w:t>
      </w:r>
      <w:r w:rsidRPr="00127AE7">
        <w:rPr>
          <w:i/>
        </w:rPr>
        <w:t>Registered providers of social housing.</w:t>
      </w:r>
      <w:r w:rsidRPr="00127AE7">
        <w:t xml:space="preserve"> </w:t>
      </w:r>
      <w:r>
        <w:t>(</w:t>
      </w:r>
      <w:hyperlink r:id="rId12" w:history="1">
        <w:r w:rsidRPr="005D372A">
          <w:rPr>
            <w:rStyle w:val="Hyperlink"/>
          </w:rPr>
          <w:t>www.hmrc.gov.uk</w:t>
        </w:r>
      </w:hyperlink>
      <w:r>
        <w:t xml:space="preserve">) </w:t>
      </w:r>
    </w:p>
    <w:p w:rsidR="00BD3030" w:rsidRDefault="00BD3030" w:rsidP="00BD3030">
      <w:pPr>
        <w:suppressAutoHyphens/>
        <w:ind w:left="567" w:hanging="567"/>
        <w:rPr>
          <w:lang w:eastAsia="ar-SA"/>
        </w:rPr>
      </w:pPr>
      <w:r w:rsidRPr="00127AE7">
        <w:rPr>
          <w:lang w:eastAsia="ar-SA"/>
        </w:rPr>
        <w:t xml:space="preserve">HM Treasury (2011). </w:t>
      </w:r>
      <w:r w:rsidRPr="00127AE7">
        <w:rPr>
          <w:i/>
          <w:lang w:eastAsia="ar-SA"/>
        </w:rPr>
        <w:t>UK Government Autumn Statement 2011.</w:t>
      </w:r>
      <w:r>
        <w:rPr>
          <w:lang w:eastAsia="ar-SA"/>
        </w:rPr>
        <w:t>)</w:t>
      </w:r>
      <w:hyperlink r:id="rId13" w:history="1">
        <w:r w:rsidRPr="005D372A">
          <w:rPr>
            <w:rStyle w:val="Hyperlink"/>
            <w:lang w:eastAsia="ar-SA"/>
          </w:rPr>
          <w:t>www.gov.uk)</w:t>
        </w:r>
      </w:hyperlink>
      <w:r>
        <w:rPr>
          <w:lang w:eastAsia="ar-SA"/>
        </w:rPr>
        <w:t xml:space="preserve"> </w:t>
      </w:r>
    </w:p>
    <w:p w:rsidR="00015F31" w:rsidRPr="00ED0E7E" w:rsidRDefault="00015F31" w:rsidP="00015F31">
      <w:pPr>
        <w:spacing w:after="120" w:line="240" w:lineRule="auto"/>
        <w:ind w:left="720" w:hanging="720"/>
        <w:rPr>
          <w:rFonts w:asciiTheme="minorHAnsi" w:eastAsia="Times New Roman" w:hAnsiTheme="minorHAnsi" w:cs="Arial"/>
          <w:color w:val="222222"/>
          <w:lang w:eastAsia="en-GB"/>
        </w:rPr>
      </w:pPr>
      <w:r w:rsidRPr="00ED0E7E">
        <w:rPr>
          <w:rFonts w:asciiTheme="minorHAnsi" w:eastAsia="Times New Roman" w:hAnsiTheme="minorHAnsi" w:cs="Arial"/>
          <w:color w:val="222222"/>
          <w:lang w:eastAsia="en-GB"/>
        </w:rPr>
        <w:t xml:space="preserve">Hodkinson, S., and Robbins, G. (2013), </w:t>
      </w:r>
      <w:proofErr w:type="gramStart"/>
      <w:r w:rsidRPr="00ED0E7E">
        <w:rPr>
          <w:rFonts w:asciiTheme="minorHAnsi" w:eastAsia="Times New Roman" w:hAnsiTheme="minorHAnsi" w:cs="Arial"/>
          <w:color w:val="222222"/>
          <w:lang w:eastAsia="en-GB"/>
        </w:rPr>
        <w:t>The</w:t>
      </w:r>
      <w:proofErr w:type="gramEnd"/>
      <w:r w:rsidRPr="00ED0E7E">
        <w:rPr>
          <w:rFonts w:asciiTheme="minorHAnsi" w:eastAsia="Times New Roman" w:hAnsiTheme="minorHAnsi" w:cs="Arial"/>
          <w:color w:val="222222"/>
          <w:lang w:eastAsia="en-GB"/>
        </w:rPr>
        <w:t xml:space="preserve"> return of class war conservatism? Housing under the UK Coalition Government. </w:t>
      </w:r>
      <w:r w:rsidRPr="00ED0E7E">
        <w:rPr>
          <w:rFonts w:asciiTheme="minorHAnsi" w:eastAsia="Times New Roman" w:hAnsiTheme="minorHAnsi" w:cs="Arial"/>
          <w:i/>
          <w:iCs/>
          <w:color w:val="222222"/>
          <w:lang w:eastAsia="en-GB"/>
        </w:rPr>
        <w:t>Critical Social Policy</w:t>
      </w:r>
      <w:r w:rsidRPr="00ED0E7E">
        <w:rPr>
          <w:rFonts w:asciiTheme="minorHAnsi" w:eastAsia="Times New Roman" w:hAnsiTheme="minorHAnsi" w:cs="Arial"/>
          <w:color w:val="222222"/>
          <w:lang w:eastAsia="en-GB"/>
        </w:rPr>
        <w:t xml:space="preserve">, </w:t>
      </w:r>
      <w:r w:rsidRPr="00BE7527">
        <w:rPr>
          <w:rFonts w:asciiTheme="minorHAnsi" w:eastAsia="Times New Roman" w:hAnsiTheme="minorHAnsi" w:cs="Arial"/>
          <w:iCs/>
          <w:color w:val="222222"/>
          <w:lang w:eastAsia="en-GB"/>
        </w:rPr>
        <w:t>33,</w:t>
      </w:r>
      <w:r w:rsidRPr="00ED0E7E">
        <w:rPr>
          <w:rFonts w:asciiTheme="minorHAnsi" w:eastAsia="Times New Roman" w:hAnsiTheme="minorHAnsi" w:cs="Arial"/>
          <w:i/>
          <w:iCs/>
          <w:color w:val="222222"/>
          <w:lang w:eastAsia="en-GB"/>
        </w:rPr>
        <w:t xml:space="preserve"> </w:t>
      </w:r>
      <w:r w:rsidRPr="00ED0E7E">
        <w:rPr>
          <w:rFonts w:asciiTheme="minorHAnsi" w:eastAsia="Times New Roman" w:hAnsiTheme="minorHAnsi" w:cs="Arial"/>
          <w:color w:val="222222"/>
          <w:lang w:eastAsia="en-GB"/>
        </w:rPr>
        <w:t>1, p. 57.</w:t>
      </w:r>
    </w:p>
    <w:p w:rsidR="00015F31" w:rsidRPr="002A7B00" w:rsidRDefault="00015F31" w:rsidP="00015F31">
      <w:pPr>
        <w:spacing w:after="120" w:line="240" w:lineRule="auto"/>
        <w:rPr>
          <w:rFonts w:asciiTheme="minorHAnsi" w:hAnsiTheme="minorHAnsi" w:cs="Arial"/>
        </w:rPr>
      </w:pPr>
      <w:r w:rsidRPr="002A7B00">
        <w:rPr>
          <w:rFonts w:asciiTheme="minorHAnsi" w:hAnsiTheme="minorHAnsi" w:cs="Arial"/>
        </w:rPr>
        <w:t xml:space="preserve">Housing Regenerations Act (2008), </w:t>
      </w:r>
      <w:hyperlink r:id="rId14" w:history="1">
        <w:r w:rsidRPr="002A7B00">
          <w:rPr>
            <w:rStyle w:val="Hyperlink"/>
            <w:rFonts w:asciiTheme="minorHAnsi" w:hAnsiTheme="minorHAnsi" w:cs="Arial"/>
          </w:rPr>
          <w:t>(www.legislation.gov.uk).</w:t>
        </w:r>
      </w:hyperlink>
    </w:p>
    <w:p w:rsidR="00015F31" w:rsidRDefault="00015F31" w:rsidP="00015F31">
      <w:pPr>
        <w:autoSpaceDE w:val="0"/>
        <w:autoSpaceDN w:val="0"/>
        <w:spacing w:after="120" w:line="240" w:lineRule="auto"/>
        <w:ind w:left="567" w:hanging="567"/>
      </w:pPr>
      <w:r w:rsidRPr="00EB05F8">
        <w:t xml:space="preserve">Johnson, G., Scholes, K. and Whittington, R. (2008), </w:t>
      </w:r>
      <w:r w:rsidRPr="00EB05F8">
        <w:rPr>
          <w:i/>
          <w:iCs/>
        </w:rPr>
        <w:t>Exploring Corporate Strategy</w:t>
      </w:r>
      <w:r w:rsidRPr="00EB05F8">
        <w:t>. (Pearson Education).</w:t>
      </w:r>
      <w:r>
        <w:t xml:space="preserve"> </w:t>
      </w:r>
    </w:p>
    <w:p w:rsidR="00015F31" w:rsidRDefault="00015F31" w:rsidP="00015F31">
      <w:pPr>
        <w:spacing w:after="120" w:line="240" w:lineRule="auto"/>
        <w:ind w:left="567" w:hanging="567"/>
        <w:rPr>
          <w:rFonts w:asciiTheme="minorHAnsi" w:eastAsia="Times New Roman" w:hAnsiTheme="minorHAnsi" w:cs="Arial"/>
          <w:color w:val="222222"/>
          <w:lang w:val="en-NZ" w:eastAsia="en-NZ"/>
        </w:rPr>
      </w:pPr>
      <w:proofErr w:type="spellStart"/>
      <w:r w:rsidRPr="00ED0E7E">
        <w:rPr>
          <w:rFonts w:asciiTheme="minorHAnsi" w:eastAsia="Times New Roman" w:hAnsiTheme="minorHAnsi" w:cs="Arial"/>
          <w:color w:val="222222"/>
          <w:lang w:val="en-NZ" w:eastAsia="en-NZ"/>
        </w:rPr>
        <w:t>Kamensky</w:t>
      </w:r>
      <w:proofErr w:type="spellEnd"/>
      <w:r w:rsidRPr="00ED0E7E">
        <w:rPr>
          <w:rFonts w:asciiTheme="minorHAnsi" w:eastAsia="Times New Roman" w:hAnsiTheme="minorHAnsi" w:cs="Arial"/>
          <w:color w:val="222222"/>
          <w:lang w:val="en-NZ" w:eastAsia="en-NZ"/>
        </w:rPr>
        <w:t xml:space="preserve">, J. M. (2011), The Obama performance approach: a midterm snapshot. </w:t>
      </w:r>
      <w:r w:rsidRPr="00ED0E7E">
        <w:rPr>
          <w:rFonts w:asciiTheme="minorHAnsi" w:eastAsia="Times New Roman" w:hAnsiTheme="minorHAnsi" w:cs="Arial"/>
          <w:i/>
          <w:iCs/>
          <w:color w:val="222222"/>
          <w:lang w:val="en-NZ" w:eastAsia="en-NZ"/>
        </w:rPr>
        <w:t>Public Performance &amp; Management Review</w:t>
      </w:r>
      <w:r w:rsidRPr="00ED0E7E">
        <w:rPr>
          <w:rFonts w:asciiTheme="minorHAnsi" w:eastAsia="Times New Roman" w:hAnsiTheme="minorHAnsi" w:cs="Arial"/>
          <w:color w:val="222222"/>
          <w:lang w:val="en-NZ" w:eastAsia="en-NZ"/>
        </w:rPr>
        <w:t xml:space="preserve">, </w:t>
      </w:r>
      <w:r w:rsidRPr="00ED0E7E">
        <w:rPr>
          <w:rFonts w:asciiTheme="minorHAnsi" w:eastAsia="Times New Roman" w:hAnsiTheme="minorHAnsi" w:cs="Arial"/>
          <w:iCs/>
          <w:color w:val="222222"/>
          <w:lang w:val="en-NZ" w:eastAsia="en-NZ"/>
        </w:rPr>
        <w:t xml:space="preserve">35, </w:t>
      </w:r>
      <w:r w:rsidRPr="00ED0E7E">
        <w:rPr>
          <w:rFonts w:asciiTheme="minorHAnsi" w:eastAsia="Times New Roman" w:hAnsiTheme="minorHAnsi" w:cs="Arial"/>
          <w:color w:val="222222"/>
          <w:lang w:val="en-NZ" w:eastAsia="en-NZ"/>
        </w:rPr>
        <w:t>1, p. 133.</w:t>
      </w:r>
    </w:p>
    <w:p w:rsidR="00015F31" w:rsidRPr="009F585E" w:rsidRDefault="00015F31" w:rsidP="00015F31">
      <w:pPr>
        <w:spacing w:after="120" w:line="240" w:lineRule="auto"/>
        <w:ind w:left="567" w:hanging="567"/>
        <w:rPr>
          <w:rFonts w:asciiTheme="minorHAnsi" w:eastAsia="Times New Roman" w:hAnsiTheme="minorHAnsi" w:cs="Arial"/>
          <w:color w:val="222222"/>
          <w:lang w:val="en-NZ" w:eastAsia="en-NZ"/>
        </w:rPr>
      </w:pPr>
      <w:r w:rsidRPr="009F585E">
        <w:rPr>
          <w:rFonts w:asciiTheme="minorHAnsi" w:eastAsia="Times New Roman" w:hAnsiTheme="minorHAnsi" w:cs="Arial"/>
          <w:color w:val="222222"/>
          <w:lang w:val="en-NZ" w:eastAsia="en-NZ"/>
        </w:rPr>
        <w:t>Kaplan, R. S. (2001)</w:t>
      </w:r>
      <w:r>
        <w:rPr>
          <w:rFonts w:asciiTheme="minorHAnsi" w:eastAsia="Times New Roman" w:hAnsiTheme="minorHAnsi" w:cs="Arial"/>
          <w:color w:val="222222"/>
          <w:lang w:val="en-NZ" w:eastAsia="en-NZ"/>
        </w:rPr>
        <w:t>,</w:t>
      </w:r>
      <w:r w:rsidRPr="009F585E">
        <w:rPr>
          <w:rFonts w:asciiTheme="minorHAnsi" w:eastAsia="Times New Roman" w:hAnsiTheme="minorHAnsi" w:cs="Arial"/>
          <w:color w:val="222222"/>
          <w:lang w:val="en-NZ" w:eastAsia="en-NZ"/>
        </w:rPr>
        <w:t xml:space="preserve"> Strategic performance measurement and management in </w:t>
      </w:r>
      <w:proofErr w:type="spellStart"/>
      <w:r w:rsidRPr="009F585E">
        <w:rPr>
          <w:rFonts w:asciiTheme="minorHAnsi" w:eastAsia="Times New Roman" w:hAnsiTheme="minorHAnsi" w:cs="Arial"/>
          <w:color w:val="222222"/>
          <w:lang w:val="en-NZ" w:eastAsia="en-NZ"/>
        </w:rPr>
        <w:t>nonprofit</w:t>
      </w:r>
      <w:proofErr w:type="spellEnd"/>
      <w:r w:rsidRPr="009F585E">
        <w:rPr>
          <w:rFonts w:asciiTheme="minorHAnsi" w:eastAsia="Times New Roman" w:hAnsiTheme="minorHAnsi" w:cs="Arial"/>
          <w:color w:val="222222"/>
          <w:lang w:val="en-NZ" w:eastAsia="en-NZ"/>
        </w:rPr>
        <w:t xml:space="preserve"> organizations. </w:t>
      </w:r>
      <w:proofErr w:type="spellStart"/>
      <w:r w:rsidRPr="009F585E">
        <w:rPr>
          <w:rFonts w:asciiTheme="minorHAnsi" w:eastAsia="Times New Roman" w:hAnsiTheme="minorHAnsi" w:cs="Arial"/>
          <w:i/>
          <w:iCs/>
          <w:color w:val="222222"/>
          <w:lang w:val="en-NZ" w:eastAsia="en-NZ"/>
        </w:rPr>
        <w:t>Nonprofit</w:t>
      </w:r>
      <w:proofErr w:type="spellEnd"/>
      <w:r w:rsidRPr="009F585E">
        <w:rPr>
          <w:rFonts w:asciiTheme="minorHAnsi" w:eastAsia="Times New Roman" w:hAnsiTheme="minorHAnsi" w:cs="Arial"/>
          <w:i/>
          <w:iCs/>
          <w:color w:val="222222"/>
          <w:lang w:val="en-NZ" w:eastAsia="en-NZ"/>
        </w:rPr>
        <w:t xml:space="preserve"> management and Leadership</w:t>
      </w:r>
      <w:r w:rsidRPr="009F585E">
        <w:rPr>
          <w:rFonts w:asciiTheme="minorHAnsi" w:eastAsia="Times New Roman" w:hAnsiTheme="minorHAnsi" w:cs="Arial"/>
          <w:color w:val="222222"/>
          <w:lang w:val="en-NZ" w:eastAsia="en-NZ"/>
        </w:rPr>
        <w:t xml:space="preserve">, </w:t>
      </w:r>
      <w:r w:rsidRPr="009F585E">
        <w:rPr>
          <w:rFonts w:asciiTheme="minorHAnsi" w:eastAsia="Times New Roman" w:hAnsiTheme="minorHAnsi" w:cs="Arial"/>
          <w:iCs/>
          <w:color w:val="222222"/>
          <w:lang w:val="en-NZ" w:eastAsia="en-NZ"/>
        </w:rPr>
        <w:t>11</w:t>
      </w:r>
      <w:r>
        <w:rPr>
          <w:rFonts w:asciiTheme="minorHAnsi" w:eastAsia="Times New Roman" w:hAnsiTheme="minorHAnsi" w:cs="Arial"/>
          <w:iCs/>
          <w:color w:val="222222"/>
          <w:lang w:val="en-NZ" w:eastAsia="en-NZ"/>
        </w:rPr>
        <w:t xml:space="preserve">, </w:t>
      </w:r>
      <w:r w:rsidRPr="009F585E">
        <w:rPr>
          <w:rFonts w:asciiTheme="minorHAnsi" w:eastAsia="Times New Roman" w:hAnsiTheme="minorHAnsi" w:cs="Arial"/>
          <w:color w:val="222222"/>
          <w:lang w:val="en-NZ" w:eastAsia="en-NZ"/>
        </w:rPr>
        <w:t xml:space="preserve">3, </w:t>
      </w:r>
      <w:r>
        <w:rPr>
          <w:rFonts w:asciiTheme="minorHAnsi" w:eastAsia="Times New Roman" w:hAnsiTheme="minorHAnsi" w:cs="Arial"/>
          <w:color w:val="222222"/>
          <w:lang w:val="en-NZ" w:eastAsia="en-NZ"/>
        </w:rPr>
        <w:t xml:space="preserve">p. </w:t>
      </w:r>
      <w:r w:rsidRPr="009F585E">
        <w:rPr>
          <w:rFonts w:asciiTheme="minorHAnsi" w:eastAsia="Times New Roman" w:hAnsiTheme="minorHAnsi" w:cs="Arial"/>
          <w:color w:val="222222"/>
          <w:lang w:val="en-NZ" w:eastAsia="en-NZ"/>
        </w:rPr>
        <w:t>353.</w:t>
      </w:r>
    </w:p>
    <w:p w:rsidR="00015F31" w:rsidRDefault="00015F31" w:rsidP="00015F31">
      <w:pPr>
        <w:spacing w:after="120" w:line="240" w:lineRule="auto"/>
        <w:ind w:left="567" w:hanging="567"/>
        <w:rPr>
          <w:rFonts w:asciiTheme="minorHAnsi" w:eastAsia="Times New Roman" w:hAnsiTheme="minorHAnsi" w:cs="Arial"/>
          <w:color w:val="222222"/>
          <w:lang w:val="en-NZ" w:eastAsia="en-NZ"/>
        </w:rPr>
      </w:pPr>
    </w:p>
    <w:p w:rsidR="00015F31" w:rsidRPr="009F585E" w:rsidRDefault="00015F31" w:rsidP="00015F31">
      <w:pPr>
        <w:spacing w:after="120" w:line="240" w:lineRule="auto"/>
        <w:ind w:left="567" w:hanging="567"/>
        <w:rPr>
          <w:rFonts w:asciiTheme="minorHAnsi" w:eastAsia="Times New Roman" w:hAnsiTheme="minorHAnsi" w:cs="Arial"/>
          <w:color w:val="222222"/>
          <w:lang w:val="en-NZ" w:eastAsia="en-NZ"/>
        </w:rPr>
      </w:pPr>
      <w:r w:rsidRPr="009F585E">
        <w:rPr>
          <w:rFonts w:asciiTheme="minorHAnsi" w:eastAsia="Times New Roman" w:hAnsiTheme="minorHAnsi" w:cs="Arial"/>
          <w:color w:val="222222"/>
          <w:lang w:val="en-NZ" w:eastAsia="en-NZ"/>
        </w:rPr>
        <w:t xml:space="preserve">Kaplan, R. S., </w:t>
      </w:r>
      <w:r>
        <w:rPr>
          <w:rFonts w:asciiTheme="minorHAnsi" w:eastAsia="Times New Roman" w:hAnsiTheme="minorHAnsi" w:cs="Arial"/>
          <w:color w:val="222222"/>
          <w:lang w:val="en-NZ" w:eastAsia="en-NZ"/>
        </w:rPr>
        <w:t>and</w:t>
      </w:r>
      <w:r w:rsidRPr="009F585E">
        <w:rPr>
          <w:rFonts w:asciiTheme="minorHAnsi" w:eastAsia="Times New Roman" w:hAnsiTheme="minorHAnsi" w:cs="Arial"/>
          <w:color w:val="222222"/>
          <w:lang w:val="en-NZ" w:eastAsia="en-NZ"/>
        </w:rPr>
        <w:t xml:space="preserve"> Norton, D. P. (1996)</w:t>
      </w:r>
      <w:r>
        <w:rPr>
          <w:rFonts w:asciiTheme="minorHAnsi" w:eastAsia="Times New Roman" w:hAnsiTheme="minorHAnsi" w:cs="Arial"/>
          <w:color w:val="222222"/>
          <w:lang w:val="en-NZ" w:eastAsia="en-NZ"/>
        </w:rPr>
        <w:t>,</w:t>
      </w:r>
      <w:r w:rsidRPr="009F585E">
        <w:rPr>
          <w:rFonts w:asciiTheme="minorHAnsi" w:eastAsia="Times New Roman" w:hAnsiTheme="minorHAnsi" w:cs="Arial"/>
          <w:color w:val="222222"/>
          <w:lang w:val="en-NZ" w:eastAsia="en-NZ"/>
        </w:rPr>
        <w:t xml:space="preserve"> </w:t>
      </w:r>
      <w:proofErr w:type="gramStart"/>
      <w:r w:rsidRPr="009F585E">
        <w:rPr>
          <w:rFonts w:asciiTheme="minorHAnsi" w:eastAsia="Times New Roman" w:hAnsiTheme="minorHAnsi" w:cs="Arial"/>
          <w:i/>
          <w:iCs/>
          <w:color w:val="222222"/>
          <w:lang w:val="en-NZ" w:eastAsia="en-NZ"/>
        </w:rPr>
        <w:t>The</w:t>
      </w:r>
      <w:proofErr w:type="gramEnd"/>
      <w:r w:rsidRPr="009F585E">
        <w:rPr>
          <w:rFonts w:asciiTheme="minorHAnsi" w:eastAsia="Times New Roman" w:hAnsiTheme="minorHAnsi" w:cs="Arial"/>
          <w:i/>
          <w:iCs/>
          <w:color w:val="222222"/>
          <w:lang w:val="en-NZ" w:eastAsia="en-NZ"/>
        </w:rPr>
        <w:t xml:space="preserve"> balanced scorecard: translating strategy into action</w:t>
      </w:r>
      <w:r w:rsidRPr="009F585E">
        <w:rPr>
          <w:rFonts w:asciiTheme="minorHAnsi" w:eastAsia="Times New Roman" w:hAnsiTheme="minorHAnsi" w:cs="Arial"/>
          <w:color w:val="222222"/>
          <w:lang w:val="en-NZ" w:eastAsia="en-NZ"/>
        </w:rPr>
        <w:t xml:space="preserve">. </w:t>
      </w:r>
      <w:r>
        <w:rPr>
          <w:rFonts w:asciiTheme="minorHAnsi" w:eastAsia="Times New Roman" w:hAnsiTheme="minorHAnsi" w:cs="Arial"/>
          <w:color w:val="222222"/>
          <w:lang w:val="en-NZ" w:eastAsia="en-NZ"/>
        </w:rPr>
        <w:t>(</w:t>
      </w:r>
      <w:r w:rsidRPr="009F585E">
        <w:rPr>
          <w:rFonts w:asciiTheme="minorHAnsi" w:eastAsia="Times New Roman" w:hAnsiTheme="minorHAnsi" w:cs="Arial"/>
          <w:color w:val="222222"/>
          <w:lang w:val="en-NZ" w:eastAsia="en-NZ"/>
        </w:rPr>
        <w:t>Harvard Business Press</w:t>
      </w:r>
      <w:r>
        <w:rPr>
          <w:rFonts w:asciiTheme="minorHAnsi" w:eastAsia="Times New Roman" w:hAnsiTheme="minorHAnsi" w:cs="Arial"/>
          <w:color w:val="222222"/>
          <w:lang w:val="en-NZ" w:eastAsia="en-NZ"/>
        </w:rPr>
        <w:t>)</w:t>
      </w:r>
      <w:r w:rsidRPr="009F585E">
        <w:rPr>
          <w:rFonts w:asciiTheme="minorHAnsi" w:eastAsia="Times New Roman" w:hAnsiTheme="minorHAnsi" w:cs="Arial"/>
          <w:color w:val="222222"/>
          <w:lang w:val="en-NZ" w:eastAsia="en-NZ"/>
        </w:rPr>
        <w:t>.</w:t>
      </w:r>
    </w:p>
    <w:p w:rsidR="00015F31" w:rsidRPr="002A7B00" w:rsidRDefault="00015F31" w:rsidP="00015F31">
      <w:pPr>
        <w:spacing w:after="120" w:line="240" w:lineRule="auto"/>
        <w:rPr>
          <w:rFonts w:asciiTheme="minorHAnsi" w:hAnsiTheme="minorHAnsi" w:cs="Arial"/>
        </w:rPr>
      </w:pPr>
      <w:r w:rsidRPr="002A7B00">
        <w:rPr>
          <w:rFonts w:asciiTheme="minorHAnsi" w:hAnsiTheme="minorHAnsi" w:cs="Arial"/>
        </w:rPr>
        <w:t>Localism Act (2011), (</w:t>
      </w:r>
      <w:hyperlink r:id="rId15" w:history="1">
        <w:r w:rsidRPr="002A7B00">
          <w:rPr>
            <w:rStyle w:val="Hyperlink"/>
            <w:rFonts w:asciiTheme="minorHAnsi" w:hAnsiTheme="minorHAnsi" w:cs="Arial"/>
          </w:rPr>
          <w:t>www.gov.uk)</w:t>
        </w:r>
      </w:hyperlink>
      <w:r w:rsidRPr="002A7B00">
        <w:rPr>
          <w:rStyle w:val="Hyperlink"/>
          <w:rFonts w:asciiTheme="minorHAnsi" w:hAnsiTheme="minorHAnsi" w:cs="Arial"/>
        </w:rPr>
        <w:t>.</w:t>
      </w:r>
    </w:p>
    <w:p w:rsidR="00015F31" w:rsidRPr="00A13D6B" w:rsidRDefault="00015F31" w:rsidP="00015F31">
      <w:pPr>
        <w:pStyle w:val="Bibliographytext"/>
        <w:spacing w:after="120" w:line="240" w:lineRule="auto"/>
        <w:ind w:left="567" w:hanging="567"/>
        <w:jc w:val="left"/>
        <w:rPr>
          <w:rFonts w:asciiTheme="minorHAnsi" w:hAnsiTheme="minorHAnsi" w:cs="Times New Roman"/>
          <w:sz w:val="22"/>
          <w:szCs w:val="22"/>
        </w:rPr>
      </w:pPr>
      <w:proofErr w:type="spellStart"/>
      <w:r w:rsidRPr="00A13D6B">
        <w:rPr>
          <w:rFonts w:asciiTheme="minorHAnsi" w:hAnsiTheme="minorHAnsi" w:cs="Times New Roman"/>
          <w:sz w:val="22"/>
          <w:szCs w:val="22"/>
        </w:rPr>
        <w:t>Manochin</w:t>
      </w:r>
      <w:proofErr w:type="spellEnd"/>
      <w:r w:rsidRPr="00A13D6B">
        <w:rPr>
          <w:rFonts w:asciiTheme="minorHAnsi" w:hAnsiTheme="minorHAnsi" w:cs="Times New Roman"/>
          <w:sz w:val="22"/>
          <w:szCs w:val="22"/>
        </w:rPr>
        <w:t xml:space="preserve">, M., Jack, L. and Howell, C. (2008), </w:t>
      </w:r>
      <w:proofErr w:type="gramStart"/>
      <w:r w:rsidRPr="00A13D6B">
        <w:rPr>
          <w:rFonts w:asciiTheme="minorHAnsi" w:hAnsiTheme="minorHAnsi" w:cs="Times New Roman"/>
          <w:sz w:val="22"/>
          <w:szCs w:val="22"/>
        </w:rPr>
        <w:t>The</w:t>
      </w:r>
      <w:proofErr w:type="gramEnd"/>
      <w:r w:rsidRPr="00A13D6B">
        <w:rPr>
          <w:rFonts w:asciiTheme="minorHAnsi" w:hAnsiTheme="minorHAnsi" w:cs="Times New Roman"/>
          <w:sz w:val="22"/>
          <w:szCs w:val="22"/>
        </w:rPr>
        <w:t xml:space="preserve"> boundaries of reporting sustainable development in social housing. </w:t>
      </w:r>
      <w:r w:rsidRPr="00A13D6B">
        <w:rPr>
          <w:rFonts w:asciiTheme="minorHAnsi" w:hAnsiTheme="minorHAnsi" w:cs="Times New Roman"/>
          <w:i/>
          <w:iCs/>
          <w:sz w:val="22"/>
          <w:szCs w:val="22"/>
        </w:rPr>
        <w:t>Public Money and Management</w:t>
      </w:r>
      <w:r w:rsidRPr="00A13D6B">
        <w:rPr>
          <w:rFonts w:asciiTheme="minorHAnsi" w:hAnsiTheme="minorHAnsi" w:cs="Times New Roman"/>
          <w:sz w:val="22"/>
          <w:szCs w:val="22"/>
        </w:rPr>
        <w:t>, 28, 6, p. 345.</w:t>
      </w:r>
    </w:p>
    <w:p w:rsidR="00015F31" w:rsidRPr="00C7105B" w:rsidRDefault="00015F31" w:rsidP="00015F31">
      <w:pPr>
        <w:spacing w:after="120" w:line="240" w:lineRule="auto"/>
        <w:ind w:left="567" w:hanging="567"/>
        <w:rPr>
          <w:rFonts w:asciiTheme="minorHAnsi" w:hAnsiTheme="minorHAnsi" w:cs="Arial"/>
          <w:color w:val="222222"/>
        </w:rPr>
      </w:pPr>
      <w:proofErr w:type="spellStart"/>
      <w:r w:rsidRPr="00C7105B">
        <w:rPr>
          <w:rFonts w:asciiTheme="minorHAnsi" w:hAnsiTheme="minorHAnsi" w:cs="Arial"/>
          <w:color w:val="222222"/>
        </w:rPr>
        <w:t>Manochin</w:t>
      </w:r>
      <w:proofErr w:type="spellEnd"/>
      <w:r w:rsidRPr="00C7105B">
        <w:rPr>
          <w:rFonts w:asciiTheme="minorHAnsi" w:hAnsiTheme="minorHAnsi" w:cs="Arial"/>
          <w:color w:val="222222"/>
        </w:rPr>
        <w:t xml:space="preserve">, M., </w:t>
      </w:r>
      <w:proofErr w:type="spellStart"/>
      <w:r w:rsidRPr="00C7105B">
        <w:rPr>
          <w:rFonts w:asciiTheme="minorHAnsi" w:hAnsiTheme="minorHAnsi" w:cs="Arial"/>
          <w:color w:val="222222"/>
        </w:rPr>
        <w:t>Brignall</w:t>
      </w:r>
      <w:proofErr w:type="spellEnd"/>
      <w:r w:rsidRPr="00C7105B">
        <w:rPr>
          <w:rFonts w:asciiTheme="minorHAnsi" w:hAnsiTheme="minorHAnsi" w:cs="Arial"/>
          <w:color w:val="222222"/>
        </w:rPr>
        <w:t xml:space="preserve">, S., Lowe, A., and Howell, C. (2011), Visual modes of governmentality: Traffic lights in a housing association. </w:t>
      </w:r>
      <w:r w:rsidRPr="00C7105B">
        <w:rPr>
          <w:rFonts w:asciiTheme="minorHAnsi" w:hAnsiTheme="minorHAnsi" w:cs="Arial"/>
          <w:i/>
          <w:iCs/>
          <w:color w:val="222222"/>
        </w:rPr>
        <w:t>Management Accounting Research</w:t>
      </w:r>
      <w:r w:rsidRPr="00C7105B">
        <w:rPr>
          <w:rFonts w:asciiTheme="minorHAnsi" w:hAnsiTheme="minorHAnsi" w:cs="Arial"/>
          <w:color w:val="222222"/>
        </w:rPr>
        <w:t xml:space="preserve">, </w:t>
      </w:r>
      <w:r w:rsidRPr="00C7105B">
        <w:rPr>
          <w:rFonts w:asciiTheme="minorHAnsi" w:hAnsiTheme="minorHAnsi" w:cs="Arial"/>
          <w:iCs/>
          <w:color w:val="222222"/>
        </w:rPr>
        <w:t xml:space="preserve">22, </w:t>
      </w:r>
      <w:r w:rsidRPr="00C7105B">
        <w:rPr>
          <w:rFonts w:asciiTheme="minorHAnsi" w:hAnsiTheme="minorHAnsi" w:cs="Arial"/>
          <w:color w:val="222222"/>
        </w:rPr>
        <w:t>1, p. 26.</w:t>
      </w:r>
    </w:p>
    <w:p w:rsidR="00015F31" w:rsidRPr="00C7105B" w:rsidRDefault="00015F31" w:rsidP="00015F31">
      <w:pPr>
        <w:pStyle w:val="Bibliographytext"/>
        <w:spacing w:after="120" w:line="240" w:lineRule="auto"/>
        <w:ind w:left="567" w:hanging="567"/>
        <w:jc w:val="left"/>
        <w:rPr>
          <w:rFonts w:asciiTheme="minorHAnsi" w:hAnsiTheme="minorHAnsi" w:cs="Times New Roman"/>
          <w:sz w:val="22"/>
          <w:szCs w:val="22"/>
        </w:rPr>
      </w:pPr>
      <w:r w:rsidRPr="00C7105B">
        <w:rPr>
          <w:rFonts w:asciiTheme="minorHAnsi" w:hAnsiTheme="minorHAnsi" w:cs="Times New Roman"/>
          <w:sz w:val="22"/>
          <w:szCs w:val="22"/>
        </w:rPr>
        <w:t>Manville, G. (2007), Implementing a Balanced Scorecard Framework in a Not for Profit SME</w:t>
      </w:r>
      <w:r w:rsidRPr="00C7105B">
        <w:rPr>
          <w:rFonts w:asciiTheme="minorHAnsi" w:hAnsiTheme="minorHAnsi" w:cs="Times New Roman"/>
          <w:i/>
          <w:iCs/>
          <w:sz w:val="22"/>
          <w:szCs w:val="22"/>
        </w:rPr>
        <w:t>.</w:t>
      </w:r>
      <w:r w:rsidRPr="00C7105B">
        <w:rPr>
          <w:rFonts w:asciiTheme="minorHAnsi" w:hAnsiTheme="minorHAnsi" w:cs="Times New Roman"/>
          <w:sz w:val="22"/>
          <w:szCs w:val="22"/>
        </w:rPr>
        <w:t xml:space="preserve"> </w:t>
      </w:r>
      <w:r w:rsidRPr="00C7105B">
        <w:rPr>
          <w:rFonts w:asciiTheme="minorHAnsi" w:hAnsiTheme="minorHAnsi" w:cs="Times New Roman"/>
          <w:i/>
          <w:iCs/>
          <w:sz w:val="22"/>
          <w:szCs w:val="22"/>
        </w:rPr>
        <w:t>International Journal of Productivity and Performance Management</w:t>
      </w:r>
      <w:r w:rsidRPr="00C7105B">
        <w:rPr>
          <w:rFonts w:asciiTheme="minorHAnsi" w:hAnsiTheme="minorHAnsi" w:cs="Times New Roman"/>
          <w:sz w:val="22"/>
          <w:szCs w:val="22"/>
        </w:rPr>
        <w:t>, 56, 2, p. 162.</w:t>
      </w:r>
    </w:p>
    <w:p w:rsidR="00015F31" w:rsidRDefault="00015F31" w:rsidP="00015F31">
      <w:pPr>
        <w:spacing w:after="120" w:line="240" w:lineRule="auto"/>
        <w:ind w:left="567" w:hanging="567"/>
        <w:rPr>
          <w:rFonts w:asciiTheme="minorHAnsi" w:hAnsiTheme="minorHAnsi" w:cs="Times New Roman"/>
          <w:color w:val="222222"/>
        </w:rPr>
      </w:pPr>
      <w:r w:rsidRPr="005000CE">
        <w:rPr>
          <w:rFonts w:asciiTheme="minorHAnsi" w:hAnsiTheme="minorHAnsi" w:cs="Times New Roman"/>
          <w:color w:val="222222"/>
        </w:rPr>
        <w:t xml:space="preserve">Manville, G., and Broad, M. (2013), </w:t>
      </w:r>
      <w:proofErr w:type="gramStart"/>
      <w:r w:rsidRPr="005000CE">
        <w:rPr>
          <w:rFonts w:asciiTheme="minorHAnsi" w:hAnsiTheme="minorHAnsi" w:cs="Times New Roman"/>
          <w:color w:val="222222"/>
        </w:rPr>
        <w:t>Changing</w:t>
      </w:r>
      <w:proofErr w:type="gramEnd"/>
      <w:r w:rsidRPr="005000CE">
        <w:rPr>
          <w:rFonts w:asciiTheme="minorHAnsi" w:hAnsiTheme="minorHAnsi" w:cs="Times New Roman"/>
          <w:color w:val="222222"/>
        </w:rPr>
        <w:t xml:space="preserve"> times for charities: performance management in a third sector housing association. </w:t>
      </w:r>
      <w:r w:rsidRPr="005000CE">
        <w:rPr>
          <w:rFonts w:asciiTheme="minorHAnsi" w:hAnsiTheme="minorHAnsi" w:cs="Times New Roman"/>
          <w:i/>
          <w:iCs/>
          <w:color w:val="222222"/>
        </w:rPr>
        <w:t>Public Management Review</w:t>
      </w:r>
      <w:r>
        <w:rPr>
          <w:rFonts w:asciiTheme="minorHAnsi" w:hAnsiTheme="minorHAnsi" w:cs="Times New Roman"/>
          <w:i/>
          <w:iCs/>
          <w:color w:val="222222"/>
        </w:rPr>
        <w:t>.</w:t>
      </w:r>
      <w:r w:rsidRPr="005000CE">
        <w:rPr>
          <w:rFonts w:asciiTheme="minorHAnsi" w:hAnsiTheme="minorHAnsi" w:cs="Times New Roman"/>
          <w:color w:val="222222"/>
        </w:rPr>
        <w:t xml:space="preserve"> </w:t>
      </w:r>
      <w:r w:rsidRPr="005000CE">
        <w:rPr>
          <w:rFonts w:asciiTheme="minorHAnsi" w:hAnsiTheme="minorHAnsi" w:cs="Arial"/>
          <w:color w:val="222222"/>
        </w:rPr>
        <w:t>DOI 10.1080/14719037.2012.761722</w:t>
      </w:r>
      <w:r w:rsidRPr="005000CE">
        <w:rPr>
          <w:rFonts w:asciiTheme="minorHAnsi" w:hAnsiTheme="minorHAnsi" w:cs="Times New Roman"/>
          <w:color w:val="222222"/>
        </w:rPr>
        <w:t>.</w:t>
      </w:r>
    </w:p>
    <w:p w:rsidR="00015F31" w:rsidRPr="005000CE" w:rsidRDefault="00015F31" w:rsidP="00015F31">
      <w:pPr>
        <w:spacing w:after="120" w:line="240" w:lineRule="auto"/>
        <w:ind w:left="567" w:hanging="567"/>
        <w:rPr>
          <w:rFonts w:asciiTheme="minorHAnsi" w:hAnsiTheme="minorHAnsi" w:cs="Times New Roman"/>
          <w:color w:val="222222"/>
        </w:rPr>
      </w:pPr>
      <w:r>
        <w:rPr>
          <w:rFonts w:asciiTheme="minorHAnsi" w:hAnsiTheme="minorHAnsi" w:cs="Times New Roman"/>
          <w:color w:val="222222"/>
        </w:rPr>
        <w:t xml:space="preserve">Manville, G., and </w:t>
      </w:r>
      <w:proofErr w:type="spellStart"/>
      <w:r>
        <w:rPr>
          <w:rFonts w:asciiTheme="minorHAnsi" w:hAnsiTheme="minorHAnsi" w:cs="Times New Roman"/>
          <w:color w:val="222222"/>
        </w:rPr>
        <w:t>Greatbanks</w:t>
      </w:r>
      <w:proofErr w:type="spellEnd"/>
      <w:r>
        <w:rPr>
          <w:rFonts w:asciiTheme="minorHAnsi" w:hAnsiTheme="minorHAnsi" w:cs="Times New Roman"/>
          <w:color w:val="222222"/>
        </w:rPr>
        <w:t>, R. (2013), (</w:t>
      </w:r>
      <w:proofErr w:type="spellStart"/>
      <w:r>
        <w:rPr>
          <w:rFonts w:asciiTheme="minorHAnsi" w:hAnsiTheme="minorHAnsi" w:cs="Times New Roman"/>
          <w:color w:val="222222"/>
        </w:rPr>
        <w:t>Eds</w:t>
      </w:r>
      <w:proofErr w:type="spellEnd"/>
      <w:r>
        <w:rPr>
          <w:rFonts w:asciiTheme="minorHAnsi" w:hAnsiTheme="minorHAnsi" w:cs="Times New Roman"/>
          <w:color w:val="222222"/>
        </w:rPr>
        <w:t>) Third sector performance: Management and finance in not-for-profit and social enterprises, (Gower).</w:t>
      </w:r>
    </w:p>
    <w:p w:rsidR="00015F31" w:rsidRPr="00C92A81" w:rsidRDefault="00015F31" w:rsidP="00015F31">
      <w:pPr>
        <w:autoSpaceDE w:val="0"/>
        <w:autoSpaceDN w:val="0"/>
        <w:adjustRightInd w:val="0"/>
        <w:spacing w:after="120" w:line="240" w:lineRule="auto"/>
        <w:ind w:left="567" w:hanging="567"/>
        <w:rPr>
          <w:rFonts w:asciiTheme="minorHAnsi" w:hAnsiTheme="minorHAnsi" w:cs="Times New Roman"/>
          <w:lang w:eastAsia="en-US"/>
        </w:rPr>
      </w:pPr>
      <w:r w:rsidRPr="00C92A81">
        <w:rPr>
          <w:rFonts w:asciiTheme="minorHAnsi" w:hAnsiTheme="minorHAnsi" w:cs="Times New Roman"/>
          <w:lang w:eastAsia="en-US"/>
        </w:rPr>
        <w:t xml:space="preserve">Morris, D. (2012), Charities and the Big Society: a doomed coalition? </w:t>
      </w:r>
      <w:r w:rsidRPr="00C92A81">
        <w:rPr>
          <w:rFonts w:asciiTheme="minorHAnsi" w:hAnsiTheme="minorHAnsi" w:cs="Times New Roman"/>
          <w:i/>
          <w:iCs/>
          <w:lang w:eastAsia="en-US"/>
        </w:rPr>
        <w:t>Legal Studies</w:t>
      </w:r>
      <w:r w:rsidRPr="00C92A81">
        <w:rPr>
          <w:rFonts w:asciiTheme="minorHAnsi" w:hAnsiTheme="minorHAnsi" w:cs="Times New Roman"/>
          <w:lang w:eastAsia="en-US"/>
        </w:rPr>
        <w:t>, 32, 1, p. 132.</w:t>
      </w:r>
    </w:p>
    <w:p w:rsidR="00015F31" w:rsidRPr="00EB05F8" w:rsidRDefault="00015F31" w:rsidP="00015F31">
      <w:pPr>
        <w:spacing w:after="120" w:line="240" w:lineRule="auto"/>
        <w:ind w:left="567" w:hanging="567"/>
        <w:rPr>
          <w:rFonts w:asciiTheme="minorHAnsi" w:hAnsiTheme="minorHAnsi" w:cs="Times New Roman"/>
        </w:rPr>
      </w:pPr>
      <w:r w:rsidRPr="00EB05F8">
        <w:rPr>
          <w:rFonts w:asciiTheme="minorHAnsi" w:hAnsiTheme="minorHAnsi" w:cs="Times New Roman"/>
        </w:rPr>
        <w:t xml:space="preserve">Mullins, D. (2010), </w:t>
      </w:r>
      <w:r w:rsidRPr="00EB05F8">
        <w:rPr>
          <w:rFonts w:asciiTheme="minorHAnsi" w:hAnsiTheme="minorHAnsi" w:cs="Times New Roman"/>
          <w:i/>
          <w:iCs/>
        </w:rPr>
        <w:t>Housing Associations.</w:t>
      </w:r>
      <w:r w:rsidRPr="00EB05F8">
        <w:rPr>
          <w:rFonts w:asciiTheme="minorHAnsi" w:hAnsiTheme="minorHAnsi" w:cs="Times New Roman"/>
        </w:rPr>
        <w:t xml:space="preserve"> Working Paper 16, (Third Sector Research Centre).</w:t>
      </w:r>
    </w:p>
    <w:p w:rsidR="00015F31" w:rsidRDefault="00015F31" w:rsidP="00015F31">
      <w:pPr>
        <w:spacing w:after="120" w:line="240" w:lineRule="auto"/>
        <w:ind w:left="567" w:hanging="567"/>
        <w:rPr>
          <w:rFonts w:asciiTheme="minorHAnsi" w:eastAsia="Times New Roman" w:hAnsiTheme="minorHAnsi" w:cs="Arial"/>
          <w:color w:val="222222"/>
          <w:lang w:eastAsia="en-GB"/>
        </w:rPr>
      </w:pPr>
      <w:r w:rsidRPr="00CB00A5">
        <w:rPr>
          <w:rFonts w:asciiTheme="minorHAnsi" w:eastAsia="Times New Roman" w:hAnsiTheme="minorHAnsi" w:cs="Arial"/>
          <w:color w:val="222222"/>
          <w:lang w:eastAsia="en-GB"/>
        </w:rPr>
        <w:t xml:space="preserve">Mullins, D. (2002), Theme: Local Government: Redefining ‘Competition’ as ‘Competitiveness’—The Best Value Activities of Registered Social Landlords. </w:t>
      </w:r>
      <w:r w:rsidRPr="00CB00A5">
        <w:rPr>
          <w:rFonts w:asciiTheme="minorHAnsi" w:eastAsia="Times New Roman" w:hAnsiTheme="minorHAnsi" w:cs="Arial"/>
          <w:i/>
          <w:iCs/>
          <w:color w:val="222222"/>
          <w:lang w:eastAsia="en-GB"/>
        </w:rPr>
        <w:t>Public Money and Management</w:t>
      </w:r>
      <w:r w:rsidRPr="00CB00A5">
        <w:rPr>
          <w:rFonts w:asciiTheme="minorHAnsi" w:eastAsia="Times New Roman" w:hAnsiTheme="minorHAnsi" w:cs="Arial"/>
          <w:color w:val="222222"/>
          <w:lang w:eastAsia="en-GB"/>
        </w:rPr>
        <w:t xml:space="preserve">, </w:t>
      </w:r>
      <w:r w:rsidRPr="00CB00A5">
        <w:rPr>
          <w:rFonts w:asciiTheme="minorHAnsi" w:eastAsia="Times New Roman" w:hAnsiTheme="minorHAnsi" w:cs="Arial"/>
          <w:iCs/>
          <w:color w:val="222222"/>
          <w:lang w:eastAsia="en-GB"/>
        </w:rPr>
        <w:t xml:space="preserve">22, </w:t>
      </w:r>
      <w:r w:rsidRPr="00CB00A5">
        <w:rPr>
          <w:rFonts w:asciiTheme="minorHAnsi" w:eastAsia="Times New Roman" w:hAnsiTheme="minorHAnsi" w:cs="Arial"/>
          <w:color w:val="222222"/>
          <w:lang w:eastAsia="en-GB"/>
        </w:rPr>
        <w:t xml:space="preserve">2, p. 25. </w:t>
      </w:r>
    </w:p>
    <w:p w:rsidR="00015F31" w:rsidRPr="00CB00A5" w:rsidRDefault="00015F31" w:rsidP="00015F31">
      <w:pPr>
        <w:spacing w:after="120" w:line="240" w:lineRule="auto"/>
        <w:ind w:left="567" w:hanging="567"/>
        <w:rPr>
          <w:rFonts w:asciiTheme="minorHAnsi" w:eastAsia="Times New Roman" w:hAnsiTheme="minorHAnsi" w:cs="Arial"/>
          <w:color w:val="222222"/>
          <w:lang w:eastAsia="en-GB"/>
        </w:rPr>
      </w:pPr>
      <w:r w:rsidRPr="00CB00A5">
        <w:rPr>
          <w:rFonts w:asciiTheme="minorHAnsi" w:eastAsia="Times New Roman" w:hAnsiTheme="minorHAnsi" w:cs="Times New Roman"/>
          <w:color w:val="222222"/>
          <w:lang w:eastAsia="en-GB"/>
        </w:rPr>
        <w:t xml:space="preserve">Mullins, D., </w:t>
      </w:r>
      <w:proofErr w:type="spellStart"/>
      <w:r w:rsidRPr="00CB00A5">
        <w:rPr>
          <w:rFonts w:asciiTheme="minorHAnsi" w:eastAsia="Times New Roman" w:hAnsiTheme="minorHAnsi" w:cs="Times New Roman"/>
          <w:color w:val="222222"/>
          <w:lang w:eastAsia="en-GB"/>
        </w:rPr>
        <w:t>Czischke</w:t>
      </w:r>
      <w:proofErr w:type="spellEnd"/>
      <w:r w:rsidRPr="00CB00A5">
        <w:rPr>
          <w:rFonts w:asciiTheme="minorHAnsi" w:eastAsia="Times New Roman" w:hAnsiTheme="minorHAnsi" w:cs="Times New Roman"/>
          <w:color w:val="222222"/>
          <w:lang w:eastAsia="en-GB"/>
        </w:rPr>
        <w:t xml:space="preserve">, D., and van </w:t>
      </w:r>
      <w:proofErr w:type="spellStart"/>
      <w:r w:rsidRPr="00CB00A5">
        <w:rPr>
          <w:rFonts w:asciiTheme="minorHAnsi" w:eastAsia="Times New Roman" w:hAnsiTheme="minorHAnsi" w:cs="Times New Roman"/>
          <w:color w:val="222222"/>
          <w:lang w:eastAsia="en-GB"/>
        </w:rPr>
        <w:t>Bortel</w:t>
      </w:r>
      <w:proofErr w:type="spellEnd"/>
      <w:r w:rsidRPr="00CB00A5">
        <w:rPr>
          <w:rFonts w:asciiTheme="minorHAnsi" w:eastAsia="Times New Roman" w:hAnsiTheme="minorHAnsi" w:cs="Times New Roman"/>
          <w:color w:val="222222"/>
          <w:lang w:eastAsia="en-GB"/>
        </w:rPr>
        <w:t xml:space="preserve">, G. (2012), </w:t>
      </w:r>
      <w:proofErr w:type="gramStart"/>
      <w:r w:rsidRPr="00CB00A5">
        <w:rPr>
          <w:rFonts w:asciiTheme="minorHAnsi" w:eastAsia="Times New Roman" w:hAnsiTheme="minorHAnsi" w:cs="Times New Roman"/>
          <w:color w:val="222222"/>
          <w:lang w:eastAsia="en-GB"/>
        </w:rPr>
        <w:t>Exploring</w:t>
      </w:r>
      <w:proofErr w:type="gramEnd"/>
      <w:r w:rsidRPr="00CB00A5">
        <w:rPr>
          <w:rFonts w:asciiTheme="minorHAnsi" w:eastAsia="Times New Roman" w:hAnsiTheme="minorHAnsi" w:cs="Times New Roman"/>
          <w:color w:val="222222"/>
          <w:lang w:eastAsia="en-GB"/>
        </w:rPr>
        <w:t xml:space="preserve"> the meaning of hybridity and social enterprise in housing organisations. </w:t>
      </w:r>
      <w:r w:rsidRPr="00CB00A5">
        <w:rPr>
          <w:rFonts w:asciiTheme="minorHAnsi" w:eastAsia="Times New Roman" w:hAnsiTheme="minorHAnsi" w:cs="Times New Roman"/>
          <w:i/>
          <w:iCs/>
          <w:color w:val="222222"/>
          <w:lang w:eastAsia="en-GB"/>
        </w:rPr>
        <w:t>Housing studies</w:t>
      </w:r>
      <w:r w:rsidRPr="00CB00A5">
        <w:rPr>
          <w:rFonts w:asciiTheme="minorHAnsi" w:eastAsia="Times New Roman" w:hAnsiTheme="minorHAnsi" w:cs="Times New Roman"/>
          <w:color w:val="222222"/>
          <w:lang w:eastAsia="en-GB"/>
        </w:rPr>
        <w:t xml:space="preserve">, </w:t>
      </w:r>
      <w:r w:rsidRPr="00CB00A5">
        <w:rPr>
          <w:rFonts w:asciiTheme="minorHAnsi" w:eastAsia="Times New Roman" w:hAnsiTheme="minorHAnsi" w:cs="Times New Roman"/>
          <w:iCs/>
          <w:color w:val="222222"/>
          <w:lang w:eastAsia="en-GB"/>
        </w:rPr>
        <w:t xml:space="preserve">27, </w:t>
      </w:r>
      <w:r w:rsidRPr="00CB00A5">
        <w:rPr>
          <w:rFonts w:asciiTheme="minorHAnsi" w:eastAsia="Times New Roman" w:hAnsiTheme="minorHAnsi" w:cs="Times New Roman"/>
          <w:color w:val="222222"/>
          <w:lang w:eastAsia="en-GB"/>
        </w:rPr>
        <w:t>4, p. 405.</w:t>
      </w:r>
    </w:p>
    <w:p w:rsidR="00015F31" w:rsidRPr="00CB00A5" w:rsidRDefault="00015F31" w:rsidP="00015F31">
      <w:pPr>
        <w:spacing w:after="120" w:line="240" w:lineRule="auto"/>
        <w:ind w:left="567" w:hanging="567"/>
        <w:rPr>
          <w:rFonts w:asciiTheme="minorHAnsi" w:eastAsia="Times New Roman" w:hAnsiTheme="minorHAnsi" w:cs="Arial"/>
          <w:color w:val="222222"/>
          <w:lang w:val="en-NZ" w:eastAsia="en-NZ"/>
        </w:rPr>
      </w:pPr>
      <w:r w:rsidRPr="00CB00A5">
        <w:rPr>
          <w:rFonts w:asciiTheme="minorHAnsi" w:eastAsia="Times New Roman" w:hAnsiTheme="minorHAnsi" w:cs="Arial"/>
          <w:color w:val="222222"/>
          <w:lang w:val="en-NZ" w:eastAsia="en-NZ"/>
        </w:rPr>
        <w:t xml:space="preserve">Newcomer, K. E. (2004), How Might We Strengthen Evaluation Capacity to Manage Evaluation Contracts? </w:t>
      </w:r>
      <w:r w:rsidRPr="00CB00A5">
        <w:rPr>
          <w:rFonts w:asciiTheme="minorHAnsi" w:eastAsia="Times New Roman" w:hAnsiTheme="minorHAnsi" w:cs="Arial"/>
          <w:i/>
          <w:iCs/>
          <w:color w:val="222222"/>
          <w:lang w:val="en-NZ" w:eastAsia="en-NZ"/>
        </w:rPr>
        <w:t>American Journal of Evaluation</w:t>
      </w:r>
      <w:r w:rsidRPr="00CB00A5">
        <w:rPr>
          <w:rFonts w:asciiTheme="minorHAnsi" w:eastAsia="Times New Roman" w:hAnsiTheme="minorHAnsi" w:cs="Arial"/>
          <w:color w:val="222222"/>
          <w:lang w:val="en-NZ" w:eastAsia="en-NZ"/>
        </w:rPr>
        <w:t xml:space="preserve">, </w:t>
      </w:r>
      <w:r w:rsidRPr="00CB00A5">
        <w:rPr>
          <w:rFonts w:asciiTheme="minorHAnsi" w:eastAsia="Times New Roman" w:hAnsiTheme="minorHAnsi" w:cs="Arial"/>
          <w:iCs/>
          <w:color w:val="222222"/>
          <w:lang w:val="en-NZ" w:eastAsia="en-NZ"/>
        </w:rPr>
        <w:t xml:space="preserve">25, </w:t>
      </w:r>
      <w:r w:rsidRPr="00CB00A5">
        <w:rPr>
          <w:rFonts w:asciiTheme="minorHAnsi" w:eastAsia="Times New Roman" w:hAnsiTheme="minorHAnsi" w:cs="Arial"/>
          <w:color w:val="222222"/>
          <w:lang w:val="en-NZ" w:eastAsia="en-NZ"/>
        </w:rPr>
        <w:t>2, p. 209.</w:t>
      </w:r>
    </w:p>
    <w:p w:rsidR="00015F31" w:rsidRPr="00CB00A5" w:rsidRDefault="00015F31" w:rsidP="00015F31">
      <w:pPr>
        <w:spacing w:after="120" w:line="240" w:lineRule="auto"/>
        <w:ind w:left="567" w:hanging="567"/>
        <w:rPr>
          <w:rFonts w:asciiTheme="minorHAnsi" w:eastAsia="Times New Roman" w:hAnsiTheme="minorHAnsi" w:cs="Times New Roman"/>
          <w:color w:val="222222"/>
          <w:lang w:val="en-NZ" w:eastAsia="en-NZ"/>
        </w:rPr>
      </w:pPr>
      <w:proofErr w:type="spellStart"/>
      <w:r w:rsidRPr="00CB00A5">
        <w:rPr>
          <w:rFonts w:asciiTheme="minorHAnsi" w:eastAsia="Times New Roman" w:hAnsiTheme="minorHAnsi" w:cs="Times New Roman"/>
          <w:color w:val="222222"/>
          <w:lang w:val="en-NZ" w:eastAsia="en-NZ"/>
        </w:rPr>
        <w:t>Poister</w:t>
      </w:r>
      <w:proofErr w:type="spellEnd"/>
      <w:r w:rsidRPr="00CB00A5">
        <w:rPr>
          <w:rFonts w:asciiTheme="minorHAnsi" w:eastAsia="Times New Roman" w:hAnsiTheme="minorHAnsi" w:cs="Times New Roman"/>
          <w:color w:val="222222"/>
          <w:lang w:val="en-NZ" w:eastAsia="en-NZ"/>
        </w:rPr>
        <w:t xml:space="preserve">, T. H., </w:t>
      </w:r>
      <w:proofErr w:type="spellStart"/>
      <w:r w:rsidRPr="00CB00A5">
        <w:rPr>
          <w:rFonts w:asciiTheme="minorHAnsi" w:eastAsia="Times New Roman" w:hAnsiTheme="minorHAnsi" w:cs="Times New Roman"/>
          <w:color w:val="222222"/>
          <w:lang w:val="en-NZ" w:eastAsia="en-NZ"/>
        </w:rPr>
        <w:t>Aristigueta</w:t>
      </w:r>
      <w:proofErr w:type="spellEnd"/>
      <w:r w:rsidRPr="00CB00A5">
        <w:rPr>
          <w:rFonts w:asciiTheme="minorHAnsi" w:eastAsia="Times New Roman" w:hAnsiTheme="minorHAnsi" w:cs="Times New Roman"/>
          <w:color w:val="222222"/>
          <w:lang w:val="en-NZ" w:eastAsia="en-NZ"/>
        </w:rPr>
        <w:t xml:space="preserve">, M. P., and Hall, J. L. (2014), </w:t>
      </w:r>
      <w:r w:rsidRPr="00CB00A5">
        <w:rPr>
          <w:rFonts w:asciiTheme="minorHAnsi" w:eastAsia="Times New Roman" w:hAnsiTheme="minorHAnsi" w:cs="Times New Roman"/>
          <w:i/>
          <w:iCs/>
          <w:color w:val="222222"/>
          <w:lang w:val="en-NZ" w:eastAsia="en-NZ"/>
        </w:rPr>
        <w:t xml:space="preserve">Managing and Measuring Performance in Public and </w:t>
      </w:r>
      <w:proofErr w:type="spellStart"/>
      <w:r w:rsidRPr="00CB00A5">
        <w:rPr>
          <w:rFonts w:asciiTheme="minorHAnsi" w:eastAsia="Times New Roman" w:hAnsiTheme="minorHAnsi" w:cs="Times New Roman"/>
          <w:i/>
          <w:iCs/>
          <w:color w:val="222222"/>
          <w:lang w:val="en-NZ" w:eastAsia="en-NZ"/>
        </w:rPr>
        <w:t>Nonprofit</w:t>
      </w:r>
      <w:proofErr w:type="spellEnd"/>
      <w:r w:rsidRPr="00CB00A5">
        <w:rPr>
          <w:rFonts w:asciiTheme="minorHAnsi" w:eastAsia="Times New Roman" w:hAnsiTheme="minorHAnsi" w:cs="Times New Roman"/>
          <w:i/>
          <w:iCs/>
          <w:color w:val="222222"/>
          <w:lang w:val="en-NZ" w:eastAsia="en-NZ"/>
        </w:rPr>
        <w:t xml:space="preserve"> Organizations: An Integrated Approach</w:t>
      </w:r>
      <w:r w:rsidRPr="00CB00A5">
        <w:rPr>
          <w:rFonts w:asciiTheme="minorHAnsi" w:eastAsia="Times New Roman" w:hAnsiTheme="minorHAnsi" w:cs="Times New Roman"/>
          <w:color w:val="222222"/>
          <w:lang w:val="en-NZ" w:eastAsia="en-NZ"/>
        </w:rPr>
        <w:t>. (John Wiley &amp; Sons).</w:t>
      </w:r>
    </w:p>
    <w:p w:rsidR="00015F31" w:rsidRPr="006F1A27" w:rsidRDefault="00015F31" w:rsidP="00015F31">
      <w:pPr>
        <w:spacing w:after="120" w:line="240" w:lineRule="auto"/>
        <w:ind w:left="567" w:hanging="567"/>
        <w:rPr>
          <w:rFonts w:asciiTheme="minorHAnsi" w:eastAsia="Times New Roman" w:hAnsiTheme="minorHAnsi" w:cs="Arial"/>
          <w:color w:val="222222"/>
          <w:lang w:val="en-NZ" w:eastAsia="en-NZ"/>
        </w:rPr>
      </w:pPr>
      <w:r w:rsidRPr="006F1A27">
        <w:rPr>
          <w:rFonts w:asciiTheme="minorHAnsi" w:eastAsia="Times New Roman" w:hAnsiTheme="minorHAnsi" w:cs="Arial"/>
          <w:color w:val="222222"/>
          <w:lang w:val="en-NZ" w:eastAsia="en-NZ"/>
        </w:rPr>
        <w:t xml:space="preserve">Smith, V. S. (2013), Data Dashboard as Evaluation and Research Communication Tool. </w:t>
      </w:r>
      <w:r w:rsidRPr="006F1A27">
        <w:rPr>
          <w:rFonts w:asciiTheme="minorHAnsi" w:eastAsia="Times New Roman" w:hAnsiTheme="minorHAnsi" w:cs="Arial"/>
          <w:i/>
          <w:iCs/>
          <w:color w:val="222222"/>
          <w:lang w:val="en-NZ" w:eastAsia="en-NZ"/>
        </w:rPr>
        <w:t>New Directions for Evaluation</w:t>
      </w:r>
      <w:r w:rsidRPr="006F1A27">
        <w:rPr>
          <w:rFonts w:asciiTheme="minorHAnsi" w:eastAsia="Times New Roman" w:hAnsiTheme="minorHAnsi" w:cs="Arial"/>
          <w:color w:val="222222"/>
          <w:lang w:val="en-NZ" w:eastAsia="en-NZ"/>
        </w:rPr>
        <w:t>, 140, p. 21.</w:t>
      </w:r>
    </w:p>
    <w:p w:rsidR="00015F31" w:rsidRPr="006F1A27" w:rsidRDefault="00015F31" w:rsidP="00015F31">
      <w:pPr>
        <w:spacing w:after="120" w:line="240" w:lineRule="auto"/>
        <w:ind w:left="567" w:hanging="567"/>
        <w:rPr>
          <w:rFonts w:asciiTheme="minorHAnsi" w:eastAsia="Times New Roman" w:hAnsiTheme="minorHAnsi" w:cs="Arial"/>
          <w:color w:val="222222"/>
          <w:lang w:val="en-NZ" w:eastAsia="en-NZ"/>
        </w:rPr>
      </w:pPr>
      <w:proofErr w:type="spellStart"/>
      <w:r w:rsidRPr="006F1A27">
        <w:rPr>
          <w:rFonts w:asciiTheme="minorHAnsi" w:eastAsia="Times New Roman" w:hAnsiTheme="minorHAnsi" w:cs="Arial"/>
          <w:color w:val="222222"/>
          <w:lang w:val="en-NZ" w:eastAsia="en-NZ"/>
        </w:rPr>
        <w:t>Thierauf</w:t>
      </w:r>
      <w:proofErr w:type="spellEnd"/>
      <w:r w:rsidRPr="006F1A27">
        <w:rPr>
          <w:rFonts w:asciiTheme="minorHAnsi" w:eastAsia="Times New Roman" w:hAnsiTheme="minorHAnsi" w:cs="Arial"/>
          <w:color w:val="222222"/>
          <w:lang w:val="en-NZ" w:eastAsia="en-NZ"/>
        </w:rPr>
        <w:t xml:space="preserve">, R. J. (1991), </w:t>
      </w:r>
      <w:r w:rsidRPr="006F1A27">
        <w:rPr>
          <w:rFonts w:asciiTheme="minorHAnsi" w:eastAsia="Times New Roman" w:hAnsiTheme="minorHAnsi" w:cs="Arial"/>
          <w:i/>
          <w:iCs/>
          <w:color w:val="222222"/>
          <w:lang w:val="en-NZ" w:eastAsia="en-NZ"/>
        </w:rPr>
        <w:t>Executive information systems: a guide for senior management and MIS professionals</w:t>
      </w:r>
      <w:r w:rsidRPr="006F1A27">
        <w:rPr>
          <w:rFonts w:asciiTheme="minorHAnsi" w:eastAsia="Times New Roman" w:hAnsiTheme="minorHAnsi" w:cs="Arial"/>
          <w:color w:val="222222"/>
          <w:lang w:val="en-NZ" w:eastAsia="en-NZ"/>
        </w:rPr>
        <w:t>. (Quorum Books).</w:t>
      </w:r>
    </w:p>
    <w:p w:rsidR="00015F31" w:rsidRPr="006F1A27" w:rsidRDefault="00015F31" w:rsidP="00015F31">
      <w:pPr>
        <w:spacing w:after="120" w:line="240" w:lineRule="auto"/>
        <w:ind w:left="720" w:hanging="720"/>
        <w:rPr>
          <w:rFonts w:asciiTheme="minorHAnsi" w:eastAsia="Times New Roman" w:hAnsiTheme="minorHAnsi" w:cs="Arial"/>
          <w:color w:val="222222"/>
          <w:lang w:eastAsia="en-GB"/>
        </w:rPr>
      </w:pPr>
      <w:proofErr w:type="spellStart"/>
      <w:r w:rsidRPr="006F1A27">
        <w:rPr>
          <w:rFonts w:asciiTheme="minorHAnsi" w:eastAsia="Times New Roman" w:hAnsiTheme="minorHAnsi" w:cs="Arial"/>
          <w:color w:val="222222"/>
          <w:lang w:eastAsia="en-GB"/>
        </w:rPr>
        <w:t>Tillema</w:t>
      </w:r>
      <w:proofErr w:type="spellEnd"/>
      <w:r w:rsidRPr="006F1A27">
        <w:rPr>
          <w:rFonts w:asciiTheme="minorHAnsi" w:eastAsia="Times New Roman" w:hAnsiTheme="minorHAnsi" w:cs="Arial"/>
          <w:color w:val="222222"/>
          <w:lang w:eastAsia="en-GB"/>
        </w:rPr>
        <w:t xml:space="preserve">, S. (2010), Public sector benchmarking and performance improvement: what is the link and can it be improved? </w:t>
      </w:r>
      <w:r w:rsidRPr="006F1A27">
        <w:rPr>
          <w:rFonts w:asciiTheme="minorHAnsi" w:eastAsia="Times New Roman" w:hAnsiTheme="minorHAnsi" w:cs="Arial"/>
          <w:i/>
          <w:iCs/>
          <w:color w:val="222222"/>
          <w:lang w:eastAsia="en-GB"/>
        </w:rPr>
        <w:t>Public Money &amp; Management</w:t>
      </w:r>
      <w:r w:rsidRPr="006F1A27">
        <w:rPr>
          <w:rFonts w:asciiTheme="minorHAnsi" w:eastAsia="Times New Roman" w:hAnsiTheme="minorHAnsi" w:cs="Arial"/>
          <w:color w:val="222222"/>
          <w:lang w:eastAsia="en-GB"/>
        </w:rPr>
        <w:t xml:space="preserve">, </w:t>
      </w:r>
      <w:r w:rsidRPr="006F1A27">
        <w:rPr>
          <w:rFonts w:asciiTheme="minorHAnsi" w:eastAsia="Times New Roman" w:hAnsiTheme="minorHAnsi" w:cs="Arial"/>
          <w:iCs/>
          <w:color w:val="222222"/>
          <w:lang w:eastAsia="en-GB"/>
        </w:rPr>
        <w:t xml:space="preserve">30, </w:t>
      </w:r>
      <w:r w:rsidRPr="006F1A27">
        <w:rPr>
          <w:rFonts w:asciiTheme="minorHAnsi" w:eastAsia="Times New Roman" w:hAnsiTheme="minorHAnsi" w:cs="Arial"/>
          <w:color w:val="222222"/>
          <w:lang w:eastAsia="en-GB"/>
        </w:rPr>
        <w:t>1, p. 69.</w:t>
      </w:r>
    </w:p>
    <w:p w:rsidR="00015F31" w:rsidRPr="00EB05F8" w:rsidRDefault="00015F31" w:rsidP="00015F31">
      <w:pPr>
        <w:spacing w:after="120"/>
        <w:ind w:left="567" w:hanging="567"/>
        <w:rPr>
          <w:rFonts w:asciiTheme="minorHAnsi" w:hAnsiTheme="minorHAnsi" w:cs="Arial"/>
        </w:rPr>
      </w:pPr>
      <w:r w:rsidRPr="00EB05F8">
        <w:rPr>
          <w:rFonts w:asciiTheme="minorHAnsi" w:hAnsiTheme="minorHAnsi" w:cs="Arial"/>
        </w:rPr>
        <w:t xml:space="preserve">U.S. Office of Management and Budget, (2010), Performance and Management. </w:t>
      </w:r>
      <w:r w:rsidRPr="00EB05F8">
        <w:rPr>
          <w:rFonts w:asciiTheme="minorHAnsi" w:hAnsiTheme="minorHAnsi" w:cs="Arial"/>
          <w:i/>
        </w:rPr>
        <w:t>President's budget for fiscal year 2011: Analytical Perspectives</w:t>
      </w:r>
      <w:r w:rsidRPr="00EB05F8">
        <w:rPr>
          <w:rFonts w:asciiTheme="minorHAnsi" w:hAnsiTheme="minorHAnsi" w:cs="Arial"/>
        </w:rPr>
        <w:t>, (www.whitehouse.gov), p. 71.</w:t>
      </w:r>
    </w:p>
    <w:p w:rsidR="00015F31" w:rsidRPr="00EB05F8" w:rsidRDefault="00015F31" w:rsidP="00015F31">
      <w:pPr>
        <w:spacing w:after="120" w:line="240" w:lineRule="auto"/>
        <w:ind w:left="567" w:hanging="567"/>
        <w:rPr>
          <w:rFonts w:asciiTheme="minorHAnsi" w:hAnsiTheme="minorHAnsi"/>
        </w:rPr>
      </w:pPr>
      <w:r w:rsidRPr="00EB05F8">
        <w:rPr>
          <w:rFonts w:asciiTheme="minorHAnsi" w:hAnsiTheme="minorHAnsi"/>
        </w:rPr>
        <w:t xml:space="preserve">Wainwright, T. and Manville, G. (2014), </w:t>
      </w:r>
      <w:hyperlink r:id="rId16" w:history="1">
        <w:r w:rsidRPr="00EB05F8">
          <w:rPr>
            <w:rStyle w:val="Hyperlink"/>
            <w:rFonts w:asciiTheme="minorHAnsi" w:hAnsiTheme="minorHAnsi"/>
            <w:color w:val="auto"/>
            <w:u w:val="none"/>
          </w:rPr>
          <w:t>Wither (social) housing? Connecting local urban development to international financial centres.</w:t>
        </w:r>
      </w:hyperlink>
      <w:r w:rsidRPr="00EB05F8">
        <w:rPr>
          <w:rFonts w:asciiTheme="minorHAnsi" w:hAnsiTheme="minorHAnsi"/>
        </w:rPr>
        <w:t xml:space="preserve"> </w:t>
      </w:r>
      <w:r w:rsidRPr="00EB05F8">
        <w:rPr>
          <w:rFonts w:asciiTheme="minorHAnsi" w:hAnsiTheme="minorHAnsi"/>
          <w:i/>
          <w:iCs/>
        </w:rPr>
        <w:t>RGS-IBG Annual International Conference</w:t>
      </w:r>
      <w:r w:rsidRPr="00EB05F8">
        <w:rPr>
          <w:rFonts w:asciiTheme="minorHAnsi" w:hAnsiTheme="minorHAnsi"/>
          <w:iCs/>
        </w:rPr>
        <w:t>, p. 26.</w:t>
      </w:r>
    </w:p>
    <w:p w:rsidR="00015F31" w:rsidRPr="002A7B00" w:rsidRDefault="00015F31" w:rsidP="00015F31">
      <w:pPr>
        <w:spacing w:after="120"/>
        <w:ind w:left="567" w:hanging="567"/>
        <w:rPr>
          <w:rFonts w:asciiTheme="minorHAnsi" w:hAnsiTheme="minorHAnsi"/>
        </w:rPr>
      </w:pPr>
      <w:r w:rsidRPr="002A7B00">
        <w:rPr>
          <w:rFonts w:asciiTheme="minorHAnsi" w:hAnsiTheme="minorHAnsi"/>
        </w:rPr>
        <w:t xml:space="preserve">Welfare Reform Act (2012), </w:t>
      </w:r>
      <w:r w:rsidR="003C78F7" w:rsidRPr="002A7B00">
        <w:rPr>
          <w:rFonts w:asciiTheme="minorHAnsi" w:hAnsiTheme="minorHAnsi"/>
        </w:rPr>
        <w:fldChar w:fldCharType="begin"/>
      </w:r>
      <w:r w:rsidRPr="002A7B00">
        <w:rPr>
          <w:rFonts w:asciiTheme="minorHAnsi" w:hAnsiTheme="minorHAnsi"/>
        </w:rPr>
        <w:instrText xml:space="preserve"> HYPERLINK "http://(www.gov.uk).</w:instrText>
      </w:r>
    </w:p>
    <w:p w:rsidR="00015F31" w:rsidRPr="002A7B00" w:rsidRDefault="00015F31" w:rsidP="00015F31">
      <w:pPr>
        <w:spacing w:after="120"/>
        <w:ind w:left="567" w:hanging="567"/>
        <w:rPr>
          <w:rStyle w:val="Hyperlink"/>
          <w:rFonts w:asciiTheme="minorHAnsi" w:hAnsiTheme="minorHAnsi"/>
        </w:rPr>
      </w:pPr>
      <w:r w:rsidRPr="002A7B00">
        <w:rPr>
          <w:rFonts w:asciiTheme="minorHAnsi" w:hAnsiTheme="minorHAnsi"/>
        </w:rPr>
        <w:instrText xml:space="preserve">" </w:instrText>
      </w:r>
      <w:r w:rsidR="003C78F7" w:rsidRPr="002A7B00">
        <w:rPr>
          <w:rFonts w:asciiTheme="minorHAnsi" w:hAnsiTheme="minorHAnsi"/>
        </w:rPr>
        <w:fldChar w:fldCharType="separate"/>
      </w:r>
      <w:r w:rsidRPr="002A7B00">
        <w:rPr>
          <w:rStyle w:val="Hyperlink"/>
          <w:rFonts w:asciiTheme="minorHAnsi" w:hAnsiTheme="minorHAnsi"/>
        </w:rPr>
        <w:t>(www.gov.uk).</w:t>
      </w:r>
    </w:p>
    <w:p w:rsidR="00102BA7" w:rsidRDefault="003C78F7">
      <w:pPr>
        <w:ind w:left="567" w:hanging="567"/>
        <w:rPr>
          <w:rFonts w:asciiTheme="minorHAnsi" w:hAnsiTheme="minorHAnsi"/>
        </w:rPr>
      </w:pPr>
      <w:r w:rsidRPr="002A7B00">
        <w:rPr>
          <w:rFonts w:asciiTheme="minorHAnsi" w:hAnsiTheme="minorHAnsi"/>
        </w:rPr>
        <w:fldChar w:fldCharType="end"/>
      </w:r>
    </w:p>
    <w:p w:rsidR="00102BA7" w:rsidRPr="00BF3E6B" w:rsidRDefault="00102BA7">
      <w:pPr>
        <w:ind w:left="567" w:hanging="567"/>
        <w:rPr>
          <w:rFonts w:asciiTheme="minorHAnsi" w:hAnsiTheme="minorHAnsi"/>
        </w:rPr>
      </w:pPr>
    </w:p>
    <w:sectPr w:rsidR="00102BA7" w:rsidRPr="00BF3E6B" w:rsidSect="00C536D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CF5" w:rsidRDefault="003B0CF5" w:rsidP="001817A2">
      <w:pPr>
        <w:spacing w:after="0" w:line="240" w:lineRule="auto"/>
      </w:pPr>
      <w:r>
        <w:separator/>
      </w:r>
    </w:p>
  </w:endnote>
  <w:endnote w:type="continuationSeparator" w:id="0">
    <w:p w:rsidR="003B0CF5" w:rsidRDefault="003B0CF5" w:rsidP="00181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LFCQS+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410620"/>
      <w:docPartObj>
        <w:docPartGallery w:val="Page Numbers (Bottom of Page)"/>
        <w:docPartUnique/>
      </w:docPartObj>
    </w:sdtPr>
    <w:sdtEndPr/>
    <w:sdtContent>
      <w:p w:rsidR="003B0CF5" w:rsidRDefault="003C78F7">
        <w:pPr>
          <w:pStyle w:val="Footer"/>
          <w:jc w:val="center"/>
        </w:pPr>
        <w:r>
          <w:fldChar w:fldCharType="begin"/>
        </w:r>
        <w:r w:rsidR="000328E1">
          <w:instrText xml:space="preserve"> PAGE   \* MERGEFORMAT </w:instrText>
        </w:r>
        <w:r>
          <w:fldChar w:fldCharType="separate"/>
        </w:r>
        <w:r w:rsidR="00712B47">
          <w:rPr>
            <w:noProof/>
          </w:rPr>
          <w:t>18</w:t>
        </w:r>
        <w:r>
          <w:rPr>
            <w:noProof/>
          </w:rPr>
          <w:fldChar w:fldCharType="end"/>
        </w:r>
      </w:p>
    </w:sdtContent>
  </w:sdt>
  <w:p w:rsidR="003B0CF5" w:rsidRDefault="003B0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CF5" w:rsidRDefault="003B0CF5" w:rsidP="001817A2">
      <w:pPr>
        <w:spacing w:after="0" w:line="240" w:lineRule="auto"/>
      </w:pPr>
      <w:r>
        <w:separator/>
      </w:r>
    </w:p>
  </w:footnote>
  <w:footnote w:type="continuationSeparator" w:id="0">
    <w:p w:rsidR="003B0CF5" w:rsidRDefault="003B0CF5" w:rsidP="001817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567ED"/>
    <w:multiLevelType w:val="hybridMultilevel"/>
    <w:tmpl w:val="76B8F0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8791385"/>
    <w:multiLevelType w:val="multilevel"/>
    <w:tmpl w:val="31E69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24"/>
    <w:rsid w:val="00015F31"/>
    <w:rsid w:val="00017F2E"/>
    <w:rsid w:val="00023061"/>
    <w:rsid w:val="00023429"/>
    <w:rsid w:val="0002784A"/>
    <w:rsid w:val="00030A55"/>
    <w:rsid w:val="000328E1"/>
    <w:rsid w:val="00032AC0"/>
    <w:rsid w:val="00044225"/>
    <w:rsid w:val="0004528B"/>
    <w:rsid w:val="0007506F"/>
    <w:rsid w:val="0008405C"/>
    <w:rsid w:val="00090AEB"/>
    <w:rsid w:val="00097AD2"/>
    <w:rsid w:val="000A2239"/>
    <w:rsid w:val="000C16B5"/>
    <w:rsid w:val="000C5E98"/>
    <w:rsid w:val="000E6A25"/>
    <w:rsid w:val="000F3022"/>
    <w:rsid w:val="000F64FF"/>
    <w:rsid w:val="00102BA7"/>
    <w:rsid w:val="001055CC"/>
    <w:rsid w:val="001065E1"/>
    <w:rsid w:val="00110720"/>
    <w:rsid w:val="001451FA"/>
    <w:rsid w:val="001544A7"/>
    <w:rsid w:val="00157148"/>
    <w:rsid w:val="001633D4"/>
    <w:rsid w:val="001635A4"/>
    <w:rsid w:val="0016482D"/>
    <w:rsid w:val="001662C5"/>
    <w:rsid w:val="001668AB"/>
    <w:rsid w:val="001761E9"/>
    <w:rsid w:val="001817A2"/>
    <w:rsid w:val="001A57C7"/>
    <w:rsid w:val="001C27D2"/>
    <w:rsid w:val="002017C8"/>
    <w:rsid w:val="00215071"/>
    <w:rsid w:val="0022197E"/>
    <w:rsid w:val="002235E7"/>
    <w:rsid w:val="00226F68"/>
    <w:rsid w:val="00283541"/>
    <w:rsid w:val="002B708A"/>
    <w:rsid w:val="002C1743"/>
    <w:rsid w:val="002C327F"/>
    <w:rsid w:val="002C3866"/>
    <w:rsid w:val="002D0F33"/>
    <w:rsid w:val="002E77F1"/>
    <w:rsid w:val="002F4967"/>
    <w:rsid w:val="003150D5"/>
    <w:rsid w:val="0032236B"/>
    <w:rsid w:val="003331A8"/>
    <w:rsid w:val="00344CD8"/>
    <w:rsid w:val="00350AE2"/>
    <w:rsid w:val="003741CB"/>
    <w:rsid w:val="0037663F"/>
    <w:rsid w:val="0037722F"/>
    <w:rsid w:val="00382330"/>
    <w:rsid w:val="003907F9"/>
    <w:rsid w:val="003A4469"/>
    <w:rsid w:val="003B0CF5"/>
    <w:rsid w:val="003C630D"/>
    <w:rsid w:val="003C78F7"/>
    <w:rsid w:val="003D1DC1"/>
    <w:rsid w:val="003E16A3"/>
    <w:rsid w:val="0041345A"/>
    <w:rsid w:val="00461F2B"/>
    <w:rsid w:val="00466894"/>
    <w:rsid w:val="004767E3"/>
    <w:rsid w:val="00485C5E"/>
    <w:rsid w:val="00486CDF"/>
    <w:rsid w:val="004A5664"/>
    <w:rsid w:val="004C13F5"/>
    <w:rsid w:val="004C4D00"/>
    <w:rsid w:val="004D3C9A"/>
    <w:rsid w:val="004E102C"/>
    <w:rsid w:val="004E7C81"/>
    <w:rsid w:val="004F4556"/>
    <w:rsid w:val="004F49B0"/>
    <w:rsid w:val="004F630C"/>
    <w:rsid w:val="004F7772"/>
    <w:rsid w:val="005103F5"/>
    <w:rsid w:val="00515E30"/>
    <w:rsid w:val="0051797B"/>
    <w:rsid w:val="00523268"/>
    <w:rsid w:val="00536DAE"/>
    <w:rsid w:val="00551802"/>
    <w:rsid w:val="00554DD6"/>
    <w:rsid w:val="00565868"/>
    <w:rsid w:val="00575DAF"/>
    <w:rsid w:val="005968FB"/>
    <w:rsid w:val="005C1622"/>
    <w:rsid w:val="005C1E1C"/>
    <w:rsid w:val="005E1EBF"/>
    <w:rsid w:val="00611C0A"/>
    <w:rsid w:val="00625A9E"/>
    <w:rsid w:val="00631757"/>
    <w:rsid w:val="00632DDD"/>
    <w:rsid w:val="006743E5"/>
    <w:rsid w:val="00684133"/>
    <w:rsid w:val="00684699"/>
    <w:rsid w:val="00687AA8"/>
    <w:rsid w:val="006B731F"/>
    <w:rsid w:val="006D1CF7"/>
    <w:rsid w:val="006D237D"/>
    <w:rsid w:val="006E3E41"/>
    <w:rsid w:val="006E616A"/>
    <w:rsid w:val="006F6210"/>
    <w:rsid w:val="00712B47"/>
    <w:rsid w:val="00712C4A"/>
    <w:rsid w:val="007232F3"/>
    <w:rsid w:val="007529CF"/>
    <w:rsid w:val="00765581"/>
    <w:rsid w:val="0077468A"/>
    <w:rsid w:val="0079027A"/>
    <w:rsid w:val="007A08D3"/>
    <w:rsid w:val="007A4C6F"/>
    <w:rsid w:val="007B278E"/>
    <w:rsid w:val="007B552C"/>
    <w:rsid w:val="007D387A"/>
    <w:rsid w:val="007E5065"/>
    <w:rsid w:val="007F7824"/>
    <w:rsid w:val="00803EA1"/>
    <w:rsid w:val="008242B0"/>
    <w:rsid w:val="00824D67"/>
    <w:rsid w:val="00837246"/>
    <w:rsid w:val="00845594"/>
    <w:rsid w:val="008505A6"/>
    <w:rsid w:val="00860ED7"/>
    <w:rsid w:val="008871B7"/>
    <w:rsid w:val="008900B2"/>
    <w:rsid w:val="008C15CB"/>
    <w:rsid w:val="008C5C07"/>
    <w:rsid w:val="008C7B40"/>
    <w:rsid w:val="008D34A3"/>
    <w:rsid w:val="008D59D4"/>
    <w:rsid w:val="008F243B"/>
    <w:rsid w:val="008F3FE2"/>
    <w:rsid w:val="008F6839"/>
    <w:rsid w:val="00901E54"/>
    <w:rsid w:val="0090508F"/>
    <w:rsid w:val="00914110"/>
    <w:rsid w:val="00917E7F"/>
    <w:rsid w:val="009247BE"/>
    <w:rsid w:val="00953096"/>
    <w:rsid w:val="0096495B"/>
    <w:rsid w:val="00966D26"/>
    <w:rsid w:val="009678A6"/>
    <w:rsid w:val="009777F1"/>
    <w:rsid w:val="00981B24"/>
    <w:rsid w:val="009B202D"/>
    <w:rsid w:val="009C3C05"/>
    <w:rsid w:val="009C52CC"/>
    <w:rsid w:val="009C7006"/>
    <w:rsid w:val="009F486A"/>
    <w:rsid w:val="00A00E87"/>
    <w:rsid w:val="00A012EB"/>
    <w:rsid w:val="00A060AF"/>
    <w:rsid w:val="00A16421"/>
    <w:rsid w:val="00A17A8A"/>
    <w:rsid w:val="00A342A9"/>
    <w:rsid w:val="00A50C89"/>
    <w:rsid w:val="00A55281"/>
    <w:rsid w:val="00A5692B"/>
    <w:rsid w:val="00A75FD6"/>
    <w:rsid w:val="00A80B44"/>
    <w:rsid w:val="00AB3BB9"/>
    <w:rsid w:val="00AD5111"/>
    <w:rsid w:val="00AD661A"/>
    <w:rsid w:val="00AF2053"/>
    <w:rsid w:val="00B03D32"/>
    <w:rsid w:val="00B16F6D"/>
    <w:rsid w:val="00B21D22"/>
    <w:rsid w:val="00B33FF7"/>
    <w:rsid w:val="00B366BD"/>
    <w:rsid w:val="00B37536"/>
    <w:rsid w:val="00B460A8"/>
    <w:rsid w:val="00B4715A"/>
    <w:rsid w:val="00B61967"/>
    <w:rsid w:val="00B61AA3"/>
    <w:rsid w:val="00B717A7"/>
    <w:rsid w:val="00B8420F"/>
    <w:rsid w:val="00BA7E62"/>
    <w:rsid w:val="00BB39FD"/>
    <w:rsid w:val="00BC4538"/>
    <w:rsid w:val="00BD02D6"/>
    <w:rsid w:val="00BD3030"/>
    <w:rsid w:val="00BD6B2B"/>
    <w:rsid w:val="00BE6476"/>
    <w:rsid w:val="00BF3E6B"/>
    <w:rsid w:val="00C10824"/>
    <w:rsid w:val="00C16EE4"/>
    <w:rsid w:val="00C20D71"/>
    <w:rsid w:val="00C215E1"/>
    <w:rsid w:val="00C2752E"/>
    <w:rsid w:val="00C3731E"/>
    <w:rsid w:val="00C50092"/>
    <w:rsid w:val="00C536D2"/>
    <w:rsid w:val="00C734AD"/>
    <w:rsid w:val="00C77215"/>
    <w:rsid w:val="00C7739C"/>
    <w:rsid w:val="00C94817"/>
    <w:rsid w:val="00CB1200"/>
    <w:rsid w:val="00CB145A"/>
    <w:rsid w:val="00CC0C56"/>
    <w:rsid w:val="00CC2B1C"/>
    <w:rsid w:val="00CD7FAD"/>
    <w:rsid w:val="00CE075D"/>
    <w:rsid w:val="00CE2E0A"/>
    <w:rsid w:val="00CF014A"/>
    <w:rsid w:val="00CF7AFB"/>
    <w:rsid w:val="00D05045"/>
    <w:rsid w:val="00D13886"/>
    <w:rsid w:val="00D17260"/>
    <w:rsid w:val="00D25356"/>
    <w:rsid w:val="00D3710D"/>
    <w:rsid w:val="00D376A7"/>
    <w:rsid w:val="00D4597F"/>
    <w:rsid w:val="00D96F1E"/>
    <w:rsid w:val="00DA62A8"/>
    <w:rsid w:val="00DC2F46"/>
    <w:rsid w:val="00DD5652"/>
    <w:rsid w:val="00DE774E"/>
    <w:rsid w:val="00DE7DAA"/>
    <w:rsid w:val="00E1307A"/>
    <w:rsid w:val="00E15AC1"/>
    <w:rsid w:val="00E27134"/>
    <w:rsid w:val="00E41107"/>
    <w:rsid w:val="00E55831"/>
    <w:rsid w:val="00E55FB5"/>
    <w:rsid w:val="00E57BD4"/>
    <w:rsid w:val="00E65DFE"/>
    <w:rsid w:val="00E71CE0"/>
    <w:rsid w:val="00E75706"/>
    <w:rsid w:val="00E87A58"/>
    <w:rsid w:val="00E952F6"/>
    <w:rsid w:val="00EA424D"/>
    <w:rsid w:val="00EB7B3F"/>
    <w:rsid w:val="00EC0DEF"/>
    <w:rsid w:val="00EC20DD"/>
    <w:rsid w:val="00ED34C4"/>
    <w:rsid w:val="00EE76B9"/>
    <w:rsid w:val="00EF3952"/>
    <w:rsid w:val="00F00FF3"/>
    <w:rsid w:val="00F15470"/>
    <w:rsid w:val="00F16C0B"/>
    <w:rsid w:val="00F35305"/>
    <w:rsid w:val="00F57CD9"/>
    <w:rsid w:val="00F7160A"/>
    <w:rsid w:val="00F837F1"/>
    <w:rsid w:val="00F9249B"/>
    <w:rsid w:val="00F965D8"/>
    <w:rsid w:val="00FC349D"/>
    <w:rsid w:val="00FC6120"/>
    <w:rsid w:val="00FF2134"/>
    <w:rsid w:val="00FF43C3"/>
    <w:rsid w:val="00FF62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E2B7F1-8604-4EC8-AE91-36848D16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5E1"/>
    <w:pPr>
      <w:spacing w:after="200" w:line="276" w:lineRule="auto"/>
    </w:pPr>
    <w:rPr>
      <w:rFonts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C2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7D2"/>
    <w:rPr>
      <w:rFonts w:ascii="Tahoma" w:hAnsi="Tahoma" w:cs="Tahoma"/>
      <w:sz w:val="16"/>
      <w:szCs w:val="16"/>
    </w:rPr>
  </w:style>
  <w:style w:type="paragraph" w:customStyle="1" w:styleId="Bibliographytext">
    <w:name w:val="Bibliography text"/>
    <w:basedOn w:val="Normal"/>
    <w:uiPriority w:val="99"/>
    <w:rsid w:val="001C27D2"/>
    <w:pPr>
      <w:spacing w:after="60" w:line="200" w:lineRule="atLeast"/>
      <w:jc w:val="both"/>
    </w:pPr>
    <w:rPr>
      <w:rFonts w:ascii="Arial" w:hAnsi="Arial" w:cs="Arial"/>
      <w:sz w:val="18"/>
      <w:szCs w:val="18"/>
      <w:lang w:eastAsia="en-US"/>
    </w:rPr>
  </w:style>
  <w:style w:type="paragraph" w:styleId="NormalWeb">
    <w:name w:val="Normal (Web)"/>
    <w:basedOn w:val="Normal"/>
    <w:uiPriority w:val="99"/>
    <w:rsid w:val="00BD6B2B"/>
    <w:pPr>
      <w:spacing w:before="100" w:beforeAutospacing="1" w:after="100" w:afterAutospacing="1" w:line="240" w:lineRule="auto"/>
    </w:pPr>
    <w:rPr>
      <w:rFonts w:ascii="Times New Roman" w:hAnsi="Times New Roman" w:cs="Times New Roman"/>
      <w:sz w:val="24"/>
      <w:szCs w:val="24"/>
      <w:lang w:eastAsia="en-US"/>
    </w:rPr>
  </w:style>
  <w:style w:type="character" w:styleId="Hyperlink">
    <w:name w:val="Hyperlink"/>
    <w:basedOn w:val="DefaultParagraphFont"/>
    <w:uiPriority w:val="99"/>
    <w:rsid w:val="00BD6B2B"/>
    <w:rPr>
      <w:color w:val="0000FF"/>
      <w:u w:val="single"/>
    </w:rPr>
  </w:style>
  <w:style w:type="paragraph" w:customStyle="1" w:styleId="Pa11">
    <w:name w:val="Pa11"/>
    <w:basedOn w:val="Normal"/>
    <w:next w:val="Normal"/>
    <w:uiPriority w:val="99"/>
    <w:rsid w:val="00BD6B2B"/>
    <w:pPr>
      <w:autoSpaceDE w:val="0"/>
      <w:autoSpaceDN w:val="0"/>
      <w:adjustRightInd w:val="0"/>
      <w:spacing w:after="0" w:line="211" w:lineRule="atLeast"/>
    </w:pPr>
    <w:rPr>
      <w:rFonts w:ascii="QLFCQS+Times-Roman" w:hAnsi="QLFCQS+Times-Roman" w:cs="QLFCQS+Times-Roman"/>
      <w:sz w:val="24"/>
      <w:szCs w:val="24"/>
      <w:lang w:eastAsia="en-US"/>
    </w:rPr>
  </w:style>
  <w:style w:type="paragraph" w:customStyle="1" w:styleId="NormalWeb5">
    <w:name w:val="Normal (Web)5"/>
    <w:basedOn w:val="Normal"/>
    <w:uiPriority w:val="99"/>
    <w:rsid w:val="00BD6B2B"/>
    <w:pPr>
      <w:spacing w:before="100" w:beforeAutospacing="1" w:after="100" w:afterAutospacing="1" w:line="240" w:lineRule="auto"/>
    </w:pPr>
    <w:rPr>
      <w:rFonts w:ascii="Times New Roman" w:hAnsi="Times New Roman" w:cs="Times New Roman"/>
      <w:sz w:val="24"/>
      <w:szCs w:val="24"/>
      <w:lang w:eastAsia="en-US"/>
    </w:rPr>
  </w:style>
  <w:style w:type="character" w:customStyle="1" w:styleId="journalname">
    <w:name w:val="journalname"/>
    <w:basedOn w:val="DefaultParagraphFont"/>
    <w:rsid w:val="003331A8"/>
  </w:style>
  <w:style w:type="character" w:customStyle="1" w:styleId="volume">
    <w:name w:val="volume"/>
    <w:basedOn w:val="DefaultParagraphFont"/>
    <w:rsid w:val="003331A8"/>
  </w:style>
  <w:style w:type="character" w:customStyle="1" w:styleId="issue">
    <w:name w:val="issue"/>
    <w:basedOn w:val="DefaultParagraphFont"/>
    <w:rsid w:val="003331A8"/>
  </w:style>
  <w:style w:type="character" w:customStyle="1" w:styleId="year">
    <w:name w:val="year"/>
    <w:basedOn w:val="DefaultParagraphFont"/>
    <w:rsid w:val="003331A8"/>
  </w:style>
  <w:style w:type="table" w:styleId="TableGrid">
    <w:name w:val="Table Grid"/>
    <w:basedOn w:val="TableNormal"/>
    <w:uiPriority w:val="59"/>
    <w:rsid w:val="00A50C8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02D6"/>
    <w:rPr>
      <w:sz w:val="16"/>
      <w:szCs w:val="16"/>
    </w:rPr>
  </w:style>
  <w:style w:type="paragraph" w:styleId="CommentText">
    <w:name w:val="annotation text"/>
    <w:basedOn w:val="Normal"/>
    <w:link w:val="CommentTextChar"/>
    <w:uiPriority w:val="99"/>
    <w:semiHidden/>
    <w:unhideWhenUsed/>
    <w:rsid w:val="00BD02D6"/>
    <w:pPr>
      <w:spacing w:line="240" w:lineRule="auto"/>
    </w:pPr>
    <w:rPr>
      <w:sz w:val="20"/>
      <w:szCs w:val="20"/>
    </w:rPr>
  </w:style>
  <w:style w:type="character" w:customStyle="1" w:styleId="CommentTextChar">
    <w:name w:val="Comment Text Char"/>
    <w:basedOn w:val="DefaultParagraphFont"/>
    <w:link w:val="CommentText"/>
    <w:uiPriority w:val="99"/>
    <w:semiHidden/>
    <w:rsid w:val="00BD02D6"/>
    <w:rPr>
      <w:rFonts w:cs="Calibri"/>
      <w:sz w:val="20"/>
      <w:szCs w:val="20"/>
      <w:lang w:eastAsia="zh-CN"/>
    </w:rPr>
  </w:style>
  <w:style w:type="paragraph" w:styleId="CommentSubject">
    <w:name w:val="annotation subject"/>
    <w:basedOn w:val="CommentText"/>
    <w:next w:val="CommentText"/>
    <w:link w:val="CommentSubjectChar"/>
    <w:uiPriority w:val="99"/>
    <w:semiHidden/>
    <w:unhideWhenUsed/>
    <w:rsid w:val="00BD02D6"/>
    <w:rPr>
      <w:b/>
      <w:bCs/>
    </w:rPr>
  </w:style>
  <w:style w:type="character" w:customStyle="1" w:styleId="CommentSubjectChar">
    <w:name w:val="Comment Subject Char"/>
    <w:basedOn w:val="CommentTextChar"/>
    <w:link w:val="CommentSubject"/>
    <w:uiPriority w:val="99"/>
    <w:semiHidden/>
    <w:rsid w:val="00BD02D6"/>
    <w:rPr>
      <w:rFonts w:cs="Calibri"/>
      <w:b/>
      <w:bCs/>
      <w:sz w:val="20"/>
      <w:szCs w:val="20"/>
      <w:lang w:eastAsia="zh-CN"/>
    </w:rPr>
  </w:style>
  <w:style w:type="paragraph" w:styleId="ListParagraph">
    <w:name w:val="List Paragraph"/>
    <w:basedOn w:val="Normal"/>
    <w:uiPriority w:val="34"/>
    <w:qFormat/>
    <w:rsid w:val="00FC349D"/>
    <w:pPr>
      <w:ind w:left="720"/>
      <w:contextualSpacing/>
    </w:pPr>
  </w:style>
  <w:style w:type="paragraph" w:styleId="Header">
    <w:name w:val="header"/>
    <w:basedOn w:val="Normal"/>
    <w:link w:val="HeaderChar"/>
    <w:uiPriority w:val="99"/>
    <w:semiHidden/>
    <w:unhideWhenUsed/>
    <w:rsid w:val="001817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17A2"/>
    <w:rPr>
      <w:rFonts w:cs="Calibri"/>
      <w:lang w:eastAsia="zh-CN"/>
    </w:rPr>
  </w:style>
  <w:style w:type="paragraph" w:styleId="Footer">
    <w:name w:val="footer"/>
    <w:basedOn w:val="Normal"/>
    <w:link w:val="FooterChar"/>
    <w:uiPriority w:val="99"/>
    <w:unhideWhenUsed/>
    <w:rsid w:val="00181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7A2"/>
    <w:rPr>
      <w:rFonts w:cs="Calibri"/>
      <w:lang w:eastAsia="zh-CN"/>
    </w:rPr>
  </w:style>
  <w:style w:type="paragraph" w:styleId="FootnoteText">
    <w:name w:val="footnote text"/>
    <w:basedOn w:val="Normal"/>
    <w:link w:val="FootnoteTextChar"/>
    <w:uiPriority w:val="99"/>
    <w:semiHidden/>
    <w:unhideWhenUsed/>
    <w:rsid w:val="00632D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2DDD"/>
    <w:rPr>
      <w:rFonts w:cs="Calibri"/>
      <w:sz w:val="20"/>
      <w:szCs w:val="20"/>
      <w:lang w:eastAsia="zh-CN"/>
    </w:rPr>
  </w:style>
  <w:style w:type="character" w:styleId="FootnoteReference">
    <w:name w:val="footnote reference"/>
    <w:basedOn w:val="DefaultParagraphFont"/>
    <w:uiPriority w:val="99"/>
    <w:semiHidden/>
    <w:unhideWhenUsed/>
    <w:rsid w:val="00632D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6057">
      <w:bodyDiv w:val="1"/>
      <w:marLeft w:val="0"/>
      <w:marRight w:val="0"/>
      <w:marTop w:val="0"/>
      <w:marBottom w:val="0"/>
      <w:divBdr>
        <w:top w:val="none" w:sz="0" w:space="0" w:color="auto"/>
        <w:left w:val="none" w:sz="0" w:space="0" w:color="auto"/>
        <w:bottom w:val="none" w:sz="0" w:space="0" w:color="auto"/>
        <w:right w:val="none" w:sz="0" w:space="0" w:color="auto"/>
      </w:divBdr>
      <w:divsChild>
        <w:div w:id="177473827">
          <w:marLeft w:val="0"/>
          <w:marRight w:val="0"/>
          <w:marTop w:val="0"/>
          <w:marBottom w:val="0"/>
          <w:divBdr>
            <w:top w:val="none" w:sz="0" w:space="0" w:color="auto"/>
            <w:left w:val="none" w:sz="0" w:space="0" w:color="auto"/>
            <w:bottom w:val="none" w:sz="0" w:space="0" w:color="auto"/>
            <w:right w:val="none" w:sz="0" w:space="0" w:color="auto"/>
          </w:divBdr>
          <w:divsChild>
            <w:div w:id="75173662">
              <w:marLeft w:val="0"/>
              <w:marRight w:val="0"/>
              <w:marTop w:val="0"/>
              <w:marBottom w:val="0"/>
              <w:divBdr>
                <w:top w:val="none" w:sz="0" w:space="0" w:color="auto"/>
                <w:left w:val="none" w:sz="0" w:space="0" w:color="auto"/>
                <w:bottom w:val="none" w:sz="0" w:space="0" w:color="auto"/>
                <w:right w:val="none" w:sz="0" w:space="0" w:color="auto"/>
              </w:divBdr>
              <w:divsChild>
                <w:div w:id="817112066">
                  <w:marLeft w:val="0"/>
                  <w:marRight w:val="0"/>
                  <w:marTop w:val="0"/>
                  <w:marBottom w:val="0"/>
                  <w:divBdr>
                    <w:top w:val="none" w:sz="0" w:space="0" w:color="auto"/>
                    <w:left w:val="none" w:sz="0" w:space="0" w:color="auto"/>
                    <w:bottom w:val="none" w:sz="0" w:space="0" w:color="auto"/>
                    <w:right w:val="none" w:sz="0" w:space="0" w:color="auto"/>
                  </w:divBdr>
                  <w:divsChild>
                    <w:div w:id="280192332">
                      <w:marLeft w:val="0"/>
                      <w:marRight w:val="0"/>
                      <w:marTop w:val="0"/>
                      <w:marBottom w:val="0"/>
                      <w:divBdr>
                        <w:top w:val="none" w:sz="0" w:space="0" w:color="auto"/>
                        <w:left w:val="none" w:sz="0" w:space="0" w:color="auto"/>
                        <w:bottom w:val="none" w:sz="0" w:space="0" w:color="auto"/>
                        <w:right w:val="none" w:sz="0" w:space="0" w:color="auto"/>
                      </w:divBdr>
                      <w:divsChild>
                        <w:div w:id="620264887">
                          <w:marLeft w:val="0"/>
                          <w:marRight w:val="0"/>
                          <w:marTop w:val="0"/>
                          <w:marBottom w:val="0"/>
                          <w:divBdr>
                            <w:top w:val="none" w:sz="0" w:space="0" w:color="auto"/>
                            <w:left w:val="none" w:sz="0" w:space="0" w:color="auto"/>
                            <w:bottom w:val="none" w:sz="0" w:space="0" w:color="auto"/>
                            <w:right w:val="none" w:sz="0" w:space="0" w:color="auto"/>
                          </w:divBdr>
                          <w:divsChild>
                            <w:div w:id="1879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77363">
      <w:bodyDiv w:val="1"/>
      <w:marLeft w:val="0"/>
      <w:marRight w:val="0"/>
      <w:marTop w:val="0"/>
      <w:marBottom w:val="0"/>
      <w:divBdr>
        <w:top w:val="none" w:sz="0" w:space="0" w:color="auto"/>
        <w:left w:val="none" w:sz="0" w:space="0" w:color="auto"/>
        <w:bottom w:val="none" w:sz="0" w:space="0" w:color="auto"/>
        <w:right w:val="none" w:sz="0" w:space="0" w:color="auto"/>
      </w:divBdr>
      <w:divsChild>
        <w:div w:id="517308392">
          <w:marLeft w:val="0"/>
          <w:marRight w:val="0"/>
          <w:marTop w:val="0"/>
          <w:marBottom w:val="0"/>
          <w:divBdr>
            <w:top w:val="none" w:sz="0" w:space="0" w:color="auto"/>
            <w:left w:val="none" w:sz="0" w:space="0" w:color="auto"/>
            <w:bottom w:val="none" w:sz="0" w:space="0" w:color="auto"/>
            <w:right w:val="none" w:sz="0" w:space="0" w:color="auto"/>
          </w:divBdr>
          <w:divsChild>
            <w:div w:id="438843286">
              <w:marLeft w:val="0"/>
              <w:marRight w:val="0"/>
              <w:marTop w:val="0"/>
              <w:marBottom w:val="0"/>
              <w:divBdr>
                <w:top w:val="none" w:sz="0" w:space="0" w:color="auto"/>
                <w:left w:val="none" w:sz="0" w:space="0" w:color="auto"/>
                <w:bottom w:val="none" w:sz="0" w:space="0" w:color="auto"/>
                <w:right w:val="none" w:sz="0" w:space="0" w:color="auto"/>
              </w:divBdr>
              <w:divsChild>
                <w:div w:id="1648363394">
                  <w:marLeft w:val="0"/>
                  <w:marRight w:val="0"/>
                  <w:marTop w:val="0"/>
                  <w:marBottom w:val="0"/>
                  <w:divBdr>
                    <w:top w:val="none" w:sz="0" w:space="0" w:color="auto"/>
                    <w:left w:val="none" w:sz="0" w:space="0" w:color="auto"/>
                    <w:bottom w:val="none" w:sz="0" w:space="0" w:color="auto"/>
                    <w:right w:val="none" w:sz="0" w:space="0" w:color="auto"/>
                  </w:divBdr>
                  <w:divsChild>
                    <w:div w:id="1951819055">
                      <w:marLeft w:val="0"/>
                      <w:marRight w:val="0"/>
                      <w:marTop w:val="0"/>
                      <w:marBottom w:val="0"/>
                      <w:divBdr>
                        <w:top w:val="none" w:sz="0" w:space="0" w:color="auto"/>
                        <w:left w:val="none" w:sz="0" w:space="0" w:color="auto"/>
                        <w:bottom w:val="none" w:sz="0" w:space="0" w:color="auto"/>
                        <w:right w:val="none" w:sz="0" w:space="0" w:color="auto"/>
                      </w:divBdr>
                      <w:divsChild>
                        <w:div w:id="1211186120">
                          <w:marLeft w:val="0"/>
                          <w:marRight w:val="0"/>
                          <w:marTop w:val="0"/>
                          <w:marBottom w:val="0"/>
                          <w:divBdr>
                            <w:top w:val="none" w:sz="0" w:space="0" w:color="auto"/>
                            <w:left w:val="none" w:sz="0" w:space="0" w:color="auto"/>
                            <w:bottom w:val="none" w:sz="0" w:space="0" w:color="auto"/>
                            <w:right w:val="none" w:sz="0" w:space="0" w:color="auto"/>
                          </w:divBdr>
                          <w:divsChild>
                            <w:div w:id="15868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409625">
      <w:marLeft w:val="0"/>
      <w:marRight w:val="0"/>
      <w:marTop w:val="0"/>
      <w:marBottom w:val="0"/>
      <w:divBdr>
        <w:top w:val="none" w:sz="0" w:space="0" w:color="auto"/>
        <w:left w:val="none" w:sz="0" w:space="0" w:color="auto"/>
        <w:bottom w:val="none" w:sz="0" w:space="0" w:color="auto"/>
        <w:right w:val="none" w:sz="0" w:space="0" w:color="auto"/>
      </w:divBdr>
      <w:divsChild>
        <w:div w:id="363409636">
          <w:marLeft w:val="0"/>
          <w:marRight w:val="0"/>
          <w:marTop w:val="0"/>
          <w:marBottom w:val="0"/>
          <w:divBdr>
            <w:top w:val="none" w:sz="0" w:space="0" w:color="auto"/>
            <w:left w:val="none" w:sz="0" w:space="0" w:color="auto"/>
            <w:bottom w:val="none" w:sz="0" w:space="0" w:color="auto"/>
            <w:right w:val="none" w:sz="0" w:space="0" w:color="auto"/>
          </w:divBdr>
          <w:divsChild>
            <w:div w:id="363409627">
              <w:marLeft w:val="0"/>
              <w:marRight w:val="0"/>
              <w:marTop w:val="0"/>
              <w:marBottom w:val="0"/>
              <w:divBdr>
                <w:top w:val="none" w:sz="0" w:space="0" w:color="auto"/>
                <w:left w:val="none" w:sz="0" w:space="0" w:color="auto"/>
                <w:bottom w:val="none" w:sz="0" w:space="0" w:color="auto"/>
                <w:right w:val="none" w:sz="0" w:space="0" w:color="auto"/>
              </w:divBdr>
              <w:divsChild>
                <w:div w:id="363409632">
                  <w:marLeft w:val="0"/>
                  <w:marRight w:val="0"/>
                  <w:marTop w:val="0"/>
                  <w:marBottom w:val="0"/>
                  <w:divBdr>
                    <w:top w:val="none" w:sz="0" w:space="0" w:color="auto"/>
                    <w:left w:val="none" w:sz="0" w:space="0" w:color="auto"/>
                    <w:bottom w:val="none" w:sz="0" w:space="0" w:color="auto"/>
                    <w:right w:val="none" w:sz="0" w:space="0" w:color="auto"/>
                  </w:divBdr>
                  <w:divsChild>
                    <w:div w:id="363409629">
                      <w:marLeft w:val="0"/>
                      <w:marRight w:val="0"/>
                      <w:marTop w:val="0"/>
                      <w:marBottom w:val="0"/>
                      <w:divBdr>
                        <w:top w:val="none" w:sz="0" w:space="0" w:color="auto"/>
                        <w:left w:val="none" w:sz="0" w:space="0" w:color="auto"/>
                        <w:bottom w:val="none" w:sz="0" w:space="0" w:color="auto"/>
                        <w:right w:val="none" w:sz="0" w:space="0" w:color="auto"/>
                      </w:divBdr>
                      <w:divsChild>
                        <w:div w:id="363409631">
                          <w:marLeft w:val="0"/>
                          <w:marRight w:val="0"/>
                          <w:marTop w:val="0"/>
                          <w:marBottom w:val="0"/>
                          <w:divBdr>
                            <w:top w:val="none" w:sz="0" w:space="0" w:color="auto"/>
                            <w:left w:val="none" w:sz="0" w:space="0" w:color="auto"/>
                            <w:bottom w:val="none" w:sz="0" w:space="0" w:color="auto"/>
                            <w:right w:val="none" w:sz="0" w:space="0" w:color="auto"/>
                          </w:divBdr>
                          <w:divsChild>
                            <w:div w:id="3634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409638">
      <w:marLeft w:val="0"/>
      <w:marRight w:val="0"/>
      <w:marTop w:val="0"/>
      <w:marBottom w:val="0"/>
      <w:divBdr>
        <w:top w:val="none" w:sz="0" w:space="0" w:color="auto"/>
        <w:left w:val="none" w:sz="0" w:space="0" w:color="auto"/>
        <w:bottom w:val="none" w:sz="0" w:space="0" w:color="auto"/>
        <w:right w:val="none" w:sz="0" w:space="0" w:color="auto"/>
      </w:divBdr>
      <w:divsChild>
        <w:div w:id="363409635">
          <w:marLeft w:val="0"/>
          <w:marRight w:val="0"/>
          <w:marTop w:val="0"/>
          <w:marBottom w:val="0"/>
          <w:divBdr>
            <w:top w:val="none" w:sz="0" w:space="0" w:color="auto"/>
            <w:left w:val="none" w:sz="0" w:space="0" w:color="auto"/>
            <w:bottom w:val="none" w:sz="0" w:space="0" w:color="auto"/>
            <w:right w:val="none" w:sz="0" w:space="0" w:color="auto"/>
          </w:divBdr>
          <w:divsChild>
            <w:div w:id="363409630">
              <w:marLeft w:val="0"/>
              <w:marRight w:val="0"/>
              <w:marTop w:val="0"/>
              <w:marBottom w:val="0"/>
              <w:divBdr>
                <w:top w:val="none" w:sz="0" w:space="0" w:color="auto"/>
                <w:left w:val="none" w:sz="0" w:space="0" w:color="auto"/>
                <w:bottom w:val="none" w:sz="0" w:space="0" w:color="auto"/>
                <w:right w:val="none" w:sz="0" w:space="0" w:color="auto"/>
              </w:divBdr>
              <w:divsChild>
                <w:div w:id="363409633">
                  <w:marLeft w:val="0"/>
                  <w:marRight w:val="0"/>
                  <w:marTop w:val="0"/>
                  <w:marBottom w:val="0"/>
                  <w:divBdr>
                    <w:top w:val="none" w:sz="0" w:space="0" w:color="auto"/>
                    <w:left w:val="none" w:sz="0" w:space="0" w:color="auto"/>
                    <w:bottom w:val="none" w:sz="0" w:space="0" w:color="auto"/>
                    <w:right w:val="none" w:sz="0" w:space="0" w:color="auto"/>
                  </w:divBdr>
                  <w:divsChild>
                    <w:div w:id="363409626">
                      <w:marLeft w:val="0"/>
                      <w:marRight w:val="0"/>
                      <w:marTop w:val="0"/>
                      <w:marBottom w:val="0"/>
                      <w:divBdr>
                        <w:top w:val="none" w:sz="0" w:space="0" w:color="auto"/>
                        <w:left w:val="none" w:sz="0" w:space="0" w:color="auto"/>
                        <w:bottom w:val="none" w:sz="0" w:space="0" w:color="auto"/>
                        <w:right w:val="none" w:sz="0" w:space="0" w:color="auto"/>
                      </w:divBdr>
                      <w:divsChild>
                        <w:div w:id="363409628">
                          <w:marLeft w:val="0"/>
                          <w:marRight w:val="0"/>
                          <w:marTop w:val="0"/>
                          <w:marBottom w:val="0"/>
                          <w:divBdr>
                            <w:top w:val="none" w:sz="0" w:space="0" w:color="auto"/>
                            <w:left w:val="none" w:sz="0" w:space="0" w:color="auto"/>
                            <w:bottom w:val="none" w:sz="0" w:space="0" w:color="auto"/>
                            <w:right w:val="none" w:sz="0" w:space="0" w:color="auto"/>
                          </w:divBdr>
                          <w:divsChild>
                            <w:div w:id="3634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929861">
      <w:bodyDiv w:val="1"/>
      <w:marLeft w:val="0"/>
      <w:marRight w:val="0"/>
      <w:marTop w:val="0"/>
      <w:marBottom w:val="0"/>
      <w:divBdr>
        <w:top w:val="none" w:sz="0" w:space="0" w:color="auto"/>
        <w:left w:val="none" w:sz="0" w:space="0" w:color="auto"/>
        <w:bottom w:val="none" w:sz="0" w:space="0" w:color="auto"/>
        <w:right w:val="none" w:sz="0" w:space="0" w:color="auto"/>
      </w:divBdr>
      <w:divsChild>
        <w:div w:id="1779790757">
          <w:marLeft w:val="0"/>
          <w:marRight w:val="0"/>
          <w:marTop w:val="0"/>
          <w:marBottom w:val="0"/>
          <w:divBdr>
            <w:top w:val="none" w:sz="0" w:space="0" w:color="auto"/>
            <w:left w:val="none" w:sz="0" w:space="0" w:color="auto"/>
            <w:bottom w:val="none" w:sz="0" w:space="0" w:color="auto"/>
            <w:right w:val="none" w:sz="0" w:space="0" w:color="auto"/>
          </w:divBdr>
          <w:divsChild>
            <w:div w:id="383142149">
              <w:marLeft w:val="0"/>
              <w:marRight w:val="0"/>
              <w:marTop w:val="0"/>
              <w:marBottom w:val="0"/>
              <w:divBdr>
                <w:top w:val="none" w:sz="0" w:space="0" w:color="auto"/>
                <w:left w:val="none" w:sz="0" w:space="0" w:color="auto"/>
                <w:bottom w:val="none" w:sz="0" w:space="0" w:color="auto"/>
                <w:right w:val="none" w:sz="0" w:space="0" w:color="auto"/>
              </w:divBdr>
              <w:divsChild>
                <w:div w:id="1347366018">
                  <w:marLeft w:val="0"/>
                  <w:marRight w:val="0"/>
                  <w:marTop w:val="0"/>
                  <w:marBottom w:val="0"/>
                  <w:divBdr>
                    <w:top w:val="none" w:sz="0" w:space="0" w:color="auto"/>
                    <w:left w:val="none" w:sz="0" w:space="0" w:color="auto"/>
                    <w:bottom w:val="none" w:sz="0" w:space="0" w:color="auto"/>
                    <w:right w:val="none" w:sz="0" w:space="0" w:color="auto"/>
                  </w:divBdr>
                  <w:divsChild>
                    <w:div w:id="1861507444">
                      <w:marLeft w:val="0"/>
                      <w:marRight w:val="0"/>
                      <w:marTop w:val="0"/>
                      <w:marBottom w:val="0"/>
                      <w:divBdr>
                        <w:top w:val="none" w:sz="0" w:space="0" w:color="auto"/>
                        <w:left w:val="none" w:sz="0" w:space="0" w:color="auto"/>
                        <w:bottom w:val="none" w:sz="0" w:space="0" w:color="auto"/>
                        <w:right w:val="none" w:sz="0" w:space="0" w:color="auto"/>
                      </w:divBdr>
                      <w:divsChild>
                        <w:div w:id="534777066">
                          <w:marLeft w:val="0"/>
                          <w:marRight w:val="0"/>
                          <w:marTop w:val="0"/>
                          <w:marBottom w:val="0"/>
                          <w:divBdr>
                            <w:top w:val="none" w:sz="0" w:space="0" w:color="auto"/>
                            <w:left w:val="none" w:sz="0" w:space="0" w:color="auto"/>
                            <w:bottom w:val="none" w:sz="0" w:space="0" w:color="auto"/>
                            <w:right w:val="none" w:sz="0" w:space="0" w:color="auto"/>
                          </w:divBdr>
                          <w:divsChild>
                            <w:div w:id="39343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078939">
      <w:bodyDiv w:val="1"/>
      <w:marLeft w:val="0"/>
      <w:marRight w:val="0"/>
      <w:marTop w:val="0"/>
      <w:marBottom w:val="0"/>
      <w:divBdr>
        <w:top w:val="none" w:sz="0" w:space="0" w:color="auto"/>
        <w:left w:val="none" w:sz="0" w:space="0" w:color="auto"/>
        <w:bottom w:val="none" w:sz="0" w:space="0" w:color="auto"/>
        <w:right w:val="none" w:sz="0" w:space="0" w:color="auto"/>
      </w:divBdr>
      <w:divsChild>
        <w:div w:id="482695949">
          <w:marLeft w:val="0"/>
          <w:marRight w:val="0"/>
          <w:marTop w:val="0"/>
          <w:marBottom w:val="0"/>
          <w:divBdr>
            <w:top w:val="none" w:sz="0" w:space="0" w:color="auto"/>
            <w:left w:val="none" w:sz="0" w:space="0" w:color="auto"/>
            <w:bottom w:val="none" w:sz="0" w:space="0" w:color="auto"/>
            <w:right w:val="none" w:sz="0" w:space="0" w:color="auto"/>
          </w:divBdr>
          <w:divsChild>
            <w:div w:id="652414330">
              <w:marLeft w:val="0"/>
              <w:marRight w:val="0"/>
              <w:marTop w:val="0"/>
              <w:marBottom w:val="0"/>
              <w:divBdr>
                <w:top w:val="none" w:sz="0" w:space="0" w:color="auto"/>
                <w:left w:val="none" w:sz="0" w:space="0" w:color="auto"/>
                <w:bottom w:val="none" w:sz="0" w:space="0" w:color="auto"/>
                <w:right w:val="none" w:sz="0" w:space="0" w:color="auto"/>
              </w:divBdr>
              <w:divsChild>
                <w:div w:id="1774207976">
                  <w:marLeft w:val="0"/>
                  <w:marRight w:val="0"/>
                  <w:marTop w:val="0"/>
                  <w:marBottom w:val="0"/>
                  <w:divBdr>
                    <w:top w:val="none" w:sz="0" w:space="0" w:color="auto"/>
                    <w:left w:val="none" w:sz="0" w:space="0" w:color="auto"/>
                    <w:bottom w:val="none" w:sz="0" w:space="0" w:color="auto"/>
                    <w:right w:val="none" w:sz="0" w:space="0" w:color="auto"/>
                  </w:divBdr>
                  <w:divsChild>
                    <w:div w:id="421148699">
                      <w:marLeft w:val="0"/>
                      <w:marRight w:val="0"/>
                      <w:marTop w:val="0"/>
                      <w:marBottom w:val="0"/>
                      <w:divBdr>
                        <w:top w:val="none" w:sz="0" w:space="0" w:color="auto"/>
                        <w:left w:val="none" w:sz="0" w:space="0" w:color="auto"/>
                        <w:bottom w:val="none" w:sz="0" w:space="0" w:color="auto"/>
                        <w:right w:val="none" w:sz="0" w:space="0" w:color="auto"/>
                      </w:divBdr>
                      <w:divsChild>
                        <w:div w:id="2124304040">
                          <w:marLeft w:val="0"/>
                          <w:marRight w:val="0"/>
                          <w:marTop w:val="0"/>
                          <w:marBottom w:val="0"/>
                          <w:divBdr>
                            <w:top w:val="none" w:sz="0" w:space="0" w:color="auto"/>
                            <w:left w:val="none" w:sz="0" w:space="0" w:color="auto"/>
                            <w:bottom w:val="none" w:sz="0" w:space="0" w:color="auto"/>
                            <w:right w:val="none" w:sz="0" w:space="0" w:color="auto"/>
                          </w:divBdr>
                          <w:divsChild>
                            <w:div w:id="12768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069742">
      <w:bodyDiv w:val="1"/>
      <w:marLeft w:val="0"/>
      <w:marRight w:val="0"/>
      <w:marTop w:val="0"/>
      <w:marBottom w:val="0"/>
      <w:divBdr>
        <w:top w:val="none" w:sz="0" w:space="0" w:color="auto"/>
        <w:left w:val="none" w:sz="0" w:space="0" w:color="auto"/>
        <w:bottom w:val="none" w:sz="0" w:space="0" w:color="auto"/>
        <w:right w:val="none" w:sz="0" w:space="0" w:color="auto"/>
      </w:divBdr>
      <w:divsChild>
        <w:div w:id="1762408136">
          <w:marLeft w:val="0"/>
          <w:marRight w:val="0"/>
          <w:marTop w:val="0"/>
          <w:marBottom w:val="0"/>
          <w:divBdr>
            <w:top w:val="none" w:sz="0" w:space="0" w:color="auto"/>
            <w:left w:val="none" w:sz="0" w:space="0" w:color="auto"/>
            <w:bottom w:val="none" w:sz="0" w:space="0" w:color="auto"/>
            <w:right w:val="none" w:sz="0" w:space="0" w:color="auto"/>
          </w:divBdr>
          <w:divsChild>
            <w:div w:id="1314333117">
              <w:marLeft w:val="0"/>
              <w:marRight w:val="0"/>
              <w:marTop w:val="0"/>
              <w:marBottom w:val="0"/>
              <w:divBdr>
                <w:top w:val="none" w:sz="0" w:space="0" w:color="auto"/>
                <w:left w:val="none" w:sz="0" w:space="0" w:color="auto"/>
                <w:bottom w:val="none" w:sz="0" w:space="0" w:color="auto"/>
                <w:right w:val="none" w:sz="0" w:space="0" w:color="auto"/>
              </w:divBdr>
              <w:divsChild>
                <w:div w:id="594441963">
                  <w:marLeft w:val="0"/>
                  <w:marRight w:val="0"/>
                  <w:marTop w:val="0"/>
                  <w:marBottom w:val="0"/>
                  <w:divBdr>
                    <w:top w:val="none" w:sz="0" w:space="0" w:color="auto"/>
                    <w:left w:val="none" w:sz="0" w:space="0" w:color="auto"/>
                    <w:bottom w:val="none" w:sz="0" w:space="0" w:color="auto"/>
                    <w:right w:val="none" w:sz="0" w:space="0" w:color="auto"/>
                  </w:divBdr>
                  <w:divsChild>
                    <w:div w:id="1602831205">
                      <w:marLeft w:val="0"/>
                      <w:marRight w:val="0"/>
                      <w:marTop w:val="0"/>
                      <w:marBottom w:val="0"/>
                      <w:divBdr>
                        <w:top w:val="none" w:sz="0" w:space="0" w:color="auto"/>
                        <w:left w:val="none" w:sz="0" w:space="0" w:color="auto"/>
                        <w:bottom w:val="none" w:sz="0" w:space="0" w:color="auto"/>
                        <w:right w:val="none" w:sz="0" w:space="0" w:color="auto"/>
                      </w:divBdr>
                      <w:divsChild>
                        <w:div w:id="1093822394">
                          <w:marLeft w:val="0"/>
                          <w:marRight w:val="0"/>
                          <w:marTop w:val="0"/>
                          <w:marBottom w:val="0"/>
                          <w:divBdr>
                            <w:top w:val="none" w:sz="0" w:space="0" w:color="auto"/>
                            <w:left w:val="none" w:sz="0" w:space="0" w:color="auto"/>
                            <w:bottom w:val="none" w:sz="0" w:space="0" w:color="auto"/>
                            <w:right w:val="none" w:sz="0" w:space="0" w:color="auto"/>
                          </w:divBdr>
                          <w:divsChild>
                            <w:div w:id="12788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9665">
      <w:bodyDiv w:val="1"/>
      <w:marLeft w:val="0"/>
      <w:marRight w:val="0"/>
      <w:marTop w:val="0"/>
      <w:marBottom w:val="0"/>
      <w:divBdr>
        <w:top w:val="none" w:sz="0" w:space="0" w:color="auto"/>
        <w:left w:val="none" w:sz="0" w:space="0" w:color="auto"/>
        <w:bottom w:val="none" w:sz="0" w:space="0" w:color="auto"/>
        <w:right w:val="none" w:sz="0" w:space="0" w:color="auto"/>
      </w:divBdr>
      <w:divsChild>
        <w:div w:id="929044746">
          <w:marLeft w:val="0"/>
          <w:marRight w:val="0"/>
          <w:marTop w:val="0"/>
          <w:marBottom w:val="0"/>
          <w:divBdr>
            <w:top w:val="none" w:sz="0" w:space="0" w:color="auto"/>
            <w:left w:val="none" w:sz="0" w:space="0" w:color="auto"/>
            <w:bottom w:val="none" w:sz="0" w:space="0" w:color="auto"/>
            <w:right w:val="none" w:sz="0" w:space="0" w:color="auto"/>
          </w:divBdr>
          <w:divsChild>
            <w:div w:id="2088112421">
              <w:marLeft w:val="0"/>
              <w:marRight w:val="0"/>
              <w:marTop w:val="0"/>
              <w:marBottom w:val="0"/>
              <w:divBdr>
                <w:top w:val="none" w:sz="0" w:space="0" w:color="auto"/>
                <w:left w:val="none" w:sz="0" w:space="0" w:color="auto"/>
                <w:bottom w:val="none" w:sz="0" w:space="0" w:color="auto"/>
                <w:right w:val="none" w:sz="0" w:space="0" w:color="auto"/>
              </w:divBdr>
              <w:divsChild>
                <w:div w:id="1057125868">
                  <w:marLeft w:val="0"/>
                  <w:marRight w:val="0"/>
                  <w:marTop w:val="0"/>
                  <w:marBottom w:val="0"/>
                  <w:divBdr>
                    <w:top w:val="none" w:sz="0" w:space="0" w:color="auto"/>
                    <w:left w:val="none" w:sz="0" w:space="0" w:color="auto"/>
                    <w:bottom w:val="none" w:sz="0" w:space="0" w:color="auto"/>
                    <w:right w:val="none" w:sz="0" w:space="0" w:color="auto"/>
                  </w:divBdr>
                  <w:divsChild>
                    <w:div w:id="1940062626">
                      <w:marLeft w:val="0"/>
                      <w:marRight w:val="0"/>
                      <w:marTop w:val="0"/>
                      <w:marBottom w:val="0"/>
                      <w:divBdr>
                        <w:top w:val="none" w:sz="0" w:space="0" w:color="auto"/>
                        <w:left w:val="none" w:sz="0" w:space="0" w:color="auto"/>
                        <w:bottom w:val="none" w:sz="0" w:space="0" w:color="auto"/>
                        <w:right w:val="none" w:sz="0" w:space="0" w:color="auto"/>
                      </w:divBdr>
                      <w:divsChild>
                        <w:div w:id="771708140">
                          <w:marLeft w:val="0"/>
                          <w:marRight w:val="0"/>
                          <w:marTop w:val="0"/>
                          <w:marBottom w:val="0"/>
                          <w:divBdr>
                            <w:top w:val="none" w:sz="0" w:space="0" w:color="auto"/>
                            <w:left w:val="none" w:sz="0" w:space="0" w:color="auto"/>
                            <w:bottom w:val="none" w:sz="0" w:space="0" w:color="auto"/>
                            <w:right w:val="none" w:sz="0" w:space="0" w:color="auto"/>
                          </w:divBdr>
                          <w:divsChild>
                            <w:div w:id="96878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207315">
      <w:bodyDiv w:val="1"/>
      <w:marLeft w:val="0"/>
      <w:marRight w:val="0"/>
      <w:marTop w:val="0"/>
      <w:marBottom w:val="0"/>
      <w:divBdr>
        <w:top w:val="none" w:sz="0" w:space="0" w:color="auto"/>
        <w:left w:val="none" w:sz="0" w:space="0" w:color="auto"/>
        <w:bottom w:val="none" w:sz="0" w:space="0" w:color="auto"/>
        <w:right w:val="none" w:sz="0" w:space="0" w:color="auto"/>
      </w:divBdr>
      <w:divsChild>
        <w:div w:id="434523570">
          <w:marLeft w:val="0"/>
          <w:marRight w:val="0"/>
          <w:marTop w:val="0"/>
          <w:marBottom w:val="0"/>
          <w:divBdr>
            <w:top w:val="none" w:sz="0" w:space="0" w:color="auto"/>
            <w:left w:val="none" w:sz="0" w:space="0" w:color="auto"/>
            <w:bottom w:val="none" w:sz="0" w:space="0" w:color="auto"/>
            <w:right w:val="none" w:sz="0" w:space="0" w:color="auto"/>
          </w:divBdr>
          <w:divsChild>
            <w:div w:id="1638341768">
              <w:marLeft w:val="0"/>
              <w:marRight w:val="0"/>
              <w:marTop w:val="0"/>
              <w:marBottom w:val="0"/>
              <w:divBdr>
                <w:top w:val="none" w:sz="0" w:space="0" w:color="auto"/>
                <w:left w:val="none" w:sz="0" w:space="0" w:color="auto"/>
                <w:bottom w:val="none" w:sz="0" w:space="0" w:color="auto"/>
                <w:right w:val="none" w:sz="0" w:space="0" w:color="auto"/>
              </w:divBdr>
              <w:divsChild>
                <w:div w:id="136724694">
                  <w:marLeft w:val="0"/>
                  <w:marRight w:val="0"/>
                  <w:marTop w:val="0"/>
                  <w:marBottom w:val="0"/>
                  <w:divBdr>
                    <w:top w:val="none" w:sz="0" w:space="0" w:color="auto"/>
                    <w:left w:val="none" w:sz="0" w:space="0" w:color="auto"/>
                    <w:bottom w:val="none" w:sz="0" w:space="0" w:color="auto"/>
                    <w:right w:val="none" w:sz="0" w:space="0" w:color="auto"/>
                  </w:divBdr>
                  <w:divsChild>
                    <w:div w:id="1446073797">
                      <w:marLeft w:val="0"/>
                      <w:marRight w:val="0"/>
                      <w:marTop w:val="0"/>
                      <w:marBottom w:val="0"/>
                      <w:divBdr>
                        <w:top w:val="none" w:sz="0" w:space="0" w:color="auto"/>
                        <w:left w:val="none" w:sz="0" w:space="0" w:color="auto"/>
                        <w:bottom w:val="none" w:sz="0" w:space="0" w:color="auto"/>
                        <w:right w:val="none" w:sz="0" w:space="0" w:color="auto"/>
                      </w:divBdr>
                      <w:divsChild>
                        <w:div w:id="2080008308">
                          <w:marLeft w:val="0"/>
                          <w:marRight w:val="0"/>
                          <w:marTop w:val="0"/>
                          <w:marBottom w:val="0"/>
                          <w:divBdr>
                            <w:top w:val="none" w:sz="0" w:space="0" w:color="auto"/>
                            <w:left w:val="none" w:sz="0" w:space="0" w:color="auto"/>
                            <w:bottom w:val="none" w:sz="0" w:space="0" w:color="auto"/>
                            <w:right w:val="none" w:sz="0" w:space="0" w:color="auto"/>
                          </w:divBdr>
                          <w:divsChild>
                            <w:div w:id="12893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062831">
      <w:bodyDiv w:val="1"/>
      <w:marLeft w:val="0"/>
      <w:marRight w:val="0"/>
      <w:marTop w:val="0"/>
      <w:marBottom w:val="0"/>
      <w:divBdr>
        <w:top w:val="none" w:sz="0" w:space="0" w:color="auto"/>
        <w:left w:val="none" w:sz="0" w:space="0" w:color="auto"/>
        <w:bottom w:val="none" w:sz="0" w:space="0" w:color="auto"/>
        <w:right w:val="none" w:sz="0" w:space="0" w:color="auto"/>
      </w:divBdr>
      <w:divsChild>
        <w:div w:id="1739671912">
          <w:marLeft w:val="0"/>
          <w:marRight w:val="0"/>
          <w:marTop w:val="0"/>
          <w:marBottom w:val="0"/>
          <w:divBdr>
            <w:top w:val="none" w:sz="0" w:space="0" w:color="auto"/>
            <w:left w:val="none" w:sz="0" w:space="0" w:color="auto"/>
            <w:bottom w:val="none" w:sz="0" w:space="0" w:color="auto"/>
            <w:right w:val="none" w:sz="0" w:space="0" w:color="auto"/>
          </w:divBdr>
          <w:divsChild>
            <w:div w:id="1680351173">
              <w:marLeft w:val="0"/>
              <w:marRight w:val="0"/>
              <w:marTop w:val="0"/>
              <w:marBottom w:val="0"/>
              <w:divBdr>
                <w:top w:val="none" w:sz="0" w:space="0" w:color="auto"/>
                <w:left w:val="none" w:sz="0" w:space="0" w:color="auto"/>
                <w:bottom w:val="none" w:sz="0" w:space="0" w:color="auto"/>
                <w:right w:val="none" w:sz="0" w:space="0" w:color="auto"/>
              </w:divBdr>
              <w:divsChild>
                <w:div w:id="1017149811">
                  <w:marLeft w:val="0"/>
                  <w:marRight w:val="0"/>
                  <w:marTop w:val="0"/>
                  <w:marBottom w:val="0"/>
                  <w:divBdr>
                    <w:top w:val="none" w:sz="0" w:space="0" w:color="auto"/>
                    <w:left w:val="none" w:sz="0" w:space="0" w:color="auto"/>
                    <w:bottom w:val="none" w:sz="0" w:space="0" w:color="auto"/>
                    <w:right w:val="none" w:sz="0" w:space="0" w:color="auto"/>
                  </w:divBdr>
                  <w:divsChild>
                    <w:div w:id="1356424434">
                      <w:marLeft w:val="0"/>
                      <w:marRight w:val="0"/>
                      <w:marTop w:val="0"/>
                      <w:marBottom w:val="0"/>
                      <w:divBdr>
                        <w:top w:val="none" w:sz="0" w:space="0" w:color="auto"/>
                        <w:left w:val="none" w:sz="0" w:space="0" w:color="auto"/>
                        <w:bottom w:val="none" w:sz="0" w:space="0" w:color="auto"/>
                        <w:right w:val="none" w:sz="0" w:space="0" w:color="auto"/>
                      </w:divBdr>
                      <w:divsChild>
                        <w:div w:id="2143578585">
                          <w:marLeft w:val="0"/>
                          <w:marRight w:val="0"/>
                          <w:marTop w:val="0"/>
                          <w:marBottom w:val="0"/>
                          <w:divBdr>
                            <w:top w:val="none" w:sz="0" w:space="0" w:color="auto"/>
                            <w:left w:val="none" w:sz="0" w:space="0" w:color="auto"/>
                            <w:bottom w:val="none" w:sz="0" w:space="0" w:color="auto"/>
                            <w:right w:val="none" w:sz="0" w:space="0" w:color="auto"/>
                          </w:divBdr>
                          <w:divsChild>
                            <w:div w:id="10739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818935">
      <w:bodyDiv w:val="1"/>
      <w:marLeft w:val="0"/>
      <w:marRight w:val="0"/>
      <w:marTop w:val="0"/>
      <w:marBottom w:val="0"/>
      <w:divBdr>
        <w:top w:val="none" w:sz="0" w:space="0" w:color="auto"/>
        <w:left w:val="none" w:sz="0" w:space="0" w:color="auto"/>
        <w:bottom w:val="none" w:sz="0" w:space="0" w:color="auto"/>
        <w:right w:val="none" w:sz="0" w:space="0" w:color="auto"/>
      </w:divBdr>
      <w:divsChild>
        <w:div w:id="1997108183">
          <w:marLeft w:val="0"/>
          <w:marRight w:val="0"/>
          <w:marTop w:val="0"/>
          <w:marBottom w:val="0"/>
          <w:divBdr>
            <w:top w:val="none" w:sz="0" w:space="0" w:color="auto"/>
            <w:left w:val="none" w:sz="0" w:space="0" w:color="auto"/>
            <w:bottom w:val="none" w:sz="0" w:space="0" w:color="auto"/>
            <w:right w:val="none" w:sz="0" w:space="0" w:color="auto"/>
          </w:divBdr>
          <w:divsChild>
            <w:div w:id="74059250">
              <w:marLeft w:val="0"/>
              <w:marRight w:val="0"/>
              <w:marTop w:val="0"/>
              <w:marBottom w:val="0"/>
              <w:divBdr>
                <w:top w:val="none" w:sz="0" w:space="0" w:color="auto"/>
                <w:left w:val="none" w:sz="0" w:space="0" w:color="auto"/>
                <w:bottom w:val="none" w:sz="0" w:space="0" w:color="auto"/>
                <w:right w:val="none" w:sz="0" w:space="0" w:color="auto"/>
              </w:divBdr>
              <w:divsChild>
                <w:div w:id="1081757738">
                  <w:marLeft w:val="0"/>
                  <w:marRight w:val="0"/>
                  <w:marTop w:val="0"/>
                  <w:marBottom w:val="0"/>
                  <w:divBdr>
                    <w:top w:val="none" w:sz="0" w:space="0" w:color="auto"/>
                    <w:left w:val="none" w:sz="0" w:space="0" w:color="auto"/>
                    <w:bottom w:val="none" w:sz="0" w:space="0" w:color="auto"/>
                    <w:right w:val="none" w:sz="0" w:space="0" w:color="auto"/>
                  </w:divBdr>
                  <w:divsChild>
                    <w:div w:id="1235047405">
                      <w:marLeft w:val="0"/>
                      <w:marRight w:val="0"/>
                      <w:marTop w:val="0"/>
                      <w:marBottom w:val="0"/>
                      <w:divBdr>
                        <w:top w:val="none" w:sz="0" w:space="0" w:color="auto"/>
                        <w:left w:val="none" w:sz="0" w:space="0" w:color="auto"/>
                        <w:bottom w:val="none" w:sz="0" w:space="0" w:color="auto"/>
                        <w:right w:val="none" w:sz="0" w:space="0" w:color="auto"/>
                      </w:divBdr>
                      <w:divsChild>
                        <w:div w:id="166557666">
                          <w:marLeft w:val="0"/>
                          <w:marRight w:val="0"/>
                          <w:marTop w:val="0"/>
                          <w:marBottom w:val="0"/>
                          <w:divBdr>
                            <w:top w:val="none" w:sz="0" w:space="0" w:color="auto"/>
                            <w:left w:val="none" w:sz="0" w:space="0" w:color="auto"/>
                            <w:bottom w:val="none" w:sz="0" w:space="0" w:color="auto"/>
                            <w:right w:val="none" w:sz="0" w:space="0" w:color="auto"/>
                          </w:divBdr>
                          <w:divsChild>
                            <w:div w:id="14303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417941">
      <w:bodyDiv w:val="1"/>
      <w:marLeft w:val="0"/>
      <w:marRight w:val="0"/>
      <w:marTop w:val="0"/>
      <w:marBottom w:val="0"/>
      <w:divBdr>
        <w:top w:val="none" w:sz="0" w:space="0" w:color="auto"/>
        <w:left w:val="none" w:sz="0" w:space="0" w:color="auto"/>
        <w:bottom w:val="none" w:sz="0" w:space="0" w:color="auto"/>
        <w:right w:val="none" w:sz="0" w:space="0" w:color="auto"/>
      </w:divBdr>
      <w:divsChild>
        <w:div w:id="35470135">
          <w:marLeft w:val="0"/>
          <w:marRight w:val="0"/>
          <w:marTop w:val="0"/>
          <w:marBottom w:val="0"/>
          <w:divBdr>
            <w:top w:val="none" w:sz="0" w:space="0" w:color="auto"/>
            <w:left w:val="none" w:sz="0" w:space="0" w:color="auto"/>
            <w:bottom w:val="none" w:sz="0" w:space="0" w:color="auto"/>
            <w:right w:val="none" w:sz="0" w:space="0" w:color="auto"/>
          </w:divBdr>
          <w:divsChild>
            <w:div w:id="513030812">
              <w:marLeft w:val="0"/>
              <w:marRight w:val="0"/>
              <w:marTop w:val="0"/>
              <w:marBottom w:val="0"/>
              <w:divBdr>
                <w:top w:val="none" w:sz="0" w:space="0" w:color="auto"/>
                <w:left w:val="none" w:sz="0" w:space="0" w:color="auto"/>
                <w:bottom w:val="none" w:sz="0" w:space="0" w:color="auto"/>
                <w:right w:val="none" w:sz="0" w:space="0" w:color="auto"/>
              </w:divBdr>
              <w:divsChild>
                <w:div w:id="1757507569">
                  <w:marLeft w:val="0"/>
                  <w:marRight w:val="0"/>
                  <w:marTop w:val="0"/>
                  <w:marBottom w:val="0"/>
                  <w:divBdr>
                    <w:top w:val="none" w:sz="0" w:space="0" w:color="auto"/>
                    <w:left w:val="none" w:sz="0" w:space="0" w:color="auto"/>
                    <w:bottom w:val="none" w:sz="0" w:space="0" w:color="auto"/>
                    <w:right w:val="none" w:sz="0" w:space="0" w:color="auto"/>
                  </w:divBdr>
                  <w:divsChild>
                    <w:div w:id="209609290">
                      <w:marLeft w:val="0"/>
                      <w:marRight w:val="0"/>
                      <w:marTop w:val="0"/>
                      <w:marBottom w:val="0"/>
                      <w:divBdr>
                        <w:top w:val="none" w:sz="0" w:space="0" w:color="auto"/>
                        <w:left w:val="none" w:sz="0" w:space="0" w:color="auto"/>
                        <w:bottom w:val="none" w:sz="0" w:space="0" w:color="auto"/>
                        <w:right w:val="none" w:sz="0" w:space="0" w:color="auto"/>
                      </w:divBdr>
                      <w:divsChild>
                        <w:div w:id="1889216939">
                          <w:marLeft w:val="0"/>
                          <w:marRight w:val="0"/>
                          <w:marTop w:val="0"/>
                          <w:marBottom w:val="0"/>
                          <w:divBdr>
                            <w:top w:val="none" w:sz="0" w:space="0" w:color="auto"/>
                            <w:left w:val="none" w:sz="0" w:space="0" w:color="auto"/>
                            <w:bottom w:val="none" w:sz="0" w:space="0" w:color="auto"/>
                            <w:right w:val="none" w:sz="0" w:space="0" w:color="auto"/>
                          </w:divBdr>
                          <w:divsChild>
                            <w:div w:id="8338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525438">
      <w:bodyDiv w:val="1"/>
      <w:marLeft w:val="0"/>
      <w:marRight w:val="0"/>
      <w:marTop w:val="0"/>
      <w:marBottom w:val="0"/>
      <w:divBdr>
        <w:top w:val="none" w:sz="0" w:space="0" w:color="auto"/>
        <w:left w:val="none" w:sz="0" w:space="0" w:color="auto"/>
        <w:bottom w:val="none" w:sz="0" w:space="0" w:color="auto"/>
        <w:right w:val="none" w:sz="0" w:space="0" w:color="auto"/>
      </w:divBdr>
      <w:divsChild>
        <w:div w:id="1311787863">
          <w:marLeft w:val="0"/>
          <w:marRight w:val="0"/>
          <w:marTop w:val="0"/>
          <w:marBottom w:val="0"/>
          <w:divBdr>
            <w:top w:val="none" w:sz="0" w:space="0" w:color="auto"/>
            <w:left w:val="none" w:sz="0" w:space="0" w:color="auto"/>
            <w:bottom w:val="none" w:sz="0" w:space="0" w:color="auto"/>
            <w:right w:val="none" w:sz="0" w:space="0" w:color="auto"/>
          </w:divBdr>
          <w:divsChild>
            <w:div w:id="1691645165">
              <w:marLeft w:val="0"/>
              <w:marRight w:val="0"/>
              <w:marTop w:val="0"/>
              <w:marBottom w:val="0"/>
              <w:divBdr>
                <w:top w:val="none" w:sz="0" w:space="0" w:color="auto"/>
                <w:left w:val="none" w:sz="0" w:space="0" w:color="auto"/>
                <w:bottom w:val="none" w:sz="0" w:space="0" w:color="auto"/>
                <w:right w:val="none" w:sz="0" w:space="0" w:color="auto"/>
              </w:divBdr>
              <w:divsChild>
                <w:div w:id="1288514255">
                  <w:marLeft w:val="0"/>
                  <w:marRight w:val="0"/>
                  <w:marTop w:val="0"/>
                  <w:marBottom w:val="0"/>
                  <w:divBdr>
                    <w:top w:val="none" w:sz="0" w:space="0" w:color="auto"/>
                    <w:left w:val="none" w:sz="0" w:space="0" w:color="auto"/>
                    <w:bottom w:val="none" w:sz="0" w:space="0" w:color="auto"/>
                    <w:right w:val="none" w:sz="0" w:space="0" w:color="auto"/>
                  </w:divBdr>
                  <w:divsChild>
                    <w:div w:id="163398576">
                      <w:marLeft w:val="0"/>
                      <w:marRight w:val="0"/>
                      <w:marTop w:val="0"/>
                      <w:marBottom w:val="0"/>
                      <w:divBdr>
                        <w:top w:val="none" w:sz="0" w:space="0" w:color="auto"/>
                        <w:left w:val="none" w:sz="0" w:space="0" w:color="auto"/>
                        <w:bottom w:val="none" w:sz="0" w:space="0" w:color="auto"/>
                        <w:right w:val="none" w:sz="0" w:space="0" w:color="auto"/>
                      </w:divBdr>
                      <w:divsChild>
                        <w:div w:id="152374290">
                          <w:marLeft w:val="0"/>
                          <w:marRight w:val="0"/>
                          <w:marTop w:val="0"/>
                          <w:marBottom w:val="0"/>
                          <w:divBdr>
                            <w:top w:val="none" w:sz="0" w:space="0" w:color="auto"/>
                            <w:left w:val="none" w:sz="0" w:space="0" w:color="auto"/>
                            <w:bottom w:val="none" w:sz="0" w:space="0" w:color="auto"/>
                            <w:right w:val="none" w:sz="0" w:space="0" w:color="auto"/>
                          </w:divBdr>
                          <w:divsChild>
                            <w:div w:id="14779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053988">
      <w:bodyDiv w:val="1"/>
      <w:marLeft w:val="0"/>
      <w:marRight w:val="0"/>
      <w:marTop w:val="0"/>
      <w:marBottom w:val="0"/>
      <w:divBdr>
        <w:top w:val="none" w:sz="0" w:space="0" w:color="auto"/>
        <w:left w:val="none" w:sz="0" w:space="0" w:color="auto"/>
        <w:bottom w:val="none" w:sz="0" w:space="0" w:color="auto"/>
        <w:right w:val="none" w:sz="0" w:space="0" w:color="auto"/>
      </w:divBdr>
    </w:div>
    <w:div w:id="1724134455">
      <w:bodyDiv w:val="1"/>
      <w:marLeft w:val="0"/>
      <w:marRight w:val="0"/>
      <w:marTop w:val="0"/>
      <w:marBottom w:val="0"/>
      <w:divBdr>
        <w:top w:val="none" w:sz="0" w:space="0" w:color="auto"/>
        <w:left w:val="none" w:sz="0" w:space="0" w:color="auto"/>
        <w:bottom w:val="none" w:sz="0" w:space="0" w:color="auto"/>
        <w:right w:val="none" w:sz="0" w:space="0" w:color="auto"/>
      </w:divBdr>
      <w:divsChild>
        <w:div w:id="2129662926">
          <w:marLeft w:val="0"/>
          <w:marRight w:val="0"/>
          <w:marTop w:val="0"/>
          <w:marBottom w:val="0"/>
          <w:divBdr>
            <w:top w:val="none" w:sz="0" w:space="0" w:color="auto"/>
            <w:left w:val="none" w:sz="0" w:space="0" w:color="auto"/>
            <w:bottom w:val="none" w:sz="0" w:space="0" w:color="auto"/>
            <w:right w:val="none" w:sz="0" w:space="0" w:color="auto"/>
          </w:divBdr>
          <w:divsChild>
            <w:div w:id="947545946">
              <w:marLeft w:val="0"/>
              <w:marRight w:val="0"/>
              <w:marTop w:val="0"/>
              <w:marBottom w:val="0"/>
              <w:divBdr>
                <w:top w:val="none" w:sz="0" w:space="0" w:color="auto"/>
                <w:left w:val="none" w:sz="0" w:space="0" w:color="auto"/>
                <w:bottom w:val="none" w:sz="0" w:space="0" w:color="auto"/>
                <w:right w:val="none" w:sz="0" w:space="0" w:color="auto"/>
              </w:divBdr>
              <w:divsChild>
                <w:div w:id="1351299707">
                  <w:marLeft w:val="0"/>
                  <w:marRight w:val="0"/>
                  <w:marTop w:val="0"/>
                  <w:marBottom w:val="0"/>
                  <w:divBdr>
                    <w:top w:val="none" w:sz="0" w:space="0" w:color="auto"/>
                    <w:left w:val="none" w:sz="0" w:space="0" w:color="auto"/>
                    <w:bottom w:val="none" w:sz="0" w:space="0" w:color="auto"/>
                    <w:right w:val="none" w:sz="0" w:space="0" w:color="auto"/>
                  </w:divBdr>
                  <w:divsChild>
                    <w:div w:id="1154103919">
                      <w:marLeft w:val="0"/>
                      <w:marRight w:val="0"/>
                      <w:marTop w:val="0"/>
                      <w:marBottom w:val="0"/>
                      <w:divBdr>
                        <w:top w:val="none" w:sz="0" w:space="0" w:color="auto"/>
                        <w:left w:val="none" w:sz="0" w:space="0" w:color="auto"/>
                        <w:bottom w:val="none" w:sz="0" w:space="0" w:color="auto"/>
                        <w:right w:val="none" w:sz="0" w:space="0" w:color="auto"/>
                      </w:divBdr>
                      <w:divsChild>
                        <w:div w:id="1299994005">
                          <w:marLeft w:val="0"/>
                          <w:marRight w:val="0"/>
                          <w:marTop w:val="0"/>
                          <w:marBottom w:val="0"/>
                          <w:divBdr>
                            <w:top w:val="none" w:sz="0" w:space="0" w:color="auto"/>
                            <w:left w:val="none" w:sz="0" w:space="0" w:color="auto"/>
                            <w:bottom w:val="none" w:sz="0" w:space="0" w:color="auto"/>
                            <w:right w:val="none" w:sz="0" w:space="0" w:color="auto"/>
                          </w:divBdr>
                          <w:divsChild>
                            <w:div w:id="2635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83100">
      <w:bodyDiv w:val="1"/>
      <w:marLeft w:val="0"/>
      <w:marRight w:val="0"/>
      <w:marTop w:val="0"/>
      <w:marBottom w:val="0"/>
      <w:divBdr>
        <w:top w:val="none" w:sz="0" w:space="0" w:color="auto"/>
        <w:left w:val="none" w:sz="0" w:space="0" w:color="auto"/>
        <w:bottom w:val="none" w:sz="0" w:space="0" w:color="auto"/>
        <w:right w:val="none" w:sz="0" w:space="0" w:color="auto"/>
      </w:divBdr>
      <w:divsChild>
        <w:div w:id="741483662">
          <w:marLeft w:val="0"/>
          <w:marRight w:val="0"/>
          <w:marTop w:val="0"/>
          <w:marBottom w:val="0"/>
          <w:divBdr>
            <w:top w:val="none" w:sz="0" w:space="0" w:color="auto"/>
            <w:left w:val="none" w:sz="0" w:space="0" w:color="auto"/>
            <w:bottom w:val="none" w:sz="0" w:space="0" w:color="auto"/>
            <w:right w:val="none" w:sz="0" w:space="0" w:color="auto"/>
          </w:divBdr>
          <w:divsChild>
            <w:div w:id="863982996">
              <w:marLeft w:val="0"/>
              <w:marRight w:val="0"/>
              <w:marTop w:val="0"/>
              <w:marBottom w:val="0"/>
              <w:divBdr>
                <w:top w:val="none" w:sz="0" w:space="0" w:color="auto"/>
                <w:left w:val="none" w:sz="0" w:space="0" w:color="auto"/>
                <w:bottom w:val="none" w:sz="0" w:space="0" w:color="auto"/>
                <w:right w:val="none" w:sz="0" w:space="0" w:color="auto"/>
              </w:divBdr>
              <w:divsChild>
                <w:div w:id="2135324668">
                  <w:marLeft w:val="0"/>
                  <w:marRight w:val="0"/>
                  <w:marTop w:val="0"/>
                  <w:marBottom w:val="0"/>
                  <w:divBdr>
                    <w:top w:val="none" w:sz="0" w:space="0" w:color="auto"/>
                    <w:left w:val="none" w:sz="0" w:space="0" w:color="auto"/>
                    <w:bottom w:val="none" w:sz="0" w:space="0" w:color="auto"/>
                    <w:right w:val="none" w:sz="0" w:space="0" w:color="auto"/>
                  </w:divBdr>
                  <w:divsChild>
                    <w:div w:id="2088457442">
                      <w:marLeft w:val="0"/>
                      <w:marRight w:val="0"/>
                      <w:marTop w:val="0"/>
                      <w:marBottom w:val="0"/>
                      <w:divBdr>
                        <w:top w:val="none" w:sz="0" w:space="0" w:color="auto"/>
                        <w:left w:val="none" w:sz="0" w:space="0" w:color="auto"/>
                        <w:bottom w:val="none" w:sz="0" w:space="0" w:color="auto"/>
                        <w:right w:val="none" w:sz="0" w:space="0" w:color="auto"/>
                      </w:divBdr>
                      <w:divsChild>
                        <w:div w:id="649293221">
                          <w:marLeft w:val="0"/>
                          <w:marRight w:val="0"/>
                          <w:marTop w:val="0"/>
                          <w:marBottom w:val="0"/>
                          <w:divBdr>
                            <w:top w:val="none" w:sz="0" w:space="0" w:color="auto"/>
                            <w:left w:val="none" w:sz="0" w:space="0" w:color="auto"/>
                            <w:bottom w:val="none" w:sz="0" w:space="0" w:color="auto"/>
                            <w:right w:val="none" w:sz="0" w:space="0" w:color="auto"/>
                          </w:divBdr>
                          <w:divsChild>
                            <w:div w:id="12646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000948">
      <w:bodyDiv w:val="1"/>
      <w:marLeft w:val="0"/>
      <w:marRight w:val="0"/>
      <w:marTop w:val="0"/>
      <w:marBottom w:val="0"/>
      <w:divBdr>
        <w:top w:val="none" w:sz="0" w:space="0" w:color="auto"/>
        <w:left w:val="none" w:sz="0" w:space="0" w:color="auto"/>
        <w:bottom w:val="none" w:sz="0" w:space="0" w:color="auto"/>
        <w:right w:val="none" w:sz="0" w:space="0" w:color="auto"/>
      </w:divBdr>
      <w:divsChild>
        <w:div w:id="232198518">
          <w:marLeft w:val="0"/>
          <w:marRight w:val="0"/>
          <w:marTop w:val="0"/>
          <w:marBottom w:val="0"/>
          <w:divBdr>
            <w:top w:val="none" w:sz="0" w:space="0" w:color="auto"/>
            <w:left w:val="none" w:sz="0" w:space="0" w:color="auto"/>
            <w:bottom w:val="none" w:sz="0" w:space="0" w:color="auto"/>
            <w:right w:val="none" w:sz="0" w:space="0" w:color="auto"/>
          </w:divBdr>
          <w:divsChild>
            <w:div w:id="1503934975">
              <w:marLeft w:val="0"/>
              <w:marRight w:val="0"/>
              <w:marTop w:val="0"/>
              <w:marBottom w:val="0"/>
              <w:divBdr>
                <w:top w:val="none" w:sz="0" w:space="0" w:color="auto"/>
                <w:left w:val="none" w:sz="0" w:space="0" w:color="auto"/>
                <w:bottom w:val="none" w:sz="0" w:space="0" w:color="auto"/>
                <w:right w:val="none" w:sz="0" w:space="0" w:color="auto"/>
              </w:divBdr>
              <w:divsChild>
                <w:div w:id="1106970160">
                  <w:marLeft w:val="0"/>
                  <w:marRight w:val="0"/>
                  <w:marTop w:val="0"/>
                  <w:marBottom w:val="0"/>
                  <w:divBdr>
                    <w:top w:val="none" w:sz="0" w:space="0" w:color="auto"/>
                    <w:left w:val="none" w:sz="0" w:space="0" w:color="auto"/>
                    <w:bottom w:val="none" w:sz="0" w:space="0" w:color="auto"/>
                    <w:right w:val="none" w:sz="0" w:space="0" w:color="auto"/>
                  </w:divBdr>
                  <w:divsChild>
                    <w:div w:id="424616103">
                      <w:marLeft w:val="0"/>
                      <w:marRight w:val="0"/>
                      <w:marTop w:val="0"/>
                      <w:marBottom w:val="0"/>
                      <w:divBdr>
                        <w:top w:val="none" w:sz="0" w:space="0" w:color="auto"/>
                        <w:left w:val="none" w:sz="0" w:space="0" w:color="auto"/>
                        <w:bottom w:val="none" w:sz="0" w:space="0" w:color="auto"/>
                        <w:right w:val="none" w:sz="0" w:space="0" w:color="auto"/>
                      </w:divBdr>
                      <w:divsChild>
                        <w:div w:id="876236095">
                          <w:marLeft w:val="0"/>
                          <w:marRight w:val="0"/>
                          <w:marTop w:val="0"/>
                          <w:marBottom w:val="0"/>
                          <w:divBdr>
                            <w:top w:val="none" w:sz="0" w:space="0" w:color="auto"/>
                            <w:left w:val="none" w:sz="0" w:space="0" w:color="auto"/>
                            <w:bottom w:val="none" w:sz="0" w:space="0" w:color="auto"/>
                            <w:right w:val="none" w:sz="0" w:space="0" w:color="auto"/>
                          </w:divBdr>
                          <w:divsChild>
                            <w:div w:id="4067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107835">
      <w:bodyDiv w:val="1"/>
      <w:marLeft w:val="0"/>
      <w:marRight w:val="0"/>
      <w:marTop w:val="0"/>
      <w:marBottom w:val="0"/>
      <w:divBdr>
        <w:top w:val="none" w:sz="0" w:space="0" w:color="auto"/>
        <w:left w:val="none" w:sz="0" w:space="0" w:color="auto"/>
        <w:bottom w:val="none" w:sz="0" w:space="0" w:color="auto"/>
        <w:right w:val="none" w:sz="0" w:space="0" w:color="auto"/>
      </w:divBdr>
      <w:divsChild>
        <w:div w:id="301271050">
          <w:marLeft w:val="0"/>
          <w:marRight w:val="0"/>
          <w:marTop w:val="0"/>
          <w:marBottom w:val="0"/>
          <w:divBdr>
            <w:top w:val="none" w:sz="0" w:space="0" w:color="auto"/>
            <w:left w:val="none" w:sz="0" w:space="0" w:color="auto"/>
            <w:bottom w:val="none" w:sz="0" w:space="0" w:color="auto"/>
            <w:right w:val="none" w:sz="0" w:space="0" w:color="auto"/>
          </w:divBdr>
          <w:divsChild>
            <w:div w:id="694229448">
              <w:marLeft w:val="0"/>
              <w:marRight w:val="0"/>
              <w:marTop w:val="0"/>
              <w:marBottom w:val="0"/>
              <w:divBdr>
                <w:top w:val="none" w:sz="0" w:space="0" w:color="auto"/>
                <w:left w:val="none" w:sz="0" w:space="0" w:color="auto"/>
                <w:bottom w:val="none" w:sz="0" w:space="0" w:color="auto"/>
                <w:right w:val="none" w:sz="0" w:space="0" w:color="auto"/>
              </w:divBdr>
              <w:divsChild>
                <w:div w:id="369578401">
                  <w:marLeft w:val="0"/>
                  <w:marRight w:val="0"/>
                  <w:marTop w:val="0"/>
                  <w:marBottom w:val="0"/>
                  <w:divBdr>
                    <w:top w:val="none" w:sz="0" w:space="0" w:color="auto"/>
                    <w:left w:val="none" w:sz="0" w:space="0" w:color="auto"/>
                    <w:bottom w:val="none" w:sz="0" w:space="0" w:color="auto"/>
                    <w:right w:val="none" w:sz="0" w:space="0" w:color="auto"/>
                  </w:divBdr>
                  <w:divsChild>
                    <w:div w:id="1576433072">
                      <w:marLeft w:val="0"/>
                      <w:marRight w:val="0"/>
                      <w:marTop w:val="0"/>
                      <w:marBottom w:val="0"/>
                      <w:divBdr>
                        <w:top w:val="none" w:sz="0" w:space="0" w:color="auto"/>
                        <w:left w:val="none" w:sz="0" w:space="0" w:color="auto"/>
                        <w:bottom w:val="none" w:sz="0" w:space="0" w:color="auto"/>
                        <w:right w:val="none" w:sz="0" w:space="0" w:color="auto"/>
                      </w:divBdr>
                      <w:divsChild>
                        <w:div w:id="742065218">
                          <w:marLeft w:val="0"/>
                          <w:marRight w:val="0"/>
                          <w:marTop w:val="0"/>
                          <w:marBottom w:val="0"/>
                          <w:divBdr>
                            <w:top w:val="none" w:sz="0" w:space="0" w:color="auto"/>
                            <w:left w:val="none" w:sz="0" w:space="0" w:color="auto"/>
                            <w:bottom w:val="none" w:sz="0" w:space="0" w:color="auto"/>
                            <w:right w:val="none" w:sz="0" w:space="0" w:color="auto"/>
                          </w:divBdr>
                          <w:divsChild>
                            <w:div w:id="186254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mrc.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prints.soton.ac.uk/3684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gov.uk)"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legisl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F831C-0B30-442D-8D44-F363B98D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A34D7E31</Template>
  <TotalTime>10</TotalTime>
  <Pages>18</Pages>
  <Words>6000</Words>
  <Characters>34980</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40899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Manville (NBS)</dc:creator>
  <cp:lastModifiedBy>Graham Manville (NBS)</cp:lastModifiedBy>
  <cp:revision>3</cp:revision>
  <cp:lastPrinted>2015-05-07T12:50:00Z</cp:lastPrinted>
  <dcterms:created xsi:type="dcterms:W3CDTF">2015-08-07T16:14:00Z</dcterms:created>
  <dcterms:modified xsi:type="dcterms:W3CDTF">2015-08-07T16:28:00Z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