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15C" w:rsidRPr="00DE2282" w:rsidRDefault="007B515C" w:rsidP="007B515C">
      <w:pPr>
        <w:pStyle w:val="81"/>
        <w:spacing w:after="0" w:line="480" w:lineRule="auto"/>
        <w:ind w:left="0"/>
        <w:contextualSpacing w:val="0"/>
        <w:jc w:val="center"/>
        <w:rPr>
          <w:rFonts w:asciiTheme="majorHAnsi" w:hAnsiTheme="majorHAnsi" w:cstheme="majorHAnsi"/>
          <w:b/>
          <w:sz w:val="36"/>
          <w:lang w:val="en-US"/>
        </w:rPr>
      </w:pPr>
    </w:p>
    <w:p w:rsidR="007B515C" w:rsidRPr="00DE2282" w:rsidRDefault="003F1E7A" w:rsidP="007B515C">
      <w:pPr>
        <w:pStyle w:val="81"/>
        <w:spacing w:after="0" w:line="480" w:lineRule="auto"/>
        <w:ind w:left="0"/>
        <w:contextualSpacing w:val="0"/>
        <w:jc w:val="center"/>
        <w:rPr>
          <w:rFonts w:asciiTheme="majorHAnsi" w:hAnsiTheme="majorHAnsi" w:cstheme="majorHAnsi"/>
          <w:b/>
          <w:sz w:val="28"/>
          <w:szCs w:val="28"/>
          <w:lang w:val="en-US"/>
        </w:rPr>
      </w:pPr>
      <w:r w:rsidRPr="00DE2282">
        <w:rPr>
          <w:rFonts w:asciiTheme="majorHAnsi" w:hAnsiTheme="majorHAnsi" w:cstheme="majorHAnsi"/>
          <w:b/>
          <w:sz w:val="28"/>
          <w:szCs w:val="28"/>
          <w:lang w:val="en-US"/>
        </w:rPr>
        <w:t xml:space="preserve">Interactions of OP0595 - a novel triple-action diazabicyclooctane - with </w:t>
      </w:r>
      <w:r w:rsidRPr="00DE2282">
        <w:rPr>
          <w:rFonts w:ascii="Symbol" w:hAnsi="Symbol" w:cstheme="majorHAnsi"/>
          <w:b/>
          <w:sz w:val="28"/>
          <w:szCs w:val="28"/>
          <w:lang w:val="en-US"/>
        </w:rPr>
        <w:t></w:t>
      </w:r>
      <w:r w:rsidRPr="00DE2282">
        <w:rPr>
          <w:rFonts w:asciiTheme="majorHAnsi" w:hAnsiTheme="majorHAnsi" w:cstheme="majorHAnsi"/>
          <w:b/>
          <w:sz w:val="28"/>
          <w:szCs w:val="28"/>
          <w:lang w:val="en-US"/>
        </w:rPr>
        <w:t xml:space="preserve">-lactams against OP0595-resistant Enterobacteriaceae mutants </w:t>
      </w:r>
    </w:p>
    <w:p w:rsidR="007B515C" w:rsidRPr="00DE2282" w:rsidRDefault="007B515C" w:rsidP="007B515C">
      <w:pPr>
        <w:pStyle w:val="81"/>
        <w:spacing w:after="0" w:line="480" w:lineRule="auto"/>
        <w:ind w:left="0"/>
        <w:contextualSpacing w:val="0"/>
        <w:jc w:val="center"/>
        <w:rPr>
          <w:rFonts w:asciiTheme="majorHAnsi" w:hAnsiTheme="majorHAnsi" w:cstheme="majorHAnsi"/>
          <w:b/>
          <w:sz w:val="28"/>
          <w:szCs w:val="28"/>
          <w:lang w:val="en-US"/>
        </w:rPr>
      </w:pPr>
    </w:p>
    <w:p w:rsidR="007B515C" w:rsidRPr="00DE2282" w:rsidRDefault="003F1E7A" w:rsidP="007B515C">
      <w:pPr>
        <w:pStyle w:val="81"/>
        <w:spacing w:after="0" w:line="480" w:lineRule="auto"/>
        <w:ind w:left="0"/>
        <w:contextualSpacing w:val="0"/>
        <w:jc w:val="center"/>
        <w:rPr>
          <w:rFonts w:asciiTheme="majorHAnsi" w:hAnsiTheme="majorHAnsi" w:cstheme="majorHAnsi"/>
          <w:b/>
          <w:smallCaps/>
          <w:sz w:val="28"/>
          <w:szCs w:val="28"/>
          <w:lang w:val="en-US"/>
        </w:rPr>
      </w:pPr>
      <w:r w:rsidRPr="00DE2282">
        <w:rPr>
          <w:rFonts w:asciiTheme="majorHAnsi" w:hAnsiTheme="majorHAnsi" w:cstheme="majorHAnsi"/>
          <w:b/>
          <w:smallCaps/>
          <w:sz w:val="28"/>
          <w:szCs w:val="28"/>
          <w:vertAlign w:val="superscript"/>
          <w:lang w:val="en-US"/>
        </w:rPr>
        <w:t>1,2</w:t>
      </w:r>
      <w:r w:rsidRPr="00DE2282">
        <w:rPr>
          <w:rFonts w:asciiTheme="majorHAnsi" w:hAnsiTheme="majorHAnsi" w:cstheme="majorHAnsi"/>
          <w:b/>
          <w:smallCaps/>
          <w:sz w:val="28"/>
          <w:szCs w:val="28"/>
          <w:lang w:val="en-US"/>
        </w:rPr>
        <w:t xml:space="preserve">David M Livermore, </w:t>
      </w:r>
      <w:r w:rsidRPr="00DE2282">
        <w:rPr>
          <w:rFonts w:asciiTheme="majorHAnsi" w:hAnsiTheme="majorHAnsi" w:cstheme="majorHAnsi"/>
          <w:b/>
          <w:smallCaps/>
          <w:sz w:val="28"/>
          <w:szCs w:val="28"/>
          <w:vertAlign w:val="superscript"/>
          <w:lang w:val="en-US"/>
        </w:rPr>
        <w:t>1</w:t>
      </w:r>
      <w:r w:rsidRPr="00DE2282">
        <w:rPr>
          <w:rFonts w:asciiTheme="majorHAnsi" w:hAnsiTheme="majorHAnsi" w:cstheme="majorHAnsi"/>
          <w:b/>
          <w:smallCaps/>
          <w:sz w:val="28"/>
          <w:szCs w:val="28"/>
          <w:lang w:val="en-US"/>
        </w:rPr>
        <w:t xml:space="preserve">Marina Warner, </w:t>
      </w:r>
    </w:p>
    <w:p w:rsidR="007B515C" w:rsidRPr="00DE2282" w:rsidRDefault="003F1E7A" w:rsidP="007B515C">
      <w:pPr>
        <w:pStyle w:val="81"/>
        <w:spacing w:after="0" w:line="480" w:lineRule="auto"/>
        <w:ind w:left="0"/>
        <w:contextualSpacing w:val="0"/>
        <w:jc w:val="center"/>
        <w:rPr>
          <w:rFonts w:asciiTheme="majorHAnsi" w:hAnsiTheme="majorHAnsi" w:cstheme="majorHAnsi"/>
          <w:b/>
          <w:smallCaps/>
          <w:sz w:val="28"/>
          <w:szCs w:val="28"/>
          <w:lang w:val="en-US"/>
        </w:rPr>
      </w:pPr>
      <w:r w:rsidRPr="00DE2282">
        <w:rPr>
          <w:rFonts w:asciiTheme="majorHAnsi" w:hAnsiTheme="majorHAnsi" w:cstheme="majorHAnsi"/>
          <w:b/>
          <w:smallCaps/>
          <w:sz w:val="28"/>
          <w:szCs w:val="28"/>
          <w:vertAlign w:val="superscript"/>
          <w:lang w:val="en-US"/>
        </w:rPr>
        <w:t>1</w:t>
      </w:r>
      <w:r w:rsidRPr="00DE2282">
        <w:rPr>
          <w:rFonts w:asciiTheme="majorHAnsi" w:hAnsiTheme="majorHAnsi" w:cstheme="majorHAnsi"/>
          <w:b/>
          <w:smallCaps/>
          <w:sz w:val="28"/>
          <w:szCs w:val="28"/>
          <w:lang w:val="en-US"/>
        </w:rPr>
        <w:t xml:space="preserve">Shazad Mushtaq, and </w:t>
      </w:r>
      <w:r w:rsidRPr="00DE2282">
        <w:rPr>
          <w:rFonts w:asciiTheme="majorHAnsi" w:hAnsiTheme="majorHAnsi" w:cstheme="majorHAnsi"/>
          <w:b/>
          <w:smallCaps/>
          <w:sz w:val="28"/>
          <w:szCs w:val="28"/>
          <w:vertAlign w:val="superscript"/>
          <w:lang w:val="en-US"/>
        </w:rPr>
        <w:t>1</w:t>
      </w:r>
      <w:r w:rsidRPr="00DE2282">
        <w:rPr>
          <w:rFonts w:asciiTheme="majorHAnsi" w:hAnsiTheme="majorHAnsi" w:cstheme="majorHAnsi"/>
          <w:b/>
          <w:smallCaps/>
          <w:sz w:val="28"/>
          <w:szCs w:val="28"/>
          <w:lang w:val="en-US"/>
        </w:rPr>
        <w:t>Neil Woodford</w:t>
      </w:r>
    </w:p>
    <w:p w:rsidR="007B515C" w:rsidRPr="00DE2282" w:rsidRDefault="007B515C" w:rsidP="007B515C">
      <w:pPr>
        <w:pStyle w:val="81"/>
        <w:spacing w:after="0" w:line="480" w:lineRule="auto"/>
        <w:ind w:left="0"/>
        <w:contextualSpacing w:val="0"/>
        <w:jc w:val="center"/>
        <w:rPr>
          <w:rFonts w:asciiTheme="majorHAnsi" w:hAnsiTheme="majorHAnsi" w:cstheme="majorHAnsi"/>
          <w:lang w:val="en-US"/>
        </w:rPr>
      </w:pPr>
    </w:p>
    <w:p w:rsidR="007B515C" w:rsidRPr="00DE2282" w:rsidRDefault="003F1E7A" w:rsidP="007B515C">
      <w:pPr>
        <w:pStyle w:val="81"/>
        <w:spacing w:after="0" w:line="480" w:lineRule="auto"/>
        <w:ind w:left="0"/>
        <w:contextualSpacing w:val="0"/>
        <w:jc w:val="center"/>
        <w:rPr>
          <w:rFonts w:asciiTheme="majorHAnsi" w:hAnsiTheme="majorHAnsi" w:cstheme="majorHAnsi"/>
          <w:i/>
          <w:lang w:val="en-US"/>
        </w:rPr>
      </w:pPr>
      <w:r w:rsidRPr="00DE2282">
        <w:rPr>
          <w:rFonts w:asciiTheme="majorHAnsi" w:hAnsiTheme="majorHAnsi" w:cstheme="majorHAnsi"/>
          <w:vertAlign w:val="superscript"/>
          <w:lang w:val="en-US"/>
        </w:rPr>
        <w:t>1</w:t>
      </w:r>
      <w:r w:rsidRPr="00DE2282">
        <w:rPr>
          <w:rFonts w:asciiTheme="majorHAnsi" w:hAnsiTheme="majorHAnsi" w:cstheme="majorHAnsi"/>
          <w:i/>
          <w:lang w:val="en-US"/>
        </w:rPr>
        <w:t>Antimicrobial Resistance and Healthcare Associated Infections Reference Unit, Public Health England, 61 Colindale Avenue, London NW9 5EQ</w:t>
      </w:r>
    </w:p>
    <w:p w:rsidR="007B515C" w:rsidRPr="00DE2282" w:rsidRDefault="003F1E7A" w:rsidP="007B515C">
      <w:pPr>
        <w:pStyle w:val="81"/>
        <w:spacing w:after="0" w:line="480" w:lineRule="auto"/>
        <w:ind w:left="0"/>
        <w:contextualSpacing w:val="0"/>
        <w:jc w:val="center"/>
        <w:rPr>
          <w:rFonts w:asciiTheme="majorHAnsi" w:hAnsiTheme="majorHAnsi" w:cstheme="majorHAnsi"/>
          <w:i/>
          <w:lang w:val="en-US"/>
        </w:rPr>
      </w:pPr>
      <w:r w:rsidRPr="00DE2282">
        <w:rPr>
          <w:rFonts w:asciiTheme="majorHAnsi" w:hAnsiTheme="majorHAnsi" w:cstheme="majorHAnsi"/>
          <w:vertAlign w:val="superscript"/>
          <w:lang w:val="en-US"/>
        </w:rPr>
        <w:t>2</w:t>
      </w:r>
      <w:r w:rsidRPr="00DE2282">
        <w:rPr>
          <w:rFonts w:asciiTheme="majorHAnsi" w:hAnsiTheme="majorHAnsi" w:cstheme="majorHAnsi"/>
          <w:i/>
          <w:lang w:val="en-US"/>
        </w:rPr>
        <w:t>Norwich Medical School, University of East Anglia, Norwich, Norfolk NR4 7TJ</w:t>
      </w:r>
    </w:p>
    <w:p w:rsidR="007B515C" w:rsidRPr="00DE2282" w:rsidRDefault="007B515C" w:rsidP="007B515C">
      <w:pPr>
        <w:pStyle w:val="81"/>
        <w:spacing w:after="0" w:line="480" w:lineRule="auto"/>
        <w:ind w:left="0"/>
        <w:contextualSpacing w:val="0"/>
        <w:jc w:val="center"/>
        <w:rPr>
          <w:rFonts w:asciiTheme="majorHAnsi" w:hAnsiTheme="majorHAnsi" w:cstheme="majorHAnsi"/>
          <w:i/>
          <w:lang w:val="en-US"/>
        </w:rPr>
      </w:pPr>
    </w:p>
    <w:p w:rsidR="007B515C" w:rsidRPr="00DE2282" w:rsidRDefault="007B515C" w:rsidP="007B515C">
      <w:pPr>
        <w:pStyle w:val="81"/>
        <w:spacing w:after="0" w:line="480" w:lineRule="auto"/>
        <w:ind w:left="0"/>
        <w:contextualSpacing w:val="0"/>
        <w:jc w:val="center"/>
        <w:rPr>
          <w:rFonts w:asciiTheme="majorHAnsi" w:hAnsiTheme="majorHAnsi" w:cstheme="majorHAnsi"/>
          <w:i/>
          <w:lang w:val="en-US"/>
        </w:rPr>
      </w:pPr>
    </w:p>
    <w:p w:rsidR="007B515C" w:rsidRPr="00DE2282" w:rsidRDefault="007B515C" w:rsidP="007B515C">
      <w:pPr>
        <w:pStyle w:val="81"/>
        <w:spacing w:after="0" w:line="480" w:lineRule="auto"/>
        <w:ind w:left="0"/>
        <w:contextualSpacing w:val="0"/>
        <w:jc w:val="center"/>
        <w:rPr>
          <w:rFonts w:asciiTheme="majorHAnsi" w:hAnsiTheme="majorHAnsi" w:cstheme="majorHAnsi"/>
          <w:lang w:val="en-US"/>
        </w:rPr>
      </w:pPr>
    </w:p>
    <w:p w:rsidR="007B515C" w:rsidRPr="00DE2282" w:rsidRDefault="003F1E7A" w:rsidP="007B515C">
      <w:pPr>
        <w:rPr>
          <w:rFonts w:asciiTheme="majorHAnsi" w:eastAsia="Times New Roman" w:hAnsiTheme="majorHAnsi" w:cstheme="majorHAnsi"/>
          <w:b/>
          <w:sz w:val="22"/>
          <w:szCs w:val="22"/>
          <w:lang w:val="en-US" w:eastAsia="zh-CN"/>
        </w:rPr>
      </w:pPr>
      <w:r w:rsidRPr="00DE2282">
        <w:rPr>
          <w:rFonts w:asciiTheme="majorHAnsi" w:eastAsia="Times New Roman" w:hAnsiTheme="majorHAnsi" w:cstheme="majorHAnsi"/>
          <w:b/>
          <w:sz w:val="22"/>
          <w:szCs w:val="22"/>
          <w:lang w:val="en-US" w:eastAsia="zh-CN"/>
        </w:rPr>
        <w:t>*Corresponding author</w:t>
      </w:r>
    </w:p>
    <w:p w:rsidR="007B515C" w:rsidRPr="00DE2282" w:rsidRDefault="007B515C" w:rsidP="007B515C">
      <w:pPr>
        <w:rPr>
          <w:rFonts w:asciiTheme="majorHAnsi" w:eastAsia="Times New Roman" w:hAnsiTheme="majorHAnsi" w:cstheme="majorHAnsi"/>
          <w:b/>
          <w:sz w:val="22"/>
          <w:szCs w:val="22"/>
          <w:lang w:val="en-US" w:eastAsia="zh-CN"/>
        </w:rPr>
      </w:pPr>
    </w:p>
    <w:p w:rsidR="007B515C" w:rsidRPr="00DE2282" w:rsidRDefault="003F1E7A" w:rsidP="007B515C">
      <w:pPr>
        <w:rPr>
          <w:rFonts w:asciiTheme="majorHAnsi" w:eastAsia="Times New Roman" w:hAnsiTheme="majorHAnsi" w:cstheme="majorHAnsi"/>
          <w:sz w:val="22"/>
          <w:szCs w:val="22"/>
          <w:lang w:val="en-US" w:eastAsia="zh-CN"/>
        </w:rPr>
      </w:pPr>
      <w:r w:rsidRPr="00DE2282">
        <w:rPr>
          <w:rFonts w:asciiTheme="majorHAnsi" w:eastAsia="Times New Roman" w:hAnsiTheme="majorHAnsi" w:cstheme="majorHAnsi"/>
          <w:sz w:val="22"/>
          <w:szCs w:val="22"/>
          <w:lang w:val="en-US" w:eastAsia="zh-CN"/>
        </w:rPr>
        <w:t>David M Livermore</w:t>
      </w:r>
    </w:p>
    <w:p w:rsidR="007B515C" w:rsidRPr="00DE2282" w:rsidRDefault="003F1E7A" w:rsidP="007B515C">
      <w:pPr>
        <w:rPr>
          <w:rFonts w:asciiTheme="majorHAnsi" w:eastAsia="Times New Roman" w:hAnsiTheme="majorHAnsi" w:cstheme="majorHAnsi"/>
          <w:sz w:val="22"/>
          <w:szCs w:val="22"/>
          <w:lang w:val="en-US" w:eastAsia="zh-CN"/>
        </w:rPr>
      </w:pPr>
      <w:r w:rsidRPr="00DE2282">
        <w:rPr>
          <w:rFonts w:asciiTheme="majorHAnsi" w:eastAsia="Times New Roman" w:hAnsiTheme="majorHAnsi" w:cstheme="majorHAnsi"/>
          <w:sz w:val="22"/>
          <w:szCs w:val="22"/>
          <w:lang w:val="en-US" w:eastAsia="zh-CN"/>
        </w:rPr>
        <w:t>Floor 2, Bob Champion Research &amp; Educational Building,</w:t>
      </w:r>
    </w:p>
    <w:p w:rsidR="007B515C" w:rsidRPr="00DE2282" w:rsidRDefault="003F1E7A" w:rsidP="007B515C">
      <w:pPr>
        <w:rPr>
          <w:rFonts w:asciiTheme="majorHAnsi" w:eastAsia="Times New Roman" w:hAnsiTheme="majorHAnsi" w:cstheme="majorHAnsi"/>
          <w:sz w:val="22"/>
          <w:szCs w:val="22"/>
          <w:lang w:val="en-US" w:eastAsia="zh-CN"/>
        </w:rPr>
      </w:pPr>
      <w:r w:rsidRPr="00DE2282">
        <w:rPr>
          <w:rFonts w:asciiTheme="majorHAnsi" w:eastAsia="Times New Roman" w:hAnsiTheme="majorHAnsi" w:cstheme="majorHAnsi"/>
          <w:sz w:val="22"/>
          <w:szCs w:val="22"/>
          <w:lang w:val="en-US" w:eastAsia="zh-CN"/>
        </w:rPr>
        <w:t>James Watson Road,</w:t>
      </w:r>
    </w:p>
    <w:p w:rsidR="007B515C" w:rsidRPr="00DE2282" w:rsidRDefault="003F1E7A" w:rsidP="007B515C">
      <w:pPr>
        <w:rPr>
          <w:rFonts w:asciiTheme="majorHAnsi" w:eastAsia="Times New Roman" w:hAnsiTheme="majorHAnsi" w:cstheme="majorHAnsi"/>
          <w:sz w:val="22"/>
          <w:szCs w:val="22"/>
          <w:lang w:val="en-US" w:eastAsia="zh-CN"/>
        </w:rPr>
      </w:pPr>
      <w:r w:rsidRPr="00DE2282">
        <w:rPr>
          <w:rFonts w:asciiTheme="majorHAnsi" w:eastAsia="Times New Roman" w:hAnsiTheme="majorHAnsi" w:cstheme="majorHAnsi"/>
          <w:sz w:val="22"/>
          <w:szCs w:val="22"/>
          <w:lang w:val="en-US" w:eastAsia="zh-CN"/>
        </w:rPr>
        <w:t>University of East Anglia,</w:t>
      </w:r>
    </w:p>
    <w:p w:rsidR="007B515C" w:rsidRPr="00DE2282" w:rsidRDefault="003F1E7A" w:rsidP="007B515C">
      <w:pPr>
        <w:rPr>
          <w:rFonts w:asciiTheme="majorHAnsi" w:eastAsia="Times New Roman" w:hAnsiTheme="majorHAnsi" w:cstheme="majorHAnsi"/>
          <w:sz w:val="22"/>
          <w:szCs w:val="22"/>
          <w:lang w:val="en-US" w:eastAsia="zh-CN"/>
        </w:rPr>
      </w:pPr>
      <w:r w:rsidRPr="00DE2282">
        <w:rPr>
          <w:rFonts w:asciiTheme="majorHAnsi" w:eastAsia="Times New Roman" w:hAnsiTheme="majorHAnsi" w:cstheme="majorHAnsi"/>
          <w:sz w:val="22"/>
          <w:szCs w:val="22"/>
          <w:lang w:val="en-US" w:eastAsia="zh-CN"/>
        </w:rPr>
        <w:t xml:space="preserve">Norwich Research Park, </w:t>
      </w:r>
    </w:p>
    <w:p w:rsidR="007B515C" w:rsidRPr="00DE2282" w:rsidRDefault="003F1E7A" w:rsidP="007B515C">
      <w:pPr>
        <w:rPr>
          <w:rFonts w:asciiTheme="majorHAnsi" w:eastAsia="Times New Roman" w:hAnsiTheme="majorHAnsi" w:cstheme="majorHAnsi"/>
          <w:sz w:val="22"/>
          <w:szCs w:val="22"/>
          <w:lang w:val="en-US" w:eastAsia="zh-CN"/>
        </w:rPr>
      </w:pPr>
      <w:r w:rsidRPr="00DE2282">
        <w:rPr>
          <w:rFonts w:asciiTheme="majorHAnsi" w:eastAsia="Times New Roman" w:hAnsiTheme="majorHAnsi" w:cstheme="majorHAnsi"/>
          <w:sz w:val="22"/>
          <w:szCs w:val="22"/>
          <w:lang w:val="en-US" w:eastAsia="zh-CN"/>
        </w:rPr>
        <w:t>NORWICH, NR4 7UQ</w:t>
      </w:r>
    </w:p>
    <w:p w:rsidR="007B515C" w:rsidRPr="00DE2282" w:rsidRDefault="007B515C" w:rsidP="007B515C">
      <w:pPr>
        <w:rPr>
          <w:rFonts w:asciiTheme="majorHAnsi" w:eastAsia="Times New Roman" w:hAnsiTheme="majorHAnsi" w:cstheme="majorHAnsi"/>
          <w:sz w:val="22"/>
          <w:szCs w:val="22"/>
          <w:lang w:val="en-US" w:eastAsia="zh-CN"/>
        </w:rPr>
      </w:pPr>
    </w:p>
    <w:p w:rsidR="007B515C" w:rsidRPr="00DE2282" w:rsidRDefault="003F1E7A" w:rsidP="007B515C">
      <w:pPr>
        <w:rPr>
          <w:rFonts w:asciiTheme="majorHAnsi" w:eastAsia="Times New Roman" w:hAnsiTheme="majorHAnsi" w:cstheme="majorHAnsi"/>
          <w:sz w:val="22"/>
          <w:szCs w:val="22"/>
          <w:lang w:val="en-US" w:eastAsia="zh-CN"/>
        </w:rPr>
      </w:pPr>
      <w:r w:rsidRPr="00DE2282">
        <w:rPr>
          <w:rFonts w:asciiTheme="majorHAnsi" w:eastAsia="Times New Roman" w:hAnsiTheme="majorHAnsi" w:cstheme="majorHAnsi"/>
          <w:sz w:val="22"/>
          <w:szCs w:val="22"/>
          <w:lang w:val="en-US" w:eastAsia="zh-CN"/>
        </w:rPr>
        <w:t>Tel 01603-597-568</w:t>
      </w:r>
    </w:p>
    <w:p w:rsidR="007B515C" w:rsidRPr="00DE2282" w:rsidRDefault="008D746E" w:rsidP="007B515C">
      <w:pPr>
        <w:rPr>
          <w:rFonts w:asciiTheme="majorHAnsi" w:eastAsia="Times New Roman" w:hAnsiTheme="majorHAnsi" w:cstheme="majorHAnsi"/>
          <w:sz w:val="22"/>
          <w:szCs w:val="22"/>
          <w:lang w:val="en-US" w:eastAsia="zh-CN"/>
        </w:rPr>
      </w:pPr>
      <w:hyperlink r:id="rId7" w:history="1">
        <w:r w:rsidR="003F1E7A" w:rsidRPr="00DE2282">
          <w:rPr>
            <w:rFonts w:asciiTheme="majorHAnsi" w:eastAsia="Times New Roman" w:hAnsiTheme="majorHAnsi" w:cstheme="majorHAnsi"/>
            <w:sz w:val="22"/>
            <w:szCs w:val="22"/>
            <w:lang w:val="en-US" w:eastAsia="zh-CN"/>
          </w:rPr>
          <w:t>d.livermore@uea.ac.United Kingdom</w:t>
        </w:r>
      </w:hyperlink>
    </w:p>
    <w:p w:rsidR="007B515C" w:rsidRPr="00DE2282" w:rsidRDefault="007B515C" w:rsidP="007B515C">
      <w:pPr>
        <w:spacing w:line="480" w:lineRule="auto"/>
        <w:rPr>
          <w:rFonts w:asciiTheme="majorHAnsi" w:eastAsia="Times New Roman" w:hAnsiTheme="majorHAnsi" w:cstheme="majorHAnsi"/>
          <w:sz w:val="22"/>
          <w:szCs w:val="22"/>
          <w:lang w:val="en-US" w:eastAsia="zh-CN"/>
        </w:rPr>
      </w:pPr>
    </w:p>
    <w:p w:rsidR="007B515C" w:rsidRPr="00DE2282" w:rsidRDefault="003F1E7A" w:rsidP="007B515C">
      <w:pPr>
        <w:pStyle w:val="81"/>
        <w:spacing w:after="0" w:line="480" w:lineRule="auto"/>
        <w:ind w:left="0"/>
        <w:contextualSpacing w:val="0"/>
        <w:rPr>
          <w:rFonts w:asciiTheme="majorHAnsi" w:hAnsiTheme="majorHAnsi" w:cstheme="majorHAnsi"/>
          <w:lang w:val="en-US"/>
        </w:rPr>
      </w:pPr>
      <w:r w:rsidRPr="00DE2282">
        <w:rPr>
          <w:rFonts w:asciiTheme="majorHAnsi" w:hAnsiTheme="majorHAnsi" w:cstheme="majorHAnsi"/>
          <w:b/>
          <w:lang w:val="en-US"/>
        </w:rPr>
        <w:t>Keywords:</w:t>
      </w:r>
      <w:r w:rsidRPr="00DE2282">
        <w:rPr>
          <w:rFonts w:asciiTheme="majorHAnsi" w:hAnsiTheme="majorHAnsi" w:cstheme="majorHAnsi"/>
          <w:lang w:val="en-US"/>
        </w:rPr>
        <w:t xml:space="preserve"> avibactam, synergy, carbapenemase, ESBL, AmpC enzyme</w:t>
      </w:r>
    </w:p>
    <w:p w:rsidR="007B515C" w:rsidRPr="00DE2282" w:rsidRDefault="007B515C" w:rsidP="007B515C">
      <w:pPr>
        <w:pStyle w:val="81"/>
        <w:spacing w:after="0" w:line="480" w:lineRule="auto"/>
        <w:ind w:left="0"/>
        <w:contextualSpacing w:val="0"/>
        <w:jc w:val="center"/>
        <w:rPr>
          <w:rFonts w:asciiTheme="majorHAnsi" w:hAnsiTheme="majorHAnsi" w:cstheme="majorHAnsi"/>
          <w:lang w:val="en-US"/>
        </w:rPr>
      </w:pPr>
    </w:p>
    <w:p w:rsidR="007B515C" w:rsidRPr="00DE2282" w:rsidRDefault="003F1E7A" w:rsidP="007B515C">
      <w:pPr>
        <w:pStyle w:val="81"/>
        <w:spacing w:after="0" w:line="480" w:lineRule="auto"/>
        <w:ind w:left="0"/>
        <w:contextualSpacing w:val="0"/>
        <w:rPr>
          <w:rFonts w:asciiTheme="majorHAnsi" w:hAnsiTheme="majorHAnsi" w:cstheme="majorHAnsi"/>
          <w:lang w:val="en-US"/>
        </w:rPr>
      </w:pPr>
      <w:r w:rsidRPr="00DE2282">
        <w:rPr>
          <w:rFonts w:asciiTheme="majorHAnsi" w:hAnsiTheme="majorHAnsi" w:cstheme="majorHAnsi"/>
          <w:b/>
          <w:lang w:val="en-US"/>
        </w:rPr>
        <w:t>Key words:</w:t>
      </w:r>
      <w:r w:rsidRPr="00DE2282">
        <w:rPr>
          <w:rFonts w:asciiTheme="majorHAnsi" w:hAnsiTheme="majorHAnsi" w:cstheme="majorHAnsi"/>
          <w:lang w:val="en-US"/>
        </w:rPr>
        <w:t xml:space="preserve"> PBP2, avibactam, carbapenemase, extended-spectrum-</w:t>
      </w:r>
      <w:r w:rsidRPr="00DE2282">
        <w:rPr>
          <w:rFonts w:ascii="Symbol" w:hAnsi="Symbol" w:cstheme="majorHAnsi"/>
          <w:lang w:val="en-US"/>
        </w:rPr>
        <w:t></w:t>
      </w:r>
      <w:r w:rsidRPr="00DE2282">
        <w:rPr>
          <w:rFonts w:asciiTheme="majorHAnsi" w:hAnsiTheme="majorHAnsi" w:cstheme="majorHAnsi"/>
          <w:lang w:val="en-US"/>
        </w:rPr>
        <w:t>-lactamase</w:t>
      </w:r>
    </w:p>
    <w:p w:rsidR="007B515C" w:rsidRPr="00DE2282" w:rsidRDefault="003F1E7A" w:rsidP="007B515C">
      <w:pPr>
        <w:spacing w:line="480" w:lineRule="auto"/>
        <w:jc w:val="both"/>
        <w:rPr>
          <w:rFonts w:asciiTheme="majorHAnsi" w:eastAsia="Times New Roman" w:hAnsiTheme="majorHAnsi" w:cstheme="majorHAnsi"/>
          <w:b/>
          <w:sz w:val="22"/>
          <w:szCs w:val="22"/>
          <w:lang w:val="en-US" w:eastAsia="zh-CN"/>
        </w:rPr>
      </w:pPr>
      <w:r w:rsidRPr="00DE2282">
        <w:rPr>
          <w:rFonts w:asciiTheme="majorHAnsi" w:hAnsiTheme="majorHAnsi" w:cstheme="majorHAnsi"/>
          <w:lang w:val="en-US"/>
        </w:rPr>
        <w:br w:type="page"/>
      </w:r>
      <w:r w:rsidRPr="00DE2282">
        <w:rPr>
          <w:rFonts w:asciiTheme="majorHAnsi" w:hAnsiTheme="majorHAnsi" w:cstheme="majorHAnsi"/>
          <w:b/>
          <w:bCs/>
          <w:sz w:val="22"/>
          <w:lang w:val="en-US"/>
        </w:rPr>
        <w:lastRenderedPageBreak/>
        <w:t xml:space="preserve"> OP0595 is a novel diazabicyclooctane </w:t>
      </w:r>
      <w:r w:rsidR="0019784F">
        <w:rPr>
          <w:rFonts w:asciiTheme="majorHAnsi" w:hAnsiTheme="majorHAnsi" w:cstheme="majorHAnsi"/>
          <w:b/>
          <w:bCs/>
          <w:sz w:val="22"/>
          <w:lang w:val="en-US"/>
        </w:rPr>
        <w:t>which</w:t>
      </w:r>
      <w:r w:rsidR="00614640">
        <w:rPr>
          <w:rFonts w:asciiTheme="majorHAnsi" w:hAnsiTheme="majorHAnsi" w:cstheme="majorHAnsi"/>
          <w:b/>
          <w:bCs/>
          <w:sz w:val="22"/>
          <w:lang w:val="en-US"/>
        </w:rPr>
        <w:t>, like avibactam,</w:t>
      </w:r>
      <w:r w:rsidR="00A70D16">
        <w:rPr>
          <w:rFonts w:asciiTheme="majorHAnsi" w:hAnsiTheme="majorHAnsi" w:cstheme="majorHAnsi"/>
          <w:b/>
          <w:bCs/>
          <w:sz w:val="22"/>
          <w:lang w:val="en-US"/>
        </w:rPr>
        <w:t xml:space="preserve"> </w:t>
      </w:r>
      <w:r w:rsidR="007B515C">
        <w:rPr>
          <w:rFonts w:asciiTheme="majorHAnsi" w:hAnsiTheme="majorHAnsi" w:cstheme="majorHAnsi"/>
          <w:b/>
          <w:bCs/>
          <w:sz w:val="22"/>
          <w:lang w:val="en-US"/>
        </w:rPr>
        <w:t>inhibits</w:t>
      </w:r>
      <w:r w:rsidR="007B515C" w:rsidRPr="00DE2282">
        <w:rPr>
          <w:rFonts w:asciiTheme="majorHAnsi" w:hAnsiTheme="majorHAnsi" w:cstheme="majorHAnsi"/>
          <w:b/>
          <w:bCs/>
          <w:sz w:val="22"/>
          <w:lang w:val="en-US"/>
        </w:rPr>
        <w:t xml:space="preserve"> class A and C β</w:t>
      </w:r>
      <w:r w:rsidR="007B515C" w:rsidRPr="00DE2282">
        <w:rPr>
          <w:rFonts w:asciiTheme="majorHAnsi" w:hAnsiTheme="majorHAnsi" w:cstheme="majorHAnsi"/>
          <w:b/>
          <w:bCs/>
          <w:sz w:val="22"/>
          <w:lang w:val="en-US" w:eastAsia="ja-JP"/>
        </w:rPr>
        <w:t>-</w:t>
      </w:r>
      <w:r w:rsidR="007B515C">
        <w:rPr>
          <w:rFonts w:asciiTheme="majorHAnsi" w:hAnsiTheme="majorHAnsi" w:cstheme="majorHAnsi"/>
          <w:b/>
          <w:bCs/>
          <w:sz w:val="22"/>
          <w:lang w:val="en-US"/>
        </w:rPr>
        <w:t>lactamases</w:t>
      </w:r>
      <w:r w:rsidR="0019784F">
        <w:rPr>
          <w:rFonts w:asciiTheme="majorHAnsi" w:hAnsiTheme="majorHAnsi" w:cstheme="majorHAnsi"/>
          <w:b/>
          <w:bCs/>
          <w:sz w:val="22"/>
          <w:lang w:val="en-US"/>
        </w:rPr>
        <w:t>.  In addition</w:t>
      </w:r>
      <w:r w:rsidR="00B62562">
        <w:rPr>
          <w:rFonts w:asciiTheme="majorHAnsi" w:hAnsiTheme="majorHAnsi" w:cstheme="majorHAnsi"/>
          <w:b/>
          <w:bCs/>
          <w:sz w:val="22"/>
          <w:lang w:val="en-US"/>
        </w:rPr>
        <w:t>, unlike avibactam,</w:t>
      </w:r>
      <w:r w:rsidR="007B515C">
        <w:rPr>
          <w:rFonts w:asciiTheme="majorHAnsi" w:hAnsiTheme="majorHAnsi" w:cstheme="majorHAnsi"/>
          <w:b/>
          <w:bCs/>
          <w:sz w:val="22"/>
          <w:lang w:val="en-US"/>
        </w:rPr>
        <w:t xml:space="preserve"> </w:t>
      </w:r>
      <w:r w:rsidR="0019784F">
        <w:rPr>
          <w:rFonts w:asciiTheme="majorHAnsi" w:hAnsiTheme="majorHAnsi" w:cstheme="majorHAnsi"/>
          <w:b/>
          <w:bCs/>
          <w:sz w:val="22"/>
          <w:lang w:val="en-US"/>
        </w:rPr>
        <w:t>is</w:t>
      </w:r>
      <w:r w:rsidR="007B515C">
        <w:rPr>
          <w:rFonts w:asciiTheme="majorHAnsi" w:hAnsiTheme="majorHAnsi" w:cstheme="majorHAnsi"/>
          <w:b/>
          <w:bCs/>
          <w:sz w:val="22"/>
          <w:lang w:val="en-US"/>
        </w:rPr>
        <w:t xml:space="preserve"> has</w:t>
      </w:r>
      <w:r w:rsidR="00614640">
        <w:rPr>
          <w:rFonts w:asciiTheme="majorHAnsi" w:hAnsiTheme="majorHAnsi" w:cstheme="majorHAnsi"/>
          <w:b/>
          <w:bCs/>
          <w:sz w:val="22"/>
          <w:lang w:val="en-US"/>
        </w:rPr>
        <w:t xml:space="preserve"> antibacterial activity, with</w:t>
      </w:r>
      <w:r w:rsidR="007B515C" w:rsidRPr="00DE2282">
        <w:rPr>
          <w:rFonts w:asciiTheme="majorHAnsi" w:hAnsiTheme="majorHAnsi" w:cstheme="majorHAnsi"/>
          <w:b/>
          <w:bCs/>
          <w:sz w:val="22"/>
          <w:lang w:val="en-US"/>
        </w:rPr>
        <w:t xml:space="preserve"> </w:t>
      </w:r>
      <w:r w:rsidRPr="00DE2282">
        <w:rPr>
          <w:rFonts w:asciiTheme="majorHAnsi" w:hAnsiTheme="majorHAnsi" w:cstheme="majorHAnsi"/>
          <w:b/>
          <w:bCs/>
          <w:sz w:val="22"/>
          <w:lang w:val="en-US"/>
        </w:rPr>
        <w:t xml:space="preserve">MICs of 0.5-4 </w:t>
      </w:r>
      <w:r w:rsidRPr="00DE2282">
        <w:rPr>
          <w:rFonts w:ascii="Symbol" w:hAnsi="Symbol" w:cstheme="majorHAnsi"/>
          <w:b/>
          <w:bCs/>
          <w:sz w:val="22"/>
          <w:lang w:val="en-US"/>
        </w:rPr>
        <w:t></w:t>
      </w:r>
      <w:r w:rsidRPr="00DE2282">
        <w:rPr>
          <w:rFonts w:asciiTheme="majorHAnsi" w:hAnsiTheme="majorHAnsi" w:cstheme="majorHAnsi"/>
          <w:b/>
          <w:bCs/>
          <w:sz w:val="22"/>
          <w:lang w:val="en-US"/>
        </w:rPr>
        <w:t xml:space="preserve">g/ml for </w:t>
      </w:r>
      <w:r w:rsidR="007B515C">
        <w:rPr>
          <w:rFonts w:asciiTheme="majorHAnsi" w:hAnsiTheme="majorHAnsi" w:cstheme="majorHAnsi"/>
          <w:b/>
          <w:bCs/>
          <w:sz w:val="22"/>
          <w:lang w:val="en-US"/>
        </w:rPr>
        <w:t xml:space="preserve">most </w:t>
      </w:r>
      <w:r w:rsidRPr="00DE2282">
        <w:rPr>
          <w:rFonts w:asciiTheme="majorHAnsi" w:hAnsiTheme="majorHAnsi" w:cstheme="majorHAnsi"/>
          <w:b/>
          <w:bCs/>
          <w:sz w:val="22"/>
          <w:lang w:val="en-US"/>
        </w:rPr>
        <w:t>Enterobacteriaceae,</w:t>
      </w:r>
      <w:r w:rsidR="007B515C">
        <w:rPr>
          <w:rFonts w:asciiTheme="majorHAnsi" w:hAnsiTheme="majorHAnsi" w:cstheme="majorHAnsi"/>
          <w:b/>
          <w:bCs/>
          <w:sz w:val="22"/>
          <w:lang w:val="en-US"/>
        </w:rPr>
        <w:t xml:space="preserve"> </w:t>
      </w:r>
      <w:r w:rsidR="0019784F">
        <w:rPr>
          <w:rFonts w:asciiTheme="majorHAnsi" w:hAnsiTheme="majorHAnsi" w:cstheme="majorHAnsi"/>
          <w:b/>
          <w:bCs/>
          <w:sz w:val="22"/>
          <w:lang w:val="en-US"/>
        </w:rPr>
        <w:t xml:space="preserve">owing to </w:t>
      </w:r>
      <w:r w:rsidR="00B62562">
        <w:rPr>
          <w:rFonts w:asciiTheme="majorHAnsi" w:hAnsiTheme="majorHAnsi" w:cstheme="majorHAnsi"/>
          <w:b/>
          <w:bCs/>
          <w:sz w:val="22"/>
          <w:lang w:val="en-US"/>
        </w:rPr>
        <w:t>inhibition of</w:t>
      </w:r>
      <w:r w:rsidR="007B515C">
        <w:rPr>
          <w:rFonts w:asciiTheme="majorHAnsi" w:hAnsiTheme="majorHAnsi" w:cstheme="majorHAnsi"/>
          <w:b/>
          <w:bCs/>
          <w:sz w:val="22"/>
          <w:lang w:val="en-US"/>
        </w:rPr>
        <w:t xml:space="preserve"> PBP2</w:t>
      </w:r>
      <w:r w:rsidR="0019784F">
        <w:rPr>
          <w:rFonts w:asciiTheme="majorHAnsi" w:hAnsiTheme="majorHAnsi" w:cstheme="majorHAnsi"/>
          <w:b/>
          <w:bCs/>
          <w:sz w:val="22"/>
          <w:lang w:val="en-US"/>
        </w:rPr>
        <w:t>; moreover</w:t>
      </w:r>
      <w:r w:rsidR="007B515C">
        <w:rPr>
          <w:rFonts w:asciiTheme="majorHAnsi" w:hAnsiTheme="majorHAnsi" w:cstheme="majorHAnsi"/>
          <w:b/>
          <w:bCs/>
          <w:sz w:val="22"/>
          <w:lang w:val="en-US"/>
        </w:rPr>
        <w:t xml:space="preserve"> </w:t>
      </w:r>
      <w:r w:rsidR="0019784F">
        <w:rPr>
          <w:rFonts w:asciiTheme="majorHAnsi" w:hAnsiTheme="majorHAnsi" w:cstheme="majorHAnsi"/>
          <w:b/>
          <w:bCs/>
          <w:sz w:val="22"/>
          <w:lang w:val="en-US"/>
        </w:rPr>
        <w:t>i</w:t>
      </w:r>
      <w:r w:rsidR="00614640">
        <w:rPr>
          <w:rFonts w:asciiTheme="majorHAnsi" w:hAnsiTheme="majorHAnsi" w:cstheme="majorHAnsi"/>
          <w:b/>
          <w:bCs/>
          <w:sz w:val="22"/>
          <w:lang w:val="en-US"/>
        </w:rPr>
        <w:t xml:space="preserve">t </w:t>
      </w:r>
      <w:r w:rsidR="007B515C">
        <w:rPr>
          <w:rFonts w:asciiTheme="majorHAnsi" w:hAnsiTheme="majorHAnsi" w:cstheme="majorHAnsi"/>
          <w:b/>
          <w:bCs/>
          <w:sz w:val="22"/>
          <w:lang w:val="en-US"/>
        </w:rPr>
        <w:t xml:space="preserve">synergizes </w:t>
      </w:r>
      <w:r w:rsidR="00A70D16">
        <w:rPr>
          <w:rFonts w:asciiTheme="majorHAnsi" w:hAnsiTheme="majorHAnsi" w:cstheme="majorHAnsi"/>
          <w:b/>
          <w:bCs/>
          <w:sz w:val="22"/>
          <w:lang w:val="en-US"/>
        </w:rPr>
        <w:t xml:space="preserve">PBP3-active </w:t>
      </w:r>
      <w:r w:rsidRPr="00DE2282">
        <w:rPr>
          <w:rFonts w:asciiTheme="majorHAnsi" w:hAnsiTheme="majorHAnsi" w:cstheme="majorHAnsi"/>
          <w:b/>
          <w:bCs/>
          <w:sz w:val="22"/>
          <w:lang w:val="en-US"/>
        </w:rPr>
        <w:t>β-lactam</w:t>
      </w:r>
      <w:r w:rsidR="00A70D16">
        <w:rPr>
          <w:rFonts w:asciiTheme="majorHAnsi" w:hAnsiTheme="majorHAnsi" w:cstheme="majorHAnsi"/>
          <w:b/>
          <w:bCs/>
          <w:sz w:val="22"/>
          <w:lang w:val="en-US"/>
        </w:rPr>
        <w:t>s</w:t>
      </w:r>
      <w:r w:rsidRPr="00DE2282">
        <w:rPr>
          <w:rFonts w:asciiTheme="majorHAnsi" w:hAnsiTheme="majorHAnsi" w:cstheme="majorHAnsi"/>
          <w:b/>
          <w:bCs/>
          <w:sz w:val="22"/>
          <w:lang w:val="en-US"/>
        </w:rPr>
        <w:t xml:space="preserve"> </w:t>
      </w:r>
      <w:r w:rsidR="00111072">
        <w:rPr>
          <w:rFonts w:asciiTheme="majorHAnsi" w:hAnsiTheme="majorHAnsi" w:cstheme="majorHAnsi"/>
          <w:b/>
          <w:bCs/>
          <w:sz w:val="22"/>
          <w:lang w:val="en-US"/>
        </w:rPr>
        <w:t xml:space="preserve">independently of </w:t>
      </w:r>
      <w:r w:rsidR="00111072" w:rsidRPr="00DE2282">
        <w:rPr>
          <w:rFonts w:asciiTheme="majorHAnsi" w:hAnsiTheme="majorHAnsi" w:cstheme="majorHAnsi"/>
          <w:b/>
          <w:bCs/>
          <w:sz w:val="22"/>
          <w:lang w:val="en-US"/>
        </w:rPr>
        <w:t>β</w:t>
      </w:r>
      <w:r w:rsidR="00111072" w:rsidRPr="00DE2282">
        <w:rPr>
          <w:rFonts w:asciiTheme="majorHAnsi" w:hAnsiTheme="majorHAnsi" w:cstheme="majorHAnsi"/>
          <w:b/>
          <w:bCs/>
          <w:sz w:val="22"/>
          <w:lang w:val="en-US" w:eastAsia="ja-JP"/>
        </w:rPr>
        <w:t>-</w:t>
      </w:r>
      <w:r w:rsidR="00111072">
        <w:rPr>
          <w:rFonts w:asciiTheme="majorHAnsi" w:hAnsiTheme="majorHAnsi" w:cstheme="majorHAnsi"/>
          <w:b/>
          <w:bCs/>
          <w:sz w:val="22"/>
          <w:lang w:val="en-US"/>
        </w:rPr>
        <w:t xml:space="preserve">lactamase inhibition, </w:t>
      </w:r>
      <w:r w:rsidR="00B62562">
        <w:rPr>
          <w:rFonts w:asciiTheme="majorHAnsi" w:hAnsiTheme="majorHAnsi" w:cstheme="majorHAnsi"/>
          <w:b/>
          <w:bCs/>
          <w:sz w:val="22"/>
          <w:lang w:val="en-US"/>
        </w:rPr>
        <w:t>via</w:t>
      </w:r>
      <w:r w:rsidR="00614640">
        <w:rPr>
          <w:rFonts w:asciiTheme="majorHAnsi" w:hAnsiTheme="majorHAnsi" w:cstheme="majorHAnsi"/>
          <w:b/>
          <w:bCs/>
          <w:sz w:val="22"/>
          <w:lang w:val="en-US"/>
        </w:rPr>
        <w:t xml:space="preserve"> an</w:t>
      </w:r>
      <w:r w:rsidR="00A70D16">
        <w:rPr>
          <w:rFonts w:asciiTheme="majorHAnsi" w:hAnsiTheme="majorHAnsi" w:cstheme="majorHAnsi"/>
          <w:b/>
          <w:bCs/>
          <w:sz w:val="22"/>
          <w:lang w:val="en-US"/>
        </w:rPr>
        <w:t xml:space="preserve"> 'enhancer</w:t>
      </w:r>
      <w:r w:rsidR="00A31414">
        <w:rPr>
          <w:rFonts w:asciiTheme="majorHAnsi" w:hAnsiTheme="majorHAnsi" w:cstheme="majorHAnsi"/>
          <w:b/>
          <w:bCs/>
          <w:sz w:val="22"/>
          <w:lang w:val="en-US"/>
        </w:rPr>
        <w:t xml:space="preserve"> effect</w:t>
      </w:r>
      <w:r w:rsidR="00A70D16">
        <w:rPr>
          <w:rFonts w:asciiTheme="majorHAnsi" w:hAnsiTheme="majorHAnsi" w:cstheme="majorHAnsi"/>
          <w:b/>
          <w:bCs/>
          <w:sz w:val="22"/>
          <w:lang w:val="en-US"/>
        </w:rPr>
        <w:t>'</w:t>
      </w:r>
      <w:r w:rsidRPr="00DE2282">
        <w:rPr>
          <w:rFonts w:asciiTheme="majorHAnsi" w:hAnsiTheme="majorHAnsi" w:cstheme="majorHAnsi"/>
          <w:b/>
          <w:bCs/>
          <w:sz w:val="22"/>
          <w:lang w:val="en-US"/>
        </w:rPr>
        <w:t xml:space="preserve">. </w:t>
      </w:r>
      <w:r w:rsidR="007B515C">
        <w:rPr>
          <w:rFonts w:asciiTheme="majorHAnsi" w:hAnsiTheme="majorHAnsi" w:cstheme="majorHAnsi"/>
          <w:b/>
          <w:bCs/>
          <w:sz w:val="22"/>
          <w:lang w:val="en-US"/>
        </w:rPr>
        <w:t>Enterobacteriaceae m</w:t>
      </w:r>
      <w:r w:rsidRPr="00DE2282">
        <w:rPr>
          <w:rFonts w:asciiTheme="majorHAnsi" w:hAnsiTheme="majorHAnsi" w:cstheme="majorHAnsi"/>
          <w:b/>
          <w:bCs/>
          <w:sz w:val="22"/>
          <w:lang w:val="en-US"/>
        </w:rPr>
        <w:t>utants</w:t>
      </w:r>
      <w:r w:rsidR="00614640">
        <w:rPr>
          <w:rFonts w:asciiTheme="majorHAnsi" w:hAnsiTheme="majorHAnsi" w:cstheme="majorHAnsi"/>
          <w:b/>
          <w:bCs/>
          <w:sz w:val="22"/>
          <w:lang w:val="en-US"/>
        </w:rPr>
        <w:t xml:space="preserve"> stably</w:t>
      </w:r>
      <w:r w:rsidRPr="00DE2282">
        <w:rPr>
          <w:rFonts w:asciiTheme="majorHAnsi" w:hAnsiTheme="majorHAnsi" w:cstheme="majorHAnsi"/>
          <w:b/>
          <w:bCs/>
          <w:sz w:val="22"/>
          <w:lang w:val="en-US"/>
        </w:rPr>
        <w:t xml:space="preserve"> </w:t>
      </w:r>
      <w:r w:rsidR="007B515C">
        <w:rPr>
          <w:rFonts w:asciiTheme="majorHAnsi" w:hAnsiTheme="majorHAnsi" w:cstheme="majorHAnsi"/>
          <w:b/>
          <w:bCs/>
          <w:sz w:val="22"/>
          <w:lang w:val="en-US"/>
        </w:rPr>
        <w:t>resistant to 16</w:t>
      </w:r>
      <w:r w:rsidR="007B515C" w:rsidRPr="00DE2282">
        <w:rPr>
          <w:rFonts w:asciiTheme="majorHAnsi" w:hAnsiTheme="majorHAnsi" w:cstheme="majorHAnsi"/>
          <w:b/>
          <w:bCs/>
          <w:sz w:val="22"/>
          <w:lang w:val="en-US"/>
        </w:rPr>
        <w:t xml:space="preserve"> </w:t>
      </w:r>
      <w:r w:rsidR="007B515C" w:rsidRPr="00DE2282">
        <w:rPr>
          <w:rFonts w:ascii="Symbol" w:hAnsi="Symbol" w:cstheme="majorHAnsi"/>
          <w:b/>
          <w:bCs/>
          <w:sz w:val="22"/>
          <w:lang w:val="en-US"/>
        </w:rPr>
        <w:t></w:t>
      </w:r>
      <w:r w:rsidR="007B515C" w:rsidRPr="00DE2282">
        <w:rPr>
          <w:rFonts w:asciiTheme="majorHAnsi" w:hAnsiTheme="majorHAnsi" w:cstheme="majorHAnsi"/>
          <w:b/>
          <w:bCs/>
          <w:sz w:val="22"/>
          <w:lang w:val="en-US"/>
        </w:rPr>
        <w:t>g/ml</w:t>
      </w:r>
      <w:r w:rsidR="007B515C">
        <w:rPr>
          <w:rFonts w:asciiTheme="majorHAnsi" w:hAnsiTheme="majorHAnsi" w:cstheme="majorHAnsi"/>
          <w:b/>
          <w:bCs/>
          <w:sz w:val="22"/>
          <w:lang w:val="en-US"/>
        </w:rPr>
        <w:t xml:space="preserve"> OP0595 were selected</w:t>
      </w:r>
      <w:r w:rsidR="00A31414">
        <w:rPr>
          <w:rFonts w:asciiTheme="majorHAnsi" w:hAnsiTheme="majorHAnsi" w:cstheme="majorHAnsi"/>
          <w:b/>
          <w:bCs/>
          <w:sz w:val="22"/>
          <w:lang w:val="en-US"/>
        </w:rPr>
        <w:t xml:space="preserve"> on agar</w:t>
      </w:r>
      <w:r w:rsidR="007B515C">
        <w:rPr>
          <w:rFonts w:asciiTheme="majorHAnsi" w:hAnsiTheme="majorHAnsi" w:cstheme="majorHAnsi"/>
          <w:b/>
          <w:bCs/>
          <w:sz w:val="22"/>
          <w:lang w:val="en-US"/>
        </w:rPr>
        <w:t xml:space="preserve"> at</w:t>
      </w:r>
      <w:r w:rsidRPr="00DE2282">
        <w:rPr>
          <w:rFonts w:asciiTheme="majorHAnsi" w:hAnsiTheme="majorHAnsi" w:cstheme="majorHAnsi"/>
          <w:b/>
          <w:bCs/>
          <w:sz w:val="22"/>
          <w:lang w:val="en-US"/>
        </w:rPr>
        <w:t xml:space="preserve"> frequencies </w:t>
      </w:r>
      <w:r w:rsidR="007B515C">
        <w:rPr>
          <w:rFonts w:asciiTheme="majorHAnsi" w:hAnsiTheme="majorHAnsi" w:cstheme="majorHAnsi"/>
          <w:b/>
          <w:bCs/>
          <w:sz w:val="22"/>
          <w:lang w:val="en-US"/>
        </w:rPr>
        <w:t>of</w:t>
      </w:r>
      <w:r w:rsidRPr="00DE2282">
        <w:rPr>
          <w:rFonts w:asciiTheme="majorHAnsi" w:hAnsiTheme="majorHAnsi" w:cstheme="majorHAnsi"/>
          <w:b/>
          <w:bCs/>
          <w:sz w:val="22"/>
          <w:lang w:val="en-US"/>
        </w:rPr>
        <w:t xml:space="preserve"> </w:t>
      </w:r>
      <w:r w:rsidR="0019784F">
        <w:rPr>
          <w:rFonts w:asciiTheme="majorHAnsi" w:hAnsiTheme="majorHAnsi" w:cstheme="majorHAnsi"/>
          <w:b/>
          <w:bCs/>
          <w:sz w:val="22"/>
          <w:lang w:val="en-US"/>
        </w:rPr>
        <w:t>approx</w:t>
      </w:r>
      <w:r w:rsidRPr="00DE2282">
        <w:rPr>
          <w:rFonts w:asciiTheme="majorHAnsi" w:hAnsiTheme="majorHAnsi" w:cstheme="majorHAnsi"/>
          <w:b/>
          <w:bCs/>
          <w:sz w:val="22"/>
          <w:lang w:val="en-US"/>
        </w:rPr>
        <w:t>. 10</w:t>
      </w:r>
      <w:r w:rsidRPr="00DE2282">
        <w:rPr>
          <w:rFonts w:asciiTheme="majorHAnsi" w:hAnsiTheme="majorHAnsi" w:cstheme="majorHAnsi"/>
          <w:b/>
          <w:bCs/>
          <w:sz w:val="22"/>
          <w:vertAlign w:val="superscript"/>
          <w:lang w:val="en-US"/>
        </w:rPr>
        <w:t>-7</w:t>
      </w:r>
      <w:r w:rsidRPr="00DE2282">
        <w:rPr>
          <w:rFonts w:asciiTheme="majorHAnsi" w:hAnsiTheme="majorHAnsi" w:cstheme="majorHAnsi"/>
          <w:b/>
          <w:bCs/>
          <w:sz w:val="22"/>
          <w:lang w:val="en-US"/>
        </w:rPr>
        <w:t xml:space="preserve">.  </w:t>
      </w:r>
      <w:r w:rsidR="0019784F">
        <w:rPr>
          <w:rFonts w:asciiTheme="majorHAnsi" w:hAnsiTheme="majorHAnsi" w:cstheme="majorHAnsi"/>
          <w:b/>
          <w:bCs/>
          <w:sz w:val="22"/>
          <w:lang w:val="en-US"/>
        </w:rPr>
        <w:t xml:space="preserve">Unsurprisingly, </w:t>
      </w:r>
      <w:r w:rsidR="00614640">
        <w:rPr>
          <w:rFonts w:asciiTheme="majorHAnsi" w:hAnsiTheme="majorHAnsi" w:cstheme="majorHAnsi"/>
          <w:b/>
          <w:bCs/>
          <w:sz w:val="22"/>
          <w:lang w:val="en-US"/>
        </w:rPr>
        <w:t xml:space="preserve">OP0595 continued to potentiate substrate </w:t>
      </w:r>
      <w:r w:rsidR="00614640" w:rsidRPr="00614640">
        <w:rPr>
          <w:rFonts w:ascii="Symbol" w:hAnsi="Symbol" w:cstheme="majorHAnsi"/>
          <w:b/>
          <w:bCs/>
          <w:sz w:val="22"/>
          <w:lang w:val="en-US"/>
        </w:rPr>
        <w:t></w:t>
      </w:r>
      <w:r w:rsidR="00614640">
        <w:rPr>
          <w:rFonts w:asciiTheme="majorHAnsi" w:hAnsiTheme="majorHAnsi" w:cstheme="majorHAnsi"/>
          <w:b/>
          <w:bCs/>
          <w:sz w:val="22"/>
          <w:lang w:val="en-US"/>
        </w:rPr>
        <w:t>-lactams</w:t>
      </w:r>
      <w:r w:rsidR="0019784F">
        <w:rPr>
          <w:rFonts w:asciiTheme="majorHAnsi" w:hAnsiTheme="majorHAnsi" w:cstheme="majorHAnsi"/>
          <w:b/>
          <w:bCs/>
          <w:sz w:val="22"/>
          <w:lang w:val="en-US"/>
        </w:rPr>
        <w:t xml:space="preserve"> against</w:t>
      </w:r>
      <w:r w:rsidR="00614640">
        <w:rPr>
          <w:rFonts w:asciiTheme="majorHAnsi" w:hAnsiTheme="majorHAnsi" w:cstheme="majorHAnsi"/>
          <w:b/>
          <w:bCs/>
          <w:sz w:val="22"/>
          <w:lang w:val="en-US"/>
        </w:rPr>
        <w:t xml:space="preserve"> mutants </w:t>
      </w:r>
      <w:r w:rsidR="00B62562">
        <w:rPr>
          <w:rFonts w:asciiTheme="majorHAnsi" w:hAnsiTheme="majorHAnsi" w:cstheme="majorHAnsi"/>
          <w:b/>
          <w:bCs/>
          <w:sz w:val="22"/>
          <w:lang w:val="en-US"/>
        </w:rPr>
        <w:t>derived from</w:t>
      </w:r>
      <w:r w:rsidR="00614640">
        <w:rPr>
          <w:rFonts w:asciiTheme="majorHAnsi" w:hAnsiTheme="majorHAnsi" w:cstheme="majorHAnsi"/>
          <w:b/>
          <w:bCs/>
          <w:sz w:val="22"/>
          <w:lang w:val="en-US"/>
        </w:rPr>
        <w:t xml:space="preserve"> </w:t>
      </w:r>
      <w:r w:rsidR="00B62562">
        <w:rPr>
          <w:rFonts w:asciiTheme="majorHAnsi" w:hAnsiTheme="majorHAnsi" w:cstheme="majorHAnsi"/>
          <w:b/>
          <w:bCs/>
          <w:sz w:val="22"/>
          <w:lang w:val="en-US"/>
        </w:rPr>
        <w:t>Enterobacteriaceae</w:t>
      </w:r>
      <w:r w:rsidR="00614640">
        <w:rPr>
          <w:rFonts w:asciiTheme="majorHAnsi" w:hAnsiTheme="majorHAnsi" w:cstheme="majorHAnsi"/>
          <w:b/>
          <w:bCs/>
          <w:sz w:val="22"/>
          <w:lang w:val="en-US"/>
        </w:rPr>
        <w:t xml:space="preserve"> with OP0595-inhibited </w:t>
      </w:r>
      <w:r w:rsidR="00111072">
        <w:rPr>
          <w:rFonts w:asciiTheme="majorHAnsi" w:hAnsiTheme="majorHAnsi" w:cstheme="majorHAnsi"/>
          <w:b/>
          <w:bCs/>
          <w:sz w:val="22"/>
          <w:lang w:val="en-US"/>
        </w:rPr>
        <w:t xml:space="preserve">Class A and C </w:t>
      </w:r>
      <w:r w:rsidR="00111072" w:rsidRPr="00111072">
        <w:rPr>
          <w:rFonts w:ascii="Symbol" w:hAnsi="Symbol" w:cstheme="majorHAnsi"/>
          <w:b/>
          <w:bCs/>
          <w:sz w:val="22"/>
          <w:lang w:val="en-US"/>
        </w:rPr>
        <w:t></w:t>
      </w:r>
      <w:r w:rsidR="00111072">
        <w:rPr>
          <w:rFonts w:asciiTheme="majorHAnsi" w:hAnsiTheme="majorHAnsi" w:cstheme="majorHAnsi"/>
          <w:b/>
          <w:bCs/>
          <w:sz w:val="22"/>
          <w:lang w:val="en-US"/>
        </w:rPr>
        <w:t>-lactamases.</w:t>
      </w:r>
      <w:r w:rsidR="00614640">
        <w:rPr>
          <w:rFonts w:asciiTheme="majorHAnsi" w:hAnsiTheme="majorHAnsi" w:cstheme="majorHAnsi"/>
          <w:b/>
          <w:bCs/>
          <w:sz w:val="22"/>
          <w:lang w:val="en-US"/>
        </w:rPr>
        <w:t xml:space="preserve">   </w:t>
      </w:r>
      <w:r w:rsidRPr="00DE2282">
        <w:rPr>
          <w:rFonts w:asciiTheme="majorHAnsi" w:hAnsiTheme="majorHAnsi" w:cstheme="majorHAnsi"/>
          <w:b/>
          <w:bCs/>
          <w:sz w:val="22"/>
          <w:lang w:val="en-US"/>
        </w:rPr>
        <w:t>Weaker potentiation of partners, especially aztreonam, cefepime and piperacillin</w:t>
      </w:r>
      <w:r w:rsidR="00614640">
        <w:rPr>
          <w:rFonts w:asciiTheme="majorHAnsi" w:hAnsiTheme="majorHAnsi" w:cstheme="majorHAnsi"/>
          <w:b/>
          <w:bCs/>
          <w:sz w:val="22"/>
          <w:lang w:val="en-US"/>
        </w:rPr>
        <w:t xml:space="preserve"> –less so meropenem–</w:t>
      </w:r>
      <w:r w:rsidRPr="00DE2282">
        <w:rPr>
          <w:rFonts w:asciiTheme="majorHAnsi" w:hAnsiTheme="majorHAnsi" w:cstheme="majorHAnsi"/>
          <w:b/>
          <w:bCs/>
          <w:sz w:val="22"/>
          <w:lang w:val="en-US"/>
        </w:rPr>
        <w:t xml:space="preserve"> remained frequent for OP0595-resistant </w:t>
      </w:r>
      <w:r w:rsidR="00B62562">
        <w:rPr>
          <w:rFonts w:asciiTheme="majorHAnsi" w:hAnsiTheme="majorHAnsi" w:cstheme="majorHAnsi"/>
          <w:b/>
          <w:bCs/>
          <w:sz w:val="22"/>
          <w:lang w:val="en-US"/>
        </w:rPr>
        <w:t xml:space="preserve">Enterobacteriaceae </w:t>
      </w:r>
      <w:r w:rsidRPr="00DE2282">
        <w:rPr>
          <w:rFonts w:asciiTheme="majorHAnsi" w:hAnsiTheme="majorHAnsi" w:cstheme="majorHAnsi"/>
          <w:b/>
          <w:bCs/>
          <w:sz w:val="22"/>
          <w:lang w:val="en-US"/>
        </w:rPr>
        <w:t>mutants lacking</w:t>
      </w:r>
      <w:r w:rsidR="00A31414">
        <w:rPr>
          <w:rFonts w:asciiTheme="majorHAnsi" w:hAnsiTheme="majorHAnsi" w:cstheme="majorHAnsi"/>
          <w:b/>
          <w:bCs/>
          <w:sz w:val="22"/>
          <w:lang w:val="en-US"/>
        </w:rPr>
        <w:t xml:space="preserve"> </w:t>
      </w:r>
      <w:r w:rsidRPr="00DE2282">
        <w:rPr>
          <w:rFonts w:ascii="Symbol" w:hAnsi="Symbol" w:cstheme="majorHAnsi"/>
          <w:b/>
          <w:bCs/>
          <w:sz w:val="22"/>
          <w:lang w:val="en-US"/>
        </w:rPr>
        <w:t></w:t>
      </w:r>
      <w:r w:rsidRPr="00DE2282">
        <w:rPr>
          <w:rFonts w:asciiTheme="majorHAnsi" w:hAnsiTheme="majorHAnsi" w:cstheme="majorHAnsi"/>
          <w:b/>
          <w:bCs/>
          <w:sz w:val="22"/>
          <w:lang w:val="en-US"/>
        </w:rPr>
        <w:t>-lactamase</w:t>
      </w:r>
      <w:r w:rsidR="00A31414">
        <w:rPr>
          <w:rFonts w:asciiTheme="majorHAnsi" w:hAnsiTheme="majorHAnsi" w:cstheme="majorHAnsi"/>
          <w:b/>
          <w:bCs/>
          <w:sz w:val="22"/>
          <w:lang w:val="en-US"/>
        </w:rPr>
        <w:t>s</w:t>
      </w:r>
      <w:r w:rsidR="00111072">
        <w:rPr>
          <w:rFonts w:asciiTheme="majorHAnsi" w:hAnsiTheme="majorHAnsi" w:cstheme="majorHAnsi"/>
          <w:b/>
          <w:bCs/>
          <w:sz w:val="22"/>
          <w:lang w:val="en-US"/>
        </w:rPr>
        <w:t xml:space="preserve"> or with OP0595-resistant</w:t>
      </w:r>
      <w:r w:rsidRPr="00DE2282">
        <w:rPr>
          <w:rFonts w:asciiTheme="majorHAnsi" w:hAnsiTheme="majorHAnsi" w:cstheme="majorHAnsi"/>
          <w:b/>
          <w:bCs/>
          <w:sz w:val="22"/>
          <w:lang w:val="en-US"/>
        </w:rPr>
        <w:t xml:space="preserve"> </w:t>
      </w:r>
      <w:r w:rsidR="00B62562">
        <w:rPr>
          <w:rFonts w:asciiTheme="majorHAnsi" w:hAnsiTheme="majorHAnsi" w:cstheme="majorHAnsi"/>
          <w:b/>
          <w:bCs/>
          <w:sz w:val="22"/>
          <w:lang w:val="en-US"/>
        </w:rPr>
        <w:t xml:space="preserve">metallo </w:t>
      </w:r>
      <w:r w:rsidR="00111072" w:rsidRPr="00DE2282">
        <w:rPr>
          <w:rFonts w:ascii="Symbol" w:hAnsi="Symbol" w:cstheme="majorHAnsi"/>
          <w:b/>
          <w:bCs/>
          <w:sz w:val="22"/>
          <w:lang w:val="en-US"/>
        </w:rPr>
        <w:t></w:t>
      </w:r>
      <w:r w:rsidR="00111072" w:rsidRPr="00DE2282">
        <w:rPr>
          <w:rFonts w:asciiTheme="majorHAnsi" w:hAnsiTheme="majorHAnsi" w:cstheme="majorHAnsi"/>
          <w:b/>
          <w:bCs/>
          <w:sz w:val="22"/>
          <w:lang w:val="en-US"/>
        </w:rPr>
        <w:t>-lactamase</w:t>
      </w:r>
      <w:r w:rsidR="00111072">
        <w:rPr>
          <w:rFonts w:asciiTheme="majorHAnsi" w:hAnsiTheme="majorHAnsi" w:cstheme="majorHAnsi"/>
          <w:b/>
          <w:bCs/>
          <w:sz w:val="22"/>
          <w:lang w:val="en-US"/>
        </w:rPr>
        <w:t xml:space="preserve">s, </w:t>
      </w:r>
      <w:r w:rsidR="00614640">
        <w:rPr>
          <w:rFonts w:asciiTheme="majorHAnsi" w:hAnsiTheme="majorHAnsi" w:cstheme="majorHAnsi"/>
          <w:b/>
          <w:bCs/>
          <w:sz w:val="22"/>
          <w:lang w:val="en-US"/>
        </w:rPr>
        <w:t>indicating</w:t>
      </w:r>
      <w:r w:rsidRPr="00DE2282">
        <w:rPr>
          <w:rFonts w:asciiTheme="majorHAnsi" w:hAnsiTheme="majorHAnsi" w:cstheme="majorHAnsi"/>
          <w:b/>
          <w:bCs/>
          <w:sz w:val="22"/>
          <w:lang w:val="en-US"/>
        </w:rPr>
        <w:t xml:space="preserve"> that the enhancer effect </w:t>
      </w:r>
      <w:r w:rsidR="00B62562">
        <w:rPr>
          <w:rFonts w:asciiTheme="majorHAnsi" w:hAnsiTheme="majorHAnsi" w:cstheme="majorHAnsi"/>
          <w:b/>
          <w:bCs/>
          <w:sz w:val="22"/>
          <w:lang w:val="en-US"/>
        </w:rPr>
        <w:t>is substantially retained even when antibiotic activity is lost</w:t>
      </w:r>
      <w:r w:rsidRPr="00DE2282">
        <w:rPr>
          <w:rFonts w:asciiTheme="majorHAnsi" w:hAnsiTheme="majorHAnsi" w:cstheme="majorHAnsi"/>
          <w:b/>
          <w:bCs/>
          <w:sz w:val="22"/>
          <w:lang w:val="en-US"/>
        </w:rPr>
        <w:t xml:space="preserve">.  </w:t>
      </w:r>
    </w:p>
    <w:p w:rsidR="007B515C" w:rsidRPr="00DE2282" w:rsidRDefault="003F1E7A" w:rsidP="007B515C">
      <w:pPr>
        <w:pStyle w:val="81"/>
        <w:spacing w:line="480" w:lineRule="auto"/>
        <w:ind w:left="0"/>
        <w:contextualSpacing w:val="0"/>
        <w:jc w:val="both"/>
        <w:rPr>
          <w:i/>
          <w:lang w:val="en-US"/>
        </w:rPr>
      </w:pPr>
      <w:r w:rsidRPr="00DE2282">
        <w:rPr>
          <w:b/>
          <w:lang w:val="en-US"/>
        </w:rPr>
        <w:br w:type="page"/>
      </w:r>
      <w:r w:rsidRPr="00DE2282">
        <w:rPr>
          <w:rFonts w:asciiTheme="majorHAnsi" w:hAnsiTheme="majorHAnsi" w:cstheme="majorHAnsi"/>
          <w:b/>
          <w:lang w:val="en-US"/>
        </w:rPr>
        <w:lastRenderedPageBreak/>
        <w:t>INTRODUCTION</w:t>
      </w:r>
    </w:p>
    <w:p w:rsidR="00516B20" w:rsidRDefault="003F1E7A" w:rsidP="007B515C">
      <w:pPr>
        <w:pStyle w:val="81"/>
        <w:spacing w:after="0" w:line="480" w:lineRule="auto"/>
        <w:ind w:left="0"/>
        <w:contextualSpacing w:val="0"/>
        <w:jc w:val="both"/>
        <w:rPr>
          <w:rFonts w:asciiTheme="majorHAnsi" w:hAnsiTheme="majorHAnsi" w:cstheme="majorHAnsi"/>
          <w:lang w:val="en-US"/>
        </w:rPr>
      </w:pPr>
      <w:r w:rsidRPr="00DE2282">
        <w:rPr>
          <w:rFonts w:asciiTheme="majorHAnsi" w:hAnsiTheme="majorHAnsi" w:cstheme="majorHAnsi"/>
          <w:lang w:val="en-US"/>
        </w:rPr>
        <w:t>OP0595 is a novel diazabicyclooctane</w:t>
      </w:r>
      <w:r w:rsidR="00111072">
        <w:rPr>
          <w:rFonts w:asciiTheme="majorHAnsi" w:hAnsiTheme="majorHAnsi" w:cstheme="majorHAnsi"/>
          <w:lang w:val="en-US"/>
        </w:rPr>
        <w:t xml:space="preserve"> [1,2] which, l</w:t>
      </w:r>
      <w:r w:rsidR="0000609E">
        <w:rPr>
          <w:rFonts w:asciiTheme="majorHAnsi" w:hAnsiTheme="majorHAnsi" w:cstheme="majorHAnsi"/>
          <w:lang w:val="en-US"/>
        </w:rPr>
        <w:t>ike avibactam</w:t>
      </w:r>
      <w:r w:rsidR="00111072">
        <w:rPr>
          <w:rFonts w:asciiTheme="majorHAnsi" w:hAnsiTheme="majorHAnsi" w:cstheme="majorHAnsi"/>
          <w:lang w:val="en-US"/>
        </w:rPr>
        <w:t>,</w:t>
      </w:r>
      <w:r w:rsidR="0000609E" w:rsidRPr="00DE2282">
        <w:rPr>
          <w:rFonts w:asciiTheme="majorHAnsi" w:hAnsiTheme="majorHAnsi" w:cstheme="majorHAnsi"/>
          <w:lang w:val="en-US"/>
        </w:rPr>
        <w:t xml:space="preserve"> </w:t>
      </w:r>
      <w:r w:rsidR="0000609E">
        <w:rPr>
          <w:rFonts w:asciiTheme="majorHAnsi" w:hAnsiTheme="majorHAnsi" w:cstheme="majorHAnsi"/>
          <w:lang w:val="en-US"/>
        </w:rPr>
        <w:t>inhibits Class A and C</w:t>
      </w:r>
      <w:r w:rsidR="0000609E" w:rsidRPr="00DE2282">
        <w:rPr>
          <w:rFonts w:asciiTheme="majorHAnsi" w:hAnsiTheme="majorHAnsi" w:cstheme="majorHAnsi"/>
          <w:lang w:val="en-US"/>
        </w:rPr>
        <w:t xml:space="preserve"> </w:t>
      </w:r>
      <w:r w:rsidR="0000609E" w:rsidRPr="00DE2282">
        <w:rPr>
          <w:rFonts w:asciiTheme="majorHAnsi" w:eastAsia="MS Mincho" w:hAnsiTheme="majorHAnsi" w:cstheme="majorHAnsi"/>
          <w:shd w:val="clear" w:color="auto" w:fill="FFFFFF"/>
          <w:lang w:val="en-US" w:eastAsia="ja-JP"/>
        </w:rPr>
        <w:t>serine</w:t>
      </w:r>
      <w:r w:rsidR="0000609E" w:rsidRPr="00DE2282">
        <w:rPr>
          <w:rFonts w:asciiTheme="majorHAnsi" w:hAnsiTheme="majorHAnsi" w:cstheme="majorHAnsi"/>
          <w:shd w:val="clear" w:color="auto" w:fill="FFFFFF"/>
          <w:lang w:val="en-US"/>
        </w:rPr>
        <w:t xml:space="preserve"> </w:t>
      </w:r>
      <w:r w:rsidR="0000609E" w:rsidRPr="00DE2282">
        <w:rPr>
          <w:rFonts w:ascii="Symbol" w:hAnsi="Symbol" w:cstheme="majorHAnsi"/>
          <w:shd w:val="clear" w:color="auto" w:fill="FFFFFF"/>
          <w:lang w:val="en-US"/>
        </w:rPr>
        <w:t></w:t>
      </w:r>
      <w:r w:rsidR="0000609E" w:rsidRPr="00DE2282">
        <w:rPr>
          <w:rFonts w:ascii="Symbol" w:hAnsi="Symbol" w:cstheme="majorHAnsi"/>
          <w:shd w:val="clear" w:color="auto" w:fill="FFFFFF"/>
          <w:lang w:val="en-US"/>
        </w:rPr>
        <w:t></w:t>
      </w:r>
      <w:r w:rsidR="0000609E" w:rsidRPr="00DE2282">
        <w:rPr>
          <w:rFonts w:asciiTheme="majorHAnsi" w:hAnsiTheme="majorHAnsi" w:cstheme="majorHAnsi"/>
          <w:shd w:val="clear" w:color="auto" w:fill="FFFFFF"/>
          <w:lang w:val="en-US"/>
        </w:rPr>
        <w:t>lactamases</w:t>
      </w:r>
      <w:r w:rsidR="00111072">
        <w:rPr>
          <w:rFonts w:asciiTheme="majorHAnsi" w:hAnsiTheme="majorHAnsi" w:cstheme="majorHAnsi"/>
          <w:shd w:val="clear" w:color="auto" w:fill="FFFFFF"/>
          <w:lang w:val="en-US"/>
        </w:rPr>
        <w:t>. In</w:t>
      </w:r>
      <w:r w:rsidR="0000609E">
        <w:rPr>
          <w:rFonts w:asciiTheme="majorHAnsi" w:hAnsiTheme="majorHAnsi" w:cstheme="majorHAnsi"/>
          <w:lang w:val="en-US"/>
        </w:rPr>
        <w:t xml:space="preserve"> addition</w:t>
      </w:r>
      <w:r w:rsidR="0019784F">
        <w:rPr>
          <w:rFonts w:asciiTheme="majorHAnsi" w:hAnsiTheme="majorHAnsi" w:cstheme="majorHAnsi"/>
          <w:lang w:val="en-US"/>
        </w:rPr>
        <w:t>,</w:t>
      </w:r>
      <w:r w:rsidR="00B62562">
        <w:rPr>
          <w:rFonts w:asciiTheme="majorHAnsi" w:hAnsiTheme="majorHAnsi" w:cstheme="majorHAnsi"/>
          <w:lang w:val="en-US"/>
        </w:rPr>
        <w:t xml:space="preserve"> unlike avibactam,</w:t>
      </w:r>
      <w:r w:rsidRPr="00DE2282">
        <w:rPr>
          <w:rFonts w:asciiTheme="majorHAnsi" w:hAnsiTheme="majorHAnsi" w:cstheme="majorHAnsi"/>
          <w:shd w:val="clear" w:color="auto" w:fill="FFFFFF"/>
          <w:lang w:val="en-US"/>
        </w:rPr>
        <w:t xml:space="preserve"> it</w:t>
      </w:r>
      <w:r w:rsidR="0019784F">
        <w:rPr>
          <w:rFonts w:asciiTheme="majorHAnsi" w:hAnsiTheme="majorHAnsi" w:cstheme="majorHAnsi"/>
          <w:shd w:val="clear" w:color="auto" w:fill="FFFFFF"/>
          <w:lang w:val="en-US"/>
        </w:rPr>
        <w:t xml:space="preserve"> </w:t>
      </w:r>
      <w:r w:rsidR="00B62562">
        <w:rPr>
          <w:rFonts w:asciiTheme="majorHAnsi" w:hAnsiTheme="majorHAnsi" w:cstheme="majorHAnsi"/>
          <w:shd w:val="clear" w:color="auto" w:fill="FFFFFF"/>
          <w:lang w:val="en-US"/>
        </w:rPr>
        <w:t xml:space="preserve">strongly </w:t>
      </w:r>
      <w:r w:rsidR="0019784F">
        <w:rPr>
          <w:rFonts w:asciiTheme="majorHAnsi" w:hAnsiTheme="majorHAnsi" w:cstheme="majorHAnsi"/>
          <w:shd w:val="clear" w:color="auto" w:fill="FFFFFF"/>
          <w:lang w:val="en-US"/>
        </w:rPr>
        <w:t>binds PBP2 of Enterobacteriaceae and</w:t>
      </w:r>
      <w:r w:rsidRPr="00DE2282">
        <w:rPr>
          <w:rFonts w:asciiTheme="majorHAnsi" w:hAnsiTheme="majorHAnsi" w:cstheme="majorHAnsi"/>
          <w:shd w:val="clear" w:color="auto" w:fill="FFFFFF"/>
          <w:lang w:val="en-US"/>
        </w:rPr>
        <w:t xml:space="preserve"> </w:t>
      </w:r>
      <w:r w:rsidR="00516B20">
        <w:rPr>
          <w:rFonts w:asciiTheme="majorHAnsi" w:hAnsiTheme="majorHAnsi" w:cstheme="majorHAnsi"/>
          <w:shd w:val="clear" w:color="auto" w:fill="FFFFFF"/>
          <w:lang w:val="en-US"/>
        </w:rPr>
        <w:t>has</w:t>
      </w:r>
      <w:r w:rsidRPr="00DE2282">
        <w:rPr>
          <w:rFonts w:asciiTheme="majorHAnsi" w:hAnsiTheme="majorHAnsi" w:cstheme="majorHAnsi"/>
          <w:shd w:val="clear" w:color="auto" w:fill="FFFFFF"/>
          <w:lang w:val="en-US"/>
        </w:rPr>
        <w:t xml:space="preserve"> </w:t>
      </w:r>
      <w:r w:rsidR="0019784F">
        <w:rPr>
          <w:rFonts w:asciiTheme="majorHAnsi" w:hAnsiTheme="majorHAnsi" w:cstheme="majorHAnsi"/>
          <w:shd w:val="clear" w:color="auto" w:fill="FFFFFF"/>
          <w:lang w:val="en-US"/>
        </w:rPr>
        <w:t xml:space="preserve">direct </w:t>
      </w:r>
      <w:r w:rsidRPr="00DE2282">
        <w:rPr>
          <w:rFonts w:asciiTheme="majorHAnsi" w:hAnsiTheme="majorHAnsi" w:cstheme="majorHAnsi"/>
          <w:shd w:val="clear" w:color="auto" w:fill="FFFFFF"/>
          <w:lang w:val="en-US"/>
        </w:rPr>
        <w:t>antibacterial</w:t>
      </w:r>
      <w:r w:rsidR="00516B20">
        <w:rPr>
          <w:rFonts w:asciiTheme="majorHAnsi" w:hAnsiTheme="majorHAnsi" w:cstheme="majorHAnsi"/>
          <w:shd w:val="clear" w:color="auto" w:fill="FFFFFF"/>
          <w:lang w:val="en-US"/>
        </w:rPr>
        <w:t xml:space="preserve"> activity</w:t>
      </w:r>
      <w:r w:rsidRPr="00DE2282">
        <w:rPr>
          <w:rFonts w:asciiTheme="majorHAnsi" w:hAnsiTheme="majorHAnsi" w:cstheme="majorHAnsi"/>
          <w:shd w:val="clear" w:color="auto" w:fill="FFFFFF"/>
          <w:lang w:val="en-US"/>
        </w:rPr>
        <w:t xml:space="preserve">, </w:t>
      </w:r>
      <w:r w:rsidR="00516B20" w:rsidRPr="00DE2282">
        <w:rPr>
          <w:rFonts w:asciiTheme="majorHAnsi" w:hAnsiTheme="majorHAnsi" w:cstheme="majorHAnsi"/>
          <w:shd w:val="clear" w:color="auto" w:fill="FFFFFF"/>
          <w:lang w:val="en-US"/>
        </w:rPr>
        <w:t xml:space="preserve">with MICs of 0.5-4 </w:t>
      </w:r>
      <w:r w:rsidR="00516B20" w:rsidRPr="00DE2282">
        <w:rPr>
          <w:rFonts w:ascii="Symbol" w:hAnsi="Symbol" w:cstheme="majorHAnsi"/>
          <w:shd w:val="clear" w:color="auto" w:fill="FFFFFF"/>
          <w:lang w:val="en-US"/>
        </w:rPr>
        <w:t></w:t>
      </w:r>
      <w:r w:rsidR="00516B20" w:rsidRPr="00DE2282">
        <w:rPr>
          <w:rFonts w:asciiTheme="majorHAnsi" w:hAnsiTheme="majorHAnsi" w:cstheme="majorHAnsi"/>
          <w:shd w:val="clear" w:color="auto" w:fill="FFFFFF"/>
          <w:lang w:val="en-US"/>
        </w:rPr>
        <w:t xml:space="preserve">g/ml for many </w:t>
      </w:r>
      <w:r w:rsidR="0019784F">
        <w:rPr>
          <w:rFonts w:asciiTheme="majorHAnsi" w:hAnsiTheme="majorHAnsi" w:cstheme="majorHAnsi"/>
          <w:i/>
          <w:shd w:val="clear" w:color="auto" w:fill="FFFFFF"/>
          <w:lang w:val="en-US"/>
        </w:rPr>
        <w:t xml:space="preserve">Escherichia coli, Klebsiella </w:t>
      </w:r>
      <w:r w:rsidR="0019784F" w:rsidRPr="0019784F">
        <w:rPr>
          <w:rFonts w:asciiTheme="majorHAnsi" w:hAnsiTheme="majorHAnsi" w:cstheme="majorHAnsi"/>
          <w:shd w:val="clear" w:color="auto" w:fill="FFFFFF"/>
          <w:lang w:val="en-US"/>
        </w:rPr>
        <w:t>spp</w:t>
      </w:r>
      <w:r w:rsidR="0019784F">
        <w:rPr>
          <w:rFonts w:asciiTheme="majorHAnsi" w:hAnsiTheme="majorHAnsi" w:cstheme="majorHAnsi"/>
          <w:i/>
          <w:shd w:val="clear" w:color="auto" w:fill="FFFFFF"/>
          <w:lang w:val="en-US"/>
        </w:rPr>
        <w:t xml:space="preserve">. and Enterobacter </w:t>
      </w:r>
      <w:r w:rsidR="0019784F" w:rsidRPr="0019784F">
        <w:rPr>
          <w:rFonts w:asciiTheme="majorHAnsi" w:hAnsiTheme="majorHAnsi" w:cstheme="majorHAnsi"/>
          <w:shd w:val="clear" w:color="auto" w:fill="FFFFFF"/>
          <w:lang w:val="en-US"/>
        </w:rPr>
        <w:t>spp.</w:t>
      </w:r>
      <w:r w:rsidR="0019784F">
        <w:rPr>
          <w:rFonts w:asciiTheme="majorHAnsi" w:hAnsiTheme="majorHAnsi" w:cstheme="majorHAnsi"/>
          <w:shd w:val="clear" w:color="auto" w:fill="FFFFFF"/>
          <w:lang w:val="en-US"/>
        </w:rPr>
        <w:t xml:space="preserve"> </w:t>
      </w:r>
      <w:r w:rsidR="00111072">
        <w:rPr>
          <w:rFonts w:asciiTheme="majorHAnsi" w:hAnsiTheme="majorHAnsi" w:cstheme="majorHAnsi"/>
          <w:shd w:val="clear" w:color="auto" w:fill="FFFFFF"/>
          <w:lang w:val="en-US"/>
        </w:rPr>
        <w:t>[1</w:t>
      </w:r>
      <w:r w:rsidR="0019784F">
        <w:rPr>
          <w:rFonts w:asciiTheme="majorHAnsi" w:hAnsiTheme="majorHAnsi" w:cstheme="majorHAnsi"/>
          <w:shd w:val="clear" w:color="auto" w:fill="FFFFFF"/>
          <w:lang w:val="en-US"/>
        </w:rPr>
        <w:t>,2</w:t>
      </w:r>
      <w:r w:rsidR="00111072">
        <w:rPr>
          <w:rFonts w:asciiTheme="majorHAnsi" w:hAnsiTheme="majorHAnsi" w:cstheme="majorHAnsi"/>
          <w:shd w:val="clear" w:color="auto" w:fill="FFFFFF"/>
          <w:lang w:val="en-US"/>
        </w:rPr>
        <w:t>].</w:t>
      </w:r>
      <w:r w:rsidR="00516B20">
        <w:rPr>
          <w:rFonts w:asciiTheme="majorHAnsi" w:hAnsiTheme="majorHAnsi" w:cstheme="majorHAnsi"/>
          <w:shd w:val="clear" w:color="auto" w:fill="FFFFFF"/>
          <w:lang w:val="en-US"/>
        </w:rPr>
        <w:t xml:space="preserve"> </w:t>
      </w:r>
      <w:r w:rsidR="00111072">
        <w:rPr>
          <w:rFonts w:asciiTheme="majorHAnsi" w:hAnsiTheme="majorHAnsi" w:cstheme="majorHAnsi"/>
          <w:shd w:val="clear" w:color="auto" w:fill="FFFFFF"/>
          <w:lang w:val="en-US"/>
        </w:rPr>
        <w:t>Finally</w:t>
      </w:r>
      <w:r w:rsidR="00516B20">
        <w:rPr>
          <w:rFonts w:asciiTheme="majorHAnsi" w:hAnsiTheme="majorHAnsi" w:cstheme="majorHAnsi"/>
          <w:shd w:val="clear" w:color="auto" w:fill="FFFFFF"/>
          <w:lang w:val="en-US"/>
        </w:rPr>
        <w:t xml:space="preserve">, like mecillinam </w:t>
      </w:r>
      <w:r w:rsidR="00516B20" w:rsidRPr="0019784F">
        <w:rPr>
          <w:rFonts w:asciiTheme="majorHAnsi" w:hAnsiTheme="majorHAnsi" w:cstheme="majorHAnsi"/>
          <w:shd w:val="clear" w:color="auto" w:fill="FFFFFF"/>
          <w:lang w:val="en-US"/>
        </w:rPr>
        <w:t>[3-7],</w:t>
      </w:r>
      <w:r w:rsidRPr="00DE2282">
        <w:rPr>
          <w:rFonts w:asciiTheme="majorHAnsi" w:hAnsiTheme="majorHAnsi" w:cstheme="majorHAnsi"/>
          <w:shd w:val="clear" w:color="auto" w:fill="FFFFFF"/>
          <w:lang w:val="en-US"/>
        </w:rPr>
        <w:t xml:space="preserve"> </w:t>
      </w:r>
      <w:r w:rsidR="00111072">
        <w:rPr>
          <w:rFonts w:asciiTheme="majorHAnsi" w:hAnsiTheme="majorHAnsi" w:cstheme="majorHAnsi"/>
          <w:shd w:val="clear" w:color="auto" w:fill="FFFFFF"/>
          <w:lang w:val="en-US"/>
        </w:rPr>
        <w:t xml:space="preserve">it acts as </w:t>
      </w:r>
      <w:r w:rsidRPr="00DE2282">
        <w:rPr>
          <w:rFonts w:asciiTheme="majorHAnsi" w:hAnsiTheme="majorHAnsi" w:cstheme="majorHAnsi"/>
          <w:shd w:val="clear" w:color="auto" w:fill="FFFFFF"/>
          <w:lang w:val="en-US"/>
        </w:rPr>
        <w:t>an ‘enhancer’ of the activity of</w:t>
      </w:r>
      <w:r w:rsidRPr="00DE2282">
        <w:rPr>
          <w:rFonts w:asciiTheme="majorHAnsi" w:hAnsiTheme="majorHAnsi" w:cstheme="majorHAnsi"/>
          <w:lang w:val="en-US"/>
        </w:rPr>
        <w:t xml:space="preserve"> </w:t>
      </w:r>
      <w:r w:rsidRPr="00DE2282">
        <w:rPr>
          <w:rFonts w:ascii="Symbol" w:hAnsi="Symbol" w:cstheme="majorHAnsi"/>
          <w:lang w:val="en-US"/>
        </w:rPr>
        <w:t></w:t>
      </w:r>
      <w:r w:rsidRPr="00DE2282">
        <w:rPr>
          <w:rFonts w:ascii="Symbol" w:hAnsi="Symbol" w:cstheme="majorHAnsi"/>
          <w:lang w:val="en-US"/>
        </w:rPr>
        <w:t></w:t>
      </w:r>
      <w:r w:rsidRPr="00DE2282">
        <w:rPr>
          <w:rFonts w:asciiTheme="majorHAnsi" w:hAnsiTheme="majorHAnsi" w:cstheme="majorHAnsi"/>
          <w:lang w:val="en-US"/>
        </w:rPr>
        <w:t xml:space="preserve">lactams that bind to other PBPs, giving </w:t>
      </w:r>
      <w:r w:rsidR="00516B20">
        <w:rPr>
          <w:rFonts w:asciiTheme="majorHAnsi" w:hAnsiTheme="majorHAnsi" w:cstheme="majorHAnsi"/>
          <w:lang w:val="en-US"/>
        </w:rPr>
        <w:t>synergies</w:t>
      </w:r>
      <w:r w:rsidRPr="00DE2282">
        <w:rPr>
          <w:rFonts w:asciiTheme="majorHAnsi" w:hAnsiTheme="majorHAnsi" w:cstheme="majorHAnsi"/>
          <w:lang w:val="en-US"/>
        </w:rPr>
        <w:t xml:space="preserve"> that cannot be explained by </w:t>
      </w:r>
      <w:r w:rsidRPr="00DE2282">
        <w:rPr>
          <w:rFonts w:ascii="Symbol" w:hAnsi="Symbol" w:cstheme="majorHAnsi"/>
          <w:lang w:val="en-US"/>
        </w:rPr>
        <w:t></w:t>
      </w:r>
      <w:r w:rsidRPr="00DE2282">
        <w:rPr>
          <w:rFonts w:asciiTheme="majorHAnsi" w:hAnsiTheme="majorHAnsi" w:cstheme="majorHAnsi"/>
          <w:lang w:val="en-US"/>
        </w:rPr>
        <w:t>-lactamase inhibition</w:t>
      </w:r>
      <w:r w:rsidR="00111072">
        <w:rPr>
          <w:rFonts w:asciiTheme="majorHAnsi" w:hAnsiTheme="majorHAnsi" w:cstheme="majorHAnsi"/>
          <w:lang w:val="en-US"/>
        </w:rPr>
        <w:t xml:space="preserve"> [1,2].</w:t>
      </w:r>
      <w:r w:rsidRPr="00DE2282">
        <w:rPr>
          <w:rFonts w:asciiTheme="majorHAnsi" w:hAnsiTheme="majorHAnsi" w:cstheme="majorHAnsi"/>
          <w:lang w:val="en-US"/>
        </w:rPr>
        <w:tab/>
      </w:r>
    </w:p>
    <w:p w:rsidR="007B515C" w:rsidRPr="00DE2282" w:rsidRDefault="003F1E7A" w:rsidP="00516B20">
      <w:pPr>
        <w:pStyle w:val="81"/>
        <w:spacing w:after="0" w:line="480" w:lineRule="auto"/>
        <w:ind w:left="0" w:firstLine="720"/>
        <w:contextualSpacing w:val="0"/>
        <w:jc w:val="both"/>
        <w:rPr>
          <w:rFonts w:asciiTheme="majorHAnsi" w:hAnsiTheme="majorHAnsi" w:cstheme="majorHAnsi"/>
          <w:lang w:val="en-US"/>
        </w:rPr>
      </w:pPr>
      <w:r w:rsidRPr="00DE2282">
        <w:rPr>
          <w:rFonts w:asciiTheme="majorHAnsi" w:hAnsiTheme="majorHAnsi" w:cstheme="majorHAnsi"/>
          <w:lang w:val="en-US"/>
        </w:rPr>
        <w:t>The antibacterial activity of OP0595 is vulnerable to mutational resistance [1] and we sought to explore whether the molecule</w:t>
      </w:r>
      <w:r w:rsidR="00516B20">
        <w:rPr>
          <w:rFonts w:asciiTheme="majorHAnsi" w:hAnsiTheme="majorHAnsi" w:cstheme="majorHAnsi"/>
          <w:lang w:val="en-US"/>
        </w:rPr>
        <w:t>'s</w:t>
      </w:r>
      <w:r w:rsidRPr="00DE2282">
        <w:rPr>
          <w:rFonts w:asciiTheme="majorHAnsi" w:hAnsiTheme="majorHAnsi" w:cstheme="majorHAnsi"/>
          <w:lang w:val="en-US"/>
        </w:rPr>
        <w:t xml:space="preserve"> other activities</w:t>
      </w:r>
      <w:r w:rsidR="002505CE">
        <w:rPr>
          <w:rFonts w:asciiTheme="majorHAnsi" w:hAnsiTheme="majorHAnsi" w:cstheme="majorHAnsi"/>
          <w:lang w:val="en-US"/>
        </w:rPr>
        <w:t xml:space="preserve"> </w:t>
      </w:r>
      <w:r w:rsidR="003F6446">
        <w:rPr>
          <w:rFonts w:asciiTheme="majorHAnsi" w:hAnsiTheme="majorHAnsi" w:cstheme="majorHAnsi"/>
          <w:lang w:val="en-US"/>
        </w:rPr>
        <w:t>were retained</w:t>
      </w:r>
      <w:r w:rsidRPr="00DE2282">
        <w:rPr>
          <w:rFonts w:asciiTheme="majorHAnsi" w:hAnsiTheme="majorHAnsi" w:cstheme="majorHAnsi"/>
          <w:lang w:val="en-US"/>
        </w:rPr>
        <w:t xml:space="preserve"> </w:t>
      </w:r>
      <w:r w:rsidR="00424FB2">
        <w:rPr>
          <w:rFonts w:asciiTheme="majorHAnsi" w:hAnsiTheme="majorHAnsi" w:cstheme="majorHAnsi"/>
          <w:lang w:val="en-US"/>
        </w:rPr>
        <w:t xml:space="preserve">against </w:t>
      </w:r>
      <w:r w:rsidR="003F6446">
        <w:rPr>
          <w:rFonts w:asciiTheme="majorHAnsi" w:hAnsiTheme="majorHAnsi" w:cstheme="majorHAnsi"/>
          <w:lang w:val="en-US"/>
        </w:rPr>
        <w:t>these</w:t>
      </w:r>
      <w:r w:rsidR="00424FB2">
        <w:rPr>
          <w:rFonts w:asciiTheme="majorHAnsi" w:hAnsiTheme="majorHAnsi" w:cstheme="majorHAnsi"/>
          <w:lang w:val="en-US"/>
        </w:rPr>
        <w:t xml:space="preserve"> mutants</w:t>
      </w:r>
      <w:r w:rsidRPr="00DE2282">
        <w:rPr>
          <w:rFonts w:asciiTheme="majorHAnsi" w:hAnsiTheme="majorHAnsi" w:cstheme="majorHAnsi"/>
          <w:lang w:val="en-US"/>
        </w:rPr>
        <w:t xml:space="preserve">.  These studies will inform the choice of clinical partner(s) for OP0595, which is now </w:t>
      </w:r>
      <w:r w:rsidR="00111072">
        <w:rPr>
          <w:rFonts w:asciiTheme="majorHAnsi" w:hAnsiTheme="majorHAnsi" w:cstheme="majorHAnsi"/>
          <w:lang w:val="en-US"/>
        </w:rPr>
        <w:t>in</w:t>
      </w:r>
      <w:r w:rsidRPr="00DE2282">
        <w:rPr>
          <w:rFonts w:asciiTheme="majorHAnsi" w:hAnsiTheme="majorHAnsi" w:cstheme="majorHAnsi"/>
          <w:lang w:val="en-US"/>
        </w:rPr>
        <w:t xml:space="preserve"> Phase I development [8].</w:t>
      </w:r>
    </w:p>
    <w:p w:rsidR="007B515C" w:rsidRPr="00DE2282" w:rsidRDefault="007B515C" w:rsidP="007B515C">
      <w:pPr>
        <w:pStyle w:val="81"/>
        <w:spacing w:after="0" w:line="480" w:lineRule="auto"/>
        <w:ind w:left="0"/>
        <w:contextualSpacing w:val="0"/>
        <w:jc w:val="both"/>
        <w:rPr>
          <w:rFonts w:asciiTheme="majorHAnsi" w:hAnsiTheme="majorHAnsi" w:cstheme="majorHAnsi"/>
          <w:lang w:val="en-US"/>
        </w:rPr>
      </w:pPr>
    </w:p>
    <w:p w:rsidR="007B515C" w:rsidRPr="00DE2282" w:rsidRDefault="003F1E7A" w:rsidP="007B515C">
      <w:pPr>
        <w:pStyle w:val="81"/>
        <w:spacing w:after="0" w:line="480" w:lineRule="auto"/>
        <w:ind w:left="0"/>
        <w:contextualSpacing w:val="0"/>
        <w:jc w:val="both"/>
        <w:rPr>
          <w:rFonts w:asciiTheme="majorHAnsi" w:hAnsiTheme="majorHAnsi" w:cstheme="majorHAnsi"/>
          <w:b/>
          <w:lang w:val="en-US"/>
        </w:rPr>
      </w:pPr>
      <w:r w:rsidRPr="00DE2282">
        <w:rPr>
          <w:rFonts w:asciiTheme="majorHAnsi" w:hAnsiTheme="majorHAnsi" w:cstheme="majorHAnsi"/>
          <w:b/>
          <w:lang w:val="en-US"/>
        </w:rPr>
        <w:t>MATERIALS AND METHODS</w:t>
      </w:r>
    </w:p>
    <w:p w:rsidR="007B515C" w:rsidRPr="00DE2282" w:rsidRDefault="003F1E7A" w:rsidP="007B515C">
      <w:pPr>
        <w:pStyle w:val="81"/>
        <w:spacing w:after="0" w:line="480" w:lineRule="auto"/>
        <w:ind w:left="0"/>
        <w:contextualSpacing w:val="0"/>
        <w:jc w:val="both"/>
        <w:rPr>
          <w:rFonts w:asciiTheme="majorHAnsi" w:hAnsiTheme="majorHAnsi" w:cstheme="majorHAnsi"/>
          <w:b/>
          <w:lang w:val="en-US"/>
        </w:rPr>
      </w:pPr>
      <w:r w:rsidRPr="00DE2282">
        <w:rPr>
          <w:rFonts w:asciiTheme="majorHAnsi" w:hAnsiTheme="majorHAnsi" w:cstheme="majorHAnsi"/>
          <w:b/>
          <w:lang w:val="en-US"/>
        </w:rPr>
        <w:t xml:space="preserve">Strains. </w:t>
      </w:r>
      <w:r w:rsidRPr="00DE2282">
        <w:rPr>
          <w:rFonts w:asciiTheme="majorHAnsi" w:hAnsiTheme="majorHAnsi" w:cstheme="majorHAnsi"/>
          <w:lang w:val="en-US"/>
        </w:rPr>
        <w:t xml:space="preserve">Parent </w:t>
      </w:r>
      <w:r w:rsidR="008B60FB">
        <w:rPr>
          <w:rFonts w:asciiTheme="majorHAnsi" w:hAnsiTheme="majorHAnsi" w:cstheme="majorHAnsi"/>
          <w:lang w:val="en-US"/>
        </w:rPr>
        <w:t>strains</w:t>
      </w:r>
      <w:r w:rsidRPr="00DE2282">
        <w:rPr>
          <w:rFonts w:asciiTheme="majorHAnsi" w:hAnsiTheme="majorHAnsi" w:cstheme="majorHAnsi"/>
          <w:lang w:val="en-US"/>
        </w:rPr>
        <w:t xml:space="preserve"> (n=82, Table 1) were recent submissions to the United Kingdom reference laboratory, or were collected in surveys.  Extended-spectrum </w:t>
      </w:r>
      <w:r w:rsidRPr="00DE2282">
        <w:rPr>
          <w:rFonts w:ascii="Symbol" w:hAnsi="Symbol" w:cstheme="majorHAnsi"/>
          <w:lang w:val="en-US"/>
        </w:rPr>
        <w:t></w:t>
      </w:r>
      <w:r w:rsidRPr="00DE2282">
        <w:rPr>
          <w:rFonts w:asciiTheme="majorHAnsi" w:hAnsiTheme="majorHAnsi" w:cstheme="majorHAnsi"/>
          <w:lang w:val="en-US"/>
        </w:rPr>
        <w:t xml:space="preserve">-lactamase (ESBL) and AmpC cephalosporinase production was inferred from phenotype; carbapenemases were characterized by PCR and </w:t>
      </w:r>
      <w:r w:rsidR="00111072">
        <w:rPr>
          <w:rFonts w:asciiTheme="majorHAnsi" w:hAnsiTheme="majorHAnsi" w:cstheme="majorHAnsi"/>
          <w:lang w:val="en-US"/>
        </w:rPr>
        <w:t>sequencing [9,10]</w:t>
      </w:r>
      <w:r w:rsidRPr="00DE2282">
        <w:rPr>
          <w:rFonts w:asciiTheme="majorHAnsi" w:hAnsiTheme="majorHAnsi" w:cstheme="majorHAnsi"/>
          <w:lang w:val="en-US"/>
        </w:rPr>
        <w:t>.</w:t>
      </w:r>
    </w:p>
    <w:p w:rsidR="007B515C" w:rsidRPr="00DE2282" w:rsidRDefault="003F1E7A" w:rsidP="007B515C">
      <w:pPr>
        <w:pStyle w:val="81"/>
        <w:spacing w:after="0" w:line="480" w:lineRule="auto"/>
        <w:ind w:left="0"/>
        <w:contextualSpacing w:val="0"/>
        <w:jc w:val="both"/>
        <w:rPr>
          <w:rFonts w:asciiTheme="majorHAnsi" w:hAnsiTheme="majorHAnsi" w:cstheme="majorHAnsi"/>
          <w:lang w:val="en-US"/>
        </w:rPr>
      </w:pPr>
      <w:r w:rsidRPr="00DE2282">
        <w:rPr>
          <w:rFonts w:asciiTheme="majorHAnsi" w:hAnsiTheme="majorHAnsi" w:cstheme="majorHAnsi"/>
          <w:lang w:val="en-US"/>
        </w:rPr>
        <w:t xml:space="preserve"> </w:t>
      </w:r>
    </w:p>
    <w:p w:rsidR="007B515C" w:rsidRPr="00DE2282" w:rsidRDefault="003F1E7A" w:rsidP="007B515C">
      <w:pPr>
        <w:pStyle w:val="81"/>
        <w:spacing w:after="0" w:line="480" w:lineRule="auto"/>
        <w:ind w:left="0"/>
        <w:contextualSpacing w:val="0"/>
        <w:jc w:val="both"/>
        <w:rPr>
          <w:rFonts w:asciiTheme="majorHAnsi" w:hAnsiTheme="majorHAnsi" w:cstheme="majorHAnsi"/>
          <w:b/>
          <w:lang w:val="en-US"/>
        </w:rPr>
      </w:pPr>
      <w:r w:rsidRPr="00DE2282">
        <w:rPr>
          <w:rFonts w:asciiTheme="majorHAnsi" w:hAnsiTheme="majorHAnsi" w:cstheme="majorHAnsi"/>
          <w:b/>
          <w:lang w:val="en-US"/>
        </w:rPr>
        <w:t xml:space="preserve">Selection of OP0595-resistant mutants. </w:t>
      </w:r>
      <w:r w:rsidRPr="00DE2282">
        <w:rPr>
          <w:rFonts w:asciiTheme="majorHAnsi" w:hAnsiTheme="majorHAnsi" w:cstheme="majorHAnsi"/>
          <w:lang w:val="en-US"/>
        </w:rPr>
        <w:t xml:space="preserve">Selection was by applying </w:t>
      </w:r>
      <w:r w:rsidR="002505CE" w:rsidRPr="00DE2282">
        <w:rPr>
          <w:rFonts w:asciiTheme="majorHAnsi" w:hAnsiTheme="majorHAnsi" w:cstheme="majorHAnsi"/>
          <w:lang w:val="en-US"/>
        </w:rPr>
        <w:t>0.2 m</w:t>
      </w:r>
      <w:r w:rsidR="002505CE">
        <w:rPr>
          <w:rFonts w:asciiTheme="majorHAnsi" w:eastAsia="MS Mincho" w:hAnsiTheme="majorHAnsi" w:cstheme="majorHAnsi"/>
          <w:lang w:val="en-US" w:eastAsia="ja-JP"/>
        </w:rPr>
        <w:t>l</w:t>
      </w:r>
      <w:r w:rsidR="002505CE" w:rsidRPr="00DE2282">
        <w:rPr>
          <w:rFonts w:asciiTheme="majorHAnsi" w:hAnsiTheme="majorHAnsi" w:cstheme="majorHAnsi"/>
          <w:lang w:val="en-US"/>
        </w:rPr>
        <w:t xml:space="preserve"> of overnight broth culture</w:t>
      </w:r>
      <w:r w:rsidR="002505CE">
        <w:rPr>
          <w:rFonts w:asciiTheme="majorHAnsi" w:hAnsiTheme="majorHAnsi" w:cstheme="majorHAnsi"/>
          <w:lang w:val="en-US"/>
        </w:rPr>
        <w:t xml:space="preserve"> (</w:t>
      </w:r>
      <w:r w:rsidR="0019784F">
        <w:rPr>
          <w:rFonts w:asciiTheme="majorHAnsi" w:hAnsiTheme="majorHAnsi" w:cstheme="majorHAnsi"/>
          <w:lang w:val="en-US"/>
        </w:rPr>
        <w:t>approx</w:t>
      </w:r>
      <w:r w:rsidRPr="00DE2282">
        <w:rPr>
          <w:rFonts w:asciiTheme="majorHAnsi" w:hAnsiTheme="majorHAnsi" w:cstheme="majorHAnsi"/>
          <w:lang w:val="en-US"/>
        </w:rPr>
        <w:t>. 5 x 10</w:t>
      </w:r>
      <w:r w:rsidRPr="00DE2282">
        <w:rPr>
          <w:rFonts w:asciiTheme="majorHAnsi" w:hAnsiTheme="majorHAnsi" w:cstheme="majorHAnsi"/>
          <w:vertAlign w:val="superscript"/>
          <w:lang w:val="en-US"/>
        </w:rPr>
        <w:t>8</w:t>
      </w:r>
      <w:r w:rsidR="002505CE">
        <w:rPr>
          <w:rFonts w:asciiTheme="majorHAnsi" w:hAnsiTheme="majorHAnsi" w:cstheme="majorHAnsi"/>
          <w:lang w:val="en-US"/>
        </w:rPr>
        <w:t xml:space="preserve"> cfu</w:t>
      </w:r>
      <w:r w:rsidRPr="00DE2282">
        <w:rPr>
          <w:rFonts w:asciiTheme="majorHAnsi" w:hAnsiTheme="majorHAnsi" w:cstheme="majorHAnsi"/>
          <w:lang w:val="en-US"/>
        </w:rPr>
        <w:t>) to Mueller</w:t>
      </w:r>
      <w:r w:rsidRPr="00DE2282">
        <w:rPr>
          <w:rFonts w:asciiTheme="majorHAnsi" w:eastAsia="MS Mincho" w:hAnsiTheme="majorHAnsi" w:cstheme="majorHAnsi"/>
          <w:lang w:val="en-US" w:eastAsia="ja-JP"/>
        </w:rPr>
        <w:t>-</w:t>
      </w:r>
      <w:r w:rsidRPr="00DE2282">
        <w:rPr>
          <w:rFonts w:asciiTheme="majorHAnsi" w:hAnsiTheme="majorHAnsi" w:cstheme="majorHAnsi"/>
          <w:lang w:val="en-US"/>
        </w:rPr>
        <w:t>Hinton agar (Oxoid, Basingstoke, United Kingdom) containing OP0595 (Meiji</w:t>
      </w:r>
      <w:r w:rsidRPr="00DE2282">
        <w:rPr>
          <w:rFonts w:asciiTheme="majorHAnsi" w:eastAsiaTheme="minorEastAsia" w:hAnsiTheme="majorHAnsi" w:cstheme="majorHAnsi"/>
          <w:lang w:val="en-US" w:eastAsia="ja-JP"/>
        </w:rPr>
        <w:t xml:space="preserve"> Seika Pharma</w:t>
      </w:r>
      <w:r w:rsidRPr="00DE2282">
        <w:rPr>
          <w:rFonts w:asciiTheme="majorHAnsi" w:hAnsiTheme="majorHAnsi" w:cstheme="majorHAnsi"/>
          <w:lang w:val="en-US"/>
        </w:rPr>
        <w:t xml:space="preserve">, Yokohama, Japan) 16 </w:t>
      </w:r>
      <w:r w:rsidRPr="00DE2282">
        <w:rPr>
          <w:rFonts w:ascii="Symbol" w:hAnsi="Symbol" w:cstheme="majorHAnsi"/>
          <w:lang w:val="en-US"/>
        </w:rPr>
        <w:t></w:t>
      </w:r>
      <w:r w:rsidRPr="00DE2282">
        <w:rPr>
          <w:rFonts w:asciiTheme="majorHAnsi" w:hAnsiTheme="majorHAnsi" w:cstheme="majorHAnsi"/>
          <w:lang w:val="en-US"/>
        </w:rPr>
        <w:t xml:space="preserve">g/ml.  Morphologically diverse colonies (n=5 per </w:t>
      </w:r>
      <w:r w:rsidR="00111072">
        <w:rPr>
          <w:rFonts w:asciiTheme="majorHAnsi" w:hAnsiTheme="majorHAnsi" w:cstheme="majorHAnsi"/>
          <w:lang w:val="en-US"/>
        </w:rPr>
        <w:t>parent</w:t>
      </w:r>
      <w:r w:rsidRPr="00DE2282">
        <w:rPr>
          <w:rFonts w:asciiTheme="majorHAnsi" w:hAnsiTheme="majorHAnsi" w:cstheme="majorHAnsi"/>
          <w:lang w:val="en-US"/>
        </w:rPr>
        <w:t>) that grew overnight were sub-cultured to agar with OP0595</w:t>
      </w:r>
      <w:r w:rsidR="00CA551C">
        <w:rPr>
          <w:rFonts w:asciiTheme="majorHAnsi" w:hAnsiTheme="majorHAnsi" w:cstheme="majorHAnsi"/>
          <w:lang w:val="en-US"/>
        </w:rPr>
        <w:t xml:space="preserve"> </w:t>
      </w:r>
      <w:r w:rsidR="00CA551C" w:rsidRPr="00DE2282">
        <w:rPr>
          <w:rFonts w:asciiTheme="majorHAnsi" w:hAnsiTheme="majorHAnsi" w:cstheme="majorHAnsi"/>
          <w:lang w:val="en-US"/>
        </w:rPr>
        <w:t xml:space="preserve">16 </w:t>
      </w:r>
      <w:r w:rsidR="00CA551C" w:rsidRPr="00DE2282">
        <w:rPr>
          <w:rFonts w:ascii="Symbol" w:hAnsi="Symbol" w:cstheme="majorHAnsi"/>
          <w:lang w:val="en-US"/>
        </w:rPr>
        <w:t></w:t>
      </w:r>
      <w:r w:rsidR="00CA551C" w:rsidRPr="00DE2282">
        <w:rPr>
          <w:rFonts w:asciiTheme="majorHAnsi" w:hAnsiTheme="majorHAnsi" w:cstheme="majorHAnsi"/>
          <w:lang w:val="en-US"/>
        </w:rPr>
        <w:t>g/ml</w:t>
      </w:r>
      <w:r w:rsidRPr="00DE2282">
        <w:rPr>
          <w:rFonts w:asciiTheme="majorHAnsi" w:hAnsiTheme="majorHAnsi" w:cstheme="majorHAnsi"/>
          <w:lang w:val="en-US"/>
        </w:rPr>
        <w:t xml:space="preserve"> then retained at -80</w:t>
      </w:r>
      <w:r w:rsidRPr="00DE2282">
        <w:rPr>
          <w:rFonts w:asciiTheme="majorHAnsi" w:hAnsiTheme="majorHAnsi" w:cstheme="majorHAnsi"/>
          <w:vertAlign w:val="superscript"/>
          <w:lang w:val="en-US"/>
        </w:rPr>
        <w:t>o</w:t>
      </w:r>
      <w:r w:rsidRPr="00DE2282">
        <w:rPr>
          <w:rFonts w:asciiTheme="majorHAnsi" w:hAnsiTheme="majorHAnsi" w:cstheme="majorHAnsi"/>
          <w:lang w:val="en-US"/>
        </w:rPr>
        <w:t xml:space="preserve">C.   </w:t>
      </w:r>
    </w:p>
    <w:p w:rsidR="007B515C" w:rsidRPr="00DE2282" w:rsidRDefault="007B515C" w:rsidP="007B515C">
      <w:pPr>
        <w:pStyle w:val="81"/>
        <w:spacing w:after="0" w:line="480" w:lineRule="auto"/>
        <w:ind w:left="0"/>
        <w:contextualSpacing w:val="0"/>
        <w:jc w:val="both"/>
        <w:rPr>
          <w:rFonts w:asciiTheme="majorHAnsi" w:hAnsiTheme="majorHAnsi" w:cstheme="majorHAnsi"/>
          <w:lang w:val="en-US"/>
        </w:rPr>
      </w:pPr>
    </w:p>
    <w:p w:rsidR="007B515C" w:rsidRPr="00DE2282" w:rsidRDefault="003F1E7A" w:rsidP="007B515C">
      <w:pPr>
        <w:pStyle w:val="81"/>
        <w:spacing w:after="0" w:line="480" w:lineRule="auto"/>
        <w:ind w:left="0"/>
        <w:contextualSpacing w:val="0"/>
        <w:jc w:val="both"/>
        <w:rPr>
          <w:rFonts w:asciiTheme="majorHAnsi" w:hAnsiTheme="majorHAnsi" w:cstheme="majorHAnsi"/>
          <w:b/>
          <w:lang w:val="en-US"/>
        </w:rPr>
      </w:pPr>
      <w:r w:rsidRPr="00DE2282">
        <w:rPr>
          <w:rFonts w:asciiTheme="majorHAnsi" w:hAnsiTheme="majorHAnsi" w:cstheme="majorHAnsi"/>
          <w:b/>
          <w:lang w:val="en-US"/>
        </w:rPr>
        <w:t xml:space="preserve">Susceptibility testing.  </w:t>
      </w:r>
      <w:r w:rsidRPr="00DE2282">
        <w:rPr>
          <w:rFonts w:asciiTheme="majorHAnsi" w:hAnsiTheme="majorHAnsi" w:cstheme="majorHAnsi"/>
          <w:lang w:val="en-US"/>
        </w:rPr>
        <w:t>Mutants and parent strains were recovered on drug-free Mueller-Hinton agar</w:t>
      </w:r>
      <w:r w:rsidR="00CA551C">
        <w:rPr>
          <w:rFonts w:asciiTheme="majorHAnsi" w:hAnsiTheme="majorHAnsi" w:cstheme="majorHAnsi"/>
          <w:lang w:val="en-US"/>
        </w:rPr>
        <w:t>,</w:t>
      </w:r>
      <w:r w:rsidRPr="00DE2282">
        <w:rPr>
          <w:rFonts w:asciiTheme="majorHAnsi" w:hAnsiTheme="majorHAnsi" w:cstheme="majorHAnsi"/>
          <w:lang w:val="en-US"/>
        </w:rPr>
        <w:t xml:space="preserve"> then subjected to CLSI agar dilution </w:t>
      </w:r>
      <w:r w:rsidR="003F6446">
        <w:rPr>
          <w:rFonts w:asciiTheme="majorHAnsi" w:hAnsiTheme="majorHAnsi" w:cstheme="majorHAnsi"/>
          <w:lang w:val="en-US"/>
        </w:rPr>
        <w:t>MIC testing</w:t>
      </w:r>
      <w:r w:rsidRPr="00DE2282">
        <w:rPr>
          <w:rFonts w:asciiTheme="majorHAnsi" w:hAnsiTheme="majorHAnsi" w:cstheme="majorHAnsi"/>
          <w:lang w:val="en-US"/>
        </w:rPr>
        <w:t xml:space="preserve"> [11] </w:t>
      </w:r>
      <w:r w:rsidR="003F6446">
        <w:rPr>
          <w:rFonts w:asciiTheme="majorHAnsi" w:hAnsiTheme="majorHAnsi" w:cstheme="majorHAnsi"/>
          <w:lang w:val="en-US"/>
        </w:rPr>
        <w:t>with</w:t>
      </w:r>
      <w:r w:rsidRPr="00DE2282">
        <w:rPr>
          <w:rFonts w:asciiTheme="majorHAnsi" w:hAnsiTheme="majorHAnsi" w:cstheme="majorHAnsi"/>
          <w:lang w:val="en-US"/>
        </w:rPr>
        <w:t xml:space="preserve"> piperacillin (Sigma, Poole, United Kingdom), cefepime (Sequoia Research Products, </w:t>
      </w:r>
      <w:r w:rsidRPr="00DE2282">
        <w:rPr>
          <w:rFonts w:asciiTheme="majorHAnsi" w:hAnsiTheme="majorHAnsi" w:cstheme="majorHAnsi"/>
          <w:lang w:val="en-US"/>
        </w:rPr>
        <w:lastRenderedPageBreak/>
        <w:t>Pangbourne, United Kingdom) and meropenem (</w:t>
      </w:r>
      <w:r w:rsidRPr="00DE2282">
        <w:rPr>
          <w:rFonts w:asciiTheme="majorHAnsi" w:eastAsia="MS Mincho" w:hAnsiTheme="majorHAnsi" w:cstheme="majorHAnsi"/>
          <w:lang w:val="en-US" w:eastAsia="ja-JP"/>
        </w:rPr>
        <w:t>Meiji</w:t>
      </w:r>
      <w:r w:rsidRPr="00DE2282">
        <w:rPr>
          <w:rFonts w:asciiTheme="majorHAnsi" w:hAnsiTheme="majorHAnsi" w:cstheme="majorHAnsi"/>
          <w:lang w:val="en-US"/>
        </w:rPr>
        <w:t>), alone and with OP0595</w:t>
      </w:r>
      <w:r w:rsidR="003F6446">
        <w:rPr>
          <w:rFonts w:asciiTheme="majorHAnsi" w:hAnsiTheme="majorHAnsi" w:cstheme="majorHAnsi"/>
          <w:lang w:val="en-US"/>
        </w:rPr>
        <w:t xml:space="preserve">, 1-8 </w:t>
      </w:r>
      <w:r w:rsidR="003F6446" w:rsidRPr="00DE2282">
        <w:rPr>
          <w:rFonts w:ascii="Symbol" w:hAnsi="Symbol" w:cstheme="majorHAnsi"/>
          <w:lang w:val="en-US"/>
        </w:rPr>
        <w:t></w:t>
      </w:r>
      <w:r w:rsidR="003F6446" w:rsidRPr="00DE2282">
        <w:rPr>
          <w:rFonts w:asciiTheme="majorHAnsi" w:hAnsiTheme="majorHAnsi" w:cstheme="majorHAnsi"/>
          <w:lang w:val="en-US"/>
        </w:rPr>
        <w:t>g/ml</w:t>
      </w:r>
      <w:r w:rsidR="003F6446">
        <w:rPr>
          <w:rFonts w:asciiTheme="majorHAnsi" w:hAnsiTheme="majorHAnsi" w:cstheme="majorHAnsi"/>
          <w:lang w:val="en-US"/>
        </w:rPr>
        <w:t xml:space="preserve">. </w:t>
      </w:r>
      <w:r w:rsidRPr="00DE2282">
        <w:rPr>
          <w:rFonts w:asciiTheme="majorHAnsi" w:hAnsiTheme="majorHAnsi" w:cstheme="majorHAnsi"/>
          <w:lang w:val="en-US"/>
        </w:rPr>
        <w:t xml:space="preserve">Comparators </w:t>
      </w:r>
      <w:r w:rsidR="003F6446">
        <w:rPr>
          <w:rFonts w:asciiTheme="majorHAnsi" w:hAnsiTheme="majorHAnsi" w:cstheme="majorHAnsi"/>
          <w:lang w:val="en-US"/>
        </w:rPr>
        <w:t>were</w:t>
      </w:r>
      <w:r w:rsidRPr="00DE2282">
        <w:rPr>
          <w:rFonts w:asciiTheme="majorHAnsi" w:hAnsiTheme="majorHAnsi" w:cstheme="majorHAnsi"/>
          <w:lang w:val="en-US"/>
        </w:rPr>
        <w:t xml:space="preserve"> ceftazidime (Sigma) alone and with 4 </w:t>
      </w:r>
      <w:r w:rsidRPr="00DE2282">
        <w:rPr>
          <w:rFonts w:ascii="Symbol" w:hAnsi="Symbol" w:cstheme="majorHAnsi"/>
          <w:lang w:val="en-US"/>
        </w:rPr>
        <w:t></w:t>
      </w:r>
      <w:r w:rsidRPr="00DE2282">
        <w:rPr>
          <w:rFonts w:asciiTheme="majorHAnsi" w:hAnsiTheme="majorHAnsi" w:cstheme="majorHAnsi"/>
          <w:lang w:val="en-US"/>
        </w:rPr>
        <w:t xml:space="preserve">g/ml avibactam (Meiji); mecillinam (Sigma), imipenem (Merck, Hoddesdon, United Kingdom) and amikacin (Sigma).   </w:t>
      </w:r>
      <w:r w:rsidR="009A1B71">
        <w:rPr>
          <w:rFonts w:asciiTheme="majorHAnsi" w:hAnsiTheme="majorHAnsi" w:cstheme="majorHAnsi"/>
          <w:lang w:val="en-US"/>
        </w:rPr>
        <w:t xml:space="preserve"> MICs were reviewed against EUCAST susceptibility breakpoints for the partner </w:t>
      </w:r>
      <w:r w:rsidR="009A1B71" w:rsidRPr="009A1B71">
        <w:rPr>
          <w:rFonts w:ascii="Symbol" w:hAnsi="Symbol" w:cstheme="majorHAnsi"/>
          <w:lang w:val="en-US"/>
        </w:rPr>
        <w:t></w:t>
      </w:r>
      <w:r w:rsidR="009A1B71">
        <w:rPr>
          <w:rFonts w:asciiTheme="majorHAnsi" w:hAnsiTheme="majorHAnsi" w:cstheme="majorHAnsi"/>
          <w:lang w:val="en-US"/>
        </w:rPr>
        <w:t>-lactams, as being generally more conservative than CLSI values.</w:t>
      </w:r>
    </w:p>
    <w:p w:rsidR="007B515C" w:rsidRPr="00DE2282" w:rsidRDefault="007B515C" w:rsidP="007B515C">
      <w:pPr>
        <w:spacing w:line="480" w:lineRule="auto"/>
        <w:jc w:val="both"/>
        <w:rPr>
          <w:rFonts w:asciiTheme="majorHAnsi" w:hAnsiTheme="majorHAnsi" w:cstheme="majorHAnsi"/>
          <w:b/>
          <w:bCs/>
          <w:sz w:val="22"/>
          <w:lang w:val="en-US"/>
        </w:rPr>
      </w:pPr>
    </w:p>
    <w:p w:rsidR="007B515C" w:rsidRPr="00DE2282" w:rsidRDefault="003F1E7A" w:rsidP="007B515C">
      <w:pPr>
        <w:spacing w:line="480" w:lineRule="auto"/>
        <w:jc w:val="both"/>
        <w:rPr>
          <w:rFonts w:asciiTheme="majorHAnsi" w:hAnsiTheme="majorHAnsi" w:cstheme="majorHAnsi"/>
          <w:b/>
          <w:bCs/>
          <w:sz w:val="22"/>
          <w:lang w:val="en-US"/>
        </w:rPr>
      </w:pPr>
      <w:r w:rsidRPr="00DE2282">
        <w:rPr>
          <w:rFonts w:asciiTheme="majorHAnsi" w:hAnsiTheme="majorHAnsi" w:cstheme="majorHAnsi"/>
          <w:b/>
          <w:bCs/>
          <w:sz w:val="22"/>
          <w:lang w:val="en-US"/>
        </w:rPr>
        <w:t>RESULTS</w:t>
      </w:r>
    </w:p>
    <w:p w:rsidR="007B515C" w:rsidRPr="00DE2282" w:rsidRDefault="003F1E7A" w:rsidP="007B515C">
      <w:pPr>
        <w:spacing w:line="480" w:lineRule="auto"/>
        <w:jc w:val="both"/>
        <w:rPr>
          <w:rFonts w:asciiTheme="majorHAnsi" w:hAnsiTheme="majorHAnsi" w:cstheme="majorHAnsi"/>
          <w:bCs/>
          <w:iCs/>
          <w:sz w:val="22"/>
          <w:lang w:val="en-US"/>
        </w:rPr>
      </w:pPr>
      <w:r w:rsidRPr="00DE2282">
        <w:rPr>
          <w:rFonts w:asciiTheme="majorHAnsi" w:hAnsiTheme="majorHAnsi" w:cstheme="majorHAnsi"/>
          <w:b/>
          <w:bCs/>
          <w:iCs/>
          <w:sz w:val="22"/>
          <w:lang w:val="en-US"/>
        </w:rPr>
        <w:t>Selection and phenotypes of OP0595-resistant mutants.</w:t>
      </w:r>
      <w:r w:rsidRPr="00DE2282">
        <w:rPr>
          <w:rFonts w:asciiTheme="majorHAnsi" w:hAnsiTheme="majorHAnsi" w:cstheme="majorHAnsi"/>
          <w:bCs/>
          <w:iCs/>
          <w:sz w:val="22"/>
          <w:lang w:val="en-US"/>
        </w:rPr>
        <w:t xml:space="preserve">  </w:t>
      </w:r>
      <w:r w:rsidRPr="00DE2282">
        <w:rPr>
          <w:rFonts w:asciiTheme="majorHAnsi" w:hAnsiTheme="majorHAnsi" w:cstheme="majorHAnsi"/>
          <w:sz w:val="22"/>
          <w:lang w:val="en-US"/>
        </w:rPr>
        <w:t>OP0595-resistant mutants were</w:t>
      </w:r>
      <w:r w:rsidR="00111072">
        <w:rPr>
          <w:rFonts w:asciiTheme="majorHAnsi" w:hAnsiTheme="majorHAnsi" w:cstheme="majorHAnsi"/>
          <w:sz w:val="22"/>
          <w:lang w:val="en-US"/>
        </w:rPr>
        <w:t xml:space="preserve"> readily</w:t>
      </w:r>
      <w:r w:rsidRPr="00DE2282">
        <w:rPr>
          <w:rFonts w:asciiTheme="majorHAnsi" w:hAnsiTheme="majorHAnsi" w:cstheme="majorHAnsi"/>
          <w:sz w:val="22"/>
          <w:lang w:val="en-US"/>
        </w:rPr>
        <w:t xml:space="preserve"> selected from all 82 parent</w:t>
      </w:r>
      <w:r w:rsidR="003F6446">
        <w:rPr>
          <w:rFonts w:asciiTheme="majorHAnsi" w:hAnsiTheme="majorHAnsi" w:cstheme="majorHAnsi"/>
          <w:sz w:val="22"/>
          <w:lang w:val="en-US"/>
        </w:rPr>
        <w:t>s</w:t>
      </w:r>
      <w:r w:rsidRPr="00DE2282">
        <w:rPr>
          <w:rFonts w:asciiTheme="majorHAnsi" w:hAnsiTheme="majorHAnsi" w:cstheme="majorHAnsi"/>
          <w:sz w:val="22"/>
          <w:lang w:val="en-US"/>
        </w:rPr>
        <w:t xml:space="preserve">, with frequencies </w:t>
      </w:r>
      <w:r w:rsidR="002505CE">
        <w:rPr>
          <w:rFonts w:asciiTheme="majorHAnsi" w:hAnsiTheme="majorHAnsi" w:cstheme="majorHAnsi"/>
          <w:iCs/>
          <w:sz w:val="22"/>
          <w:lang w:val="en-US"/>
        </w:rPr>
        <w:t>approx</w:t>
      </w:r>
      <w:r w:rsidR="0019784F">
        <w:rPr>
          <w:rFonts w:asciiTheme="majorHAnsi" w:hAnsiTheme="majorHAnsi" w:cstheme="majorHAnsi"/>
          <w:iCs/>
          <w:sz w:val="22"/>
          <w:lang w:val="en-US"/>
        </w:rPr>
        <w:t>.</w:t>
      </w:r>
      <w:r w:rsidRPr="00DE2282">
        <w:rPr>
          <w:rFonts w:asciiTheme="majorHAnsi" w:hAnsiTheme="majorHAnsi" w:cstheme="majorHAnsi"/>
          <w:i/>
          <w:iCs/>
          <w:sz w:val="22"/>
          <w:lang w:val="en-US"/>
        </w:rPr>
        <w:t xml:space="preserve"> </w:t>
      </w:r>
      <w:r w:rsidRPr="00DE2282">
        <w:rPr>
          <w:rFonts w:asciiTheme="majorHAnsi" w:hAnsiTheme="majorHAnsi" w:cstheme="majorHAnsi"/>
          <w:sz w:val="22"/>
          <w:lang w:val="en-US"/>
        </w:rPr>
        <w:t>10</w:t>
      </w:r>
      <w:r w:rsidRPr="00DE2282">
        <w:rPr>
          <w:rFonts w:asciiTheme="majorHAnsi" w:hAnsiTheme="majorHAnsi" w:cstheme="majorHAnsi"/>
          <w:sz w:val="22"/>
          <w:vertAlign w:val="superscript"/>
          <w:lang w:val="en-US"/>
        </w:rPr>
        <w:t>-7</w:t>
      </w:r>
      <w:r w:rsidR="002505CE">
        <w:rPr>
          <w:rFonts w:asciiTheme="majorHAnsi" w:hAnsiTheme="majorHAnsi" w:cstheme="majorHAnsi"/>
          <w:sz w:val="22"/>
          <w:lang w:val="en-US"/>
        </w:rPr>
        <w:t>. Five morphologically-</w:t>
      </w:r>
      <w:r w:rsidRPr="00DE2282">
        <w:rPr>
          <w:rFonts w:asciiTheme="majorHAnsi" w:hAnsiTheme="majorHAnsi" w:cstheme="majorHAnsi"/>
          <w:sz w:val="22"/>
          <w:lang w:val="en-US"/>
        </w:rPr>
        <w:t>diverse mutants were retained per selection and subj</w:t>
      </w:r>
      <w:r w:rsidR="00CB0249">
        <w:rPr>
          <w:rFonts w:asciiTheme="majorHAnsi" w:hAnsiTheme="majorHAnsi" w:cstheme="majorHAnsi"/>
          <w:sz w:val="22"/>
          <w:lang w:val="en-US"/>
        </w:rPr>
        <w:t>ected to susceptibility testing.</w:t>
      </w:r>
      <w:r w:rsidRPr="00DE2282">
        <w:rPr>
          <w:rFonts w:asciiTheme="majorHAnsi" w:hAnsiTheme="majorHAnsi" w:cstheme="majorHAnsi"/>
          <w:sz w:val="22"/>
          <w:lang w:val="en-US"/>
        </w:rPr>
        <w:t xml:space="preserve">  </w:t>
      </w:r>
      <w:r w:rsidR="00CB0249">
        <w:rPr>
          <w:rFonts w:asciiTheme="majorHAnsi" w:hAnsiTheme="majorHAnsi" w:cstheme="majorHAnsi"/>
          <w:sz w:val="22"/>
          <w:lang w:val="en-US"/>
        </w:rPr>
        <w:t>Subsequent</w:t>
      </w:r>
      <w:r w:rsidRPr="00DE2282">
        <w:rPr>
          <w:rFonts w:asciiTheme="majorHAnsi" w:hAnsiTheme="majorHAnsi" w:cstheme="majorHAnsi"/>
          <w:sz w:val="22"/>
          <w:lang w:val="en-US"/>
        </w:rPr>
        <w:t xml:space="preserve"> exclusions</w:t>
      </w:r>
      <w:r w:rsidR="00CB0249">
        <w:rPr>
          <w:rFonts w:asciiTheme="majorHAnsi" w:hAnsiTheme="majorHAnsi" w:cstheme="majorHAnsi"/>
          <w:sz w:val="22"/>
          <w:lang w:val="en-US"/>
        </w:rPr>
        <w:t xml:space="preserve"> (e.g. for loss of resistance</w:t>
      </w:r>
      <w:r w:rsidR="00CA551C">
        <w:rPr>
          <w:rFonts w:asciiTheme="majorHAnsi" w:hAnsiTheme="majorHAnsi" w:cstheme="majorHAnsi"/>
          <w:sz w:val="22"/>
          <w:lang w:val="en-US"/>
        </w:rPr>
        <w:t xml:space="preserve"> or as suspected contaminants</w:t>
      </w:r>
      <w:r w:rsidR="00CB0249">
        <w:rPr>
          <w:rFonts w:asciiTheme="majorHAnsi" w:hAnsiTheme="majorHAnsi" w:cstheme="majorHAnsi"/>
          <w:sz w:val="22"/>
          <w:lang w:val="en-US"/>
        </w:rPr>
        <w:t>)</w:t>
      </w:r>
      <w:r w:rsidRPr="00DE2282">
        <w:rPr>
          <w:rFonts w:asciiTheme="majorHAnsi" w:hAnsiTheme="majorHAnsi" w:cstheme="majorHAnsi"/>
          <w:sz w:val="22"/>
          <w:lang w:val="en-US"/>
        </w:rPr>
        <w:t xml:space="preserve"> amounted to</w:t>
      </w:r>
      <w:r w:rsidR="00CB0249">
        <w:rPr>
          <w:rFonts w:asciiTheme="majorHAnsi" w:hAnsiTheme="majorHAnsi" w:cstheme="majorHAnsi"/>
          <w:sz w:val="22"/>
          <w:lang w:val="en-US"/>
        </w:rPr>
        <w:t xml:space="preserve"> just</w:t>
      </w:r>
      <w:r w:rsidRPr="00DE2282">
        <w:rPr>
          <w:rFonts w:asciiTheme="majorHAnsi" w:hAnsiTheme="majorHAnsi" w:cstheme="majorHAnsi"/>
          <w:sz w:val="22"/>
          <w:lang w:val="en-US"/>
        </w:rPr>
        <w:t xml:space="preserve"> 16 of the</w:t>
      </w:r>
      <w:r w:rsidR="00CB0249">
        <w:rPr>
          <w:rFonts w:asciiTheme="majorHAnsi" w:hAnsiTheme="majorHAnsi" w:cstheme="majorHAnsi"/>
          <w:sz w:val="22"/>
          <w:lang w:val="en-US"/>
        </w:rPr>
        <w:t>se</w:t>
      </w:r>
      <w:r w:rsidRPr="00DE2282">
        <w:rPr>
          <w:rFonts w:asciiTheme="majorHAnsi" w:hAnsiTheme="majorHAnsi" w:cstheme="majorHAnsi"/>
          <w:sz w:val="22"/>
          <w:lang w:val="en-US"/>
        </w:rPr>
        <w:t xml:space="preserve"> 410 (82 x 5) </w:t>
      </w:r>
      <w:r w:rsidR="00CB0249">
        <w:rPr>
          <w:rFonts w:asciiTheme="majorHAnsi" w:hAnsiTheme="majorHAnsi" w:cstheme="majorHAnsi"/>
          <w:sz w:val="22"/>
          <w:lang w:val="en-US"/>
        </w:rPr>
        <w:t>organisms</w:t>
      </w:r>
      <w:r w:rsidRPr="00DE2282">
        <w:rPr>
          <w:rFonts w:asciiTheme="majorHAnsi" w:hAnsiTheme="majorHAnsi" w:cstheme="majorHAnsi"/>
          <w:sz w:val="22"/>
          <w:lang w:val="en-US"/>
        </w:rPr>
        <w:t xml:space="preserve"> and, for most parent</w:t>
      </w:r>
      <w:r w:rsidR="00CB0249">
        <w:rPr>
          <w:rFonts w:asciiTheme="majorHAnsi" w:hAnsiTheme="majorHAnsi" w:cstheme="majorHAnsi"/>
          <w:sz w:val="22"/>
          <w:lang w:val="en-US"/>
        </w:rPr>
        <w:t>s</w:t>
      </w:r>
      <w:r w:rsidRPr="00DE2282">
        <w:rPr>
          <w:rFonts w:asciiTheme="majorHAnsi" w:hAnsiTheme="majorHAnsi" w:cstheme="majorHAnsi"/>
          <w:sz w:val="22"/>
          <w:lang w:val="en-US"/>
        </w:rPr>
        <w:t xml:space="preserve">, the full complement of five mutants was retained.  </w:t>
      </w:r>
    </w:p>
    <w:p w:rsidR="007B515C" w:rsidRDefault="003F1E7A" w:rsidP="00B12E6F">
      <w:pPr>
        <w:spacing w:line="480" w:lineRule="auto"/>
        <w:ind w:firstLine="720"/>
        <w:jc w:val="both"/>
        <w:rPr>
          <w:rFonts w:asciiTheme="majorHAnsi" w:hAnsiTheme="majorHAnsi" w:cstheme="majorHAnsi"/>
          <w:sz w:val="22"/>
          <w:lang w:val="en-US"/>
        </w:rPr>
      </w:pPr>
      <w:r w:rsidRPr="00DE2282">
        <w:rPr>
          <w:rFonts w:asciiTheme="majorHAnsi" w:hAnsiTheme="majorHAnsi" w:cstheme="majorHAnsi"/>
          <w:sz w:val="22"/>
          <w:lang w:val="en-US"/>
        </w:rPr>
        <w:t xml:space="preserve">MICs of OP0595 for mutants rose from the parental values of 0.5-4 </w:t>
      </w:r>
      <w:r w:rsidRPr="00DE2282">
        <w:rPr>
          <w:rFonts w:ascii="Symbol" w:hAnsi="Symbol" w:cstheme="majorHAnsi"/>
          <w:sz w:val="22"/>
          <w:lang w:val="en-US"/>
        </w:rPr>
        <w:t></w:t>
      </w:r>
      <w:r w:rsidRPr="00DE2282">
        <w:rPr>
          <w:rFonts w:asciiTheme="majorHAnsi" w:hAnsiTheme="majorHAnsi" w:cstheme="majorHAnsi"/>
          <w:sz w:val="22"/>
          <w:lang w:val="en-US"/>
        </w:rPr>
        <w:t xml:space="preserve">g/ml to 8-&gt;32 </w:t>
      </w:r>
      <w:r w:rsidRPr="00DE2282">
        <w:rPr>
          <w:rFonts w:ascii="Symbol" w:hAnsi="Symbol" w:cstheme="majorHAnsi"/>
          <w:sz w:val="22"/>
          <w:lang w:val="en-US"/>
        </w:rPr>
        <w:t></w:t>
      </w:r>
      <w:r w:rsidRPr="00DE2282">
        <w:rPr>
          <w:rFonts w:asciiTheme="majorHAnsi" w:hAnsiTheme="majorHAnsi" w:cstheme="majorHAnsi"/>
          <w:sz w:val="22"/>
          <w:lang w:val="en-US"/>
        </w:rPr>
        <w:t xml:space="preserve">g/ml, with 381/394 (96.7%) values &gt;32 </w:t>
      </w:r>
      <w:r w:rsidRPr="00DE2282">
        <w:rPr>
          <w:rFonts w:ascii="Symbol" w:hAnsi="Symbol" w:cstheme="majorHAnsi"/>
          <w:sz w:val="22"/>
          <w:lang w:val="en-US"/>
        </w:rPr>
        <w:t></w:t>
      </w:r>
      <w:r w:rsidRPr="00DE2282">
        <w:rPr>
          <w:rFonts w:asciiTheme="majorHAnsi" w:hAnsiTheme="majorHAnsi" w:cstheme="majorHAnsi"/>
          <w:sz w:val="22"/>
          <w:lang w:val="en-US"/>
        </w:rPr>
        <w:t xml:space="preserve">g/ml.   MIC changes for comparator antibiotics are shown in Table 2 for 93 mutants derived from the 19 </w:t>
      </w:r>
      <w:r w:rsidRPr="00DE2282">
        <w:rPr>
          <w:rFonts w:ascii="Symbol" w:hAnsi="Symbol" w:cstheme="majorHAnsi"/>
          <w:sz w:val="22"/>
          <w:lang w:val="en-US"/>
        </w:rPr>
        <w:t></w:t>
      </w:r>
      <w:r w:rsidRPr="00DE2282">
        <w:rPr>
          <w:rFonts w:asciiTheme="majorHAnsi" w:hAnsiTheme="majorHAnsi" w:cstheme="majorHAnsi"/>
          <w:sz w:val="22"/>
          <w:lang w:val="en-US"/>
        </w:rPr>
        <w:t>-la</w:t>
      </w:r>
      <w:r w:rsidR="00B12E6F">
        <w:rPr>
          <w:rFonts w:asciiTheme="majorHAnsi" w:hAnsiTheme="majorHAnsi" w:cstheme="majorHAnsi"/>
          <w:sz w:val="22"/>
          <w:lang w:val="en-US"/>
        </w:rPr>
        <w:t>ctam-susceptible parent strains</w:t>
      </w:r>
      <w:r w:rsidR="00CB0249">
        <w:rPr>
          <w:rFonts w:asciiTheme="majorHAnsi" w:hAnsiTheme="majorHAnsi" w:cstheme="majorHAnsi"/>
          <w:sz w:val="22"/>
          <w:lang w:val="en-US"/>
        </w:rPr>
        <w:t>.</w:t>
      </w:r>
      <w:r w:rsidRPr="00DE2282">
        <w:rPr>
          <w:rFonts w:asciiTheme="majorHAnsi" w:hAnsiTheme="majorHAnsi" w:cstheme="majorHAnsi"/>
          <w:sz w:val="22"/>
          <w:lang w:val="en-US"/>
        </w:rPr>
        <w:t xml:space="preserve"> </w:t>
      </w:r>
      <w:r w:rsidR="00CB0249">
        <w:rPr>
          <w:rFonts w:asciiTheme="majorHAnsi" w:hAnsiTheme="majorHAnsi" w:cstheme="majorHAnsi"/>
          <w:sz w:val="22"/>
          <w:lang w:val="en-US"/>
        </w:rPr>
        <w:t>A</w:t>
      </w:r>
      <w:r w:rsidRPr="00DE2282">
        <w:rPr>
          <w:rFonts w:asciiTheme="majorHAnsi" w:hAnsiTheme="majorHAnsi" w:cstheme="majorHAnsi"/>
          <w:sz w:val="22"/>
          <w:lang w:val="en-US"/>
        </w:rPr>
        <w:t xml:space="preserve">mong these 93, 81 </w:t>
      </w:r>
      <w:r w:rsidR="008E2637">
        <w:rPr>
          <w:rFonts w:asciiTheme="majorHAnsi" w:hAnsiTheme="majorHAnsi" w:cstheme="majorHAnsi"/>
          <w:sz w:val="22"/>
          <w:lang w:val="en-US"/>
        </w:rPr>
        <w:t>had</w:t>
      </w:r>
      <w:r w:rsidRPr="00DE2282">
        <w:rPr>
          <w:rFonts w:asciiTheme="majorHAnsi" w:hAnsiTheme="majorHAnsi" w:cstheme="majorHAnsi"/>
          <w:sz w:val="22"/>
          <w:lang w:val="en-US"/>
        </w:rPr>
        <w:t xml:space="preserve"> &gt;128-fold </w:t>
      </w:r>
      <w:r w:rsidR="00B12E6F" w:rsidRPr="00DE2282">
        <w:rPr>
          <w:rFonts w:asciiTheme="majorHAnsi" w:hAnsiTheme="majorHAnsi" w:cstheme="majorHAnsi"/>
          <w:sz w:val="22"/>
          <w:lang w:val="en-US"/>
        </w:rPr>
        <w:t xml:space="preserve">MIC rises </w:t>
      </w:r>
      <w:r w:rsidRPr="00DE2282">
        <w:rPr>
          <w:rFonts w:asciiTheme="majorHAnsi" w:hAnsiTheme="majorHAnsi" w:cstheme="majorHAnsi"/>
          <w:sz w:val="22"/>
          <w:lang w:val="en-US"/>
        </w:rPr>
        <w:t xml:space="preserve">for mecillinam, and 81 </w:t>
      </w:r>
      <w:r w:rsidR="008E2637">
        <w:rPr>
          <w:rFonts w:asciiTheme="majorHAnsi" w:hAnsiTheme="majorHAnsi" w:cstheme="majorHAnsi"/>
          <w:sz w:val="22"/>
          <w:lang w:val="en-US"/>
        </w:rPr>
        <w:t>had</w:t>
      </w:r>
      <w:r w:rsidRPr="00DE2282">
        <w:rPr>
          <w:rFonts w:asciiTheme="majorHAnsi" w:hAnsiTheme="majorHAnsi" w:cstheme="majorHAnsi"/>
          <w:sz w:val="22"/>
          <w:lang w:val="en-US"/>
        </w:rPr>
        <w:t xml:space="preserve"> small (mostly two- to four- fold) increases for imipenem</w:t>
      </w:r>
      <w:r w:rsidR="00B12E6F">
        <w:rPr>
          <w:rFonts w:asciiTheme="majorHAnsi" w:hAnsiTheme="majorHAnsi" w:cstheme="majorHAnsi"/>
          <w:sz w:val="22"/>
          <w:lang w:val="en-US"/>
        </w:rPr>
        <w:t>;</w:t>
      </w:r>
      <w:r w:rsidRPr="00DE2282">
        <w:rPr>
          <w:rFonts w:asciiTheme="majorHAnsi" w:hAnsiTheme="majorHAnsi" w:cstheme="majorHAnsi"/>
          <w:sz w:val="22"/>
          <w:lang w:val="en-US"/>
        </w:rPr>
        <w:t xml:space="preserve"> shifts for other comparators were scattered around unity (i.e. with similar proportions showed MIC falls as increases).   </w:t>
      </w:r>
      <w:r w:rsidR="00B12E6F">
        <w:rPr>
          <w:rFonts w:asciiTheme="majorHAnsi" w:hAnsiTheme="majorHAnsi" w:cstheme="majorHAnsi"/>
          <w:sz w:val="22"/>
          <w:lang w:val="en-US"/>
        </w:rPr>
        <w:t>A</w:t>
      </w:r>
      <w:r w:rsidR="008E2637">
        <w:rPr>
          <w:rFonts w:asciiTheme="majorHAnsi" w:hAnsiTheme="majorHAnsi" w:cstheme="majorHAnsi"/>
          <w:sz w:val="22"/>
          <w:lang w:val="en-US"/>
        </w:rPr>
        <w:t>nalysis is more complex for mutants derived from strains with ESBLs, AmpC enzymes or carbapenemases because many 'starting' MIC</w:t>
      </w:r>
      <w:r w:rsidR="00B12E6F">
        <w:rPr>
          <w:rFonts w:asciiTheme="majorHAnsi" w:hAnsiTheme="majorHAnsi" w:cstheme="majorHAnsi"/>
          <w:sz w:val="22"/>
          <w:lang w:val="en-US"/>
        </w:rPr>
        <w:t>s</w:t>
      </w:r>
      <w:r w:rsidR="008E2637">
        <w:rPr>
          <w:rFonts w:asciiTheme="majorHAnsi" w:hAnsiTheme="majorHAnsi" w:cstheme="majorHAnsi"/>
          <w:sz w:val="22"/>
          <w:lang w:val="en-US"/>
        </w:rPr>
        <w:t xml:space="preserve"> for the parent organisms were off-scale, precluding calculation of fol</w:t>
      </w:r>
      <w:r w:rsidR="002505CE">
        <w:rPr>
          <w:rFonts w:asciiTheme="majorHAnsi" w:hAnsiTheme="majorHAnsi" w:cstheme="majorHAnsi"/>
          <w:sz w:val="22"/>
          <w:lang w:val="en-US"/>
        </w:rPr>
        <w:t>d change</w:t>
      </w:r>
      <w:r w:rsidR="008E2637">
        <w:rPr>
          <w:rFonts w:asciiTheme="majorHAnsi" w:hAnsiTheme="majorHAnsi" w:cstheme="majorHAnsi"/>
          <w:sz w:val="22"/>
          <w:lang w:val="en-US"/>
        </w:rPr>
        <w:t xml:space="preserve">.  </w:t>
      </w:r>
      <w:r w:rsidRPr="00DE2282">
        <w:rPr>
          <w:rFonts w:asciiTheme="majorHAnsi" w:hAnsiTheme="majorHAnsi" w:cstheme="majorHAnsi"/>
          <w:sz w:val="22"/>
          <w:lang w:val="en-US"/>
        </w:rPr>
        <w:t>Nevertheless, mecillinam remained the sole agent</w:t>
      </w:r>
      <w:r w:rsidR="00CB0249">
        <w:rPr>
          <w:rFonts w:asciiTheme="majorHAnsi" w:hAnsiTheme="majorHAnsi" w:cstheme="majorHAnsi"/>
          <w:sz w:val="22"/>
          <w:lang w:val="en-US"/>
        </w:rPr>
        <w:t>, besides OP0595 itself,</w:t>
      </w:r>
      <w:r w:rsidRPr="00DE2282">
        <w:rPr>
          <w:rFonts w:asciiTheme="majorHAnsi" w:hAnsiTheme="majorHAnsi" w:cstheme="majorHAnsi"/>
          <w:sz w:val="22"/>
          <w:lang w:val="en-US"/>
        </w:rPr>
        <w:t xml:space="preserve"> for which large MIC increases were widespread</w:t>
      </w:r>
      <w:r w:rsidR="008E2637">
        <w:rPr>
          <w:rFonts w:asciiTheme="majorHAnsi" w:hAnsiTheme="majorHAnsi" w:cstheme="majorHAnsi"/>
          <w:sz w:val="22"/>
          <w:lang w:val="en-US"/>
        </w:rPr>
        <w:t xml:space="preserve"> (not shown)</w:t>
      </w:r>
      <w:r w:rsidRPr="00DE2282">
        <w:rPr>
          <w:rFonts w:asciiTheme="majorHAnsi" w:hAnsiTheme="majorHAnsi" w:cstheme="majorHAnsi"/>
          <w:sz w:val="22"/>
          <w:lang w:val="en-US"/>
        </w:rPr>
        <w:t>.</w:t>
      </w:r>
    </w:p>
    <w:p w:rsidR="00B12E6F" w:rsidRPr="00B12E6F" w:rsidRDefault="00B12E6F" w:rsidP="00B12E6F">
      <w:pPr>
        <w:spacing w:line="480" w:lineRule="auto"/>
        <w:ind w:firstLine="720"/>
        <w:jc w:val="both"/>
        <w:rPr>
          <w:rFonts w:asciiTheme="majorHAnsi" w:hAnsiTheme="majorHAnsi" w:cstheme="majorHAnsi"/>
          <w:sz w:val="22"/>
          <w:lang w:val="en-US"/>
        </w:rPr>
      </w:pPr>
    </w:p>
    <w:p w:rsidR="007B515C" w:rsidRPr="00DE2282" w:rsidRDefault="003F1E7A" w:rsidP="007B515C">
      <w:pPr>
        <w:spacing w:line="480" w:lineRule="auto"/>
        <w:jc w:val="both"/>
        <w:rPr>
          <w:rFonts w:asciiTheme="majorHAnsi" w:hAnsiTheme="majorHAnsi" w:cstheme="majorHAnsi"/>
          <w:b/>
          <w:iCs/>
          <w:sz w:val="22"/>
          <w:lang w:val="en-US"/>
        </w:rPr>
      </w:pPr>
      <w:r w:rsidRPr="00DE2282">
        <w:rPr>
          <w:rFonts w:asciiTheme="majorHAnsi" w:hAnsiTheme="majorHAnsi" w:cstheme="majorHAnsi"/>
          <w:b/>
          <w:bCs/>
          <w:iCs/>
          <w:sz w:val="22"/>
          <w:lang w:val="en-US"/>
        </w:rPr>
        <w:t xml:space="preserve">OP0595 combinations </w:t>
      </w:r>
      <w:r w:rsidRPr="00B12E6F">
        <w:rPr>
          <w:rFonts w:asciiTheme="majorHAnsi" w:hAnsiTheme="majorHAnsi" w:cstheme="majorHAnsi"/>
          <w:b/>
          <w:bCs/>
          <w:i/>
          <w:iCs/>
          <w:sz w:val="22"/>
          <w:lang w:val="en-US"/>
        </w:rPr>
        <w:t>versus</w:t>
      </w:r>
      <w:r w:rsidRPr="00DE2282">
        <w:rPr>
          <w:rFonts w:asciiTheme="majorHAnsi" w:hAnsiTheme="majorHAnsi" w:cstheme="majorHAnsi"/>
          <w:b/>
          <w:bCs/>
          <w:iCs/>
          <w:sz w:val="22"/>
          <w:lang w:val="en-US"/>
        </w:rPr>
        <w:t xml:space="preserve"> </w:t>
      </w:r>
      <w:r w:rsidR="009A1B71">
        <w:rPr>
          <w:rFonts w:asciiTheme="majorHAnsi" w:hAnsiTheme="majorHAnsi" w:cstheme="majorHAnsi"/>
          <w:b/>
          <w:bCs/>
          <w:iCs/>
          <w:sz w:val="22"/>
          <w:lang w:val="en-US"/>
        </w:rPr>
        <w:t xml:space="preserve">mutants of </w:t>
      </w:r>
      <w:r w:rsidRPr="00DE2282">
        <w:rPr>
          <w:rFonts w:asciiTheme="majorHAnsi" w:hAnsiTheme="majorHAnsi" w:cstheme="majorHAnsi"/>
          <w:b/>
          <w:iCs/>
          <w:sz w:val="22"/>
          <w:lang w:val="en-US"/>
        </w:rPr>
        <w:t xml:space="preserve">control strains.  </w:t>
      </w:r>
      <w:r w:rsidRPr="00DE2282">
        <w:rPr>
          <w:rFonts w:asciiTheme="majorHAnsi" w:hAnsiTheme="majorHAnsi" w:cstheme="majorHAnsi"/>
          <w:iCs/>
          <w:sz w:val="22"/>
          <w:lang w:val="en-US"/>
        </w:rPr>
        <w:t>OP0595</w:t>
      </w:r>
      <w:r w:rsidR="008E2637">
        <w:rPr>
          <w:rFonts w:asciiTheme="majorHAnsi" w:hAnsiTheme="majorHAnsi" w:cstheme="majorHAnsi"/>
          <w:iCs/>
          <w:sz w:val="22"/>
          <w:lang w:val="en-US"/>
        </w:rPr>
        <w:t>,</w:t>
      </w:r>
      <w:r w:rsidRPr="00DE2282">
        <w:rPr>
          <w:rFonts w:asciiTheme="majorHAnsi" w:hAnsiTheme="majorHAnsi" w:cstheme="majorHAnsi"/>
          <w:iCs/>
          <w:sz w:val="22"/>
          <w:lang w:val="en-US"/>
        </w:rPr>
        <w:t xml:space="preserve"> 2-8 </w:t>
      </w:r>
      <w:r w:rsidRPr="00DE2282">
        <w:rPr>
          <w:rFonts w:ascii="Symbol" w:hAnsi="Symbol" w:cstheme="majorHAnsi"/>
          <w:iCs/>
          <w:sz w:val="22"/>
          <w:lang w:val="en-US"/>
        </w:rPr>
        <w:t></w:t>
      </w:r>
      <w:r w:rsidRPr="00DE2282">
        <w:rPr>
          <w:rFonts w:asciiTheme="majorHAnsi" w:hAnsiTheme="majorHAnsi" w:cstheme="majorHAnsi"/>
          <w:iCs/>
          <w:sz w:val="22"/>
          <w:lang w:val="en-US"/>
        </w:rPr>
        <w:t xml:space="preserve">g/ml (1-4 </w:t>
      </w:r>
      <w:r w:rsidRPr="00DE2282">
        <w:rPr>
          <w:rFonts w:ascii="Symbol" w:hAnsi="Symbol" w:cstheme="majorHAnsi"/>
          <w:iCs/>
          <w:sz w:val="22"/>
          <w:lang w:val="en-US"/>
        </w:rPr>
        <w:t></w:t>
      </w:r>
      <w:r w:rsidRPr="00DE2282">
        <w:rPr>
          <w:rFonts w:asciiTheme="majorHAnsi" w:hAnsiTheme="majorHAnsi" w:cstheme="majorHAnsi"/>
          <w:iCs/>
          <w:sz w:val="22"/>
          <w:lang w:val="en-US"/>
        </w:rPr>
        <w:t xml:space="preserve">g/ml with aztreonam) caused widespread potentiation of piperacillin, aztreonam </w:t>
      </w:r>
      <w:r w:rsidRPr="00DE2282">
        <w:rPr>
          <w:rFonts w:asciiTheme="majorHAnsi" w:hAnsiTheme="majorHAnsi" w:cstheme="majorHAnsi"/>
          <w:iCs/>
          <w:sz w:val="22"/>
          <w:lang w:val="en-US"/>
        </w:rPr>
        <w:lastRenderedPageBreak/>
        <w:t xml:space="preserve">and cefepime, less so meropenem, against OP0595-selected mutants of cephalosporin- and carbapenem- susceptible control strains (Table 3).  </w:t>
      </w:r>
      <w:r w:rsidR="008E2637">
        <w:rPr>
          <w:rFonts w:asciiTheme="majorHAnsi" w:hAnsiTheme="majorHAnsi" w:cstheme="majorHAnsi"/>
          <w:iCs/>
          <w:sz w:val="22"/>
          <w:lang w:val="en-US"/>
        </w:rPr>
        <w:t xml:space="preserve">At 1-4 </w:t>
      </w:r>
      <w:r w:rsidR="008E2637" w:rsidRPr="00DE2282">
        <w:rPr>
          <w:rFonts w:ascii="Symbol" w:hAnsi="Symbol" w:cstheme="majorHAnsi"/>
          <w:iCs/>
          <w:sz w:val="22"/>
          <w:lang w:val="en-US"/>
        </w:rPr>
        <w:t></w:t>
      </w:r>
      <w:r w:rsidR="008E2637" w:rsidRPr="00DE2282">
        <w:rPr>
          <w:rFonts w:asciiTheme="majorHAnsi" w:hAnsiTheme="majorHAnsi" w:cstheme="majorHAnsi"/>
          <w:iCs/>
          <w:sz w:val="22"/>
          <w:lang w:val="en-US"/>
        </w:rPr>
        <w:t>g/ml</w:t>
      </w:r>
      <w:r w:rsidR="00B12E6F">
        <w:rPr>
          <w:rFonts w:asciiTheme="majorHAnsi" w:hAnsiTheme="majorHAnsi" w:cstheme="majorHAnsi"/>
          <w:iCs/>
          <w:sz w:val="22"/>
          <w:lang w:val="en-US"/>
        </w:rPr>
        <w:t>,</w:t>
      </w:r>
      <w:r w:rsidR="008E2637" w:rsidRPr="00DE2282">
        <w:rPr>
          <w:rFonts w:asciiTheme="majorHAnsi" w:hAnsiTheme="majorHAnsi" w:cstheme="majorHAnsi"/>
          <w:iCs/>
          <w:sz w:val="22"/>
          <w:lang w:val="en-US"/>
        </w:rPr>
        <w:t xml:space="preserve"> </w:t>
      </w:r>
      <w:r w:rsidR="002505CE">
        <w:rPr>
          <w:rFonts w:asciiTheme="majorHAnsi" w:hAnsiTheme="majorHAnsi" w:cstheme="majorHAnsi"/>
          <w:iCs/>
          <w:sz w:val="22"/>
          <w:lang w:val="en-US"/>
        </w:rPr>
        <w:t>it</w:t>
      </w:r>
      <w:r w:rsidR="008E2637">
        <w:rPr>
          <w:rFonts w:asciiTheme="majorHAnsi" w:hAnsiTheme="majorHAnsi" w:cstheme="majorHAnsi"/>
          <w:iCs/>
          <w:sz w:val="22"/>
          <w:lang w:val="en-US"/>
        </w:rPr>
        <w:t xml:space="preserve"> reduced the </w:t>
      </w:r>
      <w:r w:rsidRPr="00DE2282">
        <w:rPr>
          <w:rFonts w:asciiTheme="majorHAnsi" w:hAnsiTheme="majorHAnsi" w:cstheme="majorHAnsi"/>
          <w:iCs/>
          <w:sz w:val="22"/>
          <w:lang w:val="en-US"/>
        </w:rPr>
        <w:t xml:space="preserve">modal MIC of aztreonam from 0.12 </w:t>
      </w:r>
      <w:r w:rsidRPr="00DE2282">
        <w:rPr>
          <w:rFonts w:ascii="Symbol" w:hAnsi="Symbol" w:cstheme="majorHAnsi"/>
          <w:iCs/>
          <w:sz w:val="22"/>
          <w:lang w:val="en-US"/>
        </w:rPr>
        <w:t></w:t>
      </w:r>
      <w:r w:rsidRPr="00DE2282">
        <w:rPr>
          <w:rFonts w:asciiTheme="majorHAnsi" w:hAnsiTheme="majorHAnsi" w:cstheme="majorHAnsi"/>
          <w:iCs/>
          <w:sz w:val="22"/>
          <w:lang w:val="en-US"/>
        </w:rPr>
        <w:t xml:space="preserve">g/ml to </w:t>
      </w:r>
      <w:r w:rsidRPr="00DE2282">
        <w:rPr>
          <w:rFonts w:asciiTheme="majorHAnsi" w:hAnsiTheme="majorHAnsi" w:cstheme="majorHAnsi"/>
          <w:iCs/>
          <w:sz w:val="22"/>
          <w:u w:val="single"/>
          <w:lang w:val="en-US"/>
        </w:rPr>
        <w:t>&lt;</w:t>
      </w:r>
      <w:r w:rsidRPr="00DE2282">
        <w:rPr>
          <w:rFonts w:asciiTheme="majorHAnsi" w:hAnsiTheme="majorHAnsi" w:cstheme="majorHAnsi"/>
          <w:iCs/>
          <w:sz w:val="22"/>
          <w:lang w:val="en-US"/>
        </w:rPr>
        <w:t xml:space="preserve">0.016 </w:t>
      </w:r>
      <w:r w:rsidRPr="00DE2282">
        <w:rPr>
          <w:rFonts w:ascii="Symbol" w:hAnsi="Symbol" w:cstheme="majorHAnsi"/>
          <w:iCs/>
          <w:sz w:val="22"/>
          <w:lang w:val="en-US"/>
        </w:rPr>
        <w:t></w:t>
      </w:r>
      <w:r w:rsidR="002505CE">
        <w:rPr>
          <w:rFonts w:asciiTheme="majorHAnsi" w:hAnsiTheme="majorHAnsi" w:cstheme="majorHAnsi"/>
          <w:iCs/>
          <w:sz w:val="22"/>
          <w:lang w:val="en-US"/>
        </w:rPr>
        <w:t>g/ml</w:t>
      </w:r>
      <w:r w:rsidRPr="00DE2282">
        <w:rPr>
          <w:rFonts w:asciiTheme="majorHAnsi" w:hAnsiTheme="majorHAnsi" w:cstheme="majorHAnsi"/>
          <w:iCs/>
          <w:sz w:val="22"/>
          <w:lang w:val="en-US"/>
        </w:rPr>
        <w:t xml:space="preserve"> </w:t>
      </w:r>
      <w:r w:rsidR="002505CE">
        <w:rPr>
          <w:rFonts w:asciiTheme="majorHAnsi" w:hAnsiTheme="majorHAnsi" w:cstheme="majorHAnsi"/>
          <w:iCs/>
          <w:sz w:val="22"/>
          <w:lang w:val="en-US"/>
        </w:rPr>
        <w:t>and</w:t>
      </w:r>
      <w:r w:rsidRPr="00DE2282">
        <w:rPr>
          <w:rFonts w:asciiTheme="majorHAnsi" w:hAnsiTheme="majorHAnsi" w:cstheme="majorHAnsi"/>
          <w:iCs/>
          <w:sz w:val="22"/>
          <w:lang w:val="en-US"/>
        </w:rPr>
        <w:t xml:space="preserve"> that of piperacillin from 2 </w:t>
      </w:r>
      <w:r w:rsidRPr="00DE2282">
        <w:rPr>
          <w:rFonts w:ascii="Symbol" w:hAnsi="Symbol" w:cstheme="majorHAnsi"/>
          <w:iCs/>
          <w:sz w:val="22"/>
          <w:lang w:val="en-US"/>
        </w:rPr>
        <w:t></w:t>
      </w:r>
      <w:r w:rsidRPr="00DE2282">
        <w:rPr>
          <w:rFonts w:asciiTheme="majorHAnsi" w:hAnsiTheme="majorHAnsi" w:cstheme="majorHAnsi"/>
          <w:iCs/>
          <w:sz w:val="22"/>
          <w:lang w:val="en-US"/>
        </w:rPr>
        <w:t xml:space="preserve">g/ml to 0.25 </w:t>
      </w:r>
      <w:r w:rsidRPr="00DE2282">
        <w:rPr>
          <w:rFonts w:ascii="Symbol" w:hAnsi="Symbol" w:cstheme="majorHAnsi"/>
          <w:iCs/>
          <w:sz w:val="22"/>
          <w:lang w:val="en-US"/>
        </w:rPr>
        <w:t></w:t>
      </w:r>
      <w:r w:rsidR="008E2637">
        <w:rPr>
          <w:rFonts w:asciiTheme="majorHAnsi" w:hAnsiTheme="majorHAnsi" w:cstheme="majorHAnsi"/>
          <w:iCs/>
          <w:sz w:val="22"/>
          <w:lang w:val="en-US"/>
        </w:rPr>
        <w:t>g/ml. T</w:t>
      </w:r>
      <w:r w:rsidRPr="00DE2282">
        <w:rPr>
          <w:rFonts w:asciiTheme="majorHAnsi" w:hAnsiTheme="majorHAnsi" w:cstheme="majorHAnsi"/>
          <w:iCs/>
          <w:sz w:val="22"/>
          <w:lang w:val="en-US"/>
        </w:rPr>
        <w:t>he modal MICs of unprotected cefepime and m</w:t>
      </w:r>
      <w:r w:rsidR="00B12E6F">
        <w:rPr>
          <w:rFonts w:asciiTheme="majorHAnsi" w:hAnsiTheme="majorHAnsi" w:cstheme="majorHAnsi"/>
          <w:iCs/>
          <w:sz w:val="22"/>
          <w:lang w:val="en-US"/>
        </w:rPr>
        <w:t xml:space="preserve">eropenem were only two-fold </w:t>
      </w:r>
      <w:r w:rsidRPr="00DE2282">
        <w:rPr>
          <w:rFonts w:asciiTheme="majorHAnsi" w:hAnsiTheme="majorHAnsi" w:cstheme="majorHAnsi"/>
          <w:iCs/>
          <w:sz w:val="22"/>
          <w:lang w:val="en-US"/>
        </w:rPr>
        <w:t xml:space="preserve">above the lowest concentration tested, precluding </w:t>
      </w:r>
      <w:r w:rsidR="008E2637">
        <w:rPr>
          <w:rFonts w:asciiTheme="majorHAnsi" w:hAnsiTheme="majorHAnsi" w:cstheme="majorHAnsi"/>
          <w:iCs/>
          <w:sz w:val="22"/>
          <w:lang w:val="en-US"/>
        </w:rPr>
        <w:t>precise estimation</w:t>
      </w:r>
      <w:r w:rsidRPr="00DE2282">
        <w:rPr>
          <w:rFonts w:asciiTheme="majorHAnsi" w:hAnsiTheme="majorHAnsi" w:cstheme="majorHAnsi"/>
          <w:iCs/>
          <w:sz w:val="22"/>
          <w:lang w:val="en-US"/>
        </w:rPr>
        <w:t xml:space="preserve"> of MIC reductions; nevertheless over 85% of cefepime MICs were reduced to </w:t>
      </w:r>
      <w:r w:rsidRPr="00DE2282">
        <w:rPr>
          <w:rFonts w:asciiTheme="majorHAnsi" w:hAnsiTheme="majorHAnsi" w:cstheme="majorHAnsi"/>
          <w:iCs/>
          <w:sz w:val="22"/>
          <w:u w:val="single"/>
          <w:lang w:val="en-US"/>
        </w:rPr>
        <w:t>&lt;</w:t>
      </w:r>
      <w:r w:rsidRPr="00DE2282">
        <w:rPr>
          <w:rFonts w:asciiTheme="majorHAnsi" w:hAnsiTheme="majorHAnsi" w:cstheme="majorHAnsi"/>
          <w:iCs/>
          <w:sz w:val="22"/>
          <w:lang w:val="en-US"/>
        </w:rPr>
        <w:t xml:space="preserve">0.016 </w:t>
      </w:r>
      <w:r w:rsidRPr="00DE2282">
        <w:rPr>
          <w:rFonts w:ascii="Symbol" w:hAnsi="Symbol" w:cstheme="majorHAnsi"/>
          <w:iCs/>
          <w:sz w:val="22"/>
          <w:lang w:val="en-US"/>
        </w:rPr>
        <w:t></w:t>
      </w:r>
      <w:r w:rsidRPr="00DE2282">
        <w:rPr>
          <w:rFonts w:asciiTheme="majorHAnsi" w:hAnsiTheme="majorHAnsi" w:cstheme="majorHAnsi"/>
          <w:iCs/>
          <w:sz w:val="22"/>
          <w:lang w:val="en-US"/>
        </w:rPr>
        <w:t xml:space="preserve">g/ml by OP0595 at 2-8 </w:t>
      </w:r>
      <w:r w:rsidRPr="00DE2282">
        <w:rPr>
          <w:rFonts w:ascii="Symbol" w:hAnsi="Symbol" w:cstheme="majorHAnsi"/>
          <w:iCs/>
          <w:sz w:val="22"/>
          <w:lang w:val="en-US"/>
        </w:rPr>
        <w:t></w:t>
      </w:r>
      <w:r w:rsidRPr="00DE2282">
        <w:rPr>
          <w:rFonts w:asciiTheme="majorHAnsi" w:hAnsiTheme="majorHAnsi" w:cstheme="majorHAnsi"/>
          <w:iCs/>
          <w:sz w:val="22"/>
          <w:lang w:val="en-US"/>
        </w:rPr>
        <w:t xml:space="preserve">g/ml, whereas meropenem MICs were less </w:t>
      </w:r>
      <w:r w:rsidR="006F1816">
        <w:rPr>
          <w:rFonts w:asciiTheme="majorHAnsi" w:hAnsiTheme="majorHAnsi" w:cstheme="majorHAnsi"/>
          <w:iCs/>
          <w:sz w:val="22"/>
          <w:lang w:val="en-US"/>
        </w:rPr>
        <w:t>consistently</w:t>
      </w:r>
      <w:r w:rsidR="00B12E6F">
        <w:rPr>
          <w:rFonts w:asciiTheme="majorHAnsi" w:hAnsiTheme="majorHAnsi" w:cstheme="majorHAnsi"/>
          <w:iCs/>
          <w:sz w:val="22"/>
          <w:lang w:val="en-US"/>
        </w:rPr>
        <w:t xml:space="preserve"> lowered.  </w:t>
      </w:r>
      <w:r w:rsidRPr="00DE2282">
        <w:rPr>
          <w:rFonts w:asciiTheme="majorHAnsi" w:hAnsiTheme="majorHAnsi" w:cstheme="majorHAnsi"/>
          <w:iCs/>
          <w:sz w:val="22"/>
          <w:lang w:val="en-US"/>
        </w:rPr>
        <w:t xml:space="preserve">Potentiation of piperacillin for </w:t>
      </w:r>
      <w:r w:rsidRPr="00DE2282">
        <w:rPr>
          <w:rFonts w:asciiTheme="majorHAnsi" w:hAnsiTheme="majorHAnsi" w:cstheme="majorHAnsi"/>
          <w:i/>
          <w:iCs/>
          <w:sz w:val="22"/>
          <w:lang w:val="en-US"/>
        </w:rPr>
        <w:t>K. pneumoniae</w:t>
      </w:r>
      <w:r w:rsidRPr="00DE2282">
        <w:rPr>
          <w:rFonts w:asciiTheme="majorHAnsi" w:hAnsiTheme="majorHAnsi" w:cstheme="majorHAnsi"/>
          <w:iCs/>
          <w:sz w:val="22"/>
          <w:lang w:val="en-US"/>
        </w:rPr>
        <w:t xml:space="preserve"> </w:t>
      </w:r>
      <w:r w:rsidR="008E2637">
        <w:rPr>
          <w:rFonts w:asciiTheme="majorHAnsi" w:hAnsiTheme="majorHAnsi" w:cstheme="majorHAnsi"/>
          <w:iCs/>
          <w:sz w:val="22"/>
          <w:lang w:val="en-US"/>
        </w:rPr>
        <w:t>may</w:t>
      </w:r>
      <w:r w:rsidRPr="00DE2282">
        <w:rPr>
          <w:rFonts w:asciiTheme="majorHAnsi" w:hAnsiTheme="majorHAnsi" w:cstheme="majorHAnsi"/>
          <w:iCs/>
          <w:sz w:val="22"/>
          <w:lang w:val="en-US"/>
        </w:rPr>
        <w:t xml:space="preserve"> have partly reflected inhibition of </w:t>
      </w:r>
      <w:r w:rsidR="002505CE">
        <w:rPr>
          <w:rFonts w:asciiTheme="majorHAnsi" w:hAnsiTheme="majorHAnsi" w:cstheme="majorHAnsi"/>
          <w:iCs/>
          <w:sz w:val="22"/>
          <w:lang w:val="en-US"/>
        </w:rPr>
        <w:t xml:space="preserve">the </w:t>
      </w:r>
      <w:r w:rsidRPr="00DE2282">
        <w:rPr>
          <w:rFonts w:asciiTheme="majorHAnsi" w:hAnsiTheme="majorHAnsi" w:cstheme="majorHAnsi"/>
          <w:iCs/>
          <w:sz w:val="22"/>
          <w:lang w:val="en-US"/>
        </w:rPr>
        <w:t>chromosomal penicillinases</w:t>
      </w:r>
      <w:r w:rsidR="002505CE">
        <w:rPr>
          <w:rFonts w:asciiTheme="majorHAnsi" w:hAnsiTheme="majorHAnsi" w:cstheme="majorHAnsi"/>
          <w:iCs/>
          <w:sz w:val="22"/>
          <w:lang w:val="en-US"/>
        </w:rPr>
        <w:t xml:space="preserve"> that are universal in the species</w:t>
      </w:r>
      <w:r w:rsidRPr="00DE2282">
        <w:rPr>
          <w:rFonts w:asciiTheme="majorHAnsi" w:hAnsiTheme="majorHAnsi" w:cstheme="majorHAnsi"/>
          <w:iCs/>
          <w:sz w:val="22"/>
          <w:lang w:val="en-US"/>
        </w:rPr>
        <w:t xml:space="preserve"> [12] but this cannot explain potentiation for other species</w:t>
      </w:r>
      <w:r w:rsidR="006F1816">
        <w:rPr>
          <w:rFonts w:asciiTheme="majorHAnsi" w:hAnsiTheme="majorHAnsi" w:cstheme="majorHAnsi"/>
          <w:iCs/>
          <w:sz w:val="22"/>
          <w:lang w:val="en-US"/>
        </w:rPr>
        <w:t xml:space="preserve">, which lack </w:t>
      </w:r>
      <w:r w:rsidR="00B12E6F">
        <w:rPr>
          <w:rFonts w:asciiTheme="majorHAnsi" w:hAnsiTheme="majorHAnsi" w:cstheme="majorHAnsi"/>
          <w:iCs/>
          <w:sz w:val="22"/>
          <w:lang w:val="en-US"/>
        </w:rPr>
        <w:t>these enzymes,</w:t>
      </w:r>
      <w:r w:rsidRPr="00DE2282">
        <w:rPr>
          <w:rFonts w:asciiTheme="majorHAnsi" w:hAnsiTheme="majorHAnsi" w:cstheme="majorHAnsi"/>
          <w:iCs/>
          <w:sz w:val="22"/>
          <w:lang w:val="en-US"/>
        </w:rPr>
        <w:t xml:space="preserve"> nor potentiation of the other</w:t>
      </w:r>
      <w:r w:rsidR="00A67EBB">
        <w:rPr>
          <w:rFonts w:asciiTheme="majorHAnsi" w:hAnsiTheme="majorHAnsi" w:cstheme="majorHAnsi"/>
          <w:iCs/>
          <w:sz w:val="22"/>
          <w:lang w:val="en-US"/>
        </w:rPr>
        <w:t xml:space="preserve"> test</w:t>
      </w:r>
      <w:r w:rsidRPr="00DE2282">
        <w:rPr>
          <w:rFonts w:asciiTheme="majorHAnsi" w:hAnsiTheme="majorHAnsi" w:cstheme="majorHAnsi"/>
          <w:iCs/>
          <w:sz w:val="22"/>
          <w:lang w:val="en-US"/>
        </w:rPr>
        <w:t xml:space="preserve"> </w:t>
      </w:r>
      <w:r w:rsidRPr="00DE2282">
        <w:rPr>
          <w:rFonts w:ascii="Symbol" w:hAnsi="Symbol" w:cstheme="majorHAnsi"/>
          <w:iCs/>
          <w:sz w:val="22"/>
          <w:lang w:val="en-US"/>
        </w:rPr>
        <w:t></w:t>
      </w:r>
      <w:r w:rsidRPr="00DE2282">
        <w:rPr>
          <w:rFonts w:asciiTheme="majorHAnsi" w:hAnsiTheme="majorHAnsi" w:cstheme="majorHAnsi"/>
          <w:iCs/>
          <w:sz w:val="22"/>
          <w:lang w:val="en-US"/>
        </w:rPr>
        <w:t xml:space="preserve">-lactams, which are not </w:t>
      </w:r>
      <w:r w:rsidR="00B12E6F">
        <w:rPr>
          <w:rFonts w:asciiTheme="majorHAnsi" w:hAnsiTheme="majorHAnsi" w:cstheme="majorHAnsi"/>
          <w:iCs/>
          <w:sz w:val="22"/>
          <w:lang w:val="en-US"/>
        </w:rPr>
        <w:t>labile to</w:t>
      </w:r>
      <w:r w:rsidR="006F1816">
        <w:rPr>
          <w:rFonts w:asciiTheme="majorHAnsi" w:hAnsiTheme="majorHAnsi" w:cstheme="majorHAnsi"/>
          <w:iCs/>
          <w:sz w:val="22"/>
          <w:lang w:val="en-US"/>
        </w:rPr>
        <w:t xml:space="preserve"> </w:t>
      </w:r>
      <w:r w:rsidR="006F1816" w:rsidRPr="006F1816">
        <w:rPr>
          <w:rFonts w:asciiTheme="majorHAnsi" w:hAnsiTheme="majorHAnsi" w:cstheme="majorHAnsi"/>
          <w:i/>
          <w:iCs/>
          <w:sz w:val="22"/>
          <w:lang w:val="en-US"/>
        </w:rPr>
        <w:t>K</w:t>
      </w:r>
      <w:r w:rsidR="006F1816">
        <w:rPr>
          <w:rFonts w:asciiTheme="majorHAnsi" w:hAnsiTheme="majorHAnsi" w:cstheme="majorHAnsi"/>
          <w:i/>
          <w:iCs/>
          <w:sz w:val="22"/>
          <w:lang w:val="en-US"/>
        </w:rPr>
        <w:t>.</w:t>
      </w:r>
      <w:r w:rsidR="006F1816" w:rsidRPr="006F1816">
        <w:rPr>
          <w:rFonts w:asciiTheme="majorHAnsi" w:hAnsiTheme="majorHAnsi" w:cstheme="majorHAnsi"/>
          <w:i/>
          <w:iCs/>
          <w:sz w:val="22"/>
          <w:lang w:val="en-US"/>
        </w:rPr>
        <w:t xml:space="preserve"> pneumoniae</w:t>
      </w:r>
      <w:r w:rsidR="006F1816">
        <w:rPr>
          <w:rFonts w:asciiTheme="majorHAnsi" w:hAnsiTheme="majorHAnsi" w:cstheme="majorHAnsi"/>
          <w:iCs/>
          <w:sz w:val="22"/>
          <w:lang w:val="en-US"/>
        </w:rPr>
        <w:t xml:space="preserve"> penicillinases. L</w:t>
      </w:r>
      <w:r w:rsidRPr="00DE2282">
        <w:rPr>
          <w:rFonts w:asciiTheme="majorHAnsi" w:hAnsiTheme="majorHAnsi" w:cstheme="majorHAnsi"/>
          <w:iCs/>
          <w:sz w:val="22"/>
          <w:lang w:val="en-US"/>
        </w:rPr>
        <w:t>ess synergy was seen between ceftazidime and avibactam</w:t>
      </w:r>
      <w:r w:rsidR="006F1816">
        <w:rPr>
          <w:rFonts w:asciiTheme="majorHAnsi" w:hAnsiTheme="majorHAnsi" w:cstheme="majorHAnsi"/>
          <w:iCs/>
          <w:sz w:val="22"/>
          <w:lang w:val="en-US"/>
        </w:rPr>
        <w:t xml:space="preserve"> 4 </w:t>
      </w:r>
      <w:r w:rsidR="006F1816" w:rsidRPr="00DE2282">
        <w:rPr>
          <w:rFonts w:ascii="Symbol" w:hAnsi="Symbol" w:cstheme="majorHAnsi"/>
          <w:iCs/>
          <w:sz w:val="22"/>
          <w:lang w:val="en-US"/>
        </w:rPr>
        <w:t></w:t>
      </w:r>
      <w:r w:rsidR="006F1816" w:rsidRPr="00DE2282">
        <w:rPr>
          <w:rFonts w:asciiTheme="majorHAnsi" w:hAnsiTheme="majorHAnsi" w:cstheme="majorHAnsi"/>
          <w:iCs/>
          <w:sz w:val="22"/>
          <w:lang w:val="en-US"/>
        </w:rPr>
        <w:t>g/ml</w:t>
      </w:r>
      <w:r w:rsidRPr="00DE2282">
        <w:rPr>
          <w:rFonts w:asciiTheme="majorHAnsi" w:hAnsiTheme="majorHAnsi" w:cstheme="majorHAnsi"/>
          <w:iCs/>
          <w:sz w:val="22"/>
          <w:lang w:val="en-US"/>
        </w:rPr>
        <w:t xml:space="preserve">, with MICs generally lowered by </w:t>
      </w:r>
      <w:r w:rsidR="006F1816">
        <w:rPr>
          <w:rFonts w:asciiTheme="majorHAnsi" w:hAnsiTheme="majorHAnsi" w:cstheme="majorHAnsi"/>
          <w:iCs/>
          <w:sz w:val="22"/>
          <w:lang w:val="en-US"/>
        </w:rPr>
        <w:t xml:space="preserve">only </w:t>
      </w:r>
      <w:r w:rsidRPr="00DE2282">
        <w:rPr>
          <w:rFonts w:asciiTheme="majorHAnsi" w:hAnsiTheme="majorHAnsi" w:cstheme="majorHAnsi"/>
          <w:iCs/>
          <w:sz w:val="22"/>
          <w:lang w:val="en-US"/>
        </w:rPr>
        <w:t>one doubling dilution</w:t>
      </w:r>
      <w:r w:rsidRPr="00DE2282">
        <w:rPr>
          <w:rFonts w:asciiTheme="majorHAnsi" w:hAnsiTheme="majorHAnsi" w:cstheme="majorHAnsi"/>
          <w:sz w:val="22"/>
          <w:lang w:val="en-US"/>
        </w:rPr>
        <w:t>.</w:t>
      </w:r>
    </w:p>
    <w:p w:rsidR="007B515C" w:rsidRPr="00DE2282" w:rsidRDefault="007B515C" w:rsidP="007B515C">
      <w:pPr>
        <w:spacing w:line="480" w:lineRule="auto"/>
        <w:jc w:val="both"/>
        <w:rPr>
          <w:rFonts w:asciiTheme="majorHAnsi" w:hAnsiTheme="majorHAnsi" w:cstheme="majorHAnsi"/>
          <w:sz w:val="22"/>
          <w:lang w:val="en-US"/>
        </w:rPr>
      </w:pPr>
    </w:p>
    <w:p w:rsidR="007B515C" w:rsidRPr="00DE2282" w:rsidRDefault="003F1E7A" w:rsidP="007B515C">
      <w:pPr>
        <w:spacing w:line="480" w:lineRule="auto"/>
        <w:jc w:val="both"/>
        <w:rPr>
          <w:rFonts w:asciiTheme="majorHAnsi" w:hAnsiTheme="majorHAnsi" w:cstheme="majorHAnsi"/>
          <w:b/>
          <w:sz w:val="22"/>
          <w:lang w:val="en-US"/>
        </w:rPr>
      </w:pPr>
      <w:r w:rsidRPr="00DE2282">
        <w:rPr>
          <w:rFonts w:asciiTheme="majorHAnsi" w:hAnsiTheme="majorHAnsi" w:cstheme="majorHAnsi"/>
          <w:b/>
          <w:bCs/>
          <w:iCs/>
          <w:sz w:val="22"/>
          <w:lang w:val="en-US"/>
        </w:rPr>
        <w:t xml:space="preserve">OP0595 combinations versus </w:t>
      </w:r>
      <w:r w:rsidR="009A1B71">
        <w:rPr>
          <w:rFonts w:asciiTheme="majorHAnsi" w:hAnsiTheme="majorHAnsi" w:cstheme="majorHAnsi"/>
          <w:b/>
          <w:bCs/>
          <w:iCs/>
          <w:sz w:val="22"/>
          <w:lang w:val="en-US"/>
        </w:rPr>
        <w:t xml:space="preserve">mutants of </w:t>
      </w:r>
      <w:r w:rsidRPr="00DE2282">
        <w:rPr>
          <w:rFonts w:asciiTheme="majorHAnsi" w:hAnsiTheme="majorHAnsi" w:cstheme="majorHAnsi"/>
          <w:b/>
          <w:bCs/>
          <w:iCs/>
          <w:sz w:val="22"/>
          <w:lang w:val="en-US"/>
        </w:rPr>
        <w:t>s</w:t>
      </w:r>
      <w:r w:rsidRPr="00DE2282">
        <w:rPr>
          <w:rFonts w:asciiTheme="majorHAnsi" w:hAnsiTheme="majorHAnsi" w:cstheme="majorHAnsi"/>
          <w:b/>
          <w:sz w:val="22"/>
          <w:lang w:val="en-US"/>
        </w:rPr>
        <w:t xml:space="preserve">trains with class A and C </w:t>
      </w:r>
      <w:r w:rsidRPr="00DE2282">
        <w:rPr>
          <w:rFonts w:ascii="Symbol" w:hAnsi="Symbol" w:cstheme="majorHAnsi"/>
          <w:b/>
          <w:sz w:val="22"/>
          <w:lang w:val="en-US"/>
        </w:rPr>
        <w:t></w:t>
      </w:r>
      <w:r w:rsidRPr="00DE2282">
        <w:rPr>
          <w:rFonts w:ascii="Symbol" w:hAnsi="Symbol" w:cstheme="majorHAnsi"/>
          <w:b/>
          <w:sz w:val="22"/>
          <w:lang w:val="en-US"/>
        </w:rPr>
        <w:t></w:t>
      </w:r>
      <w:r w:rsidRPr="00DE2282">
        <w:rPr>
          <w:rFonts w:asciiTheme="majorHAnsi" w:hAnsiTheme="majorHAnsi" w:cstheme="majorHAnsi"/>
          <w:b/>
          <w:sz w:val="22"/>
          <w:lang w:val="en-US"/>
        </w:rPr>
        <w:t xml:space="preserve">lactamases. </w:t>
      </w:r>
      <w:r w:rsidRPr="00DE2282">
        <w:rPr>
          <w:rFonts w:asciiTheme="majorHAnsi" w:hAnsiTheme="majorHAnsi" w:cstheme="majorHAnsi"/>
          <w:sz w:val="22"/>
          <w:lang w:val="en-US"/>
        </w:rPr>
        <w:t>ESBLs, KPC carba</w:t>
      </w:r>
      <w:r w:rsidR="006F1816">
        <w:rPr>
          <w:rFonts w:asciiTheme="majorHAnsi" w:hAnsiTheme="majorHAnsi" w:cstheme="majorHAnsi"/>
          <w:sz w:val="22"/>
          <w:lang w:val="en-US"/>
        </w:rPr>
        <w:t>penemases and AmpC enzymes</w:t>
      </w:r>
      <w:r w:rsidRPr="00DE2282">
        <w:rPr>
          <w:rFonts w:asciiTheme="majorHAnsi" w:hAnsiTheme="majorHAnsi" w:cstheme="majorHAnsi"/>
          <w:sz w:val="22"/>
          <w:lang w:val="en-US"/>
        </w:rPr>
        <w:t xml:space="preserve"> are in</w:t>
      </w:r>
      <w:r w:rsidR="00A67EBB">
        <w:rPr>
          <w:rFonts w:asciiTheme="majorHAnsi" w:hAnsiTheme="majorHAnsi" w:cstheme="majorHAnsi"/>
          <w:sz w:val="22"/>
          <w:lang w:val="en-US"/>
        </w:rPr>
        <w:t xml:space="preserve">hibited by diazabicyclooctanes </w:t>
      </w:r>
      <w:r w:rsidRPr="00DE2282">
        <w:rPr>
          <w:rFonts w:asciiTheme="majorHAnsi" w:hAnsiTheme="majorHAnsi" w:cstheme="majorHAnsi"/>
          <w:sz w:val="22"/>
          <w:lang w:val="en-US"/>
        </w:rPr>
        <w:t>[</w:t>
      </w:r>
      <w:r w:rsidR="00A67EBB">
        <w:rPr>
          <w:rFonts w:asciiTheme="majorHAnsi" w:hAnsiTheme="majorHAnsi" w:cstheme="majorHAnsi"/>
          <w:sz w:val="22"/>
          <w:lang w:val="en-US"/>
        </w:rPr>
        <w:t>1,13,14] and</w:t>
      </w:r>
      <w:r w:rsidRPr="00DE2282">
        <w:rPr>
          <w:rFonts w:asciiTheme="majorHAnsi" w:hAnsiTheme="majorHAnsi" w:cstheme="majorHAnsi"/>
          <w:sz w:val="22"/>
          <w:lang w:val="en-US"/>
        </w:rPr>
        <w:t xml:space="preserve"> OP0595</w:t>
      </w:r>
      <w:r w:rsidR="00B12E6F">
        <w:rPr>
          <w:rFonts w:asciiTheme="majorHAnsi" w:hAnsiTheme="majorHAnsi" w:cstheme="majorHAnsi"/>
          <w:sz w:val="22"/>
          <w:lang w:val="en-US"/>
        </w:rPr>
        <w:t xml:space="preserve"> continued to</w:t>
      </w:r>
      <w:r w:rsidRPr="00DE2282">
        <w:rPr>
          <w:rFonts w:asciiTheme="majorHAnsi" w:hAnsiTheme="majorHAnsi" w:cstheme="majorHAnsi"/>
          <w:sz w:val="22"/>
          <w:lang w:val="en-US"/>
        </w:rPr>
        <w:t xml:space="preserve"> strong</w:t>
      </w:r>
      <w:r w:rsidR="00A67EBB">
        <w:rPr>
          <w:rFonts w:asciiTheme="majorHAnsi" w:hAnsiTheme="majorHAnsi" w:cstheme="majorHAnsi"/>
          <w:sz w:val="22"/>
          <w:lang w:val="en-US"/>
        </w:rPr>
        <w:t>ly potentiate its</w:t>
      </w:r>
      <w:r w:rsidRPr="00DE2282">
        <w:rPr>
          <w:rFonts w:asciiTheme="majorHAnsi" w:hAnsiTheme="majorHAnsi" w:cstheme="majorHAnsi"/>
          <w:sz w:val="22"/>
          <w:lang w:val="en-US"/>
        </w:rPr>
        <w:t xml:space="preserve"> </w:t>
      </w:r>
      <w:r w:rsidR="00B12E6F">
        <w:rPr>
          <w:rFonts w:asciiTheme="majorHAnsi" w:hAnsiTheme="majorHAnsi" w:cstheme="majorHAnsi"/>
          <w:sz w:val="22"/>
          <w:lang w:val="en-US"/>
        </w:rPr>
        <w:t>partner</w:t>
      </w:r>
      <w:r w:rsidRPr="00DE2282">
        <w:rPr>
          <w:rFonts w:asciiTheme="majorHAnsi" w:hAnsiTheme="majorHAnsi" w:cstheme="majorHAnsi"/>
          <w:sz w:val="22"/>
          <w:lang w:val="en-US"/>
        </w:rPr>
        <w:t xml:space="preserve"> </w:t>
      </w:r>
      <w:r w:rsidRPr="00DE2282">
        <w:rPr>
          <w:rFonts w:ascii="Symbol" w:hAnsi="Symbol" w:cstheme="majorHAnsi"/>
          <w:sz w:val="22"/>
          <w:lang w:val="en-US"/>
        </w:rPr>
        <w:t></w:t>
      </w:r>
      <w:r w:rsidRPr="00DE2282">
        <w:rPr>
          <w:rFonts w:asciiTheme="majorHAnsi" w:hAnsiTheme="majorHAnsi" w:cstheme="majorHAnsi"/>
          <w:sz w:val="22"/>
          <w:lang w:val="en-US"/>
        </w:rPr>
        <w:t xml:space="preserve">-lactams </w:t>
      </w:r>
      <w:r w:rsidR="00B12E6F">
        <w:rPr>
          <w:rFonts w:asciiTheme="majorHAnsi" w:hAnsiTheme="majorHAnsi" w:cstheme="majorHAnsi"/>
          <w:sz w:val="22"/>
          <w:lang w:val="en-US"/>
        </w:rPr>
        <w:t xml:space="preserve">against </w:t>
      </w:r>
      <w:r w:rsidR="006F1816">
        <w:rPr>
          <w:rFonts w:asciiTheme="majorHAnsi" w:hAnsiTheme="majorHAnsi" w:cstheme="majorHAnsi"/>
          <w:sz w:val="22"/>
          <w:lang w:val="en-US"/>
        </w:rPr>
        <w:t xml:space="preserve">mutants </w:t>
      </w:r>
      <w:r w:rsidR="00B12E6F">
        <w:rPr>
          <w:rFonts w:asciiTheme="majorHAnsi" w:hAnsiTheme="majorHAnsi" w:cstheme="majorHAnsi"/>
          <w:sz w:val="22"/>
          <w:lang w:val="en-US"/>
        </w:rPr>
        <w:t>whenever the partner was a good substrate</w:t>
      </w:r>
      <w:r w:rsidR="00A67EBB">
        <w:rPr>
          <w:rFonts w:asciiTheme="majorHAnsi" w:hAnsiTheme="majorHAnsi" w:cstheme="majorHAnsi"/>
          <w:sz w:val="22"/>
          <w:lang w:val="en-US"/>
        </w:rPr>
        <w:t xml:space="preserve"> of the </w:t>
      </w:r>
      <w:r w:rsidR="00A67EBB" w:rsidRPr="00A67EBB">
        <w:rPr>
          <w:rFonts w:ascii="Symbol" w:hAnsi="Symbol" w:cstheme="majorHAnsi"/>
          <w:sz w:val="22"/>
          <w:lang w:val="en-US"/>
        </w:rPr>
        <w:t></w:t>
      </w:r>
      <w:r w:rsidR="00A67EBB">
        <w:rPr>
          <w:rFonts w:asciiTheme="majorHAnsi" w:hAnsiTheme="majorHAnsi" w:cstheme="majorHAnsi"/>
          <w:sz w:val="22"/>
          <w:lang w:val="en-US"/>
        </w:rPr>
        <w:t>-lactamase produced</w:t>
      </w:r>
      <w:r w:rsidR="00B12E6F">
        <w:rPr>
          <w:rFonts w:asciiTheme="majorHAnsi" w:hAnsiTheme="majorHAnsi" w:cstheme="majorHAnsi"/>
          <w:sz w:val="22"/>
          <w:lang w:val="en-US"/>
        </w:rPr>
        <w:t xml:space="preserve"> </w:t>
      </w:r>
      <w:r w:rsidRPr="00DE2282">
        <w:rPr>
          <w:rFonts w:asciiTheme="majorHAnsi" w:hAnsiTheme="majorHAnsi" w:cstheme="majorHAnsi"/>
          <w:sz w:val="22"/>
          <w:lang w:val="en-US"/>
        </w:rPr>
        <w:t xml:space="preserve">- i.e. </w:t>
      </w:r>
      <w:r w:rsidR="006F1816">
        <w:rPr>
          <w:rFonts w:asciiTheme="majorHAnsi" w:hAnsiTheme="majorHAnsi" w:cstheme="majorHAnsi"/>
          <w:sz w:val="22"/>
          <w:lang w:val="en-US"/>
        </w:rPr>
        <w:t xml:space="preserve">of </w:t>
      </w:r>
      <w:r w:rsidRPr="00DE2282">
        <w:rPr>
          <w:rFonts w:asciiTheme="majorHAnsi" w:hAnsiTheme="majorHAnsi" w:cstheme="majorHAnsi"/>
          <w:sz w:val="22"/>
          <w:lang w:val="en-US"/>
        </w:rPr>
        <w:t xml:space="preserve">piperacillin, cefepime and aztreonam for </w:t>
      </w:r>
      <w:r w:rsidR="00A67EBB">
        <w:rPr>
          <w:rFonts w:asciiTheme="majorHAnsi" w:hAnsiTheme="majorHAnsi" w:cstheme="majorHAnsi"/>
          <w:sz w:val="22"/>
          <w:lang w:val="en-US"/>
        </w:rPr>
        <w:t>mutants</w:t>
      </w:r>
      <w:r w:rsidRPr="00DE2282">
        <w:rPr>
          <w:rFonts w:asciiTheme="majorHAnsi" w:hAnsiTheme="majorHAnsi" w:cstheme="majorHAnsi"/>
          <w:sz w:val="22"/>
          <w:lang w:val="en-US"/>
        </w:rPr>
        <w:t xml:space="preserve"> with ESBLs; piperacillin and aztreonam for those with AmpC and all four </w:t>
      </w:r>
      <w:r w:rsidRPr="00DE2282">
        <w:rPr>
          <w:rFonts w:ascii="Symbol" w:hAnsi="Symbol" w:cstheme="majorHAnsi"/>
          <w:sz w:val="22"/>
          <w:lang w:val="en-US"/>
        </w:rPr>
        <w:t></w:t>
      </w:r>
      <w:r w:rsidRPr="00DE2282">
        <w:rPr>
          <w:rFonts w:asciiTheme="majorHAnsi" w:hAnsiTheme="majorHAnsi" w:cstheme="majorHAnsi"/>
          <w:sz w:val="22"/>
          <w:lang w:val="en-US"/>
        </w:rPr>
        <w:t>-lactams</w:t>
      </w:r>
      <w:r w:rsidR="00A67EBB">
        <w:rPr>
          <w:rFonts w:asciiTheme="majorHAnsi" w:hAnsiTheme="majorHAnsi" w:cstheme="majorHAnsi"/>
          <w:sz w:val="22"/>
          <w:lang w:val="en-US"/>
        </w:rPr>
        <w:t xml:space="preserve"> for</w:t>
      </w:r>
      <w:r w:rsidRPr="00DE2282">
        <w:rPr>
          <w:rFonts w:asciiTheme="majorHAnsi" w:hAnsiTheme="majorHAnsi" w:cstheme="majorHAnsi"/>
          <w:sz w:val="22"/>
          <w:lang w:val="en-US"/>
        </w:rPr>
        <w:t xml:space="preserve"> </w:t>
      </w:r>
      <w:r w:rsidR="00A67EBB">
        <w:rPr>
          <w:rFonts w:asciiTheme="majorHAnsi" w:hAnsiTheme="majorHAnsi" w:cstheme="majorHAnsi"/>
          <w:sz w:val="22"/>
          <w:lang w:val="en-US"/>
        </w:rPr>
        <w:t>those</w:t>
      </w:r>
      <w:r w:rsidRPr="00DE2282">
        <w:rPr>
          <w:rFonts w:asciiTheme="majorHAnsi" w:hAnsiTheme="majorHAnsi" w:cstheme="majorHAnsi"/>
          <w:sz w:val="22"/>
          <w:lang w:val="en-US"/>
        </w:rPr>
        <w:t xml:space="preserve"> with KPC enzymes (Table 4). </w:t>
      </w:r>
      <w:r w:rsidR="00A67EBB">
        <w:rPr>
          <w:rFonts w:asciiTheme="majorHAnsi" w:hAnsiTheme="majorHAnsi" w:cstheme="majorHAnsi"/>
          <w:sz w:val="22"/>
          <w:lang w:val="en-US"/>
        </w:rPr>
        <w:t xml:space="preserve">Avibactam </w:t>
      </w:r>
      <w:r w:rsidR="00A67EBB" w:rsidRPr="00DE2282">
        <w:rPr>
          <w:rFonts w:asciiTheme="majorHAnsi" w:hAnsiTheme="majorHAnsi" w:cstheme="majorHAnsi"/>
          <w:sz w:val="22"/>
          <w:lang w:val="en-US"/>
        </w:rPr>
        <w:t xml:space="preserve">4 </w:t>
      </w:r>
      <w:r w:rsidR="00A67EBB" w:rsidRPr="00DE2282">
        <w:rPr>
          <w:rFonts w:ascii="Symbol" w:hAnsi="Symbol" w:cstheme="majorHAnsi"/>
          <w:sz w:val="22"/>
          <w:lang w:val="en-US"/>
        </w:rPr>
        <w:t></w:t>
      </w:r>
      <w:r w:rsidR="00A67EBB" w:rsidRPr="00DE2282">
        <w:rPr>
          <w:rFonts w:asciiTheme="majorHAnsi" w:hAnsiTheme="majorHAnsi" w:cstheme="majorHAnsi"/>
          <w:sz w:val="22"/>
          <w:lang w:val="en-US"/>
        </w:rPr>
        <w:t xml:space="preserve">g/ml </w:t>
      </w:r>
      <w:r w:rsidR="00A67EBB">
        <w:rPr>
          <w:rFonts w:asciiTheme="majorHAnsi" w:hAnsiTheme="majorHAnsi" w:cstheme="majorHAnsi"/>
          <w:sz w:val="22"/>
          <w:lang w:val="en-US"/>
        </w:rPr>
        <w:t xml:space="preserve">likewise </w:t>
      </w:r>
      <w:r w:rsidRPr="00DE2282">
        <w:rPr>
          <w:rFonts w:asciiTheme="majorHAnsi" w:hAnsiTheme="majorHAnsi" w:cstheme="majorHAnsi"/>
          <w:sz w:val="22"/>
          <w:lang w:val="en-US"/>
        </w:rPr>
        <w:t>potentiat</w:t>
      </w:r>
      <w:r w:rsidR="00CA551C">
        <w:rPr>
          <w:rFonts w:asciiTheme="majorHAnsi" w:hAnsiTheme="majorHAnsi" w:cstheme="majorHAnsi"/>
          <w:sz w:val="22"/>
          <w:lang w:val="en-US"/>
        </w:rPr>
        <w:t>ed</w:t>
      </w:r>
      <w:r w:rsidRPr="00DE2282">
        <w:rPr>
          <w:rFonts w:asciiTheme="majorHAnsi" w:hAnsiTheme="majorHAnsi" w:cstheme="majorHAnsi"/>
          <w:sz w:val="22"/>
          <w:lang w:val="en-US"/>
        </w:rPr>
        <w:t xml:space="preserve"> ceftazidime </w:t>
      </w:r>
      <w:r w:rsidR="00CA551C">
        <w:rPr>
          <w:rFonts w:asciiTheme="majorHAnsi" w:hAnsiTheme="majorHAnsi" w:cstheme="majorHAnsi"/>
          <w:sz w:val="22"/>
          <w:lang w:val="en-US"/>
        </w:rPr>
        <w:t>against</w:t>
      </w:r>
      <w:r w:rsidR="00A67EBB">
        <w:rPr>
          <w:rFonts w:asciiTheme="majorHAnsi" w:hAnsiTheme="majorHAnsi" w:cstheme="majorHAnsi"/>
          <w:sz w:val="22"/>
          <w:lang w:val="en-US"/>
        </w:rPr>
        <w:t xml:space="preserve"> these organisms</w:t>
      </w:r>
      <w:r w:rsidR="00B12E6F">
        <w:rPr>
          <w:rFonts w:asciiTheme="majorHAnsi" w:hAnsiTheme="majorHAnsi" w:cstheme="majorHAnsi"/>
          <w:sz w:val="22"/>
          <w:lang w:val="en-US"/>
        </w:rPr>
        <w:t xml:space="preserve"> - a</w:t>
      </w:r>
      <w:r w:rsidR="006F1816">
        <w:rPr>
          <w:rFonts w:asciiTheme="majorHAnsi" w:hAnsiTheme="majorHAnsi" w:cstheme="majorHAnsi"/>
          <w:sz w:val="22"/>
          <w:lang w:val="en-US"/>
        </w:rPr>
        <w:t xml:space="preserve"> result </w:t>
      </w:r>
      <w:r w:rsidRPr="00DE2282">
        <w:rPr>
          <w:rFonts w:asciiTheme="majorHAnsi" w:hAnsiTheme="majorHAnsi" w:cstheme="majorHAnsi"/>
          <w:sz w:val="22"/>
          <w:lang w:val="en-US"/>
        </w:rPr>
        <w:t>in keeping with published data [15-17].</w:t>
      </w:r>
    </w:p>
    <w:p w:rsidR="009A1B71" w:rsidRDefault="003F1E7A" w:rsidP="007B515C">
      <w:pPr>
        <w:spacing w:line="480" w:lineRule="auto"/>
        <w:jc w:val="both"/>
        <w:rPr>
          <w:rFonts w:asciiTheme="majorHAnsi" w:hAnsiTheme="majorHAnsi" w:cstheme="majorHAnsi"/>
          <w:sz w:val="22"/>
          <w:lang w:val="en-US"/>
        </w:rPr>
      </w:pPr>
      <w:r w:rsidRPr="00DE2282">
        <w:rPr>
          <w:rFonts w:asciiTheme="majorHAnsi" w:hAnsiTheme="majorHAnsi" w:cstheme="majorHAnsi"/>
          <w:sz w:val="22"/>
          <w:lang w:val="en-US"/>
        </w:rPr>
        <w:tab/>
        <w:t>Potentiation was weaker when OP0595 was combined with weak substrates</w:t>
      </w:r>
      <w:r w:rsidR="006F1816">
        <w:rPr>
          <w:rFonts w:asciiTheme="majorHAnsi" w:hAnsiTheme="majorHAnsi" w:cstheme="majorHAnsi"/>
          <w:sz w:val="22"/>
          <w:lang w:val="en-US"/>
        </w:rPr>
        <w:t xml:space="preserve"> or stable agents</w:t>
      </w:r>
      <w:r w:rsidRPr="00DE2282">
        <w:rPr>
          <w:rFonts w:asciiTheme="majorHAnsi" w:hAnsiTheme="majorHAnsi" w:cstheme="majorHAnsi"/>
          <w:sz w:val="22"/>
          <w:lang w:val="en-US"/>
        </w:rPr>
        <w:t>. Nevertheless two- to four-fold reductions in meropenem MICs were widespread</w:t>
      </w:r>
      <w:r w:rsidR="006F1816">
        <w:rPr>
          <w:rFonts w:asciiTheme="majorHAnsi" w:hAnsiTheme="majorHAnsi" w:cstheme="majorHAnsi"/>
          <w:sz w:val="22"/>
          <w:lang w:val="en-US"/>
        </w:rPr>
        <w:t xml:space="preserve"> for ESBL and AmpC producers</w:t>
      </w:r>
      <w:r w:rsidRPr="00DE2282">
        <w:rPr>
          <w:rFonts w:asciiTheme="majorHAnsi" w:hAnsiTheme="majorHAnsi" w:cstheme="majorHAnsi"/>
          <w:sz w:val="22"/>
          <w:lang w:val="en-US"/>
        </w:rPr>
        <w:t xml:space="preserve">, and the geometric mean MIC of cefepime for AmpC producers was reduced from 0.51 </w:t>
      </w:r>
      <w:r w:rsidRPr="00DE2282">
        <w:rPr>
          <w:rFonts w:ascii="Symbol" w:hAnsi="Symbol" w:cstheme="majorHAnsi"/>
          <w:sz w:val="22"/>
          <w:lang w:val="en-US"/>
        </w:rPr>
        <w:t></w:t>
      </w:r>
      <w:r w:rsidRPr="00DE2282">
        <w:rPr>
          <w:rFonts w:asciiTheme="majorHAnsi" w:hAnsiTheme="majorHAnsi" w:cstheme="majorHAnsi"/>
          <w:sz w:val="22"/>
          <w:lang w:val="en-US"/>
        </w:rPr>
        <w:t xml:space="preserve">g/ml to </w:t>
      </w:r>
      <w:r w:rsidRPr="00DE2282">
        <w:rPr>
          <w:rFonts w:asciiTheme="majorHAnsi" w:hAnsiTheme="majorHAnsi" w:cstheme="majorHAnsi"/>
          <w:sz w:val="22"/>
          <w:u w:val="single"/>
          <w:lang w:val="en-US"/>
        </w:rPr>
        <w:t>&lt;</w:t>
      </w:r>
      <w:r w:rsidRPr="00DE2282">
        <w:rPr>
          <w:rFonts w:asciiTheme="majorHAnsi" w:hAnsiTheme="majorHAnsi" w:cstheme="majorHAnsi"/>
          <w:sz w:val="22"/>
          <w:lang w:val="en-US"/>
        </w:rPr>
        <w:t xml:space="preserve">0.016 </w:t>
      </w:r>
      <w:r w:rsidRPr="00DE2282">
        <w:rPr>
          <w:rFonts w:ascii="Symbol" w:hAnsi="Symbol" w:cstheme="majorHAnsi"/>
          <w:sz w:val="22"/>
          <w:lang w:val="en-US"/>
        </w:rPr>
        <w:t></w:t>
      </w:r>
      <w:r w:rsidRPr="00DE2282">
        <w:rPr>
          <w:rFonts w:asciiTheme="majorHAnsi" w:hAnsiTheme="majorHAnsi" w:cstheme="majorHAnsi"/>
          <w:sz w:val="22"/>
          <w:lang w:val="en-US"/>
        </w:rPr>
        <w:t>g/ml by OP0595 at 2</w:t>
      </w:r>
      <w:r w:rsidR="00B12E6F">
        <w:rPr>
          <w:rFonts w:asciiTheme="majorHAnsi" w:hAnsiTheme="majorHAnsi" w:cstheme="majorHAnsi"/>
          <w:sz w:val="22"/>
          <w:lang w:val="en-US"/>
        </w:rPr>
        <w:t>-8</w:t>
      </w:r>
      <w:r w:rsidRPr="00DE2282">
        <w:rPr>
          <w:rFonts w:asciiTheme="majorHAnsi" w:hAnsiTheme="majorHAnsi" w:cstheme="majorHAnsi"/>
          <w:sz w:val="22"/>
          <w:lang w:val="en-US"/>
        </w:rPr>
        <w:t xml:space="preserve"> </w:t>
      </w:r>
      <w:r w:rsidRPr="00DE2282">
        <w:rPr>
          <w:rFonts w:ascii="Symbol" w:hAnsi="Symbol" w:cstheme="majorHAnsi"/>
          <w:sz w:val="22"/>
          <w:lang w:val="en-US"/>
        </w:rPr>
        <w:t></w:t>
      </w:r>
      <w:r w:rsidRPr="00DE2282">
        <w:rPr>
          <w:rFonts w:asciiTheme="majorHAnsi" w:hAnsiTheme="majorHAnsi" w:cstheme="majorHAnsi"/>
          <w:sz w:val="22"/>
          <w:lang w:val="en-US"/>
        </w:rPr>
        <w:t>g/ml.</w:t>
      </w:r>
    </w:p>
    <w:p w:rsidR="007B515C" w:rsidRPr="00DE2282" w:rsidRDefault="003F1E7A" w:rsidP="000045FB">
      <w:pPr>
        <w:spacing w:line="480" w:lineRule="auto"/>
        <w:jc w:val="both"/>
        <w:rPr>
          <w:rFonts w:asciiTheme="majorHAnsi" w:hAnsiTheme="majorHAnsi" w:cstheme="majorHAnsi"/>
          <w:sz w:val="22"/>
          <w:lang w:val="en-US"/>
        </w:rPr>
      </w:pPr>
      <w:r w:rsidRPr="00DE2282">
        <w:rPr>
          <w:rFonts w:asciiTheme="majorHAnsi" w:hAnsiTheme="majorHAnsi" w:cstheme="majorHAnsi"/>
          <w:sz w:val="22"/>
          <w:lang w:val="en-US"/>
        </w:rPr>
        <w:t xml:space="preserve"> </w:t>
      </w:r>
      <w:r w:rsidRPr="00DE2282">
        <w:rPr>
          <w:rFonts w:asciiTheme="majorHAnsi" w:hAnsiTheme="majorHAnsi" w:cstheme="majorHAnsi"/>
          <w:b/>
          <w:bCs/>
          <w:iCs/>
          <w:sz w:val="22"/>
          <w:lang w:val="en-US"/>
        </w:rPr>
        <w:t xml:space="preserve">OP0595 combinations versus </w:t>
      </w:r>
      <w:r w:rsidR="009A1B71">
        <w:rPr>
          <w:rFonts w:asciiTheme="majorHAnsi" w:hAnsiTheme="majorHAnsi" w:cstheme="majorHAnsi"/>
          <w:b/>
          <w:bCs/>
          <w:iCs/>
          <w:sz w:val="22"/>
          <w:lang w:val="en-US"/>
        </w:rPr>
        <w:t xml:space="preserve">mutants of </w:t>
      </w:r>
      <w:r w:rsidRPr="00DE2282">
        <w:rPr>
          <w:rFonts w:asciiTheme="majorHAnsi" w:hAnsiTheme="majorHAnsi" w:cstheme="majorHAnsi"/>
          <w:b/>
          <w:bCs/>
          <w:iCs/>
          <w:sz w:val="22"/>
          <w:lang w:val="en-US"/>
        </w:rPr>
        <w:t>s</w:t>
      </w:r>
      <w:r w:rsidRPr="00DE2282">
        <w:rPr>
          <w:rFonts w:asciiTheme="majorHAnsi" w:hAnsiTheme="majorHAnsi" w:cstheme="majorHAnsi"/>
          <w:b/>
          <w:sz w:val="22"/>
          <w:lang w:val="en-US"/>
        </w:rPr>
        <w:t>trains with MBLs.</w:t>
      </w:r>
      <w:r w:rsidRPr="00DE2282">
        <w:rPr>
          <w:rFonts w:asciiTheme="majorHAnsi" w:hAnsiTheme="majorHAnsi" w:cstheme="majorHAnsi"/>
          <w:i/>
          <w:sz w:val="22"/>
          <w:lang w:val="en-US"/>
        </w:rPr>
        <w:t xml:space="preserve"> </w:t>
      </w:r>
      <w:r w:rsidRPr="00DE2282">
        <w:rPr>
          <w:rFonts w:asciiTheme="majorHAnsi" w:hAnsiTheme="majorHAnsi" w:cstheme="majorHAnsi"/>
          <w:sz w:val="22"/>
          <w:lang w:val="en-US"/>
        </w:rPr>
        <w:t>Among the 18 parent strains with IMP, NDM and VIM metallo-carbapenemases six were susceptible to aztreonam</w:t>
      </w:r>
      <w:r w:rsidR="006F1816">
        <w:rPr>
          <w:rFonts w:asciiTheme="majorHAnsi" w:hAnsiTheme="majorHAnsi" w:cstheme="majorHAnsi"/>
          <w:sz w:val="22"/>
          <w:lang w:val="en-US"/>
        </w:rPr>
        <w:t xml:space="preserve"> at</w:t>
      </w:r>
      <w:r w:rsidRPr="00DE2282">
        <w:rPr>
          <w:rFonts w:asciiTheme="majorHAnsi" w:hAnsiTheme="majorHAnsi" w:cstheme="majorHAnsi"/>
          <w:sz w:val="22"/>
          <w:lang w:val="en-US"/>
        </w:rPr>
        <w:t xml:space="preserve"> </w:t>
      </w:r>
      <w:r w:rsidR="006F1816" w:rsidRPr="006F1816">
        <w:rPr>
          <w:rFonts w:asciiTheme="majorHAnsi" w:hAnsiTheme="majorHAnsi" w:cstheme="majorHAnsi"/>
          <w:sz w:val="22"/>
          <w:u w:val="single"/>
          <w:lang w:val="en-US"/>
        </w:rPr>
        <w:t>&lt;</w:t>
      </w:r>
      <w:r w:rsidRPr="00DE2282">
        <w:rPr>
          <w:rFonts w:asciiTheme="majorHAnsi" w:hAnsiTheme="majorHAnsi" w:cstheme="majorHAnsi"/>
          <w:sz w:val="22"/>
          <w:lang w:val="en-US"/>
        </w:rPr>
        <w:t xml:space="preserve">0.25 </w:t>
      </w:r>
      <w:r w:rsidRPr="00DE2282">
        <w:rPr>
          <w:rFonts w:ascii="Symbol" w:hAnsi="Symbol" w:cstheme="majorHAnsi"/>
          <w:sz w:val="22"/>
          <w:lang w:val="en-US"/>
        </w:rPr>
        <w:t></w:t>
      </w:r>
      <w:r w:rsidRPr="00DE2282">
        <w:rPr>
          <w:rFonts w:asciiTheme="majorHAnsi" w:hAnsiTheme="majorHAnsi" w:cstheme="majorHAnsi"/>
          <w:sz w:val="22"/>
          <w:lang w:val="en-US"/>
        </w:rPr>
        <w:t xml:space="preserve">g/ml, </w:t>
      </w:r>
      <w:r w:rsidR="00B12E6F">
        <w:rPr>
          <w:rFonts w:asciiTheme="majorHAnsi" w:hAnsiTheme="majorHAnsi" w:cstheme="majorHAnsi"/>
          <w:sz w:val="22"/>
          <w:lang w:val="en-US"/>
        </w:rPr>
        <w:t>indicating</w:t>
      </w:r>
      <w:r w:rsidRPr="00DE2282">
        <w:rPr>
          <w:rFonts w:asciiTheme="majorHAnsi" w:hAnsiTheme="majorHAnsi" w:cstheme="majorHAnsi"/>
          <w:sz w:val="22"/>
          <w:lang w:val="en-US"/>
        </w:rPr>
        <w:t xml:space="preserve"> the absence of </w:t>
      </w:r>
      <w:r w:rsidR="00CA551C">
        <w:rPr>
          <w:rFonts w:asciiTheme="majorHAnsi" w:hAnsiTheme="majorHAnsi" w:cstheme="majorHAnsi"/>
          <w:sz w:val="22"/>
          <w:lang w:val="en-US"/>
        </w:rPr>
        <w:t>ESBL or AmpC activity that might be inhibited by OP0595</w:t>
      </w:r>
      <w:r w:rsidRPr="00DE2282">
        <w:rPr>
          <w:rFonts w:asciiTheme="majorHAnsi" w:hAnsiTheme="majorHAnsi" w:cstheme="majorHAnsi"/>
          <w:sz w:val="22"/>
          <w:lang w:val="en-US"/>
        </w:rPr>
        <w:t xml:space="preserve">. MIC distributions of diazabicyclooctane combinations for mutants of all 18 strains are summarized in Table 5; those for mutants of </w:t>
      </w:r>
      <w:r w:rsidR="000045FB">
        <w:rPr>
          <w:rFonts w:asciiTheme="majorHAnsi" w:hAnsiTheme="majorHAnsi" w:cstheme="majorHAnsi"/>
          <w:sz w:val="22"/>
          <w:lang w:val="en-US"/>
        </w:rPr>
        <w:t xml:space="preserve">the </w:t>
      </w:r>
      <w:r w:rsidRPr="00DE2282">
        <w:rPr>
          <w:rFonts w:asciiTheme="majorHAnsi" w:hAnsiTheme="majorHAnsi" w:cstheme="majorHAnsi"/>
          <w:sz w:val="22"/>
          <w:lang w:val="en-US"/>
        </w:rPr>
        <w:t xml:space="preserve">aztreonam-susceptible strains are line-listed in Table 6.  </w:t>
      </w:r>
      <w:r w:rsidR="000045FB">
        <w:rPr>
          <w:rFonts w:asciiTheme="majorHAnsi" w:hAnsiTheme="majorHAnsi" w:cstheme="majorHAnsi"/>
          <w:sz w:val="22"/>
          <w:lang w:val="en-US"/>
        </w:rPr>
        <w:t>P</w:t>
      </w:r>
      <w:r w:rsidRPr="00DE2282">
        <w:rPr>
          <w:rFonts w:asciiTheme="majorHAnsi" w:hAnsiTheme="majorHAnsi" w:cstheme="majorHAnsi"/>
          <w:sz w:val="22"/>
          <w:lang w:val="en-US"/>
        </w:rPr>
        <w:t xml:space="preserve">otentiation by OP0595 was </w:t>
      </w:r>
      <w:r w:rsidR="000045FB">
        <w:rPr>
          <w:rFonts w:asciiTheme="majorHAnsi" w:hAnsiTheme="majorHAnsi" w:cstheme="majorHAnsi"/>
          <w:sz w:val="22"/>
          <w:lang w:val="en-US"/>
        </w:rPr>
        <w:t>widespread and, for the aztreonam-resistant organisms</w:t>
      </w:r>
      <w:r w:rsidR="00B62033">
        <w:rPr>
          <w:rFonts w:asciiTheme="majorHAnsi" w:hAnsiTheme="majorHAnsi" w:cstheme="majorHAnsi"/>
          <w:sz w:val="22"/>
          <w:lang w:val="en-US"/>
        </w:rPr>
        <w:t>,</w:t>
      </w:r>
      <w:r w:rsidRPr="00DE2282">
        <w:rPr>
          <w:rFonts w:asciiTheme="majorHAnsi" w:hAnsiTheme="majorHAnsi" w:cstheme="majorHAnsi"/>
          <w:sz w:val="22"/>
          <w:lang w:val="en-US"/>
        </w:rPr>
        <w:t xml:space="preserve"> probably</w:t>
      </w:r>
      <w:r w:rsidR="00B62033">
        <w:rPr>
          <w:rFonts w:asciiTheme="majorHAnsi" w:hAnsiTheme="majorHAnsi" w:cstheme="majorHAnsi"/>
          <w:sz w:val="22"/>
          <w:lang w:val="en-US"/>
        </w:rPr>
        <w:t xml:space="preserve"> largely</w:t>
      </w:r>
      <w:r w:rsidRPr="00DE2282">
        <w:rPr>
          <w:rFonts w:asciiTheme="majorHAnsi" w:hAnsiTheme="majorHAnsi" w:cstheme="majorHAnsi"/>
          <w:sz w:val="22"/>
          <w:lang w:val="en-US"/>
        </w:rPr>
        <w:t xml:space="preserve"> </w:t>
      </w:r>
      <w:r w:rsidR="00B749D1">
        <w:rPr>
          <w:rFonts w:asciiTheme="majorHAnsi" w:hAnsiTheme="majorHAnsi" w:cstheme="majorHAnsi"/>
          <w:sz w:val="22"/>
          <w:lang w:val="en-US"/>
        </w:rPr>
        <w:t>reflected</w:t>
      </w:r>
      <w:r w:rsidRPr="00DE2282">
        <w:rPr>
          <w:rFonts w:asciiTheme="majorHAnsi" w:hAnsiTheme="majorHAnsi" w:cstheme="majorHAnsi"/>
          <w:sz w:val="22"/>
          <w:lang w:val="en-US"/>
        </w:rPr>
        <w:t xml:space="preserve"> inhibition of co</w:t>
      </w:r>
      <w:r w:rsidR="00B749D1">
        <w:rPr>
          <w:rFonts w:asciiTheme="majorHAnsi" w:hAnsiTheme="majorHAnsi" w:cstheme="majorHAnsi"/>
          <w:sz w:val="22"/>
          <w:lang w:val="en-US"/>
        </w:rPr>
        <w:t>-produced class A and C enzymes</w:t>
      </w:r>
      <w:r w:rsidRPr="00DE2282">
        <w:rPr>
          <w:rFonts w:asciiTheme="majorHAnsi" w:hAnsiTheme="majorHAnsi" w:cstheme="majorHAnsi"/>
          <w:sz w:val="22"/>
          <w:lang w:val="en-US"/>
        </w:rPr>
        <w:t xml:space="preserve">. </w:t>
      </w:r>
      <w:r w:rsidR="00B749D1">
        <w:rPr>
          <w:rFonts w:asciiTheme="majorHAnsi" w:hAnsiTheme="majorHAnsi" w:cstheme="majorHAnsi"/>
          <w:sz w:val="22"/>
          <w:lang w:val="en-US"/>
        </w:rPr>
        <w:t xml:space="preserve"> </w:t>
      </w:r>
      <w:r w:rsidR="004F48C9">
        <w:rPr>
          <w:rFonts w:asciiTheme="majorHAnsi" w:hAnsiTheme="majorHAnsi" w:cstheme="majorHAnsi"/>
          <w:sz w:val="22"/>
          <w:lang w:val="en-US"/>
        </w:rPr>
        <w:t>Inhibition of secondary enzymes cannot however explain the frequent (not universal</w:t>
      </w:r>
      <w:r w:rsidR="00A67EBB">
        <w:rPr>
          <w:rFonts w:asciiTheme="majorHAnsi" w:hAnsiTheme="majorHAnsi" w:cstheme="majorHAnsi"/>
          <w:sz w:val="22"/>
          <w:lang w:val="en-US"/>
        </w:rPr>
        <w:t>, even within series</w:t>
      </w:r>
      <w:r w:rsidR="004F48C9">
        <w:rPr>
          <w:rFonts w:asciiTheme="majorHAnsi" w:hAnsiTheme="majorHAnsi" w:cstheme="majorHAnsi"/>
          <w:sz w:val="22"/>
          <w:lang w:val="en-US"/>
        </w:rPr>
        <w:t>) two- to 16-fold synergy observed between OP0595 and both aztreonam and cefepime for OP0595-resistant mutants of the aztreonam-susceptible strains (Table 6). P</w:t>
      </w:r>
      <w:r w:rsidRPr="00DE2282">
        <w:rPr>
          <w:rFonts w:asciiTheme="majorHAnsi" w:hAnsiTheme="majorHAnsi" w:cstheme="majorHAnsi"/>
          <w:sz w:val="22"/>
          <w:lang w:val="en-US"/>
        </w:rPr>
        <w:t xml:space="preserve">otentiation of meropenem was </w:t>
      </w:r>
      <w:r w:rsidR="004F48C9">
        <w:rPr>
          <w:rFonts w:asciiTheme="majorHAnsi" w:hAnsiTheme="majorHAnsi" w:cstheme="majorHAnsi"/>
          <w:sz w:val="22"/>
          <w:lang w:val="en-US"/>
        </w:rPr>
        <w:t xml:space="preserve">less frequent, being </w:t>
      </w:r>
      <w:r w:rsidRPr="00DE2282">
        <w:rPr>
          <w:rFonts w:asciiTheme="majorHAnsi" w:hAnsiTheme="majorHAnsi" w:cstheme="majorHAnsi"/>
          <w:sz w:val="22"/>
          <w:lang w:val="en-US"/>
        </w:rPr>
        <w:t xml:space="preserve">almost exclusive to </w:t>
      </w:r>
      <w:r w:rsidRPr="00DE2282">
        <w:rPr>
          <w:rFonts w:asciiTheme="majorHAnsi" w:hAnsiTheme="majorHAnsi" w:cstheme="majorHAnsi"/>
          <w:i/>
          <w:sz w:val="22"/>
          <w:lang w:val="en-US"/>
        </w:rPr>
        <w:t>E. coli</w:t>
      </w:r>
      <w:r w:rsidRPr="00DE2282">
        <w:rPr>
          <w:rFonts w:asciiTheme="majorHAnsi" w:hAnsiTheme="majorHAnsi" w:cstheme="majorHAnsi"/>
          <w:sz w:val="22"/>
          <w:lang w:val="en-US"/>
        </w:rPr>
        <w:t xml:space="preserve"> </w:t>
      </w:r>
      <w:r w:rsidR="00B37165">
        <w:rPr>
          <w:rFonts w:asciiTheme="majorHAnsi" w:hAnsiTheme="majorHAnsi" w:cstheme="majorHAnsi"/>
          <w:sz w:val="22"/>
          <w:lang w:val="en-US"/>
        </w:rPr>
        <w:t>H112760544 and H112760545</w:t>
      </w:r>
      <w:r w:rsidR="00B62033">
        <w:rPr>
          <w:rFonts w:asciiTheme="majorHAnsi" w:hAnsiTheme="majorHAnsi" w:cstheme="majorHAnsi"/>
          <w:sz w:val="22"/>
          <w:lang w:val="en-US"/>
        </w:rPr>
        <w:t>.</w:t>
      </w:r>
      <w:r w:rsidR="005F3705">
        <w:rPr>
          <w:rFonts w:asciiTheme="majorHAnsi" w:hAnsiTheme="majorHAnsi" w:cstheme="majorHAnsi"/>
          <w:sz w:val="22"/>
          <w:lang w:val="en-US"/>
        </w:rPr>
        <w:t xml:space="preserve"> </w:t>
      </w:r>
      <w:r w:rsidR="00B62033">
        <w:rPr>
          <w:rFonts w:asciiTheme="majorHAnsi" w:hAnsiTheme="majorHAnsi" w:cstheme="majorHAnsi"/>
          <w:sz w:val="22"/>
          <w:lang w:val="en-US"/>
        </w:rPr>
        <w:t>No</w:t>
      </w:r>
      <w:r w:rsidRPr="00DE2282">
        <w:rPr>
          <w:rFonts w:asciiTheme="majorHAnsi" w:hAnsiTheme="majorHAnsi" w:cstheme="majorHAnsi"/>
          <w:sz w:val="22"/>
          <w:lang w:val="en-US"/>
        </w:rPr>
        <w:t xml:space="preserve"> </w:t>
      </w:r>
      <w:r w:rsidR="00B37165">
        <w:rPr>
          <w:rFonts w:asciiTheme="majorHAnsi" w:hAnsiTheme="majorHAnsi" w:cstheme="majorHAnsi"/>
          <w:sz w:val="22"/>
          <w:lang w:val="en-US"/>
        </w:rPr>
        <w:t xml:space="preserve">similar </w:t>
      </w:r>
      <w:r w:rsidRPr="00DE2282">
        <w:rPr>
          <w:rFonts w:asciiTheme="majorHAnsi" w:hAnsiTheme="majorHAnsi" w:cstheme="majorHAnsi"/>
          <w:sz w:val="22"/>
          <w:lang w:val="en-US"/>
        </w:rPr>
        <w:t>potentiation of ceftazidime by avibactam</w:t>
      </w:r>
      <w:r w:rsidR="004F48C9">
        <w:rPr>
          <w:rFonts w:asciiTheme="majorHAnsi" w:hAnsiTheme="majorHAnsi" w:cstheme="majorHAnsi"/>
          <w:sz w:val="22"/>
          <w:lang w:val="en-US"/>
        </w:rPr>
        <w:t xml:space="preserve"> was seen</w:t>
      </w:r>
      <w:r w:rsidR="00A67EBB">
        <w:rPr>
          <w:rFonts w:asciiTheme="majorHAnsi" w:hAnsiTheme="majorHAnsi" w:cstheme="majorHAnsi"/>
          <w:sz w:val="22"/>
          <w:lang w:val="en-US"/>
        </w:rPr>
        <w:t xml:space="preserve"> for </w:t>
      </w:r>
      <w:r w:rsidR="009A1B71">
        <w:rPr>
          <w:rFonts w:asciiTheme="majorHAnsi" w:hAnsiTheme="majorHAnsi" w:cstheme="majorHAnsi"/>
          <w:sz w:val="22"/>
          <w:lang w:val="en-US"/>
        </w:rPr>
        <w:t>mutants of aztreonam-susceptible MBL producers</w:t>
      </w:r>
      <w:r w:rsidRPr="00DE2282">
        <w:rPr>
          <w:rFonts w:asciiTheme="majorHAnsi" w:hAnsiTheme="majorHAnsi" w:cstheme="majorHAnsi"/>
          <w:sz w:val="22"/>
          <w:lang w:val="en-US"/>
        </w:rPr>
        <w:t>.</w:t>
      </w:r>
    </w:p>
    <w:p w:rsidR="007B515C" w:rsidRPr="00DE2282" w:rsidRDefault="007B515C" w:rsidP="007B515C">
      <w:pPr>
        <w:spacing w:line="480" w:lineRule="auto"/>
        <w:jc w:val="both"/>
        <w:rPr>
          <w:rFonts w:asciiTheme="majorHAnsi" w:hAnsiTheme="majorHAnsi" w:cstheme="majorHAnsi"/>
          <w:sz w:val="22"/>
          <w:lang w:val="en-US"/>
        </w:rPr>
      </w:pPr>
    </w:p>
    <w:p w:rsidR="007B515C" w:rsidRDefault="003F1E7A" w:rsidP="007B515C">
      <w:pPr>
        <w:spacing w:line="480" w:lineRule="auto"/>
        <w:jc w:val="both"/>
        <w:rPr>
          <w:rFonts w:asciiTheme="majorHAnsi" w:hAnsiTheme="majorHAnsi" w:cstheme="majorHAnsi"/>
          <w:sz w:val="22"/>
          <w:lang w:val="en-US"/>
        </w:rPr>
      </w:pPr>
      <w:r w:rsidRPr="00DE2282">
        <w:rPr>
          <w:rFonts w:asciiTheme="majorHAnsi" w:hAnsiTheme="majorHAnsi" w:cstheme="majorHAnsi"/>
          <w:b/>
          <w:bCs/>
          <w:iCs/>
          <w:sz w:val="22"/>
          <w:lang w:val="en-US"/>
        </w:rPr>
        <w:t xml:space="preserve">OP0595 combinations </w:t>
      </w:r>
      <w:r w:rsidRPr="009A1B71">
        <w:rPr>
          <w:rFonts w:asciiTheme="majorHAnsi" w:hAnsiTheme="majorHAnsi" w:cstheme="majorHAnsi"/>
          <w:b/>
          <w:bCs/>
          <w:i/>
          <w:iCs/>
          <w:sz w:val="22"/>
          <w:lang w:val="en-US"/>
        </w:rPr>
        <w:t>versus</w:t>
      </w:r>
      <w:r w:rsidRPr="00DE2282">
        <w:rPr>
          <w:rFonts w:asciiTheme="majorHAnsi" w:hAnsiTheme="majorHAnsi" w:cstheme="majorHAnsi"/>
          <w:b/>
          <w:bCs/>
          <w:iCs/>
          <w:sz w:val="22"/>
          <w:lang w:val="en-US"/>
        </w:rPr>
        <w:t xml:space="preserve"> </w:t>
      </w:r>
      <w:r w:rsidR="009A1B71">
        <w:rPr>
          <w:rFonts w:asciiTheme="majorHAnsi" w:hAnsiTheme="majorHAnsi" w:cstheme="majorHAnsi"/>
          <w:b/>
          <w:bCs/>
          <w:iCs/>
          <w:sz w:val="22"/>
          <w:lang w:val="en-US"/>
        </w:rPr>
        <w:t xml:space="preserve">mutants of </w:t>
      </w:r>
      <w:r w:rsidRPr="00DE2282">
        <w:rPr>
          <w:rFonts w:asciiTheme="majorHAnsi" w:hAnsiTheme="majorHAnsi" w:cstheme="majorHAnsi"/>
          <w:b/>
          <w:iCs/>
          <w:sz w:val="22"/>
          <w:lang w:val="en-US"/>
        </w:rPr>
        <w:t xml:space="preserve">strains with OXA-48-like </w:t>
      </w:r>
      <w:r w:rsidR="009A1B71">
        <w:rPr>
          <w:rFonts w:asciiTheme="majorHAnsi" w:hAnsiTheme="majorHAnsi" w:cstheme="majorHAnsi"/>
          <w:b/>
          <w:iCs/>
          <w:sz w:val="22"/>
          <w:lang w:val="en-US"/>
        </w:rPr>
        <w:t>enzymes</w:t>
      </w:r>
      <w:r w:rsidRPr="00DE2282">
        <w:rPr>
          <w:rFonts w:asciiTheme="majorHAnsi" w:hAnsiTheme="majorHAnsi" w:cstheme="majorHAnsi"/>
          <w:b/>
          <w:iCs/>
          <w:sz w:val="22"/>
          <w:lang w:val="en-US"/>
        </w:rPr>
        <w:t xml:space="preserve">. </w:t>
      </w:r>
      <w:r w:rsidRPr="00DE2282">
        <w:rPr>
          <w:rFonts w:asciiTheme="majorHAnsi" w:hAnsiTheme="majorHAnsi" w:cstheme="majorHAnsi"/>
          <w:sz w:val="22"/>
          <w:lang w:val="en-US"/>
        </w:rPr>
        <w:t xml:space="preserve">MIC distributions of OP0595 combinations for the mutants of organisms with OXA-48-like carbapenemase are shown in Table 7.  These mutants, like their parents, were highly resistant to piperacillin, with MICs &gt;64 </w:t>
      </w:r>
      <w:r w:rsidRPr="00DE2282">
        <w:rPr>
          <w:rFonts w:ascii="Symbol" w:hAnsi="Symbol" w:cstheme="majorHAnsi"/>
          <w:sz w:val="22"/>
          <w:lang w:val="en-US"/>
        </w:rPr>
        <w:t></w:t>
      </w:r>
      <w:r w:rsidRPr="00DE2282">
        <w:rPr>
          <w:rFonts w:asciiTheme="majorHAnsi" w:hAnsiTheme="majorHAnsi" w:cstheme="majorHAnsi"/>
          <w:sz w:val="22"/>
          <w:lang w:val="en-US"/>
        </w:rPr>
        <w:t xml:space="preserve">g/ml. This resistance was strongly reversed so that, with OP0595 </w:t>
      </w:r>
      <w:r w:rsidR="005F3705">
        <w:rPr>
          <w:rFonts w:asciiTheme="majorHAnsi" w:hAnsiTheme="majorHAnsi" w:cstheme="majorHAnsi"/>
          <w:sz w:val="22"/>
          <w:lang w:val="en-US"/>
        </w:rPr>
        <w:t xml:space="preserve">at </w:t>
      </w:r>
      <w:r w:rsidRPr="00DE2282">
        <w:rPr>
          <w:rFonts w:asciiTheme="majorHAnsi" w:hAnsiTheme="majorHAnsi" w:cstheme="majorHAnsi"/>
          <w:sz w:val="22"/>
          <w:lang w:val="en-US"/>
        </w:rPr>
        <w:t xml:space="preserve">8 </w:t>
      </w:r>
      <w:r w:rsidRPr="00DE2282">
        <w:rPr>
          <w:rFonts w:ascii="Symbol" w:hAnsi="Symbol" w:cstheme="majorHAnsi"/>
          <w:sz w:val="22"/>
          <w:lang w:val="en-US"/>
        </w:rPr>
        <w:t></w:t>
      </w:r>
      <w:r w:rsidRPr="00DE2282">
        <w:rPr>
          <w:rFonts w:asciiTheme="majorHAnsi" w:hAnsiTheme="majorHAnsi" w:cstheme="majorHAnsi"/>
          <w:sz w:val="22"/>
          <w:lang w:val="en-US"/>
        </w:rPr>
        <w:t xml:space="preserve">g/ml, the modal piperacillin MIC was reduced to 1 </w:t>
      </w:r>
      <w:r w:rsidRPr="00DE2282">
        <w:rPr>
          <w:rFonts w:ascii="Symbol" w:hAnsi="Symbol" w:cstheme="majorHAnsi"/>
          <w:sz w:val="22"/>
          <w:lang w:val="en-US"/>
        </w:rPr>
        <w:t></w:t>
      </w:r>
      <w:r w:rsidRPr="00DE2282">
        <w:rPr>
          <w:rFonts w:asciiTheme="majorHAnsi" w:hAnsiTheme="majorHAnsi" w:cstheme="majorHAnsi"/>
          <w:sz w:val="22"/>
          <w:lang w:val="en-US"/>
        </w:rPr>
        <w:t xml:space="preserve">g/ml, with no value </w:t>
      </w:r>
      <w:r w:rsidR="005F3705">
        <w:rPr>
          <w:rFonts w:asciiTheme="majorHAnsi" w:hAnsiTheme="majorHAnsi" w:cstheme="majorHAnsi"/>
          <w:sz w:val="22"/>
          <w:lang w:val="en-US"/>
        </w:rPr>
        <w:t xml:space="preserve">&gt;8 </w:t>
      </w:r>
      <w:r w:rsidRPr="00DE2282">
        <w:rPr>
          <w:rFonts w:ascii="Symbol" w:hAnsi="Symbol" w:cstheme="majorHAnsi"/>
          <w:sz w:val="22"/>
          <w:lang w:val="en-US"/>
        </w:rPr>
        <w:t></w:t>
      </w:r>
      <w:r w:rsidRPr="00DE2282">
        <w:rPr>
          <w:rFonts w:asciiTheme="majorHAnsi" w:hAnsiTheme="majorHAnsi" w:cstheme="majorHAnsi"/>
          <w:sz w:val="22"/>
          <w:lang w:val="en-US"/>
        </w:rPr>
        <w:t xml:space="preserve">g/ml.  Resistance to aztreonam, cefepime and ceftazidime was more variable, probably </w:t>
      </w:r>
      <w:r w:rsidR="005F3705">
        <w:rPr>
          <w:rFonts w:asciiTheme="majorHAnsi" w:hAnsiTheme="majorHAnsi" w:cstheme="majorHAnsi"/>
          <w:sz w:val="22"/>
          <w:lang w:val="en-US"/>
        </w:rPr>
        <w:t>reflecting ESBL presence or absence</w:t>
      </w:r>
      <w:r w:rsidRPr="00DE2282">
        <w:rPr>
          <w:rFonts w:asciiTheme="majorHAnsi" w:hAnsiTheme="majorHAnsi" w:cstheme="majorHAnsi"/>
          <w:sz w:val="22"/>
          <w:lang w:val="en-US"/>
        </w:rPr>
        <w:t>; nevertheless potentiation of aztreonam and cefepime by OP0595 and of ceftazidime by avibactam was universal.  Potentiation of meropenem by OP0595 was weaker</w:t>
      </w:r>
      <w:r w:rsidR="00B62033">
        <w:rPr>
          <w:rFonts w:asciiTheme="majorHAnsi" w:hAnsiTheme="majorHAnsi" w:cstheme="majorHAnsi"/>
          <w:sz w:val="22"/>
          <w:lang w:val="en-US"/>
        </w:rPr>
        <w:t xml:space="preserve"> than for other partner </w:t>
      </w:r>
      <w:r w:rsidR="00B62033" w:rsidRPr="00B62033">
        <w:rPr>
          <w:rFonts w:ascii="Symbol" w:hAnsi="Symbol" w:cstheme="majorHAnsi"/>
          <w:sz w:val="22"/>
          <w:lang w:val="en-US"/>
        </w:rPr>
        <w:t></w:t>
      </w:r>
      <w:r w:rsidR="00B62033">
        <w:rPr>
          <w:rFonts w:asciiTheme="majorHAnsi" w:hAnsiTheme="majorHAnsi" w:cstheme="majorHAnsi"/>
          <w:sz w:val="22"/>
          <w:lang w:val="en-US"/>
        </w:rPr>
        <w:t>-lactams</w:t>
      </w:r>
      <w:r w:rsidRPr="00DE2282">
        <w:rPr>
          <w:rFonts w:asciiTheme="majorHAnsi" w:hAnsiTheme="majorHAnsi" w:cstheme="majorHAnsi"/>
          <w:sz w:val="22"/>
          <w:lang w:val="en-US"/>
        </w:rPr>
        <w:t xml:space="preserve">.   </w:t>
      </w:r>
    </w:p>
    <w:p w:rsidR="00CA551C" w:rsidRPr="00CA551C" w:rsidRDefault="00CA551C" w:rsidP="007B515C">
      <w:pPr>
        <w:spacing w:line="480" w:lineRule="auto"/>
        <w:jc w:val="both"/>
        <w:rPr>
          <w:rFonts w:asciiTheme="majorHAnsi" w:hAnsiTheme="majorHAnsi" w:cstheme="majorHAnsi"/>
          <w:sz w:val="22"/>
          <w:lang w:val="en-US"/>
        </w:rPr>
      </w:pPr>
    </w:p>
    <w:p w:rsidR="007B515C" w:rsidRPr="00DE2282" w:rsidRDefault="007B515C" w:rsidP="007B515C">
      <w:pPr>
        <w:spacing w:line="480" w:lineRule="auto"/>
        <w:jc w:val="both"/>
        <w:rPr>
          <w:rFonts w:asciiTheme="majorHAnsi" w:hAnsiTheme="majorHAnsi" w:cstheme="majorHAnsi"/>
          <w:sz w:val="22"/>
          <w:lang w:val="en-US"/>
        </w:rPr>
      </w:pPr>
    </w:p>
    <w:p w:rsidR="007B515C" w:rsidRPr="00DE2282" w:rsidRDefault="003F1E7A" w:rsidP="007B515C">
      <w:pPr>
        <w:spacing w:line="480" w:lineRule="auto"/>
        <w:jc w:val="both"/>
        <w:rPr>
          <w:rFonts w:asciiTheme="majorHAnsi" w:hAnsiTheme="majorHAnsi" w:cstheme="majorHAnsi"/>
          <w:b/>
          <w:sz w:val="22"/>
          <w:lang w:val="en-US"/>
        </w:rPr>
      </w:pPr>
      <w:r w:rsidRPr="00DE2282">
        <w:rPr>
          <w:rFonts w:asciiTheme="majorHAnsi" w:hAnsiTheme="majorHAnsi" w:cstheme="majorHAnsi"/>
          <w:b/>
          <w:sz w:val="22"/>
          <w:lang w:val="en-US"/>
        </w:rPr>
        <w:t>DISCUSSION</w:t>
      </w:r>
    </w:p>
    <w:p w:rsidR="007B515C" w:rsidRPr="00DE2282" w:rsidRDefault="003F1E7A" w:rsidP="007B515C">
      <w:pPr>
        <w:spacing w:line="480" w:lineRule="auto"/>
        <w:jc w:val="both"/>
        <w:rPr>
          <w:rFonts w:asciiTheme="majorHAnsi" w:hAnsiTheme="majorHAnsi" w:cstheme="majorHAnsi"/>
          <w:sz w:val="22"/>
          <w:lang w:val="en-US"/>
        </w:rPr>
      </w:pPr>
      <w:r w:rsidRPr="00DE2282">
        <w:rPr>
          <w:rFonts w:asciiTheme="majorHAnsi" w:hAnsiTheme="majorHAnsi" w:cstheme="majorHAnsi"/>
          <w:sz w:val="22"/>
          <w:lang w:val="en-US"/>
        </w:rPr>
        <w:t xml:space="preserve">OP0595 has MICs of 0.5-4 </w:t>
      </w:r>
      <w:r w:rsidRPr="00DE2282">
        <w:rPr>
          <w:rFonts w:ascii="Symbol" w:hAnsi="Symbol" w:cstheme="majorHAnsi"/>
          <w:sz w:val="22"/>
          <w:lang w:val="en-US"/>
        </w:rPr>
        <w:t></w:t>
      </w:r>
      <w:r w:rsidRPr="00DE2282">
        <w:rPr>
          <w:rFonts w:asciiTheme="majorHAnsi" w:hAnsiTheme="majorHAnsi" w:cstheme="majorHAnsi"/>
          <w:sz w:val="22"/>
          <w:lang w:val="en-US"/>
        </w:rPr>
        <w:t xml:space="preserve">g/ml for most </w:t>
      </w:r>
      <w:r w:rsidRPr="00DE2282">
        <w:rPr>
          <w:rFonts w:asciiTheme="majorHAnsi" w:hAnsiTheme="majorHAnsi" w:cstheme="majorHAnsi"/>
          <w:i/>
          <w:sz w:val="22"/>
          <w:lang w:val="en-US"/>
        </w:rPr>
        <w:t>E. coli</w:t>
      </w:r>
      <w:r w:rsidRPr="00DE2282">
        <w:rPr>
          <w:rFonts w:asciiTheme="majorHAnsi" w:hAnsiTheme="majorHAnsi" w:cstheme="majorHAnsi"/>
          <w:sz w:val="22"/>
          <w:lang w:val="en-US"/>
        </w:rPr>
        <w:t xml:space="preserve">, </w:t>
      </w:r>
      <w:r w:rsidRPr="00DE2282">
        <w:rPr>
          <w:rFonts w:asciiTheme="majorHAnsi" w:hAnsiTheme="majorHAnsi" w:cstheme="majorHAnsi"/>
          <w:i/>
          <w:sz w:val="22"/>
          <w:lang w:val="en-US"/>
        </w:rPr>
        <w:t>Klebsiella</w:t>
      </w:r>
      <w:r w:rsidRPr="00DE2282">
        <w:rPr>
          <w:rFonts w:asciiTheme="majorHAnsi" w:hAnsiTheme="majorHAnsi" w:cstheme="majorHAnsi"/>
          <w:sz w:val="22"/>
          <w:lang w:val="en-US"/>
        </w:rPr>
        <w:t xml:space="preserve">, </w:t>
      </w:r>
      <w:r w:rsidRPr="00DE2282">
        <w:rPr>
          <w:rFonts w:asciiTheme="majorHAnsi" w:hAnsiTheme="majorHAnsi" w:cstheme="majorHAnsi"/>
          <w:i/>
          <w:sz w:val="22"/>
          <w:lang w:val="en-US"/>
        </w:rPr>
        <w:t>Enterobacter</w:t>
      </w:r>
      <w:r w:rsidRPr="00DE2282">
        <w:rPr>
          <w:rFonts w:asciiTheme="majorHAnsi" w:hAnsiTheme="majorHAnsi" w:cstheme="majorHAnsi"/>
          <w:sz w:val="22"/>
          <w:lang w:val="en-US"/>
        </w:rPr>
        <w:t xml:space="preserve"> and </w:t>
      </w:r>
      <w:r w:rsidRPr="00DE2282">
        <w:rPr>
          <w:rFonts w:asciiTheme="majorHAnsi" w:hAnsiTheme="majorHAnsi" w:cstheme="majorHAnsi"/>
          <w:i/>
          <w:sz w:val="22"/>
          <w:lang w:val="en-US"/>
        </w:rPr>
        <w:t>Citrobacter</w:t>
      </w:r>
      <w:r w:rsidRPr="00DE2282">
        <w:rPr>
          <w:rFonts w:asciiTheme="majorHAnsi" w:hAnsiTheme="majorHAnsi" w:cstheme="majorHAnsi"/>
          <w:sz w:val="22"/>
          <w:lang w:val="en-US"/>
        </w:rPr>
        <w:t xml:space="preserve"> spp. </w:t>
      </w:r>
      <w:r w:rsidR="005F3705">
        <w:rPr>
          <w:rFonts w:asciiTheme="majorHAnsi" w:hAnsiTheme="majorHAnsi" w:cstheme="majorHAnsi"/>
          <w:sz w:val="22"/>
          <w:lang w:val="en-US"/>
        </w:rPr>
        <w:t xml:space="preserve">isolates </w:t>
      </w:r>
      <w:r w:rsidRPr="00DE2282">
        <w:rPr>
          <w:rFonts w:asciiTheme="majorHAnsi" w:hAnsiTheme="majorHAnsi" w:cstheme="majorHAnsi"/>
          <w:sz w:val="22"/>
          <w:lang w:val="en-US"/>
        </w:rPr>
        <w:t>(1,2) but this activity, which reflects attack on PBP2, is vulnerable to mutational resistance</w:t>
      </w:r>
      <w:r w:rsidR="009A1B71">
        <w:rPr>
          <w:rFonts w:asciiTheme="majorHAnsi" w:hAnsiTheme="majorHAnsi" w:cstheme="majorHAnsi"/>
          <w:sz w:val="22"/>
          <w:lang w:val="en-US"/>
        </w:rPr>
        <w:t xml:space="preserve"> (1)</w:t>
      </w:r>
      <w:r w:rsidRPr="00DE2282">
        <w:rPr>
          <w:rFonts w:asciiTheme="majorHAnsi" w:hAnsiTheme="majorHAnsi" w:cstheme="majorHAnsi"/>
          <w:sz w:val="22"/>
          <w:lang w:val="en-US"/>
        </w:rPr>
        <w:t xml:space="preserve">.  Consequently it is more appropriate to combine OP0595 than to use it as single agent, exploiting also its </w:t>
      </w:r>
      <w:r w:rsidRPr="00DE2282">
        <w:rPr>
          <w:rFonts w:ascii="Symbol" w:hAnsi="Symbol" w:cstheme="majorHAnsi"/>
          <w:sz w:val="22"/>
          <w:lang w:val="en-US"/>
        </w:rPr>
        <w:t></w:t>
      </w:r>
      <w:r w:rsidRPr="00DE2282">
        <w:rPr>
          <w:rFonts w:asciiTheme="majorHAnsi" w:hAnsiTheme="majorHAnsi" w:cstheme="majorHAnsi"/>
          <w:sz w:val="22"/>
          <w:lang w:val="en-US"/>
        </w:rPr>
        <w:t>-lactamase inhibitor and enhancer activities. Evaluation of these activities is, however, complicated by the antibacterial activity</w:t>
      </w:r>
      <w:r w:rsidR="005F3705">
        <w:rPr>
          <w:rFonts w:asciiTheme="majorHAnsi" w:hAnsiTheme="majorHAnsi" w:cstheme="majorHAnsi"/>
          <w:sz w:val="22"/>
          <w:lang w:val="en-US"/>
        </w:rPr>
        <w:t xml:space="preserve"> and, to</w:t>
      </w:r>
      <w:r w:rsidRPr="00DE2282">
        <w:rPr>
          <w:rFonts w:asciiTheme="majorHAnsi" w:hAnsiTheme="majorHAnsi" w:cstheme="majorHAnsi"/>
          <w:sz w:val="22"/>
          <w:lang w:val="en-US"/>
        </w:rPr>
        <w:t xml:space="preserve"> elucidate </w:t>
      </w:r>
      <w:r w:rsidR="005F3705">
        <w:rPr>
          <w:rFonts w:asciiTheme="majorHAnsi" w:hAnsiTheme="majorHAnsi" w:cstheme="majorHAnsi"/>
          <w:sz w:val="22"/>
          <w:lang w:val="en-US"/>
        </w:rPr>
        <w:t>them</w:t>
      </w:r>
      <w:r w:rsidR="00B62033">
        <w:rPr>
          <w:rFonts w:asciiTheme="majorHAnsi" w:hAnsiTheme="majorHAnsi" w:cstheme="majorHAnsi"/>
          <w:sz w:val="22"/>
          <w:lang w:val="en-US"/>
        </w:rPr>
        <w:t xml:space="preserve"> independently</w:t>
      </w:r>
      <w:r w:rsidR="005F3705">
        <w:rPr>
          <w:rFonts w:asciiTheme="majorHAnsi" w:hAnsiTheme="majorHAnsi" w:cstheme="majorHAnsi"/>
          <w:sz w:val="22"/>
          <w:lang w:val="en-US"/>
        </w:rPr>
        <w:t>, we studied the behavior of OP0595-resistant mutants</w:t>
      </w:r>
      <w:r w:rsidRPr="00DE2282">
        <w:rPr>
          <w:rFonts w:asciiTheme="majorHAnsi" w:hAnsiTheme="majorHAnsi" w:cstheme="majorHAnsi"/>
          <w:sz w:val="22"/>
          <w:lang w:val="en-US"/>
        </w:rPr>
        <w:t xml:space="preserve">.  </w:t>
      </w:r>
    </w:p>
    <w:p w:rsidR="007B515C" w:rsidRPr="00DE2282" w:rsidRDefault="003F1E7A" w:rsidP="005F3705">
      <w:pPr>
        <w:spacing w:line="480" w:lineRule="auto"/>
        <w:jc w:val="both"/>
        <w:rPr>
          <w:rFonts w:asciiTheme="majorHAnsi" w:hAnsiTheme="majorHAnsi" w:cstheme="majorHAnsi"/>
          <w:sz w:val="22"/>
          <w:lang w:val="en-US"/>
        </w:rPr>
      </w:pPr>
      <w:r w:rsidRPr="00DE2282">
        <w:rPr>
          <w:rFonts w:asciiTheme="majorHAnsi" w:hAnsiTheme="majorHAnsi" w:cstheme="majorHAnsi"/>
          <w:sz w:val="22"/>
          <w:lang w:val="en-US"/>
        </w:rPr>
        <w:tab/>
        <w:t xml:space="preserve">Unsurprisingly, OP0595’s </w:t>
      </w:r>
      <w:r w:rsidRPr="00DE2282">
        <w:rPr>
          <w:rFonts w:ascii="Symbol" w:hAnsi="Symbol" w:cstheme="majorHAnsi"/>
          <w:sz w:val="22"/>
          <w:lang w:val="en-US"/>
        </w:rPr>
        <w:t></w:t>
      </w:r>
      <w:r w:rsidRPr="00DE2282">
        <w:rPr>
          <w:rFonts w:asciiTheme="majorHAnsi" w:hAnsiTheme="majorHAnsi" w:cstheme="majorHAnsi"/>
          <w:sz w:val="22"/>
          <w:lang w:val="en-US"/>
        </w:rPr>
        <w:t xml:space="preserve">-lactamase inhibitor </w:t>
      </w:r>
      <w:r w:rsidR="005F3705" w:rsidRPr="00DE2282">
        <w:rPr>
          <w:rFonts w:asciiTheme="majorHAnsi" w:hAnsiTheme="majorHAnsi" w:cstheme="majorHAnsi"/>
          <w:sz w:val="22"/>
          <w:lang w:val="en-US"/>
        </w:rPr>
        <w:t xml:space="preserve">activity </w:t>
      </w:r>
      <w:r w:rsidRPr="00DE2282">
        <w:rPr>
          <w:rFonts w:asciiTheme="majorHAnsi" w:hAnsiTheme="majorHAnsi" w:cstheme="majorHAnsi"/>
          <w:sz w:val="22"/>
          <w:lang w:val="en-US"/>
        </w:rPr>
        <w:t xml:space="preserve">was </w:t>
      </w:r>
      <w:r w:rsidR="00B62033">
        <w:rPr>
          <w:rFonts w:asciiTheme="majorHAnsi" w:hAnsiTheme="majorHAnsi" w:cstheme="majorHAnsi"/>
          <w:sz w:val="22"/>
          <w:lang w:val="en-US"/>
        </w:rPr>
        <w:t>not contingent on</w:t>
      </w:r>
      <w:r w:rsidRPr="00DE2282">
        <w:rPr>
          <w:rFonts w:asciiTheme="majorHAnsi" w:hAnsiTheme="majorHAnsi" w:cstheme="majorHAnsi"/>
          <w:sz w:val="22"/>
          <w:lang w:val="en-US"/>
        </w:rPr>
        <w:t xml:space="preserve"> its antibacterial activity, </w:t>
      </w:r>
      <w:r w:rsidR="00B62033">
        <w:rPr>
          <w:rFonts w:asciiTheme="majorHAnsi" w:hAnsiTheme="majorHAnsi" w:cstheme="majorHAnsi"/>
          <w:sz w:val="22"/>
          <w:lang w:val="en-US"/>
        </w:rPr>
        <w:t xml:space="preserve">and the molecule continued to strongly potentiate substrate </w:t>
      </w:r>
      <w:r w:rsidR="00B62033" w:rsidRPr="00B62033">
        <w:rPr>
          <w:rFonts w:ascii="Symbol" w:hAnsi="Symbol" w:cstheme="majorHAnsi"/>
          <w:sz w:val="22"/>
          <w:lang w:val="en-US"/>
        </w:rPr>
        <w:t></w:t>
      </w:r>
      <w:r w:rsidR="00B62033">
        <w:rPr>
          <w:rFonts w:asciiTheme="majorHAnsi" w:hAnsiTheme="majorHAnsi" w:cstheme="majorHAnsi"/>
          <w:sz w:val="22"/>
          <w:lang w:val="en-US"/>
        </w:rPr>
        <w:t xml:space="preserve">-lactams </w:t>
      </w:r>
      <w:r w:rsidRPr="00DE2282">
        <w:rPr>
          <w:rFonts w:asciiTheme="majorHAnsi" w:hAnsiTheme="majorHAnsi" w:cstheme="majorHAnsi"/>
          <w:sz w:val="22"/>
          <w:lang w:val="en-US"/>
        </w:rPr>
        <w:t>against OP0595-resistant mutants</w:t>
      </w:r>
      <w:r w:rsidR="009A1B71">
        <w:rPr>
          <w:rFonts w:asciiTheme="majorHAnsi" w:hAnsiTheme="majorHAnsi" w:cstheme="majorHAnsi"/>
          <w:sz w:val="22"/>
          <w:lang w:val="en-US"/>
        </w:rPr>
        <w:t xml:space="preserve"> of strains</w:t>
      </w:r>
      <w:r w:rsidRPr="00DE2282">
        <w:rPr>
          <w:rFonts w:asciiTheme="majorHAnsi" w:hAnsiTheme="majorHAnsi" w:cstheme="majorHAnsi"/>
          <w:sz w:val="22"/>
          <w:lang w:val="en-US"/>
        </w:rPr>
        <w:t xml:space="preserve"> with class A and C </w:t>
      </w:r>
      <w:r w:rsidRPr="00DE2282">
        <w:rPr>
          <w:rFonts w:ascii="Symbol" w:hAnsi="Symbol" w:cstheme="majorHAnsi"/>
          <w:sz w:val="22"/>
          <w:lang w:val="en-US"/>
        </w:rPr>
        <w:t></w:t>
      </w:r>
      <w:r w:rsidR="00B62033">
        <w:rPr>
          <w:rFonts w:asciiTheme="majorHAnsi" w:hAnsiTheme="majorHAnsi" w:cstheme="majorHAnsi"/>
          <w:sz w:val="22"/>
          <w:lang w:val="en-US"/>
        </w:rPr>
        <w:t>-lactamases (Table 4), which</w:t>
      </w:r>
      <w:r w:rsidR="005F3705">
        <w:rPr>
          <w:rFonts w:asciiTheme="majorHAnsi" w:hAnsiTheme="majorHAnsi" w:cstheme="majorHAnsi"/>
          <w:sz w:val="22"/>
          <w:lang w:val="en-US"/>
        </w:rPr>
        <w:t xml:space="preserve"> </w:t>
      </w:r>
      <w:r w:rsidRPr="00DE2282">
        <w:rPr>
          <w:rFonts w:asciiTheme="majorHAnsi" w:hAnsiTheme="majorHAnsi" w:cstheme="majorHAnsi"/>
          <w:sz w:val="22"/>
          <w:lang w:val="en-US"/>
        </w:rPr>
        <w:t xml:space="preserve">are </w:t>
      </w:r>
      <w:r w:rsidR="005F3705">
        <w:rPr>
          <w:rFonts w:asciiTheme="majorHAnsi" w:hAnsiTheme="majorHAnsi" w:cstheme="majorHAnsi"/>
          <w:sz w:val="22"/>
          <w:lang w:val="en-US"/>
        </w:rPr>
        <w:t>strongly inhibited</w:t>
      </w:r>
      <w:r w:rsidRPr="00DE2282">
        <w:rPr>
          <w:rFonts w:asciiTheme="majorHAnsi" w:hAnsiTheme="majorHAnsi" w:cstheme="majorHAnsi"/>
          <w:sz w:val="22"/>
          <w:lang w:val="en-US"/>
        </w:rPr>
        <w:t xml:space="preserve"> </w:t>
      </w:r>
      <w:r w:rsidR="005F3705" w:rsidRPr="00DE2282">
        <w:rPr>
          <w:rFonts w:asciiTheme="majorHAnsi" w:hAnsiTheme="majorHAnsi" w:cstheme="majorHAnsi"/>
          <w:sz w:val="22"/>
          <w:lang w:val="en-US"/>
        </w:rPr>
        <w:t>(1)</w:t>
      </w:r>
      <w:r w:rsidR="00B62033">
        <w:rPr>
          <w:rFonts w:asciiTheme="majorHAnsi" w:hAnsiTheme="majorHAnsi" w:cstheme="majorHAnsi"/>
          <w:sz w:val="22"/>
          <w:lang w:val="en-US"/>
        </w:rPr>
        <w:t>.  Avibactam</w:t>
      </w:r>
      <w:r w:rsidRPr="00DE2282">
        <w:rPr>
          <w:rFonts w:asciiTheme="majorHAnsi" w:hAnsiTheme="majorHAnsi" w:cstheme="majorHAnsi"/>
          <w:sz w:val="22"/>
          <w:lang w:val="en-US"/>
        </w:rPr>
        <w:t xml:space="preserve"> similarly potentiated ceftazidime against these organisms.   Secondly, and less predictably, OP0595's enhancer activity also </w:t>
      </w:r>
      <w:r w:rsidR="005F3705">
        <w:rPr>
          <w:rFonts w:asciiTheme="majorHAnsi" w:hAnsiTheme="majorHAnsi" w:cstheme="majorHAnsi"/>
          <w:sz w:val="22"/>
          <w:lang w:val="en-US"/>
        </w:rPr>
        <w:t>proved</w:t>
      </w:r>
      <w:r w:rsidRPr="00DE2282">
        <w:rPr>
          <w:rFonts w:asciiTheme="majorHAnsi" w:hAnsiTheme="majorHAnsi" w:cstheme="majorHAnsi"/>
          <w:sz w:val="22"/>
          <w:lang w:val="en-US"/>
        </w:rPr>
        <w:t xml:space="preserve"> substantially independent of direct antibacterial activity, with frequent potentiation of aztreonam, cefepime and piperacillin against mutants of control strains, which lacked </w:t>
      </w:r>
      <w:r w:rsidRPr="00DE2282">
        <w:rPr>
          <w:rFonts w:ascii="Symbol" w:hAnsi="Symbol" w:cstheme="majorHAnsi"/>
          <w:sz w:val="22"/>
          <w:lang w:val="en-US"/>
        </w:rPr>
        <w:t></w:t>
      </w:r>
      <w:r w:rsidRPr="00DE2282">
        <w:rPr>
          <w:rFonts w:asciiTheme="majorHAnsi" w:hAnsiTheme="majorHAnsi" w:cstheme="majorHAnsi"/>
          <w:sz w:val="22"/>
          <w:lang w:val="en-US"/>
        </w:rPr>
        <w:t>-lactamases (Table 3)</w:t>
      </w:r>
      <w:r w:rsidR="008856C1">
        <w:rPr>
          <w:rFonts w:asciiTheme="majorHAnsi" w:hAnsiTheme="majorHAnsi" w:cstheme="majorHAnsi"/>
          <w:sz w:val="22"/>
          <w:lang w:val="en-US"/>
        </w:rPr>
        <w:t xml:space="preserve"> </w:t>
      </w:r>
      <w:r w:rsidR="008856C1" w:rsidRPr="00CA551C">
        <w:rPr>
          <w:rFonts w:asciiTheme="majorHAnsi" w:hAnsiTheme="majorHAnsi" w:cstheme="majorHAnsi"/>
          <w:sz w:val="22"/>
          <w:lang w:val="en-US"/>
        </w:rPr>
        <w:t>and of</w:t>
      </w:r>
      <w:r w:rsidR="008856C1">
        <w:rPr>
          <w:rFonts w:asciiTheme="majorHAnsi" w:hAnsiTheme="majorHAnsi" w:cstheme="majorHAnsi"/>
          <w:sz w:val="22"/>
          <w:lang w:val="en-US"/>
        </w:rPr>
        <w:t xml:space="preserve"> both cefepime and aztreonam against </w:t>
      </w:r>
      <w:r w:rsidR="009A1B71">
        <w:rPr>
          <w:rFonts w:asciiTheme="majorHAnsi" w:hAnsiTheme="majorHAnsi" w:cstheme="majorHAnsi"/>
          <w:sz w:val="22"/>
          <w:lang w:val="en-US"/>
        </w:rPr>
        <w:t xml:space="preserve">mutants of </w:t>
      </w:r>
      <w:r w:rsidR="008856C1">
        <w:rPr>
          <w:rFonts w:asciiTheme="majorHAnsi" w:hAnsiTheme="majorHAnsi" w:cstheme="majorHAnsi"/>
          <w:sz w:val="22"/>
          <w:lang w:val="en-US"/>
        </w:rPr>
        <w:t xml:space="preserve">aztreonam-susceptible MBL producers, which </w:t>
      </w:r>
      <w:r w:rsidR="00862710">
        <w:rPr>
          <w:rFonts w:asciiTheme="majorHAnsi" w:hAnsiTheme="majorHAnsi" w:cstheme="majorHAnsi"/>
          <w:sz w:val="22"/>
          <w:lang w:val="en-US"/>
        </w:rPr>
        <w:t>were inferred to lack enzymes likely to be inhibited by OP0595</w:t>
      </w:r>
      <w:r w:rsidRPr="00DE2282">
        <w:rPr>
          <w:rFonts w:asciiTheme="majorHAnsi" w:hAnsiTheme="majorHAnsi" w:cstheme="majorHAnsi"/>
          <w:sz w:val="22"/>
          <w:lang w:val="en-US"/>
        </w:rPr>
        <w:t xml:space="preserve">. Potentiation </w:t>
      </w:r>
      <w:r w:rsidR="00862710">
        <w:rPr>
          <w:rFonts w:asciiTheme="majorHAnsi" w:hAnsiTheme="majorHAnsi" w:cstheme="majorHAnsi"/>
          <w:sz w:val="22"/>
          <w:lang w:val="en-US"/>
        </w:rPr>
        <w:t>of</w:t>
      </w:r>
      <w:r w:rsidR="00862710" w:rsidRPr="00DE2282">
        <w:rPr>
          <w:rFonts w:asciiTheme="majorHAnsi" w:hAnsiTheme="majorHAnsi" w:cstheme="majorHAnsi"/>
          <w:sz w:val="22"/>
          <w:lang w:val="en-US"/>
        </w:rPr>
        <w:t xml:space="preserve"> meropenem</w:t>
      </w:r>
      <w:r w:rsidR="00862710">
        <w:rPr>
          <w:rFonts w:asciiTheme="majorHAnsi" w:hAnsiTheme="majorHAnsi" w:cstheme="majorHAnsi"/>
          <w:sz w:val="22"/>
          <w:lang w:val="en-US"/>
        </w:rPr>
        <w:t xml:space="preserve"> </w:t>
      </w:r>
      <w:r w:rsidRPr="00DE2282">
        <w:rPr>
          <w:rFonts w:asciiTheme="majorHAnsi" w:hAnsiTheme="majorHAnsi" w:cstheme="majorHAnsi"/>
          <w:sz w:val="22"/>
          <w:lang w:val="en-US"/>
        </w:rPr>
        <w:t xml:space="preserve">was weaker or absent </w:t>
      </w:r>
      <w:r w:rsidR="00862710">
        <w:rPr>
          <w:rFonts w:asciiTheme="majorHAnsi" w:hAnsiTheme="majorHAnsi" w:cstheme="majorHAnsi"/>
          <w:sz w:val="22"/>
          <w:lang w:val="en-US"/>
        </w:rPr>
        <w:t>probably because it, unlike aztreonam and cefepime,</w:t>
      </w:r>
      <w:r w:rsidRPr="00DE2282">
        <w:rPr>
          <w:rFonts w:asciiTheme="majorHAnsi" w:hAnsiTheme="majorHAnsi" w:cstheme="majorHAnsi"/>
          <w:sz w:val="22"/>
          <w:lang w:val="en-US"/>
        </w:rPr>
        <w:t xml:space="preserve"> has significant affinity for PBP2 (1</w:t>
      </w:r>
      <w:r w:rsidR="00862710">
        <w:rPr>
          <w:rFonts w:asciiTheme="majorHAnsi" w:hAnsiTheme="majorHAnsi" w:cstheme="majorHAnsi"/>
          <w:sz w:val="22"/>
          <w:lang w:val="en-US"/>
        </w:rPr>
        <w:t>8). T</w:t>
      </w:r>
      <w:r w:rsidRPr="00DE2282">
        <w:rPr>
          <w:rFonts w:asciiTheme="majorHAnsi" w:hAnsiTheme="majorHAnsi" w:cstheme="majorHAnsi"/>
          <w:sz w:val="22"/>
          <w:lang w:val="en-US"/>
        </w:rPr>
        <w:t>here was no simila</w:t>
      </w:r>
      <w:r w:rsidR="00B62033">
        <w:rPr>
          <w:rFonts w:asciiTheme="majorHAnsi" w:hAnsiTheme="majorHAnsi" w:cstheme="majorHAnsi"/>
          <w:sz w:val="22"/>
          <w:lang w:val="en-US"/>
        </w:rPr>
        <w:t>r enhancer effect for avibactam</w:t>
      </w:r>
      <w:r w:rsidRPr="00DE2282">
        <w:rPr>
          <w:rFonts w:asciiTheme="majorHAnsi" w:hAnsiTheme="majorHAnsi" w:cstheme="majorHAnsi"/>
          <w:sz w:val="22"/>
          <w:lang w:val="en-US"/>
        </w:rPr>
        <w:t xml:space="preserve">. </w:t>
      </w:r>
    </w:p>
    <w:p w:rsidR="007B515C" w:rsidRPr="00DE2282" w:rsidRDefault="003F1E7A" w:rsidP="007B515C">
      <w:pPr>
        <w:spacing w:line="480" w:lineRule="auto"/>
        <w:ind w:firstLine="720"/>
        <w:jc w:val="both"/>
        <w:rPr>
          <w:rFonts w:asciiTheme="majorHAnsi" w:hAnsiTheme="majorHAnsi" w:cstheme="majorHAnsi"/>
          <w:sz w:val="22"/>
          <w:lang w:val="en-US"/>
        </w:rPr>
      </w:pPr>
      <w:r w:rsidRPr="00DE2282">
        <w:rPr>
          <w:rFonts w:asciiTheme="majorHAnsi" w:hAnsiTheme="majorHAnsi" w:cstheme="majorHAnsi"/>
          <w:sz w:val="22"/>
          <w:lang w:val="en-US"/>
        </w:rPr>
        <w:t>Mutant-to-mutant variation in the extent of the enhancer-effect (Table</w:t>
      </w:r>
      <w:r w:rsidR="00D32F88">
        <w:rPr>
          <w:rFonts w:asciiTheme="majorHAnsi" w:hAnsiTheme="majorHAnsi" w:cstheme="majorHAnsi"/>
          <w:sz w:val="22"/>
          <w:lang w:val="en-US"/>
        </w:rPr>
        <w:t>s 3 and</w:t>
      </w:r>
      <w:r w:rsidRPr="00DE2282">
        <w:rPr>
          <w:rFonts w:asciiTheme="majorHAnsi" w:hAnsiTheme="majorHAnsi" w:cstheme="majorHAnsi"/>
          <w:sz w:val="22"/>
          <w:lang w:val="en-US"/>
        </w:rPr>
        <w:t xml:space="preserve"> 6) and in MIC shifts for </w:t>
      </w:r>
      <w:r w:rsidRPr="00DE2282">
        <w:rPr>
          <w:rFonts w:ascii="Symbol" w:hAnsi="Symbol" w:cstheme="majorHAnsi"/>
          <w:sz w:val="22"/>
          <w:lang w:val="en-US"/>
        </w:rPr>
        <w:t></w:t>
      </w:r>
      <w:r w:rsidRPr="00DE2282">
        <w:rPr>
          <w:rFonts w:asciiTheme="majorHAnsi" w:hAnsiTheme="majorHAnsi" w:cstheme="majorHAnsi"/>
          <w:sz w:val="22"/>
          <w:lang w:val="en-US"/>
        </w:rPr>
        <w:t>-lactams besides mecillinam (Table 2) may reflect</w:t>
      </w:r>
      <w:r w:rsidR="00D32F88">
        <w:rPr>
          <w:rFonts w:asciiTheme="majorHAnsi" w:hAnsiTheme="majorHAnsi" w:cstheme="majorHAnsi"/>
          <w:sz w:val="22"/>
          <w:lang w:val="en-US"/>
        </w:rPr>
        <w:t xml:space="preserve"> </w:t>
      </w:r>
      <w:r w:rsidRPr="00DE2282">
        <w:rPr>
          <w:rFonts w:asciiTheme="majorHAnsi" w:hAnsiTheme="majorHAnsi" w:cstheme="majorHAnsi"/>
          <w:sz w:val="22"/>
          <w:lang w:val="en-US"/>
        </w:rPr>
        <w:t>diversity in</w:t>
      </w:r>
      <w:r w:rsidR="00D32F88">
        <w:rPr>
          <w:rFonts w:asciiTheme="majorHAnsi" w:hAnsiTheme="majorHAnsi" w:cstheme="majorHAnsi"/>
          <w:sz w:val="22"/>
          <w:lang w:val="en-US"/>
        </w:rPr>
        <w:t xml:space="preserve"> the</w:t>
      </w:r>
      <w:r w:rsidRPr="00DE2282">
        <w:rPr>
          <w:rFonts w:asciiTheme="majorHAnsi" w:hAnsiTheme="majorHAnsi" w:cstheme="majorHAnsi"/>
          <w:sz w:val="22"/>
          <w:lang w:val="en-US"/>
        </w:rPr>
        <w:t xml:space="preserve"> underlying </w:t>
      </w:r>
      <w:r w:rsidR="00D32F88">
        <w:rPr>
          <w:rFonts w:asciiTheme="majorHAnsi" w:hAnsiTheme="majorHAnsi" w:cstheme="majorHAnsi"/>
          <w:sz w:val="22"/>
          <w:lang w:val="en-US"/>
        </w:rPr>
        <w:t>mechanisms</w:t>
      </w:r>
      <w:r w:rsidRPr="00DE2282">
        <w:rPr>
          <w:rFonts w:asciiTheme="majorHAnsi" w:hAnsiTheme="majorHAnsi" w:cstheme="majorHAnsi"/>
          <w:sz w:val="22"/>
          <w:lang w:val="en-US"/>
        </w:rPr>
        <w:t>.  Asides from OP0595 resistan</w:t>
      </w:r>
      <w:r w:rsidR="00D32F88">
        <w:rPr>
          <w:rFonts w:asciiTheme="majorHAnsi" w:hAnsiTheme="majorHAnsi" w:cstheme="majorHAnsi"/>
          <w:sz w:val="22"/>
          <w:lang w:val="en-US"/>
        </w:rPr>
        <w:t xml:space="preserve">ce, their most </w:t>
      </w:r>
      <w:r w:rsidR="00B62033">
        <w:rPr>
          <w:rFonts w:asciiTheme="majorHAnsi" w:hAnsiTheme="majorHAnsi" w:cstheme="majorHAnsi"/>
          <w:sz w:val="22"/>
          <w:lang w:val="en-US"/>
        </w:rPr>
        <w:t>consistent trait</w:t>
      </w:r>
      <w:r w:rsidRPr="00DE2282">
        <w:rPr>
          <w:rFonts w:asciiTheme="majorHAnsi" w:hAnsiTheme="majorHAnsi" w:cstheme="majorHAnsi"/>
          <w:sz w:val="22"/>
          <w:lang w:val="en-US"/>
        </w:rPr>
        <w:t xml:space="preserve"> </w:t>
      </w:r>
      <w:r w:rsidR="00B62033">
        <w:rPr>
          <w:rFonts w:asciiTheme="majorHAnsi" w:hAnsiTheme="majorHAnsi" w:cstheme="majorHAnsi"/>
          <w:sz w:val="22"/>
          <w:lang w:val="en-US"/>
        </w:rPr>
        <w:t>was</w:t>
      </w:r>
      <w:r w:rsidRPr="00DE2282">
        <w:rPr>
          <w:rFonts w:asciiTheme="majorHAnsi" w:hAnsiTheme="majorHAnsi" w:cstheme="majorHAnsi"/>
          <w:sz w:val="22"/>
          <w:lang w:val="en-US"/>
        </w:rPr>
        <w:t xml:space="preserve"> sharply increased resistance to mecillinam, which solely targets PBP2, </w:t>
      </w:r>
      <w:r w:rsidR="00D32F88">
        <w:rPr>
          <w:rFonts w:asciiTheme="majorHAnsi" w:hAnsiTheme="majorHAnsi" w:cstheme="majorHAnsi"/>
          <w:sz w:val="22"/>
          <w:lang w:val="en-US"/>
        </w:rPr>
        <w:t>and</w:t>
      </w:r>
      <w:r w:rsidRPr="00DE2282">
        <w:rPr>
          <w:rFonts w:asciiTheme="majorHAnsi" w:hAnsiTheme="majorHAnsi" w:cstheme="majorHAnsi"/>
          <w:sz w:val="22"/>
          <w:lang w:val="en-US"/>
        </w:rPr>
        <w:t xml:space="preserve"> smaller MIC increases for imipenem, which </w:t>
      </w:r>
      <w:r w:rsidR="00D32F88">
        <w:rPr>
          <w:rFonts w:asciiTheme="majorHAnsi" w:hAnsiTheme="majorHAnsi" w:cstheme="majorHAnsi"/>
          <w:sz w:val="22"/>
          <w:lang w:val="en-US"/>
        </w:rPr>
        <w:t>primarily targets</w:t>
      </w:r>
      <w:r w:rsidRPr="00DE2282">
        <w:rPr>
          <w:rFonts w:asciiTheme="majorHAnsi" w:hAnsiTheme="majorHAnsi" w:cstheme="majorHAnsi"/>
          <w:sz w:val="22"/>
          <w:lang w:val="en-US"/>
        </w:rPr>
        <w:t xml:space="preserve"> PBP2 (</w:t>
      </w:r>
      <w:r w:rsidR="009A1B71">
        <w:rPr>
          <w:rFonts w:asciiTheme="majorHAnsi" w:hAnsiTheme="majorHAnsi" w:cstheme="majorHAnsi"/>
          <w:sz w:val="22"/>
          <w:lang w:val="en-US"/>
        </w:rPr>
        <w:t>18,19</w:t>
      </w:r>
      <w:r w:rsidRPr="00DE2282">
        <w:rPr>
          <w:rFonts w:asciiTheme="majorHAnsi" w:hAnsiTheme="majorHAnsi" w:cstheme="majorHAnsi"/>
          <w:sz w:val="22"/>
          <w:lang w:val="en-US"/>
        </w:rPr>
        <w:t xml:space="preserve">).   Recent studies show that mecillinam selects diverse mutations, </w:t>
      </w:r>
      <w:r w:rsidR="00B23C88">
        <w:rPr>
          <w:rFonts w:asciiTheme="majorHAnsi" w:hAnsiTheme="majorHAnsi" w:cstheme="majorHAnsi"/>
          <w:sz w:val="22"/>
          <w:lang w:val="en-US"/>
        </w:rPr>
        <w:t>mostly</w:t>
      </w:r>
      <w:r w:rsidRPr="00DE2282">
        <w:rPr>
          <w:rFonts w:asciiTheme="majorHAnsi" w:hAnsiTheme="majorHAnsi" w:cstheme="majorHAnsi"/>
          <w:sz w:val="22"/>
          <w:lang w:val="en-US"/>
        </w:rPr>
        <w:t xml:space="preserve"> up-regulating the stringent response and increasing cellular levels of</w:t>
      </w:r>
      <w:r w:rsidR="00B23C88">
        <w:rPr>
          <w:rFonts w:asciiTheme="majorHAnsi" w:hAnsiTheme="majorHAnsi" w:cstheme="majorHAnsi"/>
          <w:sz w:val="22"/>
          <w:lang w:val="en-US"/>
        </w:rPr>
        <w:t xml:space="preserve">, </w:t>
      </w:r>
      <w:r w:rsidRPr="00DE2282">
        <w:rPr>
          <w:rFonts w:asciiTheme="majorHAnsi" w:hAnsiTheme="majorHAnsi" w:cstheme="majorHAnsi"/>
          <w:sz w:val="22"/>
          <w:lang w:val="en-US"/>
        </w:rPr>
        <w:t>gu</w:t>
      </w:r>
      <w:r w:rsidR="00B23C88">
        <w:rPr>
          <w:rFonts w:asciiTheme="majorHAnsi" w:hAnsiTheme="majorHAnsi" w:cstheme="majorHAnsi"/>
          <w:sz w:val="22"/>
          <w:lang w:val="en-US"/>
        </w:rPr>
        <w:t xml:space="preserve">anosine tetraphosphate </w:t>
      </w:r>
      <w:r w:rsidRPr="00DE2282">
        <w:rPr>
          <w:rFonts w:asciiTheme="majorHAnsi" w:hAnsiTheme="majorHAnsi" w:cstheme="majorHAnsi"/>
          <w:sz w:val="22"/>
          <w:lang w:val="en-US"/>
        </w:rPr>
        <w:t>(</w:t>
      </w:r>
      <w:r w:rsidR="009A1B71">
        <w:rPr>
          <w:rFonts w:asciiTheme="majorHAnsi" w:hAnsiTheme="majorHAnsi" w:cstheme="majorHAnsi"/>
          <w:sz w:val="22"/>
          <w:lang w:val="en-US"/>
        </w:rPr>
        <w:t>20</w:t>
      </w:r>
      <w:r w:rsidR="00CA551C">
        <w:rPr>
          <w:rFonts w:asciiTheme="majorHAnsi" w:hAnsiTheme="majorHAnsi" w:cstheme="majorHAnsi"/>
          <w:sz w:val="22"/>
          <w:lang w:val="en-US"/>
        </w:rPr>
        <w:t>) and preliminary data suggest similar patterns among the present OP0595-selected mutants (21).</w:t>
      </w:r>
      <w:r w:rsidRPr="00DE2282">
        <w:rPr>
          <w:rFonts w:asciiTheme="majorHAnsi" w:hAnsiTheme="majorHAnsi" w:cstheme="majorHAnsi"/>
          <w:sz w:val="22"/>
          <w:lang w:val="en-US"/>
        </w:rPr>
        <w:t xml:space="preserve"> Changes to </w:t>
      </w:r>
      <w:r w:rsidRPr="00DE2282">
        <w:rPr>
          <w:rFonts w:asciiTheme="majorHAnsi" w:hAnsiTheme="majorHAnsi" w:cstheme="majorHAnsi"/>
          <w:i/>
          <w:sz w:val="22"/>
          <w:lang w:val="en-US"/>
        </w:rPr>
        <w:t>pbp2</w:t>
      </w:r>
      <w:r w:rsidRPr="00DE2282">
        <w:rPr>
          <w:rFonts w:asciiTheme="majorHAnsi" w:hAnsiTheme="majorHAnsi" w:cstheme="majorHAnsi"/>
          <w:sz w:val="22"/>
          <w:lang w:val="en-US"/>
        </w:rPr>
        <w:t xml:space="preserve"> </w:t>
      </w:r>
      <w:r w:rsidR="00B23C88">
        <w:rPr>
          <w:rFonts w:asciiTheme="majorHAnsi" w:hAnsiTheme="majorHAnsi" w:cstheme="majorHAnsi"/>
          <w:sz w:val="22"/>
          <w:lang w:val="en-US"/>
        </w:rPr>
        <w:t xml:space="preserve">itself </w:t>
      </w:r>
      <w:r w:rsidRPr="00DE2282">
        <w:rPr>
          <w:rFonts w:asciiTheme="majorHAnsi" w:hAnsiTheme="majorHAnsi" w:cstheme="majorHAnsi"/>
          <w:sz w:val="22"/>
          <w:lang w:val="en-US"/>
        </w:rPr>
        <w:t xml:space="preserve">are rare or absent. It is unclear how </w:t>
      </w:r>
      <w:r w:rsidR="00CA551C">
        <w:rPr>
          <w:rFonts w:asciiTheme="majorHAnsi" w:hAnsiTheme="majorHAnsi" w:cstheme="majorHAnsi"/>
          <w:sz w:val="22"/>
          <w:lang w:val="en-US"/>
        </w:rPr>
        <w:t>ppGpp-induced changes</w:t>
      </w:r>
      <w:r w:rsidRPr="00DE2282">
        <w:rPr>
          <w:rFonts w:asciiTheme="majorHAnsi" w:hAnsiTheme="majorHAnsi" w:cstheme="majorHAnsi"/>
          <w:sz w:val="22"/>
          <w:lang w:val="en-US"/>
        </w:rPr>
        <w:t xml:space="preserve"> protect against PBP2-active agents (</w:t>
      </w:r>
      <w:r w:rsidR="009A1B71">
        <w:rPr>
          <w:rFonts w:asciiTheme="majorHAnsi" w:hAnsiTheme="majorHAnsi" w:cstheme="majorHAnsi"/>
          <w:sz w:val="22"/>
          <w:lang w:val="en-US"/>
        </w:rPr>
        <w:t>20,2</w:t>
      </w:r>
      <w:r w:rsidR="00CA551C">
        <w:rPr>
          <w:rFonts w:asciiTheme="majorHAnsi" w:hAnsiTheme="majorHAnsi" w:cstheme="majorHAnsi"/>
          <w:sz w:val="22"/>
          <w:lang w:val="en-US"/>
        </w:rPr>
        <w:t>2</w:t>
      </w:r>
      <w:r w:rsidRPr="00DE2282">
        <w:rPr>
          <w:rFonts w:asciiTheme="majorHAnsi" w:hAnsiTheme="majorHAnsi" w:cstheme="majorHAnsi"/>
          <w:sz w:val="22"/>
          <w:lang w:val="en-US"/>
        </w:rPr>
        <w:t>), but it is most plausible that they</w:t>
      </w:r>
      <w:r w:rsidR="00B62033">
        <w:rPr>
          <w:rFonts w:asciiTheme="majorHAnsi" w:hAnsiTheme="majorHAnsi" w:cstheme="majorHAnsi"/>
          <w:sz w:val="22"/>
          <w:lang w:val="en-US"/>
        </w:rPr>
        <w:t xml:space="preserve"> are somehow</w:t>
      </w:r>
      <w:r w:rsidRPr="00DE2282">
        <w:rPr>
          <w:rFonts w:asciiTheme="majorHAnsi" w:hAnsiTheme="majorHAnsi" w:cstheme="majorHAnsi"/>
          <w:sz w:val="22"/>
          <w:lang w:val="en-US"/>
        </w:rPr>
        <w:t xml:space="preserve"> </w:t>
      </w:r>
      <w:r w:rsidR="00B62033">
        <w:rPr>
          <w:rFonts w:asciiTheme="majorHAnsi" w:hAnsiTheme="majorHAnsi" w:cstheme="majorHAnsi"/>
          <w:sz w:val="22"/>
          <w:lang w:val="en-US"/>
        </w:rPr>
        <w:t>compensatory</w:t>
      </w:r>
      <w:r w:rsidR="00B23C88">
        <w:rPr>
          <w:rFonts w:asciiTheme="majorHAnsi" w:hAnsiTheme="majorHAnsi" w:cstheme="majorHAnsi"/>
          <w:sz w:val="22"/>
          <w:lang w:val="en-US"/>
        </w:rPr>
        <w:t xml:space="preserve">.  Notably, </w:t>
      </w:r>
      <w:r w:rsidRPr="00DE2282">
        <w:rPr>
          <w:rFonts w:asciiTheme="majorHAnsi" w:hAnsiTheme="majorHAnsi" w:cstheme="majorHAnsi"/>
          <w:sz w:val="22"/>
          <w:lang w:val="en-US"/>
        </w:rPr>
        <w:t>mecillinam- and OP</w:t>
      </w:r>
      <w:r w:rsidRPr="00DE2282">
        <w:rPr>
          <w:rFonts w:asciiTheme="majorHAnsi" w:hAnsiTheme="majorHAnsi" w:cstheme="majorHAnsi"/>
          <w:sz w:val="22"/>
          <w:lang w:val="en-US" w:eastAsia="ja-JP"/>
        </w:rPr>
        <w:t>0</w:t>
      </w:r>
      <w:r w:rsidRPr="00DE2282">
        <w:rPr>
          <w:rFonts w:asciiTheme="majorHAnsi" w:hAnsiTheme="majorHAnsi" w:cstheme="majorHAnsi"/>
          <w:sz w:val="22"/>
          <w:lang w:val="en-US"/>
        </w:rPr>
        <w:t>595- resistant mutants grow as stable round forms under mecillinam or OP0595 challenge (1,6,2</w:t>
      </w:r>
      <w:r w:rsidR="00CA551C">
        <w:rPr>
          <w:rFonts w:asciiTheme="majorHAnsi" w:hAnsiTheme="majorHAnsi" w:cstheme="majorHAnsi"/>
          <w:sz w:val="22"/>
          <w:lang w:val="en-US"/>
        </w:rPr>
        <w:t>3</w:t>
      </w:r>
      <w:r w:rsidRPr="00DE2282">
        <w:rPr>
          <w:rFonts w:asciiTheme="majorHAnsi" w:hAnsiTheme="majorHAnsi" w:cstheme="majorHAnsi"/>
          <w:sz w:val="22"/>
          <w:lang w:val="en-US"/>
        </w:rPr>
        <w:t>),</w:t>
      </w:r>
      <w:r w:rsidRPr="00DE2282">
        <w:rPr>
          <w:rFonts w:asciiTheme="majorHAnsi" w:hAnsiTheme="majorHAnsi" w:cstheme="majorHAnsi"/>
          <w:sz w:val="22"/>
          <w:vertAlign w:val="superscript"/>
          <w:lang w:val="en-US"/>
        </w:rPr>
        <w:t xml:space="preserve"> </w:t>
      </w:r>
      <w:r w:rsidRPr="00DE2282">
        <w:rPr>
          <w:rFonts w:asciiTheme="majorHAnsi" w:hAnsiTheme="majorHAnsi" w:cstheme="majorHAnsi"/>
          <w:sz w:val="22"/>
          <w:lang w:val="en-US"/>
        </w:rPr>
        <w:t>indicating that PBP2 itself remains vulnerable</w:t>
      </w:r>
      <w:r w:rsidR="00B62033">
        <w:rPr>
          <w:rFonts w:asciiTheme="majorHAnsi" w:hAnsiTheme="majorHAnsi" w:cstheme="majorHAnsi"/>
          <w:sz w:val="22"/>
          <w:lang w:val="en-US"/>
        </w:rPr>
        <w:t>,</w:t>
      </w:r>
      <w:r w:rsidR="00B23C88">
        <w:rPr>
          <w:rFonts w:asciiTheme="majorHAnsi" w:hAnsiTheme="majorHAnsi" w:cstheme="majorHAnsi"/>
          <w:sz w:val="22"/>
          <w:lang w:val="en-US"/>
        </w:rPr>
        <w:t xml:space="preserve"> </w:t>
      </w:r>
      <w:r w:rsidR="00B62033">
        <w:rPr>
          <w:rFonts w:asciiTheme="majorHAnsi" w:hAnsiTheme="majorHAnsi" w:cstheme="majorHAnsi"/>
          <w:sz w:val="22"/>
          <w:lang w:val="en-US"/>
        </w:rPr>
        <w:t>an</w:t>
      </w:r>
      <w:r w:rsidR="00B23C88">
        <w:rPr>
          <w:rFonts w:asciiTheme="majorHAnsi" w:hAnsiTheme="majorHAnsi" w:cstheme="majorHAnsi"/>
          <w:sz w:val="22"/>
          <w:lang w:val="en-US"/>
        </w:rPr>
        <w:t xml:space="preserve"> observation keeping with the </w:t>
      </w:r>
      <w:r w:rsidR="008B60FB">
        <w:rPr>
          <w:rFonts w:asciiTheme="majorHAnsi" w:hAnsiTheme="majorHAnsi" w:cstheme="majorHAnsi"/>
          <w:sz w:val="22"/>
          <w:lang w:val="en-US"/>
        </w:rPr>
        <w:t>retention of</w:t>
      </w:r>
      <w:r w:rsidR="00B23C88">
        <w:rPr>
          <w:rFonts w:asciiTheme="majorHAnsi" w:hAnsiTheme="majorHAnsi" w:cstheme="majorHAnsi"/>
          <w:sz w:val="22"/>
          <w:lang w:val="en-US"/>
        </w:rPr>
        <w:t xml:space="preserve"> the enhancer effect.</w:t>
      </w:r>
    </w:p>
    <w:p w:rsidR="007B515C" w:rsidRPr="00DE2282" w:rsidRDefault="003F1E7A" w:rsidP="007B515C">
      <w:pPr>
        <w:spacing w:line="480" w:lineRule="auto"/>
        <w:jc w:val="both"/>
        <w:rPr>
          <w:rFonts w:asciiTheme="majorHAnsi" w:hAnsiTheme="majorHAnsi" w:cstheme="majorHAnsi"/>
          <w:sz w:val="22"/>
          <w:lang w:val="en-US"/>
        </w:rPr>
      </w:pPr>
      <w:r w:rsidRPr="00DE2282">
        <w:rPr>
          <w:rFonts w:asciiTheme="majorHAnsi" w:hAnsiTheme="majorHAnsi" w:cstheme="majorHAnsi"/>
          <w:sz w:val="22"/>
          <w:lang w:val="en-US"/>
        </w:rPr>
        <w:tab/>
        <w:t>The ease with which OP0595-resistant mutants could be selected begs the question of whether they will be a clinical problem.  This cannot be answered definitively but, again, insight is provided by Thulin’s recent work (2</w:t>
      </w:r>
      <w:r w:rsidR="009A1B71">
        <w:rPr>
          <w:rFonts w:asciiTheme="majorHAnsi" w:hAnsiTheme="majorHAnsi" w:cstheme="majorHAnsi"/>
          <w:sz w:val="22"/>
          <w:lang w:val="en-US"/>
        </w:rPr>
        <w:t>0</w:t>
      </w:r>
      <w:r w:rsidRPr="00DE2282">
        <w:rPr>
          <w:rFonts w:asciiTheme="majorHAnsi" w:hAnsiTheme="majorHAnsi" w:cstheme="majorHAnsi"/>
          <w:sz w:val="22"/>
          <w:lang w:val="en-US"/>
        </w:rPr>
        <w:t>) with mecillinam</w:t>
      </w:r>
      <w:r w:rsidR="008B60FB">
        <w:rPr>
          <w:rFonts w:asciiTheme="majorHAnsi" w:hAnsiTheme="majorHAnsi" w:cstheme="majorHAnsi"/>
          <w:sz w:val="22"/>
          <w:lang w:val="en-US"/>
        </w:rPr>
        <w:t>,</w:t>
      </w:r>
      <w:r w:rsidRPr="00DE2282">
        <w:rPr>
          <w:rFonts w:asciiTheme="majorHAnsi" w:hAnsiTheme="majorHAnsi" w:cstheme="majorHAnsi"/>
          <w:sz w:val="22"/>
          <w:lang w:val="en-US"/>
        </w:rPr>
        <w:t xml:space="preserve"> which showed that that, whereas laboratory-selected mecillinam-resistant mutants were diverse, mecillinam-resistant clinical </w:t>
      </w:r>
      <w:r w:rsidRPr="00DE2282">
        <w:rPr>
          <w:rFonts w:asciiTheme="majorHAnsi" w:hAnsiTheme="majorHAnsi" w:cstheme="majorHAnsi"/>
          <w:i/>
          <w:sz w:val="22"/>
          <w:lang w:val="en-US"/>
        </w:rPr>
        <w:t>E. coli</w:t>
      </w:r>
      <w:r w:rsidRPr="00DE2282">
        <w:rPr>
          <w:rFonts w:asciiTheme="majorHAnsi" w:hAnsiTheme="majorHAnsi" w:cstheme="majorHAnsi"/>
          <w:sz w:val="22"/>
          <w:lang w:val="en-US"/>
        </w:rPr>
        <w:t xml:space="preserve"> consistently had a </w:t>
      </w:r>
      <w:r w:rsidRPr="00DE2282">
        <w:rPr>
          <w:rFonts w:asciiTheme="majorHAnsi" w:hAnsiTheme="majorHAnsi" w:cstheme="majorHAnsi"/>
          <w:i/>
          <w:sz w:val="22"/>
          <w:lang w:val="en-US"/>
        </w:rPr>
        <w:t>cysB</w:t>
      </w:r>
      <w:r w:rsidRPr="00DE2282">
        <w:rPr>
          <w:rFonts w:asciiTheme="majorHAnsi" w:hAnsiTheme="majorHAnsi" w:cstheme="majorHAnsi"/>
          <w:sz w:val="22"/>
          <w:lang w:val="en-US"/>
        </w:rPr>
        <w:t xml:space="preserve"> mutation, implying that many other mutant types might be less competitive. This view was supported by compe</w:t>
      </w:r>
      <w:r w:rsidR="008B60FB">
        <w:rPr>
          <w:rFonts w:asciiTheme="majorHAnsi" w:hAnsiTheme="majorHAnsi" w:cstheme="majorHAnsi"/>
          <w:sz w:val="22"/>
          <w:lang w:val="en-US"/>
        </w:rPr>
        <w:t xml:space="preserve">tition and growth rate studies and </w:t>
      </w:r>
      <w:r w:rsidRPr="00DE2282">
        <w:rPr>
          <w:rFonts w:asciiTheme="majorHAnsi" w:hAnsiTheme="majorHAnsi" w:cstheme="majorHAnsi"/>
          <w:sz w:val="22"/>
          <w:lang w:val="en-US"/>
        </w:rPr>
        <w:t>it is hard to believe that bacteria retain full virulence once their cell shape is grossly distorted by continued</w:t>
      </w:r>
      <w:r w:rsidR="008B60FB">
        <w:rPr>
          <w:rFonts w:asciiTheme="majorHAnsi" w:hAnsiTheme="majorHAnsi" w:cstheme="majorHAnsi"/>
          <w:sz w:val="22"/>
          <w:lang w:val="en-US"/>
        </w:rPr>
        <w:t xml:space="preserve"> attack on PBP2. T</w:t>
      </w:r>
      <w:r w:rsidRPr="00DE2282">
        <w:rPr>
          <w:rFonts w:asciiTheme="majorHAnsi" w:hAnsiTheme="majorHAnsi" w:cstheme="majorHAnsi"/>
          <w:sz w:val="22"/>
          <w:lang w:val="en-US"/>
        </w:rPr>
        <w:t xml:space="preserve">here has been little accumulation of mecillinam-resistant </w:t>
      </w:r>
      <w:r w:rsidRPr="00DE2282">
        <w:rPr>
          <w:rFonts w:asciiTheme="majorHAnsi" w:hAnsiTheme="majorHAnsi" w:cstheme="majorHAnsi"/>
          <w:i/>
          <w:sz w:val="22"/>
          <w:lang w:val="en-US"/>
        </w:rPr>
        <w:t>E. coli</w:t>
      </w:r>
      <w:r w:rsidRPr="00DE2282">
        <w:rPr>
          <w:rFonts w:asciiTheme="majorHAnsi" w:hAnsiTheme="majorHAnsi" w:cstheme="majorHAnsi"/>
          <w:sz w:val="22"/>
          <w:lang w:val="en-US"/>
        </w:rPr>
        <w:t xml:space="preserve"> in Scandinavia, </w:t>
      </w:r>
      <w:r w:rsidR="00E432D2">
        <w:rPr>
          <w:rFonts w:asciiTheme="majorHAnsi" w:hAnsiTheme="majorHAnsi" w:cstheme="majorHAnsi"/>
          <w:sz w:val="22"/>
          <w:lang w:val="en-US"/>
        </w:rPr>
        <w:t>where the drug is widely used (2</w:t>
      </w:r>
      <w:r w:rsidR="00CA551C">
        <w:rPr>
          <w:rFonts w:asciiTheme="majorHAnsi" w:hAnsiTheme="majorHAnsi" w:cstheme="majorHAnsi"/>
          <w:sz w:val="22"/>
          <w:lang w:val="en-US"/>
        </w:rPr>
        <w:t>4</w:t>
      </w:r>
      <w:r w:rsidRPr="00DE2282">
        <w:rPr>
          <w:rFonts w:asciiTheme="majorHAnsi" w:hAnsiTheme="majorHAnsi" w:cstheme="majorHAnsi"/>
          <w:sz w:val="22"/>
          <w:lang w:val="en-US"/>
        </w:rPr>
        <w:t xml:space="preserve">), </w:t>
      </w:r>
      <w:r w:rsidR="008B60FB">
        <w:rPr>
          <w:rFonts w:asciiTheme="majorHAnsi" w:hAnsiTheme="majorHAnsi" w:cstheme="majorHAnsi"/>
          <w:sz w:val="22"/>
          <w:lang w:val="en-US"/>
        </w:rPr>
        <w:t>but</w:t>
      </w:r>
      <w:r w:rsidRPr="00DE2282">
        <w:rPr>
          <w:rFonts w:asciiTheme="majorHAnsi" w:hAnsiTheme="majorHAnsi" w:cstheme="majorHAnsi"/>
          <w:sz w:val="22"/>
          <w:lang w:val="en-US"/>
        </w:rPr>
        <w:t xml:space="preserve"> this may reflect good stewardship</w:t>
      </w:r>
      <w:r w:rsidR="008B60FB">
        <w:rPr>
          <w:rFonts w:asciiTheme="majorHAnsi" w:hAnsiTheme="majorHAnsi" w:cstheme="majorHAnsi"/>
          <w:sz w:val="22"/>
          <w:lang w:val="en-US"/>
        </w:rPr>
        <w:t xml:space="preserve"> and</w:t>
      </w:r>
      <w:r w:rsidRPr="00DE2282">
        <w:rPr>
          <w:rFonts w:asciiTheme="majorHAnsi" w:hAnsiTheme="majorHAnsi" w:cstheme="majorHAnsi"/>
          <w:sz w:val="22"/>
          <w:lang w:val="en-US"/>
        </w:rPr>
        <w:t xml:space="preserve"> </w:t>
      </w:r>
      <w:r w:rsidR="00B23C88">
        <w:rPr>
          <w:rFonts w:asciiTheme="majorHAnsi" w:hAnsiTheme="majorHAnsi" w:cstheme="majorHAnsi"/>
          <w:sz w:val="22"/>
          <w:lang w:val="en-US"/>
        </w:rPr>
        <w:t>use mostly in</w:t>
      </w:r>
      <w:r w:rsidRPr="00DE2282">
        <w:rPr>
          <w:rFonts w:asciiTheme="majorHAnsi" w:hAnsiTheme="majorHAnsi" w:cstheme="majorHAnsi"/>
          <w:sz w:val="22"/>
          <w:lang w:val="en-US"/>
        </w:rPr>
        <w:t xml:space="preserve"> low-risk</w:t>
      </w:r>
      <w:r w:rsidR="008B60FB">
        <w:rPr>
          <w:rFonts w:asciiTheme="majorHAnsi" w:hAnsiTheme="majorHAnsi" w:cstheme="majorHAnsi"/>
          <w:sz w:val="22"/>
          <w:lang w:val="en-US"/>
        </w:rPr>
        <w:t xml:space="preserve"> cystitis</w:t>
      </w:r>
      <w:r w:rsidRPr="00DE2282">
        <w:rPr>
          <w:rFonts w:asciiTheme="majorHAnsi" w:hAnsiTheme="majorHAnsi" w:cstheme="majorHAnsi"/>
          <w:sz w:val="22"/>
          <w:lang w:val="en-US"/>
        </w:rPr>
        <w:t xml:space="preserve"> patients.   </w:t>
      </w:r>
    </w:p>
    <w:p w:rsidR="007B515C" w:rsidRPr="00DE2282" w:rsidRDefault="003F1E7A" w:rsidP="007B515C">
      <w:pPr>
        <w:spacing w:line="480" w:lineRule="auto"/>
        <w:jc w:val="both"/>
        <w:rPr>
          <w:rFonts w:asciiTheme="majorHAnsi" w:hAnsiTheme="majorHAnsi" w:cstheme="majorHAnsi"/>
          <w:sz w:val="22"/>
          <w:lang w:val="en-US"/>
        </w:rPr>
      </w:pPr>
      <w:r w:rsidRPr="00DE2282">
        <w:rPr>
          <w:rFonts w:asciiTheme="majorHAnsi" w:hAnsiTheme="majorHAnsi" w:cstheme="majorHAnsi"/>
          <w:sz w:val="22"/>
          <w:lang w:val="en-US"/>
        </w:rPr>
        <w:tab/>
      </w:r>
      <w:r w:rsidR="00B23C88">
        <w:rPr>
          <w:rFonts w:asciiTheme="majorHAnsi" w:hAnsiTheme="majorHAnsi" w:cstheme="majorHAnsi"/>
          <w:sz w:val="22"/>
          <w:lang w:val="en-US"/>
        </w:rPr>
        <w:t>An</w:t>
      </w:r>
      <w:r w:rsidRPr="00DE2282">
        <w:rPr>
          <w:rFonts w:asciiTheme="majorHAnsi" w:hAnsiTheme="majorHAnsi" w:cstheme="majorHAnsi"/>
          <w:sz w:val="22"/>
          <w:lang w:val="en-US"/>
        </w:rPr>
        <w:t xml:space="preserve"> obvious route to de-risk OP0595 from resistance in Enterobacteriaceae would be to combine it with aztreonam, ensuring activity against MBL producers irrespective of the enhancer effect.  Nevertheless, the </w:t>
      </w:r>
      <w:r w:rsidR="00B23C88">
        <w:rPr>
          <w:rFonts w:asciiTheme="majorHAnsi" w:hAnsiTheme="majorHAnsi" w:cstheme="majorHAnsi"/>
          <w:sz w:val="22"/>
          <w:lang w:val="en-US"/>
        </w:rPr>
        <w:t xml:space="preserve">enhancer </w:t>
      </w:r>
      <w:r w:rsidRPr="00DE2282">
        <w:rPr>
          <w:rFonts w:asciiTheme="majorHAnsi" w:hAnsiTheme="majorHAnsi" w:cstheme="majorHAnsi"/>
          <w:sz w:val="22"/>
          <w:lang w:val="en-US"/>
        </w:rPr>
        <w:t>effect</w:t>
      </w:r>
      <w:r w:rsidR="00B23C88">
        <w:rPr>
          <w:rFonts w:asciiTheme="majorHAnsi" w:hAnsiTheme="majorHAnsi" w:cstheme="majorHAnsi"/>
          <w:sz w:val="22"/>
          <w:lang w:val="en-US"/>
        </w:rPr>
        <w:t xml:space="preserve"> with cefepime, and piperacillin is striking and often allowed retention of activity, even at EUCAST's low breakpoints,</w:t>
      </w:r>
      <w:r w:rsidRPr="00DE2282">
        <w:rPr>
          <w:rFonts w:asciiTheme="majorHAnsi" w:hAnsiTheme="majorHAnsi" w:cstheme="majorHAnsi"/>
          <w:sz w:val="22"/>
          <w:lang w:val="en-US"/>
        </w:rPr>
        <w:t xml:space="preserve"> against OP0595-resistant mutants of strains with MBLs or OXA-48-like enzymes.  Such combinations would </w:t>
      </w:r>
      <w:r w:rsidR="00F67E50">
        <w:rPr>
          <w:rFonts w:asciiTheme="majorHAnsi" w:hAnsiTheme="majorHAnsi" w:cstheme="majorHAnsi"/>
          <w:sz w:val="22"/>
          <w:lang w:val="en-US"/>
        </w:rPr>
        <w:t>allow</w:t>
      </w:r>
      <w:r w:rsidRPr="00DE2282">
        <w:rPr>
          <w:rFonts w:asciiTheme="majorHAnsi" w:hAnsiTheme="majorHAnsi" w:cstheme="majorHAnsi"/>
          <w:sz w:val="22"/>
          <w:lang w:val="en-US"/>
        </w:rPr>
        <w:t xml:space="preserve"> better anti-</w:t>
      </w:r>
      <w:r w:rsidRPr="00DE2282">
        <w:rPr>
          <w:rFonts w:asciiTheme="majorHAnsi" w:hAnsiTheme="majorHAnsi" w:cstheme="majorHAnsi"/>
          <w:i/>
          <w:sz w:val="22"/>
          <w:lang w:val="en-US"/>
        </w:rPr>
        <w:t>Pseudomonas</w:t>
      </w:r>
      <w:r w:rsidRPr="00DE2282">
        <w:rPr>
          <w:rFonts w:asciiTheme="majorHAnsi" w:hAnsiTheme="majorHAnsi" w:cstheme="majorHAnsi"/>
          <w:sz w:val="22"/>
          <w:lang w:val="en-US"/>
        </w:rPr>
        <w:t xml:space="preserve"> coverage than aztreonam-OP0595</w:t>
      </w:r>
      <w:r w:rsidR="008B60FB">
        <w:rPr>
          <w:rFonts w:asciiTheme="majorHAnsi" w:hAnsiTheme="majorHAnsi" w:cstheme="majorHAnsi"/>
          <w:sz w:val="22"/>
          <w:lang w:val="en-US"/>
        </w:rPr>
        <w:t xml:space="preserve">. </w:t>
      </w:r>
      <w:r w:rsidRPr="00DE2282">
        <w:rPr>
          <w:rFonts w:asciiTheme="majorHAnsi" w:hAnsiTheme="majorHAnsi" w:cstheme="majorHAnsi"/>
          <w:sz w:val="22"/>
          <w:lang w:val="en-US"/>
        </w:rPr>
        <w:t xml:space="preserve"> Lastly, although potentiation of meropenem for OP0595 was weaker than for PBP3-directed partners, meropenem has the broadest antibacterial spectrum of the four</w:t>
      </w:r>
      <w:r w:rsidR="008B60FB">
        <w:rPr>
          <w:rFonts w:asciiTheme="majorHAnsi" w:hAnsiTheme="majorHAnsi" w:cstheme="majorHAnsi"/>
          <w:sz w:val="22"/>
          <w:lang w:val="en-US"/>
        </w:rPr>
        <w:t xml:space="preserve"> partners</w:t>
      </w:r>
      <w:r w:rsidRPr="00DE2282">
        <w:rPr>
          <w:rFonts w:asciiTheme="majorHAnsi" w:hAnsiTheme="majorHAnsi" w:cstheme="majorHAnsi"/>
          <w:sz w:val="22"/>
          <w:lang w:val="en-US"/>
        </w:rPr>
        <w:t xml:space="preserve"> tested here, meaning that it continues to merit consideration. </w:t>
      </w:r>
      <w:r w:rsidRPr="00DE2282">
        <w:rPr>
          <w:rFonts w:ascii="Helvetica" w:hAnsi="Helvetica" w:cs="Helvetica"/>
          <w:color w:val="453CCC"/>
          <w:sz w:val="32"/>
          <w:szCs w:val="32"/>
          <w:lang w:val="en-US" w:eastAsia="ja-JP"/>
        </w:rPr>
        <w:t> </w:t>
      </w:r>
    </w:p>
    <w:p w:rsidR="007B515C" w:rsidRPr="00DE2282" w:rsidRDefault="007B515C" w:rsidP="007B515C">
      <w:pPr>
        <w:spacing w:line="480" w:lineRule="auto"/>
        <w:jc w:val="both"/>
        <w:rPr>
          <w:rFonts w:asciiTheme="majorHAnsi" w:hAnsiTheme="majorHAnsi" w:cstheme="majorHAnsi"/>
          <w:sz w:val="22"/>
          <w:lang w:val="en-US"/>
        </w:rPr>
      </w:pPr>
    </w:p>
    <w:p w:rsidR="007B515C" w:rsidRPr="00DE2282" w:rsidRDefault="003F1E7A" w:rsidP="007B515C">
      <w:pPr>
        <w:spacing w:before="120" w:after="120" w:line="480" w:lineRule="auto"/>
        <w:jc w:val="both"/>
        <w:rPr>
          <w:rFonts w:ascii="Arial" w:hAnsi="Arial"/>
          <w:b/>
          <w:sz w:val="22"/>
          <w:lang w:val="en-US"/>
        </w:rPr>
      </w:pPr>
      <w:r w:rsidRPr="00DE2282">
        <w:rPr>
          <w:rFonts w:ascii="Arial" w:hAnsi="Arial"/>
          <w:b/>
          <w:sz w:val="22"/>
          <w:lang w:val="en-US"/>
        </w:rPr>
        <w:t>Funding</w:t>
      </w:r>
    </w:p>
    <w:p w:rsidR="007B515C" w:rsidRPr="00DE2282" w:rsidRDefault="003F1E7A" w:rsidP="007B515C">
      <w:pPr>
        <w:spacing w:before="120" w:after="120" w:line="480" w:lineRule="auto"/>
        <w:jc w:val="both"/>
        <w:rPr>
          <w:rFonts w:ascii="Arial" w:hAnsi="Arial"/>
          <w:sz w:val="22"/>
          <w:lang w:val="en-US"/>
        </w:rPr>
      </w:pPr>
      <w:r w:rsidRPr="00DE2282">
        <w:rPr>
          <w:rFonts w:ascii="Arial" w:hAnsi="Arial"/>
          <w:sz w:val="22"/>
          <w:lang w:val="en-US"/>
        </w:rPr>
        <w:t>This work was funded by Meiji Seika Pharma Co., Ltd.</w:t>
      </w:r>
    </w:p>
    <w:p w:rsidR="007B515C" w:rsidRPr="00DE2282" w:rsidRDefault="003F1E7A" w:rsidP="007B515C">
      <w:pPr>
        <w:spacing w:line="480" w:lineRule="auto"/>
        <w:jc w:val="both"/>
        <w:rPr>
          <w:rFonts w:ascii="Arial" w:hAnsi="Arial" w:cs="Arial"/>
          <w:b/>
          <w:sz w:val="22"/>
          <w:lang w:val="en-US"/>
        </w:rPr>
      </w:pPr>
      <w:r w:rsidRPr="00DE2282">
        <w:rPr>
          <w:rFonts w:ascii="Arial" w:hAnsi="Arial" w:cs="Arial"/>
          <w:b/>
          <w:sz w:val="22"/>
          <w:lang w:val="en-US"/>
        </w:rPr>
        <w:t>Transparency declarations</w:t>
      </w:r>
    </w:p>
    <w:p w:rsidR="007B515C" w:rsidRPr="00DE2282" w:rsidRDefault="003F1E7A" w:rsidP="007B515C">
      <w:pPr>
        <w:spacing w:line="480" w:lineRule="auto"/>
        <w:jc w:val="both"/>
        <w:rPr>
          <w:rFonts w:ascii="Arial" w:hAnsi="Arial"/>
          <w:sz w:val="22"/>
          <w:lang w:val="en-US"/>
        </w:rPr>
      </w:pPr>
      <w:r w:rsidRPr="00DE2282">
        <w:rPr>
          <w:rFonts w:ascii="Arial" w:hAnsi="Arial"/>
          <w:b/>
          <w:sz w:val="22"/>
          <w:lang w:val="en-US"/>
        </w:rPr>
        <w:t>DML:</w:t>
      </w:r>
      <w:r w:rsidRPr="00DE2282">
        <w:rPr>
          <w:rFonts w:ascii="Arial" w:hAnsi="Arial"/>
          <w:sz w:val="22"/>
          <w:lang w:val="en-US"/>
        </w:rPr>
        <w:t xml:space="preserve"> Advisory Boards or ad-hoc consultancy Accelerate, Achaogen, Adenium, Alere, Allecra, Altermune, AstraZeneca, Auspherix, Basilea, BioVersys, Cubist, Curetis, Cycle, Discuva, GSK, Meiji, Pfizer, Roche, Shionogi, Tetraphase, VenatoRx, Wockhardt; Paid lectures – AOP Orphan, AstraZeneca, </w:t>
      </w:r>
      <w:r>
        <w:rPr>
          <w:rFonts w:ascii="Arial" w:hAnsi="Arial"/>
          <w:sz w:val="22"/>
          <w:lang w:val="en-US"/>
        </w:rPr>
        <w:t>Bruker</w:t>
      </w:r>
      <w:r w:rsidRPr="00DE2282">
        <w:rPr>
          <w:rFonts w:ascii="Arial" w:hAnsi="Arial"/>
          <w:sz w:val="22"/>
          <w:lang w:val="en-US"/>
        </w:rPr>
        <w:t xml:space="preserve">, Curetis, Merck, Pfizer, Leo; Relevant shareholdings in– Dechra, GSK, Merck, Perkin Elmer, Pfizer amounting to &lt;10% of portfolio value.   </w:t>
      </w:r>
      <w:r w:rsidRPr="00DE2282">
        <w:rPr>
          <w:rFonts w:ascii="Arial" w:hAnsi="Arial"/>
          <w:b/>
          <w:sz w:val="22"/>
          <w:lang w:val="en-US"/>
        </w:rPr>
        <w:t>All others:</w:t>
      </w:r>
      <w:r w:rsidRPr="00DE2282">
        <w:rPr>
          <w:rFonts w:ascii="Arial" w:hAnsi="Arial"/>
          <w:sz w:val="22"/>
          <w:lang w:val="en-US"/>
        </w:rPr>
        <w:t xml:space="preserve"> No personal interests to declare. However, PHE’s AMRHAI Reference Unit has received financial support for conference attendance, lectures, research projects or contracted evaluations from numerous sources, including: Achaogen, Allecra Antiinfectives, Amplex, AstraZeneca, Becton Dickinson, British Society for Antimicrobial Chemotherapy, Cepheid, Check-Points, Cubist, United Kingdom Department of Health, United Kingdom Food Standards Agency, Glaxo SmithKline, Henry Stewart Talks, IHMA, Melinta, Merck Sharpe &amp; Dohme, Meiji, Momentum Biosciences, Nordic, Norgine , Rempex, Rokitan, Smith &amp; Nephew, Trius , VenatoRx, Wockhardt .</w:t>
      </w:r>
    </w:p>
    <w:p w:rsidR="007B515C" w:rsidRPr="00C00B0B" w:rsidRDefault="003F1E7A" w:rsidP="007B515C">
      <w:pPr>
        <w:spacing w:line="480" w:lineRule="auto"/>
        <w:jc w:val="both"/>
        <w:rPr>
          <w:rFonts w:asciiTheme="majorHAnsi" w:hAnsiTheme="majorHAnsi" w:cstheme="majorHAnsi"/>
          <w:b/>
          <w:bCs/>
          <w:sz w:val="22"/>
          <w:lang w:val="en-US"/>
        </w:rPr>
      </w:pPr>
      <w:r w:rsidRPr="00DE2282">
        <w:rPr>
          <w:rFonts w:asciiTheme="majorHAnsi" w:hAnsiTheme="majorHAnsi" w:cstheme="majorHAnsi"/>
          <w:sz w:val="22"/>
          <w:lang w:val="en-US"/>
        </w:rPr>
        <w:t xml:space="preserve"> </w:t>
      </w:r>
      <w:r w:rsidRPr="00DE2282">
        <w:rPr>
          <w:rFonts w:asciiTheme="majorHAnsi" w:hAnsiTheme="majorHAnsi" w:cstheme="majorHAnsi"/>
          <w:b/>
          <w:sz w:val="20"/>
          <w:szCs w:val="20"/>
          <w:lang w:val="en-US"/>
        </w:rPr>
        <w:t>References</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Morinaka A, Tsutsumi Y, Yamada M, </w:t>
      </w:r>
      <w:r w:rsidRPr="00DE2282">
        <w:rPr>
          <w:rFonts w:ascii="Arial" w:hAnsi="Arial" w:cs="Arial"/>
          <w:sz w:val="22"/>
          <w:szCs w:val="22"/>
          <w:lang w:val="en-US"/>
        </w:rPr>
        <w:t xml:space="preserve">Suzuki K, Watanabe T, Abe T, Furuuchi T, Inamura S, Sakamaki Y, Mitsuhashi N, Ida T, Livermore DM. </w:t>
      </w:r>
      <w:r w:rsidRPr="00DE2282">
        <w:rPr>
          <w:rFonts w:asciiTheme="majorHAnsi" w:hAnsiTheme="majorHAnsi" w:cstheme="majorHAnsi"/>
          <w:sz w:val="22"/>
          <w:szCs w:val="22"/>
          <w:lang w:val="en-US"/>
        </w:rPr>
        <w:t>2015 OP0595, a new diazabicyclooctane: Mode of action as a serine β-lactamase inhibitor, antibiotic and β-lactam ‘enhancer’. J Antimicrob Chemother Jun 18. pii: dkv166</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Livermore DM, Mushtaq S, Warner M, Woodford N. Activity of  OP0595-β-lactam combinations against gram-negative bacteria with extended-spectrum, AmpC and carbapenem-hydrolysing β-lactamases. </w:t>
      </w:r>
      <w:r w:rsidRPr="00DE2282">
        <w:rPr>
          <w:rFonts w:asciiTheme="majorHAnsi" w:hAnsiTheme="majorHAnsi" w:cstheme="majorHAnsi"/>
          <w:i/>
          <w:sz w:val="22"/>
          <w:szCs w:val="22"/>
          <w:lang w:val="en-US"/>
        </w:rPr>
        <w:t>J Antimicrob Chemother</w:t>
      </w:r>
      <w:r w:rsidRPr="00DE2282">
        <w:rPr>
          <w:rFonts w:asciiTheme="majorHAnsi" w:hAnsiTheme="majorHAnsi" w:cstheme="majorHAnsi"/>
          <w:sz w:val="22"/>
          <w:szCs w:val="22"/>
          <w:lang w:val="en-US"/>
        </w:rPr>
        <w:t xml:space="preserve"> 2015, J Antimicrob Chemother Aug 25. pii: dkv239.</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Eng RH, Liu R, Smith SM, </w:t>
      </w:r>
      <w:r w:rsidRPr="00DE2282">
        <w:rPr>
          <w:rFonts w:ascii="Arial" w:hAnsi="Arial" w:cs="Arial"/>
          <w:sz w:val="22"/>
          <w:szCs w:val="22"/>
          <w:lang w:val="en-US"/>
        </w:rPr>
        <w:t>Johnson ES, Cherubin CE</w:t>
      </w:r>
      <w:r w:rsidRPr="00DE2282">
        <w:rPr>
          <w:rFonts w:asciiTheme="majorHAnsi" w:hAnsiTheme="majorHAnsi" w:cstheme="majorHAnsi"/>
          <w:sz w:val="22"/>
          <w:szCs w:val="22"/>
          <w:lang w:val="en-US"/>
        </w:rPr>
        <w:t xml:space="preserve">.1988. Amdinocillin: interaction with other </w:t>
      </w:r>
      <w:r w:rsidRPr="00DE2282">
        <w:rPr>
          <w:rFonts w:ascii="Symbol" w:hAnsi="Symbol" w:cstheme="majorHAnsi"/>
          <w:sz w:val="22"/>
          <w:szCs w:val="22"/>
          <w:lang w:val="en-US"/>
        </w:rPr>
        <w:t></w:t>
      </w:r>
      <w:r w:rsidRPr="00DE2282">
        <w:rPr>
          <w:rFonts w:asciiTheme="majorHAnsi" w:hAnsiTheme="majorHAnsi" w:cstheme="majorHAnsi"/>
          <w:sz w:val="22"/>
          <w:szCs w:val="22"/>
          <w:lang w:val="en-US"/>
        </w:rPr>
        <w:t>-lactam antibiotics for gram-negative bacteria. Chemotherapy (Basel);</w:t>
      </w:r>
      <w:r w:rsidRPr="00DE2282">
        <w:rPr>
          <w:rFonts w:asciiTheme="majorHAnsi" w:hAnsiTheme="majorHAnsi" w:cstheme="majorHAnsi"/>
          <w:b/>
          <w:sz w:val="22"/>
          <w:szCs w:val="22"/>
          <w:lang w:val="en-US"/>
        </w:rPr>
        <w:t>34:</w:t>
      </w:r>
      <w:r w:rsidRPr="00DE2282">
        <w:rPr>
          <w:rFonts w:asciiTheme="majorHAnsi" w:hAnsiTheme="majorHAnsi" w:cstheme="majorHAnsi"/>
          <w:sz w:val="22"/>
          <w:szCs w:val="22"/>
          <w:lang w:val="en-US"/>
        </w:rPr>
        <w:t xml:space="preserve">18-26. </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Anderson JD, Eftekhar F. 1983. Study of the enhancement of </w:t>
      </w:r>
      <w:r w:rsidRPr="00DE2282">
        <w:rPr>
          <w:rFonts w:ascii="Symbol" w:hAnsi="Symbol" w:cstheme="majorHAnsi"/>
          <w:sz w:val="22"/>
          <w:szCs w:val="22"/>
          <w:lang w:val="en-US"/>
        </w:rPr>
        <w:t></w:t>
      </w:r>
      <w:r w:rsidRPr="00DE2282">
        <w:rPr>
          <w:rFonts w:asciiTheme="majorHAnsi" w:hAnsiTheme="majorHAnsi" w:cstheme="majorHAnsi"/>
          <w:sz w:val="22"/>
          <w:szCs w:val="22"/>
          <w:lang w:val="en-US"/>
        </w:rPr>
        <w:t xml:space="preserve">-lactam activity by amdinocillin in a model of the human urinary bladder. Am J Med </w:t>
      </w:r>
      <w:r w:rsidRPr="00DE2282">
        <w:rPr>
          <w:rFonts w:asciiTheme="majorHAnsi" w:hAnsiTheme="majorHAnsi" w:cstheme="majorHAnsi"/>
          <w:b/>
          <w:sz w:val="22"/>
          <w:szCs w:val="22"/>
          <w:lang w:val="en-US"/>
        </w:rPr>
        <w:t>75:</w:t>
      </w:r>
      <w:r w:rsidRPr="00DE2282">
        <w:rPr>
          <w:rFonts w:asciiTheme="majorHAnsi" w:hAnsiTheme="majorHAnsi" w:cstheme="majorHAnsi"/>
          <w:sz w:val="22"/>
          <w:szCs w:val="22"/>
          <w:lang w:val="en-US"/>
        </w:rPr>
        <w:t xml:space="preserve">42-47. </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Isenberg HD, Sampson-Scherer J, Cleeland R Titsworth E, Beskid G, Christenson JG, DeLorenzo WF, Unowsky J. 1982. Correlation of the results of antibiotic synergy and susceptibility testing in vitro with results in experimental mouse infections. Crit Rev Microbiol </w:t>
      </w:r>
      <w:r w:rsidRPr="00DE2282">
        <w:rPr>
          <w:rFonts w:asciiTheme="majorHAnsi" w:hAnsiTheme="majorHAnsi" w:cstheme="majorHAnsi"/>
          <w:b/>
          <w:sz w:val="22"/>
          <w:szCs w:val="22"/>
          <w:lang w:val="en-US"/>
        </w:rPr>
        <w:t>10:</w:t>
      </w:r>
      <w:r w:rsidRPr="00DE2282">
        <w:rPr>
          <w:rFonts w:asciiTheme="majorHAnsi" w:hAnsiTheme="majorHAnsi" w:cstheme="majorHAnsi"/>
          <w:sz w:val="22"/>
          <w:szCs w:val="22"/>
          <w:lang w:val="en-US"/>
        </w:rPr>
        <w:t xml:space="preserve">1-76. </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Fass RJ.1980.  Activity of mecillinam alone and in combination with other </w:t>
      </w:r>
      <w:r w:rsidRPr="00DE2282">
        <w:rPr>
          <w:rFonts w:ascii="Symbol" w:hAnsi="Symbol" w:cstheme="majorHAnsi"/>
          <w:sz w:val="22"/>
          <w:szCs w:val="22"/>
          <w:lang w:val="en-US"/>
        </w:rPr>
        <w:t></w:t>
      </w:r>
      <w:r w:rsidRPr="00DE2282">
        <w:rPr>
          <w:rFonts w:asciiTheme="majorHAnsi" w:hAnsiTheme="majorHAnsi" w:cstheme="majorHAnsi"/>
          <w:sz w:val="22"/>
          <w:szCs w:val="22"/>
          <w:lang w:val="en-US"/>
        </w:rPr>
        <w:t xml:space="preserve">-lactam antibiotics. Antimicrob Agents Chemother </w:t>
      </w:r>
      <w:r w:rsidRPr="00DE2282">
        <w:rPr>
          <w:rFonts w:asciiTheme="majorHAnsi" w:hAnsiTheme="majorHAnsi" w:cstheme="majorHAnsi"/>
          <w:b/>
          <w:sz w:val="22"/>
          <w:szCs w:val="22"/>
          <w:lang w:val="en-US"/>
        </w:rPr>
        <w:t>18:</w:t>
      </w:r>
      <w:r w:rsidRPr="00DE2282">
        <w:rPr>
          <w:rFonts w:asciiTheme="majorHAnsi" w:hAnsiTheme="majorHAnsi" w:cstheme="majorHAnsi"/>
          <w:sz w:val="22"/>
          <w:szCs w:val="22"/>
          <w:lang w:val="en-US"/>
        </w:rPr>
        <w:t>906-912.</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Neu JC. 1976. Synergy of mecillinam, a </w:t>
      </w:r>
      <w:r w:rsidRPr="00DE2282">
        <w:rPr>
          <w:rFonts w:ascii="Symbol" w:hAnsi="Symbol" w:cstheme="majorHAnsi"/>
          <w:sz w:val="22"/>
          <w:szCs w:val="22"/>
          <w:lang w:val="en-US"/>
        </w:rPr>
        <w:t></w:t>
      </w:r>
      <w:r w:rsidRPr="00DE2282">
        <w:rPr>
          <w:rFonts w:asciiTheme="majorHAnsi" w:hAnsiTheme="majorHAnsi" w:cstheme="majorHAnsi"/>
          <w:sz w:val="22"/>
          <w:szCs w:val="22"/>
          <w:lang w:val="en-US"/>
        </w:rPr>
        <w:t xml:space="preserve">-amidinopenicillanic acid derivative, combined with </w:t>
      </w:r>
      <w:r w:rsidRPr="00DE2282">
        <w:rPr>
          <w:rFonts w:ascii="Symbol" w:hAnsi="Symbol" w:cstheme="majorHAnsi"/>
          <w:sz w:val="22"/>
          <w:szCs w:val="22"/>
          <w:lang w:val="en-US"/>
        </w:rPr>
        <w:t></w:t>
      </w:r>
      <w:r w:rsidRPr="00DE2282">
        <w:rPr>
          <w:rFonts w:asciiTheme="majorHAnsi" w:hAnsiTheme="majorHAnsi" w:cstheme="majorHAnsi"/>
          <w:sz w:val="22"/>
          <w:szCs w:val="22"/>
          <w:lang w:val="en-US"/>
        </w:rPr>
        <w:t xml:space="preserve">-lactam antibiotics. Antimicrob Agents Chemother </w:t>
      </w:r>
      <w:r w:rsidRPr="00DE2282">
        <w:rPr>
          <w:rFonts w:asciiTheme="majorHAnsi" w:hAnsiTheme="majorHAnsi" w:cstheme="majorHAnsi"/>
          <w:b/>
          <w:sz w:val="22"/>
          <w:szCs w:val="22"/>
          <w:lang w:val="en-US"/>
        </w:rPr>
        <w:t>10:</w:t>
      </w:r>
      <w:r w:rsidRPr="00DE2282">
        <w:rPr>
          <w:rFonts w:asciiTheme="majorHAnsi" w:hAnsiTheme="majorHAnsi" w:cstheme="majorHAnsi"/>
          <w:sz w:val="22"/>
          <w:szCs w:val="22"/>
          <w:lang w:val="en-US"/>
        </w:rPr>
        <w:t>535-542.</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bookmarkStart w:id="0" w:name="_Ref418792842"/>
      <w:r w:rsidRPr="00DE2282">
        <w:rPr>
          <w:rFonts w:asciiTheme="majorHAnsi" w:hAnsiTheme="majorHAnsi" w:cstheme="majorHAnsi"/>
          <w:sz w:val="22"/>
          <w:szCs w:val="22"/>
          <w:lang w:val="en-US"/>
        </w:rPr>
        <w:t xml:space="preserve">Kano A, Koresawa T, Matsumoto K </w:t>
      </w:r>
      <w:r w:rsidRPr="00DE2282">
        <w:rPr>
          <w:rFonts w:asciiTheme="majorHAnsi" w:hAnsiTheme="majorHAnsi" w:cstheme="majorHAnsi"/>
          <w:i/>
          <w:sz w:val="22"/>
          <w:szCs w:val="22"/>
          <w:lang w:val="en-US"/>
        </w:rPr>
        <w:t>et al.</w:t>
      </w:r>
      <w:r w:rsidRPr="00DE2282">
        <w:rPr>
          <w:rFonts w:asciiTheme="majorHAnsi" w:hAnsiTheme="majorHAnsi" w:cstheme="majorHAnsi"/>
          <w:sz w:val="22"/>
          <w:szCs w:val="22"/>
          <w:lang w:val="en-US"/>
        </w:rPr>
        <w:t xml:space="preserve"> First in human study to assess safety, tolerability and pharmacokinetics of beta-lactamase inhibitor OP0595. </w:t>
      </w:r>
      <w:r w:rsidRPr="00DE2282">
        <w:rPr>
          <w:rFonts w:asciiTheme="majorHAnsi" w:hAnsiTheme="majorHAnsi" w:cstheme="majorHAnsi"/>
          <w:i/>
          <w:sz w:val="22"/>
          <w:szCs w:val="22"/>
          <w:lang w:val="en-US"/>
        </w:rPr>
        <w:t xml:space="preserve">Twenty-fifth European Congress of Clinical Microbiology and Infectious Diseases, Copenhagen, Denmark, 2015. </w:t>
      </w:r>
      <w:r w:rsidRPr="00DE2282">
        <w:rPr>
          <w:rFonts w:asciiTheme="majorHAnsi" w:hAnsiTheme="majorHAnsi" w:cstheme="majorHAnsi"/>
          <w:sz w:val="22"/>
          <w:szCs w:val="22"/>
          <w:lang w:val="en-US"/>
        </w:rPr>
        <w:t xml:space="preserve">Poster P0236. Available via: </w:t>
      </w:r>
      <w:hyperlink r:id="rId8" w:history="1">
        <w:r w:rsidRPr="00DE2282">
          <w:rPr>
            <w:rStyle w:val="Hyperlink"/>
            <w:rFonts w:asciiTheme="majorHAnsi" w:hAnsiTheme="majorHAnsi" w:cstheme="majorHAnsi"/>
            <w:sz w:val="22"/>
            <w:szCs w:val="22"/>
            <w:lang w:val="en-US"/>
          </w:rPr>
          <w:t>https://www.escmid.org/escmid_library/online_lecture_library/</w:t>
        </w:r>
      </w:hyperlink>
      <w:r w:rsidRPr="00DE2282">
        <w:rPr>
          <w:rFonts w:asciiTheme="majorHAnsi" w:hAnsiTheme="majorHAnsi" w:cstheme="majorHAnsi"/>
          <w:sz w:val="22"/>
          <w:szCs w:val="22"/>
          <w:lang w:val="en-US"/>
        </w:rPr>
        <w:t>. European Society of Clinical Microbiology and Infectious Diseases, Basel, Switzerland.</w:t>
      </w:r>
      <w:bookmarkEnd w:id="0"/>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Livermore DM, Mushtaq S, Morinaka A </w:t>
      </w:r>
      <w:r w:rsidRPr="00DE2282">
        <w:rPr>
          <w:rFonts w:ascii="Arial" w:hAnsi="Arial" w:cs="Arial"/>
          <w:sz w:val="22"/>
          <w:szCs w:val="22"/>
          <w:lang w:val="en-US"/>
        </w:rPr>
        <w:t>Ida T, Maebashi K, Hope R</w:t>
      </w:r>
      <w:r w:rsidRPr="00DE2282">
        <w:rPr>
          <w:rFonts w:asciiTheme="majorHAnsi" w:hAnsiTheme="majorHAnsi" w:cstheme="majorHAnsi"/>
          <w:i/>
          <w:sz w:val="22"/>
          <w:szCs w:val="22"/>
          <w:lang w:val="en-US"/>
        </w:rPr>
        <w:t xml:space="preserve">. </w:t>
      </w:r>
      <w:r w:rsidRPr="00DE2282">
        <w:rPr>
          <w:rFonts w:asciiTheme="majorHAnsi" w:hAnsiTheme="majorHAnsi" w:cstheme="majorHAnsi"/>
          <w:sz w:val="22"/>
          <w:szCs w:val="22"/>
          <w:lang w:val="en-US"/>
        </w:rPr>
        <w:t xml:space="preserve">2013 Activity of carbapenems with ME1071 (disodium 2,3-diethylmaleate) against Enterobacteriaceae and </w:t>
      </w:r>
      <w:r w:rsidRPr="00DE2282">
        <w:rPr>
          <w:rFonts w:asciiTheme="majorHAnsi" w:hAnsiTheme="majorHAnsi" w:cstheme="majorHAnsi"/>
          <w:i/>
          <w:sz w:val="22"/>
          <w:szCs w:val="22"/>
          <w:lang w:val="en-US"/>
        </w:rPr>
        <w:t>Acinetobacter</w:t>
      </w:r>
      <w:r w:rsidRPr="00DE2282">
        <w:rPr>
          <w:rFonts w:asciiTheme="majorHAnsi" w:hAnsiTheme="majorHAnsi" w:cstheme="majorHAnsi"/>
          <w:sz w:val="22"/>
          <w:szCs w:val="22"/>
          <w:lang w:val="en-US"/>
        </w:rPr>
        <w:t xml:space="preserve"> spp. with carbapenemases, including NDM enzymes. J Antimicrob Chemother </w:t>
      </w:r>
      <w:r w:rsidRPr="00DE2282">
        <w:rPr>
          <w:rFonts w:asciiTheme="majorHAnsi" w:hAnsiTheme="majorHAnsi" w:cstheme="majorHAnsi"/>
          <w:b/>
          <w:sz w:val="22"/>
          <w:szCs w:val="22"/>
          <w:lang w:val="en-US"/>
        </w:rPr>
        <w:t>68:</w:t>
      </w:r>
      <w:r w:rsidRPr="00DE2282">
        <w:rPr>
          <w:rFonts w:asciiTheme="majorHAnsi" w:hAnsiTheme="majorHAnsi" w:cstheme="majorHAnsi"/>
          <w:sz w:val="22"/>
          <w:szCs w:val="22"/>
          <w:lang w:val="en-US"/>
        </w:rPr>
        <w:t>153-158.</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Livermore DM, Warner M, Mushtaq S </w:t>
      </w:r>
      <w:r w:rsidRPr="00DE2282">
        <w:rPr>
          <w:rFonts w:ascii="Arial" w:hAnsi="Arial" w:cs="Arial"/>
          <w:sz w:val="22"/>
          <w:szCs w:val="22"/>
          <w:lang w:val="en-US"/>
        </w:rPr>
        <w:t>Doumith M, Zhang J, Woodford N</w:t>
      </w:r>
      <w:r w:rsidRPr="00DE2282">
        <w:rPr>
          <w:rFonts w:asciiTheme="majorHAnsi" w:hAnsiTheme="majorHAnsi" w:cstheme="majorHAnsi"/>
          <w:sz w:val="22"/>
          <w:szCs w:val="22"/>
          <w:lang w:val="en-US"/>
        </w:rPr>
        <w:t>. 2011. What remains against carbapenem-resistant Enterobacteriaceae? Evaluation of chloramphenicol, ciprofloxacin, colistin, fosfomycin, minocycline, nitrofurantoin, temocillin and tigecycline. Int J Antimicrob Agents</w:t>
      </w:r>
      <w:r w:rsidRPr="00DE2282">
        <w:rPr>
          <w:rFonts w:asciiTheme="majorHAnsi" w:hAnsiTheme="majorHAnsi" w:cstheme="majorHAnsi"/>
          <w:i/>
          <w:sz w:val="22"/>
          <w:szCs w:val="22"/>
          <w:lang w:val="en-US"/>
        </w:rPr>
        <w:t xml:space="preserve"> </w:t>
      </w:r>
      <w:r w:rsidRPr="00DE2282">
        <w:rPr>
          <w:rFonts w:asciiTheme="majorHAnsi" w:hAnsiTheme="majorHAnsi" w:cstheme="majorHAnsi"/>
          <w:b/>
          <w:sz w:val="22"/>
          <w:szCs w:val="22"/>
          <w:lang w:val="en-US"/>
        </w:rPr>
        <w:t>37:</w:t>
      </w:r>
      <w:r w:rsidRPr="00DE2282">
        <w:rPr>
          <w:rFonts w:asciiTheme="majorHAnsi" w:hAnsiTheme="majorHAnsi" w:cstheme="majorHAnsi"/>
          <w:sz w:val="22"/>
          <w:szCs w:val="22"/>
          <w:lang w:val="en-US"/>
        </w:rPr>
        <w:t>415-419.</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bookmarkStart w:id="1" w:name="_Ref400733982"/>
      <w:r w:rsidRPr="00DE2282">
        <w:rPr>
          <w:rFonts w:asciiTheme="majorHAnsi" w:hAnsiTheme="majorHAnsi" w:cstheme="majorHAnsi"/>
          <w:sz w:val="22"/>
          <w:szCs w:val="22"/>
          <w:lang w:val="en-US"/>
        </w:rPr>
        <w:t xml:space="preserve">CLSI. </w:t>
      </w:r>
      <w:r w:rsidRPr="00DE2282">
        <w:rPr>
          <w:rFonts w:asciiTheme="majorHAnsi" w:hAnsiTheme="majorHAnsi" w:cstheme="majorHAnsi"/>
          <w:i/>
          <w:sz w:val="22"/>
          <w:szCs w:val="22"/>
          <w:lang w:val="en-US"/>
        </w:rPr>
        <w:t>Methods for Dilution Antimicrobial Susceptibility Tests for Bacteria That Grow Aerobically-Tenth Edition: Approved Standard M7-A10</w:t>
      </w:r>
      <w:r w:rsidRPr="00DE2282">
        <w:rPr>
          <w:rFonts w:asciiTheme="majorHAnsi" w:hAnsiTheme="majorHAnsi" w:cstheme="majorHAnsi"/>
          <w:sz w:val="22"/>
          <w:szCs w:val="22"/>
          <w:lang w:val="en-US"/>
        </w:rPr>
        <w:t>. CLSI, Wayne, PA, USA, 2015.</w:t>
      </w:r>
      <w:bookmarkEnd w:id="1"/>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Petit A, Ben-Yaghlane-Bouslama H, Sofer L, Labia R. 1992. Characterization of chromosomally encoded penicillinases in clinical isolates of </w:t>
      </w:r>
      <w:r w:rsidRPr="00DE2282">
        <w:rPr>
          <w:rFonts w:asciiTheme="majorHAnsi" w:hAnsiTheme="majorHAnsi" w:cstheme="majorHAnsi"/>
          <w:i/>
          <w:sz w:val="22"/>
          <w:szCs w:val="22"/>
          <w:lang w:val="en-US"/>
        </w:rPr>
        <w:t>Klebsiella pneumoniae</w:t>
      </w:r>
      <w:r w:rsidRPr="00DE2282">
        <w:rPr>
          <w:rFonts w:asciiTheme="majorHAnsi" w:hAnsiTheme="majorHAnsi" w:cstheme="majorHAnsi"/>
          <w:sz w:val="22"/>
          <w:szCs w:val="22"/>
          <w:lang w:val="en-US"/>
        </w:rPr>
        <w:t xml:space="preserve">. J Antimicrob Chemother </w:t>
      </w:r>
      <w:r w:rsidRPr="00DE2282">
        <w:rPr>
          <w:rFonts w:asciiTheme="majorHAnsi" w:hAnsiTheme="majorHAnsi" w:cstheme="majorHAnsi"/>
          <w:b/>
          <w:sz w:val="22"/>
          <w:szCs w:val="22"/>
          <w:lang w:val="en-US"/>
        </w:rPr>
        <w:t>29:</w:t>
      </w:r>
      <w:r w:rsidRPr="00DE2282">
        <w:rPr>
          <w:rFonts w:asciiTheme="majorHAnsi" w:hAnsiTheme="majorHAnsi" w:cstheme="majorHAnsi"/>
          <w:sz w:val="22"/>
          <w:szCs w:val="22"/>
          <w:lang w:val="en-US"/>
        </w:rPr>
        <w:t>629-638.</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Shlaes DM. 2013. New β-lactam-β-lactamase inhibitor combinations in clinical development. Ann N Y Acad Sci </w:t>
      </w:r>
      <w:r w:rsidRPr="00DE2282">
        <w:rPr>
          <w:rFonts w:asciiTheme="majorHAnsi" w:hAnsiTheme="majorHAnsi" w:cstheme="majorHAnsi"/>
          <w:b/>
          <w:sz w:val="22"/>
          <w:szCs w:val="22"/>
          <w:lang w:val="en-US"/>
        </w:rPr>
        <w:t>1277:</w:t>
      </w:r>
      <w:r w:rsidRPr="00DE2282">
        <w:rPr>
          <w:rFonts w:asciiTheme="majorHAnsi" w:hAnsiTheme="majorHAnsi" w:cstheme="majorHAnsi"/>
          <w:sz w:val="22"/>
          <w:szCs w:val="22"/>
          <w:lang w:val="en-US"/>
        </w:rPr>
        <w:t>105-114.</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Ehmann DE, Jahic H, Ross PL </w:t>
      </w:r>
      <w:r w:rsidRPr="00DE2282">
        <w:rPr>
          <w:rFonts w:ascii="Arial" w:hAnsi="Arial" w:cs="Arial"/>
          <w:sz w:val="22"/>
          <w:szCs w:val="22"/>
          <w:lang w:val="en-US"/>
        </w:rPr>
        <w:t>Gu RF, Hu J, Durand-Réville TF, Lahiri S, Thresher J, Livchak S, Gao N, Palmer T, Walkup GK, Fisher SL</w:t>
      </w:r>
      <w:r w:rsidRPr="00DE2282">
        <w:rPr>
          <w:rFonts w:asciiTheme="majorHAnsi" w:hAnsiTheme="majorHAnsi" w:cstheme="majorHAnsi"/>
          <w:sz w:val="22"/>
          <w:szCs w:val="22"/>
          <w:lang w:val="en-US"/>
        </w:rPr>
        <w:t xml:space="preserve">. 2013. Kinetics of avibactam inhibition against Class A, C, and D β-lactamases. J Biol Chem </w:t>
      </w:r>
      <w:r w:rsidRPr="00DE2282">
        <w:rPr>
          <w:rFonts w:asciiTheme="majorHAnsi" w:hAnsiTheme="majorHAnsi" w:cstheme="majorHAnsi"/>
          <w:b/>
          <w:sz w:val="22"/>
          <w:szCs w:val="22"/>
          <w:lang w:val="en-US"/>
        </w:rPr>
        <w:t>288:</w:t>
      </w:r>
      <w:r w:rsidRPr="00DE2282">
        <w:rPr>
          <w:rFonts w:asciiTheme="majorHAnsi" w:hAnsiTheme="majorHAnsi" w:cstheme="majorHAnsi"/>
          <w:sz w:val="22"/>
          <w:szCs w:val="22"/>
          <w:lang w:val="en-US"/>
        </w:rPr>
        <w:t>27960-27971.</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Castanheira M, Mills JC, Costello SE </w:t>
      </w:r>
      <w:r w:rsidRPr="00DE2282">
        <w:rPr>
          <w:rFonts w:ascii="Arial" w:hAnsi="Arial" w:cs="Arial"/>
          <w:sz w:val="22"/>
          <w:szCs w:val="22"/>
          <w:lang w:val="en-US"/>
        </w:rPr>
        <w:t>Jones RN, Sader HS</w:t>
      </w:r>
      <w:r w:rsidRPr="00DE2282">
        <w:rPr>
          <w:rFonts w:asciiTheme="majorHAnsi" w:hAnsiTheme="majorHAnsi" w:cstheme="majorHAnsi"/>
          <w:sz w:val="22"/>
          <w:szCs w:val="22"/>
          <w:lang w:val="en-US"/>
        </w:rPr>
        <w:t xml:space="preserve">. 2015. Ceftazidime-avibactam Activity Tested against Enterobacteriaceae isolates from U.S. hospitals (2011 to 2013) and characterization of β-lactamase-producing strains. Antimicrob Agents Chemother </w:t>
      </w:r>
      <w:r w:rsidRPr="00DE2282">
        <w:rPr>
          <w:rFonts w:asciiTheme="majorHAnsi" w:hAnsiTheme="majorHAnsi" w:cstheme="majorHAnsi"/>
          <w:b/>
          <w:sz w:val="22"/>
          <w:szCs w:val="22"/>
          <w:lang w:val="en-US"/>
        </w:rPr>
        <w:t>59:</w:t>
      </w:r>
      <w:r w:rsidRPr="00DE2282">
        <w:rPr>
          <w:rFonts w:asciiTheme="majorHAnsi" w:hAnsiTheme="majorHAnsi" w:cstheme="majorHAnsi"/>
          <w:sz w:val="22"/>
          <w:szCs w:val="22"/>
          <w:lang w:val="en-US"/>
        </w:rPr>
        <w:t>3509-3517</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 Livermore DM, Mushtaq S, Warner M</w:t>
      </w:r>
      <w:r w:rsidRPr="00DE2282">
        <w:rPr>
          <w:rFonts w:asciiTheme="majorHAnsi" w:hAnsiTheme="majorHAnsi" w:cstheme="majorHAnsi"/>
          <w:i/>
          <w:sz w:val="22"/>
          <w:szCs w:val="22"/>
          <w:lang w:val="en-US"/>
        </w:rPr>
        <w:t xml:space="preserve"> </w:t>
      </w:r>
      <w:r w:rsidRPr="00DE2282">
        <w:rPr>
          <w:rFonts w:ascii="Arial" w:hAnsi="Arial" w:cs="Arial"/>
          <w:sz w:val="22"/>
          <w:szCs w:val="22"/>
          <w:lang w:val="en-US"/>
        </w:rPr>
        <w:t xml:space="preserve">Zhang J, Maharjan S, Doumith M, Woodford N. 2011. </w:t>
      </w:r>
      <w:r w:rsidRPr="00DE2282">
        <w:rPr>
          <w:rFonts w:asciiTheme="majorHAnsi" w:hAnsiTheme="majorHAnsi" w:cstheme="majorHAnsi"/>
          <w:sz w:val="22"/>
          <w:szCs w:val="22"/>
          <w:lang w:val="en-US"/>
        </w:rPr>
        <w:t xml:space="preserve"> Activities of NXL104 combinations with ceftazidime and aztreonam against carbapenemase-producing Enterobacteriaceae. Antimicrob Agents Chemother </w:t>
      </w:r>
      <w:r w:rsidRPr="00DE2282">
        <w:rPr>
          <w:rFonts w:asciiTheme="majorHAnsi" w:hAnsiTheme="majorHAnsi" w:cstheme="majorHAnsi"/>
          <w:b/>
          <w:sz w:val="22"/>
          <w:szCs w:val="22"/>
          <w:lang w:val="en-US"/>
        </w:rPr>
        <w:t>55:</w:t>
      </w:r>
      <w:r w:rsidRPr="00DE2282">
        <w:rPr>
          <w:rFonts w:asciiTheme="majorHAnsi" w:hAnsiTheme="majorHAnsi" w:cstheme="majorHAnsi"/>
          <w:sz w:val="22"/>
          <w:szCs w:val="22"/>
          <w:lang w:val="en-US"/>
        </w:rPr>
        <w:t>390-394.</w:t>
      </w:r>
    </w:p>
    <w:p w:rsidR="007B515C" w:rsidRPr="00DE2282" w:rsidRDefault="003F1E7A" w:rsidP="007B515C">
      <w:pPr>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Mushtaq S, Warner M, Williams G, Critchley I, Livermore DM. 2010. Activity of chequerboard combinations of ceftaroline and NXL104 versus </w:t>
      </w:r>
      <w:r w:rsidRPr="00DE2282">
        <w:rPr>
          <w:rFonts w:ascii="Symbol" w:hAnsi="Symbol" w:cstheme="majorHAnsi"/>
          <w:sz w:val="22"/>
          <w:szCs w:val="22"/>
          <w:lang w:val="en-US"/>
        </w:rPr>
        <w:t></w:t>
      </w:r>
      <w:r w:rsidRPr="00DE2282">
        <w:rPr>
          <w:rFonts w:asciiTheme="majorHAnsi" w:hAnsiTheme="majorHAnsi" w:cstheme="majorHAnsi"/>
          <w:sz w:val="22"/>
          <w:szCs w:val="22"/>
          <w:lang w:val="en-US"/>
        </w:rPr>
        <w:t xml:space="preserve">-lactamase-producing Enterobacteriaceae. J Antimicrob Chemother </w:t>
      </w:r>
      <w:r w:rsidRPr="00DE2282">
        <w:rPr>
          <w:rFonts w:asciiTheme="majorHAnsi" w:hAnsiTheme="majorHAnsi" w:cstheme="majorHAnsi"/>
          <w:b/>
          <w:sz w:val="22"/>
          <w:szCs w:val="22"/>
          <w:lang w:val="en-US"/>
        </w:rPr>
        <w:t>65:</w:t>
      </w:r>
      <w:r w:rsidRPr="00DE2282">
        <w:rPr>
          <w:rFonts w:asciiTheme="majorHAnsi" w:hAnsiTheme="majorHAnsi" w:cstheme="majorHAnsi"/>
          <w:sz w:val="22"/>
          <w:szCs w:val="22"/>
          <w:lang w:val="en-US"/>
        </w:rPr>
        <w:t>1428-1432.</w:t>
      </w:r>
    </w:p>
    <w:p w:rsidR="007B515C" w:rsidRPr="00DE2282" w:rsidRDefault="003F1E7A" w:rsidP="007B515C">
      <w:pPr>
        <w:pStyle w:val="ListParagraph"/>
        <w:numPr>
          <w:ilvl w:val="0"/>
          <w:numId w:val="5"/>
        </w:numPr>
        <w:autoSpaceDE w:val="0"/>
        <w:autoSpaceDN w:val="0"/>
        <w:adjustRightInd w:val="0"/>
        <w:spacing w:before="120" w:after="120"/>
        <w:contextualSpacing w:val="0"/>
        <w:rPr>
          <w:rFonts w:asciiTheme="majorHAnsi" w:eastAsiaTheme="minorEastAsia" w:hAnsiTheme="majorHAnsi" w:cstheme="majorHAnsi"/>
          <w:bCs/>
          <w:color w:val="000000"/>
          <w:sz w:val="22"/>
          <w:szCs w:val="22"/>
          <w:lang w:val="en-US"/>
        </w:rPr>
      </w:pPr>
      <w:r w:rsidRPr="00DE2282">
        <w:rPr>
          <w:rFonts w:asciiTheme="majorHAnsi" w:hAnsiTheme="majorHAnsi" w:cstheme="majorHAnsi"/>
          <w:sz w:val="22"/>
          <w:szCs w:val="22"/>
          <w:lang w:val="en-US"/>
        </w:rPr>
        <w:t xml:space="preserve">Sumita Y, Fukasawa M. 1995. Potent activity of meropenem against </w:t>
      </w:r>
      <w:r w:rsidRPr="00DE2282">
        <w:rPr>
          <w:rFonts w:asciiTheme="majorHAnsi" w:hAnsiTheme="majorHAnsi" w:cstheme="majorHAnsi"/>
          <w:i/>
          <w:sz w:val="22"/>
          <w:szCs w:val="22"/>
          <w:lang w:val="en-US"/>
        </w:rPr>
        <w:t>Escherichia coli</w:t>
      </w:r>
      <w:r w:rsidRPr="00DE2282">
        <w:rPr>
          <w:rFonts w:asciiTheme="majorHAnsi" w:hAnsiTheme="majorHAnsi" w:cstheme="majorHAnsi"/>
          <w:sz w:val="22"/>
          <w:szCs w:val="22"/>
          <w:lang w:val="en-US"/>
        </w:rPr>
        <w:t xml:space="preserve"> arising from its simultaneous binding to penicillin-binding proteins 2 and 3. J Antimicrob Chemother </w:t>
      </w:r>
      <w:r w:rsidRPr="00DE2282">
        <w:rPr>
          <w:rFonts w:asciiTheme="majorHAnsi" w:hAnsiTheme="majorHAnsi" w:cstheme="majorHAnsi"/>
          <w:b/>
          <w:sz w:val="22"/>
          <w:szCs w:val="22"/>
          <w:lang w:val="en-US"/>
        </w:rPr>
        <w:t>36:</w:t>
      </w:r>
      <w:r w:rsidRPr="00DE2282">
        <w:rPr>
          <w:rFonts w:asciiTheme="majorHAnsi" w:hAnsiTheme="majorHAnsi" w:cstheme="majorHAnsi"/>
          <w:sz w:val="22"/>
          <w:szCs w:val="22"/>
          <w:lang w:val="en-US"/>
        </w:rPr>
        <w:t>53-64</w:t>
      </w:r>
    </w:p>
    <w:p w:rsidR="007B515C" w:rsidRPr="00DE2282" w:rsidRDefault="003F1E7A" w:rsidP="007B515C">
      <w:pPr>
        <w:pStyle w:val="CommentText"/>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Sumita Y, Fukasawa M, Okuda T. 1990. Comparison of two carbapenems, SM-7338 and imipenem: affinities for penicillin-binding proteins and morphological changes. </w:t>
      </w:r>
      <w:r w:rsidRPr="00DE2282">
        <w:rPr>
          <w:rFonts w:asciiTheme="majorHAnsi" w:hAnsiTheme="majorHAnsi" w:cstheme="majorHAnsi"/>
          <w:i/>
          <w:sz w:val="22"/>
          <w:szCs w:val="22"/>
          <w:lang w:val="en-US"/>
        </w:rPr>
        <w:t xml:space="preserve"> </w:t>
      </w:r>
      <w:r w:rsidRPr="00DE2282">
        <w:rPr>
          <w:rFonts w:asciiTheme="majorHAnsi" w:hAnsiTheme="majorHAnsi" w:cstheme="majorHAnsi"/>
          <w:sz w:val="22"/>
          <w:szCs w:val="22"/>
          <w:lang w:val="en-US"/>
        </w:rPr>
        <w:t xml:space="preserve">J Antibiot (Tokyo) </w:t>
      </w:r>
      <w:r w:rsidRPr="00DE2282">
        <w:rPr>
          <w:rFonts w:asciiTheme="majorHAnsi" w:hAnsiTheme="majorHAnsi" w:cstheme="majorHAnsi"/>
          <w:b/>
          <w:sz w:val="22"/>
          <w:szCs w:val="22"/>
          <w:lang w:val="en-US"/>
        </w:rPr>
        <w:t>43:</w:t>
      </w:r>
      <w:r w:rsidRPr="00DE2282">
        <w:rPr>
          <w:rFonts w:asciiTheme="majorHAnsi" w:hAnsiTheme="majorHAnsi" w:cstheme="majorHAnsi"/>
          <w:sz w:val="22"/>
          <w:szCs w:val="22"/>
          <w:lang w:val="en-US"/>
        </w:rPr>
        <w:t>314-320.</w:t>
      </w:r>
    </w:p>
    <w:p w:rsidR="007B515C" w:rsidRDefault="003F1E7A" w:rsidP="007B515C">
      <w:pPr>
        <w:pStyle w:val="CommentText"/>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 Thulin E, Sundqvist M, Andersson DI. 2015. Amdinocillin (Mecillinam) resistance mutations in clinical isolates and laboratory-selected mutants of </w:t>
      </w:r>
      <w:r w:rsidRPr="00DE2282">
        <w:rPr>
          <w:rFonts w:asciiTheme="majorHAnsi" w:hAnsiTheme="majorHAnsi" w:cstheme="majorHAnsi"/>
          <w:i/>
          <w:sz w:val="22"/>
          <w:szCs w:val="22"/>
          <w:lang w:val="en-US"/>
        </w:rPr>
        <w:t xml:space="preserve">Escherichia coli. </w:t>
      </w:r>
      <w:r w:rsidRPr="00DE2282">
        <w:rPr>
          <w:rFonts w:asciiTheme="majorHAnsi" w:hAnsiTheme="majorHAnsi" w:cstheme="majorHAnsi"/>
          <w:sz w:val="22"/>
          <w:szCs w:val="22"/>
          <w:lang w:val="en-US"/>
        </w:rPr>
        <w:t xml:space="preserve">Antimicrob Agents Chemother </w:t>
      </w:r>
      <w:r w:rsidRPr="00DE2282">
        <w:rPr>
          <w:rFonts w:asciiTheme="majorHAnsi" w:hAnsiTheme="majorHAnsi" w:cstheme="majorHAnsi"/>
          <w:b/>
          <w:sz w:val="22"/>
          <w:szCs w:val="22"/>
          <w:lang w:val="en-US"/>
        </w:rPr>
        <w:t>59:</w:t>
      </w:r>
      <w:r w:rsidRPr="00DE2282">
        <w:rPr>
          <w:rFonts w:asciiTheme="majorHAnsi" w:hAnsiTheme="majorHAnsi" w:cstheme="majorHAnsi"/>
          <w:sz w:val="22"/>
          <w:szCs w:val="22"/>
          <w:lang w:val="en-US"/>
        </w:rPr>
        <w:t>1718-1727.</w:t>
      </w:r>
    </w:p>
    <w:p w:rsidR="00CA551C" w:rsidRPr="00DE2282" w:rsidRDefault="00742DF1" w:rsidP="007B515C">
      <w:pPr>
        <w:pStyle w:val="CommentText"/>
        <w:numPr>
          <w:ilvl w:val="0"/>
          <w:numId w:val="5"/>
        </w:numPr>
        <w:spacing w:before="120" w:after="120"/>
        <w:rPr>
          <w:rFonts w:asciiTheme="majorHAnsi" w:hAnsiTheme="majorHAnsi" w:cstheme="majorHAnsi"/>
          <w:sz w:val="22"/>
          <w:szCs w:val="22"/>
          <w:lang w:val="en-US"/>
        </w:rPr>
      </w:pPr>
      <w:r w:rsidRPr="00800027">
        <w:rPr>
          <w:rFonts w:asciiTheme="majorHAnsi" w:hAnsiTheme="majorHAnsi" w:cstheme="majorHAnsi"/>
          <w:sz w:val="22"/>
          <w:szCs w:val="22"/>
        </w:rPr>
        <w:t>Doumith M, Mushtaq S, Livermore DM, Woodford N.</w:t>
      </w:r>
      <w:r w:rsidRPr="00800027">
        <w:rPr>
          <w:rFonts w:asciiTheme="majorHAnsi" w:eastAsiaTheme="minorEastAsia" w:hAnsiTheme="majorHAnsi" w:cstheme="majorHAnsi"/>
          <w:bCs/>
          <w:color w:val="000000"/>
          <w:sz w:val="22"/>
          <w:szCs w:val="22"/>
        </w:rPr>
        <w:t xml:space="preserve"> </w:t>
      </w:r>
      <w:r w:rsidR="00B313FB">
        <w:rPr>
          <w:rFonts w:asciiTheme="majorHAnsi" w:eastAsiaTheme="minorEastAsia" w:hAnsiTheme="majorHAnsi" w:cstheme="majorHAnsi"/>
          <w:bCs/>
          <w:color w:val="000000"/>
          <w:sz w:val="22"/>
          <w:szCs w:val="22"/>
        </w:rPr>
        <w:t xml:space="preserve">2015. Abst </w:t>
      </w:r>
      <w:r w:rsidRPr="00800027">
        <w:rPr>
          <w:rFonts w:asciiTheme="majorHAnsi" w:eastAsiaTheme="minorEastAsia" w:hAnsiTheme="majorHAnsi" w:cstheme="majorHAnsi"/>
          <w:bCs/>
          <w:i/>
          <w:color w:val="000000"/>
          <w:sz w:val="22"/>
          <w:szCs w:val="22"/>
        </w:rPr>
        <w:t xml:space="preserve"> </w:t>
      </w:r>
      <w:r>
        <w:rPr>
          <w:rFonts w:asciiTheme="majorHAnsi" w:eastAsiaTheme="minorEastAsia" w:hAnsiTheme="majorHAnsi" w:cstheme="majorHAnsi"/>
          <w:bCs/>
          <w:color w:val="000000"/>
          <w:sz w:val="22"/>
          <w:szCs w:val="22"/>
        </w:rPr>
        <w:t>Interscience Conference on Antimicrobial Agents and Chemotherapy/International Congress of Chemotherapy</w:t>
      </w:r>
      <w:r w:rsidR="00B313FB">
        <w:rPr>
          <w:rFonts w:asciiTheme="majorHAnsi" w:eastAsiaTheme="minorEastAsia" w:hAnsiTheme="majorHAnsi" w:cstheme="majorHAnsi"/>
          <w:bCs/>
          <w:color w:val="000000"/>
          <w:sz w:val="22"/>
          <w:szCs w:val="22"/>
        </w:rPr>
        <w:t>, San Diego, Ca. September 17-21. Abst C-120.</w:t>
      </w:r>
      <w:r w:rsidR="00B313FB" w:rsidRPr="00B313FB">
        <w:rPr>
          <w:rFonts w:asciiTheme="majorHAnsi" w:eastAsiaTheme="minorEastAsia" w:hAnsiTheme="majorHAnsi" w:cstheme="majorHAnsi"/>
          <w:bCs/>
          <w:color w:val="000000"/>
          <w:sz w:val="22"/>
          <w:szCs w:val="22"/>
        </w:rPr>
        <w:t xml:space="preserve"> </w:t>
      </w:r>
      <w:r w:rsidR="00B313FB" w:rsidRPr="00800027">
        <w:rPr>
          <w:rFonts w:asciiTheme="majorHAnsi" w:eastAsiaTheme="minorEastAsia" w:hAnsiTheme="majorHAnsi" w:cstheme="majorHAnsi"/>
          <w:bCs/>
          <w:color w:val="000000"/>
          <w:sz w:val="22"/>
          <w:szCs w:val="22"/>
        </w:rPr>
        <w:t xml:space="preserve">Molecular mechanisms of resistance to the new serine-β-Lactamase inhibitor OP0595 in </w:t>
      </w:r>
      <w:r w:rsidR="00B313FB" w:rsidRPr="00800027">
        <w:rPr>
          <w:rFonts w:asciiTheme="majorHAnsi" w:eastAsiaTheme="minorEastAsia" w:hAnsiTheme="majorHAnsi" w:cstheme="majorHAnsi"/>
          <w:bCs/>
          <w:i/>
          <w:color w:val="000000"/>
          <w:sz w:val="22"/>
          <w:szCs w:val="22"/>
        </w:rPr>
        <w:t>Escherichia coli.</w:t>
      </w:r>
    </w:p>
    <w:p w:rsidR="007B515C" w:rsidRPr="00DE2282" w:rsidRDefault="003F1E7A" w:rsidP="007B515C">
      <w:pPr>
        <w:pStyle w:val="CommentText"/>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Joseleau-Petit D, Thévenet D, D'Ari R. 1994. ppGpp concentration, growth without PBP2 activity, and growth-rate control in </w:t>
      </w:r>
      <w:r w:rsidRPr="00DE2282">
        <w:rPr>
          <w:rFonts w:asciiTheme="majorHAnsi" w:hAnsiTheme="majorHAnsi" w:cstheme="majorHAnsi"/>
          <w:i/>
          <w:sz w:val="22"/>
          <w:szCs w:val="22"/>
          <w:lang w:val="en-US"/>
        </w:rPr>
        <w:t xml:space="preserve">Escherichia coli. </w:t>
      </w:r>
      <w:r w:rsidRPr="00DE2282">
        <w:rPr>
          <w:rFonts w:asciiTheme="majorHAnsi" w:hAnsiTheme="majorHAnsi" w:cstheme="majorHAnsi"/>
          <w:sz w:val="22"/>
          <w:szCs w:val="22"/>
          <w:lang w:val="en-US"/>
        </w:rPr>
        <w:t xml:space="preserve">Mol Microbiol </w:t>
      </w:r>
      <w:r w:rsidRPr="00DE2282">
        <w:rPr>
          <w:rFonts w:asciiTheme="majorHAnsi" w:hAnsiTheme="majorHAnsi" w:cstheme="majorHAnsi"/>
          <w:b/>
          <w:sz w:val="22"/>
          <w:szCs w:val="22"/>
          <w:lang w:val="en-US"/>
        </w:rPr>
        <w:t>13:</w:t>
      </w:r>
      <w:r w:rsidRPr="00DE2282">
        <w:rPr>
          <w:rFonts w:asciiTheme="majorHAnsi" w:hAnsiTheme="majorHAnsi" w:cstheme="majorHAnsi"/>
          <w:sz w:val="22"/>
          <w:szCs w:val="22"/>
          <w:lang w:val="en-US"/>
        </w:rPr>
        <w:t>911-917.</w:t>
      </w:r>
    </w:p>
    <w:p w:rsidR="007B515C" w:rsidRPr="00DE2282" w:rsidRDefault="003F1E7A" w:rsidP="007B515C">
      <w:pPr>
        <w:pStyle w:val="CommentText"/>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Barbour AG, Mayer LW, Spratt BG. 1981. Mecillinam resistance in </w:t>
      </w:r>
      <w:r w:rsidRPr="00DE2282">
        <w:rPr>
          <w:rFonts w:asciiTheme="majorHAnsi" w:hAnsiTheme="majorHAnsi" w:cstheme="majorHAnsi"/>
          <w:i/>
          <w:sz w:val="22"/>
          <w:szCs w:val="22"/>
          <w:lang w:val="en-US"/>
        </w:rPr>
        <w:t>Escherichia coli</w:t>
      </w:r>
      <w:r w:rsidRPr="00DE2282">
        <w:rPr>
          <w:rFonts w:asciiTheme="majorHAnsi" w:hAnsiTheme="majorHAnsi" w:cstheme="majorHAnsi"/>
          <w:sz w:val="22"/>
          <w:szCs w:val="22"/>
          <w:lang w:val="en-US"/>
        </w:rPr>
        <w:t>: dissociation of growth inhibition and morphologic change. J Infect Dis</w:t>
      </w:r>
      <w:r w:rsidRPr="00DE2282">
        <w:rPr>
          <w:rFonts w:asciiTheme="majorHAnsi" w:hAnsiTheme="majorHAnsi" w:cstheme="majorHAnsi"/>
          <w:b/>
          <w:sz w:val="22"/>
          <w:szCs w:val="22"/>
          <w:lang w:val="en-US"/>
        </w:rPr>
        <w:t>143:</w:t>
      </w:r>
      <w:r w:rsidRPr="00DE2282">
        <w:rPr>
          <w:rFonts w:asciiTheme="majorHAnsi" w:hAnsiTheme="majorHAnsi" w:cstheme="majorHAnsi"/>
          <w:sz w:val="22"/>
          <w:szCs w:val="22"/>
          <w:lang w:val="en-US"/>
        </w:rPr>
        <w:t>114-121.</w:t>
      </w:r>
    </w:p>
    <w:p w:rsidR="007B515C" w:rsidRPr="00DE2282" w:rsidRDefault="003F1E7A" w:rsidP="007B515C">
      <w:pPr>
        <w:pStyle w:val="CommentText"/>
        <w:numPr>
          <w:ilvl w:val="0"/>
          <w:numId w:val="5"/>
        </w:numPr>
        <w:spacing w:before="120" w:after="120"/>
        <w:rPr>
          <w:rFonts w:asciiTheme="majorHAnsi" w:hAnsiTheme="majorHAnsi" w:cstheme="majorHAnsi"/>
          <w:sz w:val="22"/>
          <w:szCs w:val="22"/>
          <w:lang w:val="en-US"/>
        </w:rPr>
      </w:pPr>
      <w:r w:rsidRPr="00DE2282">
        <w:rPr>
          <w:rFonts w:asciiTheme="majorHAnsi" w:hAnsiTheme="majorHAnsi" w:cstheme="majorHAnsi"/>
          <w:sz w:val="22"/>
          <w:szCs w:val="22"/>
          <w:lang w:val="en-US"/>
        </w:rPr>
        <w:t xml:space="preserve">Kahlmeter G, Poulsen HO. 2012. Antimicrobial susceptibility of </w:t>
      </w:r>
      <w:r w:rsidRPr="00DE2282">
        <w:rPr>
          <w:rFonts w:asciiTheme="majorHAnsi" w:hAnsiTheme="majorHAnsi" w:cstheme="majorHAnsi"/>
          <w:i/>
          <w:sz w:val="22"/>
          <w:szCs w:val="22"/>
          <w:lang w:val="en-US"/>
        </w:rPr>
        <w:t>Escherichia coli</w:t>
      </w:r>
      <w:r w:rsidRPr="00DE2282">
        <w:rPr>
          <w:rFonts w:asciiTheme="majorHAnsi" w:hAnsiTheme="majorHAnsi" w:cstheme="majorHAnsi"/>
          <w:sz w:val="22"/>
          <w:szCs w:val="22"/>
          <w:lang w:val="en-US"/>
        </w:rPr>
        <w:t xml:space="preserve"> from community-acquired urinary tract infections in Europe: the ECO·SENS study revisited. Int J Antimicrob Agents </w:t>
      </w:r>
      <w:r w:rsidRPr="00DE2282">
        <w:rPr>
          <w:rFonts w:asciiTheme="majorHAnsi" w:hAnsiTheme="majorHAnsi" w:cstheme="majorHAnsi"/>
          <w:b/>
          <w:sz w:val="22"/>
          <w:szCs w:val="22"/>
          <w:lang w:val="en-US"/>
        </w:rPr>
        <w:t>39:</w:t>
      </w:r>
      <w:r w:rsidRPr="00DE2282">
        <w:rPr>
          <w:rFonts w:asciiTheme="majorHAnsi" w:hAnsiTheme="majorHAnsi" w:cstheme="majorHAnsi"/>
          <w:sz w:val="22"/>
          <w:szCs w:val="22"/>
          <w:lang w:val="en-US"/>
        </w:rPr>
        <w:t>45-51.</w:t>
      </w:r>
    </w:p>
    <w:p w:rsidR="007B515C" w:rsidRPr="00DE2282" w:rsidRDefault="007B515C" w:rsidP="007B515C">
      <w:pPr>
        <w:spacing w:line="480" w:lineRule="auto"/>
        <w:rPr>
          <w:rFonts w:asciiTheme="majorHAnsi" w:hAnsiTheme="majorHAnsi" w:cstheme="majorHAnsi"/>
          <w:sz w:val="20"/>
          <w:szCs w:val="20"/>
          <w:lang w:val="en-US"/>
        </w:rPr>
        <w:sectPr w:rsidR="007B515C" w:rsidRPr="00DE2282">
          <w:footerReference w:type="even" r:id="rId9"/>
          <w:footerReference w:type="default" r:id="rId10"/>
          <w:pgSz w:w="11899" w:h="16838"/>
          <w:pgMar w:top="1440" w:right="1800" w:bottom="1440" w:left="1800" w:header="706" w:footer="706" w:gutter="0"/>
          <w:lnNumType w:countBy="1" w:restart="continuous"/>
          <w:cols w:space="708"/>
        </w:sectPr>
      </w:pPr>
    </w:p>
    <w:p w:rsidR="007B515C" w:rsidRPr="00DE2282" w:rsidRDefault="003F1E7A" w:rsidP="007B515C">
      <w:pPr>
        <w:spacing w:line="480" w:lineRule="auto"/>
        <w:rPr>
          <w:rFonts w:asciiTheme="majorHAnsi" w:hAnsiTheme="majorHAnsi" w:cstheme="majorHAnsi"/>
          <w:sz w:val="20"/>
          <w:lang w:val="en-US"/>
        </w:rPr>
      </w:pPr>
      <w:r w:rsidRPr="00DE2282">
        <w:rPr>
          <w:rFonts w:asciiTheme="majorHAnsi" w:hAnsiTheme="majorHAnsi" w:cstheme="majorHAnsi"/>
          <w:b/>
          <w:sz w:val="20"/>
          <w:lang w:val="en-US"/>
        </w:rPr>
        <w:t>Table 1</w:t>
      </w:r>
      <w:r w:rsidRPr="00DE2282">
        <w:rPr>
          <w:rFonts w:asciiTheme="majorHAnsi" w:hAnsiTheme="majorHAnsi" w:cstheme="majorHAnsi"/>
          <w:sz w:val="20"/>
          <w:lang w:val="en-US"/>
        </w:rPr>
        <w:t>.  Parent strains used for mutant selection</w:t>
      </w:r>
    </w:p>
    <w:p w:rsidR="007B515C" w:rsidRPr="00DE2282" w:rsidRDefault="007B515C" w:rsidP="007B515C">
      <w:pPr>
        <w:spacing w:line="480" w:lineRule="auto"/>
        <w:rPr>
          <w:rFonts w:asciiTheme="majorHAnsi" w:hAnsiTheme="majorHAnsi" w:cstheme="majorHAnsi"/>
          <w:sz w:val="20"/>
          <w:szCs w:val="20"/>
          <w:lang w:val="en-US"/>
        </w:rPr>
      </w:pPr>
    </w:p>
    <w:tbl>
      <w:tblPr>
        <w:tblW w:w="0" w:type="auto"/>
        <w:tblLook w:val="04A0" w:firstRow="1" w:lastRow="0" w:firstColumn="1" w:lastColumn="0" w:noHBand="0" w:noVBand="1"/>
      </w:tblPr>
      <w:tblGrid>
        <w:gridCol w:w="5238"/>
        <w:gridCol w:w="2160"/>
        <w:gridCol w:w="2520"/>
        <w:gridCol w:w="2022"/>
        <w:gridCol w:w="2234"/>
      </w:tblGrid>
      <w:tr w:rsidR="007B515C" w:rsidRPr="00DE2282">
        <w:tc>
          <w:tcPr>
            <w:tcW w:w="5238" w:type="dxa"/>
            <w:tcBorders>
              <w:top w:val="single" w:sz="4" w:space="0" w:color="auto"/>
              <w:bottom w:val="single" w:sz="4" w:space="0" w:color="auto"/>
            </w:tcBorders>
            <w:shd w:val="clear" w:color="auto" w:fill="auto"/>
          </w:tcPr>
          <w:p w:rsidR="007B515C" w:rsidRPr="00DE2282" w:rsidRDefault="007B515C" w:rsidP="007B515C">
            <w:pPr>
              <w:spacing w:line="480" w:lineRule="auto"/>
              <w:rPr>
                <w:rFonts w:asciiTheme="majorHAnsi" w:hAnsiTheme="majorHAnsi" w:cstheme="majorHAnsi"/>
                <w:i/>
                <w:sz w:val="20"/>
                <w:szCs w:val="22"/>
                <w:lang w:val="en-US"/>
              </w:rPr>
            </w:pPr>
          </w:p>
        </w:tc>
        <w:tc>
          <w:tcPr>
            <w:tcW w:w="2160" w:type="dxa"/>
            <w:tcBorders>
              <w:top w:val="single" w:sz="4" w:space="0" w:color="auto"/>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i/>
                <w:sz w:val="20"/>
                <w:szCs w:val="22"/>
                <w:lang w:val="en-US"/>
              </w:rPr>
            </w:pPr>
            <w:r w:rsidRPr="00DE2282">
              <w:rPr>
                <w:rFonts w:asciiTheme="majorHAnsi" w:hAnsiTheme="majorHAnsi" w:cstheme="majorHAnsi"/>
                <w:i/>
                <w:sz w:val="20"/>
                <w:szCs w:val="22"/>
                <w:lang w:val="en-US"/>
              </w:rPr>
              <w:t>E. coli</w:t>
            </w:r>
          </w:p>
        </w:tc>
        <w:tc>
          <w:tcPr>
            <w:tcW w:w="2520" w:type="dxa"/>
            <w:tcBorders>
              <w:top w:val="single" w:sz="4" w:space="0" w:color="auto"/>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i/>
                <w:sz w:val="20"/>
                <w:szCs w:val="22"/>
                <w:lang w:val="en-US"/>
              </w:rPr>
            </w:pPr>
            <w:r w:rsidRPr="00DE2282">
              <w:rPr>
                <w:rFonts w:asciiTheme="majorHAnsi" w:hAnsiTheme="majorHAnsi" w:cstheme="majorHAnsi"/>
                <w:i/>
                <w:sz w:val="20"/>
                <w:szCs w:val="22"/>
                <w:lang w:val="en-US"/>
              </w:rPr>
              <w:t>Klebsiella</w:t>
            </w:r>
          </w:p>
        </w:tc>
        <w:tc>
          <w:tcPr>
            <w:tcW w:w="2022" w:type="dxa"/>
            <w:tcBorders>
              <w:top w:val="single" w:sz="4" w:space="0" w:color="auto"/>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i/>
                <w:sz w:val="20"/>
                <w:szCs w:val="22"/>
                <w:lang w:val="en-US"/>
              </w:rPr>
            </w:pPr>
            <w:r w:rsidRPr="00DE2282">
              <w:rPr>
                <w:rFonts w:asciiTheme="majorHAnsi" w:hAnsiTheme="majorHAnsi" w:cstheme="majorHAnsi"/>
                <w:i/>
                <w:sz w:val="20"/>
                <w:szCs w:val="22"/>
                <w:lang w:val="en-US"/>
              </w:rPr>
              <w:t>Enterobacter</w:t>
            </w:r>
          </w:p>
        </w:tc>
        <w:tc>
          <w:tcPr>
            <w:tcW w:w="2234" w:type="dxa"/>
            <w:tcBorders>
              <w:top w:val="single" w:sz="4" w:space="0" w:color="auto"/>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i/>
                <w:sz w:val="20"/>
                <w:szCs w:val="22"/>
                <w:lang w:val="en-US"/>
              </w:rPr>
            </w:pPr>
            <w:r w:rsidRPr="00DE2282">
              <w:rPr>
                <w:rFonts w:asciiTheme="majorHAnsi" w:hAnsiTheme="majorHAnsi" w:cstheme="majorHAnsi"/>
                <w:i/>
                <w:sz w:val="20"/>
                <w:szCs w:val="22"/>
                <w:lang w:val="en-US"/>
              </w:rPr>
              <w:t>Citrobacter</w:t>
            </w:r>
          </w:p>
        </w:tc>
      </w:tr>
      <w:tr w:rsidR="007B515C" w:rsidRPr="00DE2282">
        <w:tc>
          <w:tcPr>
            <w:tcW w:w="5238" w:type="dxa"/>
            <w:tcBorders>
              <w:top w:val="single" w:sz="4" w:space="0" w:color="auto"/>
            </w:tcBorders>
            <w:shd w:val="clear" w:color="auto" w:fill="auto"/>
          </w:tcPr>
          <w:p w:rsidR="007B515C" w:rsidRPr="00DE2282" w:rsidRDefault="003F1E7A" w:rsidP="007B515C">
            <w:pPr>
              <w:spacing w:line="480" w:lineRule="auto"/>
              <w:rPr>
                <w:rFonts w:asciiTheme="majorHAnsi" w:hAnsiTheme="majorHAnsi" w:cstheme="majorHAnsi"/>
                <w:sz w:val="20"/>
                <w:szCs w:val="22"/>
                <w:lang w:val="en-US"/>
              </w:rPr>
            </w:pPr>
            <w:r w:rsidRPr="00DE2282">
              <w:rPr>
                <w:rFonts w:asciiTheme="majorHAnsi" w:hAnsiTheme="majorHAnsi" w:cstheme="majorHAnsi"/>
                <w:sz w:val="20"/>
                <w:szCs w:val="22"/>
                <w:lang w:val="en-US"/>
              </w:rPr>
              <w:t xml:space="preserve">Controls, </w:t>
            </w:r>
            <w:r w:rsidRPr="00DE2282">
              <w:rPr>
                <w:rFonts w:asciiTheme="majorHAnsi" w:hAnsiTheme="majorHAnsi" w:cstheme="majorHAnsi"/>
                <w:sz w:val="20"/>
                <w:szCs w:val="22"/>
                <w:lang w:val="en-US" w:eastAsia="ja-JP"/>
              </w:rPr>
              <w:t xml:space="preserve">without </w:t>
            </w:r>
            <w:r w:rsidRPr="00DE2282">
              <w:rPr>
                <w:rFonts w:asciiTheme="majorHAnsi" w:hAnsiTheme="majorHAnsi" w:cstheme="majorHAnsi"/>
                <w:sz w:val="20"/>
                <w:szCs w:val="22"/>
                <w:lang w:val="en-US"/>
              </w:rPr>
              <w:t xml:space="preserve">AmpC, ESBL or carbapenemase </w:t>
            </w:r>
          </w:p>
        </w:tc>
        <w:tc>
          <w:tcPr>
            <w:tcW w:w="2160" w:type="dxa"/>
            <w:tcBorders>
              <w:top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5</w:t>
            </w:r>
          </w:p>
        </w:tc>
        <w:tc>
          <w:tcPr>
            <w:tcW w:w="2520" w:type="dxa"/>
            <w:tcBorders>
              <w:top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5</w:t>
            </w:r>
          </w:p>
        </w:tc>
        <w:tc>
          <w:tcPr>
            <w:tcW w:w="2022" w:type="dxa"/>
            <w:tcBorders>
              <w:top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4</w:t>
            </w:r>
          </w:p>
        </w:tc>
        <w:tc>
          <w:tcPr>
            <w:tcW w:w="2234" w:type="dxa"/>
            <w:tcBorders>
              <w:top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5</w:t>
            </w:r>
          </w:p>
        </w:tc>
      </w:tr>
      <w:tr w:rsidR="007B515C" w:rsidRPr="00DE2282">
        <w:tc>
          <w:tcPr>
            <w:tcW w:w="5238" w:type="dxa"/>
            <w:shd w:val="clear" w:color="auto" w:fill="auto"/>
          </w:tcPr>
          <w:p w:rsidR="007B515C" w:rsidRPr="00DE2282" w:rsidRDefault="003F1E7A" w:rsidP="007B515C">
            <w:pPr>
              <w:spacing w:line="480" w:lineRule="auto"/>
              <w:rPr>
                <w:rFonts w:asciiTheme="majorHAnsi" w:hAnsiTheme="majorHAnsi" w:cstheme="majorHAnsi"/>
                <w:sz w:val="20"/>
                <w:szCs w:val="22"/>
                <w:lang w:val="en-US"/>
              </w:rPr>
            </w:pPr>
            <w:r w:rsidRPr="00DE2282">
              <w:rPr>
                <w:rFonts w:asciiTheme="majorHAnsi" w:hAnsiTheme="majorHAnsi" w:cstheme="majorHAnsi"/>
                <w:sz w:val="20"/>
                <w:szCs w:val="22"/>
                <w:lang w:val="en-US"/>
              </w:rPr>
              <w:t xml:space="preserve">ESBL </w:t>
            </w:r>
          </w:p>
        </w:tc>
        <w:tc>
          <w:tcPr>
            <w:tcW w:w="216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5</w:t>
            </w:r>
          </w:p>
        </w:tc>
        <w:tc>
          <w:tcPr>
            <w:tcW w:w="252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4</w:t>
            </w:r>
          </w:p>
        </w:tc>
        <w:tc>
          <w:tcPr>
            <w:tcW w:w="2022"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234"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r>
      <w:tr w:rsidR="007B515C" w:rsidRPr="00DE2282">
        <w:tc>
          <w:tcPr>
            <w:tcW w:w="5238" w:type="dxa"/>
            <w:shd w:val="clear" w:color="auto" w:fill="auto"/>
          </w:tcPr>
          <w:p w:rsidR="007B515C" w:rsidRPr="00DE2282" w:rsidRDefault="003F1E7A" w:rsidP="007B515C">
            <w:pPr>
              <w:spacing w:line="480" w:lineRule="auto"/>
              <w:rPr>
                <w:rFonts w:asciiTheme="majorHAnsi" w:hAnsiTheme="majorHAnsi" w:cstheme="majorHAnsi"/>
                <w:sz w:val="20"/>
                <w:szCs w:val="22"/>
                <w:lang w:val="en-US"/>
              </w:rPr>
            </w:pPr>
            <w:r w:rsidRPr="00DE2282">
              <w:rPr>
                <w:rFonts w:asciiTheme="majorHAnsi" w:hAnsiTheme="majorHAnsi" w:cstheme="majorHAnsi"/>
                <w:sz w:val="20"/>
                <w:szCs w:val="22"/>
                <w:lang w:val="en-US"/>
              </w:rPr>
              <w:t>AmpC (plasmid or derepressed)</w:t>
            </w:r>
          </w:p>
        </w:tc>
        <w:tc>
          <w:tcPr>
            <w:tcW w:w="216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52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022"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5</w:t>
            </w:r>
          </w:p>
        </w:tc>
        <w:tc>
          <w:tcPr>
            <w:tcW w:w="2234"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5</w:t>
            </w:r>
          </w:p>
        </w:tc>
      </w:tr>
      <w:tr w:rsidR="007B515C" w:rsidRPr="00DE2282">
        <w:tc>
          <w:tcPr>
            <w:tcW w:w="5238" w:type="dxa"/>
            <w:shd w:val="clear" w:color="auto" w:fill="auto"/>
          </w:tcPr>
          <w:p w:rsidR="007B515C" w:rsidRPr="00DE2282" w:rsidRDefault="003F1E7A" w:rsidP="007B515C">
            <w:pPr>
              <w:spacing w:line="480" w:lineRule="auto"/>
              <w:rPr>
                <w:rFonts w:asciiTheme="majorHAnsi" w:hAnsiTheme="majorHAnsi" w:cstheme="majorHAnsi"/>
                <w:sz w:val="20"/>
                <w:szCs w:val="22"/>
                <w:lang w:val="en-US"/>
              </w:rPr>
            </w:pPr>
            <w:r w:rsidRPr="00DE2282">
              <w:rPr>
                <w:rFonts w:asciiTheme="majorHAnsi" w:hAnsiTheme="majorHAnsi" w:cstheme="majorHAnsi"/>
                <w:sz w:val="20"/>
                <w:szCs w:val="22"/>
                <w:lang w:val="en-US"/>
              </w:rPr>
              <w:t>KPC</w:t>
            </w:r>
          </w:p>
        </w:tc>
        <w:tc>
          <w:tcPr>
            <w:tcW w:w="216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52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5</w:t>
            </w:r>
          </w:p>
        </w:tc>
        <w:tc>
          <w:tcPr>
            <w:tcW w:w="2022"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234"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r>
      <w:tr w:rsidR="007B515C" w:rsidRPr="00DE2282">
        <w:tc>
          <w:tcPr>
            <w:tcW w:w="5238" w:type="dxa"/>
            <w:shd w:val="clear" w:color="auto" w:fill="auto"/>
          </w:tcPr>
          <w:p w:rsidR="007B515C" w:rsidRPr="00DE2282" w:rsidRDefault="003F1E7A" w:rsidP="007B515C">
            <w:pPr>
              <w:spacing w:line="480" w:lineRule="auto"/>
              <w:rPr>
                <w:rFonts w:asciiTheme="majorHAnsi" w:hAnsiTheme="majorHAnsi" w:cstheme="majorHAnsi"/>
                <w:sz w:val="20"/>
                <w:szCs w:val="22"/>
                <w:lang w:val="en-US"/>
              </w:rPr>
            </w:pPr>
            <w:r w:rsidRPr="00DE2282">
              <w:rPr>
                <w:rFonts w:asciiTheme="majorHAnsi" w:hAnsiTheme="majorHAnsi" w:cstheme="majorHAnsi"/>
                <w:sz w:val="20"/>
                <w:szCs w:val="22"/>
                <w:lang w:val="en-US"/>
              </w:rPr>
              <w:t>MBLs</w:t>
            </w:r>
          </w:p>
        </w:tc>
        <w:tc>
          <w:tcPr>
            <w:tcW w:w="216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1 NDM, 2 VIM</w:t>
            </w:r>
          </w:p>
        </w:tc>
        <w:tc>
          <w:tcPr>
            <w:tcW w:w="2520"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3 NDM, 2 VIM, 2 IMP</w:t>
            </w:r>
          </w:p>
        </w:tc>
        <w:tc>
          <w:tcPr>
            <w:tcW w:w="2022"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 NDM, 2 VIM</w:t>
            </w:r>
          </w:p>
        </w:tc>
        <w:tc>
          <w:tcPr>
            <w:tcW w:w="2234" w:type="dxa"/>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 NDM, 2 VIM</w:t>
            </w:r>
          </w:p>
        </w:tc>
      </w:tr>
      <w:tr w:rsidR="007B515C" w:rsidRPr="00DE2282">
        <w:tc>
          <w:tcPr>
            <w:tcW w:w="5238" w:type="dxa"/>
            <w:tcBorders>
              <w:bottom w:val="single" w:sz="4" w:space="0" w:color="auto"/>
            </w:tcBorders>
            <w:shd w:val="clear" w:color="auto" w:fill="auto"/>
          </w:tcPr>
          <w:p w:rsidR="007B515C" w:rsidRPr="00DE2282" w:rsidRDefault="003F1E7A" w:rsidP="007B515C">
            <w:pPr>
              <w:spacing w:line="480" w:lineRule="auto"/>
              <w:rPr>
                <w:rFonts w:asciiTheme="majorHAnsi" w:hAnsiTheme="majorHAnsi" w:cstheme="majorHAnsi"/>
                <w:sz w:val="20"/>
                <w:szCs w:val="22"/>
                <w:lang w:val="en-US"/>
              </w:rPr>
            </w:pPr>
            <w:r w:rsidRPr="00DE2282">
              <w:rPr>
                <w:rFonts w:asciiTheme="majorHAnsi" w:hAnsiTheme="majorHAnsi" w:cstheme="majorHAnsi"/>
                <w:sz w:val="20"/>
                <w:szCs w:val="22"/>
                <w:lang w:val="en-US"/>
              </w:rPr>
              <w:t>OXA-48</w:t>
            </w:r>
          </w:p>
        </w:tc>
        <w:tc>
          <w:tcPr>
            <w:tcW w:w="2160" w:type="dxa"/>
            <w:tcBorders>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520" w:type="dxa"/>
            <w:tcBorders>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022" w:type="dxa"/>
            <w:tcBorders>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2</w:t>
            </w:r>
          </w:p>
        </w:tc>
        <w:tc>
          <w:tcPr>
            <w:tcW w:w="2234" w:type="dxa"/>
            <w:tcBorders>
              <w:bottom w:val="single" w:sz="4" w:space="0" w:color="auto"/>
            </w:tcBorders>
            <w:shd w:val="clear" w:color="auto" w:fill="auto"/>
          </w:tcPr>
          <w:p w:rsidR="007B515C" w:rsidRPr="00DE2282" w:rsidRDefault="003F1E7A" w:rsidP="007B515C">
            <w:pPr>
              <w:spacing w:line="480" w:lineRule="auto"/>
              <w:jc w:val="center"/>
              <w:rPr>
                <w:rFonts w:asciiTheme="majorHAnsi" w:hAnsiTheme="majorHAnsi" w:cstheme="majorHAnsi"/>
                <w:sz w:val="20"/>
                <w:szCs w:val="22"/>
                <w:lang w:val="en-US"/>
              </w:rPr>
            </w:pPr>
            <w:r w:rsidRPr="00DE2282">
              <w:rPr>
                <w:rFonts w:asciiTheme="majorHAnsi" w:hAnsiTheme="majorHAnsi" w:cstheme="majorHAnsi"/>
                <w:sz w:val="20"/>
                <w:szCs w:val="22"/>
                <w:lang w:val="en-US"/>
              </w:rPr>
              <w:t>1</w:t>
            </w:r>
          </w:p>
        </w:tc>
      </w:tr>
    </w:tbl>
    <w:p w:rsidR="007B515C" w:rsidRPr="00DE2282" w:rsidRDefault="007B515C" w:rsidP="007B515C">
      <w:pPr>
        <w:spacing w:line="480" w:lineRule="auto"/>
        <w:rPr>
          <w:rFonts w:asciiTheme="majorHAnsi" w:hAnsiTheme="majorHAnsi" w:cstheme="majorHAnsi"/>
          <w:sz w:val="20"/>
          <w:szCs w:val="20"/>
          <w:lang w:val="en-US"/>
        </w:rPr>
      </w:pPr>
    </w:p>
    <w:p w:rsidR="007B515C" w:rsidRPr="00DE2282" w:rsidRDefault="003F1E7A">
      <w:pPr>
        <w:rPr>
          <w:rFonts w:asciiTheme="majorHAnsi" w:hAnsiTheme="majorHAnsi" w:cstheme="majorHAnsi"/>
          <w:sz w:val="20"/>
          <w:szCs w:val="20"/>
          <w:lang w:val="en-US"/>
        </w:rPr>
      </w:pPr>
      <w:r w:rsidRPr="00DE2282">
        <w:rPr>
          <w:rFonts w:asciiTheme="majorHAnsi" w:hAnsiTheme="majorHAnsi" w:cstheme="majorHAnsi"/>
          <w:sz w:val="20"/>
          <w:szCs w:val="20"/>
          <w:lang w:val="en-US"/>
        </w:rPr>
        <w:br w:type="page"/>
      </w:r>
    </w:p>
    <w:p w:rsidR="007B515C" w:rsidRPr="00DE2282" w:rsidRDefault="003F1E7A">
      <w:pPr>
        <w:rPr>
          <w:rFonts w:asciiTheme="majorHAnsi" w:hAnsiTheme="majorHAnsi" w:cstheme="majorHAnsi"/>
          <w:sz w:val="20"/>
          <w:szCs w:val="20"/>
          <w:lang w:val="en-US"/>
        </w:rPr>
      </w:pPr>
      <w:r w:rsidRPr="00DE2282">
        <w:rPr>
          <w:rFonts w:asciiTheme="majorHAnsi" w:hAnsiTheme="majorHAnsi" w:cstheme="majorHAnsi"/>
          <w:b/>
          <w:sz w:val="20"/>
          <w:szCs w:val="20"/>
          <w:lang w:val="en-US"/>
        </w:rPr>
        <w:t>Table 2.</w:t>
      </w:r>
      <w:r w:rsidRPr="00DE2282">
        <w:rPr>
          <w:rFonts w:asciiTheme="majorHAnsi" w:hAnsiTheme="majorHAnsi" w:cstheme="majorHAnsi"/>
          <w:sz w:val="20"/>
          <w:szCs w:val="20"/>
          <w:lang w:val="en-US"/>
        </w:rPr>
        <w:t xml:space="preserve">  Fold changes in MICs for OP0595-</w:t>
      </w:r>
      <w:r w:rsidRPr="00CB0249">
        <w:rPr>
          <w:rFonts w:asciiTheme="majorHAnsi" w:hAnsiTheme="majorHAnsi" w:cstheme="majorHAnsi"/>
          <w:sz w:val="20"/>
          <w:szCs w:val="20"/>
          <w:lang w:val="en-US"/>
        </w:rPr>
        <w:t>selected mutants</w:t>
      </w:r>
      <w:r w:rsidR="00CB0249" w:rsidRPr="00CB0249">
        <w:rPr>
          <w:rFonts w:asciiTheme="majorHAnsi" w:hAnsiTheme="majorHAnsi" w:cstheme="majorHAnsi"/>
          <w:sz w:val="20"/>
          <w:szCs w:val="20"/>
          <w:lang w:val="en-US"/>
        </w:rPr>
        <w:t xml:space="preserve"> (n=93) </w:t>
      </w:r>
      <w:r w:rsidR="008E2637">
        <w:rPr>
          <w:rFonts w:asciiTheme="majorHAnsi" w:hAnsiTheme="majorHAnsi" w:cstheme="majorHAnsi"/>
          <w:sz w:val="20"/>
          <w:szCs w:val="20"/>
          <w:lang w:val="en-US"/>
        </w:rPr>
        <w:t>of</w:t>
      </w:r>
      <w:r w:rsidR="00CB0249">
        <w:rPr>
          <w:rFonts w:asciiTheme="majorHAnsi" w:hAnsiTheme="majorHAnsi" w:cstheme="majorHAnsi"/>
          <w:sz w:val="20"/>
          <w:szCs w:val="20"/>
          <w:lang w:val="en-US"/>
        </w:rPr>
        <w:t xml:space="preserve"> the</w:t>
      </w:r>
      <w:r w:rsidR="00CB0249" w:rsidRPr="00CB0249">
        <w:rPr>
          <w:rFonts w:asciiTheme="majorHAnsi" w:hAnsiTheme="majorHAnsi" w:cstheme="majorHAnsi"/>
          <w:sz w:val="20"/>
          <w:szCs w:val="20"/>
          <w:lang w:val="en-US"/>
        </w:rPr>
        <w:t xml:space="preserve"> fully susceptible </w:t>
      </w:r>
      <w:r w:rsidRPr="00CB0249">
        <w:rPr>
          <w:rFonts w:asciiTheme="majorHAnsi" w:hAnsiTheme="majorHAnsi" w:cstheme="majorHAnsi"/>
          <w:sz w:val="20"/>
          <w:szCs w:val="20"/>
          <w:lang w:val="en-US"/>
        </w:rPr>
        <w:t xml:space="preserve">parent </w:t>
      </w:r>
      <w:r w:rsidR="008E2637">
        <w:rPr>
          <w:rFonts w:asciiTheme="majorHAnsi" w:hAnsiTheme="majorHAnsi" w:cstheme="majorHAnsi"/>
          <w:sz w:val="20"/>
          <w:szCs w:val="20"/>
          <w:lang w:val="en-US"/>
        </w:rPr>
        <w:t xml:space="preserve">control </w:t>
      </w:r>
      <w:r w:rsidRPr="00CB0249">
        <w:rPr>
          <w:rFonts w:asciiTheme="majorHAnsi" w:hAnsiTheme="majorHAnsi" w:cstheme="majorHAnsi"/>
          <w:sz w:val="20"/>
          <w:szCs w:val="20"/>
          <w:lang w:val="en-US"/>
        </w:rPr>
        <w:t>strains</w:t>
      </w:r>
      <w:r w:rsidR="00CB0249">
        <w:rPr>
          <w:rFonts w:asciiTheme="majorHAnsi" w:hAnsiTheme="majorHAnsi" w:cstheme="majorHAnsi"/>
          <w:sz w:val="20"/>
          <w:szCs w:val="20"/>
          <w:lang w:val="en-US"/>
        </w:rPr>
        <w:t xml:space="preserve"> (n=19)</w:t>
      </w:r>
    </w:p>
    <w:p w:rsidR="007B515C" w:rsidRPr="00DE2282" w:rsidRDefault="007B515C">
      <w:pPr>
        <w:rPr>
          <w:rFonts w:asciiTheme="majorHAnsi" w:hAnsiTheme="majorHAnsi" w:cstheme="majorHAnsi"/>
          <w:sz w:val="20"/>
          <w:szCs w:val="20"/>
          <w:lang w:val="en-US"/>
        </w:rPr>
      </w:pPr>
    </w:p>
    <w:tbl>
      <w:tblPr>
        <w:tblW w:w="14041" w:type="dxa"/>
        <w:tblInd w:w="108" w:type="dxa"/>
        <w:tblLook w:val="0000" w:firstRow="0" w:lastRow="0" w:firstColumn="0" w:lastColumn="0" w:noHBand="0" w:noVBand="0"/>
      </w:tblPr>
      <w:tblGrid>
        <w:gridCol w:w="1530"/>
        <w:gridCol w:w="1261"/>
        <w:gridCol w:w="1261"/>
        <w:gridCol w:w="1427"/>
        <w:gridCol w:w="1427"/>
        <w:gridCol w:w="1427"/>
        <w:gridCol w:w="1427"/>
        <w:gridCol w:w="1427"/>
        <w:gridCol w:w="1427"/>
        <w:gridCol w:w="1427"/>
      </w:tblGrid>
      <w:tr w:rsidR="00F2613C" w:rsidRPr="00DE2282" w:rsidTr="00F2613C">
        <w:trPr>
          <w:trHeight w:val="240"/>
        </w:trPr>
        <w:tc>
          <w:tcPr>
            <w:tcW w:w="1530" w:type="dxa"/>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single" w:sz="4" w:space="0" w:color="auto"/>
              <w:left w:val="nil"/>
              <w:bottom w:val="nil"/>
              <w:right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1250" w:type="dxa"/>
            <w:gridSpan w:val="8"/>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No. mutants with indicated MIC change</w:t>
            </w:r>
          </w:p>
        </w:tc>
      </w:tr>
      <w:tr w:rsidR="00F2613C" w:rsidRPr="00DE2282" w:rsidTr="00F2613C">
        <w:trPr>
          <w:trHeight w:val="240"/>
        </w:trPr>
        <w:tc>
          <w:tcPr>
            <w:tcW w:w="1530"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Fold change</w:t>
            </w:r>
            <w:r w:rsidRPr="00DE2282">
              <w:rPr>
                <w:rFonts w:asciiTheme="majorHAnsi" w:hAnsiTheme="majorHAnsi"/>
                <w:sz w:val="20"/>
                <w:szCs w:val="20"/>
                <w:vertAlign w:val="superscript"/>
                <w:lang w:val="en-US"/>
              </w:rPr>
              <w:t>a</w:t>
            </w:r>
          </w:p>
        </w:tc>
        <w:tc>
          <w:tcPr>
            <w:tcW w:w="1261" w:type="dxa"/>
            <w:tcBorders>
              <w:top w:val="nil"/>
              <w:left w:val="nil"/>
              <w:bottom w:val="single" w:sz="4" w:space="0" w:color="auto"/>
              <w:right w:val="nil"/>
            </w:tcBorders>
          </w:tcPr>
          <w:p w:rsidR="00F2613C" w:rsidRPr="00DE2282" w:rsidRDefault="00F2613C" w:rsidP="007B515C">
            <w:pPr>
              <w:spacing w:line="360" w:lineRule="auto"/>
              <w:jc w:val="center"/>
              <w:rPr>
                <w:rFonts w:asciiTheme="majorHAnsi" w:hAnsiTheme="majorHAnsi"/>
                <w:sz w:val="20"/>
                <w:szCs w:val="20"/>
                <w:lang w:val="en-US"/>
              </w:rPr>
            </w:pPr>
            <w:r>
              <w:rPr>
                <w:rFonts w:asciiTheme="majorHAnsi" w:hAnsiTheme="majorHAnsi"/>
                <w:sz w:val="20"/>
                <w:szCs w:val="20"/>
                <w:lang w:val="en-US"/>
              </w:rPr>
              <w:t>OP0595</w:t>
            </w:r>
            <w:r w:rsidR="00B62562">
              <w:rPr>
                <w:rFonts w:asciiTheme="majorHAnsi" w:hAnsiTheme="majorHAnsi"/>
                <w:sz w:val="20"/>
                <w:szCs w:val="20"/>
                <w:lang w:val="en-US"/>
              </w:rPr>
              <w:t xml:space="preserve">  </w:t>
            </w:r>
          </w:p>
        </w:tc>
        <w:tc>
          <w:tcPr>
            <w:tcW w:w="1261"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Piperacillin</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Cefepime</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Aztreonam</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Meropenem</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Ceftazidime</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Imipenem</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Mecillinam</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Amikacin</w:t>
            </w:r>
          </w:p>
        </w:tc>
      </w:tr>
      <w:tr w:rsidR="00F2613C" w:rsidRPr="00DE2282" w:rsidTr="00F2613C">
        <w:trPr>
          <w:trHeight w:val="260"/>
        </w:trPr>
        <w:tc>
          <w:tcPr>
            <w:tcW w:w="1530" w:type="dxa"/>
            <w:tcBorders>
              <w:top w:val="single" w:sz="4" w:space="0" w:color="auto"/>
              <w:bottom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0.06</w:t>
            </w:r>
          </w:p>
        </w:tc>
        <w:tc>
          <w:tcPr>
            <w:tcW w:w="1261" w:type="dxa"/>
            <w:tcBorders>
              <w:top w:val="single" w:sz="4" w:space="0" w:color="auto"/>
              <w:bottom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single" w:sz="4" w:space="0" w:color="auto"/>
              <w:bottom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w:t>
            </w:r>
          </w:p>
        </w:tc>
        <w:tc>
          <w:tcPr>
            <w:tcW w:w="1427" w:type="dxa"/>
            <w:tcBorders>
              <w:top w:val="single" w:sz="4" w:space="0" w:color="auto"/>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single" w:sz="4" w:space="0" w:color="auto"/>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r>
      <w:tr w:rsidR="00F2613C" w:rsidRPr="00DE2282" w:rsidTr="00F2613C">
        <w:trPr>
          <w:trHeight w:val="240"/>
        </w:trPr>
        <w:tc>
          <w:tcPr>
            <w:tcW w:w="1530" w:type="dxa"/>
            <w:tcBorders>
              <w:top w:val="nil"/>
              <w:left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0.12</w:t>
            </w:r>
          </w:p>
        </w:tc>
        <w:tc>
          <w:tcPr>
            <w:tcW w:w="1261" w:type="dxa"/>
            <w:tcBorders>
              <w:top w:val="nil"/>
              <w:bottom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w:t>
            </w:r>
          </w:p>
        </w:tc>
        <w:tc>
          <w:tcPr>
            <w:tcW w:w="1427" w:type="dxa"/>
            <w:tcBorders>
              <w:top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5</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w:t>
            </w:r>
          </w:p>
        </w:tc>
      </w:tr>
      <w:tr w:rsidR="00F2613C" w:rsidRPr="00DE2282" w:rsidTr="00F2613C">
        <w:trPr>
          <w:trHeight w:val="240"/>
        </w:trPr>
        <w:tc>
          <w:tcPr>
            <w:tcW w:w="1530" w:type="dxa"/>
            <w:tcBorders>
              <w:top w:val="nil"/>
              <w:left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0.25</w:t>
            </w:r>
          </w:p>
        </w:tc>
        <w:tc>
          <w:tcPr>
            <w:tcW w:w="1261" w:type="dxa"/>
            <w:tcBorders>
              <w:top w:val="nil"/>
              <w:bottom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10</w:t>
            </w:r>
          </w:p>
        </w:tc>
        <w:tc>
          <w:tcPr>
            <w:tcW w:w="1427" w:type="dxa"/>
            <w:tcBorders>
              <w:top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4</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10</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3</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4</w:t>
            </w:r>
          </w:p>
        </w:tc>
      </w:tr>
      <w:tr w:rsidR="00F2613C" w:rsidRPr="00DE2282" w:rsidTr="00F2613C">
        <w:trPr>
          <w:trHeight w:val="240"/>
        </w:trPr>
        <w:tc>
          <w:tcPr>
            <w:tcW w:w="1530" w:type="dxa"/>
            <w:tcBorders>
              <w:top w:val="nil"/>
              <w:left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0.5</w:t>
            </w:r>
          </w:p>
        </w:tc>
        <w:tc>
          <w:tcPr>
            <w:tcW w:w="1261" w:type="dxa"/>
            <w:tcBorders>
              <w:top w:val="nil"/>
              <w:bottom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32</w:t>
            </w:r>
          </w:p>
        </w:tc>
        <w:tc>
          <w:tcPr>
            <w:tcW w:w="1427" w:type="dxa"/>
            <w:tcBorders>
              <w:top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24</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20</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4</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25</w:t>
            </w:r>
          </w:p>
        </w:tc>
      </w:tr>
      <w:tr w:rsidR="00F2613C" w:rsidRPr="00DE2282" w:rsidTr="00F2613C">
        <w:trPr>
          <w:trHeight w:val="240"/>
        </w:trPr>
        <w:tc>
          <w:tcPr>
            <w:tcW w:w="1530" w:type="dxa"/>
            <w:tcBorders>
              <w:top w:val="nil"/>
              <w:left w:val="nil"/>
              <w:bottom w:val="nil"/>
            </w:tcBorders>
            <w:shd w:val="clear" w:color="auto" w:fill="auto"/>
            <w:noWrap/>
            <w:vAlign w:val="center"/>
          </w:tcPr>
          <w:p w:rsidR="00F2613C" w:rsidRPr="008E2637" w:rsidRDefault="00F2613C" w:rsidP="007B515C">
            <w:pPr>
              <w:spacing w:line="360" w:lineRule="auto"/>
              <w:jc w:val="center"/>
              <w:rPr>
                <w:rFonts w:asciiTheme="majorHAnsi" w:hAnsiTheme="majorHAnsi"/>
                <w:bCs/>
                <w:sz w:val="20"/>
                <w:szCs w:val="16"/>
                <w:lang w:val="en-US"/>
              </w:rPr>
            </w:pPr>
            <w:r w:rsidRPr="008E2637">
              <w:rPr>
                <w:rFonts w:asciiTheme="majorHAnsi" w:hAnsiTheme="majorHAnsi"/>
                <w:bCs/>
                <w:sz w:val="20"/>
                <w:szCs w:val="16"/>
                <w:lang w:val="en-US"/>
              </w:rPr>
              <w:t>No change (1)</w:t>
            </w:r>
          </w:p>
        </w:tc>
        <w:tc>
          <w:tcPr>
            <w:tcW w:w="1261" w:type="dxa"/>
            <w:tcBorders>
              <w:top w:val="nil"/>
              <w:bottom w:val="nil"/>
            </w:tcBorders>
          </w:tcPr>
          <w:p w:rsidR="00F2613C" w:rsidRPr="00DE2282" w:rsidRDefault="00F2613C" w:rsidP="007B515C">
            <w:pPr>
              <w:spacing w:line="360" w:lineRule="auto"/>
              <w:jc w:val="center"/>
              <w:rPr>
                <w:rFonts w:asciiTheme="majorHAnsi" w:hAnsiTheme="majorHAnsi"/>
                <w:b/>
                <w:sz w:val="20"/>
                <w:szCs w:val="20"/>
                <w:lang w:val="en-US"/>
              </w:rPr>
            </w:pPr>
          </w:p>
        </w:tc>
        <w:tc>
          <w:tcPr>
            <w:tcW w:w="1261" w:type="dxa"/>
            <w:tcBorders>
              <w:top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37</w:t>
            </w:r>
          </w:p>
        </w:tc>
        <w:tc>
          <w:tcPr>
            <w:tcW w:w="1427" w:type="dxa"/>
            <w:tcBorders>
              <w:top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47</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42</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46</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44</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12</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
                <w:sz w:val="20"/>
                <w:szCs w:val="20"/>
                <w:lang w:val="en-US"/>
              </w:rPr>
            </w:pPr>
            <w:r w:rsidRPr="00DE2282">
              <w:rPr>
                <w:rFonts w:asciiTheme="majorHAnsi" w:hAnsiTheme="majorHAnsi"/>
                <w:b/>
                <w:sz w:val="20"/>
                <w:szCs w:val="20"/>
                <w:lang w:val="en-US"/>
              </w:rPr>
              <w:t>44</w:t>
            </w:r>
          </w:p>
        </w:tc>
      </w:tr>
      <w:tr w:rsidR="00F2613C" w:rsidRPr="00DE2282" w:rsidTr="00F2613C">
        <w:trPr>
          <w:trHeight w:val="240"/>
        </w:trPr>
        <w:tc>
          <w:tcPr>
            <w:tcW w:w="1530" w:type="dxa"/>
            <w:tcBorders>
              <w:top w:val="nil"/>
              <w:left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2</w:t>
            </w:r>
          </w:p>
        </w:tc>
        <w:tc>
          <w:tcPr>
            <w:tcW w:w="1261" w:type="dxa"/>
            <w:tcBorders>
              <w:top w:val="nil"/>
              <w:bottom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9</w:t>
            </w:r>
          </w:p>
        </w:tc>
        <w:tc>
          <w:tcPr>
            <w:tcW w:w="1427" w:type="dxa"/>
            <w:tcBorders>
              <w:top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16</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32</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20</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11</w:t>
            </w:r>
          </w:p>
        </w:tc>
      </w:tr>
      <w:tr w:rsidR="00F2613C" w:rsidRPr="00DE2282" w:rsidTr="00F2613C">
        <w:trPr>
          <w:trHeight w:val="260"/>
        </w:trPr>
        <w:tc>
          <w:tcPr>
            <w:tcW w:w="1530" w:type="dxa"/>
            <w:tcBorders>
              <w:top w:val="nil"/>
              <w:left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4</w:t>
            </w:r>
          </w:p>
        </w:tc>
        <w:tc>
          <w:tcPr>
            <w:tcW w:w="1261" w:type="dxa"/>
            <w:tcBorders>
              <w:top w:val="nil"/>
              <w:bottom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nil"/>
              <w:bottom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w:t>
            </w:r>
          </w:p>
        </w:tc>
        <w:tc>
          <w:tcPr>
            <w:tcW w:w="1427" w:type="dxa"/>
            <w:tcBorders>
              <w:top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5</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3</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37</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5</w:t>
            </w:r>
          </w:p>
        </w:tc>
      </w:tr>
      <w:tr w:rsidR="00F2613C" w:rsidRPr="00DE2282" w:rsidTr="00F2613C">
        <w:trPr>
          <w:trHeight w:val="240"/>
        </w:trPr>
        <w:tc>
          <w:tcPr>
            <w:tcW w:w="1530"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8</w:t>
            </w:r>
          </w:p>
        </w:tc>
        <w:tc>
          <w:tcPr>
            <w:tcW w:w="1261" w:type="dxa"/>
            <w:tcBorders>
              <w:top w:val="nil"/>
              <w:left w:val="nil"/>
              <w:bottom w:val="nil"/>
              <w:right w:val="nil"/>
            </w:tcBorders>
          </w:tcPr>
          <w:p w:rsidR="00F2613C" w:rsidRPr="00DE2282" w:rsidRDefault="00B62562" w:rsidP="007B515C">
            <w:pPr>
              <w:spacing w:line="360" w:lineRule="auto"/>
              <w:jc w:val="center"/>
              <w:rPr>
                <w:rFonts w:asciiTheme="majorHAnsi" w:hAnsiTheme="majorHAnsi"/>
                <w:sz w:val="20"/>
                <w:szCs w:val="20"/>
                <w:lang w:val="en-US"/>
              </w:rPr>
            </w:pPr>
            <w:r>
              <w:rPr>
                <w:rFonts w:asciiTheme="majorHAnsi" w:hAnsiTheme="majorHAnsi"/>
                <w:sz w:val="20"/>
                <w:szCs w:val="20"/>
                <w:lang w:val="en-US"/>
              </w:rPr>
              <w:t>2</w:t>
            </w:r>
          </w:p>
        </w:tc>
        <w:tc>
          <w:tcPr>
            <w:tcW w:w="1261"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22</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w:t>
            </w:r>
          </w:p>
        </w:tc>
      </w:tr>
      <w:tr w:rsidR="00F2613C" w:rsidRPr="00DE2282" w:rsidTr="00F2613C">
        <w:trPr>
          <w:trHeight w:val="240"/>
        </w:trPr>
        <w:tc>
          <w:tcPr>
            <w:tcW w:w="1530"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16</w:t>
            </w:r>
          </w:p>
        </w:tc>
        <w:tc>
          <w:tcPr>
            <w:tcW w:w="1261" w:type="dxa"/>
            <w:tcBorders>
              <w:top w:val="nil"/>
              <w:left w:val="nil"/>
              <w:bottom w:val="nil"/>
              <w:right w:val="nil"/>
            </w:tcBorders>
          </w:tcPr>
          <w:p w:rsidR="00F2613C" w:rsidRPr="00DE2282" w:rsidRDefault="00B62562" w:rsidP="00B62562">
            <w:pPr>
              <w:spacing w:line="360" w:lineRule="auto"/>
              <w:jc w:val="center"/>
              <w:rPr>
                <w:rFonts w:asciiTheme="majorHAnsi" w:hAnsiTheme="majorHAnsi"/>
                <w:sz w:val="20"/>
                <w:szCs w:val="20"/>
                <w:lang w:val="en-US"/>
              </w:rPr>
            </w:pPr>
            <w:r>
              <w:rPr>
                <w:rFonts w:asciiTheme="majorHAnsi" w:hAnsiTheme="majorHAnsi"/>
                <w:sz w:val="20"/>
                <w:szCs w:val="20"/>
                <w:lang w:val="en-US"/>
              </w:rPr>
              <w:t>5</w:t>
            </w:r>
            <w:r w:rsidRPr="00B62562">
              <w:rPr>
                <w:rFonts w:asciiTheme="majorHAnsi" w:hAnsiTheme="majorHAnsi"/>
                <w:sz w:val="20"/>
                <w:szCs w:val="20"/>
                <w:vertAlign w:val="superscript"/>
                <w:lang w:val="en-US"/>
              </w:rPr>
              <w:t>b</w:t>
            </w:r>
          </w:p>
        </w:tc>
        <w:tc>
          <w:tcPr>
            <w:tcW w:w="1261"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w:t>
            </w:r>
          </w:p>
        </w:tc>
      </w:tr>
      <w:tr w:rsidR="00F2613C" w:rsidRPr="00DE2282" w:rsidTr="00F2613C">
        <w:trPr>
          <w:trHeight w:val="240"/>
        </w:trPr>
        <w:tc>
          <w:tcPr>
            <w:tcW w:w="1530"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32</w:t>
            </w:r>
          </w:p>
        </w:tc>
        <w:tc>
          <w:tcPr>
            <w:tcW w:w="1261" w:type="dxa"/>
            <w:tcBorders>
              <w:top w:val="nil"/>
              <w:left w:val="nil"/>
              <w:bottom w:val="nil"/>
              <w:right w:val="nil"/>
            </w:tcBorders>
          </w:tcPr>
          <w:p w:rsidR="00F2613C" w:rsidRPr="00DE2282" w:rsidRDefault="00B62562" w:rsidP="007B515C">
            <w:pPr>
              <w:spacing w:line="360" w:lineRule="auto"/>
              <w:jc w:val="center"/>
              <w:rPr>
                <w:rFonts w:asciiTheme="majorHAnsi" w:hAnsiTheme="majorHAnsi"/>
                <w:sz w:val="20"/>
                <w:szCs w:val="20"/>
                <w:lang w:val="en-US"/>
              </w:rPr>
            </w:pPr>
            <w:r>
              <w:rPr>
                <w:rFonts w:asciiTheme="majorHAnsi" w:hAnsiTheme="majorHAnsi"/>
                <w:sz w:val="20"/>
                <w:szCs w:val="20"/>
                <w:lang w:val="en-US"/>
              </w:rPr>
              <w:t>40</w:t>
            </w:r>
            <w:r w:rsidRPr="00B62562">
              <w:rPr>
                <w:rFonts w:asciiTheme="majorHAnsi" w:hAnsiTheme="majorHAnsi"/>
                <w:sz w:val="20"/>
                <w:szCs w:val="20"/>
                <w:vertAlign w:val="superscript"/>
                <w:lang w:val="en-US"/>
              </w:rPr>
              <w:t xml:space="preserve"> b</w:t>
            </w:r>
          </w:p>
        </w:tc>
        <w:tc>
          <w:tcPr>
            <w:tcW w:w="1261"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2</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r>
      <w:tr w:rsidR="00F2613C" w:rsidRPr="00DE2282" w:rsidTr="00F2613C">
        <w:trPr>
          <w:trHeight w:val="240"/>
        </w:trPr>
        <w:tc>
          <w:tcPr>
            <w:tcW w:w="1530"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64</w:t>
            </w:r>
          </w:p>
        </w:tc>
        <w:tc>
          <w:tcPr>
            <w:tcW w:w="1261" w:type="dxa"/>
            <w:tcBorders>
              <w:top w:val="nil"/>
              <w:left w:val="nil"/>
              <w:bottom w:val="nil"/>
              <w:right w:val="nil"/>
            </w:tcBorders>
          </w:tcPr>
          <w:p w:rsidR="00F2613C" w:rsidRPr="00DE2282" w:rsidRDefault="00B62562" w:rsidP="007B515C">
            <w:pPr>
              <w:spacing w:line="360" w:lineRule="auto"/>
              <w:jc w:val="center"/>
              <w:rPr>
                <w:rFonts w:asciiTheme="majorHAnsi" w:hAnsiTheme="majorHAnsi"/>
                <w:sz w:val="20"/>
                <w:szCs w:val="20"/>
                <w:lang w:val="en-US"/>
              </w:rPr>
            </w:pPr>
            <w:r>
              <w:rPr>
                <w:rFonts w:asciiTheme="majorHAnsi" w:hAnsiTheme="majorHAnsi"/>
                <w:sz w:val="20"/>
                <w:szCs w:val="20"/>
                <w:lang w:val="en-US"/>
              </w:rPr>
              <w:t>41</w:t>
            </w:r>
            <w:r w:rsidRPr="00B62562">
              <w:rPr>
                <w:rFonts w:asciiTheme="majorHAnsi" w:hAnsiTheme="majorHAnsi"/>
                <w:sz w:val="20"/>
                <w:szCs w:val="20"/>
                <w:vertAlign w:val="superscript"/>
                <w:lang w:val="en-US"/>
              </w:rPr>
              <w:t xml:space="preserve"> b</w:t>
            </w:r>
          </w:p>
        </w:tc>
        <w:tc>
          <w:tcPr>
            <w:tcW w:w="1261"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3</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r>
      <w:tr w:rsidR="00F2613C" w:rsidRPr="00DE2282" w:rsidTr="00F2613C">
        <w:trPr>
          <w:trHeight w:val="240"/>
        </w:trPr>
        <w:tc>
          <w:tcPr>
            <w:tcW w:w="1530"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128</w:t>
            </w:r>
          </w:p>
        </w:tc>
        <w:tc>
          <w:tcPr>
            <w:tcW w:w="1261" w:type="dxa"/>
            <w:tcBorders>
              <w:top w:val="nil"/>
              <w:left w:val="nil"/>
              <w:bottom w:val="nil"/>
              <w:right w:val="nil"/>
            </w:tcBorders>
          </w:tcPr>
          <w:p w:rsidR="00F2613C" w:rsidRPr="00DE2282" w:rsidRDefault="00B62562" w:rsidP="007B515C">
            <w:pPr>
              <w:spacing w:line="360" w:lineRule="auto"/>
              <w:jc w:val="center"/>
              <w:rPr>
                <w:rFonts w:asciiTheme="majorHAnsi" w:hAnsiTheme="majorHAnsi"/>
                <w:sz w:val="20"/>
                <w:szCs w:val="20"/>
                <w:lang w:val="en-US"/>
              </w:rPr>
            </w:pPr>
            <w:r>
              <w:rPr>
                <w:rFonts w:asciiTheme="majorHAnsi" w:hAnsiTheme="majorHAnsi"/>
                <w:sz w:val="20"/>
                <w:szCs w:val="20"/>
                <w:lang w:val="en-US"/>
              </w:rPr>
              <w:t>5</w:t>
            </w:r>
            <w:r w:rsidRPr="00B62562">
              <w:rPr>
                <w:rFonts w:asciiTheme="majorHAnsi" w:hAnsiTheme="majorHAnsi"/>
                <w:sz w:val="20"/>
                <w:szCs w:val="20"/>
                <w:vertAlign w:val="superscript"/>
                <w:lang w:val="en-US"/>
              </w:rPr>
              <w:t xml:space="preserve"> b</w:t>
            </w:r>
          </w:p>
        </w:tc>
        <w:tc>
          <w:tcPr>
            <w:tcW w:w="1261"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5</w:t>
            </w:r>
          </w:p>
        </w:tc>
        <w:tc>
          <w:tcPr>
            <w:tcW w:w="1427" w:type="dxa"/>
            <w:tcBorders>
              <w:top w:val="nil"/>
              <w:left w:val="nil"/>
              <w:bottom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r>
      <w:tr w:rsidR="00F2613C" w:rsidRPr="00DE2282" w:rsidTr="00F2613C">
        <w:trPr>
          <w:trHeight w:val="260"/>
        </w:trPr>
        <w:tc>
          <w:tcPr>
            <w:tcW w:w="1530"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bCs/>
                <w:sz w:val="20"/>
                <w:szCs w:val="16"/>
                <w:lang w:val="en-US"/>
              </w:rPr>
            </w:pPr>
            <w:r w:rsidRPr="00DE2282">
              <w:rPr>
                <w:rFonts w:asciiTheme="majorHAnsi" w:hAnsiTheme="majorHAnsi"/>
                <w:bCs/>
                <w:sz w:val="20"/>
                <w:szCs w:val="16"/>
                <w:lang w:val="en-US"/>
              </w:rPr>
              <w:t>256</w:t>
            </w:r>
          </w:p>
        </w:tc>
        <w:tc>
          <w:tcPr>
            <w:tcW w:w="1261" w:type="dxa"/>
            <w:tcBorders>
              <w:top w:val="nil"/>
              <w:left w:val="nil"/>
              <w:right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17</w:t>
            </w:r>
          </w:p>
        </w:tc>
        <w:tc>
          <w:tcPr>
            <w:tcW w:w="1427" w:type="dxa"/>
            <w:tcBorders>
              <w:top w:val="nil"/>
              <w:left w:val="nil"/>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r>
      <w:tr w:rsidR="00F2613C" w:rsidRPr="00DE2282" w:rsidTr="00F2613C">
        <w:trPr>
          <w:trHeight w:val="240"/>
        </w:trPr>
        <w:tc>
          <w:tcPr>
            <w:tcW w:w="1530"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&gt;256</w:t>
            </w:r>
          </w:p>
        </w:tc>
        <w:tc>
          <w:tcPr>
            <w:tcW w:w="1261" w:type="dxa"/>
            <w:tcBorders>
              <w:top w:val="nil"/>
              <w:left w:val="nil"/>
              <w:bottom w:val="single" w:sz="4" w:space="0" w:color="auto"/>
              <w:right w:val="nil"/>
            </w:tcBorders>
          </w:tcPr>
          <w:p w:rsidR="00F2613C" w:rsidRPr="00DE2282" w:rsidRDefault="00F2613C" w:rsidP="007B515C">
            <w:pPr>
              <w:spacing w:line="360" w:lineRule="auto"/>
              <w:jc w:val="center"/>
              <w:rPr>
                <w:rFonts w:asciiTheme="majorHAnsi" w:hAnsiTheme="majorHAnsi"/>
                <w:sz w:val="20"/>
                <w:szCs w:val="20"/>
                <w:lang w:val="en-US"/>
              </w:rPr>
            </w:pPr>
          </w:p>
        </w:tc>
        <w:tc>
          <w:tcPr>
            <w:tcW w:w="1261"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r w:rsidRPr="00DE2282">
              <w:rPr>
                <w:rFonts w:asciiTheme="majorHAnsi" w:hAnsiTheme="majorHAnsi"/>
                <w:sz w:val="20"/>
                <w:szCs w:val="20"/>
                <w:lang w:val="en-US"/>
              </w:rPr>
              <w:t>64</w:t>
            </w:r>
          </w:p>
        </w:tc>
        <w:tc>
          <w:tcPr>
            <w:tcW w:w="1427" w:type="dxa"/>
            <w:tcBorders>
              <w:top w:val="nil"/>
              <w:left w:val="nil"/>
              <w:bottom w:val="single" w:sz="4" w:space="0" w:color="auto"/>
              <w:right w:val="nil"/>
            </w:tcBorders>
            <w:shd w:val="clear" w:color="auto" w:fill="auto"/>
            <w:noWrap/>
            <w:vAlign w:val="center"/>
          </w:tcPr>
          <w:p w:rsidR="00F2613C" w:rsidRPr="00DE2282" w:rsidRDefault="00F2613C" w:rsidP="007B515C">
            <w:pPr>
              <w:spacing w:line="360" w:lineRule="auto"/>
              <w:jc w:val="center"/>
              <w:rPr>
                <w:rFonts w:asciiTheme="majorHAnsi" w:hAnsiTheme="majorHAnsi"/>
                <w:sz w:val="20"/>
                <w:szCs w:val="20"/>
                <w:lang w:val="en-US"/>
              </w:rPr>
            </w:pPr>
          </w:p>
        </w:tc>
      </w:tr>
    </w:tbl>
    <w:p w:rsidR="007B515C" w:rsidRPr="00DE2282" w:rsidRDefault="007B515C" w:rsidP="007B515C">
      <w:pPr>
        <w:rPr>
          <w:rFonts w:asciiTheme="majorHAnsi" w:hAnsiTheme="majorHAnsi" w:cstheme="majorHAnsi"/>
          <w:sz w:val="20"/>
          <w:szCs w:val="20"/>
          <w:lang w:val="en-US"/>
        </w:rPr>
      </w:pPr>
    </w:p>
    <w:p w:rsidR="007B515C" w:rsidRDefault="003F1E7A" w:rsidP="007B515C">
      <w:pPr>
        <w:rPr>
          <w:rFonts w:asciiTheme="majorHAnsi" w:hAnsiTheme="majorHAnsi" w:cstheme="majorHAnsi"/>
          <w:sz w:val="20"/>
          <w:szCs w:val="20"/>
          <w:lang w:val="en-US"/>
        </w:rPr>
      </w:pPr>
      <w:r w:rsidRPr="00DE2282">
        <w:rPr>
          <w:rFonts w:asciiTheme="majorHAnsi" w:hAnsiTheme="majorHAnsi" w:cstheme="majorHAnsi"/>
          <w:sz w:val="20"/>
          <w:szCs w:val="20"/>
          <w:vertAlign w:val="superscript"/>
          <w:lang w:val="en-US"/>
        </w:rPr>
        <w:t>a</w:t>
      </w:r>
      <w:r w:rsidRPr="00DE2282">
        <w:rPr>
          <w:rFonts w:asciiTheme="majorHAnsi" w:hAnsiTheme="majorHAnsi" w:cstheme="majorHAnsi"/>
          <w:sz w:val="20"/>
          <w:szCs w:val="20"/>
          <w:lang w:val="en-US"/>
        </w:rPr>
        <w:tab/>
        <w:t>Calculated as MIC for mutant / MIC for parent</w:t>
      </w:r>
    </w:p>
    <w:p w:rsidR="00B62562" w:rsidRDefault="00B62562" w:rsidP="007B515C">
      <w:pPr>
        <w:rPr>
          <w:rFonts w:asciiTheme="majorHAnsi" w:hAnsiTheme="majorHAnsi" w:cstheme="majorHAnsi"/>
          <w:sz w:val="20"/>
          <w:szCs w:val="20"/>
          <w:lang w:val="en-US"/>
        </w:rPr>
      </w:pPr>
    </w:p>
    <w:p w:rsidR="00B62562" w:rsidRPr="00DE2282" w:rsidRDefault="00B62562" w:rsidP="007B515C">
      <w:pPr>
        <w:rPr>
          <w:rFonts w:asciiTheme="majorHAnsi" w:hAnsiTheme="majorHAnsi" w:cstheme="majorHAnsi"/>
          <w:sz w:val="20"/>
          <w:szCs w:val="20"/>
          <w:lang w:val="en-US"/>
        </w:rPr>
      </w:pPr>
      <w:r w:rsidRPr="00B62562">
        <w:rPr>
          <w:rFonts w:asciiTheme="majorHAnsi" w:hAnsiTheme="majorHAnsi"/>
          <w:sz w:val="20"/>
          <w:szCs w:val="20"/>
          <w:vertAlign w:val="superscript"/>
          <w:lang w:val="en-US"/>
        </w:rPr>
        <w:t>b</w:t>
      </w:r>
      <w:r>
        <w:rPr>
          <w:rFonts w:asciiTheme="majorHAnsi" w:hAnsiTheme="majorHAnsi" w:cstheme="majorHAnsi"/>
          <w:sz w:val="20"/>
          <w:szCs w:val="20"/>
          <w:lang w:val="en-US"/>
        </w:rPr>
        <w:tab/>
        <w:t xml:space="preserve">&gt;Indicated ratio: the highest concentration of OP0595 tested was 32 </w:t>
      </w:r>
      <w:r w:rsidRPr="00B62562">
        <w:rPr>
          <w:rFonts w:ascii="Symbol" w:hAnsi="Symbol" w:cstheme="majorHAnsi"/>
          <w:sz w:val="20"/>
          <w:szCs w:val="20"/>
          <w:lang w:val="en-US"/>
        </w:rPr>
        <w:t></w:t>
      </w:r>
      <w:r>
        <w:rPr>
          <w:rFonts w:asciiTheme="majorHAnsi" w:hAnsiTheme="majorHAnsi" w:cstheme="majorHAnsi"/>
          <w:sz w:val="20"/>
          <w:szCs w:val="20"/>
          <w:lang w:val="en-US"/>
        </w:rPr>
        <w:t>g/ml</w:t>
      </w:r>
    </w:p>
    <w:p w:rsidR="007B515C" w:rsidRPr="00DE2282" w:rsidRDefault="003F1E7A" w:rsidP="007B515C">
      <w:pPr>
        <w:rPr>
          <w:rFonts w:asciiTheme="majorHAnsi" w:hAnsiTheme="majorHAnsi" w:cstheme="majorHAnsi"/>
          <w:sz w:val="20"/>
          <w:szCs w:val="20"/>
          <w:lang w:val="en-US"/>
        </w:rPr>
      </w:pPr>
      <w:r w:rsidRPr="00DE2282">
        <w:rPr>
          <w:rFonts w:asciiTheme="majorHAnsi" w:hAnsiTheme="majorHAnsi" w:cstheme="majorHAnsi"/>
          <w:sz w:val="20"/>
          <w:szCs w:val="20"/>
          <w:lang w:val="en-US"/>
        </w:rPr>
        <w:br w:type="page"/>
      </w:r>
      <w:r w:rsidRPr="00DE2282">
        <w:rPr>
          <w:rFonts w:asciiTheme="majorHAnsi" w:hAnsiTheme="majorHAnsi" w:cstheme="majorHAnsi"/>
          <w:b/>
          <w:sz w:val="20"/>
          <w:szCs w:val="20"/>
          <w:lang w:val="en-US"/>
        </w:rPr>
        <w:t>Table 3.</w:t>
      </w:r>
      <w:r w:rsidRPr="00DE2282">
        <w:rPr>
          <w:rFonts w:asciiTheme="majorHAnsi" w:hAnsiTheme="majorHAnsi" w:cstheme="majorHAnsi"/>
          <w:sz w:val="20"/>
          <w:szCs w:val="20"/>
          <w:lang w:val="en-US"/>
        </w:rPr>
        <w:t xml:space="preserve">  MIC distributions of diazabicyclooctane combinations for </w:t>
      </w:r>
      <w:r w:rsidR="00F67E50">
        <w:rPr>
          <w:rFonts w:asciiTheme="majorHAnsi" w:hAnsiTheme="majorHAnsi" w:cstheme="majorHAnsi"/>
          <w:sz w:val="20"/>
          <w:szCs w:val="20"/>
          <w:lang w:val="en-US"/>
        </w:rPr>
        <w:t xml:space="preserve">93 </w:t>
      </w:r>
      <w:r w:rsidRPr="00DE2282">
        <w:rPr>
          <w:rFonts w:asciiTheme="majorHAnsi" w:hAnsiTheme="majorHAnsi" w:cstheme="majorHAnsi"/>
          <w:sz w:val="20"/>
          <w:szCs w:val="20"/>
          <w:lang w:val="en-US"/>
        </w:rPr>
        <w:t xml:space="preserve">OP0595-selected mutants of </w:t>
      </w:r>
      <w:r w:rsidR="00F67E50">
        <w:rPr>
          <w:rFonts w:asciiTheme="majorHAnsi" w:hAnsiTheme="majorHAnsi" w:cstheme="majorHAnsi"/>
          <w:sz w:val="20"/>
          <w:szCs w:val="20"/>
          <w:lang w:val="en-US"/>
        </w:rPr>
        <w:t xml:space="preserve">19 </w:t>
      </w:r>
      <w:r w:rsidRPr="00DE2282">
        <w:rPr>
          <w:rFonts w:asciiTheme="majorHAnsi" w:hAnsiTheme="majorHAnsi" w:cstheme="majorHAnsi"/>
          <w:sz w:val="20"/>
          <w:szCs w:val="20"/>
          <w:lang w:val="en-US"/>
        </w:rPr>
        <w:t xml:space="preserve">control strains </w:t>
      </w:r>
    </w:p>
    <w:p w:rsidR="007B515C" w:rsidRPr="00DE2282" w:rsidRDefault="007B515C" w:rsidP="007B515C">
      <w:pPr>
        <w:rPr>
          <w:rFonts w:asciiTheme="majorHAnsi" w:hAnsiTheme="majorHAnsi" w:cstheme="majorHAnsi"/>
          <w:b/>
          <w:sz w:val="20"/>
          <w:szCs w:val="2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656"/>
        <w:gridCol w:w="739"/>
        <w:gridCol w:w="739"/>
        <w:gridCol w:w="738"/>
        <w:gridCol w:w="739"/>
        <w:gridCol w:w="739"/>
        <w:gridCol w:w="739"/>
        <w:gridCol w:w="738"/>
        <w:gridCol w:w="739"/>
        <w:gridCol w:w="739"/>
        <w:gridCol w:w="738"/>
        <w:gridCol w:w="739"/>
        <w:gridCol w:w="739"/>
        <w:gridCol w:w="739"/>
        <w:gridCol w:w="738"/>
        <w:gridCol w:w="739"/>
        <w:gridCol w:w="739"/>
        <w:gridCol w:w="739"/>
      </w:tblGrid>
      <w:tr w:rsidR="007B515C" w:rsidRPr="00DE2282">
        <w:tc>
          <w:tcPr>
            <w:tcW w:w="95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MIC </w:t>
            </w:r>
            <w:r w:rsidRPr="00DE2282">
              <w:rPr>
                <w:rFonts w:ascii="Symbol" w:hAnsi="Symbol" w:cs="Arial"/>
                <w:sz w:val="20"/>
                <w:szCs w:val="20"/>
                <w:lang w:val="en-US"/>
              </w:rPr>
              <w:t></w:t>
            </w:r>
            <w:r w:rsidRPr="00DE2282">
              <w:rPr>
                <w:rFonts w:ascii="Arial" w:hAnsi="Arial" w:cs="Arial"/>
                <w:sz w:val="20"/>
                <w:szCs w:val="20"/>
                <w:lang w:val="en-US"/>
              </w:rPr>
              <w:t>g/ml</w:t>
            </w:r>
          </w:p>
        </w:tc>
        <w:tc>
          <w:tcPr>
            <w:tcW w:w="2872" w:type="dxa"/>
            <w:gridSpan w:val="4"/>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Piperacillin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Cefepime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Aztreonam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Arial" w:hAnsi="Arial" w:cs="Arial"/>
                <w:sz w:val="20"/>
                <w:szCs w:val="20"/>
                <w:lang w:val="en-US"/>
              </w:rPr>
              <w:t xml:space="preserve">Meropenem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1478" w:type="dxa"/>
            <w:gridSpan w:val="2"/>
            <w:tcBorders>
              <w:top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Ceftazidime</w:t>
            </w:r>
          </w:p>
        </w:tc>
      </w:tr>
      <w:tr w:rsidR="007B515C" w:rsidRPr="00DE2282">
        <w:tc>
          <w:tcPr>
            <w:tcW w:w="95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656"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Alone</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+AVI</w:t>
            </w:r>
          </w:p>
        </w:tc>
      </w:tr>
      <w:tr w:rsidR="007B515C" w:rsidRPr="00DE2282">
        <w:tc>
          <w:tcPr>
            <w:tcW w:w="95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u w:val="single"/>
                <w:lang w:val="en-US"/>
              </w:rPr>
              <w:t>&lt;</w:t>
            </w:r>
            <w:r w:rsidRPr="00DE2282">
              <w:rPr>
                <w:rFonts w:ascii="Arial" w:hAnsi="Arial" w:cs="Arial"/>
                <w:sz w:val="20"/>
                <w:szCs w:val="20"/>
                <w:lang w:val="en-US"/>
              </w:rPr>
              <w:t>0.016</w:t>
            </w:r>
          </w:p>
        </w:tc>
        <w:tc>
          <w:tcPr>
            <w:tcW w:w="656"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19</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83</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86</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87</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43</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48</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50</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17</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48</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56</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55</w:t>
            </w:r>
          </w:p>
        </w:tc>
        <w:tc>
          <w:tcPr>
            <w:tcW w:w="739" w:type="dxa"/>
            <w:tcBorders>
              <w:top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top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3</w:t>
            </w: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0.03</w:t>
            </w:r>
          </w:p>
        </w:tc>
        <w:tc>
          <w:tcPr>
            <w:tcW w:w="656"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39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22</w:t>
            </w:r>
          </w:p>
        </w:tc>
        <w:tc>
          <w:tcPr>
            <w:tcW w:w="739" w:type="dxa"/>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59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27</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1</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5</w:t>
            </w: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0.06</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18</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20</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19</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8</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26</w:t>
            </w: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0.12</w:t>
            </w:r>
          </w:p>
        </w:tc>
        <w:tc>
          <w:tcPr>
            <w:tcW w:w="656"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23</w:t>
            </w:r>
          </w:p>
        </w:tc>
        <w:tc>
          <w:tcPr>
            <w:tcW w:w="738" w:type="dxa"/>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29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14</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36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22</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32</w:t>
            </w: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0.25</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26</w:t>
            </w:r>
          </w:p>
        </w:tc>
        <w:tc>
          <w:tcPr>
            <w:tcW w:w="739" w:type="dxa"/>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29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28</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22</w:t>
            </w: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0.5</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23</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4</w:t>
            </w: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9</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1</w:t>
            </w: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656" w:type="dxa"/>
            <w:vAlign w:val="center"/>
          </w:tcPr>
          <w:p w:rsidR="007B515C" w:rsidRPr="00DE2282" w:rsidRDefault="003F1E7A" w:rsidP="007B515C">
            <w:pPr>
              <w:spacing w:line="360" w:lineRule="auto"/>
              <w:jc w:val="center"/>
              <w:rPr>
                <w:rFonts w:ascii="Arial" w:hAnsi="Arial" w:cs="Arial"/>
                <w:b/>
                <w:sz w:val="20"/>
                <w:szCs w:val="20"/>
                <w:lang w:val="en-US"/>
              </w:rPr>
            </w:pPr>
            <w:r w:rsidRPr="00DE2282">
              <w:rPr>
                <w:rFonts w:ascii="Arial" w:hAnsi="Arial" w:cs="Arial"/>
                <w:b/>
                <w:sz w:val="20"/>
                <w:szCs w:val="20"/>
                <w:lang w:val="en-US"/>
              </w:rPr>
              <w:t>26</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19</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1</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18</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1</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16</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95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32</w:t>
            </w:r>
          </w:p>
        </w:tc>
        <w:tc>
          <w:tcPr>
            <w:tcW w:w="65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95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64</w:t>
            </w:r>
          </w:p>
        </w:tc>
        <w:tc>
          <w:tcPr>
            <w:tcW w:w="656"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95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GM</w:t>
            </w:r>
          </w:p>
        </w:tc>
        <w:tc>
          <w:tcPr>
            <w:tcW w:w="656"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2.77</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0.146</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0.127</w:t>
            </w:r>
          </w:p>
        </w:tc>
        <w:tc>
          <w:tcPr>
            <w:tcW w:w="738"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0.124</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0.038</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39" w:type="dxa"/>
            <w:tcBorders>
              <w:top w:val="single" w:sz="4" w:space="0" w:color="auto"/>
              <w:bottom w:val="single" w:sz="4" w:space="0" w:color="auto"/>
            </w:tcBorders>
          </w:tcPr>
          <w:p w:rsidR="007B515C" w:rsidRPr="00DE2282" w:rsidRDefault="003F1E7A" w:rsidP="007B515C">
            <w:pPr>
              <w:spacing w:line="360" w:lineRule="auto"/>
              <w:jc w:val="center"/>
              <w:rPr>
                <w:rFonts w:asciiTheme="majorHAnsi" w:hAnsiTheme="majorHAnsi" w:cstheme="majorHAnsi"/>
                <w:spacing w:val="-20"/>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38" w:type="dxa"/>
            <w:tcBorders>
              <w:top w:val="single" w:sz="4" w:space="0" w:color="auto"/>
              <w:bottom w:val="single" w:sz="4" w:space="0" w:color="auto"/>
            </w:tcBorders>
          </w:tcPr>
          <w:p w:rsidR="007B515C" w:rsidRPr="00DE2282" w:rsidRDefault="003F1E7A" w:rsidP="007B515C">
            <w:pPr>
              <w:spacing w:line="360" w:lineRule="auto"/>
              <w:jc w:val="center"/>
              <w:rPr>
                <w:rFonts w:asciiTheme="majorHAnsi" w:hAnsiTheme="majorHAnsi" w:cstheme="majorHAnsi"/>
                <w:spacing w:val="-20"/>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0.078</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0.028</w:t>
            </w:r>
          </w:p>
        </w:tc>
        <w:tc>
          <w:tcPr>
            <w:tcW w:w="738"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0.025</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0.024</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0.030</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0.022</w:t>
            </w:r>
          </w:p>
        </w:tc>
        <w:tc>
          <w:tcPr>
            <w:tcW w:w="738"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0.021</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0.021</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0.255</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0.112</w:t>
            </w:r>
          </w:p>
        </w:tc>
      </w:tr>
    </w:tbl>
    <w:p w:rsidR="007B515C" w:rsidRPr="00DE2282" w:rsidRDefault="007B515C" w:rsidP="007B515C">
      <w:pPr>
        <w:spacing w:line="480" w:lineRule="auto"/>
        <w:rPr>
          <w:rFonts w:asciiTheme="majorHAnsi" w:hAnsiTheme="majorHAnsi" w:cstheme="majorHAnsi"/>
          <w:sz w:val="20"/>
          <w:szCs w:val="20"/>
          <w:lang w:val="en-US"/>
        </w:rPr>
      </w:pPr>
    </w:p>
    <w:p w:rsidR="007B515C" w:rsidRPr="00DE2282" w:rsidRDefault="003F1E7A" w:rsidP="007B515C">
      <w:pPr>
        <w:rPr>
          <w:rFonts w:asciiTheme="majorHAnsi" w:hAnsiTheme="majorHAnsi"/>
          <w:sz w:val="20"/>
          <w:szCs w:val="16"/>
          <w:lang w:val="en-US"/>
        </w:rPr>
      </w:pPr>
      <w:r w:rsidRPr="00DE2282">
        <w:rPr>
          <w:rFonts w:asciiTheme="majorHAnsi" w:hAnsiTheme="majorHAnsi"/>
          <w:sz w:val="20"/>
          <w:szCs w:val="16"/>
          <w:lang w:val="en-US"/>
        </w:rPr>
        <w:t xml:space="preserve">MICs &gt;256 </w:t>
      </w:r>
      <w:r w:rsidRPr="00DE2282">
        <w:rPr>
          <w:rFonts w:ascii="Symbol" w:hAnsi="Symbol"/>
          <w:sz w:val="20"/>
          <w:szCs w:val="16"/>
          <w:lang w:val="en-US"/>
        </w:rPr>
        <w:t></w:t>
      </w:r>
      <w:r w:rsidRPr="00DE2282">
        <w:rPr>
          <w:rFonts w:asciiTheme="majorHAnsi" w:hAnsiTheme="majorHAnsi"/>
          <w:sz w:val="20"/>
          <w:szCs w:val="16"/>
          <w:lang w:val="en-US"/>
        </w:rPr>
        <w:t xml:space="preserve">g/ml were counted as 512 </w:t>
      </w:r>
      <w:r w:rsidRPr="00DE2282">
        <w:rPr>
          <w:rFonts w:ascii="Symbol" w:hAnsi="Symbol"/>
          <w:sz w:val="20"/>
          <w:szCs w:val="16"/>
          <w:lang w:val="en-US"/>
        </w:rPr>
        <w:t></w:t>
      </w:r>
      <w:r w:rsidRPr="00DE2282">
        <w:rPr>
          <w:rFonts w:asciiTheme="majorHAnsi" w:hAnsiTheme="majorHAnsi"/>
          <w:sz w:val="20"/>
          <w:szCs w:val="16"/>
          <w:lang w:val="en-US"/>
        </w:rPr>
        <w:t xml:space="preserve">g/ml when calculating geometric means, and MICs of </w:t>
      </w:r>
      <w:r w:rsidRPr="00DE2282">
        <w:rPr>
          <w:rFonts w:asciiTheme="majorHAnsi" w:hAnsiTheme="majorHAnsi"/>
          <w:sz w:val="20"/>
          <w:szCs w:val="16"/>
          <w:u w:val="single"/>
          <w:lang w:val="en-US"/>
        </w:rPr>
        <w:t>&lt;</w:t>
      </w:r>
      <w:r w:rsidRPr="00DE2282">
        <w:rPr>
          <w:rFonts w:asciiTheme="majorHAnsi" w:hAnsiTheme="majorHAnsi"/>
          <w:sz w:val="20"/>
          <w:szCs w:val="16"/>
          <w:lang w:val="en-US"/>
        </w:rPr>
        <w:t xml:space="preserve">0.016 as 0.014 </w:t>
      </w:r>
      <w:r w:rsidRPr="00DE2282">
        <w:rPr>
          <w:rFonts w:ascii="Symbol" w:hAnsi="Symbol"/>
          <w:sz w:val="20"/>
          <w:szCs w:val="16"/>
          <w:lang w:val="en-US"/>
        </w:rPr>
        <w:t></w:t>
      </w:r>
      <w:r w:rsidRPr="00DE2282">
        <w:rPr>
          <w:rFonts w:asciiTheme="majorHAnsi" w:hAnsiTheme="majorHAnsi"/>
          <w:sz w:val="20"/>
          <w:szCs w:val="16"/>
          <w:lang w:val="en-US"/>
        </w:rPr>
        <w:t>g/ml</w:t>
      </w:r>
    </w:p>
    <w:p w:rsidR="007B515C" w:rsidRPr="00DE2282" w:rsidRDefault="007B515C" w:rsidP="007B515C">
      <w:pPr>
        <w:rPr>
          <w:rFonts w:asciiTheme="majorHAnsi" w:hAnsiTheme="majorHAnsi"/>
          <w:sz w:val="20"/>
          <w:szCs w:val="16"/>
          <w:lang w:val="en-US"/>
        </w:rPr>
      </w:pPr>
    </w:p>
    <w:p w:rsidR="007B515C" w:rsidRPr="00DE2282" w:rsidRDefault="003F1E7A" w:rsidP="007B515C">
      <w:pPr>
        <w:spacing w:line="480" w:lineRule="auto"/>
        <w:rPr>
          <w:rFonts w:asciiTheme="majorHAnsi" w:hAnsiTheme="majorHAnsi"/>
          <w:sz w:val="20"/>
          <w:szCs w:val="16"/>
          <w:lang w:val="en-US"/>
        </w:rPr>
      </w:pPr>
      <w:r w:rsidRPr="00DE2282">
        <w:rPr>
          <w:rFonts w:asciiTheme="majorHAnsi" w:hAnsiTheme="majorHAnsi"/>
          <w:sz w:val="20"/>
          <w:szCs w:val="16"/>
          <w:lang w:val="en-US"/>
        </w:rPr>
        <w:t xml:space="preserve">GM, geometric mean; AVI, avibactam, 4 </w:t>
      </w:r>
      <w:r w:rsidRPr="00DE2282">
        <w:rPr>
          <w:rFonts w:ascii="Symbol" w:hAnsi="Symbol"/>
          <w:sz w:val="20"/>
          <w:szCs w:val="16"/>
          <w:lang w:val="en-US"/>
        </w:rPr>
        <w:t></w:t>
      </w:r>
      <w:r w:rsidRPr="00DE2282">
        <w:rPr>
          <w:rFonts w:asciiTheme="majorHAnsi" w:hAnsiTheme="majorHAnsi"/>
          <w:sz w:val="20"/>
          <w:szCs w:val="16"/>
          <w:lang w:val="en-US"/>
        </w:rPr>
        <w:t>g/ml</w:t>
      </w:r>
    </w:p>
    <w:p w:rsidR="007B515C" w:rsidRPr="00DE2282" w:rsidRDefault="003F1E7A" w:rsidP="007B515C">
      <w:pPr>
        <w:spacing w:line="480" w:lineRule="auto"/>
        <w:rPr>
          <w:rFonts w:asciiTheme="majorHAnsi" w:hAnsiTheme="majorHAnsi"/>
          <w:sz w:val="20"/>
          <w:szCs w:val="16"/>
          <w:lang w:val="en-US"/>
        </w:rPr>
      </w:pPr>
      <w:r w:rsidRPr="00DE2282">
        <w:rPr>
          <w:rFonts w:asciiTheme="majorHAnsi" w:hAnsiTheme="majorHAnsi"/>
          <w:sz w:val="20"/>
          <w:szCs w:val="16"/>
          <w:lang w:val="en-US"/>
        </w:rPr>
        <w:t xml:space="preserve">Modal MICs are indicated in bold font </w:t>
      </w:r>
    </w:p>
    <w:p w:rsidR="007B515C" w:rsidRPr="00DE2282" w:rsidRDefault="003F1E7A" w:rsidP="007B515C">
      <w:pPr>
        <w:spacing w:line="480" w:lineRule="auto"/>
        <w:rPr>
          <w:rFonts w:asciiTheme="majorHAnsi" w:hAnsiTheme="majorHAnsi"/>
          <w:b/>
          <w:sz w:val="20"/>
          <w:szCs w:val="16"/>
          <w:lang w:val="en-US"/>
        </w:rPr>
      </w:pPr>
      <w:r w:rsidRPr="00DE2282">
        <w:rPr>
          <w:rFonts w:asciiTheme="majorHAnsi" w:hAnsiTheme="majorHAnsi" w:cstheme="majorHAnsi"/>
          <w:sz w:val="20"/>
          <w:szCs w:val="20"/>
          <w:lang w:val="en-US"/>
        </w:rPr>
        <w:br w:type="page"/>
      </w:r>
      <w:r w:rsidRPr="00DE2282">
        <w:rPr>
          <w:rFonts w:asciiTheme="majorHAnsi" w:hAnsiTheme="majorHAnsi"/>
          <w:b/>
          <w:sz w:val="20"/>
          <w:szCs w:val="16"/>
          <w:lang w:val="en-US"/>
        </w:rPr>
        <w:t xml:space="preserve">Table 4.  </w:t>
      </w:r>
      <w:r w:rsidRPr="00DE2282">
        <w:rPr>
          <w:rFonts w:asciiTheme="majorHAnsi" w:hAnsiTheme="majorHAnsi"/>
          <w:sz w:val="20"/>
          <w:szCs w:val="16"/>
          <w:lang w:val="en-US"/>
        </w:rPr>
        <w:t xml:space="preserve">Geometric mean and maximum MICs of diazabicyclooctane combinations for mutants of strains with </w:t>
      </w:r>
      <w:r w:rsidRPr="00DE2282">
        <w:rPr>
          <w:rFonts w:asciiTheme="majorHAnsi" w:hAnsiTheme="majorHAnsi"/>
          <w:sz w:val="20"/>
          <w:szCs w:val="16"/>
          <w:lang w:val="en-US" w:eastAsia="ja-JP"/>
        </w:rPr>
        <w:t>c</w:t>
      </w:r>
      <w:r w:rsidRPr="00DE2282">
        <w:rPr>
          <w:rFonts w:asciiTheme="majorHAnsi" w:hAnsiTheme="majorHAnsi"/>
          <w:sz w:val="20"/>
          <w:szCs w:val="16"/>
          <w:lang w:val="en-US"/>
        </w:rPr>
        <w:t xml:space="preserve">lass A and C </w:t>
      </w:r>
      <w:r w:rsidRPr="00DE2282">
        <w:rPr>
          <w:rFonts w:ascii="Symbol" w:hAnsi="Symbol"/>
          <w:sz w:val="20"/>
          <w:szCs w:val="16"/>
          <w:lang w:val="en-US"/>
        </w:rPr>
        <w:t></w:t>
      </w:r>
      <w:r w:rsidRPr="00DE2282">
        <w:rPr>
          <w:rFonts w:asciiTheme="majorHAnsi" w:hAnsiTheme="majorHAnsi"/>
          <w:sz w:val="20"/>
          <w:szCs w:val="16"/>
          <w:lang w:val="en-US"/>
        </w:rPr>
        <w:t>-lactamases</w:t>
      </w:r>
    </w:p>
    <w:tbl>
      <w:tblPr>
        <w:tblW w:w="14686" w:type="dxa"/>
        <w:tblInd w:w="93" w:type="dxa"/>
        <w:tblLayout w:type="fixed"/>
        <w:tblLook w:val="04A0" w:firstRow="1" w:lastRow="0" w:firstColumn="1" w:lastColumn="0" w:noHBand="0" w:noVBand="1"/>
      </w:tblPr>
      <w:tblGrid>
        <w:gridCol w:w="825"/>
        <w:gridCol w:w="727"/>
        <w:gridCol w:w="783"/>
        <w:gridCol w:w="783"/>
        <w:gridCol w:w="783"/>
        <w:gridCol w:w="704"/>
        <w:gridCol w:w="800"/>
        <w:gridCol w:w="719"/>
        <w:gridCol w:w="718"/>
        <w:gridCol w:w="731"/>
        <w:gridCol w:w="786"/>
        <w:gridCol w:w="697"/>
        <w:gridCol w:w="697"/>
        <w:gridCol w:w="757"/>
        <w:gridCol w:w="685"/>
        <w:gridCol w:w="685"/>
        <w:gridCol w:w="685"/>
        <w:gridCol w:w="682"/>
        <w:gridCol w:w="719"/>
        <w:gridCol w:w="720"/>
      </w:tblGrid>
      <w:tr w:rsidR="007B515C" w:rsidRPr="00DE2282">
        <w:trPr>
          <w:trHeight w:val="881"/>
        </w:trPr>
        <w:tc>
          <w:tcPr>
            <w:tcW w:w="825" w:type="dxa"/>
            <w:tcBorders>
              <w:top w:val="single" w:sz="4" w:space="0" w:color="auto"/>
            </w:tcBorders>
            <w:shd w:val="clear" w:color="auto" w:fill="auto"/>
            <w:noWrap/>
            <w:vAlign w:val="center"/>
          </w:tcPr>
          <w:p w:rsidR="007B515C" w:rsidRPr="00DE2282" w:rsidRDefault="007B515C" w:rsidP="007B515C">
            <w:pPr>
              <w:spacing w:line="480" w:lineRule="auto"/>
              <w:jc w:val="center"/>
              <w:rPr>
                <w:rFonts w:asciiTheme="majorHAnsi" w:eastAsia="Times New Roman" w:hAnsiTheme="majorHAnsi" w:cstheme="majorHAnsi"/>
                <w:bCs/>
                <w:sz w:val="20"/>
                <w:szCs w:val="20"/>
                <w:lang w:val="en-US"/>
              </w:rPr>
            </w:pPr>
          </w:p>
        </w:tc>
        <w:tc>
          <w:tcPr>
            <w:tcW w:w="727" w:type="dxa"/>
            <w:tcBorders>
              <w:top w:val="single" w:sz="4" w:space="0" w:color="auto"/>
            </w:tcBorders>
            <w:shd w:val="clear" w:color="auto" w:fill="auto"/>
            <w:noWrap/>
            <w:vAlign w:val="center"/>
          </w:tcPr>
          <w:p w:rsidR="007B515C" w:rsidRPr="00DE2282" w:rsidRDefault="007B515C" w:rsidP="007B515C">
            <w:pPr>
              <w:spacing w:line="480" w:lineRule="auto"/>
              <w:ind w:left="-108" w:right="-132"/>
              <w:jc w:val="center"/>
              <w:rPr>
                <w:rFonts w:asciiTheme="majorHAnsi" w:eastAsia="Times New Roman" w:hAnsiTheme="majorHAnsi" w:cstheme="majorHAnsi"/>
                <w:bCs/>
                <w:sz w:val="20"/>
                <w:szCs w:val="20"/>
                <w:lang w:val="en-US"/>
              </w:rPr>
            </w:pPr>
          </w:p>
        </w:tc>
        <w:tc>
          <w:tcPr>
            <w:tcW w:w="3053" w:type="dxa"/>
            <w:gridSpan w:val="4"/>
            <w:tcBorders>
              <w:top w:val="single" w:sz="4" w:space="0" w:color="auto"/>
            </w:tcBorders>
            <w:shd w:val="clear" w:color="auto" w:fill="auto"/>
            <w:noWrap/>
            <w:vAlign w:val="center"/>
          </w:tcPr>
          <w:p w:rsidR="007B515C" w:rsidRPr="00DE2282" w:rsidRDefault="003F1E7A" w:rsidP="007B515C">
            <w:pPr>
              <w:spacing w:line="480" w:lineRule="auto"/>
              <w:ind w:left="-91" w:right="-7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sz w:val="20"/>
                <w:szCs w:val="20"/>
                <w:lang w:val="en-US"/>
              </w:rPr>
              <w:t>Piperacillin + OP059</w:t>
            </w:r>
            <w:r w:rsidRPr="00DE2282">
              <w:rPr>
                <w:rFonts w:asciiTheme="majorHAnsi" w:eastAsiaTheme="minorEastAsia" w:hAnsiTheme="majorHAnsi" w:cstheme="majorHAnsi"/>
                <w:sz w:val="20"/>
                <w:szCs w:val="20"/>
                <w:lang w:val="en-US" w:eastAsia="ja-JP"/>
              </w:rPr>
              <w:t>5</w:t>
            </w:r>
            <w:r w:rsidRPr="00DE2282">
              <w:rPr>
                <w:rFonts w:asciiTheme="majorHAnsi" w:eastAsia="Times New Roman" w:hAnsiTheme="majorHAnsi" w:cstheme="majorHAnsi"/>
                <w:sz w:val="20"/>
                <w:szCs w:val="20"/>
                <w:lang w:val="en-US"/>
              </w:rPr>
              <w:t xml:space="preserve">, </w:t>
            </w:r>
            <w:r w:rsidRPr="00DE2282">
              <w:rPr>
                <w:rFonts w:ascii="Symbol" w:eastAsia="Times New Roman" w:hAnsi="Symbol" w:cstheme="majorHAnsi"/>
                <w:sz w:val="20"/>
                <w:szCs w:val="20"/>
                <w:lang w:val="en-US"/>
              </w:rPr>
              <w:t></w:t>
            </w:r>
            <w:r w:rsidRPr="00DE2282">
              <w:rPr>
                <w:rFonts w:asciiTheme="majorHAnsi" w:eastAsia="Times New Roman" w:hAnsiTheme="majorHAnsi" w:cstheme="majorHAnsi"/>
                <w:sz w:val="20"/>
                <w:szCs w:val="20"/>
                <w:lang w:val="en-US"/>
              </w:rPr>
              <w:t>g/ml</w:t>
            </w:r>
          </w:p>
        </w:tc>
        <w:tc>
          <w:tcPr>
            <w:tcW w:w="2970" w:type="dxa"/>
            <w:gridSpan w:val="4"/>
            <w:tcBorders>
              <w:top w:val="single" w:sz="4" w:space="0" w:color="auto"/>
            </w:tcBorders>
            <w:shd w:val="clear" w:color="auto" w:fill="auto"/>
            <w:noWrap/>
            <w:vAlign w:val="center"/>
          </w:tcPr>
          <w:p w:rsidR="007B515C" w:rsidRPr="00DE2282" w:rsidRDefault="003F1E7A" w:rsidP="007B515C">
            <w:pPr>
              <w:spacing w:line="480" w:lineRule="auto"/>
              <w:ind w:left="-204" w:right="-12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sz w:val="20"/>
                <w:szCs w:val="20"/>
                <w:lang w:val="en-US"/>
              </w:rPr>
              <w:t>Cefepime + OP059</w:t>
            </w:r>
            <w:r w:rsidRPr="00DE2282">
              <w:rPr>
                <w:rFonts w:asciiTheme="majorHAnsi" w:eastAsiaTheme="minorEastAsia" w:hAnsiTheme="majorHAnsi" w:cstheme="majorHAnsi"/>
                <w:sz w:val="20"/>
                <w:szCs w:val="20"/>
                <w:lang w:val="en-US" w:eastAsia="ja-JP"/>
              </w:rPr>
              <w:t>5</w:t>
            </w:r>
            <w:r w:rsidRPr="00DE2282">
              <w:rPr>
                <w:rFonts w:asciiTheme="majorHAnsi" w:eastAsia="Times New Roman" w:hAnsiTheme="majorHAnsi" w:cstheme="majorHAnsi"/>
                <w:sz w:val="20"/>
                <w:szCs w:val="20"/>
                <w:lang w:val="en-US"/>
              </w:rPr>
              <w:t xml:space="preserve">, </w:t>
            </w:r>
            <w:r w:rsidRPr="00DE2282">
              <w:rPr>
                <w:rFonts w:ascii="Symbol" w:eastAsia="Times New Roman" w:hAnsi="Symbol" w:cstheme="majorHAnsi"/>
                <w:sz w:val="20"/>
                <w:szCs w:val="20"/>
                <w:lang w:val="en-US"/>
              </w:rPr>
              <w:t></w:t>
            </w:r>
            <w:r w:rsidRPr="00DE2282">
              <w:rPr>
                <w:rFonts w:asciiTheme="majorHAnsi" w:eastAsia="Times New Roman" w:hAnsiTheme="majorHAnsi" w:cstheme="majorHAnsi"/>
                <w:sz w:val="20"/>
                <w:szCs w:val="20"/>
                <w:lang w:val="en-US"/>
              </w:rPr>
              <w:t>g/ml</w:t>
            </w:r>
          </w:p>
        </w:tc>
        <w:tc>
          <w:tcPr>
            <w:tcW w:w="2941" w:type="dxa"/>
            <w:gridSpan w:val="4"/>
            <w:tcBorders>
              <w:top w:val="single" w:sz="4" w:space="0" w:color="auto"/>
            </w:tcBorders>
            <w:shd w:val="clear" w:color="auto" w:fill="auto"/>
            <w:noWrap/>
            <w:vAlign w:val="center"/>
          </w:tcPr>
          <w:p w:rsidR="007B515C" w:rsidRPr="00DE2282" w:rsidRDefault="003F1E7A" w:rsidP="007B515C">
            <w:pPr>
              <w:spacing w:line="480" w:lineRule="auto"/>
              <w:ind w:left="-116" w:right="-123"/>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sz w:val="20"/>
                <w:szCs w:val="20"/>
                <w:lang w:val="en-US"/>
              </w:rPr>
              <w:t>Aztreonam + OP059</w:t>
            </w:r>
            <w:r w:rsidRPr="00DE2282">
              <w:rPr>
                <w:rFonts w:asciiTheme="majorHAnsi" w:eastAsiaTheme="minorEastAsia" w:hAnsiTheme="majorHAnsi" w:cstheme="majorHAnsi"/>
                <w:sz w:val="20"/>
                <w:szCs w:val="20"/>
                <w:lang w:val="en-US" w:eastAsia="ja-JP"/>
              </w:rPr>
              <w:t>5</w:t>
            </w:r>
            <w:r w:rsidRPr="00DE2282">
              <w:rPr>
                <w:rFonts w:asciiTheme="majorHAnsi" w:eastAsia="Times New Roman" w:hAnsiTheme="majorHAnsi" w:cstheme="majorHAnsi"/>
                <w:sz w:val="20"/>
                <w:szCs w:val="20"/>
                <w:lang w:val="en-US"/>
              </w:rPr>
              <w:t xml:space="preserve">, </w:t>
            </w:r>
            <w:r w:rsidRPr="00DE2282">
              <w:rPr>
                <w:rFonts w:ascii="Symbol" w:eastAsia="Times New Roman" w:hAnsi="Symbol" w:cstheme="majorHAnsi"/>
                <w:sz w:val="20"/>
                <w:szCs w:val="20"/>
                <w:lang w:val="en-US"/>
              </w:rPr>
              <w:t></w:t>
            </w:r>
            <w:r w:rsidRPr="00DE2282">
              <w:rPr>
                <w:rFonts w:asciiTheme="majorHAnsi" w:eastAsia="Times New Roman" w:hAnsiTheme="majorHAnsi" w:cstheme="majorHAnsi"/>
                <w:sz w:val="20"/>
                <w:szCs w:val="20"/>
                <w:lang w:val="en-US"/>
              </w:rPr>
              <w:t>g/ml</w:t>
            </w:r>
          </w:p>
        </w:tc>
        <w:tc>
          <w:tcPr>
            <w:tcW w:w="2729" w:type="dxa"/>
            <w:gridSpan w:val="4"/>
            <w:tcBorders>
              <w:top w:val="single" w:sz="4" w:space="0" w:color="auto"/>
            </w:tcBorders>
            <w:shd w:val="clear" w:color="auto" w:fill="auto"/>
            <w:noWrap/>
            <w:vAlign w:val="center"/>
          </w:tcPr>
          <w:p w:rsidR="007B515C" w:rsidRPr="00DE2282" w:rsidRDefault="003F1E7A" w:rsidP="007B515C">
            <w:pPr>
              <w:spacing w:line="480" w:lineRule="auto"/>
              <w:ind w:left="-83" w:right="-10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sz w:val="20"/>
                <w:szCs w:val="20"/>
                <w:lang w:val="en-US"/>
              </w:rPr>
              <w:t>Meropenem + OP059</w:t>
            </w:r>
            <w:r w:rsidRPr="00DE2282">
              <w:rPr>
                <w:rFonts w:asciiTheme="majorHAnsi" w:eastAsiaTheme="minorEastAsia" w:hAnsiTheme="majorHAnsi" w:cstheme="majorHAnsi"/>
                <w:sz w:val="20"/>
                <w:szCs w:val="20"/>
                <w:lang w:val="en-US" w:eastAsia="ja-JP"/>
              </w:rPr>
              <w:t>5</w:t>
            </w:r>
            <w:r w:rsidRPr="00DE2282">
              <w:rPr>
                <w:rFonts w:asciiTheme="majorHAnsi" w:eastAsia="Times New Roman" w:hAnsiTheme="majorHAnsi" w:cstheme="majorHAnsi"/>
                <w:sz w:val="20"/>
                <w:szCs w:val="20"/>
                <w:lang w:val="en-US"/>
              </w:rPr>
              <w:t xml:space="preserve">, </w:t>
            </w:r>
            <w:r w:rsidRPr="00DE2282">
              <w:rPr>
                <w:rFonts w:ascii="Symbol" w:eastAsia="Times New Roman" w:hAnsi="Symbol" w:cstheme="majorHAnsi"/>
                <w:sz w:val="20"/>
                <w:szCs w:val="20"/>
                <w:lang w:val="en-US"/>
              </w:rPr>
              <w:t></w:t>
            </w:r>
            <w:r w:rsidRPr="00DE2282">
              <w:rPr>
                <w:rFonts w:asciiTheme="majorHAnsi" w:eastAsia="Times New Roman" w:hAnsiTheme="majorHAnsi" w:cstheme="majorHAnsi"/>
                <w:sz w:val="20"/>
                <w:szCs w:val="20"/>
                <w:lang w:val="en-US"/>
              </w:rPr>
              <w:t>g/ml</w:t>
            </w:r>
          </w:p>
        </w:tc>
        <w:tc>
          <w:tcPr>
            <w:tcW w:w="1441" w:type="dxa"/>
            <w:gridSpan w:val="2"/>
            <w:tcBorders>
              <w:top w:val="single" w:sz="4" w:space="0" w:color="auto"/>
            </w:tcBorders>
          </w:tcPr>
          <w:p w:rsidR="007B515C" w:rsidRPr="00DE2282" w:rsidRDefault="003F1E7A" w:rsidP="007B515C">
            <w:pPr>
              <w:spacing w:line="480" w:lineRule="auto"/>
              <w:ind w:left="-83" w:right="-10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sz w:val="20"/>
                <w:szCs w:val="20"/>
                <w:lang w:val="en-US"/>
              </w:rPr>
              <w:t xml:space="preserve">Ceftazidime + avibactam, </w:t>
            </w:r>
            <w:r w:rsidRPr="00DE2282">
              <w:rPr>
                <w:rFonts w:ascii="Symbol" w:eastAsia="Times New Roman" w:hAnsi="Symbol" w:cstheme="majorHAnsi"/>
                <w:sz w:val="20"/>
                <w:szCs w:val="20"/>
                <w:lang w:val="en-US"/>
              </w:rPr>
              <w:t></w:t>
            </w:r>
            <w:r w:rsidRPr="00DE2282">
              <w:rPr>
                <w:rFonts w:asciiTheme="majorHAnsi" w:eastAsia="Times New Roman" w:hAnsiTheme="majorHAnsi" w:cstheme="majorHAnsi"/>
                <w:sz w:val="20"/>
                <w:szCs w:val="20"/>
                <w:lang w:val="en-US"/>
              </w:rPr>
              <w:t>g/ml</w:t>
            </w:r>
          </w:p>
        </w:tc>
      </w:tr>
      <w:tr w:rsidR="007B515C" w:rsidRPr="00DE2282">
        <w:trPr>
          <w:trHeight w:val="255"/>
        </w:trPr>
        <w:tc>
          <w:tcPr>
            <w:tcW w:w="825" w:type="dxa"/>
            <w:tcBorders>
              <w:bottom w:val="single" w:sz="4" w:space="0" w:color="auto"/>
            </w:tcBorders>
            <w:shd w:val="clear" w:color="auto" w:fill="auto"/>
            <w:noWrap/>
            <w:vAlign w:val="center"/>
          </w:tcPr>
          <w:p w:rsidR="007B515C" w:rsidRPr="00DE2282" w:rsidRDefault="007B515C" w:rsidP="007B515C">
            <w:pPr>
              <w:spacing w:line="360" w:lineRule="auto"/>
              <w:jc w:val="center"/>
              <w:rPr>
                <w:rFonts w:asciiTheme="majorHAnsi" w:eastAsia="Times New Roman" w:hAnsiTheme="majorHAnsi" w:cstheme="majorHAnsi"/>
                <w:bCs/>
                <w:sz w:val="20"/>
                <w:szCs w:val="20"/>
                <w:lang w:val="en-US"/>
              </w:rPr>
            </w:pPr>
          </w:p>
        </w:tc>
        <w:tc>
          <w:tcPr>
            <w:tcW w:w="727" w:type="dxa"/>
            <w:tcBorders>
              <w:bottom w:val="single" w:sz="4" w:space="0" w:color="auto"/>
            </w:tcBorders>
            <w:shd w:val="clear" w:color="auto" w:fill="auto"/>
            <w:noWrap/>
            <w:vAlign w:val="center"/>
          </w:tcPr>
          <w:p w:rsidR="007B515C" w:rsidRPr="00DE2282" w:rsidRDefault="007B515C" w:rsidP="007B515C">
            <w:pPr>
              <w:spacing w:line="360" w:lineRule="auto"/>
              <w:ind w:left="-108" w:right="-132"/>
              <w:jc w:val="center"/>
              <w:rPr>
                <w:rFonts w:asciiTheme="majorHAnsi" w:eastAsia="Times New Roman" w:hAnsiTheme="majorHAnsi" w:cstheme="majorHAnsi"/>
                <w:bCs/>
                <w:sz w:val="20"/>
                <w:szCs w:val="20"/>
                <w:lang w:val="en-US"/>
              </w:rPr>
            </w:pPr>
          </w:p>
        </w:tc>
        <w:tc>
          <w:tcPr>
            <w:tcW w:w="783" w:type="dxa"/>
            <w:tcBorders>
              <w:bottom w:val="single" w:sz="4" w:space="0" w:color="auto"/>
            </w:tcBorders>
            <w:shd w:val="clear" w:color="auto" w:fill="auto"/>
            <w:noWrap/>
            <w:vAlign w:val="center"/>
          </w:tcPr>
          <w:p w:rsidR="007B515C" w:rsidRPr="00DE2282" w:rsidRDefault="003F1E7A" w:rsidP="007B515C">
            <w:pPr>
              <w:spacing w:line="360" w:lineRule="auto"/>
              <w:ind w:left="-139" w:right="-10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w:t>
            </w:r>
          </w:p>
        </w:tc>
        <w:tc>
          <w:tcPr>
            <w:tcW w:w="783" w:type="dxa"/>
            <w:tcBorders>
              <w:bottom w:val="single" w:sz="4" w:space="0" w:color="auto"/>
            </w:tcBorders>
            <w:shd w:val="clear" w:color="auto" w:fill="auto"/>
            <w:noWrap/>
            <w:vAlign w:val="center"/>
          </w:tcPr>
          <w:p w:rsidR="007B515C" w:rsidRPr="00DE2282" w:rsidRDefault="003F1E7A" w:rsidP="007B515C">
            <w:pPr>
              <w:spacing w:line="360" w:lineRule="auto"/>
              <w:ind w:left="-139" w:right="-117"/>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2</w:t>
            </w:r>
          </w:p>
        </w:tc>
        <w:tc>
          <w:tcPr>
            <w:tcW w:w="783" w:type="dxa"/>
            <w:tcBorders>
              <w:bottom w:val="single" w:sz="4" w:space="0" w:color="auto"/>
            </w:tcBorders>
            <w:shd w:val="clear" w:color="auto" w:fill="auto"/>
            <w:noWrap/>
            <w:vAlign w:val="center"/>
          </w:tcPr>
          <w:p w:rsidR="007B515C" w:rsidRPr="00DE2282" w:rsidRDefault="003F1E7A" w:rsidP="007B515C">
            <w:pPr>
              <w:spacing w:line="360" w:lineRule="auto"/>
              <w:ind w:left="-139" w:right="-111"/>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4</w:t>
            </w:r>
          </w:p>
        </w:tc>
        <w:tc>
          <w:tcPr>
            <w:tcW w:w="704" w:type="dxa"/>
            <w:tcBorders>
              <w:bottom w:val="single" w:sz="4" w:space="0" w:color="auto"/>
            </w:tcBorders>
            <w:shd w:val="clear" w:color="auto" w:fill="auto"/>
            <w:noWrap/>
            <w:vAlign w:val="center"/>
          </w:tcPr>
          <w:p w:rsidR="007B515C" w:rsidRPr="00DE2282" w:rsidRDefault="003F1E7A" w:rsidP="007B515C">
            <w:pPr>
              <w:spacing w:line="360" w:lineRule="auto"/>
              <w:ind w:left="-139" w:right="-7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8</w:t>
            </w:r>
          </w:p>
        </w:tc>
        <w:tc>
          <w:tcPr>
            <w:tcW w:w="800" w:type="dxa"/>
            <w:tcBorders>
              <w:bottom w:val="single" w:sz="4" w:space="0" w:color="auto"/>
            </w:tcBorders>
            <w:shd w:val="clear" w:color="auto" w:fill="auto"/>
            <w:noWrap/>
            <w:vAlign w:val="center"/>
          </w:tcPr>
          <w:p w:rsidR="007B515C" w:rsidRPr="00DE2282" w:rsidRDefault="003F1E7A" w:rsidP="007B515C">
            <w:pPr>
              <w:spacing w:line="360" w:lineRule="auto"/>
              <w:ind w:left="-139" w:right="-10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w:t>
            </w:r>
          </w:p>
        </w:tc>
        <w:tc>
          <w:tcPr>
            <w:tcW w:w="719" w:type="dxa"/>
            <w:tcBorders>
              <w:bottom w:val="single" w:sz="4" w:space="0" w:color="auto"/>
            </w:tcBorders>
            <w:shd w:val="clear" w:color="auto" w:fill="auto"/>
            <w:noWrap/>
            <w:vAlign w:val="center"/>
          </w:tcPr>
          <w:p w:rsidR="007B515C" w:rsidRPr="00DE2282" w:rsidRDefault="003F1E7A" w:rsidP="007B515C">
            <w:pPr>
              <w:spacing w:line="360" w:lineRule="auto"/>
              <w:ind w:left="-139" w:right="-65"/>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2</w:t>
            </w:r>
          </w:p>
        </w:tc>
        <w:tc>
          <w:tcPr>
            <w:tcW w:w="719" w:type="dxa"/>
            <w:tcBorders>
              <w:bottom w:val="single" w:sz="4" w:space="0" w:color="auto"/>
            </w:tcBorders>
            <w:shd w:val="clear" w:color="auto" w:fill="auto"/>
            <w:noWrap/>
            <w:vAlign w:val="center"/>
          </w:tcPr>
          <w:p w:rsidR="007B515C" w:rsidRPr="00DE2282" w:rsidRDefault="003F1E7A" w:rsidP="007B515C">
            <w:pPr>
              <w:spacing w:line="360" w:lineRule="auto"/>
              <w:ind w:left="-139" w:right="-101"/>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4</w:t>
            </w:r>
          </w:p>
        </w:tc>
        <w:tc>
          <w:tcPr>
            <w:tcW w:w="732" w:type="dxa"/>
            <w:tcBorders>
              <w:bottom w:val="single" w:sz="4" w:space="0" w:color="auto"/>
            </w:tcBorders>
            <w:shd w:val="clear" w:color="auto" w:fill="auto"/>
            <w:noWrap/>
            <w:vAlign w:val="center"/>
          </w:tcPr>
          <w:p w:rsidR="007B515C" w:rsidRPr="00DE2282" w:rsidRDefault="003F1E7A" w:rsidP="007B515C">
            <w:pPr>
              <w:spacing w:line="360" w:lineRule="auto"/>
              <w:ind w:left="-139" w:right="-12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8</w:t>
            </w:r>
          </w:p>
        </w:tc>
        <w:tc>
          <w:tcPr>
            <w:tcW w:w="787" w:type="dxa"/>
            <w:tcBorders>
              <w:bottom w:val="single" w:sz="4" w:space="0" w:color="auto"/>
            </w:tcBorders>
            <w:shd w:val="clear" w:color="auto" w:fill="auto"/>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w:t>
            </w:r>
          </w:p>
        </w:tc>
        <w:tc>
          <w:tcPr>
            <w:tcW w:w="698" w:type="dxa"/>
            <w:tcBorders>
              <w:bottom w:val="single" w:sz="4" w:space="0" w:color="auto"/>
            </w:tcBorders>
            <w:shd w:val="clear" w:color="auto" w:fill="auto"/>
            <w:noWrap/>
            <w:vAlign w:val="center"/>
          </w:tcPr>
          <w:p w:rsidR="007B515C" w:rsidRPr="00DE2282" w:rsidRDefault="003F1E7A" w:rsidP="007B515C">
            <w:pPr>
              <w:spacing w:line="360" w:lineRule="auto"/>
              <w:ind w:left="-139" w:right="-126"/>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698" w:type="dxa"/>
            <w:tcBorders>
              <w:bottom w:val="single" w:sz="4" w:space="0" w:color="auto"/>
            </w:tcBorders>
            <w:shd w:val="clear" w:color="auto" w:fill="auto"/>
            <w:noWrap/>
            <w:vAlign w:val="center"/>
          </w:tcPr>
          <w:p w:rsidR="007B515C" w:rsidRPr="00DE2282" w:rsidRDefault="003F1E7A" w:rsidP="007B515C">
            <w:pPr>
              <w:spacing w:line="360" w:lineRule="auto"/>
              <w:ind w:left="-139" w:right="-106"/>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2</w:t>
            </w:r>
          </w:p>
        </w:tc>
        <w:tc>
          <w:tcPr>
            <w:tcW w:w="758" w:type="dxa"/>
            <w:tcBorders>
              <w:bottom w:val="single" w:sz="4" w:space="0" w:color="auto"/>
            </w:tcBorders>
            <w:shd w:val="clear" w:color="auto" w:fill="auto"/>
            <w:noWrap/>
            <w:vAlign w:val="center"/>
          </w:tcPr>
          <w:p w:rsidR="007B515C" w:rsidRPr="00DE2282" w:rsidRDefault="003F1E7A" w:rsidP="007B515C">
            <w:pPr>
              <w:spacing w:line="360" w:lineRule="auto"/>
              <w:ind w:left="-139" w:right="-123"/>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4</w:t>
            </w:r>
          </w:p>
        </w:tc>
        <w:tc>
          <w:tcPr>
            <w:tcW w:w="682" w:type="dxa"/>
            <w:tcBorders>
              <w:bottom w:val="single" w:sz="4" w:space="0" w:color="auto"/>
            </w:tcBorders>
            <w:shd w:val="clear" w:color="auto" w:fill="auto"/>
            <w:noWrap/>
            <w:vAlign w:val="center"/>
          </w:tcPr>
          <w:p w:rsidR="007B515C" w:rsidRPr="00DE2282" w:rsidRDefault="003F1E7A" w:rsidP="007B515C">
            <w:pPr>
              <w:spacing w:line="360" w:lineRule="auto"/>
              <w:ind w:left="-139" w:right="-93"/>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w:t>
            </w:r>
          </w:p>
        </w:tc>
        <w:tc>
          <w:tcPr>
            <w:tcW w:w="682" w:type="dxa"/>
            <w:tcBorders>
              <w:bottom w:val="single" w:sz="4" w:space="0" w:color="auto"/>
            </w:tcBorders>
            <w:shd w:val="clear" w:color="auto" w:fill="auto"/>
            <w:noWrap/>
            <w:vAlign w:val="center"/>
          </w:tcPr>
          <w:p w:rsidR="007B515C" w:rsidRPr="00DE2282" w:rsidRDefault="003F1E7A" w:rsidP="007B515C">
            <w:pPr>
              <w:spacing w:line="360" w:lineRule="auto"/>
              <w:ind w:left="-139" w:right="-159"/>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2</w:t>
            </w:r>
          </w:p>
        </w:tc>
        <w:tc>
          <w:tcPr>
            <w:tcW w:w="682" w:type="dxa"/>
            <w:tcBorders>
              <w:bottom w:val="single" w:sz="4" w:space="0" w:color="auto"/>
            </w:tcBorders>
            <w:shd w:val="clear" w:color="auto" w:fill="auto"/>
            <w:noWrap/>
            <w:vAlign w:val="center"/>
          </w:tcPr>
          <w:p w:rsidR="007B515C" w:rsidRPr="00DE2282" w:rsidRDefault="003F1E7A" w:rsidP="007B515C">
            <w:pPr>
              <w:spacing w:line="360" w:lineRule="auto"/>
              <w:ind w:left="-139" w:right="-133"/>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4</w:t>
            </w:r>
          </w:p>
        </w:tc>
        <w:tc>
          <w:tcPr>
            <w:tcW w:w="683" w:type="dxa"/>
            <w:tcBorders>
              <w:bottom w:val="single" w:sz="4" w:space="0" w:color="auto"/>
            </w:tcBorders>
            <w:vAlign w:val="center"/>
          </w:tcPr>
          <w:p w:rsidR="007B515C" w:rsidRPr="00DE2282" w:rsidRDefault="003F1E7A" w:rsidP="007B515C">
            <w:pPr>
              <w:spacing w:line="360" w:lineRule="auto"/>
              <w:ind w:left="-139" w:right="-10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8</w:t>
            </w:r>
          </w:p>
        </w:tc>
        <w:tc>
          <w:tcPr>
            <w:tcW w:w="720" w:type="dxa"/>
            <w:tcBorders>
              <w:bottom w:val="single" w:sz="4" w:space="0" w:color="auto"/>
            </w:tcBorders>
          </w:tcPr>
          <w:p w:rsidR="007B515C" w:rsidRPr="00DE2282" w:rsidRDefault="003F1E7A" w:rsidP="007B515C">
            <w:pPr>
              <w:spacing w:line="360" w:lineRule="auto"/>
              <w:ind w:left="-139" w:right="-10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w:t>
            </w:r>
          </w:p>
        </w:tc>
        <w:tc>
          <w:tcPr>
            <w:tcW w:w="721" w:type="dxa"/>
            <w:tcBorders>
              <w:bottom w:val="single" w:sz="4" w:space="0" w:color="auto"/>
            </w:tcBorders>
          </w:tcPr>
          <w:p w:rsidR="007B515C" w:rsidRPr="00DE2282" w:rsidRDefault="003F1E7A" w:rsidP="007B515C">
            <w:pPr>
              <w:spacing w:line="360" w:lineRule="auto"/>
              <w:ind w:left="-139" w:right="-108"/>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4</w:t>
            </w:r>
          </w:p>
        </w:tc>
      </w:tr>
      <w:tr w:rsidR="007B515C" w:rsidRPr="00DE2282">
        <w:trPr>
          <w:trHeight w:val="255"/>
        </w:trPr>
        <w:tc>
          <w:tcPr>
            <w:tcW w:w="825" w:type="dxa"/>
            <w:tcBorders>
              <w:top w:val="single" w:sz="4" w:space="0" w:color="auto"/>
            </w:tcBorders>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ESBL</w:t>
            </w:r>
          </w:p>
        </w:tc>
        <w:tc>
          <w:tcPr>
            <w:tcW w:w="727" w:type="dxa"/>
            <w:tcBorders>
              <w:top w:val="single" w:sz="4" w:space="0" w:color="auto"/>
            </w:tcBorders>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GM</w:t>
            </w:r>
          </w:p>
        </w:tc>
        <w:tc>
          <w:tcPr>
            <w:tcW w:w="783"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177.2</w:t>
            </w:r>
          </w:p>
        </w:tc>
        <w:tc>
          <w:tcPr>
            <w:tcW w:w="783"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0.322</w:t>
            </w:r>
          </w:p>
        </w:tc>
        <w:tc>
          <w:tcPr>
            <w:tcW w:w="783"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0.193</w:t>
            </w:r>
          </w:p>
        </w:tc>
        <w:tc>
          <w:tcPr>
            <w:tcW w:w="704"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0.160</w:t>
            </w:r>
          </w:p>
        </w:tc>
        <w:tc>
          <w:tcPr>
            <w:tcW w:w="800"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3.08</w:t>
            </w:r>
          </w:p>
        </w:tc>
        <w:tc>
          <w:tcPr>
            <w:tcW w:w="719"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19"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32"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87"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23.4</w:t>
            </w:r>
          </w:p>
        </w:tc>
        <w:tc>
          <w:tcPr>
            <w:tcW w:w="698"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0.101</w:t>
            </w:r>
          </w:p>
        </w:tc>
        <w:tc>
          <w:tcPr>
            <w:tcW w:w="698"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0.051</w:t>
            </w:r>
          </w:p>
        </w:tc>
        <w:tc>
          <w:tcPr>
            <w:tcW w:w="758"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0.038</w:t>
            </w:r>
          </w:p>
        </w:tc>
        <w:tc>
          <w:tcPr>
            <w:tcW w:w="682"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0.044</w:t>
            </w:r>
          </w:p>
        </w:tc>
        <w:tc>
          <w:tcPr>
            <w:tcW w:w="682"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0.022</w:t>
            </w:r>
          </w:p>
        </w:tc>
        <w:tc>
          <w:tcPr>
            <w:tcW w:w="682" w:type="dxa"/>
            <w:tcBorders>
              <w:top w:val="single" w:sz="4" w:space="0" w:color="auto"/>
            </w:tcBorders>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0.021</w:t>
            </w:r>
          </w:p>
        </w:tc>
        <w:tc>
          <w:tcPr>
            <w:tcW w:w="683" w:type="dxa"/>
            <w:tcBorders>
              <w:top w:val="single" w:sz="4" w:space="0" w:color="auto"/>
            </w:tcBorders>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0.021</w:t>
            </w:r>
          </w:p>
        </w:tc>
        <w:tc>
          <w:tcPr>
            <w:tcW w:w="720" w:type="dxa"/>
            <w:tcBorders>
              <w:top w:val="single" w:sz="4" w:space="0" w:color="auto"/>
            </w:tcBorders>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17.6</w:t>
            </w:r>
          </w:p>
        </w:tc>
        <w:tc>
          <w:tcPr>
            <w:tcW w:w="721" w:type="dxa"/>
            <w:tcBorders>
              <w:top w:val="single" w:sz="4" w:space="0" w:color="auto"/>
            </w:tcBorders>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0.149</w:t>
            </w:r>
          </w:p>
        </w:tc>
      </w:tr>
      <w:tr w:rsidR="007B515C" w:rsidRPr="00DE2282">
        <w:trPr>
          <w:trHeight w:val="255"/>
        </w:trPr>
        <w:tc>
          <w:tcPr>
            <w:tcW w:w="825" w:type="dxa"/>
            <w:shd w:val="solid" w:color="FFFFFF" w:fill="auto"/>
            <w:noWrap/>
            <w:vAlign w:val="center"/>
          </w:tcPr>
          <w:p w:rsidR="007B515C" w:rsidRPr="00DE2282" w:rsidRDefault="003F1E7A" w:rsidP="007B515C">
            <w:pPr>
              <w:spacing w:line="360" w:lineRule="auto"/>
              <w:ind w:left="-78"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(n=64)</w:t>
            </w:r>
          </w:p>
        </w:tc>
        <w:tc>
          <w:tcPr>
            <w:tcW w:w="727" w:type="dxa"/>
            <w:shd w:val="solid" w:color="FFFFFF" w:fill="auto"/>
            <w:noWrap/>
            <w:vAlign w:val="center"/>
          </w:tcPr>
          <w:p w:rsidR="007B515C" w:rsidRPr="00DE2282" w:rsidRDefault="003F1E7A" w:rsidP="007B515C">
            <w:pPr>
              <w:spacing w:line="360" w:lineRule="auto"/>
              <w:ind w:left="-78"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Max.</w:t>
            </w:r>
          </w:p>
        </w:tc>
        <w:tc>
          <w:tcPr>
            <w:tcW w:w="783"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&gt;256</w:t>
            </w:r>
          </w:p>
        </w:tc>
        <w:tc>
          <w:tcPr>
            <w:tcW w:w="783"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4</w:t>
            </w:r>
          </w:p>
        </w:tc>
        <w:tc>
          <w:tcPr>
            <w:tcW w:w="783"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2</w:t>
            </w:r>
          </w:p>
        </w:tc>
        <w:tc>
          <w:tcPr>
            <w:tcW w:w="704"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800"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256</w:t>
            </w:r>
          </w:p>
        </w:tc>
        <w:tc>
          <w:tcPr>
            <w:tcW w:w="719"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0.125</w:t>
            </w:r>
          </w:p>
        </w:tc>
        <w:tc>
          <w:tcPr>
            <w:tcW w:w="719"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0.25</w:t>
            </w:r>
          </w:p>
        </w:tc>
        <w:tc>
          <w:tcPr>
            <w:tcW w:w="732"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0.25</w:t>
            </w:r>
          </w:p>
        </w:tc>
        <w:tc>
          <w:tcPr>
            <w:tcW w:w="787"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512</w:t>
            </w:r>
          </w:p>
        </w:tc>
        <w:tc>
          <w:tcPr>
            <w:tcW w:w="698"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2</w:t>
            </w:r>
          </w:p>
        </w:tc>
        <w:tc>
          <w:tcPr>
            <w:tcW w:w="698"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758"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0.5</w:t>
            </w:r>
          </w:p>
        </w:tc>
        <w:tc>
          <w:tcPr>
            <w:tcW w:w="682"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682"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0.125</w:t>
            </w:r>
          </w:p>
        </w:tc>
        <w:tc>
          <w:tcPr>
            <w:tcW w:w="682"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0.125</w:t>
            </w:r>
          </w:p>
        </w:tc>
        <w:tc>
          <w:tcPr>
            <w:tcW w:w="683" w:type="dxa"/>
            <w:shd w:val="clear" w:color="auto" w:fill="FFFFFF" w:themeFill="background1"/>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0.125</w:t>
            </w:r>
          </w:p>
        </w:tc>
        <w:tc>
          <w:tcPr>
            <w:tcW w:w="720" w:type="dxa"/>
            <w:shd w:val="clear" w:color="auto" w:fill="FFFFFF" w:themeFill="background1"/>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&gt;256</w:t>
            </w:r>
          </w:p>
        </w:tc>
        <w:tc>
          <w:tcPr>
            <w:tcW w:w="721" w:type="dxa"/>
            <w:shd w:val="clear" w:color="auto" w:fill="FFFFFF" w:themeFill="background1"/>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r>
      <w:tr w:rsidR="007B515C" w:rsidRPr="00DE2282">
        <w:trPr>
          <w:trHeight w:val="255"/>
        </w:trPr>
        <w:tc>
          <w:tcPr>
            <w:tcW w:w="825" w:type="dxa"/>
            <w:shd w:val="solid" w:color="FFFFFF" w:fill="auto"/>
            <w:noWrap/>
            <w:vAlign w:val="center"/>
          </w:tcPr>
          <w:p w:rsidR="007B515C" w:rsidRPr="00DE2282" w:rsidRDefault="007B515C" w:rsidP="007B515C">
            <w:pPr>
              <w:spacing w:line="360" w:lineRule="auto"/>
              <w:jc w:val="center"/>
              <w:rPr>
                <w:rFonts w:asciiTheme="majorHAnsi" w:eastAsia="Times New Roman" w:hAnsiTheme="majorHAnsi" w:cstheme="majorHAnsi"/>
                <w:sz w:val="20"/>
                <w:szCs w:val="20"/>
                <w:lang w:val="en-US"/>
              </w:rPr>
            </w:pPr>
          </w:p>
        </w:tc>
        <w:tc>
          <w:tcPr>
            <w:tcW w:w="727" w:type="dxa"/>
            <w:shd w:val="solid" w:color="FFFFFF" w:fill="auto"/>
            <w:noWrap/>
            <w:vAlign w:val="center"/>
          </w:tcPr>
          <w:p w:rsidR="007B515C" w:rsidRPr="00DE2282" w:rsidRDefault="007B515C" w:rsidP="007B515C">
            <w:pPr>
              <w:spacing w:line="360" w:lineRule="auto"/>
              <w:ind w:left="-108" w:right="-132"/>
              <w:jc w:val="center"/>
              <w:rPr>
                <w:rFonts w:asciiTheme="majorHAnsi" w:eastAsia="Times New Roman" w:hAnsiTheme="majorHAnsi" w:cstheme="majorHAnsi"/>
                <w:sz w:val="20"/>
                <w:szCs w:val="20"/>
                <w:lang w:val="en-US"/>
              </w:rPr>
            </w:pPr>
          </w:p>
        </w:tc>
        <w:tc>
          <w:tcPr>
            <w:tcW w:w="783"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83"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83"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04"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800"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19"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19"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3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87"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98"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98"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58"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3" w:type="dxa"/>
            <w:shd w:val="clear" w:color="auto" w:fill="FFFFFF" w:themeFill="background1"/>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20" w:type="dxa"/>
            <w:shd w:val="clear" w:color="auto" w:fill="FFFFFF" w:themeFill="background1"/>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21" w:type="dxa"/>
            <w:shd w:val="clear" w:color="auto" w:fill="FFFFFF" w:themeFill="background1"/>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r>
      <w:tr w:rsidR="007B515C" w:rsidRPr="00DE2282">
        <w:trPr>
          <w:trHeight w:val="255"/>
        </w:trPr>
        <w:tc>
          <w:tcPr>
            <w:tcW w:w="825" w:type="dxa"/>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AmpC</w:t>
            </w:r>
          </w:p>
        </w:tc>
        <w:tc>
          <w:tcPr>
            <w:tcW w:w="727" w:type="dxa"/>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GM</w:t>
            </w:r>
          </w:p>
        </w:tc>
        <w:tc>
          <w:tcPr>
            <w:tcW w:w="783"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100.4</w:t>
            </w:r>
          </w:p>
        </w:tc>
        <w:tc>
          <w:tcPr>
            <w:tcW w:w="783"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0.137</w:t>
            </w:r>
          </w:p>
        </w:tc>
        <w:tc>
          <w:tcPr>
            <w:tcW w:w="783"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0.093</w:t>
            </w:r>
          </w:p>
        </w:tc>
        <w:tc>
          <w:tcPr>
            <w:tcW w:w="704"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0.075</w:t>
            </w:r>
          </w:p>
        </w:tc>
        <w:tc>
          <w:tcPr>
            <w:tcW w:w="800"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0.51</w:t>
            </w:r>
          </w:p>
        </w:tc>
        <w:tc>
          <w:tcPr>
            <w:tcW w:w="719"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19"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3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hAnsiTheme="majorHAnsi" w:cstheme="majorHAnsi"/>
                <w:spacing w:val="-20"/>
                <w:sz w:val="20"/>
                <w:szCs w:val="20"/>
                <w:u w:val="single"/>
                <w:lang w:val="en-US"/>
              </w:rPr>
              <w:t>&lt;</w:t>
            </w:r>
            <w:r w:rsidRPr="00DE2282">
              <w:rPr>
                <w:rFonts w:asciiTheme="majorHAnsi" w:hAnsiTheme="majorHAnsi" w:cstheme="majorHAnsi"/>
                <w:spacing w:val="-20"/>
                <w:sz w:val="20"/>
                <w:szCs w:val="20"/>
                <w:lang w:val="en-US"/>
              </w:rPr>
              <w:t>0.016</w:t>
            </w:r>
          </w:p>
        </w:tc>
        <w:tc>
          <w:tcPr>
            <w:tcW w:w="787"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11.1</w:t>
            </w:r>
          </w:p>
        </w:tc>
        <w:tc>
          <w:tcPr>
            <w:tcW w:w="698"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0.053</w:t>
            </w:r>
          </w:p>
        </w:tc>
        <w:tc>
          <w:tcPr>
            <w:tcW w:w="698"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0.030</w:t>
            </w:r>
          </w:p>
        </w:tc>
        <w:tc>
          <w:tcPr>
            <w:tcW w:w="758"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0.024</w:t>
            </w:r>
          </w:p>
        </w:tc>
        <w:tc>
          <w:tcPr>
            <w:tcW w:w="68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0.062</w:t>
            </w:r>
          </w:p>
        </w:tc>
        <w:tc>
          <w:tcPr>
            <w:tcW w:w="68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0.019</w:t>
            </w:r>
          </w:p>
        </w:tc>
        <w:tc>
          <w:tcPr>
            <w:tcW w:w="68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0.018</w:t>
            </w:r>
          </w:p>
        </w:tc>
        <w:tc>
          <w:tcPr>
            <w:tcW w:w="683" w:type="dxa"/>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0.017</w:t>
            </w:r>
          </w:p>
        </w:tc>
        <w:tc>
          <w:tcPr>
            <w:tcW w:w="720" w:type="dxa"/>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48.1</w:t>
            </w:r>
          </w:p>
        </w:tc>
        <w:tc>
          <w:tcPr>
            <w:tcW w:w="721" w:type="dxa"/>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0.152</w:t>
            </w:r>
          </w:p>
        </w:tc>
      </w:tr>
      <w:tr w:rsidR="007B515C" w:rsidRPr="00DE2282">
        <w:trPr>
          <w:trHeight w:val="255"/>
        </w:trPr>
        <w:tc>
          <w:tcPr>
            <w:tcW w:w="825" w:type="dxa"/>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(n=63)</w:t>
            </w:r>
          </w:p>
        </w:tc>
        <w:tc>
          <w:tcPr>
            <w:tcW w:w="727" w:type="dxa"/>
            <w:shd w:val="solid" w:color="FFFFFF" w:fill="auto"/>
            <w:noWrap/>
            <w:vAlign w:val="center"/>
          </w:tcPr>
          <w:p w:rsidR="007B515C" w:rsidRPr="00DE2282" w:rsidRDefault="003F1E7A" w:rsidP="007B515C">
            <w:pPr>
              <w:spacing w:line="360" w:lineRule="auto"/>
              <w:ind w:left="-108" w:right="-132"/>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Max</w:t>
            </w:r>
          </w:p>
        </w:tc>
        <w:tc>
          <w:tcPr>
            <w:tcW w:w="783"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&gt;256</w:t>
            </w:r>
          </w:p>
        </w:tc>
        <w:tc>
          <w:tcPr>
            <w:tcW w:w="783"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783"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704"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800"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32</w:t>
            </w:r>
          </w:p>
        </w:tc>
        <w:tc>
          <w:tcPr>
            <w:tcW w:w="719" w:type="dxa"/>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0.016</w:t>
            </w:r>
          </w:p>
        </w:tc>
        <w:tc>
          <w:tcPr>
            <w:tcW w:w="719" w:type="dxa"/>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0.016</w:t>
            </w:r>
          </w:p>
        </w:tc>
        <w:tc>
          <w:tcPr>
            <w:tcW w:w="732" w:type="dxa"/>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0.016</w:t>
            </w:r>
          </w:p>
        </w:tc>
        <w:tc>
          <w:tcPr>
            <w:tcW w:w="787"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128</w:t>
            </w:r>
          </w:p>
        </w:tc>
        <w:tc>
          <w:tcPr>
            <w:tcW w:w="698"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c>
          <w:tcPr>
            <w:tcW w:w="698"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0.25</w:t>
            </w:r>
          </w:p>
        </w:tc>
        <w:tc>
          <w:tcPr>
            <w:tcW w:w="758"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0.12</w:t>
            </w:r>
          </w:p>
        </w:tc>
        <w:tc>
          <w:tcPr>
            <w:tcW w:w="682"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0.5</w:t>
            </w:r>
          </w:p>
        </w:tc>
        <w:tc>
          <w:tcPr>
            <w:tcW w:w="682"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0.06</w:t>
            </w:r>
          </w:p>
        </w:tc>
        <w:tc>
          <w:tcPr>
            <w:tcW w:w="682" w:type="dxa"/>
            <w:shd w:val="clear" w:color="auto" w:fill="FFFFFF" w:themeFill="background1"/>
            <w:noWrap/>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0.06</w:t>
            </w:r>
          </w:p>
        </w:tc>
        <w:tc>
          <w:tcPr>
            <w:tcW w:w="683" w:type="dxa"/>
            <w:shd w:val="clear" w:color="auto" w:fill="FFFFFF" w:themeFill="background1"/>
            <w:vAlign w:val="center"/>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0.06</w:t>
            </w:r>
          </w:p>
        </w:tc>
        <w:tc>
          <w:tcPr>
            <w:tcW w:w="720" w:type="dxa"/>
            <w:shd w:val="clear" w:color="auto" w:fill="FFFFFF" w:themeFill="background1"/>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&gt;256</w:t>
            </w:r>
          </w:p>
        </w:tc>
        <w:tc>
          <w:tcPr>
            <w:tcW w:w="721" w:type="dxa"/>
            <w:shd w:val="clear" w:color="auto" w:fill="FFFFFF" w:themeFill="background1"/>
          </w:tcPr>
          <w:p w:rsidR="007B515C" w:rsidRPr="00DE2282" w:rsidRDefault="003F1E7A" w:rsidP="007B515C">
            <w:pPr>
              <w:spacing w:line="360" w:lineRule="auto"/>
              <w:ind w:left="-139" w:right="-114"/>
              <w:jc w:val="center"/>
              <w:rPr>
                <w:rFonts w:asciiTheme="majorHAnsi" w:eastAsia="Times New Roman" w:hAnsiTheme="majorHAnsi" w:cstheme="majorHAnsi"/>
                <w:bCs/>
                <w:sz w:val="20"/>
                <w:szCs w:val="20"/>
                <w:lang w:val="en-US"/>
              </w:rPr>
            </w:pPr>
            <w:r w:rsidRPr="00DE2282">
              <w:rPr>
                <w:rFonts w:asciiTheme="majorHAnsi" w:eastAsia="Times New Roman" w:hAnsiTheme="majorHAnsi" w:cstheme="majorHAnsi"/>
                <w:bCs/>
                <w:sz w:val="20"/>
                <w:szCs w:val="20"/>
                <w:lang w:val="en-US"/>
              </w:rPr>
              <w:t>1</w:t>
            </w:r>
          </w:p>
        </w:tc>
      </w:tr>
      <w:tr w:rsidR="007B515C" w:rsidRPr="00DE2282">
        <w:trPr>
          <w:trHeight w:val="270"/>
        </w:trPr>
        <w:tc>
          <w:tcPr>
            <w:tcW w:w="825" w:type="dxa"/>
            <w:shd w:val="solid" w:color="FFFFFF" w:fill="auto"/>
            <w:noWrap/>
            <w:vAlign w:val="center"/>
          </w:tcPr>
          <w:p w:rsidR="007B515C" w:rsidRPr="00DE2282" w:rsidRDefault="007B515C" w:rsidP="007B515C">
            <w:pPr>
              <w:spacing w:line="360" w:lineRule="auto"/>
              <w:jc w:val="center"/>
              <w:rPr>
                <w:rFonts w:asciiTheme="majorHAnsi" w:eastAsia="Times New Roman" w:hAnsiTheme="majorHAnsi" w:cstheme="majorHAnsi"/>
                <w:sz w:val="20"/>
                <w:szCs w:val="20"/>
                <w:lang w:val="en-US"/>
              </w:rPr>
            </w:pPr>
          </w:p>
        </w:tc>
        <w:tc>
          <w:tcPr>
            <w:tcW w:w="727" w:type="dxa"/>
            <w:shd w:val="solid" w:color="FFFFFF" w:fill="auto"/>
            <w:noWrap/>
            <w:vAlign w:val="center"/>
          </w:tcPr>
          <w:p w:rsidR="007B515C" w:rsidRPr="00DE2282" w:rsidRDefault="007B515C" w:rsidP="007B515C">
            <w:pPr>
              <w:spacing w:line="360" w:lineRule="auto"/>
              <w:ind w:left="-108" w:right="-132"/>
              <w:jc w:val="center"/>
              <w:rPr>
                <w:rFonts w:asciiTheme="majorHAnsi" w:eastAsia="Times New Roman" w:hAnsiTheme="majorHAnsi" w:cstheme="majorHAnsi"/>
                <w:sz w:val="20"/>
                <w:szCs w:val="20"/>
                <w:lang w:val="en-US"/>
              </w:rPr>
            </w:pPr>
          </w:p>
        </w:tc>
        <w:tc>
          <w:tcPr>
            <w:tcW w:w="783"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83"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83"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04"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800"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19"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19"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3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87"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98"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98"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58"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2" w:type="dxa"/>
            <w:shd w:val="clear" w:color="auto" w:fill="FFFFFF" w:themeFill="background1"/>
            <w:noWrap/>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683" w:type="dxa"/>
            <w:shd w:val="clear" w:color="auto" w:fill="FFFFFF" w:themeFill="background1"/>
            <w:vAlign w:val="center"/>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20" w:type="dxa"/>
            <w:shd w:val="clear" w:color="auto" w:fill="FFFFFF" w:themeFill="background1"/>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c>
          <w:tcPr>
            <w:tcW w:w="721" w:type="dxa"/>
            <w:shd w:val="clear" w:color="auto" w:fill="FFFFFF" w:themeFill="background1"/>
          </w:tcPr>
          <w:p w:rsidR="007B515C" w:rsidRPr="00DE2282" w:rsidRDefault="007B515C" w:rsidP="007B515C">
            <w:pPr>
              <w:spacing w:line="360" w:lineRule="auto"/>
              <w:ind w:left="-139" w:right="-114"/>
              <w:jc w:val="center"/>
              <w:rPr>
                <w:rFonts w:asciiTheme="majorHAnsi" w:eastAsia="Times New Roman" w:hAnsiTheme="majorHAnsi" w:cstheme="majorHAnsi"/>
                <w:bCs/>
                <w:sz w:val="20"/>
                <w:szCs w:val="20"/>
                <w:lang w:val="en-US"/>
              </w:rPr>
            </w:pPr>
          </w:p>
        </w:tc>
      </w:tr>
      <w:tr w:rsidR="007B515C" w:rsidRPr="00DE2282">
        <w:trPr>
          <w:trHeight w:val="270"/>
        </w:trPr>
        <w:tc>
          <w:tcPr>
            <w:tcW w:w="825" w:type="dxa"/>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KPC</w:t>
            </w:r>
          </w:p>
        </w:tc>
        <w:tc>
          <w:tcPr>
            <w:tcW w:w="727" w:type="dxa"/>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GM</w:t>
            </w:r>
          </w:p>
        </w:tc>
        <w:tc>
          <w:tcPr>
            <w:tcW w:w="783"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213.2</w:t>
            </w:r>
          </w:p>
        </w:tc>
        <w:tc>
          <w:tcPr>
            <w:tcW w:w="783"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0.897</w:t>
            </w:r>
          </w:p>
        </w:tc>
        <w:tc>
          <w:tcPr>
            <w:tcW w:w="783"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0.484</w:t>
            </w:r>
          </w:p>
        </w:tc>
        <w:tc>
          <w:tcPr>
            <w:tcW w:w="704"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0.349</w:t>
            </w:r>
          </w:p>
        </w:tc>
        <w:tc>
          <w:tcPr>
            <w:tcW w:w="800"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17.8</w:t>
            </w:r>
          </w:p>
        </w:tc>
        <w:tc>
          <w:tcPr>
            <w:tcW w:w="719"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0.037</w:t>
            </w:r>
          </w:p>
        </w:tc>
        <w:tc>
          <w:tcPr>
            <w:tcW w:w="719"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0.027</w:t>
            </w:r>
          </w:p>
        </w:tc>
        <w:tc>
          <w:tcPr>
            <w:tcW w:w="73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0.024</w:t>
            </w:r>
          </w:p>
        </w:tc>
        <w:tc>
          <w:tcPr>
            <w:tcW w:w="787"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153.7</w:t>
            </w:r>
          </w:p>
        </w:tc>
        <w:tc>
          <w:tcPr>
            <w:tcW w:w="698"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0.290</w:t>
            </w:r>
          </w:p>
        </w:tc>
        <w:tc>
          <w:tcPr>
            <w:tcW w:w="698"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0.127</w:t>
            </w:r>
          </w:p>
        </w:tc>
        <w:tc>
          <w:tcPr>
            <w:tcW w:w="758"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0.070</w:t>
            </w:r>
          </w:p>
        </w:tc>
        <w:tc>
          <w:tcPr>
            <w:tcW w:w="68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8.430</w:t>
            </w:r>
          </w:p>
        </w:tc>
        <w:tc>
          <w:tcPr>
            <w:tcW w:w="68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0.053</w:t>
            </w:r>
          </w:p>
        </w:tc>
        <w:tc>
          <w:tcPr>
            <w:tcW w:w="682" w:type="dxa"/>
            <w:shd w:val="clear" w:color="auto" w:fill="FFFFFF" w:themeFill="background1"/>
            <w:noWrap/>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0.042</w:t>
            </w:r>
          </w:p>
        </w:tc>
        <w:tc>
          <w:tcPr>
            <w:tcW w:w="683" w:type="dxa"/>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0.034</w:t>
            </w:r>
          </w:p>
        </w:tc>
        <w:tc>
          <w:tcPr>
            <w:tcW w:w="720" w:type="dxa"/>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27.4</w:t>
            </w:r>
          </w:p>
        </w:tc>
        <w:tc>
          <w:tcPr>
            <w:tcW w:w="721" w:type="dxa"/>
            <w:shd w:val="clear" w:color="auto" w:fill="FFFFFF" w:themeFill="background1"/>
            <w:vAlign w:val="bottom"/>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0.185</w:t>
            </w:r>
          </w:p>
        </w:tc>
      </w:tr>
      <w:tr w:rsidR="007B515C" w:rsidRPr="00DE2282">
        <w:trPr>
          <w:trHeight w:val="270"/>
        </w:trPr>
        <w:tc>
          <w:tcPr>
            <w:tcW w:w="825" w:type="dxa"/>
            <w:tcBorders>
              <w:bottom w:val="single" w:sz="4" w:space="0" w:color="auto"/>
            </w:tcBorders>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(n=53)</w:t>
            </w:r>
          </w:p>
        </w:tc>
        <w:tc>
          <w:tcPr>
            <w:tcW w:w="727" w:type="dxa"/>
            <w:tcBorders>
              <w:bottom w:val="single" w:sz="4" w:space="0" w:color="auto"/>
            </w:tcBorders>
            <w:shd w:val="solid" w:color="FFFFFF" w:fill="auto"/>
            <w:noWrap/>
            <w:vAlign w:val="center"/>
          </w:tcPr>
          <w:p w:rsidR="007B515C" w:rsidRPr="00DE2282" w:rsidRDefault="003F1E7A" w:rsidP="007B515C">
            <w:pPr>
              <w:spacing w:line="360" w:lineRule="auto"/>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Max</w:t>
            </w:r>
          </w:p>
        </w:tc>
        <w:tc>
          <w:tcPr>
            <w:tcW w:w="783"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&gt;256</w:t>
            </w:r>
          </w:p>
        </w:tc>
        <w:tc>
          <w:tcPr>
            <w:tcW w:w="783"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8</w:t>
            </w:r>
          </w:p>
        </w:tc>
        <w:tc>
          <w:tcPr>
            <w:tcW w:w="783"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4</w:t>
            </w:r>
          </w:p>
        </w:tc>
        <w:tc>
          <w:tcPr>
            <w:tcW w:w="704"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4</w:t>
            </w:r>
          </w:p>
        </w:tc>
        <w:tc>
          <w:tcPr>
            <w:tcW w:w="800"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&gt;256</w:t>
            </w:r>
          </w:p>
        </w:tc>
        <w:tc>
          <w:tcPr>
            <w:tcW w:w="719"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0.125</w:t>
            </w:r>
          </w:p>
        </w:tc>
        <w:tc>
          <w:tcPr>
            <w:tcW w:w="719"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0.125</w:t>
            </w:r>
          </w:p>
        </w:tc>
        <w:tc>
          <w:tcPr>
            <w:tcW w:w="732"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0.125</w:t>
            </w:r>
          </w:p>
        </w:tc>
        <w:tc>
          <w:tcPr>
            <w:tcW w:w="787"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512</w:t>
            </w:r>
          </w:p>
        </w:tc>
        <w:tc>
          <w:tcPr>
            <w:tcW w:w="698"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4</w:t>
            </w:r>
          </w:p>
        </w:tc>
        <w:tc>
          <w:tcPr>
            <w:tcW w:w="698"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2</w:t>
            </w:r>
          </w:p>
        </w:tc>
        <w:tc>
          <w:tcPr>
            <w:tcW w:w="758"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w:t>
            </w:r>
          </w:p>
        </w:tc>
        <w:tc>
          <w:tcPr>
            <w:tcW w:w="686"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64</w:t>
            </w:r>
          </w:p>
        </w:tc>
        <w:tc>
          <w:tcPr>
            <w:tcW w:w="686"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0.25</w:t>
            </w:r>
          </w:p>
        </w:tc>
        <w:tc>
          <w:tcPr>
            <w:tcW w:w="686" w:type="dxa"/>
            <w:tcBorders>
              <w:bottom w:val="single" w:sz="4" w:space="0" w:color="auto"/>
            </w:tcBorders>
            <w:shd w:val="clear" w:color="auto" w:fill="FFFFFF" w:themeFill="background1"/>
            <w:noWrap/>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0.25</w:t>
            </w:r>
          </w:p>
        </w:tc>
        <w:tc>
          <w:tcPr>
            <w:tcW w:w="671" w:type="dxa"/>
            <w:tcBorders>
              <w:bottom w:val="single" w:sz="4" w:space="0" w:color="auto"/>
            </w:tcBorders>
            <w:shd w:val="clear" w:color="auto" w:fill="FFFFFF" w:themeFill="background1"/>
            <w:vAlign w:val="center"/>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0.25</w:t>
            </w:r>
          </w:p>
        </w:tc>
        <w:tc>
          <w:tcPr>
            <w:tcW w:w="720" w:type="dxa"/>
            <w:tcBorders>
              <w:bottom w:val="single" w:sz="4" w:space="0" w:color="auto"/>
            </w:tcBorders>
            <w:shd w:val="clear" w:color="auto" w:fill="FFFFFF" w:themeFill="background1"/>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&gt;256</w:t>
            </w:r>
          </w:p>
        </w:tc>
        <w:tc>
          <w:tcPr>
            <w:tcW w:w="721" w:type="dxa"/>
            <w:tcBorders>
              <w:bottom w:val="single" w:sz="4" w:space="0" w:color="auto"/>
            </w:tcBorders>
            <w:shd w:val="clear" w:color="auto" w:fill="FFFFFF" w:themeFill="background1"/>
          </w:tcPr>
          <w:p w:rsidR="007B515C" w:rsidRPr="00DE2282" w:rsidRDefault="003F1E7A" w:rsidP="007B515C">
            <w:pPr>
              <w:spacing w:line="360" w:lineRule="auto"/>
              <w:ind w:left="-139"/>
              <w:jc w:val="center"/>
              <w:rPr>
                <w:rFonts w:asciiTheme="majorHAnsi" w:eastAsia="Times New Roman" w:hAnsiTheme="majorHAnsi" w:cstheme="majorHAnsi"/>
                <w:sz w:val="20"/>
                <w:szCs w:val="20"/>
                <w:lang w:val="en-US"/>
              </w:rPr>
            </w:pPr>
            <w:r w:rsidRPr="00DE2282">
              <w:rPr>
                <w:rFonts w:asciiTheme="majorHAnsi" w:eastAsia="Times New Roman" w:hAnsiTheme="majorHAnsi" w:cstheme="majorHAnsi"/>
                <w:sz w:val="20"/>
                <w:szCs w:val="20"/>
                <w:lang w:val="en-US"/>
              </w:rPr>
              <w:t>1</w:t>
            </w:r>
          </w:p>
        </w:tc>
      </w:tr>
    </w:tbl>
    <w:p w:rsidR="007B515C" w:rsidRPr="00DE2282" w:rsidRDefault="007B515C" w:rsidP="007B515C">
      <w:pPr>
        <w:spacing w:line="480" w:lineRule="auto"/>
        <w:jc w:val="center"/>
        <w:rPr>
          <w:rFonts w:asciiTheme="majorHAnsi" w:eastAsia="Times New Roman" w:hAnsiTheme="majorHAnsi" w:cstheme="majorHAnsi"/>
          <w:sz w:val="20"/>
          <w:szCs w:val="20"/>
          <w:lang w:val="en-US"/>
        </w:rPr>
      </w:pPr>
    </w:p>
    <w:p w:rsidR="007B515C" w:rsidRPr="00DE2282" w:rsidRDefault="003F1E7A" w:rsidP="007B515C">
      <w:pPr>
        <w:rPr>
          <w:rFonts w:asciiTheme="majorHAnsi" w:hAnsiTheme="majorHAnsi"/>
          <w:sz w:val="20"/>
          <w:szCs w:val="16"/>
          <w:lang w:val="en-US"/>
        </w:rPr>
      </w:pPr>
      <w:r w:rsidRPr="00DE2282">
        <w:rPr>
          <w:rFonts w:asciiTheme="majorHAnsi" w:hAnsiTheme="majorHAnsi"/>
          <w:sz w:val="20"/>
          <w:szCs w:val="16"/>
          <w:lang w:val="en-US"/>
        </w:rPr>
        <w:t xml:space="preserve">MICs &gt;256 </w:t>
      </w:r>
      <w:r w:rsidRPr="00DE2282">
        <w:rPr>
          <w:rFonts w:ascii="Symbol" w:hAnsi="Symbol"/>
          <w:sz w:val="20"/>
          <w:szCs w:val="16"/>
          <w:lang w:val="en-US"/>
        </w:rPr>
        <w:t></w:t>
      </w:r>
      <w:r w:rsidRPr="00DE2282">
        <w:rPr>
          <w:rFonts w:asciiTheme="majorHAnsi" w:hAnsiTheme="majorHAnsi"/>
          <w:sz w:val="20"/>
          <w:szCs w:val="16"/>
          <w:lang w:val="en-US"/>
        </w:rPr>
        <w:t xml:space="preserve">g/ml were counted as 512 </w:t>
      </w:r>
      <w:r w:rsidRPr="00DE2282">
        <w:rPr>
          <w:rFonts w:ascii="Symbol" w:hAnsi="Symbol"/>
          <w:sz w:val="20"/>
          <w:szCs w:val="16"/>
          <w:lang w:val="en-US"/>
        </w:rPr>
        <w:t></w:t>
      </w:r>
      <w:r w:rsidRPr="00DE2282">
        <w:rPr>
          <w:rFonts w:asciiTheme="majorHAnsi" w:hAnsiTheme="majorHAnsi"/>
          <w:sz w:val="20"/>
          <w:szCs w:val="16"/>
          <w:lang w:val="en-US"/>
        </w:rPr>
        <w:t xml:space="preserve">g/ml when calculating geometric means, and MICs of </w:t>
      </w:r>
      <w:r w:rsidRPr="00DE2282">
        <w:rPr>
          <w:rFonts w:asciiTheme="majorHAnsi" w:hAnsiTheme="majorHAnsi"/>
          <w:sz w:val="20"/>
          <w:szCs w:val="16"/>
          <w:u w:val="single"/>
          <w:lang w:val="en-US"/>
        </w:rPr>
        <w:t>&lt;</w:t>
      </w:r>
      <w:r w:rsidRPr="00DE2282">
        <w:rPr>
          <w:rFonts w:asciiTheme="majorHAnsi" w:hAnsiTheme="majorHAnsi"/>
          <w:sz w:val="20"/>
          <w:szCs w:val="16"/>
          <w:lang w:val="en-US"/>
        </w:rPr>
        <w:t xml:space="preserve">0.016 as 0.014 </w:t>
      </w:r>
      <w:r w:rsidRPr="00DE2282">
        <w:rPr>
          <w:rFonts w:ascii="Symbol" w:hAnsi="Symbol"/>
          <w:sz w:val="20"/>
          <w:szCs w:val="16"/>
          <w:lang w:val="en-US"/>
        </w:rPr>
        <w:t></w:t>
      </w:r>
      <w:r w:rsidRPr="00DE2282">
        <w:rPr>
          <w:rFonts w:asciiTheme="majorHAnsi" w:hAnsiTheme="majorHAnsi"/>
          <w:sz w:val="20"/>
          <w:szCs w:val="16"/>
          <w:lang w:val="en-US"/>
        </w:rPr>
        <w:t>g/ml</w:t>
      </w:r>
    </w:p>
    <w:p w:rsidR="007B515C" w:rsidRPr="00DE2282" w:rsidRDefault="007B515C" w:rsidP="007B515C">
      <w:pPr>
        <w:rPr>
          <w:rFonts w:asciiTheme="majorHAnsi" w:hAnsiTheme="majorHAnsi"/>
          <w:sz w:val="20"/>
          <w:szCs w:val="16"/>
          <w:lang w:val="en-US"/>
        </w:rPr>
      </w:pPr>
    </w:p>
    <w:p w:rsidR="007B515C" w:rsidRPr="00DE2282" w:rsidRDefault="003F1E7A" w:rsidP="007B515C">
      <w:pPr>
        <w:rPr>
          <w:rFonts w:asciiTheme="majorHAnsi" w:hAnsiTheme="majorHAnsi" w:cstheme="majorHAnsi"/>
          <w:sz w:val="20"/>
          <w:szCs w:val="20"/>
          <w:lang w:val="en-US"/>
        </w:rPr>
      </w:pPr>
      <w:r w:rsidRPr="00DE2282">
        <w:rPr>
          <w:rFonts w:asciiTheme="majorHAnsi" w:hAnsiTheme="majorHAnsi"/>
          <w:sz w:val="20"/>
          <w:szCs w:val="16"/>
          <w:lang w:val="en-US"/>
        </w:rPr>
        <w:t>GM, geometric mean; Max, maximum</w:t>
      </w:r>
      <w:r w:rsidRPr="00DE2282">
        <w:rPr>
          <w:b/>
          <w:sz w:val="20"/>
          <w:szCs w:val="16"/>
          <w:lang w:val="en-US"/>
        </w:rPr>
        <w:br w:type="page"/>
      </w:r>
      <w:r w:rsidRPr="00DE2282">
        <w:rPr>
          <w:rFonts w:asciiTheme="majorHAnsi" w:hAnsiTheme="majorHAnsi" w:cstheme="majorHAnsi"/>
          <w:b/>
          <w:sz w:val="20"/>
          <w:szCs w:val="20"/>
          <w:lang w:val="en-US"/>
        </w:rPr>
        <w:t xml:space="preserve">Table 5.  </w:t>
      </w:r>
      <w:r w:rsidRPr="00DE2282">
        <w:rPr>
          <w:rFonts w:asciiTheme="majorHAnsi" w:hAnsiTheme="majorHAnsi" w:cstheme="majorHAnsi"/>
          <w:sz w:val="20"/>
          <w:szCs w:val="20"/>
          <w:lang w:val="en-US"/>
        </w:rPr>
        <w:t xml:space="preserve">MIC distributions for </w:t>
      </w:r>
      <w:r w:rsidR="00F67E50">
        <w:rPr>
          <w:rFonts w:asciiTheme="majorHAnsi" w:hAnsiTheme="majorHAnsi" w:cstheme="majorHAnsi"/>
          <w:sz w:val="20"/>
          <w:szCs w:val="20"/>
          <w:lang w:val="en-US"/>
        </w:rPr>
        <w:t xml:space="preserve">86 </w:t>
      </w:r>
      <w:r w:rsidRPr="00DE2282">
        <w:rPr>
          <w:rFonts w:asciiTheme="majorHAnsi" w:hAnsiTheme="majorHAnsi" w:cstheme="majorHAnsi"/>
          <w:sz w:val="20"/>
          <w:szCs w:val="20"/>
          <w:lang w:val="en-US"/>
        </w:rPr>
        <w:t xml:space="preserve">OP0595-selected mutants of </w:t>
      </w:r>
      <w:r w:rsidR="00F67E50">
        <w:rPr>
          <w:rFonts w:asciiTheme="majorHAnsi" w:hAnsiTheme="majorHAnsi" w:cstheme="majorHAnsi"/>
          <w:sz w:val="20"/>
          <w:szCs w:val="20"/>
          <w:lang w:val="en-US"/>
        </w:rPr>
        <w:t xml:space="preserve">18 </w:t>
      </w:r>
      <w:r w:rsidRPr="00DE2282">
        <w:rPr>
          <w:rFonts w:asciiTheme="majorHAnsi" w:hAnsiTheme="majorHAnsi" w:cstheme="majorHAnsi"/>
          <w:sz w:val="20"/>
          <w:szCs w:val="20"/>
          <w:lang w:val="en-US"/>
        </w:rPr>
        <w:t xml:space="preserve">MBL-producing strains </w:t>
      </w:r>
    </w:p>
    <w:p w:rsidR="007B515C" w:rsidRPr="00DE2282" w:rsidRDefault="007B515C" w:rsidP="007B515C">
      <w:pPr>
        <w:rPr>
          <w:rFonts w:asciiTheme="majorHAnsi" w:hAnsiTheme="majorHAnsi" w:cstheme="majorHAnsi"/>
          <w:sz w:val="20"/>
          <w:szCs w:val="2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627"/>
        <w:gridCol w:w="626"/>
        <w:gridCol w:w="739"/>
        <w:gridCol w:w="738"/>
        <w:gridCol w:w="739"/>
        <w:gridCol w:w="739"/>
        <w:gridCol w:w="739"/>
        <w:gridCol w:w="738"/>
        <w:gridCol w:w="739"/>
        <w:gridCol w:w="739"/>
        <w:gridCol w:w="738"/>
        <w:gridCol w:w="739"/>
        <w:gridCol w:w="739"/>
        <w:gridCol w:w="739"/>
        <w:gridCol w:w="738"/>
        <w:gridCol w:w="739"/>
        <w:gridCol w:w="739"/>
        <w:gridCol w:w="739"/>
      </w:tblGrid>
      <w:tr w:rsidR="007B515C" w:rsidRPr="00DE2282">
        <w:trPr>
          <w:trHeight w:val="1234"/>
        </w:trPr>
        <w:tc>
          <w:tcPr>
            <w:tcW w:w="1101"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MIC </w:t>
            </w:r>
            <w:r w:rsidRPr="00DE2282">
              <w:rPr>
                <w:rFonts w:ascii="Symbol" w:hAnsi="Symbol" w:cs="Arial"/>
                <w:sz w:val="20"/>
                <w:szCs w:val="20"/>
                <w:lang w:val="en-US"/>
              </w:rPr>
              <w:t></w:t>
            </w:r>
            <w:r w:rsidRPr="00DE2282">
              <w:rPr>
                <w:rFonts w:ascii="Arial" w:hAnsi="Arial" w:cs="Arial"/>
                <w:sz w:val="20"/>
                <w:szCs w:val="20"/>
                <w:lang w:val="en-US"/>
              </w:rPr>
              <w:t>g/ml</w:t>
            </w:r>
          </w:p>
        </w:tc>
        <w:tc>
          <w:tcPr>
            <w:tcW w:w="2730" w:type="dxa"/>
            <w:gridSpan w:val="4"/>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Piperacillin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Cefepime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Aztreonam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Arial" w:hAnsi="Arial" w:cs="Arial"/>
                <w:sz w:val="20"/>
                <w:szCs w:val="20"/>
                <w:lang w:val="en-US"/>
              </w:rPr>
              <w:t xml:space="preserve">Meropenem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1478" w:type="dxa"/>
            <w:gridSpan w:val="2"/>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Ceftazidime + avibactam</w:t>
            </w:r>
            <w:r w:rsidRPr="00DE2282">
              <w:rPr>
                <w:rFonts w:ascii="Arial" w:hAnsi="Arial" w:cs="Arial"/>
                <w:sz w:val="20"/>
                <w:szCs w:val="20"/>
                <w:lang w:val="en-US"/>
              </w:rPr>
              <w:t xml:space="preserve">, </w:t>
            </w:r>
            <w:r w:rsidRPr="00DE2282">
              <w:rPr>
                <w:rFonts w:ascii="Symbol" w:hAnsi="Symbol" w:cs="Arial"/>
                <w:sz w:val="20"/>
                <w:szCs w:val="20"/>
                <w:lang w:val="en-US"/>
              </w:rPr>
              <w:t></w:t>
            </w:r>
            <w:r w:rsidRPr="00DE2282">
              <w:rPr>
                <w:rFonts w:ascii="Arial" w:hAnsi="Arial" w:cs="Arial"/>
                <w:sz w:val="20"/>
                <w:szCs w:val="20"/>
                <w:lang w:val="en-US"/>
              </w:rPr>
              <w:t>g/ml</w:t>
            </w:r>
          </w:p>
        </w:tc>
      </w:tr>
      <w:tr w:rsidR="007B515C" w:rsidRPr="00DE2282">
        <w:tc>
          <w:tcPr>
            <w:tcW w:w="1101" w:type="dxa"/>
            <w:tcBorders>
              <w:top w:val="single" w:sz="4" w:space="0" w:color="auto"/>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627"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626"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w:t>
            </w:r>
          </w:p>
        </w:tc>
        <w:tc>
          <w:tcPr>
            <w:tcW w:w="739" w:type="dxa"/>
            <w:tcBorders>
              <w:top w:val="single" w:sz="4" w:space="0" w:color="auto"/>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4</w:t>
            </w:r>
          </w:p>
        </w:tc>
      </w:tr>
      <w:tr w:rsidR="007B515C" w:rsidRPr="00DE2282">
        <w:tc>
          <w:tcPr>
            <w:tcW w:w="1101"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u w:val="single"/>
                <w:lang w:val="en-US"/>
              </w:rPr>
              <w:t>&lt;</w:t>
            </w:r>
            <w:r w:rsidRPr="00DE2282">
              <w:rPr>
                <w:rFonts w:ascii="Arial" w:hAnsi="Arial" w:cs="Arial"/>
                <w:sz w:val="20"/>
                <w:szCs w:val="20"/>
                <w:lang w:val="en-US"/>
              </w:rPr>
              <w:t>0.016</w:t>
            </w:r>
          </w:p>
        </w:tc>
        <w:tc>
          <w:tcPr>
            <w:tcW w:w="627"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21</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31</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37</w:t>
            </w: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0.03</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22</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0.06</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0.12</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18</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0.25</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0.5</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18</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18</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16</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32</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18</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64</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14</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128</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256</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r>
      <w:tr w:rsidR="007B515C" w:rsidRPr="00DE2282">
        <w:tc>
          <w:tcPr>
            <w:tcW w:w="1101"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&gt;256</w:t>
            </w:r>
          </w:p>
        </w:tc>
        <w:tc>
          <w:tcPr>
            <w:tcW w:w="627"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61</w:t>
            </w:r>
          </w:p>
        </w:tc>
        <w:tc>
          <w:tcPr>
            <w:tcW w:w="626"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53</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36</w:t>
            </w:r>
          </w:p>
        </w:tc>
      </w:tr>
      <w:tr w:rsidR="007B515C" w:rsidRPr="00DE2282">
        <w:tc>
          <w:tcPr>
            <w:tcW w:w="1101"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GM</w:t>
            </w:r>
          </w:p>
        </w:tc>
        <w:tc>
          <w:tcPr>
            <w:tcW w:w="627"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280</w:t>
            </w:r>
          </w:p>
        </w:tc>
        <w:tc>
          <w:tcPr>
            <w:tcW w:w="626"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18.8</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15.6</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13.3</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26.4</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2.54</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2.25</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1.97</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4.68</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0.072</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0.045</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0.036</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5.75</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2.96</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2.83</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2.70</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236</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74.6</w:t>
            </w:r>
          </w:p>
        </w:tc>
      </w:tr>
      <w:tr w:rsidR="007B515C" w:rsidRPr="00DE2282">
        <w:tc>
          <w:tcPr>
            <w:tcW w:w="1101"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S</w:t>
            </w:r>
          </w:p>
        </w:tc>
        <w:tc>
          <w:tcPr>
            <w:tcW w:w="627"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2.3</w:t>
            </w:r>
          </w:p>
        </w:tc>
        <w:tc>
          <w:tcPr>
            <w:tcW w:w="626"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30.2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33.7</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36.0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4.7</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31.4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32.6</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36.0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36.0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93.0</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96.5</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100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24.4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43.0</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43.0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45.3</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8.1</w:t>
            </w:r>
          </w:p>
        </w:tc>
      </w:tr>
    </w:tbl>
    <w:p w:rsidR="007B515C" w:rsidRPr="00DE2282" w:rsidRDefault="007B515C" w:rsidP="007B515C">
      <w:pPr>
        <w:spacing w:line="480" w:lineRule="auto"/>
        <w:rPr>
          <w:b/>
          <w:sz w:val="20"/>
          <w:szCs w:val="16"/>
          <w:lang w:val="en-US"/>
        </w:rPr>
      </w:pPr>
    </w:p>
    <w:p w:rsidR="007B515C" w:rsidRPr="00DE2282" w:rsidRDefault="003F1E7A" w:rsidP="007B515C">
      <w:pPr>
        <w:rPr>
          <w:rFonts w:asciiTheme="majorHAnsi" w:hAnsiTheme="majorHAnsi"/>
          <w:sz w:val="20"/>
          <w:szCs w:val="16"/>
          <w:lang w:val="en-US"/>
        </w:rPr>
      </w:pPr>
      <w:r w:rsidRPr="00DE2282">
        <w:rPr>
          <w:rFonts w:asciiTheme="majorHAnsi" w:hAnsiTheme="majorHAnsi"/>
          <w:sz w:val="20"/>
          <w:szCs w:val="16"/>
          <w:lang w:val="en-US"/>
        </w:rPr>
        <w:t xml:space="preserve">MICs &gt;256 </w:t>
      </w:r>
      <w:r w:rsidRPr="00DE2282">
        <w:rPr>
          <w:rFonts w:ascii="Symbol" w:hAnsi="Symbol"/>
          <w:sz w:val="20"/>
          <w:szCs w:val="16"/>
          <w:lang w:val="en-US"/>
        </w:rPr>
        <w:t></w:t>
      </w:r>
      <w:r w:rsidRPr="00DE2282">
        <w:rPr>
          <w:rFonts w:asciiTheme="majorHAnsi" w:hAnsiTheme="majorHAnsi"/>
          <w:sz w:val="20"/>
          <w:szCs w:val="16"/>
          <w:lang w:val="en-US"/>
        </w:rPr>
        <w:t xml:space="preserve">g/ml were counted as 512 </w:t>
      </w:r>
      <w:r w:rsidRPr="00DE2282">
        <w:rPr>
          <w:rFonts w:ascii="Symbol" w:hAnsi="Symbol"/>
          <w:sz w:val="20"/>
          <w:szCs w:val="16"/>
          <w:lang w:val="en-US"/>
        </w:rPr>
        <w:t></w:t>
      </w:r>
      <w:r w:rsidRPr="00DE2282">
        <w:rPr>
          <w:rFonts w:asciiTheme="majorHAnsi" w:hAnsiTheme="majorHAnsi"/>
          <w:sz w:val="20"/>
          <w:szCs w:val="16"/>
          <w:lang w:val="en-US"/>
        </w:rPr>
        <w:t xml:space="preserve">g/ml when calculating geometric means, and MICs of </w:t>
      </w:r>
      <w:r w:rsidRPr="00DE2282">
        <w:rPr>
          <w:rFonts w:asciiTheme="majorHAnsi" w:hAnsiTheme="majorHAnsi"/>
          <w:sz w:val="20"/>
          <w:szCs w:val="16"/>
          <w:u w:val="single"/>
          <w:lang w:val="en-US"/>
        </w:rPr>
        <w:t>&lt;</w:t>
      </w:r>
      <w:r w:rsidRPr="00DE2282">
        <w:rPr>
          <w:rFonts w:asciiTheme="majorHAnsi" w:hAnsiTheme="majorHAnsi"/>
          <w:sz w:val="20"/>
          <w:szCs w:val="16"/>
          <w:lang w:val="en-US"/>
        </w:rPr>
        <w:t xml:space="preserve">0.016 as 0.014 </w:t>
      </w:r>
      <w:r w:rsidRPr="00DE2282">
        <w:rPr>
          <w:rFonts w:ascii="Symbol" w:hAnsi="Symbol"/>
          <w:sz w:val="20"/>
          <w:szCs w:val="16"/>
          <w:lang w:val="en-US"/>
        </w:rPr>
        <w:t></w:t>
      </w:r>
      <w:r w:rsidRPr="00DE2282">
        <w:rPr>
          <w:rFonts w:asciiTheme="majorHAnsi" w:hAnsiTheme="majorHAnsi"/>
          <w:sz w:val="20"/>
          <w:szCs w:val="16"/>
          <w:lang w:val="en-US"/>
        </w:rPr>
        <w:t>g/ml</w:t>
      </w:r>
    </w:p>
    <w:p w:rsidR="007B515C" w:rsidRPr="00DE2282" w:rsidRDefault="007B515C" w:rsidP="007B515C">
      <w:pPr>
        <w:rPr>
          <w:rFonts w:asciiTheme="majorHAnsi" w:hAnsiTheme="majorHAnsi"/>
          <w:sz w:val="20"/>
          <w:szCs w:val="16"/>
          <w:lang w:val="en-US"/>
        </w:rPr>
      </w:pPr>
    </w:p>
    <w:p w:rsidR="007B515C" w:rsidRPr="00DE2282" w:rsidRDefault="003F1E7A" w:rsidP="007B515C">
      <w:pPr>
        <w:spacing w:line="480" w:lineRule="auto"/>
        <w:rPr>
          <w:sz w:val="20"/>
          <w:szCs w:val="16"/>
          <w:lang w:val="en-US"/>
        </w:rPr>
      </w:pPr>
      <w:r w:rsidRPr="00DE2282">
        <w:rPr>
          <w:rFonts w:asciiTheme="majorHAnsi" w:hAnsiTheme="majorHAnsi"/>
          <w:sz w:val="20"/>
          <w:szCs w:val="16"/>
          <w:lang w:val="en-US"/>
        </w:rPr>
        <w:t xml:space="preserve">GM, geometric mean; %S, percent susceptible at current EUCAST susceptibility breakpoints for the unprotected compounds i.e. 1 </w:t>
      </w:r>
      <w:r w:rsidRPr="00DE2282">
        <w:rPr>
          <w:rFonts w:ascii="Symbol" w:hAnsi="Symbol"/>
          <w:sz w:val="20"/>
          <w:szCs w:val="16"/>
          <w:lang w:val="en-US"/>
        </w:rPr>
        <w:t></w:t>
      </w:r>
      <w:r w:rsidRPr="00DE2282">
        <w:rPr>
          <w:rFonts w:asciiTheme="majorHAnsi" w:hAnsiTheme="majorHAnsi"/>
          <w:sz w:val="20"/>
          <w:szCs w:val="16"/>
          <w:lang w:val="en-US"/>
        </w:rPr>
        <w:t xml:space="preserve">g/ml for aztreonam, cefepime and ceftazidime, 2 </w:t>
      </w:r>
      <w:r w:rsidRPr="00DE2282">
        <w:rPr>
          <w:rFonts w:ascii="Symbol" w:hAnsi="Symbol"/>
          <w:sz w:val="20"/>
          <w:szCs w:val="16"/>
          <w:lang w:val="en-US"/>
        </w:rPr>
        <w:t></w:t>
      </w:r>
      <w:r w:rsidRPr="00DE2282">
        <w:rPr>
          <w:rFonts w:asciiTheme="majorHAnsi" w:hAnsiTheme="majorHAnsi"/>
          <w:sz w:val="20"/>
          <w:szCs w:val="16"/>
          <w:lang w:val="en-US"/>
        </w:rPr>
        <w:t xml:space="preserve">g/ml for meropenem and 8 </w:t>
      </w:r>
      <w:r w:rsidRPr="00DE2282">
        <w:rPr>
          <w:rFonts w:ascii="Symbol" w:hAnsi="Symbol"/>
          <w:sz w:val="20"/>
          <w:szCs w:val="16"/>
          <w:lang w:val="en-US"/>
        </w:rPr>
        <w:t></w:t>
      </w:r>
      <w:r w:rsidRPr="00DE2282">
        <w:rPr>
          <w:rFonts w:asciiTheme="majorHAnsi" w:hAnsiTheme="majorHAnsi"/>
          <w:sz w:val="20"/>
          <w:szCs w:val="16"/>
          <w:lang w:val="en-US"/>
        </w:rPr>
        <w:t>g/ml for piperacillin.</w:t>
      </w:r>
    </w:p>
    <w:p w:rsidR="007B515C" w:rsidRPr="00DE2282" w:rsidRDefault="007B515C" w:rsidP="007B515C">
      <w:pPr>
        <w:spacing w:line="480" w:lineRule="auto"/>
        <w:rPr>
          <w:sz w:val="20"/>
          <w:szCs w:val="16"/>
          <w:lang w:val="en-US"/>
        </w:rPr>
      </w:pPr>
    </w:p>
    <w:p w:rsidR="007B515C" w:rsidRPr="00DE2282" w:rsidRDefault="003F1E7A">
      <w:pPr>
        <w:rPr>
          <w:sz w:val="20"/>
          <w:szCs w:val="16"/>
          <w:lang w:val="en-US"/>
        </w:rPr>
      </w:pPr>
      <w:r w:rsidRPr="00DE2282">
        <w:rPr>
          <w:sz w:val="20"/>
          <w:szCs w:val="16"/>
          <w:lang w:val="en-US"/>
        </w:rPr>
        <w:br w:type="page"/>
      </w:r>
    </w:p>
    <w:p w:rsidR="007B515C" w:rsidRPr="00DE2282" w:rsidRDefault="003F1E7A" w:rsidP="007B515C">
      <w:pPr>
        <w:spacing w:line="480" w:lineRule="auto"/>
        <w:rPr>
          <w:rFonts w:asciiTheme="majorHAnsi" w:hAnsiTheme="majorHAnsi"/>
          <w:sz w:val="20"/>
          <w:szCs w:val="16"/>
          <w:lang w:val="en-US"/>
        </w:rPr>
      </w:pPr>
      <w:r w:rsidRPr="00DE2282">
        <w:rPr>
          <w:rFonts w:asciiTheme="majorHAnsi" w:hAnsiTheme="majorHAnsi"/>
          <w:sz w:val="20"/>
          <w:szCs w:val="16"/>
          <w:lang w:val="en-US"/>
        </w:rPr>
        <w:t xml:space="preserve"> </w:t>
      </w:r>
      <w:r w:rsidRPr="00DE2282">
        <w:rPr>
          <w:rFonts w:asciiTheme="majorHAnsi" w:hAnsiTheme="majorHAnsi"/>
          <w:b/>
          <w:sz w:val="20"/>
          <w:szCs w:val="16"/>
          <w:lang w:val="en-US"/>
        </w:rPr>
        <w:t>Table 6.</w:t>
      </w:r>
      <w:r w:rsidRPr="00DE2282">
        <w:rPr>
          <w:rFonts w:asciiTheme="majorHAnsi" w:hAnsiTheme="majorHAnsi"/>
          <w:sz w:val="20"/>
          <w:szCs w:val="16"/>
          <w:lang w:val="en-US"/>
        </w:rPr>
        <w:t xml:space="preserve"> MICs for mutants of aztreonam-susceptible (i.e. ESBL and AmpC-negative) MBL producers</w:t>
      </w:r>
    </w:p>
    <w:tbl>
      <w:tblPr>
        <w:tblW w:w="13965" w:type="dxa"/>
        <w:tblInd w:w="93" w:type="dxa"/>
        <w:tblLayout w:type="fixed"/>
        <w:tblLook w:val="04A0" w:firstRow="1" w:lastRow="0" w:firstColumn="1" w:lastColumn="0" w:noHBand="0" w:noVBand="1"/>
      </w:tblPr>
      <w:tblGrid>
        <w:gridCol w:w="866"/>
        <w:gridCol w:w="709"/>
        <w:gridCol w:w="687"/>
        <w:gridCol w:w="687"/>
        <w:gridCol w:w="688"/>
        <w:gridCol w:w="687"/>
        <w:gridCol w:w="688"/>
        <w:gridCol w:w="687"/>
        <w:gridCol w:w="688"/>
        <w:gridCol w:w="687"/>
        <w:gridCol w:w="688"/>
        <w:gridCol w:w="687"/>
        <w:gridCol w:w="687"/>
        <w:gridCol w:w="688"/>
        <w:gridCol w:w="687"/>
        <w:gridCol w:w="688"/>
        <w:gridCol w:w="687"/>
        <w:gridCol w:w="688"/>
        <w:gridCol w:w="687"/>
        <w:gridCol w:w="688"/>
        <w:gridCol w:w="16"/>
      </w:tblGrid>
      <w:tr w:rsidR="007B515C" w:rsidRPr="00DE2282">
        <w:trPr>
          <w:gridAfter w:val="1"/>
          <w:wAfter w:w="16" w:type="dxa"/>
          <w:trHeight w:val="255"/>
        </w:trPr>
        <w:tc>
          <w:tcPr>
            <w:tcW w:w="866" w:type="dxa"/>
            <w:tcBorders>
              <w:top w:val="single" w:sz="4" w:space="0" w:color="auto"/>
            </w:tcBorders>
            <w:shd w:val="solid" w:color="FFFFFF" w:themeColor="background1" w:fill="auto"/>
            <w:noWrap/>
            <w:vAlign w:val="center"/>
          </w:tcPr>
          <w:p w:rsidR="007B515C" w:rsidRPr="00DE2282" w:rsidRDefault="007B515C" w:rsidP="007B515C">
            <w:pPr>
              <w:spacing w:before="120" w:after="120"/>
              <w:jc w:val="center"/>
              <w:rPr>
                <w:rFonts w:ascii="Arial" w:eastAsia="Times New Roman" w:hAnsi="Arial" w:cs="Arial"/>
                <w:bCs/>
                <w:sz w:val="20"/>
                <w:szCs w:val="20"/>
                <w:lang w:val="en-US"/>
              </w:rPr>
            </w:pPr>
          </w:p>
        </w:tc>
        <w:tc>
          <w:tcPr>
            <w:tcW w:w="709" w:type="dxa"/>
            <w:vMerge w:val="restart"/>
            <w:tcBorders>
              <w:top w:val="single" w:sz="4" w:space="0" w:color="auto"/>
            </w:tcBorders>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OP</w:t>
            </w:r>
          </w:p>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0595</w:t>
            </w:r>
          </w:p>
        </w:tc>
        <w:tc>
          <w:tcPr>
            <w:tcW w:w="2749" w:type="dxa"/>
            <w:gridSpan w:val="4"/>
            <w:tcBorders>
              <w:top w:val="single" w:sz="4" w:space="0" w:color="auto"/>
            </w:tcBorders>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 xml:space="preserve">Piperacillin + OP0595, </w:t>
            </w:r>
            <w:r w:rsidRPr="00DE2282">
              <w:rPr>
                <w:rFonts w:ascii="Symbol" w:eastAsia="Times New Roman" w:hAnsi="Symbol" w:cs="Arial"/>
                <w:sz w:val="20"/>
                <w:szCs w:val="20"/>
                <w:lang w:val="en-US"/>
              </w:rPr>
              <w:t></w:t>
            </w:r>
            <w:r w:rsidRPr="00DE2282">
              <w:rPr>
                <w:rFonts w:ascii="Arial" w:eastAsia="Times New Roman" w:hAnsi="Arial" w:cs="Arial"/>
                <w:sz w:val="20"/>
                <w:szCs w:val="20"/>
                <w:lang w:val="en-US"/>
              </w:rPr>
              <w:t>g/ml</w:t>
            </w:r>
          </w:p>
        </w:tc>
        <w:tc>
          <w:tcPr>
            <w:tcW w:w="2750" w:type="dxa"/>
            <w:gridSpan w:val="4"/>
            <w:tcBorders>
              <w:top w:val="single" w:sz="4" w:space="0" w:color="auto"/>
            </w:tcBorders>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 xml:space="preserve">Cefepime + OP0595, </w:t>
            </w:r>
            <w:r w:rsidRPr="00DE2282">
              <w:rPr>
                <w:rFonts w:ascii="Symbol" w:eastAsia="Times New Roman" w:hAnsi="Symbol" w:cs="Arial"/>
                <w:sz w:val="20"/>
                <w:szCs w:val="20"/>
                <w:lang w:val="en-US"/>
              </w:rPr>
              <w:t></w:t>
            </w:r>
            <w:r w:rsidRPr="00DE2282">
              <w:rPr>
                <w:rFonts w:ascii="Arial" w:eastAsia="Times New Roman" w:hAnsi="Arial" w:cs="Arial"/>
                <w:sz w:val="20"/>
                <w:szCs w:val="20"/>
                <w:lang w:val="en-US"/>
              </w:rPr>
              <w:t>g/ml</w:t>
            </w:r>
          </w:p>
        </w:tc>
        <w:tc>
          <w:tcPr>
            <w:tcW w:w="2750" w:type="dxa"/>
            <w:gridSpan w:val="4"/>
            <w:tcBorders>
              <w:top w:val="single" w:sz="4" w:space="0" w:color="auto"/>
            </w:tcBorders>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 xml:space="preserve">Aztreonam + OP0595, </w:t>
            </w:r>
            <w:r w:rsidRPr="00DE2282">
              <w:rPr>
                <w:rFonts w:ascii="Symbol" w:eastAsia="Times New Roman" w:hAnsi="Symbol" w:cs="Arial"/>
                <w:sz w:val="20"/>
                <w:szCs w:val="20"/>
                <w:lang w:val="en-US"/>
              </w:rPr>
              <w:t></w:t>
            </w:r>
            <w:r w:rsidRPr="00DE2282">
              <w:rPr>
                <w:rFonts w:ascii="Arial" w:eastAsia="Times New Roman" w:hAnsi="Arial" w:cs="Arial"/>
                <w:sz w:val="20"/>
                <w:szCs w:val="20"/>
                <w:lang w:val="en-US"/>
              </w:rPr>
              <w:t>g/ml</w:t>
            </w:r>
          </w:p>
        </w:tc>
        <w:tc>
          <w:tcPr>
            <w:tcW w:w="2750" w:type="dxa"/>
            <w:gridSpan w:val="4"/>
            <w:tcBorders>
              <w:top w:val="single" w:sz="4" w:space="0" w:color="auto"/>
            </w:tcBorders>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 xml:space="preserve">Meropenem + OP0595, </w:t>
            </w:r>
            <w:r w:rsidRPr="00DE2282">
              <w:rPr>
                <w:rFonts w:ascii="Symbol" w:eastAsia="Times New Roman" w:hAnsi="Symbol" w:cs="Arial"/>
                <w:sz w:val="20"/>
                <w:szCs w:val="20"/>
                <w:lang w:val="en-US"/>
              </w:rPr>
              <w:t></w:t>
            </w:r>
            <w:r w:rsidRPr="00DE2282">
              <w:rPr>
                <w:rFonts w:ascii="Arial" w:eastAsia="Times New Roman" w:hAnsi="Arial" w:cs="Arial"/>
                <w:sz w:val="20"/>
                <w:szCs w:val="20"/>
                <w:lang w:val="en-US"/>
              </w:rPr>
              <w:t>g/ml</w:t>
            </w:r>
          </w:p>
        </w:tc>
        <w:tc>
          <w:tcPr>
            <w:tcW w:w="1375" w:type="dxa"/>
            <w:gridSpan w:val="2"/>
            <w:tcBorders>
              <w:top w:val="single" w:sz="4" w:space="0" w:color="auto"/>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Ceftazidime</w:t>
            </w:r>
          </w:p>
        </w:tc>
      </w:tr>
      <w:tr w:rsidR="007B515C" w:rsidRPr="00DE2282">
        <w:trPr>
          <w:gridAfter w:val="1"/>
          <w:wAfter w:w="16" w:type="dxa"/>
          <w:trHeight w:val="255"/>
        </w:trPr>
        <w:tc>
          <w:tcPr>
            <w:tcW w:w="866" w:type="dxa"/>
            <w:tcBorders>
              <w:bottom w:val="single" w:sz="4" w:space="0" w:color="auto"/>
            </w:tcBorders>
            <w:shd w:val="solid" w:color="FFFFFF" w:themeColor="background1" w:fill="auto"/>
            <w:noWrap/>
            <w:vAlign w:val="center"/>
          </w:tcPr>
          <w:p w:rsidR="007B515C" w:rsidRPr="00DE2282" w:rsidRDefault="007B515C" w:rsidP="007B515C">
            <w:pPr>
              <w:spacing w:before="120" w:after="120"/>
              <w:jc w:val="center"/>
              <w:rPr>
                <w:rFonts w:ascii="Arial" w:eastAsia="Times New Roman" w:hAnsi="Arial" w:cs="Arial"/>
                <w:bCs/>
                <w:sz w:val="20"/>
                <w:szCs w:val="20"/>
                <w:lang w:val="en-US"/>
              </w:rPr>
            </w:pPr>
          </w:p>
        </w:tc>
        <w:tc>
          <w:tcPr>
            <w:tcW w:w="709" w:type="dxa"/>
            <w:vMerge/>
            <w:tcBorders>
              <w:bottom w:val="single" w:sz="4" w:space="0" w:color="auto"/>
            </w:tcBorders>
            <w:shd w:val="solid" w:color="FFFFFF" w:themeColor="background1" w:fill="auto"/>
            <w:noWrap/>
            <w:vAlign w:val="center"/>
          </w:tcPr>
          <w:p w:rsidR="007B515C" w:rsidRPr="00DE2282" w:rsidRDefault="007B515C" w:rsidP="007B515C">
            <w:pPr>
              <w:spacing w:before="120" w:after="120"/>
              <w:ind w:left="-108" w:right="-132"/>
              <w:jc w:val="center"/>
              <w:rPr>
                <w:rFonts w:ascii="Arial" w:eastAsia="Times New Roman" w:hAnsi="Arial" w:cs="Arial"/>
                <w:bCs/>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2</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4</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8</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2</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4</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8</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1</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2</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4</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2</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4</w:t>
            </w:r>
          </w:p>
        </w:tc>
        <w:tc>
          <w:tcPr>
            <w:tcW w:w="688" w:type="dxa"/>
            <w:tcBorders>
              <w:bottom w:val="single" w:sz="4" w:space="0" w:color="auto"/>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8</w:t>
            </w:r>
          </w:p>
        </w:tc>
        <w:tc>
          <w:tcPr>
            <w:tcW w:w="687" w:type="dxa"/>
            <w:tcBorders>
              <w:bottom w:val="single" w:sz="4" w:space="0" w:color="auto"/>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Alone</w:t>
            </w:r>
          </w:p>
        </w:tc>
        <w:tc>
          <w:tcPr>
            <w:tcW w:w="688" w:type="dxa"/>
            <w:tcBorders>
              <w:bottom w:val="single" w:sz="4" w:space="0" w:color="auto"/>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+AVI</w:t>
            </w:r>
          </w:p>
        </w:tc>
      </w:tr>
      <w:tr w:rsidR="007B515C" w:rsidRPr="00DE2282">
        <w:trPr>
          <w:trHeight w:val="270"/>
        </w:trPr>
        <w:tc>
          <w:tcPr>
            <w:tcW w:w="13965" w:type="dxa"/>
            <w:gridSpan w:val="21"/>
            <w:shd w:val="solid" w:color="FFFFFF" w:themeColor="background1" w:fill="auto"/>
            <w:noWrap/>
            <w:vAlign w:val="center"/>
          </w:tcPr>
          <w:p w:rsidR="007B515C" w:rsidRPr="00DE2282" w:rsidRDefault="003F1E7A" w:rsidP="007B515C">
            <w:pPr>
              <w:spacing w:before="120" w:after="120"/>
              <w:ind w:left="-57" w:right="-133"/>
              <w:rPr>
                <w:rFonts w:ascii="Arial" w:eastAsia="Times New Roman" w:hAnsi="Arial" w:cs="Arial"/>
                <w:sz w:val="20"/>
                <w:szCs w:val="20"/>
                <w:lang w:val="en-US"/>
              </w:rPr>
            </w:pPr>
            <w:r w:rsidRPr="00DE2282">
              <w:rPr>
                <w:rFonts w:ascii="Arial" w:eastAsia="Times New Roman" w:hAnsi="Arial" w:cs="Arial"/>
                <w:bCs/>
                <w:i/>
                <w:iCs/>
                <w:sz w:val="20"/>
                <w:szCs w:val="20"/>
                <w:lang w:val="en-US"/>
              </w:rPr>
              <w:t>E. coli</w:t>
            </w:r>
            <w:r w:rsidRPr="00DE2282">
              <w:rPr>
                <w:rFonts w:ascii="Arial" w:eastAsia="Times New Roman" w:hAnsi="Arial" w:cs="Arial"/>
                <w:bCs/>
                <w:sz w:val="20"/>
                <w:szCs w:val="20"/>
                <w:lang w:val="en-US"/>
              </w:rPr>
              <w:t xml:space="preserve"> H112760544</w:t>
            </w:r>
            <w:r w:rsidRPr="00DE2282">
              <w:rPr>
                <w:rFonts w:ascii="Arial" w:hAnsi="Arial" w:cs="Arial"/>
                <w:bCs/>
                <w:sz w:val="20"/>
                <w:szCs w:val="20"/>
                <w:lang w:val="en-US" w:eastAsia="ja-JP"/>
              </w:rPr>
              <w:t>,</w:t>
            </w:r>
            <w:r w:rsidRPr="00DE2282">
              <w:rPr>
                <w:rFonts w:ascii="Arial" w:eastAsia="Times New Roman" w:hAnsi="Arial" w:cs="Arial"/>
                <w:bCs/>
                <w:sz w:val="20"/>
                <w:szCs w:val="20"/>
                <w:lang w:val="en-US"/>
              </w:rPr>
              <w:t xml:space="preserve"> VIM</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Parent</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1</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1</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2</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3</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4</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r>
      <w:tr w:rsidR="007B515C" w:rsidRPr="00DE2282">
        <w:trPr>
          <w:gridAfter w:val="1"/>
          <w:wAfter w:w="16" w:type="dxa"/>
          <w:trHeight w:val="270"/>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5</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0.06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r>
      <w:tr w:rsidR="007B515C" w:rsidRPr="00DE2282">
        <w:trPr>
          <w:trHeight w:val="270"/>
        </w:trPr>
        <w:tc>
          <w:tcPr>
            <w:tcW w:w="13965" w:type="dxa"/>
            <w:gridSpan w:val="21"/>
            <w:shd w:val="solid" w:color="FFFFFF" w:themeColor="background1" w:fill="auto"/>
            <w:noWrap/>
            <w:vAlign w:val="center"/>
          </w:tcPr>
          <w:p w:rsidR="007B515C" w:rsidRPr="00DE2282" w:rsidRDefault="003F1E7A" w:rsidP="007B515C">
            <w:pPr>
              <w:spacing w:before="120" w:after="120"/>
              <w:ind w:left="-57" w:right="-133"/>
              <w:rPr>
                <w:rFonts w:ascii="Arial" w:eastAsia="Times New Roman" w:hAnsi="Arial" w:cs="Arial"/>
                <w:sz w:val="20"/>
                <w:szCs w:val="20"/>
                <w:lang w:val="en-US"/>
              </w:rPr>
            </w:pPr>
            <w:r w:rsidRPr="00DE2282">
              <w:rPr>
                <w:rFonts w:ascii="Arial" w:eastAsia="Times New Roman" w:hAnsi="Arial" w:cs="Arial"/>
                <w:bCs/>
                <w:i/>
                <w:iCs/>
                <w:sz w:val="20"/>
                <w:szCs w:val="20"/>
                <w:lang w:val="en-US"/>
              </w:rPr>
              <w:t>E. coli</w:t>
            </w:r>
            <w:r w:rsidRPr="00DE2282">
              <w:rPr>
                <w:rFonts w:ascii="Arial" w:eastAsia="Times New Roman" w:hAnsi="Arial" w:cs="Arial"/>
                <w:bCs/>
                <w:sz w:val="20"/>
                <w:szCs w:val="20"/>
                <w:lang w:val="en-US"/>
              </w:rPr>
              <w:t xml:space="preserve"> H112760545</w:t>
            </w:r>
            <w:r w:rsidRPr="00DE2282">
              <w:rPr>
                <w:rFonts w:ascii="Arial" w:hAnsi="Arial" w:cs="Arial"/>
                <w:bCs/>
                <w:sz w:val="20"/>
                <w:szCs w:val="20"/>
                <w:lang w:val="en-US" w:eastAsia="ja-JP"/>
              </w:rPr>
              <w:t>,</w:t>
            </w:r>
            <w:r w:rsidRPr="00DE2282">
              <w:rPr>
                <w:rFonts w:ascii="Arial" w:eastAsia="Times New Roman" w:hAnsi="Arial" w:cs="Arial"/>
                <w:bCs/>
                <w:sz w:val="20"/>
                <w:szCs w:val="20"/>
                <w:lang w:val="en-US"/>
              </w:rPr>
              <w:t xml:space="preserve"> VIM</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Parent</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1</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1</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2</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3</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4</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r>
      <w:tr w:rsidR="007B515C" w:rsidRPr="00DE2282">
        <w:trPr>
          <w:gridAfter w:val="1"/>
          <w:wAfter w:w="16" w:type="dxa"/>
          <w:trHeight w:val="270"/>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5</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r>
      <w:tr w:rsidR="007B515C" w:rsidRPr="00DE2282">
        <w:trPr>
          <w:trHeight w:val="270"/>
        </w:trPr>
        <w:tc>
          <w:tcPr>
            <w:tcW w:w="13965" w:type="dxa"/>
            <w:gridSpan w:val="21"/>
            <w:shd w:val="solid" w:color="FFFFFF" w:themeColor="background1" w:fill="auto"/>
            <w:noWrap/>
            <w:vAlign w:val="center"/>
          </w:tcPr>
          <w:p w:rsidR="007B515C" w:rsidRPr="00DE2282" w:rsidRDefault="003F1E7A" w:rsidP="007B515C">
            <w:pPr>
              <w:spacing w:before="120" w:after="120"/>
              <w:ind w:left="-57" w:right="-133"/>
              <w:rPr>
                <w:rFonts w:ascii="Arial" w:eastAsia="Times New Roman" w:hAnsi="Arial" w:cs="Arial"/>
                <w:sz w:val="20"/>
                <w:szCs w:val="20"/>
                <w:lang w:val="en-US"/>
              </w:rPr>
            </w:pPr>
            <w:r w:rsidRPr="00DE2282">
              <w:rPr>
                <w:rFonts w:ascii="Arial" w:eastAsia="Times New Roman" w:hAnsi="Arial" w:cs="Arial"/>
                <w:bCs/>
                <w:i/>
                <w:iCs/>
                <w:sz w:val="20"/>
                <w:szCs w:val="20"/>
                <w:lang w:val="en-US"/>
              </w:rPr>
              <w:t>Klebsiella</w:t>
            </w:r>
            <w:r w:rsidRPr="00DE2282">
              <w:rPr>
                <w:rFonts w:ascii="Arial" w:eastAsia="Times New Roman" w:hAnsi="Arial" w:cs="Arial"/>
                <w:bCs/>
                <w:sz w:val="20"/>
                <w:szCs w:val="20"/>
                <w:lang w:val="en-US"/>
              </w:rPr>
              <w:t xml:space="preserve"> H090380495</w:t>
            </w:r>
            <w:r w:rsidRPr="00DE2282">
              <w:rPr>
                <w:rFonts w:ascii="Arial" w:hAnsi="Arial" w:cs="Arial"/>
                <w:bCs/>
                <w:sz w:val="20"/>
                <w:szCs w:val="20"/>
                <w:lang w:val="en-US" w:eastAsia="ja-JP"/>
              </w:rPr>
              <w:t>,</w:t>
            </w:r>
            <w:r w:rsidRPr="00DE2282">
              <w:rPr>
                <w:rFonts w:ascii="Arial" w:eastAsia="Times New Roman" w:hAnsi="Arial" w:cs="Arial"/>
                <w:bCs/>
                <w:sz w:val="20"/>
                <w:szCs w:val="20"/>
                <w:lang w:val="en-US"/>
              </w:rPr>
              <w:t xml:space="preserve"> IMP</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Parent</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1</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bCs/>
                <w:sz w:val="20"/>
                <w:szCs w:val="20"/>
                <w:lang w:val="en-US"/>
              </w:rPr>
            </w:pPr>
            <w:r w:rsidRPr="00DE2282">
              <w:rPr>
                <w:rFonts w:ascii="Arial" w:eastAsia="Times New Roman" w:hAnsi="Arial" w:cs="Arial"/>
                <w:bCs/>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bCs/>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1</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2</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2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7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9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8" w:type="dxa"/>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0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95"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8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7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74"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5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3</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2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7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9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95"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8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74"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5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4</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2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7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7" w:type="dxa"/>
            <w:shd w:val="solid" w:color="FFFFFF" w:themeColor="background1" w:fill="auto"/>
            <w:noWrap/>
            <w:vAlign w:val="center"/>
          </w:tcPr>
          <w:p w:rsidR="007B515C" w:rsidRPr="00DE2282" w:rsidRDefault="003F1E7A" w:rsidP="007B515C">
            <w:pPr>
              <w:spacing w:before="120" w:after="120"/>
              <w:ind w:left="-9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10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95"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8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7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5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r>
      <w:tr w:rsidR="007B515C" w:rsidRPr="00DE2282">
        <w:trPr>
          <w:gridAfter w:val="1"/>
          <w:wAfter w:w="16" w:type="dxa"/>
          <w:trHeight w:val="81"/>
        </w:trPr>
        <w:tc>
          <w:tcPr>
            <w:tcW w:w="866" w:type="dxa"/>
            <w:tcBorders>
              <w:bottom w:val="single" w:sz="4" w:space="0" w:color="auto"/>
            </w:tcBorders>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5</w:t>
            </w:r>
          </w:p>
        </w:tc>
        <w:tc>
          <w:tcPr>
            <w:tcW w:w="709"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2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1"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5"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8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4"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&lt;0.016</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0"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&lt;0.016</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16"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&lt;0.016</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57"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tcBorders>
              <w:bottom w:val="single" w:sz="4" w:space="0" w:color="auto"/>
              <w:right w:val="nil"/>
            </w:tcBorders>
            <w:shd w:val="solid" w:color="FFFFFF" w:themeColor="background1" w:fill="auto"/>
            <w:noWrap/>
            <w:vAlign w:val="center"/>
          </w:tcPr>
          <w:p w:rsidR="007B515C" w:rsidRPr="00DE2282" w:rsidRDefault="003F1E7A" w:rsidP="007B515C">
            <w:pPr>
              <w:spacing w:before="120" w:after="120"/>
              <w:ind w:left="-83"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tcBorders>
              <w:bottom w:val="single" w:sz="4" w:space="0" w:color="auto"/>
              <w:right w:val="nil"/>
            </w:tcBorders>
            <w:shd w:val="solid" w:color="FFFFFF" w:themeColor="background1" w:fill="auto"/>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bottom w:val="single" w:sz="4" w:space="0" w:color="auto"/>
              <w:right w:val="nil"/>
            </w:tcBorders>
            <w:shd w:val="solid" w:color="FFFFFF" w:themeColor="background1" w:fill="auto"/>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r>
      <w:tr w:rsidR="007B515C" w:rsidRPr="00DE2282">
        <w:trPr>
          <w:trHeight w:val="255"/>
        </w:trPr>
        <w:tc>
          <w:tcPr>
            <w:tcW w:w="13965" w:type="dxa"/>
            <w:gridSpan w:val="21"/>
            <w:shd w:val="solid" w:color="FFFFFF" w:themeColor="background1" w:fill="auto"/>
            <w:noWrap/>
            <w:vAlign w:val="center"/>
          </w:tcPr>
          <w:p w:rsidR="007B515C" w:rsidRPr="00DE2282" w:rsidRDefault="003F1E7A" w:rsidP="007B515C">
            <w:pPr>
              <w:spacing w:before="120" w:after="120"/>
              <w:ind w:left="-108" w:right="-159"/>
              <w:rPr>
                <w:rFonts w:ascii="Arial" w:eastAsia="Times New Roman" w:hAnsi="Arial" w:cs="Arial"/>
                <w:sz w:val="20"/>
                <w:szCs w:val="20"/>
                <w:lang w:val="en-US"/>
              </w:rPr>
            </w:pPr>
            <w:r w:rsidRPr="00DE2282">
              <w:rPr>
                <w:rFonts w:ascii="Arial" w:eastAsia="Times New Roman" w:hAnsi="Arial" w:cs="Arial"/>
                <w:i/>
                <w:sz w:val="20"/>
                <w:szCs w:val="20"/>
                <w:lang w:val="en-US"/>
              </w:rPr>
              <w:t>Citrobacter</w:t>
            </w:r>
            <w:r w:rsidRPr="00DE2282">
              <w:rPr>
                <w:rFonts w:ascii="Arial" w:eastAsia="Times New Roman" w:hAnsi="Arial" w:cs="Arial"/>
                <w:sz w:val="20"/>
                <w:szCs w:val="20"/>
                <w:lang w:val="en-US"/>
              </w:rPr>
              <w:t xml:space="preserve"> H124560395</w:t>
            </w:r>
            <w:r w:rsidRPr="00DE2282">
              <w:rPr>
                <w:rFonts w:ascii="Arial" w:hAnsi="Arial" w:cs="Arial"/>
                <w:sz w:val="20"/>
                <w:szCs w:val="20"/>
                <w:lang w:val="en-US" w:eastAsia="ja-JP"/>
              </w:rPr>
              <w:t>,</w:t>
            </w:r>
            <w:r w:rsidRPr="00DE2282">
              <w:rPr>
                <w:rFonts w:ascii="Arial" w:eastAsia="Times New Roman" w:hAnsi="Arial" w:cs="Arial"/>
                <w:sz w:val="20"/>
                <w:szCs w:val="20"/>
                <w:lang w:val="en-US"/>
              </w:rPr>
              <w:t xml:space="preserve"> NDM</w:t>
            </w:r>
          </w:p>
        </w:tc>
      </w:tr>
      <w:tr w:rsidR="007B515C" w:rsidRPr="00DE2282">
        <w:trPr>
          <w:gridAfter w:val="1"/>
          <w:wAfter w:w="16" w:type="dxa"/>
          <w:trHeight w:val="270"/>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bCs/>
                <w:sz w:val="20"/>
                <w:szCs w:val="20"/>
                <w:lang w:val="en-US"/>
              </w:rPr>
              <w:t>Parent</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bCs/>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bCs/>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bCs/>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bCs/>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bCs/>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bCs/>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bCs/>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bCs/>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bCs/>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bCs/>
                <w:sz w:val="20"/>
                <w:szCs w:val="20"/>
                <w:lang w:val="en-US"/>
              </w:rPr>
            </w:pPr>
            <w:r w:rsidRPr="00DE2282">
              <w:rPr>
                <w:rFonts w:ascii="Arial" w:eastAsia="Times New Roman" w:hAnsi="Arial" w:cs="Arial"/>
                <w:sz w:val="20"/>
                <w:szCs w:val="20"/>
                <w:lang w:val="en-US"/>
              </w:rPr>
              <w:t>Mut 1</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128</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bCs/>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bCs/>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bCs/>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bCs/>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bCs/>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bCs/>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bCs/>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bCs/>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bCs/>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bCs/>
                <w:sz w:val="20"/>
                <w:szCs w:val="20"/>
                <w:lang w:val="en-US"/>
              </w:rPr>
            </w:pPr>
            <w:r w:rsidRPr="00DE2282">
              <w:rPr>
                <w:rFonts w:ascii="Arial" w:eastAsia="Times New Roman" w:hAnsi="Arial" w:cs="Arial"/>
                <w:sz w:val="20"/>
                <w:szCs w:val="20"/>
                <w:lang w:val="en-US"/>
              </w:rPr>
              <w:t>2</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2</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2</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3</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bookmarkStart w:id="2" w:name="_GoBack"/>
            <w:bookmarkEnd w:id="2"/>
            <w:r w:rsidRPr="00DE2282">
              <w:rPr>
                <w:rFonts w:ascii="Arial" w:eastAsia="Times New Roman" w:hAnsi="Arial" w:cs="Arial"/>
                <w:sz w:val="20"/>
                <w:szCs w:val="20"/>
                <w:lang w:val="en-US"/>
              </w:rPr>
              <w:t>Mut 4</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5</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0.06</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trHeight w:val="270"/>
        </w:trPr>
        <w:tc>
          <w:tcPr>
            <w:tcW w:w="13965" w:type="dxa"/>
            <w:gridSpan w:val="21"/>
            <w:shd w:val="solid" w:color="FFFFFF" w:themeColor="background1" w:fill="auto"/>
            <w:noWrap/>
            <w:vAlign w:val="center"/>
          </w:tcPr>
          <w:p w:rsidR="007B515C" w:rsidRPr="00DE2282" w:rsidRDefault="003F1E7A" w:rsidP="007B515C">
            <w:pPr>
              <w:spacing w:before="120" w:after="120"/>
              <w:ind w:left="-57" w:right="-133"/>
              <w:rPr>
                <w:rFonts w:ascii="Arial" w:eastAsia="Times New Roman" w:hAnsi="Arial" w:cs="Arial"/>
                <w:sz w:val="20"/>
                <w:szCs w:val="20"/>
                <w:lang w:val="en-US"/>
              </w:rPr>
            </w:pPr>
            <w:r w:rsidRPr="00DE2282">
              <w:rPr>
                <w:rFonts w:ascii="Arial" w:eastAsia="Times New Roman" w:hAnsi="Arial" w:cs="Arial"/>
                <w:bCs/>
                <w:i/>
                <w:sz w:val="20"/>
                <w:szCs w:val="20"/>
                <w:lang w:val="en-US"/>
              </w:rPr>
              <w:t>Klebsiella</w:t>
            </w:r>
            <w:r w:rsidRPr="00DE2282">
              <w:rPr>
                <w:rFonts w:ascii="Arial" w:eastAsia="Times New Roman" w:hAnsi="Arial" w:cs="Arial"/>
                <w:bCs/>
                <w:sz w:val="20"/>
                <w:szCs w:val="20"/>
                <w:lang w:val="en-US"/>
              </w:rPr>
              <w:t xml:space="preserve"> H101620268</w:t>
            </w:r>
            <w:r w:rsidRPr="00DE2282">
              <w:rPr>
                <w:rFonts w:ascii="Arial" w:hAnsi="Arial" w:cs="Arial"/>
                <w:bCs/>
                <w:sz w:val="20"/>
                <w:szCs w:val="20"/>
                <w:lang w:val="en-US" w:eastAsia="ja-JP"/>
              </w:rPr>
              <w:t>,</w:t>
            </w:r>
            <w:r w:rsidRPr="00DE2282">
              <w:rPr>
                <w:rFonts w:ascii="Arial" w:eastAsia="Times New Roman" w:hAnsi="Arial" w:cs="Arial"/>
                <w:bCs/>
                <w:sz w:val="20"/>
                <w:szCs w:val="20"/>
                <w:lang w:val="en-US"/>
              </w:rPr>
              <w:t xml:space="preserve"> IMP</w:t>
            </w:r>
          </w:p>
        </w:tc>
      </w:tr>
      <w:tr w:rsidR="007B515C" w:rsidRPr="00DE2282">
        <w:trPr>
          <w:gridAfter w:val="1"/>
          <w:wAfter w:w="16" w:type="dxa"/>
          <w:trHeight w:val="270"/>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bCs/>
                <w:sz w:val="20"/>
                <w:szCs w:val="20"/>
                <w:lang w:val="en-US"/>
              </w:rPr>
              <w:t>Parent</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bCs/>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bCs/>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bCs/>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bCs/>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bCs/>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bCs/>
                <w:sz w:val="20"/>
                <w:szCs w:val="20"/>
                <w:lang w:val="en-US"/>
              </w:rPr>
            </w:pPr>
            <w:r w:rsidRPr="00DE2282">
              <w:rPr>
                <w:rFonts w:ascii="Arial" w:eastAsia="Times New Roman" w:hAnsi="Arial" w:cs="Arial"/>
                <w:sz w:val="20"/>
                <w:szCs w:val="20"/>
                <w:lang w:val="en-US"/>
              </w:rPr>
              <w:t>Mut 1</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bCs/>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bCs/>
                <w:sz w:val="20"/>
                <w:szCs w:val="20"/>
                <w:lang w:val="en-US"/>
              </w:rPr>
            </w:pPr>
            <w:r w:rsidRPr="00DE2282">
              <w:rPr>
                <w:rFonts w:ascii="Arial" w:eastAsia="Times New Roman" w:hAnsi="Arial" w:cs="Arial"/>
                <w:sz w:val="20"/>
                <w:szCs w:val="20"/>
                <w:lang w:val="en-US"/>
              </w:rPr>
              <w:t>0.5</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bCs/>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bCs/>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bCs/>
                <w:sz w:val="20"/>
                <w:szCs w:val="20"/>
                <w:lang w:val="en-US"/>
              </w:rPr>
            </w:pPr>
            <w:r w:rsidRPr="00DE2282">
              <w:rPr>
                <w:rFonts w:ascii="Arial" w:eastAsia="Times New Roman" w:hAnsi="Arial" w:cs="Arial"/>
                <w:sz w:val="20"/>
                <w:szCs w:val="20"/>
                <w:lang w:val="en-US"/>
              </w:rPr>
              <w:t>0.25</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bCs/>
                <w:sz w:val="20"/>
                <w:szCs w:val="20"/>
                <w:lang w:val="en-US"/>
              </w:rPr>
            </w:pPr>
            <w:r w:rsidRPr="00DE2282">
              <w:rPr>
                <w:rFonts w:ascii="Arial" w:eastAsia="Times New Roman" w:hAnsi="Arial" w:cs="Arial"/>
                <w:sz w:val="20"/>
                <w:szCs w:val="20"/>
                <w:lang w:val="en-US"/>
              </w:rPr>
              <w:t>0.25</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bCs/>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bCs/>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bCs/>
                <w:sz w:val="20"/>
                <w:szCs w:val="20"/>
                <w:lang w:val="en-US"/>
              </w:rPr>
            </w:pPr>
            <w:r w:rsidRPr="00DE2282">
              <w:rPr>
                <w:rFonts w:ascii="Arial" w:eastAsia="Times New Roman" w:hAnsi="Arial" w:cs="Arial"/>
                <w:sz w:val="20"/>
                <w:szCs w:val="20"/>
                <w:lang w:val="en-US"/>
              </w:rPr>
              <w:t>0.5</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bCs/>
                <w:sz w:val="20"/>
                <w:szCs w:val="20"/>
                <w:lang w:val="en-US"/>
              </w:rPr>
            </w:pPr>
            <w:r w:rsidRPr="00DE2282">
              <w:rPr>
                <w:rFonts w:ascii="Arial" w:eastAsia="Times New Roman" w:hAnsi="Arial" w:cs="Arial"/>
                <w:sz w:val="20"/>
                <w:szCs w:val="20"/>
                <w:lang w:val="en-US"/>
              </w:rPr>
              <w:t>1</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0.5</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2</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128</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3</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0.06</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4</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0.25</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5</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1</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0.06</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r>
      <w:tr w:rsidR="007B515C" w:rsidRPr="00DE2282">
        <w:trPr>
          <w:gridAfter w:val="1"/>
          <w:wAfter w:w="16" w:type="dxa"/>
          <w:trHeight w:val="255"/>
        </w:trPr>
        <w:tc>
          <w:tcPr>
            <w:tcW w:w="866" w:type="dxa"/>
            <w:tcBorders>
              <w:bottom w:val="single" w:sz="4" w:space="0" w:color="auto"/>
            </w:tcBorders>
            <w:shd w:val="solid" w:color="FFFFFF" w:themeColor="background1" w:fill="auto"/>
            <w:noWrap/>
            <w:vAlign w:val="center"/>
          </w:tcPr>
          <w:p w:rsidR="007B515C" w:rsidRPr="00DE2282" w:rsidRDefault="007B515C" w:rsidP="007B515C">
            <w:pPr>
              <w:spacing w:before="120" w:after="120"/>
              <w:jc w:val="center"/>
              <w:rPr>
                <w:rFonts w:ascii="Arial" w:eastAsia="Times New Roman" w:hAnsi="Arial" w:cs="Arial"/>
                <w:sz w:val="20"/>
                <w:szCs w:val="20"/>
                <w:lang w:val="en-US"/>
              </w:rPr>
            </w:pPr>
          </w:p>
        </w:tc>
        <w:tc>
          <w:tcPr>
            <w:tcW w:w="709"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108" w:right="-132"/>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108" w:right="-108"/>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123" w:right="-117"/>
              <w:jc w:val="center"/>
              <w:rPr>
                <w:rFonts w:ascii="Arial" w:eastAsia="Times New Roman" w:hAnsi="Arial" w:cs="Arial"/>
                <w:sz w:val="20"/>
                <w:szCs w:val="20"/>
                <w:lang w:val="en-US"/>
              </w:rPr>
            </w:pPr>
          </w:p>
        </w:tc>
        <w:tc>
          <w:tcPr>
            <w:tcW w:w="688"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71" w:right="-111"/>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91" w:right="-78"/>
              <w:jc w:val="center"/>
              <w:rPr>
                <w:rFonts w:ascii="Arial" w:eastAsia="Times New Roman" w:hAnsi="Arial" w:cs="Arial"/>
                <w:sz w:val="20"/>
                <w:szCs w:val="20"/>
                <w:lang w:val="en-US"/>
              </w:rPr>
            </w:pPr>
          </w:p>
        </w:tc>
        <w:tc>
          <w:tcPr>
            <w:tcW w:w="688"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90" w:right="-108"/>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107" w:right="-65"/>
              <w:jc w:val="center"/>
              <w:rPr>
                <w:rFonts w:ascii="Arial" w:eastAsia="Times New Roman" w:hAnsi="Arial" w:cs="Arial"/>
                <w:sz w:val="20"/>
                <w:szCs w:val="20"/>
                <w:lang w:val="en-US"/>
              </w:rPr>
            </w:pPr>
          </w:p>
        </w:tc>
        <w:tc>
          <w:tcPr>
            <w:tcW w:w="688"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95" w:right="-101"/>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87" w:right="-124"/>
              <w:jc w:val="center"/>
              <w:rPr>
                <w:rFonts w:ascii="Arial" w:eastAsia="Times New Roman" w:hAnsi="Arial" w:cs="Arial"/>
                <w:sz w:val="20"/>
                <w:szCs w:val="20"/>
                <w:lang w:val="en-US"/>
              </w:rPr>
            </w:pPr>
          </w:p>
        </w:tc>
        <w:tc>
          <w:tcPr>
            <w:tcW w:w="688"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78" w:right="-114"/>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74" w:right="-126"/>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90" w:right="-106"/>
              <w:jc w:val="center"/>
              <w:rPr>
                <w:rFonts w:ascii="Arial" w:eastAsia="Times New Roman" w:hAnsi="Arial" w:cs="Arial"/>
                <w:sz w:val="20"/>
                <w:szCs w:val="20"/>
                <w:lang w:val="en-US"/>
              </w:rPr>
            </w:pPr>
          </w:p>
        </w:tc>
        <w:tc>
          <w:tcPr>
            <w:tcW w:w="688"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116" w:right="-123"/>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73" w:right="-93"/>
              <w:jc w:val="center"/>
              <w:rPr>
                <w:rFonts w:ascii="Arial" w:eastAsia="Times New Roman" w:hAnsi="Arial" w:cs="Arial"/>
                <w:sz w:val="20"/>
                <w:szCs w:val="20"/>
                <w:lang w:val="en-US"/>
              </w:rPr>
            </w:pPr>
          </w:p>
        </w:tc>
        <w:tc>
          <w:tcPr>
            <w:tcW w:w="688"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108" w:right="-159"/>
              <w:jc w:val="center"/>
              <w:rPr>
                <w:rFonts w:ascii="Arial" w:eastAsia="Times New Roman" w:hAnsi="Arial" w:cs="Arial"/>
                <w:sz w:val="20"/>
                <w:szCs w:val="20"/>
                <w:lang w:val="en-US"/>
              </w:rPr>
            </w:pPr>
          </w:p>
        </w:tc>
        <w:tc>
          <w:tcPr>
            <w:tcW w:w="687" w:type="dxa"/>
            <w:tcBorders>
              <w:bottom w:val="single" w:sz="4" w:space="0" w:color="auto"/>
            </w:tcBorders>
            <w:shd w:val="solid" w:color="FFFFFF" w:themeColor="background1" w:fill="auto"/>
            <w:noWrap/>
            <w:vAlign w:val="center"/>
          </w:tcPr>
          <w:p w:rsidR="007B515C" w:rsidRPr="00DE2282" w:rsidRDefault="007B515C" w:rsidP="007B515C">
            <w:pPr>
              <w:spacing w:before="120" w:after="120"/>
              <w:ind w:left="-57" w:right="-133"/>
              <w:jc w:val="center"/>
              <w:rPr>
                <w:rFonts w:ascii="Arial" w:eastAsia="Times New Roman" w:hAnsi="Arial" w:cs="Arial"/>
                <w:sz w:val="20"/>
                <w:szCs w:val="20"/>
                <w:lang w:val="en-US"/>
              </w:rPr>
            </w:pPr>
          </w:p>
        </w:tc>
        <w:tc>
          <w:tcPr>
            <w:tcW w:w="688" w:type="dxa"/>
            <w:tcBorders>
              <w:bottom w:val="single" w:sz="4" w:space="0" w:color="auto"/>
              <w:right w:val="nil"/>
            </w:tcBorders>
            <w:shd w:val="solid" w:color="FFFFFF" w:themeColor="background1" w:fill="auto"/>
            <w:noWrap/>
            <w:vAlign w:val="center"/>
          </w:tcPr>
          <w:p w:rsidR="007B515C" w:rsidRPr="00DE2282" w:rsidRDefault="007B515C" w:rsidP="007B515C">
            <w:pPr>
              <w:spacing w:before="120" w:after="120"/>
              <w:ind w:left="-83" w:right="-108"/>
              <w:jc w:val="center"/>
              <w:rPr>
                <w:rFonts w:ascii="Arial" w:eastAsia="Times New Roman" w:hAnsi="Arial" w:cs="Arial"/>
                <w:sz w:val="20"/>
                <w:szCs w:val="20"/>
                <w:lang w:val="en-US"/>
              </w:rPr>
            </w:pPr>
          </w:p>
        </w:tc>
        <w:tc>
          <w:tcPr>
            <w:tcW w:w="687" w:type="dxa"/>
            <w:tcBorders>
              <w:bottom w:val="single" w:sz="4" w:space="0" w:color="auto"/>
              <w:right w:val="nil"/>
            </w:tcBorders>
            <w:shd w:val="solid" w:color="FFFFFF" w:themeColor="background1" w:fill="auto"/>
            <w:vAlign w:val="center"/>
          </w:tcPr>
          <w:p w:rsidR="007B515C" w:rsidRPr="00DE2282" w:rsidRDefault="007B515C" w:rsidP="007B515C">
            <w:pPr>
              <w:spacing w:before="120" w:after="120"/>
              <w:ind w:left="-74" w:right="-126"/>
              <w:jc w:val="center"/>
              <w:rPr>
                <w:rFonts w:ascii="Arial" w:eastAsia="Times New Roman" w:hAnsi="Arial" w:cs="Arial"/>
                <w:sz w:val="20"/>
                <w:szCs w:val="20"/>
                <w:lang w:val="en-US"/>
              </w:rPr>
            </w:pPr>
          </w:p>
        </w:tc>
        <w:tc>
          <w:tcPr>
            <w:tcW w:w="688" w:type="dxa"/>
            <w:tcBorders>
              <w:bottom w:val="single" w:sz="4" w:space="0" w:color="auto"/>
              <w:right w:val="nil"/>
            </w:tcBorders>
            <w:shd w:val="solid" w:color="FFFFFF" w:themeColor="background1" w:fill="auto"/>
            <w:vAlign w:val="center"/>
          </w:tcPr>
          <w:p w:rsidR="007B515C" w:rsidRPr="00DE2282" w:rsidRDefault="007B515C" w:rsidP="007B515C">
            <w:pPr>
              <w:spacing w:before="120" w:after="120"/>
              <w:ind w:left="-74" w:right="-126"/>
              <w:jc w:val="center"/>
              <w:rPr>
                <w:rFonts w:ascii="Arial" w:eastAsia="Times New Roman" w:hAnsi="Arial" w:cs="Arial"/>
                <w:sz w:val="20"/>
                <w:szCs w:val="20"/>
                <w:lang w:val="en-US"/>
              </w:rPr>
            </w:pPr>
          </w:p>
        </w:tc>
      </w:tr>
      <w:tr w:rsidR="007B515C" w:rsidRPr="00DE2282">
        <w:trPr>
          <w:trHeight w:val="255"/>
        </w:trPr>
        <w:tc>
          <w:tcPr>
            <w:tcW w:w="13965" w:type="dxa"/>
            <w:gridSpan w:val="21"/>
            <w:shd w:val="solid" w:color="FFFFFF" w:themeColor="background1" w:fill="auto"/>
            <w:noWrap/>
            <w:vAlign w:val="center"/>
          </w:tcPr>
          <w:p w:rsidR="007B515C" w:rsidRPr="00DE2282" w:rsidRDefault="003F1E7A" w:rsidP="007B515C">
            <w:pPr>
              <w:spacing w:before="120" w:after="120"/>
              <w:ind w:left="-57" w:right="-133"/>
              <w:rPr>
                <w:rFonts w:ascii="Arial" w:eastAsia="Times New Roman" w:hAnsi="Arial" w:cs="Arial"/>
                <w:sz w:val="20"/>
                <w:szCs w:val="20"/>
                <w:lang w:val="en-US"/>
              </w:rPr>
            </w:pPr>
            <w:r w:rsidRPr="00DE2282">
              <w:rPr>
                <w:rFonts w:ascii="Arial" w:eastAsia="Times New Roman" w:hAnsi="Arial" w:cs="Arial"/>
                <w:bCs/>
                <w:i/>
                <w:sz w:val="20"/>
                <w:szCs w:val="20"/>
                <w:lang w:val="en-US"/>
              </w:rPr>
              <w:t>Citrobacter</w:t>
            </w:r>
            <w:r w:rsidRPr="00DE2282">
              <w:rPr>
                <w:rFonts w:ascii="Arial" w:eastAsia="Times New Roman" w:hAnsi="Arial" w:cs="Arial"/>
                <w:bCs/>
                <w:sz w:val="20"/>
                <w:szCs w:val="20"/>
                <w:lang w:val="en-US"/>
              </w:rPr>
              <w:t xml:space="preserve">  H132820363</w:t>
            </w:r>
            <w:r w:rsidRPr="00DE2282">
              <w:rPr>
                <w:rFonts w:ascii="Arial" w:hAnsi="Arial" w:cs="Arial"/>
                <w:bCs/>
                <w:sz w:val="20"/>
                <w:szCs w:val="20"/>
                <w:lang w:val="en-US" w:eastAsia="ja-JP"/>
              </w:rPr>
              <w:t>,</w:t>
            </w:r>
            <w:r w:rsidRPr="00DE2282">
              <w:rPr>
                <w:rFonts w:ascii="Arial" w:eastAsia="Times New Roman" w:hAnsi="Arial" w:cs="Arial"/>
                <w:bCs/>
                <w:sz w:val="20"/>
                <w:szCs w:val="20"/>
                <w:lang w:val="en-US"/>
              </w:rPr>
              <w:t xml:space="preserve"> NDM</w:t>
            </w:r>
          </w:p>
        </w:tc>
      </w:tr>
      <w:tr w:rsidR="007B515C" w:rsidRPr="00DE2282">
        <w:trPr>
          <w:gridAfter w:val="1"/>
          <w:wAfter w:w="16" w:type="dxa"/>
          <w:trHeight w:val="270"/>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bCs/>
                <w:sz w:val="20"/>
                <w:szCs w:val="20"/>
                <w:lang w:val="en-US"/>
              </w:rPr>
              <w:t>Parent</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bCs/>
                <w:sz w:val="20"/>
                <w:szCs w:val="20"/>
                <w:lang w:val="en-US"/>
              </w:rPr>
              <w:t>1</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bCs/>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bCs/>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bCs/>
                <w:sz w:val="20"/>
                <w:szCs w:val="20"/>
                <w:lang w:val="en-US"/>
              </w:rPr>
              <w:t>0.06</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bCs/>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bCs/>
                <w:sz w:val="20"/>
                <w:szCs w:val="20"/>
                <w:u w:val="single"/>
                <w:lang w:val="en-US"/>
              </w:rPr>
              <w:t>&lt;</w:t>
            </w:r>
            <w:r w:rsidRPr="00DE2282">
              <w:rPr>
                <w:rFonts w:ascii="Arial" w:eastAsia="Times New Roman" w:hAnsi="Arial" w:cs="Arial"/>
                <w:bCs/>
                <w:sz w:val="20"/>
                <w:szCs w:val="20"/>
                <w:lang w:val="en-US"/>
              </w:rPr>
              <w:t>0.016</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bCs/>
                <w:sz w:val="20"/>
                <w:szCs w:val="20"/>
                <w:lang w:val="en-US"/>
              </w:rPr>
            </w:pPr>
            <w:r w:rsidRPr="00DE2282">
              <w:rPr>
                <w:rFonts w:ascii="Arial" w:eastAsia="Times New Roman" w:hAnsi="Arial" w:cs="Arial"/>
                <w:sz w:val="20"/>
                <w:szCs w:val="20"/>
                <w:lang w:val="en-US"/>
              </w:rPr>
              <w:t>Mut 1</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bCs/>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bCs/>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bCs/>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bCs/>
                <w:sz w:val="20"/>
                <w:szCs w:val="20"/>
                <w:lang w:val="en-US"/>
              </w:rPr>
            </w:pPr>
            <w:r w:rsidRPr="00DE2282">
              <w:rPr>
                <w:rFonts w:ascii="Arial" w:eastAsia="Times New Roman" w:hAnsi="Arial" w:cs="Arial"/>
                <w:sz w:val="20"/>
                <w:szCs w:val="20"/>
                <w:lang w:val="en-US"/>
              </w:rPr>
              <w:t>0.5</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bCs/>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bCs/>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bCs/>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bCs/>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bCs/>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bCs/>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bCs/>
                <w:sz w:val="20"/>
                <w:szCs w:val="20"/>
                <w:lang w:val="en-US"/>
              </w:rPr>
            </w:pPr>
            <w:r w:rsidRPr="00DE2282">
              <w:rPr>
                <w:rFonts w:ascii="Arial" w:eastAsia="Times New Roman" w:hAnsi="Arial" w:cs="Arial"/>
                <w:sz w:val="20"/>
                <w:szCs w:val="20"/>
                <w:lang w:val="en-US"/>
              </w:rPr>
              <w:t>2</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bCs/>
                <w:sz w:val="20"/>
                <w:szCs w:val="20"/>
                <w:lang w:val="en-US"/>
              </w:rPr>
            </w:pPr>
            <w:r w:rsidRPr="00DE2282">
              <w:rPr>
                <w:rFonts w:ascii="Arial" w:eastAsia="Times New Roman" w:hAnsi="Arial" w:cs="Arial"/>
                <w:sz w:val="20"/>
                <w:szCs w:val="20"/>
                <w:lang w:val="en-US"/>
              </w:rPr>
              <w:t>2</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bCs/>
                <w:sz w:val="20"/>
                <w:szCs w:val="20"/>
                <w:lang w:val="en-US"/>
              </w:rPr>
            </w:pPr>
            <w:r w:rsidRPr="00DE2282">
              <w:rPr>
                <w:rFonts w:ascii="Arial" w:eastAsia="Times New Roman" w:hAnsi="Arial" w:cs="Arial"/>
                <w:sz w:val="20"/>
                <w:szCs w:val="20"/>
                <w:lang w:val="en-US"/>
              </w:rPr>
              <w:t>2</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2</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32</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ind w:left="-83"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4</w:t>
            </w:r>
          </w:p>
        </w:tc>
        <w:tc>
          <w:tcPr>
            <w:tcW w:w="709" w:type="dxa"/>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256</w:t>
            </w:r>
          </w:p>
        </w:tc>
        <w:tc>
          <w:tcPr>
            <w:tcW w:w="687" w:type="dxa"/>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7" w:type="dxa"/>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8" w:type="dxa"/>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lang w:val="en-US"/>
              </w:rPr>
              <w:t>0.03</w:t>
            </w:r>
          </w:p>
        </w:tc>
        <w:tc>
          <w:tcPr>
            <w:tcW w:w="687" w:type="dxa"/>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right w:val="nil"/>
            </w:tcBorders>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r w:rsidR="007B515C" w:rsidRPr="00DE2282">
        <w:trPr>
          <w:gridAfter w:val="1"/>
          <w:wAfter w:w="16" w:type="dxa"/>
          <w:trHeight w:val="255"/>
        </w:trPr>
        <w:tc>
          <w:tcPr>
            <w:tcW w:w="866" w:type="dxa"/>
            <w:tcBorders>
              <w:bottom w:val="single" w:sz="4" w:space="0" w:color="auto"/>
            </w:tcBorders>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Mut 5</w:t>
            </w:r>
          </w:p>
        </w:tc>
        <w:tc>
          <w:tcPr>
            <w:tcW w:w="709"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32"/>
              <w:jc w:val="center"/>
              <w:rPr>
                <w:rFonts w:ascii="Arial" w:eastAsia="Times New Roman" w:hAnsi="Arial" w:cs="Arial"/>
                <w:sz w:val="20"/>
                <w:szCs w:val="20"/>
                <w:lang w:val="en-US"/>
              </w:rPr>
            </w:pPr>
            <w:r w:rsidRPr="00DE2282">
              <w:rPr>
                <w:rFonts w:ascii="Arial" w:eastAsia="Times New Roman" w:hAnsi="Arial" w:cs="Arial"/>
                <w:sz w:val="20"/>
                <w:szCs w:val="20"/>
                <w:lang w:val="en-US"/>
              </w:rPr>
              <w:t>&gt;32</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23" w:right="-117"/>
              <w:jc w:val="center"/>
              <w:rPr>
                <w:rFonts w:ascii="Arial" w:eastAsia="Times New Roman" w:hAnsi="Arial" w:cs="Arial"/>
                <w:sz w:val="20"/>
                <w:szCs w:val="20"/>
                <w:lang w:val="en-US"/>
              </w:rPr>
            </w:pPr>
            <w:r w:rsidRPr="00DE2282">
              <w:rPr>
                <w:rFonts w:ascii="Arial" w:eastAsia="Times New Roman" w:hAnsi="Arial" w:cs="Arial"/>
                <w:sz w:val="20"/>
                <w:szCs w:val="20"/>
                <w:lang w:val="en-US"/>
              </w:rPr>
              <w:t>16</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1" w:right="-111"/>
              <w:jc w:val="center"/>
              <w:rPr>
                <w:rFonts w:ascii="Arial" w:eastAsia="Times New Roman" w:hAnsi="Arial" w:cs="Arial"/>
                <w:sz w:val="20"/>
                <w:szCs w:val="20"/>
                <w:lang w:val="en-US"/>
              </w:rPr>
            </w:pPr>
            <w:r w:rsidRPr="00DE2282">
              <w:rPr>
                <w:rFonts w:ascii="Arial" w:eastAsia="Times New Roman" w:hAnsi="Arial" w:cs="Arial"/>
                <w:sz w:val="20"/>
                <w:szCs w:val="20"/>
                <w:lang w:val="en-US"/>
              </w:rPr>
              <w:t>8</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1" w:right="-78"/>
              <w:jc w:val="center"/>
              <w:rPr>
                <w:rFonts w:ascii="Arial" w:eastAsia="Times New Roman" w:hAnsi="Arial" w:cs="Arial"/>
                <w:sz w:val="20"/>
                <w:szCs w:val="20"/>
                <w:lang w:val="en-US"/>
              </w:rPr>
            </w:pPr>
            <w:r w:rsidRPr="00DE2282">
              <w:rPr>
                <w:rFonts w:ascii="Arial" w:eastAsia="Times New Roman" w:hAnsi="Arial" w:cs="Arial"/>
                <w:sz w:val="20"/>
                <w:szCs w:val="20"/>
                <w:lang w:val="en-US"/>
              </w:rPr>
              <w:t>0.5</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0" w:right="-108"/>
              <w:jc w:val="center"/>
              <w:rPr>
                <w:rFonts w:ascii="Arial" w:eastAsia="Times New Roman" w:hAnsi="Arial" w:cs="Arial"/>
                <w:sz w:val="20"/>
                <w:szCs w:val="20"/>
                <w:lang w:val="en-US"/>
              </w:rPr>
            </w:pPr>
            <w:r w:rsidRPr="00DE2282">
              <w:rPr>
                <w:rFonts w:ascii="Arial" w:eastAsia="Times New Roman" w:hAnsi="Arial" w:cs="Arial"/>
                <w:sz w:val="20"/>
                <w:szCs w:val="20"/>
                <w:lang w:val="en-US"/>
              </w:rPr>
              <w:t>64</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7" w:right="-65"/>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5" w:right="-101"/>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87" w:right="-124"/>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8" w:right="-114"/>
              <w:jc w:val="center"/>
              <w:rPr>
                <w:rFonts w:ascii="Arial" w:eastAsia="Times New Roman" w:hAnsi="Arial" w:cs="Arial"/>
                <w:sz w:val="20"/>
                <w:szCs w:val="20"/>
                <w:lang w:val="en-US"/>
              </w:rPr>
            </w:pPr>
            <w:r w:rsidRPr="00DE2282">
              <w:rPr>
                <w:rFonts w:ascii="Arial" w:eastAsia="Times New Roman" w:hAnsi="Arial" w:cs="Arial"/>
                <w:sz w:val="20"/>
                <w:szCs w:val="20"/>
                <w:lang w:val="en-US"/>
              </w:rPr>
              <w:t>0.125</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4" w:right="-12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90" w:right="-106"/>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16" w:right="-123"/>
              <w:jc w:val="center"/>
              <w:rPr>
                <w:rFonts w:ascii="Arial" w:eastAsia="Times New Roman" w:hAnsi="Arial" w:cs="Arial"/>
                <w:sz w:val="20"/>
                <w:szCs w:val="20"/>
                <w:lang w:val="en-US"/>
              </w:rPr>
            </w:pPr>
            <w:r w:rsidRPr="00DE2282">
              <w:rPr>
                <w:rFonts w:ascii="Arial" w:eastAsia="Times New Roman" w:hAnsi="Arial" w:cs="Arial"/>
                <w:sz w:val="20"/>
                <w:szCs w:val="20"/>
                <w:u w:val="single"/>
                <w:lang w:val="en-US"/>
              </w:rPr>
              <w:t>&lt;</w:t>
            </w:r>
            <w:r w:rsidRPr="00DE2282">
              <w:rPr>
                <w:rFonts w:ascii="Arial" w:eastAsia="Times New Roman" w:hAnsi="Arial" w:cs="Arial"/>
                <w:sz w:val="20"/>
                <w:szCs w:val="20"/>
                <w:lang w:val="en-US"/>
              </w:rPr>
              <w:t>0.016</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73" w:right="-93"/>
              <w:jc w:val="center"/>
              <w:rPr>
                <w:rFonts w:ascii="Arial" w:eastAsia="Times New Roman" w:hAnsi="Arial" w:cs="Arial"/>
                <w:sz w:val="20"/>
                <w:szCs w:val="20"/>
                <w:lang w:val="en-US"/>
              </w:rPr>
            </w:pPr>
            <w:r w:rsidRPr="00DE2282">
              <w:rPr>
                <w:rFonts w:ascii="Arial" w:eastAsia="Times New Roman" w:hAnsi="Arial" w:cs="Arial"/>
                <w:sz w:val="20"/>
                <w:szCs w:val="20"/>
                <w:lang w:val="en-US"/>
              </w:rPr>
              <w:t>4</w:t>
            </w:r>
          </w:p>
        </w:tc>
        <w:tc>
          <w:tcPr>
            <w:tcW w:w="688"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tcBorders>
              <w:bottom w:val="single" w:sz="4" w:space="0" w:color="auto"/>
            </w:tcBorders>
            <w:shd w:val="solid" w:color="FFFFFF" w:themeColor="background1" w:fill="auto"/>
            <w:noWrap/>
            <w:vAlign w:val="center"/>
          </w:tcPr>
          <w:p w:rsidR="007B515C" w:rsidRPr="00DE2282" w:rsidRDefault="003F1E7A" w:rsidP="007B515C">
            <w:pPr>
              <w:spacing w:before="120" w:after="120"/>
              <w:ind w:left="-57" w:right="-133"/>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8" w:type="dxa"/>
            <w:tcBorders>
              <w:bottom w:val="single" w:sz="4" w:space="0" w:color="auto"/>
              <w:right w:val="nil"/>
            </w:tcBorders>
            <w:shd w:val="solid" w:color="FFFFFF" w:themeColor="background1" w:fill="auto"/>
            <w:noWrap/>
            <w:vAlign w:val="center"/>
          </w:tcPr>
          <w:p w:rsidR="007B515C" w:rsidRPr="00DE2282" w:rsidRDefault="003F1E7A" w:rsidP="007B515C">
            <w:pPr>
              <w:spacing w:before="120" w:after="120"/>
              <w:jc w:val="center"/>
              <w:rPr>
                <w:rFonts w:ascii="Arial" w:eastAsia="Times New Roman" w:hAnsi="Arial" w:cs="Arial"/>
                <w:sz w:val="20"/>
                <w:szCs w:val="20"/>
                <w:lang w:val="en-US"/>
              </w:rPr>
            </w:pPr>
            <w:r w:rsidRPr="00DE2282">
              <w:rPr>
                <w:rFonts w:ascii="Arial" w:eastAsia="Times New Roman" w:hAnsi="Arial" w:cs="Arial"/>
                <w:sz w:val="20"/>
                <w:szCs w:val="20"/>
                <w:lang w:val="en-US"/>
              </w:rPr>
              <w:t>2</w:t>
            </w:r>
          </w:p>
        </w:tc>
        <w:tc>
          <w:tcPr>
            <w:tcW w:w="687" w:type="dxa"/>
            <w:tcBorders>
              <w:bottom w:val="single" w:sz="4" w:space="0" w:color="auto"/>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c>
          <w:tcPr>
            <w:tcW w:w="688" w:type="dxa"/>
            <w:tcBorders>
              <w:bottom w:val="single" w:sz="4" w:space="0" w:color="auto"/>
              <w:right w:val="nil"/>
            </w:tcBorders>
            <w:shd w:val="solid" w:color="FFFFFF" w:themeColor="background1" w:fill="auto"/>
            <w:vAlign w:val="center"/>
          </w:tcPr>
          <w:p w:rsidR="007B515C" w:rsidRPr="00DE2282" w:rsidRDefault="003F1E7A" w:rsidP="007B515C">
            <w:pPr>
              <w:spacing w:before="120" w:after="120"/>
              <w:ind w:left="-108" w:right="-159"/>
              <w:jc w:val="center"/>
              <w:rPr>
                <w:rFonts w:ascii="Arial" w:eastAsia="Times New Roman" w:hAnsi="Arial" w:cs="Arial"/>
                <w:sz w:val="20"/>
                <w:szCs w:val="20"/>
                <w:lang w:val="en-US"/>
              </w:rPr>
            </w:pPr>
            <w:r w:rsidRPr="00DE2282">
              <w:rPr>
                <w:rFonts w:ascii="Arial" w:eastAsia="Times New Roman" w:hAnsi="Arial" w:cs="Arial"/>
                <w:sz w:val="20"/>
                <w:szCs w:val="20"/>
                <w:lang w:val="en-US"/>
              </w:rPr>
              <w:t>&gt;256</w:t>
            </w:r>
          </w:p>
        </w:tc>
      </w:tr>
    </w:tbl>
    <w:p w:rsidR="007B515C" w:rsidRPr="00DE2282" w:rsidRDefault="007B515C" w:rsidP="007B515C">
      <w:pPr>
        <w:spacing w:line="480" w:lineRule="auto"/>
        <w:rPr>
          <w:sz w:val="20"/>
          <w:szCs w:val="16"/>
          <w:lang w:val="en-US"/>
        </w:rPr>
      </w:pPr>
    </w:p>
    <w:p w:rsidR="007B515C" w:rsidRPr="00DE2282" w:rsidRDefault="003F1E7A" w:rsidP="007B515C">
      <w:pPr>
        <w:spacing w:line="480" w:lineRule="auto"/>
        <w:rPr>
          <w:rFonts w:ascii="Arial" w:hAnsi="Arial"/>
          <w:sz w:val="20"/>
          <w:lang w:val="en-US"/>
        </w:rPr>
      </w:pPr>
      <w:r w:rsidRPr="00DE2282">
        <w:rPr>
          <w:rFonts w:ascii="Arial" w:hAnsi="Arial"/>
          <w:sz w:val="20"/>
          <w:lang w:val="en-US"/>
        </w:rPr>
        <w:t xml:space="preserve">Abbreviations.  AVI, avibactam at 4 </w:t>
      </w:r>
      <w:r w:rsidRPr="00DE2282">
        <w:rPr>
          <w:rFonts w:ascii="Symbol" w:hAnsi="Symbol"/>
          <w:sz w:val="20"/>
          <w:lang w:val="en-US"/>
        </w:rPr>
        <w:t></w:t>
      </w:r>
      <w:r w:rsidRPr="00DE2282">
        <w:rPr>
          <w:rFonts w:ascii="Arial" w:hAnsi="Arial"/>
          <w:sz w:val="20"/>
          <w:lang w:val="en-US"/>
        </w:rPr>
        <w:t>g/ml; Mut, mutant</w:t>
      </w:r>
    </w:p>
    <w:p w:rsidR="007B515C" w:rsidRPr="00DE2282" w:rsidRDefault="003F1E7A" w:rsidP="007B515C">
      <w:pPr>
        <w:spacing w:line="480" w:lineRule="auto"/>
        <w:rPr>
          <w:rFonts w:asciiTheme="majorHAnsi" w:hAnsiTheme="majorHAnsi" w:cstheme="majorHAnsi"/>
          <w:sz w:val="20"/>
          <w:szCs w:val="20"/>
          <w:lang w:val="en-US"/>
        </w:rPr>
      </w:pPr>
      <w:r w:rsidRPr="00DE2282">
        <w:rPr>
          <w:rFonts w:ascii="Arial" w:hAnsi="Arial"/>
          <w:sz w:val="20"/>
          <w:lang w:val="en-US"/>
        </w:rPr>
        <w:br w:type="page"/>
      </w:r>
      <w:r w:rsidRPr="00DE2282">
        <w:rPr>
          <w:rFonts w:asciiTheme="majorHAnsi" w:hAnsiTheme="majorHAnsi" w:cstheme="majorHAnsi"/>
          <w:b/>
          <w:sz w:val="20"/>
          <w:szCs w:val="20"/>
          <w:lang w:val="en-US"/>
        </w:rPr>
        <w:t xml:space="preserve">Table 7.  </w:t>
      </w:r>
      <w:r w:rsidRPr="00DE2282">
        <w:rPr>
          <w:rFonts w:asciiTheme="majorHAnsi" w:hAnsiTheme="majorHAnsi" w:cstheme="majorHAnsi"/>
          <w:sz w:val="20"/>
          <w:szCs w:val="20"/>
          <w:lang w:val="en-US"/>
        </w:rPr>
        <w:t xml:space="preserve">MIC distributions for </w:t>
      </w:r>
      <w:r w:rsidR="00F67E50">
        <w:rPr>
          <w:rFonts w:asciiTheme="majorHAnsi" w:hAnsiTheme="majorHAnsi" w:cstheme="majorHAnsi"/>
          <w:sz w:val="20"/>
          <w:szCs w:val="20"/>
          <w:lang w:val="en-US"/>
        </w:rPr>
        <w:t xml:space="preserve">35 </w:t>
      </w:r>
      <w:r w:rsidRPr="00DE2282">
        <w:rPr>
          <w:rFonts w:asciiTheme="majorHAnsi" w:hAnsiTheme="majorHAnsi" w:cstheme="majorHAnsi"/>
          <w:sz w:val="20"/>
          <w:szCs w:val="20"/>
          <w:lang w:val="en-US"/>
        </w:rPr>
        <w:t xml:space="preserve">OP0595-selected mutants of </w:t>
      </w:r>
      <w:r w:rsidR="00F67E50">
        <w:rPr>
          <w:rFonts w:asciiTheme="majorHAnsi" w:hAnsiTheme="majorHAnsi" w:cstheme="majorHAnsi"/>
          <w:sz w:val="20"/>
          <w:szCs w:val="20"/>
          <w:lang w:val="en-US"/>
        </w:rPr>
        <w:t xml:space="preserve">7 </w:t>
      </w:r>
      <w:r w:rsidRPr="00DE2282">
        <w:rPr>
          <w:rFonts w:asciiTheme="majorHAnsi" w:hAnsiTheme="majorHAnsi" w:cstheme="majorHAnsi"/>
          <w:sz w:val="20"/>
          <w:szCs w:val="20"/>
          <w:lang w:val="en-US"/>
        </w:rPr>
        <w:t xml:space="preserve">OXA-48 carbapenemase-producing strains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627"/>
        <w:gridCol w:w="626"/>
        <w:gridCol w:w="739"/>
        <w:gridCol w:w="738"/>
        <w:gridCol w:w="739"/>
        <w:gridCol w:w="739"/>
        <w:gridCol w:w="739"/>
        <w:gridCol w:w="738"/>
        <w:gridCol w:w="739"/>
        <w:gridCol w:w="739"/>
        <w:gridCol w:w="738"/>
        <w:gridCol w:w="739"/>
        <w:gridCol w:w="739"/>
        <w:gridCol w:w="739"/>
        <w:gridCol w:w="738"/>
        <w:gridCol w:w="739"/>
        <w:gridCol w:w="739"/>
        <w:gridCol w:w="739"/>
      </w:tblGrid>
      <w:tr w:rsidR="007B515C" w:rsidRPr="00DE2282">
        <w:tc>
          <w:tcPr>
            <w:tcW w:w="1101"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MIC </w:t>
            </w:r>
            <w:r w:rsidRPr="00DE2282">
              <w:rPr>
                <w:rFonts w:ascii="Symbol" w:hAnsi="Symbol" w:cs="Arial"/>
                <w:sz w:val="20"/>
                <w:szCs w:val="20"/>
                <w:lang w:val="en-US"/>
              </w:rPr>
              <w:t></w:t>
            </w:r>
            <w:r w:rsidRPr="00DE2282">
              <w:rPr>
                <w:rFonts w:ascii="Arial" w:hAnsi="Arial" w:cs="Arial"/>
                <w:sz w:val="20"/>
                <w:szCs w:val="20"/>
                <w:lang w:val="en-US"/>
              </w:rPr>
              <w:t>g/ml</w:t>
            </w:r>
          </w:p>
        </w:tc>
        <w:tc>
          <w:tcPr>
            <w:tcW w:w="2730" w:type="dxa"/>
            <w:gridSpan w:val="4"/>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Piperacillin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Cefepime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Aztreonam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2955" w:type="dxa"/>
            <w:gridSpan w:val="4"/>
            <w:tcBorders>
              <w:top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Arial" w:hAnsi="Arial" w:cs="Arial"/>
                <w:sz w:val="20"/>
                <w:szCs w:val="20"/>
                <w:lang w:val="en-US"/>
              </w:rPr>
              <w:t xml:space="preserve">Meropenem + OP0595, </w:t>
            </w:r>
            <w:r w:rsidRPr="00DE2282">
              <w:rPr>
                <w:rFonts w:ascii="Symbol" w:hAnsi="Symbol" w:cs="Arial"/>
                <w:sz w:val="20"/>
                <w:szCs w:val="20"/>
                <w:lang w:val="en-US"/>
              </w:rPr>
              <w:t></w:t>
            </w:r>
            <w:r w:rsidRPr="00DE2282">
              <w:rPr>
                <w:rFonts w:ascii="Arial" w:hAnsi="Arial" w:cs="Arial"/>
                <w:sz w:val="20"/>
                <w:szCs w:val="20"/>
                <w:lang w:val="en-US"/>
              </w:rPr>
              <w:t>g/ml</w:t>
            </w:r>
          </w:p>
        </w:tc>
        <w:tc>
          <w:tcPr>
            <w:tcW w:w="1478" w:type="dxa"/>
            <w:gridSpan w:val="2"/>
            <w:tcBorders>
              <w:top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Ceftazidime + avibactam</w:t>
            </w:r>
            <w:r w:rsidRPr="00DE2282">
              <w:rPr>
                <w:rFonts w:ascii="Arial" w:hAnsi="Arial" w:cs="Arial"/>
                <w:sz w:val="20"/>
                <w:szCs w:val="20"/>
                <w:lang w:val="en-US"/>
              </w:rPr>
              <w:t xml:space="preserve">, </w:t>
            </w:r>
            <w:r w:rsidRPr="00DE2282">
              <w:rPr>
                <w:rFonts w:ascii="Symbol" w:hAnsi="Symbol" w:cs="Arial"/>
                <w:sz w:val="20"/>
                <w:szCs w:val="20"/>
                <w:lang w:val="en-US"/>
              </w:rPr>
              <w:t></w:t>
            </w:r>
            <w:r w:rsidRPr="00DE2282">
              <w:rPr>
                <w:rFonts w:ascii="Arial" w:hAnsi="Arial" w:cs="Arial"/>
                <w:sz w:val="20"/>
                <w:szCs w:val="20"/>
                <w:lang w:val="en-US"/>
              </w:rPr>
              <w:t>g/ml</w:t>
            </w:r>
          </w:p>
        </w:tc>
      </w:tr>
      <w:tr w:rsidR="007B515C" w:rsidRPr="00DE2282">
        <w:tc>
          <w:tcPr>
            <w:tcW w:w="1101"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627"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626"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0</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4</w:t>
            </w:r>
          </w:p>
        </w:tc>
      </w:tr>
      <w:tr w:rsidR="007B515C" w:rsidRPr="00DE2282">
        <w:tc>
          <w:tcPr>
            <w:tcW w:w="1101"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&lt;=0.016</w:t>
            </w:r>
          </w:p>
        </w:tc>
        <w:tc>
          <w:tcPr>
            <w:tcW w:w="627"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top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0.03</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16"/>
                <w:lang w:val="en-US"/>
              </w:rPr>
            </w:pPr>
            <w:r w:rsidRPr="00DE2282">
              <w:rPr>
                <w:rFonts w:ascii="Arial" w:hAnsi="Arial" w:cs="Arial"/>
                <w:sz w:val="20"/>
                <w:szCs w:val="16"/>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16"/>
                <w:lang w:val="en-US"/>
              </w:rPr>
            </w:pPr>
            <w:r w:rsidRPr="00DE2282">
              <w:rPr>
                <w:rFonts w:ascii="Arial" w:hAnsi="Arial" w:cs="Arial"/>
                <w:sz w:val="20"/>
                <w:szCs w:val="16"/>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16"/>
                <w:lang w:val="en-US"/>
              </w:rPr>
            </w:pPr>
            <w:r w:rsidRPr="00DE2282">
              <w:rPr>
                <w:rFonts w:ascii="Arial" w:hAnsi="Arial" w:cs="Arial"/>
                <w:sz w:val="20"/>
                <w:szCs w:val="16"/>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2</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0.06</w:t>
            </w:r>
          </w:p>
        </w:tc>
        <w:tc>
          <w:tcPr>
            <w:tcW w:w="627" w:type="dxa"/>
            <w:vAlign w:val="center"/>
          </w:tcPr>
          <w:p w:rsidR="007B515C" w:rsidRPr="00DE2282" w:rsidRDefault="007B515C" w:rsidP="007B515C">
            <w:pPr>
              <w:spacing w:line="360" w:lineRule="auto"/>
              <w:jc w:val="center"/>
              <w:rPr>
                <w:rFonts w:ascii="Arial" w:hAnsi="Arial" w:cs="Arial"/>
                <w:sz w:val="20"/>
                <w:szCs w:val="20"/>
                <w:lang w:val="en-US"/>
              </w:rPr>
            </w:pPr>
          </w:p>
        </w:tc>
        <w:tc>
          <w:tcPr>
            <w:tcW w:w="626"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3F1E7A" w:rsidP="007B515C">
            <w:pPr>
              <w:spacing w:line="360" w:lineRule="auto"/>
              <w:jc w:val="center"/>
              <w:rPr>
                <w:rFonts w:ascii="Arial" w:hAnsi="Arial" w:cs="Arial"/>
                <w:sz w:val="20"/>
                <w:szCs w:val="16"/>
                <w:lang w:val="en-US"/>
              </w:rPr>
            </w:pPr>
            <w:r w:rsidRPr="00DE2282">
              <w:rPr>
                <w:rFonts w:ascii="Arial" w:hAnsi="Arial" w:cs="Arial"/>
                <w:sz w:val="20"/>
                <w:szCs w:val="16"/>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4</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0.12</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16"/>
                <w:lang w:val="en-US"/>
              </w:rPr>
            </w:pPr>
            <w:r w:rsidRPr="00DE2282">
              <w:rPr>
                <w:rFonts w:ascii="Arial" w:hAnsi="Arial" w:cs="Arial"/>
                <w:sz w:val="20"/>
                <w:szCs w:val="16"/>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1</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15</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0.25</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5</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7</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0.5</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6</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7</w:t>
            </w: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5</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9</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9</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6</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10</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3</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8</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16</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2</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32</w:t>
            </w:r>
          </w:p>
        </w:tc>
        <w:tc>
          <w:tcPr>
            <w:tcW w:w="627" w:type="dxa"/>
            <w:vAlign w:val="center"/>
          </w:tcPr>
          <w:p w:rsidR="007B515C" w:rsidRPr="00DE2282" w:rsidRDefault="007B515C" w:rsidP="007B515C">
            <w:pPr>
              <w:spacing w:line="360" w:lineRule="auto"/>
              <w:jc w:val="center"/>
              <w:rPr>
                <w:rFonts w:ascii="Arial" w:hAnsi="Arial" w:cs="Arial"/>
                <w:sz w:val="20"/>
                <w:szCs w:val="16"/>
                <w:lang w:val="en-US"/>
              </w:rPr>
            </w:pPr>
          </w:p>
        </w:tc>
        <w:tc>
          <w:tcPr>
            <w:tcW w:w="626"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8"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w:t>
            </w:r>
          </w:p>
        </w:tc>
        <w:tc>
          <w:tcPr>
            <w:tcW w:w="739" w:type="dxa"/>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3</w:t>
            </w: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64</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626"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128</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4</w:t>
            </w:r>
          </w:p>
        </w:tc>
        <w:tc>
          <w:tcPr>
            <w:tcW w:w="626"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w:t>
            </w: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256</w:t>
            </w:r>
          </w:p>
        </w:tc>
        <w:tc>
          <w:tcPr>
            <w:tcW w:w="627" w:type="dxa"/>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7</w:t>
            </w:r>
          </w:p>
        </w:tc>
        <w:tc>
          <w:tcPr>
            <w:tcW w:w="626"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&gt;256</w:t>
            </w:r>
          </w:p>
        </w:tc>
        <w:tc>
          <w:tcPr>
            <w:tcW w:w="627"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20</w:t>
            </w:r>
          </w:p>
        </w:tc>
        <w:tc>
          <w:tcPr>
            <w:tcW w:w="626"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Arial" w:hAnsi="Arial" w:cs="Arial"/>
                <w:sz w:val="20"/>
                <w:szCs w:val="16"/>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8"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c>
          <w:tcPr>
            <w:tcW w:w="739" w:type="dxa"/>
            <w:tcBorders>
              <w:bottom w:val="single" w:sz="4" w:space="0" w:color="auto"/>
            </w:tcBorders>
            <w:vAlign w:val="center"/>
          </w:tcPr>
          <w:p w:rsidR="007B515C" w:rsidRPr="00DE2282" w:rsidRDefault="007B515C" w:rsidP="007B515C">
            <w:pPr>
              <w:spacing w:line="360" w:lineRule="auto"/>
              <w:jc w:val="center"/>
              <w:rPr>
                <w:rFonts w:asciiTheme="majorHAnsi" w:hAnsiTheme="majorHAnsi" w:cstheme="majorHAnsi"/>
                <w:sz w:val="20"/>
                <w:szCs w:val="20"/>
                <w:lang w:val="en-US"/>
              </w:rPr>
            </w:pPr>
          </w:p>
        </w:tc>
      </w:tr>
      <w:tr w:rsidR="007B515C" w:rsidRPr="00DE2282">
        <w:tc>
          <w:tcPr>
            <w:tcW w:w="1101" w:type="dxa"/>
            <w:tcBorders>
              <w:top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GM</w:t>
            </w:r>
          </w:p>
        </w:tc>
        <w:tc>
          <w:tcPr>
            <w:tcW w:w="627"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300</w:t>
            </w:r>
          </w:p>
        </w:tc>
        <w:tc>
          <w:tcPr>
            <w:tcW w:w="626"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3.84</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2.04</w:t>
            </w:r>
          </w:p>
        </w:tc>
        <w:tc>
          <w:tcPr>
            <w:tcW w:w="738"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1.20</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2.54</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0.059</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0.049</w:t>
            </w:r>
          </w:p>
        </w:tc>
        <w:tc>
          <w:tcPr>
            <w:tcW w:w="738"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0.045</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0.96</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0.048</w:t>
            </w:r>
          </w:p>
        </w:tc>
        <w:tc>
          <w:tcPr>
            <w:tcW w:w="738"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0.038</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0.036</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3.76</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1.67</w:t>
            </w:r>
          </w:p>
        </w:tc>
        <w:tc>
          <w:tcPr>
            <w:tcW w:w="738"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1.45</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0.96</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1.37</w:t>
            </w:r>
          </w:p>
        </w:tc>
        <w:tc>
          <w:tcPr>
            <w:tcW w:w="739" w:type="dxa"/>
            <w:tcBorders>
              <w:top w:val="single" w:sz="4" w:space="0" w:color="auto"/>
            </w:tcBorders>
            <w:vAlign w:val="bottom"/>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0.19</w:t>
            </w:r>
          </w:p>
        </w:tc>
      </w:tr>
      <w:tr w:rsidR="007B515C" w:rsidRPr="00DE2282">
        <w:tc>
          <w:tcPr>
            <w:tcW w:w="1101" w:type="dxa"/>
            <w:tcBorders>
              <w:bottom w:val="single" w:sz="4" w:space="0" w:color="auto"/>
            </w:tcBorders>
            <w:vAlign w:val="center"/>
          </w:tcPr>
          <w:p w:rsidR="007B515C" w:rsidRPr="00DE2282" w:rsidRDefault="003F1E7A" w:rsidP="007B515C">
            <w:pPr>
              <w:spacing w:line="360" w:lineRule="auto"/>
              <w:jc w:val="center"/>
              <w:rPr>
                <w:rFonts w:ascii="Arial" w:hAnsi="Arial" w:cs="Arial"/>
                <w:sz w:val="20"/>
                <w:szCs w:val="20"/>
                <w:lang w:val="en-US"/>
              </w:rPr>
            </w:pPr>
            <w:r w:rsidRPr="00DE2282">
              <w:rPr>
                <w:rFonts w:ascii="Arial" w:hAnsi="Arial" w:cs="Arial"/>
                <w:sz w:val="20"/>
                <w:szCs w:val="20"/>
                <w:lang w:val="en-US"/>
              </w:rPr>
              <w:t xml:space="preserve">%S </w:t>
            </w:r>
          </w:p>
        </w:tc>
        <w:tc>
          <w:tcPr>
            <w:tcW w:w="627"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eastAsia="ja-JP"/>
              </w:rPr>
            </w:pPr>
            <w:r w:rsidRPr="00DE2282">
              <w:rPr>
                <w:rFonts w:ascii="Arial" w:hAnsi="Arial"/>
                <w:sz w:val="20"/>
                <w:lang w:val="en-US" w:eastAsia="ja-JP"/>
              </w:rPr>
              <w:t>0</w:t>
            </w:r>
          </w:p>
        </w:tc>
        <w:tc>
          <w:tcPr>
            <w:tcW w:w="626"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88.6</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97.1</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100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37.1</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100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100</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eastAsia="ja-JP"/>
              </w:rPr>
            </w:pPr>
            <w:r w:rsidRPr="00DE2282">
              <w:rPr>
                <w:rFonts w:ascii="Arial" w:hAnsi="Arial"/>
                <w:sz w:val="20"/>
                <w:lang w:val="en-US" w:eastAsia="ja-JP"/>
              </w:rPr>
              <w:t>100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71.4</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100</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100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100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40.0</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54.3</w:t>
            </w:r>
          </w:p>
        </w:tc>
        <w:tc>
          <w:tcPr>
            <w:tcW w:w="738"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54.3</w:t>
            </w:r>
          </w:p>
        </w:tc>
        <w:tc>
          <w:tcPr>
            <w:tcW w:w="739" w:type="dxa"/>
            <w:tcBorders>
              <w:bottom w:val="single" w:sz="4" w:space="0" w:color="auto"/>
            </w:tcBorders>
            <w:vAlign w:val="center"/>
          </w:tcPr>
          <w:p w:rsidR="007B515C" w:rsidRPr="00DE2282" w:rsidRDefault="003F1E7A" w:rsidP="007B515C">
            <w:pPr>
              <w:spacing w:line="360" w:lineRule="auto"/>
              <w:jc w:val="center"/>
              <w:rPr>
                <w:rFonts w:ascii="Arial" w:hAnsi="Arial"/>
                <w:sz w:val="20"/>
                <w:lang w:val="en-US"/>
              </w:rPr>
            </w:pPr>
            <w:r w:rsidRPr="00DE2282">
              <w:rPr>
                <w:rFonts w:ascii="Arial" w:hAnsi="Arial"/>
                <w:sz w:val="20"/>
                <w:lang w:val="en-US"/>
              </w:rPr>
              <w:t>62.9</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60</w:t>
            </w:r>
          </w:p>
        </w:tc>
        <w:tc>
          <w:tcPr>
            <w:tcW w:w="739" w:type="dxa"/>
            <w:tcBorders>
              <w:bottom w:val="single" w:sz="4" w:space="0" w:color="auto"/>
            </w:tcBorders>
            <w:vAlign w:val="center"/>
          </w:tcPr>
          <w:p w:rsidR="007B515C" w:rsidRPr="00DE2282" w:rsidRDefault="003F1E7A" w:rsidP="007B515C">
            <w:pPr>
              <w:spacing w:line="360" w:lineRule="auto"/>
              <w:jc w:val="center"/>
              <w:rPr>
                <w:rFonts w:asciiTheme="majorHAnsi" w:hAnsiTheme="majorHAnsi" w:cstheme="majorHAnsi"/>
                <w:sz w:val="20"/>
                <w:szCs w:val="20"/>
                <w:lang w:val="en-US"/>
              </w:rPr>
            </w:pPr>
            <w:r w:rsidRPr="00DE2282">
              <w:rPr>
                <w:rFonts w:asciiTheme="majorHAnsi" w:hAnsiTheme="majorHAnsi" w:cstheme="majorHAnsi"/>
                <w:sz w:val="20"/>
                <w:szCs w:val="20"/>
                <w:lang w:val="en-US"/>
              </w:rPr>
              <w:t>100</w:t>
            </w:r>
          </w:p>
        </w:tc>
      </w:tr>
    </w:tbl>
    <w:p w:rsidR="007B515C" w:rsidRPr="00DE2282" w:rsidRDefault="007B515C" w:rsidP="007B515C">
      <w:pPr>
        <w:spacing w:line="480" w:lineRule="auto"/>
        <w:rPr>
          <w:rFonts w:ascii="Arial" w:hAnsi="Arial"/>
          <w:sz w:val="20"/>
          <w:lang w:val="en-US"/>
        </w:rPr>
      </w:pPr>
    </w:p>
    <w:p w:rsidR="007B515C" w:rsidRPr="00DE2282" w:rsidRDefault="003F1E7A" w:rsidP="007B515C">
      <w:pPr>
        <w:rPr>
          <w:rFonts w:asciiTheme="majorHAnsi" w:hAnsiTheme="majorHAnsi"/>
          <w:sz w:val="20"/>
          <w:szCs w:val="16"/>
          <w:lang w:val="en-US"/>
        </w:rPr>
      </w:pPr>
      <w:r w:rsidRPr="00DE2282">
        <w:rPr>
          <w:rFonts w:asciiTheme="majorHAnsi" w:hAnsiTheme="majorHAnsi"/>
          <w:sz w:val="20"/>
          <w:szCs w:val="16"/>
          <w:lang w:val="en-US"/>
        </w:rPr>
        <w:t xml:space="preserve">MICs &gt;256 </w:t>
      </w:r>
      <w:r w:rsidRPr="00DE2282">
        <w:rPr>
          <w:rFonts w:ascii="Symbol" w:hAnsi="Symbol"/>
          <w:sz w:val="20"/>
          <w:szCs w:val="16"/>
          <w:lang w:val="en-US"/>
        </w:rPr>
        <w:t></w:t>
      </w:r>
      <w:r w:rsidRPr="00DE2282">
        <w:rPr>
          <w:rFonts w:asciiTheme="majorHAnsi" w:hAnsiTheme="majorHAnsi"/>
          <w:sz w:val="20"/>
          <w:szCs w:val="16"/>
          <w:lang w:val="en-US"/>
        </w:rPr>
        <w:t xml:space="preserve">g/ml were counted as 512 </w:t>
      </w:r>
      <w:r w:rsidRPr="00DE2282">
        <w:rPr>
          <w:rFonts w:ascii="Symbol" w:hAnsi="Symbol"/>
          <w:sz w:val="20"/>
          <w:szCs w:val="16"/>
          <w:lang w:val="en-US"/>
        </w:rPr>
        <w:t></w:t>
      </w:r>
      <w:r w:rsidRPr="00DE2282">
        <w:rPr>
          <w:rFonts w:asciiTheme="majorHAnsi" w:hAnsiTheme="majorHAnsi"/>
          <w:sz w:val="20"/>
          <w:szCs w:val="16"/>
          <w:lang w:val="en-US"/>
        </w:rPr>
        <w:t xml:space="preserve">g/ml when calculating geometric means, and MICs of </w:t>
      </w:r>
      <w:r w:rsidRPr="00DE2282">
        <w:rPr>
          <w:rFonts w:asciiTheme="majorHAnsi" w:hAnsiTheme="majorHAnsi"/>
          <w:sz w:val="20"/>
          <w:szCs w:val="16"/>
          <w:u w:val="single"/>
          <w:lang w:val="en-US"/>
        </w:rPr>
        <w:t>&lt;</w:t>
      </w:r>
      <w:r w:rsidRPr="00DE2282">
        <w:rPr>
          <w:rFonts w:asciiTheme="majorHAnsi" w:hAnsiTheme="majorHAnsi"/>
          <w:sz w:val="20"/>
          <w:szCs w:val="16"/>
          <w:lang w:val="en-US"/>
        </w:rPr>
        <w:t xml:space="preserve">0.016 as 0.014 </w:t>
      </w:r>
      <w:r w:rsidRPr="00DE2282">
        <w:rPr>
          <w:rFonts w:ascii="Symbol" w:hAnsi="Symbol"/>
          <w:sz w:val="20"/>
          <w:szCs w:val="16"/>
          <w:lang w:val="en-US"/>
        </w:rPr>
        <w:t></w:t>
      </w:r>
      <w:r w:rsidRPr="00DE2282">
        <w:rPr>
          <w:rFonts w:asciiTheme="majorHAnsi" w:hAnsiTheme="majorHAnsi"/>
          <w:sz w:val="20"/>
          <w:szCs w:val="16"/>
          <w:lang w:val="en-US"/>
        </w:rPr>
        <w:t>g/ml</w:t>
      </w:r>
    </w:p>
    <w:p w:rsidR="007B515C" w:rsidRPr="00DE2282" w:rsidRDefault="007B515C" w:rsidP="007B515C">
      <w:pPr>
        <w:rPr>
          <w:rFonts w:asciiTheme="majorHAnsi" w:hAnsiTheme="majorHAnsi"/>
          <w:sz w:val="20"/>
          <w:szCs w:val="16"/>
          <w:lang w:val="en-US"/>
        </w:rPr>
      </w:pPr>
    </w:p>
    <w:p w:rsidR="007B515C" w:rsidRPr="00DE2282" w:rsidRDefault="003F1E7A" w:rsidP="007B515C">
      <w:pPr>
        <w:spacing w:line="480" w:lineRule="auto"/>
        <w:rPr>
          <w:sz w:val="20"/>
          <w:szCs w:val="16"/>
          <w:lang w:val="en-US"/>
        </w:rPr>
      </w:pPr>
      <w:r w:rsidRPr="00DE2282">
        <w:rPr>
          <w:rFonts w:asciiTheme="majorHAnsi" w:hAnsiTheme="majorHAnsi"/>
          <w:sz w:val="20"/>
          <w:szCs w:val="16"/>
          <w:lang w:val="en-US"/>
        </w:rPr>
        <w:t xml:space="preserve">GM, geometric mean; %S, percent susceptible at current EUCAST susceptibility breakpoints for the unprotected compounds i.e. 1 </w:t>
      </w:r>
      <w:r w:rsidRPr="00DE2282">
        <w:rPr>
          <w:rFonts w:ascii="Symbol" w:hAnsi="Symbol"/>
          <w:sz w:val="20"/>
          <w:szCs w:val="16"/>
          <w:lang w:val="en-US"/>
        </w:rPr>
        <w:t></w:t>
      </w:r>
      <w:r w:rsidRPr="00DE2282">
        <w:rPr>
          <w:rFonts w:asciiTheme="majorHAnsi" w:hAnsiTheme="majorHAnsi"/>
          <w:sz w:val="20"/>
          <w:szCs w:val="16"/>
          <w:lang w:val="en-US"/>
        </w:rPr>
        <w:t xml:space="preserve">g/ml for aztreonam, cefepime and ceftazidime, 2 </w:t>
      </w:r>
      <w:r w:rsidRPr="00DE2282">
        <w:rPr>
          <w:rFonts w:ascii="Symbol" w:hAnsi="Symbol"/>
          <w:sz w:val="20"/>
          <w:szCs w:val="16"/>
          <w:lang w:val="en-US"/>
        </w:rPr>
        <w:t></w:t>
      </w:r>
      <w:r w:rsidRPr="00DE2282">
        <w:rPr>
          <w:rFonts w:asciiTheme="majorHAnsi" w:hAnsiTheme="majorHAnsi"/>
          <w:sz w:val="20"/>
          <w:szCs w:val="16"/>
          <w:lang w:val="en-US"/>
        </w:rPr>
        <w:t xml:space="preserve">g/ml for meropenem and 8 </w:t>
      </w:r>
      <w:r w:rsidRPr="00DE2282">
        <w:rPr>
          <w:rFonts w:ascii="Symbol" w:hAnsi="Symbol"/>
          <w:sz w:val="20"/>
          <w:szCs w:val="16"/>
          <w:lang w:val="en-US"/>
        </w:rPr>
        <w:t></w:t>
      </w:r>
      <w:r w:rsidRPr="00DE2282">
        <w:rPr>
          <w:rFonts w:asciiTheme="majorHAnsi" w:hAnsiTheme="majorHAnsi"/>
          <w:sz w:val="20"/>
          <w:szCs w:val="16"/>
          <w:lang w:val="en-US"/>
        </w:rPr>
        <w:t>g/ml for piperacillin.</w:t>
      </w:r>
    </w:p>
    <w:p w:rsidR="007B515C" w:rsidRPr="00DE2282" w:rsidRDefault="007B515C" w:rsidP="007B515C">
      <w:pPr>
        <w:spacing w:line="480" w:lineRule="auto"/>
        <w:rPr>
          <w:rFonts w:ascii="Arial" w:hAnsi="Arial"/>
          <w:sz w:val="20"/>
          <w:lang w:val="en-US"/>
        </w:rPr>
      </w:pPr>
    </w:p>
    <w:sectPr w:rsidR="007B515C" w:rsidRPr="00DE2282" w:rsidSect="007B515C">
      <w:pgSz w:w="16838" w:h="11899" w:orient="landscape"/>
      <w:pgMar w:top="1800" w:right="1440" w:bottom="1800" w:left="144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784F" w:rsidRDefault="0019784F" w:rsidP="007B515C">
      <w:r>
        <w:separator/>
      </w:r>
    </w:p>
  </w:endnote>
  <w:endnote w:type="continuationSeparator" w:id="0">
    <w:p w:rsidR="0019784F" w:rsidRDefault="0019784F" w:rsidP="007B5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4F" w:rsidRDefault="0019784F" w:rsidP="007B515C">
    <w:pPr>
      <w:pStyle w:val="Footer"/>
      <w:framePr w:wrap="around" w:vAnchor="text" w:hAnchor="margin" w:xAlign="center" w:y="1"/>
      <w:rPr>
        <w:rStyle w:val="PageNumber"/>
        <w:sz w:val="24"/>
        <w:szCs w:val="24"/>
      </w:rPr>
    </w:pPr>
    <w:r>
      <w:rPr>
        <w:rStyle w:val="PageNumber"/>
      </w:rPr>
      <w:fldChar w:fldCharType="begin"/>
    </w:r>
    <w:r>
      <w:rPr>
        <w:rStyle w:val="PageNumber"/>
      </w:rPr>
      <w:instrText xml:space="preserve">PAGE  </w:instrText>
    </w:r>
    <w:r>
      <w:rPr>
        <w:rStyle w:val="PageNumber"/>
      </w:rPr>
      <w:fldChar w:fldCharType="end"/>
    </w:r>
  </w:p>
  <w:p w:rsidR="0019784F" w:rsidRDefault="001978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84F" w:rsidRDefault="0019784F" w:rsidP="007B515C">
    <w:pPr>
      <w:pStyle w:val="Footer"/>
      <w:framePr w:wrap="around" w:vAnchor="text" w:hAnchor="margin" w:xAlign="center" w:y="1"/>
      <w:rPr>
        <w:rStyle w:val="PageNumber"/>
        <w:sz w:val="24"/>
        <w:szCs w:val="24"/>
      </w:rPr>
    </w:pPr>
    <w:r>
      <w:rPr>
        <w:rStyle w:val="PageNumber"/>
      </w:rPr>
      <w:fldChar w:fldCharType="begin"/>
    </w:r>
    <w:r>
      <w:rPr>
        <w:rStyle w:val="PageNumber"/>
      </w:rPr>
      <w:instrText xml:space="preserve">PAGE  </w:instrText>
    </w:r>
    <w:r>
      <w:rPr>
        <w:rStyle w:val="PageNumber"/>
      </w:rPr>
      <w:fldChar w:fldCharType="separate"/>
    </w:r>
    <w:r w:rsidR="008D746E">
      <w:rPr>
        <w:rStyle w:val="PageNumber"/>
        <w:noProof/>
      </w:rPr>
      <w:t>1</w:t>
    </w:r>
    <w:r>
      <w:rPr>
        <w:rStyle w:val="PageNumber"/>
      </w:rPr>
      <w:fldChar w:fldCharType="end"/>
    </w:r>
  </w:p>
  <w:p w:rsidR="0019784F" w:rsidRDefault="001978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784F" w:rsidRDefault="0019784F" w:rsidP="007B515C">
      <w:r>
        <w:separator/>
      </w:r>
    </w:p>
  </w:footnote>
  <w:footnote w:type="continuationSeparator" w:id="0">
    <w:p w:rsidR="0019784F" w:rsidRDefault="0019784F" w:rsidP="007B51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8C204F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AC30D4C"/>
    <w:multiLevelType w:val="hybridMultilevel"/>
    <w:tmpl w:val="89EE0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Tahom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Tahoma"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Tahoma"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6F7B64"/>
    <w:multiLevelType w:val="hybridMultilevel"/>
    <w:tmpl w:val="D080563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BE45B5"/>
    <w:multiLevelType w:val="hybridMultilevel"/>
    <w:tmpl w:val="EB6C3DE4"/>
    <w:lvl w:ilvl="0" w:tplc="04090003">
      <w:start w:val="1"/>
      <w:numFmt w:val="bullet"/>
      <w:lvlText w:val="o"/>
      <w:lvlJc w:val="left"/>
      <w:pPr>
        <w:ind w:left="720" w:hanging="360"/>
      </w:pPr>
      <w:rPr>
        <w:rFonts w:ascii="Courier New" w:hAnsi="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E33418"/>
    <w:multiLevelType w:val="hybridMultilevel"/>
    <w:tmpl w:val="911A4040"/>
    <w:lvl w:ilvl="0" w:tplc="04090003">
      <w:start w:val="1"/>
      <w:numFmt w:val="bullet"/>
      <w:lvlText w:val="o"/>
      <w:lvlJc w:val="left"/>
      <w:pPr>
        <w:ind w:left="144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3731C0"/>
    <w:multiLevelType w:val="hybridMultilevel"/>
    <w:tmpl w:val="B4549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14104C"/>
    <w:multiLevelType w:val="hybridMultilevel"/>
    <w:tmpl w:val="E5220BE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FC2D56"/>
    <w:multiLevelType w:val="hybridMultilevel"/>
    <w:tmpl w:val="471A18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D14DF1"/>
    <w:multiLevelType w:val="hybridMultilevel"/>
    <w:tmpl w:val="765C3422"/>
    <w:lvl w:ilvl="0" w:tplc="A24E13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772BFD"/>
    <w:multiLevelType w:val="hybridMultilevel"/>
    <w:tmpl w:val="84DE9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EF5FA2"/>
    <w:multiLevelType w:val="hybridMultilevel"/>
    <w:tmpl w:val="A1642076"/>
    <w:lvl w:ilvl="0" w:tplc="6C3CCA12">
      <w:start w:val="1"/>
      <w:numFmt w:val="lowerRoman"/>
      <w:lvlText w:val="(%1)"/>
      <w:lvlJc w:val="left"/>
      <w:pPr>
        <w:ind w:left="780" w:hanging="72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2" w15:restartNumberingAfterBreak="0">
    <w:nsid w:val="5B576957"/>
    <w:multiLevelType w:val="hybridMultilevel"/>
    <w:tmpl w:val="F5D80BE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B41F61"/>
    <w:multiLevelType w:val="hybridMultilevel"/>
    <w:tmpl w:val="15A6C7C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AC78A2"/>
    <w:multiLevelType w:val="hybridMultilevel"/>
    <w:tmpl w:val="471A18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0A41FDF"/>
    <w:multiLevelType w:val="hybridMultilevel"/>
    <w:tmpl w:val="EE467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5855E6"/>
    <w:multiLevelType w:val="hybridMultilevel"/>
    <w:tmpl w:val="D986A3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E637A6"/>
    <w:multiLevelType w:val="hybridMultilevel"/>
    <w:tmpl w:val="10481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282BB4"/>
    <w:multiLevelType w:val="singleLevel"/>
    <w:tmpl w:val="1E10981C"/>
    <w:lvl w:ilvl="0">
      <w:start w:val="1"/>
      <w:numFmt w:val="decimal"/>
      <w:pStyle w:val="1"/>
      <w:lvlText w:val="%1"/>
      <w:lvlJc w:val="right"/>
      <w:pPr>
        <w:tabs>
          <w:tab w:val="num" w:pos="567"/>
        </w:tabs>
        <w:ind w:left="567" w:hanging="57"/>
      </w:pPr>
      <w:rPr>
        <w:rFonts w:ascii="Arial" w:eastAsia="MS Mincho" w:hAnsi="Arial" w:hint="default"/>
        <w:b w:val="0"/>
        <w:i w:val="0"/>
        <w:caps w:val="0"/>
        <w:strike w:val="0"/>
        <w:dstrike w:val="0"/>
        <w:vanish w:val="0"/>
        <w:color w:val="auto"/>
        <w:sz w:val="21"/>
        <w:u w:val="none"/>
        <w:vertAlign w:val="baseline"/>
        <w:em w:val="none"/>
      </w:rPr>
    </w:lvl>
  </w:abstractNum>
  <w:abstractNum w:abstractNumId="19" w15:restartNumberingAfterBreak="0">
    <w:nsid w:val="798D73FB"/>
    <w:multiLevelType w:val="hybridMultilevel"/>
    <w:tmpl w:val="471A18F6"/>
    <w:lvl w:ilvl="0" w:tplc="0809000F">
      <w:start w:val="1"/>
      <w:numFmt w:val="decimal"/>
      <w:lvlText w:val="%1."/>
      <w:lvlJc w:val="left"/>
      <w:pPr>
        <w:ind w:left="785"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6"/>
  </w:num>
  <w:num w:numId="5">
    <w:abstractNumId w:val="19"/>
  </w:num>
  <w:num w:numId="6">
    <w:abstractNumId w:val="0"/>
  </w:num>
  <w:num w:numId="7">
    <w:abstractNumId w:val="16"/>
  </w:num>
  <w:num w:numId="8">
    <w:abstractNumId w:val="13"/>
  </w:num>
  <w:num w:numId="9">
    <w:abstractNumId w:val="15"/>
  </w:num>
  <w:num w:numId="10">
    <w:abstractNumId w:val="9"/>
  </w:num>
  <w:num w:numId="11">
    <w:abstractNumId w:val="10"/>
  </w:num>
  <w:num w:numId="12">
    <w:abstractNumId w:val="17"/>
  </w:num>
  <w:num w:numId="13">
    <w:abstractNumId w:val="12"/>
  </w:num>
  <w:num w:numId="14">
    <w:abstractNumId w:val="7"/>
  </w:num>
  <w:num w:numId="15">
    <w:abstractNumId w:val="11"/>
  </w:num>
  <w:num w:numId="16">
    <w:abstractNumId w:val="4"/>
  </w:num>
  <w:num w:numId="17">
    <w:abstractNumId w:val="5"/>
  </w:num>
  <w:num w:numId="18">
    <w:abstractNumId w:val="18"/>
  </w:num>
  <w:num w:numId="19">
    <w:abstractNumId w:val="14"/>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bordersDoNotSurroundHeader/>
  <w:bordersDoNotSurroundFooter/>
  <w:revisionView w:inkAnnotation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8193">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
  <w:rsids>
    <w:rsidRoot w:val="006336A4"/>
    <w:rsid w:val="000045FB"/>
    <w:rsid w:val="0000609E"/>
    <w:rsid w:val="00024D7B"/>
    <w:rsid w:val="000356E1"/>
    <w:rsid w:val="00111072"/>
    <w:rsid w:val="0019784F"/>
    <w:rsid w:val="002505CE"/>
    <w:rsid w:val="003F1E7A"/>
    <w:rsid w:val="003F6446"/>
    <w:rsid w:val="00424FB2"/>
    <w:rsid w:val="004F48C9"/>
    <w:rsid w:val="00516B20"/>
    <w:rsid w:val="005F3705"/>
    <w:rsid w:val="00614640"/>
    <w:rsid w:val="006336A4"/>
    <w:rsid w:val="006F1816"/>
    <w:rsid w:val="00742DF1"/>
    <w:rsid w:val="007B515C"/>
    <w:rsid w:val="00862710"/>
    <w:rsid w:val="008856C1"/>
    <w:rsid w:val="008B60FB"/>
    <w:rsid w:val="008D746E"/>
    <w:rsid w:val="008E2637"/>
    <w:rsid w:val="009A1B71"/>
    <w:rsid w:val="00A31414"/>
    <w:rsid w:val="00A67EBB"/>
    <w:rsid w:val="00A70D16"/>
    <w:rsid w:val="00B12E6F"/>
    <w:rsid w:val="00B23C88"/>
    <w:rsid w:val="00B313FB"/>
    <w:rsid w:val="00B37165"/>
    <w:rsid w:val="00B62033"/>
    <w:rsid w:val="00B62562"/>
    <w:rsid w:val="00B749D1"/>
    <w:rsid w:val="00C31037"/>
    <w:rsid w:val="00CA551C"/>
    <w:rsid w:val="00CB0249"/>
    <w:rsid w:val="00D32F88"/>
    <w:rsid w:val="00E432D2"/>
    <w:rsid w:val="00F2613C"/>
    <w:rsid w:val="00F67E50"/>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docId w15:val="{CB2D987D-C8C6-4325-81C2-BC1E69699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4"/>
        <w:szCs w:val="24"/>
        <w:lang w:val="en-US" w:eastAsia="ja-JP"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0B03"/>
    <w:rPr>
      <w:lang w:val="en-GB" w:eastAsia="en-US"/>
    </w:rPr>
  </w:style>
  <w:style w:type="paragraph" w:styleId="Heading1">
    <w:name w:val="heading 1"/>
    <w:basedOn w:val="Normal"/>
    <w:next w:val="Normal"/>
    <w:link w:val="Heading1Char1"/>
    <w:qFormat/>
    <w:rsid w:val="00B25A88"/>
    <w:pPr>
      <w:keepNext/>
      <w:keepLines/>
      <w:spacing w:before="480"/>
      <w:outlineLvl w:val="0"/>
    </w:pPr>
    <w:rPr>
      <w:rFonts w:ascii="Calibri" w:eastAsia="Times New Roman" w:hAnsi="Calibri"/>
      <w:b/>
      <w:bCs/>
      <w:color w:val="345A8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1">
    <w:name w:val="Heading 1 Char1"/>
    <w:link w:val="Heading1"/>
    <w:rsid w:val="00B25A88"/>
    <w:rPr>
      <w:rFonts w:ascii="Calibri" w:eastAsia="Times New Roman" w:hAnsi="Calibri" w:cs="Times New Roman"/>
      <w:b/>
      <w:bCs/>
      <w:color w:val="345A8A"/>
      <w:sz w:val="32"/>
      <w:szCs w:val="32"/>
      <w:lang w:val="en-GB"/>
    </w:rPr>
  </w:style>
  <w:style w:type="character" w:styleId="Hyperlink">
    <w:name w:val="Hyperlink"/>
    <w:uiPriority w:val="99"/>
    <w:rsid w:val="007E4ABA"/>
    <w:rPr>
      <w:color w:val="0000D4"/>
      <w:u w:val="single"/>
    </w:rPr>
  </w:style>
  <w:style w:type="character" w:styleId="FollowedHyperlink">
    <w:name w:val="FollowedHyperlink"/>
    <w:uiPriority w:val="99"/>
    <w:rsid w:val="007E4ABA"/>
    <w:rPr>
      <w:color w:val="993366"/>
      <w:u w:val="single"/>
    </w:rPr>
  </w:style>
  <w:style w:type="paragraph" w:customStyle="1" w:styleId="font5">
    <w:name w:val="font5"/>
    <w:basedOn w:val="Normal"/>
    <w:rsid w:val="007E4ABA"/>
    <w:pPr>
      <w:spacing w:beforeLines="1" w:afterLines="1"/>
    </w:pPr>
    <w:rPr>
      <w:rFonts w:ascii="Verdana" w:hAnsi="Verdana"/>
      <w:sz w:val="16"/>
      <w:szCs w:val="16"/>
    </w:rPr>
  </w:style>
  <w:style w:type="paragraph" w:customStyle="1" w:styleId="xl39">
    <w:name w:val="xl39"/>
    <w:basedOn w:val="Normal"/>
    <w:rsid w:val="007E4ABA"/>
    <w:pPr>
      <w:spacing w:beforeLines="1" w:afterLines="1"/>
      <w:jc w:val="center"/>
    </w:pPr>
    <w:rPr>
      <w:rFonts w:ascii="Times" w:hAnsi="Times"/>
      <w:sz w:val="16"/>
      <w:szCs w:val="16"/>
    </w:rPr>
  </w:style>
  <w:style w:type="paragraph" w:customStyle="1" w:styleId="xl40">
    <w:name w:val="xl40"/>
    <w:basedOn w:val="Normal"/>
    <w:rsid w:val="007E4ABA"/>
    <w:pPr>
      <w:spacing w:beforeLines="1" w:afterLines="1"/>
    </w:pPr>
    <w:rPr>
      <w:rFonts w:ascii="Times" w:hAnsi="Times"/>
      <w:sz w:val="16"/>
      <w:szCs w:val="16"/>
    </w:rPr>
  </w:style>
  <w:style w:type="paragraph" w:customStyle="1" w:styleId="xl41">
    <w:name w:val="xl41"/>
    <w:basedOn w:val="Normal"/>
    <w:rsid w:val="007E4ABA"/>
    <w:pPr>
      <w:pBdr>
        <w:top w:val="single" w:sz="8" w:space="0" w:color="auto"/>
        <w:left w:val="single" w:sz="4" w:space="0" w:color="auto"/>
        <w:bottom w:val="single" w:sz="8" w:space="0" w:color="auto"/>
        <w:right w:val="single" w:sz="4" w:space="0" w:color="auto"/>
      </w:pBdr>
      <w:spacing w:beforeLines="1" w:afterLines="1"/>
      <w:jc w:val="center"/>
    </w:pPr>
    <w:rPr>
      <w:rFonts w:ascii="Arial" w:hAnsi="Arial"/>
      <w:b/>
      <w:bCs/>
      <w:sz w:val="16"/>
      <w:szCs w:val="16"/>
    </w:rPr>
  </w:style>
  <w:style w:type="paragraph" w:customStyle="1" w:styleId="xl42">
    <w:name w:val="xl42"/>
    <w:basedOn w:val="Normal"/>
    <w:rsid w:val="007E4ABA"/>
    <w:pPr>
      <w:pBdr>
        <w:top w:val="single" w:sz="8" w:space="0" w:color="auto"/>
        <w:left w:val="single" w:sz="4" w:space="0" w:color="auto"/>
        <w:bottom w:val="single" w:sz="8" w:space="0" w:color="auto"/>
      </w:pBdr>
      <w:spacing w:beforeLines="1" w:afterLines="1"/>
      <w:jc w:val="center"/>
    </w:pPr>
    <w:rPr>
      <w:rFonts w:ascii="Arial" w:hAnsi="Arial"/>
      <w:b/>
      <w:bCs/>
      <w:sz w:val="16"/>
      <w:szCs w:val="16"/>
    </w:rPr>
  </w:style>
  <w:style w:type="paragraph" w:customStyle="1" w:styleId="xl43">
    <w:name w:val="xl43"/>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sz w:val="18"/>
      <w:szCs w:val="18"/>
    </w:rPr>
  </w:style>
  <w:style w:type="paragraph" w:customStyle="1" w:styleId="xl44">
    <w:name w:val="xl44"/>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45">
    <w:name w:val="xl45"/>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46">
    <w:name w:val="xl46"/>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47">
    <w:name w:val="xl47"/>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48">
    <w:name w:val="xl48"/>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49">
    <w:name w:val="xl49"/>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50">
    <w:name w:val="xl50"/>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51">
    <w:name w:val="xl51"/>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52">
    <w:name w:val="xl52"/>
    <w:basedOn w:val="Normal"/>
    <w:rsid w:val="007E4ABA"/>
    <w:pPr>
      <w:pBdr>
        <w:top w:val="single" w:sz="8" w:space="0" w:color="auto"/>
        <w:bottom w:val="single" w:sz="4" w:space="0" w:color="auto"/>
        <w:right w:val="single" w:sz="4" w:space="0" w:color="auto"/>
      </w:pBdr>
      <w:spacing w:beforeLines="1" w:afterLines="1"/>
      <w:jc w:val="center"/>
    </w:pPr>
    <w:rPr>
      <w:rFonts w:ascii="Arial" w:hAnsi="Arial"/>
      <w:b/>
      <w:bCs/>
      <w:color w:val="0066CC"/>
      <w:sz w:val="16"/>
      <w:szCs w:val="16"/>
    </w:rPr>
  </w:style>
  <w:style w:type="paragraph" w:customStyle="1" w:styleId="xl53">
    <w:name w:val="xl53"/>
    <w:basedOn w:val="Normal"/>
    <w:rsid w:val="007E4ABA"/>
    <w:pPr>
      <w:pBdr>
        <w:top w:val="single" w:sz="8" w:space="0" w:color="auto"/>
        <w:left w:val="single" w:sz="4" w:space="0" w:color="auto"/>
        <w:bottom w:val="single" w:sz="4" w:space="0" w:color="auto"/>
        <w:right w:val="single" w:sz="4" w:space="0" w:color="auto"/>
      </w:pBdr>
      <w:spacing w:beforeLines="1" w:afterLines="1"/>
      <w:jc w:val="center"/>
    </w:pPr>
    <w:rPr>
      <w:rFonts w:ascii="Arial" w:hAnsi="Arial"/>
      <w:b/>
      <w:bCs/>
      <w:color w:val="0066CC"/>
      <w:sz w:val="16"/>
      <w:szCs w:val="16"/>
    </w:rPr>
  </w:style>
  <w:style w:type="paragraph" w:customStyle="1" w:styleId="xl54">
    <w:name w:val="xl54"/>
    <w:basedOn w:val="Normal"/>
    <w:rsid w:val="007E4ABA"/>
    <w:pPr>
      <w:pBdr>
        <w:top w:val="single" w:sz="8" w:space="0" w:color="auto"/>
        <w:left w:val="single" w:sz="4" w:space="0" w:color="auto"/>
        <w:bottom w:val="single" w:sz="4" w:space="0" w:color="auto"/>
      </w:pBdr>
      <w:spacing w:beforeLines="1" w:afterLines="1"/>
      <w:jc w:val="center"/>
    </w:pPr>
    <w:rPr>
      <w:rFonts w:ascii="Arial" w:hAnsi="Arial"/>
      <w:b/>
      <w:bCs/>
      <w:color w:val="0066CC"/>
      <w:sz w:val="16"/>
      <w:szCs w:val="16"/>
    </w:rPr>
  </w:style>
  <w:style w:type="paragraph" w:customStyle="1" w:styleId="xl55">
    <w:name w:val="xl55"/>
    <w:basedOn w:val="Normal"/>
    <w:rsid w:val="007E4ABA"/>
    <w:pPr>
      <w:pBdr>
        <w:top w:val="single" w:sz="8" w:space="0" w:color="auto"/>
        <w:left w:val="single" w:sz="4" w:space="0" w:color="auto"/>
        <w:bottom w:val="single" w:sz="8" w:space="0" w:color="auto"/>
        <w:right w:val="single" w:sz="4" w:space="0" w:color="auto"/>
      </w:pBdr>
      <w:shd w:val="clear" w:color="auto" w:fill="000000"/>
      <w:spacing w:beforeLines="1" w:afterLines="1"/>
      <w:jc w:val="center"/>
    </w:pPr>
    <w:rPr>
      <w:rFonts w:ascii="Arial" w:hAnsi="Arial"/>
      <w:b/>
      <w:bCs/>
      <w:sz w:val="16"/>
      <w:szCs w:val="16"/>
    </w:rPr>
  </w:style>
  <w:style w:type="paragraph" w:customStyle="1" w:styleId="xl56">
    <w:name w:val="xl56"/>
    <w:basedOn w:val="Normal"/>
    <w:rsid w:val="007E4ABA"/>
    <w:pPr>
      <w:shd w:val="clear" w:color="auto" w:fill="000000"/>
      <w:spacing w:beforeLines="1" w:afterLines="1"/>
      <w:jc w:val="center"/>
    </w:pPr>
    <w:rPr>
      <w:rFonts w:ascii="Times" w:hAnsi="Times"/>
      <w:sz w:val="16"/>
      <w:szCs w:val="16"/>
    </w:rPr>
  </w:style>
  <w:style w:type="paragraph" w:customStyle="1" w:styleId="xl57">
    <w:name w:val="xl57"/>
    <w:basedOn w:val="Normal"/>
    <w:rsid w:val="007E4ABA"/>
    <w:pPr>
      <w:spacing w:beforeLines="1" w:afterLines="1"/>
    </w:pPr>
    <w:rPr>
      <w:rFonts w:ascii="Arial" w:hAnsi="Arial"/>
      <w:b/>
      <w:bCs/>
      <w:sz w:val="18"/>
      <w:szCs w:val="18"/>
    </w:rPr>
  </w:style>
  <w:style w:type="paragraph" w:customStyle="1" w:styleId="xl58">
    <w:name w:val="xl58"/>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color w:val="0066CC"/>
      <w:sz w:val="18"/>
      <w:szCs w:val="18"/>
    </w:rPr>
  </w:style>
  <w:style w:type="paragraph" w:customStyle="1" w:styleId="xl59">
    <w:name w:val="xl59"/>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color w:val="0066CC"/>
      <w:sz w:val="18"/>
      <w:szCs w:val="18"/>
    </w:rPr>
  </w:style>
  <w:style w:type="paragraph" w:customStyle="1" w:styleId="xl60">
    <w:name w:val="xl60"/>
    <w:basedOn w:val="Normal"/>
    <w:rsid w:val="007E4ABA"/>
    <w:pPr>
      <w:pBdr>
        <w:top w:val="single" w:sz="4" w:space="0" w:color="auto"/>
        <w:bottom w:val="single" w:sz="4" w:space="0" w:color="auto"/>
        <w:right w:val="single" w:sz="4" w:space="0" w:color="auto"/>
      </w:pBdr>
      <w:spacing w:beforeLines="1" w:afterLines="1"/>
      <w:jc w:val="center"/>
    </w:pPr>
    <w:rPr>
      <w:rFonts w:ascii="Times" w:hAnsi="Times"/>
      <w:sz w:val="16"/>
      <w:szCs w:val="16"/>
    </w:rPr>
  </w:style>
  <w:style w:type="paragraph" w:customStyle="1" w:styleId="xl61">
    <w:name w:val="xl61"/>
    <w:basedOn w:val="Normal"/>
    <w:rsid w:val="007E4ABA"/>
    <w:pPr>
      <w:pBdr>
        <w:top w:val="single" w:sz="4" w:space="0" w:color="auto"/>
        <w:left w:val="single" w:sz="4" w:space="0" w:color="auto"/>
        <w:bottom w:val="single" w:sz="4" w:space="0" w:color="auto"/>
        <w:right w:val="single" w:sz="4" w:space="0" w:color="auto"/>
      </w:pBdr>
      <w:spacing w:beforeLines="1" w:afterLines="1"/>
      <w:jc w:val="center"/>
    </w:pPr>
    <w:rPr>
      <w:rFonts w:ascii="Times" w:hAnsi="Times"/>
      <w:sz w:val="16"/>
      <w:szCs w:val="16"/>
    </w:rPr>
  </w:style>
  <w:style w:type="paragraph" w:customStyle="1" w:styleId="xl62">
    <w:name w:val="xl62"/>
    <w:basedOn w:val="Normal"/>
    <w:rsid w:val="007E4ABA"/>
    <w:pPr>
      <w:pBdr>
        <w:top w:val="single" w:sz="4" w:space="0" w:color="auto"/>
        <w:left w:val="single" w:sz="4" w:space="0" w:color="auto"/>
        <w:bottom w:val="single" w:sz="4" w:space="0" w:color="auto"/>
      </w:pBdr>
      <w:spacing w:beforeLines="1" w:afterLines="1"/>
      <w:jc w:val="center"/>
    </w:pPr>
    <w:rPr>
      <w:rFonts w:ascii="Times" w:hAnsi="Times"/>
      <w:sz w:val="16"/>
      <w:szCs w:val="16"/>
    </w:rPr>
  </w:style>
  <w:style w:type="paragraph" w:customStyle="1" w:styleId="xl63">
    <w:name w:val="xl63"/>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64">
    <w:name w:val="xl64"/>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color w:val="0066CC"/>
      <w:sz w:val="18"/>
      <w:szCs w:val="18"/>
    </w:rPr>
  </w:style>
  <w:style w:type="paragraph" w:customStyle="1" w:styleId="xl65">
    <w:name w:val="xl65"/>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color w:val="0066CC"/>
      <w:sz w:val="18"/>
      <w:szCs w:val="18"/>
    </w:rPr>
  </w:style>
  <w:style w:type="paragraph" w:customStyle="1" w:styleId="xl66">
    <w:name w:val="xl66"/>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color w:val="0066CC"/>
      <w:sz w:val="18"/>
      <w:szCs w:val="18"/>
    </w:rPr>
  </w:style>
  <w:style w:type="paragraph" w:customStyle="1" w:styleId="xl67">
    <w:name w:val="xl67"/>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color w:val="0066CC"/>
      <w:sz w:val="18"/>
      <w:szCs w:val="18"/>
    </w:rPr>
  </w:style>
  <w:style w:type="paragraph" w:customStyle="1" w:styleId="xl68">
    <w:name w:val="xl68"/>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b/>
      <w:bCs/>
      <w:color w:val="0066CC"/>
      <w:sz w:val="18"/>
      <w:szCs w:val="18"/>
    </w:rPr>
  </w:style>
  <w:style w:type="paragraph" w:customStyle="1" w:styleId="xl69">
    <w:name w:val="xl69"/>
    <w:basedOn w:val="Normal"/>
    <w:rsid w:val="007E4ABA"/>
    <w:pPr>
      <w:pBdr>
        <w:top w:val="single" w:sz="4" w:space="0" w:color="auto"/>
        <w:bottom w:val="single" w:sz="4" w:space="0" w:color="auto"/>
        <w:right w:val="single" w:sz="4" w:space="0" w:color="auto"/>
      </w:pBdr>
      <w:spacing w:beforeLines="1" w:afterLines="1"/>
      <w:jc w:val="center"/>
    </w:pPr>
    <w:rPr>
      <w:rFonts w:ascii="Arial" w:hAnsi="Arial"/>
      <w:b/>
      <w:bCs/>
      <w:color w:val="0066CC"/>
      <w:sz w:val="16"/>
      <w:szCs w:val="16"/>
    </w:rPr>
  </w:style>
  <w:style w:type="paragraph" w:customStyle="1" w:styleId="xl70">
    <w:name w:val="xl70"/>
    <w:basedOn w:val="Normal"/>
    <w:rsid w:val="007E4ABA"/>
    <w:pPr>
      <w:pBdr>
        <w:top w:val="single" w:sz="4" w:space="0" w:color="auto"/>
        <w:left w:val="single" w:sz="4" w:space="0" w:color="auto"/>
        <w:bottom w:val="single" w:sz="4" w:space="0" w:color="auto"/>
        <w:right w:val="single" w:sz="4" w:space="0" w:color="auto"/>
      </w:pBdr>
      <w:spacing w:beforeLines="1" w:afterLines="1"/>
      <w:jc w:val="center"/>
    </w:pPr>
    <w:rPr>
      <w:rFonts w:ascii="Arial" w:hAnsi="Arial"/>
      <w:b/>
      <w:bCs/>
      <w:color w:val="0066CC"/>
      <w:sz w:val="16"/>
      <w:szCs w:val="16"/>
    </w:rPr>
  </w:style>
  <w:style w:type="paragraph" w:customStyle="1" w:styleId="xl71">
    <w:name w:val="xl71"/>
    <w:basedOn w:val="Normal"/>
    <w:rsid w:val="007E4ABA"/>
    <w:pPr>
      <w:pBdr>
        <w:top w:val="single" w:sz="4" w:space="0" w:color="auto"/>
        <w:left w:val="single" w:sz="4" w:space="0" w:color="auto"/>
        <w:bottom w:val="single" w:sz="4" w:space="0" w:color="auto"/>
      </w:pBdr>
      <w:spacing w:beforeLines="1" w:afterLines="1"/>
      <w:jc w:val="center"/>
    </w:pPr>
    <w:rPr>
      <w:rFonts w:ascii="Arial" w:hAnsi="Arial"/>
      <w:b/>
      <w:bCs/>
      <w:color w:val="0066CC"/>
      <w:sz w:val="16"/>
      <w:szCs w:val="16"/>
    </w:rPr>
  </w:style>
  <w:style w:type="paragraph" w:customStyle="1" w:styleId="xl72">
    <w:name w:val="xl72"/>
    <w:basedOn w:val="Normal"/>
    <w:rsid w:val="007E4ABA"/>
    <w:pPr>
      <w:pBdr>
        <w:left w:val="single" w:sz="4" w:space="0" w:color="auto"/>
        <w:bottom w:val="single" w:sz="4" w:space="0" w:color="auto"/>
        <w:right w:val="single" w:sz="4" w:space="0" w:color="auto"/>
      </w:pBdr>
      <w:spacing w:beforeLines="1" w:afterLines="1"/>
      <w:jc w:val="center"/>
    </w:pPr>
    <w:rPr>
      <w:rFonts w:ascii="Times" w:hAnsi="Times"/>
      <w:sz w:val="16"/>
      <w:szCs w:val="16"/>
    </w:rPr>
  </w:style>
  <w:style w:type="paragraph" w:customStyle="1" w:styleId="xl73">
    <w:name w:val="xl73"/>
    <w:basedOn w:val="Normal"/>
    <w:rsid w:val="007E4ABA"/>
    <w:pPr>
      <w:pBdr>
        <w:bottom w:val="single" w:sz="4" w:space="0" w:color="auto"/>
        <w:right w:val="single" w:sz="4" w:space="0" w:color="auto"/>
      </w:pBdr>
      <w:spacing w:beforeLines="1" w:afterLines="1"/>
      <w:jc w:val="center"/>
    </w:pPr>
    <w:rPr>
      <w:rFonts w:ascii="Times" w:hAnsi="Times"/>
      <w:sz w:val="16"/>
      <w:szCs w:val="16"/>
    </w:rPr>
  </w:style>
  <w:style w:type="paragraph" w:customStyle="1" w:styleId="xl74">
    <w:name w:val="xl74"/>
    <w:basedOn w:val="Normal"/>
    <w:rsid w:val="007E4ABA"/>
    <w:pPr>
      <w:pBdr>
        <w:left w:val="single" w:sz="4" w:space="0" w:color="auto"/>
        <w:bottom w:val="single" w:sz="4" w:space="0" w:color="auto"/>
      </w:pBdr>
      <w:spacing w:beforeLines="1" w:afterLines="1"/>
      <w:jc w:val="center"/>
    </w:pPr>
    <w:rPr>
      <w:rFonts w:ascii="Times" w:hAnsi="Times"/>
      <w:sz w:val="16"/>
      <w:szCs w:val="16"/>
    </w:rPr>
  </w:style>
  <w:style w:type="paragraph" w:customStyle="1" w:styleId="xl75">
    <w:name w:val="xl75"/>
    <w:basedOn w:val="Normal"/>
    <w:rsid w:val="007E4ABA"/>
    <w:pPr>
      <w:pBdr>
        <w:bottom w:val="single" w:sz="4" w:space="0" w:color="auto"/>
        <w:right w:val="single" w:sz="4" w:space="0" w:color="auto"/>
      </w:pBdr>
      <w:spacing w:beforeLines="1" w:afterLines="1"/>
      <w:jc w:val="center"/>
    </w:pPr>
    <w:rPr>
      <w:rFonts w:ascii="Times" w:hAnsi="Times"/>
      <w:sz w:val="16"/>
      <w:szCs w:val="16"/>
    </w:rPr>
  </w:style>
  <w:style w:type="paragraph" w:customStyle="1" w:styleId="xl76">
    <w:name w:val="xl76"/>
    <w:basedOn w:val="Normal"/>
    <w:rsid w:val="007E4ABA"/>
    <w:pPr>
      <w:pBdr>
        <w:left w:val="single" w:sz="4" w:space="0" w:color="auto"/>
        <w:bottom w:val="single" w:sz="4" w:space="0" w:color="auto"/>
      </w:pBdr>
      <w:spacing w:beforeLines="1" w:afterLines="1"/>
      <w:jc w:val="center"/>
    </w:pPr>
    <w:rPr>
      <w:rFonts w:ascii="Times" w:hAnsi="Times"/>
      <w:sz w:val="16"/>
      <w:szCs w:val="16"/>
    </w:rPr>
  </w:style>
  <w:style w:type="paragraph" w:customStyle="1" w:styleId="xl77">
    <w:name w:val="xl77"/>
    <w:basedOn w:val="Normal"/>
    <w:rsid w:val="007E4ABA"/>
    <w:pPr>
      <w:pBdr>
        <w:left w:val="single" w:sz="4" w:space="0" w:color="auto"/>
        <w:bottom w:val="single" w:sz="4" w:space="0" w:color="auto"/>
        <w:right w:val="single" w:sz="4" w:space="0" w:color="auto"/>
      </w:pBdr>
      <w:spacing w:beforeLines="1" w:afterLines="1"/>
      <w:jc w:val="center"/>
    </w:pPr>
    <w:rPr>
      <w:rFonts w:ascii="Times" w:hAnsi="Times"/>
      <w:sz w:val="16"/>
      <w:szCs w:val="16"/>
    </w:rPr>
  </w:style>
  <w:style w:type="paragraph" w:customStyle="1" w:styleId="xl78">
    <w:name w:val="xl78"/>
    <w:basedOn w:val="Normal"/>
    <w:rsid w:val="007E4ABA"/>
    <w:pPr>
      <w:pBdr>
        <w:left w:val="single" w:sz="4" w:space="0" w:color="auto"/>
        <w:bottom w:val="single" w:sz="4" w:space="0" w:color="auto"/>
      </w:pBdr>
      <w:spacing w:beforeLines="1" w:afterLines="1"/>
      <w:jc w:val="center"/>
    </w:pPr>
    <w:rPr>
      <w:rFonts w:ascii="Times" w:hAnsi="Times"/>
      <w:sz w:val="16"/>
      <w:szCs w:val="16"/>
    </w:rPr>
  </w:style>
  <w:style w:type="paragraph" w:customStyle="1" w:styleId="xl79">
    <w:name w:val="xl79"/>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80">
    <w:name w:val="xl80"/>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81">
    <w:name w:val="xl81"/>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82">
    <w:name w:val="xl82"/>
    <w:basedOn w:val="Normal"/>
    <w:rsid w:val="007E4ABA"/>
    <w:pPr>
      <w:pBdr>
        <w:bottom w:val="single" w:sz="4" w:space="0" w:color="auto"/>
        <w:right w:val="single" w:sz="4" w:space="0" w:color="auto"/>
      </w:pBdr>
      <w:spacing w:beforeLines="1" w:afterLines="1"/>
      <w:jc w:val="center"/>
    </w:pPr>
    <w:rPr>
      <w:rFonts w:ascii="Times" w:hAnsi="Times"/>
      <w:sz w:val="16"/>
      <w:szCs w:val="16"/>
    </w:rPr>
  </w:style>
  <w:style w:type="paragraph" w:customStyle="1" w:styleId="xl83">
    <w:name w:val="xl83"/>
    <w:basedOn w:val="Normal"/>
    <w:rsid w:val="007E4ABA"/>
    <w:pPr>
      <w:pBdr>
        <w:left w:val="single" w:sz="4" w:space="0" w:color="auto"/>
        <w:bottom w:val="single" w:sz="4" w:space="0" w:color="auto"/>
      </w:pBdr>
      <w:spacing w:beforeLines="1" w:afterLines="1"/>
      <w:jc w:val="center"/>
    </w:pPr>
    <w:rPr>
      <w:rFonts w:ascii="Times" w:hAnsi="Times"/>
      <w:sz w:val="16"/>
      <w:szCs w:val="16"/>
    </w:rPr>
  </w:style>
  <w:style w:type="paragraph" w:customStyle="1" w:styleId="xl84">
    <w:name w:val="xl84"/>
    <w:basedOn w:val="Normal"/>
    <w:rsid w:val="007E4ABA"/>
    <w:pPr>
      <w:pBdr>
        <w:left w:val="single" w:sz="4" w:space="0" w:color="auto"/>
        <w:bottom w:val="single" w:sz="4" w:space="0" w:color="auto"/>
      </w:pBdr>
      <w:spacing w:beforeLines="1" w:afterLines="1"/>
      <w:jc w:val="center"/>
    </w:pPr>
    <w:rPr>
      <w:rFonts w:ascii="Times" w:hAnsi="Times"/>
      <w:sz w:val="16"/>
      <w:szCs w:val="16"/>
    </w:rPr>
  </w:style>
  <w:style w:type="paragraph" w:customStyle="1" w:styleId="xl85">
    <w:name w:val="xl85"/>
    <w:basedOn w:val="Normal"/>
    <w:rsid w:val="007E4ABA"/>
    <w:pPr>
      <w:pBdr>
        <w:left w:val="single" w:sz="4" w:space="0" w:color="auto"/>
        <w:bottom w:val="single" w:sz="4" w:space="0" w:color="auto"/>
      </w:pBdr>
      <w:spacing w:beforeLines="1" w:afterLines="1"/>
      <w:jc w:val="center"/>
    </w:pPr>
    <w:rPr>
      <w:rFonts w:ascii="Times" w:hAnsi="Times"/>
      <w:sz w:val="16"/>
      <w:szCs w:val="16"/>
    </w:rPr>
  </w:style>
  <w:style w:type="paragraph" w:customStyle="1" w:styleId="xl86">
    <w:name w:val="xl86"/>
    <w:basedOn w:val="Normal"/>
    <w:rsid w:val="007E4ABA"/>
    <w:pPr>
      <w:pBdr>
        <w:left w:val="single" w:sz="4" w:space="0" w:color="auto"/>
        <w:bottom w:val="single" w:sz="4" w:space="0" w:color="auto"/>
      </w:pBdr>
      <w:spacing w:beforeLines="1" w:afterLines="1"/>
      <w:jc w:val="center"/>
    </w:pPr>
    <w:rPr>
      <w:rFonts w:ascii="Times" w:hAnsi="Times"/>
      <w:sz w:val="16"/>
      <w:szCs w:val="16"/>
    </w:rPr>
  </w:style>
  <w:style w:type="paragraph" w:customStyle="1" w:styleId="xl87">
    <w:name w:val="xl87"/>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88">
    <w:name w:val="xl88"/>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89">
    <w:name w:val="xl89"/>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90">
    <w:name w:val="xl90"/>
    <w:basedOn w:val="Normal"/>
    <w:rsid w:val="007E4ABA"/>
    <w:pPr>
      <w:pBdr>
        <w:bottom w:val="single" w:sz="4" w:space="0" w:color="auto"/>
        <w:right w:val="single" w:sz="4" w:space="0" w:color="auto"/>
      </w:pBdr>
      <w:spacing w:beforeLines="1" w:afterLines="1"/>
      <w:jc w:val="center"/>
    </w:pPr>
    <w:rPr>
      <w:rFonts w:ascii="Times" w:hAnsi="Times"/>
      <w:sz w:val="16"/>
      <w:szCs w:val="16"/>
    </w:rPr>
  </w:style>
  <w:style w:type="paragraph" w:customStyle="1" w:styleId="xl91">
    <w:name w:val="xl91"/>
    <w:basedOn w:val="Normal"/>
    <w:rsid w:val="007E4ABA"/>
    <w:pPr>
      <w:spacing w:beforeLines="1" w:afterLines="1"/>
    </w:pPr>
    <w:rPr>
      <w:rFonts w:ascii="Times" w:hAnsi="Times"/>
      <w:sz w:val="16"/>
      <w:szCs w:val="16"/>
    </w:rPr>
  </w:style>
  <w:style w:type="paragraph" w:customStyle="1" w:styleId="xl92">
    <w:name w:val="xl92"/>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93">
    <w:name w:val="xl93"/>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94">
    <w:name w:val="xl94"/>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95">
    <w:name w:val="xl95"/>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96">
    <w:name w:val="xl96"/>
    <w:basedOn w:val="Normal"/>
    <w:rsid w:val="007E4ABA"/>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97">
    <w:name w:val="xl97"/>
    <w:basedOn w:val="Normal"/>
    <w:rsid w:val="007E4ABA"/>
    <w:pPr>
      <w:pBdr>
        <w:top w:val="single" w:sz="4" w:space="0" w:color="auto"/>
        <w:bottom w:val="single" w:sz="4" w:space="0" w:color="auto"/>
        <w:right w:val="single" w:sz="4" w:space="0" w:color="auto"/>
      </w:pBdr>
      <w:spacing w:beforeLines="1" w:afterLines="1"/>
      <w:jc w:val="center"/>
    </w:pPr>
    <w:rPr>
      <w:rFonts w:ascii="Times" w:hAnsi="Times"/>
      <w:sz w:val="16"/>
      <w:szCs w:val="16"/>
    </w:rPr>
  </w:style>
  <w:style w:type="paragraph" w:customStyle="1" w:styleId="xl98">
    <w:name w:val="xl98"/>
    <w:basedOn w:val="Normal"/>
    <w:rsid w:val="007E4ABA"/>
    <w:pPr>
      <w:spacing w:beforeLines="1" w:afterLines="1"/>
      <w:jc w:val="center"/>
    </w:pPr>
    <w:rPr>
      <w:rFonts w:ascii="Times" w:hAnsi="Times"/>
      <w:sz w:val="16"/>
      <w:szCs w:val="16"/>
    </w:rPr>
  </w:style>
  <w:style w:type="table" w:styleId="TableGrid">
    <w:name w:val="Table Grid"/>
    <w:basedOn w:val="TableNormal"/>
    <w:rsid w:val="007E4AB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1"/>
    <w:rsid w:val="00AB03EF"/>
    <w:pPr>
      <w:tabs>
        <w:tab w:val="center" w:pos="4320"/>
        <w:tab w:val="right" w:pos="8640"/>
      </w:tabs>
    </w:pPr>
    <w:rPr>
      <w:sz w:val="20"/>
      <w:szCs w:val="20"/>
    </w:rPr>
  </w:style>
  <w:style w:type="character" w:customStyle="1" w:styleId="HeaderChar1">
    <w:name w:val="Header Char1"/>
    <w:link w:val="Header"/>
    <w:rsid w:val="00AB03EF"/>
    <w:rPr>
      <w:lang w:val="en-GB"/>
    </w:rPr>
  </w:style>
  <w:style w:type="paragraph" w:styleId="Footer">
    <w:name w:val="footer"/>
    <w:basedOn w:val="Normal"/>
    <w:link w:val="FooterChar1"/>
    <w:rsid w:val="00AB03EF"/>
    <w:pPr>
      <w:tabs>
        <w:tab w:val="center" w:pos="4320"/>
        <w:tab w:val="right" w:pos="8640"/>
      </w:tabs>
    </w:pPr>
    <w:rPr>
      <w:sz w:val="20"/>
      <w:szCs w:val="20"/>
    </w:rPr>
  </w:style>
  <w:style w:type="character" w:customStyle="1" w:styleId="FooterChar1">
    <w:name w:val="Footer Char1"/>
    <w:link w:val="Footer"/>
    <w:rsid w:val="00AB03EF"/>
    <w:rPr>
      <w:lang w:val="en-GB"/>
    </w:rPr>
  </w:style>
  <w:style w:type="paragraph" w:customStyle="1" w:styleId="font6">
    <w:name w:val="font6"/>
    <w:basedOn w:val="Normal"/>
    <w:rsid w:val="00E22BF7"/>
    <w:pPr>
      <w:spacing w:beforeLines="1" w:afterLines="1"/>
    </w:pPr>
    <w:rPr>
      <w:rFonts w:ascii="Verdana" w:hAnsi="Verdana"/>
      <w:sz w:val="16"/>
      <w:szCs w:val="16"/>
    </w:rPr>
  </w:style>
  <w:style w:type="paragraph" w:customStyle="1" w:styleId="font7">
    <w:name w:val="font7"/>
    <w:basedOn w:val="Normal"/>
    <w:rsid w:val="00E22BF7"/>
    <w:pPr>
      <w:spacing w:beforeLines="1" w:afterLines="1"/>
    </w:pPr>
    <w:rPr>
      <w:rFonts w:ascii="Arial" w:hAnsi="Arial"/>
      <w:sz w:val="16"/>
      <w:szCs w:val="16"/>
    </w:rPr>
  </w:style>
  <w:style w:type="paragraph" w:customStyle="1" w:styleId="xl99">
    <w:name w:val="xl99"/>
    <w:basedOn w:val="Normal"/>
    <w:rsid w:val="00E22BF7"/>
    <w:pPr>
      <w:pBdr>
        <w:bottom w:val="single" w:sz="4" w:space="0" w:color="auto"/>
        <w:right w:val="single" w:sz="4" w:space="0" w:color="auto"/>
      </w:pBdr>
      <w:spacing w:beforeLines="1" w:afterLines="1"/>
      <w:jc w:val="center"/>
    </w:pPr>
    <w:rPr>
      <w:rFonts w:ascii="Times" w:hAnsi="Times"/>
      <w:sz w:val="16"/>
      <w:szCs w:val="16"/>
    </w:rPr>
  </w:style>
  <w:style w:type="paragraph" w:customStyle="1" w:styleId="xl100">
    <w:name w:val="xl100"/>
    <w:basedOn w:val="Normal"/>
    <w:rsid w:val="00E22BF7"/>
    <w:pPr>
      <w:pBdr>
        <w:top w:val="single" w:sz="4" w:space="0" w:color="auto"/>
        <w:bottom w:val="single" w:sz="4" w:space="0" w:color="auto"/>
        <w:right w:val="single" w:sz="4" w:space="0" w:color="auto"/>
      </w:pBdr>
      <w:spacing w:beforeLines="1" w:afterLines="1"/>
      <w:jc w:val="center"/>
    </w:pPr>
    <w:rPr>
      <w:rFonts w:ascii="Times" w:hAnsi="Times"/>
      <w:sz w:val="16"/>
      <w:szCs w:val="16"/>
    </w:rPr>
  </w:style>
  <w:style w:type="paragraph" w:customStyle="1" w:styleId="xl101">
    <w:name w:val="xl101"/>
    <w:basedOn w:val="Normal"/>
    <w:rsid w:val="00E22BF7"/>
    <w:pPr>
      <w:pBdr>
        <w:top w:val="single" w:sz="4" w:space="0" w:color="auto"/>
        <w:left w:val="single" w:sz="4" w:space="0" w:color="auto"/>
        <w:bottom w:val="single" w:sz="4" w:space="0" w:color="auto"/>
        <w:right w:val="single" w:sz="4" w:space="0" w:color="auto"/>
      </w:pBdr>
      <w:spacing w:beforeLines="1" w:afterLines="1"/>
      <w:jc w:val="center"/>
    </w:pPr>
    <w:rPr>
      <w:rFonts w:ascii="Times" w:hAnsi="Times"/>
      <w:sz w:val="16"/>
      <w:szCs w:val="16"/>
    </w:rPr>
  </w:style>
  <w:style w:type="paragraph" w:customStyle="1" w:styleId="xl102">
    <w:name w:val="xl102"/>
    <w:basedOn w:val="Normal"/>
    <w:rsid w:val="00E22BF7"/>
    <w:pPr>
      <w:pBdr>
        <w:top w:val="single" w:sz="4" w:space="0" w:color="auto"/>
        <w:left w:val="single" w:sz="4" w:space="0" w:color="auto"/>
        <w:bottom w:val="single" w:sz="4" w:space="0" w:color="auto"/>
        <w:right w:val="single" w:sz="4" w:space="0" w:color="auto"/>
      </w:pBdr>
      <w:shd w:val="clear" w:color="auto" w:fill="000000"/>
      <w:spacing w:beforeLines="1" w:afterLines="1"/>
      <w:jc w:val="center"/>
    </w:pPr>
    <w:rPr>
      <w:rFonts w:ascii="Times" w:hAnsi="Times"/>
      <w:sz w:val="16"/>
      <w:szCs w:val="16"/>
    </w:rPr>
  </w:style>
  <w:style w:type="paragraph" w:customStyle="1" w:styleId="xl103">
    <w:name w:val="xl103"/>
    <w:basedOn w:val="Normal"/>
    <w:rsid w:val="00E22BF7"/>
    <w:pPr>
      <w:pBdr>
        <w:top w:val="single" w:sz="4" w:space="0" w:color="auto"/>
        <w:left w:val="single" w:sz="4" w:space="0" w:color="auto"/>
        <w:bottom w:val="single" w:sz="4" w:space="0" w:color="auto"/>
      </w:pBdr>
      <w:spacing w:beforeLines="1" w:afterLines="1"/>
      <w:jc w:val="center"/>
    </w:pPr>
    <w:rPr>
      <w:rFonts w:ascii="Times" w:hAnsi="Times"/>
      <w:sz w:val="16"/>
      <w:szCs w:val="16"/>
    </w:rPr>
  </w:style>
  <w:style w:type="paragraph" w:customStyle="1" w:styleId="xl104">
    <w:name w:val="xl104"/>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105">
    <w:name w:val="xl105"/>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106">
    <w:name w:val="xl106"/>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107">
    <w:name w:val="xl107"/>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108">
    <w:name w:val="xl108"/>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109">
    <w:name w:val="xl109"/>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110">
    <w:name w:val="xl110"/>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sz w:val="18"/>
      <w:szCs w:val="18"/>
    </w:rPr>
  </w:style>
  <w:style w:type="paragraph" w:customStyle="1" w:styleId="xl111">
    <w:name w:val="xl111"/>
    <w:basedOn w:val="Normal"/>
    <w:rsid w:val="00E22BF7"/>
    <w:pPr>
      <w:pBdr>
        <w:top w:val="single" w:sz="4" w:space="0" w:color="969696"/>
        <w:left w:val="single" w:sz="4" w:space="0" w:color="969696"/>
        <w:bottom w:val="single" w:sz="4" w:space="0" w:color="969696"/>
        <w:right w:val="single" w:sz="4" w:space="0" w:color="969696"/>
      </w:pBdr>
      <w:spacing w:beforeLines="1" w:afterLines="1"/>
    </w:pPr>
    <w:rPr>
      <w:rFonts w:ascii="Arial" w:hAnsi="Arial"/>
      <w:color w:val="000000"/>
      <w:sz w:val="18"/>
      <w:szCs w:val="18"/>
    </w:rPr>
  </w:style>
  <w:style w:type="paragraph" w:customStyle="1" w:styleId="xl112">
    <w:name w:val="xl112"/>
    <w:basedOn w:val="Normal"/>
    <w:rsid w:val="00E22BF7"/>
    <w:pPr>
      <w:spacing w:beforeLines="1" w:afterLines="1"/>
      <w:jc w:val="center"/>
    </w:pPr>
    <w:rPr>
      <w:rFonts w:ascii="Times" w:hAnsi="Times"/>
      <w:sz w:val="16"/>
      <w:szCs w:val="16"/>
    </w:rPr>
  </w:style>
  <w:style w:type="paragraph" w:styleId="BalloonText">
    <w:name w:val="Balloon Text"/>
    <w:basedOn w:val="Normal"/>
    <w:link w:val="BalloonTextChar1"/>
    <w:uiPriority w:val="99"/>
    <w:rsid w:val="00123024"/>
    <w:rPr>
      <w:rFonts w:ascii="Tahoma" w:hAnsi="Tahoma"/>
      <w:sz w:val="16"/>
      <w:szCs w:val="16"/>
    </w:rPr>
  </w:style>
  <w:style w:type="character" w:customStyle="1" w:styleId="BalloonTextChar1">
    <w:name w:val="Balloon Text Char1"/>
    <w:link w:val="BalloonText"/>
    <w:uiPriority w:val="99"/>
    <w:rsid w:val="00123024"/>
    <w:rPr>
      <w:rFonts w:ascii="Tahoma" w:hAnsi="Tahoma" w:cs="Tahoma"/>
      <w:sz w:val="16"/>
      <w:szCs w:val="16"/>
      <w:lang w:val="en-GB"/>
    </w:rPr>
  </w:style>
  <w:style w:type="character" w:styleId="PageNumber">
    <w:name w:val="page number"/>
    <w:basedOn w:val="DefaultParagraphFont"/>
    <w:rsid w:val="001068E3"/>
  </w:style>
  <w:style w:type="paragraph" w:customStyle="1" w:styleId="81">
    <w:name w:val="表 (赤)  81"/>
    <w:basedOn w:val="Normal"/>
    <w:uiPriority w:val="34"/>
    <w:qFormat/>
    <w:rsid w:val="00B54D8B"/>
    <w:pPr>
      <w:spacing w:after="200" w:line="276" w:lineRule="auto"/>
      <w:ind w:left="720"/>
      <w:contextualSpacing/>
    </w:pPr>
    <w:rPr>
      <w:rFonts w:eastAsia="Times New Roman"/>
      <w:sz w:val="22"/>
      <w:szCs w:val="22"/>
      <w:lang w:eastAsia="zh-CN"/>
    </w:rPr>
  </w:style>
  <w:style w:type="paragraph" w:styleId="PlainText">
    <w:name w:val="Plain Text"/>
    <w:basedOn w:val="Normal"/>
    <w:link w:val="PlainTextChar1"/>
    <w:uiPriority w:val="99"/>
    <w:rsid w:val="00B62E18"/>
    <w:rPr>
      <w:rFonts w:ascii="Courier New" w:hAnsi="Courier New"/>
      <w:sz w:val="20"/>
      <w:szCs w:val="20"/>
      <w:lang w:val="en-US"/>
    </w:rPr>
  </w:style>
  <w:style w:type="character" w:customStyle="1" w:styleId="PlainTextChar1">
    <w:name w:val="Plain Text Char1"/>
    <w:link w:val="PlainText"/>
    <w:rsid w:val="00B62E18"/>
    <w:rPr>
      <w:rFonts w:ascii="Courier New" w:eastAsia="MS Mincho" w:hAnsi="Courier New" w:cs="Courier New"/>
      <w:lang w:val="en-US"/>
    </w:rPr>
  </w:style>
  <w:style w:type="paragraph" w:customStyle="1" w:styleId="131">
    <w:name w:val="表 (青) 131"/>
    <w:basedOn w:val="Normal"/>
    <w:qFormat/>
    <w:rsid w:val="0054320B"/>
    <w:pPr>
      <w:ind w:left="720"/>
    </w:pPr>
  </w:style>
  <w:style w:type="paragraph" w:customStyle="1" w:styleId="text">
    <w:name w:val="text"/>
    <w:basedOn w:val="Normal"/>
    <w:rsid w:val="009E1AAE"/>
    <w:pPr>
      <w:spacing w:before="100" w:beforeAutospacing="1" w:after="100" w:afterAutospacing="1"/>
    </w:pPr>
    <w:rPr>
      <w:rFonts w:ascii="Arial" w:eastAsia="Times New Roman" w:hAnsi="Arial" w:cs="Arial"/>
      <w:color w:val="000000"/>
      <w:sz w:val="13"/>
      <w:szCs w:val="13"/>
      <w:lang w:eastAsia="en-GB"/>
    </w:rPr>
  </w:style>
  <w:style w:type="paragraph" w:customStyle="1" w:styleId="textbold">
    <w:name w:val="textbold"/>
    <w:basedOn w:val="Normal"/>
    <w:rsid w:val="009E1AAE"/>
    <w:pPr>
      <w:spacing w:before="100" w:beforeAutospacing="1" w:after="100" w:afterAutospacing="1"/>
    </w:pPr>
    <w:rPr>
      <w:rFonts w:ascii="Arial" w:eastAsia="Times New Roman" w:hAnsi="Arial" w:cs="Arial"/>
      <w:b/>
      <w:bCs/>
      <w:color w:val="000000"/>
      <w:sz w:val="13"/>
      <w:szCs w:val="13"/>
      <w:lang w:eastAsia="en-GB"/>
    </w:rPr>
  </w:style>
  <w:style w:type="character" w:styleId="CommentReference">
    <w:name w:val="annotation reference"/>
    <w:rsid w:val="00375A88"/>
    <w:rPr>
      <w:sz w:val="18"/>
      <w:szCs w:val="18"/>
    </w:rPr>
  </w:style>
  <w:style w:type="paragraph" w:styleId="CommentText">
    <w:name w:val="annotation text"/>
    <w:basedOn w:val="Normal"/>
    <w:link w:val="CommentTextChar1"/>
    <w:rsid w:val="00375A88"/>
  </w:style>
  <w:style w:type="character" w:customStyle="1" w:styleId="CommentTextChar1">
    <w:name w:val="Comment Text Char1"/>
    <w:link w:val="CommentText"/>
    <w:rsid w:val="00375A88"/>
    <w:rPr>
      <w:sz w:val="24"/>
      <w:szCs w:val="24"/>
      <w:lang w:val="en-GB"/>
    </w:rPr>
  </w:style>
  <w:style w:type="paragraph" w:styleId="CommentSubject">
    <w:name w:val="annotation subject"/>
    <w:basedOn w:val="CommentText"/>
    <w:next w:val="CommentText"/>
    <w:link w:val="CommentSubjectChar1"/>
    <w:rsid w:val="00375A88"/>
    <w:rPr>
      <w:b/>
      <w:bCs/>
    </w:rPr>
  </w:style>
  <w:style w:type="character" w:customStyle="1" w:styleId="CommentSubjectChar1">
    <w:name w:val="Comment Subject Char1"/>
    <w:link w:val="CommentSubject"/>
    <w:rsid w:val="00375A88"/>
    <w:rPr>
      <w:b/>
      <w:bCs/>
      <w:sz w:val="24"/>
      <w:szCs w:val="24"/>
      <w:lang w:val="en-GB"/>
    </w:rPr>
  </w:style>
  <w:style w:type="paragraph" w:customStyle="1" w:styleId="121">
    <w:name w:val="表 (青) 121"/>
    <w:hidden/>
    <w:rsid w:val="005F6FC2"/>
    <w:rPr>
      <w:lang w:val="en-GB" w:eastAsia="en-US"/>
    </w:rPr>
  </w:style>
  <w:style w:type="character" w:customStyle="1" w:styleId="Heading1Char">
    <w:name w:val="Heading 1 Char"/>
    <w:rsid w:val="004906B0"/>
    <w:rPr>
      <w:rFonts w:ascii="Calibri" w:eastAsia="Times New Roman" w:hAnsi="Calibri" w:cs="Times New Roman"/>
      <w:b/>
      <w:bCs/>
      <w:color w:val="345A8A"/>
      <w:sz w:val="32"/>
      <w:szCs w:val="32"/>
      <w:lang w:val="en-GB"/>
    </w:rPr>
  </w:style>
  <w:style w:type="character" w:customStyle="1" w:styleId="HeaderChar">
    <w:name w:val="Header Char"/>
    <w:rsid w:val="004906B0"/>
    <w:rPr>
      <w:lang w:val="en-GB"/>
    </w:rPr>
  </w:style>
  <w:style w:type="character" w:customStyle="1" w:styleId="FooterChar">
    <w:name w:val="Footer Char"/>
    <w:rsid w:val="004906B0"/>
    <w:rPr>
      <w:lang w:val="en-GB"/>
    </w:rPr>
  </w:style>
  <w:style w:type="character" w:customStyle="1" w:styleId="BalloonTextChar">
    <w:name w:val="Balloon Text Char"/>
    <w:uiPriority w:val="99"/>
    <w:rsid w:val="004906B0"/>
    <w:rPr>
      <w:rFonts w:ascii="Tahoma" w:hAnsi="Tahoma" w:cs="Tahoma"/>
      <w:sz w:val="16"/>
      <w:szCs w:val="16"/>
      <w:lang w:val="en-GB"/>
    </w:rPr>
  </w:style>
  <w:style w:type="character" w:customStyle="1" w:styleId="PlainTextChar">
    <w:name w:val="Plain Text Char"/>
    <w:uiPriority w:val="99"/>
    <w:rsid w:val="004906B0"/>
    <w:rPr>
      <w:rFonts w:ascii="Courier New" w:eastAsia="MS Mincho" w:hAnsi="Courier New" w:cs="Courier New"/>
      <w:lang w:val="en-US"/>
    </w:rPr>
  </w:style>
  <w:style w:type="character" w:customStyle="1" w:styleId="CommentTextChar">
    <w:name w:val="Comment Text Char"/>
    <w:rsid w:val="004906B0"/>
    <w:rPr>
      <w:sz w:val="24"/>
      <w:szCs w:val="24"/>
      <w:lang w:val="en-GB"/>
    </w:rPr>
  </w:style>
  <w:style w:type="character" w:customStyle="1" w:styleId="CommentSubjectChar">
    <w:name w:val="Comment Subject Char"/>
    <w:rsid w:val="004906B0"/>
    <w:rPr>
      <w:b/>
      <w:bCs/>
      <w:sz w:val="24"/>
      <w:szCs w:val="24"/>
      <w:lang w:val="en-GB"/>
    </w:rPr>
  </w:style>
  <w:style w:type="paragraph" w:styleId="Revision">
    <w:name w:val="Revision"/>
    <w:hidden/>
    <w:rsid w:val="004906B0"/>
    <w:rPr>
      <w:lang w:val="en-GB" w:eastAsia="en-US"/>
    </w:rPr>
  </w:style>
  <w:style w:type="character" w:styleId="LineNumber">
    <w:name w:val="line number"/>
    <w:basedOn w:val="DefaultParagraphFont"/>
    <w:rsid w:val="00DE4A12"/>
  </w:style>
  <w:style w:type="paragraph" w:styleId="ListParagraph">
    <w:name w:val="List Paragraph"/>
    <w:basedOn w:val="Normal"/>
    <w:uiPriority w:val="34"/>
    <w:qFormat/>
    <w:rsid w:val="004566DE"/>
    <w:pPr>
      <w:ind w:left="720"/>
      <w:contextualSpacing/>
    </w:pPr>
  </w:style>
  <w:style w:type="paragraph" w:customStyle="1" w:styleId="1">
    <w:name w:val="リスト1順序付き"/>
    <w:next w:val="Normal"/>
    <w:rsid w:val="002C004A"/>
    <w:pPr>
      <w:numPr>
        <w:numId w:val="18"/>
      </w:numPr>
      <w:adjustRightInd w:val="0"/>
      <w:spacing w:after="240"/>
      <w:jc w:val="both"/>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13668">
      <w:bodyDiv w:val="1"/>
      <w:marLeft w:val="0"/>
      <w:marRight w:val="0"/>
      <w:marTop w:val="0"/>
      <w:marBottom w:val="0"/>
      <w:divBdr>
        <w:top w:val="none" w:sz="0" w:space="0" w:color="auto"/>
        <w:left w:val="none" w:sz="0" w:space="0" w:color="auto"/>
        <w:bottom w:val="none" w:sz="0" w:space="0" w:color="auto"/>
        <w:right w:val="none" w:sz="0" w:space="0" w:color="auto"/>
      </w:divBdr>
    </w:div>
    <w:div w:id="72554196">
      <w:bodyDiv w:val="1"/>
      <w:marLeft w:val="0"/>
      <w:marRight w:val="0"/>
      <w:marTop w:val="0"/>
      <w:marBottom w:val="0"/>
      <w:divBdr>
        <w:top w:val="none" w:sz="0" w:space="0" w:color="auto"/>
        <w:left w:val="none" w:sz="0" w:space="0" w:color="auto"/>
        <w:bottom w:val="none" w:sz="0" w:space="0" w:color="auto"/>
        <w:right w:val="none" w:sz="0" w:space="0" w:color="auto"/>
      </w:divBdr>
    </w:div>
    <w:div w:id="81608587">
      <w:bodyDiv w:val="1"/>
      <w:marLeft w:val="0"/>
      <w:marRight w:val="0"/>
      <w:marTop w:val="0"/>
      <w:marBottom w:val="0"/>
      <w:divBdr>
        <w:top w:val="none" w:sz="0" w:space="0" w:color="auto"/>
        <w:left w:val="none" w:sz="0" w:space="0" w:color="auto"/>
        <w:bottom w:val="none" w:sz="0" w:space="0" w:color="auto"/>
        <w:right w:val="none" w:sz="0" w:space="0" w:color="auto"/>
      </w:divBdr>
    </w:div>
    <w:div w:id="116609050">
      <w:bodyDiv w:val="1"/>
      <w:marLeft w:val="0"/>
      <w:marRight w:val="0"/>
      <w:marTop w:val="0"/>
      <w:marBottom w:val="0"/>
      <w:divBdr>
        <w:top w:val="none" w:sz="0" w:space="0" w:color="auto"/>
        <w:left w:val="none" w:sz="0" w:space="0" w:color="auto"/>
        <w:bottom w:val="none" w:sz="0" w:space="0" w:color="auto"/>
        <w:right w:val="none" w:sz="0" w:space="0" w:color="auto"/>
      </w:divBdr>
    </w:div>
    <w:div w:id="188033112">
      <w:bodyDiv w:val="1"/>
      <w:marLeft w:val="0"/>
      <w:marRight w:val="0"/>
      <w:marTop w:val="0"/>
      <w:marBottom w:val="0"/>
      <w:divBdr>
        <w:top w:val="none" w:sz="0" w:space="0" w:color="auto"/>
        <w:left w:val="none" w:sz="0" w:space="0" w:color="auto"/>
        <w:bottom w:val="none" w:sz="0" w:space="0" w:color="auto"/>
        <w:right w:val="none" w:sz="0" w:space="0" w:color="auto"/>
      </w:divBdr>
    </w:div>
    <w:div w:id="222107728">
      <w:bodyDiv w:val="1"/>
      <w:marLeft w:val="0"/>
      <w:marRight w:val="0"/>
      <w:marTop w:val="0"/>
      <w:marBottom w:val="0"/>
      <w:divBdr>
        <w:top w:val="none" w:sz="0" w:space="0" w:color="auto"/>
        <w:left w:val="none" w:sz="0" w:space="0" w:color="auto"/>
        <w:bottom w:val="none" w:sz="0" w:space="0" w:color="auto"/>
        <w:right w:val="none" w:sz="0" w:space="0" w:color="auto"/>
      </w:divBdr>
    </w:div>
    <w:div w:id="266357279">
      <w:bodyDiv w:val="1"/>
      <w:marLeft w:val="0"/>
      <w:marRight w:val="0"/>
      <w:marTop w:val="0"/>
      <w:marBottom w:val="0"/>
      <w:divBdr>
        <w:top w:val="none" w:sz="0" w:space="0" w:color="auto"/>
        <w:left w:val="none" w:sz="0" w:space="0" w:color="auto"/>
        <w:bottom w:val="none" w:sz="0" w:space="0" w:color="auto"/>
        <w:right w:val="none" w:sz="0" w:space="0" w:color="auto"/>
      </w:divBdr>
    </w:div>
    <w:div w:id="356541254">
      <w:bodyDiv w:val="1"/>
      <w:marLeft w:val="0"/>
      <w:marRight w:val="0"/>
      <w:marTop w:val="0"/>
      <w:marBottom w:val="0"/>
      <w:divBdr>
        <w:top w:val="none" w:sz="0" w:space="0" w:color="auto"/>
        <w:left w:val="none" w:sz="0" w:space="0" w:color="auto"/>
        <w:bottom w:val="none" w:sz="0" w:space="0" w:color="auto"/>
        <w:right w:val="none" w:sz="0" w:space="0" w:color="auto"/>
      </w:divBdr>
    </w:div>
    <w:div w:id="418404409">
      <w:bodyDiv w:val="1"/>
      <w:marLeft w:val="0"/>
      <w:marRight w:val="0"/>
      <w:marTop w:val="0"/>
      <w:marBottom w:val="0"/>
      <w:divBdr>
        <w:top w:val="none" w:sz="0" w:space="0" w:color="auto"/>
        <w:left w:val="none" w:sz="0" w:space="0" w:color="auto"/>
        <w:bottom w:val="none" w:sz="0" w:space="0" w:color="auto"/>
        <w:right w:val="none" w:sz="0" w:space="0" w:color="auto"/>
      </w:divBdr>
    </w:div>
    <w:div w:id="472525232">
      <w:bodyDiv w:val="1"/>
      <w:marLeft w:val="0"/>
      <w:marRight w:val="0"/>
      <w:marTop w:val="0"/>
      <w:marBottom w:val="0"/>
      <w:divBdr>
        <w:top w:val="none" w:sz="0" w:space="0" w:color="auto"/>
        <w:left w:val="none" w:sz="0" w:space="0" w:color="auto"/>
        <w:bottom w:val="none" w:sz="0" w:space="0" w:color="auto"/>
        <w:right w:val="none" w:sz="0" w:space="0" w:color="auto"/>
      </w:divBdr>
    </w:div>
    <w:div w:id="509563855">
      <w:bodyDiv w:val="1"/>
      <w:marLeft w:val="0"/>
      <w:marRight w:val="0"/>
      <w:marTop w:val="0"/>
      <w:marBottom w:val="0"/>
      <w:divBdr>
        <w:top w:val="none" w:sz="0" w:space="0" w:color="auto"/>
        <w:left w:val="none" w:sz="0" w:space="0" w:color="auto"/>
        <w:bottom w:val="none" w:sz="0" w:space="0" w:color="auto"/>
        <w:right w:val="none" w:sz="0" w:space="0" w:color="auto"/>
      </w:divBdr>
    </w:div>
    <w:div w:id="637953388">
      <w:bodyDiv w:val="1"/>
      <w:marLeft w:val="0"/>
      <w:marRight w:val="0"/>
      <w:marTop w:val="0"/>
      <w:marBottom w:val="0"/>
      <w:divBdr>
        <w:top w:val="none" w:sz="0" w:space="0" w:color="auto"/>
        <w:left w:val="none" w:sz="0" w:space="0" w:color="auto"/>
        <w:bottom w:val="none" w:sz="0" w:space="0" w:color="auto"/>
        <w:right w:val="none" w:sz="0" w:space="0" w:color="auto"/>
      </w:divBdr>
    </w:div>
    <w:div w:id="730930242">
      <w:bodyDiv w:val="1"/>
      <w:marLeft w:val="0"/>
      <w:marRight w:val="0"/>
      <w:marTop w:val="0"/>
      <w:marBottom w:val="0"/>
      <w:divBdr>
        <w:top w:val="none" w:sz="0" w:space="0" w:color="auto"/>
        <w:left w:val="none" w:sz="0" w:space="0" w:color="auto"/>
        <w:bottom w:val="none" w:sz="0" w:space="0" w:color="auto"/>
        <w:right w:val="none" w:sz="0" w:space="0" w:color="auto"/>
      </w:divBdr>
    </w:div>
    <w:div w:id="740836363">
      <w:bodyDiv w:val="1"/>
      <w:marLeft w:val="0"/>
      <w:marRight w:val="0"/>
      <w:marTop w:val="0"/>
      <w:marBottom w:val="0"/>
      <w:divBdr>
        <w:top w:val="none" w:sz="0" w:space="0" w:color="auto"/>
        <w:left w:val="none" w:sz="0" w:space="0" w:color="auto"/>
        <w:bottom w:val="none" w:sz="0" w:space="0" w:color="auto"/>
        <w:right w:val="none" w:sz="0" w:space="0" w:color="auto"/>
      </w:divBdr>
    </w:div>
    <w:div w:id="743911907">
      <w:bodyDiv w:val="1"/>
      <w:marLeft w:val="0"/>
      <w:marRight w:val="0"/>
      <w:marTop w:val="0"/>
      <w:marBottom w:val="0"/>
      <w:divBdr>
        <w:top w:val="none" w:sz="0" w:space="0" w:color="auto"/>
        <w:left w:val="none" w:sz="0" w:space="0" w:color="auto"/>
        <w:bottom w:val="none" w:sz="0" w:space="0" w:color="auto"/>
        <w:right w:val="none" w:sz="0" w:space="0" w:color="auto"/>
      </w:divBdr>
    </w:div>
    <w:div w:id="802771149">
      <w:bodyDiv w:val="1"/>
      <w:marLeft w:val="0"/>
      <w:marRight w:val="0"/>
      <w:marTop w:val="0"/>
      <w:marBottom w:val="0"/>
      <w:divBdr>
        <w:top w:val="none" w:sz="0" w:space="0" w:color="auto"/>
        <w:left w:val="none" w:sz="0" w:space="0" w:color="auto"/>
        <w:bottom w:val="none" w:sz="0" w:space="0" w:color="auto"/>
        <w:right w:val="none" w:sz="0" w:space="0" w:color="auto"/>
      </w:divBdr>
    </w:div>
    <w:div w:id="812983841">
      <w:bodyDiv w:val="1"/>
      <w:marLeft w:val="0"/>
      <w:marRight w:val="0"/>
      <w:marTop w:val="0"/>
      <w:marBottom w:val="0"/>
      <w:divBdr>
        <w:top w:val="none" w:sz="0" w:space="0" w:color="auto"/>
        <w:left w:val="none" w:sz="0" w:space="0" w:color="auto"/>
        <w:bottom w:val="none" w:sz="0" w:space="0" w:color="auto"/>
        <w:right w:val="none" w:sz="0" w:space="0" w:color="auto"/>
      </w:divBdr>
    </w:div>
    <w:div w:id="980841567">
      <w:bodyDiv w:val="1"/>
      <w:marLeft w:val="0"/>
      <w:marRight w:val="0"/>
      <w:marTop w:val="0"/>
      <w:marBottom w:val="0"/>
      <w:divBdr>
        <w:top w:val="none" w:sz="0" w:space="0" w:color="auto"/>
        <w:left w:val="none" w:sz="0" w:space="0" w:color="auto"/>
        <w:bottom w:val="none" w:sz="0" w:space="0" w:color="auto"/>
        <w:right w:val="none" w:sz="0" w:space="0" w:color="auto"/>
      </w:divBdr>
    </w:div>
    <w:div w:id="1218280095">
      <w:bodyDiv w:val="1"/>
      <w:marLeft w:val="0"/>
      <w:marRight w:val="0"/>
      <w:marTop w:val="0"/>
      <w:marBottom w:val="0"/>
      <w:divBdr>
        <w:top w:val="none" w:sz="0" w:space="0" w:color="auto"/>
        <w:left w:val="none" w:sz="0" w:space="0" w:color="auto"/>
        <w:bottom w:val="none" w:sz="0" w:space="0" w:color="auto"/>
        <w:right w:val="none" w:sz="0" w:space="0" w:color="auto"/>
      </w:divBdr>
    </w:div>
    <w:div w:id="1453550865">
      <w:bodyDiv w:val="1"/>
      <w:marLeft w:val="0"/>
      <w:marRight w:val="0"/>
      <w:marTop w:val="0"/>
      <w:marBottom w:val="0"/>
      <w:divBdr>
        <w:top w:val="none" w:sz="0" w:space="0" w:color="auto"/>
        <w:left w:val="none" w:sz="0" w:space="0" w:color="auto"/>
        <w:bottom w:val="none" w:sz="0" w:space="0" w:color="auto"/>
        <w:right w:val="none" w:sz="0" w:space="0" w:color="auto"/>
      </w:divBdr>
    </w:div>
    <w:div w:id="1541015978">
      <w:bodyDiv w:val="1"/>
      <w:marLeft w:val="0"/>
      <w:marRight w:val="0"/>
      <w:marTop w:val="0"/>
      <w:marBottom w:val="0"/>
      <w:divBdr>
        <w:top w:val="none" w:sz="0" w:space="0" w:color="auto"/>
        <w:left w:val="none" w:sz="0" w:space="0" w:color="auto"/>
        <w:bottom w:val="none" w:sz="0" w:space="0" w:color="auto"/>
        <w:right w:val="none" w:sz="0" w:space="0" w:color="auto"/>
      </w:divBdr>
    </w:div>
    <w:div w:id="1559903668">
      <w:bodyDiv w:val="1"/>
      <w:marLeft w:val="0"/>
      <w:marRight w:val="0"/>
      <w:marTop w:val="0"/>
      <w:marBottom w:val="0"/>
      <w:divBdr>
        <w:top w:val="none" w:sz="0" w:space="0" w:color="auto"/>
        <w:left w:val="none" w:sz="0" w:space="0" w:color="auto"/>
        <w:bottom w:val="none" w:sz="0" w:space="0" w:color="auto"/>
        <w:right w:val="none" w:sz="0" w:space="0" w:color="auto"/>
      </w:divBdr>
    </w:div>
    <w:div w:id="1580170656">
      <w:bodyDiv w:val="1"/>
      <w:marLeft w:val="0"/>
      <w:marRight w:val="0"/>
      <w:marTop w:val="0"/>
      <w:marBottom w:val="0"/>
      <w:divBdr>
        <w:top w:val="none" w:sz="0" w:space="0" w:color="auto"/>
        <w:left w:val="none" w:sz="0" w:space="0" w:color="auto"/>
        <w:bottom w:val="none" w:sz="0" w:space="0" w:color="auto"/>
        <w:right w:val="none" w:sz="0" w:space="0" w:color="auto"/>
      </w:divBdr>
    </w:div>
    <w:div w:id="1815220471">
      <w:bodyDiv w:val="1"/>
      <w:marLeft w:val="0"/>
      <w:marRight w:val="0"/>
      <w:marTop w:val="0"/>
      <w:marBottom w:val="0"/>
      <w:divBdr>
        <w:top w:val="none" w:sz="0" w:space="0" w:color="auto"/>
        <w:left w:val="none" w:sz="0" w:space="0" w:color="auto"/>
        <w:bottom w:val="none" w:sz="0" w:space="0" w:color="auto"/>
        <w:right w:val="none" w:sz="0" w:space="0" w:color="auto"/>
      </w:divBdr>
    </w:div>
    <w:div w:id="1845002187">
      <w:bodyDiv w:val="1"/>
      <w:marLeft w:val="0"/>
      <w:marRight w:val="0"/>
      <w:marTop w:val="0"/>
      <w:marBottom w:val="0"/>
      <w:divBdr>
        <w:top w:val="none" w:sz="0" w:space="0" w:color="auto"/>
        <w:left w:val="none" w:sz="0" w:space="0" w:color="auto"/>
        <w:bottom w:val="none" w:sz="0" w:space="0" w:color="auto"/>
        <w:right w:val="none" w:sz="0" w:space="0" w:color="auto"/>
      </w:divBdr>
    </w:div>
    <w:div w:id="1860121493">
      <w:bodyDiv w:val="1"/>
      <w:marLeft w:val="0"/>
      <w:marRight w:val="0"/>
      <w:marTop w:val="0"/>
      <w:marBottom w:val="0"/>
      <w:divBdr>
        <w:top w:val="none" w:sz="0" w:space="0" w:color="auto"/>
        <w:left w:val="none" w:sz="0" w:space="0" w:color="auto"/>
        <w:bottom w:val="none" w:sz="0" w:space="0" w:color="auto"/>
        <w:right w:val="none" w:sz="0" w:space="0" w:color="auto"/>
      </w:divBdr>
    </w:div>
    <w:div w:id="1864899380">
      <w:bodyDiv w:val="1"/>
      <w:marLeft w:val="0"/>
      <w:marRight w:val="0"/>
      <w:marTop w:val="0"/>
      <w:marBottom w:val="0"/>
      <w:divBdr>
        <w:top w:val="none" w:sz="0" w:space="0" w:color="auto"/>
        <w:left w:val="none" w:sz="0" w:space="0" w:color="auto"/>
        <w:bottom w:val="none" w:sz="0" w:space="0" w:color="auto"/>
        <w:right w:val="none" w:sz="0" w:space="0" w:color="auto"/>
      </w:divBdr>
    </w:div>
    <w:div w:id="2039813804">
      <w:bodyDiv w:val="1"/>
      <w:marLeft w:val="0"/>
      <w:marRight w:val="0"/>
      <w:marTop w:val="0"/>
      <w:marBottom w:val="0"/>
      <w:divBdr>
        <w:top w:val="none" w:sz="0" w:space="0" w:color="auto"/>
        <w:left w:val="none" w:sz="0" w:space="0" w:color="auto"/>
        <w:bottom w:val="none" w:sz="0" w:space="0" w:color="auto"/>
        <w:right w:val="none" w:sz="0" w:space="0" w:color="auto"/>
      </w:divBdr>
    </w:div>
    <w:div w:id="2085252712">
      <w:bodyDiv w:val="1"/>
      <w:marLeft w:val="0"/>
      <w:marRight w:val="0"/>
      <w:marTop w:val="0"/>
      <w:marBottom w:val="0"/>
      <w:divBdr>
        <w:top w:val="none" w:sz="0" w:space="0" w:color="auto"/>
        <w:left w:val="none" w:sz="0" w:space="0" w:color="auto"/>
        <w:bottom w:val="none" w:sz="0" w:space="0" w:color="auto"/>
        <w:right w:val="none" w:sz="0" w:space="0" w:color="auto"/>
      </w:divBdr>
    </w:div>
    <w:div w:id="2128967477">
      <w:bodyDiv w:val="1"/>
      <w:marLeft w:val="0"/>
      <w:marRight w:val="0"/>
      <w:marTop w:val="0"/>
      <w:marBottom w:val="0"/>
      <w:divBdr>
        <w:top w:val="none" w:sz="0" w:space="0" w:color="auto"/>
        <w:left w:val="none" w:sz="0" w:space="0" w:color="auto"/>
        <w:bottom w:val="none" w:sz="0" w:space="0" w:color="auto"/>
        <w:right w:val="none" w:sz="0" w:space="0" w:color="auto"/>
      </w:divBdr>
    </w:div>
    <w:div w:id="21438139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cmid.org/escmid_library/online_lecture_library/" TargetMode="External"/><Relationship Id="rId3" Type="http://schemas.openxmlformats.org/officeDocument/2006/relationships/settings" Target="settings.xml"/><Relationship Id="rId7" Type="http://schemas.openxmlformats.org/officeDocument/2006/relationships/hyperlink" Target="mailto:d.livermore@uea.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C2AEC3F7</Template>
  <TotalTime>0</TotalTime>
  <Pages>22</Pages>
  <Words>4415</Words>
  <Characters>25171</Characters>
  <Application>Microsoft Office Word</Application>
  <DocSecurity>4</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David Livermore</Company>
  <LinksUpToDate>false</LinksUpToDate>
  <CharactersWithSpaces>29527</CharactersWithSpaces>
  <SharedDoc>false</SharedDoc>
  <HLinks>
    <vt:vector size="12" baseType="variant">
      <vt:variant>
        <vt:i4>5505130</vt:i4>
      </vt:variant>
      <vt:variant>
        <vt:i4>3</vt:i4>
      </vt:variant>
      <vt:variant>
        <vt:i4>0</vt:i4>
      </vt:variant>
      <vt:variant>
        <vt:i4>5</vt:i4>
      </vt:variant>
      <vt:variant>
        <vt:lpwstr>mailto:d.livermore@uea.ac.uk</vt:lpwstr>
      </vt:variant>
      <vt:variant>
        <vt:lpwstr/>
      </vt:variant>
      <vt:variant>
        <vt:i4>458835</vt:i4>
      </vt:variant>
      <vt:variant>
        <vt:i4>0</vt:i4>
      </vt:variant>
      <vt:variant>
        <vt:i4>0</vt:i4>
      </vt:variant>
      <vt:variant>
        <vt:i4>5</vt:i4>
      </vt:variant>
      <vt:variant>
        <vt:lpwstr>mailto:david.livermore@phe.gov.uk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Livermore</dc:creator>
  <cp:lastModifiedBy>Sophie MORLEY (FMH-LS)</cp:lastModifiedBy>
  <cp:revision>2</cp:revision>
  <cp:lastPrinted>2015-10-20T16:18:00Z</cp:lastPrinted>
  <dcterms:created xsi:type="dcterms:W3CDTF">2015-11-06T12:12:00Z</dcterms:created>
  <dcterms:modified xsi:type="dcterms:W3CDTF">2015-11-06T12:12:00Z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-1100348397</vt:i4>
  </property>
  <property fmtid="{D5CDD505-2E9C-101B-9397-08002B2CF9AE}" pid="3" name="_NewReviewCycle">
    <vt:lpwstr/>
  </property>
  <property fmtid="{D5CDD505-2E9C-101B-9397-08002B2CF9AE}" pid="4" name="_EmailSubject">
    <vt:lpwstr>AAC02184-15  revision</vt:lpwstr>
  </property>
  <property fmtid="{D5CDD505-2E9C-101B-9397-08002B2CF9AE}" pid="5" name="_AuthorEmail">
    <vt:lpwstr>D.Livermore@uea.ac.uk</vt:lpwstr>
  </property>
  <property fmtid="{D5CDD505-2E9C-101B-9397-08002B2CF9AE}" pid="6" name="_AuthorEmailDisplayName">
    <vt:lpwstr>David Livermore (MED)</vt:lpwstr>
  </property>
  <property fmtid="{D5CDD505-2E9C-101B-9397-08002B2CF9AE}" pid="7" name="_ReviewingToolsShownOnce">
    <vt:lpwstr/>
  </property>
</Properties>
</file>