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A6C4B8" w14:textId="77777777" w:rsidR="00446DF8" w:rsidRPr="00810F20" w:rsidRDefault="00446DF8" w:rsidP="00446DF8">
      <w:pPr>
        <w:spacing w:before="100" w:beforeAutospacing="1" w:after="0"/>
        <w:rPr>
          <w:b/>
          <w:i/>
        </w:rPr>
      </w:pPr>
      <w:r w:rsidRPr="00810F20">
        <w:rPr>
          <w:b/>
          <w:i/>
        </w:rPr>
        <w:t>Introduction</w:t>
      </w:r>
    </w:p>
    <w:p w14:paraId="34D5B643" w14:textId="584BD2A9" w:rsidR="009E0307" w:rsidRDefault="00446DF8" w:rsidP="00E313AB">
      <w:pPr>
        <w:autoSpaceDE w:val="0"/>
        <w:autoSpaceDN w:val="0"/>
        <w:adjustRightInd w:val="0"/>
        <w:spacing w:before="100" w:beforeAutospacing="1" w:after="0"/>
        <w:jc w:val="both"/>
        <w:rPr>
          <w:b/>
          <w:i/>
        </w:rPr>
      </w:pPr>
      <w:r w:rsidRPr="00810F20">
        <w:t xml:space="preserve">Renewable, low-carbon forms of energy, including biofuels, are regarded by many as essential components for underpinning economic and human development while avoiding environmental degradation and </w:t>
      </w:r>
      <w:r w:rsidR="009369BB">
        <w:t xml:space="preserve">the </w:t>
      </w:r>
      <w:r w:rsidRPr="00810F20">
        <w:t>exhaustion of finite</w:t>
      </w:r>
      <w:r w:rsidR="005B2FF5">
        <w:t xml:space="preserve"> natural resources</w:t>
      </w:r>
      <w:r w:rsidR="004B6C57">
        <w:rPr>
          <w:vertAlign w:val="superscript"/>
        </w:rPr>
        <w:t xml:space="preserve"> </w:t>
      </w:r>
      <w:r w:rsidR="00F657B0" w:rsidRPr="00F657B0">
        <w:rPr>
          <w:vertAlign w:val="superscript"/>
        </w:rPr>
        <w:t>[</w:t>
      </w:r>
      <w:r w:rsidR="0043609A" w:rsidRPr="0043609A">
        <w:rPr>
          <w:noProof/>
          <w:vertAlign w:val="superscript"/>
        </w:rPr>
        <w:t>1</w:t>
      </w:r>
      <w:r w:rsidR="00C3675F">
        <w:rPr>
          <w:noProof/>
          <w:vertAlign w:val="superscript"/>
        </w:rPr>
        <w:t>]</w:t>
      </w:r>
      <w:r w:rsidRPr="00810F20">
        <w:t>.</w:t>
      </w:r>
      <w:r w:rsidR="00B47CEA">
        <w:t xml:space="preserve"> </w:t>
      </w:r>
      <w:r w:rsidR="000E7B2B">
        <w:t>By following sustainable development principles</w:t>
      </w:r>
      <w:r w:rsidR="004B6C57">
        <w:rPr>
          <w:vertAlign w:val="superscript"/>
        </w:rPr>
        <w:t xml:space="preserve"> </w:t>
      </w:r>
      <w:r w:rsidR="00F657B0" w:rsidRPr="00F657B0">
        <w:rPr>
          <w:vertAlign w:val="superscript"/>
        </w:rPr>
        <w:t>[</w:t>
      </w:r>
      <w:r w:rsidR="0043609A" w:rsidRPr="0043609A">
        <w:rPr>
          <w:noProof/>
          <w:vertAlign w:val="superscript"/>
        </w:rPr>
        <w:t>2</w:t>
      </w:r>
      <w:r w:rsidR="00C3675F">
        <w:rPr>
          <w:noProof/>
          <w:vertAlign w:val="superscript"/>
        </w:rPr>
        <w:t>]</w:t>
      </w:r>
      <w:r w:rsidR="000E7B2B">
        <w:t xml:space="preserve"> </w:t>
      </w:r>
      <w:r w:rsidRPr="00810F20">
        <w:t xml:space="preserve">renewable energy sources can help reduce global social inequalities </w:t>
      </w:r>
      <w:r w:rsidR="000D66BD">
        <w:t xml:space="preserve">through the provision of </w:t>
      </w:r>
      <w:r w:rsidR="000E7B2B">
        <w:t xml:space="preserve">access to energy for all </w:t>
      </w:r>
      <w:r w:rsidR="00B47CEA">
        <w:t xml:space="preserve">whilst </w:t>
      </w:r>
      <w:r w:rsidR="000E7B2B">
        <w:t>reducing greenhouse gas (GHG) emissions.</w:t>
      </w:r>
      <w:r w:rsidR="00B47CEA">
        <w:t xml:space="preserve"> </w:t>
      </w:r>
      <w:r w:rsidR="009369BB">
        <w:t>Since the 1990s, b</w:t>
      </w:r>
      <w:r w:rsidRPr="00810F20">
        <w:t xml:space="preserve">iofuels have been promoted as a sustainable alternative to fossil fuels, </w:t>
      </w:r>
      <w:r w:rsidR="009369BB">
        <w:t>particularly</w:t>
      </w:r>
      <w:r w:rsidRPr="00810F20">
        <w:t xml:space="preserve"> in the transport sector. The current policy landscape consists of 31 national biofuel mandates in addition to 26 </w:t>
      </w:r>
      <w:proofErr w:type="gramStart"/>
      <w:r w:rsidRPr="00810F20">
        <w:t>state</w:t>
      </w:r>
      <w:proofErr w:type="gramEnd"/>
      <w:r w:rsidRPr="00810F20">
        <w:t xml:space="preserve"> or provincial level and</w:t>
      </w:r>
      <w:r w:rsidR="009369BB">
        <w:t>,</w:t>
      </w:r>
      <w:r w:rsidRPr="00810F20">
        <w:t xml:space="preserve"> in 2013, production totalled 87 and 26 billion litres of ethanol and biodiesel respectively</w:t>
      </w:r>
      <w:r w:rsidR="009C19A5">
        <w:t xml:space="preserve"> </w:t>
      </w:r>
      <w:r w:rsidR="00F657B0" w:rsidRPr="00F657B0">
        <w:rPr>
          <w:vertAlign w:val="superscript"/>
        </w:rPr>
        <w:t>[</w:t>
      </w:r>
      <w:r w:rsidR="0043609A" w:rsidRPr="0043609A">
        <w:rPr>
          <w:noProof/>
          <w:vertAlign w:val="superscript"/>
        </w:rPr>
        <w:t>3</w:t>
      </w:r>
      <w:r w:rsidR="00C3675F">
        <w:rPr>
          <w:noProof/>
          <w:vertAlign w:val="superscript"/>
        </w:rPr>
        <w:t>]</w:t>
      </w:r>
      <w:r w:rsidRPr="00810F20">
        <w:t xml:space="preserve">. The lack of alternatives to petroleum and diesel </w:t>
      </w:r>
      <w:r w:rsidR="007665E2">
        <w:t>created</w:t>
      </w:r>
      <w:r w:rsidRPr="00810F20">
        <w:t xml:space="preserve"> political support </w:t>
      </w:r>
      <w:r w:rsidR="007665E2">
        <w:t xml:space="preserve">for biofuels </w:t>
      </w:r>
      <w:r w:rsidRPr="00810F20">
        <w:t>despite controversies concerning relative carbon savings</w:t>
      </w:r>
      <w:r w:rsidR="009C19A5">
        <w:t xml:space="preserve"> </w:t>
      </w:r>
      <w:r w:rsidR="00F657B0" w:rsidRPr="00F657B0">
        <w:rPr>
          <w:vertAlign w:val="superscript"/>
        </w:rPr>
        <w:t>[</w:t>
      </w:r>
      <w:r w:rsidR="0043609A" w:rsidRPr="0043609A">
        <w:rPr>
          <w:noProof/>
          <w:vertAlign w:val="superscript"/>
        </w:rPr>
        <w:t>4–6</w:t>
      </w:r>
      <w:r w:rsidR="00C3675F">
        <w:rPr>
          <w:noProof/>
          <w:vertAlign w:val="superscript"/>
        </w:rPr>
        <w:t>]</w:t>
      </w:r>
      <w:r w:rsidRPr="00810F20">
        <w:t>, competition with food crops</w:t>
      </w:r>
      <w:r w:rsidR="009C19A5">
        <w:t xml:space="preserve"> </w:t>
      </w:r>
      <w:r w:rsidR="00F657B0" w:rsidRPr="00F657B0">
        <w:rPr>
          <w:vertAlign w:val="superscript"/>
        </w:rPr>
        <w:t>[</w:t>
      </w:r>
      <w:r w:rsidR="0043609A" w:rsidRPr="0043609A">
        <w:rPr>
          <w:noProof/>
          <w:vertAlign w:val="superscript"/>
        </w:rPr>
        <w:t>7,8</w:t>
      </w:r>
      <w:r w:rsidR="00C3675F">
        <w:rPr>
          <w:noProof/>
          <w:vertAlign w:val="superscript"/>
        </w:rPr>
        <w:t>]</w:t>
      </w:r>
      <w:r w:rsidRPr="00810F20">
        <w:t>, and land use change</w:t>
      </w:r>
      <w:r w:rsidR="009C19A5">
        <w:t xml:space="preserve"> </w:t>
      </w:r>
      <w:r w:rsidR="00F657B0" w:rsidRPr="00F657B0">
        <w:rPr>
          <w:vertAlign w:val="superscript"/>
        </w:rPr>
        <w:t>[</w:t>
      </w:r>
      <w:r w:rsidR="0043609A" w:rsidRPr="0043609A">
        <w:rPr>
          <w:noProof/>
          <w:vertAlign w:val="superscript"/>
        </w:rPr>
        <w:t>9–11</w:t>
      </w:r>
      <w:r w:rsidR="00C3675F">
        <w:rPr>
          <w:noProof/>
          <w:vertAlign w:val="superscript"/>
        </w:rPr>
        <w:t>]</w:t>
      </w:r>
      <w:r w:rsidRPr="00810F20">
        <w:t>. Many of these issues highlight the potential for an unequal distribution of the benefits and burdens associated with the production and consumption of</w:t>
      </w:r>
      <w:r w:rsidR="000E7B2B">
        <w:t xml:space="preserve"> </w:t>
      </w:r>
      <w:r w:rsidRPr="00810F20">
        <w:t>biofuels. Whilst biofuel policies have not been withdrawn as a result of these concerns, some governments have introduced sustainability criteria, involving mandatory sustainability assessments, to minimise the negative impacts of biofuels</w:t>
      </w:r>
      <w:r w:rsidR="009C19A5">
        <w:t xml:space="preserve"> </w:t>
      </w:r>
      <w:r w:rsidR="00F657B0" w:rsidRPr="00F657B0">
        <w:rPr>
          <w:vertAlign w:val="superscript"/>
        </w:rPr>
        <w:t>[</w:t>
      </w:r>
      <w:r w:rsidR="0043609A" w:rsidRPr="0043609A">
        <w:rPr>
          <w:noProof/>
          <w:vertAlign w:val="superscript"/>
        </w:rPr>
        <w:t>12</w:t>
      </w:r>
      <w:r w:rsidR="00C3675F">
        <w:rPr>
          <w:noProof/>
          <w:vertAlign w:val="superscript"/>
        </w:rPr>
        <w:t>]</w:t>
      </w:r>
      <w:r w:rsidRPr="00810F20">
        <w:t xml:space="preserve">. </w:t>
      </w:r>
      <w:r w:rsidR="009369BB">
        <w:t xml:space="preserve">These assessments have </w:t>
      </w:r>
      <w:r w:rsidR="000D66BD">
        <w:t>largely</w:t>
      </w:r>
      <w:r w:rsidR="009369BB">
        <w:t xml:space="preserve"> focused on so-called first generation biofuels i.e. those produced from food crops, commonly sugarcane</w:t>
      </w:r>
      <w:r w:rsidR="009369BB" w:rsidRPr="00DB4B55">
        <w:t xml:space="preserve"> </w:t>
      </w:r>
      <w:r w:rsidR="009369BB">
        <w:t>and maize for bioethanol, and soy and palm oil for biodiesel.</w:t>
      </w:r>
      <w:r w:rsidR="009369BB" w:rsidRPr="00810F20">
        <w:t xml:space="preserve"> </w:t>
      </w:r>
      <w:r w:rsidR="000D66BD">
        <w:t>However, e</w:t>
      </w:r>
      <w:r w:rsidRPr="00810F20">
        <w:t>ven with a shift to second-generation biofuels, which make use of agricultural and food wastes</w:t>
      </w:r>
      <w:r w:rsidR="00A96DE1">
        <w:t xml:space="preserve"> or b</w:t>
      </w:r>
      <w:r w:rsidR="00DB4B55">
        <w:t>y</w:t>
      </w:r>
      <w:r w:rsidR="00A96DE1">
        <w:t>-products</w:t>
      </w:r>
      <w:r w:rsidRPr="00810F20">
        <w:t xml:space="preserve">, environmental and social impacts will occur and there are important lessons to be learnt from the experiences with first-generation biofuels. In particular, </w:t>
      </w:r>
      <w:r w:rsidR="00CE2EB6">
        <w:t xml:space="preserve">it is important to consider </w:t>
      </w:r>
      <w:r w:rsidRPr="00810F20">
        <w:t xml:space="preserve">how sustainability criteria might be strengthened </w:t>
      </w:r>
      <w:r w:rsidR="00CE2EB6">
        <w:t>to incorporate</w:t>
      </w:r>
      <w:r w:rsidRPr="00810F20">
        <w:t xml:space="preserve"> equity matters </w:t>
      </w:r>
      <w:r w:rsidR="00CE2EB6">
        <w:t>and</w:t>
      </w:r>
      <w:r w:rsidRPr="00810F20">
        <w:t xml:space="preserve"> </w:t>
      </w:r>
      <w:r w:rsidR="009369BB">
        <w:t xml:space="preserve">thus </w:t>
      </w:r>
      <w:r w:rsidRPr="00810F20">
        <w:t>ensure the benefits for some are not outweighed by worsening</w:t>
      </w:r>
      <w:r w:rsidR="009369BB">
        <w:t xml:space="preserve"> the </w:t>
      </w:r>
      <w:r w:rsidRPr="00810F20">
        <w:t>economic, environmental, health and</w:t>
      </w:r>
      <w:r w:rsidR="009369BB">
        <w:t xml:space="preserve"> social</w:t>
      </w:r>
      <w:r w:rsidRPr="00810F20">
        <w:t xml:space="preserve"> wellbeing of others</w:t>
      </w:r>
      <w:r w:rsidR="009C19A5">
        <w:t xml:space="preserve"> </w:t>
      </w:r>
      <w:r w:rsidR="00F657B0" w:rsidRPr="00F657B0">
        <w:rPr>
          <w:vertAlign w:val="superscript"/>
        </w:rPr>
        <w:t>[</w:t>
      </w:r>
      <w:r w:rsidR="0043609A" w:rsidRPr="0043609A">
        <w:rPr>
          <w:noProof/>
          <w:vertAlign w:val="superscript"/>
        </w:rPr>
        <w:t>13</w:t>
      </w:r>
      <w:r w:rsidR="00C3675F">
        <w:rPr>
          <w:noProof/>
          <w:vertAlign w:val="superscript"/>
        </w:rPr>
        <w:t>]</w:t>
      </w:r>
      <w:r w:rsidRPr="00810F20">
        <w:t>. This paper focuses on the equity dimensions of</w:t>
      </w:r>
      <w:r w:rsidR="0013492D">
        <w:t xml:space="preserve"> a set of</w:t>
      </w:r>
      <w:r w:rsidRPr="00810F20">
        <w:t xml:space="preserve"> </w:t>
      </w:r>
      <w:r w:rsidR="000E7B2B">
        <w:t xml:space="preserve">the most commonly used, formal methods of </w:t>
      </w:r>
      <w:r w:rsidR="0013492D">
        <w:t>biofuel</w:t>
      </w:r>
      <w:r w:rsidR="00B47CEA">
        <w:t xml:space="preserve"> </w:t>
      </w:r>
      <w:r w:rsidR="000E7B2B">
        <w:t>sustainability</w:t>
      </w:r>
      <w:r w:rsidRPr="00810F20">
        <w:t xml:space="preserve"> </w:t>
      </w:r>
      <w:r w:rsidR="0013492D">
        <w:t>assessments</w:t>
      </w:r>
      <w:r w:rsidR="000E7B2B">
        <w:t xml:space="preserve"> –</w:t>
      </w:r>
      <w:r w:rsidR="0013492D">
        <w:t xml:space="preserve"> the </w:t>
      </w:r>
      <w:r w:rsidR="002F1FE8">
        <w:t xml:space="preserve">voluntary certification schemes of the </w:t>
      </w:r>
      <w:r w:rsidR="0013492D">
        <w:t>E</w:t>
      </w:r>
      <w:r w:rsidR="002F1FE8">
        <w:t>uropean Union (E</w:t>
      </w:r>
      <w:r w:rsidR="0013492D">
        <w:t>U</w:t>
      </w:r>
      <w:r w:rsidR="002F1FE8">
        <w:t>)</w:t>
      </w:r>
      <w:r w:rsidRPr="00810F20">
        <w:t>. It shows that, although there has been an increased focus on the ethical dimensions of biofuels in the academic literature, equity does not yet feature in a robust way in</w:t>
      </w:r>
      <w:r w:rsidR="000E7B2B">
        <w:t xml:space="preserve"> these forms of </w:t>
      </w:r>
      <w:r w:rsidRPr="00810F20">
        <w:t xml:space="preserve">sustainability </w:t>
      </w:r>
      <w:r w:rsidR="000E7B2B">
        <w:t>appraisal</w:t>
      </w:r>
      <w:r w:rsidR="00CE2EB6">
        <w:t>. Therefore, the</w:t>
      </w:r>
      <w:r w:rsidR="00FD7456">
        <w:t xml:space="preserve"> extent to which poverty or social inequalities are reduced or exacerbated for those affected remain</w:t>
      </w:r>
      <w:r w:rsidR="00EB5D09">
        <w:t>s</w:t>
      </w:r>
      <w:r w:rsidR="00FD7456">
        <w:t xml:space="preserve"> unknown</w:t>
      </w:r>
      <w:r w:rsidRPr="00810F20">
        <w:t>. This paper summarises evidence</w:t>
      </w:r>
      <w:r w:rsidR="00FD7456">
        <w:t xml:space="preserve"> </w:t>
      </w:r>
      <w:r w:rsidRPr="00810F20">
        <w:t>regarding the impact of biofuels on equity</w:t>
      </w:r>
      <w:r w:rsidR="00021FAA">
        <w:t>, arguing that the inclusion of multiple voices and perspectives within sustainability assessments are likely to help fill this ‘equity void’ and deliver more sustainable and equitable outcomes for people affected.</w:t>
      </w:r>
    </w:p>
    <w:p w14:paraId="05BE0601" w14:textId="77777777" w:rsidR="00446DF8" w:rsidRPr="00810F20" w:rsidRDefault="00446DF8" w:rsidP="00446DF8">
      <w:pPr>
        <w:spacing w:before="100" w:beforeAutospacing="1" w:after="0"/>
        <w:jc w:val="both"/>
        <w:rPr>
          <w:b/>
          <w:i/>
        </w:rPr>
      </w:pPr>
      <w:r w:rsidRPr="00810F20">
        <w:rPr>
          <w:b/>
          <w:i/>
        </w:rPr>
        <w:t>Equity, justice and biofuels</w:t>
      </w:r>
    </w:p>
    <w:p w14:paraId="65F909C9" w14:textId="1C4299E4" w:rsidR="004D642F" w:rsidRDefault="00446DF8" w:rsidP="00F74AFA">
      <w:pPr>
        <w:spacing w:before="100" w:beforeAutospacing="1"/>
        <w:jc w:val="both"/>
      </w:pPr>
      <w:r w:rsidRPr="00810F20">
        <w:t xml:space="preserve">In line with </w:t>
      </w:r>
      <w:proofErr w:type="spellStart"/>
      <w:r w:rsidRPr="00810F20">
        <w:t>Brundtland</w:t>
      </w:r>
      <w:proofErr w:type="spellEnd"/>
      <w:r w:rsidRPr="00810F20">
        <w:t xml:space="preserve"> sustainable development ideals</w:t>
      </w:r>
      <w:r w:rsidR="009C19A5">
        <w:t xml:space="preserve"> </w:t>
      </w:r>
      <w:r w:rsidR="00F657B0" w:rsidRPr="00F657B0">
        <w:rPr>
          <w:vertAlign w:val="superscript"/>
        </w:rPr>
        <w:t>[</w:t>
      </w:r>
      <w:r w:rsidR="0043609A" w:rsidRPr="0043609A">
        <w:rPr>
          <w:noProof/>
          <w:vertAlign w:val="superscript"/>
        </w:rPr>
        <w:t>2</w:t>
      </w:r>
      <w:r w:rsidR="00C3675F">
        <w:rPr>
          <w:noProof/>
          <w:vertAlign w:val="superscript"/>
        </w:rPr>
        <w:t>]</w:t>
      </w:r>
      <w:r w:rsidRPr="00810F20">
        <w:t xml:space="preserve"> </w:t>
      </w:r>
      <w:r w:rsidR="00EB5D09">
        <w:t>if biofuels are used, rates of consumption should not hinder</w:t>
      </w:r>
      <w:r w:rsidRPr="00810F20">
        <w:t xml:space="preserve"> the natural replenishment of the environmental systems on which they rely</w:t>
      </w:r>
      <w:r w:rsidR="00AB07DF">
        <w:t xml:space="preserve">. Their consumption should also contribute to the pursuit of </w:t>
      </w:r>
      <w:r w:rsidRPr="00810F20">
        <w:t xml:space="preserve">social and economic development </w:t>
      </w:r>
      <w:r w:rsidR="00B0532E">
        <w:t>t</w:t>
      </w:r>
      <w:r w:rsidR="00AB07DF">
        <w:t>hat</w:t>
      </w:r>
      <w:r w:rsidR="00B0532E" w:rsidRPr="00810F20">
        <w:t xml:space="preserve"> </w:t>
      </w:r>
      <w:r w:rsidRPr="00810F20">
        <w:t>improve qualit</w:t>
      </w:r>
      <w:r w:rsidR="00730384">
        <w:t>ies</w:t>
      </w:r>
      <w:r w:rsidRPr="00810F20">
        <w:t xml:space="preserve"> of life, reduce social inequalities</w:t>
      </w:r>
      <w:r w:rsidR="00C92B8F">
        <w:t>,</w:t>
      </w:r>
      <w:r w:rsidRPr="00810F20">
        <w:t xml:space="preserve"> and</w:t>
      </w:r>
      <w:r w:rsidR="00C92B8F">
        <w:t xml:space="preserve"> reduce</w:t>
      </w:r>
      <w:r w:rsidRPr="00810F20">
        <w:t xml:space="preserve"> poverty</w:t>
      </w:r>
      <w:r w:rsidR="004C7A4E">
        <w:t>.</w:t>
      </w:r>
      <w:r w:rsidR="007665E2">
        <w:t xml:space="preserve"> </w:t>
      </w:r>
      <w:r w:rsidR="004C7A4E">
        <w:t xml:space="preserve">Furthermore, </w:t>
      </w:r>
      <w:r w:rsidR="00AB07DF">
        <w:t>biofuel developments</w:t>
      </w:r>
      <w:r w:rsidR="004C7A4E">
        <w:t xml:space="preserve"> should </w:t>
      </w:r>
      <w:r w:rsidRPr="00810F20">
        <w:t xml:space="preserve">respect environmental justice principles, especially distributive justice </w:t>
      </w:r>
      <w:r w:rsidR="005A031D">
        <w:t>to promote</w:t>
      </w:r>
      <w:r w:rsidR="005A031D" w:rsidRPr="00810F20">
        <w:t xml:space="preserve"> </w:t>
      </w:r>
      <w:r w:rsidRPr="00810F20">
        <w:t>inter-</w:t>
      </w:r>
      <w:r w:rsidR="000261BA">
        <w:t xml:space="preserve"> </w:t>
      </w:r>
      <w:r w:rsidRPr="00810F20">
        <w:t>and intra-generational equity</w:t>
      </w:r>
      <w:r w:rsidR="009C19A5">
        <w:t xml:space="preserve"> </w:t>
      </w:r>
      <w:r w:rsidR="00F657B0" w:rsidRPr="00F657B0">
        <w:rPr>
          <w:vertAlign w:val="superscript"/>
        </w:rPr>
        <w:t>[</w:t>
      </w:r>
      <w:r w:rsidR="0043609A" w:rsidRPr="0043609A">
        <w:rPr>
          <w:noProof/>
          <w:vertAlign w:val="superscript"/>
        </w:rPr>
        <w:t>2,14</w:t>
      </w:r>
      <w:r w:rsidR="00C3675F">
        <w:rPr>
          <w:noProof/>
          <w:vertAlign w:val="superscript"/>
        </w:rPr>
        <w:t>]</w:t>
      </w:r>
      <w:r w:rsidRPr="00810F20">
        <w:t xml:space="preserve">. </w:t>
      </w:r>
    </w:p>
    <w:p w14:paraId="1DF9516B" w14:textId="2D12D869" w:rsidR="00446DF8" w:rsidRPr="00021FAA" w:rsidRDefault="00446DF8" w:rsidP="00446DF8">
      <w:pPr>
        <w:spacing w:before="100" w:beforeAutospacing="1" w:after="0"/>
        <w:jc w:val="both"/>
      </w:pPr>
      <w:r w:rsidRPr="00810F20">
        <w:t xml:space="preserve">Distributive justice can </w:t>
      </w:r>
      <w:r w:rsidR="002206A0">
        <w:t xml:space="preserve">generally </w:t>
      </w:r>
      <w:r w:rsidRPr="00810F20">
        <w:t>be defined as the ways</w:t>
      </w:r>
      <w:r w:rsidR="002206A0">
        <w:t xml:space="preserve"> </w:t>
      </w:r>
      <w:r w:rsidR="000D66BD">
        <w:t xml:space="preserve">in which </w:t>
      </w:r>
      <w:r w:rsidR="002206A0">
        <w:t>the</w:t>
      </w:r>
      <w:r w:rsidRPr="00810F20">
        <w:t xml:space="preserve"> benefits and burdens of our lives are shared between members of a society or community</w:t>
      </w:r>
      <w:r w:rsidR="009C19A5">
        <w:t xml:space="preserve"> </w:t>
      </w:r>
      <w:r w:rsidR="00F657B0" w:rsidRPr="00F657B0">
        <w:rPr>
          <w:vertAlign w:val="superscript"/>
        </w:rPr>
        <w:t>[</w:t>
      </w:r>
      <w:r w:rsidR="0043609A" w:rsidRPr="0043609A">
        <w:rPr>
          <w:noProof/>
          <w:vertAlign w:val="superscript"/>
        </w:rPr>
        <w:t>15</w:t>
      </w:r>
      <w:r w:rsidR="00C3675F">
        <w:rPr>
          <w:noProof/>
          <w:vertAlign w:val="superscript"/>
        </w:rPr>
        <w:t>]</w:t>
      </w:r>
      <w:r w:rsidRPr="00810F20">
        <w:t xml:space="preserve">. More specifically, it is concerned </w:t>
      </w:r>
      <w:r w:rsidRPr="00810F20">
        <w:lastRenderedPageBreak/>
        <w:t>with the fair allocation of resources among diverse members of a community</w:t>
      </w:r>
      <w:r w:rsidR="002206A0">
        <w:t>, including</w:t>
      </w:r>
      <w:r w:rsidR="008C452A">
        <w:t xml:space="preserve"> the </w:t>
      </w:r>
      <w:r w:rsidRPr="00810F20">
        <w:t>total goods to be distributed, the distributing procedure</w:t>
      </w:r>
      <w:r w:rsidR="00021FAA">
        <w:t>s</w:t>
      </w:r>
      <w:r w:rsidR="008C452A">
        <w:t>,</w:t>
      </w:r>
      <w:r w:rsidR="00021FAA">
        <w:t xml:space="preserve"> </w:t>
      </w:r>
      <w:r w:rsidRPr="00810F20">
        <w:t>and distribution of the associated outcomes</w:t>
      </w:r>
      <w:r w:rsidR="002206A0">
        <w:t xml:space="preserve"> </w:t>
      </w:r>
      <w:r w:rsidR="00F657B0" w:rsidRPr="00F657B0">
        <w:rPr>
          <w:vertAlign w:val="superscript"/>
        </w:rPr>
        <w:t>[</w:t>
      </w:r>
      <w:r w:rsidR="0043609A" w:rsidRPr="0043609A">
        <w:rPr>
          <w:noProof/>
          <w:vertAlign w:val="superscript"/>
        </w:rPr>
        <w:t>14,16</w:t>
      </w:r>
      <w:r w:rsidR="00C3675F">
        <w:rPr>
          <w:noProof/>
          <w:vertAlign w:val="superscript"/>
        </w:rPr>
        <w:t>]</w:t>
      </w:r>
      <w:r w:rsidRPr="00810F20">
        <w:t>.</w:t>
      </w:r>
      <w:r w:rsidR="007665E2">
        <w:t xml:space="preserve"> </w:t>
      </w:r>
      <w:r w:rsidR="00637F2B">
        <w:t>The</w:t>
      </w:r>
      <w:r w:rsidR="002206A0">
        <w:t>se</w:t>
      </w:r>
      <w:r w:rsidR="00637F2B">
        <w:t xml:space="preserve"> goods are wide-ranging and diverse but can be defined as </w:t>
      </w:r>
      <w:r w:rsidR="002206A0">
        <w:t xml:space="preserve">the </w:t>
      </w:r>
      <w:r w:rsidR="00637F2B">
        <w:t xml:space="preserve">benefits which improve a person’s capabilities </w:t>
      </w:r>
      <w:r w:rsidR="002206A0">
        <w:t xml:space="preserve">to enjoy </w:t>
      </w:r>
      <w:r w:rsidR="00637F2B">
        <w:t>a decent quality of life</w:t>
      </w:r>
      <w:r w:rsidR="002206A0">
        <w:t>, and include</w:t>
      </w:r>
      <w:r w:rsidR="00637F2B">
        <w:t xml:space="preserve"> </w:t>
      </w:r>
      <w:r w:rsidR="009E0307">
        <w:t xml:space="preserve">access to </w:t>
      </w:r>
      <w:r w:rsidR="00637F2B">
        <w:t xml:space="preserve">adequate shelter, nutrition, meaningful employment </w:t>
      </w:r>
      <w:r w:rsidR="009E0307">
        <w:t>and</w:t>
      </w:r>
      <w:r w:rsidR="00637F2B">
        <w:t xml:space="preserve"> the ability to take part in community life with safety, dignity and respect</w:t>
      </w:r>
      <w:r w:rsidR="002206A0">
        <w:t xml:space="preserve"> </w:t>
      </w:r>
      <w:r w:rsidR="003A6E6D">
        <w:rPr>
          <w:vertAlign w:val="superscript"/>
        </w:rPr>
        <w:t>[</w:t>
      </w:r>
      <w:r w:rsidR="001F6880">
        <w:rPr>
          <w:vertAlign w:val="superscript"/>
        </w:rPr>
        <w:t>17</w:t>
      </w:r>
      <w:proofErr w:type="gramStart"/>
      <w:r w:rsidR="001F6880">
        <w:rPr>
          <w:vertAlign w:val="superscript"/>
        </w:rPr>
        <w:t>,18</w:t>
      </w:r>
      <w:proofErr w:type="gramEnd"/>
      <w:r w:rsidR="00C84919" w:rsidRPr="004B6C57">
        <w:rPr>
          <w:vertAlign w:val="superscript"/>
        </w:rPr>
        <w:t>]</w:t>
      </w:r>
      <w:r w:rsidR="00637F2B">
        <w:t>.</w:t>
      </w:r>
      <w:r w:rsidR="007665E2">
        <w:t xml:space="preserve"> </w:t>
      </w:r>
      <w:r w:rsidR="00021FAA">
        <w:t xml:space="preserve">A close connection is evident between distributional justice and </w:t>
      </w:r>
      <w:r w:rsidR="00637F2B">
        <w:t xml:space="preserve">other dimensions of environmental justice, such as </w:t>
      </w:r>
      <w:r w:rsidR="00021FAA">
        <w:t>procedural justice and recognition.</w:t>
      </w:r>
      <w:r w:rsidR="00B47CEA">
        <w:t xml:space="preserve"> </w:t>
      </w:r>
      <w:r w:rsidR="00021FAA">
        <w:t xml:space="preserve">For example, there is </w:t>
      </w:r>
      <w:r w:rsidR="00C92B8F">
        <w:t xml:space="preserve">greater </w:t>
      </w:r>
      <w:r w:rsidR="00021FAA">
        <w:t xml:space="preserve">opportunity for a </w:t>
      </w:r>
      <w:r w:rsidR="00A7400C">
        <w:t xml:space="preserve">more equitable </w:t>
      </w:r>
      <w:r w:rsidR="00E94B38">
        <w:t>distribution</w:t>
      </w:r>
      <w:r w:rsidR="00A7400C">
        <w:t xml:space="preserve"> of</w:t>
      </w:r>
      <w:r w:rsidR="00021FAA">
        <w:t xml:space="preserve"> outcomes if </w:t>
      </w:r>
      <w:r w:rsidR="00A7400C">
        <w:t xml:space="preserve">decision-making processes recognise </w:t>
      </w:r>
      <w:r w:rsidR="00021FAA">
        <w:t>affected stakeholders</w:t>
      </w:r>
      <w:r w:rsidR="00355C4D">
        <w:t xml:space="preserve"> </w:t>
      </w:r>
      <w:r w:rsidR="005C450F">
        <w:t>and</w:t>
      </w:r>
      <w:r w:rsidR="003148E5">
        <w:t xml:space="preserve"> give their perspectives adequate attention and respect</w:t>
      </w:r>
      <w:r w:rsidR="009E0307">
        <w:t xml:space="preserve">. Outcomes are </w:t>
      </w:r>
      <w:r w:rsidR="000D66BD">
        <w:t xml:space="preserve">likely to be </w:t>
      </w:r>
      <w:r w:rsidR="009E0307">
        <w:t xml:space="preserve">more equitable </w:t>
      </w:r>
      <w:r w:rsidR="004B6C57">
        <w:t xml:space="preserve">where </w:t>
      </w:r>
      <w:r w:rsidR="009E0307">
        <w:t xml:space="preserve">these </w:t>
      </w:r>
      <w:r w:rsidR="00A7400C">
        <w:t>proce</w:t>
      </w:r>
      <w:r w:rsidR="009E0307">
        <w:t>sses</w:t>
      </w:r>
      <w:r w:rsidR="00A7400C">
        <w:t xml:space="preserve"> are</w:t>
      </w:r>
      <w:r w:rsidR="00637F2B">
        <w:t xml:space="preserve"> inclusive,</w:t>
      </w:r>
      <w:r w:rsidR="00A7400C">
        <w:t xml:space="preserve"> robust, </w:t>
      </w:r>
      <w:proofErr w:type="gramStart"/>
      <w:r w:rsidR="00A7400C">
        <w:t>transparent</w:t>
      </w:r>
      <w:proofErr w:type="gramEnd"/>
      <w:r w:rsidR="00A7400C">
        <w:t xml:space="preserve"> and fair</w:t>
      </w:r>
      <w:r w:rsidR="009E0307">
        <w:rPr>
          <w:vertAlign w:val="superscript"/>
        </w:rPr>
        <w:t xml:space="preserve"> </w:t>
      </w:r>
      <w:r w:rsidR="00F657B0" w:rsidRPr="00F657B0">
        <w:rPr>
          <w:vertAlign w:val="superscript"/>
        </w:rPr>
        <w:t>[</w:t>
      </w:r>
      <w:r w:rsidR="0043609A" w:rsidRPr="0043609A">
        <w:rPr>
          <w:noProof/>
          <w:vertAlign w:val="superscript"/>
        </w:rPr>
        <w:t>14,</w:t>
      </w:r>
      <w:r w:rsidR="001F6880">
        <w:rPr>
          <w:noProof/>
          <w:vertAlign w:val="superscript"/>
        </w:rPr>
        <w:t>19,20</w:t>
      </w:r>
      <w:r w:rsidR="00C3675F">
        <w:rPr>
          <w:noProof/>
          <w:vertAlign w:val="superscript"/>
        </w:rPr>
        <w:t>]</w:t>
      </w:r>
      <w:r w:rsidR="00A7400C">
        <w:t>.</w:t>
      </w:r>
      <w:r w:rsidR="00E775F5" w:rsidRPr="00E775F5">
        <w:t xml:space="preserve"> </w:t>
      </w:r>
      <w:r w:rsidR="000D66BD">
        <w:t>Relevant d</w:t>
      </w:r>
      <w:r w:rsidR="00C84919">
        <w:t>ecision-making proce</w:t>
      </w:r>
      <w:r w:rsidR="000D66BD">
        <w:t xml:space="preserve">sses, </w:t>
      </w:r>
      <w:r w:rsidR="00FD2D55">
        <w:t>include</w:t>
      </w:r>
      <w:r w:rsidR="00C84919">
        <w:t xml:space="preserve"> </w:t>
      </w:r>
      <w:r w:rsidR="000D66BD">
        <w:t xml:space="preserve">those </w:t>
      </w:r>
      <w:r w:rsidR="00FD2D55">
        <w:t>that seek to reduce</w:t>
      </w:r>
      <w:r w:rsidR="000D66BD">
        <w:t xml:space="preserve"> the</w:t>
      </w:r>
      <w:r w:rsidR="00FD2D55">
        <w:t xml:space="preserve"> negative impacts of biofuel production and consumption on communities and environments</w:t>
      </w:r>
      <w:r w:rsidR="00C84919">
        <w:t xml:space="preserve">, such as </w:t>
      </w:r>
      <w:r w:rsidR="00FD2D55">
        <w:t>voluntary certification schemes</w:t>
      </w:r>
      <w:r w:rsidR="000D66BD">
        <w:t xml:space="preserve"> </w:t>
      </w:r>
      <w:r w:rsidR="007D1759" w:rsidRPr="007D1759">
        <w:rPr>
          <w:vertAlign w:val="superscript"/>
        </w:rPr>
        <w:t>[12]</w:t>
      </w:r>
      <w:r w:rsidR="00C84919">
        <w:t>.</w:t>
      </w:r>
      <w:r w:rsidR="007665E2">
        <w:t xml:space="preserve"> </w:t>
      </w:r>
      <w:r w:rsidR="00FD2D55">
        <w:t xml:space="preserve">To respect sustainable development and environmental justice ideals, </w:t>
      </w:r>
      <w:r w:rsidR="00C56CB2">
        <w:t>t</w:t>
      </w:r>
      <w:r w:rsidR="00E775F5">
        <w:t>he development and use of biofuels should help to improve qualities of life for all those affected or</w:t>
      </w:r>
      <w:r w:rsidR="009E0307">
        <w:t>,</w:t>
      </w:r>
      <w:r w:rsidR="00E775F5">
        <w:t xml:space="preserve"> </w:t>
      </w:r>
      <w:r w:rsidR="00355C4D">
        <w:t xml:space="preserve">at the very least, </w:t>
      </w:r>
      <w:r w:rsidR="009E0307">
        <w:t xml:space="preserve">should </w:t>
      </w:r>
      <w:r w:rsidR="00E775F5">
        <w:t xml:space="preserve">not exacerbate </w:t>
      </w:r>
      <w:r w:rsidR="00297DC9">
        <w:t>or</w:t>
      </w:r>
      <w:r w:rsidR="00E775F5">
        <w:t xml:space="preserve"> intensify existing social or environmental inequalities.</w:t>
      </w:r>
    </w:p>
    <w:p w14:paraId="00B530D8" w14:textId="77777777" w:rsidR="00F70D8D" w:rsidRDefault="00FE23E9" w:rsidP="00446DF8">
      <w:pPr>
        <w:spacing w:before="100" w:beforeAutospacing="1" w:after="0"/>
        <w:jc w:val="both"/>
      </w:pPr>
      <w:r>
        <w:t>This paper defines equity in terms of matters of recognition, distributional and procedural justice</w:t>
      </w:r>
      <w:r w:rsidR="00E62FB9">
        <w:t xml:space="preserve"> and</w:t>
      </w:r>
      <w:r w:rsidR="009E0307">
        <w:t>,</w:t>
      </w:r>
      <w:r w:rsidR="00446DF8" w:rsidRPr="00810F20">
        <w:t xml:space="preserve"> within this context</w:t>
      </w:r>
      <w:r w:rsidR="009E0307">
        <w:t>,</w:t>
      </w:r>
      <w:r w:rsidR="00446DF8" w:rsidRPr="00810F20">
        <w:t xml:space="preserve"> </w:t>
      </w:r>
      <w:r w:rsidR="007C397D">
        <w:t>this paper</w:t>
      </w:r>
      <w:r w:rsidR="00446DF8" w:rsidRPr="00810F20">
        <w:t xml:space="preserve"> argue</w:t>
      </w:r>
      <w:r w:rsidR="00C92B8F">
        <w:t>s</w:t>
      </w:r>
      <w:r w:rsidR="009E0307">
        <w:t xml:space="preserve"> for</w:t>
      </w:r>
      <w:r w:rsidR="00446DF8" w:rsidRPr="00810F20">
        <w:t xml:space="preserve"> a greater focus on </w:t>
      </w:r>
      <w:r w:rsidR="00730384">
        <w:t>equity</w:t>
      </w:r>
      <w:r w:rsidR="009E0307">
        <w:t xml:space="preserve"> in </w:t>
      </w:r>
      <w:r w:rsidR="002959ED">
        <w:t xml:space="preserve">assessments </w:t>
      </w:r>
      <w:r w:rsidR="009E0307">
        <w:t xml:space="preserve">of biofuel </w:t>
      </w:r>
      <w:r w:rsidR="003F17A6">
        <w:t>sustainability</w:t>
      </w:r>
      <w:r w:rsidR="009E0307">
        <w:t xml:space="preserve">. </w:t>
      </w:r>
      <w:r w:rsidR="002230F0">
        <w:t>Furthermore, m</w:t>
      </w:r>
      <w:r w:rsidR="00DF4188">
        <w:t xml:space="preserve">aking judgements about </w:t>
      </w:r>
      <w:r w:rsidR="002230F0">
        <w:t xml:space="preserve">the equity of biofuel systems requires an understanding of contextual factors, including political processes, local institutions and the initial social conditions </w:t>
      </w:r>
      <w:r w:rsidR="002230F0">
        <w:rPr>
          <w:vertAlign w:val="superscript"/>
        </w:rPr>
        <w:t>[</w:t>
      </w:r>
      <w:r w:rsidR="001F6880">
        <w:rPr>
          <w:vertAlign w:val="superscript"/>
        </w:rPr>
        <w:t>18</w:t>
      </w:r>
      <w:r w:rsidR="002230F0">
        <w:rPr>
          <w:vertAlign w:val="superscript"/>
        </w:rPr>
        <w:t>]</w:t>
      </w:r>
      <w:r w:rsidR="002230F0">
        <w:t>.</w:t>
      </w:r>
      <w:r w:rsidR="00C14764">
        <w:t xml:space="preserve"> </w:t>
      </w:r>
      <w:r w:rsidR="00E62FB9">
        <w:t>A</w:t>
      </w:r>
      <w:r w:rsidR="00CA4A18">
        <w:t xml:space="preserve"> judgement about equity will depend on the dimension of equity that is the focus at any one time</w:t>
      </w:r>
      <w:r w:rsidR="00E62FB9">
        <w:t xml:space="preserve"> and who is making that judgement</w:t>
      </w:r>
      <w:r w:rsidR="00E62FB9" w:rsidDel="00E62FB9">
        <w:t xml:space="preserve"> </w:t>
      </w:r>
      <w:r w:rsidR="003A6E6D">
        <w:rPr>
          <w:vertAlign w:val="superscript"/>
        </w:rPr>
        <w:t>[</w:t>
      </w:r>
      <w:r w:rsidR="001630C3">
        <w:rPr>
          <w:vertAlign w:val="superscript"/>
        </w:rPr>
        <w:t>21</w:t>
      </w:r>
      <w:proofErr w:type="gramStart"/>
      <w:r w:rsidR="001630C3">
        <w:rPr>
          <w:vertAlign w:val="superscript"/>
        </w:rPr>
        <w:t>,22</w:t>
      </w:r>
      <w:proofErr w:type="gramEnd"/>
      <w:r w:rsidR="00CA4A18" w:rsidRPr="00CA4A18">
        <w:rPr>
          <w:vertAlign w:val="superscript"/>
        </w:rPr>
        <w:t>]</w:t>
      </w:r>
      <w:r w:rsidR="00CA4A18">
        <w:t>.</w:t>
      </w:r>
      <w:r w:rsidR="007665E2">
        <w:t xml:space="preserve"> </w:t>
      </w:r>
      <w:r w:rsidR="00E62FB9">
        <w:t>Our</w:t>
      </w:r>
      <w:r w:rsidR="002D1654">
        <w:t xml:space="preserve"> intention here</w:t>
      </w:r>
      <w:r w:rsidR="00F70D8D">
        <w:t xml:space="preserve"> is that by revealing and exploring </w:t>
      </w:r>
      <w:r w:rsidR="00B07A31">
        <w:t>equity</w:t>
      </w:r>
      <w:r w:rsidR="00F70D8D">
        <w:t xml:space="preserve"> matters</w:t>
      </w:r>
      <w:r w:rsidR="002D1654">
        <w:t>,</w:t>
      </w:r>
      <w:r w:rsidR="00F70D8D">
        <w:t xml:space="preserve"> practices and procedures might be adapted or re-shaped to ensure effects that are claimed to be unjust are</w:t>
      </w:r>
      <w:r w:rsidR="00B07A31">
        <w:t xml:space="preserve"> adequately</w:t>
      </w:r>
      <w:r w:rsidR="003363F7">
        <w:t xml:space="preserve"> identified,</w:t>
      </w:r>
      <w:r w:rsidR="00F70D8D">
        <w:t xml:space="preserve"> investigated and resolved.</w:t>
      </w:r>
      <w:r w:rsidR="007665E2">
        <w:t xml:space="preserve"> </w:t>
      </w:r>
      <w:r w:rsidR="002D1654">
        <w:t>The focus is therefore to seek improved understandings of who is affected and involved in framing what is just or unjust and how</w:t>
      </w:r>
      <w:r w:rsidR="009E0307">
        <w:t xml:space="preserve"> </w:t>
      </w:r>
      <w:r w:rsidR="003A6E6D">
        <w:rPr>
          <w:vertAlign w:val="superscript"/>
        </w:rPr>
        <w:t>[</w:t>
      </w:r>
      <w:r w:rsidR="001630C3">
        <w:rPr>
          <w:vertAlign w:val="superscript"/>
        </w:rPr>
        <w:t>23</w:t>
      </w:r>
      <w:proofErr w:type="gramStart"/>
      <w:r w:rsidR="001630C3">
        <w:rPr>
          <w:vertAlign w:val="superscript"/>
        </w:rPr>
        <w:t>,24</w:t>
      </w:r>
      <w:proofErr w:type="gramEnd"/>
      <w:r w:rsidR="002D1654" w:rsidRPr="00927834">
        <w:rPr>
          <w:vertAlign w:val="superscript"/>
        </w:rPr>
        <w:t>]</w:t>
      </w:r>
      <w:r w:rsidR="002D1654">
        <w:t xml:space="preserve">. </w:t>
      </w:r>
      <w:r w:rsidR="00F70D8D">
        <w:t xml:space="preserve">Not least, </w:t>
      </w:r>
      <w:r w:rsidR="00927834">
        <w:t xml:space="preserve">from this new knowledge, </w:t>
      </w:r>
      <w:r w:rsidR="00F70D8D">
        <w:t>i</w:t>
      </w:r>
      <w:r w:rsidR="00E775F5">
        <w:t xml:space="preserve">t </w:t>
      </w:r>
      <w:r w:rsidR="00927834">
        <w:t xml:space="preserve">may be possible </w:t>
      </w:r>
      <w:r w:rsidR="00446DF8" w:rsidRPr="00810F20">
        <w:t>to ensure that the poorest</w:t>
      </w:r>
      <w:r w:rsidR="00C92B8F">
        <w:t xml:space="preserve"> and least powerful actors</w:t>
      </w:r>
      <w:r w:rsidR="00446DF8" w:rsidRPr="00810F20">
        <w:t xml:space="preserve">, often those living near sites of feedstock cultivation, do not bear the burdens associated with increasing global demand for biofuels. </w:t>
      </w:r>
    </w:p>
    <w:p w14:paraId="421F8012" w14:textId="77777777" w:rsidR="00C14764" w:rsidRDefault="003148E5" w:rsidP="00446DF8">
      <w:pPr>
        <w:spacing w:before="100" w:beforeAutospacing="1" w:after="0"/>
        <w:jc w:val="both"/>
      </w:pPr>
      <w:r>
        <w:t xml:space="preserve">Taking this as the normative rationale for understanding equity issues within </w:t>
      </w:r>
      <w:r w:rsidR="009E0307">
        <w:t xml:space="preserve">assessments of </w:t>
      </w:r>
      <w:r>
        <w:t xml:space="preserve">biofuel sustainability, it </w:t>
      </w:r>
      <w:r w:rsidR="003363F7" w:rsidRPr="003363F7">
        <w:t>is apparent that social and environmental dimensions have equal significance to sustainable development ideals and equity matters</w:t>
      </w:r>
      <w:r w:rsidR="009E0307">
        <w:t>. Y</w:t>
      </w:r>
      <w:r w:rsidR="003363F7">
        <w:t>et</w:t>
      </w:r>
      <w:r w:rsidR="007665E2">
        <w:t xml:space="preserve"> </w:t>
      </w:r>
      <w:r w:rsidR="00C92B8F">
        <w:t>current</w:t>
      </w:r>
      <w:r w:rsidR="00446DF8" w:rsidRPr="00810F20">
        <w:t xml:space="preserve"> sustainability assessments of biofuels are generally stronger regarding environmental sustainability</w:t>
      </w:r>
      <w:r w:rsidR="009E0307">
        <w:t xml:space="preserve"> and, in </w:t>
      </w:r>
      <w:r w:rsidR="00446DF8" w:rsidRPr="00810F20">
        <w:t>particular</w:t>
      </w:r>
      <w:r w:rsidR="009E0307">
        <w:t xml:space="preserve">, </w:t>
      </w:r>
      <w:r w:rsidR="00446DF8" w:rsidRPr="00810F20">
        <w:t>the GHG balance</w:t>
      </w:r>
      <w:r w:rsidR="009E0307">
        <w:t xml:space="preserve"> </w:t>
      </w:r>
      <w:r w:rsidR="00F657B0" w:rsidRPr="00F657B0">
        <w:rPr>
          <w:vertAlign w:val="superscript"/>
        </w:rPr>
        <w:t>[</w:t>
      </w:r>
      <w:r w:rsidR="001630C3">
        <w:rPr>
          <w:noProof/>
          <w:vertAlign w:val="superscript"/>
        </w:rPr>
        <w:t>25-31</w:t>
      </w:r>
      <w:r w:rsidR="00C3675F">
        <w:rPr>
          <w:noProof/>
          <w:vertAlign w:val="superscript"/>
        </w:rPr>
        <w:t>]</w:t>
      </w:r>
      <w:r w:rsidR="00446DF8" w:rsidRPr="00810F20">
        <w:t>. This is of concern</w:t>
      </w:r>
      <w:r w:rsidR="009E0307">
        <w:t xml:space="preserve"> since</w:t>
      </w:r>
      <w:r w:rsidR="00446DF8" w:rsidRPr="00810F20">
        <w:t xml:space="preserve"> populations in the Global South, where much biofuel expansion is occurring</w:t>
      </w:r>
      <w:r w:rsidR="009E0307">
        <w:t xml:space="preserve"> </w:t>
      </w:r>
      <w:r w:rsidR="00F657B0" w:rsidRPr="00F657B0">
        <w:rPr>
          <w:vertAlign w:val="superscript"/>
        </w:rPr>
        <w:t>[</w:t>
      </w:r>
      <w:r w:rsidR="0043609A" w:rsidRPr="0043609A">
        <w:rPr>
          <w:noProof/>
          <w:vertAlign w:val="superscript"/>
        </w:rPr>
        <w:t>3</w:t>
      </w:r>
      <w:r w:rsidR="00C3675F">
        <w:rPr>
          <w:noProof/>
          <w:vertAlign w:val="superscript"/>
        </w:rPr>
        <w:t>]</w:t>
      </w:r>
      <w:r w:rsidR="00446DF8" w:rsidRPr="00810F20">
        <w:t>, are likely to bear a greater proportion of the costs of growing demand for biofuels. In 2011, the Nuffield Council on Bioethics called for the sustainability of biofuels to be considered against the extent to which there is more equitable sharing of the burdens and benefits across those involved or affected by the production and consumption of these fuels</w:t>
      </w:r>
      <w:r w:rsidR="009E0307">
        <w:t xml:space="preserve"> </w:t>
      </w:r>
      <w:r w:rsidR="00F657B0" w:rsidRPr="00F657B0">
        <w:rPr>
          <w:vertAlign w:val="superscript"/>
        </w:rPr>
        <w:t>[</w:t>
      </w:r>
      <w:r w:rsidR="001630C3">
        <w:rPr>
          <w:vertAlign w:val="superscript"/>
        </w:rPr>
        <w:t>32</w:t>
      </w:r>
      <w:r w:rsidR="00C3675F">
        <w:rPr>
          <w:noProof/>
          <w:vertAlign w:val="superscript"/>
        </w:rPr>
        <w:t>]</w:t>
      </w:r>
      <w:r w:rsidR="00446DF8" w:rsidRPr="00810F20">
        <w:t xml:space="preserve">; a view echoed elsewhere </w:t>
      </w:r>
      <w:r w:rsidR="003A6E6D">
        <w:rPr>
          <w:vertAlign w:val="superscript"/>
        </w:rPr>
        <w:t>[</w:t>
      </w:r>
      <w:r w:rsidR="00B6519A" w:rsidRPr="00B6519A">
        <w:rPr>
          <w:noProof/>
          <w:vertAlign w:val="superscript"/>
        </w:rPr>
        <w:t>28</w:t>
      </w:r>
      <w:r w:rsidR="001630C3">
        <w:rPr>
          <w:noProof/>
          <w:vertAlign w:val="superscript"/>
        </w:rPr>
        <w:t>,33,34</w:t>
      </w:r>
      <w:r w:rsidR="00C3675F">
        <w:rPr>
          <w:noProof/>
          <w:vertAlign w:val="superscript"/>
        </w:rPr>
        <w:t>]</w:t>
      </w:r>
      <w:r w:rsidR="00831734">
        <w:t>.</w:t>
      </w:r>
      <w:r w:rsidR="00446DF8" w:rsidRPr="00810F20">
        <w:t xml:space="preserve"> Increasing equity in biofuel systems will require greater transparency and legitimacy, in order that multiple voices are taken into account in all phases of the biofuels value chain, particularly those of less powerful actors. </w:t>
      </w:r>
    </w:p>
    <w:p w14:paraId="4D8115D2" w14:textId="77777777" w:rsidR="00446DF8" w:rsidRPr="00810F20" w:rsidRDefault="00446DF8" w:rsidP="00446DF8">
      <w:pPr>
        <w:spacing w:before="100" w:beforeAutospacing="1" w:after="0"/>
        <w:jc w:val="both"/>
      </w:pPr>
      <w:r w:rsidRPr="00810F20">
        <w:rPr>
          <w:b/>
          <w:i/>
        </w:rPr>
        <w:t>Reviewing the evidence on biofuels and equity</w:t>
      </w:r>
      <w:r w:rsidRPr="00810F20">
        <w:t xml:space="preserve"> </w:t>
      </w:r>
    </w:p>
    <w:p w14:paraId="6C2EF214" w14:textId="77777777" w:rsidR="00446DF8" w:rsidRPr="00810F20" w:rsidRDefault="00446DF8" w:rsidP="00446DF8">
      <w:pPr>
        <w:spacing w:before="100" w:beforeAutospacing="1" w:after="0"/>
        <w:jc w:val="both"/>
      </w:pPr>
      <w:r w:rsidRPr="00810F20">
        <w:lastRenderedPageBreak/>
        <w:t>A 2013 review found that evidence was limited regarding the</w:t>
      </w:r>
      <w:r w:rsidR="00832BA5">
        <w:t xml:space="preserve"> social impacts of the</w:t>
      </w:r>
      <w:r w:rsidR="00832BA5" w:rsidRPr="00810F20">
        <w:t xml:space="preserve"> </w:t>
      </w:r>
      <w:r w:rsidRPr="00810F20">
        <w:t>expansion of biofuels</w:t>
      </w:r>
      <w:r w:rsidR="00832BA5">
        <w:t xml:space="preserve"> at the household scale</w:t>
      </w:r>
      <w:r w:rsidR="004F5CB9">
        <w:t xml:space="preserve"> </w:t>
      </w:r>
      <w:r w:rsidR="00F657B0" w:rsidRPr="00F657B0">
        <w:rPr>
          <w:vertAlign w:val="superscript"/>
        </w:rPr>
        <w:t>[</w:t>
      </w:r>
      <w:r w:rsidR="001630C3">
        <w:rPr>
          <w:noProof/>
          <w:vertAlign w:val="superscript"/>
        </w:rPr>
        <w:t>35</w:t>
      </w:r>
      <w:r w:rsidR="00C3675F">
        <w:rPr>
          <w:noProof/>
          <w:vertAlign w:val="superscript"/>
        </w:rPr>
        <w:t>]</w:t>
      </w:r>
      <w:r w:rsidRPr="00810F20">
        <w:t xml:space="preserve">. At that </w:t>
      </w:r>
      <w:r w:rsidR="004F5CB9">
        <w:t>time</w:t>
      </w:r>
      <w:r w:rsidRPr="00810F20">
        <w:t xml:space="preserve">, there were only 17 peer-reviewed articles presenting primary data and, whilst none specifically focused on the equity impacts, all highlighted social impacts that reflected </w:t>
      </w:r>
      <w:r w:rsidR="0013492D">
        <w:t>an</w:t>
      </w:r>
      <w:r w:rsidRPr="00810F20">
        <w:t xml:space="preserve"> inequitable distribution of benefits within the system. Ten of the seventeen papers found biofuel introduction had led to increased social disparity</w:t>
      </w:r>
      <w:r w:rsidR="004F5CB9">
        <w:t xml:space="preserve"> </w:t>
      </w:r>
      <w:r w:rsidR="00F657B0" w:rsidRPr="00F657B0">
        <w:rPr>
          <w:vertAlign w:val="superscript"/>
        </w:rPr>
        <w:t>[</w:t>
      </w:r>
      <w:r w:rsidR="0043609A" w:rsidRPr="0043609A">
        <w:rPr>
          <w:noProof/>
          <w:vertAlign w:val="superscript"/>
        </w:rPr>
        <w:t>3</w:t>
      </w:r>
      <w:r w:rsidR="001630C3">
        <w:rPr>
          <w:noProof/>
          <w:vertAlign w:val="superscript"/>
        </w:rPr>
        <w:t>6-45</w:t>
      </w:r>
      <w:r w:rsidR="00C3675F">
        <w:rPr>
          <w:noProof/>
          <w:vertAlign w:val="superscript"/>
        </w:rPr>
        <w:t>]</w:t>
      </w:r>
      <w:r w:rsidRPr="00810F20">
        <w:t>. The majority alluded to the differential concentration of wealth to richer farmers, since the required assets (e.g. irrigation infrastructure</w:t>
      </w:r>
      <w:r w:rsidR="0013492D">
        <w:t xml:space="preserve"> and investments needed to comply with sustainability certification schemes </w:t>
      </w:r>
      <w:r w:rsidR="00E74C04">
        <w:t>or become integrated with supply chains t</w:t>
      </w:r>
      <w:r w:rsidR="0013492D">
        <w:t>hat provide access to European markets</w:t>
      </w:r>
      <w:r w:rsidRPr="00810F20">
        <w:t>) limit involvement to those with more capital or greater access to information</w:t>
      </w:r>
      <w:r w:rsidR="004F5CB9">
        <w:t xml:space="preserve"> </w:t>
      </w:r>
      <w:r w:rsidR="00F657B0" w:rsidRPr="00F657B0">
        <w:rPr>
          <w:vertAlign w:val="superscript"/>
        </w:rPr>
        <w:t>[</w:t>
      </w:r>
      <w:r w:rsidR="001630C3">
        <w:rPr>
          <w:noProof/>
          <w:vertAlign w:val="superscript"/>
        </w:rPr>
        <w:t>29,45</w:t>
      </w:r>
      <w:r w:rsidR="00C3675F">
        <w:rPr>
          <w:noProof/>
          <w:vertAlign w:val="superscript"/>
        </w:rPr>
        <w:t>]</w:t>
      </w:r>
      <w:r w:rsidRPr="00810F20">
        <w:t>. Simil</w:t>
      </w:r>
      <w:r w:rsidR="00831734">
        <w:t xml:space="preserve">arly, </w:t>
      </w:r>
      <w:r w:rsidR="004F5CB9">
        <w:t xml:space="preserve">other authors </w:t>
      </w:r>
      <w:r w:rsidR="00F657B0" w:rsidRPr="00F657B0">
        <w:rPr>
          <w:vertAlign w:val="superscript"/>
        </w:rPr>
        <w:t>[</w:t>
      </w:r>
      <w:r w:rsidR="00FE3544">
        <w:rPr>
          <w:noProof/>
          <w:vertAlign w:val="superscript"/>
        </w:rPr>
        <w:t>36</w:t>
      </w:r>
      <w:r w:rsidR="004F5CB9">
        <w:rPr>
          <w:noProof/>
          <w:vertAlign w:val="superscript"/>
        </w:rPr>
        <w:t>,</w:t>
      </w:r>
      <w:r w:rsidR="00FE3544">
        <w:rPr>
          <w:noProof/>
          <w:vertAlign w:val="superscript"/>
        </w:rPr>
        <w:t>39</w:t>
      </w:r>
      <w:r w:rsidR="004F5CB9">
        <w:rPr>
          <w:noProof/>
          <w:vertAlign w:val="superscript"/>
        </w:rPr>
        <w:t>,</w:t>
      </w:r>
      <w:r w:rsidR="00FE3544">
        <w:rPr>
          <w:noProof/>
          <w:vertAlign w:val="superscript"/>
        </w:rPr>
        <w:t>46</w:t>
      </w:r>
      <w:r w:rsidR="00C3675F">
        <w:rPr>
          <w:noProof/>
          <w:vertAlign w:val="superscript"/>
        </w:rPr>
        <w:t>]</w:t>
      </w:r>
      <w:r w:rsidRPr="00810F20">
        <w:t xml:space="preserve"> </w:t>
      </w:r>
      <w:r w:rsidR="004F5CB9">
        <w:t xml:space="preserve">have </w:t>
      </w:r>
      <w:r w:rsidRPr="00810F20">
        <w:t xml:space="preserve">concluded that negative livelihood implications are more likely for poorer smallholders, especially vulnerable groups such as female-headed households. </w:t>
      </w:r>
    </w:p>
    <w:p w14:paraId="6009CC78" w14:textId="77777777" w:rsidR="00446DF8" w:rsidRDefault="00446DF8" w:rsidP="00446DF8">
      <w:pPr>
        <w:spacing w:before="100" w:beforeAutospacing="1" w:after="0"/>
        <w:jc w:val="both"/>
      </w:pPr>
      <w:r w:rsidRPr="00810F20">
        <w:t>Peer-reviewed, primary research published since 2013 regarding the social impact of biofuels at the household scale in the Global South has found similar results.</w:t>
      </w:r>
      <w:r w:rsidR="004F5CB9">
        <w:t xml:space="preserve"> Given limited space, here we focus on two biofuel </w:t>
      </w:r>
      <w:proofErr w:type="spellStart"/>
      <w:r w:rsidR="004F5CB9">
        <w:t>feedstocks</w:t>
      </w:r>
      <w:proofErr w:type="spellEnd"/>
      <w:r w:rsidR="004F5CB9">
        <w:t xml:space="preserve"> that have</w:t>
      </w:r>
      <w:r w:rsidRPr="00810F20">
        <w:t xml:space="preserve"> </w:t>
      </w:r>
      <w:r w:rsidR="004F5CB9">
        <w:t>generated controversy, j</w:t>
      </w:r>
      <w:r w:rsidR="004F5CB9" w:rsidRPr="00810F20">
        <w:t>atropha</w:t>
      </w:r>
      <w:r w:rsidR="004F5CB9">
        <w:t xml:space="preserve"> and palm oil.</w:t>
      </w:r>
      <w:r w:rsidR="004F5CB9" w:rsidRPr="00810F20">
        <w:t xml:space="preserve"> </w:t>
      </w:r>
      <w:r w:rsidR="004F5CB9">
        <w:t>With regard to jatropha, m</w:t>
      </w:r>
      <w:r w:rsidRPr="00810F20">
        <w:t xml:space="preserve">ost studies </w:t>
      </w:r>
      <w:r w:rsidR="004F5CB9">
        <w:t xml:space="preserve">have </w:t>
      </w:r>
      <w:r w:rsidRPr="00810F20">
        <w:t xml:space="preserve">found mixed </w:t>
      </w:r>
      <w:r w:rsidR="00652517">
        <w:t xml:space="preserve">social </w:t>
      </w:r>
      <w:r w:rsidRPr="00810F20">
        <w:t>impacts. For example,</w:t>
      </w:r>
      <w:r w:rsidR="00831734">
        <w:t xml:space="preserve"> </w:t>
      </w:r>
      <w:proofErr w:type="spellStart"/>
      <w:r w:rsidR="00831734">
        <w:t>Favretto</w:t>
      </w:r>
      <w:proofErr w:type="spellEnd"/>
      <w:r w:rsidR="00831734">
        <w:t xml:space="preserve"> et al.</w:t>
      </w:r>
      <w:r w:rsidR="004F5CB9">
        <w:t xml:space="preserve"> </w:t>
      </w:r>
      <w:r w:rsidR="00F657B0" w:rsidRPr="00F657B0">
        <w:rPr>
          <w:vertAlign w:val="superscript"/>
        </w:rPr>
        <w:t>[</w:t>
      </w:r>
      <w:r w:rsidR="00FE3544" w:rsidRPr="0043609A">
        <w:rPr>
          <w:noProof/>
          <w:vertAlign w:val="superscript"/>
        </w:rPr>
        <w:t>4</w:t>
      </w:r>
      <w:r w:rsidR="00FE3544">
        <w:rPr>
          <w:noProof/>
          <w:vertAlign w:val="superscript"/>
        </w:rPr>
        <w:t>7</w:t>
      </w:r>
      <w:r w:rsidR="00C3675F">
        <w:rPr>
          <w:noProof/>
          <w:vertAlign w:val="superscript"/>
        </w:rPr>
        <w:t>]</w:t>
      </w:r>
      <w:r w:rsidRPr="00810F20">
        <w:t xml:space="preserve"> found that Malian smallholder farmers could benefit from rural electrification</w:t>
      </w:r>
      <w:r w:rsidR="00652517">
        <w:t xml:space="preserve">, as well as from </w:t>
      </w:r>
      <w:r w:rsidR="004F5CB9">
        <w:t>the use of j</w:t>
      </w:r>
      <w:r w:rsidRPr="00810F20">
        <w:t xml:space="preserve">atropha fences </w:t>
      </w:r>
      <w:r w:rsidR="004F5CB9">
        <w:t xml:space="preserve">to </w:t>
      </w:r>
      <w:r w:rsidRPr="00810F20">
        <w:t>clear</w:t>
      </w:r>
      <w:r w:rsidR="00652517">
        <w:t>ly</w:t>
      </w:r>
      <w:r w:rsidRPr="00810F20">
        <w:t xml:space="preserve"> demarcat</w:t>
      </w:r>
      <w:r w:rsidR="00652517">
        <w:t>e</w:t>
      </w:r>
      <w:r w:rsidRPr="00810F20">
        <w:t xml:space="preserve"> land and reduc</w:t>
      </w:r>
      <w:r w:rsidR="00652517">
        <w:t>e</w:t>
      </w:r>
      <w:r w:rsidRPr="00810F20">
        <w:t xml:space="preserve"> </w:t>
      </w:r>
      <w:r w:rsidR="004F5CB9">
        <w:t xml:space="preserve">land </w:t>
      </w:r>
      <w:r w:rsidRPr="00810F20">
        <w:t>conflict</w:t>
      </w:r>
      <w:r w:rsidR="004F5CB9">
        <w:t>s</w:t>
      </w:r>
      <w:r w:rsidRPr="00810F20">
        <w:t>. In Mozambique, Mali and Tanzania,</w:t>
      </w:r>
      <w:r w:rsidR="00831734">
        <w:t xml:space="preserve"> </w:t>
      </w:r>
      <w:proofErr w:type="spellStart"/>
      <w:r w:rsidR="00831734">
        <w:t>Romijn</w:t>
      </w:r>
      <w:proofErr w:type="spellEnd"/>
      <w:r w:rsidR="00831734">
        <w:t xml:space="preserve"> et al.</w:t>
      </w:r>
      <w:r w:rsidR="004F5CB9">
        <w:t xml:space="preserve"> </w:t>
      </w:r>
      <w:r w:rsidR="00F657B0" w:rsidRPr="00F657B0">
        <w:rPr>
          <w:vertAlign w:val="superscript"/>
        </w:rPr>
        <w:t>[</w:t>
      </w:r>
      <w:r w:rsidR="0043609A" w:rsidRPr="0043609A">
        <w:rPr>
          <w:noProof/>
          <w:vertAlign w:val="superscript"/>
        </w:rPr>
        <w:t>4</w:t>
      </w:r>
      <w:r w:rsidR="00FE3544">
        <w:rPr>
          <w:noProof/>
          <w:vertAlign w:val="superscript"/>
        </w:rPr>
        <w:t>8</w:t>
      </w:r>
      <w:r w:rsidR="00C3675F">
        <w:rPr>
          <w:noProof/>
          <w:vertAlign w:val="superscript"/>
        </w:rPr>
        <w:t>]</w:t>
      </w:r>
      <w:r w:rsidRPr="00810F20">
        <w:t xml:space="preserve"> found </w:t>
      </w:r>
      <w:r w:rsidR="00652517">
        <w:t xml:space="preserve">some </w:t>
      </w:r>
      <w:r w:rsidR="004F5CB9">
        <w:t>evidence of</w:t>
      </w:r>
      <w:r w:rsidRPr="00810F20">
        <w:t xml:space="preserve"> disputes over land access and compensation coupled with positive food security perceptions. Also in Mozambique,</w:t>
      </w:r>
      <w:r w:rsidR="00831734">
        <w:t xml:space="preserve"> </w:t>
      </w:r>
      <w:proofErr w:type="spellStart"/>
      <w:r w:rsidR="00831734">
        <w:t>Slingerland</w:t>
      </w:r>
      <w:proofErr w:type="spellEnd"/>
      <w:r w:rsidR="00831734">
        <w:t xml:space="preserve"> and </w:t>
      </w:r>
      <w:proofErr w:type="spellStart"/>
      <w:r w:rsidR="00831734">
        <w:t>Schut</w:t>
      </w:r>
      <w:proofErr w:type="spellEnd"/>
      <w:r w:rsidR="004F5CB9">
        <w:rPr>
          <w:vertAlign w:val="superscript"/>
        </w:rPr>
        <w:t xml:space="preserve"> </w:t>
      </w:r>
      <w:r w:rsidR="00F657B0" w:rsidRPr="00F657B0">
        <w:rPr>
          <w:vertAlign w:val="superscript"/>
        </w:rPr>
        <w:t>[</w:t>
      </w:r>
      <w:r w:rsidR="0043609A" w:rsidRPr="0043609A">
        <w:rPr>
          <w:noProof/>
          <w:vertAlign w:val="superscript"/>
        </w:rPr>
        <w:t>4</w:t>
      </w:r>
      <w:r w:rsidR="00FE3544">
        <w:rPr>
          <w:noProof/>
          <w:vertAlign w:val="superscript"/>
        </w:rPr>
        <w:t>9</w:t>
      </w:r>
      <w:r w:rsidR="00C3675F">
        <w:rPr>
          <w:noProof/>
          <w:vertAlign w:val="superscript"/>
        </w:rPr>
        <w:t>]</w:t>
      </w:r>
      <w:r w:rsidRPr="00810F20">
        <w:t xml:space="preserve"> found that benefits </w:t>
      </w:r>
      <w:r w:rsidR="004F5CB9">
        <w:t xml:space="preserve">primarily </w:t>
      </w:r>
      <w:r w:rsidRPr="00810F20">
        <w:t xml:space="preserve">accrued to actors involved in </w:t>
      </w:r>
      <w:r w:rsidR="004F5CB9">
        <w:t>j</w:t>
      </w:r>
      <w:r w:rsidRPr="00810F20">
        <w:t>atropha production rather than throughout the entire value chain</w:t>
      </w:r>
      <w:r w:rsidR="00652517">
        <w:t xml:space="preserve">, who were typically </w:t>
      </w:r>
      <w:r w:rsidRPr="00810F20">
        <w:t>located in areas w</w:t>
      </w:r>
      <w:r w:rsidR="00652517">
        <w:t xml:space="preserve">hich </w:t>
      </w:r>
      <w:r w:rsidRPr="00810F20">
        <w:t xml:space="preserve">already </w:t>
      </w:r>
      <w:r w:rsidR="00652517">
        <w:t xml:space="preserve">had </w:t>
      </w:r>
      <w:r w:rsidRPr="00810F20">
        <w:t>good infrastructure. In Ghana and Ethiopia,</w:t>
      </w:r>
      <w:r w:rsidR="00831734">
        <w:t xml:space="preserve"> </w:t>
      </w:r>
      <w:proofErr w:type="spellStart"/>
      <w:r w:rsidR="00831734">
        <w:t>Timko</w:t>
      </w:r>
      <w:proofErr w:type="spellEnd"/>
      <w:r w:rsidR="00831734">
        <w:t xml:space="preserve"> et al.</w:t>
      </w:r>
      <w:r w:rsidR="004F5CB9">
        <w:t xml:space="preserve"> </w:t>
      </w:r>
      <w:r w:rsidR="00F657B0" w:rsidRPr="00F657B0">
        <w:rPr>
          <w:vertAlign w:val="superscript"/>
        </w:rPr>
        <w:t>[</w:t>
      </w:r>
      <w:r w:rsidR="00FE3544">
        <w:rPr>
          <w:noProof/>
          <w:vertAlign w:val="superscript"/>
        </w:rPr>
        <w:t>50</w:t>
      </w:r>
      <w:r w:rsidR="00C3675F">
        <w:rPr>
          <w:noProof/>
          <w:vertAlign w:val="superscript"/>
        </w:rPr>
        <w:t>]</w:t>
      </w:r>
      <w:r w:rsidRPr="00810F20">
        <w:t xml:space="preserve"> found that a lack of local consultation </w:t>
      </w:r>
      <w:r w:rsidR="00652517">
        <w:t xml:space="preserve">had </w:t>
      </w:r>
      <w:r w:rsidRPr="00810F20">
        <w:t>led to a decrease in local household landholdings, with concurrent negative impacts on livelihoods, food security, and socio-economic status.</w:t>
      </w:r>
      <w:r w:rsidR="00D164A4">
        <w:t xml:space="preserve"> </w:t>
      </w:r>
      <w:proofErr w:type="spellStart"/>
      <w:r w:rsidR="00D164A4">
        <w:t>Acheampong</w:t>
      </w:r>
      <w:proofErr w:type="spellEnd"/>
      <w:r w:rsidR="00D164A4">
        <w:t xml:space="preserve"> and Campion</w:t>
      </w:r>
      <w:r w:rsidR="004F5CB9">
        <w:t xml:space="preserve"> </w:t>
      </w:r>
      <w:r w:rsidR="00F657B0" w:rsidRPr="00F657B0">
        <w:rPr>
          <w:vertAlign w:val="superscript"/>
        </w:rPr>
        <w:t>[</w:t>
      </w:r>
      <w:r w:rsidR="00FE3544">
        <w:rPr>
          <w:noProof/>
          <w:vertAlign w:val="superscript"/>
        </w:rPr>
        <w:t>51</w:t>
      </w:r>
      <w:r w:rsidR="00C3675F">
        <w:rPr>
          <w:noProof/>
          <w:vertAlign w:val="superscript"/>
        </w:rPr>
        <w:t>]</w:t>
      </w:r>
      <w:r w:rsidRPr="00810F20">
        <w:t xml:space="preserve">, also in Ghana, reported that land loss led to violent conflicts between biofuel investors, traditional authorities and local communities. </w:t>
      </w:r>
    </w:p>
    <w:p w14:paraId="72F60450" w14:textId="5ACF92AD" w:rsidR="00F86926" w:rsidRPr="00810F20" w:rsidRDefault="00652517" w:rsidP="00446DF8">
      <w:pPr>
        <w:spacing w:before="100" w:beforeAutospacing="1" w:after="0"/>
        <w:jc w:val="both"/>
      </w:pPr>
      <w:r>
        <w:t xml:space="preserve">Turning to studies that have </w:t>
      </w:r>
      <w:r w:rsidR="00F86926">
        <w:t>focused on palm oil, in Indonesia, Lee et al</w:t>
      </w:r>
      <w:r>
        <w:t xml:space="preserve">. </w:t>
      </w:r>
      <w:r w:rsidR="003A6E6D">
        <w:rPr>
          <w:vertAlign w:val="superscript"/>
        </w:rPr>
        <w:t>[</w:t>
      </w:r>
      <w:r w:rsidR="00FE3544">
        <w:rPr>
          <w:vertAlign w:val="superscript"/>
        </w:rPr>
        <w:t>52</w:t>
      </w:r>
      <w:r w:rsidR="005A0A7A" w:rsidRPr="009C19A5">
        <w:rPr>
          <w:vertAlign w:val="superscript"/>
        </w:rPr>
        <w:t>]</w:t>
      </w:r>
      <w:r w:rsidR="00F86926">
        <w:t xml:space="preserve"> found adverse environmental impacts result</w:t>
      </w:r>
      <w:r>
        <w:t xml:space="preserve">ing from </w:t>
      </w:r>
      <w:r w:rsidR="007F6195">
        <w:t xml:space="preserve">agricultural </w:t>
      </w:r>
      <w:r w:rsidR="00F86926">
        <w:t>expansion by</w:t>
      </w:r>
      <w:r>
        <w:t xml:space="preserve"> both</w:t>
      </w:r>
      <w:r w:rsidR="00F86926">
        <w:t xml:space="preserve"> smallholders </w:t>
      </w:r>
      <w:r>
        <w:t>and</w:t>
      </w:r>
      <w:r w:rsidR="00F86926">
        <w:t xml:space="preserve"> large-scale private enterprises</w:t>
      </w:r>
      <w:r w:rsidR="007F6195">
        <w:t>.</w:t>
      </w:r>
      <w:r w:rsidR="007665E2">
        <w:t xml:space="preserve"> </w:t>
      </w:r>
      <w:r>
        <w:t xml:space="preserve">To control expansion, </w:t>
      </w:r>
      <w:r w:rsidR="007F6195">
        <w:t>Sayer et al</w:t>
      </w:r>
      <w:r>
        <w:t xml:space="preserve">. </w:t>
      </w:r>
      <w:r w:rsidR="003A6E6D">
        <w:rPr>
          <w:vertAlign w:val="superscript"/>
        </w:rPr>
        <w:t>[</w:t>
      </w:r>
      <w:r w:rsidR="00FE3544">
        <w:rPr>
          <w:vertAlign w:val="superscript"/>
        </w:rPr>
        <w:t>22</w:t>
      </w:r>
      <w:r w:rsidR="005A0A7A" w:rsidRPr="009C19A5">
        <w:rPr>
          <w:vertAlign w:val="superscript"/>
        </w:rPr>
        <w:t>]</w:t>
      </w:r>
      <w:r w:rsidR="005A0A7A">
        <w:t xml:space="preserve"> </w:t>
      </w:r>
      <w:r>
        <w:t xml:space="preserve">argue for greater </w:t>
      </w:r>
      <w:r w:rsidR="007F6195">
        <w:t>governance</w:t>
      </w:r>
      <w:r>
        <w:t xml:space="preserve"> </w:t>
      </w:r>
      <w:r w:rsidR="00C14764">
        <w:t>focused on</w:t>
      </w:r>
      <w:r>
        <w:t xml:space="preserve"> the alleviation of </w:t>
      </w:r>
      <w:r w:rsidR="007F6195">
        <w:t xml:space="preserve">rural poverty. </w:t>
      </w:r>
      <w:r w:rsidR="00EE2DD4">
        <w:t xml:space="preserve">In Guatemala, </w:t>
      </w:r>
      <w:proofErr w:type="spellStart"/>
      <w:r w:rsidR="007F6195">
        <w:t>Mingorr</w:t>
      </w:r>
      <w:r>
        <w:t>í</w:t>
      </w:r>
      <w:r w:rsidR="007F6195">
        <w:t>a</w:t>
      </w:r>
      <w:proofErr w:type="spellEnd"/>
      <w:r w:rsidR="007F6195">
        <w:t xml:space="preserve"> et al</w:t>
      </w:r>
      <w:r>
        <w:t xml:space="preserve">. </w:t>
      </w:r>
      <w:r w:rsidR="003A6E6D">
        <w:rPr>
          <w:vertAlign w:val="superscript"/>
        </w:rPr>
        <w:t>[</w:t>
      </w:r>
      <w:r w:rsidR="005F650F">
        <w:rPr>
          <w:vertAlign w:val="superscript"/>
        </w:rPr>
        <w:t>21</w:t>
      </w:r>
      <w:r w:rsidR="005A0A7A" w:rsidRPr="009C19A5">
        <w:rPr>
          <w:vertAlign w:val="superscript"/>
        </w:rPr>
        <w:t>]</w:t>
      </w:r>
      <w:r w:rsidR="007F6195">
        <w:t xml:space="preserve"> </w:t>
      </w:r>
      <w:r w:rsidR="00EE2DD4">
        <w:t xml:space="preserve">conclude that while </w:t>
      </w:r>
      <w:r w:rsidR="007F6195">
        <w:t>palm oil plantation workers</w:t>
      </w:r>
      <w:r w:rsidR="00EE2DD4">
        <w:t xml:space="preserve"> may earn more, it may have detrimental on other aspects, such as food security and social relationships</w:t>
      </w:r>
      <w:r w:rsidR="007F6195">
        <w:t>.</w:t>
      </w:r>
      <w:r w:rsidR="007665E2">
        <w:t xml:space="preserve"> </w:t>
      </w:r>
      <w:proofErr w:type="spellStart"/>
      <w:r w:rsidR="007F6195">
        <w:t>Cramb</w:t>
      </w:r>
      <w:proofErr w:type="spellEnd"/>
      <w:r>
        <w:t xml:space="preserve"> </w:t>
      </w:r>
      <w:r w:rsidR="003A6E6D">
        <w:rPr>
          <w:vertAlign w:val="superscript"/>
        </w:rPr>
        <w:t>[</w:t>
      </w:r>
      <w:r w:rsidR="005F650F">
        <w:rPr>
          <w:vertAlign w:val="superscript"/>
        </w:rPr>
        <w:t>53</w:t>
      </w:r>
      <w:r w:rsidR="005A0A7A" w:rsidRPr="009C19A5">
        <w:rPr>
          <w:vertAlign w:val="superscript"/>
        </w:rPr>
        <w:t>]</w:t>
      </w:r>
      <w:r w:rsidR="007F6195">
        <w:t xml:space="preserve"> found unequal access to information was leaving customary landowners vulnerable to exploitation from joint-venture schemes with large-scale plantations and producers in Malaysia.</w:t>
      </w:r>
      <w:r w:rsidR="007665E2">
        <w:t xml:space="preserve"> </w:t>
      </w:r>
      <w:r w:rsidR="00EE2DD4">
        <w:t xml:space="preserve">Finally, in response to the large-scale expansion of palm oil, </w:t>
      </w:r>
      <w:proofErr w:type="spellStart"/>
      <w:r w:rsidR="00313D80">
        <w:t>Yengoh</w:t>
      </w:r>
      <w:proofErr w:type="spellEnd"/>
      <w:r w:rsidR="00313D80">
        <w:t xml:space="preserve"> and </w:t>
      </w:r>
      <w:proofErr w:type="spellStart"/>
      <w:r w:rsidR="00313D80">
        <w:t>Armah</w:t>
      </w:r>
      <w:proofErr w:type="spellEnd"/>
      <w:r>
        <w:t xml:space="preserve"> </w:t>
      </w:r>
      <w:r w:rsidR="003A6E6D">
        <w:rPr>
          <w:vertAlign w:val="superscript"/>
        </w:rPr>
        <w:t>[</w:t>
      </w:r>
      <w:r w:rsidR="005F650F">
        <w:rPr>
          <w:vertAlign w:val="superscript"/>
        </w:rPr>
        <w:t>54</w:t>
      </w:r>
      <w:r w:rsidR="005A0A7A" w:rsidRPr="009C19A5">
        <w:rPr>
          <w:vertAlign w:val="superscript"/>
        </w:rPr>
        <w:t>]</w:t>
      </w:r>
      <w:r w:rsidR="00313D80">
        <w:t xml:space="preserve"> call for local</w:t>
      </w:r>
      <w:r w:rsidR="00EE2DD4">
        <w:t>-</w:t>
      </w:r>
      <w:r w:rsidR="00313D80">
        <w:t xml:space="preserve">level land needs assessments </w:t>
      </w:r>
      <w:r w:rsidR="00EE2DD4">
        <w:t xml:space="preserve">in order </w:t>
      </w:r>
      <w:r w:rsidR="00313D80">
        <w:t>to ensure sufficient land is available for biodiversity corridors, food-production and other social and cultural activities.</w:t>
      </w:r>
      <w:r w:rsidR="007665E2">
        <w:t xml:space="preserve"> </w:t>
      </w:r>
      <w:r w:rsidR="00EE2DD4" w:rsidRPr="00810F20">
        <w:t xml:space="preserve">However, whilst these papers address the social impacts resulting from </w:t>
      </w:r>
      <w:r w:rsidR="00EE2DD4">
        <w:t xml:space="preserve">the </w:t>
      </w:r>
      <w:r w:rsidR="00EE2DD4" w:rsidRPr="00810F20">
        <w:t>expansion</w:t>
      </w:r>
      <w:r w:rsidR="00EE2DD4">
        <w:t xml:space="preserve"> of these </w:t>
      </w:r>
      <w:proofErr w:type="spellStart"/>
      <w:r w:rsidR="00EE2DD4">
        <w:t>feedstocks</w:t>
      </w:r>
      <w:proofErr w:type="spellEnd"/>
      <w:r w:rsidR="00EE2DD4" w:rsidRPr="00810F20">
        <w:t xml:space="preserve">, no paper specifically dealt with the impacts on equity, </w:t>
      </w:r>
      <w:r w:rsidR="00EE2DD4">
        <w:t xml:space="preserve">which </w:t>
      </w:r>
      <w:r w:rsidR="00EE2DD4" w:rsidRPr="00810F20">
        <w:t>result</w:t>
      </w:r>
      <w:r w:rsidR="00EE2DD4">
        <w:t>s</w:t>
      </w:r>
      <w:r w:rsidR="00EE2DD4" w:rsidRPr="00810F20">
        <w:t xml:space="preserve"> in a lost level of detail, particularly regarding distributive justice. </w:t>
      </w:r>
      <w:r w:rsidR="00EE2DD4">
        <w:t>Further</w:t>
      </w:r>
      <w:r w:rsidR="00313D80">
        <w:t xml:space="preserve">, these studies focus on stakeholders in producer regions and thus exclude a broader focus on equity matters across all those affected by global </w:t>
      </w:r>
      <w:r w:rsidR="00EE2DD4">
        <w:t xml:space="preserve">biofuel </w:t>
      </w:r>
      <w:r w:rsidR="00313D80">
        <w:t>supply chains.</w:t>
      </w:r>
      <w:r w:rsidR="007665E2">
        <w:t xml:space="preserve"> </w:t>
      </w:r>
    </w:p>
    <w:p w14:paraId="63106067" w14:textId="45457855" w:rsidR="00446DF8" w:rsidRPr="00810F20" w:rsidRDefault="00446DF8" w:rsidP="00446DF8">
      <w:pPr>
        <w:spacing w:before="100" w:beforeAutospacing="1" w:after="0"/>
        <w:jc w:val="both"/>
      </w:pPr>
      <w:r w:rsidRPr="00810F20">
        <w:lastRenderedPageBreak/>
        <w:t>More than a decade has now passed since political support for biofuels emerged</w:t>
      </w:r>
      <w:r w:rsidR="006B0E84">
        <w:t xml:space="preserve"> and </w:t>
      </w:r>
      <w:r w:rsidRPr="00810F20">
        <w:t xml:space="preserve">yet, as the papers briefly reviewed here show, there remains little primary research on whether and how the increased production and consumption of biofuel improves or exacerbates social divides, inequities and poverty. However, such information is </w:t>
      </w:r>
      <w:proofErr w:type="gramStart"/>
      <w:r w:rsidRPr="00810F20">
        <w:t>key</w:t>
      </w:r>
      <w:proofErr w:type="gramEnd"/>
      <w:r w:rsidRPr="00810F20">
        <w:t xml:space="preserve"> in order to fully integrate the equity impacts of biofuels into sustainability assessments</w:t>
      </w:r>
      <w:r w:rsidR="006B0E84">
        <w:t xml:space="preserve"> and a</w:t>
      </w:r>
      <w:r w:rsidR="00392E59" w:rsidRPr="00810F20">
        <w:t xml:space="preserve">wareness of the importance of equity </w:t>
      </w:r>
      <w:r w:rsidRPr="00810F20">
        <w:t>is</w:t>
      </w:r>
      <w:r w:rsidR="006B0E84">
        <w:t xml:space="preserve"> slowly</w:t>
      </w:r>
      <w:r w:rsidRPr="00810F20">
        <w:t xml:space="preserve"> increasing </w:t>
      </w:r>
      <w:r w:rsidR="00392E59" w:rsidRPr="00810F20">
        <w:t xml:space="preserve">in </w:t>
      </w:r>
      <w:r w:rsidRPr="00810F20">
        <w:t xml:space="preserve">the </w:t>
      </w:r>
      <w:r w:rsidR="00392E59" w:rsidRPr="00810F20">
        <w:t xml:space="preserve">academic </w:t>
      </w:r>
      <w:r w:rsidRPr="00810F20">
        <w:t>literature</w:t>
      </w:r>
      <w:r w:rsidR="00392E59" w:rsidRPr="00810F20">
        <w:t>. For example</w:t>
      </w:r>
      <w:r w:rsidRPr="00810F20">
        <w:t>, recent research</w:t>
      </w:r>
      <w:r w:rsidR="00392E59" w:rsidRPr="00810F20">
        <w:t>,</w:t>
      </w:r>
      <w:r w:rsidRPr="00810F20">
        <w:t xml:space="preserve"> which uses an equity lens to examine the sustainability outcomes of biofuels, has shown that the promotion, cultivation and consumption of biofuels results in an uneven distribution of winners and losers</w:t>
      </w:r>
      <w:r w:rsidR="00EA5E2A">
        <w:t xml:space="preserve"> </w:t>
      </w:r>
      <w:r w:rsidR="00F657B0" w:rsidRPr="00F657B0">
        <w:rPr>
          <w:vertAlign w:val="superscript"/>
        </w:rPr>
        <w:t>[</w:t>
      </w:r>
      <w:r w:rsidR="005F650F">
        <w:rPr>
          <w:noProof/>
          <w:vertAlign w:val="superscript"/>
        </w:rPr>
        <w:t>55</w:t>
      </w:r>
      <w:r w:rsidR="00C3675F">
        <w:rPr>
          <w:noProof/>
          <w:vertAlign w:val="superscript"/>
        </w:rPr>
        <w:t>]</w:t>
      </w:r>
      <w:r w:rsidRPr="00810F20">
        <w:t>. This research, which compares the sugarcane-ethanol systems of Brazil, Ethiopia and Guatemala, demonstrates that explicit consideration of equity outcomes alter</w:t>
      </w:r>
      <w:r w:rsidR="00F657B0">
        <w:t>s</w:t>
      </w:r>
      <w:r w:rsidRPr="00810F20">
        <w:t xml:space="preserve"> the conclusions of sustainability assessments. Other recent papers that begin to explicitly incorporate equity do so in hypothetical manner, not grounded in primary data, but providing a conceptual basis for how to proceed.</w:t>
      </w:r>
      <w:r w:rsidR="00D164A4">
        <w:t xml:space="preserve"> </w:t>
      </w:r>
      <w:proofErr w:type="spellStart"/>
      <w:r w:rsidR="00D164A4">
        <w:t>Creutzig</w:t>
      </w:r>
      <w:proofErr w:type="spellEnd"/>
      <w:r w:rsidR="00D164A4">
        <w:t xml:space="preserve"> et al.</w:t>
      </w:r>
      <w:r w:rsidR="00EA5E2A">
        <w:t xml:space="preserve"> </w:t>
      </w:r>
      <w:r w:rsidR="00F657B0" w:rsidRPr="00F657B0">
        <w:rPr>
          <w:vertAlign w:val="superscript"/>
        </w:rPr>
        <w:t>[</w:t>
      </w:r>
      <w:r w:rsidR="0043609A" w:rsidRPr="0043609A">
        <w:rPr>
          <w:noProof/>
          <w:vertAlign w:val="superscript"/>
        </w:rPr>
        <w:t>2</w:t>
      </w:r>
      <w:r w:rsidR="00FE3544">
        <w:rPr>
          <w:noProof/>
          <w:vertAlign w:val="superscript"/>
        </w:rPr>
        <w:t>8</w:t>
      </w:r>
      <w:r w:rsidR="00C3675F">
        <w:rPr>
          <w:noProof/>
          <w:vertAlign w:val="superscript"/>
        </w:rPr>
        <w:t>]</w:t>
      </w:r>
      <w:r w:rsidR="00D164A4">
        <w:t xml:space="preserve"> </w:t>
      </w:r>
      <w:r w:rsidRPr="00810F20">
        <w:t xml:space="preserve">argue that a place-specific perspective is </w:t>
      </w:r>
      <w:r w:rsidR="00B7452F">
        <w:t>important</w:t>
      </w:r>
      <w:r w:rsidRPr="00810F20">
        <w:t>, as it highlights the distributional consequences that are a crucial complement to aggregate outcomes</w:t>
      </w:r>
      <w:r w:rsidR="00B7452F">
        <w:t>. The</w:t>
      </w:r>
      <w:r w:rsidR="006B0E84">
        <w:t xml:space="preserve"> authors </w:t>
      </w:r>
      <w:r w:rsidR="00B7452F">
        <w:t xml:space="preserve">argue that </w:t>
      </w:r>
      <w:r w:rsidRPr="00810F20">
        <w:t xml:space="preserve">place-specific case studies should be coupled with global models </w:t>
      </w:r>
      <w:r w:rsidR="00B7452F">
        <w:t xml:space="preserve">in order </w:t>
      </w:r>
      <w:r w:rsidRPr="00810F20">
        <w:t>to integrate livelihood and equity considerations into scenarios of future bioenergy deployment. This connection is also raised by</w:t>
      </w:r>
      <w:r w:rsidR="00D164A4">
        <w:t xml:space="preserve"> Florin et al.</w:t>
      </w:r>
      <w:r w:rsidR="00EA5E2A">
        <w:rPr>
          <w:vertAlign w:val="superscript"/>
        </w:rPr>
        <w:t xml:space="preserve"> </w:t>
      </w:r>
      <w:r w:rsidR="00F657B0" w:rsidRPr="00F657B0">
        <w:rPr>
          <w:vertAlign w:val="superscript"/>
        </w:rPr>
        <w:t>[</w:t>
      </w:r>
      <w:r w:rsidR="005F650F">
        <w:rPr>
          <w:noProof/>
          <w:vertAlign w:val="superscript"/>
        </w:rPr>
        <w:t>56</w:t>
      </w:r>
      <w:r w:rsidR="00C3675F">
        <w:rPr>
          <w:noProof/>
          <w:vertAlign w:val="superscript"/>
        </w:rPr>
        <w:t>]</w:t>
      </w:r>
      <w:r w:rsidRPr="00810F20">
        <w:t xml:space="preserve"> who argue that much of the indicator-based literature does not acknowledge the importance of case-specificity nor the link between the processes and circumstances that drive indicator results</w:t>
      </w:r>
      <w:r w:rsidR="000F1004" w:rsidRPr="00810F20">
        <w:t xml:space="preserve">. These authors have developed </w:t>
      </w:r>
      <w:r w:rsidRPr="00810F20">
        <w:t xml:space="preserve">a conceptual model </w:t>
      </w:r>
      <w:r w:rsidR="003A5E7C">
        <w:t>that</w:t>
      </w:r>
      <w:r w:rsidRPr="00810F20">
        <w:t xml:space="preserve"> links drivers (such as decisions and circumstances of a biophysical, socio-economic and governance nature with relevance at field, farm and</w:t>
      </w:r>
      <w:r w:rsidR="000F1004" w:rsidRPr="00810F20">
        <w:t xml:space="preserve"> higher levels) with indicators in order</w:t>
      </w:r>
      <w:r w:rsidRPr="00810F20">
        <w:t xml:space="preserve"> to justify the relevance of the indicators. Th</w:t>
      </w:r>
      <w:r w:rsidR="00EA5E2A">
        <w:t>is</w:t>
      </w:r>
      <w:r w:rsidR="006B0E84">
        <w:t xml:space="preserve"> paper</w:t>
      </w:r>
      <w:r w:rsidRPr="00810F20">
        <w:t xml:space="preserve"> conclude</w:t>
      </w:r>
      <w:r w:rsidR="006B0E84">
        <w:t>s</w:t>
      </w:r>
      <w:r w:rsidRPr="00810F20">
        <w:t xml:space="preserve"> that particularly relevant indicators for equity include</w:t>
      </w:r>
      <w:r w:rsidR="00EA5E2A">
        <w:t>,</w:t>
      </w:r>
      <w:r w:rsidRPr="00810F20">
        <w:t xml:space="preserve"> transparent community consultation, compensation for losses</w:t>
      </w:r>
      <w:r w:rsidR="000F1004" w:rsidRPr="00810F20">
        <w:t>,</w:t>
      </w:r>
      <w:r w:rsidRPr="00810F20">
        <w:t xml:space="preserve"> terms of contracts, equitable access to resources that facilitate livelihood activities (particularly land, but also credit, skills, energy and labour) and descriptive accounts of patterns and changes in access to such resource</w:t>
      </w:r>
      <w:r w:rsidR="00D164A4">
        <w:t>s</w:t>
      </w:r>
      <w:r w:rsidR="00EA5E2A">
        <w:rPr>
          <w:vertAlign w:val="superscript"/>
        </w:rPr>
        <w:t xml:space="preserve"> </w:t>
      </w:r>
      <w:r w:rsidR="00F657B0" w:rsidRPr="00F657B0">
        <w:rPr>
          <w:vertAlign w:val="superscript"/>
        </w:rPr>
        <w:t>[</w:t>
      </w:r>
      <w:r w:rsidR="005F650F">
        <w:rPr>
          <w:noProof/>
          <w:vertAlign w:val="superscript"/>
        </w:rPr>
        <w:t>56-59</w:t>
      </w:r>
      <w:r w:rsidR="00C3675F">
        <w:rPr>
          <w:noProof/>
          <w:vertAlign w:val="superscript"/>
        </w:rPr>
        <w:t>]</w:t>
      </w:r>
      <w:r w:rsidRPr="00810F20">
        <w:t>.</w:t>
      </w:r>
      <w:r w:rsidR="00D164A4">
        <w:t xml:space="preserve"> </w:t>
      </w:r>
      <w:proofErr w:type="spellStart"/>
      <w:r w:rsidR="00D164A4">
        <w:t>Venghaus</w:t>
      </w:r>
      <w:proofErr w:type="spellEnd"/>
      <w:r w:rsidR="00D164A4">
        <w:t xml:space="preserve"> and </w:t>
      </w:r>
      <w:proofErr w:type="spellStart"/>
      <w:r w:rsidR="00D164A4">
        <w:t>Selbmann</w:t>
      </w:r>
      <w:proofErr w:type="spellEnd"/>
      <w:r w:rsidR="00EA5E2A">
        <w:t xml:space="preserve"> </w:t>
      </w:r>
      <w:r w:rsidR="00F657B0" w:rsidRPr="00F657B0">
        <w:rPr>
          <w:vertAlign w:val="superscript"/>
        </w:rPr>
        <w:t>[</w:t>
      </w:r>
      <w:r w:rsidR="005F650F">
        <w:rPr>
          <w:noProof/>
          <w:vertAlign w:val="superscript"/>
        </w:rPr>
        <w:t>60</w:t>
      </w:r>
      <w:r w:rsidR="00C3675F">
        <w:rPr>
          <w:noProof/>
          <w:vertAlign w:val="superscript"/>
        </w:rPr>
        <w:t>]</w:t>
      </w:r>
      <w:r w:rsidRPr="00810F20">
        <w:t xml:space="preserve"> go further and argue that </w:t>
      </w:r>
      <w:r w:rsidR="00EA5E2A">
        <w:t xml:space="preserve">the </w:t>
      </w:r>
      <w:r w:rsidRPr="00810F20">
        <w:t>consider</w:t>
      </w:r>
      <w:r w:rsidR="00EA5E2A">
        <w:t>ation</w:t>
      </w:r>
      <w:r w:rsidRPr="00810F20">
        <w:t xml:space="preserve"> </w:t>
      </w:r>
      <w:r w:rsidR="00EA5E2A">
        <w:t xml:space="preserve">of </w:t>
      </w:r>
      <w:r w:rsidRPr="00810F20">
        <w:t xml:space="preserve">distributive justice </w:t>
      </w:r>
      <w:r w:rsidR="00EA5E2A">
        <w:t xml:space="preserve">alone </w:t>
      </w:r>
      <w:r w:rsidRPr="00810F20">
        <w:t xml:space="preserve">is </w:t>
      </w:r>
      <w:r w:rsidR="00EA5E2A">
        <w:t>in</w:t>
      </w:r>
      <w:r w:rsidRPr="00810F20">
        <w:t xml:space="preserve">sufficient, and </w:t>
      </w:r>
      <w:r w:rsidR="00EA5E2A">
        <w:t xml:space="preserve">contend </w:t>
      </w:r>
      <w:r w:rsidRPr="00810F20">
        <w:t>that procedural and compensative justice must also be included</w:t>
      </w:r>
      <w:r w:rsidR="00EA5E2A">
        <w:t xml:space="preserve">. These authors </w:t>
      </w:r>
      <w:r w:rsidRPr="00810F20">
        <w:t xml:space="preserve">create a framework for </w:t>
      </w:r>
      <w:r w:rsidR="00EA5E2A">
        <w:t>incorporating these distinct elements of justice</w:t>
      </w:r>
      <w:r w:rsidRPr="00810F20">
        <w:t xml:space="preserve">, as shown in </w:t>
      </w:r>
      <w:r w:rsidR="005E4EF4">
        <w:fldChar w:fldCharType="begin"/>
      </w:r>
      <w:r w:rsidR="005E4EF4">
        <w:instrText xml:space="preserve"> REF _Ref404519396 \h  \* MERGEFORMAT </w:instrText>
      </w:r>
      <w:r w:rsidR="005E4EF4">
        <w:fldChar w:fldCharType="separate"/>
      </w:r>
      <w:r w:rsidRPr="00810F20">
        <w:t>Figure 1</w:t>
      </w:r>
      <w:r w:rsidR="005E4EF4">
        <w:fldChar w:fldCharType="end"/>
      </w:r>
      <w:r w:rsidR="00C669D2">
        <w:t xml:space="preserve"> and</w:t>
      </w:r>
      <w:r w:rsidR="00EA5E2A">
        <w:t xml:space="preserve"> which is</w:t>
      </w:r>
      <w:r w:rsidR="00C669D2">
        <w:t xml:space="preserve"> explained at length in their paper</w:t>
      </w:r>
      <w:r w:rsidRPr="00810F20">
        <w:t>.</w:t>
      </w:r>
    </w:p>
    <w:p w14:paraId="0622CB50" w14:textId="547245C1" w:rsidR="004149A7" w:rsidRPr="004149A7" w:rsidRDefault="00203328" w:rsidP="00446DF8">
      <w:pPr>
        <w:spacing w:before="100" w:beforeAutospacing="1" w:after="0"/>
        <w:jc w:val="both"/>
        <w:rPr>
          <w:b/>
          <w:i/>
        </w:rPr>
      </w:pPr>
      <w:r w:rsidRPr="00203328">
        <w:rPr>
          <w:b/>
          <w:i/>
        </w:rPr>
        <w:t>&lt;insert Figure 1 here&gt;</w:t>
      </w:r>
      <w:r w:rsidR="004149A7">
        <w:rPr>
          <w:b/>
          <w:i/>
        </w:rPr>
        <w:t xml:space="preserve"> </w:t>
      </w:r>
      <w:bookmarkStart w:id="0" w:name="_GoBack"/>
      <w:bookmarkEnd w:id="0"/>
      <w:r w:rsidR="004149A7" w:rsidRPr="00810F20">
        <w:rPr>
          <w:b/>
          <w:sz w:val="20"/>
        </w:rPr>
        <w:t xml:space="preserve">Figure 1. </w:t>
      </w:r>
      <w:r w:rsidR="004149A7" w:rsidRPr="00810F20">
        <w:rPr>
          <w:sz w:val="20"/>
        </w:rPr>
        <w:t>Structural overview of sustainability requirements related to biofuel production and use</w:t>
      </w:r>
      <w:r w:rsidR="004149A7">
        <w:rPr>
          <w:sz w:val="20"/>
        </w:rPr>
        <w:t>.</w:t>
      </w:r>
      <w:r w:rsidR="004149A7" w:rsidRPr="00810F20">
        <w:rPr>
          <w:sz w:val="20"/>
        </w:rPr>
        <w:t xml:space="preserve"> </w:t>
      </w:r>
    </w:p>
    <w:p w14:paraId="2B3B5D9C" w14:textId="73C726EE" w:rsidR="00446DF8" w:rsidRPr="00810F20" w:rsidRDefault="00446DF8" w:rsidP="00446DF8">
      <w:pPr>
        <w:spacing w:before="100" w:beforeAutospacing="1" w:after="0"/>
        <w:jc w:val="both"/>
      </w:pPr>
      <w:r w:rsidRPr="00810F20">
        <w:t>The following section bounds the review of sustainability assessments to those regarding biofuels entering the European market. Such assessments</w:t>
      </w:r>
      <w:r w:rsidR="00C076F6" w:rsidRPr="00810F20">
        <w:t xml:space="preserve"> typically</w:t>
      </w:r>
      <w:r w:rsidRPr="00810F20">
        <w:t xml:space="preserve"> focus on the production end of the value chain</w:t>
      </w:r>
      <w:r w:rsidR="00C076F6" w:rsidRPr="00810F20">
        <w:t>, where many of the negative social and environmental impacts of biofuels oc</w:t>
      </w:r>
      <w:r w:rsidR="00C3675F">
        <w:t>cur. However, as Hodbod et al.</w:t>
      </w:r>
      <w:r w:rsidR="00EA5E2A">
        <w:t xml:space="preserve"> </w:t>
      </w:r>
      <w:r w:rsidR="003A6E6D">
        <w:rPr>
          <w:vertAlign w:val="superscript"/>
        </w:rPr>
        <w:t>[</w:t>
      </w:r>
      <w:r w:rsidR="005F650F">
        <w:rPr>
          <w:vertAlign w:val="superscript"/>
        </w:rPr>
        <w:t>55</w:t>
      </w:r>
      <w:r w:rsidR="00C3675F" w:rsidRPr="00C3675F">
        <w:rPr>
          <w:vertAlign w:val="superscript"/>
        </w:rPr>
        <w:t>]</w:t>
      </w:r>
      <w:r w:rsidR="00C076F6" w:rsidRPr="00810F20">
        <w:t xml:space="preserve"> argue, it is also important to consider the processing and consumption phases of biofuels in order to ensure that</w:t>
      </w:r>
      <w:r w:rsidR="00B7452F">
        <w:t xml:space="preserve"> the distribution of the impacts along the entire value chain are incorporated.</w:t>
      </w:r>
      <w:r w:rsidRPr="00810F20">
        <w:t xml:space="preserve"> </w:t>
      </w:r>
    </w:p>
    <w:p w14:paraId="1F82E817" w14:textId="77777777" w:rsidR="00446DF8" w:rsidRPr="00810F20" w:rsidRDefault="00446DF8" w:rsidP="00446DF8">
      <w:pPr>
        <w:spacing w:before="100" w:beforeAutospacing="1" w:after="0"/>
        <w:rPr>
          <w:b/>
        </w:rPr>
      </w:pPr>
      <w:r w:rsidRPr="00810F20">
        <w:rPr>
          <w:b/>
          <w:i/>
        </w:rPr>
        <w:t>Sustainability Assessments of Biofuels in the EU</w:t>
      </w:r>
    </w:p>
    <w:p w14:paraId="7C0E7997" w14:textId="22AADAFB" w:rsidR="00446DF8" w:rsidRPr="00810F20" w:rsidRDefault="00446DF8" w:rsidP="00446DF8">
      <w:pPr>
        <w:spacing w:before="100" w:beforeAutospacing="1" w:after="0"/>
        <w:jc w:val="both"/>
        <w:rPr>
          <w:i/>
        </w:rPr>
      </w:pPr>
      <w:r w:rsidRPr="00810F20">
        <w:rPr>
          <w:rFonts w:cstheme="minorHAnsi"/>
          <w:szCs w:val="24"/>
        </w:rPr>
        <w:t>The EU has been a key player in the promotion of biofuels</w:t>
      </w:r>
      <w:r w:rsidR="000F1004" w:rsidRPr="00810F20">
        <w:rPr>
          <w:rFonts w:cstheme="minorHAnsi"/>
          <w:szCs w:val="24"/>
        </w:rPr>
        <w:t xml:space="preserve">, and </w:t>
      </w:r>
      <w:r w:rsidRPr="00810F20">
        <w:rPr>
          <w:rFonts w:cstheme="minorHAnsi"/>
          <w:szCs w:val="24"/>
        </w:rPr>
        <w:t xml:space="preserve">the 2009 Renewable Energy Directive </w:t>
      </w:r>
      <w:r w:rsidR="000F1004" w:rsidRPr="00810F20">
        <w:rPr>
          <w:rFonts w:cstheme="minorHAnsi"/>
          <w:szCs w:val="24"/>
        </w:rPr>
        <w:t xml:space="preserve">(RED) </w:t>
      </w:r>
      <w:r w:rsidRPr="00810F20">
        <w:rPr>
          <w:rFonts w:cstheme="minorHAnsi"/>
          <w:szCs w:val="24"/>
        </w:rPr>
        <w:t xml:space="preserve">created one of the biggest global markets for biofuels. It is also one of the </w:t>
      </w:r>
      <w:r w:rsidRPr="00810F20">
        <w:rPr>
          <w:bCs/>
        </w:rPr>
        <w:t>few markets to address the sustainability impacts of biofuels and</w:t>
      </w:r>
      <w:r w:rsidRPr="00810F20">
        <w:t xml:space="preserve"> does so via mandatory sustainability criteria, which </w:t>
      </w:r>
      <w:r w:rsidRPr="00810F20">
        <w:lastRenderedPageBreak/>
        <w:t>all biofuels sold wit</w:t>
      </w:r>
      <w:r w:rsidR="004E4ECA" w:rsidRPr="00810F20">
        <w:t>hin the EU are required to meet</w:t>
      </w:r>
      <w:r w:rsidRPr="00810F20">
        <w:t xml:space="preserve">. </w:t>
      </w:r>
      <w:r w:rsidR="004E4ECA" w:rsidRPr="00810F20">
        <w:t>The principle aims of the criteria are to ensure minimum GHG emission reductions, and to prevent the conversion of areas of high biodiversity and high carbon stock for the production of raw materials for biofuels</w:t>
      </w:r>
      <w:r w:rsidR="00EA5E2A">
        <w:t xml:space="preserve"> </w:t>
      </w:r>
      <w:r w:rsidR="00F657B0" w:rsidRPr="00F657B0">
        <w:rPr>
          <w:vertAlign w:val="superscript"/>
        </w:rPr>
        <w:t>[</w:t>
      </w:r>
      <w:r w:rsidR="005F650F">
        <w:rPr>
          <w:noProof/>
          <w:vertAlign w:val="superscript"/>
        </w:rPr>
        <w:t>61</w:t>
      </w:r>
      <w:r w:rsidR="00C3675F">
        <w:rPr>
          <w:noProof/>
          <w:vertAlign w:val="superscript"/>
        </w:rPr>
        <w:t>]</w:t>
      </w:r>
      <w:r w:rsidR="004E4ECA" w:rsidRPr="00810F20">
        <w:t>. There are also voluntary criteria for soil, water and air quality, and some social criteria regarding the impact on food prices and adherence to International Labour Organisation conventions</w:t>
      </w:r>
      <w:r w:rsidR="00EA5E2A">
        <w:t xml:space="preserve"> </w:t>
      </w:r>
      <w:r w:rsidR="00F657B0" w:rsidRPr="00F657B0">
        <w:rPr>
          <w:vertAlign w:val="superscript"/>
        </w:rPr>
        <w:t>[</w:t>
      </w:r>
      <w:r w:rsidR="005F650F">
        <w:rPr>
          <w:noProof/>
          <w:vertAlign w:val="superscript"/>
        </w:rPr>
        <w:t>62</w:t>
      </w:r>
      <w:r w:rsidR="00C3675F">
        <w:rPr>
          <w:noProof/>
          <w:vertAlign w:val="superscript"/>
        </w:rPr>
        <w:t>]</w:t>
      </w:r>
      <w:r w:rsidR="004E4ECA" w:rsidRPr="00810F20">
        <w:t xml:space="preserve">. </w:t>
      </w:r>
      <w:r w:rsidRPr="00810F20">
        <w:t xml:space="preserve">In order to </w:t>
      </w:r>
      <w:r w:rsidR="004E4ECA" w:rsidRPr="00810F20">
        <w:t xml:space="preserve">demonstrate </w:t>
      </w:r>
      <w:r w:rsidRPr="00810F20">
        <w:t>compliance</w:t>
      </w:r>
      <w:r w:rsidR="004E4ECA" w:rsidRPr="00810F20">
        <w:t xml:space="preserve"> with the criteria</w:t>
      </w:r>
      <w:r w:rsidRPr="00810F20">
        <w:t xml:space="preserve">, suppliers must show their biofuels </w:t>
      </w:r>
      <w:r w:rsidR="002F1FE8">
        <w:t>conform</w:t>
      </w:r>
      <w:r w:rsidR="007665E2">
        <w:t xml:space="preserve"> </w:t>
      </w:r>
      <w:r w:rsidR="002F1FE8">
        <w:t>to</w:t>
      </w:r>
      <w:r w:rsidRPr="00810F20">
        <w:t xml:space="preserve"> one of nineteen schemes</w:t>
      </w:r>
      <w:r w:rsidR="00AC04BA" w:rsidRPr="00810F20">
        <w:t xml:space="preserve"> that are recognised by the EU</w:t>
      </w:r>
      <w:r w:rsidRPr="00810F20">
        <w:t>.</w:t>
      </w:r>
      <w:r w:rsidRPr="00810F20">
        <w:rPr>
          <w:i/>
        </w:rPr>
        <w:t xml:space="preserve"> </w:t>
      </w:r>
      <w:r w:rsidRPr="00810F20">
        <w:t>M</w:t>
      </w:r>
      <w:r w:rsidR="00AC04BA" w:rsidRPr="00810F20">
        <w:t>ember S</w:t>
      </w:r>
      <w:r w:rsidRPr="00810F20">
        <w:t>tates are responsible for ensuring these criteria are fulfilled and must accept all certification systems recognised by the E</w:t>
      </w:r>
      <w:r w:rsidR="00AC04BA" w:rsidRPr="00810F20">
        <w:t xml:space="preserve">uropean </w:t>
      </w:r>
      <w:r w:rsidRPr="00810F20">
        <w:t>C</w:t>
      </w:r>
      <w:r w:rsidR="00AC04BA" w:rsidRPr="00810F20">
        <w:t xml:space="preserve">ommission; however, as </w:t>
      </w:r>
      <w:r w:rsidRPr="00810F20">
        <w:t xml:space="preserve">each </w:t>
      </w:r>
      <w:r w:rsidR="00AC04BA" w:rsidRPr="00810F20">
        <w:t>Member S</w:t>
      </w:r>
      <w:r w:rsidRPr="00810F20">
        <w:t xml:space="preserve">tate </w:t>
      </w:r>
      <w:r w:rsidR="00AC04BA" w:rsidRPr="00810F20">
        <w:t xml:space="preserve">is entitled to develop its </w:t>
      </w:r>
      <w:r w:rsidRPr="00810F20">
        <w:t xml:space="preserve">own criteria (which could also be stronger than the EU scheme) </w:t>
      </w:r>
      <w:r w:rsidR="00AC04BA" w:rsidRPr="00810F20">
        <w:t xml:space="preserve">this means </w:t>
      </w:r>
      <w:r w:rsidRPr="00810F20">
        <w:t>there could be 28 different national certification schemes recognised by the</w:t>
      </w:r>
      <w:r w:rsidR="00EA5E2A">
        <w:t xml:space="preserve"> Commission </w:t>
      </w:r>
      <w:r w:rsidR="00F657B0" w:rsidRPr="00F657B0">
        <w:rPr>
          <w:vertAlign w:val="superscript"/>
        </w:rPr>
        <w:t>[</w:t>
      </w:r>
      <w:r w:rsidR="005F650F">
        <w:rPr>
          <w:noProof/>
          <w:vertAlign w:val="superscript"/>
        </w:rPr>
        <w:t>63</w:t>
      </w:r>
      <w:r w:rsidR="00C3675F">
        <w:rPr>
          <w:noProof/>
          <w:vertAlign w:val="superscript"/>
        </w:rPr>
        <w:t>]</w:t>
      </w:r>
      <w:r w:rsidRPr="00810F20">
        <w:t xml:space="preserve">. </w:t>
      </w:r>
      <w:r w:rsidR="003A6E6D">
        <w:t>This has created a</w:t>
      </w:r>
      <w:r w:rsidRPr="00810F20">
        <w:t xml:space="preserve"> great deal of variation in scope and coverage of environmental and social issues across these schemes</w:t>
      </w:r>
      <w:r w:rsidR="00EA5E2A">
        <w:t>.</w:t>
      </w:r>
      <w:r w:rsidR="003A6E6D">
        <w:t xml:space="preserve"> </w:t>
      </w:r>
      <w:r w:rsidR="00EA5E2A">
        <w:t xml:space="preserve">Some schemes </w:t>
      </w:r>
      <w:r w:rsidR="00EA5E2A" w:rsidRPr="00810F20">
        <w:t>go beyond the baseline criteria in the EU RED, while others include no social criteria at all</w:t>
      </w:r>
      <w:r w:rsidR="00EA5E2A">
        <w:t xml:space="preserve">, as shown in </w:t>
      </w:r>
      <w:r w:rsidR="003A6E6D">
        <w:t xml:space="preserve">Table 1 </w:t>
      </w:r>
      <w:r w:rsidR="003A6E6D" w:rsidRPr="004A4456">
        <w:rPr>
          <w:vertAlign w:val="superscript"/>
        </w:rPr>
        <w:t>[</w:t>
      </w:r>
      <w:r w:rsidR="00E313AB">
        <w:rPr>
          <w:vertAlign w:val="superscript"/>
        </w:rPr>
        <w:t xml:space="preserve">Footnote </w:t>
      </w:r>
      <w:r w:rsidR="003A6E6D" w:rsidRPr="00810F20">
        <w:rPr>
          <w:rStyle w:val="FootnoteReference"/>
        </w:rPr>
        <w:footnoteReference w:id="1"/>
      </w:r>
      <w:r w:rsidR="00E313AB">
        <w:rPr>
          <w:vertAlign w:val="superscript"/>
        </w:rPr>
        <w:t>]</w:t>
      </w:r>
      <w:r w:rsidR="003A6E6D" w:rsidRPr="00810F20">
        <w:t xml:space="preserve"> </w:t>
      </w:r>
      <w:r w:rsidR="00E313AB" w:rsidRPr="00E313AB">
        <w:rPr>
          <w:vertAlign w:val="superscript"/>
        </w:rPr>
        <w:t>[</w:t>
      </w:r>
      <w:r w:rsidR="003A6E6D" w:rsidRPr="0043609A">
        <w:rPr>
          <w:noProof/>
          <w:vertAlign w:val="superscript"/>
        </w:rPr>
        <w:t>12,</w:t>
      </w:r>
      <w:r w:rsidR="00E313AB">
        <w:rPr>
          <w:noProof/>
          <w:vertAlign w:val="superscript"/>
        </w:rPr>
        <w:t>34</w:t>
      </w:r>
      <w:r w:rsidR="003A6E6D" w:rsidRPr="0043609A">
        <w:rPr>
          <w:noProof/>
          <w:vertAlign w:val="superscript"/>
        </w:rPr>
        <w:t>,</w:t>
      </w:r>
      <w:r w:rsidR="00E313AB">
        <w:rPr>
          <w:noProof/>
          <w:vertAlign w:val="superscript"/>
        </w:rPr>
        <w:t>5</w:t>
      </w:r>
      <w:r w:rsidR="005F650F">
        <w:rPr>
          <w:noProof/>
          <w:vertAlign w:val="superscript"/>
        </w:rPr>
        <w:t>7</w:t>
      </w:r>
      <w:r w:rsidR="003A6E6D" w:rsidRPr="0043609A">
        <w:rPr>
          <w:noProof/>
          <w:vertAlign w:val="superscript"/>
        </w:rPr>
        <w:t>,</w:t>
      </w:r>
      <w:r w:rsidR="005F650F">
        <w:rPr>
          <w:noProof/>
          <w:vertAlign w:val="superscript"/>
        </w:rPr>
        <w:t>64</w:t>
      </w:r>
      <w:r w:rsidR="003B61C9">
        <w:rPr>
          <w:noProof/>
          <w:vertAlign w:val="superscript"/>
        </w:rPr>
        <w:t>, 65, 66</w:t>
      </w:r>
      <w:r w:rsidR="00EA5E2A">
        <w:rPr>
          <w:noProof/>
          <w:vertAlign w:val="superscript"/>
        </w:rPr>
        <w:t>]</w:t>
      </w:r>
      <w:r w:rsidR="003A6E6D">
        <w:t xml:space="preserve">.  </w:t>
      </w:r>
      <w:r w:rsidR="00DB11FA" w:rsidRPr="00810F20">
        <w:t xml:space="preserve"> </w:t>
      </w:r>
    </w:p>
    <w:p w14:paraId="525BA1BF" w14:textId="77777777" w:rsidR="00203328" w:rsidRPr="00203328" w:rsidRDefault="00203328" w:rsidP="007C2FEB">
      <w:pPr>
        <w:spacing w:before="100" w:beforeAutospacing="1" w:after="0"/>
        <w:jc w:val="both"/>
        <w:rPr>
          <w:b/>
          <w:i/>
        </w:rPr>
      </w:pPr>
      <w:r w:rsidRPr="00203328">
        <w:rPr>
          <w:b/>
          <w:i/>
        </w:rPr>
        <w:t>&lt;Insert Table 1 here&gt;</w:t>
      </w:r>
    </w:p>
    <w:p w14:paraId="2058FB06" w14:textId="55C10D9F" w:rsidR="007C2FEB" w:rsidRPr="007C2FEB" w:rsidRDefault="00D5249D" w:rsidP="007C2FEB">
      <w:pPr>
        <w:spacing w:before="100" w:beforeAutospacing="1" w:after="0"/>
        <w:jc w:val="both"/>
      </w:pPr>
      <w:r w:rsidRPr="00810F20">
        <w:t>The social component</w:t>
      </w:r>
      <w:r w:rsidR="002F1FE8">
        <w:t xml:space="preserve"> </w:t>
      </w:r>
      <w:r w:rsidRPr="00810F20">
        <w:t>is not the primary focus of the EU’s sustainability assessment</w:t>
      </w:r>
      <w:r w:rsidR="00E142BA">
        <w:t xml:space="preserve"> – in fact, it appears that social issues are an afterthought in terms of regulatory mechanisms that seek to mitigate the impacts</w:t>
      </w:r>
      <w:r w:rsidR="00EA5E2A">
        <w:t xml:space="preserve"> of</w:t>
      </w:r>
      <w:r w:rsidR="00E142BA">
        <w:t xml:space="preserve"> biofuels </w:t>
      </w:r>
      <w:r w:rsidR="003A6E6D">
        <w:rPr>
          <w:vertAlign w:val="superscript"/>
        </w:rPr>
        <w:t>[</w:t>
      </w:r>
      <w:r w:rsidR="00E313AB">
        <w:rPr>
          <w:vertAlign w:val="superscript"/>
        </w:rPr>
        <w:t>34</w:t>
      </w:r>
      <w:r w:rsidR="00E142BA" w:rsidRPr="00EA5E2A">
        <w:rPr>
          <w:vertAlign w:val="superscript"/>
        </w:rPr>
        <w:t>]</w:t>
      </w:r>
      <w:r w:rsidRPr="00810F20">
        <w:t>.</w:t>
      </w:r>
      <w:r w:rsidR="00B47CEA">
        <w:t xml:space="preserve"> </w:t>
      </w:r>
      <w:r w:rsidRPr="00810F20">
        <w:t xml:space="preserve">As a consequence, only a small proportion of biofuels consumed within the EU have been accredited by schemes that consider the wider social issues for local communities in producer regions (see Table 1). </w:t>
      </w:r>
      <w:r w:rsidR="003A6E6D">
        <w:t xml:space="preserve">Instead, </w:t>
      </w:r>
      <w:r w:rsidRPr="00810F20">
        <w:t>the vast majority of certificates awarded were for ISCC and 2B</w:t>
      </w:r>
      <w:r w:rsidR="005D5243">
        <w:t>Svs certification standards</w:t>
      </w:r>
      <w:r w:rsidR="00EA5E2A">
        <w:t xml:space="preserve"> </w:t>
      </w:r>
      <w:r w:rsidR="003A6E6D">
        <w:rPr>
          <w:vertAlign w:val="superscript"/>
        </w:rPr>
        <w:t>[</w:t>
      </w:r>
      <w:r w:rsidR="005F650F">
        <w:rPr>
          <w:noProof/>
          <w:vertAlign w:val="superscript"/>
        </w:rPr>
        <w:t>65</w:t>
      </w:r>
      <w:r w:rsidR="00207E30">
        <w:rPr>
          <w:noProof/>
          <w:vertAlign w:val="superscript"/>
        </w:rPr>
        <w:t>]</w:t>
      </w:r>
      <w:r w:rsidR="00207E30">
        <w:rPr>
          <w:noProof/>
        </w:rPr>
        <w:t>, the latter</w:t>
      </w:r>
      <w:r w:rsidR="009E35E6">
        <w:rPr>
          <w:noProof/>
        </w:rPr>
        <w:t xml:space="preserve"> of which</w:t>
      </w:r>
      <w:r w:rsidR="00207E30">
        <w:rPr>
          <w:noProof/>
          <w:vertAlign w:val="superscript"/>
        </w:rPr>
        <w:t xml:space="preserve"> </w:t>
      </w:r>
      <w:r w:rsidR="003A6E6D">
        <w:t xml:space="preserve">contains </w:t>
      </w:r>
      <w:r w:rsidR="00DC32F7" w:rsidRPr="00810F20">
        <w:t>no social components</w:t>
      </w:r>
      <w:r w:rsidR="009E35E6">
        <w:t xml:space="preserve"> </w:t>
      </w:r>
      <w:r w:rsidR="003A6E6D">
        <w:rPr>
          <w:vertAlign w:val="superscript"/>
        </w:rPr>
        <w:t>[</w:t>
      </w:r>
      <w:r w:rsidR="005F650F">
        <w:rPr>
          <w:noProof/>
          <w:vertAlign w:val="superscript"/>
        </w:rPr>
        <w:t>55</w:t>
      </w:r>
      <w:r w:rsidR="003A6E6D">
        <w:rPr>
          <w:noProof/>
          <w:vertAlign w:val="superscript"/>
        </w:rPr>
        <w:t>]</w:t>
      </w:r>
      <w:r w:rsidR="009E35E6">
        <w:t xml:space="preserve"> whilst</w:t>
      </w:r>
      <w:r w:rsidR="006E2A20" w:rsidRPr="00810F20">
        <w:t xml:space="preserve"> </w:t>
      </w:r>
      <w:r w:rsidR="00207E30">
        <w:t xml:space="preserve">several authors have found </w:t>
      </w:r>
      <w:r w:rsidR="006E2A20" w:rsidRPr="00810F20">
        <w:t>weaknesses in the ISCC’s approach to social sustain</w:t>
      </w:r>
      <w:r w:rsidR="00DC32F7" w:rsidRPr="00810F20">
        <w:t>ability</w:t>
      </w:r>
      <w:r w:rsidR="00207E30">
        <w:t xml:space="preserve"> </w:t>
      </w:r>
      <w:r w:rsidR="003A6E6D">
        <w:rPr>
          <w:vertAlign w:val="superscript"/>
        </w:rPr>
        <w:t>[</w:t>
      </w:r>
      <w:r w:rsidR="00E313AB">
        <w:rPr>
          <w:vertAlign w:val="superscript"/>
        </w:rPr>
        <w:t>34</w:t>
      </w:r>
      <w:r w:rsidR="0045608D" w:rsidRPr="00EA5E2A">
        <w:rPr>
          <w:vertAlign w:val="superscript"/>
        </w:rPr>
        <w:t>,</w:t>
      </w:r>
      <w:r w:rsidR="005F650F">
        <w:rPr>
          <w:vertAlign w:val="superscript"/>
        </w:rPr>
        <w:t>57</w:t>
      </w:r>
      <w:r w:rsidR="0045608D" w:rsidRPr="00EA5E2A">
        <w:rPr>
          <w:vertAlign w:val="superscript"/>
        </w:rPr>
        <w:t>]</w:t>
      </w:r>
      <w:r w:rsidR="006E2A20" w:rsidRPr="003A5E7C">
        <w:t>.</w:t>
      </w:r>
      <w:r w:rsidR="00B47CEA">
        <w:t xml:space="preserve"> </w:t>
      </w:r>
      <w:r w:rsidR="00207E30">
        <w:t xml:space="preserve">While </w:t>
      </w:r>
      <w:r w:rsidR="003A5E7C">
        <w:t>c</w:t>
      </w:r>
      <w:r w:rsidR="006E2A20" w:rsidRPr="003A5E7C">
        <w:t>omprehensive</w:t>
      </w:r>
      <w:r w:rsidR="00810F20" w:rsidRPr="003A5E7C">
        <w:t>,</w:t>
      </w:r>
      <w:r w:rsidR="006E2A20" w:rsidRPr="003A5E7C">
        <w:t xml:space="preserve"> inclusive stakeholder engagement</w:t>
      </w:r>
      <w:r w:rsidR="009E35E6">
        <w:t xml:space="preserve"> (</w:t>
      </w:r>
      <w:r w:rsidR="00810F20" w:rsidRPr="003A5E7C">
        <w:t xml:space="preserve">including </w:t>
      </w:r>
      <w:r w:rsidR="006E2A20" w:rsidRPr="003A5E7C">
        <w:t>local community consultation</w:t>
      </w:r>
      <w:r w:rsidR="009E35E6">
        <w:t>)</w:t>
      </w:r>
      <w:r w:rsidR="006E2A20" w:rsidRPr="003A5E7C">
        <w:t xml:space="preserve"> is considered a bedrock of the sustainability assessment process</w:t>
      </w:r>
      <w:r w:rsidR="00207E30">
        <w:t xml:space="preserve"> </w:t>
      </w:r>
      <w:r w:rsidR="00F657B0" w:rsidRPr="00F657B0">
        <w:rPr>
          <w:vertAlign w:val="superscript"/>
        </w:rPr>
        <w:t>[</w:t>
      </w:r>
      <w:r w:rsidR="00E313AB">
        <w:rPr>
          <w:noProof/>
          <w:vertAlign w:val="superscript"/>
        </w:rPr>
        <w:t>28</w:t>
      </w:r>
      <w:r w:rsidR="0043609A" w:rsidRPr="0043609A">
        <w:rPr>
          <w:noProof/>
          <w:vertAlign w:val="superscript"/>
        </w:rPr>
        <w:t>,</w:t>
      </w:r>
      <w:r w:rsidR="005F650F">
        <w:rPr>
          <w:noProof/>
          <w:vertAlign w:val="superscript"/>
        </w:rPr>
        <w:t>56</w:t>
      </w:r>
      <w:r w:rsidR="00C3675F">
        <w:rPr>
          <w:noProof/>
          <w:vertAlign w:val="superscript"/>
        </w:rPr>
        <w:t>]</w:t>
      </w:r>
      <w:r w:rsidR="00207E30">
        <w:t>,</w:t>
      </w:r>
      <w:r w:rsidR="006E2A20" w:rsidRPr="003A5E7C">
        <w:t xml:space="preserve"> Table 1</w:t>
      </w:r>
      <w:r w:rsidR="009E35E6">
        <w:t xml:space="preserve"> shows that</w:t>
      </w:r>
      <w:r w:rsidR="006E2A20" w:rsidRPr="003A5E7C">
        <w:t xml:space="preserve"> only three schemes include indicators </w:t>
      </w:r>
      <w:r w:rsidR="003A5E7C">
        <w:t>for</w:t>
      </w:r>
      <w:r w:rsidR="006E2A20" w:rsidRPr="003A5E7C">
        <w:t xml:space="preserve"> local community </w:t>
      </w:r>
      <w:r w:rsidR="003A5E7C" w:rsidRPr="003A5E7C">
        <w:t>consultation</w:t>
      </w:r>
      <w:r w:rsidR="006E2A20" w:rsidRPr="003A5E7C">
        <w:t xml:space="preserve"> </w:t>
      </w:r>
      <w:r w:rsidR="00207E30">
        <w:t>(</w:t>
      </w:r>
      <w:r w:rsidR="0045608D">
        <w:t>RSPO, RTRS and RSB</w:t>
      </w:r>
      <w:r w:rsidR="00207E30">
        <w:t>)</w:t>
      </w:r>
      <w:r w:rsidR="0045608D">
        <w:t xml:space="preserve"> </w:t>
      </w:r>
      <w:r w:rsidR="007C2FEB">
        <w:t>and</w:t>
      </w:r>
      <w:r w:rsidR="006E2A20" w:rsidRPr="003A5E7C">
        <w:t xml:space="preserve"> these are </w:t>
      </w:r>
      <w:r w:rsidR="003A5E7C">
        <w:t xml:space="preserve">not </w:t>
      </w:r>
      <w:r w:rsidR="006E2A20" w:rsidRPr="003A5E7C">
        <w:t xml:space="preserve">commonly </w:t>
      </w:r>
      <w:r w:rsidR="00E50B6E">
        <w:t>accredited</w:t>
      </w:r>
      <w:r w:rsidR="006E2A20" w:rsidRPr="003A5E7C">
        <w:t xml:space="preserve"> schemes. </w:t>
      </w:r>
      <w:r w:rsidR="007C2FEB" w:rsidRPr="007C2FEB">
        <w:t>Furthermore, although the certification schemes are required to take the whole supply chain into consideration – i.e. production to end use</w:t>
      </w:r>
      <w:r w:rsidR="00207E30">
        <w:t xml:space="preserve"> </w:t>
      </w:r>
      <w:r w:rsidR="00F657B0" w:rsidRPr="00F657B0">
        <w:rPr>
          <w:vertAlign w:val="superscript"/>
        </w:rPr>
        <w:t>[</w:t>
      </w:r>
      <w:r w:rsidR="005F650F">
        <w:rPr>
          <w:noProof/>
          <w:vertAlign w:val="superscript"/>
        </w:rPr>
        <w:t>66</w:t>
      </w:r>
      <w:r w:rsidR="00C3675F">
        <w:rPr>
          <w:noProof/>
          <w:vertAlign w:val="superscript"/>
        </w:rPr>
        <w:t>]</w:t>
      </w:r>
      <w:r w:rsidR="007C2FEB" w:rsidRPr="007C2FEB">
        <w:t xml:space="preserve"> – there is little evidence to suggest that impacts and issues relating to consumers are considered</w:t>
      </w:r>
      <w:r w:rsidR="00B47CEA">
        <w:t xml:space="preserve"> </w:t>
      </w:r>
      <w:r w:rsidR="007C2FEB" w:rsidRPr="007C2FEB">
        <w:t>in</w:t>
      </w:r>
      <w:r w:rsidR="007C2FEB">
        <w:t xml:space="preserve"> sustainability</w:t>
      </w:r>
      <w:r w:rsidR="007C2FEB" w:rsidRPr="007C2FEB">
        <w:t xml:space="preserve"> assessments, raising further questions about recognition, procedural and distributional justice. </w:t>
      </w:r>
    </w:p>
    <w:p w14:paraId="10A2D878" w14:textId="77777777" w:rsidR="00E806F7" w:rsidRPr="00810F20" w:rsidRDefault="00E806F7" w:rsidP="00E806F7">
      <w:pPr>
        <w:spacing w:before="100" w:beforeAutospacing="1" w:after="0"/>
        <w:rPr>
          <w:b/>
          <w:i/>
        </w:rPr>
      </w:pPr>
      <w:r w:rsidRPr="00810F20">
        <w:rPr>
          <w:b/>
          <w:i/>
        </w:rPr>
        <w:t>Discussion and Conclusions</w:t>
      </w:r>
    </w:p>
    <w:p w14:paraId="52572B6A" w14:textId="77777777" w:rsidR="00670937" w:rsidRDefault="00670937" w:rsidP="00670937">
      <w:pPr>
        <w:spacing w:before="100" w:beforeAutospacing="1" w:after="0"/>
        <w:jc w:val="both"/>
      </w:pPr>
      <w:r w:rsidRPr="001C71B8">
        <w:t>Although there has been an increased focus on biofuel</w:t>
      </w:r>
      <w:r>
        <w:t xml:space="preserve"> equity</w:t>
      </w:r>
      <w:r w:rsidRPr="001C71B8">
        <w:t xml:space="preserve"> in academic literature,</w:t>
      </w:r>
      <w:r>
        <w:t xml:space="preserve"> </w:t>
      </w:r>
      <w:r w:rsidRPr="001C71B8">
        <w:t xml:space="preserve">equity </w:t>
      </w:r>
      <w:r>
        <w:t xml:space="preserve">matters </w:t>
      </w:r>
      <w:r w:rsidRPr="001C71B8">
        <w:t xml:space="preserve">do not yet feature </w:t>
      </w:r>
      <w:r>
        <w:t xml:space="preserve">adequately – if at all – in many of the most commonly </w:t>
      </w:r>
      <w:proofErr w:type="gramStart"/>
      <w:r>
        <w:t>used</w:t>
      </w:r>
      <w:r w:rsidRPr="001C71B8">
        <w:t>,</w:t>
      </w:r>
      <w:proofErr w:type="gramEnd"/>
      <w:r w:rsidRPr="001C71B8">
        <w:t xml:space="preserve"> formal methods of biofuels’ sustainability appraisal</w:t>
      </w:r>
      <w:r>
        <w:t>,</w:t>
      </w:r>
      <w:r w:rsidRPr="001C71B8">
        <w:t xml:space="preserve"> such as </w:t>
      </w:r>
      <w:r>
        <w:t xml:space="preserve">the </w:t>
      </w:r>
      <w:r w:rsidRPr="001C71B8">
        <w:t xml:space="preserve">voluntary certification </w:t>
      </w:r>
      <w:r>
        <w:t>standards used to demonstrate compliance with the EU RED</w:t>
      </w:r>
      <w:r w:rsidRPr="001C71B8">
        <w:t>.</w:t>
      </w:r>
      <w:r>
        <w:t xml:space="preserve"> Rather, social impacts have been an afterthought in regulations that primarily seek to mitigate the negative environmental impacts of biofuels </w:t>
      </w:r>
      <w:r>
        <w:rPr>
          <w:vertAlign w:val="superscript"/>
        </w:rPr>
        <w:t>[34</w:t>
      </w:r>
      <w:r w:rsidRPr="00207E30">
        <w:rPr>
          <w:vertAlign w:val="superscript"/>
        </w:rPr>
        <w:t>]</w:t>
      </w:r>
      <w:r>
        <w:t xml:space="preserve">. This paper has argued </w:t>
      </w:r>
      <w:r w:rsidRPr="001C71B8">
        <w:t xml:space="preserve">that lack of consideration of </w:t>
      </w:r>
      <w:r>
        <w:t xml:space="preserve">equity </w:t>
      </w:r>
      <w:r w:rsidRPr="001C71B8">
        <w:t>work</w:t>
      </w:r>
      <w:r>
        <w:t>s</w:t>
      </w:r>
      <w:r w:rsidRPr="001C71B8">
        <w:t xml:space="preserve"> against sustainable development </w:t>
      </w:r>
      <w:r>
        <w:t xml:space="preserve">ideals such as </w:t>
      </w:r>
      <w:r w:rsidRPr="001C71B8">
        <w:t>inter-</w:t>
      </w:r>
      <w:r>
        <w:t xml:space="preserve"> and intra-generational equity </w:t>
      </w:r>
      <w:r w:rsidRPr="00F657B0">
        <w:rPr>
          <w:vertAlign w:val="superscript"/>
        </w:rPr>
        <w:t>[</w:t>
      </w:r>
      <w:r w:rsidRPr="0043609A">
        <w:rPr>
          <w:noProof/>
          <w:vertAlign w:val="superscript"/>
        </w:rPr>
        <w:t>2</w:t>
      </w:r>
      <w:r>
        <w:rPr>
          <w:noProof/>
          <w:vertAlign w:val="superscript"/>
        </w:rPr>
        <w:t>]</w:t>
      </w:r>
      <w:r w:rsidRPr="001C71B8">
        <w:t>.</w:t>
      </w:r>
      <w:r>
        <w:t xml:space="preserve">  At the moment, intra-generational equity should remain the focus of sustainability certification schemes, since ensuring the wellbeing of environments and peoples in </w:t>
      </w:r>
      <w:r>
        <w:lastRenderedPageBreak/>
        <w:t>this generation, the next generation is likely to inherit healthy societies and ecosystems – catering, to some extent, for inter-generational equity.</w:t>
      </w:r>
    </w:p>
    <w:p w14:paraId="752967B5" w14:textId="77777777" w:rsidR="00670937" w:rsidRDefault="00670937" w:rsidP="00670937">
      <w:pPr>
        <w:spacing w:before="100" w:beforeAutospacing="1" w:after="0"/>
        <w:jc w:val="both"/>
      </w:pPr>
      <w:r>
        <w:t xml:space="preserve">Policy formation driven by engagement with diverse stakeholders from the outset is perhaps the ideal, and yet this has rarely taken place.  This paper suggests that, where biofuel policies have already been enacted, understanding the nature of existing equity issues can help re-shape and re-define practices to help rebalance the associated social and environmental inequities. Even with the biofuel certification schemes approved by the EU, standards vary greatly </w:t>
      </w:r>
      <w:r w:rsidRPr="00810F20">
        <w:t xml:space="preserve">in </w:t>
      </w:r>
      <w:r>
        <w:t xml:space="preserve">their </w:t>
      </w:r>
      <w:r w:rsidRPr="00810F20">
        <w:t>scope and coverage of environmental and social issues</w:t>
      </w:r>
      <w:r>
        <w:t xml:space="preserve"> </w:t>
      </w:r>
      <w:r w:rsidRPr="00F657B0">
        <w:rPr>
          <w:vertAlign w:val="superscript"/>
        </w:rPr>
        <w:t>[</w:t>
      </w:r>
      <w:r w:rsidRPr="0043609A">
        <w:rPr>
          <w:noProof/>
          <w:vertAlign w:val="superscript"/>
        </w:rPr>
        <w:t>12</w:t>
      </w:r>
      <w:r>
        <w:rPr>
          <w:noProof/>
          <w:vertAlign w:val="superscript"/>
        </w:rPr>
        <w:t>]</w:t>
      </w:r>
      <w:r>
        <w:rPr>
          <w:noProof/>
        </w:rPr>
        <w:t>. For those schemes that have incorporated multiple</w:t>
      </w:r>
      <w:r>
        <w:t xml:space="preserve"> </w:t>
      </w:r>
      <w:r w:rsidRPr="00810F20">
        <w:t>stakeholders</w:t>
      </w:r>
      <w:r>
        <w:t xml:space="preserve">, how these actors have been identified is unclear, meaning that it is difficult to assess diversity, </w:t>
      </w:r>
      <w:r w:rsidRPr="00810F20">
        <w:t>inclusivity</w:t>
      </w:r>
      <w:r>
        <w:t>,</w:t>
      </w:r>
      <w:r w:rsidRPr="00810F20">
        <w:t xml:space="preserve"> and </w:t>
      </w:r>
      <w:r>
        <w:t xml:space="preserve">whether stakeholders </w:t>
      </w:r>
      <w:r w:rsidRPr="00810F20">
        <w:t xml:space="preserve">are given the opportunity to state </w:t>
      </w:r>
      <w:r>
        <w:t>how they</w:t>
      </w:r>
      <w:r w:rsidRPr="00810F20">
        <w:t xml:space="preserve"> are affected</w:t>
      </w:r>
      <w:r>
        <w:t xml:space="preserve"> by biofuels</w:t>
      </w:r>
      <w:r w:rsidRPr="00810F20">
        <w:t>.</w:t>
      </w:r>
      <w:r>
        <w:t xml:space="preserve"> Furthermore, while </w:t>
      </w:r>
      <w:r w:rsidRPr="00810F20">
        <w:t xml:space="preserve">some attention </w:t>
      </w:r>
      <w:r>
        <w:t xml:space="preserve">has been paid </w:t>
      </w:r>
      <w:r w:rsidRPr="00810F20">
        <w:t xml:space="preserve">to </w:t>
      </w:r>
      <w:r>
        <w:t>the</w:t>
      </w:r>
      <w:r w:rsidRPr="00810F20">
        <w:t xml:space="preserve"> recognition </w:t>
      </w:r>
      <w:r>
        <w:t>of</w:t>
      </w:r>
      <w:r w:rsidRPr="00810F20">
        <w:t xml:space="preserve"> multiple voices in standard setting</w:t>
      </w:r>
      <w:r>
        <w:t>,</w:t>
      </w:r>
      <w:r w:rsidRPr="00810F20">
        <w:t xml:space="preserve"> this is yet to be enjoyed within the assessment</w:t>
      </w:r>
      <w:r>
        <w:t xml:space="preserve"> processe</w:t>
      </w:r>
      <w:r w:rsidRPr="00810F20">
        <w:t>s themselves.</w:t>
      </w:r>
      <w:r>
        <w:t xml:space="preserve"> This would help to </w:t>
      </w:r>
      <w:r w:rsidRPr="00810F20">
        <w:t xml:space="preserve">provide a more informed view of whether </w:t>
      </w:r>
      <w:r>
        <w:t xml:space="preserve">and how </w:t>
      </w:r>
      <w:r w:rsidRPr="00810F20">
        <w:t>levels</w:t>
      </w:r>
      <w:r>
        <w:t xml:space="preserve"> of</w:t>
      </w:r>
      <w:r w:rsidRPr="00810F20">
        <w:t xml:space="preserve"> poverty and social inequalities are </w:t>
      </w:r>
      <w:r>
        <w:t>affected by biofuel developments</w:t>
      </w:r>
      <w:r w:rsidRPr="00810F20">
        <w:t>.</w:t>
      </w:r>
      <w:r w:rsidRPr="003E433F">
        <w:t xml:space="preserve"> </w:t>
      </w:r>
      <w:r>
        <w:t>In practice this would require multiple actors to be part of the assessment process, and would most likely draw on qualitative data to support more quantitative indicators and documentary evidence. Furthermore, dissemination of results to stakeholders along the biofuel supply chain would be important for enabling learning about the nature of the issues raised. This could also help to facilitate the adoption and strengthening of those practices that led to more sustainable and equitable outcomes. It will require skilled practitioners who can facilitate meaningful engagement with diverse actors along the supply chain, and who are supported to go against the prevailing power dynamics if required. Such practices would allow essential contextual factors to be understood and taken into account</w:t>
      </w:r>
      <w:r w:rsidRPr="00D24AE7">
        <w:t xml:space="preserve"> </w:t>
      </w:r>
      <w:r>
        <w:t>in sustainability assessment processes.</w:t>
      </w:r>
    </w:p>
    <w:p w14:paraId="507C81AA" w14:textId="77777777" w:rsidR="00670937" w:rsidRDefault="00670937" w:rsidP="00670937">
      <w:pPr>
        <w:spacing w:before="100" w:beforeAutospacing="1" w:after="0"/>
        <w:jc w:val="both"/>
      </w:pPr>
      <w:r>
        <w:t>In sum, t</w:t>
      </w:r>
      <w:r w:rsidRPr="001C71B8">
        <w:t xml:space="preserve">he evidence summarised in this paper </w:t>
      </w:r>
      <w:r>
        <w:t xml:space="preserve">suggests that </w:t>
      </w:r>
      <w:r w:rsidRPr="001C71B8">
        <w:t xml:space="preserve">the inclusion of multiple voices and perspectives within </w:t>
      </w:r>
      <w:r>
        <w:t xml:space="preserve">biofuel </w:t>
      </w:r>
      <w:r w:rsidRPr="001C71B8">
        <w:t>sustainability assessments</w:t>
      </w:r>
      <w:r>
        <w:t xml:space="preserve"> is</w:t>
      </w:r>
      <w:r w:rsidRPr="001C71B8">
        <w:t xml:space="preserve"> likely </w:t>
      </w:r>
      <w:r>
        <w:t>to help fill the current ‘equity void’ and to</w:t>
      </w:r>
      <w:r w:rsidRPr="001C71B8">
        <w:t xml:space="preserve"> deliver more sustainable and equitable outcomes</w:t>
      </w:r>
      <w:r>
        <w:t xml:space="preserve"> </w:t>
      </w:r>
      <w:r>
        <w:rPr>
          <w:vertAlign w:val="superscript"/>
        </w:rPr>
        <w:t>[</w:t>
      </w:r>
      <w:r w:rsidRPr="00207E30">
        <w:rPr>
          <w:vertAlign w:val="superscript"/>
        </w:rPr>
        <w:t>14</w:t>
      </w:r>
      <w:proofErr w:type="gramStart"/>
      <w:r w:rsidRPr="00207E30">
        <w:rPr>
          <w:vertAlign w:val="superscript"/>
        </w:rPr>
        <w:t>,</w:t>
      </w:r>
      <w:r>
        <w:rPr>
          <w:vertAlign w:val="superscript"/>
        </w:rPr>
        <w:t>20,32</w:t>
      </w:r>
      <w:proofErr w:type="gramEnd"/>
      <w:r w:rsidRPr="00207E30">
        <w:rPr>
          <w:vertAlign w:val="superscript"/>
        </w:rPr>
        <w:t>]</w:t>
      </w:r>
      <w:r w:rsidRPr="001C71B8">
        <w:t>.</w:t>
      </w:r>
      <w:r w:rsidRPr="00AA4977">
        <w:t xml:space="preserve"> </w:t>
      </w:r>
      <w:r>
        <w:t xml:space="preserve">However, a focus on distributional and procedural justice alone will not guarantee more </w:t>
      </w:r>
      <w:r w:rsidRPr="00FC1DD7">
        <w:t>equit</w:t>
      </w:r>
      <w:r>
        <w:t xml:space="preserve">able biofuels </w:t>
      </w:r>
      <w:r>
        <w:rPr>
          <w:vertAlign w:val="superscript"/>
        </w:rPr>
        <w:t>[18]</w:t>
      </w:r>
      <w:r>
        <w:t xml:space="preserve">. Indeed, as this paper has shown, an understanding of the context within which biofuels are embedded is critical for assessing the equity outcomes, and this will require in-depth studies that generate primary data from producer regions. The inclusion of equity into sustainability assessments of biofuels will present numerous theoretical, methodological and practical challenges, but it is vital that equity matters are incorporated into </w:t>
      </w:r>
      <w:r w:rsidRPr="003E433F">
        <w:t xml:space="preserve">a unified </w:t>
      </w:r>
      <w:r w:rsidRPr="00810F20">
        <w:t xml:space="preserve">framework </w:t>
      </w:r>
      <w:r>
        <w:t>that considers</w:t>
      </w:r>
      <w:r w:rsidRPr="00810F20">
        <w:t xml:space="preserve"> the distribution of ecological, social and economic </w:t>
      </w:r>
      <w:r>
        <w:t xml:space="preserve">outcomes in different contexts </w:t>
      </w:r>
      <w:r w:rsidRPr="00F657B0">
        <w:rPr>
          <w:vertAlign w:val="superscript"/>
        </w:rPr>
        <w:t>[</w:t>
      </w:r>
      <w:r>
        <w:rPr>
          <w:noProof/>
          <w:vertAlign w:val="superscript"/>
        </w:rPr>
        <w:t>32,65]</w:t>
      </w:r>
      <w:r w:rsidRPr="00810F20">
        <w:t>.</w:t>
      </w:r>
    </w:p>
    <w:p w14:paraId="7352F4CA" w14:textId="77777777" w:rsidR="00AD168E" w:rsidRDefault="00AD168E" w:rsidP="00AD168E">
      <w:pPr>
        <w:spacing w:before="100" w:beforeAutospacing="1" w:after="0"/>
        <w:rPr>
          <w:b/>
        </w:rPr>
      </w:pPr>
      <w:r w:rsidRPr="00653D7E">
        <w:rPr>
          <w:b/>
        </w:rPr>
        <w:t>References</w:t>
      </w:r>
    </w:p>
    <w:p w14:paraId="5085D9ED" w14:textId="77777777" w:rsidR="00F3062C" w:rsidRDefault="00B6519A">
      <w:pPr>
        <w:pStyle w:val="NormalWeb"/>
        <w:ind w:left="640" w:hanging="640"/>
        <w:divId w:val="874463841"/>
        <w:rPr>
          <w:rFonts w:ascii="Calibri" w:hAnsi="Calibri"/>
          <w:noProof/>
          <w:sz w:val="22"/>
        </w:rPr>
      </w:pPr>
      <w:r w:rsidRPr="00B6519A">
        <w:rPr>
          <w:rFonts w:ascii="Calibri" w:hAnsi="Calibri"/>
          <w:noProof/>
          <w:sz w:val="22"/>
        </w:rPr>
        <w:t>1.</w:t>
      </w:r>
      <w:r w:rsidRPr="00B6519A">
        <w:rPr>
          <w:rFonts w:ascii="Calibri" w:hAnsi="Calibri"/>
          <w:noProof/>
          <w:sz w:val="22"/>
        </w:rPr>
        <w:tab/>
        <w:t>Skea J, Ekins P &amp; Winskel M</w:t>
      </w:r>
      <w:r w:rsidR="000364D0">
        <w:rPr>
          <w:rFonts w:ascii="Calibri" w:hAnsi="Calibri"/>
          <w:noProof/>
          <w:sz w:val="22"/>
        </w:rPr>
        <w:t xml:space="preserve">: </w:t>
      </w:r>
      <w:r w:rsidRPr="00B6519A">
        <w:rPr>
          <w:rFonts w:ascii="Calibri" w:hAnsi="Calibri"/>
          <w:i/>
          <w:iCs/>
          <w:noProof/>
          <w:sz w:val="22"/>
        </w:rPr>
        <w:t>Energy 2050: Making the Transition to a Secure Low-Carbon Energy System</w:t>
      </w:r>
      <w:r w:rsidRPr="00B6519A">
        <w:rPr>
          <w:rFonts w:ascii="Calibri" w:hAnsi="Calibri"/>
          <w:noProof/>
          <w:sz w:val="22"/>
        </w:rPr>
        <w:t>. Routledge</w:t>
      </w:r>
      <w:r w:rsidR="000364D0">
        <w:rPr>
          <w:rFonts w:ascii="Calibri" w:hAnsi="Calibri"/>
          <w:noProof/>
          <w:sz w:val="22"/>
        </w:rPr>
        <w:t>;</w:t>
      </w:r>
      <w:r w:rsidRPr="00B6519A">
        <w:rPr>
          <w:rFonts w:ascii="Calibri" w:hAnsi="Calibri"/>
          <w:noProof/>
          <w:sz w:val="22"/>
        </w:rPr>
        <w:t xml:space="preserve"> 2012. </w:t>
      </w:r>
    </w:p>
    <w:p w14:paraId="3A062C58"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2.</w:t>
      </w:r>
      <w:r w:rsidRPr="00B6519A">
        <w:rPr>
          <w:rFonts w:ascii="Calibri" w:hAnsi="Calibri"/>
          <w:noProof/>
          <w:sz w:val="22"/>
        </w:rPr>
        <w:tab/>
        <w:t>World Commission on Environment and Development</w:t>
      </w:r>
      <w:r w:rsidR="000364D0">
        <w:rPr>
          <w:rFonts w:ascii="Calibri" w:hAnsi="Calibri"/>
          <w:noProof/>
          <w:sz w:val="22"/>
        </w:rPr>
        <w:t xml:space="preserve">: </w:t>
      </w:r>
      <w:r w:rsidRPr="00B6519A">
        <w:rPr>
          <w:rFonts w:ascii="Calibri" w:hAnsi="Calibri"/>
          <w:i/>
          <w:iCs/>
          <w:noProof/>
          <w:sz w:val="22"/>
        </w:rPr>
        <w:t>Our Common Future: From One Earth to One World ; an Overview</w:t>
      </w:r>
      <w:r w:rsidRPr="00B6519A">
        <w:rPr>
          <w:rFonts w:ascii="Calibri" w:hAnsi="Calibri"/>
          <w:noProof/>
          <w:sz w:val="22"/>
        </w:rPr>
        <w:t>. Oxfo</w:t>
      </w:r>
      <w:r w:rsidR="00B7454A">
        <w:rPr>
          <w:rFonts w:ascii="Calibri" w:hAnsi="Calibri"/>
          <w:noProof/>
          <w:sz w:val="22"/>
        </w:rPr>
        <w:t>rd University Press</w:t>
      </w:r>
      <w:r w:rsidR="000364D0">
        <w:rPr>
          <w:rFonts w:ascii="Calibri" w:hAnsi="Calibri"/>
          <w:noProof/>
          <w:sz w:val="22"/>
        </w:rPr>
        <w:t>;</w:t>
      </w:r>
      <w:r w:rsidR="00B7454A">
        <w:rPr>
          <w:rFonts w:ascii="Calibri" w:hAnsi="Calibri"/>
          <w:noProof/>
          <w:sz w:val="22"/>
        </w:rPr>
        <w:t xml:space="preserve"> 1987</w:t>
      </w:r>
      <w:r w:rsidR="000364D0">
        <w:rPr>
          <w:rFonts w:ascii="Calibri" w:hAnsi="Calibri"/>
          <w:noProof/>
          <w:sz w:val="22"/>
        </w:rPr>
        <w:t>.</w:t>
      </w:r>
      <w:r w:rsidR="00B7454A">
        <w:rPr>
          <w:rFonts w:ascii="Calibri" w:hAnsi="Calibri"/>
          <w:noProof/>
          <w:sz w:val="22"/>
        </w:rPr>
        <w:t xml:space="preserve"> </w:t>
      </w:r>
    </w:p>
    <w:p w14:paraId="19DFFE3E"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3.</w:t>
      </w:r>
      <w:r w:rsidRPr="00B6519A">
        <w:rPr>
          <w:rFonts w:ascii="Calibri" w:hAnsi="Calibri"/>
          <w:noProof/>
          <w:sz w:val="22"/>
        </w:rPr>
        <w:tab/>
        <w:t>REN21</w:t>
      </w:r>
      <w:r w:rsidR="000364D0">
        <w:rPr>
          <w:rFonts w:ascii="Calibri" w:hAnsi="Calibri"/>
          <w:noProof/>
          <w:sz w:val="22"/>
        </w:rPr>
        <w:t>:</w:t>
      </w:r>
      <w:r w:rsidR="000364D0" w:rsidRPr="00B6519A">
        <w:rPr>
          <w:rFonts w:ascii="Calibri" w:hAnsi="Calibri"/>
          <w:noProof/>
          <w:sz w:val="22"/>
        </w:rPr>
        <w:t xml:space="preserve"> </w:t>
      </w:r>
      <w:r w:rsidRPr="00B6519A">
        <w:rPr>
          <w:rFonts w:ascii="Calibri" w:hAnsi="Calibri"/>
          <w:i/>
          <w:iCs/>
          <w:noProof/>
          <w:sz w:val="22"/>
        </w:rPr>
        <w:t>Renewables 2014 Global Status Report</w:t>
      </w:r>
      <w:r w:rsidR="00F3062C">
        <w:rPr>
          <w:rFonts w:ascii="Calibri" w:hAnsi="Calibri"/>
          <w:i/>
          <w:iCs/>
          <w:noProof/>
          <w:sz w:val="22"/>
        </w:rPr>
        <w:t xml:space="preserve">. </w:t>
      </w:r>
      <w:r w:rsidR="000364D0">
        <w:rPr>
          <w:rFonts w:ascii="Calibri" w:hAnsi="Calibri"/>
          <w:noProof/>
          <w:sz w:val="22"/>
        </w:rPr>
        <w:t xml:space="preserve">REN21; </w:t>
      </w:r>
      <w:r w:rsidRPr="00B6519A">
        <w:rPr>
          <w:rFonts w:ascii="Calibri" w:hAnsi="Calibri"/>
          <w:noProof/>
          <w:sz w:val="22"/>
        </w:rPr>
        <w:t>2014.</w:t>
      </w:r>
    </w:p>
    <w:p w14:paraId="412954EF"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lastRenderedPageBreak/>
        <w:t>4.</w:t>
      </w:r>
      <w:r w:rsidRPr="00B6519A">
        <w:rPr>
          <w:rFonts w:ascii="Calibri" w:hAnsi="Calibri"/>
          <w:noProof/>
          <w:sz w:val="22"/>
        </w:rPr>
        <w:tab/>
        <w:t>Fargione J, Hill J, Tilman D, Polasky S &amp; Hawthorne P</w:t>
      </w:r>
      <w:r w:rsidR="000364D0">
        <w:rPr>
          <w:rFonts w:ascii="Calibri" w:hAnsi="Calibri"/>
          <w:noProof/>
          <w:sz w:val="22"/>
        </w:rPr>
        <w:t>:</w:t>
      </w:r>
      <w:r w:rsidRPr="00F3062C">
        <w:rPr>
          <w:rFonts w:ascii="Calibri" w:hAnsi="Calibri"/>
          <w:b/>
          <w:noProof/>
          <w:sz w:val="22"/>
        </w:rPr>
        <w:t xml:space="preserve"> Land clearing and the biofuel carbon debt</w:t>
      </w:r>
      <w:r w:rsidRPr="00B6519A">
        <w:rPr>
          <w:rFonts w:ascii="Calibri" w:hAnsi="Calibri"/>
          <w:noProof/>
          <w:sz w:val="22"/>
        </w:rPr>
        <w:t xml:space="preserve">. </w:t>
      </w:r>
      <w:r w:rsidRPr="00B6519A">
        <w:rPr>
          <w:rFonts w:ascii="Calibri" w:hAnsi="Calibri"/>
          <w:i/>
          <w:iCs/>
          <w:noProof/>
          <w:sz w:val="22"/>
        </w:rPr>
        <w:t xml:space="preserve">Science </w:t>
      </w:r>
      <w:r w:rsidR="000364D0" w:rsidRPr="00F3062C">
        <w:rPr>
          <w:rFonts w:ascii="Calibri" w:hAnsi="Calibri"/>
          <w:iCs/>
          <w:noProof/>
          <w:sz w:val="22"/>
        </w:rPr>
        <w:t>2008,</w:t>
      </w:r>
      <w:r w:rsidR="000364D0">
        <w:rPr>
          <w:rFonts w:ascii="Calibri" w:hAnsi="Calibri"/>
          <w:i/>
          <w:iCs/>
          <w:noProof/>
          <w:sz w:val="22"/>
        </w:rPr>
        <w:t xml:space="preserve"> </w:t>
      </w:r>
      <w:r w:rsidRPr="00B6519A">
        <w:rPr>
          <w:rFonts w:ascii="Calibri" w:hAnsi="Calibri"/>
          <w:b/>
          <w:bCs/>
          <w:noProof/>
          <w:sz w:val="22"/>
        </w:rPr>
        <w:t>319</w:t>
      </w:r>
      <w:r w:rsidR="000364D0" w:rsidRPr="00F3062C">
        <w:rPr>
          <w:rFonts w:ascii="Calibri" w:hAnsi="Calibri"/>
          <w:bCs/>
          <w:noProof/>
          <w:sz w:val="22"/>
        </w:rPr>
        <w:t>(5867):</w:t>
      </w:r>
      <w:r w:rsidR="000364D0">
        <w:rPr>
          <w:rFonts w:ascii="Calibri" w:hAnsi="Calibri"/>
          <w:b/>
          <w:bCs/>
          <w:noProof/>
          <w:sz w:val="22"/>
        </w:rPr>
        <w:t xml:space="preserve"> </w:t>
      </w:r>
      <w:r w:rsidRPr="00B6519A">
        <w:rPr>
          <w:rFonts w:ascii="Calibri" w:hAnsi="Calibri"/>
          <w:noProof/>
          <w:sz w:val="22"/>
        </w:rPr>
        <w:t>1235–</w:t>
      </w:r>
      <w:r w:rsidR="000364D0">
        <w:rPr>
          <w:rFonts w:ascii="Calibri" w:hAnsi="Calibri"/>
          <w:noProof/>
          <w:sz w:val="22"/>
        </w:rPr>
        <w:t>123</w:t>
      </w:r>
      <w:r w:rsidRPr="00B6519A">
        <w:rPr>
          <w:rFonts w:ascii="Calibri" w:hAnsi="Calibri"/>
          <w:noProof/>
          <w:sz w:val="22"/>
        </w:rPr>
        <w:t>8.</w:t>
      </w:r>
    </w:p>
    <w:p w14:paraId="69AC2871"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5.</w:t>
      </w:r>
      <w:r w:rsidRPr="00B6519A">
        <w:rPr>
          <w:rFonts w:ascii="Calibri" w:hAnsi="Calibri"/>
          <w:noProof/>
          <w:sz w:val="22"/>
        </w:rPr>
        <w:tab/>
        <w:t>Pimentel D &amp; Patzek TW</w:t>
      </w:r>
      <w:r w:rsidR="000364D0">
        <w:rPr>
          <w:rFonts w:ascii="Calibri" w:hAnsi="Calibri"/>
          <w:noProof/>
          <w:sz w:val="22"/>
        </w:rPr>
        <w:t>:</w:t>
      </w:r>
      <w:r w:rsidRPr="00B6519A">
        <w:rPr>
          <w:rFonts w:ascii="Calibri" w:hAnsi="Calibri"/>
          <w:noProof/>
          <w:sz w:val="22"/>
        </w:rPr>
        <w:t xml:space="preserve"> </w:t>
      </w:r>
      <w:r w:rsidRPr="00F3062C">
        <w:rPr>
          <w:rFonts w:ascii="Calibri" w:hAnsi="Calibri"/>
          <w:b/>
          <w:noProof/>
          <w:sz w:val="22"/>
        </w:rPr>
        <w:t>Ethanol Production Using Corn, Switchgrass, and Wood; Biodiesel Production Using Soybean and Sunflower.</w:t>
      </w:r>
      <w:r w:rsidRPr="00B6519A">
        <w:rPr>
          <w:rFonts w:ascii="Calibri" w:hAnsi="Calibri"/>
          <w:noProof/>
          <w:sz w:val="22"/>
        </w:rPr>
        <w:t xml:space="preserve"> </w:t>
      </w:r>
      <w:r w:rsidR="000364D0">
        <w:rPr>
          <w:rFonts w:ascii="Calibri" w:hAnsi="Calibri"/>
          <w:i/>
          <w:iCs/>
          <w:noProof/>
          <w:sz w:val="22"/>
        </w:rPr>
        <w:t xml:space="preserve">Natural Resources Research </w:t>
      </w:r>
      <w:r w:rsidR="000364D0" w:rsidRPr="00F3062C">
        <w:rPr>
          <w:rFonts w:ascii="Calibri" w:hAnsi="Calibri"/>
          <w:iCs/>
          <w:noProof/>
          <w:sz w:val="22"/>
        </w:rPr>
        <w:t>2005</w:t>
      </w:r>
      <w:r w:rsidR="000364D0">
        <w:rPr>
          <w:rFonts w:ascii="Calibri" w:hAnsi="Calibri"/>
          <w:iCs/>
          <w:noProof/>
          <w:sz w:val="22"/>
        </w:rPr>
        <w:t>,</w:t>
      </w:r>
      <w:r w:rsidRPr="00B6519A">
        <w:rPr>
          <w:rFonts w:ascii="Calibri" w:hAnsi="Calibri"/>
          <w:noProof/>
          <w:sz w:val="22"/>
        </w:rPr>
        <w:t xml:space="preserve"> </w:t>
      </w:r>
      <w:r w:rsidRPr="00B6519A">
        <w:rPr>
          <w:rFonts w:ascii="Calibri" w:hAnsi="Calibri"/>
          <w:b/>
          <w:bCs/>
          <w:noProof/>
          <w:sz w:val="22"/>
        </w:rPr>
        <w:t>14</w:t>
      </w:r>
      <w:r w:rsidR="000364D0" w:rsidRPr="00F3062C">
        <w:rPr>
          <w:rFonts w:ascii="Calibri" w:hAnsi="Calibri"/>
          <w:bCs/>
          <w:noProof/>
          <w:sz w:val="22"/>
        </w:rPr>
        <w:t>(1): 65-76</w:t>
      </w:r>
      <w:r w:rsidRPr="00B6519A">
        <w:rPr>
          <w:rFonts w:ascii="Calibri" w:hAnsi="Calibri"/>
          <w:noProof/>
          <w:sz w:val="22"/>
        </w:rPr>
        <w:t>.</w:t>
      </w:r>
    </w:p>
    <w:p w14:paraId="0C986C2B"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6.</w:t>
      </w:r>
      <w:r w:rsidRPr="00B6519A">
        <w:rPr>
          <w:rFonts w:ascii="Calibri" w:hAnsi="Calibri"/>
          <w:noProof/>
          <w:sz w:val="22"/>
        </w:rPr>
        <w:tab/>
        <w:t>Searchinger</w:t>
      </w:r>
      <w:r w:rsidR="000364D0">
        <w:rPr>
          <w:rFonts w:ascii="Calibri" w:hAnsi="Calibri"/>
          <w:noProof/>
          <w:sz w:val="22"/>
        </w:rPr>
        <w:t xml:space="preserve"> T, Heimlich R, Houghton RA, Dong F, Elobeid A, Fabiosa J, Tokgoz S, Hayes D &amp; Yu T-H:</w:t>
      </w:r>
      <w:r w:rsidRPr="00F3062C">
        <w:rPr>
          <w:rFonts w:ascii="Calibri" w:hAnsi="Calibri"/>
          <w:b/>
          <w:noProof/>
          <w:sz w:val="22"/>
        </w:rPr>
        <w:t xml:space="preserve"> Use of U.S. croplands for biofuels increases greenhouse gases through emissions from land-use change</w:t>
      </w:r>
      <w:r w:rsidRPr="00B6519A">
        <w:rPr>
          <w:rFonts w:ascii="Calibri" w:hAnsi="Calibri"/>
          <w:noProof/>
          <w:sz w:val="22"/>
        </w:rPr>
        <w:t xml:space="preserve">. </w:t>
      </w:r>
      <w:r w:rsidRPr="00B6519A">
        <w:rPr>
          <w:rFonts w:ascii="Calibri" w:hAnsi="Calibri"/>
          <w:i/>
          <w:iCs/>
          <w:noProof/>
          <w:sz w:val="22"/>
        </w:rPr>
        <w:t xml:space="preserve">Science </w:t>
      </w:r>
      <w:r w:rsidR="000364D0" w:rsidRPr="00F3062C">
        <w:rPr>
          <w:rFonts w:ascii="Calibri" w:hAnsi="Calibri"/>
          <w:iCs/>
          <w:noProof/>
          <w:sz w:val="22"/>
        </w:rPr>
        <w:t xml:space="preserve">2008, </w:t>
      </w:r>
      <w:r w:rsidRPr="00B6519A">
        <w:rPr>
          <w:rFonts w:ascii="Calibri" w:hAnsi="Calibri"/>
          <w:b/>
          <w:bCs/>
          <w:noProof/>
          <w:sz w:val="22"/>
        </w:rPr>
        <w:t>319</w:t>
      </w:r>
      <w:r w:rsidR="000364D0">
        <w:rPr>
          <w:rFonts w:ascii="Calibri" w:hAnsi="Calibri"/>
          <w:bCs/>
          <w:noProof/>
          <w:sz w:val="22"/>
        </w:rPr>
        <w:t>(5867):</w:t>
      </w:r>
      <w:r w:rsidRPr="00B6519A">
        <w:rPr>
          <w:rFonts w:ascii="Calibri" w:hAnsi="Calibri"/>
          <w:noProof/>
          <w:sz w:val="22"/>
        </w:rPr>
        <w:t xml:space="preserve"> 1238–1240.</w:t>
      </w:r>
    </w:p>
    <w:p w14:paraId="4E7A5D6D"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7.</w:t>
      </w:r>
      <w:r w:rsidRPr="00B6519A">
        <w:rPr>
          <w:rFonts w:ascii="Calibri" w:hAnsi="Calibri"/>
          <w:noProof/>
          <w:sz w:val="22"/>
        </w:rPr>
        <w:tab/>
        <w:t>Rosillo-Calle F &amp; Johnson F</w:t>
      </w:r>
      <w:r w:rsidR="00F3062C">
        <w:rPr>
          <w:rFonts w:ascii="Calibri" w:hAnsi="Calibri"/>
          <w:noProof/>
          <w:sz w:val="22"/>
        </w:rPr>
        <w:t>:</w:t>
      </w:r>
      <w:r w:rsidRPr="00B6519A">
        <w:rPr>
          <w:rFonts w:ascii="Calibri" w:hAnsi="Calibri"/>
          <w:noProof/>
          <w:sz w:val="22"/>
        </w:rPr>
        <w:t xml:space="preserve"> </w:t>
      </w:r>
      <w:r w:rsidRPr="00B6519A">
        <w:rPr>
          <w:rFonts w:ascii="Calibri" w:hAnsi="Calibri"/>
          <w:i/>
          <w:iCs/>
          <w:noProof/>
          <w:sz w:val="22"/>
        </w:rPr>
        <w:t>Food versus fuel: an informed introduction to biofuels</w:t>
      </w:r>
      <w:r w:rsidRPr="00B6519A">
        <w:rPr>
          <w:rFonts w:ascii="Calibri" w:hAnsi="Calibri"/>
          <w:noProof/>
          <w:sz w:val="22"/>
        </w:rPr>
        <w:t>. Zed Books</w:t>
      </w:r>
      <w:r w:rsidR="000364D0">
        <w:rPr>
          <w:rFonts w:ascii="Calibri" w:hAnsi="Calibri"/>
          <w:noProof/>
          <w:sz w:val="22"/>
        </w:rPr>
        <w:t>;</w:t>
      </w:r>
      <w:r w:rsidR="000364D0" w:rsidRPr="00B6519A">
        <w:rPr>
          <w:rFonts w:ascii="Calibri" w:hAnsi="Calibri"/>
          <w:noProof/>
          <w:sz w:val="22"/>
        </w:rPr>
        <w:t xml:space="preserve"> </w:t>
      </w:r>
      <w:r w:rsidRPr="00B6519A">
        <w:rPr>
          <w:rFonts w:ascii="Calibri" w:hAnsi="Calibri"/>
          <w:noProof/>
          <w:sz w:val="22"/>
        </w:rPr>
        <w:t xml:space="preserve">2010. </w:t>
      </w:r>
    </w:p>
    <w:p w14:paraId="475EF417"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8.</w:t>
      </w:r>
      <w:r w:rsidRPr="00B6519A">
        <w:rPr>
          <w:rFonts w:ascii="Calibri" w:hAnsi="Calibri"/>
          <w:noProof/>
          <w:sz w:val="22"/>
        </w:rPr>
        <w:tab/>
        <w:t>Thompson P</w:t>
      </w:r>
      <w:r w:rsidR="00F3062C">
        <w:rPr>
          <w:rFonts w:ascii="Calibri" w:hAnsi="Calibri"/>
          <w:noProof/>
          <w:sz w:val="22"/>
        </w:rPr>
        <w:t>:</w:t>
      </w:r>
      <w:r w:rsidRPr="00B6519A">
        <w:rPr>
          <w:rFonts w:ascii="Calibri" w:hAnsi="Calibri"/>
          <w:noProof/>
          <w:sz w:val="22"/>
        </w:rPr>
        <w:t xml:space="preserve"> </w:t>
      </w:r>
      <w:r w:rsidRPr="00F3062C">
        <w:rPr>
          <w:rFonts w:ascii="Calibri" w:hAnsi="Calibri"/>
          <w:b/>
          <w:noProof/>
          <w:sz w:val="22"/>
        </w:rPr>
        <w:t>The Agricultural Ethics of Biofuels: The Food vs. Fuel Debate</w:t>
      </w:r>
      <w:r w:rsidRPr="00B6519A">
        <w:rPr>
          <w:rFonts w:ascii="Calibri" w:hAnsi="Calibri"/>
          <w:noProof/>
          <w:sz w:val="22"/>
        </w:rPr>
        <w:t xml:space="preserve">. </w:t>
      </w:r>
      <w:r w:rsidRPr="00B6519A">
        <w:rPr>
          <w:rFonts w:ascii="Calibri" w:hAnsi="Calibri"/>
          <w:i/>
          <w:iCs/>
          <w:noProof/>
          <w:sz w:val="22"/>
        </w:rPr>
        <w:t>Agriculture</w:t>
      </w:r>
      <w:r w:rsidR="00F3062C">
        <w:rPr>
          <w:rFonts w:ascii="Calibri" w:hAnsi="Calibri"/>
          <w:i/>
          <w:iCs/>
          <w:noProof/>
          <w:sz w:val="22"/>
        </w:rPr>
        <w:t xml:space="preserve"> </w:t>
      </w:r>
      <w:r w:rsidR="00F3062C">
        <w:rPr>
          <w:rFonts w:ascii="Calibri" w:hAnsi="Calibri"/>
          <w:iCs/>
          <w:noProof/>
          <w:sz w:val="22"/>
        </w:rPr>
        <w:t>2012,</w:t>
      </w:r>
      <w:r w:rsidRPr="00B6519A">
        <w:rPr>
          <w:rFonts w:ascii="Calibri" w:hAnsi="Calibri"/>
          <w:noProof/>
          <w:sz w:val="22"/>
        </w:rPr>
        <w:t xml:space="preserve"> </w:t>
      </w:r>
      <w:r w:rsidRPr="00B6519A">
        <w:rPr>
          <w:rFonts w:ascii="Calibri" w:hAnsi="Calibri"/>
          <w:b/>
          <w:bCs/>
          <w:noProof/>
          <w:sz w:val="22"/>
        </w:rPr>
        <w:t>2</w:t>
      </w:r>
      <w:r w:rsidR="00F3062C">
        <w:rPr>
          <w:rFonts w:ascii="Calibri" w:hAnsi="Calibri"/>
          <w:bCs/>
          <w:noProof/>
          <w:sz w:val="22"/>
        </w:rPr>
        <w:t>:</w:t>
      </w:r>
      <w:r w:rsidRPr="00B6519A">
        <w:rPr>
          <w:rFonts w:ascii="Calibri" w:hAnsi="Calibri"/>
          <w:noProof/>
          <w:sz w:val="22"/>
        </w:rPr>
        <w:t xml:space="preserve"> 339–358</w:t>
      </w:r>
      <w:r w:rsidR="00F3062C">
        <w:rPr>
          <w:rFonts w:ascii="Calibri" w:hAnsi="Calibri"/>
          <w:noProof/>
          <w:sz w:val="22"/>
        </w:rPr>
        <w:t>.</w:t>
      </w:r>
    </w:p>
    <w:p w14:paraId="20C6F9DD"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9.</w:t>
      </w:r>
      <w:r w:rsidRPr="00B6519A">
        <w:rPr>
          <w:rFonts w:ascii="Calibri" w:hAnsi="Calibri"/>
          <w:noProof/>
          <w:sz w:val="22"/>
        </w:rPr>
        <w:tab/>
        <w:t>Anseeuw W, Wily LA, Cotula L &amp; Taylor M</w:t>
      </w:r>
      <w:r w:rsidR="00F3062C">
        <w:rPr>
          <w:rFonts w:ascii="Calibri" w:hAnsi="Calibri"/>
          <w:noProof/>
          <w:sz w:val="22"/>
        </w:rPr>
        <w:t>:</w:t>
      </w:r>
      <w:r w:rsidRPr="00B6519A">
        <w:rPr>
          <w:rFonts w:ascii="Calibri" w:hAnsi="Calibri"/>
          <w:noProof/>
          <w:sz w:val="22"/>
        </w:rPr>
        <w:t xml:space="preserve"> </w:t>
      </w:r>
      <w:r w:rsidRPr="00B6519A">
        <w:rPr>
          <w:rFonts w:ascii="Calibri" w:hAnsi="Calibri"/>
          <w:i/>
          <w:iCs/>
          <w:noProof/>
          <w:sz w:val="22"/>
        </w:rPr>
        <w:t>Land Rights and the Rush for Land: Findings of the Global Commercial Pressures on Land Resources Project</w:t>
      </w:r>
      <w:r w:rsidRPr="00B6519A">
        <w:rPr>
          <w:rFonts w:ascii="Calibri" w:hAnsi="Calibri"/>
          <w:noProof/>
          <w:sz w:val="22"/>
        </w:rPr>
        <w:t>. International Land Coalition, 2012.</w:t>
      </w:r>
    </w:p>
    <w:p w14:paraId="0C6C4F28"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10.</w:t>
      </w:r>
      <w:r w:rsidRPr="00B6519A">
        <w:rPr>
          <w:rFonts w:ascii="Calibri" w:hAnsi="Calibri"/>
          <w:noProof/>
          <w:sz w:val="22"/>
        </w:rPr>
        <w:tab/>
        <w:t>Fairhead J, Leach M &amp; Scoones I</w:t>
      </w:r>
      <w:r w:rsidR="00F3062C">
        <w:rPr>
          <w:rFonts w:ascii="Calibri" w:hAnsi="Calibri"/>
          <w:noProof/>
          <w:sz w:val="22"/>
        </w:rPr>
        <w:t>:</w:t>
      </w:r>
      <w:r w:rsidRPr="00B6519A">
        <w:rPr>
          <w:rFonts w:ascii="Calibri" w:hAnsi="Calibri"/>
          <w:noProof/>
          <w:sz w:val="22"/>
        </w:rPr>
        <w:t xml:space="preserve"> </w:t>
      </w:r>
      <w:r w:rsidRPr="00F3062C">
        <w:rPr>
          <w:rFonts w:ascii="Calibri" w:hAnsi="Calibri"/>
          <w:b/>
          <w:noProof/>
          <w:sz w:val="22"/>
        </w:rPr>
        <w:t>Green Grabbing: a new appropriation of nature?</w:t>
      </w:r>
      <w:r w:rsidRPr="00B6519A">
        <w:rPr>
          <w:rFonts w:ascii="Calibri" w:hAnsi="Calibri"/>
          <w:noProof/>
          <w:sz w:val="22"/>
        </w:rPr>
        <w:t xml:space="preserve"> </w:t>
      </w:r>
      <w:r w:rsidRPr="00B6519A">
        <w:rPr>
          <w:rFonts w:ascii="Calibri" w:hAnsi="Calibri"/>
          <w:i/>
          <w:iCs/>
          <w:noProof/>
          <w:sz w:val="22"/>
        </w:rPr>
        <w:t>J. Peasant Stud.</w:t>
      </w:r>
      <w:r w:rsidR="00F3062C">
        <w:rPr>
          <w:rFonts w:ascii="Calibri" w:hAnsi="Calibri"/>
          <w:i/>
          <w:iCs/>
          <w:noProof/>
          <w:sz w:val="22"/>
        </w:rPr>
        <w:t xml:space="preserve"> </w:t>
      </w:r>
      <w:r w:rsidR="00F3062C">
        <w:rPr>
          <w:rFonts w:ascii="Calibri" w:hAnsi="Calibri"/>
          <w:iCs/>
          <w:noProof/>
          <w:sz w:val="22"/>
        </w:rPr>
        <w:t>2012,</w:t>
      </w:r>
      <w:r w:rsidRPr="00B6519A">
        <w:rPr>
          <w:rFonts w:ascii="Calibri" w:hAnsi="Calibri"/>
          <w:noProof/>
          <w:sz w:val="22"/>
        </w:rPr>
        <w:t xml:space="preserve"> </w:t>
      </w:r>
      <w:r w:rsidRPr="00B6519A">
        <w:rPr>
          <w:rFonts w:ascii="Calibri" w:hAnsi="Calibri"/>
          <w:b/>
          <w:bCs/>
          <w:noProof/>
          <w:sz w:val="22"/>
        </w:rPr>
        <w:t>39</w:t>
      </w:r>
      <w:r w:rsidR="00F3062C">
        <w:rPr>
          <w:rFonts w:ascii="Calibri" w:hAnsi="Calibri"/>
          <w:b/>
          <w:bCs/>
          <w:noProof/>
          <w:sz w:val="22"/>
        </w:rPr>
        <w:t>:</w:t>
      </w:r>
      <w:r w:rsidRPr="00B6519A">
        <w:rPr>
          <w:rFonts w:ascii="Calibri" w:hAnsi="Calibri"/>
          <w:noProof/>
          <w:sz w:val="22"/>
        </w:rPr>
        <w:t>237–261.</w:t>
      </w:r>
    </w:p>
    <w:p w14:paraId="32256A07"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11.</w:t>
      </w:r>
      <w:r w:rsidRPr="00B6519A">
        <w:rPr>
          <w:rFonts w:ascii="Calibri" w:hAnsi="Calibri"/>
          <w:noProof/>
          <w:sz w:val="22"/>
        </w:rPr>
        <w:tab/>
        <w:t>Palmer J</w:t>
      </w:r>
      <w:r w:rsidR="00F3062C">
        <w:rPr>
          <w:rFonts w:ascii="Calibri" w:hAnsi="Calibri"/>
          <w:noProof/>
          <w:sz w:val="22"/>
        </w:rPr>
        <w:t>:</w:t>
      </w:r>
      <w:r w:rsidRPr="00B6519A">
        <w:rPr>
          <w:rFonts w:ascii="Calibri" w:hAnsi="Calibri"/>
          <w:noProof/>
          <w:sz w:val="22"/>
        </w:rPr>
        <w:t xml:space="preserve"> </w:t>
      </w:r>
      <w:r w:rsidRPr="00F3062C">
        <w:rPr>
          <w:rFonts w:ascii="Calibri" w:hAnsi="Calibri"/>
          <w:b/>
          <w:noProof/>
          <w:sz w:val="22"/>
        </w:rPr>
        <w:t xml:space="preserve">Biofuels and the politics of land-use change: tracing the interactions of discourse and place in European policy making. </w:t>
      </w:r>
      <w:r w:rsidRPr="00B6519A">
        <w:rPr>
          <w:rFonts w:ascii="Calibri" w:hAnsi="Calibri"/>
          <w:i/>
          <w:iCs/>
          <w:noProof/>
          <w:sz w:val="22"/>
        </w:rPr>
        <w:t>Environ. Plan. A</w:t>
      </w:r>
      <w:r w:rsidRPr="00B6519A">
        <w:rPr>
          <w:rFonts w:ascii="Calibri" w:hAnsi="Calibri"/>
          <w:noProof/>
          <w:sz w:val="22"/>
        </w:rPr>
        <w:t xml:space="preserve"> </w:t>
      </w:r>
      <w:r w:rsidR="00F3062C">
        <w:rPr>
          <w:rFonts w:ascii="Calibri" w:hAnsi="Calibri"/>
          <w:noProof/>
          <w:sz w:val="22"/>
        </w:rPr>
        <w:t xml:space="preserve">2014, </w:t>
      </w:r>
      <w:r w:rsidRPr="00B6519A">
        <w:rPr>
          <w:rFonts w:ascii="Calibri" w:hAnsi="Calibri"/>
          <w:b/>
          <w:bCs/>
          <w:noProof/>
          <w:sz w:val="22"/>
        </w:rPr>
        <w:t>46</w:t>
      </w:r>
      <w:r w:rsidR="00F3062C">
        <w:rPr>
          <w:rFonts w:ascii="Calibri" w:hAnsi="Calibri"/>
          <w:b/>
          <w:bCs/>
          <w:noProof/>
          <w:sz w:val="22"/>
        </w:rPr>
        <w:t>:</w:t>
      </w:r>
      <w:r w:rsidRPr="00B6519A">
        <w:rPr>
          <w:rFonts w:ascii="Calibri" w:hAnsi="Calibri"/>
          <w:noProof/>
          <w:sz w:val="22"/>
        </w:rPr>
        <w:t xml:space="preserve"> 337–352.</w:t>
      </w:r>
    </w:p>
    <w:p w14:paraId="606166BB"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12.</w:t>
      </w:r>
      <w:r w:rsidRPr="00B6519A">
        <w:rPr>
          <w:rFonts w:ascii="Calibri" w:hAnsi="Calibri"/>
          <w:noProof/>
          <w:sz w:val="22"/>
        </w:rPr>
        <w:tab/>
        <w:t>Moser C, Hildebrandt T &amp; Bailis R</w:t>
      </w:r>
      <w:r w:rsidR="00F3062C">
        <w:rPr>
          <w:rFonts w:ascii="Calibri" w:hAnsi="Calibri"/>
          <w:noProof/>
          <w:sz w:val="22"/>
        </w:rPr>
        <w:t>:</w:t>
      </w:r>
      <w:r w:rsidRPr="00B6519A">
        <w:rPr>
          <w:rFonts w:ascii="Calibri" w:hAnsi="Calibri"/>
          <w:noProof/>
          <w:sz w:val="22"/>
        </w:rPr>
        <w:t xml:space="preserve"> </w:t>
      </w:r>
      <w:r w:rsidR="00F3062C">
        <w:rPr>
          <w:rFonts w:ascii="Calibri" w:hAnsi="Calibri"/>
          <w:b/>
          <w:noProof/>
          <w:sz w:val="22"/>
        </w:rPr>
        <w:t>International Sustainabilty Standards and Certification.</w:t>
      </w:r>
      <w:r w:rsidR="00F3062C">
        <w:rPr>
          <w:rFonts w:ascii="Calibri" w:hAnsi="Calibri"/>
          <w:noProof/>
          <w:sz w:val="22"/>
        </w:rPr>
        <w:t xml:space="preserve"> I</w:t>
      </w:r>
      <w:r w:rsidRPr="00B6519A">
        <w:rPr>
          <w:rFonts w:ascii="Calibri" w:hAnsi="Calibri"/>
          <w:noProof/>
          <w:sz w:val="22"/>
        </w:rPr>
        <w:t xml:space="preserve">n </w:t>
      </w:r>
      <w:r w:rsidRPr="00B6519A">
        <w:rPr>
          <w:rFonts w:ascii="Calibri" w:hAnsi="Calibri"/>
          <w:i/>
          <w:iCs/>
          <w:noProof/>
          <w:sz w:val="22"/>
        </w:rPr>
        <w:t>Sustain</w:t>
      </w:r>
      <w:r w:rsidR="00F3062C">
        <w:rPr>
          <w:rFonts w:ascii="Calibri" w:hAnsi="Calibri"/>
          <w:i/>
          <w:iCs/>
          <w:noProof/>
          <w:sz w:val="22"/>
        </w:rPr>
        <w:t>able</w:t>
      </w:r>
      <w:r w:rsidRPr="00B6519A">
        <w:rPr>
          <w:rFonts w:ascii="Calibri" w:hAnsi="Calibri"/>
          <w:i/>
          <w:iCs/>
          <w:noProof/>
          <w:sz w:val="22"/>
        </w:rPr>
        <w:t xml:space="preserve"> Dev</w:t>
      </w:r>
      <w:r w:rsidR="00F3062C">
        <w:rPr>
          <w:rFonts w:ascii="Calibri" w:hAnsi="Calibri"/>
          <w:i/>
          <w:iCs/>
          <w:noProof/>
          <w:sz w:val="22"/>
        </w:rPr>
        <w:t>elopment of</w:t>
      </w:r>
      <w:r w:rsidRPr="00B6519A">
        <w:rPr>
          <w:rFonts w:ascii="Calibri" w:hAnsi="Calibri"/>
          <w:i/>
          <w:iCs/>
          <w:noProof/>
          <w:sz w:val="22"/>
        </w:rPr>
        <w:t xml:space="preserve"> Biofuels</w:t>
      </w:r>
      <w:r w:rsidR="00F3062C">
        <w:rPr>
          <w:rFonts w:ascii="Calibri" w:hAnsi="Calibri"/>
          <w:i/>
          <w:iCs/>
          <w:noProof/>
          <w:sz w:val="22"/>
        </w:rPr>
        <w:t xml:space="preserve"> in</w:t>
      </w:r>
      <w:r w:rsidRPr="00B6519A">
        <w:rPr>
          <w:rFonts w:ascii="Calibri" w:hAnsi="Calibri"/>
          <w:i/>
          <w:iCs/>
          <w:noProof/>
          <w:sz w:val="22"/>
        </w:rPr>
        <w:t xml:space="preserve"> Lat</w:t>
      </w:r>
      <w:r w:rsidR="00F3062C">
        <w:rPr>
          <w:rFonts w:ascii="Calibri" w:hAnsi="Calibri"/>
          <w:i/>
          <w:iCs/>
          <w:noProof/>
          <w:sz w:val="22"/>
        </w:rPr>
        <w:t>in America and the Caribbean</w:t>
      </w:r>
      <w:r w:rsidRPr="00B6519A">
        <w:rPr>
          <w:rFonts w:ascii="Calibri" w:hAnsi="Calibri"/>
          <w:i/>
          <w:iCs/>
          <w:noProof/>
          <w:sz w:val="22"/>
        </w:rPr>
        <w:t>.</w:t>
      </w:r>
      <w:r w:rsidRPr="00B6519A">
        <w:rPr>
          <w:rFonts w:ascii="Calibri" w:hAnsi="Calibri"/>
          <w:noProof/>
          <w:sz w:val="22"/>
        </w:rPr>
        <w:t xml:space="preserve"> </w:t>
      </w:r>
      <w:r w:rsidR="00F3062C">
        <w:rPr>
          <w:rFonts w:ascii="Calibri" w:hAnsi="Calibri"/>
          <w:noProof/>
          <w:sz w:val="22"/>
        </w:rPr>
        <w:t xml:space="preserve">Edited by </w:t>
      </w:r>
      <w:r w:rsidRPr="00B6519A">
        <w:rPr>
          <w:rFonts w:ascii="Calibri" w:hAnsi="Calibri"/>
          <w:noProof/>
          <w:sz w:val="22"/>
        </w:rPr>
        <w:t>Solomon BD &amp; Bailis R</w:t>
      </w:r>
      <w:r w:rsidR="00F3062C">
        <w:rPr>
          <w:rFonts w:ascii="Calibri" w:hAnsi="Calibri"/>
          <w:noProof/>
          <w:sz w:val="22"/>
        </w:rPr>
        <w:t>.</w:t>
      </w:r>
      <w:r w:rsidRPr="00B6519A">
        <w:rPr>
          <w:rFonts w:ascii="Calibri" w:hAnsi="Calibri"/>
          <w:noProof/>
          <w:sz w:val="22"/>
        </w:rPr>
        <w:t xml:space="preserve"> Springer New York</w:t>
      </w:r>
      <w:r w:rsidR="00F3062C">
        <w:rPr>
          <w:rFonts w:ascii="Calibri" w:hAnsi="Calibri"/>
          <w:noProof/>
          <w:sz w:val="22"/>
        </w:rPr>
        <w:t>;</w:t>
      </w:r>
      <w:r w:rsidRPr="00B6519A">
        <w:rPr>
          <w:rFonts w:ascii="Calibri" w:hAnsi="Calibri"/>
          <w:noProof/>
          <w:sz w:val="22"/>
        </w:rPr>
        <w:t xml:space="preserve"> 2014</w:t>
      </w:r>
      <w:r w:rsidR="00F3062C">
        <w:rPr>
          <w:rFonts w:ascii="Calibri" w:hAnsi="Calibri"/>
          <w:noProof/>
          <w:sz w:val="22"/>
        </w:rPr>
        <w:t>:</w:t>
      </w:r>
      <w:r w:rsidR="00F3062C" w:rsidRPr="00F3062C">
        <w:rPr>
          <w:rFonts w:ascii="Calibri" w:hAnsi="Calibri"/>
          <w:noProof/>
          <w:sz w:val="22"/>
        </w:rPr>
        <w:t xml:space="preserve"> </w:t>
      </w:r>
      <w:r w:rsidR="00F3062C" w:rsidRPr="00B6519A">
        <w:rPr>
          <w:rFonts w:ascii="Calibri" w:hAnsi="Calibri"/>
          <w:noProof/>
          <w:sz w:val="22"/>
        </w:rPr>
        <w:t>27–69</w:t>
      </w:r>
      <w:r w:rsidRPr="00B6519A">
        <w:rPr>
          <w:rFonts w:ascii="Calibri" w:hAnsi="Calibri"/>
          <w:noProof/>
          <w:sz w:val="22"/>
        </w:rPr>
        <w:t xml:space="preserve">. </w:t>
      </w:r>
    </w:p>
    <w:p w14:paraId="13AF0C1F"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13.</w:t>
      </w:r>
      <w:r w:rsidRPr="00B6519A">
        <w:rPr>
          <w:rFonts w:ascii="Calibri" w:hAnsi="Calibri"/>
          <w:noProof/>
          <w:sz w:val="22"/>
        </w:rPr>
        <w:tab/>
        <w:t>Mohr A &amp; Raman S</w:t>
      </w:r>
      <w:r w:rsidR="00F3062C">
        <w:rPr>
          <w:rFonts w:ascii="Calibri" w:hAnsi="Calibri"/>
          <w:noProof/>
          <w:sz w:val="22"/>
        </w:rPr>
        <w:t>:</w:t>
      </w:r>
      <w:r w:rsidRPr="00B6519A">
        <w:rPr>
          <w:rFonts w:ascii="Calibri" w:hAnsi="Calibri"/>
          <w:noProof/>
          <w:sz w:val="22"/>
        </w:rPr>
        <w:t xml:space="preserve"> </w:t>
      </w:r>
      <w:r w:rsidRPr="00F3062C">
        <w:rPr>
          <w:rFonts w:ascii="Calibri" w:hAnsi="Calibri"/>
          <w:b/>
          <w:noProof/>
          <w:sz w:val="22"/>
        </w:rPr>
        <w:t>Lessons from first generation biofuels and implications for the sustainability appraisal of second generation biofuels.</w:t>
      </w:r>
      <w:r w:rsidRPr="00B6519A">
        <w:rPr>
          <w:rFonts w:ascii="Calibri" w:hAnsi="Calibri"/>
          <w:noProof/>
          <w:sz w:val="22"/>
        </w:rPr>
        <w:t xml:space="preserve"> </w:t>
      </w:r>
      <w:r w:rsidRPr="00B6519A">
        <w:rPr>
          <w:rFonts w:ascii="Calibri" w:hAnsi="Calibri"/>
          <w:i/>
          <w:iCs/>
          <w:noProof/>
          <w:sz w:val="22"/>
        </w:rPr>
        <w:t>Energy Policy</w:t>
      </w:r>
      <w:r w:rsidRPr="00B6519A">
        <w:rPr>
          <w:rFonts w:ascii="Calibri" w:hAnsi="Calibri"/>
          <w:noProof/>
          <w:sz w:val="22"/>
        </w:rPr>
        <w:t xml:space="preserve"> </w:t>
      </w:r>
      <w:r w:rsidR="00F3062C">
        <w:rPr>
          <w:rFonts w:ascii="Calibri" w:hAnsi="Calibri"/>
          <w:noProof/>
          <w:sz w:val="22"/>
        </w:rPr>
        <w:t xml:space="preserve">2013, </w:t>
      </w:r>
      <w:r w:rsidRPr="00B6519A">
        <w:rPr>
          <w:rFonts w:ascii="Calibri" w:hAnsi="Calibri"/>
          <w:b/>
          <w:bCs/>
          <w:noProof/>
          <w:sz w:val="22"/>
        </w:rPr>
        <w:t>63</w:t>
      </w:r>
      <w:r w:rsidR="00F3062C">
        <w:rPr>
          <w:rFonts w:ascii="Calibri" w:hAnsi="Calibri"/>
          <w:b/>
          <w:bCs/>
          <w:noProof/>
          <w:sz w:val="22"/>
        </w:rPr>
        <w:t>:</w:t>
      </w:r>
      <w:r w:rsidRPr="00B6519A">
        <w:rPr>
          <w:rFonts w:ascii="Calibri" w:hAnsi="Calibri"/>
          <w:noProof/>
          <w:sz w:val="22"/>
        </w:rPr>
        <w:t xml:space="preserve"> 114–122.</w:t>
      </w:r>
    </w:p>
    <w:p w14:paraId="3D70C23A"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14.</w:t>
      </w:r>
      <w:r w:rsidRPr="00B6519A">
        <w:rPr>
          <w:rFonts w:ascii="Calibri" w:hAnsi="Calibri"/>
          <w:noProof/>
          <w:sz w:val="22"/>
        </w:rPr>
        <w:tab/>
        <w:t>Walker G</w:t>
      </w:r>
      <w:r w:rsidR="00F3062C">
        <w:rPr>
          <w:rFonts w:ascii="Calibri" w:hAnsi="Calibri"/>
          <w:noProof/>
          <w:sz w:val="22"/>
        </w:rPr>
        <w:t>:</w:t>
      </w:r>
      <w:r w:rsidRPr="00B6519A">
        <w:rPr>
          <w:rFonts w:ascii="Calibri" w:hAnsi="Calibri"/>
          <w:noProof/>
          <w:sz w:val="22"/>
        </w:rPr>
        <w:t xml:space="preserve"> </w:t>
      </w:r>
      <w:r w:rsidRPr="00B6519A">
        <w:rPr>
          <w:rFonts w:ascii="Calibri" w:hAnsi="Calibri"/>
          <w:i/>
          <w:iCs/>
          <w:noProof/>
          <w:sz w:val="22"/>
        </w:rPr>
        <w:t>Environmental Justice: Concepts, Evidence and Politics</w:t>
      </w:r>
      <w:r w:rsidRPr="00B6519A">
        <w:rPr>
          <w:rFonts w:ascii="Calibri" w:hAnsi="Calibri"/>
          <w:noProof/>
          <w:sz w:val="22"/>
        </w:rPr>
        <w:t>. Routledge</w:t>
      </w:r>
      <w:r w:rsidR="00F3062C">
        <w:rPr>
          <w:rFonts w:ascii="Calibri" w:hAnsi="Calibri"/>
          <w:noProof/>
          <w:sz w:val="22"/>
        </w:rPr>
        <w:t>;</w:t>
      </w:r>
      <w:r w:rsidRPr="00B6519A">
        <w:rPr>
          <w:rFonts w:ascii="Calibri" w:hAnsi="Calibri"/>
          <w:noProof/>
          <w:sz w:val="22"/>
        </w:rPr>
        <w:t xml:space="preserve"> 2012. </w:t>
      </w:r>
    </w:p>
    <w:p w14:paraId="29D7F10E"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15.</w:t>
      </w:r>
      <w:r w:rsidRPr="00B6519A">
        <w:rPr>
          <w:rFonts w:ascii="Calibri" w:hAnsi="Calibri"/>
          <w:noProof/>
          <w:sz w:val="22"/>
        </w:rPr>
        <w:tab/>
        <w:t>Armstrong C</w:t>
      </w:r>
      <w:r w:rsidR="00F3062C">
        <w:rPr>
          <w:rFonts w:ascii="Calibri" w:hAnsi="Calibri"/>
          <w:noProof/>
          <w:sz w:val="22"/>
        </w:rPr>
        <w:t>:</w:t>
      </w:r>
      <w:r w:rsidRPr="00B6519A">
        <w:rPr>
          <w:rFonts w:ascii="Calibri" w:hAnsi="Calibri"/>
          <w:noProof/>
          <w:sz w:val="22"/>
        </w:rPr>
        <w:t xml:space="preserve"> </w:t>
      </w:r>
      <w:r w:rsidRPr="00B6519A">
        <w:rPr>
          <w:rFonts w:ascii="Calibri" w:hAnsi="Calibri"/>
          <w:i/>
          <w:iCs/>
          <w:noProof/>
          <w:sz w:val="22"/>
        </w:rPr>
        <w:t>Global Distributive Justice: An Introduction</w:t>
      </w:r>
      <w:r w:rsidRPr="00B6519A">
        <w:rPr>
          <w:rFonts w:ascii="Calibri" w:hAnsi="Calibri"/>
          <w:noProof/>
          <w:sz w:val="22"/>
        </w:rPr>
        <w:t>. Cambrid</w:t>
      </w:r>
      <w:r w:rsidR="00B7454A">
        <w:rPr>
          <w:rFonts w:ascii="Calibri" w:hAnsi="Calibri"/>
          <w:noProof/>
          <w:sz w:val="22"/>
        </w:rPr>
        <w:t>ge University Press</w:t>
      </w:r>
      <w:r w:rsidR="00F3062C">
        <w:rPr>
          <w:rFonts w:ascii="Calibri" w:hAnsi="Calibri"/>
          <w:noProof/>
          <w:sz w:val="22"/>
        </w:rPr>
        <w:t>;</w:t>
      </w:r>
      <w:r w:rsidR="00B7454A">
        <w:rPr>
          <w:rFonts w:ascii="Calibri" w:hAnsi="Calibri"/>
          <w:noProof/>
          <w:sz w:val="22"/>
        </w:rPr>
        <w:t xml:space="preserve"> 2012. </w:t>
      </w:r>
    </w:p>
    <w:p w14:paraId="5C477296" w14:textId="77777777" w:rsidR="00B6519A" w:rsidRPr="00B6519A" w:rsidRDefault="00B6519A">
      <w:pPr>
        <w:pStyle w:val="NormalWeb"/>
        <w:ind w:left="640" w:hanging="640"/>
        <w:divId w:val="874463841"/>
        <w:rPr>
          <w:rFonts w:ascii="Calibri" w:hAnsi="Calibri"/>
          <w:noProof/>
          <w:sz w:val="22"/>
        </w:rPr>
      </w:pPr>
      <w:r w:rsidRPr="00B6519A">
        <w:rPr>
          <w:rFonts w:ascii="Calibri" w:hAnsi="Calibri"/>
          <w:noProof/>
          <w:sz w:val="22"/>
        </w:rPr>
        <w:t>16.</w:t>
      </w:r>
      <w:r w:rsidRPr="00B6519A">
        <w:rPr>
          <w:rFonts w:ascii="Calibri" w:hAnsi="Calibri"/>
          <w:noProof/>
          <w:sz w:val="22"/>
        </w:rPr>
        <w:tab/>
        <w:t>Maiese M</w:t>
      </w:r>
      <w:r w:rsidR="00F3062C">
        <w:rPr>
          <w:rFonts w:ascii="Calibri" w:hAnsi="Calibri"/>
          <w:noProof/>
          <w:sz w:val="22"/>
        </w:rPr>
        <w:t>:</w:t>
      </w:r>
      <w:r w:rsidRPr="00B6519A">
        <w:rPr>
          <w:rFonts w:ascii="Calibri" w:hAnsi="Calibri"/>
          <w:noProof/>
          <w:sz w:val="22"/>
        </w:rPr>
        <w:t xml:space="preserve"> Distributive Justice. </w:t>
      </w:r>
      <w:r w:rsidRPr="00B6519A">
        <w:rPr>
          <w:rFonts w:ascii="Calibri" w:hAnsi="Calibri"/>
          <w:i/>
          <w:iCs/>
          <w:noProof/>
          <w:sz w:val="22"/>
        </w:rPr>
        <w:t>Beyond Intractability</w:t>
      </w:r>
      <w:r w:rsidR="00F23098">
        <w:rPr>
          <w:rFonts w:ascii="Calibri" w:hAnsi="Calibri"/>
          <w:i/>
          <w:iCs/>
          <w:noProof/>
          <w:sz w:val="22"/>
        </w:rPr>
        <w:t>;</w:t>
      </w:r>
      <w:r w:rsidR="00FE3544">
        <w:rPr>
          <w:rFonts w:ascii="Calibri" w:hAnsi="Calibri"/>
          <w:noProof/>
          <w:sz w:val="22"/>
        </w:rPr>
        <w:t xml:space="preserve"> </w:t>
      </w:r>
      <w:r w:rsidRPr="00B6519A">
        <w:rPr>
          <w:rFonts w:ascii="Calibri" w:hAnsi="Calibri"/>
          <w:noProof/>
          <w:sz w:val="22"/>
        </w:rPr>
        <w:t xml:space="preserve">2013. </w:t>
      </w:r>
    </w:p>
    <w:p w14:paraId="3C03CFCA" w14:textId="77777777" w:rsidR="001F6880" w:rsidRDefault="001F6880" w:rsidP="001F6880">
      <w:pPr>
        <w:pStyle w:val="NormalWeb"/>
        <w:ind w:left="640" w:hanging="640"/>
        <w:divId w:val="874463841"/>
        <w:rPr>
          <w:rFonts w:ascii="Calibri" w:hAnsi="Calibri"/>
          <w:noProof/>
          <w:sz w:val="22"/>
        </w:rPr>
      </w:pPr>
      <w:r>
        <w:rPr>
          <w:rFonts w:ascii="Calibri" w:hAnsi="Calibri"/>
          <w:noProof/>
          <w:sz w:val="22"/>
        </w:rPr>
        <w:t>17.</w:t>
      </w:r>
      <w:r>
        <w:rPr>
          <w:rFonts w:ascii="Calibri" w:hAnsi="Calibri"/>
          <w:noProof/>
          <w:sz w:val="22"/>
        </w:rPr>
        <w:tab/>
      </w:r>
      <w:r w:rsidRPr="00711E2A">
        <w:rPr>
          <w:rFonts w:ascii="Calibri" w:hAnsi="Calibri"/>
          <w:noProof/>
          <w:sz w:val="22"/>
        </w:rPr>
        <w:t>Nussbaum MC</w:t>
      </w:r>
      <w:r w:rsidR="00F23098">
        <w:rPr>
          <w:rFonts w:ascii="Calibri" w:hAnsi="Calibri"/>
          <w:noProof/>
          <w:sz w:val="22"/>
        </w:rPr>
        <w:t>:</w:t>
      </w:r>
      <w:r w:rsidRPr="00711E2A">
        <w:rPr>
          <w:rFonts w:ascii="Calibri" w:hAnsi="Calibri"/>
          <w:noProof/>
          <w:sz w:val="22"/>
        </w:rPr>
        <w:t xml:space="preserve"> </w:t>
      </w:r>
      <w:r w:rsidRPr="009C19A5">
        <w:rPr>
          <w:rFonts w:ascii="Calibri" w:hAnsi="Calibri"/>
          <w:i/>
          <w:noProof/>
          <w:sz w:val="22"/>
        </w:rPr>
        <w:t>Creating Capabilities: The Human Development Approach</w:t>
      </w:r>
      <w:r w:rsidR="00F23098">
        <w:rPr>
          <w:rFonts w:ascii="Calibri" w:hAnsi="Calibri"/>
          <w:noProof/>
          <w:sz w:val="22"/>
        </w:rPr>
        <w:t>. Harvard University Press; 2011.</w:t>
      </w:r>
      <w:r>
        <w:rPr>
          <w:rFonts w:ascii="Calibri" w:hAnsi="Calibri"/>
          <w:noProof/>
          <w:sz w:val="22"/>
        </w:rPr>
        <w:t xml:space="preserve"> </w:t>
      </w:r>
    </w:p>
    <w:p w14:paraId="7947566A" w14:textId="77777777" w:rsidR="001F6880" w:rsidRDefault="001F6880" w:rsidP="001F6880">
      <w:pPr>
        <w:pStyle w:val="NormalWeb"/>
        <w:ind w:left="640" w:hanging="640"/>
        <w:divId w:val="874463841"/>
        <w:rPr>
          <w:rFonts w:ascii="Calibri" w:hAnsi="Calibri"/>
          <w:noProof/>
          <w:sz w:val="22"/>
        </w:rPr>
      </w:pPr>
      <w:r>
        <w:rPr>
          <w:rFonts w:ascii="Calibri" w:hAnsi="Calibri"/>
          <w:noProof/>
          <w:sz w:val="22"/>
        </w:rPr>
        <w:t>18.</w:t>
      </w:r>
      <w:r>
        <w:rPr>
          <w:rFonts w:ascii="Calibri" w:hAnsi="Calibri"/>
          <w:noProof/>
          <w:sz w:val="22"/>
        </w:rPr>
        <w:tab/>
        <w:t>McDermott M, Mahanty S</w:t>
      </w:r>
      <w:r w:rsidR="00F23098">
        <w:rPr>
          <w:rFonts w:ascii="Calibri" w:hAnsi="Calibri"/>
          <w:noProof/>
          <w:sz w:val="22"/>
        </w:rPr>
        <w:t xml:space="preserve"> &amp;</w:t>
      </w:r>
      <w:r>
        <w:rPr>
          <w:rFonts w:ascii="Calibri" w:hAnsi="Calibri"/>
          <w:noProof/>
          <w:sz w:val="22"/>
        </w:rPr>
        <w:t xml:space="preserve"> Schreckenberg K</w:t>
      </w:r>
      <w:r w:rsidR="00F23098">
        <w:rPr>
          <w:rFonts w:ascii="Calibri" w:hAnsi="Calibri"/>
          <w:noProof/>
          <w:sz w:val="22"/>
        </w:rPr>
        <w:t>:</w:t>
      </w:r>
      <w:r>
        <w:rPr>
          <w:rFonts w:ascii="Calibri" w:hAnsi="Calibri"/>
          <w:noProof/>
          <w:sz w:val="22"/>
        </w:rPr>
        <w:t xml:space="preserve"> </w:t>
      </w:r>
      <w:r w:rsidRPr="00F23098">
        <w:rPr>
          <w:rFonts w:ascii="Calibri" w:hAnsi="Calibri"/>
          <w:b/>
          <w:noProof/>
          <w:sz w:val="22"/>
        </w:rPr>
        <w:t>Examining equity: A multidimensional framework for assessing equity in payments for ecosystem services</w:t>
      </w:r>
      <w:r w:rsidR="00F23098">
        <w:rPr>
          <w:rFonts w:ascii="Calibri" w:hAnsi="Calibri"/>
          <w:b/>
          <w:noProof/>
          <w:sz w:val="22"/>
        </w:rPr>
        <w:t>.</w:t>
      </w:r>
      <w:r>
        <w:rPr>
          <w:rFonts w:ascii="Calibri" w:hAnsi="Calibri"/>
          <w:noProof/>
          <w:sz w:val="22"/>
        </w:rPr>
        <w:t xml:space="preserve"> </w:t>
      </w:r>
      <w:r w:rsidRPr="009C19A5">
        <w:rPr>
          <w:rFonts w:ascii="Calibri" w:hAnsi="Calibri"/>
          <w:i/>
          <w:noProof/>
          <w:sz w:val="22"/>
        </w:rPr>
        <w:t>Environmental Science &amp; Policy</w:t>
      </w:r>
      <w:r w:rsidR="00F23098">
        <w:rPr>
          <w:rFonts w:ascii="Calibri" w:hAnsi="Calibri"/>
          <w:i/>
          <w:noProof/>
          <w:sz w:val="22"/>
        </w:rPr>
        <w:t xml:space="preserve"> </w:t>
      </w:r>
      <w:r w:rsidR="00F23098">
        <w:rPr>
          <w:rFonts w:ascii="Calibri" w:hAnsi="Calibri"/>
          <w:noProof/>
          <w:sz w:val="22"/>
        </w:rPr>
        <w:t xml:space="preserve">2013, </w:t>
      </w:r>
      <w:r w:rsidRPr="00F23098">
        <w:rPr>
          <w:rFonts w:ascii="Calibri" w:hAnsi="Calibri"/>
          <w:b/>
          <w:noProof/>
          <w:sz w:val="22"/>
        </w:rPr>
        <w:t>33</w:t>
      </w:r>
      <w:r w:rsidR="00F23098">
        <w:rPr>
          <w:rFonts w:ascii="Calibri" w:hAnsi="Calibri"/>
          <w:noProof/>
          <w:sz w:val="22"/>
        </w:rPr>
        <w:t>:</w:t>
      </w:r>
      <w:r w:rsidR="00F23098" w:rsidRPr="00C84919">
        <w:rPr>
          <w:rFonts w:ascii="Calibri" w:hAnsi="Calibri"/>
          <w:noProof/>
          <w:sz w:val="22"/>
        </w:rPr>
        <w:t xml:space="preserve"> </w:t>
      </w:r>
      <w:r w:rsidRPr="00C84919">
        <w:rPr>
          <w:rFonts w:ascii="Calibri" w:hAnsi="Calibri"/>
          <w:noProof/>
          <w:sz w:val="22"/>
        </w:rPr>
        <w:t>416–427</w:t>
      </w:r>
      <w:r>
        <w:rPr>
          <w:rFonts w:ascii="Calibri" w:hAnsi="Calibri"/>
          <w:noProof/>
          <w:sz w:val="22"/>
        </w:rPr>
        <w:t>.</w:t>
      </w:r>
    </w:p>
    <w:p w14:paraId="40CB1F23" w14:textId="77777777" w:rsidR="00B6519A" w:rsidRPr="00B6519A" w:rsidRDefault="001F6880">
      <w:pPr>
        <w:pStyle w:val="NormalWeb"/>
        <w:ind w:left="640" w:hanging="640"/>
        <w:divId w:val="874463841"/>
        <w:rPr>
          <w:rFonts w:ascii="Calibri" w:hAnsi="Calibri"/>
          <w:noProof/>
          <w:sz w:val="22"/>
        </w:rPr>
      </w:pPr>
      <w:r>
        <w:rPr>
          <w:rFonts w:ascii="Calibri" w:hAnsi="Calibri"/>
          <w:noProof/>
          <w:sz w:val="22"/>
        </w:rPr>
        <w:t>19</w:t>
      </w:r>
      <w:r w:rsidR="00B6519A" w:rsidRPr="00B6519A">
        <w:rPr>
          <w:rFonts w:ascii="Calibri" w:hAnsi="Calibri"/>
          <w:noProof/>
          <w:sz w:val="22"/>
        </w:rPr>
        <w:t>.</w:t>
      </w:r>
      <w:r w:rsidR="00B6519A" w:rsidRPr="00B6519A">
        <w:rPr>
          <w:rFonts w:ascii="Calibri" w:hAnsi="Calibri"/>
          <w:noProof/>
          <w:sz w:val="22"/>
        </w:rPr>
        <w:tab/>
        <w:t>Gross C</w:t>
      </w:r>
      <w:r w:rsidR="00F23098">
        <w:rPr>
          <w:rFonts w:ascii="Calibri" w:hAnsi="Calibri"/>
          <w:noProof/>
          <w:sz w:val="22"/>
        </w:rPr>
        <w:t>:</w:t>
      </w:r>
      <w:r w:rsidR="00B6519A" w:rsidRPr="00B6519A">
        <w:rPr>
          <w:rFonts w:ascii="Calibri" w:hAnsi="Calibri"/>
          <w:noProof/>
          <w:sz w:val="22"/>
        </w:rPr>
        <w:t xml:space="preserve"> </w:t>
      </w:r>
      <w:r w:rsidR="00B6519A" w:rsidRPr="00F23098">
        <w:rPr>
          <w:rFonts w:ascii="Calibri" w:hAnsi="Calibri"/>
          <w:b/>
          <w:noProof/>
          <w:sz w:val="22"/>
        </w:rPr>
        <w:t>Community perspectives of wind energy in Australia: The application of a justice and community fairness framework to increase social acceptance.</w:t>
      </w:r>
      <w:r w:rsidR="00B6519A" w:rsidRPr="00B6519A">
        <w:rPr>
          <w:rFonts w:ascii="Calibri" w:hAnsi="Calibri"/>
          <w:noProof/>
          <w:sz w:val="22"/>
        </w:rPr>
        <w:t xml:space="preserve"> </w:t>
      </w:r>
      <w:r w:rsidR="00B6519A" w:rsidRPr="00B6519A">
        <w:rPr>
          <w:rFonts w:ascii="Calibri" w:hAnsi="Calibri"/>
          <w:i/>
          <w:iCs/>
          <w:noProof/>
          <w:sz w:val="22"/>
        </w:rPr>
        <w:t>Energy Policy</w:t>
      </w:r>
      <w:r w:rsidR="00B6519A" w:rsidRPr="00B6519A">
        <w:rPr>
          <w:rFonts w:ascii="Calibri" w:hAnsi="Calibri"/>
          <w:noProof/>
          <w:sz w:val="22"/>
        </w:rPr>
        <w:t xml:space="preserve"> </w:t>
      </w:r>
      <w:r w:rsidR="00F23098">
        <w:rPr>
          <w:rFonts w:ascii="Calibri" w:hAnsi="Calibri"/>
          <w:noProof/>
          <w:sz w:val="22"/>
        </w:rPr>
        <w:t xml:space="preserve">2007, </w:t>
      </w:r>
      <w:r w:rsidR="00B6519A" w:rsidRPr="00B6519A">
        <w:rPr>
          <w:rFonts w:ascii="Calibri" w:hAnsi="Calibri"/>
          <w:b/>
          <w:bCs/>
          <w:noProof/>
          <w:sz w:val="22"/>
        </w:rPr>
        <w:t>35</w:t>
      </w:r>
      <w:r w:rsidR="00F23098">
        <w:rPr>
          <w:rFonts w:ascii="Calibri" w:hAnsi="Calibri"/>
          <w:b/>
          <w:bCs/>
          <w:noProof/>
          <w:sz w:val="22"/>
        </w:rPr>
        <w:t>:</w:t>
      </w:r>
      <w:r w:rsidR="00F23098" w:rsidRPr="00B6519A">
        <w:rPr>
          <w:rFonts w:ascii="Calibri" w:hAnsi="Calibri"/>
          <w:noProof/>
          <w:sz w:val="22"/>
        </w:rPr>
        <w:t xml:space="preserve"> </w:t>
      </w:r>
      <w:r w:rsidR="00B6519A" w:rsidRPr="00B6519A">
        <w:rPr>
          <w:rFonts w:ascii="Calibri" w:hAnsi="Calibri"/>
          <w:noProof/>
          <w:sz w:val="22"/>
        </w:rPr>
        <w:t>2727–2736.</w:t>
      </w:r>
    </w:p>
    <w:p w14:paraId="4B765AA8" w14:textId="77777777" w:rsidR="001630C3" w:rsidRDefault="001F6880">
      <w:pPr>
        <w:pStyle w:val="NormalWeb"/>
        <w:ind w:left="640" w:hanging="640"/>
        <w:divId w:val="874463841"/>
        <w:rPr>
          <w:rFonts w:ascii="Calibri" w:hAnsi="Calibri"/>
          <w:noProof/>
          <w:sz w:val="22"/>
        </w:rPr>
      </w:pPr>
      <w:r>
        <w:rPr>
          <w:rFonts w:ascii="Calibri" w:hAnsi="Calibri"/>
          <w:noProof/>
          <w:sz w:val="22"/>
        </w:rPr>
        <w:t>20</w:t>
      </w:r>
      <w:r w:rsidR="00B6519A" w:rsidRPr="00B6519A">
        <w:rPr>
          <w:rFonts w:ascii="Calibri" w:hAnsi="Calibri"/>
          <w:noProof/>
          <w:sz w:val="22"/>
        </w:rPr>
        <w:t>.</w:t>
      </w:r>
      <w:r w:rsidR="00B6519A" w:rsidRPr="00B6519A">
        <w:rPr>
          <w:rFonts w:ascii="Calibri" w:hAnsi="Calibri"/>
          <w:noProof/>
          <w:sz w:val="22"/>
        </w:rPr>
        <w:tab/>
      </w:r>
      <w:r w:rsidR="00B3434E" w:rsidRPr="00B3434E">
        <w:rPr>
          <w:rFonts w:ascii="Calibri" w:hAnsi="Calibri"/>
          <w:noProof/>
          <w:sz w:val="22"/>
        </w:rPr>
        <w:t>Sikor T</w:t>
      </w:r>
      <w:r w:rsidR="00F23098">
        <w:rPr>
          <w:rFonts w:ascii="Calibri" w:hAnsi="Calibri"/>
          <w:noProof/>
          <w:sz w:val="22"/>
        </w:rPr>
        <w:t>:</w:t>
      </w:r>
      <w:r w:rsidR="00B3434E" w:rsidRPr="00B3434E">
        <w:rPr>
          <w:rFonts w:ascii="Calibri" w:hAnsi="Calibri"/>
          <w:noProof/>
          <w:sz w:val="22"/>
        </w:rPr>
        <w:t xml:space="preserve"> </w:t>
      </w:r>
      <w:r w:rsidR="00B3434E" w:rsidRPr="00F23098">
        <w:rPr>
          <w:rFonts w:ascii="Calibri" w:hAnsi="Calibri"/>
          <w:i/>
          <w:noProof/>
          <w:sz w:val="22"/>
        </w:rPr>
        <w:t>The Justices and Injustices of Ecosystem Services</w:t>
      </w:r>
      <w:r w:rsidR="00F23098">
        <w:rPr>
          <w:rFonts w:ascii="Calibri" w:hAnsi="Calibri"/>
          <w:noProof/>
          <w:sz w:val="22"/>
        </w:rPr>
        <w:t>.</w:t>
      </w:r>
      <w:r w:rsidR="00B3434E" w:rsidRPr="00B3434E">
        <w:rPr>
          <w:rFonts w:ascii="Calibri" w:hAnsi="Calibri"/>
          <w:noProof/>
          <w:sz w:val="22"/>
        </w:rPr>
        <w:t>Routledge UK &amp; USA</w:t>
      </w:r>
      <w:r w:rsidR="00F23098">
        <w:rPr>
          <w:rFonts w:ascii="Calibri" w:hAnsi="Calibri"/>
          <w:noProof/>
          <w:sz w:val="22"/>
        </w:rPr>
        <w:t>, 2013</w:t>
      </w:r>
      <w:r w:rsidR="00B3434E" w:rsidRPr="00B3434E">
        <w:rPr>
          <w:rFonts w:ascii="Calibri" w:hAnsi="Calibri"/>
          <w:noProof/>
          <w:sz w:val="22"/>
        </w:rPr>
        <w:t>.</w:t>
      </w:r>
    </w:p>
    <w:p w14:paraId="1680A9D0" w14:textId="77777777" w:rsidR="001F6880" w:rsidRDefault="001F6880" w:rsidP="001F6880">
      <w:pPr>
        <w:pStyle w:val="NormalWeb"/>
        <w:ind w:left="640" w:hanging="640"/>
        <w:divId w:val="874463841"/>
        <w:rPr>
          <w:rFonts w:ascii="Calibri" w:hAnsi="Calibri"/>
          <w:noProof/>
          <w:sz w:val="22"/>
        </w:rPr>
      </w:pPr>
      <w:r>
        <w:rPr>
          <w:rFonts w:ascii="Calibri" w:hAnsi="Calibri"/>
          <w:noProof/>
          <w:sz w:val="22"/>
        </w:rPr>
        <w:lastRenderedPageBreak/>
        <w:t>21.</w:t>
      </w:r>
      <w:r>
        <w:rPr>
          <w:rFonts w:ascii="Calibri" w:hAnsi="Calibri"/>
          <w:noProof/>
          <w:sz w:val="22"/>
        </w:rPr>
        <w:tab/>
      </w:r>
      <w:r w:rsidRPr="00F657B0">
        <w:rPr>
          <w:rFonts w:asciiTheme="minorHAnsi" w:hAnsiTheme="minorHAnsi"/>
          <w:noProof/>
          <w:sz w:val="22"/>
          <w:szCs w:val="20"/>
        </w:rPr>
        <w:t>Mingorr</w:t>
      </w:r>
      <w:proofErr w:type="spellStart"/>
      <w:r w:rsidRPr="00F657B0">
        <w:rPr>
          <w:rFonts w:asciiTheme="minorHAnsi" w:hAnsiTheme="minorHAnsi"/>
          <w:sz w:val="22"/>
          <w:szCs w:val="20"/>
        </w:rPr>
        <w:t>í</w:t>
      </w:r>
      <w:r w:rsidRPr="009C19A5">
        <w:rPr>
          <w:rFonts w:asciiTheme="minorHAnsi" w:hAnsiTheme="minorHAnsi"/>
          <w:noProof/>
          <w:sz w:val="22"/>
          <w:szCs w:val="20"/>
        </w:rPr>
        <w:t>a</w:t>
      </w:r>
      <w:proofErr w:type="spellEnd"/>
      <w:r w:rsidRPr="009C19A5">
        <w:rPr>
          <w:rFonts w:asciiTheme="minorHAnsi" w:hAnsiTheme="minorHAnsi"/>
          <w:noProof/>
          <w:sz w:val="22"/>
          <w:szCs w:val="20"/>
        </w:rPr>
        <w:t xml:space="preserve"> S, Gamboa G, Martin-Lopez B</w:t>
      </w:r>
      <w:r w:rsidR="00F23098">
        <w:rPr>
          <w:rFonts w:asciiTheme="minorHAnsi" w:hAnsiTheme="minorHAnsi"/>
          <w:noProof/>
          <w:sz w:val="22"/>
          <w:szCs w:val="20"/>
        </w:rPr>
        <w:t xml:space="preserve"> &amp;</w:t>
      </w:r>
      <w:r w:rsidRPr="009C19A5">
        <w:rPr>
          <w:rFonts w:asciiTheme="minorHAnsi" w:hAnsiTheme="minorHAnsi"/>
          <w:noProof/>
          <w:sz w:val="22"/>
          <w:szCs w:val="20"/>
        </w:rPr>
        <w:t xml:space="preserve"> Corbera E</w:t>
      </w:r>
      <w:r w:rsidR="00F23098">
        <w:rPr>
          <w:rFonts w:asciiTheme="minorHAnsi" w:hAnsiTheme="minorHAnsi"/>
          <w:noProof/>
          <w:sz w:val="22"/>
          <w:szCs w:val="20"/>
        </w:rPr>
        <w:t>:</w:t>
      </w:r>
      <w:r w:rsidRPr="009C19A5">
        <w:rPr>
          <w:rFonts w:asciiTheme="minorHAnsi" w:hAnsiTheme="minorHAnsi"/>
          <w:noProof/>
          <w:sz w:val="22"/>
          <w:szCs w:val="20"/>
        </w:rPr>
        <w:t xml:space="preserve"> </w:t>
      </w:r>
      <w:r w:rsidRPr="00F23098">
        <w:rPr>
          <w:rFonts w:asciiTheme="minorHAnsi" w:hAnsiTheme="minorHAnsi"/>
          <w:b/>
          <w:noProof/>
          <w:sz w:val="22"/>
          <w:szCs w:val="20"/>
        </w:rPr>
        <w:t>The oil palm boom: socio-economic implications for Q’eqchi’ households in the Polochic valley, Guatemala</w:t>
      </w:r>
      <w:r w:rsidR="00F23098">
        <w:rPr>
          <w:rFonts w:asciiTheme="minorHAnsi" w:hAnsiTheme="minorHAnsi"/>
          <w:noProof/>
          <w:sz w:val="22"/>
          <w:szCs w:val="20"/>
        </w:rPr>
        <w:t>.</w:t>
      </w:r>
      <w:r w:rsidRPr="009C19A5">
        <w:rPr>
          <w:rFonts w:asciiTheme="minorHAnsi" w:hAnsiTheme="minorHAnsi"/>
          <w:noProof/>
          <w:sz w:val="22"/>
          <w:szCs w:val="20"/>
        </w:rPr>
        <w:t xml:space="preserve"> </w:t>
      </w:r>
      <w:r w:rsidRPr="009C19A5">
        <w:rPr>
          <w:rFonts w:asciiTheme="minorHAnsi" w:hAnsiTheme="minorHAnsi"/>
          <w:i/>
          <w:noProof/>
          <w:sz w:val="22"/>
          <w:szCs w:val="20"/>
        </w:rPr>
        <w:t>Environ Dev Sustain</w:t>
      </w:r>
      <w:r w:rsidR="00F23098">
        <w:rPr>
          <w:rFonts w:asciiTheme="minorHAnsi" w:hAnsiTheme="minorHAnsi"/>
          <w:i/>
          <w:noProof/>
          <w:sz w:val="22"/>
          <w:szCs w:val="20"/>
        </w:rPr>
        <w:t xml:space="preserve"> </w:t>
      </w:r>
      <w:r w:rsidR="00F23098">
        <w:rPr>
          <w:rFonts w:asciiTheme="minorHAnsi" w:hAnsiTheme="minorHAnsi"/>
          <w:noProof/>
          <w:sz w:val="22"/>
          <w:szCs w:val="20"/>
        </w:rPr>
        <w:t>2014</w:t>
      </w:r>
      <w:r w:rsidRPr="009C19A5">
        <w:rPr>
          <w:rFonts w:asciiTheme="minorHAnsi" w:hAnsiTheme="minorHAnsi"/>
          <w:i/>
          <w:noProof/>
          <w:sz w:val="22"/>
          <w:szCs w:val="20"/>
        </w:rPr>
        <w:t>,</w:t>
      </w:r>
      <w:r w:rsidRPr="009C19A5">
        <w:rPr>
          <w:rFonts w:asciiTheme="minorHAnsi" w:hAnsiTheme="minorHAnsi"/>
          <w:noProof/>
          <w:sz w:val="22"/>
          <w:szCs w:val="20"/>
        </w:rPr>
        <w:t xml:space="preserve"> </w:t>
      </w:r>
      <w:r w:rsidR="007D1759" w:rsidRPr="00285006">
        <w:rPr>
          <w:rFonts w:asciiTheme="minorHAnsi" w:hAnsiTheme="minorHAnsi"/>
          <w:b/>
          <w:noProof/>
          <w:sz w:val="22"/>
          <w:szCs w:val="20"/>
        </w:rPr>
        <w:t>16</w:t>
      </w:r>
      <w:r w:rsidRPr="009C19A5">
        <w:rPr>
          <w:rFonts w:asciiTheme="minorHAnsi" w:hAnsiTheme="minorHAnsi"/>
          <w:noProof/>
          <w:sz w:val="22"/>
          <w:szCs w:val="20"/>
        </w:rPr>
        <w:t>:</w:t>
      </w:r>
      <w:r w:rsidR="00F23098">
        <w:rPr>
          <w:rFonts w:asciiTheme="minorHAnsi" w:hAnsiTheme="minorHAnsi"/>
          <w:noProof/>
          <w:sz w:val="22"/>
          <w:szCs w:val="20"/>
        </w:rPr>
        <w:t xml:space="preserve"> </w:t>
      </w:r>
      <w:r w:rsidRPr="009C19A5">
        <w:rPr>
          <w:rFonts w:asciiTheme="minorHAnsi" w:hAnsiTheme="minorHAnsi"/>
          <w:noProof/>
          <w:sz w:val="22"/>
          <w:szCs w:val="20"/>
        </w:rPr>
        <w:t>841-871</w:t>
      </w:r>
      <w:r>
        <w:rPr>
          <w:rFonts w:ascii="Calibri" w:hAnsi="Calibri"/>
          <w:noProof/>
          <w:sz w:val="22"/>
        </w:rPr>
        <w:t>.</w:t>
      </w:r>
    </w:p>
    <w:p w14:paraId="60FF4EAD" w14:textId="77777777" w:rsidR="001F6880" w:rsidRDefault="001F6880" w:rsidP="001F6880">
      <w:pPr>
        <w:pStyle w:val="NormalWeb"/>
        <w:ind w:left="640" w:hanging="640"/>
        <w:divId w:val="874463841"/>
        <w:rPr>
          <w:rFonts w:ascii="Calibri" w:hAnsi="Calibri"/>
          <w:noProof/>
          <w:sz w:val="22"/>
        </w:rPr>
      </w:pPr>
      <w:r>
        <w:rPr>
          <w:rFonts w:ascii="Calibri" w:hAnsi="Calibri"/>
          <w:noProof/>
          <w:sz w:val="22"/>
        </w:rPr>
        <w:t>22.</w:t>
      </w:r>
      <w:r>
        <w:rPr>
          <w:rFonts w:ascii="Calibri" w:hAnsi="Calibri"/>
          <w:noProof/>
          <w:sz w:val="22"/>
        </w:rPr>
        <w:tab/>
        <w:t>Sayer J, Ghazoul J, Nelson P, Boedhihartono A</w:t>
      </w:r>
      <w:r w:rsidR="00F23098">
        <w:rPr>
          <w:rFonts w:ascii="Calibri" w:hAnsi="Calibri"/>
          <w:noProof/>
          <w:sz w:val="22"/>
        </w:rPr>
        <w:t>K:</w:t>
      </w:r>
      <w:r>
        <w:rPr>
          <w:rFonts w:ascii="Calibri" w:hAnsi="Calibri"/>
          <w:noProof/>
          <w:sz w:val="22"/>
        </w:rPr>
        <w:t xml:space="preserve"> </w:t>
      </w:r>
      <w:r w:rsidRPr="00F23098">
        <w:rPr>
          <w:rFonts w:ascii="Calibri" w:hAnsi="Calibri"/>
          <w:b/>
          <w:noProof/>
          <w:sz w:val="22"/>
        </w:rPr>
        <w:t>Oil palm expansion transforms tropical landscapes and livelihoods</w:t>
      </w:r>
      <w:r w:rsidR="00F23098">
        <w:rPr>
          <w:rFonts w:ascii="Calibri" w:hAnsi="Calibri"/>
          <w:b/>
          <w:noProof/>
          <w:sz w:val="22"/>
        </w:rPr>
        <w:t>.</w:t>
      </w:r>
      <w:r w:rsidRPr="00F23098">
        <w:rPr>
          <w:rFonts w:ascii="Calibri" w:hAnsi="Calibri"/>
          <w:b/>
          <w:noProof/>
          <w:sz w:val="22"/>
        </w:rPr>
        <w:t>,</w:t>
      </w:r>
      <w:r>
        <w:rPr>
          <w:rFonts w:ascii="Calibri" w:hAnsi="Calibri"/>
          <w:noProof/>
          <w:sz w:val="22"/>
        </w:rPr>
        <w:t xml:space="preserve"> </w:t>
      </w:r>
      <w:r w:rsidRPr="009C19A5">
        <w:rPr>
          <w:rFonts w:ascii="Calibri" w:hAnsi="Calibri"/>
          <w:i/>
          <w:noProof/>
          <w:sz w:val="22"/>
        </w:rPr>
        <w:t>Global Food Security</w:t>
      </w:r>
      <w:r w:rsidR="00F23098">
        <w:rPr>
          <w:rFonts w:ascii="Calibri" w:hAnsi="Calibri"/>
          <w:i/>
          <w:noProof/>
          <w:sz w:val="22"/>
        </w:rPr>
        <w:t xml:space="preserve"> </w:t>
      </w:r>
      <w:r w:rsidR="00F23098">
        <w:rPr>
          <w:rFonts w:ascii="Calibri" w:hAnsi="Calibri"/>
          <w:noProof/>
          <w:sz w:val="22"/>
        </w:rPr>
        <w:t>2012</w:t>
      </w:r>
      <w:r>
        <w:rPr>
          <w:rFonts w:ascii="Calibri" w:hAnsi="Calibri"/>
          <w:i/>
          <w:noProof/>
          <w:sz w:val="22"/>
        </w:rPr>
        <w:t xml:space="preserve">, </w:t>
      </w:r>
      <w:r w:rsidRPr="00F23098">
        <w:rPr>
          <w:rFonts w:ascii="Calibri" w:hAnsi="Calibri"/>
          <w:b/>
          <w:noProof/>
          <w:sz w:val="22"/>
        </w:rPr>
        <w:t>1(2)</w:t>
      </w:r>
      <w:r w:rsidR="00F23098">
        <w:rPr>
          <w:rFonts w:ascii="Calibri" w:hAnsi="Calibri"/>
          <w:noProof/>
          <w:sz w:val="22"/>
        </w:rPr>
        <w:t>:</w:t>
      </w:r>
      <w:r w:rsidRPr="00B3434E">
        <w:rPr>
          <w:rFonts w:ascii="Calibri" w:hAnsi="Calibri"/>
          <w:noProof/>
          <w:sz w:val="22"/>
        </w:rPr>
        <w:t xml:space="preserve"> 114–119</w:t>
      </w:r>
      <w:r>
        <w:rPr>
          <w:rFonts w:ascii="Calibri" w:hAnsi="Calibri"/>
          <w:noProof/>
          <w:sz w:val="22"/>
        </w:rPr>
        <w:t>.</w:t>
      </w:r>
    </w:p>
    <w:p w14:paraId="3D7A32F1" w14:textId="77777777" w:rsidR="001630C3" w:rsidRDefault="001630C3" w:rsidP="001630C3">
      <w:pPr>
        <w:pStyle w:val="NormalWeb"/>
        <w:ind w:left="640" w:hanging="640"/>
        <w:divId w:val="874463841"/>
        <w:rPr>
          <w:rFonts w:ascii="Calibri" w:hAnsi="Calibri"/>
          <w:noProof/>
          <w:sz w:val="22"/>
        </w:rPr>
      </w:pPr>
      <w:r>
        <w:rPr>
          <w:rFonts w:ascii="Calibri" w:hAnsi="Calibri"/>
          <w:noProof/>
          <w:sz w:val="22"/>
        </w:rPr>
        <w:t>23.</w:t>
      </w:r>
      <w:r>
        <w:rPr>
          <w:rFonts w:ascii="Calibri" w:hAnsi="Calibri"/>
          <w:noProof/>
          <w:sz w:val="22"/>
        </w:rPr>
        <w:tab/>
        <w:t xml:space="preserve">Schroeder H. </w:t>
      </w:r>
      <w:r w:rsidR="00F23098">
        <w:rPr>
          <w:rFonts w:ascii="Calibri" w:hAnsi="Calibri"/>
          <w:noProof/>
          <w:sz w:val="22"/>
        </w:rPr>
        <w:t xml:space="preserve">&amp; </w:t>
      </w:r>
      <w:r>
        <w:rPr>
          <w:rFonts w:ascii="Calibri" w:hAnsi="Calibri"/>
          <w:noProof/>
          <w:sz w:val="22"/>
        </w:rPr>
        <w:t>McDermott C</w:t>
      </w:r>
      <w:r w:rsidR="00F23098">
        <w:rPr>
          <w:rFonts w:ascii="Calibri" w:hAnsi="Calibri"/>
          <w:noProof/>
          <w:sz w:val="22"/>
        </w:rPr>
        <w:t>:</w:t>
      </w:r>
      <w:r>
        <w:rPr>
          <w:rFonts w:ascii="Calibri" w:hAnsi="Calibri"/>
          <w:noProof/>
          <w:sz w:val="22"/>
        </w:rPr>
        <w:t xml:space="preserve"> </w:t>
      </w:r>
      <w:r w:rsidRPr="00F23098">
        <w:rPr>
          <w:rFonts w:ascii="Calibri" w:hAnsi="Calibri"/>
          <w:b/>
          <w:noProof/>
          <w:sz w:val="22"/>
        </w:rPr>
        <w:t>Beyond Carbon: Enabling Justice and Equity in REDD+ Across Levels of Governance</w:t>
      </w:r>
      <w:r w:rsidR="00F23098">
        <w:rPr>
          <w:rFonts w:ascii="Calibri" w:hAnsi="Calibri"/>
          <w:noProof/>
          <w:sz w:val="22"/>
        </w:rPr>
        <w:t>.</w:t>
      </w:r>
      <w:r>
        <w:rPr>
          <w:rFonts w:ascii="Calibri" w:hAnsi="Calibri"/>
          <w:noProof/>
          <w:sz w:val="22"/>
        </w:rPr>
        <w:t xml:space="preserve"> </w:t>
      </w:r>
      <w:r>
        <w:rPr>
          <w:rFonts w:ascii="Calibri" w:hAnsi="Calibri"/>
          <w:i/>
          <w:noProof/>
          <w:sz w:val="22"/>
        </w:rPr>
        <w:t xml:space="preserve">Ecology and Society </w:t>
      </w:r>
      <w:r w:rsidR="00F23098">
        <w:rPr>
          <w:rFonts w:ascii="Calibri" w:hAnsi="Calibri"/>
          <w:i/>
          <w:noProof/>
          <w:sz w:val="22"/>
        </w:rPr>
        <w:t xml:space="preserve"> </w:t>
      </w:r>
      <w:r w:rsidR="00F23098">
        <w:rPr>
          <w:rFonts w:ascii="Calibri" w:hAnsi="Calibri"/>
          <w:noProof/>
          <w:sz w:val="22"/>
        </w:rPr>
        <w:t xml:space="preserve">2014, </w:t>
      </w:r>
      <w:r w:rsidRPr="00F23098">
        <w:rPr>
          <w:rFonts w:ascii="Calibri" w:hAnsi="Calibri"/>
          <w:b/>
          <w:noProof/>
          <w:sz w:val="22"/>
        </w:rPr>
        <w:t>19(1)</w:t>
      </w:r>
      <w:r>
        <w:rPr>
          <w:rFonts w:ascii="Calibri" w:hAnsi="Calibri"/>
          <w:noProof/>
          <w:sz w:val="22"/>
        </w:rPr>
        <w:t xml:space="preserve">: 31. </w:t>
      </w:r>
    </w:p>
    <w:p w14:paraId="14011734" w14:textId="77777777" w:rsidR="001630C3" w:rsidRDefault="001630C3" w:rsidP="001630C3">
      <w:pPr>
        <w:pStyle w:val="NormalWeb"/>
        <w:ind w:left="640" w:hanging="640"/>
        <w:divId w:val="874463841"/>
        <w:rPr>
          <w:rFonts w:ascii="Calibri" w:hAnsi="Calibri"/>
          <w:noProof/>
          <w:sz w:val="22"/>
        </w:rPr>
      </w:pPr>
      <w:r>
        <w:rPr>
          <w:rFonts w:ascii="Calibri" w:hAnsi="Calibri"/>
          <w:noProof/>
          <w:sz w:val="22"/>
        </w:rPr>
        <w:t>24.</w:t>
      </w:r>
      <w:r>
        <w:rPr>
          <w:rFonts w:ascii="Calibri" w:hAnsi="Calibri"/>
          <w:noProof/>
          <w:sz w:val="22"/>
        </w:rPr>
        <w:tab/>
        <w:t>McDermott CL</w:t>
      </w:r>
      <w:r w:rsidR="00F23098">
        <w:rPr>
          <w:rFonts w:ascii="Calibri" w:hAnsi="Calibri"/>
          <w:noProof/>
          <w:sz w:val="22"/>
        </w:rPr>
        <w:t>:</w:t>
      </w:r>
      <w:r>
        <w:rPr>
          <w:rFonts w:ascii="Calibri" w:hAnsi="Calibri"/>
          <w:noProof/>
          <w:sz w:val="22"/>
        </w:rPr>
        <w:t xml:space="preserve"> </w:t>
      </w:r>
      <w:r w:rsidRPr="00F23098">
        <w:rPr>
          <w:rFonts w:ascii="Calibri" w:hAnsi="Calibri"/>
          <w:b/>
          <w:noProof/>
          <w:sz w:val="22"/>
        </w:rPr>
        <w:t>Certification and equity: Applying an “equity framework” to compare certification schemes across product sectors and scales</w:t>
      </w:r>
      <w:r w:rsidR="00F23098">
        <w:rPr>
          <w:rFonts w:ascii="Calibri" w:hAnsi="Calibri"/>
          <w:b/>
          <w:noProof/>
          <w:sz w:val="22"/>
        </w:rPr>
        <w:t>.</w:t>
      </w:r>
      <w:r>
        <w:rPr>
          <w:rFonts w:ascii="Calibri" w:hAnsi="Calibri"/>
          <w:noProof/>
          <w:sz w:val="22"/>
        </w:rPr>
        <w:t xml:space="preserve"> </w:t>
      </w:r>
      <w:r w:rsidRPr="009C19A5">
        <w:rPr>
          <w:rFonts w:ascii="Calibri" w:hAnsi="Calibri"/>
          <w:i/>
          <w:noProof/>
          <w:sz w:val="22"/>
        </w:rPr>
        <w:t>Environmental Science &amp; Policy</w:t>
      </w:r>
      <w:r w:rsidR="00F23098">
        <w:rPr>
          <w:rFonts w:ascii="Calibri" w:hAnsi="Calibri"/>
          <w:i/>
          <w:noProof/>
          <w:sz w:val="22"/>
        </w:rPr>
        <w:t xml:space="preserve"> </w:t>
      </w:r>
      <w:r w:rsidR="00F23098">
        <w:rPr>
          <w:rFonts w:ascii="Calibri" w:hAnsi="Calibri"/>
          <w:noProof/>
          <w:sz w:val="22"/>
        </w:rPr>
        <w:t>2013</w:t>
      </w:r>
      <w:r>
        <w:rPr>
          <w:rFonts w:ascii="Calibri" w:hAnsi="Calibri"/>
          <w:noProof/>
          <w:sz w:val="22"/>
        </w:rPr>
        <w:t xml:space="preserve">, </w:t>
      </w:r>
      <w:r w:rsidRPr="00F23098">
        <w:rPr>
          <w:rFonts w:ascii="Calibri" w:hAnsi="Calibri"/>
          <w:b/>
          <w:noProof/>
          <w:sz w:val="22"/>
        </w:rPr>
        <w:t>33</w:t>
      </w:r>
      <w:r w:rsidR="00F23098">
        <w:rPr>
          <w:rFonts w:ascii="Calibri" w:hAnsi="Calibri"/>
          <w:noProof/>
          <w:sz w:val="22"/>
        </w:rPr>
        <w:t>:</w:t>
      </w:r>
      <w:r>
        <w:rPr>
          <w:rFonts w:ascii="Calibri" w:hAnsi="Calibri"/>
          <w:noProof/>
          <w:sz w:val="22"/>
        </w:rPr>
        <w:t xml:space="preserve"> 428-437.</w:t>
      </w:r>
    </w:p>
    <w:p w14:paraId="08E3DC98" w14:textId="77777777" w:rsidR="001630C3" w:rsidRPr="00B6519A" w:rsidRDefault="001630C3" w:rsidP="001630C3">
      <w:pPr>
        <w:pStyle w:val="NormalWeb"/>
        <w:ind w:left="640" w:hanging="640"/>
        <w:divId w:val="874463841"/>
        <w:rPr>
          <w:rFonts w:ascii="Calibri" w:hAnsi="Calibri"/>
          <w:noProof/>
          <w:sz w:val="22"/>
        </w:rPr>
      </w:pPr>
      <w:r>
        <w:rPr>
          <w:rFonts w:ascii="Calibri" w:hAnsi="Calibri"/>
          <w:noProof/>
          <w:sz w:val="22"/>
        </w:rPr>
        <w:t>25</w:t>
      </w:r>
      <w:r w:rsidRPr="00B6519A">
        <w:rPr>
          <w:rFonts w:ascii="Calibri" w:hAnsi="Calibri"/>
          <w:noProof/>
          <w:sz w:val="22"/>
        </w:rPr>
        <w:t>.</w:t>
      </w:r>
      <w:r w:rsidRPr="00B6519A">
        <w:rPr>
          <w:rFonts w:ascii="Calibri" w:hAnsi="Calibri"/>
          <w:noProof/>
          <w:sz w:val="22"/>
        </w:rPr>
        <w:tab/>
        <w:t>Afionis S &amp; Stringer L</w:t>
      </w:r>
      <w:r w:rsidR="00F23098">
        <w:rPr>
          <w:rFonts w:ascii="Calibri" w:hAnsi="Calibri"/>
          <w:noProof/>
          <w:sz w:val="22"/>
        </w:rPr>
        <w:t>:</w:t>
      </w:r>
      <w:r w:rsidRPr="00B6519A">
        <w:rPr>
          <w:rFonts w:ascii="Calibri" w:hAnsi="Calibri"/>
          <w:noProof/>
          <w:sz w:val="22"/>
        </w:rPr>
        <w:t xml:space="preserve"> </w:t>
      </w:r>
      <w:r w:rsidRPr="00F23098">
        <w:rPr>
          <w:rFonts w:ascii="Calibri" w:hAnsi="Calibri"/>
          <w:b/>
          <w:noProof/>
          <w:sz w:val="22"/>
        </w:rPr>
        <w:t>European Union leadership in biofuels regulation: Europe as a normative power?</w:t>
      </w:r>
      <w:r w:rsidRPr="00B6519A">
        <w:rPr>
          <w:rFonts w:ascii="Calibri" w:hAnsi="Calibri"/>
          <w:noProof/>
          <w:sz w:val="22"/>
        </w:rPr>
        <w:t xml:space="preserve"> </w:t>
      </w:r>
      <w:r w:rsidRPr="00B6519A">
        <w:rPr>
          <w:rFonts w:ascii="Calibri" w:hAnsi="Calibri"/>
          <w:i/>
          <w:iCs/>
          <w:noProof/>
          <w:sz w:val="22"/>
        </w:rPr>
        <w:t>J. Clean. Prod.</w:t>
      </w:r>
      <w:r w:rsidRPr="00B6519A">
        <w:rPr>
          <w:rFonts w:ascii="Calibri" w:hAnsi="Calibri"/>
          <w:noProof/>
          <w:sz w:val="22"/>
        </w:rPr>
        <w:t xml:space="preserve"> </w:t>
      </w:r>
      <w:r w:rsidR="00F23098">
        <w:rPr>
          <w:rFonts w:ascii="Calibri" w:hAnsi="Calibri"/>
          <w:noProof/>
          <w:sz w:val="22"/>
        </w:rPr>
        <w:t xml:space="preserve">2012, </w:t>
      </w:r>
      <w:r w:rsidRPr="00B6519A">
        <w:rPr>
          <w:rFonts w:ascii="Calibri" w:hAnsi="Calibri"/>
          <w:b/>
          <w:bCs/>
          <w:noProof/>
          <w:sz w:val="22"/>
        </w:rPr>
        <w:t>32</w:t>
      </w:r>
      <w:r w:rsidR="00F23098" w:rsidRPr="00F23098">
        <w:rPr>
          <w:rFonts w:ascii="Calibri" w:hAnsi="Calibri"/>
          <w:bCs/>
          <w:noProof/>
          <w:sz w:val="22"/>
        </w:rPr>
        <w:t>:</w:t>
      </w:r>
      <w:r w:rsidRPr="00B6519A">
        <w:rPr>
          <w:rFonts w:ascii="Calibri" w:hAnsi="Calibri"/>
          <w:noProof/>
          <w:sz w:val="22"/>
        </w:rPr>
        <w:t xml:space="preserve"> 114–123.</w:t>
      </w:r>
    </w:p>
    <w:p w14:paraId="28925743" w14:textId="77777777" w:rsidR="00B6519A" w:rsidRPr="00B6519A" w:rsidRDefault="001630C3">
      <w:pPr>
        <w:pStyle w:val="NormalWeb"/>
        <w:ind w:left="640" w:hanging="640"/>
        <w:divId w:val="874463841"/>
        <w:rPr>
          <w:rFonts w:ascii="Calibri" w:hAnsi="Calibri"/>
          <w:noProof/>
          <w:sz w:val="22"/>
        </w:rPr>
      </w:pPr>
      <w:r>
        <w:rPr>
          <w:rFonts w:ascii="Calibri" w:hAnsi="Calibri"/>
          <w:noProof/>
          <w:sz w:val="22"/>
        </w:rPr>
        <w:t>26</w:t>
      </w:r>
      <w:r w:rsidR="00B6519A" w:rsidRPr="00B6519A">
        <w:rPr>
          <w:rFonts w:ascii="Calibri" w:hAnsi="Calibri"/>
          <w:noProof/>
          <w:sz w:val="22"/>
        </w:rPr>
        <w:t>.</w:t>
      </w:r>
      <w:r w:rsidR="00B6519A" w:rsidRPr="00B6519A">
        <w:rPr>
          <w:rFonts w:ascii="Calibri" w:hAnsi="Calibri"/>
          <w:noProof/>
          <w:sz w:val="22"/>
        </w:rPr>
        <w:tab/>
        <w:t>Bickerstaff K, Walker G &amp; Bulkeley H</w:t>
      </w:r>
      <w:r w:rsidR="00F23098">
        <w:rPr>
          <w:rFonts w:ascii="Calibri" w:hAnsi="Calibri"/>
          <w:noProof/>
          <w:sz w:val="22"/>
        </w:rPr>
        <w:t>:</w:t>
      </w:r>
      <w:r w:rsidR="00B6519A" w:rsidRPr="00B6519A">
        <w:rPr>
          <w:rFonts w:ascii="Calibri" w:hAnsi="Calibri"/>
          <w:noProof/>
          <w:sz w:val="22"/>
        </w:rPr>
        <w:t xml:space="preserve"> </w:t>
      </w:r>
      <w:r w:rsidR="00B6519A" w:rsidRPr="00B6519A">
        <w:rPr>
          <w:rFonts w:ascii="Calibri" w:hAnsi="Calibri"/>
          <w:i/>
          <w:iCs/>
          <w:noProof/>
          <w:sz w:val="22"/>
        </w:rPr>
        <w:t>Energy Justice in a Changing Climate</w:t>
      </w:r>
      <w:r w:rsidR="00B6519A" w:rsidRPr="00B6519A">
        <w:rPr>
          <w:rFonts w:ascii="Calibri" w:hAnsi="Calibri"/>
          <w:noProof/>
          <w:sz w:val="22"/>
        </w:rPr>
        <w:t>. Zed Books</w:t>
      </w:r>
      <w:r w:rsidR="00F23098">
        <w:rPr>
          <w:rFonts w:ascii="Calibri" w:hAnsi="Calibri"/>
          <w:noProof/>
          <w:sz w:val="22"/>
        </w:rPr>
        <w:t>;</w:t>
      </w:r>
      <w:r w:rsidR="00B6519A" w:rsidRPr="00B6519A">
        <w:rPr>
          <w:rFonts w:ascii="Calibri" w:hAnsi="Calibri"/>
          <w:noProof/>
          <w:sz w:val="22"/>
        </w:rPr>
        <w:t xml:space="preserve"> 2013. </w:t>
      </w:r>
    </w:p>
    <w:p w14:paraId="112A66FB" w14:textId="77777777" w:rsidR="00B6519A" w:rsidRPr="00B6519A" w:rsidRDefault="001630C3">
      <w:pPr>
        <w:pStyle w:val="NormalWeb"/>
        <w:ind w:left="640" w:hanging="640"/>
        <w:divId w:val="874463841"/>
        <w:rPr>
          <w:rFonts w:ascii="Calibri" w:hAnsi="Calibri"/>
          <w:noProof/>
          <w:sz w:val="22"/>
        </w:rPr>
      </w:pPr>
      <w:r>
        <w:rPr>
          <w:rFonts w:ascii="Calibri" w:hAnsi="Calibri"/>
          <w:noProof/>
          <w:sz w:val="22"/>
        </w:rPr>
        <w:t>27</w:t>
      </w:r>
      <w:r w:rsidR="00B6519A" w:rsidRPr="00B6519A">
        <w:rPr>
          <w:rFonts w:ascii="Calibri" w:hAnsi="Calibri"/>
          <w:noProof/>
          <w:sz w:val="22"/>
        </w:rPr>
        <w:t>.</w:t>
      </w:r>
      <w:r w:rsidR="00B6519A" w:rsidRPr="00B6519A">
        <w:rPr>
          <w:rFonts w:ascii="Calibri" w:hAnsi="Calibri"/>
          <w:noProof/>
          <w:sz w:val="22"/>
        </w:rPr>
        <w:tab/>
        <w:t>De Andrade RMT &amp; Miccolis A</w:t>
      </w:r>
      <w:r w:rsidR="00F23098">
        <w:rPr>
          <w:rFonts w:ascii="Calibri" w:hAnsi="Calibri"/>
          <w:noProof/>
          <w:sz w:val="22"/>
        </w:rPr>
        <w:t>:</w:t>
      </w:r>
      <w:r w:rsidR="00B6519A" w:rsidRPr="00B6519A">
        <w:rPr>
          <w:rFonts w:ascii="Calibri" w:hAnsi="Calibri"/>
          <w:noProof/>
          <w:sz w:val="22"/>
        </w:rPr>
        <w:t xml:space="preserve"> </w:t>
      </w:r>
      <w:r w:rsidR="00B6519A" w:rsidRPr="00B6519A">
        <w:rPr>
          <w:rFonts w:ascii="Calibri" w:hAnsi="Calibri"/>
          <w:i/>
          <w:iCs/>
          <w:noProof/>
          <w:sz w:val="22"/>
        </w:rPr>
        <w:t>Policies and institutional and legal frameworks in the expansion of Brazilian biofuels</w:t>
      </w:r>
      <w:r w:rsidR="00B6519A" w:rsidRPr="00B6519A">
        <w:rPr>
          <w:rFonts w:ascii="Calibri" w:hAnsi="Calibri"/>
          <w:noProof/>
          <w:sz w:val="22"/>
        </w:rPr>
        <w:t xml:space="preserve">. </w:t>
      </w:r>
      <w:r w:rsidR="00F23098">
        <w:rPr>
          <w:rFonts w:ascii="Calibri" w:hAnsi="Calibri"/>
          <w:noProof/>
          <w:sz w:val="22"/>
        </w:rPr>
        <w:t xml:space="preserve">CIFOR; </w:t>
      </w:r>
      <w:r w:rsidR="00B6519A" w:rsidRPr="00B6519A">
        <w:rPr>
          <w:rFonts w:ascii="Calibri" w:hAnsi="Calibri"/>
          <w:noProof/>
          <w:sz w:val="22"/>
        </w:rPr>
        <w:t>2011.</w:t>
      </w:r>
      <w:r w:rsidR="00B7454A">
        <w:rPr>
          <w:rFonts w:ascii="Calibri" w:hAnsi="Calibri"/>
          <w:noProof/>
          <w:sz w:val="22"/>
        </w:rPr>
        <w:t xml:space="preserve"> </w:t>
      </w:r>
    </w:p>
    <w:p w14:paraId="22BD6328" w14:textId="77777777" w:rsidR="00B6519A" w:rsidRPr="007C3DA8" w:rsidRDefault="001630C3">
      <w:pPr>
        <w:pStyle w:val="NormalWeb"/>
        <w:ind w:left="640" w:hanging="640"/>
        <w:divId w:val="874463841"/>
        <w:rPr>
          <w:rFonts w:ascii="Calibri" w:hAnsi="Calibri"/>
          <w:noProof/>
          <w:sz w:val="22"/>
          <w:szCs w:val="22"/>
        </w:rPr>
      </w:pPr>
      <w:r w:rsidRPr="00B6519A">
        <w:rPr>
          <w:rFonts w:ascii="Calibri" w:hAnsi="Calibri"/>
          <w:noProof/>
          <w:sz w:val="22"/>
        </w:rPr>
        <w:t>2</w:t>
      </w:r>
      <w:r>
        <w:rPr>
          <w:rFonts w:ascii="Calibri" w:hAnsi="Calibri"/>
          <w:noProof/>
          <w:sz w:val="22"/>
        </w:rPr>
        <w:t>8</w:t>
      </w:r>
      <w:r w:rsidR="00B6519A" w:rsidRPr="00B6519A">
        <w:rPr>
          <w:rFonts w:ascii="Calibri" w:hAnsi="Calibri"/>
          <w:noProof/>
          <w:sz w:val="22"/>
        </w:rPr>
        <w:t>.</w:t>
      </w:r>
      <w:r w:rsidR="00B6519A" w:rsidRPr="00B6519A">
        <w:rPr>
          <w:rFonts w:ascii="Calibri" w:hAnsi="Calibri"/>
          <w:noProof/>
          <w:sz w:val="22"/>
        </w:rPr>
        <w:tab/>
      </w:r>
      <w:r w:rsidR="00EF7F5F">
        <w:rPr>
          <w:rFonts w:ascii="Calibri" w:hAnsi="Calibri"/>
          <w:noProof/>
          <w:sz w:val="22"/>
        </w:rPr>
        <w:t>**</w:t>
      </w:r>
      <w:r w:rsidR="00B6519A" w:rsidRPr="00B6519A">
        <w:rPr>
          <w:rFonts w:ascii="Calibri" w:hAnsi="Calibri"/>
          <w:noProof/>
          <w:sz w:val="22"/>
        </w:rPr>
        <w:t>Creutzig F, Corbera E, Bolwig S &amp; Hunsberger C</w:t>
      </w:r>
      <w:r w:rsidR="00F23098">
        <w:rPr>
          <w:rFonts w:ascii="Calibri" w:hAnsi="Calibri"/>
          <w:noProof/>
          <w:sz w:val="22"/>
        </w:rPr>
        <w:t>:</w:t>
      </w:r>
      <w:r w:rsidR="00B6519A" w:rsidRPr="00B6519A">
        <w:rPr>
          <w:rFonts w:ascii="Calibri" w:hAnsi="Calibri"/>
          <w:noProof/>
          <w:sz w:val="22"/>
        </w:rPr>
        <w:t xml:space="preserve"> </w:t>
      </w:r>
      <w:r w:rsidR="00B6519A" w:rsidRPr="00F23098">
        <w:rPr>
          <w:rFonts w:ascii="Calibri" w:hAnsi="Calibri"/>
          <w:b/>
          <w:noProof/>
          <w:sz w:val="22"/>
        </w:rPr>
        <w:t>Integrating place-specific livelihood and equity outcomes into global assessments of bioenergy deployment.</w:t>
      </w:r>
      <w:r w:rsidR="00B6519A" w:rsidRPr="00B6519A">
        <w:rPr>
          <w:rFonts w:ascii="Calibri" w:hAnsi="Calibri"/>
          <w:noProof/>
          <w:sz w:val="22"/>
        </w:rPr>
        <w:t xml:space="preserve"> </w:t>
      </w:r>
      <w:r w:rsidR="00B6519A" w:rsidRPr="00B6519A">
        <w:rPr>
          <w:rFonts w:ascii="Calibri" w:hAnsi="Calibri"/>
          <w:i/>
          <w:iCs/>
          <w:noProof/>
          <w:sz w:val="22"/>
        </w:rPr>
        <w:t>Environ. Res. Lett.</w:t>
      </w:r>
      <w:r w:rsidR="00B6519A" w:rsidRPr="00B6519A">
        <w:rPr>
          <w:rFonts w:ascii="Calibri" w:hAnsi="Calibri"/>
          <w:noProof/>
          <w:sz w:val="22"/>
        </w:rPr>
        <w:t xml:space="preserve"> </w:t>
      </w:r>
      <w:r w:rsidR="00F23098">
        <w:rPr>
          <w:rFonts w:ascii="Calibri" w:hAnsi="Calibri"/>
          <w:noProof/>
          <w:sz w:val="22"/>
        </w:rPr>
        <w:t xml:space="preserve">2013, </w:t>
      </w:r>
      <w:r w:rsidR="00B6519A" w:rsidRPr="00B6519A">
        <w:rPr>
          <w:rFonts w:ascii="Calibri" w:hAnsi="Calibri"/>
          <w:b/>
          <w:bCs/>
          <w:noProof/>
          <w:sz w:val="22"/>
        </w:rPr>
        <w:t>8</w:t>
      </w:r>
      <w:r w:rsidR="00F23098">
        <w:rPr>
          <w:rFonts w:ascii="Calibri" w:hAnsi="Calibri"/>
          <w:b/>
          <w:bCs/>
          <w:noProof/>
          <w:sz w:val="22"/>
        </w:rPr>
        <w:t>:</w:t>
      </w:r>
      <w:r w:rsidR="00B6519A" w:rsidRPr="00B6519A">
        <w:rPr>
          <w:rFonts w:ascii="Calibri" w:hAnsi="Calibri"/>
          <w:noProof/>
          <w:sz w:val="22"/>
        </w:rPr>
        <w:t>035047.</w:t>
      </w:r>
      <w:r w:rsidR="00EF7F5F" w:rsidRPr="00EF7F5F">
        <w:rPr>
          <w:rFonts w:ascii="Calibri" w:hAnsi="Calibri"/>
          <w:noProof/>
          <w:sz w:val="22"/>
        </w:rPr>
        <w:t xml:space="preserve"> </w:t>
      </w:r>
      <w:r w:rsidR="00EF7F5F" w:rsidRPr="009C19A5">
        <w:rPr>
          <w:rFonts w:ascii="Calibri" w:hAnsi="Calibri"/>
          <w:sz w:val="22"/>
          <w:szCs w:val="22"/>
        </w:rPr>
        <w:t>This paper highlights the way place-specific and global dynamics influence the distribution of social and livelihood outcomes associated with bioenergy and the importance of paying attention to these issues within comprehensive sustainability assessments.</w:t>
      </w:r>
    </w:p>
    <w:p w14:paraId="5691C34E" w14:textId="77777777" w:rsidR="00B6519A" w:rsidRPr="00B6519A" w:rsidRDefault="001630C3">
      <w:pPr>
        <w:pStyle w:val="NormalWeb"/>
        <w:ind w:left="640" w:hanging="640"/>
        <w:divId w:val="874463841"/>
        <w:rPr>
          <w:rFonts w:ascii="Calibri" w:hAnsi="Calibri"/>
          <w:noProof/>
          <w:sz w:val="22"/>
        </w:rPr>
      </w:pPr>
      <w:r w:rsidRPr="00B6519A">
        <w:rPr>
          <w:rFonts w:ascii="Calibri" w:hAnsi="Calibri"/>
          <w:noProof/>
          <w:sz w:val="22"/>
        </w:rPr>
        <w:t>2</w:t>
      </w:r>
      <w:r>
        <w:rPr>
          <w:rFonts w:ascii="Calibri" w:hAnsi="Calibri"/>
          <w:noProof/>
          <w:sz w:val="22"/>
        </w:rPr>
        <w:t>9</w:t>
      </w:r>
      <w:r w:rsidR="00B6519A" w:rsidRPr="00B6519A">
        <w:rPr>
          <w:rFonts w:ascii="Calibri" w:hAnsi="Calibri"/>
          <w:noProof/>
          <w:sz w:val="22"/>
        </w:rPr>
        <w:t>.</w:t>
      </w:r>
      <w:r w:rsidR="00B6519A" w:rsidRPr="00B6519A">
        <w:rPr>
          <w:rFonts w:ascii="Calibri" w:hAnsi="Calibri"/>
          <w:noProof/>
          <w:sz w:val="22"/>
        </w:rPr>
        <w:tab/>
      </w:r>
      <w:r w:rsidR="00EF7F5F">
        <w:rPr>
          <w:rFonts w:ascii="Calibri" w:hAnsi="Calibri"/>
          <w:noProof/>
          <w:sz w:val="22"/>
        </w:rPr>
        <w:t>*</w:t>
      </w:r>
      <w:r w:rsidR="00B6519A" w:rsidRPr="00B6519A">
        <w:rPr>
          <w:rFonts w:ascii="Calibri" w:hAnsi="Calibri"/>
          <w:noProof/>
          <w:sz w:val="22"/>
        </w:rPr>
        <w:t>Mohr A &amp; Bausch L</w:t>
      </w:r>
      <w:r w:rsidR="00F23098">
        <w:rPr>
          <w:rFonts w:ascii="Calibri" w:hAnsi="Calibri"/>
          <w:noProof/>
          <w:sz w:val="22"/>
        </w:rPr>
        <w:t>:</w:t>
      </w:r>
      <w:r w:rsidR="00B6519A" w:rsidRPr="00B6519A">
        <w:rPr>
          <w:rFonts w:ascii="Calibri" w:hAnsi="Calibri"/>
          <w:noProof/>
          <w:sz w:val="22"/>
        </w:rPr>
        <w:t xml:space="preserve"> </w:t>
      </w:r>
      <w:r w:rsidR="00B6519A" w:rsidRPr="00F23098">
        <w:rPr>
          <w:rFonts w:ascii="Calibri" w:hAnsi="Calibri"/>
          <w:b/>
          <w:noProof/>
          <w:sz w:val="22"/>
        </w:rPr>
        <w:t xml:space="preserve">Social sustainability in certification schemes for biofuel production: an explorative analysis against the background of land use constraints in Brazil. </w:t>
      </w:r>
      <w:r w:rsidR="00B6519A" w:rsidRPr="00B6519A">
        <w:rPr>
          <w:rFonts w:ascii="Calibri" w:hAnsi="Calibri"/>
          <w:i/>
          <w:iCs/>
          <w:noProof/>
          <w:sz w:val="22"/>
        </w:rPr>
        <w:t>Energy. Sustain. Soc.</w:t>
      </w:r>
      <w:r w:rsidR="00F23098">
        <w:rPr>
          <w:rFonts w:ascii="Calibri" w:hAnsi="Calibri"/>
          <w:i/>
          <w:iCs/>
          <w:noProof/>
          <w:sz w:val="22"/>
        </w:rPr>
        <w:t xml:space="preserve"> </w:t>
      </w:r>
      <w:r w:rsidR="00F23098">
        <w:rPr>
          <w:rFonts w:ascii="Calibri" w:hAnsi="Calibri"/>
          <w:iCs/>
          <w:noProof/>
          <w:sz w:val="22"/>
        </w:rPr>
        <w:t>2013,</w:t>
      </w:r>
      <w:r w:rsidR="00B6519A" w:rsidRPr="00B6519A">
        <w:rPr>
          <w:rFonts w:ascii="Calibri" w:hAnsi="Calibri"/>
          <w:noProof/>
          <w:sz w:val="22"/>
        </w:rPr>
        <w:t xml:space="preserve"> </w:t>
      </w:r>
      <w:r w:rsidR="00B6519A" w:rsidRPr="00B6519A">
        <w:rPr>
          <w:rFonts w:ascii="Calibri" w:hAnsi="Calibri"/>
          <w:b/>
          <w:bCs/>
          <w:noProof/>
          <w:sz w:val="22"/>
        </w:rPr>
        <w:t>3</w:t>
      </w:r>
      <w:r w:rsidR="00F23098">
        <w:rPr>
          <w:rFonts w:ascii="Calibri" w:hAnsi="Calibri"/>
          <w:b/>
          <w:bCs/>
          <w:noProof/>
          <w:sz w:val="22"/>
        </w:rPr>
        <w:t>:</w:t>
      </w:r>
      <w:r w:rsidR="00F23098">
        <w:rPr>
          <w:rFonts w:ascii="Calibri" w:hAnsi="Calibri"/>
          <w:noProof/>
          <w:sz w:val="22"/>
        </w:rPr>
        <w:t>1-14</w:t>
      </w:r>
      <w:r w:rsidR="00B6519A" w:rsidRPr="00B6519A">
        <w:rPr>
          <w:rFonts w:ascii="Calibri" w:hAnsi="Calibri"/>
          <w:noProof/>
          <w:sz w:val="22"/>
        </w:rPr>
        <w:t>.</w:t>
      </w:r>
      <w:r w:rsidR="00EF7F5F" w:rsidRPr="00EF7F5F">
        <w:t xml:space="preserve"> </w:t>
      </w:r>
      <w:r w:rsidR="00EF7F5F" w:rsidRPr="009C19A5">
        <w:rPr>
          <w:rFonts w:ascii="Calibri" w:hAnsi="Calibri"/>
          <w:noProof/>
          <w:sz w:val="22"/>
        </w:rPr>
        <w:t>The paper highlights the limited ability for biofuel sustainability certification schemes to assess social sustainability issues particularly micro and indirect impacts of their production and consumption.</w:t>
      </w:r>
    </w:p>
    <w:p w14:paraId="30FE7602" w14:textId="77777777" w:rsidR="00B6519A" w:rsidRPr="00B6519A" w:rsidRDefault="001630C3">
      <w:pPr>
        <w:pStyle w:val="NormalWeb"/>
        <w:ind w:left="640" w:hanging="640"/>
        <w:divId w:val="874463841"/>
        <w:rPr>
          <w:rFonts w:ascii="Calibri" w:hAnsi="Calibri"/>
          <w:noProof/>
          <w:sz w:val="22"/>
        </w:rPr>
      </w:pPr>
      <w:r>
        <w:rPr>
          <w:rFonts w:ascii="Calibri" w:hAnsi="Calibri"/>
          <w:noProof/>
          <w:sz w:val="22"/>
        </w:rPr>
        <w:t>30</w:t>
      </w:r>
      <w:r w:rsidR="00B6519A" w:rsidRPr="00B6519A">
        <w:rPr>
          <w:rFonts w:ascii="Calibri" w:hAnsi="Calibri"/>
          <w:noProof/>
          <w:sz w:val="22"/>
        </w:rPr>
        <w:t>.</w:t>
      </w:r>
      <w:r w:rsidR="00B6519A" w:rsidRPr="00B6519A">
        <w:rPr>
          <w:rFonts w:ascii="Calibri" w:hAnsi="Calibri"/>
          <w:noProof/>
          <w:sz w:val="22"/>
        </w:rPr>
        <w:tab/>
        <w:t>Ribeiro BE</w:t>
      </w:r>
      <w:r w:rsidR="00F23098">
        <w:rPr>
          <w:rFonts w:ascii="Calibri" w:hAnsi="Calibri"/>
          <w:noProof/>
          <w:sz w:val="22"/>
        </w:rPr>
        <w:t>:</w:t>
      </w:r>
      <w:r w:rsidR="00B6519A" w:rsidRPr="00B6519A">
        <w:rPr>
          <w:rFonts w:ascii="Calibri" w:hAnsi="Calibri"/>
          <w:noProof/>
          <w:sz w:val="22"/>
        </w:rPr>
        <w:t xml:space="preserve"> </w:t>
      </w:r>
      <w:r w:rsidR="00B6519A" w:rsidRPr="00F23098">
        <w:rPr>
          <w:rFonts w:ascii="Calibri" w:hAnsi="Calibri"/>
          <w:b/>
          <w:noProof/>
          <w:sz w:val="22"/>
        </w:rPr>
        <w:t xml:space="preserve">Beyond commonplace biofuels: Social aspects of ethanol. </w:t>
      </w:r>
      <w:r w:rsidR="00B6519A" w:rsidRPr="00B6519A">
        <w:rPr>
          <w:rFonts w:ascii="Calibri" w:hAnsi="Calibri"/>
          <w:i/>
          <w:iCs/>
          <w:noProof/>
          <w:sz w:val="22"/>
        </w:rPr>
        <w:t>Energy Policy</w:t>
      </w:r>
      <w:r w:rsidR="00F23098">
        <w:rPr>
          <w:rFonts w:ascii="Calibri" w:hAnsi="Calibri"/>
          <w:i/>
          <w:iCs/>
          <w:noProof/>
          <w:sz w:val="22"/>
        </w:rPr>
        <w:t xml:space="preserve"> </w:t>
      </w:r>
      <w:r w:rsidR="00F23098">
        <w:rPr>
          <w:rFonts w:ascii="Calibri" w:hAnsi="Calibri"/>
          <w:iCs/>
          <w:noProof/>
          <w:sz w:val="22"/>
        </w:rPr>
        <w:t>2013,</w:t>
      </w:r>
      <w:r w:rsidR="00B6519A" w:rsidRPr="00B6519A">
        <w:rPr>
          <w:rFonts w:ascii="Calibri" w:hAnsi="Calibri"/>
          <w:noProof/>
          <w:sz w:val="22"/>
        </w:rPr>
        <w:t xml:space="preserve"> </w:t>
      </w:r>
      <w:r w:rsidR="00B6519A" w:rsidRPr="00B6519A">
        <w:rPr>
          <w:rFonts w:ascii="Calibri" w:hAnsi="Calibri"/>
          <w:b/>
          <w:bCs/>
          <w:noProof/>
          <w:sz w:val="22"/>
        </w:rPr>
        <w:t>57</w:t>
      </w:r>
      <w:r w:rsidR="00F23098">
        <w:rPr>
          <w:rFonts w:ascii="Calibri" w:hAnsi="Calibri"/>
          <w:b/>
          <w:bCs/>
          <w:noProof/>
          <w:sz w:val="22"/>
        </w:rPr>
        <w:t>:</w:t>
      </w:r>
      <w:r w:rsidR="00F23098" w:rsidRPr="00B6519A">
        <w:rPr>
          <w:rFonts w:ascii="Calibri" w:hAnsi="Calibri"/>
          <w:noProof/>
          <w:sz w:val="22"/>
        </w:rPr>
        <w:t xml:space="preserve"> </w:t>
      </w:r>
      <w:r w:rsidR="00B6519A" w:rsidRPr="00B6519A">
        <w:rPr>
          <w:rFonts w:ascii="Calibri" w:hAnsi="Calibri"/>
          <w:noProof/>
          <w:sz w:val="22"/>
        </w:rPr>
        <w:t>355–362.</w:t>
      </w:r>
    </w:p>
    <w:p w14:paraId="2D01E912" w14:textId="77777777" w:rsidR="00B6519A" w:rsidRPr="00B6519A" w:rsidRDefault="001630C3">
      <w:pPr>
        <w:pStyle w:val="NormalWeb"/>
        <w:ind w:left="640" w:hanging="640"/>
        <w:divId w:val="874463841"/>
        <w:rPr>
          <w:rFonts w:ascii="Calibri" w:hAnsi="Calibri"/>
          <w:noProof/>
          <w:sz w:val="22"/>
        </w:rPr>
      </w:pPr>
      <w:r>
        <w:rPr>
          <w:rFonts w:ascii="Calibri" w:hAnsi="Calibri"/>
          <w:noProof/>
          <w:sz w:val="22"/>
        </w:rPr>
        <w:t>31</w:t>
      </w:r>
      <w:r w:rsidR="00B6519A" w:rsidRPr="00B6519A">
        <w:rPr>
          <w:rFonts w:ascii="Calibri" w:hAnsi="Calibri"/>
          <w:noProof/>
          <w:sz w:val="22"/>
        </w:rPr>
        <w:t>.</w:t>
      </w:r>
      <w:r w:rsidR="00B6519A" w:rsidRPr="00B6519A">
        <w:rPr>
          <w:rFonts w:ascii="Calibri" w:hAnsi="Calibri"/>
          <w:noProof/>
          <w:sz w:val="22"/>
        </w:rPr>
        <w:tab/>
        <w:t>Silva Lora EE</w:t>
      </w:r>
      <w:r w:rsidR="00F23098">
        <w:rPr>
          <w:rFonts w:ascii="Calibri" w:hAnsi="Calibri"/>
          <w:noProof/>
          <w:sz w:val="22"/>
        </w:rPr>
        <w:t>,</w:t>
      </w:r>
      <w:r w:rsidR="001F6880">
        <w:rPr>
          <w:rFonts w:ascii="Calibri" w:hAnsi="Calibri"/>
          <w:noProof/>
          <w:sz w:val="22"/>
        </w:rPr>
        <w:t xml:space="preserve"> Palacio JCE, Rocha</w:t>
      </w:r>
      <w:r w:rsidR="00F23098">
        <w:rPr>
          <w:rFonts w:ascii="Calibri" w:hAnsi="Calibri"/>
          <w:noProof/>
          <w:sz w:val="22"/>
        </w:rPr>
        <w:t xml:space="preserve"> </w:t>
      </w:r>
      <w:r w:rsidR="001F6880">
        <w:rPr>
          <w:rFonts w:ascii="Calibri" w:hAnsi="Calibri"/>
          <w:noProof/>
          <w:sz w:val="22"/>
        </w:rPr>
        <w:t>MH, Grillo Renó ML, Venturini OJ &amp; del Olmo OA</w:t>
      </w:r>
      <w:r w:rsidR="00F23098">
        <w:rPr>
          <w:rFonts w:ascii="Calibri" w:hAnsi="Calibri"/>
          <w:noProof/>
          <w:sz w:val="22"/>
        </w:rPr>
        <w:t>:</w:t>
      </w:r>
      <w:r w:rsidR="00B6519A" w:rsidRPr="00B6519A">
        <w:rPr>
          <w:rFonts w:ascii="Calibri" w:hAnsi="Calibri"/>
          <w:noProof/>
          <w:sz w:val="22"/>
        </w:rPr>
        <w:t xml:space="preserve"> </w:t>
      </w:r>
      <w:r w:rsidR="00B6519A" w:rsidRPr="00F23098">
        <w:rPr>
          <w:rFonts w:ascii="Calibri" w:hAnsi="Calibri"/>
          <w:b/>
          <w:noProof/>
          <w:sz w:val="22"/>
        </w:rPr>
        <w:t>Issues to consider, existing tools and constraints in biofuels sustainability assessments.</w:t>
      </w:r>
      <w:r w:rsidR="00B6519A" w:rsidRPr="00B6519A">
        <w:rPr>
          <w:rFonts w:ascii="Calibri" w:hAnsi="Calibri"/>
          <w:noProof/>
          <w:sz w:val="22"/>
        </w:rPr>
        <w:t xml:space="preserve"> </w:t>
      </w:r>
      <w:r w:rsidR="00B6519A" w:rsidRPr="00B6519A">
        <w:rPr>
          <w:rFonts w:ascii="Calibri" w:hAnsi="Calibri"/>
          <w:i/>
          <w:iCs/>
          <w:noProof/>
          <w:sz w:val="22"/>
        </w:rPr>
        <w:t>Energy</w:t>
      </w:r>
      <w:r w:rsidR="00F23098">
        <w:rPr>
          <w:rFonts w:ascii="Calibri" w:hAnsi="Calibri"/>
          <w:i/>
          <w:iCs/>
          <w:noProof/>
          <w:sz w:val="22"/>
        </w:rPr>
        <w:t xml:space="preserve"> </w:t>
      </w:r>
      <w:r w:rsidR="00F23098">
        <w:rPr>
          <w:rFonts w:ascii="Calibri" w:hAnsi="Calibri"/>
          <w:iCs/>
          <w:noProof/>
          <w:sz w:val="22"/>
        </w:rPr>
        <w:t>2011,</w:t>
      </w:r>
      <w:r w:rsidR="00B6519A" w:rsidRPr="00B6519A">
        <w:rPr>
          <w:rFonts w:ascii="Calibri" w:hAnsi="Calibri"/>
          <w:noProof/>
          <w:sz w:val="22"/>
        </w:rPr>
        <w:t xml:space="preserve"> </w:t>
      </w:r>
      <w:r w:rsidR="00B6519A" w:rsidRPr="00B6519A">
        <w:rPr>
          <w:rFonts w:ascii="Calibri" w:hAnsi="Calibri"/>
          <w:b/>
          <w:bCs/>
          <w:noProof/>
          <w:sz w:val="22"/>
        </w:rPr>
        <w:t>36</w:t>
      </w:r>
      <w:r w:rsidR="00F23098">
        <w:rPr>
          <w:rFonts w:ascii="Calibri" w:hAnsi="Calibri"/>
          <w:b/>
          <w:bCs/>
          <w:noProof/>
          <w:sz w:val="22"/>
        </w:rPr>
        <w:t>:</w:t>
      </w:r>
      <w:r w:rsidR="00B6519A" w:rsidRPr="00B6519A">
        <w:rPr>
          <w:rFonts w:ascii="Calibri" w:hAnsi="Calibri"/>
          <w:noProof/>
          <w:sz w:val="22"/>
        </w:rPr>
        <w:t xml:space="preserve"> 2097–2110.</w:t>
      </w:r>
    </w:p>
    <w:p w14:paraId="3D570FD0"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32</w:t>
      </w:r>
      <w:r w:rsidR="00B6519A" w:rsidRPr="00B6519A">
        <w:rPr>
          <w:rFonts w:ascii="Calibri" w:hAnsi="Calibri"/>
          <w:noProof/>
          <w:sz w:val="22"/>
        </w:rPr>
        <w:t>.</w:t>
      </w:r>
      <w:r w:rsidR="00B6519A" w:rsidRPr="00B6519A">
        <w:rPr>
          <w:rFonts w:ascii="Calibri" w:hAnsi="Calibri"/>
          <w:noProof/>
          <w:sz w:val="22"/>
        </w:rPr>
        <w:tab/>
        <w:t>Nuffield Council on Bioe</w:t>
      </w:r>
      <w:r w:rsidR="00B6519A" w:rsidRPr="00EF7F5F">
        <w:rPr>
          <w:rFonts w:ascii="Calibri" w:hAnsi="Calibri"/>
          <w:noProof/>
          <w:sz w:val="22"/>
        </w:rPr>
        <w:t xml:space="preserve">thics. </w:t>
      </w:r>
      <w:r w:rsidR="00B6519A" w:rsidRPr="00EF7F5F">
        <w:rPr>
          <w:rFonts w:ascii="Calibri" w:hAnsi="Calibri"/>
          <w:i/>
          <w:iCs/>
          <w:noProof/>
          <w:sz w:val="22"/>
        </w:rPr>
        <w:t>Biofuels: Ethical issues</w:t>
      </w:r>
      <w:r w:rsidR="00B7454A">
        <w:rPr>
          <w:rFonts w:ascii="Calibri" w:hAnsi="Calibri"/>
          <w:noProof/>
          <w:sz w:val="22"/>
        </w:rPr>
        <w:t xml:space="preserve">. </w:t>
      </w:r>
      <w:r w:rsidR="00FE0A0F">
        <w:rPr>
          <w:rFonts w:ascii="Calibri" w:hAnsi="Calibri"/>
          <w:noProof/>
          <w:sz w:val="22"/>
        </w:rPr>
        <w:t xml:space="preserve">Nuffield Council on Bioethics; </w:t>
      </w:r>
      <w:r w:rsidR="00B7454A">
        <w:rPr>
          <w:rFonts w:ascii="Calibri" w:hAnsi="Calibri"/>
          <w:noProof/>
          <w:sz w:val="22"/>
        </w:rPr>
        <w:t xml:space="preserve">2011. </w:t>
      </w:r>
    </w:p>
    <w:p w14:paraId="500661D9"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33</w:t>
      </w:r>
      <w:r w:rsidR="00B6519A" w:rsidRPr="00EF7F5F">
        <w:rPr>
          <w:rFonts w:ascii="Calibri" w:hAnsi="Calibri"/>
          <w:noProof/>
          <w:sz w:val="22"/>
        </w:rPr>
        <w:t>.</w:t>
      </w:r>
      <w:r w:rsidR="00B6519A" w:rsidRPr="00EF7F5F">
        <w:rPr>
          <w:rFonts w:ascii="Calibri" w:hAnsi="Calibri"/>
          <w:noProof/>
          <w:sz w:val="22"/>
        </w:rPr>
        <w:tab/>
        <w:t>Dauvergne P &amp; Neville KJ</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b/>
          <w:noProof/>
          <w:sz w:val="22"/>
        </w:rPr>
        <w:t>Forests, food, and fuel in the tropics: the uneven social and ecological consequences of the emerging political economy of biofuels</w:t>
      </w:r>
      <w:r w:rsidR="00B6519A" w:rsidRPr="00EF7F5F">
        <w:rPr>
          <w:rFonts w:ascii="Calibri" w:hAnsi="Calibri"/>
          <w:noProof/>
          <w:sz w:val="22"/>
        </w:rPr>
        <w:t xml:space="preserve">. </w:t>
      </w:r>
      <w:r w:rsidR="00B6519A" w:rsidRPr="00EF7F5F">
        <w:rPr>
          <w:rFonts w:ascii="Calibri" w:hAnsi="Calibri"/>
          <w:i/>
          <w:iCs/>
          <w:noProof/>
          <w:sz w:val="22"/>
        </w:rPr>
        <w:t>J. Peasant Stud.</w:t>
      </w:r>
      <w:r w:rsidR="00FE0A0F">
        <w:rPr>
          <w:rFonts w:ascii="Calibri" w:hAnsi="Calibri"/>
          <w:i/>
          <w:iCs/>
          <w:noProof/>
          <w:sz w:val="22"/>
        </w:rPr>
        <w:t xml:space="preserve"> </w:t>
      </w:r>
      <w:r w:rsidR="00FE0A0F">
        <w:rPr>
          <w:rFonts w:ascii="Calibri" w:hAnsi="Calibri"/>
          <w:iCs/>
          <w:noProof/>
          <w:sz w:val="22"/>
        </w:rPr>
        <w:t>2010,</w:t>
      </w:r>
      <w:r w:rsidR="00B6519A" w:rsidRPr="00EF7F5F">
        <w:rPr>
          <w:rFonts w:ascii="Calibri" w:hAnsi="Calibri"/>
          <w:noProof/>
          <w:sz w:val="22"/>
        </w:rPr>
        <w:t xml:space="preserve"> </w:t>
      </w:r>
      <w:r w:rsidR="00B6519A" w:rsidRPr="00EF7F5F">
        <w:rPr>
          <w:rFonts w:ascii="Calibri" w:hAnsi="Calibri"/>
          <w:b/>
          <w:bCs/>
          <w:noProof/>
          <w:sz w:val="22"/>
        </w:rPr>
        <w:t>37</w:t>
      </w:r>
      <w:r w:rsidR="00FE0A0F">
        <w:rPr>
          <w:rFonts w:ascii="Calibri" w:hAnsi="Calibri"/>
          <w:bCs/>
          <w:noProof/>
          <w:sz w:val="22"/>
        </w:rPr>
        <w:t>:</w:t>
      </w:r>
      <w:r w:rsidR="00B6519A" w:rsidRPr="00EF7F5F">
        <w:rPr>
          <w:rFonts w:ascii="Calibri" w:hAnsi="Calibri"/>
          <w:noProof/>
          <w:sz w:val="22"/>
        </w:rPr>
        <w:t xml:space="preserve"> 631–60.</w:t>
      </w:r>
    </w:p>
    <w:p w14:paraId="1FE4A005"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34</w:t>
      </w:r>
      <w:r w:rsidR="00B6519A" w:rsidRPr="00EF7F5F">
        <w:rPr>
          <w:rFonts w:ascii="Calibri" w:hAnsi="Calibri"/>
          <w:noProof/>
          <w:sz w:val="22"/>
        </w:rPr>
        <w:t>.</w:t>
      </w:r>
      <w:r w:rsidR="00B6519A" w:rsidRPr="00EF7F5F">
        <w:rPr>
          <w:rFonts w:ascii="Calibri" w:hAnsi="Calibri"/>
          <w:noProof/>
          <w:sz w:val="22"/>
        </w:rPr>
        <w:tab/>
        <w:t>Hunsberger C, Bolwig S, Corbera E &amp; Creutzig F</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b/>
          <w:noProof/>
          <w:sz w:val="22"/>
        </w:rPr>
        <w:t>Livelihood impacts of biofuel crop production: Implications for governance.</w:t>
      </w:r>
      <w:r w:rsidR="00B6519A" w:rsidRPr="00EF7F5F">
        <w:rPr>
          <w:rFonts w:ascii="Calibri" w:hAnsi="Calibri"/>
          <w:noProof/>
          <w:sz w:val="22"/>
        </w:rPr>
        <w:t xml:space="preserve"> </w:t>
      </w:r>
      <w:r w:rsidR="00B6519A" w:rsidRPr="00EF7F5F">
        <w:rPr>
          <w:rFonts w:ascii="Calibri" w:hAnsi="Calibri"/>
          <w:i/>
          <w:iCs/>
          <w:noProof/>
          <w:sz w:val="22"/>
        </w:rPr>
        <w:t>Geoforum</w:t>
      </w:r>
      <w:r w:rsidR="00B6519A" w:rsidRPr="00EF7F5F">
        <w:rPr>
          <w:rFonts w:ascii="Calibri" w:hAnsi="Calibri"/>
          <w:noProof/>
          <w:sz w:val="22"/>
        </w:rPr>
        <w:t xml:space="preserve"> </w:t>
      </w:r>
      <w:r w:rsidR="00FE0A0F">
        <w:rPr>
          <w:rFonts w:ascii="Calibri" w:hAnsi="Calibri"/>
          <w:noProof/>
          <w:sz w:val="22"/>
        </w:rPr>
        <w:t xml:space="preserve">2014, </w:t>
      </w:r>
      <w:r w:rsidR="00B6519A" w:rsidRPr="00EF7F5F">
        <w:rPr>
          <w:rFonts w:ascii="Calibri" w:hAnsi="Calibri"/>
          <w:b/>
          <w:bCs/>
          <w:noProof/>
          <w:sz w:val="22"/>
        </w:rPr>
        <w:t>54</w:t>
      </w:r>
      <w:r w:rsidR="00FE0A0F">
        <w:rPr>
          <w:rFonts w:ascii="Calibri" w:hAnsi="Calibri"/>
          <w:b/>
          <w:bCs/>
          <w:noProof/>
          <w:sz w:val="22"/>
        </w:rPr>
        <w:t>:</w:t>
      </w:r>
      <w:r w:rsidR="00FE0A0F" w:rsidRPr="00EF7F5F">
        <w:rPr>
          <w:rFonts w:ascii="Calibri" w:hAnsi="Calibri"/>
          <w:noProof/>
          <w:sz w:val="22"/>
        </w:rPr>
        <w:t xml:space="preserve"> </w:t>
      </w:r>
      <w:r w:rsidR="00B6519A" w:rsidRPr="00EF7F5F">
        <w:rPr>
          <w:rFonts w:ascii="Calibri" w:hAnsi="Calibri"/>
          <w:noProof/>
          <w:sz w:val="22"/>
        </w:rPr>
        <w:t>248–260.</w:t>
      </w:r>
    </w:p>
    <w:p w14:paraId="20DB9FA8"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lastRenderedPageBreak/>
        <w:t>35</w:t>
      </w:r>
      <w:r w:rsidR="00B6519A" w:rsidRPr="00EF7F5F">
        <w:rPr>
          <w:rFonts w:ascii="Calibri" w:hAnsi="Calibri"/>
          <w:noProof/>
          <w:sz w:val="22"/>
        </w:rPr>
        <w:t>.</w:t>
      </w:r>
      <w:r w:rsidR="00B6519A" w:rsidRPr="00EF7F5F">
        <w:rPr>
          <w:rFonts w:ascii="Calibri" w:hAnsi="Calibri"/>
          <w:noProof/>
          <w:sz w:val="22"/>
        </w:rPr>
        <w:tab/>
      </w:r>
      <w:r w:rsidR="00EF7F5F" w:rsidRPr="00EF7F5F">
        <w:rPr>
          <w:rFonts w:ascii="Calibri" w:hAnsi="Calibri"/>
          <w:noProof/>
          <w:sz w:val="22"/>
        </w:rPr>
        <w:t>*</w:t>
      </w:r>
      <w:r w:rsidR="00B6519A" w:rsidRPr="00EF7F5F">
        <w:rPr>
          <w:rFonts w:ascii="Calibri" w:hAnsi="Calibri"/>
          <w:noProof/>
          <w:sz w:val="22"/>
        </w:rPr>
        <w:t>Hodbod J &amp; Tomei J</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b/>
          <w:noProof/>
          <w:sz w:val="22"/>
        </w:rPr>
        <w:t>Demystifying the Social Impacts of Biofuels at Local Levels: Where is the Evidence?</w:t>
      </w:r>
      <w:r w:rsidR="00B6519A" w:rsidRPr="00EF7F5F">
        <w:rPr>
          <w:rFonts w:ascii="Calibri" w:hAnsi="Calibri"/>
          <w:noProof/>
          <w:sz w:val="22"/>
        </w:rPr>
        <w:t xml:space="preserve"> </w:t>
      </w:r>
      <w:r w:rsidR="00B6519A" w:rsidRPr="00EF7F5F">
        <w:rPr>
          <w:rFonts w:ascii="Calibri" w:hAnsi="Calibri"/>
          <w:i/>
          <w:iCs/>
          <w:noProof/>
          <w:sz w:val="22"/>
        </w:rPr>
        <w:t>Geogr. Compass</w:t>
      </w:r>
      <w:r w:rsidR="00FE0A0F">
        <w:rPr>
          <w:rFonts w:ascii="Calibri" w:hAnsi="Calibri"/>
          <w:i/>
          <w:iCs/>
          <w:noProof/>
          <w:sz w:val="22"/>
        </w:rPr>
        <w:t xml:space="preserve"> </w:t>
      </w:r>
      <w:r w:rsidR="00FE0A0F">
        <w:rPr>
          <w:rFonts w:ascii="Calibri" w:hAnsi="Calibri"/>
          <w:iCs/>
          <w:noProof/>
          <w:sz w:val="22"/>
        </w:rPr>
        <w:t>2013,</w:t>
      </w:r>
      <w:r w:rsidR="00B6519A" w:rsidRPr="00EF7F5F">
        <w:rPr>
          <w:rFonts w:ascii="Calibri" w:hAnsi="Calibri"/>
          <w:noProof/>
          <w:sz w:val="22"/>
        </w:rPr>
        <w:t xml:space="preserve"> </w:t>
      </w:r>
      <w:r w:rsidR="00B6519A" w:rsidRPr="00EF7F5F">
        <w:rPr>
          <w:rFonts w:ascii="Calibri" w:hAnsi="Calibri"/>
          <w:b/>
          <w:bCs/>
          <w:noProof/>
          <w:sz w:val="22"/>
        </w:rPr>
        <w:t>7</w:t>
      </w:r>
      <w:r w:rsidR="00FE0A0F" w:rsidRPr="00FE0A0F">
        <w:rPr>
          <w:rFonts w:ascii="Calibri" w:hAnsi="Calibri"/>
          <w:bCs/>
          <w:noProof/>
          <w:sz w:val="22"/>
        </w:rPr>
        <w:t>:</w:t>
      </w:r>
      <w:r w:rsidR="00B6519A" w:rsidRPr="00EF7F5F">
        <w:rPr>
          <w:rFonts w:ascii="Calibri" w:hAnsi="Calibri"/>
          <w:noProof/>
          <w:sz w:val="22"/>
        </w:rPr>
        <w:t xml:space="preserve"> 478–488.</w:t>
      </w:r>
      <w:r w:rsidR="00EF7F5F" w:rsidRPr="00EF7F5F">
        <w:rPr>
          <w:rFonts w:ascii="Calibri" w:hAnsi="Calibri"/>
          <w:noProof/>
          <w:sz w:val="22"/>
        </w:rPr>
        <w:t xml:space="preserve"> </w:t>
      </w:r>
      <w:r w:rsidR="00EF7F5F" w:rsidRPr="00B7454A">
        <w:rPr>
          <w:rFonts w:ascii="Calibri" w:hAnsi="Calibri"/>
          <w:sz w:val="22"/>
        </w:rPr>
        <w:t>This paper highlights the lack of comprehensive, local scale evidence-gathering involving communities affected by biofuel production.</w:t>
      </w:r>
    </w:p>
    <w:p w14:paraId="2488C095"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36</w:t>
      </w:r>
      <w:r w:rsidR="00B6519A" w:rsidRPr="00EF7F5F">
        <w:rPr>
          <w:rFonts w:ascii="Calibri" w:hAnsi="Calibri"/>
          <w:noProof/>
          <w:sz w:val="22"/>
        </w:rPr>
        <w:t>.</w:t>
      </w:r>
      <w:r w:rsidR="00B6519A" w:rsidRPr="00EF7F5F">
        <w:rPr>
          <w:rFonts w:ascii="Calibri" w:hAnsi="Calibri"/>
          <w:noProof/>
          <w:sz w:val="22"/>
        </w:rPr>
        <w:tab/>
        <w:t>Ariza-Montobbio P &amp; Lele S</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b/>
          <w:noProof/>
          <w:sz w:val="22"/>
        </w:rPr>
        <w:t xml:space="preserve">Jatropha plantations for biodiesel in Tamil Nadu, India: Viability, livelihood trade-offs, and latent conflict. </w:t>
      </w:r>
      <w:r w:rsidR="00B6519A" w:rsidRPr="00EF7F5F">
        <w:rPr>
          <w:rFonts w:ascii="Calibri" w:hAnsi="Calibri"/>
          <w:i/>
          <w:iCs/>
          <w:noProof/>
          <w:sz w:val="22"/>
        </w:rPr>
        <w:t>Ecol. Econ.</w:t>
      </w:r>
      <w:r w:rsidR="00FE0A0F">
        <w:rPr>
          <w:rFonts w:ascii="Calibri" w:hAnsi="Calibri"/>
          <w:i/>
          <w:iCs/>
          <w:noProof/>
          <w:sz w:val="22"/>
        </w:rPr>
        <w:t xml:space="preserve"> </w:t>
      </w:r>
      <w:r w:rsidR="00FE0A0F">
        <w:rPr>
          <w:rFonts w:ascii="Calibri" w:hAnsi="Calibri"/>
          <w:iCs/>
          <w:noProof/>
          <w:sz w:val="22"/>
        </w:rPr>
        <w:t>2010,</w:t>
      </w:r>
      <w:r w:rsidR="00B6519A" w:rsidRPr="00EF7F5F">
        <w:rPr>
          <w:rFonts w:ascii="Calibri" w:hAnsi="Calibri"/>
          <w:noProof/>
          <w:sz w:val="22"/>
        </w:rPr>
        <w:t xml:space="preserve"> </w:t>
      </w:r>
      <w:r w:rsidR="00B6519A" w:rsidRPr="00EF7F5F">
        <w:rPr>
          <w:rFonts w:ascii="Calibri" w:hAnsi="Calibri"/>
          <w:b/>
          <w:bCs/>
          <w:noProof/>
          <w:sz w:val="22"/>
        </w:rPr>
        <w:t>70</w:t>
      </w:r>
      <w:r w:rsidR="00FE0A0F" w:rsidRPr="00FE0A0F">
        <w:rPr>
          <w:rFonts w:ascii="Calibri" w:hAnsi="Calibri"/>
          <w:bCs/>
          <w:noProof/>
          <w:sz w:val="22"/>
        </w:rPr>
        <w:t>:</w:t>
      </w:r>
      <w:r w:rsidR="00FE0A0F" w:rsidRPr="00EF7F5F">
        <w:rPr>
          <w:rFonts w:ascii="Calibri" w:hAnsi="Calibri"/>
          <w:noProof/>
          <w:sz w:val="22"/>
        </w:rPr>
        <w:t xml:space="preserve"> </w:t>
      </w:r>
      <w:r w:rsidR="00B6519A" w:rsidRPr="00EF7F5F">
        <w:rPr>
          <w:rFonts w:ascii="Calibri" w:hAnsi="Calibri"/>
          <w:noProof/>
          <w:sz w:val="22"/>
        </w:rPr>
        <w:t>189–195.</w:t>
      </w:r>
    </w:p>
    <w:p w14:paraId="2D50D1B9" w14:textId="77777777" w:rsidR="00B6519A" w:rsidRPr="00EF7F5F" w:rsidRDefault="001630C3">
      <w:pPr>
        <w:pStyle w:val="NormalWeb"/>
        <w:ind w:left="640" w:hanging="640"/>
        <w:divId w:val="874463841"/>
        <w:rPr>
          <w:rFonts w:ascii="Calibri" w:hAnsi="Calibri"/>
          <w:noProof/>
          <w:sz w:val="22"/>
        </w:rPr>
      </w:pPr>
      <w:r w:rsidRPr="00EF7F5F">
        <w:rPr>
          <w:rFonts w:ascii="Calibri" w:hAnsi="Calibri"/>
          <w:noProof/>
          <w:sz w:val="22"/>
        </w:rPr>
        <w:t>3</w:t>
      </w:r>
      <w:r>
        <w:rPr>
          <w:rFonts w:ascii="Calibri" w:hAnsi="Calibri"/>
          <w:noProof/>
          <w:sz w:val="22"/>
        </w:rPr>
        <w:t>7</w:t>
      </w:r>
      <w:r w:rsidR="00B6519A" w:rsidRPr="00EF7F5F">
        <w:rPr>
          <w:rFonts w:ascii="Calibri" w:hAnsi="Calibri"/>
          <w:noProof/>
          <w:sz w:val="22"/>
        </w:rPr>
        <w:t>.</w:t>
      </w:r>
      <w:r w:rsidR="00B6519A" w:rsidRPr="00EF7F5F">
        <w:rPr>
          <w:rFonts w:ascii="Calibri" w:hAnsi="Calibri"/>
          <w:noProof/>
          <w:sz w:val="22"/>
        </w:rPr>
        <w:tab/>
        <w:t>Finco MVA &amp; Doppler W</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b/>
          <w:noProof/>
          <w:sz w:val="22"/>
        </w:rPr>
        <w:t xml:space="preserve">The Brazilian biodiesel program and family farmers: What is the social inclusion reality in the Brazilian savannah? </w:t>
      </w:r>
      <w:r w:rsidR="00B6519A" w:rsidRPr="00EF7F5F">
        <w:rPr>
          <w:rFonts w:ascii="Calibri" w:hAnsi="Calibri"/>
          <w:i/>
          <w:iCs/>
          <w:noProof/>
          <w:sz w:val="22"/>
        </w:rPr>
        <w:t>Pesqui. Agropecu. Trop.</w:t>
      </w:r>
      <w:r w:rsidR="00B6519A" w:rsidRPr="00EF7F5F">
        <w:rPr>
          <w:rFonts w:ascii="Calibri" w:hAnsi="Calibri"/>
          <w:noProof/>
          <w:sz w:val="22"/>
        </w:rPr>
        <w:t xml:space="preserve"> </w:t>
      </w:r>
      <w:r w:rsidR="00FE0A0F">
        <w:rPr>
          <w:rFonts w:ascii="Calibri" w:hAnsi="Calibri"/>
          <w:noProof/>
          <w:sz w:val="22"/>
        </w:rPr>
        <w:t xml:space="preserve">2010, </w:t>
      </w:r>
      <w:r w:rsidR="00B6519A" w:rsidRPr="00EF7F5F">
        <w:rPr>
          <w:rFonts w:ascii="Calibri" w:hAnsi="Calibri"/>
          <w:b/>
          <w:bCs/>
          <w:noProof/>
          <w:sz w:val="22"/>
        </w:rPr>
        <w:t>40</w:t>
      </w:r>
      <w:r w:rsidR="00FE0A0F" w:rsidRPr="00FE0A0F">
        <w:rPr>
          <w:rFonts w:ascii="Calibri" w:hAnsi="Calibri"/>
          <w:bCs/>
          <w:noProof/>
          <w:sz w:val="22"/>
        </w:rPr>
        <w:t>:</w:t>
      </w:r>
      <w:r w:rsidR="00FE0A0F" w:rsidRPr="00EF7F5F">
        <w:rPr>
          <w:rFonts w:ascii="Calibri" w:hAnsi="Calibri"/>
          <w:noProof/>
          <w:sz w:val="22"/>
        </w:rPr>
        <w:t xml:space="preserve"> </w:t>
      </w:r>
      <w:r w:rsidR="00B6519A" w:rsidRPr="00EF7F5F">
        <w:rPr>
          <w:rFonts w:ascii="Calibri" w:hAnsi="Calibri"/>
          <w:noProof/>
          <w:sz w:val="22"/>
        </w:rPr>
        <w:t>430–438</w:t>
      </w:r>
      <w:r w:rsidR="00FE0A0F">
        <w:rPr>
          <w:rFonts w:ascii="Calibri" w:hAnsi="Calibri"/>
          <w:noProof/>
          <w:sz w:val="22"/>
        </w:rPr>
        <w:t>.</w:t>
      </w:r>
    </w:p>
    <w:p w14:paraId="108A6586" w14:textId="77777777" w:rsidR="00B6519A" w:rsidRPr="00FE0A0F" w:rsidRDefault="001630C3">
      <w:pPr>
        <w:pStyle w:val="NormalWeb"/>
        <w:ind w:left="640" w:hanging="640"/>
        <w:divId w:val="874463841"/>
        <w:rPr>
          <w:rFonts w:ascii="Calibri" w:hAnsi="Calibri"/>
          <w:noProof/>
          <w:sz w:val="22"/>
        </w:rPr>
      </w:pPr>
      <w:r w:rsidRPr="00EF7F5F">
        <w:rPr>
          <w:rFonts w:ascii="Calibri" w:hAnsi="Calibri"/>
          <w:noProof/>
          <w:sz w:val="22"/>
        </w:rPr>
        <w:t>3</w:t>
      </w:r>
      <w:r>
        <w:rPr>
          <w:rFonts w:ascii="Calibri" w:hAnsi="Calibri"/>
          <w:noProof/>
          <w:sz w:val="22"/>
        </w:rPr>
        <w:t>8</w:t>
      </w:r>
      <w:r w:rsidR="00B6519A" w:rsidRPr="00EF7F5F">
        <w:rPr>
          <w:rFonts w:ascii="Calibri" w:hAnsi="Calibri"/>
          <w:noProof/>
          <w:sz w:val="22"/>
        </w:rPr>
        <w:t>.</w:t>
      </w:r>
      <w:r w:rsidR="00B6519A" w:rsidRPr="00EF7F5F">
        <w:rPr>
          <w:rFonts w:ascii="Calibri" w:hAnsi="Calibri"/>
          <w:noProof/>
          <w:sz w:val="22"/>
        </w:rPr>
        <w:tab/>
        <w:t>McCarthy J</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b/>
          <w:noProof/>
          <w:sz w:val="22"/>
        </w:rPr>
        <w:t>Processes of inclusion and adverse incorporation: oil palm and agrarian change in Sumatra, Indonesia</w:t>
      </w:r>
      <w:r w:rsidR="00B6519A" w:rsidRPr="00EF7F5F">
        <w:rPr>
          <w:rFonts w:ascii="Calibri" w:hAnsi="Calibri"/>
          <w:noProof/>
          <w:sz w:val="22"/>
        </w:rPr>
        <w:t xml:space="preserve">. </w:t>
      </w:r>
      <w:r w:rsidR="00B6519A" w:rsidRPr="00EF7F5F">
        <w:rPr>
          <w:rFonts w:ascii="Calibri" w:hAnsi="Calibri"/>
          <w:i/>
          <w:iCs/>
          <w:noProof/>
          <w:sz w:val="22"/>
        </w:rPr>
        <w:t>J. Peasant Stud.</w:t>
      </w:r>
      <w:r w:rsidR="00B6519A" w:rsidRPr="00EF7F5F">
        <w:rPr>
          <w:rFonts w:ascii="Calibri" w:hAnsi="Calibri"/>
          <w:noProof/>
          <w:sz w:val="22"/>
        </w:rPr>
        <w:t xml:space="preserve"> 2010</w:t>
      </w:r>
      <w:r w:rsidR="00FE0A0F">
        <w:rPr>
          <w:rFonts w:ascii="Calibri" w:hAnsi="Calibri"/>
          <w:noProof/>
          <w:sz w:val="22"/>
        </w:rPr>
        <w:t>,</w:t>
      </w:r>
      <w:r w:rsidR="00B6519A" w:rsidRPr="00EF7F5F">
        <w:rPr>
          <w:rFonts w:ascii="Calibri" w:hAnsi="Calibri"/>
          <w:noProof/>
          <w:sz w:val="22"/>
        </w:rPr>
        <w:t xml:space="preserve"> </w:t>
      </w:r>
      <w:r w:rsidR="00FE0A0F">
        <w:rPr>
          <w:rFonts w:ascii="Calibri" w:hAnsi="Calibri"/>
          <w:b/>
          <w:noProof/>
          <w:sz w:val="22"/>
        </w:rPr>
        <w:t>37(4)</w:t>
      </w:r>
      <w:r w:rsidR="00FE0A0F">
        <w:rPr>
          <w:rFonts w:ascii="Calibri" w:hAnsi="Calibri"/>
          <w:noProof/>
          <w:sz w:val="22"/>
        </w:rPr>
        <w:t>: 821-850.</w:t>
      </w:r>
    </w:p>
    <w:p w14:paraId="28658BD0" w14:textId="77777777" w:rsidR="00B6519A" w:rsidRPr="00EF7F5F" w:rsidRDefault="001630C3">
      <w:pPr>
        <w:pStyle w:val="NormalWeb"/>
        <w:ind w:left="640" w:hanging="640"/>
        <w:divId w:val="874463841"/>
        <w:rPr>
          <w:rFonts w:ascii="Calibri" w:hAnsi="Calibri"/>
          <w:noProof/>
          <w:sz w:val="22"/>
        </w:rPr>
      </w:pPr>
      <w:r w:rsidRPr="00EF7F5F">
        <w:rPr>
          <w:rFonts w:ascii="Calibri" w:hAnsi="Calibri"/>
          <w:noProof/>
          <w:sz w:val="22"/>
        </w:rPr>
        <w:t>3</w:t>
      </w:r>
      <w:r>
        <w:rPr>
          <w:rFonts w:ascii="Calibri" w:hAnsi="Calibri"/>
          <w:noProof/>
          <w:sz w:val="22"/>
        </w:rPr>
        <w:t>9</w:t>
      </w:r>
      <w:r w:rsidR="00B6519A" w:rsidRPr="00EF7F5F">
        <w:rPr>
          <w:rFonts w:ascii="Calibri" w:hAnsi="Calibri"/>
          <w:noProof/>
          <w:sz w:val="22"/>
        </w:rPr>
        <w:t>.</w:t>
      </w:r>
      <w:r w:rsidR="00B6519A" w:rsidRPr="00EF7F5F">
        <w:rPr>
          <w:rFonts w:ascii="Calibri" w:hAnsi="Calibri"/>
          <w:noProof/>
          <w:sz w:val="22"/>
        </w:rPr>
        <w:tab/>
        <w:t>Findlater K &amp; Kandlikar M</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b/>
          <w:noProof/>
          <w:sz w:val="22"/>
        </w:rPr>
        <w:t>Land use and second-generation biofuel feedstocks:</w:t>
      </w:r>
      <w:r w:rsidR="00B7454A" w:rsidRPr="00FE0A0F">
        <w:rPr>
          <w:rFonts w:ascii="Calibri" w:hAnsi="Calibri"/>
          <w:b/>
          <w:noProof/>
          <w:sz w:val="22"/>
        </w:rPr>
        <w:t xml:space="preserve"> The unconsidered impacts of</w:t>
      </w:r>
      <w:r w:rsidR="00B6519A" w:rsidRPr="00FE0A0F">
        <w:rPr>
          <w:rFonts w:ascii="Calibri" w:hAnsi="Calibri"/>
          <w:b/>
          <w:noProof/>
          <w:sz w:val="22"/>
        </w:rPr>
        <w:t xml:space="preserve"> Jatropha biodiesel in Rajasthan, India</w:t>
      </w:r>
      <w:r w:rsidR="00B6519A" w:rsidRPr="00EF7F5F">
        <w:rPr>
          <w:rFonts w:ascii="Calibri" w:hAnsi="Calibri"/>
          <w:noProof/>
          <w:sz w:val="22"/>
        </w:rPr>
        <w:t xml:space="preserve">. </w:t>
      </w:r>
      <w:r w:rsidR="00B6519A" w:rsidRPr="00EF7F5F">
        <w:rPr>
          <w:rFonts w:ascii="Calibri" w:hAnsi="Calibri"/>
          <w:i/>
          <w:iCs/>
          <w:noProof/>
          <w:sz w:val="22"/>
        </w:rPr>
        <w:t>Energy Policy</w:t>
      </w:r>
      <w:r w:rsidR="00B6519A" w:rsidRPr="00EF7F5F">
        <w:rPr>
          <w:rFonts w:ascii="Calibri" w:hAnsi="Calibri"/>
          <w:noProof/>
          <w:sz w:val="22"/>
        </w:rPr>
        <w:t xml:space="preserve"> 2011</w:t>
      </w:r>
      <w:r w:rsidR="00FE0A0F">
        <w:rPr>
          <w:rFonts w:ascii="Calibri" w:hAnsi="Calibri"/>
          <w:noProof/>
          <w:sz w:val="22"/>
        </w:rPr>
        <w:t xml:space="preserve">, </w:t>
      </w:r>
      <w:r w:rsidR="00FE0A0F">
        <w:rPr>
          <w:rFonts w:ascii="Calibri" w:hAnsi="Calibri"/>
          <w:b/>
          <w:noProof/>
          <w:sz w:val="22"/>
        </w:rPr>
        <w:t>39(6)</w:t>
      </w:r>
      <w:r w:rsidR="00FE0A0F">
        <w:rPr>
          <w:rFonts w:ascii="Calibri" w:hAnsi="Calibri"/>
          <w:noProof/>
          <w:sz w:val="22"/>
        </w:rPr>
        <w:t>: 3404-3413.</w:t>
      </w:r>
      <w:r w:rsidR="00B6519A" w:rsidRPr="00EF7F5F">
        <w:rPr>
          <w:rFonts w:ascii="Calibri" w:hAnsi="Calibri"/>
          <w:noProof/>
          <w:sz w:val="22"/>
        </w:rPr>
        <w:t xml:space="preserve"> </w:t>
      </w:r>
    </w:p>
    <w:p w14:paraId="5AB18500"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40</w:t>
      </w:r>
      <w:r w:rsidR="00B6519A" w:rsidRPr="00EF7F5F">
        <w:rPr>
          <w:rFonts w:ascii="Calibri" w:hAnsi="Calibri"/>
          <w:noProof/>
          <w:sz w:val="22"/>
        </w:rPr>
        <w:t>.</w:t>
      </w:r>
      <w:r w:rsidR="00B6519A" w:rsidRPr="00EF7F5F">
        <w:rPr>
          <w:rFonts w:ascii="Calibri" w:hAnsi="Calibri"/>
          <w:noProof/>
          <w:sz w:val="22"/>
        </w:rPr>
        <w:tab/>
        <w:t>Lima M, Skutsch M &amp; Costa GDM</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b/>
          <w:noProof/>
          <w:sz w:val="22"/>
        </w:rPr>
        <w:t>Deforestation and the Social Impacts of Soy for Biodiesel: Perspectives of Farmers in the South Brazilian Amazon</w:t>
      </w:r>
      <w:r w:rsidR="00B6519A" w:rsidRPr="00EF7F5F">
        <w:rPr>
          <w:rFonts w:ascii="Calibri" w:hAnsi="Calibri"/>
          <w:noProof/>
          <w:sz w:val="22"/>
        </w:rPr>
        <w:t xml:space="preserve">. </w:t>
      </w:r>
      <w:r w:rsidR="00B6519A" w:rsidRPr="00EF7F5F">
        <w:rPr>
          <w:rFonts w:ascii="Calibri" w:hAnsi="Calibri"/>
          <w:i/>
          <w:iCs/>
          <w:noProof/>
          <w:sz w:val="22"/>
        </w:rPr>
        <w:t>Ecol</w:t>
      </w:r>
      <w:r w:rsidR="00FE0A0F">
        <w:rPr>
          <w:rFonts w:ascii="Calibri" w:hAnsi="Calibri"/>
          <w:i/>
          <w:iCs/>
          <w:noProof/>
          <w:sz w:val="22"/>
        </w:rPr>
        <w:t>ogy and Society</w:t>
      </w:r>
      <w:r w:rsidR="00B6519A" w:rsidRPr="00EF7F5F">
        <w:rPr>
          <w:rFonts w:ascii="Calibri" w:hAnsi="Calibri"/>
          <w:noProof/>
          <w:sz w:val="22"/>
        </w:rPr>
        <w:t xml:space="preserve"> </w:t>
      </w:r>
      <w:r w:rsidR="00FE0A0F">
        <w:rPr>
          <w:rFonts w:ascii="Calibri" w:hAnsi="Calibri"/>
          <w:noProof/>
          <w:sz w:val="22"/>
        </w:rPr>
        <w:t xml:space="preserve">2011, </w:t>
      </w:r>
      <w:r w:rsidR="00B6519A" w:rsidRPr="00EF7F5F">
        <w:rPr>
          <w:rFonts w:ascii="Calibri" w:hAnsi="Calibri"/>
          <w:b/>
          <w:bCs/>
          <w:noProof/>
          <w:sz w:val="22"/>
        </w:rPr>
        <w:t>16</w:t>
      </w:r>
      <w:r w:rsidR="00FE0A0F">
        <w:rPr>
          <w:rFonts w:ascii="Calibri" w:hAnsi="Calibri"/>
          <w:b/>
          <w:bCs/>
          <w:noProof/>
          <w:sz w:val="22"/>
        </w:rPr>
        <w:t>:</w:t>
      </w:r>
      <w:r w:rsidR="00B6519A" w:rsidRPr="00EF7F5F">
        <w:rPr>
          <w:rFonts w:ascii="Calibri" w:hAnsi="Calibri"/>
          <w:noProof/>
          <w:sz w:val="22"/>
        </w:rPr>
        <w:t>art4.</w:t>
      </w:r>
    </w:p>
    <w:p w14:paraId="6748340E"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41</w:t>
      </w:r>
      <w:r w:rsidR="00B6519A" w:rsidRPr="00EF7F5F">
        <w:rPr>
          <w:rFonts w:ascii="Calibri" w:hAnsi="Calibri"/>
          <w:noProof/>
          <w:sz w:val="22"/>
        </w:rPr>
        <w:t>.</w:t>
      </w:r>
      <w:r w:rsidR="00B6519A" w:rsidRPr="00EF7F5F">
        <w:rPr>
          <w:rFonts w:ascii="Calibri" w:hAnsi="Calibri"/>
          <w:noProof/>
          <w:sz w:val="22"/>
        </w:rPr>
        <w:tab/>
        <w:t>Schoneveld GC, German L &amp; Nutakor E</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i/>
          <w:noProof/>
          <w:sz w:val="22"/>
        </w:rPr>
        <w:t>Towards sustainable biofuel development: assessing the local impacts of large-scale foreign land acquisitions in Ghana</w:t>
      </w:r>
      <w:r w:rsidR="00B6519A" w:rsidRPr="00EF7F5F">
        <w:rPr>
          <w:rFonts w:ascii="Calibri" w:hAnsi="Calibri"/>
          <w:noProof/>
          <w:sz w:val="22"/>
        </w:rPr>
        <w:t xml:space="preserve">. </w:t>
      </w:r>
      <w:r w:rsidR="00FE0A0F">
        <w:rPr>
          <w:rFonts w:ascii="Calibri" w:hAnsi="Calibri"/>
          <w:noProof/>
          <w:sz w:val="22"/>
        </w:rPr>
        <w:t xml:space="preserve">CIFOR; </w:t>
      </w:r>
      <w:r w:rsidR="00B6519A" w:rsidRPr="00EF7F5F">
        <w:rPr>
          <w:rFonts w:ascii="Calibri" w:hAnsi="Calibri"/>
          <w:noProof/>
          <w:sz w:val="22"/>
        </w:rPr>
        <w:t>2010.</w:t>
      </w:r>
    </w:p>
    <w:p w14:paraId="5801DBDE"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42</w:t>
      </w:r>
      <w:r w:rsidR="00B6519A" w:rsidRPr="00EF7F5F">
        <w:rPr>
          <w:rFonts w:ascii="Calibri" w:hAnsi="Calibri"/>
          <w:noProof/>
          <w:sz w:val="22"/>
        </w:rPr>
        <w:t>.</w:t>
      </w:r>
      <w:r w:rsidR="00B6519A" w:rsidRPr="00EF7F5F">
        <w:rPr>
          <w:rFonts w:ascii="Calibri" w:hAnsi="Calibri"/>
          <w:noProof/>
          <w:sz w:val="22"/>
        </w:rPr>
        <w:tab/>
        <w:t>Skutsch M</w:t>
      </w:r>
      <w:r w:rsidR="00FE0A0F">
        <w:rPr>
          <w:rFonts w:ascii="Calibri" w:hAnsi="Calibri"/>
          <w:i/>
          <w:iCs/>
          <w:noProof/>
          <w:sz w:val="22"/>
        </w:rPr>
        <w:t>, de los Rios E, Solis S, Riegelhaupt E, Hinojosa D, Gerfert S, Gao Y &amp; Masera O:</w:t>
      </w:r>
      <w:r w:rsidR="00B6519A" w:rsidRPr="00EF7F5F">
        <w:rPr>
          <w:rFonts w:ascii="Calibri" w:hAnsi="Calibri"/>
          <w:noProof/>
          <w:sz w:val="22"/>
        </w:rPr>
        <w:t xml:space="preserve"> </w:t>
      </w:r>
      <w:r w:rsidR="00B6519A" w:rsidRPr="00FE0A0F">
        <w:rPr>
          <w:rFonts w:ascii="Calibri" w:hAnsi="Calibri"/>
          <w:b/>
          <w:noProof/>
          <w:sz w:val="22"/>
        </w:rPr>
        <w:t>Jatropha in Mexico: Environmental and Social Impacts of an Incipient Biofuel Program</w:t>
      </w:r>
      <w:r w:rsidR="00B6519A" w:rsidRPr="00EF7F5F">
        <w:rPr>
          <w:rFonts w:ascii="Calibri" w:hAnsi="Calibri"/>
          <w:noProof/>
          <w:sz w:val="22"/>
        </w:rPr>
        <w:t xml:space="preserve">. </w:t>
      </w:r>
      <w:r w:rsidR="00B6519A" w:rsidRPr="00EF7F5F">
        <w:rPr>
          <w:rFonts w:ascii="Calibri" w:hAnsi="Calibri"/>
          <w:i/>
          <w:iCs/>
          <w:noProof/>
          <w:sz w:val="22"/>
        </w:rPr>
        <w:t>Ecol</w:t>
      </w:r>
      <w:r w:rsidR="00FE0A0F">
        <w:rPr>
          <w:rFonts w:ascii="Calibri" w:hAnsi="Calibri"/>
          <w:i/>
          <w:iCs/>
          <w:noProof/>
          <w:sz w:val="22"/>
        </w:rPr>
        <w:t xml:space="preserve">ogy and </w:t>
      </w:r>
      <w:r w:rsidR="00B6519A" w:rsidRPr="00EF7F5F">
        <w:rPr>
          <w:rFonts w:ascii="Calibri" w:hAnsi="Calibri"/>
          <w:i/>
          <w:iCs/>
          <w:noProof/>
          <w:sz w:val="22"/>
        </w:rPr>
        <w:t>Soc</w:t>
      </w:r>
      <w:r w:rsidR="00FE0A0F">
        <w:rPr>
          <w:rFonts w:ascii="Calibri" w:hAnsi="Calibri"/>
          <w:i/>
          <w:iCs/>
          <w:noProof/>
          <w:sz w:val="22"/>
        </w:rPr>
        <w:t xml:space="preserve">iety </w:t>
      </w:r>
      <w:r w:rsidR="00FE0A0F">
        <w:rPr>
          <w:rFonts w:ascii="Calibri" w:hAnsi="Calibri"/>
          <w:iCs/>
          <w:noProof/>
          <w:sz w:val="22"/>
        </w:rPr>
        <w:t>2011,</w:t>
      </w:r>
      <w:r w:rsidR="00B6519A" w:rsidRPr="00EF7F5F">
        <w:rPr>
          <w:rFonts w:ascii="Calibri" w:hAnsi="Calibri"/>
          <w:noProof/>
          <w:sz w:val="22"/>
        </w:rPr>
        <w:t xml:space="preserve"> </w:t>
      </w:r>
      <w:r w:rsidR="00B6519A" w:rsidRPr="00EF7F5F">
        <w:rPr>
          <w:rFonts w:ascii="Calibri" w:hAnsi="Calibri"/>
          <w:b/>
          <w:bCs/>
          <w:noProof/>
          <w:sz w:val="22"/>
        </w:rPr>
        <w:t>16</w:t>
      </w:r>
      <w:r w:rsidR="00FE0A0F">
        <w:rPr>
          <w:rFonts w:ascii="Calibri" w:hAnsi="Calibri"/>
          <w:b/>
          <w:bCs/>
          <w:noProof/>
          <w:sz w:val="22"/>
        </w:rPr>
        <w:t xml:space="preserve">: </w:t>
      </w:r>
      <w:r w:rsidR="00B6519A" w:rsidRPr="00EF7F5F">
        <w:rPr>
          <w:rFonts w:ascii="Calibri" w:hAnsi="Calibri"/>
          <w:noProof/>
          <w:sz w:val="22"/>
        </w:rPr>
        <w:t>art11.</w:t>
      </w:r>
    </w:p>
    <w:p w14:paraId="5A5CCB3C"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43</w:t>
      </w:r>
      <w:r w:rsidR="00B6519A" w:rsidRPr="00EF7F5F">
        <w:rPr>
          <w:rFonts w:ascii="Calibri" w:hAnsi="Calibri"/>
          <w:noProof/>
          <w:sz w:val="22"/>
        </w:rPr>
        <w:t>.</w:t>
      </w:r>
      <w:r w:rsidR="00B6519A" w:rsidRPr="00EF7F5F">
        <w:rPr>
          <w:rFonts w:ascii="Calibri" w:hAnsi="Calibri"/>
          <w:noProof/>
          <w:sz w:val="22"/>
        </w:rPr>
        <w:tab/>
        <w:t>Grimsby LK, Aune JB &amp; Johnsen FH</w:t>
      </w:r>
      <w:r w:rsidR="00FE0A0F">
        <w:rPr>
          <w:rFonts w:ascii="Calibri" w:hAnsi="Calibri"/>
          <w:noProof/>
          <w:sz w:val="22"/>
        </w:rPr>
        <w:t>:</w:t>
      </w:r>
      <w:r w:rsidR="00B6519A" w:rsidRPr="00FE0A0F">
        <w:rPr>
          <w:rFonts w:ascii="Calibri" w:hAnsi="Calibri"/>
          <w:b/>
          <w:noProof/>
          <w:sz w:val="22"/>
        </w:rPr>
        <w:t xml:space="preserve"> Human energy requirements in Jatropha oil production for rural electrification in Tanzania</w:t>
      </w:r>
      <w:r w:rsidR="00B6519A" w:rsidRPr="00EF7F5F">
        <w:rPr>
          <w:rFonts w:ascii="Calibri" w:hAnsi="Calibri"/>
          <w:noProof/>
          <w:sz w:val="22"/>
        </w:rPr>
        <w:t xml:space="preserve">. </w:t>
      </w:r>
      <w:r w:rsidR="00B6519A" w:rsidRPr="00EF7F5F">
        <w:rPr>
          <w:rFonts w:ascii="Calibri" w:hAnsi="Calibri"/>
          <w:i/>
          <w:iCs/>
          <w:noProof/>
          <w:sz w:val="22"/>
        </w:rPr>
        <w:t>Energy Sustain. Dev.</w:t>
      </w:r>
      <w:r w:rsidR="00B6519A" w:rsidRPr="00EF7F5F">
        <w:rPr>
          <w:rFonts w:ascii="Calibri" w:hAnsi="Calibri"/>
          <w:noProof/>
          <w:sz w:val="22"/>
        </w:rPr>
        <w:t xml:space="preserve"> </w:t>
      </w:r>
      <w:r w:rsidR="00FE0A0F">
        <w:rPr>
          <w:rFonts w:ascii="Calibri" w:hAnsi="Calibri"/>
          <w:noProof/>
          <w:sz w:val="22"/>
        </w:rPr>
        <w:t xml:space="preserve">2012, </w:t>
      </w:r>
      <w:r w:rsidR="00B6519A" w:rsidRPr="00EF7F5F">
        <w:rPr>
          <w:rFonts w:ascii="Calibri" w:hAnsi="Calibri"/>
          <w:b/>
          <w:bCs/>
          <w:noProof/>
          <w:sz w:val="22"/>
        </w:rPr>
        <w:t>16</w:t>
      </w:r>
      <w:r w:rsidR="00FE0A0F">
        <w:rPr>
          <w:rFonts w:ascii="Calibri" w:hAnsi="Calibri"/>
          <w:b/>
          <w:bCs/>
          <w:noProof/>
          <w:sz w:val="22"/>
        </w:rPr>
        <w:t>:</w:t>
      </w:r>
      <w:r w:rsidR="00FE0A0F" w:rsidRPr="00EF7F5F">
        <w:rPr>
          <w:rFonts w:ascii="Calibri" w:hAnsi="Calibri"/>
          <w:noProof/>
          <w:sz w:val="22"/>
        </w:rPr>
        <w:t xml:space="preserve"> </w:t>
      </w:r>
      <w:r w:rsidR="00B6519A" w:rsidRPr="00EF7F5F">
        <w:rPr>
          <w:rFonts w:ascii="Calibri" w:hAnsi="Calibri"/>
          <w:noProof/>
          <w:sz w:val="22"/>
        </w:rPr>
        <w:t>297–302.</w:t>
      </w:r>
    </w:p>
    <w:p w14:paraId="34ED92BE"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44</w:t>
      </w:r>
      <w:r w:rsidR="00B6519A" w:rsidRPr="00EF7F5F">
        <w:rPr>
          <w:rFonts w:ascii="Calibri" w:hAnsi="Calibri"/>
          <w:noProof/>
          <w:sz w:val="22"/>
        </w:rPr>
        <w:t>.</w:t>
      </w:r>
      <w:r w:rsidR="00B6519A" w:rsidRPr="00EF7F5F">
        <w:rPr>
          <w:rFonts w:ascii="Calibri" w:hAnsi="Calibri"/>
          <w:noProof/>
          <w:sz w:val="22"/>
        </w:rPr>
        <w:tab/>
        <w:t>Hought J, Birch-Thomsen T, Peterson J, de Neergaard A &amp; Oelofse M</w:t>
      </w:r>
      <w:r w:rsidR="00FE0A0F">
        <w:rPr>
          <w:rFonts w:ascii="Calibri" w:hAnsi="Calibri"/>
          <w:noProof/>
          <w:sz w:val="22"/>
        </w:rPr>
        <w:t>:</w:t>
      </w:r>
      <w:r w:rsidR="00B6519A" w:rsidRPr="00FE0A0F">
        <w:rPr>
          <w:rFonts w:ascii="Calibri" w:hAnsi="Calibri"/>
          <w:b/>
          <w:noProof/>
          <w:sz w:val="22"/>
        </w:rPr>
        <w:t xml:space="preserve"> Biofuels, land use change and smallholder livelihoods: A case study from Banteay Chhmar, Cambodia</w:t>
      </w:r>
      <w:r w:rsidR="00B6519A" w:rsidRPr="00EF7F5F">
        <w:rPr>
          <w:rFonts w:ascii="Calibri" w:hAnsi="Calibri"/>
          <w:noProof/>
          <w:sz w:val="22"/>
        </w:rPr>
        <w:t xml:space="preserve">. </w:t>
      </w:r>
      <w:r w:rsidR="00B6519A" w:rsidRPr="00EF7F5F">
        <w:rPr>
          <w:rFonts w:ascii="Calibri" w:hAnsi="Calibri"/>
          <w:i/>
          <w:iCs/>
          <w:noProof/>
          <w:sz w:val="22"/>
        </w:rPr>
        <w:t>Appl. Geogr.</w:t>
      </w:r>
      <w:r w:rsidR="00B6519A" w:rsidRPr="00EF7F5F">
        <w:rPr>
          <w:rFonts w:ascii="Calibri" w:hAnsi="Calibri"/>
          <w:noProof/>
          <w:sz w:val="22"/>
        </w:rPr>
        <w:t xml:space="preserve"> </w:t>
      </w:r>
      <w:r w:rsidR="00FE0A0F">
        <w:rPr>
          <w:rFonts w:ascii="Calibri" w:hAnsi="Calibri"/>
          <w:noProof/>
          <w:sz w:val="22"/>
        </w:rPr>
        <w:t xml:space="preserve">2012, </w:t>
      </w:r>
      <w:r w:rsidR="00B6519A" w:rsidRPr="00EF7F5F">
        <w:rPr>
          <w:rFonts w:ascii="Calibri" w:hAnsi="Calibri"/>
          <w:b/>
          <w:bCs/>
          <w:noProof/>
          <w:sz w:val="22"/>
        </w:rPr>
        <w:t>34</w:t>
      </w:r>
      <w:r w:rsidR="00FE0A0F">
        <w:rPr>
          <w:rFonts w:ascii="Calibri" w:hAnsi="Calibri"/>
          <w:b/>
          <w:bCs/>
          <w:noProof/>
          <w:sz w:val="22"/>
        </w:rPr>
        <w:t>:</w:t>
      </w:r>
      <w:r w:rsidR="00FE0A0F" w:rsidRPr="00EF7F5F">
        <w:rPr>
          <w:rFonts w:ascii="Calibri" w:hAnsi="Calibri"/>
          <w:noProof/>
          <w:sz w:val="22"/>
        </w:rPr>
        <w:t xml:space="preserve"> </w:t>
      </w:r>
      <w:r w:rsidR="00B6519A" w:rsidRPr="00EF7F5F">
        <w:rPr>
          <w:rFonts w:ascii="Calibri" w:hAnsi="Calibri"/>
          <w:noProof/>
          <w:sz w:val="22"/>
        </w:rPr>
        <w:t>525–532.</w:t>
      </w:r>
    </w:p>
    <w:p w14:paraId="1923439D"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45</w:t>
      </w:r>
      <w:r w:rsidR="00B6519A" w:rsidRPr="00EF7F5F">
        <w:rPr>
          <w:rFonts w:ascii="Calibri" w:hAnsi="Calibri"/>
          <w:noProof/>
          <w:sz w:val="22"/>
        </w:rPr>
        <w:t>.</w:t>
      </w:r>
      <w:r w:rsidR="00B6519A" w:rsidRPr="00EF7F5F">
        <w:rPr>
          <w:rFonts w:ascii="Calibri" w:hAnsi="Calibri"/>
          <w:noProof/>
          <w:sz w:val="22"/>
        </w:rPr>
        <w:tab/>
        <w:t>Obidzinski K, Andriani R</w:t>
      </w:r>
      <w:r w:rsidR="00FE0A0F">
        <w:rPr>
          <w:rFonts w:ascii="Calibri" w:hAnsi="Calibri"/>
          <w:noProof/>
          <w:sz w:val="22"/>
        </w:rPr>
        <w:t xml:space="preserve">, Komanidin </w:t>
      </w:r>
      <w:r w:rsidR="00B6519A" w:rsidRPr="00EF7F5F">
        <w:rPr>
          <w:rFonts w:ascii="Calibri" w:hAnsi="Calibri"/>
          <w:noProof/>
          <w:sz w:val="22"/>
        </w:rPr>
        <w:t>HK &amp; A</w:t>
      </w:r>
      <w:r w:rsidR="00FE0A0F">
        <w:rPr>
          <w:rFonts w:ascii="Calibri" w:hAnsi="Calibri"/>
          <w:noProof/>
          <w:sz w:val="22"/>
        </w:rPr>
        <w:t>ndrianto</w:t>
      </w:r>
      <w:r w:rsidR="00B6519A" w:rsidRPr="00EF7F5F">
        <w:rPr>
          <w:rFonts w:ascii="Calibri" w:hAnsi="Calibri"/>
          <w:noProof/>
          <w:sz w:val="22"/>
        </w:rPr>
        <w:t xml:space="preserve"> A</w:t>
      </w:r>
      <w:r w:rsidR="00FE0A0F">
        <w:rPr>
          <w:rFonts w:ascii="Calibri" w:hAnsi="Calibri"/>
          <w:noProof/>
          <w:sz w:val="22"/>
        </w:rPr>
        <w:t>:</w:t>
      </w:r>
      <w:r w:rsidR="00B6519A" w:rsidRPr="00FE0A0F">
        <w:rPr>
          <w:rFonts w:ascii="Calibri" w:hAnsi="Calibri"/>
          <w:b/>
          <w:noProof/>
          <w:sz w:val="22"/>
        </w:rPr>
        <w:t xml:space="preserve"> Environmental and social impacts of oil palm plantations and their implications for biofuel production in Indonesia</w:t>
      </w:r>
      <w:r w:rsidR="00B6519A" w:rsidRPr="00EF7F5F">
        <w:rPr>
          <w:rFonts w:ascii="Calibri" w:hAnsi="Calibri"/>
          <w:noProof/>
          <w:sz w:val="22"/>
        </w:rPr>
        <w:t xml:space="preserve">. </w:t>
      </w:r>
      <w:r w:rsidR="00B6519A" w:rsidRPr="00EF7F5F">
        <w:rPr>
          <w:rFonts w:ascii="Calibri" w:hAnsi="Calibri"/>
          <w:i/>
          <w:iCs/>
          <w:noProof/>
          <w:sz w:val="22"/>
        </w:rPr>
        <w:t>Ecol</w:t>
      </w:r>
      <w:r w:rsidR="00FE0A0F">
        <w:rPr>
          <w:rFonts w:ascii="Calibri" w:hAnsi="Calibri"/>
          <w:i/>
          <w:iCs/>
          <w:noProof/>
          <w:sz w:val="22"/>
        </w:rPr>
        <w:t xml:space="preserve">ogy and Society </w:t>
      </w:r>
      <w:r w:rsidR="00FE0A0F">
        <w:rPr>
          <w:rFonts w:ascii="Calibri" w:hAnsi="Calibri"/>
          <w:iCs/>
          <w:noProof/>
          <w:sz w:val="22"/>
        </w:rPr>
        <w:t>2012,</w:t>
      </w:r>
      <w:r w:rsidR="00B6519A" w:rsidRPr="00EF7F5F">
        <w:rPr>
          <w:rFonts w:ascii="Calibri" w:hAnsi="Calibri"/>
          <w:noProof/>
          <w:sz w:val="22"/>
        </w:rPr>
        <w:t xml:space="preserve"> </w:t>
      </w:r>
      <w:r w:rsidR="00B6519A" w:rsidRPr="00EF7F5F">
        <w:rPr>
          <w:rFonts w:ascii="Calibri" w:hAnsi="Calibri"/>
          <w:b/>
          <w:bCs/>
          <w:noProof/>
          <w:sz w:val="22"/>
        </w:rPr>
        <w:t>17</w:t>
      </w:r>
      <w:r w:rsidR="00FE0A0F">
        <w:rPr>
          <w:rFonts w:ascii="Calibri" w:hAnsi="Calibri"/>
          <w:bCs/>
          <w:noProof/>
          <w:sz w:val="22"/>
        </w:rPr>
        <w:t>: art</w:t>
      </w:r>
      <w:r w:rsidR="00B6519A" w:rsidRPr="00EF7F5F">
        <w:rPr>
          <w:rFonts w:ascii="Calibri" w:hAnsi="Calibri"/>
          <w:noProof/>
          <w:sz w:val="22"/>
        </w:rPr>
        <w:t>25.</w:t>
      </w:r>
    </w:p>
    <w:p w14:paraId="78E5A789" w14:textId="77777777" w:rsidR="00B6519A" w:rsidRPr="00EF7F5F" w:rsidRDefault="001630C3">
      <w:pPr>
        <w:pStyle w:val="NormalWeb"/>
        <w:ind w:left="640" w:hanging="640"/>
        <w:divId w:val="874463841"/>
        <w:rPr>
          <w:rFonts w:ascii="Calibri" w:hAnsi="Calibri"/>
          <w:noProof/>
          <w:sz w:val="22"/>
        </w:rPr>
      </w:pPr>
      <w:r>
        <w:rPr>
          <w:rFonts w:ascii="Calibri" w:hAnsi="Calibri"/>
          <w:noProof/>
          <w:sz w:val="22"/>
        </w:rPr>
        <w:t>46</w:t>
      </w:r>
      <w:r w:rsidR="00B6519A" w:rsidRPr="00EF7F5F">
        <w:rPr>
          <w:rFonts w:ascii="Calibri" w:hAnsi="Calibri"/>
          <w:noProof/>
          <w:sz w:val="22"/>
        </w:rPr>
        <w:t>.</w:t>
      </w:r>
      <w:r w:rsidR="00B6519A" w:rsidRPr="00EF7F5F">
        <w:rPr>
          <w:rFonts w:ascii="Calibri" w:hAnsi="Calibri"/>
          <w:noProof/>
          <w:sz w:val="22"/>
        </w:rPr>
        <w:tab/>
        <w:t xml:space="preserve">Schoneveld, G. C., German, L. A. &amp; Nutakor, E. Land-based investments for rural development? A grounded analysis of the local impacts of biofuel feedstock plantations in Ghana. </w:t>
      </w:r>
      <w:r w:rsidR="00B6519A" w:rsidRPr="00EF7F5F">
        <w:rPr>
          <w:rFonts w:ascii="Calibri" w:hAnsi="Calibri"/>
          <w:i/>
          <w:iCs/>
          <w:noProof/>
          <w:sz w:val="22"/>
        </w:rPr>
        <w:t>Ecol. Soc.</w:t>
      </w:r>
      <w:r w:rsidR="00B6519A" w:rsidRPr="00EF7F5F">
        <w:rPr>
          <w:rFonts w:ascii="Calibri" w:hAnsi="Calibri"/>
          <w:noProof/>
          <w:sz w:val="22"/>
        </w:rPr>
        <w:t xml:space="preserve"> </w:t>
      </w:r>
      <w:r w:rsidR="00B6519A" w:rsidRPr="00EF7F5F">
        <w:rPr>
          <w:rFonts w:ascii="Calibri" w:hAnsi="Calibri"/>
          <w:b/>
          <w:bCs/>
          <w:noProof/>
          <w:sz w:val="22"/>
        </w:rPr>
        <w:t>16,</w:t>
      </w:r>
      <w:r w:rsidR="00B6519A" w:rsidRPr="00EF7F5F">
        <w:rPr>
          <w:rFonts w:ascii="Calibri" w:hAnsi="Calibri"/>
          <w:noProof/>
          <w:sz w:val="22"/>
        </w:rPr>
        <w:t xml:space="preserve"> 10 (2011).</w:t>
      </w:r>
    </w:p>
    <w:p w14:paraId="1D593A3E" w14:textId="77777777" w:rsidR="00B6519A" w:rsidRPr="00EF7F5F" w:rsidRDefault="00FE3544">
      <w:pPr>
        <w:pStyle w:val="NormalWeb"/>
        <w:ind w:left="640" w:hanging="640"/>
        <w:divId w:val="874463841"/>
        <w:rPr>
          <w:rFonts w:ascii="Calibri" w:hAnsi="Calibri"/>
          <w:noProof/>
          <w:sz w:val="22"/>
        </w:rPr>
      </w:pPr>
      <w:r>
        <w:rPr>
          <w:rFonts w:ascii="Calibri" w:hAnsi="Calibri"/>
          <w:noProof/>
          <w:sz w:val="22"/>
        </w:rPr>
        <w:t>47</w:t>
      </w:r>
      <w:r w:rsidR="00B6519A" w:rsidRPr="00EF7F5F">
        <w:rPr>
          <w:rFonts w:ascii="Calibri" w:hAnsi="Calibri"/>
          <w:noProof/>
          <w:sz w:val="22"/>
        </w:rPr>
        <w:t>.</w:t>
      </w:r>
      <w:r w:rsidR="00B6519A" w:rsidRPr="00EF7F5F">
        <w:rPr>
          <w:rFonts w:ascii="Calibri" w:hAnsi="Calibri"/>
          <w:noProof/>
          <w:sz w:val="22"/>
        </w:rPr>
        <w:tab/>
        <w:t>Favretto N, Stringer LC &amp; Dougill AJ</w:t>
      </w:r>
      <w:r w:rsidR="00FE0A0F">
        <w:rPr>
          <w:rFonts w:ascii="Calibri" w:hAnsi="Calibri"/>
          <w:noProof/>
          <w:sz w:val="22"/>
        </w:rPr>
        <w:t>:</w:t>
      </w:r>
      <w:r w:rsidR="00B6519A" w:rsidRPr="00FE0A0F">
        <w:rPr>
          <w:rFonts w:ascii="Calibri" w:hAnsi="Calibri"/>
          <w:b/>
          <w:noProof/>
          <w:sz w:val="22"/>
        </w:rPr>
        <w:t xml:space="preserve"> Unpacking livelihood challenges and opportunities in energy crop cultivation : perspectives on Jatropha curcas projects in Mali.</w:t>
      </w:r>
      <w:r w:rsidR="00B6519A" w:rsidRPr="00EF7F5F">
        <w:rPr>
          <w:rFonts w:ascii="Calibri" w:hAnsi="Calibri"/>
          <w:noProof/>
          <w:sz w:val="22"/>
        </w:rPr>
        <w:t xml:space="preserve"> </w:t>
      </w:r>
      <w:r w:rsidR="00FE0A0F" w:rsidRPr="00FE0A0F">
        <w:rPr>
          <w:rFonts w:ascii="Calibri" w:hAnsi="Calibri"/>
          <w:i/>
          <w:noProof/>
          <w:sz w:val="22"/>
        </w:rPr>
        <w:t xml:space="preserve">The Geographical Journal </w:t>
      </w:r>
      <w:r w:rsidR="00B6519A" w:rsidRPr="00EF7F5F">
        <w:rPr>
          <w:rFonts w:ascii="Calibri" w:hAnsi="Calibri"/>
          <w:noProof/>
          <w:sz w:val="22"/>
        </w:rPr>
        <w:t>2013</w:t>
      </w:r>
      <w:r w:rsidR="00FE0A0F">
        <w:rPr>
          <w:rFonts w:ascii="Calibri" w:hAnsi="Calibri"/>
          <w:noProof/>
          <w:sz w:val="22"/>
        </w:rPr>
        <w:t xml:space="preserve">, </w:t>
      </w:r>
      <w:r w:rsidR="00FE0A0F">
        <w:rPr>
          <w:rFonts w:ascii="Calibri" w:hAnsi="Calibri"/>
          <w:b/>
          <w:noProof/>
          <w:sz w:val="22"/>
        </w:rPr>
        <w:t>180(4)</w:t>
      </w:r>
      <w:r w:rsidR="00FE0A0F">
        <w:rPr>
          <w:rFonts w:ascii="Calibri" w:hAnsi="Calibri"/>
          <w:noProof/>
          <w:sz w:val="22"/>
        </w:rPr>
        <w:t>: 365-376</w:t>
      </w:r>
      <w:r w:rsidR="00B6519A" w:rsidRPr="00EF7F5F">
        <w:rPr>
          <w:rFonts w:ascii="Calibri" w:hAnsi="Calibri"/>
          <w:noProof/>
          <w:sz w:val="22"/>
        </w:rPr>
        <w:t xml:space="preserve">. </w:t>
      </w:r>
    </w:p>
    <w:p w14:paraId="031C1F97" w14:textId="77777777" w:rsidR="00B6519A" w:rsidRPr="00EF7F5F" w:rsidRDefault="00FE3544">
      <w:pPr>
        <w:pStyle w:val="NormalWeb"/>
        <w:ind w:left="640" w:hanging="640"/>
        <w:divId w:val="874463841"/>
        <w:rPr>
          <w:rFonts w:ascii="Calibri" w:hAnsi="Calibri"/>
          <w:noProof/>
          <w:sz w:val="22"/>
        </w:rPr>
      </w:pPr>
      <w:r>
        <w:rPr>
          <w:rFonts w:ascii="Calibri" w:hAnsi="Calibri"/>
          <w:noProof/>
          <w:sz w:val="22"/>
        </w:rPr>
        <w:t>48</w:t>
      </w:r>
      <w:r w:rsidR="00B6519A" w:rsidRPr="00EF7F5F">
        <w:rPr>
          <w:rFonts w:ascii="Calibri" w:hAnsi="Calibri"/>
          <w:noProof/>
          <w:sz w:val="22"/>
        </w:rPr>
        <w:t>.</w:t>
      </w:r>
      <w:r w:rsidR="00B6519A" w:rsidRPr="00EF7F5F">
        <w:rPr>
          <w:rFonts w:ascii="Calibri" w:hAnsi="Calibri"/>
          <w:noProof/>
          <w:sz w:val="22"/>
        </w:rPr>
        <w:tab/>
        <w:t>Romijn H, Heijnen S &amp; Colthoff JR</w:t>
      </w:r>
      <w:r w:rsidR="00FE0A0F">
        <w:rPr>
          <w:rFonts w:ascii="Calibri" w:hAnsi="Calibri"/>
          <w:noProof/>
          <w:sz w:val="22"/>
        </w:rPr>
        <w:t>:</w:t>
      </w:r>
      <w:r w:rsidR="00FE0A0F" w:rsidRPr="00EF7F5F">
        <w:rPr>
          <w:rFonts w:ascii="Calibri" w:hAnsi="Calibri"/>
          <w:noProof/>
          <w:sz w:val="22"/>
        </w:rPr>
        <w:t xml:space="preserve"> </w:t>
      </w:r>
      <w:r w:rsidR="00B6519A" w:rsidRPr="00FE0A0F">
        <w:rPr>
          <w:rFonts w:ascii="Calibri" w:hAnsi="Calibri"/>
          <w:b/>
          <w:noProof/>
          <w:sz w:val="22"/>
        </w:rPr>
        <w:t>Economic and Social Sustainability Performance of Jatropha Projects: Results from Field Surveys in Mozambique, Tanzania and Mali</w:t>
      </w:r>
      <w:r w:rsidR="00B6519A" w:rsidRPr="00EF7F5F">
        <w:rPr>
          <w:rFonts w:ascii="Calibri" w:hAnsi="Calibri"/>
          <w:noProof/>
          <w:sz w:val="22"/>
        </w:rPr>
        <w:t xml:space="preserve">. </w:t>
      </w:r>
      <w:r w:rsidR="00B6519A" w:rsidRPr="00EF7F5F">
        <w:rPr>
          <w:rFonts w:ascii="Calibri" w:hAnsi="Calibri"/>
          <w:i/>
          <w:iCs/>
          <w:noProof/>
          <w:sz w:val="22"/>
        </w:rPr>
        <w:t>Sustainability</w:t>
      </w:r>
      <w:r w:rsidR="00B7454A">
        <w:rPr>
          <w:rFonts w:ascii="Calibri" w:hAnsi="Calibri"/>
          <w:noProof/>
          <w:sz w:val="22"/>
        </w:rPr>
        <w:t xml:space="preserve"> 2014</w:t>
      </w:r>
      <w:r w:rsidR="00FE0A0F">
        <w:rPr>
          <w:rFonts w:ascii="Calibri" w:hAnsi="Calibri"/>
          <w:noProof/>
          <w:sz w:val="22"/>
        </w:rPr>
        <w:t xml:space="preserve">, </w:t>
      </w:r>
      <w:r w:rsidR="00FE0A0F">
        <w:rPr>
          <w:rFonts w:ascii="Calibri" w:hAnsi="Calibri"/>
          <w:b/>
          <w:noProof/>
          <w:sz w:val="22"/>
        </w:rPr>
        <w:t>6(9)</w:t>
      </w:r>
      <w:r w:rsidR="00FE0A0F">
        <w:rPr>
          <w:rFonts w:ascii="Calibri" w:hAnsi="Calibri"/>
          <w:noProof/>
          <w:sz w:val="22"/>
        </w:rPr>
        <w:t>: 6203-6235</w:t>
      </w:r>
      <w:r w:rsidR="00B7454A">
        <w:rPr>
          <w:rFonts w:ascii="Calibri" w:hAnsi="Calibri"/>
          <w:noProof/>
          <w:sz w:val="22"/>
        </w:rPr>
        <w:t xml:space="preserve">. </w:t>
      </w:r>
    </w:p>
    <w:p w14:paraId="68F486C5" w14:textId="77777777" w:rsidR="00B6519A" w:rsidRPr="00EF7F5F" w:rsidRDefault="00FE3544">
      <w:pPr>
        <w:pStyle w:val="NormalWeb"/>
        <w:ind w:left="640" w:hanging="640"/>
        <w:divId w:val="874463841"/>
        <w:rPr>
          <w:rFonts w:ascii="Calibri" w:hAnsi="Calibri"/>
          <w:noProof/>
          <w:sz w:val="22"/>
        </w:rPr>
      </w:pPr>
      <w:r w:rsidRPr="00EF7F5F">
        <w:rPr>
          <w:rFonts w:ascii="Calibri" w:hAnsi="Calibri"/>
          <w:noProof/>
          <w:sz w:val="22"/>
        </w:rPr>
        <w:lastRenderedPageBreak/>
        <w:t>4</w:t>
      </w:r>
      <w:r>
        <w:rPr>
          <w:rFonts w:ascii="Calibri" w:hAnsi="Calibri"/>
          <w:noProof/>
          <w:sz w:val="22"/>
        </w:rPr>
        <w:t>9</w:t>
      </w:r>
      <w:r w:rsidR="00B6519A" w:rsidRPr="00EF7F5F">
        <w:rPr>
          <w:rFonts w:ascii="Calibri" w:hAnsi="Calibri"/>
          <w:noProof/>
          <w:sz w:val="22"/>
        </w:rPr>
        <w:t>.</w:t>
      </w:r>
      <w:r w:rsidR="00B6519A" w:rsidRPr="00EF7F5F">
        <w:rPr>
          <w:rFonts w:ascii="Calibri" w:hAnsi="Calibri"/>
          <w:noProof/>
          <w:sz w:val="22"/>
        </w:rPr>
        <w:tab/>
        <w:t>Slingerland M &amp; Schut M</w:t>
      </w:r>
      <w:r w:rsidR="00FE0A0F">
        <w:rPr>
          <w:rFonts w:ascii="Calibri" w:hAnsi="Calibri"/>
          <w:noProof/>
          <w:sz w:val="22"/>
        </w:rPr>
        <w:t>:</w:t>
      </w:r>
      <w:r w:rsidR="00B6519A" w:rsidRPr="00EF7F5F">
        <w:rPr>
          <w:rFonts w:ascii="Calibri" w:hAnsi="Calibri"/>
          <w:noProof/>
          <w:sz w:val="22"/>
        </w:rPr>
        <w:t xml:space="preserve"> </w:t>
      </w:r>
      <w:r w:rsidR="00B6519A" w:rsidRPr="00FE0A0F">
        <w:rPr>
          <w:rFonts w:ascii="Calibri" w:hAnsi="Calibri"/>
          <w:b/>
          <w:noProof/>
          <w:sz w:val="22"/>
        </w:rPr>
        <w:t>Jatropha Developments in Mozambique: Analysis of Structural Conditions Influencing Niche-Regime Interactions</w:t>
      </w:r>
      <w:r w:rsidR="00B6519A" w:rsidRPr="00EF7F5F">
        <w:rPr>
          <w:rFonts w:ascii="Calibri" w:hAnsi="Calibri"/>
          <w:noProof/>
          <w:sz w:val="22"/>
        </w:rPr>
        <w:t xml:space="preserve">. </w:t>
      </w:r>
      <w:r w:rsidR="00B6519A" w:rsidRPr="00EF7F5F">
        <w:rPr>
          <w:rFonts w:ascii="Calibri" w:hAnsi="Calibri"/>
          <w:i/>
          <w:iCs/>
          <w:noProof/>
          <w:sz w:val="22"/>
        </w:rPr>
        <w:t>Sustainability</w:t>
      </w:r>
      <w:r w:rsidR="00FE0A0F">
        <w:rPr>
          <w:rFonts w:ascii="Calibri" w:hAnsi="Calibri"/>
          <w:noProof/>
          <w:sz w:val="22"/>
        </w:rPr>
        <w:t xml:space="preserve"> </w:t>
      </w:r>
      <w:r w:rsidR="00B7454A">
        <w:rPr>
          <w:rFonts w:ascii="Calibri" w:hAnsi="Calibri"/>
          <w:noProof/>
          <w:sz w:val="22"/>
        </w:rPr>
        <w:t>2014</w:t>
      </w:r>
      <w:r w:rsidR="00FE0A0F">
        <w:rPr>
          <w:rFonts w:ascii="Calibri" w:hAnsi="Calibri"/>
          <w:noProof/>
          <w:sz w:val="22"/>
        </w:rPr>
        <w:t xml:space="preserve">, </w:t>
      </w:r>
      <w:r w:rsidR="00FE0A0F">
        <w:rPr>
          <w:rFonts w:ascii="Calibri" w:hAnsi="Calibri"/>
          <w:b/>
          <w:noProof/>
          <w:sz w:val="22"/>
        </w:rPr>
        <w:t>6(11)</w:t>
      </w:r>
      <w:r w:rsidR="00FE0A0F">
        <w:rPr>
          <w:rFonts w:ascii="Calibri" w:hAnsi="Calibri"/>
          <w:noProof/>
          <w:sz w:val="22"/>
        </w:rPr>
        <w:t>: 7541-7563</w:t>
      </w:r>
      <w:r w:rsidR="00B7454A">
        <w:rPr>
          <w:rFonts w:ascii="Calibri" w:hAnsi="Calibri"/>
          <w:noProof/>
          <w:sz w:val="22"/>
        </w:rPr>
        <w:t xml:space="preserve">. </w:t>
      </w:r>
    </w:p>
    <w:p w14:paraId="07E32623" w14:textId="77777777" w:rsidR="00B6519A" w:rsidRPr="00EF7F5F" w:rsidRDefault="00FE3544">
      <w:pPr>
        <w:pStyle w:val="NormalWeb"/>
        <w:ind w:left="640" w:hanging="640"/>
        <w:divId w:val="874463841"/>
        <w:rPr>
          <w:rFonts w:ascii="Calibri" w:hAnsi="Calibri"/>
          <w:noProof/>
          <w:sz w:val="22"/>
        </w:rPr>
      </w:pPr>
      <w:r>
        <w:rPr>
          <w:rFonts w:ascii="Calibri" w:hAnsi="Calibri"/>
          <w:noProof/>
          <w:sz w:val="22"/>
        </w:rPr>
        <w:t>50</w:t>
      </w:r>
      <w:r w:rsidR="00B6519A" w:rsidRPr="00EF7F5F">
        <w:rPr>
          <w:rFonts w:ascii="Calibri" w:hAnsi="Calibri"/>
          <w:noProof/>
          <w:sz w:val="22"/>
        </w:rPr>
        <w:t>.</w:t>
      </w:r>
      <w:r w:rsidR="00B6519A" w:rsidRPr="00EF7F5F">
        <w:rPr>
          <w:rFonts w:ascii="Calibri" w:hAnsi="Calibri"/>
          <w:noProof/>
          <w:sz w:val="22"/>
        </w:rPr>
        <w:tab/>
        <w:t>Timko J, Amsalu A, Acheampong E. &amp; Teferi M</w:t>
      </w:r>
      <w:r w:rsidR="005C44F2">
        <w:rPr>
          <w:rFonts w:ascii="Calibri" w:hAnsi="Calibri"/>
          <w:noProof/>
          <w:sz w:val="22"/>
        </w:rPr>
        <w:t>:</w:t>
      </w:r>
      <w:r w:rsidR="00B6519A" w:rsidRPr="005C44F2">
        <w:rPr>
          <w:rFonts w:ascii="Calibri" w:hAnsi="Calibri"/>
          <w:b/>
          <w:noProof/>
          <w:sz w:val="22"/>
        </w:rPr>
        <w:t xml:space="preserve"> Local Perceptions about the Effects of Jatropha (Jatropha curcas) and Castor (Ricinus communis) Plantations on Households in Ghana and Ethiopia</w:t>
      </w:r>
      <w:r w:rsidR="00B6519A" w:rsidRPr="00EF7F5F">
        <w:rPr>
          <w:rFonts w:ascii="Calibri" w:hAnsi="Calibri"/>
          <w:noProof/>
          <w:sz w:val="22"/>
        </w:rPr>
        <w:t xml:space="preserve">. </w:t>
      </w:r>
      <w:r w:rsidR="00B6519A" w:rsidRPr="00EF7F5F">
        <w:rPr>
          <w:rFonts w:ascii="Calibri" w:hAnsi="Calibri"/>
          <w:i/>
          <w:iCs/>
          <w:noProof/>
          <w:sz w:val="22"/>
        </w:rPr>
        <w:t>Sustainability</w:t>
      </w:r>
      <w:r w:rsidR="00B7454A">
        <w:rPr>
          <w:rFonts w:ascii="Calibri" w:hAnsi="Calibri"/>
          <w:noProof/>
          <w:sz w:val="22"/>
        </w:rPr>
        <w:t xml:space="preserve"> 2014</w:t>
      </w:r>
      <w:r w:rsidR="005C44F2">
        <w:rPr>
          <w:rFonts w:ascii="Calibri" w:hAnsi="Calibri"/>
          <w:noProof/>
          <w:sz w:val="22"/>
        </w:rPr>
        <w:t xml:space="preserve">, </w:t>
      </w:r>
      <w:r w:rsidR="005C44F2">
        <w:rPr>
          <w:rFonts w:ascii="Calibri" w:hAnsi="Calibri"/>
          <w:b/>
          <w:noProof/>
          <w:sz w:val="22"/>
        </w:rPr>
        <w:t>6(10)</w:t>
      </w:r>
      <w:r w:rsidR="005C44F2">
        <w:rPr>
          <w:rFonts w:ascii="Calibri" w:hAnsi="Calibri"/>
          <w:noProof/>
          <w:sz w:val="22"/>
        </w:rPr>
        <w:t>: 7224-7241.</w:t>
      </w:r>
      <w:r w:rsidR="00B7454A">
        <w:rPr>
          <w:rFonts w:ascii="Calibri" w:hAnsi="Calibri"/>
          <w:noProof/>
          <w:sz w:val="22"/>
        </w:rPr>
        <w:t xml:space="preserve"> </w:t>
      </w:r>
    </w:p>
    <w:p w14:paraId="303ACCC8" w14:textId="77777777" w:rsidR="00B6519A" w:rsidRDefault="00FE3544">
      <w:pPr>
        <w:pStyle w:val="NormalWeb"/>
        <w:ind w:left="640" w:hanging="640"/>
        <w:divId w:val="874463841"/>
        <w:rPr>
          <w:rFonts w:ascii="Calibri" w:hAnsi="Calibri"/>
          <w:noProof/>
          <w:sz w:val="22"/>
        </w:rPr>
      </w:pPr>
      <w:r>
        <w:rPr>
          <w:rFonts w:ascii="Calibri" w:hAnsi="Calibri"/>
          <w:noProof/>
          <w:sz w:val="22"/>
        </w:rPr>
        <w:t>51</w:t>
      </w:r>
      <w:r w:rsidR="00B6519A" w:rsidRPr="00EF7F5F">
        <w:rPr>
          <w:rFonts w:ascii="Calibri" w:hAnsi="Calibri"/>
          <w:noProof/>
          <w:sz w:val="22"/>
        </w:rPr>
        <w:t>.</w:t>
      </w:r>
      <w:r w:rsidR="00B6519A" w:rsidRPr="00EF7F5F">
        <w:rPr>
          <w:rFonts w:ascii="Calibri" w:hAnsi="Calibri"/>
          <w:noProof/>
          <w:sz w:val="22"/>
        </w:rPr>
        <w:tab/>
        <w:t>Acheampong E &amp; Campion B</w:t>
      </w:r>
      <w:r w:rsidR="005C44F2">
        <w:rPr>
          <w:rFonts w:ascii="Calibri" w:hAnsi="Calibri"/>
          <w:noProof/>
          <w:sz w:val="22"/>
        </w:rPr>
        <w:t xml:space="preserve">: </w:t>
      </w:r>
      <w:r w:rsidR="00B6519A" w:rsidRPr="005C44F2">
        <w:rPr>
          <w:rFonts w:ascii="Calibri" w:hAnsi="Calibri"/>
          <w:b/>
          <w:noProof/>
          <w:sz w:val="22"/>
        </w:rPr>
        <w:t>The effects of biofuel feedstock production on farmers’ livelihoods in Ghana: The case of Jatropha curcas</w:t>
      </w:r>
      <w:r w:rsidR="00B6519A" w:rsidRPr="00EF7F5F">
        <w:rPr>
          <w:rFonts w:ascii="Calibri" w:hAnsi="Calibri"/>
          <w:noProof/>
          <w:sz w:val="22"/>
        </w:rPr>
        <w:t xml:space="preserve">. </w:t>
      </w:r>
      <w:r w:rsidR="00B6519A" w:rsidRPr="00EF7F5F">
        <w:rPr>
          <w:rFonts w:ascii="Calibri" w:hAnsi="Calibri"/>
          <w:i/>
          <w:iCs/>
          <w:noProof/>
          <w:sz w:val="22"/>
        </w:rPr>
        <w:t>Sustainability</w:t>
      </w:r>
      <w:r w:rsidR="00B6519A" w:rsidRPr="00EF7F5F">
        <w:rPr>
          <w:rFonts w:ascii="Calibri" w:hAnsi="Calibri"/>
          <w:noProof/>
          <w:sz w:val="22"/>
        </w:rPr>
        <w:t xml:space="preserve"> 2014</w:t>
      </w:r>
      <w:r w:rsidR="005C44F2">
        <w:rPr>
          <w:rFonts w:ascii="Calibri" w:hAnsi="Calibri"/>
          <w:noProof/>
          <w:sz w:val="22"/>
        </w:rPr>
        <w:t xml:space="preserve">, </w:t>
      </w:r>
      <w:r w:rsidR="005C44F2">
        <w:rPr>
          <w:rFonts w:ascii="Calibri" w:hAnsi="Calibri"/>
          <w:b/>
          <w:noProof/>
          <w:sz w:val="22"/>
        </w:rPr>
        <w:t>6(7)</w:t>
      </w:r>
      <w:r w:rsidR="005C44F2">
        <w:rPr>
          <w:rFonts w:ascii="Calibri" w:hAnsi="Calibri"/>
          <w:noProof/>
          <w:sz w:val="22"/>
        </w:rPr>
        <w:t>: 4587-4607</w:t>
      </w:r>
      <w:r w:rsidR="00B6519A" w:rsidRPr="00EF7F5F">
        <w:rPr>
          <w:rFonts w:ascii="Calibri" w:hAnsi="Calibri"/>
          <w:noProof/>
          <w:sz w:val="22"/>
        </w:rPr>
        <w:t xml:space="preserve">. </w:t>
      </w:r>
    </w:p>
    <w:p w14:paraId="5ACED3BF" w14:textId="77777777" w:rsidR="00FE3544" w:rsidRDefault="00FE3544" w:rsidP="00FE3544">
      <w:pPr>
        <w:pStyle w:val="NormalWeb"/>
        <w:ind w:left="640" w:hanging="640"/>
        <w:divId w:val="874463841"/>
        <w:rPr>
          <w:rFonts w:ascii="Calibri" w:hAnsi="Calibri"/>
          <w:noProof/>
          <w:sz w:val="22"/>
        </w:rPr>
      </w:pPr>
      <w:r>
        <w:rPr>
          <w:rFonts w:ascii="Calibri" w:hAnsi="Calibri"/>
          <w:noProof/>
          <w:sz w:val="22"/>
        </w:rPr>
        <w:t>52.</w:t>
      </w:r>
      <w:r>
        <w:rPr>
          <w:rFonts w:ascii="Calibri" w:hAnsi="Calibri"/>
          <w:noProof/>
          <w:sz w:val="22"/>
        </w:rPr>
        <w:tab/>
      </w:r>
      <w:r w:rsidRPr="00295714">
        <w:rPr>
          <w:rFonts w:ascii="Calibri" w:hAnsi="Calibri"/>
          <w:noProof/>
          <w:sz w:val="22"/>
        </w:rPr>
        <w:t xml:space="preserve">Lee </w:t>
      </w:r>
      <w:r>
        <w:rPr>
          <w:rFonts w:ascii="Calibri" w:hAnsi="Calibri"/>
          <w:noProof/>
          <w:sz w:val="22"/>
        </w:rPr>
        <w:t xml:space="preserve">J, </w:t>
      </w:r>
      <w:r w:rsidRPr="00295714">
        <w:rPr>
          <w:rFonts w:ascii="Calibri" w:hAnsi="Calibri"/>
          <w:noProof/>
          <w:sz w:val="22"/>
        </w:rPr>
        <w:t xml:space="preserve">Abood </w:t>
      </w:r>
      <w:r>
        <w:rPr>
          <w:rFonts w:ascii="Calibri" w:hAnsi="Calibri"/>
          <w:noProof/>
          <w:sz w:val="22"/>
        </w:rPr>
        <w:t>S,</w:t>
      </w:r>
      <w:r w:rsidRPr="00295714">
        <w:rPr>
          <w:rFonts w:ascii="Calibri" w:hAnsi="Calibri"/>
          <w:noProof/>
          <w:sz w:val="22"/>
        </w:rPr>
        <w:t xml:space="preserve"> Ghazoul </w:t>
      </w:r>
      <w:r>
        <w:rPr>
          <w:rFonts w:ascii="Calibri" w:hAnsi="Calibri"/>
          <w:noProof/>
          <w:sz w:val="22"/>
        </w:rPr>
        <w:t xml:space="preserve">J, </w:t>
      </w:r>
      <w:r w:rsidRPr="00295714">
        <w:rPr>
          <w:rFonts w:ascii="Calibri" w:hAnsi="Calibri"/>
          <w:noProof/>
          <w:sz w:val="22"/>
        </w:rPr>
        <w:t xml:space="preserve">Barus </w:t>
      </w:r>
      <w:r>
        <w:rPr>
          <w:rFonts w:ascii="Calibri" w:hAnsi="Calibri"/>
          <w:noProof/>
          <w:sz w:val="22"/>
        </w:rPr>
        <w:t>B, O</w:t>
      </w:r>
      <w:r w:rsidRPr="00295714">
        <w:rPr>
          <w:rFonts w:ascii="Calibri" w:hAnsi="Calibri"/>
          <w:noProof/>
          <w:sz w:val="22"/>
        </w:rPr>
        <w:t xml:space="preserve">bidzinski </w:t>
      </w:r>
      <w:r>
        <w:rPr>
          <w:rFonts w:ascii="Calibri" w:hAnsi="Calibri"/>
          <w:noProof/>
          <w:sz w:val="22"/>
        </w:rPr>
        <w:t xml:space="preserve">K, </w:t>
      </w:r>
      <w:r w:rsidRPr="00295714">
        <w:rPr>
          <w:rFonts w:ascii="Calibri" w:hAnsi="Calibri"/>
          <w:noProof/>
          <w:sz w:val="22"/>
        </w:rPr>
        <w:t xml:space="preserve">Koh </w:t>
      </w:r>
      <w:r>
        <w:rPr>
          <w:rFonts w:ascii="Calibri" w:hAnsi="Calibri"/>
          <w:noProof/>
          <w:sz w:val="22"/>
        </w:rPr>
        <w:t>L</w:t>
      </w:r>
      <w:r w:rsidR="005C44F2">
        <w:rPr>
          <w:rFonts w:ascii="Calibri" w:hAnsi="Calibri"/>
          <w:noProof/>
          <w:sz w:val="22"/>
        </w:rPr>
        <w:t>:</w:t>
      </w:r>
      <w:r w:rsidRPr="005C44F2">
        <w:rPr>
          <w:rFonts w:ascii="Calibri" w:hAnsi="Calibri"/>
          <w:b/>
          <w:noProof/>
          <w:sz w:val="22"/>
        </w:rPr>
        <w:t xml:space="preserve"> Environmental Impacts of Large-Scale Oil Palm Enterprises Exceed that of Smallholdings in Indonesia</w:t>
      </w:r>
      <w:r w:rsidR="005C44F2">
        <w:rPr>
          <w:rFonts w:ascii="Calibri" w:hAnsi="Calibri"/>
          <w:noProof/>
          <w:sz w:val="22"/>
        </w:rPr>
        <w:t xml:space="preserve">. </w:t>
      </w:r>
      <w:r w:rsidRPr="009C19A5">
        <w:rPr>
          <w:rFonts w:ascii="Calibri" w:hAnsi="Calibri"/>
          <w:i/>
          <w:noProof/>
          <w:sz w:val="22"/>
        </w:rPr>
        <w:t>Conservation Letters</w:t>
      </w:r>
      <w:r w:rsidR="005C44F2">
        <w:rPr>
          <w:rFonts w:ascii="Calibri" w:hAnsi="Calibri"/>
          <w:noProof/>
          <w:sz w:val="22"/>
        </w:rPr>
        <w:t xml:space="preserve"> 2014, </w:t>
      </w:r>
      <w:r w:rsidR="005C44F2">
        <w:rPr>
          <w:rFonts w:ascii="Calibri" w:hAnsi="Calibri"/>
          <w:b/>
          <w:noProof/>
          <w:sz w:val="22"/>
        </w:rPr>
        <w:t>7(1)</w:t>
      </w:r>
      <w:r w:rsidR="005C44F2">
        <w:rPr>
          <w:rFonts w:ascii="Calibri" w:hAnsi="Calibri"/>
          <w:noProof/>
          <w:sz w:val="22"/>
        </w:rPr>
        <w:t xml:space="preserve">: </w:t>
      </w:r>
      <w:r w:rsidRPr="00295714">
        <w:rPr>
          <w:rFonts w:ascii="Calibri" w:hAnsi="Calibri"/>
          <w:noProof/>
          <w:sz w:val="22"/>
        </w:rPr>
        <w:t>25-33.</w:t>
      </w:r>
    </w:p>
    <w:p w14:paraId="0BF0E6A0" w14:textId="69B7D978" w:rsidR="00FE3544" w:rsidRDefault="00FE3544" w:rsidP="00FE3544">
      <w:pPr>
        <w:pStyle w:val="NormalWeb"/>
        <w:ind w:left="640" w:hanging="640"/>
        <w:divId w:val="874463841"/>
        <w:rPr>
          <w:rFonts w:ascii="Calibri" w:hAnsi="Calibri"/>
          <w:noProof/>
          <w:sz w:val="22"/>
        </w:rPr>
      </w:pPr>
      <w:r>
        <w:rPr>
          <w:rFonts w:ascii="Calibri" w:hAnsi="Calibri"/>
          <w:noProof/>
          <w:sz w:val="22"/>
        </w:rPr>
        <w:t>5</w:t>
      </w:r>
      <w:r w:rsidR="005F650F">
        <w:rPr>
          <w:rFonts w:ascii="Calibri" w:hAnsi="Calibri"/>
          <w:noProof/>
          <w:sz w:val="22"/>
        </w:rPr>
        <w:t>3</w:t>
      </w:r>
      <w:r>
        <w:rPr>
          <w:rFonts w:ascii="Calibri" w:hAnsi="Calibri"/>
          <w:noProof/>
          <w:sz w:val="22"/>
        </w:rPr>
        <w:t xml:space="preserve">. </w:t>
      </w:r>
      <w:r>
        <w:rPr>
          <w:rFonts w:ascii="Calibri" w:hAnsi="Calibri"/>
          <w:noProof/>
          <w:sz w:val="22"/>
        </w:rPr>
        <w:tab/>
        <w:t>Cramb R</w:t>
      </w:r>
      <w:r w:rsidR="005C44F2">
        <w:rPr>
          <w:rFonts w:ascii="Calibri" w:hAnsi="Calibri"/>
          <w:noProof/>
          <w:sz w:val="22"/>
        </w:rPr>
        <w:t>:</w:t>
      </w:r>
      <w:r>
        <w:rPr>
          <w:rFonts w:ascii="Calibri" w:hAnsi="Calibri"/>
          <w:noProof/>
          <w:sz w:val="22"/>
        </w:rPr>
        <w:t xml:space="preserve"> </w:t>
      </w:r>
      <w:r w:rsidRPr="005C44F2">
        <w:rPr>
          <w:rFonts w:ascii="Calibri" w:hAnsi="Calibri"/>
          <w:b/>
          <w:noProof/>
          <w:sz w:val="22"/>
        </w:rPr>
        <w:t>Palmed Off: Incentive Problems with Joint-Venture Schemes for Oil Palm Development on Customary Land</w:t>
      </w:r>
      <w:r w:rsidR="005C44F2">
        <w:rPr>
          <w:rFonts w:ascii="Calibri" w:hAnsi="Calibri"/>
          <w:noProof/>
          <w:sz w:val="22"/>
        </w:rPr>
        <w:t xml:space="preserve">. </w:t>
      </w:r>
      <w:r w:rsidRPr="009C19A5">
        <w:rPr>
          <w:rFonts w:ascii="Calibri" w:hAnsi="Calibri"/>
          <w:i/>
          <w:noProof/>
          <w:sz w:val="22"/>
        </w:rPr>
        <w:t>World Development</w:t>
      </w:r>
      <w:r w:rsidR="005C44F2">
        <w:rPr>
          <w:rFonts w:ascii="Calibri" w:hAnsi="Calibri"/>
          <w:i/>
          <w:noProof/>
          <w:sz w:val="22"/>
        </w:rPr>
        <w:t xml:space="preserve"> </w:t>
      </w:r>
      <w:r w:rsidR="005C44F2">
        <w:rPr>
          <w:rFonts w:ascii="Calibri" w:hAnsi="Calibri"/>
          <w:noProof/>
          <w:sz w:val="22"/>
        </w:rPr>
        <w:t>2013</w:t>
      </w:r>
      <w:r>
        <w:rPr>
          <w:rFonts w:ascii="Calibri" w:hAnsi="Calibri"/>
          <w:noProof/>
          <w:sz w:val="22"/>
        </w:rPr>
        <w:t xml:space="preserve">, </w:t>
      </w:r>
      <w:r w:rsidRPr="005C44F2">
        <w:rPr>
          <w:rFonts w:ascii="Calibri" w:hAnsi="Calibri"/>
          <w:b/>
          <w:noProof/>
          <w:sz w:val="22"/>
        </w:rPr>
        <w:t>43</w:t>
      </w:r>
      <w:r w:rsidRPr="00B3434E">
        <w:rPr>
          <w:rFonts w:ascii="Calibri" w:hAnsi="Calibri"/>
          <w:noProof/>
          <w:sz w:val="22"/>
        </w:rPr>
        <w:t>:</w:t>
      </w:r>
      <w:r w:rsidR="005C44F2">
        <w:rPr>
          <w:rFonts w:ascii="Calibri" w:hAnsi="Calibri"/>
          <w:noProof/>
          <w:sz w:val="22"/>
        </w:rPr>
        <w:t xml:space="preserve"> </w:t>
      </w:r>
      <w:r w:rsidRPr="00B3434E">
        <w:rPr>
          <w:rFonts w:ascii="Calibri" w:hAnsi="Calibri"/>
          <w:noProof/>
          <w:sz w:val="22"/>
        </w:rPr>
        <w:t>84-99</w:t>
      </w:r>
      <w:r>
        <w:rPr>
          <w:rFonts w:ascii="Calibri" w:hAnsi="Calibri"/>
          <w:noProof/>
          <w:sz w:val="22"/>
        </w:rPr>
        <w:t>.</w:t>
      </w:r>
    </w:p>
    <w:p w14:paraId="33CC43B2" w14:textId="4D1EBF30" w:rsidR="005C44F2" w:rsidRDefault="00FE3544" w:rsidP="005C44F2">
      <w:pPr>
        <w:pStyle w:val="NormalWeb"/>
        <w:ind w:left="640" w:hanging="640"/>
        <w:divId w:val="874463841"/>
        <w:rPr>
          <w:rFonts w:ascii="Calibri" w:hAnsi="Calibri"/>
          <w:noProof/>
          <w:sz w:val="22"/>
        </w:rPr>
      </w:pPr>
      <w:r>
        <w:rPr>
          <w:rFonts w:ascii="Calibri" w:hAnsi="Calibri"/>
          <w:noProof/>
          <w:sz w:val="22"/>
        </w:rPr>
        <w:t>5</w:t>
      </w:r>
      <w:r w:rsidR="005F650F">
        <w:rPr>
          <w:rFonts w:ascii="Calibri" w:hAnsi="Calibri"/>
          <w:noProof/>
          <w:sz w:val="22"/>
        </w:rPr>
        <w:t>4</w:t>
      </w:r>
      <w:r>
        <w:rPr>
          <w:rFonts w:ascii="Calibri" w:hAnsi="Calibri"/>
          <w:noProof/>
          <w:sz w:val="22"/>
        </w:rPr>
        <w:t>.</w:t>
      </w:r>
      <w:r>
        <w:rPr>
          <w:rFonts w:ascii="Calibri" w:hAnsi="Calibri"/>
          <w:noProof/>
          <w:sz w:val="22"/>
        </w:rPr>
        <w:tab/>
        <w:t>Yengoh GT, Armah FA</w:t>
      </w:r>
      <w:r w:rsidR="005C44F2">
        <w:rPr>
          <w:rFonts w:ascii="Calibri" w:hAnsi="Calibri"/>
          <w:noProof/>
          <w:sz w:val="22"/>
        </w:rPr>
        <w:t>:</w:t>
      </w:r>
      <w:r>
        <w:rPr>
          <w:rFonts w:ascii="Calibri" w:hAnsi="Calibri"/>
          <w:noProof/>
          <w:sz w:val="22"/>
        </w:rPr>
        <w:t xml:space="preserve"> </w:t>
      </w:r>
      <w:r w:rsidRPr="005C44F2">
        <w:rPr>
          <w:rFonts w:ascii="Calibri" w:hAnsi="Calibri"/>
          <w:b/>
          <w:noProof/>
          <w:sz w:val="22"/>
        </w:rPr>
        <w:t>Land access constraints for communities affected by large-scale land acquisition in Southern Sierra Leone</w:t>
      </w:r>
      <w:r w:rsidR="005C44F2">
        <w:rPr>
          <w:rFonts w:ascii="Calibri" w:hAnsi="Calibri"/>
          <w:noProof/>
          <w:sz w:val="22"/>
        </w:rPr>
        <w:t xml:space="preserve">. </w:t>
      </w:r>
      <w:r w:rsidRPr="009C19A5">
        <w:rPr>
          <w:rFonts w:ascii="Calibri" w:hAnsi="Calibri"/>
          <w:i/>
          <w:noProof/>
          <w:sz w:val="22"/>
        </w:rPr>
        <w:t>GeoJournal</w:t>
      </w:r>
      <w:r w:rsidR="005C44F2">
        <w:rPr>
          <w:rFonts w:ascii="Calibri" w:hAnsi="Calibri"/>
          <w:i/>
          <w:noProof/>
          <w:sz w:val="22"/>
        </w:rPr>
        <w:t xml:space="preserve"> </w:t>
      </w:r>
      <w:r w:rsidR="005C44F2" w:rsidRPr="005C44F2">
        <w:rPr>
          <w:rFonts w:asciiTheme="minorHAnsi" w:hAnsiTheme="minorHAnsi"/>
          <w:noProof/>
          <w:sz w:val="22"/>
          <w:szCs w:val="22"/>
        </w:rPr>
        <w:t>2014</w:t>
      </w:r>
      <w:r w:rsidRPr="005C44F2">
        <w:rPr>
          <w:rFonts w:asciiTheme="minorHAnsi" w:hAnsiTheme="minorHAnsi"/>
          <w:i/>
          <w:noProof/>
          <w:sz w:val="22"/>
          <w:szCs w:val="22"/>
        </w:rPr>
        <w:t>,</w:t>
      </w:r>
      <w:r w:rsidR="005C44F2" w:rsidRPr="005C44F2">
        <w:rPr>
          <w:rFonts w:asciiTheme="minorHAnsi" w:hAnsiTheme="minorHAnsi"/>
          <w:noProof/>
          <w:sz w:val="22"/>
          <w:szCs w:val="22"/>
        </w:rPr>
        <w:t xml:space="preserve"> </w:t>
      </w:r>
      <w:r w:rsidR="005C44F2" w:rsidRPr="005C44F2">
        <w:rPr>
          <w:rFonts w:asciiTheme="minorHAnsi" w:hAnsiTheme="minorHAnsi" w:cs="Arial"/>
          <w:sz w:val="22"/>
          <w:szCs w:val="22"/>
          <w:shd w:val="clear" w:color="auto" w:fill="FFFFFF"/>
        </w:rPr>
        <w:t>10.1007/s10708-014-9606-2</w:t>
      </w:r>
      <w:r w:rsidRPr="005C44F2">
        <w:rPr>
          <w:rFonts w:asciiTheme="minorHAnsi" w:hAnsiTheme="minorHAnsi"/>
          <w:noProof/>
          <w:sz w:val="22"/>
          <w:szCs w:val="22"/>
        </w:rPr>
        <w:t>.</w:t>
      </w:r>
      <w:r w:rsidR="005C44F2" w:rsidRPr="005C44F2">
        <w:rPr>
          <w:rFonts w:ascii="Calibri" w:hAnsi="Calibri"/>
          <w:noProof/>
          <w:sz w:val="22"/>
        </w:rPr>
        <w:t xml:space="preserve"> </w:t>
      </w:r>
    </w:p>
    <w:p w14:paraId="3E4DC6A6" w14:textId="2F99722D" w:rsidR="00B6519A" w:rsidRPr="005C44F2" w:rsidRDefault="005C44F2" w:rsidP="005C44F2">
      <w:pPr>
        <w:pStyle w:val="NormalWeb"/>
        <w:ind w:left="640" w:hanging="640"/>
        <w:divId w:val="874463841"/>
        <w:rPr>
          <w:rFonts w:asciiTheme="minorHAnsi" w:hAnsiTheme="minorHAnsi"/>
          <w:noProof/>
          <w:sz w:val="22"/>
          <w:szCs w:val="22"/>
        </w:rPr>
      </w:pPr>
      <w:r>
        <w:rPr>
          <w:rFonts w:ascii="Calibri" w:hAnsi="Calibri"/>
          <w:noProof/>
          <w:sz w:val="22"/>
        </w:rPr>
        <w:t>5</w:t>
      </w:r>
      <w:r w:rsidR="005F650F">
        <w:rPr>
          <w:rFonts w:ascii="Calibri" w:hAnsi="Calibri"/>
          <w:noProof/>
          <w:sz w:val="22"/>
        </w:rPr>
        <w:t>5</w:t>
      </w:r>
      <w:r>
        <w:rPr>
          <w:rFonts w:ascii="Calibri" w:hAnsi="Calibri"/>
          <w:noProof/>
          <w:sz w:val="22"/>
        </w:rPr>
        <w:t>.</w:t>
      </w:r>
      <w:r>
        <w:rPr>
          <w:rFonts w:ascii="Calibri" w:hAnsi="Calibri"/>
          <w:noProof/>
          <w:sz w:val="22"/>
        </w:rPr>
        <w:tab/>
      </w:r>
      <w:r w:rsidR="00B6519A" w:rsidRPr="005C44F2">
        <w:rPr>
          <w:rFonts w:asciiTheme="minorHAnsi" w:hAnsiTheme="minorHAnsi"/>
          <w:noProof/>
          <w:sz w:val="22"/>
          <w:szCs w:val="22"/>
        </w:rPr>
        <w:t>Hodbod J, Tomei J &amp; Blaber-Wegg T</w:t>
      </w:r>
      <w:r w:rsidRPr="00285006">
        <w:rPr>
          <w:rFonts w:asciiTheme="minorHAnsi" w:hAnsiTheme="minorHAnsi"/>
          <w:b/>
          <w:noProof/>
          <w:sz w:val="22"/>
          <w:szCs w:val="22"/>
        </w:rPr>
        <w:t>:</w:t>
      </w:r>
      <w:r w:rsidR="00B6519A" w:rsidRPr="00285006">
        <w:rPr>
          <w:rFonts w:asciiTheme="minorHAnsi" w:hAnsiTheme="minorHAnsi"/>
          <w:b/>
          <w:noProof/>
          <w:sz w:val="22"/>
          <w:szCs w:val="22"/>
        </w:rPr>
        <w:t xml:space="preserve"> </w:t>
      </w:r>
      <w:r w:rsidRPr="00285006">
        <w:rPr>
          <w:rFonts w:asciiTheme="minorHAnsi" w:hAnsiTheme="minorHAnsi" w:cs="AdvP7D0F"/>
          <w:b/>
          <w:sz w:val="22"/>
          <w:szCs w:val="22"/>
          <w:lang w:val="en-US"/>
        </w:rPr>
        <w:t>A Comparative Analysis of the Equity Outcomes in Three Sugarcane–Ethanol Systems</w:t>
      </w:r>
      <w:r w:rsidR="00B6519A" w:rsidRPr="005C44F2">
        <w:rPr>
          <w:rFonts w:asciiTheme="minorHAnsi" w:hAnsiTheme="minorHAnsi"/>
          <w:noProof/>
          <w:sz w:val="22"/>
          <w:szCs w:val="22"/>
        </w:rPr>
        <w:t xml:space="preserve"> </w:t>
      </w:r>
      <w:r w:rsidR="00B6519A" w:rsidRPr="005C44F2">
        <w:rPr>
          <w:rFonts w:asciiTheme="minorHAnsi" w:hAnsiTheme="minorHAnsi"/>
          <w:i/>
          <w:iCs/>
          <w:noProof/>
          <w:sz w:val="22"/>
          <w:szCs w:val="22"/>
        </w:rPr>
        <w:t>J. Environ. Dev.</w:t>
      </w:r>
      <w:r w:rsidR="002206A0" w:rsidRPr="005C44F2">
        <w:rPr>
          <w:rFonts w:asciiTheme="minorHAnsi" w:hAnsiTheme="minorHAnsi"/>
          <w:i/>
          <w:iCs/>
          <w:noProof/>
          <w:sz w:val="22"/>
          <w:szCs w:val="22"/>
        </w:rPr>
        <w:t xml:space="preserve"> </w:t>
      </w:r>
      <w:r w:rsidR="001F6880" w:rsidRPr="005C44F2">
        <w:rPr>
          <w:rFonts w:asciiTheme="minorHAnsi" w:hAnsiTheme="minorHAnsi"/>
          <w:iCs/>
          <w:noProof/>
          <w:sz w:val="22"/>
          <w:szCs w:val="22"/>
        </w:rPr>
        <w:t>In press</w:t>
      </w:r>
      <w:r w:rsidR="002206A0" w:rsidRPr="005C44F2">
        <w:rPr>
          <w:rFonts w:asciiTheme="minorHAnsi" w:hAnsiTheme="minorHAnsi"/>
          <w:iCs/>
          <w:noProof/>
          <w:sz w:val="22"/>
          <w:szCs w:val="22"/>
        </w:rPr>
        <w:t>.</w:t>
      </w:r>
    </w:p>
    <w:p w14:paraId="48CAB6FB" w14:textId="2CBDE4BE" w:rsidR="00B6519A" w:rsidRPr="007C3DA8" w:rsidRDefault="00FE3544">
      <w:pPr>
        <w:pStyle w:val="NormalWeb"/>
        <w:ind w:left="640" w:hanging="640"/>
        <w:divId w:val="874463841"/>
        <w:rPr>
          <w:rFonts w:ascii="Calibri" w:hAnsi="Calibri"/>
          <w:noProof/>
          <w:sz w:val="22"/>
          <w:szCs w:val="22"/>
        </w:rPr>
      </w:pPr>
      <w:r>
        <w:rPr>
          <w:rFonts w:ascii="Calibri" w:hAnsi="Calibri"/>
          <w:noProof/>
          <w:sz w:val="22"/>
        </w:rPr>
        <w:t>5</w:t>
      </w:r>
      <w:r w:rsidR="005F650F">
        <w:rPr>
          <w:rFonts w:ascii="Calibri" w:hAnsi="Calibri"/>
          <w:noProof/>
          <w:sz w:val="22"/>
        </w:rPr>
        <w:t>6</w:t>
      </w:r>
      <w:r w:rsidR="00B6519A" w:rsidRPr="00EF7F5F">
        <w:rPr>
          <w:rFonts w:ascii="Calibri" w:hAnsi="Calibri"/>
          <w:noProof/>
          <w:sz w:val="22"/>
        </w:rPr>
        <w:t>.</w:t>
      </w:r>
      <w:r w:rsidR="00B6519A" w:rsidRPr="00EF7F5F">
        <w:rPr>
          <w:rFonts w:ascii="Calibri" w:hAnsi="Calibri"/>
          <w:noProof/>
          <w:sz w:val="22"/>
        </w:rPr>
        <w:tab/>
      </w:r>
      <w:r w:rsidR="00EF7F5F" w:rsidRPr="00EF7F5F">
        <w:rPr>
          <w:rFonts w:ascii="Calibri" w:hAnsi="Calibri"/>
          <w:noProof/>
          <w:sz w:val="22"/>
        </w:rPr>
        <w:t>**</w:t>
      </w:r>
      <w:r w:rsidR="00B6519A" w:rsidRPr="00EF7F5F">
        <w:rPr>
          <w:rFonts w:ascii="Calibri" w:hAnsi="Calibri"/>
          <w:noProof/>
          <w:sz w:val="22"/>
        </w:rPr>
        <w:t>Florin MJ, van de Ven GWJ &amp; van Ittersum MK</w:t>
      </w:r>
      <w:r w:rsidR="005C44F2">
        <w:rPr>
          <w:rFonts w:ascii="Calibri" w:hAnsi="Calibri"/>
          <w:noProof/>
          <w:sz w:val="22"/>
        </w:rPr>
        <w:t xml:space="preserve">: </w:t>
      </w:r>
      <w:r w:rsidR="00B6519A" w:rsidRPr="005C44F2">
        <w:rPr>
          <w:rFonts w:ascii="Calibri" w:hAnsi="Calibri"/>
          <w:b/>
          <w:noProof/>
          <w:sz w:val="22"/>
        </w:rPr>
        <w:t>What drives sustainable biofuels? A review of indicator assessments of biofuel production systems involving smallholder farmers</w:t>
      </w:r>
      <w:r w:rsidR="00B6519A" w:rsidRPr="00EF7F5F">
        <w:rPr>
          <w:rFonts w:ascii="Calibri" w:hAnsi="Calibri"/>
          <w:noProof/>
          <w:sz w:val="22"/>
        </w:rPr>
        <w:t xml:space="preserve">. </w:t>
      </w:r>
      <w:r w:rsidR="00B6519A" w:rsidRPr="00EF7F5F">
        <w:rPr>
          <w:rFonts w:ascii="Calibri" w:hAnsi="Calibri"/>
          <w:i/>
          <w:iCs/>
          <w:noProof/>
          <w:sz w:val="22"/>
        </w:rPr>
        <w:t>Environ. Sci. Policy</w:t>
      </w:r>
      <w:r w:rsidR="00B6519A" w:rsidRPr="00EF7F5F">
        <w:rPr>
          <w:rFonts w:ascii="Calibri" w:hAnsi="Calibri"/>
          <w:noProof/>
          <w:sz w:val="22"/>
        </w:rPr>
        <w:t xml:space="preserve"> </w:t>
      </w:r>
      <w:r w:rsidR="005C44F2">
        <w:rPr>
          <w:rFonts w:ascii="Calibri" w:hAnsi="Calibri"/>
          <w:noProof/>
          <w:sz w:val="22"/>
        </w:rPr>
        <w:t xml:space="preserve">2013, </w:t>
      </w:r>
      <w:r w:rsidR="005C44F2">
        <w:rPr>
          <w:rFonts w:ascii="Calibri" w:hAnsi="Calibri"/>
          <w:b/>
          <w:noProof/>
          <w:sz w:val="22"/>
        </w:rPr>
        <w:t>37</w:t>
      </w:r>
      <w:r w:rsidR="005C44F2" w:rsidRPr="005C44F2">
        <w:rPr>
          <w:rFonts w:ascii="Calibri" w:hAnsi="Calibri"/>
          <w:noProof/>
          <w:sz w:val="22"/>
        </w:rPr>
        <w:t xml:space="preserve">: </w:t>
      </w:r>
      <w:r w:rsidR="00B6519A" w:rsidRPr="00EF7F5F">
        <w:rPr>
          <w:rFonts w:ascii="Calibri" w:hAnsi="Calibri"/>
          <w:noProof/>
          <w:sz w:val="22"/>
        </w:rPr>
        <w:t>1–16 (2013).</w:t>
      </w:r>
      <w:r w:rsidR="00EF7F5F" w:rsidRPr="00EF7F5F">
        <w:rPr>
          <w:rFonts w:ascii="Calibri" w:hAnsi="Calibri"/>
          <w:noProof/>
          <w:sz w:val="22"/>
        </w:rPr>
        <w:t xml:space="preserve"> </w:t>
      </w:r>
      <w:r w:rsidR="00EF7F5F" w:rsidRPr="009C19A5">
        <w:rPr>
          <w:rFonts w:ascii="Calibri" w:hAnsi="Calibri"/>
          <w:sz w:val="22"/>
          <w:szCs w:val="22"/>
        </w:rPr>
        <w:t>The authors highlight the limited scope of sustainability certification schemes to deal with social issues relating to some key stakeholders (smallholders) and demonstrates the need to link drivers and indicators and reflect on changes required in governance procedures to improve the chances of achieving more sustainable and equitable outcomes associated with biofuels production.</w:t>
      </w:r>
    </w:p>
    <w:p w14:paraId="23DA8B82" w14:textId="0BFD0FF0" w:rsidR="00B6519A" w:rsidRPr="00EF7F5F" w:rsidRDefault="00E313AB">
      <w:pPr>
        <w:pStyle w:val="NormalWeb"/>
        <w:ind w:left="640" w:hanging="640"/>
        <w:divId w:val="874463841"/>
        <w:rPr>
          <w:rFonts w:ascii="Calibri" w:hAnsi="Calibri"/>
          <w:noProof/>
          <w:sz w:val="22"/>
        </w:rPr>
      </w:pPr>
      <w:r>
        <w:rPr>
          <w:rFonts w:ascii="Calibri" w:hAnsi="Calibri"/>
          <w:noProof/>
          <w:sz w:val="22"/>
        </w:rPr>
        <w:t>5</w:t>
      </w:r>
      <w:r w:rsidR="005F650F">
        <w:rPr>
          <w:rFonts w:ascii="Calibri" w:hAnsi="Calibri"/>
          <w:noProof/>
          <w:sz w:val="22"/>
        </w:rPr>
        <w:t>7</w:t>
      </w:r>
      <w:r w:rsidR="00B6519A" w:rsidRPr="00EF7F5F">
        <w:rPr>
          <w:rFonts w:ascii="Calibri" w:hAnsi="Calibri"/>
          <w:noProof/>
          <w:sz w:val="22"/>
        </w:rPr>
        <w:t>.</w:t>
      </w:r>
      <w:r w:rsidR="00B6519A" w:rsidRPr="00EF7F5F">
        <w:rPr>
          <w:rFonts w:ascii="Calibri" w:hAnsi="Calibri"/>
          <w:noProof/>
          <w:sz w:val="22"/>
        </w:rPr>
        <w:tab/>
        <w:t>German L &amp; Schoneveld GC</w:t>
      </w:r>
      <w:r w:rsidR="005C44F2">
        <w:rPr>
          <w:rFonts w:ascii="Calibri" w:hAnsi="Calibri"/>
          <w:noProof/>
          <w:sz w:val="22"/>
        </w:rPr>
        <w:t>:</w:t>
      </w:r>
      <w:r w:rsidR="00B6519A" w:rsidRPr="00EF7F5F">
        <w:rPr>
          <w:rFonts w:ascii="Calibri" w:hAnsi="Calibri"/>
          <w:noProof/>
          <w:sz w:val="22"/>
        </w:rPr>
        <w:t xml:space="preserve"> </w:t>
      </w:r>
      <w:r w:rsidR="00B6519A" w:rsidRPr="005C44F2">
        <w:rPr>
          <w:rFonts w:ascii="Calibri" w:hAnsi="Calibri"/>
          <w:b/>
          <w:noProof/>
          <w:sz w:val="22"/>
        </w:rPr>
        <w:t>A review of social sustainability considerations among EU-approved voluntary schemes for biofuels, with implications for rural livelihoods</w:t>
      </w:r>
      <w:r w:rsidR="00B6519A" w:rsidRPr="00EF7F5F">
        <w:rPr>
          <w:rFonts w:ascii="Calibri" w:hAnsi="Calibri"/>
          <w:noProof/>
          <w:sz w:val="22"/>
        </w:rPr>
        <w:t xml:space="preserve">. </w:t>
      </w:r>
      <w:r w:rsidR="00B6519A" w:rsidRPr="00EF7F5F">
        <w:rPr>
          <w:rFonts w:ascii="Calibri" w:hAnsi="Calibri"/>
          <w:i/>
          <w:iCs/>
          <w:noProof/>
          <w:sz w:val="22"/>
        </w:rPr>
        <w:t>Energy Policy</w:t>
      </w:r>
      <w:r w:rsidR="00B6519A" w:rsidRPr="00EF7F5F">
        <w:rPr>
          <w:rFonts w:ascii="Calibri" w:hAnsi="Calibri"/>
          <w:noProof/>
          <w:sz w:val="22"/>
        </w:rPr>
        <w:t xml:space="preserve"> </w:t>
      </w:r>
      <w:r w:rsidR="005C44F2">
        <w:rPr>
          <w:rFonts w:ascii="Calibri" w:hAnsi="Calibri"/>
          <w:noProof/>
          <w:sz w:val="22"/>
        </w:rPr>
        <w:t xml:space="preserve">2012, </w:t>
      </w:r>
      <w:r w:rsidR="00B6519A" w:rsidRPr="00EF7F5F">
        <w:rPr>
          <w:rFonts w:ascii="Calibri" w:hAnsi="Calibri"/>
          <w:b/>
          <w:bCs/>
          <w:noProof/>
          <w:sz w:val="22"/>
        </w:rPr>
        <w:t>51</w:t>
      </w:r>
      <w:r w:rsidR="005C44F2" w:rsidRPr="005C44F2">
        <w:rPr>
          <w:rFonts w:ascii="Calibri" w:hAnsi="Calibri"/>
          <w:bCs/>
          <w:noProof/>
          <w:sz w:val="22"/>
        </w:rPr>
        <w:t>:</w:t>
      </w:r>
      <w:r w:rsidR="005C44F2" w:rsidRPr="00EF7F5F">
        <w:rPr>
          <w:rFonts w:ascii="Calibri" w:hAnsi="Calibri"/>
          <w:noProof/>
          <w:sz w:val="22"/>
        </w:rPr>
        <w:t xml:space="preserve"> </w:t>
      </w:r>
      <w:r w:rsidR="00B6519A" w:rsidRPr="00EF7F5F">
        <w:rPr>
          <w:rFonts w:ascii="Calibri" w:hAnsi="Calibri"/>
          <w:noProof/>
          <w:sz w:val="22"/>
        </w:rPr>
        <w:t>765–778.</w:t>
      </w:r>
    </w:p>
    <w:p w14:paraId="1226C947" w14:textId="06592589" w:rsidR="005C44F2" w:rsidRDefault="00FE3544">
      <w:pPr>
        <w:pStyle w:val="NormalWeb"/>
        <w:ind w:left="640" w:hanging="640"/>
        <w:divId w:val="874463841"/>
        <w:rPr>
          <w:rFonts w:ascii="Calibri" w:hAnsi="Calibri"/>
          <w:noProof/>
          <w:sz w:val="22"/>
        </w:rPr>
      </w:pPr>
      <w:r>
        <w:rPr>
          <w:rFonts w:ascii="Calibri" w:hAnsi="Calibri"/>
          <w:noProof/>
          <w:sz w:val="22"/>
        </w:rPr>
        <w:t>5</w:t>
      </w:r>
      <w:r w:rsidR="005F650F">
        <w:rPr>
          <w:rFonts w:ascii="Calibri" w:hAnsi="Calibri"/>
          <w:noProof/>
          <w:sz w:val="22"/>
        </w:rPr>
        <w:t>8</w:t>
      </w:r>
      <w:r w:rsidR="00B6519A" w:rsidRPr="00EF7F5F">
        <w:rPr>
          <w:rFonts w:ascii="Calibri" w:hAnsi="Calibri"/>
          <w:noProof/>
          <w:sz w:val="22"/>
        </w:rPr>
        <w:t>.</w:t>
      </w:r>
      <w:r w:rsidR="00B6519A" w:rsidRPr="00EF7F5F">
        <w:rPr>
          <w:rFonts w:ascii="Calibri" w:hAnsi="Calibri"/>
          <w:noProof/>
          <w:sz w:val="22"/>
        </w:rPr>
        <w:tab/>
        <w:t>Bebbington A</w:t>
      </w:r>
      <w:r w:rsidR="005C44F2">
        <w:rPr>
          <w:rFonts w:ascii="Calibri" w:hAnsi="Calibri"/>
          <w:noProof/>
          <w:sz w:val="22"/>
        </w:rPr>
        <w:t>:</w:t>
      </w:r>
      <w:r w:rsidR="00B6519A" w:rsidRPr="00EF7F5F">
        <w:rPr>
          <w:rFonts w:ascii="Calibri" w:hAnsi="Calibri"/>
          <w:noProof/>
          <w:sz w:val="22"/>
        </w:rPr>
        <w:t xml:space="preserve"> </w:t>
      </w:r>
      <w:r w:rsidR="00B6519A" w:rsidRPr="005C44F2">
        <w:rPr>
          <w:rFonts w:ascii="Calibri" w:hAnsi="Calibri"/>
          <w:b/>
          <w:noProof/>
          <w:sz w:val="22"/>
        </w:rPr>
        <w:t>Capitals and capabilities: A framework for analyzing peasant viability, rural livelihoods and poverty</w:t>
      </w:r>
      <w:r w:rsidR="00B6519A" w:rsidRPr="00EF7F5F">
        <w:rPr>
          <w:rFonts w:ascii="Calibri" w:hAnsi="Calibri"/>
          <w:noProof/>
          <w:sz w:val="22"/>
        </w:rPr>
        <w:t xml:space="preserve">. </w:t>
      </w:r>
      <w:r w:rsidR="00B6519A" w:rsidRPr="00EF7F5F">
        <w:rPr>
          <w:rFonts w:ascii="Calibri" w:hAnsi="Calibri"/>
          <w:i/>
          <w:iCs/>
          <w:noProof/>
          <w:sz w:val="22"/>
        </w:rPr>
        <w:t>World Dev.</w:t>
      </w:r>
      <w:r w:rsidR="00B6519A" w:rsidRPr="00EF7F5F">
        <w:rPr>
          <w:rFonts w:ascii="Calibri" w:hAnsi="Calibri"/>
          <w:noProof/>
          <w:sz w:val="22"/>
        </w:rPr>
        <w:t xml:space="preserve"> </w:t>
      </w:r>
      <w:r w:rsidR="005C44F2">
        <w:rPr>
          <w:rFonts w:ascii="Calibri" w:hAnsi="Calibri"/>
          <w:noProof/>
          <w:sz w:val="22"/>
        </w:rPr>
        <w:t xml:space="preserve">1999, </w:t>
      </w:r>
      <w:r w:rsidR="00B6519A" w:rsidRPr="00EF7F5F">
        <w:rPr>
          <w:rFonts w:ascii="Calibri" w:hAnsi="Calibri"/>
          <w:b/>
          <w:bCs/>
          <w:noProof/>
          <w:sz w:val="22"/>
        </w:rPr>
        <w:t>27</w:t>
      </w:r>
      <w:r w:rsidR="005C44F2">
        <w:rPr>
          <w:rFonts w:ascii="Calibri" w:hAnsi="Calibri"/>
          <w:b/>
          <w:bCs/>
          <w:noProof/>
          <w:sz w:val="22"/>
        </w:rPr>
        <w:t>:</w:t>
      </w:r>
      <w:r w:rsidR="005C44F2" w:rsidRPr="00EF7F5F">
        <w:rPr>
          <w:rFonts w:ascii="Calibri" w:hAnsi="Calibri"/>
          <w:noProof/>
          <w:sz w:val="22"/>
        </w:rPr>
        <w:t xml:space="preserve"> </w:t>
      </w:r>
      <w:r w:rsidR="00B6519A" w:rsidRPr="00EF7F5F">
        <w:rPr>
          <w:rFonts w:ascii="Calibri" w:hAnsi="Calibri"/>
          <w:noProof/>
          <w:sz w:val="22"/>
        </w:rPr>
        <w:t>2021–2044.</w:t>
      </w:r>
    </w:p>
    <w:p w14:paraId="75047478" w14:textId="2501A6DA" w:rsidR="00B6519A" w:rsidRPr="00EF7F5F" w:rsidRDefault="005F650F">
      <w:pPr>
        <w:pStyle w:val="NormalWeb"/>
        <w:ind w:left="640" w:hanging="640"/>
        <w:divId w:val="874463841"/>
        <w:rPr>
          <w:rFonts w:ascii="Calibri" w:hAnsi="Calibri"/>
          <w:noProof/>
          <w:sz w:val="22"/>
        </w:rPr>
      </w:pPr>
      <w:r>
        <w:rPr>
          <w:rFonts w:ascii="Calibri" w:hAnsi="Calibri"/>
          <w:noProof/>
          <w:sz w:val="22"/>
        </w:rPr>
        <w:t>59</w:t>
      </w:r>
      <w:r w:rsidR="00B6519A" w:rsidRPr="00EF7F5F">
        <w:rPr>
          <w:rFonts w:ascii="Calibri" w:hAnsi="Calibri"/>
          <w:noProof/>
          <w:sz w:val="22"/>
        </w:rPr>
        <w:t>.</w:t>
      </w:r>
      <w:r w:rsidR="00B6519A" w:rsidRPr="00EF7F5F">
        <w:rPr>
          <w:rFonts w:ascii="Calibri" w:hAnsi="Calibri"/>
          <w:noProof/>
          <w:sz w:val="22"/>
        </w:rPr>
        <w:tab/>
        <w:t>Franco J</w:t>
      </w:r>
      <w:r w:rsidR="005C44F2">
        <w:rPr>
          <w:rFonts w:ascii="Calibri" w:hAnsi="Calibri"/>
          <w:noProof/>
          <w:sz w:val="22"/>
        </w:rPr>
        <w:t xml:space="preserve">, Levidow L, Fig D, Goldfarb L, Hönicke M &amp; Mendonça L: </w:t>
      </w:r>
      <w:r w:rsidR="00B6519A" w:rsidRPr="005C44F2">
        <w:rPr>
          <w:rFonts w:ascii="Calibri" w:hAnsi="Calibri"/>
          <w:b/>
          <w:noProof/>
          <w:sz w:val="22"/>
        </w:rPr>
        <w:t>Assumptions in the European Union biofuels policy: frictions with experiences in Germany, Brazil and Mozambique</w:t>
      </w:r>
      <w:r w:rsidR="00B6519A" w:rsidRPr="00EF7F5F">
        <w:rPr>
          <w:rFonts w:ascii="Calibri" w:hAnsi="Calibri"/>
          <w:noProof/>
          <w:sz w:val="22"/>
        </w:rPr>
        <w:t xml:space="preserve">. </w:t>
      </w:r>
      <w:r w:rsidR="00B6519A" w:rsidRPr="00EF7F5F">
        <w:rPr>
          <w:rFonts w:ascii="Calibri" w:hAnsi="Calibri"/>
          <w:i/>
          <w:iCs/>
          <w:noProof/>
          <w:sz w:val="22"/>
        </w:rPr>
        <w:t>J. Peasant Stud.</w:t>
      </w:r>
      <w:r w:rsidR="00B6519A" w:rsidRPr="00EF7F5F">
        <w:rPr>
          <w:rFonts w:ascii="Calibri" w:hAnsi="Calibri"/>
          <w:noProof/>
          <w:sz w:val="22"/>
        </w:rPr>
        <w:t xml:space="preserve"> </w:t>
      </w:r>
      <w:r w:rsidR="005C44F2">
        <w:rPr>
          <w:rFonts w:ascii="Calibri" w:hAnsi="Calibri"/>
          <w:noProof/>
          <w:sz w:val="22"/>
        </w:rPr>
        <w:t xml:space="preserve">2010, </w:t>
      </w:r>
      <w:r w:rsidR="00B6519A" w:rsidRPr="00EF7F5F">
        <w:rPr>
          <w:rFonts w:ascii="Calibri" w:hAnsi="Calibri"/>
          <w:b/>
          <w:bCs/>
          <w:noProof/>
          <w:sz w:val="22"/>
        </w:rPr>
        <w:t>37</w:t>
      </w:r>
      <w:r w:rsidR="005C44F2">
        <w:rPr>
          <w:rFonts w:ascii="Calibri" w:hAnsi="Calibri"/>
          <w:bCs/>
          <w:noProof/>
          <w:sz w:val="22"/>
        </w:rPr>
        <w:t>:</w:t>
      </w:r>
      <w:r w:rsidR="00B6519A" w:rsidRPr="00EF7F5F">
        <w:rPr>
          <w:rFonts w:ascii="Calibri" w:hAnsi="Calibri"/>
          <w:noProof/>
          <w:sz w:val="22"/>
        </w:rPr>
        <w:t xml:space="preserve"> 661–98.</w:t>
      </w:r>
    </w:p>
    <w:p w14:paraId="46F50AF7" w14:textId="4B6AC7DF" w:rsidR="00B6519A" w:rsidRPr="007C3DA8" w:rsidRDefault="00FE3544">
      <w:pPr>
        <w:pStyle w:val="NormalWeb"/>
        <w:ind w:left="640" w:hanging="640"/>
        <w:divId w:val="874463841"/>
        <w:rPr>
          <w:rFonts w:ascii="Calibri" w:hAnsi="Calibri"/>
          <w:noProof/>
          <w:sz w:val="22"/>
          <w:szCs w:val="22"/>
        </w:rPr>
      </w:pPr>
      <w:r>
        <w:rPr>
          <w:rFonts w:ascii="Calibri" w:hAnsi="Calibri"/>
          <w:noProof/>
          <w:sz w:val="22"/>
        </w:rPr>
        <w:t>6</w:t>
      </w:r>
      <w:r w:rsidR="005F650F">
        <w:rPr>
          <w:rFonts w:ascii="Calibri" w:hAnsi="Calibri"/>
          <w:noProof/>
          <w:sz w:val="22"/>
        </w:rPr>
        <w:t>0</w:t>
      </w:r>
      <w:r w:rsidR="00B6519A" w:rsidRPr="00EF7F5F">
        <w:rPr>
          <w:rFonts w:ascii="Calibri" w:hAnsi="Calibri"/>
          <w:noProof/>
          <w:sz w:val="22"/>
        </w:rPr>
        <w:t>.</w:t>
      </w:r>
      <w:r w:rsidR="00B6519A" w:rsidRPr="00EF7F5F">
        <w:rPr>
          <w:rFonts w:ascii="Calibri" w:hAnsi="Calibri"/>
          <w:noProof/>
          <w:sz w:val="22"/>
        </w:rPr>
        <w:tab/>
      </w:r>
      <w:r w:rsidR="00EF7F5F" w:rsidRPr="00EF7F5F">
        <w:rPr>
          <w:rFonts w:ascii="Calibri" w:hAnsi="Calibri"/>
          <w:noProof/>
          <w:sz w:val="22"/>
        </w:rPr>
        <w:t>*</w:t>
      </w:r>
      <w:r w:rsidR="00B6519A" w:rsidRPr="00EF7F5F">
        <w:rPr>
          <w:rFonts w:ascii="Calibri" w:hAnsi="Calibri"/>
          <w:noProof/>
          <w:sz w:val="22"/>
        </w:rPr>
        <w:t>Venghaus S &amp; Selbmann K</w:t>
      </w:r>
      <w:r w:rsidR="00A249DB">
        <w:rPr>
          <w:rFonts w:ascii="Calibri" w:hAnsi="Calibri"/>
          <w:noProof/>
          <w:sz w:val="22"/>
        </w:rPr>
        <w:t>:</w:t>
      </w:r>
      <w:r w:rsidR="00B6519A" w:rsidRPr="00EF7F5F">
        <w:rPr>
          <w:rFonts w:ascii="Calibri" w:hAnsi="Calibri"/>
          <w:noProof/>
          <w:sz w:val="22"/>
        </w:rPr>
        <w:t xml:space="preserve"> </w:t>
      </w:r>
      <w:r w:rsidR="00B6519A" w:rsidRPr="00A249DB">
        <w:rPr>
          <w:rFonts w:ascii="Calibri" w:hAnsi="Calibri"/>
          <w:b/>
          <w:noProof/>
          <w:sz w:val="22"/>
        </w:rPr>
        <w:t>Biofuel as social fuel: Introducing socio-environmental services as a means to reduce global inequity?</w:t>
      </w:r>
      <w:r w:rsidR="00B6519A" w:rsidRPr="00EF7F5F">
        <w:rPr>
          <w:rFonts w:ascii="Calibri" w:hAnsi="Calibri"/>
          <w:noProof/>
          <w:sz w:val="22"/>
        </w:rPr>
        <w:t xml:space="preserve"> </w:t>
      </w:r>
      <w:r w:rsidR="00B6519A" w:rsidRPr="00EF7F5F">
        <w:rPr>
          <w:rFonts w:ascii="Calibri" w:hAnsi="Calibri"/>
          <w:i/>
          <w:iCs/>
          <w:noProof/>
          <w:sz w:val="22"/>
        </w:rPr>
        <w:t>Ecol. Econ.</w:t>
      </w:r>
      <w:r w:rsidR="00B6519A" w:rsidRPr="00EF7F5F">
        <w:rPr>
          <w:rFonts w:ascii="Calibri" w:hAnsi="Calibri"/>
          <w:noProof/>
          <w:sz w:val="22"/>
        </w:rPr>
        <w:t xml:space="preserve"> </w:t>
      </w:r>
      <w:r w:rsidR="00A249DB">
        <w:rPr>
          <w:rFonts w:ascii="Calibri" w:hAnsi="Calibri"/>
          <w:noProof/>
          <w:sz w:val="22"/>
        </w:rPr>
        <w:t xml:space="preserve">2014, </w:t>
      </w:r>
      <w:r w:rsidR="00B6519A" w:rsidRPr="00EF7F5F">
        <w:rPr>
          <w:rFonts w:ascii="Calibri" w:hAnsi="Calibri"/>
          <w:b/>
          <w:bCs/>
          <w:noProof/>
          <w:sz w:val="22"/>
        </w:rPr>
        <w:t>97</w:t>
      </w:r>
      <w:r w:rsidR="00A249DB" w:rsidRPr="00A249DB">
        <w:rPr>
          <w:rFonts w:ascii="Calibri" w:hAnsi="Calibri"/>
          <w:bCs/>
          <w:noProof/>
          <w:sz w:val="22"/>
        </w:rPr>
        <w:t>:</w:t>
      </w:r>
      <w:r w:rsidR="00A249DB" w:rsidRPr="00EF7F5F">
        <w:rPr>
          <w:rFonts w:ascii="Calibri" w:hAnsi="Calibri"/>
          <w:noProof/>
          <w:sz w:val="22"/>
        </w:rPr>
        <w:t xml:space="preserve"> </w:t>
      </w:r>
      <w:r w:rsidR="00B6519A" w:rsidRPr="00EF7F5F">
        <w:rPr>
          <w:rFonts w:ascii="Calibri" w:hAnsi="Calibri"/>
          <w:noProof/>
          <w:sz w:val="22"/>
        </w:rPr>
        <w:t>84–92.</w:t>
      </w:r>
      <w:r w:rsidR="00EF7F5F" w:rsidRPr="00EF7F5F">
        <w:rPr>
          <w:rFonts w:ascii="Calibri" w:hAnsi="Calibri"/>
          <w:noProof/>
          <w:sz w:val="22"/>
        </w:rPr>
        <w:t xml:space="preserve"> </w:t>
      </w:r>
      <w:r w:rsidR="00EF7F5F" w:rsidRPr="009C19A5">
        <w:rPr>
          <w:rFonts w:ascii="Calibri" w:hAnsi="Calibri"/>
          <w:sz w:val="22"/>
          <w:szCs w:val="22"/>
        </w:rPr>
        <w:t>This paper highlights the way in which inclusion of social and economic issues into sustainability assessments of biofuels might reduce global inequities.</w:t>
      </w:r>
      <w:r w:rsidR="00EF7F5F" w:rsidRPr="007C3DA8">
        <w:rPr>
          <w:rFonts w:ascii="Calibri" w:hAnsi="Calibri"/>
          <w:noProof/>
          <w:sz w:val="22"/>
          <w:szCs w:val="22"/>
        </w:rPr>
        <w:t xml:space="preserve"> </w:t>
      </w:r>
    </w:p>
    <w:p w14:paraId="41B28ACF" w14:textId="5A828536" w:rsidR="00B6519A" w:rsidRPr="00EF7F5F" w:rsidRDefault="00FE3544">
      <w:pPr>
        <w:pStyle w:val="NormalWeb"/>
        <w:ind w:left="640" w:hanging="640"/>
        <w:divId w:val="874463841"/>
        <w:rPr>
          <w:rFonts w:ascii="Calibri" w:hAnsi="Calibri"/>
          <w:noProof/>
          <w:sz w:val="22"/>
        </w:rPr>
      </w:pPr>
      <w:r>
        <w:rPr>
          <w:rFonts w:ascii="Calibri" w:hAnsi="Calibri"/>
          <w:noProof/>
          <w:sz w:val="22"/>
        </w:rPr>
        <w:t>6</w:t>
      </w:r>
      <w:r w:rsidR="005F650F">
        <w:rPr>
          <w:rFonts w:ascii="Calibri" w:hAnsi="Calibri"/>
          <w:noProof/>
          <w:sz w:val="22"/>
        </w:rPr>
        <w:t>1</w:t>
      </w:r>
      <w:r>
        <w:rPr>
          <w:rFonts w:ascii="Calibri" w:hAnsi="Calibri"/>
          <w:noProof/>
          <w:sz w:val="22"/>
        </w:rPr>
        <w:t>.</w:t>
      </w:r>
      <w:r w:rsidR="00B6519A" w:rsidRPr="00EF7F5F">
        <w:rPr>
          <w:rFonts w:ascii="Calibri" w:hAnsi="Calibri"/>
          <w:noProof/>
          <w:sz w:val="22"/>
        </w:rPr>
        <w:tab/>
        <w:t xml:space="preserve">Council of the European Union. </w:t>
      </w:r>
      <w:r w:rsidR="00B6519A" w:rsidRPr="00A249DB">
        <w:rPr>
          <w:rFonts w:ascii="Calibri" w:hAnsi="Calibri"/>
          <w:i/>
          <w:noProof/>
          <w:sz w:val="22"/>
        </w:rPr>
        <w:t>Proposal on indirect land-use change: Council reaches agreement</w:t>
      </w:r>
      <w:r w:rsidR="00B6519A" w:rsidRPr="00EF7F5F">
        <w:rPr>
          <w:rFonts w:ascii="Calibri" w:hAnsi="Calibri"/>
          <w:noProof/>
          <w:sz w:val="22"/>
        </w:rPr>
        <w:t xml:space="preserve">. </w:t>
      </w:r>
      <w:r w:rsidR="00A249DB" w:rsidRPr="00EF7F5F">
        <w:rPr>
          <w:rFonts w:ascii="Calibri" w:hAnsi="Calibri"/>
          <w:noProof/>
          <w:sz w:val="22"/>
        </w:rPr>
        <w:t>Council of the European Union</w:t>
      </w:r>
      <w:r w:rsidR="00A249DB">
        <w:rPr>
          <w:rFonts w:ascii="Calibri" w:hAnsi="Calibri"/>
          <w:noProof/>
          <w:sz w:val="22"/>
        </w:rPr>
        <w:t xml:space="preserve">; </w:t>
      </w:r>
      <w:r w:rsidR="00B6519A" w:rsidRPr="00EF7F5F">
        <w:rPr>
          <w:rFonts w:ascii="Calibri" w:hAnsi="Calibri"/>
          <w:noProof/>
          <w:sz w:val="22"/>
        </w:rPr>
        <w:t xml:space="preserve">2014. </w:t>
      </w:r>
    </w:p>
    <w:p w14:paraId="7984024F" w14:textId="5C3D423B" w:rsidR="00B6519A" w:rsidRPr="00EF7F5F" w:rsidRDefault="00FE3544">
      <w:pPr>
        <w:pStyle w:val="NormalWeb"/>
        <w:ind w:left="640" w:hanging="640"/>
        <w:divId w:val="874463841"/>
        <w:rPr>
          <w:rFonts w:ascii="Calibri" w:hAnsi="Calibri"/>
          <w:noProof/>
          <w:sz w:val="22"/>
        </w:rPr>
      </w:pPr>
      <w:r>
        <w:rPr>
          <w:rFonts w:ascii="Calibri" w:hAnsi="Calibri"/>
          <w:noProof/>
          <w:sz w:val="22"/>
        </w:rPr>
        <w:lastRenderedPageBreak/>
        <w:t>6</w:t>
      </w:r>
      <w:r w:rsidR="005F650F">
        <w:rPr>
          <w:rFonts w:ascii="Calibri" w:hAnsi="Calibri"/>
          <w:noProof/>
          <w:sz w:val="22"/>
        </w:rPr>
        <w:t>2</w:t>
      </w:r>
      <w:r w:rsidR="00B6519A" w:rsidRPr="00EF7F5F">
        <w:rPr>
          <w:rFonts w:ascii="Calibri" w:hAnsi="Calibri"/>
          <w:noProof/>
          <w:sz w:val="22"/>
        </w:rPr>
        <w:t>.</w:t>
      </w:r>
      <w:r w:rsidR="00B6519A" w:rsidRPr="00EF7F5F">
        <w:rPr>
          <w:rFonts w:ascii="Calibri" w:hAnsi="Calibri"/>
          <w:noProof/>
          <w:sz w:val="22"/>
        </w:rPr>
        <w:tab/>
        <w:t xml:space="preserve">European Parliament and the Council of the European Union. </w:t>
      </w:r>
      <w:r w:rsidR="00B6519A" w:rsidRPr="00EF7F5F">
        <w:rPr>
          <w:rFonts w:ascii="Calibri" w:hAnsi="Calibri"/>
          <w:i/>
          <w:iCs/>
          <w:noProof/>
          <w:sz w:val="22"/>
        </w:rPr>
        <w:t>The promotion of the use of energy from renewable sources and amending and subsequently repealing Directives 2011/77/EC and 2003/30/EC</w:t>
      </w:r>
      <w:r w:rsidR="00B7454A">
        <w:rPr>
          <w:rFonts w:ascii="Calibri" w:hAnsi="Calibri"/>
          <w:noProof/>
          <w:sz w:val="22"/>
        </w:rPr>
        <w:t xml:space="preserve">. </w:t>
      </w:r>
      <w:r w:rsidR="00A249DB" w:rsidRPr="00EF7F5F">
        <w:rPr>
          <w:rFonts w:ascii="Calibri" w:hAnsi="Calibri"/>
          <w:noProof/>
          <w:sz w:val="22"/>
        </w:rPr>
        <w:t>European Parliament and the Council of the European Union</w:t>
      </w:r>
      <w:r w:rsidR="00A249DB" w:rsidDel="00A249DB">
        <w:rPr>
          <w:rFonts w:ascii="Calibri" w:hAnsi="Calibri"/>
          <w:noProof/>
          <w:sz w:val="22"/>
        </w:rPr>
        <w:t xml:space="preserve"> </w:t>
      </w:r>
      <w:r w:rsidR="00A249DB">
        <w:rPr>
          <w:rFonts w:ascii="Calibri" w:hAnsi="Calibri"/>
          <w:noProof/>
          <w:sz w:val="22"/>
        </w:rPr>
        <w:t xml:space="preserve">; </w:t>
      </w:r>
      <w:r w:rsidR="00B7454A">
        <w:rPr>
          <w:rFonts w:ascii="Calibri" w:hAnsi="Calibri"/>
          <w:noProof/>
          <w:sz w:val="22"/>
        </w:rPr>
        <w:t xml:space="preserve">2009. </w:t>
      </w:r>
    </w:p>
    <w:p w14:paraId="58598C1B" w14:textId="3522B491" w:rsidR="00E313AB" w:rsidRDefault="00FE3544">
      <w:pPr>
        <w:pStyle w:val="NormalWeb"/>
        <w:ind w:left="640" w:hanging="640"/>
        <w:divId w:val="874463841"/>
        <w:rPr>
          <w:rFonts w:ascii="Calibri" w:hAnsi="Calibri"/>
          <w:noProof/>
          <w:sz w:val="22"/>
        </w:rPr>
      </w:pPr>
      <w:r>
        <w:rPr>
          <w:rFonts w:ascii="Calibri" w:hAnsi="Calibri"/>
          <w:noProof/>
          <w:sz w:val="22"/>
        </w:rPr>
        <w:t>6</w:t>
      </w:r>
      <w:r w:rsidR="005F650F">
        <w:rPr>
          <w:rFonts w:ascii="Calibri" w:hAnsi="Calibri"/>
          <w:noProof/>
          <w:sz w:val="22"/>
        </w:rPr>
        <w:t>3</w:t>
      </w:r>
      <w:r w:rsidR="00B6519A" w:rsidRPr="00EF7F5F">
        <w:rPr>
          <w:rFonts w:ascii="Calibri" w:hAnsi="Calibri"/>
          <w:noProof/>
          <w:sz w:val="22"/>
        </w:rPr>
        <w:t>.</w:t>
      </w:r>
      <w:r w:rsidR="00B6519A" w:rsidRPr="00EF7F5F">
        <w:rPr>
          <w:rFonts w:ascii="Calibri" w:hAnsi="Calibri"/>
          <w:noProof/>
          <w:sz w:val="22"/>
        </w:rPr>
        <w:tab/>
        <w:t>Flach B, Bendz K &amp; Lieberz S</w:t>
      </w:r>
      <w:r w:rsidR="00A249DB">
        <w:rPr>
          <w:rFonts w:ascii="Calibri" w:hAnsi="Calibri"/>
          <w:noProof/>
          <w:sz w:val="22"/>
        </w:rPr>
        <w:t>:</w:t>
      </w:r>
      <w:r w:rsidR="00B6519A" w:rsidRPr="00EF7F5F">
        <w:rPr>
          <w:rFonts w:ascii="Calibri" w:hAnsi="Calibri"/>
          <w:noProof/>
          <w:sz w:val="22"/>
        </w:rPr>
        <w:t xml:space="preserve"> </w:t>
      </w:r>
      <w:r w:rsidR="00B6519A" w:rsidRPr="00EF7F5F">
        <w:rPr>
          <w:rFonts w:ascii="Calibri" w:hAnsi="Calibri"/>
          <w:i/>
          <w:iCs/>
          <w:noProof/>
          <w:sz w:val="22"/>
        </w:rPr>
        <w:t>EU Biofuels Annual 2014</w:t>
      </w:r>
      <w:r w:rsidR="00B7454A">
        <w:rPr>
          <w:rFonts w:ascii="Calibri" w:hAnsi="Calibri"/>
          <w:noProof/>
          <w:sz w:val="22"/>
        </w:rPr>
        <w:t xml:space="preserve">. </w:t>
      </w:r>
      <w:r w:rsidR="00A249DB">
        <w:rPr>
          <w:rFonts w:ascii="Calibri" w:hAnsi="Calibri"/>
          <w:noProof/>
          <w:sz w:val="22"/>
        </w:rPr>
        <w:t xml:space="preserve">USDA; </w:t>
      </w:r>
      <w:r w:rsidR="00B7454A">
        <w:rPr>
          <w:rFonts w:ascii="Calibri" w:hAnsi="Calibri"/>
          <w:noProof/>
          <w:sz w:val="22"/>
        </w:rPr>
        <w:t xml:space="preserve">2014. </w:t>
      </w:r>
    </w:p>
    <w:p w14:paraId="7E60C7F0" w14:textId="0F75DE12" w:rsidR="00B6519A" w:rsidRPr="007C3DA8" w:rsidRDefault="00FE3544">
      <w:pPr>
        <w:pStyle w:val="NormalWeb"/>
        <w:ind w:left="640" w:hanging="640"/>
        <w:divId w:val="874463841"/>
        <w:rPr>
          <w:rFonts w:ascii="Calibri" w:hAnsi="Calibri"/>
          <w:noProof/>
          <w:sz w:val="22"/>
          <w:szCs w:val="22"/>
        </w:rPr>
      </w:pPr>
      <w:r>
        <w:rPr>
          <w:rFonts w:ascii="Calibri" w:hAnsi="Calibri"/>
          <w:noProof/>
          <w:sz w:val="22"/>
        </w:rPr>
        <w:t>6</w:t>
      </w:r>
      <w:r w:rsidR="005F650F">
        <w:rPr>
          <w:rFonts w:ascii="Calibri" w:hAnsi="Calibri"/>
          <w:noProof/>
          <w:sz w:val="22"/>
        </w:rPr>
        <w:t>4</w:t>
      </w:r>
      <w:r w:rsidR="00B6519A" w:rsidRPr="00EF7F5F">
        <w:rPr>
          <w:rFonts w:ascii="Calibri" w:hAnsi="Calibri"/>
          <w:noProof/>
          <w:sz w:val="22"/>
        </w:rPr>
        <w:t>.</w:t>
      </w:r>
      <w:r w:rsidR="00B6519A" w:rsidRPr="00EF7F5F">
        <w:rPr>
          <w:rFonts w:ascii="Calibri" w:hAnsi="Calibri"/>
          <w:noProof/>
          <w:sz w:val="22"/>
        </w:rPr>
        <w:tab/>
      </w:r>
      <w:r w:rsidR="00EF7F5F" w:rsidRPr="00EF7F5F">
        <w:rPr>
          <w:rFonts w:ascii="Calibri" w:hAnsi="Calibri"/>
          <w:noProof/>
          <w:sz w:val="22"/>
        </w:rPr>
        <w:t>*</w:t>
      </w:r>
      <w:r w:rsidR="00B6519A" w:rsidRPr="00EF7F5F">
        <w:rPr>
          <w:rFonts w:ascii="Calibri" w:hAnsi="Calibri"/>
          <w:noProof/>
          <w:sz w:val="22"/>
        </w:rPr>
        <w:t xml:space="preserve">World Wildlife Fund. </w:t>
      </w:r>
      <w:r w:rsidR="00B6519A" w:rsidRPr="00EF7F5F">
        <w:rPr>
          <w:rFonts w:ascii="Calibri" w:hAnsi="Calibri"/>
          <w:i/>
          <w:iCs/>
          <w:noProof/>
          <w:sz w:val="22"/>
        </w:rPr>
        <w:t>Searching for Sustainability: Comparative Analysis of Certification Schemes for Biomass used for the Production of Biofuels</w:t>
      </w:r>
      <w:r w:rsidR="00B6519A" w:rsidRPr="00EF7F5F">
        <w:rPr>
          <w:rFonts w:ascii="Calibri" w:hAnsi="Calibri"/>
          <w:noProof/>
          <w:sz w:val="22"/>
        </w:rPr>
        <w:t xml:space="preserve">. </w:t>
      </w:r>
      <w:r w:rsidR="00A249DB" w:rsidRPr="00EF7F5F">
        <w:rPr>
          <w:rFonts w:ascii="Calibri" w:hAnsi="Calibri"/>
          <w:noProof/>
          <w:sz w:val="22"/>
        </w:rPr>
        <w:t>World Wildlife Fund</w:t>
      </w:r>
      <w:r w:rsidR="00A249DB">
        <w:rPr>
          <w:rFonts w:ascii="Calibri" w:hAnsi="Calibri"/>
          <w:noProof/>
          <w:sz w:val="22"/>
        </w:rPr>
        <w:t xml:space="preserve">; </w:t>
      </w:r>
      <w:r w:rsidR="00B6519A" w:rsidRPr="00EF7F5F">
        <w:rPr>
          <w:rFonts w:ascii="Calibri" w:hAnsi="Calibri"/>
          <w:noProof/>
          <w:sz w:val="22"/>
        </w:rPr>
        <w:t xml:space="preserve">2013. </w:t>
      </w:r>
      <w:r w:rsidR="00EF7F5F" w:rsidRPr="009C19A5">
        <w:rPr>
          <w:rFonts w:ascii="Calibri" w:hAnsi="Calibri"/>
          <w:sz w:val="22"/>
          <w:szCs w:val="22"/>
        </w:rPr>
        <w:t>This report provides a summary and comparison of the scope of biofuel certification schemes with attention to community consultation in the assessment process.</w:t>
      </w:r>
    </w:p>
    <w:p w14:paraId="61E3441D" w14:textId="37D4FF47" w:rsidR="00B6519A" w:rsidRPr="00B7454A" w:rsidRDefault="00FE3544">
      <w:pPr>
        <w:pStyle w:val="NormalWeb"/>
        <w:ind w:left="640" w:hanging="640"/>
        <w:divId w:val="874463841"/>
        <w:rPr>
          <w:rFonts w:ascii="Calibri" w:hAnsi="Calibri"/>
          <w:noProof/>
          <w:sz w:val="20"/>
        </w:rPr>
      </w:pPr>
      <w:r w:rsidRPr="00A249DB">
        <w:rPr>
          <w:rFonts w:ascii="Calibri" w:hAnsi="Calibri"/>
          <w:noProof/>
          <w:sz w:val="22"/>
        </w:rPr>
        <w:t>6</w:t>
      </w:r>
      <w:r w:rsidR="005F650F">
        <w:rPr>
          <w:rFonts w:ascii="Calibri" w:hAnsi="Calibri"/>
          <w:noProof/>
          <w:sz w:val="22"/>
        </w:rPr>
        <w:t>5</w:t>
      </w:r>
      <w:r w:rsidRPr="00A249DB">
        <w:rPr>
          <w:rFonts w:ascii="Calibri" w:hAnsi="Calibri"/>
          <w:noProof/>
          <w:sz w:val="22"/>
        </w:rPr>
        <w:t>.</w:t>
      </w:r>
      <w:r w:rsidR="00B6519A" w:rsidRPr="00A249DB">
        <w:rPr>
          <w:rFonts w:ascii="Calibri" w:hAnsi="Calibri"/>
          <w:noProof/>
          <w:sz w:val="22"/>
        </w:rPr>
        <w:tab/>
      </w:r>
      <w:r w:rsidR="00EF7F5F" w:rsidRPr="00A249DB">
        <w:rPr>
          <w:rFonts w:ascii="Calibri" w:hAnsi="Calibri"/>
          <w:noProof/>
          <w:sz w:val="22"/>
        </w:rPr>
        <w:t>*</w:t>
      </w:r>
      <w:r w:rsidR="00B6519A" w:rsidRPr="00A249DB">
        <w:rPr>
          <w:rFonts w:ascii="Calibri" w:hAnsi="Calibri"/>
          <w:noProof/>
          <w:sz w:val="22"/>
        </w:rPr>
        <w:t xml:space="preserve">Goovaerts L </w:t>
      </w:r>
      <w:r w:rsidR="00B6519A" w:rsidRPr="00A249DB">
        <w:rPr>
          <w:rFonts w:ascii="Calibri" w:hAnsi="Calibri"/>
          <w:iCs/>
          <w:noProof/>
          <w:sz w:val="22"/>
        </w:rPr>
        <w:t>et al.</w:t>
      </w:r>
      <w:r w:rsidR="00A249DB" w:rsidRPr="00A249DB">
        <w:rPr>
          <w:rFonts w:ascii="Calibri" w:hAnsi="Calibri"/>
          <w:iCs/>
          <w:noProof/>
          <w:sz w:val="22"/>
        </w:rPr>
        <w:t>:</w:t>
      </w:r>
      <w:r w:rsidR="00B6519A" w:rsidRPr="00EF7F5F">
        <w:rPr>
          <w:rFonts w:ascii="Calibri" w:hAnsi="Calibri"/>
          <w:noProof/>
          <w:sz w:val="22"/>
        </w:rPr>
        <w:t xml:space="preserve"> </w:t>
      </w:r>
      <w:r w:rsidR="00B6519A" w:rsidRPr="00EF7F5F">
        <w:rPr>
          <w:rFonts w:ascii="Calibri" w:hAnsi="Calibri"/>
          <w:i/>
          <w:iCs/>
          <w:noProof/>
          <w:sz w:val="22"/>
        </w:rPr>
        <w:t>Strategic Inter-Task Study: Monitoring Sustainability Certification of Bioenergy - Task 1: Examining Sustainability Certification of Bioenergy</w:t>
      </w:r>
      <w:r w:rsidR="00B6519A" w:rsidRPr="00EF7F5F">
        <w:rPr>
          <w:rFonts w:ascii="Calibri" w:hAnsi="Calibri"/>
          <w:noProof/>
          <w:sz w:val="22"/>
        </w:rPr>
        <w:t xml:space="preserve">. </w:t>
      </w:r>
      <w:r w:rsidR="00A249DB">
        <w:rPr>
          <w:rFonts w:ascii="Calibri" w:hAnsi="Calibri"/>
          <w:noProof/>
          <w:sz w:val="22"/>
        </w:rPr>
        <w:t xml:space="preserve">IEA Bioenergy; </w:t>
      </w:r>
      <w:r w:rsidR="00B6519A" w:rsidRPr="00EF7F5F">
        <w:rPr>
          <w:rFonts w:ascii="Calibri" w:hAnsi="Calibri"/>
          <w:noProof/>
          <w:sz w:val="22"/>
        </w:rPr>
        <w:t xml:space="preserve">2013. </w:t>
      </w:r>
      <w:r w:rsidR="00EF7F5F" w:rsidRPr="00B7454A">
        <w:rPr>
          <w:rFonts w:ascii="Calibri" w:hAnsi="Calibri"/>
          <w:sz w:val="22"/>
        </w:rPr>
        <w:t>This report provides evidence of the proliferation of accreditation for particular biofuel sustainability schemes.</w:t>
      </w:r>
    </w:p>
    <w:p w14:paraId="66B8E52C" w14:textId="01521D1D" w:rsidR="00B6519A" w:rsidRPr="00B6519A" w:rsidRDefault="00FE3544">
      <w:pPr>
        <w:pStyle w:val="NormalWeb"/>
        <w:ind w:left="640" w:hanging="640"/>
        <w:divId w:val="874463841"/>
        <w:rPr>
          <w:rFonts w:ascii="Calibri" w:hAnsi="Calibri"/>
          <w:noProof/>
          <w:sz w:val="22"/>
        </w:rPr>
      </w:pPr>
      <w:r>
        <w:rPr>
          <w:rFonts w:ascii="Calibri" w:hAnsi="Calibri"/>
          <w:noProof/>
          <w:sz w:val="22"/>
        </w:rPr>
        <w:t>6</w:t>
      </w:r>
      <w:r w:rsidR="005F650F">
        <w:rPr>
          <w:rFonts w:ascii="Calibri" w:hAnsi="Calibri"/>
          <w:noProof/>
          <w:sz w:val="22"/>
        </w:rPr>
        <w:t>6</w:t>
      </w:r>
      <w:r>
        <w:rPr>
          <w:rFonts w:ascii="Calibri" w:hAnsi="Calibri"/>
          <w:noProof/>
          <w:sz w:val="22"/>
        </w:rPr>
        <w:t>.</w:t>
      </w:r>
      <w:r w:rsidR="00B6519A" w:rsidRPr="00B6519A">
        <w:rPr>
          <w:rFonts w:ascii="Calibri" w:hAnsi="Calibri"/>
          <w:noProof/>
          <w:sz w:val="22"/>
        </w:rPr>
        <w:tab/>
        <w:t xml:space="preserve">European Commission. </w:t>
      </w:r>
      <w:r w:rsidR="00B6519A" w:rsidRPr="00A249DB">
        <w:rPr>
          <w:rFonts w:ascii="Calibri" w:hAnsi="Calibri"/>
          <w:i/>
          <w:noProof/>
          <w:sz w:val="22"/>
        </w:rPr>
        <w:t>Biofuels - Sust</w:t>
      </w:r>
      <w:r w:rsidR="00B7454A" w:rsidRPr="00A249DB">
        <w:rPr>
          <w:rFonts w:ascii="Calibri" w:hAnsi="Calibri"/>
          <w:i/>
          <w:noProof/>
          <w:sz w:val="22"/>
        </w:rPr>
        <w:t>ainability schemes</w:t>
      </w:r>
      <w:r w:rsidR="00B7454A">
        <w:rPr>
          <w:rFonts w:ascii="Calibri" w:hAnsi="Calibri"/>
          <w:noProof/>
          <w:sz w:val="22"/>
        </w:rPr>
        <w:t xml:space="preserve">. </w:t>
      </w:r>
      <w:r w:rsidR="00A249DB">
        <w:rPr>
          <w:rFonts w:ascii="Calibri" w:hAnsi="Calibri"/>
          <w:noProof/>
          <w:sz w:val="22"/>
        </w:rPr>
        <w:t xml:space="preserve">European Commission; </w:t>
      </w:r>
      <w:r w:rsidR="00B7454A">
        <w:rPr>
          <w:rFonts w:ascii="Calibri" w:hAnsi="Calibri"/>
          <w:noProof/>
          <w:sz w:val="22"/>
        </w:rPr>
        <w:t xml:space="preserve">2014. </w:t>
      </w:r>
    </w:p>
    <w:p w14:paraId="5E3CC49D" w14:textId="77777777" w:rsidR="00AD168E" w:rsidRPr="008A4AC6" w:rsidRDefault="008A4AC6" w:rsidP="00B6519A">
      <w:pPr>
        <w:pStyle w:val="NormalWeb"/>
        <w:ind w:left="640" w:hanging="640"/>
        <w:divId w:val="986013950"/>
        <w:rPr>
          <w:rFonts w:ascii="Calibri" w:hAnsi="Calibri"/>
          <w:b/>
          <w:i/>
          <w:noProof/>
          <w:sz w:val="22"/>
        </w:rPr>
      </w:pPr>
      <w:r w:rsidRPr="008A4AC6">
        <w:rPr>
          <w:rFonts w:ascii="Calibri" w:hAnsi="Calibri"/>
          <w:b/>
          <w:i/>
          <w:noProof/>
          <w:sz w:val="22"/>
        </w:rPr>
        <w:t>Acknowledgements</w:t>
      </w:r>
    </w:p>
    <w:p w14:paraId="5C4FAFFF" w14:textId="77777777" w:rsidR="008A4AC6" w:rsidRPr="00AD168E" w:rsidRDefault="00445688" w:rsidP="00B7454A">
      <w:pPr>
        <w:pStyle w:val="NormalWeb"/>
        <w:divId w:val="1119494747"/>
        <w:rPr>
          <w:rFonts w:ascii="Calibri" w:hAnsi="Calibri"/>
          <w:noProof/>
          <w:sz w:val="22"/>
        </w:rPr>
      </w:pPr>
      <w:r>
        <w:rPr>
          <w:rFonts w:ascii="Calibri" w:hAnsi="Calibri"/>
          <w:noProof/>
          <w:sz w:val="22"/>
        </w:rPr>
        <w:t>We would like to t</w:t>
      </w:r>
      <w:r w:rsidR="009C19A5">
        <w:rPr>
          <w:rFonts w:ascii="Calibri" w:hAnsi="Calibri"/>
          <w:noProof/>
          <w:sz w:val="22"/>
        </w:rPr>
        <w:t xml:space="preserve">hank </w:t>
      </w:r>
      <w:r>
        <w:rPr>
          <w:rFonts w:ascii="Calibri" w:hAnsi="Calibri"/>
          <w:noProof/>
          <w:sz w:val="22"/>
        </w:rPr>
        <w:t>three anonymous reviewers for their constructive comments on an earlier draft of this paper.</w:t>
      </w:r>
    </w:p>
    <w:sectPr w:rsidR="008A4AC6" w:rsidRPr="00AD168E" w:rsidSect="00BF15DE">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B95DFFD" w15:done="0"/>
  <w15:commentEx w15:paraId="7FBEAE78" w15:done="0"/>
  <w15:commentEx w15:paraId="51382F53" w15:done="0"/>
  <w15:commentEx w15:paraId="737C553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7D67F4" w14:textId="77777777" w:rsidR="00436781" w:rsidRDefault="00436781" w:rsidP="00446DF8">
      <w:pPr>
        <w:spacing w:after="0" w:line="240" w:lineRule="auto"/>
      </w:pPr>
      <w:r>
        <w:separator/>
      </w:r>
    </w:p>
  </w:endnote>
  <w:endnote w:type="continuationSeparator" w:id="0">
    <w:p w14:paraId="622893BC" w14:textId="77777777" w:rsidR="00436781" w:rsidRDefault="00436781" w:rsidP="00446D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dvP7D0F">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031356" w14:textId="77777777" w:rsidR="005C44F2" w:rsidRDefault="005C44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5928CA" w14:textId="77777777" w:rsidR="005C44F2" w:rsidRDefault="005C44F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FAB1C8" w14:textId="77777777" w:rsidR="005C44F2" w:rsidRDefault="005C44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56D3FA" w14:textId="77777777" w:rsidR="00436781" w:rsidRDefault="00436781" w:rsidP="00446DF8">
      <w:pPr>
        <w:spacing w:after="0" w:line="240" w:lineRule="auto"/>
      </w:pPr>
      <w:r>
        <w:separator/>
      </w:r>
    </w:p>
  </w:footnote>
  <w:footnote w:type="continuationSeparator" w:id="0">
    <w:p w14:paraId="4B5DA3D6" w14:textId="77777777" w:rsidR="00436781" w:rsidRDefault="00436781" w:rsidP="00446DF8">
      <w:pPr>
        <w:spacing w:after="0" w:line="240" w:lineRule="auto"/>
      </w:pPr>
      <w:r>
        <w:continuationSeparator/>
      </w:r>
    </w:p>
  </w:footnote>
  <w:footnote w:id="1">
    <w:p w14:paraId="531D03BA" w14:textId="77777777" w:rsidR="005C44F2" w:rsidRDefault="005C44F2" w:rsidP="003A6E6D">
      <w:pPr>
        <w:pStyle w:val="FootnoteText"/>
        <w:jc w:val="both"/>
      </w:pPr>
      <w:r>
        <w:rPr>
          <w:rStyle w:val="FootnoteReference"/>
        </w:rPr>
        <w:footnoteRef/>
      </w:r>
      <w:r>
        <w:t xml:space="preserve"> Other schemes recognised by the EC, but not included here are: </w:t>
      </w:r>
      <w:proofErr w:type="spellStart"/>
      <w:r>
        <w:t>Biograce</w:t>
      </w:r>
      <w:proofErr w:type="spellEnd"/>
      <w:r>
        <w:t xml:space="preserve"> GHG Calculation tool, HVO Renewable Diesel Scheme, </w:t>
      </w:r>
      <w:proofErr w:type="spellStart"/>
      <w:r>
        <w:t>Gafta</w:t>
      </w:r>
      <w:proofErr w:type="spellEnd"/>
      <w:r>
        <w:t xml:space="preserve"> Trade Assurance Scheme, KZR INIG System, Trade Assurance Scheme for Combinable Crops and the Universal Feed Assurance Scheme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FE6EE2" w14:textId="77777777" w:rsidR="005C44F2" w:rsidRDefault="005C44F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8AFF0E" w14:textId="77777777" w:rsidR="005C44F2" w:rsidRDefault="005C44F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E569C8" w14:textId="77777777" w:rsidR="005C44F2" w:rsidRDefault="005C44F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1046AE"/>
    <w:multiLevelType w:val="hybridMultilevel"/>
    <w:tmpl w:val="5E08E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DF8"/>
    <w:rsid w:val="00000D4C"/>
    <w:rsid w:val="00001BD3"/>
    <w:rsid w:val="00001C2A"/>
    <w:rsid w:val="000027EF"/>
    <w:rsid w:val="000039AD"/>
    <w:rsid w:val="00004A84"/>
    <w:rsid w:val="00006FB1"/>
    <w:rsid w:val="0000724B"/>
    <w:rsid w:val="0001380B"/>
    <w:rsid w:val="000140F7"/>
    <w:rsid w:val="0001503C"/>
    <w:rsid w:val="00016CD3"/>
    <w:rsid w:val="00017000"/>
    <w:rsid w:val="00020278"/>
    <w:rsid w:val="00020C0B"/>
    <w:rsid w:val="000211A5"/>
    <w:rsid w:val="00021264"/>
    <w:rsid w:val="00021FAA"/>
    <w:rsid w:val="0002278A"/>
    <w:rsid w:val="000230D6"/>
    <w:rsid w:val="0002460B"/>
    <w:rsid w:val="0002587A"/>
    <w:rsid w:val="0002587E"/>
    <w:rsid w:val="000261BA"/>
    <w:rsid w:val="000326F2"/>
    <w:rsid w:val="00032E8F"/>
    <w:rsid w:val="00033421"/>
    <w:rsid w:val="000364B2"/>
    <w:rsid w:val="000364D0"/>
    <w:rsid w:val="000367A6"/>
    <w:rsid w:val="00043298"/>
    <w:rsid w:val="00044287"/>
    <w:rsid w:val="00046160"/>
    <w:rsid w:val="0004736B"/>
    <w:rsid w:val="00047BC8"/>
    <w:rsid w:val="000558BF"/>
    <w:rsid w:val="00056067"/>
    <w:rsid w:val="0005666E"/>
    <w:rsid w:val="00056CF1"/>
    <w:rsid w:val="000570CA"/>
    <w:rsid w:val="00057B82"/>
    <w:rsid w:val="00057E48"/>
    <w:rsid w:val="0006309D"/>
    <w:rsid w:val="00063EE8"/>
    <w:rsid w:val="00064588"/>
    <w:rsid w:val="00064DC1"/>
    <w:rsid w:val="00065918"/>
    <w:rsid w:val="000664B0"/>
    <w:rsid w:val="000666F6"/>
    <w:rsid w:val="000677F8"/>
    <w:rsid w:val="000679B8"/>
    <w:rsid w:val="00070EE8"/>
    <w:rsid w:val="00071D64"/>
    <w:rsid w:val="00073773"/>
    <w:rsid w:val="00074C68"/>
    <w:rsid w:val="00074CED"/>
    <w:rsid w:val="00075837"/>
    <w:rsid w:val="00080C5D"/>
    <w:rsid w:val="0008180E"/>
    <w:rsid w:val="00081BEC"/>
    <w:rsid w:val="000829D2"/>
    <w:rsid w:val="00082A3B"/>
    <w:rsid w:val="0008335A"/>
    <w:rsid w:val="00083E5F"/>
    <w:rsid w:val="000869A5"/>
    <w:rsid w:val="00086C08"/>
    <w:rsid w:val="00086C1C"/>
    <w:rsid w:val="00087AFD"/>
    <w:rsid w:val="00091B1A"/>
    <w:rsid w:val="00093B9C"/>
    <w:rsid w:val="0009430D"/>
    <w:rsid w:val="00094FB5"/>
    <w:rsid w:val="0009568F"/>
    <w:rsid w:val="0009649A"/>
    <w:rsid w:val="00096D59"/>
    <w:rsid w:val="000A0C40"/>
    <w:rsid w:val="000A0CD4"/>
    <w:rsid w:val="000A18C0"/>
    <w:rsid w:val="000A2AA8"/>
    <w:rsid w:val="000A3D0B"/>
    <w:rsid w:val="000A42F0"/>
    <w:rsid w:val="000A5F2D"/>
    <w:rsid w:val="000A67AE"/>
    <w:rsid w:val="000B0496"/>
    <w:rsid w:val="000B212A"/>
    <w:rsid w:val="000B24EE"/>
    <w:rsid w:val="000B2C4C"/>
    <w:rsid w:val="000B2F5B"/>
    <w:rsid w:val="000B485E"/>
    <w:rsid w:val="000B66EB"/>
    <w:rsid w:val="000B6CFC"/>
    <w:rsid w:val="000B717D"/>
    <w:rsid w:val="000B7480"/>
    <w:rsid w:val="000C05AC"/>
    <w:rsid w:val="000C1993"/>
    <w:rsid w:val="000C2749"/>
    <w:rsid w:val="000C3B82"/>
    <w:rsid w:val="000C48BF"/>
    <w:rsid w:val="000C5070"/>
    <w:rsid w:val="000D0F25"/>
    <w:rsid w:val="000D2018"/>
    <w:rsid w:val="000D46C3"/>
    <w:rsid w:val="000D5E69"/>
    <w:rsid w:val="000D66BD"/>
    <w:rsid w:val="000D78D5"/>
    <w:rsid w:val="000E409F"/>
    <w:rsid w:val="000E6FBD"/>
    <w:rsid w:val="000E7A49"/>
    <w:rsid w:val="000E7B2B"/>
    <w:rsid w:val="000E7E51"/>
    <w:rsid w:val="000F053F"/>
    <w:rsid w:val="000F0605"/>
    <w:rsid w:val="000F1004"/>
    <w:rsid w:val="000F37B6"/>
    <w:rsid w:val="000F3D67"/>
    <w:rsid w:val="000F6B78"/>
    <w:rsid w:val="00100B94"/>
    <w:rsid w:val="00100E87"/>
    <w:rsid w:val="00101266"/>
    <w:rsid w:val="00102DF1"/>
    <w:rsid w:val="00103717"/>
    <w:rsid w:val="00103B83"/>
    <w:rsid w:val="00105BE0"/>
    <w:rsid w:val="001113DA"/>
    <w:rsid w:val="00111CB8"/>
    <w:rsid w:val="00120784"/>
    <w:rsid w:val="00121BC2"/>
    <w:rsid w:val="00122103"/>
    <w:rsid w:val="0012225D"/>
    <w:rsid w:val="001231B6"/>
    <w:rsid w:val="00126029"/>
    <w:rsid w:val="00131975"/>
    <w:rsid w:val="00133350"/>
    <w:rsid w:val="00133DA6"/>
    <w:rsid w:val="00134551"/>
    <w:rsid w:val="0013492D"/>
    <w:rsid w:val="00135248"/>
    <w:rsid w:val="00141204"/>
    <w:rsid w:val="001414D9"/>
    <w:rsid w:val="00142C0D"/>
    <w:rsid w:val="0014670C"/>
    <w:rsid w:val="001470E6"/>
    <w:rsid w:val="0014746C"/>
    <w:rsid w:val="0014747C"/>
    <w:rsid w:val="00150524"/>
    <w:rsid w:val="00150CE6"/>
    <w:rsid w:val="00152452"/>
    <w:rsid w:val="0015513B"/>
    <w:rsid w:val="001562EB"/>
    <w:rsid w:val="001573DD"/>
    <w:rsid w:val="00160593"/>
    <w:rsid w:val="00160A19"/>
    <w:rsid w:val="001630C3"/>
    <w:rsid w:val="00163971"/>
    <w:rsid w:val="00163DF1"/>
    <w:rsid w:val="001658AC"/>
    <w:rsid w:val="001659ED"/>
    <w:rsid w:val="00171BB3"/>
    <w:rsid w:val="00171CAF"/>
    <w:rsid w:val="00172427"/>
    <w:rsid w:val="00173692"/>
    <w:rsid w:val="00173A96"/>
    <w:rsid w:val="001744FF"/>
    <w:rsid w:val="00174C00"/>
    <w:rsid w:val="00174EB9"/>
    <w:rsid w:val="00175734"/>
    <w:rsid w:val="0018031C"/>
    <w:rsid w:val="0018063D"/>
    <w:rsid w:val="00180DAE"/>
    <w:rsid w:val="0018142C"/>
    <w:rsid w:val="001823D0"/>
    <w:rsid w:val="00182D88"/>
    <w:rsid w:val="00183A9B"/>
    <w:rsid w:val="00183E8F"/>
    <w:rsid w:val="001842B7"/>
    <w:rsid w:val="001868AB"/>
    <w:rsid w:val="001869A4"/>
    <w:rsid w:val="001875E0"/>
    <w:rsid w:val="00191749"/>
    <w:rsid w:val="00191EB3"/>
    <w:rsid w:val="0019225B"/>
    <w:rsid w:val="00192302"/>
    <w:rsid w:val="00193A17"/>
    <w:rsid w:val="00194B50"/>
    <w:rsid w:val="0019677B"/>
    <w:rsid w:val="00196A20"/>
    <w:rsid w:val="001A2FBC"/>
    <w:rsid w:val="001A41CC"/>
    <w:rsid w:val="001A460C"/>
    <w:rsid w:val="001A4BA3"/>
    <w:rsid w:val="001A5350"/>
    <w:rsid w:val="001A62A6"/>
    <w:rsid w:val="001A7C60"/>
    <w:rsid w:val="001B475F"/>
    <w:rsid w:val="001B5DA9"/>
    <w:rsid w:val="001C0E33"/>
    <w:rsid w:val="001C3953"/>
    <w:rsid w:val="001C538A"/>
    <w:rsid w:val="001C5733"/>
    <w:rsid w:val="001C7061"/>
    <w:rsid w:val="001C71B8"/>
    <w:rsid w:val="001D15AD"/>
    <w:rsid w:val="001D298A"/>
    <w:rsid w:val="001D43D2"/>
    <w:rsid w:val="001D50B7"/>
    <w:rsid w:val="001D67CF"/>
    <w:rsid w:val="001D7776"/>
    <w:rsid w:val="001D791F"/>
    <w:rsid w:val="001E0D0D"/>
    <w:rsid w:val="001E51E3"/>
    <w:rsid w:val="001E5662"/>
    <w:rsid w:val="001E616F"/>
    <w:rsid w:val="001E6FF7"/>
    <w:rsid w:val="001E7069"/>
    <w:rsid w:val="001F015A"/>
    <w:rsid w:val="001F1CBE"/>
    <w:rsid w:val="001F301B"/>
    <w:rsid w:val="001F4EB5"/>
    <w:rsid w:val="001F683D"/>
    <w:rsid w:val="001F6880"/>
    <w:rsid w:val="00200A4D"/>
    <w:rsid w:val="00203328"/>
    <w:rsid w:val="0020364C"/>
    <w:rsid w:val="00204305"/>
    <w:rsid w:val="002065CE"/>
    <w:rsid w:val="00206C73"/>
    <w:rsid w:val="00207416"/>
    <w:rsid w:val="00207BD7"/>
    <w:rsid w:val="00207E30"/>
    <w:rsid w:val="00210DD4"/>
    <w:rsid w:val="00211FAA"/>
    <w:rsid w:val="0021218C"/>
    <w:rsid w:val="00212763"/>
    <w:rsid w:val="00212B79"/>
    <w:rsid w:val="0021322A"/>
    <w:rsid w:val="0021322E"/>
    <w:rsid w:val="002139BB"/>
    <w:rsid w:val="00213C8D"/>
    <w:rsid w:val="00213D6A"/>
    <w:rsid w:val="00215FEC"/>
    <w:rsid w:val="00216B9E"/>
    <w:rsid w:val="00216D97"/>
    <w:rsid w:val="00217564"/>
    <w:rsid w:val="002177B8"/>
    <w:rsid w:val="00217D7E"/>
    <w:rsid w:val="002206A0"/>
    <w:rsid w:val="002208BE"/>
    <w:rsid w:val="00222686"/>
    <w:rsid w:val="002230F0"/>
    <w:rsid w:val="00223CBE"/>
    <w:rsid w:val="00224CC1"/>
    <w:rsid w:val="0022535F"/>
    <w:rsid w:val="00225427"/>
    <w:rsid w:val="00232043"/>
    <w:rsid w:val="002326CB"/>
    <w:rsid w:val="00233FB3"/>
    <w:rsid w:val="00234039"/>
    <w:rsid w:val="00235D2C"/>
    <w:rsid w:val="002426B9"/>
    <w:rsid w:val="002430A5"/>
    <w:rsid w:val="00243365"/>
    <w:rsid w:val="00245976"/>
    <w:rsid w:val="00245A25"/>
    <w:rsid w:val="00246227"/>
    <w:rsid w:val="0024664F"/>
    <w:rsid w:val="002470DF"/>
    <w:rsid w:val="00250A2D"/>
    <w:rsid w:val="0025157D"/>
    <w:rsid w:val="00254DE0"/>
    <w:rsid w:val="00254F58"/>
    <w:rsid w:val="002601A0"/>
    <w:rsid w:val="00261100"/>
    <w:rsid w:val="00262B86"/>
    <w:rsid w:val="002639D8"/>
    <w:rsid w:val="0026756E"/>
    <w:rsid w:val="00267A0B"/>
    <w:rsid w:val="00271A4D"/>
    <w:rsid w:val="002734FC"/>
    <w:rsid w:val="00273931"/>
    <w:rsid w:val="00273BD2"/>
    <w:rsid w:val="00274927"/>
    <w:rsid w:val="00274EC8"/>
    <w:rsid w:val="0027622B"/>
    <w:rsid w:val="00281408"/>
    <w:rsid w:val="00283AB5"/>
    <w:rsid w:val="00285006"/>
    <w:rsid w:val="00286F62"/>
    <w:rsid w:val="00287D03"/>
    <w:rsid w:val="002908AF"/>
    <w:rsid w:val="00290ADA"/>
    <w:rsid w:val="00292B11"/>
    <w:rsid w:val="00293780"/>
    <w:rsid w:val="00293EDC"/>
    <w:rsid w:val="00294E93"/>
    <w:rsid w:val="00294EF8"/>
    <w:rsid w:val="00295714"/>
    <w:rsid w:val="002959ED"/>
    <w:rsid w:val="00295D0F"/>
    <w:rsid w:val="00295F5B"/>
    <w:rsid w:val="0029613B"/>
    <w:rsid w:val="0029640B"/>
    <w:rsid w:val="0029647B"/>
    <w:rsid w:val="00296D75"/>
    <w:rsid w:val="00296EC5"/>
    <w:rsid w:val="00297DC9"/>
    <w:rsid w:val="002A1EEF"/>
    <w:rsid w:val="002A26C6"/>
    <w:rsid w:val="002A5B5A"/>
    <w:rsid w:val="002A649B"/>
    <w:rsid w:val="002B0111"/>
    <w:rsid w:val="002B1356"/>
    <w:rsid w:val="002B66FE"/>
    <w:rsid w:val="002B6D55"/>
    <w:rsid w:val="002B7484"/>
    <w:rsid w:val="002C61F8"/>
    <w:rsid w:val="002C6321"/>
    <w:rsid w:val="002C641C"/>
    <w:rsid w:val="002D1654"/>
    <w:rsid w:val="002D2C26"/>
    <w:rsid w:val="002D598F"/>
    <w:rsid w:val="002D5FDB"/>
    <w:rsid w:val="002D6CD5"/>
    <w:rsid w:val="002E3034"/>
    <w:rsid w:val="002E473B"/>
    <w:rsid w:val="002E5056"/>
    <w:rsid w:val="002E547E"/>
    <w:rsid w:val="002E654A"/>
    <w:rsid w:val="002F1937"/>
    <w:rsid w:val="002F1FE8"/>
    <w:rsid w:val="002F2D1B"/>
    <w:rsid w:val="002F3262"/>
    <w:rsid w:val="002F3373"/>
    <w:rsid w:val="002F41C5"/>
    <w:rsid w:val="002F4C19"/>
    <w:rsid w:val="002F4F03"/>
    <w:rsid w:val="002F53DB"/>
    <w:rsid w:val="002F5A71"/>
    <w:rsid w:val="002F62F8"/>
    <w:rsid w:val="002F652C"/>
    <w:rsid w:val="00300DF1"/>
    <w:rsid w:val="00303D29"/>
    <w:rsid w:val="00304213"/>
    <w:rsid w:val="00304585"/>
    <w:rsid w:val="003072B9"/>
    <w:rsid w:val="00310E81"/>
    <w:rsid w:val="003123B0"/>
    <w:rsid w:val="003129EA"/>
    <w:rsid w:val="00313D80"/>
    <w:rsid w:val="003148E5"/>
    <w:rsid w:val="00315609"/>
    <w:rsid w:val="0031567C"/>
    <w:rsid w:val="003206BF"/>
    <w:rsid w:val="00322250"/>
    <w:rsid w:val="00324578"/>
    <w:rsid w:val="00324DE8"/>
    <w:rsid w:val="0032798F"/>
    <w:rsid w:val="00327D39"/>
    <w:rsid w:val="0033019B"/>
    <w:rsid w:val="00331655"/>
    <w:rsid w:val="00332AD0"/>
    <w:rsid w:val="00334DAB"/>
    <w:rsid w:val="0033583A"/>
    <w:rsid w:val="003363F7"/>
    <w:rsid w:val="00342911"/>
    <w:rsid w:val="00342B68"/>
    <w:rsid w:val="00343D87"/>
    <w:rsid w:val="0034503E"/>
    <w:rsid w:val="003476FD"/>
    <w:rsid w:val="0035068F"/>
    <w:rsid w:val="003529E4"/>
    <w:rsid w:val="00352C7F"/>
    <w:rsid w:val="00354503"/>
    <w:rsid w:val="003548A6"/>
    <w:rsid w:val="003548F3"/>
    <w:rsid w:val="00355C4D"/>
    <w:rsid w:val="0035677F"/>
    <w:rsid w:val="00356A87"/>
    <w:rsid w:val="003577E2"/>
    <w:rsid w:val="00357ED2"/>
    <w:rsid w:val="0036270F"/>
    <w:rsid w:val="003640F8"/>
    <w:rsid w:val="00367C3C"/>
    <w:rsid w:val="00374EF2"/>
    <w:rsid w:val="0038198B"/>
    <w:rsid w:val="003826E9"/>
    <w:rsid w:val="00382DDF"/>
    <w:rsid w:val="003836AC"/>
    <w:rsid w:val="00383F82"/>
    <w:rsid w:val="003852E4"/>
    <w:rsid w:val="003856B0"/>
    <w:rsid w:val="00385A4B"/>
    <w:rsid w:val="00385B8A"/>
    <w:rsid w:val="00385E3C"/>
    <w:rsid w:val="00386BB9"/>
    <w:rsid w:val="00386F10"/>
    <w:rsid w:val="00390D0B"/>
    <w:rsid w:val="0039215C"/>
    <w:rsid w:val="00392E59"/>
    <w:rsid w:val="0039359F"/>
    <w:rsid w:val="00393AE4"/>
    <w:rsid w:val="0039537D"/>
    <w:rsid w:val="00396CFC"/>
    <w:rsid w:val="003A0226"/>
    <w:rsid w:val="003A0365"/>
    <w:rsid w:val="003A061A"/>
    <w:rsid w:val="003A2B3F"/>
    <w:rsid w:val="003A2CD4"/>
    <w:rsid w:val="003A328B"/>
    <w:rsid w:val="003A3390"/>
    <w:rsid w:val="003A34B9"/>
    <w:rsid w:val="003A3956"/>
    <w:rsid w:val="003A48EE"/>
    <w:rsid w:val="003A4A04"/>
    <w:rsid w:val="003A5E7C"/>
    <w:rsid w:val="003A5EE5"/>
    <w:rsid w:val="003A641A"/>
    <w:rsid w:val="003A6476"/>
    <w:rsid w:val="003A6E6D"/>
    <w:rsid w:val="003B18FC"/>
    <w:rsid w:val="003B2B88"/>
    <w:rsid w:val="003B3214"/>
    <w:rsid w:val="003B39B3"/>
    <w:rsid w:val="003B61C9"/>
    <w:rsid w:val="003B7BDD"/>
    <w:rsid w:val="003B7D50"/>
    <w:rsid w:val="003B7ED4"/>
    <w:rsid w:val="003C0553"/>
    <w:rsid w:val="003C15FF"/>
    <w:rsid w:val="003C248A"/>
    <w:rsid w:val="003C3799"/>
    <w:rsid w:val="003C47D4"/>
    <w:rsid w:val="003C5DB0"/>
    <w:rsid w:val="003C69D4"/>
    <w:rsid w:val="003D12B7"/>
    <w:rsid w:val="003D3EE0"/>
    <w:rsid w:val="003D5B46"/>
    <w:rsid w:val="003D63CB"/>
    <w:rsid w:val="003D7A03"/>
    <w:rsid w:val="003E10DD"/>
    <w:rsid w:val="003E1685"/>
    <w:rsid w:val="003E3EC7"/>
    <w:rsid w:val="003E46BD"/>
    <w:rsid w:val="003E674B"/>
    <w:rsid w:val="003E7559"/>
    <w:rsid w:val="003E76DD"/>
    <w:rsid w:val="003E7790"/>
    <w:rsid w:val="003E7808"/>
    <w:rsid w:val="003F0A4A"/>
    <w:rsid w:val="003F15B1"/>
    <w:rsid w:val="003F17A6"/>
    <w:rsid w:val="003F1A38"/>
    <w:rsid w:val="003F270D"/>
    <w:rsid w:val="003F3FB2"/>
    <w:rsid w:val="003F4EB3"/>
    <w:rsid w:val="003F7441"/>
    <w:rsid w:val="00400867"/>
    <w:rsid w:val="004008A8"/>
    <w:rsid w:val="00401FC9"/>
    <w:rsid w:val="00402536"/>
    <w:rsid w:val="00404669"/>
    <w:rsid w:val="0040485D"/>
    <w:rsid w:val="0040561F"/>
    <w:rsid w:val="00406702"/>
    <w:rsid w:val="00406C92"/>
    <w:rsid w:val="00410108"/>
    <w:rsid w:val="00410AD2"/>
    <w:rsid w:val="004111CD"/>
    <w:rsid w:val="00411300"/>
    <w:rsid w:val="00412A6F"/>
    <w:rsid w:val="00412E1A"/>
    <w:rsid w:val="0041318F"/>
    <w:rsid w:val="0041481F"/>
    <w:rsid w:val="004149A7"/>
    <w:rsid w:val="00415F22"/>
    <w:rsid w:val="0041660F"/>
    <w:rsid w:val="00416EC2"/>
    <w:rsid w:val="004226D2"/>
    <w:rsid w:val="00423393"/>
    <w:rsid w:val="00423726"/>
    <w:rsid w:val="0042399F"/>
    <w:rsid w:val="00423C44"/>
    <w:rsid w:val="00424AC2"/>
    <w:rsid w:val="004257F8"/>
    <w:rsid w:val="00425919"/>
    <w:rsid w:val="00425C27"/>
    <w:rsid w:val="00426928"/>
    <w:rsid w:val="0043060B"/>
    <w:rsid w:val="00431344"/>
    <w:rsid w:val="004314B6"/>
    <w:rsid w:val="00432591"/>
    <w:rsid w:val="0043609A"/>
    <w:rsid w:val="004366DA"/>
    <w:rsid w:val="00436781"/>
    <w:rsid w:val="00436A53"/>
    <w:rsid w:val="00437943"/>
    <w:rsid w:val="00441AD6"/>
    <w:rsid w:val="0044283B"/>
    <w:rsid w:val="004435F8"/>
    <w:rsid w:val="0044482E"/>
    <w:rsid w:val="00444D49"/>
    <w:rsid w:val="00445078"/>
    <w:rsid w:val="00445688"/>
    <w:rsid w:val="0044575A"/>
    <w:rsid w:val="00446188"/>
    <w:rsid w:val="004465DD"/>
    <w:rsid w:val="00446D30"/>
    <w:rsid w:val="00446DC6"/>
    <w:rsid w:val="00446DF8"/>
    <w:rsid w:val="00450353"/>
    <w:rsid w:val="00451C2A"/>
    <w:rsid w:val="00451E30"/>
    <w:rsid w:val="00452BEB"/>
    <w:rsid w:val="00453492"/>
    <w:rsid w:val="004535E6"/>
    <w:rsid w:val="0045608D"/>
    <w:rsid w:val="00456EB1"/>
    <w:rsid w:val="00457145"/>
    <w:rsid w:val="0046168D"/>
    <w:rsid w:val="00462EEE"/>
    <w:rsid w:val="004644C4"/>
    <w:rsid w:val="00464CC1"/>
    <w:rsid w:val="00465864"/>
    <w:rsid w:val="00466BF9"/>
    <w:rsid w:val="00466F03"/>
    <w:rsid w:val="00467568"/>
    <w:rsid w:val="00467C41"/>
    <w:rsid w:val="0047128F"/>
    <w:rsid w:val="00471F89"/>
    <w:rsid w:val="004724F1"/>
    <w:rsid w:val="00472585"/>
    <w:rsid w:val="0047272D"/>
    <w:rsid w:val="00472F47"/>
    <w:rsid w:val="00474287"/>
    <w:rsid w:val="00474442"/>
    <w:rsid w:val="00476920"/>
    <w:rsid w:val="004772FC"/>
    <w:rsid w:val="004774A3"/>
    <w:rsid w:val="004776DD"/>
    <w:rsid w:val="00477D6A"/>
    <w:rsid w:val="004806AC"/>
    <w:rsid w:val="0048123B"/>
    <w:rsid w:val="004819A2"/>
    <w:rsid w:val="00482246"/>
    <w:rsid w:val="004827AB"/>
    <w:rsid w:val="0048286E"/>
    <w:rsid w:val="0049016A"/>
    <w:rsid w:val="004904B2"/>
    <w:rsid w:val="00490C8E"/>
    <w:rsid w:val="00493658"/>
    <w:rsid w:val="00495048"/>
    <w:rsid w:val="004967F4"/>
    <w:rsid w:val="00497EAC"/>
    <w:rsid w:val="004A16DB"/>
    <w:rsid w:val="004A259A"/>
    <w:rsid w:val="004A370B"/>
    <w:rsid w:val="004A43E2"/>
    <w:rsid w:val="004A5251"/>
    <w:rsid w:val="004B18C5"/>
    <w:rsid w:val="004B2906"/>
    <w:rsid w:val="004B5348"/>
    <w:rsid w:val="004B57A3"/>
    <w:rsid w:val="004B65B1"/>
    <w:rsid w:val="004B6C57"/>
    <w:rsid w:val="004C0225"/>
    <w:rsid w:val="004C066C"/>
    <w:rsid w:val="004C1142"/>
    <w:rsid w:val="004C4FDD"/>
    <w:rsid w:val="004C640B"/>
    <w:rsid w:val="004C7A4E"/>
    <w:rsid w:val="004D09F8"/>
    <w:rsid w:val="004D3D59"/>
    <w:rsid w:val="004D52F4"/>
    <w:rsid w:val="004D5784"/>
    <w:rsid w:val="004D642F"/>
    <w:rsid w:val="004D7E1F"/>
    <w:rsid w:val="004E0764"/>
    <w:rsid w:val="004E2598"/>
    <w:rsid w:val="004E47BC"/>
    <w:rsid w:val="004E4C1E"/>
    <w:rsid w:val="004E4ECA"/>
    <w:rsid w:val="004E5ED7"/>
    <w:rsid w:val="004E5F52"/>
    <w:rsid w:val="004E6E33"/>
    <w:rsid w:val="004E6EFD"/>
    <w:rsid w:val="004E72BE"/>
    <w:rsid w:val="004E7840"/>
    <w:rsid w:val="004F101F"/>
    <w:rsid w:val="004F12BC"/>
    <w:rsid w:val="004F151D"/>
    <w:rsid w:val="004F3F84"/>
    <w:rsid w:val="004F40CC"/>
    <w:rsid w:val="004F5C3A"/>
    <w:rsid w:val="004F5CB9"/>
    <w:rsid w:val="004F6493"/>
    <w:rsid w:val="004F7E36"/>
    <w:rsid w:val="0050049F"/>
    <w:rsid w:val="00501438"/>
    <w:rsid w:val="005019B7"/>
    <w:rsid w:val="00501DB4"/>
    <w:rsid w:val="0050261C"/>
    <w:rsid w:val="005041A9"/>
    <w:rsid w:val="00504633"/>
    <w:rsid w:val="005058BC"/>
    <w:rsid w:val="00505D1F"/>
    <w:rsid w:val="00507634"/>
    <w:rsid w:val="005121AC"/>
    <w:rsid w:val="0051360E"/>
    <w:rsid w:val="005158F7"/>
    <w:rsid w:val="00515A16"/>
    <w:rsid w:val="00515B29"/>
    <w:rsid w:val="00516CFA"/>
    <w:rsid w:val="005174E8"/>
    <w:rsid w:val="00517C1D"/>
    <w:rsid w:val="00520311"/>
    <w:rsid w:val="0052184F"/>
    <w:rsid w:val="0052307B"/>
    <w:rsid w:val="00525759"/>
    <w:rsid w:val="00527313"/>
    <w:rsid w:val="00527D19"/>
    <w:rsid w:val="00530B60"/>
    <w:rsid w:val="00531398"/>
    <w:rsid w:val="005326C7"/>
    <w:rsid w:val="00532D07"/>
    <w:rsid w:val="00532E74"/>
    <w:rsid w:val="0053528D"/>
    <w:rsid w:val="00535B47"/>
    <w:rsid w:val="00536315"/>
    <w:rsid w:val="005363BC"/>
    <w:rsid w:val="00536634"/>
    <w:rsid w:val="00540145"/>
    <w:rsid w:val="00540FC7"/>
    <w:rsid w:val="00542400"/>
    <w:rsid w:val="00542598"/>
    <w:rsid w:val="00550034"/>
    <w:rsid w:val="00551166"/>
    <w:rsid w:val="00552B69"/>
    <w:rsid w:val="005536CB"/>
    <w:rsid w:val="00555BF5"/>
    <w:rsid w:val="00555F3F"/>
    <w:rsid w:val="0055674F"/>
    <w:rsid w:val="00560132"/>
    <w:rsid w:val="0056031C"/>
    <w:rsid w:val="0056097D"/>
    <w:rsid w:val="00561291"/>
    <w:rsid w:val="00561F88"/>
    <w:rsid w:val="00562368"/>
    <w:rsid w:val="00562A16"/>
    <w:rsid w:val="00563602"/>
    <w:rsid w:val="00564600"/>
    <w:rsid w:val="00565759"/>
    <w:rsid w:val="005718C5"/>
    <w:rsid w:val="00573AEA"/>
    <w:rsid w:val="00573B4F"/>
    <w:rsid w:val="00574610"/>
    <w:rsid w:val="005752E9"/>
    <w:rsid w:val="00576723"/>
    <w:rsid w:val="00577416"/>
    <w:rsid w:val="0058069D"/>
    <w:rsid w:val="0058107A"/>
    <w:rsid w:val="00582A55"/>
    <w:rsid w:val="0058435F"/>
    <w:rsid w:val="005907B3"/>
    <w:rsid w:val="005911BE"/>
    <w:rsid w:val="00591986"/>
    <w:rsid w:val="00592FCE"/>
    <w:rsid w:val="00593432"/>
    <w:rsid w:val="00593E23"/>
    <w:rsid w:val="00596100"/>
    <w:rsid w:val="00596C98"/>
    <w:rsid w:val="00597112"/>
    <w:rsid w:val="0059770D"/>
    <w:rsid w:val="005A031D"/>
    <w:rsid w:val="005A0A7A"/>
    <w:rsid w:val="005A123B"/>
    <w:rsid w:val="005A1BDE"/>
    <w:rsid w:val="005A215E"/>
    <w:rsid w:val="005A2CF9"/>
    <w:rsid w:val="005A2D15"/>
    <w:rsid w:val="005A3724"/>
    <w:rsid w:val="005A3A29"/>
    <w:rsid w:val="005A3D5B"/>
    <w:rsid w:val="005A60B5"/>
    <w:rsid w:val="005A61B6"/>
    <w:rsid w:val="005A661A"/>
    <w:rsid w:val="005A76BA"/>
    <w:rsid w:val="005B1827"/>
    <w:rsid w:val="005B2DA7"/>
    <w:rsid w:val="005B2FF5"/>
    <w:rsid w:val="005B345F"/>
    <w:rsid w:val="005B3BB4"/>
    <w:rsid w:val="005B487B"/>
    <w:rsid w:val="005C2391"/>
    <w:rsid w:val="005C25AE"/>
    <w:rsid w:val="005C44F2"/>
    <w:rsid w:val="005C450F"/>
    <w:rsid w:val="005C53B8"/>
    <w:rsid w:val="005C78FB"/>
    <w:rsid w:val="005D024F"/>
    <w:rsid w:val="005D1850"/>
    <w:rsid w:val="005D4495"/>
    <w:rsid w:val="005D4D33"/>
    <w:rsid w:val="005D5243"/>
    <w:rsid w:val="005D7EF5"/>
    <w:rsid w:val="005E154D"/>
    <w:rsid w:val="005E1F8D"/>
    <w:rsid w:val="005E2631"/>
    <w:rsid w:val="005E3041"/>
    <w:rsid w:val="005E379C"/>
    <w:rsid w:val="005E4E09"/>
    <w:rsid w:val="005E4EF4"/>
    <w:rsid w:val="005E5A78"/>
    <w:rsid w:val="005F0D1F"/>
    <w:rsid w:val="005F650F"/>
    <w:rsid w:val="005F730D"/>
    <w:rsid w:val="006011B6"/>
    <w:rsid w:val="0060255C"/>
    <w:rsid w:val="00603997"/>
    <w:rsid w:val="00604866"/>
    <w:rsid w:val="006055DB"/>
    <w:rsid w:val="006069E0"/>
    <w:rsid w:val="00610F0D"/>
    <w:rsid w:val="006117EE"/>
    <w:rsid w:val="00612C00"/>
    <w:rsid w:val="006135BA"/>
    <w:rsid w:val="0061469D"/>
    <w:rsid w:val="006146B0"/>
    <w:rsid w:val="00614A81"/>
    <w:rsid w:val="00614AFE"/>
    <w:rsid w:val="00615B61"/>
    <w:rsid w:val="006205C7"/>
    <w:rsid w:val="0062185B"/>
    <w:rsid w:val="006239E3"/>
    <w:rsid w:val="0062432D"/>
    <w:rsid w:val="00624979"/>
    <w:rsid w:val="0062503A"/>
    <w:rsid w:val="006271CC"/>
    <w:rsid w:val="006308F9"/>
    <w:rsid w:val="006328A6"/>
    <w:rsid w:val="00633491"/>
    <w:rsid w:val="006355DC"/>
    <w:rsid w:val="00637F2B"/>
    <w:rsid w:val="006415D1"/>
    <w:rsid w:val="00641FF2"/>
    <w:rsid w:val="0064235F"/>
    <w:rsid w:val="00643340"/>
    <w:rsid w:val="00643F19"/>
    <w:rsid w:val="00644174"/>
    <w:rsid w:val="00644933"/>
    <w:rsid w:val="00645074"/>
    <w:rsid w:val="00645762"/>
    <w:rsid w:val="0064741C"/>
    <w:rsid w:val="00652240"/>
    <w:rsid w:val="00652517"/>
    <w:rsid w:val="00652A66"/>
    <w:rsid w:val="00652F63"/>
    <w:rsid w:val="00654C8C"/>
    <w:rsid w:val="00656A8E"/>
    <w:rsid w:val="0066100F"/>
    <w:rsid w:val="00662725"/>
    <w:rsid w:val="00662F0F"/>
    <w:rsid w:val="00663AA2"/>
    <w:rsid w:val="00664B04"/>
    <w:rsid w:val="00664EF2"/>
    <w:rsid w:val="006702C6"/>
    <w:rsid w:val="00670937"/>
    <w:rsid w:val="0067358C"/>
    <w:rsid w:val="006748ED"/>
    <w:rsid w:val="0067515A"/>
    <w:rsid w:val="0067571F"/>
    <w:rsid w:val="00675D66"/>
    <w:rsid w:val="00676A01"/>
    <w:rsid w:val="00680602"/>
    <w:rsid w:val="00682C93"/>
    <w:rsid w:val="006832D4"/>
    <w:rsid w:val="006847F3"/>
    <w:rsid w:val="00684BF0"/>
    <w:rsid w:val="006855D5"/>
    <w:rsid w:val="0069002B"/>
    <w:rsid w:val="00691488"/>
    <w:rsid w:val="00692865"/>
    <w:rsid w:val="006935AA"/>
    <w:rsid w:val="00693CC5"/>
    <w:rsid w:val="0069494E"/>
    <w:rsid w:val="00695827"/>
    <w:rsid w:val="0069607C"/>
    <w:rsid w:val="006964B3"/>
    <w:rsid w:val="006A15B1"/>
    <w:rsid w:val="006A1603"/>
    <w:rsid w:val="006A4301"/>
    <w:rsid w:val="006A4428"/>
    <w:rsid w:val="006A45A0"/>
    <w:rsid w:val="006A5B34"/>
    <w:rsid w:val="006A6C40"/>
    <w:rsid w:val="006A748D"/>
    <w:rsid w:val="006B0BF4"/>
    <w:rsid w:val="006B0C5E"/>
    <w:rsid w:val="006B0E84"/>
    <w:rsid w:val="006B225A"/>
    <w:rsid w:val="006B348F"/>
    <w:rsid w:val="006B3EEA"/>
    <w:rsid w:val="006B5CA5"/>
    <w:rsid w:val="006B79C0"/>
    <w:rsid w:val="006C0183"/>
    <w:rsid w:val="006C04A3"/>
    <w:rsid w:val="006C2007"/>
    <w:rsid w:val="006C3437"/>
    <w:rsid w:val="006C3EDB"/>
    <w:rsid w:val="006C4521"/>
    <w:rsid w:val="006C5ACB"/>
    <w:rsid w:val="006C60CF"/>
    <w:rsid w:val="006C7892"/>
    <w:rsid w:val="006D04D8"/>
    <w:rsid w:val="006D237E"/>
    <w:rsid w:val="006D2E4D"/>
    <w:rsid w:val="006D36E8"/>
    <w:rsid w:val="006D4D98"/>
    <w:rsid w:val="006D4F95"/>
    <w:rsid w:val="006D5DB6"/>
    <w:rsid w:val="006D6289"/>
    <w:rsid w:val="006D6AE5"/>
    <w:rsid w:val="006D7C7B"/>
    <w:rsid w:val="006E1066"/>
    <w:rsid w:val="006E1E9F"/>
    <w:rsid w:val="006E2A20"/>
    <w:rsid w:val="006E510E"/>
    <w:rsid w:val="006E778E"/>
    <w:rsid w:val="006E78C1"/>
    <w:rsid w:val="006F1359"/>
    <w:rsid w:val="006F23D5"/>
    <w:rsid w:val="006F27B2"/>
    <w:rsid w:val="006F3B9C"/>
    <w:rsid w:val="006F4544"/>
    <w:rsid w:val="006F504D"/>
    <w:rsid w:val="006F5435"/>
    <w:rsid w:val="006F55A3"/>
    <w:rsid w:val="00700EBE"/>
    <w:rsid w:val="00704862"/>
    <w:rsid w:val="007048A8"/>
    <w:rsid w:val="0070557B"/>
    <w:rsid w:val="00705BCD"/>
    <w:rsid w:val="00705C93"/>
    <w:rsid w:val="0070636B"/>
    <w:rsid w:val="00706807"/>
    <w:rsid w:val="00707BC6"/>
    <w:rsid w:val="00711E2A"/>
    <w:rsid w:val="0071268F"/>
    <w:rsid w:val="00713734"/>
    <w:rsid w:val="00721D42"/>
    <w:rsid w:val="00722618"/>
    <w:rsid w:val="007228F3"/>
    <w:rsid w:val="00726257"/>
    <w:rsid w:val="00726864"/>
    <w:rsid w:val="00726A17"/>
    <w:rsid w:val="00726A24"/>
    <w:rsid w:val="00726A5A"/>
    <w:rsid w:val="00727560"/>
    <w:rsid w:val="0072756B"/>
    <w:rsid w:val="00730384"/>
    <w:rsid w:val="007309DA"/>
    <w:rsid w:val="00730B35"/>
    <w:rsid w:val="00732FD6"/>
    <w:rsid w:val="00734A32"/>
    <w:rsid w:val="00734C71"/>
    <w:rsid w:val="00735A08"/>
    <w:rsid w:val="0074046D"/>
    <w:rsid w:val="00742264"/>
    <w:rsid w:val="0074292B"/>
    <w:rsid w:val="007445C2"/>
    <w:rsid w:val="0074664A"/>
    <w:rsid w:val="00746BE8"/>
    <w:rsid w:val="00747342"/>
    <w:rsid w:val="00750DD5"/>
    <w:rsid w:val="0075164E"/>
    <w:rsid w:val="007517EE"/>
    <w:rsid w:val="00751D75"/>
    <w:rsid w:val="00752F8C"/>
    <w:rsid w:val="007544F8"/>
    <w:rsid w:val="00754F49"/>
    <w:rsid w:val="00757525"/>
    <w:rsid w:val="007613AE"/>
    <w:rsid w:val="00763504"/>
    <w:rsid w:val="00763D35"/>
    <w:rsid w:val="00765320"/>
    <w:rsid w:val="007665E2"/>
    <w:rsid w:val="007701EE"/>
    <w:rsid w:val="007704C9"/>
    <w:rsid w:val="007710DD"/>
    <w:rsid w:val="00771AAC"/>
    <w:rsid w:val="00772A7F"/>
    <w:rsid w:val="00775517"/>
    <w:rsid w:val="007804C8"/>
    <w:rsid w:val="007806D6"/>
    <w:rsid w:val="00780DB9"/>
    <w:rsid w:val="007835F9"/>
    <w:rsid w:val="007835FB"/>
    <w:rsid w:val="00783BF9"/>
    <w:rsid w:val="00784BDC"/>
    <w:rsid w:val="007861BB"/>
    <w:rsid w:val="007862F3"/>
    <w:rsid w:val="00790496"/>
    <w:rsid w:val="00794036"/>
    <w:rsid w:val="007955EE"/>
    <w:rsid w:val="00796F6B"/>
    <w:rsid w:val="00797D7A"/>
    <w:rsid w:val="007A103E"/>
    <w:rsid w:val="007A23BF"/>
    <w:rsid w:val="007A28FA"/>
    <w:rsid w:val="007A354E"/>
    <w:rsid w:val="007A6D0A"/>
    <w:rsid w:val="007B0C07"/>
    <w:rsid w:val="007B2A7A"/>
    <w:rsid w:val="007B5077"/>
    <w:rsid w:val="007B5437"/>
    <w:rsid w:val="007B72C8"/>
    <w:rsid w:val="007B772B"/>
    <w:rsid w:val="007C2097"/>
    <w:rsid w:val="007C2FEB"/>
    <w:rsid w:val="007C397D"/>
    <w:rsid w:val="007C3DA8"/>
    <w:rsid w:val="007C40A9"/>
    <w:rsid w:val="007C4342"/>
    <w:rsid w:val="007C5728"/>
    <w:rsid w:val="007C5B4E"/>
    <w:rsid w:val="007C6545"/>
    <w:rsid w:val="007C6B70"/>
    <w:rsid w:val="007D0E53"/>
    <w:rsid w:val="007D1128"/>
    <w:rsid w:val="007D1759"/>
    <w:rsid w:val="007D3B2E"/>
    <w:rsid w:val="007D3E15"/>
    <w:rsid w:val="007D3E33"/>
    <w:rsid w:val="007D5D33"/>
    <w:rsid w:val="007E0BEE"/>
    <w:rsid w:val="007E11B7"/>
    <w:rsid w:val="007E409D"/>
    <w:rsid w:val="007E40B3"/>
    <w:rsid w:val="007E55CE"/>
    <w:rsid w:val="007E5C88"/>
    <w:rsid w:val="007E5D8C"/>
    <w:rsid w:val="007F04D5"/>
    <w:rsid w:val="007F07BB"/>
    <w:rsid w:val="007F1DF2"/>
    <w:rsid w:val="007F3FBB"/>
    <w:rsid w:val="007F4E60"/>
    <w:rsid w:val="007F5F70"/>
    <w:rsid w:val="007F6195"/>
    <w:rsid w:val="007F6CBC"/>
    <w:rsid w:val="00801778"/>
    <w:rsid w:val="0080218D"/>
    <w:rsid w:val="00802AC2"/>
    <w:rsid w:val="008032E4"/>
    <w:rsid w:val="00805401"/>
    <w:rsid w:val="00805CFF"/>
    <w:rsid w:val="00806699"/>
    <w:rsid w:val="00806BB1"/>
    <w:rsid w:val="00807735"/>
    <w:rsid w:val="00810283"/>
    <w:rsid w:val="00810F20"/>
    <w:rsid w:val="00813548"/>
    <w:rsid w:val="00813E45"/>
    <w:rsid w:val="00815B6B"/>
    <w:rsid w:val="00816114"/>
    <w:rsid w:val="008169CE"/>
    <w:rsid w:val="008171EB"/>
    <w:rsid w:val="008203B4"/>
    <w:rsid w:val="008205C7"/>
    <w:rsid w:val="00820946"/>
    <w:rsid w:val="00822221"/>
    <w:rsid w:val="0082266A"/>
    <w:rsid w:val="008228A4"/>
    <w:rsid w:val="00824576"/>
    <w:rsid w:val="00824626"/>
    <w:rsid w:val="00824DA1"/>
    <w:rsid w:val="00826306"/>
    <w:rsid w:val="008267D0"/>
    <w:rsid w:val="00831486"/>
    <w:rsid w:val="00831734"/>
    <w:rsid w:val="00831A6C"/>
    <w:rsid w:val="00831DC2"/>
    <w:rsid w:val="0083242F"/>
    <w:rsid w:val="00832BA5"/>
    <w:rsid w:val="00833B29"/>
    <w:rsid w:val="00834733"/>
    <w:rsid w:val="00834884"/>
    <w:rsid w:val="0083689D"/>
    <w:rsid w:val="00837570"/>
    <w:rsid w:val="0084112A"/>
    <w:rsid w:val="008423E1"/>
    <w:rsid w:val="00842481"/>
    <w:rsid w:val="008441E2"/>
    <w:rsid w:val="00845838"/>
    <w:rsid w:val="00852C4E"/>
    <w:rsid w:val="0085306C"/>
    <w:rsid w:val="008543BF"/>
    <w:rsid w:val="00854DC6"/>
    <w:rsid w:val="00854E31"/>
    <w:rsid w:val="00855930"/>
    <w:rsid w:val="00856F48"/>
    <w:rsid w:val="00857033"/>
    <w:rsid w:val="00860CAF"/>
    <w:rsid w:val="00864223"/>
    <w:rsid w:val="00864CA9"/>
    <w:rsid w:val="00866EFE"/>
    <w:rsid w:val="00867274"/>
    <w:rsid w:val="00871114"/>
    <w:rsid w:val="00873EE0"/>
    <w:rsid w:val="00874812"/>
    <w:rsid w:val="00874CF4"/>
    <w:rsid w:val="00875468"/>
    <w:rsid w:val="00877CBD"/>
    <w:rsid w:val="00880111"/>
    <w:rsid w:val="008807BE"/>
    <w:rsid w:val="00880E1E"/>
    <w:rsid w:val="008812F3"/>
    <w:rsid w:val="008835E3"/>
    <w:rsid w:val="008844B8"/>
    <w:rsid w:val="008860F9"/>
    <w:rsid w:val="00886AC8"/>
    <w:rsid w:val="00891087"/>
    <w:rsid w:val="00891F0D"/>
    <w:rsid w:val="00892A3C"/>
    <w:rsid w:val="0089346C"/>
    <w:rsid w:val="00893820"/>
    <w:rsid w:val="00893C97"/>
    <w:rsid w:val="008941C1"/>
    <w:rsid w:val="008944AF"/>
    <w:rsid w:val="00894579"/>
    <w:rsid w:val="00895DCB"/>
    <w:rsid w:val="00895FE5"/>
    <w:rsid w:val="0089654C"/>
    <w:rsid w:val="00896F66"/>
    <w:rsid w:val="008970FB"/>
    <w:rsid w:val="008A06EE"/>
    <w:rsid w:val="008A119B"/>
    <w:rsid w:val="008A25EF"/>
    <w:rsid w:val="008A3CB3"/>
    <w:rsid w:val="008A3ED6"/>
    <w:rsid w:val="008A42C9"/>
    <w:rsid w:val="008A4369"/>
    <w:rsid w:val="008A44C9"/>
    <w:rsid w:val="008A4AC6"/>
    <w:rsid w:val="008A4E5F"/>
    <w:rsid w:val="008A4EF9"/>
    <w:rsid w:val="008A583B"/>
    <w:rsid w:val="008A62E0"/>
    <w:rsid w:val="008A6CB3"/>
    <w:rsid w:val="008B00AF"/>
    <w:rsid w:val="008B022E"/>
    <w:rsid w:val="008B1A2F"/>
    <w:rsid w:val="008B43B0"/>
    <w:rsid w:val="008B4A35"/>
    <w:rsid w:val="008B5373"/>
    <w:rsid w:val="008B6AAC"/>
    <w:rsid w:val="008B6BE6"/>
    <w:rsid w:val="008C22A7"/>
    <w:rsid w:val="008C29CF"/>
    <w:rsid w:val="008C452A"/>
    <w:rsid w:val="008C4A47"/>
    <w:rsid w:val="008C4EEB"/>
    <w:rsid w:val="008C5C43"/>
    <w:rsid w:val="008C5FAD"/>
    <w:rsid w:val="008C60C4"/>
    <w:rsid w:val="008C635E"/>
    <w:rsid w:val="008C7B0B"/>
    <w:rsid w:val="008D06B1"/>
    <w:rsid w:val="008D138B"/>
    <w:rsid w:val="008D189C"/>
    <w:rsid w:val="008D29C3"/>
    <w:rsid w:val="008D2DF4"/>
    <w:rsid w:val="008D3B06"/>
    <w:rsid w:val="008D45A5"/>
    <w:rsid w:val="008E1CBC"/>
    <w:rsid w:val="008E4FD6"/>
    <w:rsid w:val="008E5094"/>
    <w:rsid w:val="008E6000"/>
    <w:rsid w:val="008E65DC"/>
    <w:rsid w:val="008F2151"/>
    <w:rsid w:val="008F22F6"/>
    <w:rsid w:val="008F2B79"/>
    <w:rsid w:val="008F2C75"/>
    <w:rsid w:val="008F376E"/>
    <w:rsid w:val="008F4D1B"/>
    <w:rsid w:val="008F4D50"/>
    <w:rsid w:val="008F5F5B"/>
    <w:rsid w:val="008F6AE1"/>
    <w:rsid w:val="009006CA"/>
    <w:rsid w:val="0090096C"/>
    <w:rsid w:val="00900F86"/>
    <w:rsid w:val="00901330"/>
    <w:rsid w:val="0090232B"/>
    <w:rsid w:val="0090256A"/>
    <w:rsid w:val="00902B72"/>
    <w:rsid w:val="0090321D"/>
    <w:rsid w:val="0090645C"/>
    <w:rsid w:val="00906EE5"/>
    <w:rsid w:val="00910EAD"/>
    <w:rsid w:val="00910F57"/>
    <w:rsid w:val="00911308"/>
    <w:rsid w:val="009129D6"/>
    <w:rsid w:val="00914586"/>
    <w:rsid w:val="00914C9D"/>
    <w:rsid w:val="009150E8"/>
    <w:rsid w:val="00915C4F"/>
    <w:rsid w:val="009165D8"/>
    <w:rsid w:val="00916D0A"/>
    <w:rsid w:val="00916DA9"/>
    <w:rsid w:val="0092412B"/>
    <w:rsid w:val="00927834"/>
    <w:rsid w:val="00931EC4"/>
    <w:rsid w:val="0093215B"/>
    <w:rsid w:val="009339A4"/>
    <w:rsid w:val="009369BB"/>
    <w:rsid w:val="00936F6C"/>
    <w:rsid w:val="0093789A"/>
    <w:rsid w:val="00937C45"/>
    <w:rsid w:val="0094479E"/>
    <w:rsid w:val="00944D41"/>
    <w:rsid w:val="009469C8"/>
    <w:rsid w:val="009525E9"/>
    <w:rsid w:val="00953A4B"/>
    <w:rsid w:val="00955436"/>
    <w:rsid w:val="009568E7"/>
    <w:rsid w:val="0095692A"/>
    <w:rsid w:val="0095708C"/>
    <w:rsid w:val="009650B4"/>
    <w:rsid w:val="00967A4A"/>
    <w:rsid w:val="00971CBB"/>
    <w:rsid w:val="00972F4F"/>
    <w:rsid w:val="00975ABF"/>
    <w:rsid w:val="00976F92"/>
    <w:rsid w:val="009779D2"/>
    <w:rsid w:val="00981475"/>
    <w:rsid w:val="009826D5"/>
    <w:rsid w:val="0098366A"/>
    <w:rsid w:val="009867B2"/>
    <w:rsid w:val="009867E7"/>
    <w:rsid w:val="00986C4B"/>
    <w:rsid w:val="00991D54"/>
    <w:rsid w:val="009926B3"/>
    <w:rsid w:val="00992728"/>
    <w:rsid w:val="00992918"/>
    <w:rsid w:val="0099463D"/>
    <w:rsid w:val="00994806"/>
    <w:rsid w:val="00994976"/>
    <w:rsid w:val="00994DB0"/>
    <w:rsid w:val="00995986"/>
    <w:rsid w:val="009A0873"/>
    <w:rsid w:val="009A0AF1"/>
    <w:rsid w:val="009A0C33"/>
    <w:rsid w:val="009A1053"/>
    <w:rsid w:val="009A2335"/>
    <w:rsid w:val="009A4B9E"/>
    <w:rsid w:val="009A7C52"/>
    <w:rsid w:val="009B1075"/>
    <w:rsid w:val="009B1F36"/>
    <w:rsid w:val="009B4042"/>
    <w:rsid w:val="009B503F"/>
    <w:rsid w:val="009B5703"/>
    <w:rsid w:val="009B6EBF"/>
    <w:rsid w:val="009B77CD"/>
    <w:rsid w:val="009B7AEE"/>
    <w:rsid w:val="009C0697"/>
    <w:rsid w:val="009C19A5"/>
    <w:rsid w:val="009C30EA"/>
    <w:rsid w:val="009C4CFE"/>
    <w:rsid w:val="009C53F4"/>
    <w:rsid w:val="009C759B"/>
    <w:rsid w:val="009D00AB"/>
    <w:rsid w:val="009D1A0C"/>
    <w:rsid w:val="009D1D19"/>
    <w:rsid w:val="009D3BD5"/>
    <w:rsid w:val="009D4E81"/>
    <w:rsid w:val="009D547B"/>
    <w:rsid w:val="009D6940"/>
    <w:rsid w:val="009E0307"/>
    <w:rsid w:val="009E0345"/>
    <w:rsid w:val="009E2C41"/>
    <w:rsid w:val="009E35E6"/>
    <w:rsid w:val="009E6BAD"/>
    <w:rsid w:val="009E7D81"/>
    <w:rsid w:val="009F07B2"/>
    <w:rsid w:val="009F0997"/>
    <w:rsid w:val="009F11B1"/>
    <w:rsid w:val="009F17F3"/>
    <w:rsid w:val="009F2496"/>
    <w:rsid w:val="009F2575"/>
    <w:rsid w:val="009F4A63"/>
    <w:rsid w:val="009F4A87"/>
    <w:rsid w:val="009F644E"/>
    <w:rsid w:val="009F7E8E"/>
    <w:rsid w:val="00A00476"/>
    <w:rsid w:val="00A05700"/>
    <w:rsid w:val="00A05C14"/>
    <w:rsid w:val="00A10C05"/>
    <w:rsid w:val="00A13A7E"/>
    <w:rsid w:val="00A153C4"/>
    <w:rsid w:val="00A15F1C"/>
    <w:rsid w:val="00A17C2D"/>
    <w:rsid w:val="00A22600"/>
    <w:rsid w:val="00A23075"/>
    <w:rsid w:val="00A2374B"/>
    <w:rsid w:val="00A249DB"/>
    <w:rsid w:val="00A27343"/>
    <w:rsid w:val="00A27565"/>
    <w:rsid w:val="00A27B29"/>
    <w:rsid w:val="00A310EC"/>
    <w:rsid w:val="00A312EC"/>
    <w:rsid w:val="00A32BC9"/>
    <w:rsid w:val="00A3305C"/>
    <w:rsid w:val="00A34A24"/>
    <w:rsid w:val="00A355CF"/>
    <w:rsid w:val="00A373AA"/>
    <w:rsid w:val="00A406E0"/>
    <w:rsid w:val="00A4232E"/>
    <w:rsid w:val="00A42DAA"/>
    <w:rsid w:val="00A471EE"/>
    <w:rsid w:val="00A52180"/>
    <w:rsid w:val="00A52571"/>
    <w:rsid w:val="00A5341D"/>
    <w:rsid w:val="00A537D9"/>
    <w:rsid w:val="00A544A7"/>
    <w:rsid w:val="00A54DCC"/>
    <w:rsid w:val="00A54EF4"/>
    <w:rsid w:val="00A565B3"/>
    <w:rsid w:val="00A571C4"/>
    <w:rsid w:val="00A5743C"/>
    <w:rsid w:val="00A60CD7"/>
    <w:rsid w:val="00A62FB1"/>
    <w:rsid w:val="00A636C8"/>
    <w:rsid w:val="00A66D12"/>
    <w:rsid w:val="00A7268F"/>
    <w:rsid w:val="00A72BDC"/>
    <w:rsid w:val="00A73746"/>
    <w:rsid w:val="00A7400C"/>
    <w:rsid w:val="00A74FD3"/>
    <w:rsid w:val="00A75B0D"/>
    <w:rsid w:val="00A76802"/>
    <w:rsid w:val="00A77E03"/>
    <w:rsid w:val="00A77E74"/>
    <w:rsid w:val="00A82930"/>
    <w:rsid w:val="00A83A21"/>
    <w:rsid w:val="00A9058C"/>
    <w:rsid w:val="00A92AEF"/>
    <w:rsid w:val="00A93222"/>
    <w:rsid w:val="00A935C5"/>
    <w:rsid w:val="00A967B7"/>
    <w:rsid w:val="00A96DE1"/>
    <w:rsid w:val="00A96E03"/>
    <w:rsid w:val="00AA1DC8"/>
    <w:rsid w:val="00AA334E"/>
    <w:rsid w:val="00AA3F7B"/>
    <w:rsid w:val="00AA46FA"/>
    <w:rsid w:val="00AA4977"/>
    <w:rsid w:val="00AA5476"/>
    <w:rsid w:val="00AA7032"/>
    <w:rsid w:val="00AA743B"/>
    <w:rsid w:val="00AA78B0"/>
    <w:rsid w:val="00AB0579"/>
    <w:rsid w:val="00AB07DF"/>
    <w:rsid w:val="00AB0A28"/>
    <w:rsid w:val="00AB3F5B"/>
    <w:rsid w:val="00AB467C"/>
    <w:rsid w:val="00AB60F2"/>
    <w:rsid w:val="00AB74E2"/>
    <w:rsid w:val="00AB7A87"/>
    <w:rsid w:val="00AC04BA"/>
    <w:rsid w:val="00AC2557"/>
    <w:rsid w:val="00AC4331"/>
    <w:rsid w:val="00AC4942"/>
    <w:rsid w:val="00AC5C56"/>
    <w:rsid w:val="00AC5CEC"/>
    <w:rsid w:val="00AC605C"/>
    <w:rsid w:val="00AC6D38"/>
    <w:rsid w:val="00AD168E"/>
    <w:rsid w:val="00AD2580"/>
    <w:rsid w:val="00AD461A"/>
    <w:rsid w:val="00AD582B"/>
    <w:rsid w:val="00AD5C9B"/>
    <w:rsid w:val="00AD6050"/>
    <w:rsid w:val="00AD6640"/>
    <w:rsid w:val="00AD7E0D"/>
    <w:rsid w:val="00AD7EB1"/>
    <w:rsid w:val="00AE55FD"/>
    <w:rsid w:val="00AE584D"/>
    <w:rsid w:val="00AE695D"/>
    <w:rsid w:val="00AF006D"/>
    <w:rsid w:val="00AF265E"/>
    <w:rsid w:val="00AF3601"/>
    <w:rsid w:val="00AF3676"/>
    <w:rsid w:val="00AF3D27"/>
    <w:rsid w:val="00AF54B0"/>
    <w:rsid w:val="00AF6130"/>
    <w:rsid w:val="00AF6E9D"/>
    <w:rsid w:val="00B00340"/>
    <w:rsid w:val="00B010C7"/>
    <w:rsid w:val="00B0298F"/>
    <w:rsid w:val="00B02D37"/>
    <w:rsid w:val="00B03671"/>
    <w:rsid w:val="00B03B35"/>
    <w:rsid w:val="00B040F9"/>
    <w:rsid w:val="00B0414E"/>
    <w:rsid w:val="00B041BC"/>
    <w:rsid w:val="00B04E2B"/>
    <w:rsid w:val="00B0532E"/>
    <w:rsid w:val="00B057CC"/>
    <w:rsid w:val="00B069D2"/>
    <w:rsid w:val="00B06C95"/>
    <w:rsid w:val="00B07A31"/>
    <w:rsid w:val="00B11B0B"/>
    <w:rsid w:val="00B11BD3"/>
    <w:rsid w:val="00B11C1E"/>
    <w:rsid w:val="00B123BE"/>
    <w:rsid w:val="00B1536D"/>
    <w:rsid w:val="00B15EAE"/>
    <w:rsid w:val="00B1697C"/>
    <w:rsid w:val="00B16D52"/>
    <w:rsid w:val="00B17DE9"/>
    <w:rsid w:val="00B20713"/>
    <w:rsid w:val="00B20918"/>
    <w:rsid w:val="00B20CFF"/>
    <w:rsid w:val="00B20DC2"/>
    <w:rsid w:val="00B2352D"/>
    <w:rsid w:val="00B25164"/>
    <w:rsid w:val="00B25369"/>
    <w:rsid w:val="00B256F9"/>
    <w:rsid w:val="00B30DAE"/>
    <w:rsid w:val="00B31AC5"/>
    <w:rsid w:val="00B321C9"/>
    <w:rsid w:val="00B323DD"/>
    <w:rsid w:val="00B32981"/>
    <w:rsid w:val="00B337D9"/>
    <w:rsid w:val="00B3434E"/>
    <w:rsid w:val="00B34C66"/>
    <w:rsid w:val="00B34D7C"/>
    <w:rsid w:val="00B34D7F"/>
    <w:rsid w:val="00B36EC3"/>
    <w:rsid w:val="00B37050"/>
    <w:rsid w:val="00B41B38"/>
    <w:rsid w:val="00B41DAB"/>
    <w:rsid w:val="00B43EAE"/>
    <w:rsid w:val="00B452C8"/>
    <w:rsid w:val="00B455F2"/>
    <w:rsid w:val="00B46E5D"/>
    <w:rsid w:val="00B47CEA"/>
    <w:rsid w:val="00B47D7B"/>
    <w:rsid w:val="00B47F1B"/>
    <w:rsid w:val="00B50B66"/>
    <w:rsid w:val="00B5252E"/>
    <w:rsid w:val="00B52D75"/>
    <w:rsid w:val="00B53271"/>
    <w:rsid w:val="00B53534"/>
    <w:rsid w:val="00B54C66"/>
    <w:rsid w:val="00B5545E"/>
    <w:rsid w:val="00B56C53"/>
    <w:rsid w:val="00B56ED2"/>
    <w:rsid w:val="00B626E9"/>
    <w:rsid w:val="00B632AD"/>
    <w:rsid w:val="00B635B5"/>
    <w:rsid w:val="00B6478E"/>
    <w:rsid w:val="00B6519A"/>
    <w:rsid w:val="00B65493"/>
    <w:rsid w:val="00B65FFE"/>
    <w:rsid w:val="00B662E5"/>
    <w:rsid w:val="00B7269D"/>
    <w:rsid w:val="00B7452F"/>
    <w:rsid w:val="00B7454A"/>
    <w:rsid w:val="00B76432"/>
    <w:rsid w:val="00B769AE"/>
    <w:rsid w:val="00B77330"/>
    <w:rsid w:val="00B77CD1"/>
    <w:rsid w:val="00B80CB8"/>
    <w:rsid w:val="00B810F2"/>
    <w:rsid w:val="00B817D9"/>
    <w:rsid w:val="00B818B2"/>
    <w:rsid w:val="00B821D4"/>
    <w:rsid w:val="00B8249B"/>
    <w:rsid w:val="00B82759"/>
    <w:rsid w:val="00B85D43"/>
    <w:rsid w:val="00B85D6E"/>
    <w:rsid w:val="00B90905"/>
    <w:rsid w:val="00B93929"/>
    <w:rsid w:val="00B94539"/>
    <w:rsid w:val="00B9483A"/>
    <w:rsid w:val="00B9703C"/>
    <w:rsid w:val="00B972F1"/>
    <w:rsid w:val="00B9770B"/>
    <w:rsid w:val="00B977DF"/>
    <w:rsid w:val="00BA0637"/>
    <w:rsid w:val="00BA0769"/>
    <w:rsid w:val="00BA0865"/>
    <w:rsid w:val="00BA0987"/>
    <w:rsid w:val="00BA216F"/>
    <w:rsid w:val="00BA3744"/>
    <w:rsid w:val="00BA39A7"/>
    <w:rsid w:val="00BA4C59"/>
    <w:rsid w:val="00BA5737"/>
    <w:rsid w:val="00BA6113"/>
    <w:rsid w:val="00BA6B14"/>
    <w:rsid w:val="00BB0D10"/>
    <w:rsid w:val="00BB104E"/>
    <w:rsid w:val="00BB20BB"/>
    <w:rsid w:val="00BB310A"/>
    <w:rsid w:val="00BB6414"/>
    <w:rsid w:val="00BB6E96"/>
    <w:rsid w:val="00BB7E8B"/>
    <w:rsid w:val="00BC0004"/>
    <w:rsid w:val="00BC0126"/>
    <w:rsid w:val="00BC0A0D"/>
    <w:rsid w:val="00BC2213"/>
    <w:rsid w:val="00BC229D"/>
    <w:rsid w:val="00BC2592"/>
    <w:rsid w:val="00BC2651"/>
    <w:rsid w:val="00BC2C1B"/>
    <w:rsid w:val="00BC3346"/>
    <w:rsid w:val="00BC480A"/>
    <w:rsid w:val="00BC4EE8"/>
    <w:rsid w:val="00BC4FC8"/>
    <w:rsid w:val="00BD13FA"/>
    <w:rsid w:val="00BD2C57"/>
    <w:rsid w:val="00BD407C"/>
    <w:rsid w:val="00BD59CF"/>
    <w:rsid w:val="00BD674B"/>
    <w:rsid w:val="00BE0320"/>
    <w:rsid w:val="00BE0AF2"/>
    <w:rsid w:val="00BE533E"/>
    <w:rsid w:val="00BE61A7"/>
    <w:rsid w:val="00BE69E7"/>
    <w:rsid w:val="00BE797A"/>
    <w:rsid w:val="00BE7F5B"/>
    <w:rsid w:val="00BF082B"/>
    <w:rsid w:val="00BF0B42"/>
    <w:rsid w:val="00BF0C97"/>
    <w:rsid w:val="00BF11AD"/>
    <w:rsid w:val="00BF1526"/>
    <w:rsid w:val="00BF15DE"/>
    <w:rsid w:val="00BF49A7"/>
    <w:rsid w:val="00BF6151"/>
    <w:rsid w:val="00BF6550"/>
    <w:rsid w:val="00BF717D"/>
    <w:rsid w:val="00BF7944"/>
    <w:rsid w:val="00BF7992"/>
    <w:rsid w:val="00C0087B"/>
    <w:rsid w:val="00C015D1"/>
    <w:rsid w:val="00C0194B"/>
    <w:rsid w:val="00C0239B"/>
    <w:rsid w:val="00C060C3"/>
    <w:rsid w:val="00C06F3C"/>
    <w:rsid w:val="00C076F6"/>
    <w:rsid w:val="00C07DE4"/>
    <w:rsid w:val="00C1064A"/>
    <w:rsid w:val="00C1125D"/>
    <w:rsid w:val="00C11C98"/>
    <w:rsid w:val="00C13F46"/>
    <w:rsid w:val="00C14764"/>
    <w:rsid w:val="00C14D31"/>
    <w:rsid w:val="00C159E4"/>
    <w:rsid w:val="00C16740"/>
    <w:rsid w:val="00C20339"/>
    <w:rsid w:val="00C22371"/>
    <w:rsid w:val="00C22EB5"/>
    <w:rsid w:val="00C247E8"/>
    <w:rsid w:val="00C24C8E"/>
    <w:rsid w:val="00C25665"/>
    <w:rsid w:val="00C2610D"/>
    <w:rsid w:val="00C261EB"/>
    <w:rsid w:val="00C27CD5"/>
    <w:rsid w:val="00C31097"/>
    <w:rsid w:val="00C321CD"/>
    <w:rsid w:val="00C33565"/>
    <w:rsid w:val="00C33F64"/>
    <w:rsid w:val="00C34BD2"/>
    <w:rsid w:val="00C3569D"/>
    <w:rsid w:val="00C358D3"/>
    <w:rsid w:val="00C3590A"/>
    <w:rsid w:val="00C3675F"/>
    <w:rsid w:val="00C40328"/>
    <w:rsid w:val="00C4063E"/>
    <w:rsid w:val="00C4098D"/>
    <w:rsid w:val="00C41AF3"/>
    <w:rsid w:val="00C41F37"/>
    <w:rsid w:val="00C42664"/>
    <w:rsid w:val="00C43D06"/>
    <w:rsid w:val="00C4569E"/>
    <w:rsid w:val="00C47718"/>
    <w:rsid w:val="00C47EE0"/>
    <w:rsid w:val="00C500A4"/>
    <w:rsid w:val="00C513C9"/>
    <w:rsid w:val="00C51563"/>
    <w:rsid w:val="00C545D4"/>
    <w:rsid w:val="00C554E2"/>
    <w:rsid w:val="00C55B39"/>
    <w:rsid w:val="00C567D9"/>
    <w:rsid w:val="00C56CB2"/>
    <w:rsid w:val="00C6148E"/>
    <w:rsid w:val="00C62B10"/>
    <w:rsid w:val="00C64415"/>
    <w:rsid w:val="00C64C51"/>
    <w:rsid w:val="00C654A3"/>
    <w:rsid w:val="00C660D7"/>
    <w:rsid w:val="00C6610D"/>
    <w:rsid w:val="00C669D2"/>
    <w:rsid w:val="00C66FE2"/>
    <w:rsid w:val="00C70F01"/>
    <w:rsid w:val="00C71EDD"/>
    <w:rsid w:val="00C757B9"/>
    <w:rsid w:val="00C7600E"/>
    <w:rsid w:val="00C76495"/>
    <w:rsid w:val="00C813F2"/>
    <w:rsid w:val="00C81B08"/>
    <w:rsid w:val="00C81B55"/>
    <w:rsid w:val="00C81BF7"/>
    <w:rsid w:val="00C82542"/>
    <w:rsid w:val="00C83DB7"/>
    <w:rsid w:val="00C8417D"/>
    <w:rsid w:val="00C84919"/>
    <w:rsid w:val="00C84A09"/>
    <w:rsid w:val="00C850A6"/>
    <w:rsid w:val="00C852E9"/>
    <w:rsid w:val="00C866E5"/>
    <w:rsid w:val="00C87280"/>
    <w:rsid w:val="00C87FB6"/>
    <w:rsid w:val="00C901A3"/>
    <w:rsid w:val="00C9046E"/>
    <w:rsid w:val="00C922BB"/>
    <w:rsid w:val="00C92B8F"/>
    <w:rsid w:val="00C92D3C"/>
    <w:rsid w:val="00C92D87"/>
    <w:rsid w:val="00C94A19"/>
    <w:rsid w:val="00C96075"/>
    <w:rsid w:val="00C967BB"/>
    <w:rsid w:val="00C96FE5"/>
    <w:rsid w:val="00C97496"/>
    <w:rsid w:val="00CA18BA"/>
    <w:rsid w:val="00CA2BBE"/>
    <w:rsid w:val="00CA4614"/>
    <w:rsid w:val="00CA4A18"/>
    <w:rsid w:val="00CA53EE"/>
    <w:rsid w:val="00CA7558"/>
    <w:rsid w:val="00CA795A"/>
    <w:rsid w:val="00CB22E7"/>
    <w:rsid w:val="00CB2476"/>
    <w:rsid w:val="00CB2C6D"/>
    <w:rsid w:val="00CB38AC"/>
    <w:rsid w:val="00CB3FE5"/>
    <w:rsid w:val="00CB660D"/>
    <w:rsid w:val="00CB6C14"/>
    <w:rsid w:val="00CC0013"/>
    <w:rsid w:val="00CC0851"/>
    <w:rsid w:val="00CC11F3"/>
    <w:rsid w:val="00CC1350"/>
    <w:rsid w:val="00CC23A0"/>
    <w:rsid w:val="00CC2518"/>
    <w:rsid w:val="00CC6E85"/>
    <w:rsid w:val="00CD0F96"/>
    <w:rsid w:val="00CD123E"/>
    <w:rsid w:val="00CD22DD"/>
    <w:rsid w:val="00CD2C24"/>
    <w:rsid w:val="00CD395A"/>
    <w:rsid w:val="00CD4371"/>
    <w:rsid w:val="00CD55AA"/>
    <w:rsid w:val="00CD6222"/>
    <w:rsid w:val="00CD627C"/>
    <w:rsid w:val="00CE1888"/>
    <w:rsid w:val="00CE25DB"/>
    <w:rsid w:val="00CE2EB6"/>
    <w:rsid w:val="00CE2F29"/>
    <w:rsid w:val="00CE45B9"/>
    <w:rsid w:val="00CE54DE"/>
    <w:rsid w:val="00CE5897"/>
    <w:rsid w:val="00CE6C35"/>
    <w:rsid w:val="00CE7029"/>
    <w:rsid w:val="00CF100F"/>
    <w:rsid w:val="00CF323F"/>
    <w:rsid w:val="00CF3A8B"/>
    <w:rsid w:val="00CF3B7F"/>
    <w:rsid w:val="00CF5167"/>
    <w:rsid w:val="00CF571D"/>
    <w:rsid w:val="00CF6274"/>
    <w:rsid w:val="00CF6FE6"/>
    <w:rsid w:val="00D01217"/>
    <w:rsid w:val="00D0395D"/>
    <w:rsid w:val="00D04764"/>
    <w:rsid w:val="00D058DD"/>
    <w:rsid w:val="00D05A69"/>
    <w:rsid w:val="00D0636E"/>
    <w:rsid w:val="00D06990"/>
    <w:rsid w:val="00D06D9B"/>
    <w:rsid w:val="00D1254E"/>
    <w:rsid w:val="00D13FAD"/>
    <w:rsid w:val="00D141CE"/>
    <w:rsid w:val="00D14BFA"/>
    <w:rsid w:val="00D164A4"/>
    <w:rsid w:val="00D16BC7"/>
    <w:rsid w:val="00D17C91"/>
    <w:rsid w:val="00D20171"/>
    <w:rsid w:val="00D222CC"/>
    <w:rsid w:val="00D24AE7"/>
    <w:rsid w:val="00D24BC8"/>
    <w:rsid w:val="00D31768"/>
    <w:rsid w:val="00D33643"/>
    <w:rsid w:val="00D34C95"/>
    <w:rsid w:val="00D35EAE"/>
    <w:rsid w:val="00D36579"/>
    <w:rsid w:val="00D374A0"/>
    <w:rsid w:val="00D37859"/>
    <w:rsid w:val="00D4052E"/>
    <w:rsid w:val="00D40AD5"/>
    <w:rsid w:val="00D40FE0"/>
    <w:rsid w:val="00D41018"/>
    <w:rsid w:val="00D4240D"/>
    <w:rsid w:val="00D424D0"/>
    <w:rsid w:val="00D434ED"/>
    <w:rsid w:val="00D44615"/>
    <w:rsid w:val="00D448FD"/>
    <w:rsid w:val="00D46C14"/>
    <w:rsid w:val="00D5031A"/>
    <w:rsid w:val="00D50AD0"/>
    <w:rsid w:val="00D50BA9"/>
    <w:rsid w:val="00D51A0F"/>
    <w:rsid w:val="00D5249D"/>
    <w:rsid w:val="00D53F4C"/>
    <w:rsid w:val="00D54103"/>
    <w:rsid w:val="00D54A0B"/>
    <w:rsid w:val="00D5575C"/>
    <w:rsid w:val="00D61ACF"/>
    <w:rsid w:val="00D64526"/>
    <w:rsid w:val="00D646CB"/>
    <w:rsid w:val="00D6665C"/>
    <w:rsid w:val="00D7015F"/>
    <w:rsid w:val="00D7100B"/>
    <w:rsid w:val="00D71DC5"/>
    <w:rsid w:val="00D742A2"/>
    <w:rsid w:val="00D74D3D"/>
    <w:rsid w:val="00D77437"/>
    <w:rsid w:val="00D775F6"/>
    <w:rsid w:val="00D776D5"/>
    <w:rsid w:val="00D8080C"/>
    <w:rsid w:val="00D83C64"/>
    <w:rsid w:val="00D83E29"/>
    <w:rsid w:val="00D842F3"/>
    <w:rsid w:val="00D844CE"/>
    <w:rsid w:val="00D847DA"/>
    <w:rsid w:val="00D85351"/>
    <w:rsid w:val="00D93C30"/>
    <w:rsid w:val="00D940BA"/>
    <w:rsid w:val="00D97E8A"/>
    <w:rsid w:val="00DA07CB"/>
    <w:rsid w:val="00DA080D"/>
    <w:rsid w:val="00DA24B3"/>
    <w:rsid w:val="00DA292D"/>
    <w:rsid w:val="00DA5099"/>
    <w:rsid w:val="00DA5BAE"/>
    <w:rsid w:val="00DA5D85"/>
    <w:rsid w:val="00DA6D75"/>
    <w:rsid w:val="00DA70DC"/>
    <w:rsid w:val="00DA7B02"/>
    <w:rsid w:val="00DB11FA"/>
    <w:rsid w:val="00DB1BED"/>
    <w:rsid w:val="00DB1DB3"/>
    <w:rsid w:val="00DB3564"/>
    <w:rsid w:val="00DB4928"/>
    <w:rsid w:val="00DB4B55"/>
    <w:rsid w:val="00DB5132"/>
    <w:rsid w:val="00DB53C9"/>
    <w:rsid w:val="00DB7AC7"/>
    <w:rsid w:val="00DC1246"/>
    <w:rsid w:val="00DC1B49"/>
    <w:rsid w:val="00DC32F7"/>
    <w:rsid w:val="00DC5D44"/>
    <w:rsid w:val="00DC67A8"/>
    <w:rsid w:val="00DC6A12"/>
    <w:rsid w:val="00DC7F2B"/>
    <w:rsid w:val="00DD0F29"/>
    <w:rsid w:val="00DD1064"/>
    <w:rsid w:val="00DD3C60"/>
    <w:rsid w:val="00DD4514"/>
    <w:rsid w:val="00DD50A9"/>
    <w:rsid w:val="00DD6BA5"/>
    <w:rsid w:val="00DD7E0F"/>
    <w:rsid w:val="00DE0CB3"/>
    <w:rsid w:val="00DE134F"/>
    <w:rsid w:val="00DE1C0D"/>
    <w:rsid w:val="00DE37BB"/>
    <w:rsid w:val="00DE6FAD"/>
    <w:rsid w:val="00DE7542"/>
    <w:rsid w:val="00DE7D6B"/>
    <w:rsid w:val="00DF1DAB"/>
    <w:rsid w:val="00DF2673"/>
    <w:rsid w:val="00DF34CF"/>
    <w:rsid w:val="00DF4188"/>
    <w:rsid w:val="00DF585B"/>
    <w:rsid w:val="00DF6526"/>
    <w:rsid w:val="00DF71C5"/>
    <w:rsid w:val="00DF75D0"/>
    <w:rsid w:val="00E00343"/>
    <w:rsid w:val="00E026B6"/>
    <w:rsid w:val="00E0351E"/>
    <w:rsid w:val="00E068EA"/>
    <w:rsid w:val="00E06BFD"/>
    <w:rsid w:val="00E10785"/>
    <w:rsid w:val="00E10B77"/>
    <w:rsid w:val="00E12A0F"/>
    <w:rsid w:val="00E1331B"/>
    <w:rsid w:val="00E142BA"/>
    <w:rsid w:val="00E148DB"/>
    <w:rsid w:val="00E16746"/>
    <w:rsid w:val="00E17377"/>
    <w:rsid w:val="00E175A0"/>
    <w:rsid w:val="00E20C12"/>
    <w:rsid w:val="00E21000"/>
    <w:rsid w:val="00E21348"/>
    <w:rsid w:val="00E21B29"/>
    <w:rsid w:val="00E222C9"/>
    <w:rsid w:val="00E23796"/>
    <w:rsid w:val="00E246A0"/>
    <w:rsid w:val="00E24FF1"/>
    <w:rsid w:val="00E25BE1"/>
    <w:rsid w:val="00E25BF0"/>
    <w:rsid w:val="00E262DC"/>
    <w:rsid w:val="00E266EA"/>
    <w:rsid w:val="00E2778D"/>
    <w:rsid w:val="00E30070"/>
    <w:rsid w:val="00E308DA"/>
    <w:rsid w:val="00E313AB"/>
    <w:rsid w:val="00E31E93"/>
    <w:rsid w:val="00E36265"/>
    <w:rsid w:val="00E377CE"/>
    <w:rsid w:val="00E3786B"/>
    <w:rsid w:val="00E37EB2"/>
    <w:rsid w:val="00E41EAC"/>
    <w:rsid w:val="00E428E1"/>
    <w:rsid w:val="00E440A1"/>
    <w:rsid w:val="00E44C14"/>
    <w:rsid w:val="00E44C64"/>
    <w:rsid w:val="00E455A5"/>
    <w:rsid w:val="00E467A2"/>
    <w:rsid w:val="00E50B6E"/>
    <w:rsid w:val="00E514CA"/>
    <w:rsid w:val="00E544AB"/>
    <w:rsid w:val="00E56BAB"/>
    <w:rsid w:val="00E57B38"/>
    <w:rsid w:val="00E6030C"/>
    <w:rsid w:val="00E60E64"/>
    <w:rsid w:val="00E61CF9"/>
    <w:rsid w:val="00E620CB"/>
    <w:rsid w:val="00E62FB9"/>
    <w:rsid w:val="00E641D5"/>
    <w:rsid w:val="00E64DC1"/>
    <w:rsid w:val="00E6546E"/>
    <w:rsid w:val="00E65B8D"/>
    <w:rsid w:val="00E65C4E"/>
    <w:rsid w:val="00E72730"/>
    <w:rsid w:val="00E7464E"/>
    <w:rsid w:val="00E746D0"/>
    <w:rsid w:val="00E74C04"/>
    <w:rsid w:val="00E772E7"/>
    <w:rsid w:val="00E775F5"/>
    <w:rsid w:val="00E77799"/>
    <w:rsid w:val="00E806F7"/>
    <w:rsid w:val="00E80C57"/>
    <w:rsid w:val="00E81B74"/>
    <w:rsid w:val="00E8223A"/>
    <w:rsid w:val="00E82F37"/>
    <w:rsid w:val="00E85388"/>
    <w:rsid w:val="00E85D14"/>
    <w:rsid w:val="00E86987"/>
    <w:rsid w:val="00E87FE7"/>
    <w:rsid w:val="00E91717"/>
    <w:rsid w:val="00E92638"/>
    <w:rsid w:val="00E94B38"/>
    <w:rsid w:val="00E96997"/>
    <w:rsid w:val="00E97C24"/>
    <w:rsid w:val="00EA0516"/>
    <w:rsid w:val="00EA2770"/>
    <w:rsid w:val="00EA286B"/>
    <w:rsid w:val="00EA2AF1"/>
    <w:rsid w:val="00EA5BC2"/>
    <w:rsid w:val="00EA5E2A"/>
    <w:rsid w:val="00EA6642"/>
    <w:rsid w:val="00EA74DF"/>
    <w:rsid w:val="00EB27B3"/>
    <w:rsid w:val="00EB562C"/>
    <w:rsid w:val="00EB5A26"/>
    <w:rsid w:val="00EB5D09"/>
    <w:rsid w:val="00EB7991"/>
    <w:rsid w:val="00EC0AC8"/>
    <w:rsid w:val="00EC1069"/>
    <w:rsid w:val="00EC15CB"/>
    <w:rsid w:val="00EC5803"/>
    <w:rsid w:val="00EC6C9E"/>
    <w:rsid w:val="00EC76CE"/>
    <w:rsid w:val="00ED0B86"/>
    <w:rsid w:val="00ED0F4D"/>
    <w:rsid w:val="00ED19C2"/>
    <w:rsid w:val="00ED26E0"/>
    <w:rsid w:val="00ED2727"/>
    <w:rsid w:val="00ED2891"/>
    <w:rsid w:val="00ED3938"/>
    <w:rsid w:val="00ED3ACC"/>
    <w:rsid w:val="00ED3FDA"/>
    <w:rsid w:val="00ED4E5E"/>
    <w:rsid w:val="00ED5BB4"/>
    <w:rsid w:val="00EE0DEA"/>
    <w:rsid w:val="00EE2DD4"/>
    <w:rsid w:val="00EE3F0D"/>
    <w:rsid w:val="00EE4346"/>
    <w:rsid w:val="00EE465A"/>
    <w:rsid w:val="00EE4850"/>
    <w:rsid w:val="00EE57D7"/>
    <w:rsid w:val="00EF03E3"/>
    <w:rsid w:val="00EF1964"/>
    <w:rsid w:val="00EF3F94"/>
    <w:rsid w:val="00EF459D"/>
    <w:rsid w:val="00EF6FAF"/>
    <w:rsid w:val="00EF7F5F"/>
    <w:rsid w:val="00F006DA"/>
    <w:rsid w:val="00F01393"/>
    <w:rsid w:val="00F0625E"/>
    <w:rsid w:val="00F062F2"/>
    <w:rsid w:val="00F063B4"/>
    <w:rsid w:val="00F0712D"/>
    <w:rsid w:val="00F12C39"/>
    <w:rsid w:val="00F13542"/>
    <w:rsid w:val="00F13833"/>
    <w:rsid w:val="00F13BF6"/>
    <w:rsid w:val="00F143D6"/>
    <w:rsid w:val="00F1674B"/>
    <w:rsid w:val="00F16876"/>
    <w:rsid w:val="00F16B86"/>
    <w:rsid w:val="00F2023E"/>
    <w:rsid w:val="00F20C9C"/>
    <w:rsid w:val="00F20E10"/>
    <w:rsid w:val="00F23098"/>
    <w:rsid w:val="00F23D87"/>
    <w:rsid w:val="00F24441"/>
    <w:rsid w:val="00F25C4F"/>
    <w:rsid w:val="00F25EB6"/>
    <w:rsid w:val="00F27A67"/>
    <w:rsid w:val="00F3062C"/>
    <w:rsid w:val="00F30787"/>
    <w:rsid w:val="00F321EB"/>
    <w:rsid w:val="00F326B1"/>
    <w:rsid w:val="00F32985"/>
    <w:rsid w:val="00F33EAC"/>
    <w:rsid w:val="00F347D3"/>
    <w:rsid w:val="00F35154"/>
    <w:rsid w:val="00F37646"/>
    <w:rsid w:val="00F40A87"/>
    <w:rsid w:val="00F4205C"/>
    <w:rsid w:val="00F4280B"/>
    <w:rsid w:val="00F43FB9"/>
    <w:rsid w:val="00F4488F"/>
    <w:rsid w:val="00F45FF3"/>
    <w:rsid w:val="00F50A3A"/>
    <w:rsid w:val="00F51AE2"/>
    <w:rsid w:val="00F52935"/>
    <w:rsid w:val="00F529D7"/>
    <w:rsid w:val="00F53007"/>
    <w:rsid w:val="00F54228"/>
    <w:rsid w:val="00F54B87"/>
    <w:rsid w:val="00F54DCF"/>
    <w:rsid w:val="00F54EA4"/>
    <w:rsid w:val="00F56BB9"/>
    <w:rsid w:val="00F57FF2"/>
    <w:rsid w:val="00F61465"/>
    <w:rsid w:val="00F61996"/>
    <w:rsid w:val="00F62B2F"/>
    <w:rsid w:val="00F6337D"/>
    <w:rsid w:val="00F63ADE"/>
    <w:rsid w:val="00F64606"/>
    <w:rsid w:val="00F652F9"/>
    <w:rsid w:val="00F657B0"/>
    <w:rsid w:val="00F7049A"/>
    <w:rsid w:val="00F70BA6"/>
    <w:rsid w:val="00F70D8D"/>
    <w:rsid w:val="00F7144D"/>
    <w:rsid w:val="00F71739"/>
    <w:rsid w:val="00F72DBA"/>
    <w:rsid w:val="00F74AFA"/>
    <w:rsid w:val="00F76C60"/>
    <w:rsid w:val="00F82ECB"/>
    <w:rsid w:val="00F83490"/>
    <w:rsid w:val="00F8544F"/>
    <w:rsid w:val="00F86926"/>
    <w:rsid w:val="00F86E3B"/>
    <w:rsid w:val="00F917E6"/>
    <w:rsid w:val="00F91F33"/>
    <w:rsid w:val="00F92652"/>
    <w:rsid w:val="00F92F49"/>
    <w:rsid w:val="00F95E8C"/>
    <w:rsid w:val="00FA08DC"/>
    <w:rsid w:val="00FA1AE7"/>
    <w:rsid w:val="00FA21A5"/>
    <w:rsid w:val="00FA33BC"/>
    <w:rsid w:val="00FA4C60"/>
    <w:rsid w:val="00FA4D3E"/>
    <w:rsid w:val="00FA5B5C"/>
    <w:rsid w:val="00FA76E8"/>
    <w:rsid w:val="00FA7CCE"/>
    <w:rsid w:val="00FB28CB"/>
    <w:rsid w:val="00FB3DB4"/>
    <w:rsid w:val="00FB4EAA"/>
    <w:rsid w:val="00FB520B"/>
    <w:rsid w:val="00FB5450"/>
    <w:rsid w:val="00FB5C81"/>
    <w:rsid w:val="00FB77C5"/>
    <w:rsid w:val="00FB7821"/>
    <w:rsid w:val="00FC0B7A"/>
    <w:rsid w:val="00FC0E81"/>
    <w:rsid w:val="00FC1CCD"/>
    <w:rsid w:val="00FC1DD7"/>
    <w:rsid w:val="00FC217F"/>
    <w:rsid w:val="00FC279B"/>
    <w:rsid w:val="00FC2BA9"/>
    <w:rsid w:val="00FC3084"/>
    <w:rsid w:val="00FC3594"/>
    <w:rsid w:val="00FC5101"/>
    <w:rsid w:val="00FC56E4"/>
    <w:rsid w:val="00FC5D17"/>
    <w:rsid w:val="00FC6047"/>
    <w:rsid w:val="00FC7971"/>
    <w:rsid w:val="00FD0ED7"/>
    <w:rsid w:val="00FD13D6"/>
    <w:rsid w:val="00FD2D55"/>
    <w:rsid w:val="00FD3126"/>
    <w:rsid w:val="00FD5144"/>
    <w:rsid w:val="00FD5886"/>
    <w:rsid w:val="00FD5B7D"/>
    <w:rsid w:val="00FD614F"/>
    <w:rsid w:val="00FD65AB"/>
    <w:rsid w:val="00FD7456"/>
    <w:rsid w:val="00FE037F"/>
    <w:rsid w:val="00FE0A0F"/>
    <w:rsid w:val="00FE23E9"/>
    <w:rsid w:val="00FE3544"/>
    <w:rsid w:val="00FE3A20"/>
    <w:rsid w:val="00FE54B9"/>
    <w:rsid w:val="00FE57DD"/>
    <w:rsid w:val="00FE5C4E"/>
    <w:rsid w:val="00FE67C5"/>
    <w:rsid w:val="00FF291E"/>
    <w:rsid w:val="00FF317E"/>
    <w:rsid w:val="00FF3ED7"/>
    <w:rsid w:val="00FF3F8D"/>
    <w:rsid w:val="00FF40FD"/>
    <w:rsid w:val="00FF4F5C"/>
    <w:rsid w:val="00FF5C0B"/>
    <w:rsid w:val="00FF60BA"/>
    <w:rsid w:val="00FF7473"/>
    <w:rsid w:val="00FF7F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F70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DF8"/>
    <w:pPr>
      <w:spacing w:before="0" w:beforeAutospacing="0" w:after="200"/>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46DF8"/>
    <w:rPr>
      <w:sz w:val="16"/>
      <w:szCs w:val="16"/>
    </w:rPr>
  </w:style>
  <w:style w:type="paragraph" w:styleId="CommentText">
    <w:name w:val="annotation text"/>
    <w:basedOn w:val="Normal"/>
    <w:link w:val="CommentTextChar"/>
    <w:uiPriority w:val="99"/>
    <w:unhideWhenUsed/>
    <w:rsid w:val="00446DF8"/>
    <w:pPr>
      <w:spacing w:line="240" w:lineRule="auto"/>
    </w:pPr>
    <w:rPr>
      <w:sz w:val="20"/>
      <w:szCs w:val="20"/>
    </w:rPr>
  </w:style>
  <w:style w:type="character" w:customStyle="1" w:styleId="CommentTextChar">
    <w:name w:val="Comment Text Char"/>
    <w:basedOn w:val="DefaultParagraphFont"/>
    <w:link w:val="CommentText"/>
    <w:uiPriority w:val="99"/>
    <w:rsid w:val="00446DF8"/>
    <w:rPr>
      <w:sz w:val="20"/>
      <w:szCs w:val="20"/>
    </w:rPr>
  </w:style>
  <w:style w:type="character" w:styleId="Hyperlink">
    <w:name w:val="Hyperlink"/>
    <w:basedOn w:val="DefaultParagraphFont"/>
    <w:uiPriority w:val="99"/>
    <w:unhideWhenUsed/>
    <w:rsid w:val="00446DF8"/>
    <w:rPr>
      <w:color w:val="0563C1" w:themeColor="hyperlink"/>
      <w:u w:val="single"/>
    </w:rPr>
  </w:style>
  <w:style w:type="paragraph" w:styleId="BalloonText">
    <w:name w:val="Balloon Text"/>
    <w:basedOn w:val="Normal"/>
    <w:link w:val="BalloonTextChar"/>
    <w:uiPriority w:val="99"/>
    <w:semiHidden/>
    <w:unhideWhenUsed/>
    <w:rsid w:val="00446D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6DF8"/>
    <w:rPr>
      <w:rFonts w:ascii="Segoe UI" w:hAnsi="Segoe UI" w:cs="Segoe UI"/>
      <w:sz w:val="18"/>
      <w:szCs w:val="18"/>
    </w:rPr>
  </w:style>
  <w:style w:type="paragraph" w:styleId="Caption">
    <w:name w:val="caption"/>
    <w:basedOn w:val="Normal"/>
    <w:next w:val="Normal"/>
    <w:uiPriority w:val="35"/>
    <w:unhideWhenUsed/>
    <w:qFormat/>
    <w:rsid w:val="00446DF8"/>
    <w:pPr>
      <w:spacing w:line="240" w:lineRule="auto"/>
    </w:pPr>
    <w:rPr>
      <w:b/>
      <w:bCs/>
      <w:color w:val="5B9BD5" w:themeColor="accent1"/>
      <w:sz w:val="18"/>
      <w:szCs w:val="18"/>
    </w:rPr>
  </w:style>
  <w:style w:type="paragraph" w:styleId="FootnoteText">
    <w:name w:val="footnote text"/>
    <w:basedOn w:val="Normal"/>
    <w:link w:val="FootnoteTextChar"/>
    <w:uiPriority w:val="99"/>
    <w:semiHidden/>
    <w:unhideWhenUsed/>
    <w:rsid w:val="00446D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6DF8"/>
    <w:rPr>
      <w:sz w:val="20"/>
      <w:szCs w:val="20"/>
    </w:rPr>
  </w:style>
  <w:style w:type="character" w:styleId="FootnoteReference">
    <w:name w:val="footnote reference"/>
    <w:basedOn w:val="DefaultParagraphFont"/>
    <w:uiPriority w:val="99"/>
    <w:semiHidden/>
    <w:unhideWhenUsed/>
    <w:rsid w:val="00446DF8"/>
    <w:rPr>
      <w:vertAlign w:val="superscript"/>
    </w:rPr>
  </w:style>
  <w:style w:type="table" w:styleId="TableGrid">
    <w:name w:val="Table Grid"/>
    <w:basedOn w:val="TableNormal"/>
    <w:uiPriority w:val="59"/>
    <w:rsid w:val="00446DF8"/>
    <w:pPr>
      <w:spacing w:before="0" w:beforeAutospacing="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0F1004"/>
    <w:rPr>
      <w:b/>
      <w:bCs/>
    </w:rPr>
  </w:style>
  <w:style w:type="character" w:customStyle="1" w:styleId="CommentSubjectChar">
    <w:name w:val="Comment Subject Char"/>
    <w:basedOn w:val="CommentTextChar"/>
    <w:link w:val="CommentSubject"/>
    <w:uiPriority w:val="99"/>
    <w:semiHidden/>
    <w:rsid w:val="000F1004"/>
    <w:rPr>
      <w:b/>
      <w:bCs/>
      <w:sz w:val="20"/>
      <w:szCs w:val="20"/>
    </w:rPr>
  </w:style>
  <w:style w:type="paragraph" w:styleId="NormalWeb">
    <w:name w:val="Normal (Web)"/>
    <w:basedOn w:val="Normal"/>
    <w:uiPriority w:val="99"/>
    <w:unhideWhenUsed/>
    <w:rsid w:val="00AD168E"/>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CA18BA"/>
    <w:pPr>
      <w:ind w:left="720"/>
      <w:contextualSpacing/>
    </w:pPr>
  </w:style>
  <w:style w:type="paragraph" w:styleId="Header">
    <w:name w:val="header"/>
    <w:basedOn w:val="Normal"/>
    <w:link w:val="HeaderChar"/>
    <w:uiPriority w:val="99"/>
    <w:unhideWhenUsed/>
    <w:rsid w:val="006334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3491"/>
  </w:style>
  <w:style w:type="paragraph" w:styleId="Footer">
    <w:name w:val="footer"/>
    <w:basedOn w:val="Normal"/>
    <w:link w:val="FooterChar"/>
    <w:uiPriority w:val="99"/>
    <w:unhideWhenUsed/>
    <w:rsid w:val="006334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3491"/>
  </w:style>
  <w:style w:type="character" w:styleId="LineNumber">
    <w:name w:val="line number"/>
    <w:basedOn w:val="DefaultParagraphFont"/>
    <w:uiPriority w:val="99"/>
    <w:semiHidden/>
    <w:unhideWhenUsed/>
    <w:rsid w:val="007665E2"/>
  </w:style>
  <w:style w:type="character" w:styleId="FollowedHyperlink">
    <w:name w:val="FollowedHyperlink"/>
    <w:basedOn w:val="DefaultParagraphFont"/>
    <w:uiPriority w:val="99"/>
    <w:semiHidden/>
    <w:unhideWhenUsed/>
    <w:rsid w:val="002206A0"/>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DF8"/>
    <w:pPr>
      <w:spacing w:before="0" w:beforeAutospacing="0" w:after="200"/>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46DF8"/>
    <w:rPr>
      <w:sz w:val="16"/>
      <w:szCs w:val="16"/>
    </w:rPr>
  </w:style>
  <w:style w:type="paragraph" w:styleId="CommentText">
    <w:name w:val="annotation text"/>
    <w:basedOn w:val="Normal"/>
    <w:link w:val="CommentTextChar"/>
    <w:uiPriority w:val="99"/>
    <w:unhideWhenUsed/>
    <w:rsid w:val="00446DF8"/>
    <w:pPr>
      <w:spacing w:line="240" w:lineRule="auto"/>
    </w:pPr>
    <w:rPr>
      <w:sz w:val="20"/>
      <w:szCs w:val="20"/>
    </w:rPr>
  </w:style>
  <w:style w:type="character" w:customStyle="1" w:styleId="CommentTextChar">
    <w:name w:val="Comment Text Char"/>
    <w:basedOn w:val="DefaultParagraphFont"/>
    <w:link w:val="CommentText"/>
    <w:uiPriority w:val="99"/>
    <w:rsid w:val="00446DF8"/>
    <w:rPr>
      <w:sz w:val="20"/>
      <w:szCs w:val="20"/>
    </w:rPr>
  </w:style>
  <w:style w:type="character" w:styleId="Hyperlink">
    <w:name w:val="Hyperlink"/>
    <w:basedOn w:val="DefaultParagraphFont"/>
    <w:uiPriority w:val="99"/>
    <w:unhideWhenUsed/>
    <w:rsid w:val="00446DF8"/>
    <w:rPr>
      <w:color w:val="0563C1" w:themeColor="hyperlink"/>
      <w:u w:val="single"/>
    </w:rPr>
  </w:style>
  <w:style w:type="paragraph" w:styleId="BalloonText">
    <w:name w:val="Balloon Text"/>
    <w:basedOn w:val="Normal"/>
    <w:link w:val="BalloonTextChar"/>
    <w:uiPriority w:val="99"/>
    <w:semiHidden/>
    <w:unhideWhenUsed/>
    <w:rsid w:val="00446D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6DF8"/>
    <w:rPr>
      <w:rFonts w:ascii="Segoe UI" w:hAnsi="Segoe UI" w:cs="Segoe UI"/>
      <w:sz w:val="18"/>
      <w:szCs w:val="18"/>
    </w:rPr>
  </w:style>
  <w:style w:type="paragraph" w:styleId="Caption">
    <w:name w:val="caption"/>
    <w:basedOn w:val="Normal"/>
    <w:next w:val="Normal"/>
    <w:uiPriority w:val="35"/>
    <w:unhideWhenUsed/>
    <w:qFormat/>
    <w:rsid w:val="00446DF8"/>
    <w:pPr>
      <w:spacing w:line="240" w:lineRule="auto"/>
    </w:pPr>
    <w:rPr>
      <w:b/>
      <w:bCs/>
      <w:color w:val="5B9BD5" w:themeColor="accent1"/>
      <w:sz w:val="18"/>
      <w:szCs w:val="18"/>
    </w:rPr>
  </w:style>
  <w:style w:type="paragraph" w:styleId="FootnoteText">
    <w:name w:val="footnote text"/>
    <w:basedOn w:val="Normal"/>
    <w:link w:val="FootnoteTextChar"/>
    <w:uiPriority w:val="99"/>
    <w:semiHidden/>
    <w:unhideWhenUsed/>
    <w:rsid w:val="00446D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6DF8"/>
    <w:rPr>
      <w:sz w:val="20"/>
      <w:szCs w:val="20"/>
    </w:rPr>
  </w:style>
  <w:style w:type="character" w:styleId="FootnoteReference">
    <w:name w:val="footnote reference"/>
    <w:basedOn w:val="DefaultParagraphFont"/>
    <w:uiPriority w:val="99"/>
    <w:semiHidden/>
    <w:unhideWhenUsed/>
    <w:rsid w:val="00446DF8"/>
    <w:rPr>
      <w:vertAlign w:val="superscript"/>
    </w:rPr>
  </w:style>
  <w:style w:type="table" w:styleId="TableGrid">
    <w:name w:val="Table Grid"/>
    <w:basedOn w:val="TableNormal"/>
    <w:uiPriority w:val="59"/>
    <w:rsid w:val="00446DF8"/>
    <w:pPr>
      <w:spacing w:before="0" w:beforeAutospacing="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0F1004"/>
    <w:rPr>
      <w:b/>
      <w:bCs/>
    </w:rPr>
  </w:style>
  <w:style w:type="character" w:customStyle="1" w:styleId="CommentSubjectChar">
    <w:name w:val="Comment Subject Char"/>
    <w:basedOn w:val="CommentTextChar"/>
    <w:link w:val="CommentSubject"/>
    <w:uiPriority w:val="99"/>
    <w:semiHidden/>
    <w:rsid w:val="000F1004"/>
    <w:rPr>
      <w:b/>
      <w:bCs/>
      <w:sz w:val="20"/>
      <w:szCs w:val="20"/>
    </w:rPr>
  </w:style>
  <w:style w:type="paragraph" w:styleId="NormalWeb">
    <w:name w:val="Normal (Web)"/>
    <w:basedOn w:val="Normal"/>
    <w:uiPriority w:val="99"/>
    <w:unhideWhenUsed/>
    <w:rsid w:val="00AD168E"/>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CA18BA"/>
    <w:pPr>
      <w:ind w:left="720"/>
      <w:contextualSpacing/>
    </w:pPr>
  </w:style>
  <w:style w:type="paragraph" w:styleId="Header">
    <w:name w:val="header"/>
    <w:basedOn w:val="Normal"/>
    <w:link w:val="HeaderChar"/>
    <w:uiPriority w:val="99"/>
    <w:unhideWhenUsed/>
    <w:rsid w:val="006334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3491"/>
  </w:style>
  <w:style w:type="paragraph" w:styleId="Footer">
    <w:name w:val="footer"/>
    <w:basedOn w:val="Normal"/>
    <w:link w:val="FooterChar"/>
    <w:uiPriority w:val="99"/>
    <w:unhideWhenUsed/>
    <w:rsid w:val="006334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3491"/>
  </w:style>
  <w:style w:type="character" w:styleId="LineNumber">
    <w:name w:val="line number"/>
    <w:basedOn w:val="DefaultParagraphFont"/>
    <w:uiPriority w:val="99"/>
    <w:semiHidden/>
    <w:unhideWhenUsed/>
    <w:rsid w:val="007665E2"/>
  </w:style>
  <w:style w:type="character" w:styleId="FollowedHyperlink">
    <w:name w:val="FollowedHyperlink"/>
    <w:basedOn w:val="DefaultParagraphFont"/>
    <w:uiPriority w:val="99"/>
    <w:semiHidden/>
    <w:unhideWhenUsed/>
    <w:rsid w:val="002206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667729">
      <w:bodyDiv w:val="1"/>
      <w:marLeft w:val="0"/>
      <w:marRight w:val="0"/>
      <w:marTop w:val="0"/>
      <w:marBottom w:val="0"/>
      <w:divBdr>
        <w:top w:val="none" w:sz="0" w:space="0" w:color="auto"/>
        <w:left w:val="none" w:sz="0" w:space="0" w:color="auto"/>
        <w:bottom w:val="none" w:sz="0" w:space="0" w:color="auto"/>
        <w:right w:val="none" w:sz="0" w:space="0" w:color="auto"/>
      </w:divBdr>
      <w:divsChild>
        <w:div w:id="141241135">
          <w:marLeft w:val="0"/>
          <w:marRight w:val="0"/>
          <w:marTop w:val="0"/>
          <w:marBottom w:val="0"/>
          <w:divBdr>
            <w:top w:val="none" w:sz="0" w:space="0" w:color="auto"/>
            <w:left w:val="none" w:sz="0" w:space="0" w:color="auto"/>
            <w:bottom w:val="none" w:sz="0" w:space="0" w:color="auto"/>
            <w:right w:val="none" w:sz="0" w:space="0" w:color="auto"/>
          </w:divBdr>
          <w:divsChild>
            <w:div w:id="64500018">
              <w:marLeft w:val="0"/>
              <w:marRight w:val="0"/>
              <w:marTop w:val="0"/>
              <w:marBottom w:val="0"/>
              <w:divBdr>
                <w:top w:val="none" w:sz="0" w:space="0" w:color="auto"/>
                <w:left w:val="none" w:sz="0" w:space="0" w:color="auto"/>
                <w:bottom w:val="none" w:sz="0" w:space="0" w:color="auto"/>
                <w:right w:val="none" w:sz="0" w:space="0" w:color="auto"/>
              </w:divBdr>
              <w:divsChild>
                <w:div w:id="1428380435">
                  <w:marLeft w:val="0"/>
                  <w:marRight w:val="0"/>
                  <w:marTop w:val="0"/>
                  <w:marBottom w:val="0"/>
                  <w:divBdr>
                    <w:top w:val="none" w:sz="0" w:space="0" w:color="auto"/>
                    <w:left w:val="none" w:sz="0" w:space="0" w:color="auto"/>
                    <w:bottom w:val="none" w:sz="0" w:space="0" w:color="auto"/>
                    <w:right w:val="none" w:sz="0" w:space="0" w:color="auto"/>
                  </w:divBdr>
                  <w:divsChild>
                    <w:div w:id="1653097439">
                      <w:marLeft w:val="0"/>
                      <w:marRight w:val="0"/>
                      <w:marTop w:val="0"/>
                      <w:marBottom w:val="0"/>
                      <w:divBdr>
                        <w:top w:val="none" w:sz="0" w:space="0" w:color="auto"/>
                        <w:left w:val="none" w:sz="0" w:space="0" w:color="auto"/>
                        <w:bottom w:val="none" w:sz="0" w:space="0" w:color="auto"/>
                        <w:right w:val="none" w:sz="0" w:space="0" w:color="auto"/>
                      </w:divBdr>
                      <w:divsChild>
                        <w:div w:id="1605721606">
                          <w:marLeft w:val="0"/>
                          <w:marRight w:val="0"/>
                          <w:marTop w:val="0"/>
                          <w:marBottom w:val="0"/>
                          <w:divBdr>
                            <w:top w:val="none" w:sz="0" w:space="0" w:color="auto"/>
                            <w:left w:val="none" w:sz="0" w:space="0" w:color="auto"/>
                            <w:bottom w:val="none" w:sz="0" w:space="0" w:color="auto"/>
                            <w:right w:val="none" w:sz="0" w:space="0" w:color="auto"/>
                          </w:divBdr>
                          <w:divsChild>
                            <w:div w:id="1428235465">
                              <w:marLeft w:val="0"/>
                              <w:marRight w:val="0"/>
                              <w:marTop w:val="0"/>
                              <w:marBottom w:val="0"/>
                              <w:divBdr>
                                <w:top w:val="none" w:sz="0" w:space="0" w:color="auto"/>
                                <w:left w:val="none" w:sz="0" w:space="0" w:color="auto"/>
                                <w:bottom w:val="none" w:sz="0" w:space="0" w:color="auto"/>
                                <w:right w:val="none" w:sz="0" w:space="0" w:color="auto"/>
                              </w:divBdr>
                              <w:divsChild>
                                <w:div w:id="1589923695">
                                  <w:marLeft w:val="0"/>
                                  <w:marRight w:val="0"/>
                                  <w:marTop w:val="0"/>
                                  <w:marBottom w:val="0"/>
                                  <w:divBdr>
                                    <w:top w:val="none" w:sz="0" w:space="0" w:color="auto"/>
                                    <w:left w:val="none" w:sz="0" w:space="0" w:color="auto"/>
                                    <w:bottom w:val="none" w:sz="0" w:space="0" w:color="auto"/>
                                    <w:right w:val="none" w:sz="0" w:space="0" w:color="auto"/>
                                  </w:divBdr>
                                  <w:divsChild>
                                    <w:div w:id="637033396">
                                      <w:marLeft w:val="0"/>
                                      <w:marRight w:val="0"/>
                                      <w:marTop w:val="0"/>
                                      <w:marBottom w:val="0"/>
                                      <w:divBdr>
                                        <w:top w:val="none" w:sz="0" w:space="0" w:color="auto"/>
                                        <w:left w:val="none" w:sz="0" w:space="0" w:color="auto"/>
                                        <w:bottom w:val="none" w:sz="0" w:space="0" w:color="auto"/>
                                        <w:right w:val="none" w:sz="0" w:space="0" w:color="auto"/>
                                      </w:divBdr>
                                      <w:divsChild>
                                        <w:div w:id="285475895">
                                          <w:marLeft w:val="0"/>
                                          <w:marRight w:val="0"/>
                                          <w:marTop w:val="0"/>
                                          <w:marBottom w:val="0"/>
                                          <w:divBdr>
                                            <w:top w:val="none" w:sz="0" w:space="0" w:color="auto"/>
                                            <w:left w:val="none" w:sz="0" w:space="0" w:color="auto"/>
                                            <w:bottom w:val="none" w:sz="0" w:space="0" w:color="auto"/>
                                            <w:right w:val="none" w:sz="0" w:space="0" w:color="auto"/>
                                          </w:divBdr>
                                          <w:divsChild>
                                            <w:div w:id="1692487622">
                                              <w:marLeft w:val="0"/>
                                              <w:marRight w:val="0"/>
                                              <w:marTop w:val="0"/>
                                              <w:marBottom w:val="0"/>
                                              <w:divBdr>
                                                <w:top w:val="none" w:sz="0" w:space="0" w:color="auto"/>
                                                <w:left w:val="none" w:sz="0" w:space="0" w:color="auto"/>
                                                <w:bottom w:val="none" w:sz="0" w:space="0" w:color="auto"/>
                                                <w:right w:val="none" w:sz="0" w:space="0" w:color="auto"/>
                                              </w:divBdr>
                                              <w:divsChild>
                                                <w:div w:id="284696673">
                                                  <w:marLeft w:val="0"/>
                                                  <w:marRight w:val="0"/>
                                                  <w:marTop w:val="0"/>
                                                  <w:marBottom w:val="0"/>
                                                  <w:divBdr>
                                                    <w:top w:val="none" w:sz="0" w:space="0" w:color="auto"/>
                                                    <w:left w:val="none" w:sz="0" w:space="0" w:color="auto"/>
                                                    <w:bottom w:val="none" w:sz="0" w:space="0" w:color="auto"/>
                                                    <w:right w:val="none" w:sz="0" w:space="0" w:color="auto"/>
                                                  </w:divBdr>
                                                  <w:divsChild>
                                                    <w:div w:id="167136229">
                                                      <w:marLeft w:val="0"/>
                                                      <w:marRight w:val="0"/>
                                                      <w:marTop w:val="0"/>
                                                      <w:marBottom w:val="0"/>
                                                      <w:divBdr>
                                                        <w:top w:val="none" w:sz="0" w:space="0" w:color="auto"/>
                                                        <w:left w:val="none" w:sz="0" w:space="0" w:color="auto"/>
                                                        <w:bottom w:val="none" w:sz="0" w:space="0" w:color="auto"/>
                                                        <w:right w:val="none" w:sz="0" w:space="0" w:color="auto"/>
                                                      </w:divBdr>
                                                      <w:divsChild>
                                                        <w:div w:id="1010333708">
                                                          <w:marLeft w:val="0"/>
                                                          <w:marRight w:val="0"/>
                                                          <w:marTop w:val="0"/>
                                                          <w:marBottom w:val="0"/>
                                                          <w:divBdr>
                                                            <w:top w:val="none" w:sz="0" w:space="0" w:color="auto"/>
                                                            <w:left w:val="none" w:sz="0" w:space="0" w:color="auto"/>
                                                            <w:bottom w:val="none" w:sz="0" w:space="0" w:color="auto"/>
                                                            <w:right w:val="none" w:sz="0" w:space="0" w:color="auto"/>
                                                          </w:divBdr>
                                                          <w:divsChild>
                                                            <w:div w:id="467556741">
                                                              <w:marLeft w:val="0"/>
                                                              <w:marRight w:val="0"/>
                                                              <w:marTop w:val="0"/>
                                                              <w:marBottom w:val="0"/>
                                                              <w:divBdr>
                                                                <w:top w:val="none" w:sz="0" w:space="0" w:color="auto"/>
                                                                <w:left w:val="none" w:sz="0" w:space="0" w:color="auto"/>
                                                                <w:bottom w:val="none" w:sz="0" w:space="0" w:color="auto"/>
                                                                <w:right w:val="none" w:sz="0" w:space="0" w:color="auto"/>
                                                              </w:divBdr>
                                                              <w:divsChild>
                                                                <w:div w:id="1195465103">
                                                                  <w:marLeft w:val="0"/>
                                                                  <w:marRight w:val="0"/>
                                                                  <w:marTop w:val="0"/>
                                                                  <w:marBottom w:val="0"/>
                                                                  <w:divBdr>
                                                                    <w:top w:val="none" w:sz="0" w:space="0" w:color="auto"/>
                                                                    <w:left w:val="none" w:sz="0" w:space="0" w:color="auto"/>
                                                                    <w:bottom w:val="none" w:sz="0" w:space="0" w:color="auto"/>
                                                                    <w:right w:val="none" w:sz="0" w:space="0" w:color="auto"/>
                                                                  </w:divBdr>
                                                                  <w:divsChild>
                                                                    <w:div w:id="321784273">
                                                                      <w:marLeft w:val="0"/>
                                                                      <w:marRight w:val="0"/>
                                                                      <w:marTop w:val="0"/>
                                                                      <w:marBottom w:val="0"/>
                                                                      <w:divBdr>
                                                                        <w:top w:val="none" w:sz="0" w:space="0" w:color="auto"/>
                                                                        <w:left w:val="none" w:sz="0" w:space="0" w:color="auto"/>
                                                                        <w:bottom w:val="none" w:sz="0" w:space="0" w:color="auto"/>
                                                                        <w:right w:val="none" w:sz="0" w:space="0" w:color="auto"/>
                                                                      </w:divBdr>
                                                                      <w:divsChild>
                                                                        <w:div w:id="657343923">
                                                                          <w:marLeft w:val="0"/>
                                                                          <w:marRight w:val="0"/>
                                                                          <w:marTop w:val="0"/>
                                                                          <w:marBottom w:val="0"/>
                                                                          <w:divBdr>
                                                                            <w:top w:val="none" w:sz="0" w:space="0" w:color="auto"/>
                                                                            <w:left w:val="none" w:sz="0" w:space="0" w:color="auto"/>
                                                                            <w:bottom w:val="none" w:sz="0" w:space="0" w:color="auto"/>
                                                                            <w:right w:val="none" w:sz="0" w:space="0" w:color="auto"/>
                                                                          </w:divBdr>
                                                                          <w:divsChild>
                                                                            <w:div w:id="694962243">
                                                                              <w:marLeft w:val="0"/>
                                                                              <w:marRight w:val="0"/>
                                                                              <w:marTop w:val="0"/>
                                                                              <w:marBottom w:val="0"/>
                                                                              <w:divBdr>
                                                                                <w:top w:val="none" w:sz="0" w:space="0" w:color="auto"/>
                                                                                <w:left w:val="none" w:sz="0" w:space="0" w:color="auto"/>
                                                                                <w:bottom w:val="none" w:sz="0" w:space="0" w:color="auto"/>
                                                                                <w:right w:val="none" w:sz="0" w:space="0" w:color="auto"/>
                                                                              </w:divBdr>
                                                                              <w:divsChild>
                                                                                <w:div w:id="594706139">
                                                                                  <w:marLeft w:val="0"/>
                                                                                  <w:marRight w:val="0"/>
                                                                                  <w:marTop w:val="0"/>
                                                                                  <w:marBottom w:val="0"/>
                                                                                  <w:divBdr>
                                                                                    <w:top w:val="none" w:sz="0" w:space="0" w:color="auto"/>
                                                                                    <w:left w:val="none" w:sz="0" w:space="0" w:color="auto"/>
                                                                                    <w:bottom w:val="none" w:sz="0" w:space="0" w:color="auto"/>
                                                                                    <w:right w:val="none" w:sz="0" w:space="0" w:color="auto"/>
                                                                                  </w:divBdr>
                                                                                  <w:divsChild>
                                                                                    <w:div w:id="214048895">
                                                                                      <w:marLeft w:val="0"/>
                                                                                      <w:marRight w:val="0"/>
                                                                                      <w:marTop w:val="0"/>
                                                                                      <w:marBottom w:val="0"/>
                                                                                      <w:divBdr>
                                                                                        <w:top w:val="none" w:sz="0" w:space="0" w:color="auto"/>
                                                                                        <w:left w:val="none" w:sz="0" w:space="0" w:color="auto"/>
                                                                                        <w:bottom w:val="none" w:sz="0" w:space="0" w:color="auto"/>
                                                                                        <w:right w:val="none" w:sz="0" w:space="0" w:color="auto"/>
                                                                                      </w:divBdr>
                                                                                      <w:divsChild>
                                                                                        <w:div w:id="1457409643">
                                                                                          <w:marLeft w:val="0"/>
                                                                                          <w:marRight w:val="0"/>
                                                                                          <w:marTop w:val="0"/>
                                                                                          <w:marBottom w:val="0"/>
                                                                                          <w:divBdr>
                                                                                            <w:top w:val="none" w:sz="0" w:space="0" w:color="auto"/>
                                                                                            <w:left w:val="none" w:sz="0" w:space="0" w:color="auto"/>
                                                                                            <w:bottom w:val="none" w:sz="0" w:space="0" w:color="auto"/>
                                                                                            <w:right w:val="none" w:sz="0" w:space="0" w:color="auto"/>
                                                                                          </w:divBdr>
                                                                                          <w:divsChild>
                                                                                            <w:div w:id="1455175687">
                                                                                              <w:marLeft w:val="0"/>
                                                                                              <w:marRight w:val="0"/>
                                                                                              <w:marTop w:val="0"/>
                                                                                              <w:marBottom w:val="0"/>
                                                                                              <w:divBdr>
                                                                                                <w:top w:val="none" w:sz="0" w:space="0" w:color="auto"/>
                                                                                                <w:left w:val="none" w:sz="0" w:space="0" w:color="auto"/>
                                                                                                <w:bottom w:val="none" w:sz="0" w:space="0" w:color="auto"/>
                                                                                                <w:right w:val="none" w:sz="0" w:space="0" w:color="auto"/>
                                                                                              </w:divBdr>
                                                                                              <w:divsChild>
                                                                                                <w:div w:id="322664736">
                                                                                                  <w:marLeft w:val="0"/>
                                                                                                  <w:marRight w:val="0"/>
                                                                                                  <w:marTop w:val="0"/>
                                                                                                  <w:marBottom w:val="0"/>
                                                                                                  <w:divBdr>
                                                                                                    <w:top w:val="none" w:sz="0" w:space="0" w:color="auto"/>
                                                                                                    <w:left w:val="none" w:sz="0" w:space="0" w:color="auto"/>
                                                                                                    <w:bottom w:val="none" w:sz="0" w:space="0" w:color="auto"/>
                                                                                                    <w:right w:val="none" w:sz="0" w:space="0" w:color="auto"/>
                                                                                                  </w:divBdr>
                                                                                                  <w:divsChild>
                                                                                                    <w:div w:id="1071318871">
                                                                                                      <w:marLeft w:val="0"/>
                                                                                                      <w:marRight w:val="0"/>
                                                                                                      <w:marTop w:val="0"/>
                                                                                                      <w:marBottom w:val="0"/>
                                                                                                      <w:divBdr>
                                                                                                        <w:top w:val="none" w:sz="0" w:space="0" w:color="auto"/>
                                                                                                        <w:left w:val="none" w:sz="0" w:space="0" w:color="auto"/>
                                                                                                        <w:bottom w:val="none" w:sz="0" w:space="0" w:color="auto"/>
                                                                                                        <w:right w:val="none" w:sz="0" w:space="0" w:color="auto"/>
                                                                                                      </w:divBdr>
                                                                                                      <w:divsChild>
                                                                                                        <w:div w:id="555363250">
                                                                                                          <w:marLeft w:val="0"/>
                                                                                                          <w:marRight w:val="0"/>
                                                                                                          <w:marTop w:val="0"/>
                                                                                                          <w:marBottom w:val="0"/>
                                                                                                          <w:divBdr>
                                                                                                            <w:top w:val="none" w:sz="0" w:space="0" w:color="auto"/>
                                                                                                            <w:left w:val="none" w:sz="0" w:space="0" w:color="auto"/>
                                                                                                            <w:bottom w:val="none" w:sz="0" w:space="0" w:color="auto"/>
                                                                                                            <w:right w:val="none" w:sz="0" w:space="0" w:color="auto"/>
                                                                                                          </w:divBdr>
                                                                                                          <w:divsChild>
                                                                                                            <w:div w:id="1082800241">
                                                                                                              <w:marLeft w:val="0"/>
                                                                                                              <w:marRight w:val="0"/>
                                                                                                              <w:marTop w:val="0"/>
                                                                                                              <w:marBottom w:val="0"/>
                                                                                                              <w:divBdr>
                                                                                                                <w:top w:val="none" w:sz="0" w:space="0" w:color="auto"/>
                                                                                                                <w:left w:val="none" w:sz="0" w:space="0" w:color="auto"/>
                                                                                                                <w:bottom w:val="none" w:sz="0" w:space="0" w:color="auto"/>
                                                                                                                <w:right w:val="none" w:sz="0" w:space="0" w:color="auto"/>
                                                                                                              </w:divBdr>
                                                                                                              <w:divsChild>
                                                                                                                <w:div w:id="308755790">
                                                                                                                  <w:marLeft w:val="0"/>
                                                                                                                  <w:marRight w:val="0"/>
                                                                                                                  <w:marTop w:val="0"/>
                                                                                                                  <w:marBottom w:val="0"/>
                                                                                                                  <w:divBdr>
                                                                                                                    <w:top w:val="none" w:sz="0" w:space="0" w:color="auto"/>
                                                                                                                    <w:left w:val="none" w:sz="0" w:space="0" w:color="auto"/>
                                                                                                                    <w:bottom w:val="none" w:sz="0" w:space="0" w:color="auto"/>
                                                                                                                    <w:right w:val="none" w:sz="0" w:space="0" w:color="auto"/>
                                                                                                                  </w:divBdr>
                                                                                                                  <w:divsChild>
                                                                                                                    <w:div w:id="1968510624">
                                                                                                                      <w:marLeft w:val="0"/>
                                                                                                                      <w:marRight w:val="0"/>
                                                                                                                      <w:marTop w:val="0"/>
                                                                                                                      <w:marBottom w:val="0"/>
                                                                                                                      <w:divBdr>
                                                                                                                        <w:top w:val="none" w:sz="0" w:space="0" w:color="auto"/>
                                                                                                                        <w:left w:val="none" w:sz="0" w:space="0" w:color="auto"/>
                                                                                                                        <w:bottom w:val="none" w:sz="0" w:space="0" w:color="auto"/>
                                                                                                                        <w:right w:val="none" w:sz="0" w:space="0" w:color="auto"/>
                                                                                                                      </w:divBdr>
                                                                                                                      <w:divsChild>
                                                                                                                        <w:div w:id="342902506">
                                                                                                                          <w:marLeft w:val="0"/>
                                                                                                                          <w:marRight w:val="0"/>
                                                                                                                          <w:marTop w:val="0"/>
                                                                                                                          <w:marBottom w:val="0"/>
                                                                                                                          <w:divBdr>
                                                                                                                            <w:top w:val="none" w:sz="0" w:space="0" w:color="auto"/>
                                                                                                                            <w:left w:val="none" w:sz="0" w:space="0" w:color="auto"/>
                                                                                                                            <w:bottom w:val="none" w:sz="0" w:space="0" w:color="auto"/>
                                                                                                                            <w:right w:val="none" w:sz="0" w:space="0" w:color="auto"/>
                                                                                                                          </w:divBdr>
                                                                                                                          <w:divsChild>
                                                                                                                            <w:div w:id="1293558238">
                                                                                                                              <w:marLeft w:val="0"/>
                                                                                                                              <w:marRight w:val="0"/>
                                                                                                                              <w:marTop w:val="0"/>
                                                                                                                              <w:marBottom w:val="0"/>
                                                                                                                              <w:divBdr>
                                                                                                                                <w:top w:val="none" w:sz="0" w:space="0" w:color="auto"/>
                                                                                                                                <w:left w:val="none" w:sz="0" w:space="0" w:color="auto"/>
                                                                                                                                <w:bottom w:val="none" w:sz="0" w:space="0" w:color="auto"/>
                                                                                                                                <w:right w:val="none" w:sz="0" w:space="0" w:color="auto"/>
                                                                                                                              </w:divBdr>
                                                                                                                              <w:divsChild>
                                                                                                                                <w:div w:id="590041355">
                                                                                                                                  <w:marLeft w:val="0"/>
                                                                                                                                  <w:marRight w:val="0"/>
                                                                                                                                  <w:marTop w:val="0"/>
                                                                                                                                  <w:marBottom w:val="0"/>
                                                                                                                                  <w:divBdr>
                                                                                                                                    <w:top w:val="none" w:sz="0" w:space="0" w:color="auto"/>
                                                                                                                                    <w:left w:val="none" w:sz="0" w:space="0" w:color="auto"/>
                                                                                                                                    <w:bottom w:val="none" w:sz="0" w:space="0" w:color="auto"/>
                                                                                                                                    <w:right w:val="none" w:sz="0" w:space="0" w:color="auto"/>
                                                                                                                                  </w:divBdr>
                                                                                                                                  <w:divsChild>
                                                                                                                                    <w:div w:id="1447428220">
                                                                                                                                      <w:marLeft w:val="0"/>
                                                                                                                                      <w:marRight w:val="0"/>
                                                                                                                                      <w:marTop w:val="0"/>
                                                                                                                                      <w:marBottom w:val="0"/>
                                                                                                                                      <w:divBdr>
                                                                                                                                        <w:top w:val="none" w:sz="0" w:space="0" w:color="auto"/>
                                                                                                                                        <w:left w:val="none" w:sz="0" w:space="0" w:color="auto"/>
                                                                                                                                        <w:bottom w:val="none" w:sz="0" w:space="0" w:color="auto"/>
                                                                                                                                        <w:right w:val="none" w:sz="0" w:space="0" w:color="auto"/>
                                                                                                                                      </w:divBdr>
                                                                                                                                      <w:divsChild>
                                                                                                                                        <w:div w:id="200679318">
                                                                                                                                          <w:marLeft w:val="0"/>
                                                                                                                                          <w:marRight w:val="0"/>
                                                                                                                                          <w:marTop w:val="0"/>
                                                                                                                                          <w:marBottom w:val="0"/>
                                                                                                                                          <w:divBdr>
                                                                                                                                            <w:top w:val="none" w:sz="0" w:space="0" w:color="auto"/>
                                                                                                                                            <w:left w:val="none" w:sz="0" w:space="0" w:color="auto"/>
                                                                                                                                            <w:bottom w:val="none" w:sz="0" w:space="0" w:color="auto"/>
                                                                                                                                            <w:right w:val="none" w:sz="0" w:space="0" w:color="auto"/>
                                                                                                                                          </w:divBdr>
                                                                                                                                          <w:divsChild>
                                                                                                                                            <w:div w:id="124736395">
                                                                                                                                              <w:marLeft w:val="0"/>
                                                                                                                                              <w:marRight w:val="0"/>
                                                                                                                                              <w:marTop w:val="0"/>
                                                                                                                                              <w:marBottom w:val="0"/>
                                                                                                                                              <w:divBdr>
                                                                                                                                                <w:top w:val="none" w:sz="0" w:space="0" w:color="auto"/>
                                                                                                                                                <w:left w:val="none" w:sz="0" w:space="0" w:color="auto"/>
                                                                                                                                                <w:bottom w:val="none" w:sz="0" w:space="0" w:color="auto"/>
                                                                                                                                                <w:right w:val="none" w:sz="0" w:space="0" w:color="auto"/>
                                                                                                                                              </w:divBdr>
                                                                                                                                              <w:divsChild>
                                                                                                                                                <w:div w:id="372657151">
                                                                                                                                                  <w:marLeft w:val="0"/>
                                                                                                                                                  <w:marRight w:val="0"/>
                                                                                                                                                  <w:marTop w:val="0"/>
                                                                                                                                                  <w:marBottom w:val="0"/>
                                                                                                                                                  <w:divBdr>
                                                                                                                                                    <w:top w:val="none" w:sz="0" w:space="0" w:color="auto"/>
                                                                                                                                                    <w:left w:val="none" w:sz="0" w:space="0" w:color="auto"/>
                                                                                                                                                    <w:bottom w:val="none" w:sz="0" w:space="0" w:color="auto"/>
                                                                                                                                                    <w:right w:val="none" w:sz="0" w:space="0" w:color="auto"/>
                                                                                                                                                  </w:divBdr>
                                                                                                                                                  <w:divsChild>
                                                                                                                                                    <w:div w:id="490870679">
                                                                                                                                                      <w:marLeft w:val="0"/>
                                                                                                                                                      <w:marRight w:val="0"/>
                                                                                                                                                      <w:marTop w:val="0"/>
                                                                                                                                                      <w:marBottom w:val="0"/>
                                                                                                                                                      <w:divBdr>
                                                                                                                                                        <w:top w:val="none" w:sz="0" w:space="0" w:color="auto"/>
                                                                                                                                                        <w:left w:val="none" w:sz="0" w:space="0" w:color="auto"/>
                                                                                                                                                        <w:bottom w:val="none" w:sz="0" w:space="0" w:color="auto"/>
                                                                                                                                                        <w:right w:val="none" w:sz="0" w:space="0" w:color="auto"/>
                                                                                                                                                      </w:divBdr>
                                                                                                                                                      <w:divsChild>
                                                                                                                                                        <w:div w:id="1196649650">
                                                                                                                                                          <w:marLeft w:val="0"/>
                                                                                                                                                          <w:marRight w:val="0"/>
                                                                                                                                                          <w:marTop w:val="0"/>
                                                                                                                                                          <w:marBottom w:val="0"/>
                                                                                                                                                          <w:divBdr>
                                                                                                                                                            <w:top w:val="none" w:sz="0" w:space="0" w:color="auto"/>
                                                                                                                                                            <w:left w:val="none" w:sz="0" w:space="0" w:color="auto"/>
                                                                                                                                                            <w:bottom w:val="none" w:sz="0" w:space="0" w:color="auto"/>
                                                                                                                                                            <w:right w:val="none" w:sz="0" w:space="0" w:color="auto"/>
                                                                                                                                                          </w:divBdr>
                                                                                                                                                          <w:divsChild>
                                                                                                                                                            <w:div w:id="229275258">
                                                                                                                                                              <w:marLeft w:val="0"/>
                                                                                                                                                              <w:marRight w:val="0"/>
                                                                                                                                                              <w:marTop w:val="0"/>
                                                                                                                                                              <w:marBottom w:val="0"/>
                                                                                                                                                              <w:divBdr>
                                                                                                                                                                <w:top w:val="none" w:sz="0" w:space="0" w:color="auto"/>
                                                                                                                                                                <w:left w:val="none" w:sz="0" w:space="0" w:color="auto"/>
                                                                                                                                                                <w:bottom w:val="none" w:sz="0" w:space="0" w:color="auto"/>
                                                                                                                                                                <w:right w:val="none" w:sz="0" w:space="0" w:color="auto"/>
                                                                                                                                                              </w:divBdr>
                                                                                                                                                              <w:divsChild>
                                                                                                                                                                <w:div w:id="501700715">
                                                                                                                                                                  <w:marLeft w:val="0"/>
                                                                                                                                                                  <w:marRight w:val="0"/>
                                                                                                                                                                  <w:marTop w:val="0"/>
                                                                                                                                                                  <w:marBottom w:val="0"/>
                                                                                                                                                                  <w:divBdr>
                                                                                                                                                                    <w:top w:val="none" w:sz="0" w:space="0" w:color="auto"/>
                                                                                                                                                                    <w:left w:val="none" w:sz="0" w:space="0" w:color="auto"/>
                                                                                                                                                                    <w:bottom w:val="none" w:sz="0" w:space="0" w:color="auto"/>
                                                                                                                                                                    <w:right w:val="none" w:sz="0" w:space="0" w:color="auto"/>
                                                                                                                                                                  </w:divBdr>
                                                                                                                                                                  <w:divsChild>
                                                                                                                                                                    <w:div w:id="237255594">
                                                                                                                                                                      <w:marLeft w:val="0"/>
                                                                                                                                                                      <w:marRight w:val="0"/>
                                                                                                                                                                      <w:marTop w:val="0"/>
                                                                                                                                                                      <w:marBottom w:val="0"/>
                                                                                                                                                                      <w:divBdr>
                                                                                                                                                                        <w:top w:val="none" w:sz="0" w:space="0" w:color="auto"/>
                                                                                                                                                                        <w:left w:val="none" w:sz="0" w:space="0" w:color="auto"/>
                                                                                                                                                                        <w:bottom w:val="none" w:sz="0" w:space="0" w:color="auto"/>
                                                                                                                                                                        <w:right w:val="none" w:sz="0" w:space="0" w:color="auto"/>
                                                                                                                                                                      </w:divBdr>
                                                                                                                                                                      <w:divsChild>
                                                                                                                                                                        <w:div w:id="1423838422">
                                                                                                                                                                          <w:marLeft w:val="0"/>
                                                                                                                                                                          <w:marRight w:val="0"/>
                                                                                                                                                                          <w:marTop w:val="0"/>
                                                                                                                                                                          <w:marBottom w:val="0"/>
                                                                                                                                                                          <w:divBdr>
                                                                                                                                                                            <w:top w:val="none" w:sz="0" w:space="0" w:color="auto"/>
                                                                                                                                                                            <w:left w:val="none" w:sz="0" w:space="0" w:color="auto"/>
                                                                                                                                                                            <w:bottom w:val="none" w:sz="0" w:space="0" w:color="auto"/>
                                                                                                                                                                            <w:right w:val="none" w:sz="0" w:space="0" w:color="auto"/>
                                                                                                                                                                          </w:divBdr>
                                                                                                                                                                          <w:divsChild>
                                                                                                                                                                            <w:div w:id="1062099159">
                                                                                                                                                                              <w:marLeft w:val="0"/>
                                                                                                                                                                              <w:marRight w:val="0"/>
                                                                                                                                                                              <w:marTop w:val="0"/>
                                                                                                                                                                              <w:marBottom w:val="0"/>
                                                                                                                                                                              <w:divBdr>
                                                                                                                                                                                <w:top w:val="none" w:sz="0" w:space="0" w:color="auto"/>
                                                                                                                                                                                <w:left w:val="none" w:sz="0" w:space="0" w:color="auto"/>
                                                                                                                                                                                <w:bottom w:val="none" w:sz="0" w:space="0" w:color="auto"/>
                                                                                                                                                                                <w:right w:val="none" w:sz="0" w:space="0" w:color="auto"/>
                                                                                                                                                                              </w:divBdr>
                                                                                                                                                                              <w:divsChild>
                                                                                                                                                                                <w:div w:id="898398535">
                                                                                                                                                                                  <w:marLeft w:val="0"/>
                                                                                                                                                                                  <w:marRight w:val="0"/>
                                                                                                                                                                                  <w:marTop w:val="0"/>
                                                                                                                                                                                  <w:marBottom w:val="0"/>
                                                                                                                                                                                  <w:divBdr>
                                                                                                                                                                                    <w:top w:val="none" w:sz="0" w:space="0" w:color="auto"/>
                                                                                                                                                                                    <w:left w:val="none" w:sz="0" w:space="0" w:color="auto"/>
                                                                                                                                                                                    <w:bottom w:val="none" w:sz="0" w:space="0" w:color="auto"/>
                                                                                                                                                                                    <w:right w:val="none" w:sz="0" w:space="0" w:color="auto"/>
                                                                                                                                                                                  </w:divBdr>
                                                                                                                                                                                  <w:divsChild>
                                                                                                                                                                                    <w:div w:id="444082918">
                                                                                                                                                                                      <w:marLeft w:val="0"/>
                                                                                                                                                                                      <w:marRight w:val="0"/>
                                                                                                                                                                                      <w:marTop w:val="0"/>
                                                                                                                                                                                      <w:marBottom w:val="0"/>
                                                                                                                                                                                      <w:divBdr>
                                                                                                                                                                                        <w:top w:val="none" w:sz="0" w:space="0" w:color="auto"/>
                                                                                                                                                                                        <w:left w:val="none" w:sz="0" w:space="0" w:color="auto"/>
                                                                                                                                                                                        <w:bottom w:val="none" w:sz="0" w:space="0" w:color="auto"/>
                                                                                                                                                                                        <w:right w:val="none" w:sz="0" w:space="0" w:color="auto"/>
                                                                                                                                                                                      </w:divBdr>
                                                                                                                                                                                      <w:divsChild>
                                                                                                                                                                                        <w:div w:id="1780291423">
                                                                                                                                                                                          <w:marLeft w:val="0"/>
                                                                                                                                                                                          <w:marRight w:val="0"/>
                                                                                                                                                                                          <w:marTop w:val="0"/>
                                                                                                                                                                                          <w:marBottom w:val="0"/>
                                                                                                                                                                                          <w:divBdr>
                                                                                                                                                                                            <w:top w:val="none" w:sz="0" w:space="0" w:color="auto"/>
                                                                                                                                                                                            <w:left w:val="none" w:sz="0" w:space="0" w:color="auto"/>
                                                                                                                                                                                            <w:bottom w:val="none" w:sz="0" w:space="0" w:color="auto"/>
                                                                                                                                                                                            <w:right w:val="none" w:sz="0" w:space="0" w:color="auto"/>
                                                                                                                                                                                          </w:divBdr>
                                                                                                                                                                                          <w:divsChild>
                                                                                                                                                                                            <w:div w:id="1827045118">
                                                                                                                                                                                              <w:marLeft w:val="0"/>
                                                                                                                                                                                              <w:marRight w:val="0"/>
                                                                                                                                                                                              <w:marTop w:val="0"/>
                                                                                                                                                                                              <w:marBottom w:val="0"/>
                                                                                                                                                                                              <w:divBdr>
                                                                                                                                                                                                <w:top w:val="none" w:sz="0" w:space="0" w:color="auto"/>
                                                                                                                                                                                                <w:left w:val="none" w:sz="0" w:space="0" w:color="auto"/>
                                                                                                                                                                                                <w:bottom w:val="none" w:sz="0" w:space="0" w:color="auto"/>
                                                                                                                                                                                                <w:right w:val="none" w:sz="0" w:space="0" w:color="auto"/>
                                                                                                                                                                                              </w:divBdr>
                                                                                                                                                                                              <w:divsChild>
                                                                                                                                                                                                <w:div w:id="449055088">
                                                                                                                                                                                                  <w:marLeft w:val="0"/>
                                                                                                                                                                                                  <w:marRight w:val="0"/>
                                                                                                                                                                                                  <w:marTop w:val="0"/>
                                                                                                                                                                                                  <w:marBottom w:val="0"/>
                                                                                                                                                                                                  <w:divBdr>
                                                                                                                                                                                                    <w:top w:val="none" w:sz="0" w:space="0" w:color="auto"/>
                                                                                                                                                                                                    <w:left w:val="none" w:sz="0" w:space="0" w:color="auto"/>
                                                                                                                                                                                                    <w:bottom w:val="none" w:sz="0" w:space="0" w:color="auto"/>
                                                                                                                                                                                                    <w:right w:val="none" w:sz="0" w:space="0" w:color="auto"/>
                                                                                                                                                                                                  </w:divBdr>
                                                                                                                                                                                                  <w:divsChild>
                                                                                                                                                                                                    <w:div w:id="1955139178">
                                                                                                                                                                                                      <w:marLeft w:val="0"/>
                                                                                                                                                                                                      <w:marRight w:val="0"/>
                                                                                                                                                                                                      <w:marTop w:val="0"/>
                                                                                                                                                                                                      <w:marBottom w:val="0"/>
                                                                                                                                                                                                      <w:divBdr>
                                                                                                                                                                                                        <w:top w:val="none" w:sz="0" w:space="0" w:color="auto"/>
                                                                                                                                                                                                        <w:left w:val="none" w:sz="0" w:space="0" w:color="auto"/>
                                                                                                                                                                                                        <w:bottom w:val="none" w:sz="0" w:space="0" w:color="auto"/>
                                                                                                                                                                                                        <w:right w:val="none" w:sz="0" w:space="0" w:color="auto"/>
                                                                                                                                                                                                      </w:divBdr>
                                                                                                                                                                                                      <w:divsChild>
                                                                                                                                                                                                        <w:div w:id="1081410441">
                                                                                                                                                                                                          <w:marLeft w:val="0"/>
                                                                                                                                                                                                          <w:marRight w:val="0"/>
                                                                                                                                                                                                          <w:marTop w:val="0"/>
                                                                                                                                                                                                          <w:marBottom w:val="0"/>
                                                                                                                                                                                                          <w:divBdr>
                                                                                                                                                                                                            <w:top w:val="none" w:sz="0" w:space="0" w:color="auto"/>
                                                                                                                                                                                                            <w:left w:val="none" w:sz="0" w:space="0" w:color="auto"/>
                                                                                                                                                                                                            <w:bottom w:val="none" w:sz="0" w:space="0" w:color="auto"/>
                                                                                                                                                                                                            <w:right w:val="none" w:sz="0" w:space="0" w:color="auto"/>
                                                                                                                                                                                                          </w:divBdr>
                                                                                                                                                                                                          <w:divsChild>
                                                                                                                                                                                                            <w:div w:id="718239890">
                                                                                                                                                                                                              <w:marLeft w:val="0"/>
                                                                                                                                                                                                              <w:marRight w:val="0"/>
                                                                                                                                                                                                              <w:marTop w:val="0"/>
                                                                                                                                                                                                              <w:marBottom w:val="0"/>
                                                                                                                                                                                                              <w:divBdr>
                                                                                                                                                                                                                <w:top w:val="none" w:sz="0" w:space="0" w:color="auto"/>
                                                                                                                                                                                                                <w:left w:val="none" w:sz="0" w:space="0" w:color="auto"/>
                                                                                                                                                                                                                <w:bottom w:val="none" w:sz="0" w:space="0" w:color="auto"/>
                                                                                                                                                                                                                <w:right w:val="none" w:sz="0" w:space="0" w:color="auto"/>
                                                                                                                                                                                                              </w:divBdr>
                                                                                                                                                                                                              <w:divsChild>
                                                                                                                                                                                                                <w:div w:id="1702583903">
                                                                                                                                                                                                                  <w:marLeft w:val="0"/>
                                                                                                                                                                                                                  <w:marRight w:val="0"/>
                                                                                                                                                                                                                  <w:marTop w:val="0"/>
                                                                                                                                                                                                                  <w:marBottom w:val="0"/>
                                                                                                                                                                                                                  <w:divBdr>
                                                                                                                                                                                                                    <w:top w:val="none" w:sz="0" w:space="0" w:color="auto"/>
                                                                                                                                                                                                                    <w:left w:val="none" w:sz="0" w:space="0" w:color="auto"/>
                                                                                                                                                                                                                    <w:bottom w:val="none" w:sz="0" w:space="0" w:color="auto"/>
                                                                                                                                                                                                                    <w:right w:val="none" w:sz="0" w:space="0" w:color="auto"/>
                                                                                                                                                                                                                  </w:divBdr>
                                                                                                                                                                                                                  <w:divsChild>
                                                                                                                                                                                                                    <w:div w:id="2135513691">
                                                                                                                                                                                                                      <w:marLeft w:val="0"/>
                                                                                                                                                                                                                      <w:marRight w:val="0"/>
                                                                                                                                                                                                                      <w:marTop w:val="0"/>
                                                                                                                                                                                                                      <w:marBottom w:val="0"/>
                                                                                                                                                                                                                      <w:divBdr>
                                                                                                                                                                                                                        <w:top w:val="none" w:sz="0" w:space="0" w:color="auto"/>
                                                                                                                                                                                                                        <w:left w:val="none" w:sz="0" w:space="0" w:color="auto"/>
                                                                                                                                                                                                                        <w:bottom w:val="none" w:sz="0" w:space="0" w:color="auto"/>
                                                                                                                                                                                                                        <w:right w:val="none" w:sz="0" w:space="0" w:color="auto"/>
                                                                                                                                                                                                                      </w:divBdr>
                                                                                                                                                                                                                      <w:divsChild>
                                                                                                                                                                                                                        <w:div w:id="930045691">
                                                                                                                                                                                                                          <w:marLeft w:val="0"/>
                                                                                                                                                                                                                          <w:marRight w:val="0"/>
                                                                                                                                                                                                                          <w:marTop w:val="0"/>
                                                                                                                                                                                                                          <w:marBottom w:val="0"/>
                                                                                                                                                                                                                          <w:divBdr>
                                                                                                                                                                                                                            <w:top w:val="none" w:sz="0" w:space="0" w:color="auto"/>
                                                                                                                                                                                                                            <w:left w:val="none" w:sz="0" w:space="0" w:color="auto"/>
                                                                                                                                                                                                                            <w:bottom w:val="none" w:sz="0" w:space="0" w:color="auto"/>
                                                                                                                                                                                                                            <w:right w:val="none" w:sz="0" w:space="0" w:color="auto"/>
                                                                                                                                                                                                                          </w:divBdr>
                                                                                                                                                                                                                          <w:divsChild>
                                                                                                                                                                                                                            <w:div w:id="1036395818">
                                                                                                                                                                                                                              <w:marLeft w:val="0"/>
                                                                                                                                                                                                                              <w:marRight w:val="0"/>
                                                                                                                                                                                                                              <w:marTop w:val="0"/>
                                                                                                                                                                                                                              <w:marBottom w:val="0"/>
                                                                                                                                                                                                                              <w:divBdr>
                                                                                                                                                                                                                                <w:top w:val="none" w:sz="0" w:space="0" w:color="auto"/>
                                                                                                                                                                                                                                <w:left w:val="none" w:sz="0" w:space="0" w:color="auto"/>
                                                                                                                                                                                                                                <w:bottom w:val="none" w:sz="0" w:space="0" w:color="auto"/>
                                                                                                                                                                                                                                <w:right w:val="none" w:sz="0" w:space="0" w:color="auto"/>
                                                                                                                                                                                                                              </w:divBdr>
                                                                                                                                                                                                                              <w:divsChild>
                                                                                                                                                                                                                                <w:div w:id="2080785950">
                                                                                                                                                                                                                                  <w:marLeft w:val="0"/>
                                                                                                                                                                                                                                  <w:marRight w:val="0"/>
                                                                                                                                                                                                                                  <w:marTop w:val="0"/>
                                                                                                                                                                                                                                  <w:marBottom w:val="0"/>
                                                                                                                                                                                                                                  <w:divBdr>
                                                                                                                                                                                                                                    <w:top w:val="none" w:sz="0" w:space="0" w:color="auto"/>
                                                                                                                                                                                                                                    <w:left w:val="none" w:sz="0" w:space="0" w:color="auto"/>
                                                                                                                                                                                                                                    <w:bottom w:val="none" w:sz="0" w:space="0" w:color="auto"/>
                                                                                                                                                                                                                                    <w:right w:val="none" w:sz="0" w:space="0" w:color="auto"/>
                                                                                                                                                                                                                                  </w:divBdr>
                                                                                                                                                                                                                                  <w:divsChild>
                                                                                                                                                                                                                                    <w:div w:id="1167861061">
                                                                                                                                                                                                                                      <w:marLeft w:val="0"/>
                                                                                                                                                                                                                                      <w:marRight w:val="0"/>
                                                                                                                                                                                                                                      <w:marTop w:val="0"/>
                                                                                                                                                                                                                                      <w:marBottom w:val="0"/>
                                                                                                                                                                                                                                      <w:divBdr>
                                                                                                                                                                                                                                        <w:top w:val="none" w:sz="0" w:space="0" w:color="auto"/>
                                                                                                                                                                                                                                        <w:left w:val="none" w:sz="0" w:space="0" w:color="auto"/>
                                                                                                                                                                                                                                        <w:bottom w:val="none" w:sz="0" w:space="0" w:color="auto"/>
                                                                                                                                                                                                                                        <w:right w:val="none" w:sz="0" w:space="0" w:color="auto"/>
                                                                                                                                                                                                                                      </w:divBdr>
                                                                                                                                                                                                                                      <w:divsChild>
                                                                                                                                                                                                                                        <w:div w:id="1266963463">
                                                                                                                                                                                                                                          <w:marLeft w:val="0"/>
                                                                                                                                                                                                                                          <w:marRight w:val="0"/>
                                                                                                                                                                                                                                          <w:marTop w:val="0"/>
                                                                                                                                                                                                                                          <w:marBottom w:val="0"/>
                                                                                                                                                                                                                                          <w:divBdr>
                                                                                                                                                                                                                                            <w:top w:val="none" w:sz="0" w:space="0" w:color="auto"/>
                                                                                                                                                                                                                                            <w:left w:val="none" w:sz="0" w:space="0" w:color="auto"/>
                                                                                                                                                                                                                                            <w:bottom w:val="none" w:sz="0" w:space="0" w:color="auto"/>
                                                                                                                                                                                                                                            <w:right w:val="none" w:sz="0" w:space="0" w:color="auto"/>
                                                                                                                                                                                                                                          </w:divBdr>
                                                                                                                                                                                                                                          <w:divsChild>
                                                                                                                                                                                                                                            <w:div w:id="1390886742">
                                                                                                                                                                                                                                              <w:marLeft w:val="0"/>
                                                                                                                                                                                                                                              <w:marRight w:val="0"/>
                                                                                                                                                                                                                                              <w:marTop w:val="0"/>
                                                                                                                                                                                                                                              <w:marBottom w:val="0"/>
                                                                                                                                                                                                                                              <w:divBdr>
                                                                                                                                                                                                                                                <w:top w:val="none" w:sz="0" w:space="0" w:color="auto"/>
                                                                                                                                                                                                                                                <w:left w:val="none" w:sz="0" w:space="0" w:color="auto"/>
                                                                                                                                                                                                                                                <w:bottom w:val="none" w:sz="0" w:space="0" w:color="auto"/>
                                                                                                                                                                                                                                                <w:right w:val="none" w:sz="0" w:space="0" w:color="auto"/>
                                                                                                                                                                                                                                              </w:divBdr>
                                                                                                                                                                                                                                              <w:divsChild>
                                                                                                                                                                                                                                                <w:div w:id="574319326">
                                                                                                                                                                                                                                                  <w:marLeft w:val="0"/>
                                                                                                                                                                                                                                                  <w:marRight w:val="0"/>
                                                                                                                                                                                                                                                  <w:marTop w:val="0"/>
                                                                                                                                                                                                                                                  <w:marBottom w:val="0"/>
                                                                                                                                                                                                                                                  <w:divBdr>
                                                                                                                                                                                                                                                    <w:top w:val="none" w:sz="0" w:space="0" w:color="auto"/>
                                                                                                                                                                                                                                                    <w:left w:val="none" w:sz="0" w:space="0" w:color="auto"/>
                                                                                                                                                                                                                                                    <w:bottom w:val="none" w:sz="0" w:space="0" w:color="auto"/>
                                                                                                                                                                                                                                                    <w:right w:val="none" w:sz="0" w:space="0" w:color="auto"/>
                                                                                                                                                                                                                                                  </w:divBdr>
                                                                                                                                                                                                                                                  <w:divsChild>
                                                                                                                                                                                                                                                    <w:div w:id="180360073">
                                                                                                                                                                                                                                                      <w:marLeft w:val="0"/>
                                                                                                                                                                                                                                                      <w:marRight w:val="0"/>
                                                                                                                                                                                                                                                      <w:marTop w:val="0"/>
                                                                                                                                                                                                                                                      <w:marBottom w:val="0"/>
                                                                                                                                                                                                                                                      <w:divBdr>
                                                                                                                                                                                                                                                        <w:top w:val="none" w:sz="0" w:space="0" w:color="auto"/>
                                                                                                                                                                                                                                                        <w:left w:val="none" w:sz="0" w:space="0" w:color="auto"/>
                                                                                                                                                                                                                                                        <w:bottom w:val="none" w:sz="0" w:space="0" w:color="auto"/>
                                                                                                                                                                                                                                                        <w:right w:val="none" w:sz="0" w:space="0" w:color="auto"/>
                                                                                                                                                                                                                                                      </w:divBdr>
                                                                                                                                                                                                                                                      <w:divsChild>
                                                                                                                                                                                                                                                        <w:div w:id="10379865">
                                                                                                                                                                                                                                                          <w:marLeft w:val="0"/>
                                                                                                                                                                                                                                                          <w:marRight w:val="0"/>
                                                                                                                                                                                                                                                          <w:marTop w:val="0"/>
                                                                                                                                                                                                                                                          <w:marBottom w:val="0"/>
                                                                                                                                                                                                                                                          <w:divBdr>
                                                                                                                                                                                                                                                            <w:top w:val="none" w:sz="0" w:space="0" w:color="auto"/>
                                                                                                                                                                                                                                                            <w:left w:val="none" w:sz="0" w:space="0" w:color="auto"/>
                                                                                                                                                                                                                                                            <w:bottom w:val="none" w:sz="0" w:space="0" w:color="auto"/>
                                                                                                                                                                                                                                                            <w:right w:val="none" w:sz="0" w:space="0" w:color="auto"/>
                                                                                                                                                                                                                                                          </w:divBdr>
                                                                                                                                                                                                                                                          <w:divsChild>
                                                                                                                                                                                                                                                            <w:div w:id="1119494747">
                                                                                                                                                                                                                                                              <w:marLeft w:val="0"/>
                                                                                                                                                                                                                                                              <w:marRight w:val="0"/>
                                                                                                                                                                                                                                                              <w:marTop w:val="0"/>
                                                                                                                                                                                                                                                              <w:marBottom w:val="0"/>
                                                                                                                                                                                                                                                              <w:divBdr>
                                                                                                                                                                                                                                                                <w:top w:val="none" w:sz="0" w:space="0" w:color="auto"/>
                                                                                                                                                                                                                                                                <w:left w:val="none" w:sz="0" w:space="0" w:color="auto"/>
                                                                                                                                                                                                                                                                <w:bottom w:val="none" w:sz="0" w:space="0" w:color="auto"/>
                                                                                                                                                                                                                                                                <w:right w:val="none" w:sz="0" w:space="0" w:color="auto"/>
                                                                                                                                                                                                                                                              </w:divBdr>
                                                                                                                                                                                                                                                              <w:divsChild>
                                                                                                                                                                                                                                                                <w:div w:id="266011926">
                                                                                                                                                                                                                                                                  <w:marLeft w:val="0"/>
                                                                                                                                                                                                                                                                  <w:marRight w:val="0"/>
                                                                                                                                                                                                                                                                  <w:marTop w:val="0"/>
                                                                                                                                                                                                                                                                  <w:marBottom w:val="0"/>
                                                                                                                                                                                                                                                                  <w:divBdr>
                                                                                                                                                                                                                                                                    <w:top w:val="none" w:sz="0" w:space="0" w:color="auto"/>
                                                                                                                                                                                                                                                                    <w:left w:val="none" w:sz="0" w:space="0" w:color="auto"/>
                                                                                                                                                                                                                                                                    <w:bottom w:val="none" w:sz="0" w:space="0" w:color="auto"/>
                                                                                                                                                                                                                                                                    <w:right w:val="none" w:sz="0" w:space="0" w:color="auto"/>
                                                                                                                                                                                                                                                                  </w:divBdr>
                                                                                                                                                                                                                                                                  <w:divsChild>
                                                                                                                                                                                                                                                                    <w:div w:id="1378359100">
                                                                                                                                                                                                                                                                      <w:marLeft w:val="0"/>
                                                                                                                                                                                                                                                                      <w:marRight w:val="0"/>
                                                                                                                                                                                                                                                                      <w:marTop w:val="0"/>
                                                                                                                                                                                                                                                                      <w:marBottom w:val="0"/>
                                                                                                                                                                                                                                                                      <w:divBdr>
                                                                                                                                                                                                                                                                        <w:top w:val="none" w:sz="0" w:space="0" w:color="auto"/>
                                                                                                                                                                                                                                                                        <w:left w:val="none" w:sz="0" w:space="0" w:color="auto"/>
                                                                                                                                                                                                                                                                        <w:bottom w:val="none" w:sz="0" w:space="0" w:color="auto"/>
                                                                                                                                                                                                                                                                        <w:right w:val="none" w:sz="0" w:space="0" w:color="auto"/>
                                                                                                                                                                                                                                                                      </w:divBdr>
                                                                                                                                                                                                                                                                      <w:divsChild>
                                                                                                                                                                                                                                                                        <w:div w:id="19860379">
                                                                                                                                                                                                                                                                          <w:marLeft w:val="0"/>
                                                                                                                                                                                                                                                                          <w:marRight w:val="0"/>
                                                                                                                                                                                                                                                                          <w:marTop w:val="0"/>
                                                                                                                                                                                                                                                                          <w:marBottom w:val="0"/>
                                                                                                                                                                                                                                                                          <w:divBdr>
                                                                                                                                                                                                                                                                            <w:top w:val="none" w:sz="0" w:space="0" w:color="auto"/>
                                                                                                                                                                                                                                                                            <w:left w:val="none" w:sz="0" w:space="0" w:color="auto"/>
                                                                                                                                                                                                                                                                            <w:bottom w:val="none" w:sz="0" w:space="0" w:color="auto"/>
                                                                                                                                                                                                                                                                            <w:right w:val="none" w:sz="0" w:space="0" w:color="auto"/>
                                                                                                                                                                                                                                                                          </w:divBdr>
                                                                                                                                                                                                                                                                          <w:divsChild>
                                                                                                                                                                                                                                                                            <w:div w:id="419839640">
                                                                                                                                                                                                                                                                              <w:marLeft w:val="0"/>
                                                                                                                                                                                                                                                                              <w:marRight w:val="0"/>
                                                                                                                                                                                                                                                                              <w:marTop w:val="0"/>
                                                                                                                                                                                                                                                                              <w:marBottom w:val="0"/>
                                                                                                                                                                                                                                                                              <w:divBdr>
                                                                                                                                                                                                                                                                                <w:top w:val="none" w:sz="0" w:space="0" w:color="auto"/>
                                                                                                                                                                                                                                                                                <w:left w:val="none" w:sz="0" w:space="0" w:color="auto"/>
                                                                                                                                                                                                                                                                                <w:bottom w:val="none" w:sz="0" w:space="0" w:color="auto"/>
                                                                                                                                                                                                                                                                                <w:right w:val="none" w:sz="0" w:space="0" w:color="auto"/>
                                                                                                                                                                                                                                                                              </w:divBdr>
                                                                                                                                                                                                                                                                              <w:divsChild>
                                                                                                                                                                                                                                                                                <w:div w:id="986013950">
                                                                                                                                                                                                                                                                                  <w:marLeft w:val="0"/>
                                                                                                                                                                                                                                                                                  <w:marRight w:val="0"/>
                                                                                                                                                                                                                                                                                  <w:marTop w:val="0"/>
                                                                                                                                                                                                                                                                                  <w:marBottom w:val="0"/>
                                                                                                                                                                                                                                                                                  <w:divBdr>
                                                                                                                                                                                                                                                                                    <w:top w:val="none" w:sz="0" w:space="0" w:color="auto"/>
                                                                                                                                                                                                                                                                                    <w:left w:val="none" w:sz="0" w:space="0" w:color="auto"/>
                                                                                                                                                                                                                                                                                    <w:bottom w:val="none" w:sz="0" w:space="0" w:color="auto"/>
                                                                                                                                                                                                                                                                                    <w:right w:val="none" w:sz="0" w:space="0" w:color="auto"/>
                                                                                                                                                                                                                                                                                  </w:divBdr>
                                                                                                                                                                                                                                                                                  <w:divsChild>
                                                                                                                                                                                                                                                                                    <w:div w:id="874463841">
                                                                                                                                                                                                                                                                                      <w:marLeft w:val="0"/>
                                                                                                                                                                                                                                                                                      <w:marRight w:val="0"/>
                                                                                                                                                                                                                                                                                      <w:marTop w:val="0"/>
                                                                                                                                                                                                                                                                                      <w:marBottom w:val="0"/>
                                                                                                                                                                                                                                                                                      <w:divBdr>
                                                                                                                                                                                                                                                                                        <w:top w:val="none" w:sz="0" w:space="0" w:color="auto"/>
                                                                                                                                                                                                                                                                                        <w:left w:val="none" w:sz="0" w:space="0" w:color="auto"/>
                                                                                                                                                                                                                                                                                        <w:bottom w:val="none" w:sz="0" w:space="0" w:color="auto"/>
                                                                                                                                                                                                                                                                                        <w:right w:val="none" w:sz="0" w:space="0" w:color="auto"/>
                                                                                                                                                                                                                                                                                      </w:divBdr>
                                                                                                                                                                                                                                                                                      <w:divsChild>
                                                                                                                                                                                                                                                                                        <w:div w:id="114478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95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F8D9E-1565-4D1F-8E24-8E9CF5863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5107</Words>
  <Characters>29116</Characters>
  <Application>Microsoft Office Word</Application>
  <DocSecurity>0</DocSecurity>
  <Lines>242</Lines>
  <Paragraphs>68</Paragraphs>
  <ScaleCrop>false</ScaleCrop>
  <LinksUpToDate>false</LinksUpToDate>
  <CharactersWithSpaces>34155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2015-04-21T23:33:00Z</dcterms:created>
  <dcterms:modified xsi:type="dcterms:W3CDTF">2015-04-21T23:35:00Z</dcterms:modified>
</cp:coreProperties>
</file>