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4B0B" w:rsidRPr="009C4B0B" w:rsidRDefault="009C4B0B" w:rsidP="009C4B0B">
      <w:pPr>
        <w:jc w:val="center"/>
        <w:rPr>
          <w:szCs w:val="28"/>
        </w:rPr>
      </w:pPr>
      <w:r>
        <w:rPr>
          <w:szCs w:val="28"/>
        </w:rPr>
        <w:t>[Pre-print version – please cite published version of the paper]</w:t>
      </w:r>
    </w:p>
    <w:p w:rsidR="00645746" w:rsidRPr="00445555" w:rsidRDefault="00C95121" w:rsidP="00724164">
      <w:pPr>
        <w:rPr>
          <w:b/>
          <w:sz w:val="28"/>
          <w:szCs w:val="28"/>
        </w:rPr>
      </w:pPr>
      <w:r w:rsidRPr="00445555">
        <w:rPr>
          <w:b/>
          <w:sz w:val="28"/>
          <w:szCs w:val="28"/>
        </w:rPr>
        <w:t>B</w:t>
      </w:r>
      <w:r w:rsidR="00FC103E" w:rsidRPr="00445555">
        <w:rPr>
          <w:b/>
          <w:sz w:val="28"/>
          <w:szCs w:val="28"/>
        </w:rPr>
        <w:t>oundaries, territory and public controversy</w:t>
      </w:r>
      <w:r w:rsidRPr="00445555">
        <w:rPr>
          <w:b/>
          <w:sz w:val="28"/>
          <w:szCs w:val="28"/>
        </w:rPr>
        <w:t>: the GM debate</w:t>
      </w:r>
      <w:r w:rsidR="00AA3E66">
        <w:rPr>
          <w:b/>
          <w:sz w:val="28"/>
          <w:szCs w:val="28"/>
        </w:rPr>
        <w:t xml:space="preserve"> re-materialis</w:t>
      </w:r>
      <w:r w:rsidR="00724164">
        <w:rPr>
          <w:b/>
          <w:sz w:val="28"/>
          <w:szCs w:val="28"/>
        </w:rPr>
        <w:t>ed</w:t>
      </w:r>
    </w:p>
    <w:p w:rsidR="00FC103E" w:rsidRDefault="0062200F" w:rsidP="00AB08D8">
      <w:r>
        <w:t>In t</w:t>
      </w:r>
      <w:r w:rsidR="00FC103E">
        <w:t xml:space="preserve">he </w:t>
      </w:r>
      <w:r w:rsidR="009D662A">
        <w:t>UK</w:t>
      </w:r>
      <w:r>
        <w:t>,</w:t>
      </w:r>
      <w:r w:rsidR="009D662A">
        <w:t xml:space="preserve"> </w:t>
      </w:r>
      <w:r w:rsidR="00FC103E">
        <w:t>public debate about the science and applications of plant genetic modification</w:t>
      </w:r>
      <w:r w:rsidR="00964979">
        <w:t xml:space="preserve"> (GM)</w:t>
      </w:r>
      <w:r w:rsidR="00F1712F">
        <w:t xml:space="preserve"> </w:t>
      </w:r>
      <w:r w:rsidR="00FC103E">
        <w:t>recently re-surfaced in a conflict between researchers and protesters over a field of experimental wheat crop. Protesters threatened to destroy the crop in a mass action, while researchers and pro-GM campaigners rallied to the defence of this corner of the countryside in a bid to ‘defend science’ itself</w:t>
      </w:r>
      <w:r w:rsidR="00A10E07">
        <w:rPr>
          <w:rStyle w:val="FootnoteReference"/>
        </w:rPr>
        <w:footnoteReference w:id="1"/>
      </w:r>
      <w:r w:rsidR="00FC103E">
        <w:t xml:space="preserve">. </w:t>
      </w:r>
      <w:r w:rsidR="00AB08D8">
        <w:t>On</w:t>
      </w:r>
      <w:r w:rsidR="00B545D3">
        <w:t xml:space="preserve"> the day of the proposed action the protesters were kept at a distance from the heavily policed field. </w:t>
      </w:r>
      <w:r w:rsidR="00FC103E">
        <w:t xml:space="preserve">In this short essay we consider the spatiality of this debate – its boundaries, territories, transgressions – and explore the significance of this particular controversy for the wider public debate and for </w:t>
      </w:r>
      <w:r w:rsidR="00F1712F">
        <w:t xml:space="preserve">geographers’ </w:t>
      </w:r>
      <w:r w:rsidR="00FC103E">
        <w:t xml:space="preserve">engagement with </w:t>
      </w:r>
      <w:r w:rsidR="00964979">
        <w:t>knowledge controversies</w:t>
      </w:r>
      <w:r w:rsidR="00FC103E">
        <w:t xml:space="preserve">. </w:t>
      </w:r>
    </w:p>
    <w:p w:rsidR="00C95121" w:rsidRPr="004660CC" w:rsidRDefault="00C95121" w:rsidP="00EB58C4">
      <w:pPr>
        <w:rPr>
          <w:b/>
        </w:rPr>
      </w:pPr>
      <w:r w:rsidRPr="004660CC">
        <w:rPr>
          <w:b/>
        </w:rPr>
        <w:t>Boundary work</w:t>
      </w:r>
      <w:bookmarkStart w:id="0" w:name="_GoBack"/>
      <w:bookmarkEnd w:id="0"/>
    </w:p>
    <w:p w:rsidR="00EB58C4" w:rsidRDefault="00EB58C4">
      <w:r>
        <w:t>In science and technology studies (STS), the notion of ‘boundary work’ refers to efforts to demarcate science from non-science, or to police the boundary between what is count</w:t>
      </w:r>
      <w:r w:rsidR="009D662A">
        <w:t>ed</w:t>
      </w:r>
      <w:r>
        <w:t xml:space="preserve"> as legitimate </w:t>
      </w:r>
      <w:r w:rsidR="009D662A">
        <w:t xml:space="preserve">or </w:t>
      </w:r>
      <w:r>
        <w:t xml:space="preserve">illegitimate knowledge </w:t>
      </w:r>
      <w:r w:rsidRPr="00D57657">
        <w:rPr>
          <w:noProof/>
        </w:rPr>
        <w:t>(Gieryn 1983)</w:t>
      </w:r>
      <w:r>
        <w:t xml:space="preserve">. </w:t>
      </w:r>
      <w:r w:rsidR="00223AB6">
        <w:t>Such b</w:t>
      </w:r>
      <w:r>
        <w:t xml:space="preserve">oundaries </w:t>
      </w:r>
      <w:r w:rsidR="00223AB6">
        <w:t xml:space="preserve">are constructed </w:t>
      </w:r>
      <w:r>
        <w:t xml:space="preserve">between </w:t>
      </w:r>
      <w:r w:rsidR="009D662A">
        <w:t xml:space="preserve">different </w:t>
      </w:r>
      <w:r>
        <w:t>means of generating knowledge</w:t>
      </w:r>
      <w:r w:rsidR="009D662A">
        <w:t xml:space="preserve">, </w:t>
      </w:r>
      <w:r w:rsidR="00EF1F9B">
        <w:t xml:space="preserve">thus </w:t>
      </w:r>
      <w:r>
        <w:t>they are</w:t>
      </w:r>
      <w:r w:rsidR="004660CC">
        <w:t xml:space="preserve"> largely</w:t>
      </w:r>
      <w:r>
        <w:t xml:space="preserve"> textual, discursive</w:t>
      </w:r>
      <w:r w:rsidR="004D24D1">
        <w:t xml:space="preserve"> and </w:t>
      </w:r>
      <w:r>
        <w:t xml:space="preserve">philosophical. </w:t>
      </w:r>
    </w:p>
    <w:p w:rsidR="00EB58C4" w:rsidRDefault="00EB58C4" w:rsidP="00AB08D8">
      <w:r>
        <w:t xml:space="preserve">Geographers </w:t>
      </w:r>
      <w:r w:rsidR="00223AB6">
        <w:t xml:space="preserve">have also </w:t>
      </w:r>
      <w:r w:rsidR="00AB08D8">
        <w:t xml:space="preserve">explored </w:t>
      </w:r>
      <w:r w:rsidR="00223AB6">
        <w:t>how</w:t>
      </w:r>
      <w:r w:rsidR="00BA1F62">
        <w:t xml:space="preserve"> boundaries bring into vision abrupt contours of difference and active processes of othering.</w:t>
      </w:r>
      <w:r>
        <w:t xml:space="preserve"> As lines drawn on maps, boundaries are the traces of ideological commitments to a particular ontology of difference. </w:t>
      </w:r>
      <w:r w:rsidR="00AB08D8">
        <w:t>With regard</w:t>
      </w:r>
      <w:r w:rsidR="00EF1F9B">
        <w:t xml:space="preserve"> to</w:t>
      </w:r>
      <w:r>
        <w:t xml:space="preserve"> scientific research, boundaries between social spaces (such as the walls of a laboratory) have been recognised as constitutive elements in the legitimation of </w:t>
      </w:r>
      <w:r w:rsidR="00EF1F9B">
        <w:t xml:space="preserve">certain </w:t>
      </w:r>
      <w:r>
        <w:t>knowledge</w:t>
      </w:r>
      <w:r w:rsidR="00EF1F9B">
        <w:t>s</w:t>
      </w:r>
      <w:r>
        <w:t xml:space="preserve">. In the early development of experimental science, for knowledge to be deemed ‘true’ its production had to be witnessed by trustworthy gentlemen. Thus </w:t>
      </w:r>
      <w:r w:rsidR="00292944">
        <w:t xml:space="preserve">to produce authoritative knowledge, </w:t>
      </w:r>
      <w:r>
        <w:t xml:space="preserve">the </w:t>
      </w:r>
      <w:r w:rsidR="00292944">
        <w:t xml:space="preserve">boundaries of </w:t>
      </w:r>
      <w:r>
        <w:t xml:space="preserve">experimental space had </w:t>
      </w:r>
      <w:r w:rsidR="00AB08D8">
        <w:t xml:space="preserve">to </w:t>
      </w:r>
      <w:r w:rsidR="00292944">
        <w:t>be impermeable</w:t>
      </w:r>
      <w:r>
        <w:t xml:space="preserve"> to the untrustworthy</w:t>
      </w:r>
      <w:r w:rsidR="00292944">
        <w:t xml:space="preserve"> </w:t>
      </w:r>
      <w:r w:rsidRPr="00D7531D">
        <w:rPr>
          <w:noProof/>
        </w:rPr>
        <w:t>(Shapin 1988)</w:t>
      </w:r>
      <w:r>
        <w:t>.</w:t>
      </w:r>
    </w:p>
    <w:p w:rsidR="00C95121" w:rsidRDefault="00BA1F62" w:rsidP="00EB58C4">
      <w:pPr>
        <w:rPr>
          <w:b/>
        </w:rPr>
      </w:pPr>
      <w:r>
        <w:rPr>
          <w:b/>
        </w:rPr>
        <w:t>Genetically modified boundaries</w:t>
      </w:r>
    </w:p>
    <w:p w:rsidR="00EB58C4" w:rsidRDefault="00EF1F9B">
      <w:r>
        <w:t>T</w:t>
      </w:r>
      <w:r w:rsidR="00EB58C4">
        <w:t xml:space="preserve">he </w:t>
      </w:r>
      <w:r>
        <w:t xml:space="preserve">UK </w:t>
      </w:r>
      <w:r w:rsidR="00EB58C4">
        <w:t>GM debate</w:t>
      </w:r>
      <w:r>
        <w:t xml:space="preserve"> has been defined by its boundaries: separating reason from unreason</w:t>
      </w:r>
      <w:r w:rsidR="00B32054">
        <w:t>,</w:t>
      </w:r>
      <w:r>
        <w:t xml:space="preserve"> excluding dissenting voices</w:t>
      </w:r>
      <w:r w:rsidR="00B32054">
        <w:t>,</w:t>
      </w:r>
      <w:r>
        <w:t xml:space="preserve"> distinguishing between </w:t>
      </w:r>
      <w:r w:rsidR="00224C87">
        <w:t>different spaces and registers of engagement</w:t>
      </w:r>
      <w:r w:rsidR="00B32054">
        <w:t>,</w:t>
      </w:r>
      <w:r w:rsidR="00224C87">
        <w:t xml:space="preserve"> and marking</w:t>
      </w:r>
      <w:r w:rsidR="00B32054">
        <w:t>-</w:t>
      </w:r>
      <w:r w:rsidR="00224C87">
        <w:t>off material territories</w:t>
      </w:r>
      <w:r w:rsidR="00EB58C4">
        <w:t>. The rhetorical work of delineating reason and rationality from ideologically-motivated unreason and ‘anti-science’ discourse has been acutely present</w:t>
      </w:r>
      <w:r w:rsidR="00224C87">
        <w:t xml:space="preserve"> in recent conversations between Rothamsted Research, Sense about Science and the Take the Flour Back campaign</w:t>
      </w:r>
      <w:r w:rsidR="00292944">
        <w:t>;</w:t>
      </w:r>
      <w:r w:rsidR="0047192D">
        <w:t xml:space="preserve"> as it was in</w:t>
      </w:r>
      <w:r w:rsidR="00AB08D8">
        <w:t xml:space="preserve"> similar</w:t>
      </w:r>
      <w:r w:rsidR="0047192D">
        <w:t xml:space="preserve"> conversations during the 1990s.</w:t>
      </w:r>
      <w:r w:rsidR="00EB58C4">
        <w:t xml:space="preserve">The public negotiation of the </w:t>
      </w:r>
      <w:r w:rsidR="00276288">
        <w:t>evidential standards required</w:t>
      </w:r>
      <w:r w:rsidR="00EB58C4">
        <w:t xml:space="preserve"> for the rational governance of GM technology is indicative of a desire to define what counts as </w:t>
      </w:r>
      <w:r w:rsidR="00224C87">
        <w:t>‘</w:t>
      </w:r>
      <w:r w:rsidR="00EB58C4">
        <w:t>sound science</w:t>
      </w:r>
      <w:r w:rsidR="00224C87">
        <w:t>’ (e.g. Stirling 2008)</w:t>
      </w:r>
      <w:r w:rsidR="00EB58C4">
        <w:t xml:space="preserve">. </w:t>
      </w:r>
      <w:r w:rsidR="00224C87">
        <w:t>It is assumed t</w:t>
      </w:r>
      <w:r w:rsidR="00EB58C4">
        <w:t xml:space="preserve">hat a core of value-free scientific knowledge exists which can be delineated and protected from </w:t>
      </w:r>
      <w:r w:rsidR="00224C87">
        <w:t xml:space="preserve">other </w:t>
      </w:r>
      <w:r w:rsidR="00EB58C4">
        <w:t>knowledge</w:t>
      </w:r>
      <w:r w:rsidR="00BA1F62">
        <w:t>s</w:t>
      </w:r>
      <w:r w:rsidR="00EB58C4">
        <w:t xml:space="preserve"> which </w:t>
      </w:r>
      <w:r w:rsidR="00BA1F62">
        <w:t>are</w:t>
      </w:r>
      <w:r w:rsidR="00EB58C4">
        <w:t xml:space="preserve"> </w:t>
      </w:r>
      <w:r w:rsidR="00276288">
        <w:t>tainted by</w:t>
      </w:r>
      <w:r w:rsidR="00EB58C4">
        <w:t xml:space="preserve"> ideology. Such an assumption is itself a</w:t>
      </w:r>
      <w:r w:rsidR="00B5434B">
        <w:t>n</w:t>
      </w:r>
      <w:r w:rsidR="00EB58C4">
        <w:t xml:space="preserve"> ideological commitment</w:t>
      </w:r>
      <w:r w:rsidR="00292944">
        <w:t>,</w:t>
      </w:r>
      <w:r w:rsidR="00EB58C4">
        <w:t xml:space="preserve"> </w:t>
      </w:r>
      <w:r w:rsidR="00292944">
        <w:t>obscuring</w:t>
      </w:r>
      <w:r w:rsidR="00EB58C4">
        <w:t xml:space="preserve"> the spatial, cultural</w:t>
      </w:r>
      <w:r w:rsidR="00B5434B">
        <w:t>,</w:t>
      </w:r>
      <w:r w:rsidR="00EB58C4">
        <w:t xml:space="preserve"> political</w:t>
      </w:r>
      <w:r w:rsidR="00B5434B">
        <w:t xml:space="preserve"> and ideological</w:t>
      </w:r>
      <w:r w:rsidR="00EB58C4">
        <w:t xml:space="preserve"> </w:t>
      </w:r>
      <w:proofErr w:type="spellStart"/>
      <w:r w:rsidR="00EB58C4">
        <w:t>situatedness</w:t>
      </w:r>
      <w:proofErr w:type="spellEnd"/>
      <w:r w:rsidR="00EB58C4">
        <w:t xml:space="preserve"> of scientific inquiry. The charge that the anti-GM protesters are ‘anti-science’ because of their </w:t>
      </w:r>
      <w:r w:rsidR="00B0061E">
        <w:t xml:space="preserve">perceived </w:t>
      </w:r>
      <w:r w:rsidR="00EB58C4">
        <w:t xml:space="preserve">transgression from reason into ideology is </w:t>
      </w:r>
      <w:r w:rsidR="00276288">
        <w:t>an</w:t>
      </w:r>
      <w:r w:rsidR="00EB58C4">
        <w:t xml:space="preserve"> ideological defence of science – framed as a homogenous sphere of human activity – and its role in </w:t>
      </w:r>
      <w:r w:rsidR="00C95121">
        <w:t>contemporary politics.</w:t>
      </w:r>
    </w:p>
    <w:p w:rsidR="00B32054" w:rsidRDefault="00292944" w:rsidP="00AA3E66">
      <w:r>
        <w:lastRenderedPageBreak/>
        <w:t>The bounded spaces of</w:t>
      </w:r>
      <w:r w:rsidR="004D24D1">
        <w:t xml:space="preserve"> </w:t>
      </w:r>
      <w:r>
        <w:t xml:space="preserve">UK </w:t>
      </w:r>
      <w:r w:rsidR="004D24D1">
        <w:t xml:space="preserve">public debate over GM are </w:t>
      </w:r>
      <w:r>
        <w:t xml:space="preserve">delineated </w:t>
      </w:r>
      <w:r w:rsidR="004D24D1">
        <w:t>by abstract framings or definitions of the issue under discussion</w:t>
      </w:r>
      <w:r w:rsidR="00A53262">
        <w:t xml:space="preserve"> and delineations of what counts as (scientific) expertise. The technical definition of the debate</w:t>
      </w:r>
      <w:r>
        <w:t xml:space="preserve"> – focussed</w:t>
      </w:r>
      <w:r w:rsidR="00A53262">
        <w:t xml:space="preserve"> specifically on the gene technologies themselves and potential biological or ecological consequences</w:t>
      </w:r>
      <w:r>
        <w:t xml:space="preserve"> – fore</w:t>
      </w:r>
      <w:r w:rsidR="00A53262">
        <w:t xml:space="preserve">closes outcomes of the debate which might </w:t>
      </w:r>
      <w:r w:rsidR="007E13A2">
        <w:t>concern</w:t>
      </w:r>
      <w:r w:rsidR="00A53262">
        <w:t xml:space="preserve"> </w:t>
      </w:r>
      <w:r w:rsidR="00CC62F7">
        <w:t xml:space="preserve">the ethical implications of </w:t>
      </w:r>
      <w:r>
        <w:t>altering</w:t>
      </w:r>
      <w:r w:rsidR="00CC62F7">
        <w:t xml:space="preserve"> living things in </w:t>
      </w:r>
      <w:r>
        <w:t>these novel</w:t>
      </w:r>
      <w:r w:rsidR="00CC62F7">
        <w:t xml:space="preserve"> way</w:t>
      </w:r>
      <w:r>
        <w:t>s</w:t>
      </w:r>
      <w:r w:rsidR="00CC62F7">
        <w:t xml:space="preserve"> </w:t>
      </w:r>
      <w:r w:rsidR="00CC62F7" w:rsidRPr="00E45F0D">
        <w:rPr>
          <w:noProof/>
        </w:rPr>
        <w:t>(Marres 2007)</w:t>
      </w:r>
      <w:r>
        <w:rPr>
          <w:noProof/>
        </w:rPr>
        <w:t>,</w:t>
      </w:r>
      <w:r w:rsidR="00CC62F7">
        <w:rPr>
          <w:noProof/>
        </w:rPr>
        <w:t xml:space="preserve"> or </w:t>
      </w:r>
      <w:r w:rsidR="00E45F0D">
        <w:t>the level of control private companies should have ov</w:t>
      </w:r>
      <w:r w:rsidR="007E13A2">
        <w:t>er farmers and the food supply</w:t>
      </w:r>
      <w:r w:rsidR="00CC62F7">
        <w:t>.</w:t>
      </w:r>
      <w:r w:rsidR="00E45F0D">
        <w:t xml:space="preserve"> </w:t>
      </w:r>
      <w:r w:rsidR="0047192D">
        <w:t xml:space="preserve">The spectre of malign commercial interests has loomed </w:t>
      </w:r>
      <w:r>
        <w:t>large throughout</w:t>
      </w:r>
      <w:r w:rsidR="0047192D">
        <w:t xml:space="preserve"> UK GM debates. In </w:t>
      </w:r>
      <w:r w:rsidR="00CC62F7">
        <w:t>the</w:t>
      </w:r>
      <w:r w:rsidR="0047192D">
        <w:t xml:space="preserve"> </w:t>
      </w:r>
      <w:r w:rsidR="00CC62F7">
        <w:t xml:space="preserve">current </w:t>
      </w:r>
      <w:r w:rsidR="0047192D">
        <w:t xml:space="preserve">context of economic recession, </w:t>
      </w:r>
      <w:r w:rsidR="00CC62F7">
        <w:t>commercial arguments have been re-framed to present bio</w:t>
      </w:r>
      <w:r w:rsidR="0047192D">
        <w:t>technologi</w:t>
      </w:r>
      <w:r w:rsidR="00CC62F7">
        <w:t>cal innovation</w:t>
      </w:r>
      <w:r w:rsidR="0047192D">
        <w:t xml:space="preserve"> </w:t>
      </w:r>
      <w:r w:rsidR="00CC62F7">
        <w:t>as a source of otherwise elusive economic growth, beneficent to all.</w:t>
      </w:r>
      <w:r w:rsidR="000B4851">
        <w:t xml:space="preserve"> </w:t>
      </w:r>
      <w:r w:rsidR="00E45F0D">
        <w:t xml:space="preserve">Thus the space for debate is a narrow one and many contributions and voices </w:t>
      </w:r>
      <w:r>
        <w:t>are</w:t>
      </w:r>
      <w:r w:rsidR="00E45F0D">
        <w:t xml:space="preserve"> deemed illegitimate and irrelevant. </w:t>
      </w:r>
      <w:r w:rsidR="00AA3E66">
        <w:t>Relatedly, c</w:t>
      </w:r>
      <w:r w:rsidR="00E45F0D">
        <w:t>hanging visions of what scientific expertise entails have performatively brought certain publics into being</w:t>
      </w:r>
      <w:r w:rsidR="00CF6838">
        <w:t xml:space="preserve"> </w:t>
      </w:r>
      <w:r w:rsidR="00F27979">
        <w:rPr>
          <w:noProof/>
        </w:rPr>
        <w:t>(Braun and</w:t>
      </w:r>
      <w:r w:rsidR="00CF6838" w:rsidRPr="00CF6838">
        <w:rPr>
          <w:noProof/>
        </w:rPr>
        <w:t xml:space="preserve"> Schultz 2010)</w:t>
      </w:r>
      <w:r w:rsidR="00E45F0D">
        <w:t xml:space="preserve">. </w:t>
      </w:r>
      <w:r w:rsidR="00B32054">
        <w:t xml:space="preserve">While </w:t>
      </w:r>
      <w:r w:rsidR="00E45F0D">
        <w:t xml:space="preserve">ecologists, sociologists and </w:t>
      </w:r>
      <w:r w:rsidR="007E13A2">
        <w:t>e</w:t>
      </w:r>
      <w:r w:rsidR="00E45F0D">
        <w:t xml:space="preserve">thicists have been permitted to enter the debate as experts harbouring </w:t>
      </w:r>
      <w:r>
        <w:t xml:space="preserve">privileged </w:t>
      </w:r>
      <w:r w:rsidR="00E45F0D">
        <w:t>knowledge</w:t>
      </w:r>
      <w:r w:rsidR="00CF6838">
        <w:t xml:space="preserve">, the knowledge claims made by activists, farmers and food consumers are dismissed and excluded; constructing an imagined homogenous, oppositional public. </w:t>
      </w:r>
    </w:p>
    <w:p w:rsidR="00DA5001" w:rsidRDefault="00CF6838" w:rsidP="00AA3E66">
      <w:r>
        <w:t>Whilst the public debate around GM is limited both conceptually and in the actors it includes</w:t>
      </w:r>
      <w:r w:rsidR="00C91EF5">
        <w:t>,</w:t>
      </w:r>
      <w:r>
        <w:t xml:space="preserve"> alternative spaces of engagement between diverse groups and viewpoints can be found </w:t>
      </w:r>
      <w:r w:rsidR="00C91EF5">
        <w:t xml:space="preserve">within and </w:t>
      </w:r>
      <w:r>
        <w:t xml:space="preserve">around formal </w:t>
      </w:r>
      <w:r w:rsidR="00C91EF5">
        <w:t xml:space="preserve">institutional structures. Instances of social protest both at physical sites and </w:t>
      </w:r>
      <w:r w:rsidR="007E13A2">
        <w:t xml:space="preserve">in </w:t>
      </w:r>
      <w:r w:rsidR="00C91EF5">
        <w:t>the blogosphere actively challenge and occasionally succeed in shifting the boundaries around acceptable engagement</w:t>
      </w:r>
      <w:r w:rsidR="003A7F3C">
        <w:t xml:space="preserve"> </w:t>
      </w:r>
      <w:r w:rsidR="00223AB6">
        <w:t xml:space="preserve">and performances of citizenship </w:t>
      </w:r>
      <w:r w:rsidR="00F27979">
        <w:rPr>
          <w:noProof/>
        </w:rPr>
        <w:t>(Doubleday and</w:t>
      </w:r>
      <w:r w:rsidR="003A7F3C" w:rsidRPr="003A7F3C">
        <w:rPr>
          <w:noProof/>
        </w:rPr>
        <w:t xml:space="preserve"> Wynne 2011</w:t>
      </w:r>
      <w:r w:rsidR="00223AB6">
        <w:rPr>
          <w:noProof/>
        </w:rPr>
        <w:t>; Szerszynski 2005</w:t>
      </w:r>
      <w:r w:rsidR="003A7F3C" w:rsidRPr="003A7F3C">
        <w:rPr>
          <w:noProof/>
        </w:rPr>
        <w:t>)</w:t>
      </w:r>
      <w:r w:rsidR="003A7F3C">
        <w:t>. The Take the Flour Back campaign</w:t>
      </w:r>
      <w:r w:rsidR="00E2228D">
        <w:t>’</w:t>
      </w:r>
      <w:r w:rsidR="003A7F3C">
        <w:t xml:space="preserve">s well publicised threat to destroy Rothamsted Research’s field of GM wheat seemingly resulted in such a shift, with an invitation to the protesters to engage in dialogue with the scientists and much </w:t>
      </w:r>
      <w:r w:rsidR="0027622E">
        <w:t xml:space="preserve">online </w:t>
      </w:r>
      <w:r w:rsidR="003A7F3C">
        <w:t>space devoted to broader discussion</w:t>
      </w:r>
      <w:r w:rsidR="003A7F3C">
        <w:rPr>
          <w:rStyle w:val="FootnoteReference"/>
        </w:rPr>
        <w:footnoteReference w:id="2"/>
      </w:r>
      <w:r w:rsidR="003A7F3C">
        <w:t xml:space="preserve">. </w:t>
      </w:r>
      <w:r w:rsidR="0047192D">
        <w:t>Yet t</w:t>
      </w:r>
      <w:r w:rsidR="00DA5001">
        <w:t>he threat and the response bear the imprints of history. Destructive acts</w:t>
      </w:r>
      <w:r w:rsidR="0027622E">
        <w:t xml:space="preserve"> by anti-GM activists</w:t>
      </w:r>
      <w:r w:rsidR="00DA5001">
        <w:t xml:space="preserve"> </w:t>
      </w:r>
      <w:r w:rsidR="00D84C38">
        <w:t>around the turn of the century</w:t>
      </w:r>
      <w:r w:rsidR="00DA5001">
        <w:t xml:space="preserve"> rendered the</w:t>
      </w:r>
      <w:r w:rsidR="00AA3E66">
        <w:t>se</w:t>
      </w:r>
      <w:r w:rsidR="00DA5001">
        <w:t xml:space="preserve"> new threats credible, while the </w:t>
      </w:r>
      <w:r w:rsidR="0027622E">
        <w:t xml:space="preserve">desire to initiate formal dialogue reflects the </w:t>
      </w:r>
      <w:r w:rsidR="00DA5001">
        <w:t>institutionalis</w:t>
      </w:r>
      <w:r w:rsidR="0027622E">
        <w:t xml:space="preserve">ation of such practices </w:t>
      </w:r>
      <w:r w:rsidR="00AA3E66">
        <w:t>as a governmental technology</w:t>
      </w:r>
      <w:r w:rsidR="0027622E">
        <w:t xml:space="preserve"> – itself a response in part to perceived failings in early GM policy.</w:t>
      </w:r>
    </w:p>
    <w:p w:rsidR="0027622E" w:rsidRDefault="00DA5001">
      <w:r>
        <w:t>Such</w:t>
      </w:r>
      <w:r w:rsidR="003A7F3C">
        <w:t xml:space="preserve"> space</w:t>
      </w:r>
      <w:r>
        <w:t>s</w:t>
      </w:r>
      <w:r w:rsidR="003A7F3C">
        <w:t xml:space="preserve"> for dialogue and engagement </w:t>
      </w:r>
      <w:r>
        <w:t xml:space="preserve">have </w:t>
      </w:r>
      <w:r w:rsidR="003A7F3C">
        <w:t xml:space="preserve">clear </w:t>
      </w:r>
      <w:r w:rsidR="00B32054">
        <w:t xml:space="preserve">discursive </w:t>
      </w:r>
      <w:r w:rsidR="003A7F3C">
        <w:t>boundaries.</w:t>
      </w:r>
      <w:r>
        <w:t xml:space="preserve"> </w:t>
      </w:r>
      <w:r w:rsidR="0047192D">
        <w:t>T</w:t>
      </w:r>
      <w:r w:rsidR="003A7F3C">
        <w:t xml:space="preserve">he only conceivable outcome for the scientists </w:t>
      </w:r>
      <w:r w:rsidR="0047192D">
        <w:t xml:space="preserve">at Rothamsted </w:t>
      </w:r>
      <w:r w:rsidR="003A7F3C">
        <w:t>was that the protesters would come to understand and accept their point of view and therefore withdraw their threat</w:t>
      </w:r>
      <w:r w:rsidR="007E13A2">
        <w:t>.</w:t>
      </w:r>
      <w:r w:rsidR="003A7F3C">
        <w:t xml:space="preserve"> </w:t>
      </w:r>
      <w:r w:rsidR="007E13A2">
        <w:t>O</w:t>
      </w:r>
      <w:r w:rsidR="00A37C27">
        <w:t>ther potential futures</w:t>
      </w:r>
      <w:r w:rsidR="00AA3E66">
        <w:t>,</w:t>
      </w:r>
      <w:r w:rsidR="00A37C27">
        <w:t xml:space="preserve"> such as the alteration or cancellation of the field trail, the greater inclusion of citizen voices in organisational mechanisms ‘upstream’ of the technology development, or a reframing of the organisation’s vision and research priorities, were clearly out of bounds. </w:t>
      </w:r>
    </w:p>
    <w:p w:rsidR="004A0AE8" w:rsidRDefault="004A0AE8" w:rsidP="00AA3E66">
      <w:r>
        <w:t xml:space="preserve">Genetic modification, like nanotechnology, is a deeply geographical project </w:t>
      </w:r>
      <w:r w:rsidRPr="008B065D">
        <w:rPr>
          <w:noProof/>
        </w:rPr>
        <w:t>(</w:t>
      </w:r>
      <w:r>
        <w:rPr>
          <w:noProof/>
        </w:rPr>
        <w:t xml:space="preserve">cf. </w:t>
      </w:r>
      <w:r w:rsidRPr="008B065D">
        <w:rPr>
          <w:noProof/>
        </w:rPr>
        <w:t>Anderson</w:t>
      </w:r>
      <w:r w:rsidR="000D4E54">
        <w:rPr>
          <w:noProof/>
        </w:rPr>
        <w:t xml:space="preserve"> </w:t>
      </w:r>
      <w:r w:rsidR="000D4E54">
        <w:rPr>
          <w:i/>
          <w:iCs/>
          <w:noProof/>
        </w:rPr>
        <w:t>et al.</w:t>
      </w:r>
      <w:r w:rsidRPr="008B065D">
        <w:rPr>
          <w:noProof/>
        </w:rPr>
        <w:t xml:space="preserve"> 2007)</w:t>
      </w:r>
      <w:r>
        <w:t xml:space="preserve">. It involves re-scaling </w:t>
      </w:r>
      <w:r w:rsidR="007E13A2">
        <w:t xml:space="preserve">the agricultural practice of selection </w:t>
      </w:r>
      <w:r>
        <w:t xml:space="preserve">away from processes of breeding and </w:t>
      </w:r>
      <w:r w:rsidR="00313B4F">
        <w:t xml:space="preserve">down </w:t>
      </w:r>
      <w:r w:rsidR="00B32054">
        <w:t xml:space="preserve">to </w:t>
      </w:r>
      <w:r>
        <w:t>the molecul</w:t>
      </w:r>
      <w:r w:rsidR="00313B4F">
        <w:t>ar scale</w:t>
      </w:r>
      <w:r>
        <w:t xml:space="preserve">. For </w:t>
      </w:r>
      <w:r w:rsidR="00964979">
        <w:t>some</w:t>
      </w:r>
      <w:r>
        <w:t xml:space="preserve"> parties in the debate, this is a transgression into a sacrosanct territory of life. Th</w:t>
      </w:r>
      <w:r w:rsidR="00236BC1">
        <w:t>is</w:t>
      </w:r>
      <w:r>
        <w:t xml:space="preserve"> re-scaling also sees the ability to generate new knowledge and technologies passing into the hands of with links to private as well as public </w:t>
      </w:r>
      <w:r w:rsidR="0027622E">
        <w:t>funding</w:t>
      </w:r>
      <w:r>
        <w:t>. The privatisation and commercialisation of processes and technologies at the molecular scale is another object of sustained critique.</w:t>
      </w:r>
      <w:r w:rsidR="00B5434B">
        <w:t xml:space="preserve"> Opponents see this as an unwelcome intrusion of private property rights </w:t>
      </w:r>
      <w:r w:rsidR="00B5434B">
        <w:lastRenderedPageBreak/>
        <w:t>and market forces into the corporeal flesh of agricultural plants; intrusions which</w:t>
      </w:r>
      <w:r>
        <w:t xml:space="preserve"> </w:t>
      </w:r>
      <w:r w:rsidR="00BC1710">
        <w:t>herald a “de/re-</w:t>
      </w:r>
      <w:proofErr w:type="spellStart"/>
      <w:r w:rsidR="00BC1710">
        <w:t>territorialization</w:t>
      </w:r>
      <w:proofErr w:type="spellEnd"/>
      <w:r w:rsidR="00BC1710">
        <w:t xml:space="preserve"> of the vital associations between plants and people” </w:t>
      </w:r>
      <w:r w:rsidR="00BC1710" w:rsidRPr="00BC1710">
        <w:rPr>
          <w:noProof/>
        </w:rPr>
        <w:t>(Whatmore 200</w:t>
      </w:r>
      <w:r w:rsidR="00313B4F">
        <w:rPr>
          <w:noProof/>
        </w:rPr>
        <w:t>2</w:t>
      </w:r>
      <w:r w:rsidR="00B835C0">
        <w:rPr>
          <w:noProof/>
        </w:rPr>
        <w:t>,</w:t>
      </w:r>
      <w:r w:rsidR="00BC1710">
        <w:rPr>
          <w:noProof/>
        </w:rPr>
        <w:t xml:space="preserve"> 92</w:t>
      </w:r>
      <w:r w:rsidR="00BC1710" w:rsidRPr="00BC1710">
        <w:rPr>
          <w:noProof/>
        </w:rPr>
        <w:t>)</w:t>
      </w:r>
      <w:r w:rsidR="00BC1710">
        <w:t xml:space="preserve">. </w:t>
      </w:r>
    </w:p>
    <w:p w:rsidR="00C95121" w:rsidRDefault="00C95121">
      <w:r>
        <w:t xml:space="preserve">Territories live and die by their boundaries, which in turn are defined by the threat of transgression. </w:t>
      </w:r>
      <w:r w:rsidR="00236BC1">
        <w:t>In many cases, the bounda</w:t>
      </w:r>
      <w:r w:rsidR="00964979">
        <w:t xml:space="preserve">ries around scientific </w:t>
      </w:r>
      <w:r w:rsidR="00B545D3">
        <w:t xml:space="preserve">spaces </w:t>
      </w:r>
      <w:r w:rsidR="00964979">
        <w:t>– such as</w:t>
      </w:r>
      <w:r w:rsidR="00236BC1">
        <w:t xml:space="preserve"> experimental field sites – have been made impermeable to intruders</w:t>
      </w:r>
      <w:r w:rsidR="00B545D3">
        <w:t>;</w:t>
      </w:r>
      <w:r w:rsidR="00236BC1">
        <w:t xml:space="preserve"> </w:t>
      </w:r>
      <w:r w:rsidR="00B545D3">
        <w:t>n</w:t>
      </w:r>
      <w:r w:rsidR="00236BC1">
        <w:t xml:space="preserve">ot to shore-up the legitimacy of those inside (cf. </w:t>
      </w:r>
      <w:proofErr w:type="spellStart"/>
      <w:r w:rsidR="00236BC1">
        <w:t>Shapin</w:t>
      </w:r>
      <w:proofErr w:type="spellEnd"/>
      <w:r w:rsidR="00236BC1">
        <w:t xml:space="preserve"> 1988), but to protect experimental objects from wilful destruction. The will to destroy is motivated in part by fears about the permeability of the</w:t>
      </w:r>
      <w:r w:rsidR="00B545D3">
        <w:t>se</w:t>
      </w:r>
      <w:r w:rsidR="00236BC1">
        <w:t xml:space="preserve"> boundaries to environmental contaminants – experimental GM </w:t>
      </w:r>
      <w:r w:rsidR="00B545D3">
        <w:t xml:space="preserve">materials </w:t>
      </w:r>
      <w:r w:rsidR="00236BC1">
        <w:t xml:space="preserve">‘escaping’ the bounds of the field laboratory and interfering with surrounding ecosystems. </w:t>
      </w:r>
      <w:r>
        <w:t>For the researchers, the transgression of the protesters themselves represents not just criminal trespass, but an infringement on the right of scien</w:t>
      </w:r>
      <w:r w:rsidR="00313B4F">
        <w:t xml:space="preserve">ce to function concurrently in </w:t>
      </w:r>
      <w:r>
        <w:t xml:space="preserve">service of society </w:t>
      </w:r>
      <w:r w:rsidRPr="008B065D">
        <w:rPr>
          <w:i/>
        </w:rPr>
        <w:t>and</w:t>
      </w:r>
      <w:r>
        <w:t xml:space="preserve"> out of physical reach of society’s interference</w:t>
      </w:r>
      <w:r w:rsidR="00D84C38">
        <w:t xml:space="preserve"> (cf. </w:t>
      </w:r>
      <w:proofErr w:type="spellStart"/>
      <w:r w:rsidR="00D84C38">
        <w:t>Szerszynski</w:t>
      </w:r>
      <w:proofErr w:type="spellEnd"/>
      <w:r w:rsidR="00D84C38">
        <w:t xml:space="preserve"> 2005)</w:t>
      </w:r>
      <w:r>
        <w:t xml:space="preserve">. </w:t>
      </w:r>
    </w:p>
    <w:p w:rsidR="00C95121" w:rsidRPr="00C95121" w:rsidRDefault="00B32054">
      <w:pPr>
        <w:rPr>
          <w:b/>
        </w:rPr>
      </w:pPr>
      <w:r>
        <w:rPr>
          <w:b/>
        </w:rPr>
        <w:t>Materialising debate</w:t>
      </w:r>
    </w:p>
    <w:p w:rsidR="00C95121" w:rsidRDefault="00C95121">
      <w:r>
        <w:t xml:space="preserve">This particular moment of controversy has been a battle over space. Space to trial modified crops, space for science to flex its muscles of innovation and experimentation, </w:t>
      </w:r>
      <w:r w:rsidR="00236BC1">
        <w:t xml:space="preserve">and </w:t>
      </w:r>
      <w:r>
        <w:t>space for disparate and conflicting voices in public discussion</w:t>
      </w:r>
      <w:r w:rsidR="00B545D3">
        <w:t>s</w:t>
      </w:r>
      <w:r>
        <w:t xml:space="preserve"> about</w:t>
      </w:r>
      <w:r w:rsidR="00B545D3">
        <w:t xml:space="preserve"> the</w:t>
      </w:r>
      <w:r>
        <w:t xml:space="preserve"> </w:t>
      </w:r>
      <w:r w:rsidR="00B545D3">
        <w:t>future of food systems</w:t>
      </w:r>
      <w:r>
        <w:t xml:space="preserve">. </w:t>
      </w:r>
      <w:proofErr w:type="spellStart"/>
      <w:r w:rsidR="00B32054">
        <w:t>Rothamsted’s</w:t>
      </w:r>
      <w:proofErr w:type="spellEnd"/>
      <w:r w:rsidR="00B32054">
        <w:t xml:space="preserve"> </w:t>
      </w:r>
      <w:r>
        <w:t>field in Hertfordshire has taken on the symbolic weight of these contested spaces. It has become a territory delineated and defined by the political strategies of the conflicting parties.</w:t>
      </w:r>
    </w:p>
    <w:p w:rsidR="00214CF3" w:rsidRDefault="00947DC1">
      <w:r>
        <w:t xml:space="preserve">The task for geographers is to </w:t>
      </w:r>
      <w:r w:rsidR="00771C97">
        <w:t xml:space="preserve">reinvigorate the debate about the rhetorical boundaries between different forms of reason with accounts of the materiality of the boundaries which separate the sciences from their various outsides. Material spatialities are constitutive of democratic debate </w:t>
      </w:r>
      <w:r w:rsidR="00771C97" w:rsidRPr="00771C97">
        <w:rPr>
          <w:noProof/>
        </w:rPr>
        <w:t xml:space="preserve">(Pugh </w:t>
      </w:r>
      <w:r w:rsidR="00771C97" w:rsidRPr="00AB08D8">
        <w:rPr>
          <w:i/>
          <w:iCs/>
          <w:noProof/>
        </w:rPr>
        <w:t>et al</w:t>
      </w:r>
      <w:r w:rsidR="00403BA4">
        <w:rPr>
          <w:i/>
          <w:iCs/>
          <w:noProof/>
        </w:rPr>
        <w:t>.</w:t>
      </w:r>
      <w:r w:rsidR="00771C97" w:rsidRPr="00771C97">
        <w:rPr>
          <w:noProof/>
        </w:rPr>
        <w:t xml:space="preserve"> 2009)</w:t>
      </w:r>
      <w:r w:rsidR="00771C97">
        <w:t xml:space="preserve">, yet </w:t>
      </w:r>
      <w:r w:rsidR="00236BC1">
        <w:t>social scientific accounts of</w:t>
      </w:r>
      <w:r w:rsidR="00771C97">
        <w:t xml:space="preserve"> GM deliberations speak too frequently of a national</w:t>
      </w:r>
      <w:r>
        <w:t>ly-situated</w:t>
      </w:r>
      <w:r w:rsidR="00771C97">
        <w:t xml:space="preserve"> ‘public debate’ which appears to float above the physical spaces where the debate does (or does not) take place. </w:t>
      </w:r>
      <w:r w:rsidR="00861D9F">
        <w:t>As we have attempted to show here, a</w:t>
      </w:r>
      <w:r w:rsidR="001E2CE8">
        <w:t xml:space="preserve">n approach which focuses on the </w:t>
      </w:r>
      <w:r w:rsidR="00861D9F">
        <w:t>contours and multiple scales</w:t>
      </w:r>
      <w:r w:rsidR="001E2CE8">
        <w:t xml:space="preserve"> of public debate </w:t>
      </w:r>
      <w:r w:rsidR="00B545D3">
        <w:t>offers significant analytic potential</w:t>
      </w:r>
      <w:r w:rsidR="001E2CE8">
        <w:t>.</w:t>
      </w:r>
    </w:p>
    <w:p w:rsidR="00771C97" w:rsidRDefault="00B32054" w:rsidP="00F27979">
      <w:proofErr w:type="spellStart"/>
      <w:r>
        <w:t>Soja’s</w:t>
      </w:r>
      <w:proofErr w:type="spellEnd"/>
      <w:r w:rsidR="00D7693F">
        <w:t xml:space="preserve"> (1989)</w:t>
      </w:r>
      <w:r>
        <w:t xml:space="preserve"> </w:t>
      </w:r>
      <w:r w:rsidR="00F27979">
        <w:t>insists</w:t>
      </w:r>
      <w:r>
        <w:t xml:space="preserve"> </w:t>
      </w:r>
      <w:r w:rsidR="00D7693F">
        <w:t>on</w:t>
      </w:r>
      <w:r>
        <w:t xml:space="preserve"> the </w:t>
      </w:r>
      <w:r w:rsidR="00D7693F">
        <w:t>co-constitution of ph</w:t>
      </w:r>
      <w:r w:rsidR="00F27979">
        <w:t>ysical, mental and social space.</w:t>
      </w:r>
      <w:r w:rsidR="00D7693F">
        <w:t xml:space="preserve"> </w:t>
      </w:r>
      <w:r w:rsidR="003204D2">
        <w:t xml:space="preserve">For example, the </w:t>
      </w:r>
      <w:r w:rsidR="001E2CE8">
        <w:t>act</w:t>
      </w:r>
      <w:r w:rsidR="003204D2">
        <w:t xml:space="preserve"> of </w:t>
      </w:r>
      <w:r w:rsidR="001E2CE8">
        <w:t>defending an</w:t>
      </w:r>
      <w:r w:rsidR="003204D2">
        <w:t xml:space="preserve"> experimental field as a material technology of scientific innovation </w:t>
      </w:r>
      <w:r w:rsidR="001E2CE8">
        <w:t>is simultaneously articulated with</w:t>
      </w:r>
      <w:r w:rsidR="003204D2">
        <w:t xml:space="preserve"> a broader defence </w:t>
      </w:r>
      <w:r w:rsidR="00B545D3">
        <w:t xml:space="preserve">both </w:t>
      </w:r>
      <w:r w:rsidR="003204D2">
        <w:t xml:space="preserve">of </w:t>
      </w:r>
      <w:r w:rsidR="001E2CE8">
        <w:t>the autonomy of science in governmental practice and scientific reason in public debate</w:t>
      </w:r>
      <w:r w:rsidR="003204D2">
        <w:t xml:space="preserve">. </w:t>
      </w:r>
      <w:r w:rsidR="00F27979">
        <w:t xml:space="preserve">Thus deliberation and antagonism must be seen as embodied, territorialized, material and involving the negotiation, contestation and occasional transgression of boundaries. </w:t>
      </w:r>
      <w:r w:rsidR="00947DC1">
        <w:t xml:space="preserve">Recognising and tracing not just the spatial correlates of these boundaries but the spatial practices by which such deliberation is enacted is a task which geographers could productively embrace. </w:t>
      </w:r>
    </w:p>
    <w:p w:rsidR="00D57657" w:rsidRDefault="00236BC1">
      <w:pPr>
        <w:rPr>
          <w:b/>
        </w:rPr>
      </w:pPr>
      <w:r w:rsidRPr="00236BC1">
        <w:t xml:space="preserve">Engagement with the </w:t>
      </w:r>
      <w:r>
        <w:t>materiality of such contemporary debates does nothing to deny their strongly social and political nature</w:t>
      </w:r>
      <w:r w:rsidR="00FC77EF">
        <w:t xml:space="preserve">. Rather it promotes new understandings of the relationship between the </w:t>
      </w:r>
      <w:r w:rsidR="00D7693F">
        <w:t>‘</w:t>
      </w:r>
      <w:r w:rsidR="00FC77EF">
        <w:t>human</w:t>
      </w:r>
      <w:r w:rsidR="00D7693F">
        <w:t>’</w:t>
      </w:r>
      <w:r w:rsidR="00FC77EF">
        <w:t xml:space="preserve"> and the </w:t>
      </w:r>
      <w:r w:rsidR="00D7693F">
        <w:t>‘</w:t>
      </w:r>
      <w:r w:rsidR="00FC77EF">
        <w:t>natural</w:t>
      </w:r>
      <w:r w:rsidR="00D7693F">
        <w:t>’</w:t>
      </w:r>
      <w:r w:rsidR="00FC77EF">
        <w:t xml:space="preserve">, recognising their mutual making and re-making </w:t>
      </w:r>
      <w:r w:rsidR="00B545D3">
        <w:t xml:space="preserve">through </w:t>
      </w:r>
      <w:r w:rsidR="00FC77EF">
        <w:t>spatial practice</w:t>
      </w:r>
      <w:r w:rsidR="00B32054">
        <w:t>s</w:t>
      </w:r>
      <w:r w:rsidR="00FC77EF">
        <w:t xml:space="preserve">.  </w:t>
      </w:r>
    </w:p>
    <w:p w:rsidR="00EE4F58" w:rsidRPr="00445555" w:rsidRDefault="00D57657" w:rsidP="00EE4F58">
      <w:pPr>
        <w:divId w:val="451896996"/>
        <w:rPr>
          <w:b/>
          <w:sz w:val="28"/>
          <w:szCs w:val="28"/>
        </w:rPr>
      </w:pPr>
      <w:r w:rsidRPr="00445555">
        <w:rPr>
          <w:b/>
          <w:sz w:val="28"/>
          <w:szCs w:val="28"/>
        </w:rPr>
        <w:t>References</w:t>
      </w:r>
    </w:p>
    <w:p w:rsidR="003A7F3C" w:rsidRPr="004B5949" w:rsidRDefault="00793286" w:rsidP="00EE4F58">
      <w:pPr>
        <w:divId w:val="451896996"/>
        <w:rPr>
          <w:rFonts w:cs="Calibri"/>
        </w:rPr>
      </w:pPr>
      <w:r>
        <w:rPr>
          <w:rFonts w:cs="Calibri"/>
          <w:b/>
        </w:rPr>
        <w:t>Anderson</w:t>
      </w:r>
      <w:r w:rsidR="003A7F3C" w:rsidRPr="00793286">
        <w:rPr>
          <w:rFonts w:cs="Calibri"/>
          <w:b/>
        </w:rPr>
        <w:t xml:space="preserve"> B</w:t>
      </w:r>
      <w:r>
        <w:rPr>
          <w:rFonts w:cs="Calibri"/>
          <w:b/>
        </w:rPr>
        <w:t>, Kearnes M</w:t>
      </w:r>
      <w:r w:rsidR="003A7F3C" w:rsidRPr="00793286">
        <w:rPr>
          <w:rFonts w:cs="Calibri"/>
          <w:b/>
        </w:rPr>
        <w:t xml:space="preserve"> &amp; Doubleday R</w:t>
      </w:r>
      <w:r w:rsidR="003A7F3C" w:rsidRPr="003A7F3C">
        <w:rPr>
          <w:rFonts w:cs="Calibri"/>
        </w:rPr>
        <w:t xml:space="preserve"> </w:t>
      </w:r>
      <w:r>
        <w:rPr>
          <w:rFonts w:cs="Calibri"/>
        </w:rPr>
        <w:t xml:space="preserve">2007 </w:t>
      </w:r>
      <w:r w:rsidR="003A7F3C" w:rsidRPr="003A7F3C">
        <w:rPr>
          <w:rFonts w:cs="Calibri"/>
        </w:rPr>
        <w:t>Ge</w:t>
      </w:r>
      <w:r>
        <w:rPr>
          <w:rFonts w:cs="Calibri"/>
        </w:rPr>
        <w:t xml:space="preserve">ographies of </w:t>
      </w:r>
      <w:proofErr w:type="spellStart"/>
      <w:r>
        <w:rPr>
          <w:rFonts w:cs="Calibri"/>
        </w:rPr>
        <w:t>nano-technoscience</w:t>
      </w:r>
      <w:proofErr w:type="spellEnd"/>
      <w:r w:rsidR="003A7F3C" w:rsidRPr="003A7F3C">
        <w:rPr>
          <w:rFonts w:cs="Calibri"/>
        </w:rPr>
        <w:t xml:space="preserve"> </w:t>
      </w:r>
      <w:r w:rsidR="003A7F3C" w:rsidRPr="003A7F3C">
        <w:rPr>
          <w:rFonts w:cs="Calibri"/>
          <w:i/>
          <w:iCs/>
        </w:rPr>
        <w:t>Area</w:t>
      </w:r>
      <w:r w:rsidR="003A7F3C" w:rsidRPr="003A7F3C">
        <w:rPr>
          <w:rFonts w:cs="Calibri"/>
        </w:rPr>
        <w:t xml:space="preserve"> </w:t>
      </w:r>
      <w:r w:rsidR="003A7F3C" w:rsidRPr="00793286">
        <w:rPr>
          <w:rFonts w:cs="Calibri"/>
          <w:iCs/>
        </w:rPr>
        <w:t>39</w:t>
      </w:r>
      <w:r>
        <w:rPr>
          <w:rFonts w:cs="Calibri"/>
        </w:rPr>
        <w:t xml:space="preserve"> 139-142</w:t>
      </w:r>
    </w:p>
    <w:p w:rsidR="003A7F3C" w:rsidRPr="003A7F3C" w:rsidRDefault="00793286">
      <w:pPr>
        <w:pStyle w:val="NormalWeb"/>
        <w:ind w:left="480" w:hanging="480"/>
        <w:divId w:val="451896996"/>
        <w:rPr>
          <w:rFonts w:ascii="Calibri" w:hAnsi="Calibri" w:cs="Calibri"/>
          <w:sz w:val="22"/>
        </w:rPr>
      </w:pPr>
      <w:r>
        <w:rPr>
          <w:rFonts w:ascii="Calibri" w:hAnsi="Calibri" w:cs="Calibri"/>
          <w:b/>
          <w:sz w:val="22"/>
        </w:rPr>
        <w:t>Braun K</w:t>
      </w:r>
      <w:r w:rsidR="003A7F3C" w:rsidRPr="00793286">
        <w:rPr>
          <w:rFonts w:ascii="Calibri" w:hAnsi="Calibri" w:cs="Calibri"/>
          <w:b/>
          <w:sz w:val="22"/>
        </w:rPr>
        <w:t xml:space="preserve"> &amp; Schultz S</w:t>
      </w:r>
      <w:r>
        <w:rPr>
          <w:rFonts w:ascii="Calibri" w:hAnsi="Calibri" w:cs="Calibri"/>
          <w:sz w:val="22"/>
        </w:rPr>
        <w:t xml:space="preserve"> </w:t>
      </w:r>
      <w:r w:rsidR="003A7F3C" w:rsidRPr="003A7F3C">
        <w:rPr>
          <w:rFonts w:ascii="Calibri" w:hAnsi="Calibri" w:cs="Calibri"/>
          <w:sz w:val="22"/>
        </w:rPr>
        <w:t xml:space="preserve">2010 </w:t>
      </w:r>
      <w:proofErr w:type="gramStart"/>
      <w:r w:rsidR="003A7F3C" w:rsidRPr="003A7F3C">
        <w:rPr>
          <w:rFonts w:ascii="Calibri" w:hAnsi="Calibri" w:cs="Calibri"/>
          <w:sz w:val="22"/>
        </w:rPr>
        <w:t>“ ...</w:t>
      </w:r>
      <w:proofErr w:type="gramEnd"/>
      <w:r w:rsidR="003A7F3C" w:rsidRPr="003A7F3C">
        <w:rPr>
          <w:rFonts w:ascii="Calibri" w:hAnsi="Calibri" w:cs="Calibri"/>
          <w:sz w:val="22"/>
        </w:rPr>
        <w:t xml:space="preserve"> a certain amount of engineering involved”: Constructing the public in partic</w:t>
      </w:r>
      <w:r>
        <w:rPr>
          <w:rFonts w:ascii="Calibri" w:hAnsi="Calibri" w:cs="Calibri"/>
          <w:sz w:val="22"/>
        </w:rPr>
        <w:t>ipatory governance arrangements</w:t>
      </w:r>
      <w:r w:rsidR="003A7F3C" w:rsidRPr="003A7F3C">
        <w:rPr>
          <w:rFonts w:ascii="Calibri" w:hAnsi="Calibri" w:cs="Calibri"/>
          <w:sz w:val="22"/>
        </w:rPr>
        <w:t xml:space="preserve"> </w:t>
      </w:r>
      <w:r w:rsidR="003A7F3C" w:rsidRPr="003A7F3C">
        <w:rPr>
          <w:rFonts w:ascii="Calibri" w:hAnsi="Calibri" w:cs="Calibri"/>
          <w:i/>
          <w:iCs/>
          <w:sz w:val="22"/>
        </w:rPr>
        <w:t>Public Understanding of Science</w:t>
      </w:r>
      <w:r w:rsidR="003A7F3C" w:rsidRPr="003A7F3C">
        <w:rPr>
          <w:rFonts w:ascii="Calibri" w:hAnsi="Calibri" w:cs="Calibri"/>
          <w:sz w:val="22"/>
        </w:rPr>
        <w:t xml:space="preserve"> </w:t>
      </w:r>
      <w:r w:rsidR="003A7F3C" w:rsidRPr="00793286">
        <w:rPr>
          <w:rFonts w:ascii="Calibri" w:hAnsi="Calibri" w:cs="Calibri"/>
          <w:iCs/>
          <w:sz w:val="22"/>
        </w:rPr>
        <w:t>19</w:t>
      </w:r>
      <w:r w:rsidR="00186E86">
        <w:rPr>
          <w:rFonts w:ascii="Calibri" w:hAnsi="Calibri" w:cs="Calibri"/>
          <w:sz w:val="22"/>
        </w:rPr>
        <w:t xml:space="preserve"> 403-419</w:t>
      </w:r>
      <w:r w:rsidR="003A7F3C" w:rsidRPr="003A7F3C">
        <w:rPr>
          <w:rFonts w:ascii="Calibri" w:hAnsi="Calibri" w:cs="Calibri"/>
          <w:sz w:val="22"/>
        </w:rPr>
        <w:t xml:space="preserve"> </w:t>
      </w:r>
    </w:p>
    <w:p w:rsidR="003A7F3C" w:rsidRPr="003A7F3C" w:rsidRDefault="003A7F3C">
      <w:pPr>
        <w:pStyle w:val="NormalWeb"/>
        <w:ind w:left="480" w:hanging="480"/>
        <w:divId w:val="451896996"/>
        <w:rPr>
          <w:rFonts w:ascii="Calibri" w:hAnsi="Calibri" w:cs="Calibri"/>
          <w:sz w:val="22"/>
        </w:rPr>
      </w:pPr>
      <w:r w:rsidRPr="00793286">
        <w:rPr>
          <w:rFonts w:ascii="Calibri" w:hAnsi="Calibri" w:cs="Calibri"/>
          <w:b/>
          <w:sz w:val="22"/>
        </w:rPr>
        <w:lastRenderedPageBreak/>
        <w:t>Doubleday R &amp; Wynne B</w:t>
      </w:r>
      <w:r w:rsidRPr="003A7F3C">
        <w:rPr>
          <w:rFonts w:ascii="Calibri" w:hAnsi="Calibri" w:cs="Calibri"/>
          <w:sz w:val="22"/>
        </w:rPr>
        <w:t xml:space="preserve"> 2011 Despotism and democracy in the UK: experiments in reframing relations between t</w:t>
      </w:r>
      <w:r w:rsidR="00793286">
        <w:rPr>
          <w:rFonts w:ascii="Calibri" w:hAnsi="Calibri" w:cs="Calibri"/>
          <w:sz w:val="22"/>
        </w:rPr>
        <w:t xml:space="preserve">he state, science and citizens in </w:t>
      </w:r>
      <w:r w:rsidR="00793286" w:rsidRPr="00186E86">
        <w:rPr>
          <w:rFonts w:ascii="Calibri" w:hAnsi="Calibri" w:cs="Calibri"/>
          <w:b/>
          <w:sz w:val="22"/>
        </w:rPr>
        <w:t>S</w:t>
      </w:r>
      <w:r w:rsidRPr="00186E86">
        <w:rPr>
          <w:rFonts w:ascii="Calibri" w:hAnsi="Calibri" w:cs="Calibri"/>
          <w:b/>
          <w:sz w:val="22"/>
        </w:rPr>
        <w:t xml:space="preserve"> Jasanoff</w:t>
      </w:r>
      <w:r w:rsidR="00186E86">
        <w:rPr>
          <w:rFonts w:ascii="Calibri" w:hAnsi="Calibri" w:cs="Calibri"/>
          <w:sz w:val="22"/>
        </w:rPr>
        <w:t xml:space="preserve"> e</w:t>
      </w:r>
      <w:r w:rsidRPr="003A7F3C">
        <w:rPr>
          <w:rFonts w:ascii="Calibri" w:hAnsi="Calibri" w:cs="Calibri"/>
          <w:sz w:val="22"/>
        </w:rPr>
        <w:t xml:space="preserve">d. </w:t>
      </w:r>
      <w:r w:rsidRPr="003A7F3C">
        <w:rPr>
          <w:rFonts w:ascii="Calibri" w:hAnsi="Calibri" w:cs="Calibri"/>
          <w:i/>
          <w:iCs/>
          <w:sz w:val="22"/>
        </w:rPr>
        <w:t>Reframing Rights: The constitutional implications of technological chang</w:t>
      </w:r>
      <w:r w:rsidR="00403BA4">
        <w:rPr>
          <w:rFonts w:ascii="Calibri" w:hAnsi="Calibri" w:cs="Calibri"/>
          <w:i/>
          <w:iCs/>
          <w:sz w:val="22"/>
        </w:rPr>
        <w:t>e</w:t>
      </w:r>
      <w:r w:rsidR="00186E86">
        <w:rPr>
          <w:rFonts w:ascii="Calibri" w:hAnsi="Calibri" w:cs="Calibri"/>
          <w:sz w:val="22"/>
        </w:rPr>
        <w:t xml:space="preserve"> MIT Press</w:t>
      </w:r>
      <w:r w:rsidR="00403BA4">
        <w:rPr>
          <w:rFonts w:ascii="Calibri" w:hAnsi="Calibri" w:cs="Calibri"/>
          <w:sz w:val="22"/>
        </w:rPr>
        <w:t>,</w:t>
      </w:r>
      <w:r w:rsidR="00186E86">
        <w:rPr>
          <w:rFonts w:ascii="Calibri" w:hAnsi="Calibri" w:cs="Calibri"/>
          <w:sz w:val="22"/>
        </w:rPr>
        <w:t xml:space="preserve"> Cambridge</w:t>
      </w:r>
      <w:r w:rsidR="00793286">
        <w:rPr>
          <w:rFonts w:ascii="Calibri" w:hAnsi="Calibri" w:cs="Calibri"/>
          <w:sz w:val="22"/>
        </w:rPr>
        <w:t xml:space="preserve"> 239-261</w:t>
      </w:r>
    </w:p>
    <w:p w:rsidR="003A7F3C" w:rsidRPr="003A7F3C" w:rsidRDefault="003A7F3C">
      <w:pPr>
        <w:pStyle w:val="NormalWeb"/>
        <w:ind w:left="480" w:hanging="480"/>
        <w:divId w:val="451896996"/>
        <w:rPr>
          <w:rFonts w:ascii="Calibri" w:hAnsi="Calibri" w:cs="Calibri"/>
          <w:sz w:val="22"/>
        </w:rPr>
      </w:pPr>
      <w:proofErr w:type="spellStart"/>
      <w:r w:rsidRPr="00793286">
        <w:rPr>
          <w:rFonts w:ascii="Calibri" w:hAnsi="Calibri" w:cs="Calibri"/>
          <w:b/>
          <w:sz w:val="22"/>
        </w:rPr>
        <w:t>Gieryn</w:t>
      </w:r>
      <w:proofErr w:type="spellEnd"/>
      <w:r w:rsidRPr="00793286">
        <w:rPr>
          <w:rFonts w:ascii="Calibri" w:hAnsi="Calibri" w:cs="Calibri"/>
          <w:b/>
          <w:sz w:val="22"/>
        </w:rPr>
        <w:t xml:space="preserve"> T F</w:t>
      </w:r>
      <w:r w:rsidRPr="003A7F3C">
        <w:rPr>
          <w:rFonts w:ascii="Calibri" w:hAnsi="Calibri" w:cs="Calibri"/>
          <w:sz w:val="22"/>
        </w:rPr>
        <w:t xml:space="preserve"> 1983 Boundary-Work and the Demarcation of Science from Non-Science : Strains and Interests in Profes</w:t>
      </w:r>
      <w:r w:rsidR="00793286">
        <w:rPr>
          <w:rFonts w:ascii="Calibri" w:hAnsi="Calibri" w:cs="Calibri"/>
          <w:sz w:val="22"/>
        </w:rPr>
        <w:t xml:space="preserve">sional Ideologies of Scientists </w:t>
      </w:r>
      <w:r w:rsidRPr="003A7F3C">
        <w:rPr>
          <w:rFonts w:ascii="Calibri" w:hAnsi="Calibri" w:cs="Calibri"/>
          <w:i/>
          <w:iCs/>
          <w:sz w:val="22"/>
        </w:rPr>
        <w:t>American Sociological Review</w:t>
      </w:r>
      <w:r w:rsidRPr="003A7F3C">
        <w:rPr>
          <w:rFonts w:ascii="Calibri" w:hAnsi="Calibri" w:cs="Calibri"/>
          <w:sz w:val="22"/>
        </w:rPr>
        <w:t xml:space="preserve"> </w:t>
      </w:r>
      <w:r w:rsidRPr="00793286">
        <w:rPr>
          <w:rFonts w:ascii="Calibri" w:hAnsi="Calibri" w:cs="Calibri"/>
          <w:iCs/>
          <w:sz w:val="22"/>
        </w:rPr>
        <w:t>48</w:t>
      </w:r>
      <w:r w:rsidR="00793286">
        <w:rPr>
          <w:rFonts w:ascii="Calibri" w:hAnsi="Calibri" w:cs="Calibri"/>
          <w:iCs/>
          <w:sz w:val="22"/>
        </w:rPr>
        <w:t xml:space="preserve"> </w:t>
      </w:r>
      <w:r w:rsidRPr="003A7F3C">
        <w:rPr>
          <w:rFonts w:ascii="Calibri" w:hAnsi="Calibri" w:cs="Calibri"/>
          <w:sz w:val="22"/>
        </w:rPr>
        <w:t>781-795</w:t>
      </w:r>
    </w:p>
    <w:p w:rsidR="003A7F3C" w:rsidRPr="003A7F3C" w:rsidRDefault="00793286">
      <w:pPr>
        <w:pStyle w:val="NormalWeb"/>
        <w:ind w:left="480" w:hanging="480"/>
        <w:divId w:val="451896996"/>
        <w:rPr>
          <w:rFonts w:ascii="Calibri" w:hAnsi="Calibri" w:cs="Calibri"/>
          <w:sz w:val="22"/>
        </w:rPr>
      </w:pPr>
      <w:proofErr w:type="spellStart"/>
      <w:r>
        <w:rPr>
          <w:rFonts w:ascii="Calibri" w:hAnsi="Calibri" w:cs="Calibri"/>
          <w:b/>
          <w:sz w:val="22"/>
        </w:rPr>
        <w:t>Marres</w:t>
      </w:r>
      <w:proofErr w:type="spellEnd"/>
      <w:r w:rsidR="003A7F3C" w:rsidRPr="00793286">
        <w:rPr>
          <w:rFonts w:ascii="Calibri" w:hAnsi="Calibri" w:cs="Calibri"/>
          <w:b/>
          <w:sz w:val="22"/>
        </w:rPr>
        <w:t xml:space="preserve"> N</w:t>
      </w:r>
      <w:r>
        <w:rPr>
          <w:rFonts w:ascii="Calibri" w:hAnsi="Calibri" w:cs="Calibri"/>
          <w:b/>
          <w:sz w:val="22"/>
        </w:rPr>
        <w:t xml:space="preserve"> </w:t>
      </w:r>
      <w:r w:rsidR="003A7F3C" w:rsidRPr="003A7F3C">
        <w:rPr>
          <w:rFonts w:ascii="Calibri" w:hAnsi="Calibri" w:cs="Calibri"/>
          <w:sz w:val="22"/>
        </w:rPr>
        <w:t xml:space="preserve">2007 </w:t>
      </w:r>
      <w:proofErr w:type="gramStart"/>
      <w:r w:rsidR="003A7F3C" w:rsidRPr="003A7F3C">
        <w:rPr>
          <w:rFonts w:ascii="Calibri" w:hAnsi="Calibri" w:cs="Calibri"/>
          <w:sz w:val="22"/>
        </w:rPr>
        <w:t>The</w:t>
      </w:r>
      <w:proofErr w:type="gramEnd"/>
      <w:r w:rsidR="003A7F3C" w:rsidRPr="003A7F3C">
        <w:rPr>
          <w:rFonts w:ascii="Calibri" w:hAnsi="Calibri" w:cs="Calibri"/>
          <w:sz w:val="22"/>
        </w:rPr>
        <w:t xml:space="preserve"> Issues Deserve More Credit: Pragmatist Contributions to the Study of Public Involvement in Controversy </w:t>
      </w:r>
      <w:r w:rsidR="003A7F3C" w:rsidRPr="003A7F3C">
        <w:rPr>
          <w:rFonts w:ascii="Calibri" w:hAnsi="Calibri" w:cs="Calibri"/>
          <w:i/>
          <w:iCs/>
          <w:sz w:val="22"/>
        </w:rPr>
        <w:t>Social Studies of Science</w:t>
      </w:r>
      <w:r w:rsidR="003A7F3C" w:rsidRPr="003A7F3C">
        <w:rPr>
          <w:rFonts w:ascii="Calibri" w:hAnsi="Calibri" w:cs="Calibri"/>
          <w:sz w:val="22"/>
        </w:rPr>
        <w:t xml:space="preserve"> </w:t>
      </w:r>
      <w:r w:rsidR="003A7F3C" w:rsidRPr="00793286">
        <w:rPr>
          <w:rFonts w:ascii="Calibri" w:hAnsi="Calibri" w:cs="Calibri"/>
          <w:iCs/>
          <w:sz w:val="22"/>
        </w:rPr>
        <w:t>37</w:t>
      </w:r>
      <w:r w:rsidR="003A7F3C" w:rsidRPr="00793286">
        <w:rPr>
          <w:rFonts w:ascii="Calibri" w:hAnsi="Calibri" w:cs="Calibri"/>
          <w:sz w:val="22"/>
        </w:rPr>
        <w:t xml:space="preserve"> </w:t>
      </w:r>
      <w:r>
        <w:rPr>
          <w:rFonts w:ascii="Calibri" w:hAnsi="Calibri" w:cs="Calibri"/>
          <w:sz w:val="22"/>
        </w:rPr>
        <w:t>759-780</w:t>
      </w:r>
    </w:p>
    <w:p w:rsidR="003A7F3C" w:rsidRPr="003A7F3C" w:rsidRDefault="00793286">
      <w:pPr>
        <w:pStyle w:val="NormalWeb"/>
        <w:ind w:left="480" w:hanging="480"/>
        <w:divId w:val="451896996"/>
        <w:rPr>
          <w:rFonts w:ascii="Calibri" w:hAnsi="Calibri" w:cs="Calibri"/>
          <w:sz w:val="22"/>
        </w:rPr>
      </w:pPr>
      <w:r>
        <w:rPr>
          <w:rFonts w:ascii="Calibri" w:hAnsi="Calibri" w:cs="Calibri"/>
          <w:b/>
          <w:sz w:val="22"/>
        </w:rPr>
        <w:t>Pugh</w:t>
      </w:r>
      <w:r w:rsidR="003A7F3C" w:rsidRPr="00793286">
        <w:rPr>
          <w:rFonts w:ascii="Calibri" w:hAnsi="Calibri" w:cs="Calibri"/>
          <w:b/>
          <w:sz w:val="22"/>
        </w:rPr>
        <w:t xml:space="preserve"> J </w:t>
      </w:r>
      <w:r w:rsidR="000D4E54">
        <w:rPr>
          <w:rFonts w:ascii="Calibri" w:hAnsi="Calibri" w:cs="Calibri"/>
          <w:b/>
          <w:sz w:val="22"/>
        </w:rPr>
        <w:t>and</w:t>
      </w:r>
      <w:r w:rsidR="003A7F3C" w:rsidRPr="00793286">
        <w:rPr>
          <w:rFonts w:ascii="Calibri" w:hAnsi="Calibri" w:cs="Calibri"/>
          <w:b/>
          <w:sz w:val="22"/>
        </w:rPr>
        <w:t xml:space="preserve"> The Spaces of Democracy and the Democracy of Space Network</w:t>
      </w:r>
      <w:r>
        <w:rPr>
          <w:rFonts w:ascii="Calibri" w:hAnsi="Calibri" w:cs="Calibri"/>
          <w:sz w:val="22"/>
        </w:rPr>
        <w:t xml:space="preserve"> </w:t>
      </w:r>
      <w:r w:rsidR="003A7F3C" w:rsidRPr="003A7F3C">
        <w:rPr>
          <w:rFonts w:ascii="Calibri" w:hAnsi="Calibri" w:cs="Calibri"/>
          <w:sz w:val="22"/>
        </w:rPr>
        <w:t xml:space="preserve">2009 </w:t>
      </w:r>
      <w:proofErr w:type="gramStart"/>
      <w:r w:rsidR="003A7F3C" w:rsidRPr="003A7F3C">
        <w:rPr>
          <w:rFonts w:ascii="Calibri" w:hAnsi="Calibri" w:cs="Calibri"/>
          <w:sz w:val="22"/>
        </w:rPr>
        <w:t>What</w:t>
      </w:r>
      <w:proofErr w:type="gramEnd"/>
      <w:r w:rsidR="003A7F3C" w:rsidRPr="003A7F3C">
        <w:rPr>
          <w:rFonts w:ascii="Calibri" w:hAnsi="Calibri" w:cs="Calibri"/>
          <w:sz w:val="22"/>
        </w:rPr>
        <w:t xml:space="preserve"> are the consequences of the “spatial turn” for how we understand politics today? A proposed research age</w:t>
      </w:r>
      <w:r>
        <w:rPr>
          <w:rFonts w:ascii="Calibri" w:hAnsi="Calibri" w:cs="Calibri"/>
          <w:sz w:val="22"/>
        </w:rPr>
        <w:t>nda</w:t>
      </w:r>
      <w:r w:rsidR="003A7F3C" w:rsidRPr="003A7F3C">
        <w:rPr>
          <w:rFonts w:ascii="Calibri" w:hAnsi="Calibri" w:cs="Calibri"/>
          <w:sz w:val="22"/>
        </w:rPr>
        <w:t xml:space="preserve"> </w:t>
      </w:r>
      <w:r w:rsidR="003A7F3C" w:rsidRPr="003A7F3C">
        <w:rPr>
          <w:rFonts w:ascii="Calibri" w:hAnsi="Calibri" w:cs="Calibri"/>
          <w:i/>
          <w:iCs/>
          <w:sz w:val="22"/>
        </w:rPr>
        <w:t>Progress in Human Geography</w:t>
      </w:r>
      <w:r w:rsidR="003A7F3C" w:rsidRPr="003A7F3C">
        <w:rPr>
          <w:rFonts w:ascii="Calibri" w:hAnsi="Calibri" w:cs="Calibri"/>
          <w:sz w:val="22"/>
        </w:rPr>
        <w:t xml:space="preserve"> </w:t>
      </w:r>
      <w:r w:rsidR="003A7F3C" w:rsidRPr="00793286">
        <w:rPr>
          <w:rFonts w:ascii="Calibri" w:hAnsi="Calibri" w:cs="Calibri"/>
          <w:iCs/>
          <w:sz w:val="22"/>
        </w:rPr>
        <w:t>33</w:t>
      </w:r>
      <w:r>
        <w:rPr>
          <w:rFonts w:ascii="Calibri" w:hAnsi="Calibri" w:cs="Calibri"/>
          <w:iCs/>
          <w:sz w:val="22"/>
        </w:rPr>
        <w:t xml:space="preserve"> </w:t>
      </w:r>
      <w:r>
        <w:rPr>
          <w:rFonts w:ascii="Calibri" w:hAnsi="Calibri" w:cs="Calibri"/>
          <w:sz w:val="22"/>
        </w:rPr>
        <w:t>579-586</w:t>
      </w:r>
    </w:p>
    <w:p w:rsidR="00445555" w:rsidRDefault="003A7F3C">
      <w:pPr>
        <w:pStyle w:val="NormalWeb"/>
        <w:ind w:left="480" w:hanging="480"/>
        <w:divId w:val="451896996"/>
        <w:rPr>
          <w:rFonts w:ascii="Calibri" w:hAnsi="Calibri" w:cs="Calibri"/>
          <w:sz w:val="22"/>
        </w:rPr>
      </w:pPr>
      <w:proofErr w:type="spellStart"/>
      <w:r w:rsidRPr="00793286">
        <w:rPr>
          <w:rFonts w:ascii="Calibri" w:hAnsi="Calibri" w:cs="Calibri"/>
          <w:b/>
          <w:sz w:val="22"/>
        </w:rPr>
        <w:t>Shapin</w:t>
      </w:r>
      <w:proofErr w:type="spellEnd"/>
      <w:r w:rsidRPr="00793286">
        <w:rPr>
          <w:rFonts w:ascii="Calibri" w:hAnsi="Calibri" w:cs="Calibri"/>
          <w:b/>
          <w:sz w:val="22"/>
        </w:rPr>
        <w:t xml:space="preserve"> S</w:t>
      </w:r>
      <w:r w:rsidRPr="003A7F3C">
        <w:rPr>
          <w:rFonts w:ascii="Calibri" w:hAnsi="Calibri" w:cs="Calibri"/>
          <w:sz w:val="22"/>
        </w:rPr>
        <w:t xml:space="preserve"> 1988 </w:t>
      </w:r>
      <w:proofErr w:type="gramStart"/>
      <w:r w:rsidRPr="003A7F3C">
        <w:rPr>
          <w:rFonts w:ascii="Calibri" w:hAnsi="Calibri" w:cs="Calibri"/>
          <w:sz w:val="22"/>
        </w:rPr>
        <w:t>The</w:t>
      </w:r>
      <w:proofErr w:type="gramEnd"/>
      <w:r w:rsidRPr="003A7F3C">
        <w:rPr>
          <w:rFonts w:ascii="Calibri" w:hAnsi="Calibri" w:cs="Calibri"/>
          <w:sz w:val="22"/>
        </w:rPr>
        <w:t xml:space="preserve"> House of Experiment in Seventeenth-Century England </w:t>
      </w:r>
      <w:r w:rsidRPr="003A7F3C">
        <w:rPr>
          <w:rFonts w:ascii="Calibri" w:hAnsi="Calibri" w:cs="Calibri"/>
          <w:i/>
          <w:iCs/>
          <w:sz w:val="22"/>
        </w:rPr>
        <w:t>Isis</w:t>
      </w:r>
      <w:r w:rsidRPr="003A7F3C">
        <w:rPr>
          <w:rFonts w:ascii="Calibri" w:hAnsi="Calibri" w:cs="Calibri"/>
          <w:sz w:val="22"/>
        </w:rPr>
        <w:t xml:space="preserve"> </w:t>
      </w:r>
      <w:r w:rsidRPr="00793286">
        <w:rPr>
          <w:rFonts w:ascii="Calibri" w:hAnsi="Calibri" w:cs="Calibri"/>
          <w:iCs/>
          <w:sz w:val="22"/>
        </w:rPr>
        <w:t>79</w:t>
      </w:r>
      <w:r w:rsidR="00445555">
        <w:rPr>
          <w:rFonts w:ascii="Calibri" w:hAnsi="Calibri" w:cs="Calibri"/>
          <w:sz w:val="22"/>
        </w:rPr>
        <w:t xml:space="preserve"> 373-404</w:t>
      </w:r>
    </w:p>
    <w:p w:rsidR="003A7F3C" w:rsidRPr="003A7F3C" w:rsidRDefault="00445555">
      <w:pPr>
        <w:pStyle w:val="NormalWeb"/>
        <w:ind w:left="480" w:hanging="480"/>
        <w:divId w:val="451896996"/>
        <w:rPr>
          <w:rFonts w:ascii="Calibri" w:hAnsi="Calibri" w:cs="Calibri"/>
          <w:sz w:val="22"/>
        </w:rPr>
      </w:pPr>
      <w:proofErr w:type="spellStart"/>
      <w:r>
        <w:rPr>
          <w:rFonts w:ascii="Calibri" w:hAnsi="Calibri" w:cs="Calibri"/>
          <w:b/>
          <w:sz w:val="22"/>
        </w:rPr>
        <w:t>Soja</w:t>
      </w:r>
      <w:proofErr w:type="spellEnd"/>
      <w:r w:rsidR="003A7F3C" w:rsidRPr="00445555">
        <w:rPr>
          <w:rFonts w:ascii="Calibri" w:hAnsi="Calibri" w:cs="Calibri"/>
          <w:b/>
          <w:sz w:val="22"/>
        </w:rPr>
        <w:t xml:space="preserve"> E W</w:t>
      </w:r>
      <w:r>
        <w:rPr>
          <w:rFonts w:ascii="Calibri" w:hAnsi="Calibri" w:cs="Calibri"/>
          <w:sz w:val="22"/>
        </w:rPr>
        <w:t xml:space="preserve"> 1989</w:t>
      </w:r>
      <w:r w:rsidR="003A7F3C" w:rsidRPr="003A7F3C">
        <w:rPr>
          <w:rFonts w:ascii="Calibri" w:hAnsi="Calibri" w:cs="Calibri"/>
          <w:sz w:val="22"/>
        </w:rPr>
        <w:t xml:space="preserve"> </w:t>
      </w:r>
      <w:r w:rsidR="003A7F3C" w:rsidRPr="003A7F3C">
        <w:rPr>
          <w:rFonts w:ascii="Calibri" w:hAnsi="Calibri" w:cs="Calibri"/>
          <w:i/>
          <w:iCs/>
          <w:sz w:val="22"/>
        </w:rPr>
        <w:t>Postmodern Geographies: The Reassertion of Space in Critical Social Theory</w:t>
      </w:r>
      <w:r>
        <w:rPr>
          <w:rFonts w:ascii="Calibri" w:hAnsi="Calibri" w:cs="Calibri"/>
          <w:sz w:val="22"/>
        </w:rPr>
        <w:t xml:space="preserve"> </w:t>
      </w:r>
      <w:r w:rsidR="00403BA4">
        <w:rPr>
          <w:rFonts w:ascii="Calibri" w:hAnsi="Calibri" w:cs="Calibri"/>
          <w:sz w:val="22"/>
        </w:rPr>
        <w:t>Verso, London</w:t>
      </w:r>
    </w:p>
    <w:p w:rsidR="002F3999" w:rsidRPr="002F3999" w:rsidRDefault="002F3999">
      <w:pPr>
        <w:pStyle w:val="PlainText"/>
        <w:ind w:left="567" w:hanging="567"/>
        <w:divId w:val="451896996"/>
        <w:rPr>
          <w:rFonts w:cs="Calibri"/>
          <w:bCs/>
        </w:rPr>
      </w:pPr>
      <w:r>
        <w:rPr>
          <w:rFonts w:cs="Calibri"/>
          <w:b/>
        </w:rPr>
        <w:t xml:space="preserve">Stirling </w:t>
      </w:r>
      <w:proofErr w:type="gramStart"/>
      <w:r>
        <w:rPr>
          <w:rFonts w:cs="Calibri"/>
          <w:b/>
        </w:rPr>
        <w:t>A</w:t>
      </w:r>
      <w:proofErr w:type="gramEnd"/>
      <w:r>
        <w:rPr>
          <w:rFonts w:cs="Calibri"/>
          <w:b/>
        </w:rPr>
        <w:t xml:space="preserve"> </w:t>
      </w:r>
      <w:r>
        <w:rPr>
          <w:rFonts w:cs="Calibri"/>
          <w:bCs/>
        </w:rPr>
        <w:t xml:space="preserve">2008 </w:t>
      </w:r>
      <w:r>
        <w:t>“Opening Up” and “Closing Down”: Power, Participation, and Pluralism in the</w:t>
      </w:r>
      <w:r w:rsidR="00724164">
        <w:t xml:space="preserve"> Social Appraisal of Technology </w:t>
      </w:r>
      <w:r w:rsidRPr="00724164">
        <w:rPr>
          <w:i/>
          <w:iCs/>
        </w:rPr>
        <w:t>Science, Technology &amp; Human Values</w:t>
      </w:r>
      <w:r>
        <w:t xml:space="preserve"> 33 262-294</w:t>
      </w:r>
    </w:p>
    <w:p w:rsidR="00B835C0" w:rsidRDefault="00B835C0" w:rsidP="00B835C0">
      <w:pPr>
        <w:pStyle w:val="PlainText"/>
        <w:divId w:val="451896996"/>
      </w:pPr>
    </w:p>
    <w:p w:rsidR="00B835C0" w:rsidRDefault="00B835C0" w:rsidP="00AB08D8">
      <w:pPr>
        <w:pStyle w:val="PlainText"/>
        <w:divId w:val="451896996"/>
        <w:rPr>
          <w:rFonts w:cs="Calibri"/>
          <w:b/>
        </w:rPr>
      </w:pPr>
      <w:proofErr w:type="spellStart"/>
      <w:r w:rsidRPr="00AB08D8">
        <w:rPr>
          <w:b/>
          <w:bCs/>
        </w:rPr>
        <w:t>Szerszynski</w:t>
      </w:r>
      <w:proofErr w:type="spellEnd"/>
      <w:r w:rsidRPr="00AB08D8">
        <w:rPr>
          <w:b/>
          <w:bCs/>
        </w:rPr>
        <w:t xml:space="preserve"> B</w:t>
      </w:r>
      <w:r>
        <w:t xml:space="preserve"> 2005 </w:t>
      </w:r>
      <w:proofErr w:type="gramStart"/>
      <w:r>
        <w:t>Beating</w:t>
      </w:r>
      <w:proofErr w:type="gramEnd"/>
      <w:r>
        <w:t xml:space="preserve"> the unbound: political theatre in the laboratory without walls in </w:t>
      </w:r>
      <w:proofErr w:type="spellStart"/>
      <w:r w:rsidRPr="00AB08D8">
        <w:rPr>
          <w:b/>
          <w:bCs/>
        </w:rPr>
        <w:t>Giannachi</w:t>
      </w:r>
      <w:proofErr w:type="spellEnd"/>
      <w:r w:rsidRPr="00AB08D8">
        <w:rPr>
          <w:b/>
          <w:bCs/>
        </w:rPr>
        <w:t xml:space="preserve"> </w:t>
      </w:r>
      <w:r>
        <w:rPr>
          <w:b/>
          <w:bCs/>
        </w:rPr>
        <w:t xml:space="preserve">G </w:t>
      </w:r>
      <w:r w:rsidRPr="00AB08D8">
        <w:rPr>
          <w:b/>
          <w:bCs/>
        </w:rPr>
        <w:t>and Stewart</w:t>
      </w:r>
      <w:r>
        <w:rPr>
          <w:b/>
          <w:bCs/>
        </w:rPr>
        <w:t xml:space="preserve"> N</w:t>
      </w:r>
      <w:r>
        <w:t xml:space="preserve"> </w:t>
      </w:r>
      <w:proofErr w:type="spellStart"/>
      <w:r>
        <w:t>eds</w:t>
      </w:r>
      <w:proofErr w:type="spellEnd"/>
      <w:r>
        <w:t xml:space="preserve"> </w:t>
      </w:r>
      <w:r w:rsidRPr="00AB08D8">
        <w:rPr>
          <w:i/>
          <w:iCs/>
        </w:rPr>
        <w:t>Performing Nature: Explorations in Ecology and the Arts</w:t>
      </w:r>
      <w:r>
        <w:t xml:space="preserve"> Peter Lang, New York 181-97</w:t>
      </w:r>
    </w:p>
    <w:p w:rsidR="003A7F3C" w:rsidRPr="00313B4F" w:rsidRDefault="003A7F3C">
      <w:pPr>
        <w:pStyle w:val="NormalWeb"/>
        <w:ind w:left="480" w:hanging="480"/>
        <w:divId w:val="451896996"/>
        <w:rPr>
          <w:rFonts w:ascii="Calibri" w:hAnsi="Calibri" w:cs="Calibri"/>
          <w:sz w:val="22"/>
        </w:rPr>
      </w:pPr>
      <w:proofErr w:type="spellStart"/>
      <w:r w:rsidRPr="00445555">
        <w:rPr>
          <w:rFonts w:ascii="Calibri" w:hAnsi="Calibri" w:cs="Calibri"/>
          <w:b/>
          <w:sz w:val="22"/>
        </w:rPr>
        <w:t>Whatmore</w:t>
      </w:r>
      <w:proofErr w:type="spellEnd"/>
      <w:r w:rsidRPr="00445555">
        <w:rPr>
          <w:rFonts w:ascii="Calibri" w:hAnsi="Calibri" w:cs="Calibri"/>
          <w:b/>
          <w:sz w:val="22"/>
        </w:rPr>
        <w:t xml:space="preserve"> S J</w:t>
      </w:r>
      <w:r w:rsidR="00445555">
        <w:rPr>
          <w:rFonts w:ascii="Calibri" w:hAnsi="Calibri" w:cs="Calibri"/>
          <w:sz w:val="22"/>
        </w:rPr>
        <w:t xml:space="preserve"> </w:t>
      </w:r>
      <w:r w:rsidR="00313B4F">
        <w:rPr>
          <w:rFonts w:ascii="Calibri" w:hAnsi="Calibri" w:cs="Calibri"/>
          <w:sz w:val="22"/>
        </w:rPr>
        <w:t>2002</w:t>
      </w:r>
      <w:r w:rsidRPr="003A7F3C">
        <w:rPr>
          <w:rFonts w:ascii="Calibri" w:hAnsi="Calibri" w:cs="Calibri"/>
          <w:sz w:val="22"/>
        </w:rPr>
        <w:t xml:space="preserve"> </w:t>
      </w:r>
      <w:r w:rsidR="00313B4F" w:rsidRPr="00313B4F">
        <w:rPr>
          <w:rFonts w:ascii="Calibri" w:hAnsi="Calibri" w:cs="Calibri"/>
          <w:i/>
          <w:sz w:val="22"/>
        </w:rPr>
        <w:t>Hybrid Geograp</w:t>
      </w:r>
      <w:r w:rsidR="00313B4F">
        <w:rPr>
          <w:rFonts w:ascii="Calibri" w:hAnsi="Calibri" w:cs="Calibri"/>
          <w:i/>
          <w:sz w:val="22"/>
        </w:rPr>
        <w:t xml:space="preserve">hies: Natures, Cultures, Spaces </w:t>
      </w:r>
      <w:r w:rsidR="000A3727">
        <w:rPr>
          <w:rFonts w:ascii="Calibri" w:hAnsi="Calibri" w:cs="Calibri"/>
          <w:sz w:val="22"/>
        </w:rPr>
        <w:t>SAGE Thousand</w:t>
      </w:r>
      <w:r w:rsidR="00B835C0">
        <w:rPr>
          <w:rFonts w:ascii="Calibri" w:hAnsi="Calibri" w:cs="Calibri"/>
          <w:sz w:val="22"/>
        </w:rPr>
        <w:t>,</w:t>
      </w:r>
      <w:r w:rsidR="000A3727">
        <w:rPr>
          <w:rFonts w:ascii="Calibri" w:hAnsi="Calibri" w:cs="Calibri"/>
          <w:sz w:val="22"/>
        </w:rPr>
        <w:t xml:space="preserve"> Oaks</w:t>
      </w:r>
    </w:p>
    <w:p w:rsidR="00D57657" w:rsidRPr="00FC103E" w:rsidRDefault="00D57657" w:rsidP="003A7F3C">
      <w:pPr>
        <w:pStyle w:val="NormalWeb"/>
        <w:ind w:left="480" w:hanging="480"/>
        <w:divId w:val="522983432"/>
      </w:pPr>
    </w:p>
    <w:p w:rsidR="00FC103E" w:rsidRDefault="00FC103E"/>
    <w:sectPr w:rsidR="00FC103E" w:rsidSect="0064574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27979" w:rsidRDefault="00F27979" w:rsidP="003A7F3C">
      <w:pPr>
        <w:spacing w:after="0" w:line="240" w:lineRule="auto"/>
      </w:pPr>
      <w:r>
        <w:separator/>
      </w:r>
    </w:p>
  </w:endnote>
  <w:endnote w:type="continuationSeparator" w:id="0">
    <w:p w:rsidR="00F27979" w:rsidRDefault="00F27979" w:rsidP="003A7F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27979" w:rsidRDefault="00F27979" w:rsidP="003A7F3C">
      <w:pPr>
        <w:spacing w:after="0" w:line="240" w:lineRule="auto"/>
      </w:pPr>
      <w:r>
        <w:separator/>
      </w:r>
    </w:p>
  </w:footnote>
  <w:footnote w:type="continuationSeparator" w:id="0">
    <w:p w:rsidR="00F27979" w:rsidRDefault="00F27979" w:rsidP="003A7F3C">
      <w:pPr>
        <w:spacing w:after="0" w:line="240" w:lineRule="auto"/>
      </w:pPr>
      <w:r>
        <w:continuationSeparator/>
      </w:r>
    </w:p>
  </w:footnote>
  <w:footnote w:id="1">
    <w:p w:rsidR="00F27979" w:rsidRPr="00A10E07" w:rsidRDefault="00F27979">
      <w:pPr>
        <w:pStyle w:val="FootnoteText"/>
        <w:rPr>
          <w:lang w:val="en-GB"/>
        </w:rPr>
      </w:pPr>
      <w:r>
        <w:rPr>
          <w:rStyle w:val="FootnoteReference"/>
        </w:rPr>
        <w:footnoteRef/>
      </w:r>
      <w:r>
        <w:rPr>
          <w:lang w:val="en-GB"/>
        </w:rPr>
        <w:t xml:space="preserve"> See ‘Anti-GM protesters kept from tearing up wheat crop by police’, </w:t>
      </w:r>
      <w:r>
        <w:rPr>
          <w:i/>
          <w:lang w:val="en-GB"/>
        </w:rPr>
        <w:t>The Guardian</w:t>
      </w:r>
      <w:r>
        <w:rPr>
          <w:lang w:val="en-GB"/>
        </w:rPr>
        <w:t xml:space="preserve"> 27 May 2012: </w:t>
      </w:r>
      <w:r>
        <w:t xml:space="preserve"> </w:t>
      </w:r>
      <w:hyperlink r:id="rId1" w:history="1">
        <w:r>
          <w:rPr>
            <w:rStyle w:val="Hyperlink"/>
          </w:rPr>
          <w:t>http://www.guardian.co.uk/environment/2012/may/27/anti-gm-protesters-police-rothamsted?INTCMP=SRCH</w:t>
        </w:r>
      </w:hyperlink>
    </w:p>
  </w:footnote>
  <w:footnote w:id="2">
    <w:p w:rsidR="00F27979" w:rsidRDefault="00F27979">
      <w:pPr>
        <w:pStyle w:val="FootnoteText"/>
      </w:pPr>
      <w:r>
        <w:rPr>
          <w:rStyle w:val="FootnoteReference"/>
        </w:rPr>
        <w:footnoteRef/>
      </w:r>
      <w:r>
        <w:t xml:space="preserve"> </w:t>
      </w:r>
      <w:hyperlink r:id="rId2" w:history="1">
        <w:r>
          <w:rPr>
            <w:rStyle w:val="Hyperlink"/>
          </w:rPr>
          <w:t>http://www.senseaboutscience.org/pages/rothamsted-appeal.html</w:t>
        </w:r>
      </w:hyperlink>
      <w:r>
        <w:t xml:space="preserve"> Sense about Science’s appeal was called ‘Don’t destroy research’ and involved a petition and contributions from prominent scientists.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055786"/>
    <w:multiLevelType w:val="hybridMultilevel"/>
    <w:tmpl w:val="1576C3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103E"/>
    <w:rsid w:val="000A3727"/>
    <w:rsid w:val="000B01A1"/>
    <w:rsid w:val="000B2CF9"/>
    <w:rsid w:val="000B4851"/>
    <w:rsid w:val="000D4E54"/>
    <w:rsid w:val="00186E86"/>
    <w:rsid w:val="001A3F77"/>
    <w:rsid w:val="001B6430"/>
    <w:rsid w:val="001E2CE8"/>
    <w:rsid w:val="001E4B5C"/>
    <w:rsid w:val="00214CF3"/>
    <w:rsid w:val="00223AB6"/>
    <w:rsid w:val="00224C87"/>
    <w:rsid w:val="00236BC1"/>
    <w:rsid w:val="00257F2D"/>
    <w:rsid w:val="0027622E"/>
    <w:rsid w:val="00276288"/>
    <w:rsid w:val="00292944"/>
    <w:rsid w:val="002F3999"/>
    <w:rsid w:val="00313B4F"/>
    <w:rsid w:val="003204D2"/>
    <w:rsid w:val="00322F71"/>
    <w:rsid w:val="0033301D"/>
    <w:rsid w:val="003365AF"/>
    <w:rsid w:val="003A7F3C"/>
    <w:rsid w:val="003E0B2A"/>
    <w:rsid w:val="00403BA4"/>
    <w:rsid w:val="00445555"/>
    <w:rsid w:val="004660CC"/>
    <w:rsid w:val="00467451"/>
    <w:rsid w:val="0047192D"/>
    <w:rsid w:val="004A0AE8"/>
    <w:rsid w:val="004B5949"/>
    <w:rsid w:val="004D24D1"/>
    <w:rsid w:val="00526EBA"/>
    <w:rsid w:val="005A6F05"/>
    <w:rsid w:val="005E10D4"/>
    <w:rsid w:val="0062200F"/>
    <w:rsid w:val="006436EA"/>
    <w:rsid w:val="00645746"/>
    <w:rsid w:val="00724164"/>
    <w:rsid w:val="00771C97"/>
    <w:rsid w:val="00776723"/>
    <w:rsid w:val="00793286"/>
    <w:rsid w:val="007A0022"/>
    <w:rsid w:val="007E13A2"/>
    <w:rsid w:val="008011FD"/>
    <w:rsid w:val="00861D9F"/>
    <w:rsid w:val="008B065D"/>
    <w:rsid w:val="008C3E64"/>
    <w:rsid w:val="00947DC1"/>
    <w:rsid w:val="00964979"/>
    <w:rsid w:val="00993E37"/>
    <w:rsid w:val="009C4B0B"/>
    <w:rsid w:val="009D662A"/>
    <w:rsid w:val="00A10E07"/>
    <w:rsid w:val="00A37C27"/>
    <w:rsid w:val="00A53262"/>
    <w:rsid w:val="00AA3E66"/>
    <w:rsid w:val="00AB08D8"/>
    <w:rsid w:val="00B0061E"/>
    <w:rsid w:val="00B32054"/>
    <w:rsid w:val="00B5434B"/>
    <w:rsid w:val="00B545D3"/>
    <w:rsid w:val="00B55873"/>
    <w:rsid w:val="00B835C0"/>
    <w:rsid w:val="00BA1F62"/>
    <w:rsid w:val="00BC1710"/>
    <w:rsid w:val="00C91EF5"/>
    <w:rsid w:val="00C95121"/>
    <w:rsid w:val="00CC62F7"/>
    <w:rsid w:val="00CF6838"/>
    <w:rsid w:val="00D27FE5"/>
    <w:rsid w:val="00D57657"/>
    <w:rsid w:val="00D7531D"/>
    <w:rsid w:val="00D7693F"/>
    <w:rsid w:val="00D84C38"/>
    <w:rsid w:val="00D910FE"/>
    <w:rsid w:val="00DA5001"/>
    <w:rsid w:val="00E2228D"/>
    <w:rsid w:val="00E25EB4"/>
    <w:rsid w:val="00E45F0D"/>
    <w:rsid w:val="00EB58C4"/>
    <w:rsid w:val="00EC1930"/>
    <w:rsid w:val="00EC6C8F"/>
    <w:rsid w:val="00ED399F"/>
    <w:rsid w:val="00EE4F58"/>
    <w:rsid w:val="00EF1F9B"/>
    <w:rsid w:val="00F1712F"/>
    <w:rsid w:val="00F2225E"/>
    <w:rsid w:val="00F27979"/>
    <w:rsid w:val="00F27A3A"/>
    <w:rsid w:val="00F424D0"/>
    <w:rsid w:val="00F948F7"/>
    <w:rsid w:val="00FC103E"/>
    <w:rsid w:val="00FC77EF"/>
    <w:rsid w:val="00FE4539"/>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5B604E0-B2F5-491D-A600-A065257C2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45746"/>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57657"/>
    <w:pPr>
      <w:spacing w:before="100" w:beforeAutospacing="1" w:after="100" w:afterAutospacing="1" w:line="240" w:lineRule="auto"/>
    </w:pPr>
    <w:rPr>
      <w:rFonts w:ascii="Times New Roman" w:eastAsia="Times New Roman" w:hAnsi="Times New Roman"/>
      <w:sz w:val="24"/>
      <w:szCs w:val="24"/>
      <w:lang w:eastAsia="en-GB"/>
    </w:rPr>
  </w:style>
  <w:style w:type="character" w:styleId="CommentReference">
    <w:name w:val="annotation reference"/>
    <w:uiPriority w:val="99"/>
    <w:semiHidden/>
    <w:unhideWhenUsed/>
    <w:rsid w:val="00EF1F9B"/>
    <w:rPr>
      <w:sz w:val="16"/>
      <w:szCs w:val="16"/>
    </w:rPr>
  </w:style>
  <w:style w:type="paragraph" w:styleId="CommentText">
    <w:name w:val="annotation text"/>
    <w:basedOn w:val="Normal"/>
    <w:link w:val="CommentTextChar"/>
    <w:uiPriority w:val="99"/>
    <w:semiHidden/>
    <w:unhideWhenUsed/>
    <w:rsid w:val="00EF1F9B"/>
    <w:rPr>
      <w:sz w:val="20"/>
      <w:szCs w:val="20"/>
      <w:lang w:val="x-none"/>
    </w:rPr>
  </w:style>
  <w:style w:type="character" w:customStyle="1" w:styleId="CommentTextChar">
    <w:name w:val="Comment Text Char"/>
    <w:link w:val="CommentText"/>
    <w:uiPriority w:val="99"/>
    <w:semiHidden/>
    <w:rsid w:val="00EF1F9B"/>
    <w:rPr>
      <w:lang w:eastAsia="en-US"/>
    </w:rPr>
  </w:style>
  <w:style w:type="paragraph" w:styleId="CommentSubject">
    <w:name w:val="annotation subject"/>
    <w:basedOn w:val="CommentText"/>
    <w:next w:val="CommentText"/>
    <w:link w:val="CommentSubjectChar"/>
    <w:uiPriority w:val="99"/>
    <w:semiHidden/>
    <w:unhideWhenUsed/>
    <w:rsid w:val="00EF1F9B"/>
    <w:rPr>
      <w:b/>
      <w:bCs/>
    </w:rPr>
  </w:style>
  <w:style w:type="character" w:customStyle="1" w:styleId="CommentSubjectChar">
    <w:name w:val="Comment Subject Char"/>
    <w:link w:val="CommentSubject"/>
    <w:uiPriority w:val="99"/>
    <w:semiHidden/>
    <w:rsid w:val="00EF1F9B"/>
    <w:rPr>
      <w:b/>
      <w:bCs/>
      <w:lang w:eastAsia="en-US"/>
    </w:rPr>
  </w:style>
  <w:style w:type="paragraph" w:styleId="BalloonText">
    <w:name w:val="Balloon Text"/>
    <w:basedOn w:val="Normal"/>
    <w:link w:val="BalloonTextChar"/>
    <w:uiPriority w:val="99"/>
    <w:semiHidden/>
    <w:unhideWhenUsed/>
    <w:rsid w:val="00EF1F9B"/>
    <w:pPr>
      <w:spacing w:after="0" w:line="240" w:lineRule="auto"/>
    </w:pPr>
    <w:rPr>
      <w:rFonts w:ascii="Tahoma" w:hAnsi="Tahoma"/>
      <w:sz w:val="16"/>
      <w:szCs w:val="16"/>
      <w:lang w:val="x-none"/>
    </w:rPr>
  </w:style>
  <w:style w:type="character" w:customStyle="1" w:styleId="BalloonTextChar">
    <w:name w:val="Balloon Text Char"/>
    <w:link w:val="BalloonText"/>
    <w:uiPriority w:val="99"/>
    <w:semiHidden/>
    <w:rsid w:val="00EF1F9B"/>
    <w:rPr>
      <w:rFonts w:ascii="Tahoma" w:hAnsi="Tahoma" w:cs="Tahoma"/>
      <w:sz w:val="16"/>
      <w:szCs w:val="16"/>
      <w:lang w:eastAsia="en-US"/>
    </w:rPr>
  </w:style>
  <w:style w:type="paragraph" w:styleId="FootnoteText">
    <w:name w:val="footnote text"/>
    <w:basedOn w:val="Normal"/>
    <w:link w:val="FootnoteTextChar"/>
    <w:uiPriority w:val="99"/>
    <w:semiHidden/>
    <w:unhideWhenUsed/>
    <w:rsid w:val="003A7F3C"/>
    <w:rPr>
      <w:sz w:val="20"/>
      <w:szCs w:val="20"/>
      <w:lang w:val="x-none"/>
    </w:rPr>
  </w:style>
  <w:style w:type="character" w:customStyle="1" w:styleId="FootnoteTextChar">
    <w:name w:val="Footnote Text Char"/>
    <w:link w:val="FootnoteText"/>
    <w:uiPriority w:val="99"/>
    <w:semiHidden/>
    <w:rsid w:val="003A7F3C"/>
    <w:rPr>
      <w:lang w:eastAsia="en-US"/>
    </w:rPr>
  </w:style>
  <w:style w:type="character" w:styleId="FootnoteReference">
    <w:name w:val="footnote reference"/>
    <w:uiPriority w:val="99"/>
    <w:semiHidden/>
    <w:unhideWhenUsed/>
    <w:rsid w:val="003A7F3C"/>
    <w:rPr>
      <w:vertAlign w:val="superscript"/>
    </w:rPr>
  </w:style>
  <w:style w:type="character" w:styleId="Hyperlink">
    <w:name w:val="Hyperlink"/>
    <w:uiPriority w:val="99"/>
    <w:semiHidden/>
    <w:unhideWhenUsed/>
    <w:rsid w:val="003A7F3C"/>
    <w:rPr>
      <w:color w:val="0000FF"/>
      <w:u w:val="single"/>
    </w:rPr>
  </w:style>
  <w:style w:type="paragraph" w:styleId="PlainText">
    <w:name w:val="Plain Text"/>
    <w:basedOn w:val="Normal"/>
    <w:link w:val="PlainTextChar"/>
    <w:uiPriority w:val="99"/>
    <w:unhideWhenUsed/>
    <w:rsid w:val="002F3999"/>
    <w:pPr>
      <w:spacing w:after="0" w:line="240" w:lineRule="auto"/>
    </w:pPr>
    <w:rPr>
      <w:rFonts w:eastAsiaTheme="minorEastAsia" w:cstheme="minorBidi"/>
      <w:szCs w:val="21"/>
      <w:lang w:eastAsia="zh-CN"/>
    </w:rPr>
  </w:style>
  <w:style w:type="character" w:customStyle="1" w:styleId="PlainTextChar">
    <w:name w:val="Plain Text Char"/>
    <w:basedOn w:val="DefaultParagraphFont"/>
    <w:link w:val="PlainText"/>
    <w:uiPriority w:val="99"/>
    <w:rsid w:val="002F3999"/>
    <w:rPr>
      <w:rFonts w:eastAsiaTheme="minorEastAsia" w:cstheme="minorBidi"/>
      <w:sz w:val="22"/>
      <w:szCs w:val="21"/>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7249511">
      <w:bodyDiv w:val="1"/>
      <w:marLeft w:val="0"/>
      <w:marRight w:val="0"/>
      <w:marTop w:val="0"/>
      <w:marBottom w:val="0"/>
      <w:divBdr>
        <w:top w:val="none" w:sz="0" w:space="0" w:color="auto"/>
        <w:left w:val="none" w:sz="0" w:space="0" w:color="auto"/>
        <w:bottom w:val="none" w:sz="0" w:space="0" w:color="auto"/>
        <w:right w:val="none" w:sz="0" w:space="0" w:color="auto"/>
      </w:divBdr>
      <w:divsChild>
        <w:div w:id="1573197112">
          <w:marLeft w:val="0"/>
          <w:marRight w:val="0"/>
          <w:marTop w:val="0"/>
          <w:marBottom w:val="0"/>
          <w:divBdr>
            <w:top w:val="none" w:sz="0" w:space="0" w:color="auto"/>
            <w:left w:val="none" w:sz="0" w:space="0" w:color="auto"/>
            <w:bottom w:val="none" w:sz="0" w:space="0" w:color="auto"/>
            <w:right w:val="none" w:sz="0" w:space="0" w:color="auto"/>
          </w:divBdr>
          <w:divsChild>
            <w:div w:id="621885195">
              <w:marLeft w:val="0"/>
              <w:marRight w:val="0"/>
              <w:marTop w:val="0"/>
              <w:marBottom w:val="0"/>
              <w:divBdr>
                <w:top w:val="none" w:sz="0" w:space="0" w:color="auto"/>
                <w:left w:val="none" w:sz="0" w:space="0" w:color="auto"/>
                <w:bottom w:val="none" w:sz="0" w:space="0" w:color="auto"/>
                <w:right w:val="none" w:sz="0" w:space="0" w:color="auto"/>
              </w:divBdr>
              <w:divsChild>
                <w:div w:id="924650984">
                  <w:marLeft w:val="0"/>
                  <w:marRight w:val="0"/>
                  <w:marTop w:val="0"/>
                  <w:marBottom w:val="0"/>
                  <w:divBdr>
                    <w:top w:val="none" w:sz="0" w:space="0" w:color="auto"/>
                    <w:left w:val="none" w:sz="0" w:space="0" w:color="auto"/>
                    <w:bottom w:val="none" w:sz="0" w:space="0" w:color="auto"/>
                    <w:right w:val="none" w:sz="0" w:space="0" w:color="auto"/>
                  </w:divBdr>
                  <w:divsChild>
                    <w:div w:id="494029803">
                      <w:marLeft w:val="0"/>
                      <w:marRight w:val="0"/>
                      <w:marTop w:val="0"/>
                      <w:marBottom w:val="0"/>
                      <w:divBdr>
                        <w:top w:val="none" w:sz="0" w:space="0" w:color="auto"/>
                        <w:left w:val="none" w:sz="0" w:space="0" w:color="auto"/>
                        <w:bottom w:val="none" w:sz="0" w:space="0" w:color="auto"/>
                        <w:right w:val="none" w:sz="0" w:space="0" w:color="auto"/>
                      </w:divBdr>
                    </w:div>
                    <w:div w:id="1088581004">
                      <w:marLeft w:val="0"/>
                      <w:marRight w:val="0"/>
                      <w:marTop w:val="0"/>
                      <w:marBottom w:val="0"/>
                      <w:divBdr>
                        <w:top w:val="none" w:sz="0" w:space="0" w:color="auto"/>
                        <w:left w:val="none" w:sz="0" w:space="0" w:color="auto"/>
                        <w:bottom w:val="none" w:sz="0" w:space="0" w:color="auto"/>
                        <w:right w:val="none" w:sz="0" w:space="0" w:color="auto"/>
                      </w:divBdr>
                      <w:divsChild>
                        <w:div w:id="639111942">
                          <w:marLeft w:val="0"/>
                          <w:marRight w:val="0"/>
                          <w:marTop w:val="0"/>
                          <w:marBottom w:val="0"/>
                          <w:divBdr>
                            <w:top w:val="none" w:sz="0" w:space="0" w:color="auto"/>
                            <w:left w:val="none" w:sz="0" w:space="0" w:color="auto"/>
                            <w:bottom w:val="none" w:sz="0" w:space="0" w:color="auto"/>
                            <w:right w:val="none" w:sz="0" w:space="0" w:color="auto"/>
                          </w:divBdr>
                          <w:divsChild>
                            <w:div w:id="1833791378">
                              <w:marLeft w:val="0"/>
                              <w:marRight w:val="0"/>
                              <w:marTop w:val="0"/>
                              <w:marBottom w:val="0"/>
                              <w:divBdr>
                                <w:top w:val="none" w:sz="0" w:space="0" w:color="auto"/>
                                <w:left w:val="none" w:sz="0" w:space="0" w:color="auto"/>
                                <w:bottom w:val="none" w:sz="0" w:space="0" w:color="auto"/>
                                <w:right w:val="none" w:sz="0" w:space="0" w:color="auto"/>
                              </w:divBdr>
                              <w:divsChild>
                                <w:div w:id="398865997">
                                  <w:marLeft w:val="0"/>
                                  <w:marRight w:val="0"/>
                                  <w:marTop w:val="0"/>
                                  <w:marBottom w:val="0"/>
                                  <w:divBdr>
                                    <w:top w:val="none" w:sz="0" w:space="0" w:color="auto"/>
                                    <w:left w:val="none" w:sz="0" w:space="0" w:color="auto"/>
                                    <w:bottom w:val="none" w:sz="0" w:space="0" w:color="auto"/>
                                    <w:right w:val="none" w:sz="0" w:space="0" w:color="auto"/>
                                  </w:divBdr>
                                  <w:divsChild>
                                    <w:div w:id="73011386">
                                      <w:marLeft w:val="0"/>
                                      <w:marRight w:val="0"/>
                                      <w:marTop w:val="0"/>
                                      <w:marBottom w:val="0"/>
                                      <w:divBdr>
                                        <w:top w:val="none" w:sz="0" w:space="0" w:color="auto"/>
                                        <w:left w:val="none" w:sz="0" w:space="0" w:color="auto"/>
                                        <w:bottom w:val="none" w:sz="0" w:space="0" w:color="auto"/>
                                        <w:right w:val="none" w:sz="0" w:space="0" w:color="auto"/>
                                      </w:divBdr>
                                      <w:divsChild>
                                        <w:div w:id="1430082740">
                                          <w:marLeft w:val="0"/>
                                          <w:marRight w:val="0"/>
                                          <w:marTop w:val="0"/>
                                          <w:marBottom w:val="0"/>
                                          <w:divBdr>
                                            <w:top w:val="none" w:sz="0" w:space="0" w:color="auto"/>
                                            <w:left w:val="none" w:sz="0" w:space="0" w:color="auto"/>
                                            <w:bottom w:val="none" w:sz="0" w:space="0" w:color="auto"/>
                                            <w:right w:val="none" w:sz="0" w:space="0" w:color="auto"/>
                                          </w:divBdr>
                                          <w:divsChild>
                                            <w:div w:id="43142961">
                                              <w:marLeft w:val="0"/>
                                              <w:marRight w:val="0"/>
                                              <w:marTop w:val="0"/>
                                              <w:marBottom w:val="0"/>
                                              <w:divBdr>
                                                <w:top w:val="none" w:sz="0" w:space="0" w:color="auto"/>
                                                <w:left w:val="none" w:sz="0" w:space="0" w:color="auto"/>
                                                <w:bottom w:val="none" w:sz="0" w:space="0" w:color="auto"/>
                                                <w:right w:val="none" w:sz="0" w:space="0" w:color="auto"/>
                                              </w:divBdr>
                                              <w:divsChild>
                                                <w:div w:id="2118138337">
                                                  <w:marLeft w:val="0"/>
                                                  <w:marRight w:val="0"/>
                                                  <w:marTop w:val="0"/>
                                                  <w:marBottom w:val="0"/>
                                                  <w:divBdr>
                                                    <w:top w:val="none" w:sz="0" w:space="0" w:color="auto"/>
                                                    <w:left w:val="none" w:sz="0" w:space="0" w:color="auto"/>
                                                    <w:bottom w:val="none" w:sz="0" w:space="0" w:color="auto"/>
                                                    <w:right w:val="none" w:sz="0" w:space="0" w:color="auto"/>
                                                  </w:divBdr>
                                                  <w:divsChild>
                                                    <w:div w:id="1938823609">
                                                      <w:marLeft w:val="0"/>
                                                      <w:marRight w:val="0"/>
                                                      <w:marTop w:val="0"/>
                                                      <w:marBottom w:val="0"/>
                                                      <w:divBdr>
                                                        <w:top w:val="none" w:sz="0" w:space="0" w:color="auto"/>
                                                        <w:left w:val="none" w:sz="0" w:space="0" w:color="auto"/>
                                                        <w:bottom w:val="none" w:sz="0" w:space="0" w:color="auto"/>
                                                        <w:right w:val="none" w:sz="0" w:space="0" w:color="auto"/>
                                                      </w:divBdr>
                                                      <w:divsChild>
                                                        <w:div w:id="223223123">
                                                          <w:marLeft w:val="0"/>
                                                          <w:marRight w:val="0"/>
                                                          <w:marTop w:val="0"/>
                                                          <w:marBottom w:val="0"/>
                                                          <w:divBdr>
                                                            <w:top w:val="none" w:sz="0" w:space="0" w:color="auto"/>
                                                            <w:left w:val="none" w:sz="0" w:space="0" w:color="auto"/>
                                                            <w:bottom w:val="none" w:sz="0" w:space="0" w:color="auto"/>
                                                            <w:right w:val="none" w:sz="0" w:space="0" w:color="auto"/>
                                                          </w:divBdr>
                                                          <w:divsChild>
                                                            <w:div w:id="525481821">
                                                              <w:marLeft w:val="0"/>
                                                              <w:marRight w:val="0"/>
                                                              <w:marTop w:val="0"/>
                                                              <w:marBottom w:val="0"/>
                                                              <w:divBdr>
                                                                <w:top w:val="none" w:sz="0" w:space="0" w:color="auto"/>
                                                                <w:left w:val="none" w:sz="0" w:space="0" w:color="auto"/>
                                                                <w:bottom w:val="none" w:sz="0" w:space="0" w:color="auto"/>
                                                                <w:right w:val="none" w:sz="0" w:space="0" w:color="auto"/>
                                                              </w:divBdr>
                                                              <w:divsChild>
                                                                <w:div w:id="1147748906">
                                                                  <w:marLeft w:val="0"/>
                                                                  <w:marRight w:val="0"/>
                                                                  <w:marTop w:val="0"/>
                                                                  <w:marBottom w:val="0"/>
                                                                  <w:divBdr>
                                                                    <w:top w:val="none" w:sz="0" w:space="0" w:color="auto"/>
                                                                    <w:left w:val="none" w:sz="0" w:space="0" w:color="auto"/>
                                                                    <w:bottom w:val="none" w:sz="0" w:space="0" w:color="auto"/>
                                                                    <w:right w:val="none" w:sz="0" w:space="0" w:color="auto"/>
                                                                  </w:divBdr>
                                                                  <w:divsChild>
                                                                    <w:div w:id="1430463381">
                                                                      <w:marLeft w:val="0"/>
                                                                      <w:marRight w:val="0"/>
                                                                      <w:marTop w:val="0"/>
                                                                      <w:marBottom w:val="0"/>
                                                                      <w:divBdr>
                                                                        <w:top w:val="none" w:sz="0" w:space="0" w:color="auto"/>
                                                                        <w:left w:val="none" w:sz="0" w:space="0" w:color="auto"/>
                                                                        <w:bottom w:val="none" w:sz="0" w:space="0" w:color="auto"/>
                                                                        <w:right w:val="none" w:sz="0" w:space="0" w:color="auto"/>
                                                                      </w:divBdr>
                                                                      <w:divsChild>
                                                                        <w:div w:id="20397348">
                                                                          <w:marLeft w:val="0"/>
                                                                          <w:marRight w:val="0"/>
                                                                          <w:marTop w:val="0"/>
                                                                          <w:marBottom w:val="0"/>
                                                                          <w:divBdr>
                                                                            <w:top w:val="none" w:sz="0" w:space="0" w:color="auto"/>
                                                                            <w:left w:val="none" w:sz="0" w:space="0" w:color="auto"/>
                                                                            <w:bottom w:val="none" w:sz="0" w:space="0" w:color="auto"/>
                                                                            <w:right w:val="none" w:sz="0" w:space="0" w:color="auto"/>
                                                                          </w:divBdr>
                                                                          <w:divsChild>
                                                                            <w:div w:id="522983432">
                                                                              <w:marLeft w:val="0"/>
                                                                              <w:marRight w:val="0"/>
                                                                              <w:marTop w:val="0"/>
                                                                              <w:marBottom w:val="0"/>
                                                                              <w:divBdr>
                                                                                <w:top w:val="none" w:sz="0" w:space="0" w:color="auto"/>
                                                                                <w:left w:val="none" w:sz="0" w:space="0" w:color="auto"/>
                                                                                <w:bottom w:val="none" w:sz="0" w:space="0" w:color="auto"/>
                                                                                <w:right w:val="none" w:sz="0" w:space="0" w:color="auto"/>
                                                                              </w:divBdr>
                                                                              <w:divsChild>
                                                                                <w:div w:id="451896996">
                                                                                  <w:marLeft w:val="0"/>
                                                                                  <w:marRight w:val="0"/>
                                                                                  <w:marTop w:val="0"/>
                                                                                  <w:marBottom w:val="0"/>
                                                                                  <w:divBdr>
                                                                                    <w:top w:val="none" w:sz="0" w:space="0" w:color="auto"/>
                                                                                    <w:left w:val="none" w:sz="0" w:space="0" w:color="auto"/>
                                                                                    <w:bottom w:val="none" w:sz="0" w:space="0" w:color="auto"/>
                                                                                    <w:right w:val="none" w:sz="0" w:space="0" w:color="auto"/>
                                                                                  </w:divBdr>
                                                                                  <w:divsChild>
                                                                                    <w:div w:id="887450839">
                                                                                      <w:marLeft w:val="0"/>
                                                                                      <w:marRight w:val="0"/>
                                                                                      <w:marTop w:val="0"/>
                                                                                      <w:marBottom w:val="0"/>
                                                                                      <w:divBdr>
                                                                                        <w:top w:val="none" w:sz="0" w:space="0" w:color="auto"/>
                                                                                        <w:left w:val="none" w:sz="0" w:space="0" w:color="auto"/>
                                                                                        <w:bottom w:val="none" w:sz="0" w:space="0" w:color="auto"/>
                                                                                        <w:right w:val="none" w:sz="0" w:space="0" w:color="auto"/>
                                                                                      </w:divBdr>
                                                                                    </w:div>
                                                                                    <w:div w:id="1985161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67585469">
      <w:bodyDiv w:val="1"/>
      <w:marLeft w:val="0"/>
      <w:marRight w:val="0"/>
      <w:marTop w:val="0"/>
      <w:marBottom w:val="0"/>
      <w:divBdr>
        <w:top w:val="none" w:sz="0" w:space="0" w:color="auto"/>
        <w:left w:val="none" w:sz="0" w:space="0" w:color="auto"/>
        <w:bottom w:val="none" w:sz="0" w:space="0" w:color="auto"/>
        <w:right w:val="none" w:sz="0" w:space="0" w:color="auto"/>
      </w:divBdr>
    </w:div>
    <w:div w:id="1971551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www.senseaboutscience.org/pages/rothamsted-appeal.html" TargetMode="External"/><Relationship Id="rId1" Type="http://schemas.openxmlformats.org/officeDocument/2006/relationships/hyperlink" Target="http://www.guardian.co.uk/environment/2012/may/27/anti-gm-protesters-police-rothamsted?INTCMP=SR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9B11A5-9901-438A-A1C4-8D9D44E62B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3D049A65.dotm</Template>
  <TotalTime>6</TotalTime>
  <Pages>4</Pages>
  <Words>1806</Words>
  <Characters>10300</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The University of East Anglia</Company>
  <LinksUpToDate>false</LinksUpToDate>
  <CharactersWithSpaces>12082</CharactersWithSpaces>
  <SharedDoc>false</SharedDoc>
  <HLinks>
    <vt:vector size="6" baseType="variant">
      <vt:variant>
        <vt:i4>1638481</vt:i4>
      </vt:variant>
      <vt:variant>
        <vt:i4>0</vt:i4>
      </vt:variant>
      <vt:variant>
        <vt:i4>0</vt:i4>
      </vt:variant>
      <vt:variant>
        <vt:i4>5</vt:i4>
      </vt:variant>
      <vt:variant>
        <vt:lpwstr>http://www.senseaboutscience.org/pages/rothamsted-appeal.html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dc:creator>
  <cp:lastModifiedBy>Helen Pallett (ENV)</cp:lastModifiedBy>
  <cp:revision>3</cp:revision>
  <dcterms:created xsi:type="dcterms:W3CDTF">2015-11-16T10:54:00Z</dcterms:created>
  <dcterms:modified xsi:type="dcterms:W3CDTF">2015-11-16T10:59:00Z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Name 0_1">
    <vt:lpwstr>American Political Science Association</vt:lpwstr>
  </property>
  <property fmtid="{D5CDD505-2E9C-101B-9397-08002B2CF9AE}" pid="3" name="Mendeley Recent Style Id 0_1">
    <vt:lpwstr>http://www.zotero.org/styles/apsa</vt:lpwstr>
  </property>
  <property fmtid="{D5CDD505-2E9C-101B-9397-08002B2CF9AE}" pid="4" name="Mendeley Recent Style Name 1_1">
    <vt:lpwstr>American Psychological Association 6th Edition</vt:lpwstr>
  </property>
  <property fmtid="{D5CDD505-2E9C-101B-9397-08002B2CF9AE}" pid="5" name="Mendeley Recent Style Id 1_1">
    <vt:lpwstr>http://www.zotero.org/styles/apa</vt:lpwstr>
  </property>
  <property fmtid="{D5CDD505-2E9C-101B-9397-08002B2CF9AE}" pid="6" name="Mendeley Recent Style Name 2_1">
    <vt:lpwstr>American Sociological Association</vt:lpwstr>
  </property>
  <property fmtid="{D5CDD505-2E9C-101B-9397-08002B2CF9AE}" pid="7" name="Mendeley Recent Style Id 2_1">
    <vt:lpwstr>http://www.zotero.org/styles/asa</vt:lpwstr>
  </property>
  <property fmtid="{D5CDD505-2E9C-101B-9397-08002B2CF9AE}" pid="8" name="Mendeley Recent Style Name 3_1">
    <vt:lpwstr>Chicago Manual of Style (Author-Date format)</vt:lpwstr>
  </property>
  <property fmtid="{D5CDD505-2E9C-101B-9397-08002B2CF9AE}" pid="9" name="Mendeley Recent Style Id 3_1">
    <vt:lpwstr>http://www.zotero.org/styles/chicago-author-date</vt:lpwstr>
  </property>
  <property fmtid="{D5CDD505-2E9C-101B-9397-08002B2CF9AE}" pid="10" name="Mendeley Recent Style Name 4_1">
    <vt:lpwstr>Chicago Manual of Style (Full Note with Bibliography)</vt:lpwstr>
  </property>
  <property fmtid="{D5CDD505-2E9C-101B-9397-08002B2CF9AE}" pid="11" name="Mendeley Recent Style Id 4_1">
    <vt:lpwstr>http://www.zotero.org/styles/chicago-fullnote-bibliography</vt:lpwstr>
  </property>
  <property fmtid="{D5CDD505-2E9C-101B-9397-08002B2CF9AE}" pid="12" name="Mendeley Recent Style Name 5_1">
    <vt:lpwstr>Harvard Reference format 1 (Author-Date)</vt:lpwstr>
  </property>
  <property fmtid="{D5CDD505-2E9C-101B-9397-08002B2CF9AE}" pid="13" name="Mendeley Recent Style Id 5_1">
    <vt:lpwstr>http://www.zotero.org/styles/harvard1</vt:lpwstr>
  </property>
  <property fmtid="{D5CDD505-2E9C-101B-9397-08002B2CF9AE}" pid="14" name="Mendeley Recent Style Name 6_1">
    <vt:lpwstr>IEEE</vt:lpwstr>
  </property>
  <property fmtid="{D5CDD505-2E9C-101B-9397-08002B2CF9AE}" pid="15" name="Mendeley Recent Style Id 6_1">
    <vt:lpwstr>http://www.zotero.org/styles/ieee</vt:lpwstr>
  </property>
  <property fmtid="{D5CDD505-2E9C-101B-9397-08002B2CF9AE}" pid="16" name="Mendeley Recent Style Name 7_1">
    <vt:lpwstr>Modern Humanities Research Association (Note with Bibliography)</vt:lpwstr>
  </property>
  <property fmtid="{D5CDD505-2E9C-101B-9397-08002B2CF9AE}" pid="17" name="Mendeley Recent Style Id 7_1">
    <vt:lpwstr>http://www.zotero.org/styles/mhra</vt:lpwstr>
  </property>
  <property fmtid="{D5CDD505-2E9C-101B-9397-08002B2CF9AE}" pid="18" name="Mendeley Recent Style Name 8_1">
    <vt:lpwstr>Modern Language Association</vt:lpwstr>
  </property>
  <property fmtid="{D5CDD505-2E9C-101B-9397-08002B2CF9AE}" pid="19" name="Mendeley Recent Style Id 8_1">
    <vt:lpwstr>http://www.zotero.org/styles/mla</vt:lpwstr>
  </property>
  <property fmtid="{D5CDD505-2E9C-101B-9397-08002B2CF9AE}" pid="20" name="Mendeley Recent Style Name 9_1">
    <vt:lpwstr>Nature Journal</vt:lpwstr>
  </property>
  <property fmtid="{D5CDD505-2E9C-101B-9397-08002B2CF9AE}" pid="21" name="Mendeley Recent Style Id 9_1">
    <vt:lpwstr>http://www.zotero.org/styles/nature</vt:lpwstr>
  </property>
  <property fmtid="{D5CDD505-2E9C-101B-9397-08002B2CF9AE}" pid="22" name="_AdHocReviewCycleID">
    <vt:i4>-1045899966</vt:i4>
  </property>
  <property fmtid="{D5CDD505-2E9C-101B-9397-08002B2CF9AE}" pid="23" name="_NewReviewCycle">
    <vt:lpwstr/>
  </property>
  <property fmtid="{D5CDD505-2E9C-101B-9397-08002B2CF9AE}" pid="24" name="_EmailSubject">
    <vt:lpwstr/>
  </property>
  <property fmtid="{D5CDD505-2E9C-101B-9397-08002B2CF9AE}" pid="25" name="_AuthorEmail">
    <vt:lpwstr>M.Mahony@uea.ac.uk</vt:lpwstr>
  </property>
  <property fmtid="{D5CDD505-2E9C-101B-9397-08002B2CF9AE}" pid="26" name="_AuthorEmailDisplayName">
    <vt:lpwstr>Martin Mahony (ENV)</vt:lpwstr>
  </property>
  <property fmtid="{D5CDD505-2E9C-101B-9397-08002B2CF9AE}" pid="27" name="_PreviousAdHocReviewCycleID">
    <vt:i4>1159973776</vt:i4>
  </property>
  <property fmtid="{D5CDD505-2E9C-101B-9397-08002B2CF9AE}" pid="28" name="Mendeley Citation Style_1">
    <vt:lpwstr>http://www.zotero.org/styles/apa</vt:lpwstr>
  </property>
  <property fmtid="{D5CDD505-2E9C-101B-9397-08002B2CF9AE}" pid="29" name="_ReviewingToolsShownOnce">
    <vt:lpwstr/>
  </property>
</Properties>
</file>