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1B65" w:rsidRPr="0052009E" w:rsidRDefault="00FF1D84" w:rsidP="004B33C5">
      <w:pPr>
        <w:jc w:val="both"/>
        <w:rPr>
          <w:rFonts w:ascii="Times New Roman" w:hAnsi="Times New Roman" w:cs="Times New Roman"/>
          <w:sz w:val="24"/>
          <w:szCs w:val="24"/>
        </w:rPr>
      </w:pPr>
      <w:r>
        <w:rPr>
          <w:rFonts w:ascii="Times New Roman" w:hAnsi="Times New Roman" w:cs="Times New Roman"/>
          <w:b/>
          <w:bCs/>
          <w:sz w:val="24"/>
          <w:szCs w:val="24"/>
        </w:rPr>
        <w:t xml:space="preserve">Dietary carotenoid intake </w:t>
      </w:r>
      <w:r w:rsidR="007F4EC0" w:rsidRPr="0052009E">
        <w:rPr>
          <w:rFonts w:ascii="Times New Roman" w:hAnsi="Times New Roman" w:cs="Times New Roman"/>
          <w:b/>
          <w:bCs/>
          <w:sz w:val="24"/>
          <w:szCs w:val="24"/>
        </w:rPr>
        <w:t xml:space="preserve">is </w:t>
      </w:r>
      <w:r w:rsidR="00074D90">
        <w:rPr>
          <w:rFonts w:ascii="Times New Roman" w:hAnsi="Times New Roman" w:cs="Times New Roman"/>
          <w:b/>
          <w:bCs/>
          <w:sz w:val="24"/>
          <w:szCs w:val="24"/>
        </w:rPr>
        <w:t xml:space="preserve">positively </w:t>
      </w:r>
      <w:r>
        <w:rPr>
          <w:rFonts w:ascii="Times New Roman" w:hAnsi="Times New Roman" w:cs="Times New Roman"/>
          <w:b/>
          <w:bCs/>
          <w:sz w:val="24"/>
          <w:szCs w:val="24"/>
        </w:rPr>
        <w:t>associated with</w:t>
      </w:r>
      <w:r w:rsidR="007F4EC0" w:rsidRPr="0052009E">
        <w:rPr>
          <w:rFonts w:ascii="Times New Roman" w:hAnsi="Times New Roman" w:cs="Times New Roman"/>
          <w:b/>
          <w:bCs/>
          <w:sz w:val="24"/>
          <w:szCs w:val="24"/>
        </w:rPr>
        <w:t xml:space="preserve"> bone density </w:t>
      </w:r>
      <w:r>
        <w:rPr>
          <w:rFonts w:ascii="Times New Roman" w:hAnsi="Times New Roman" w:cs="Times New Roman"/>
          <w:b/>
          <w:bCs/>
          <w:sz w:val="24"/>
          <w:szCs w:val="24"/>
        </w:rPr>
        <w:t>in individuals of</w:t>
      </w:r>
      <w:r w:rsidR="004B33C5">
        <w:rPr>
          <w:rFonts w:ascii="Times New Roman" w:hAnsi="Times New Roman" w:cs="Times New Roman"/>
          <w:b/>
          <w:bCs/>
          <w:sz w:val="24"/>
          <w:szCs w:val="24"/>
        </w:rPr>
        <w:t xml:space="preserve"> </w:t>
      </w:r>
      <w:r w:rsidR="007F4EC0" w:rsidRPr="0052009E">
        <w:rPr>
          <w:rFonts w:ascii="Times New Roman" w:hAnsi="Times New Roman" w:cs="Times New Roman"/>
          <w:b/>
          <w:bCs/>
          <w:sz w:val="24"/>
          <w:szCs w:val="24"/>
        </w:rPr>
        <w:t>the EPIC-Norfolk cohort</w:t>
      </w:r>
      <w:r w:rsidR="00DE43E7" w:rsidRPr="0052009E">
        <w:rPr>
          <w:rFonts w:ascii="Times New Roman" w:hAnsi="Times New Roman" w:cs="Times New Roman"/>
          <w:b/>
          <w:bCs/>
          <w:sz w:val="24"/>
          <w:szCs w:val="24"/>
        </w:rPr>
        <w:t>.</w:t>
      </w:r>
      <w:r w:rsidR="00387B64" w:rsidRPr="0052009E">
        <w:rPr>
          <w:rFonts w:ascii="Times New Roman" w:hAnsi="Times New Roman" w:cs="Times New Roman"/>
          <w:sz w:val="24"/>
          <w:szCs w:val="24"/>
        </w:rPr>
        <w:t xml:space="preserve"> </w:t>
      </w:r>
      <w:r w:rsidR="008360C0" w:rsidRPr="0052009E">
        <w:rPr>
          <w:rFonts w:ascii="Times New Roman" w:hAnsi="Times New Roman" w:cs="Times New Roman"/>
          <w:sz w:val="24"/>
          <w:szCs w:val="24"/>
        </w:rPr>
        <w:t xml:space="preserve">By </w:t>
      </w:r>
      <w:r w:rsidR="000B6B07" w:rsidRPr="0052009E">
        <w:rPr>
          <w:rFonts w:ascii="Times New Roman" w:hAnsi="Times New Roman" w:cs="Times New Roman"/>
          <w:sz w:val="24"/>
          <w:szCs w:val="24"/>
        </w:rPr>
        <w:t>R</w:t>
      </w:r>
      <w:r w:rsidR="006559CB" w:rsidRPr="0052009E">
        <w:rPr>
          <w:rFonts w:ascii="Times New Roman" w:hAnsi="Times New Roman" w:cs="Times New Roman"/>
          <w:sz w:val="24"/>
          <w:szCs w:val="24"/>
        </w:rPr>
        <w:t>.</w:t>
      </w:r>
      <w:r w:rsidR="000B6B07" w:rsidRPr="0052009E">
        <w:rPr>
          <w:rFonts w:ascii="Times New Roman" w:hAnsi="Times New Roman" w:cs="Times New Roman"/>
          <w:sz w:val="24"/>
          <w:szCs w:val="24"/>
        </w:rPr>
        <w:t>P</w:t>
      </w:r>
      <w:r w:rsidR="006559CB" w:rsidRPr="0052009E">
        <w:rPr>
          <w:rFonts w:ascii="Times New Roman" w:hAnsi="Times New Roman" w:cs="Times New Roman"/>
          <w:sz w:val="24"/>
          <w:szCs w:val="24"/>
        </w:rPr>
        <w:t>.</w:t>
      </w:r>
      <w:r w:rsidR="000B6B07" w:rsidRPr="0052009E">
        <w:rPr>
          <w:rFonts w:ascii="Times New Roman" w:hAnsi="Times New Roman" w:cs="Times New Roman"/>
          <w:sz w:val="24"/>
          <w:szCs w:val="24"/>
        </w:rPr>
        <w:t>G</w:t>
      </w:r>
      <w:r w:rsidR="006559CB" w:rsidRPr="0052009E">
        <w:rPr>
          <w:rFonts w:ascii="Times New Roman" w:hAnsi="Times New Roman" w:cs="Times New Roman"/>
          <w:sz w:val="24"/>
          <w:szCs w:val="24"/>
        </w:rPr>
        <w:t>.</w:t>
      </w:r>
      <w:r w:rsidR="000B6B07" w:rsidRPr="0052009E">
        <w:rPr>
          <w:rFonts w:ascii="Times New Roman" w:hAnsi="Times New Roman" w:cs="Times New Roman"/>
          <w:sz w:val="24"/>
          <w:szCs w:val="24"/>
        </w:rPr>
        <w:t xml:space="preserve"> Hayhoe</w:t>
      </w:r>
      <w:r w:rsidR="00176F0E" w:rsidRPr="0052009E">
        <w:rPr>
          <w:rFonts w:ascii="Times New Roman" w:hAnsi="Times New Roman" w:cs="Times New Roman"/>
          <w:sz w:val="24"/>
          <w:szCs w:val="24"/>
          <w:vertAlign w:val="superscript"/>
        </w:rPr>
        <w:t>1</w:t>
      </w:r>
      <w:r w:rsidR="00E30D92" w:rsidRPr="0052009E">
        <w:rPr>
          <w:rFonts w:ascii="Times New Roman" w:hAnsi="Times New Roman" w:cs="Times New Roman"/>
          <w:sz w:val="24"/>
          <w:szCs w:val="24"/>
        </w:rPr>
        <w:t xml:space="preserve">, </w:t>
      </w:r>
      <w:r w:rsidR="006D1982">
        <w:rPr>
          <w:rFonts w:ascii="Times New Roman" w:hAnsi="Times New Roman" w:cs="Times New Roman"/>
          <w:sz w:val="24"/>
          <w:szCs w:val="24"/>
        </w:rPr>
        <w:t>M.A.H. Lentjes</w:t>
      </w:r>
      <w:r w:rsidR="00DE43E7" w:rsidRPr="0052009E">
        <w:rPr>
          <w:rFonts w:ascii="Times New Roman" w:hAnsi="Times New Roman" w:cs="Times New Roman"/>
          <w:sz w:val="24"/>
          <w:szCs w:val="24"/>
          <w:vertAlign w:val="superscript"/>
        </w:rPr>
        <w:t>2</w:t>
      </w:r>
      <w:r w:rsidR="00DE43E7" w:rsidRPr="0052009E">
        <w:rPr>
          <w:rFonts w:ascii="Times New Roman" w:hAnsi="Times New Roman" w:cs="Times New Roman"/>
          <w:sz w:val="24"/>
          <w:szCs w:val="24"/>
        </w:rPr>
        <w:t>, R.N. Luben</w:t>
      </w:r>
      <w:r w:rsidR="00DE43E7" w:rsidRPr="0052009E">
        <w:rPr>
          <w:rFonts w:ascii="Times New Roman" w:hAnsi="Times New Roman" w:cs="Times New Roman"/>
          <w:sz w:val="24"/>
          <w:szCs w:val="24"/>
          <w:vertAlign w:val="superscript"/>
        </w:rPr>
        <w:t>2</w:t>
      </w:r>
      <w:r w:rsidR="00DE43E7" w:rsidRPr="0052009E">
        <w:rPr>
          <w:rFonts w:ascii="Times New Roman" w:hAnsi="Times New Roman" w:cs="Times New Roman"/>
          <w:sz w:val="24"/>
          <w:szCs w:val="24"/>
        </w:rPr>
        <w:t>, K-T. Khaw</w:t>
      </w:r>
      <w:r w:rsidR="00DE43E7" w:rsidRPr="0052009E">
        <w:rPr>
          <w:rFonts w:ascii="Times New Roman" w:hAnsi="Times New Roman" w:cs="Times New Roman"/>
          <w:sz w:val="24"/>
          <w:szCs w:val="24"/>
          <w:vertAlign w:val="superscript"/>
        </w:rPr>
        <w:t>2</w:t>
      </w:r>
      <w:r w:rsidR="00DE43E7" w:rsidRPr="0052009E">
        <w:rPr>
          <w:rFonts w:ascii="Times New Roman" w:hAnsi="Times New Roman" w:cs="Times New Roman"/>
          <w:sz w:val="24"/>
          <w:szCs w:val="24"/>
        </w:rPr>
        <w:t xml:space="preserve"> and A.A. Welch</w:t>
      </w:r>
      <w:r w:rsidR="00176F0E" w:rsidRPr="0052009E">
        <w:rPr>
          <w:rFonts w:ascii="Times New Roman" w:hAnsi="Times New Roman" w:cs="Times New Roman"/>
          <w:sz w:val="24"/>
          <w:szCs w:val="24"/>
          <w:vertAlign w:val="superscript"/>
        </w:rPr>
        <w:t>1</w:t>
      </w:r>
      <w:r w:rsidR="008360C0" w:rsidRPr="0052009E">
        <w:rPr>
          <w:rFonts w:ascii="Times New Roman" w:hAnsi="Times New Roman" w:cs="Times New Roman"/>
          <w:sz w:val="24"/>
          <w:szCs w:val="24"/>
        </w:rPr>
        <w:t xml:space="preserve">, </w:t>
      </w:r>
      <w:r w:rsidR="00176F0E" w:rsidRPr="0052009E">
        <w:rPr>
          <w:rFonts w:ascii="Times New Roman" w:hAnsi="Times New Roman" w:cs="Times New Roman"/>
          <w:sz w:val="24"/>
          <w:szCs w:val="24"/>
          <w:vertAlign w:val="superscript"/>
        </w:rPr>
        <w:t>1</w:t>
      </w:r>
      <w:r w:rsidR="000B6B07" w:rsidRPr="0052009E">
        <w:rPr>
          <w:rFonts w:ascii="Times New Roman" w:hAnsi="Times New Roman" w:cs="Times New Roman"/>
          <w:i/>
          <w:iCs/>
          <w:sz w:val="24"/>
          <w:szCs w:val="24"/>
        </w:rPr>
        <w:t xml:space="preserve">Population Health and Primary Care, </w:t>
      </w:r>
      <w:r w:rsidR="00176F0E" w:rsidRPr="0052009E">
        <w:rPr>
          <w:rFonts w:ascii="Times New Roman" w:hAnsi="Times New Roman" w:cs="Times New Roman"/>
          <w:i/>
          <w:iCs/>
          <w:sz w:val="24"/>
          <w:szCs w:val="24"/>
        </w:rPr>
        <w:t>Norwich Medical School</w:t>
      </w:r>
      <w:r w:rsidR="000B6B07" w:rsidRPr="0052009E">
        <w:rPr>
          <w:rFonts w:ascii="Times New Roman" w:hAnsi="Times New Roman" w:cs="Times New Roman"/>
          <w:i/>
          <w:iCs/>
          <w:sz w:val="24"/>
          <w:szCs w:val="24"/>
        </w:rPr>
        <w:t>, University of East Anglia, Norwich, Norfolk NR4 7TJ</w:t>
      </w:r>
      <w:r w:rsidR="00176F0E" w:rsidRPr="0052009E">
        <w:rPr>
          <w:rFonts w:ascii="Times New Roman" w:hAnsi="Times New Roman" w:cs="Times New Roman"/>
          <w:i/>
          <w:iCs/>
          <w:sz w:val="24"/>
          <w:szCs w:val="24"/>
        </w:rPr>
        <w:t xml:space="preserve">, </w:t>
      </w:r>
      <w:r w:rsidR="00176F0E" w:rsidRPr="0052009E">
        <w:rPr>
          <w:rFonts w:ascii="Times New Roman" w:hAnsi="Times New Roman" w:cs="Times New Roman"/>
          <w:i/>
          <w:iCs/>
          <w:sz w:val="24"/>
          <w:szCs w:val="24"/>
          <w:vertAlign w:val="superscript"/>
        </w:rPr>
        <w:t>2</w:t>
      </w:r>
      <w:r w:rsidR="00DE43E7" w:rsidRPr="0052009E">
        <w:rPr>
          <w:rFonts w:ascii="Times New Roman" w:hAnsi="Times New Roman" w:cs="Times New Roman"/>
          <w:i/>
          <w:iCs/>
          <w:sz w:val="24"/>
          <w:szCs w:val="24"/>
        </w:rPr>
        <w:t>Public Health and Primary Care, University of Cambridge, Cambridgeshire CB1 8RN.</w:t>
      </w:r>
    </w:p>
    <w:p w:rsidR="00537029" w:rsidRPr="0052009E" w:rsidRDefault="00537029" w:rsidP="00537029">
      <w:pPr>
        <w:jc w:val="both"/>
        <w:rPr>
          <w:rFonts w:ascii="Times New Roman" w:hAnsi="Times New Roman" w:cs="Times New Roman"/>
          <w:sz w:val="8"/>
          <w:szCs w:val="8"/>
        </w:rPr>
      </w:pPr>
    </w:p>
    <w:p w:rsidR="003A3D4A" w:rsidRPr="003A3D4A" w:rsidRDefault="003A3D4A" w:rsidP="003A3D4A">
      <w:pPr>
        <w:jc w:val="both"/>
        <w:rPr>
          <w:rFonts w:ascii="Times New Roman" w:hAnsi="Times New Roman" w:cs="Times New Roman"/>
          <w:sz w:val="24"/>
          <w:szCs w:val="24"/>
        </w:rPr>
      </w:pPr>
      <w:r w:rsidRPr="003A3D4A">
        <w:rPr>
          <w:rFonts w:ascii="Times New Roman" w:hAnsi="Times New Roman" w:cs="Times New Roman"/>
          <w:sz w:val="24"/>
          <w:szCs w:val="24"/>
        </w:rPr>
        <w:t xml:space="preserve">Osteoporosis is a debilitating disease characterised by low bone density and increased risk of fracture. It is significantly associated with age and is thus an increasing public health concern for our ageing </w:t>
      </w:r>
      <w:proofErr w:type="gramStart"/>
      <w:r w:rsidRPr="003A3D4A">
        <w:rPr>
          <w:rFonts w:ascii="Times New Roman" w:hAnsi="Times New Roman" w:cs="Times New Roman"/>
          <w:sz w:val="24"/>
          <w:szCs w:val="24"/>
        </w:rPr>
        <w:t>population</w:t>
      </w:r>
      <w:r w:rsidRPr="003A3D4A">
        <w:rPr>
          <w:rFonts w:ascii="Times New Roman" w:hAnsi="Times New Roman" w:cs="Times New Roman"/>
          <w:sz w:val="24"/>
          <w:szCs w:val="24"/>
          <w:vertAlign w:val="superscript"/>
        </w:rPr>
        <w:t>(</w:t>
      </w:r>
      <w:proofErr w:type="gramEnd"/>
      <w:r w:rsidRPr="003A3D4A">
        <w:rPr>
          <w:rFonts w:ascii="Times New Roman" w:hAnsi="Times New Roman" w:cs="Times New Roman"/>
          <w:sz w:val="24"/>
          <w:szCs w:val="24"/>
          <w:vertAlign w:val="superscript"/>
        </w:rPr>
        <w:t>1)</w:t>
      </w:r>
      <w:r w:rsidRPr="003A3D4A">
        <w:rPr>
          <w:rFonts w:ascii="Times New Roman" w:hAnsi="Times New Roman" w:cs="Times New Roman"/>
          <w:sz w:val="24"/>
          <w:szCs w:val="24"/>
        </w:rPr>
        <w:t xml:space="preserve">. Nutrition represents an important modifiable factor influencing bone health, with the significance of dietary calcium and vitamin D well </w:t>
      </w:r>
      <w:proofErr w:type="gramStart"/>
      <w:r w:rsidRPr="003A3D4A">
        <w:rPr>
          <w:rFonts w:ascii="Times New Roman" w:hAnsi="Times New Roman" w:cs="Times New Roman"/>
          <w:sz w:val="24"/>
          <w:szCs w:val="24"/>
        </w:rPr>
        <w:t>established</w:t>
      </w:r>
      <w:r w:rsidRPr="003A3D4A">
        <w:rPr>
          <w:rFonts w:ascii="Times New Roman" w:hAnsi="Times New Roman" w:cs="Times New Roman"/>
          <w:sz w:val="24"/>
          <w:szCs w:val="24"/>
          <w:vertAlign w:val="superscript"/>
        </w:rPr>
        <w:t>(</w:t>
      </w:r>
      <w:proofErr w:type="gramEnd"/>
      <w:r w:rsidRPr="003A3D4A">
        <w:rPr>
          <w:rFonts w:ascii="Times New Roman" w:hAnsi="Times New Roman" w:cs="Times New Roman"/>
          <w:sz w:val="24"/>
          <w:szCs w:val="24"/>
          <w:vertAlign w:val="superscript"/>
        </w:rPr>
        <w:t>2)</w:t>
      </w:r>
      <w:r w:rsidRPr="003A3D4A">
        <w:rPr>
          <w:rFonts w:ascii="Times New Roman" w:hAnsi="Times New Roman" w:cs="Times New Roman"/>
          <w:sz w:val="24"/>
          <w:szCs w:val="24"/>
        </w:rPr>
        <w:t>. Research has begun to indicate that other nutrients may too be important for bone metabolism, including potassium, magnesium, and vitamin C, found in abundance in fruit and vegetables</w:t>
      </w:r>
      <w:r w:rsidRPr="003A3D4A">
        <w:rPr>
          <w:rFonts w:ascii="Times New Roman" w:hAnsi="Times New Roman" w:cs="Times New Roman"/>
          <w:sz w:val="24"/>
          <w:szCs w:val="24"/>
          <w:vertAlign w:val="superscript"/>
        </w:rPr>
        <w:t>(3)</w:t>
      </w:r>
      <w:r w:rsidRPr="003A3D4A">
        <w:rPr>
          <w:rFonts w:ascii="Times New Roman" w:hAnsi="Times New Roman" w:cs="Times New Roman"/>
          <w:sz w:val="24"/>
          <w:szCs w:val="24"/>
        </w:rPr>
        <w:t>. Fruit and vegetables are also rich sources of carotenoids and limited evidence exists from non-UK studies demonstrating a positive association between specific carotenoid intakes and bone density</w:t>
      </w:r>
      <w:r w:rsidRPr="003A3D4A">
        <w:rPr>
          <w:rFonts w:ascii="Times New Roman" w:hAnsi="Times New Roman" w:cs="Times New Roman"/>
          <w:sz w:val="24"/>
          <w:szCs w:val="24"/>
          <w:vertAlign w:val="superscript"/>
        </w:rPr>
        <w:t>(4</w:t>
      </w:r>
      <w:r>
        <w:rPr>
          <w:rFonts w:ascii="Times New Roman" w:hAnsi="Times New Roman" w:cs="Times New Roman"/>
          <w:sz w:val="24"/>
          <w:szCs w:val="24"/>
          <w:vertAlign w:val="superscript"/>
        </w:rPr>
        <w:t>-</w:t>
      </w:r>
      <w:r w:rsidRPr="003A3D4A">
        <w:rPr>
          <w:rFonts w:ascii="Times New Roman" w:hAnsi="Times New Roman" w:cs="Times New Roman"/>
          <w:sz w:val="24"/>
          <w:szCs w:val="24"/>
          <w:vertAlign w:val="superscript"/>
        </w:rPr>
        <w:t>5)</w:t>
      </w:r>
      <w:r w:rsidRPr="003A3D4A">
        <w:rPr>
          <w:rFonts w:ascii="Times New Roman" w:hAnsi="Times New Roman" w:cs="Times New Roman"/>
          <w:sz w:val="24"/>
          <w:szCs w:val="24"/>
        </w:rPr>
        <w:t>, and that high serum carotenoid concentration is associated with reduced risk of osteoporosis</w:t>
      </w:r>
      <w:r w:rsidRPr="003A3D4A">
        <w:rPr>
          <w:rFonts w:ascii="Times New Roman" w:hAnsi="Times New Roman" w:cs="Times New Roman"/>
          <w:sz w:val="24"/>
          <w:szCs w:val="24"/>
          <w:vertAlign w:val="superscript"/>
        </w:rPr>
        <w:t>(3)</w:t>
      </w:r>
      <w:r w:rsidRPr="003A3D4A">
        <w:rPr>
          <w:rFonts w:ascii="Times New Roman" w:hAnsi="Times New Roman" w:cs="Times New Roman"/>
          <w:sz w:val="24"/>
          <w:szCs w:val="24"/>
        </w:rPr>
        <w:t>. The aim of this study was thus to explore the potential association of carotenoid intake with bone density status in a UK population.</w:t>
      </w:r>
    </w:p>
    <w:p w:rsidR="003A3D4A" w:rsidRPr="003A3D4A" w:rsidRDefault="003A3D4A" w:rsidP="003A3D4A">
      <w:pPr>
        <w:jc w:val="both"/>
        <w:rPr>
          <w:rFonts w:ascii="Times New Roman" w:hAnsi="Times New Roman" w:cs="Times New Roman"/>
          <w:sz w:val="24"/>
          <w:szCs w:val="24"/>
        </w:rPr>
      </w:pPr>
      <w:r w:rsidRPr="003A3D4A">
        <w:rPr>
          <w:rFonts w:ascii="Times New Roman" w:hAnsi="Times New Roman" w:cs="Times New Roman"/>
          <w:sz w:val="24"/>
          <w:szCs w:val="24"/>
        </w:rPr>
        <w:t xml:space="preserve">Analyses were conducted using a random sample of 4,000 individuals from the EPIC-Norfolk </w:t>
      </w:r>
      <w:proofErr w:type="gramStart"/>
      <w:r w:rsidRPr="003A3D4A">
        <w:rPr>
          <w:rFonts w:ascii="Times New Roman" w:hAnsi="Times New Roman" w:cs="Times New Roman"/>
          <w:sz w:val="24"/>
          <w:szCs w:val="24"/>
        </w:rPr>
        <w:t>cohort</w:t>
      </w:r>
      <w:r w:rsidRPr="003A3D4A">
        <w:rPr>
          <w:rFonts w:ascii="Times New Roman" w:hAnsi="Times New Roman" w:cs="Times New Roman"/>
          <w:sz w:val="24"/>
          <w:szCs w:val="24"/>
          <w:vertAlign w:val="superscript"/>
        </w:rPr>
        <w:t>(</w:t>
      </w:r>
      <w:proofErr w:type="gramEnd"/>
      <w:r w:rsidRPr="003A3D4A">
        <w:rPr>
          <w:rFonts w:ascii="Times New Roman" w:hAnsi="Times New Roman" w:cs="Times New Roman"/>
          <w:sz w:val="24"/>
          <w:szCs w:val="24"/>
          <w:vertAlign w:val="superscript"/>
        </w:rPr>
        <w:t>6)</w:t>
      </w:r>
      <w:r w:rsidRPr="003A3D4A">
        <w:rPr>
          <w:rFonts w:ascii="Times New Roman" w:hAnsi="Times New Roman" w:cs="Times New Roman"/>
          <w:sz w:val="24"/>
          <w:szCs w:val="24"/>
        </w:rPr>
        <w:t xml:space="preserve"> of 25,639 men and women attending an initial health check. Participants completed self-administered health and lifestyle questionnaires and dietary nutrient intake was estimated from 7-day food diaries. At a second</w:t>
      </w:r>
      <w:r>
        <w:rPr>
          <w:rFonts w:ascii="Times New Roman" w:hAnsi="Times New Roman" w:cs="Times New Roman"/>
          <w:sz w:val="24"/>
          <w:szCs w:val="24"/>
        </w:rPr>
        <w:t xml:space="preserve"> health check (mean follow-up 3.</w:t>
      </w:r>
      <w:r w:rsidRPr="003A3D4A">
        <w:rPr>
          <w:rFonts w:ascii="Times New Roman" w:hAnsi="Times New Roman" w:cs="Times New Roman"/>
          <w:sz w:val="24"/>
          <w:szCs w:val="24"/>
        </w:rPr>
        <w:t xml:space="preserve">6 years) broadband ultrasound attenuation (BUA) of the calcaneus was measured using a CUBA device (McCue </w:t>
      </w:r>
      <w:proofErr w:type="spellStart"/>
      <w:r w:rsidRPr="003A3D4A">
        <w:rPr>
          <w:rFonts w:ascii="Times New Roman" w:hAnsi="Times New Roman" w:cs="Times New Roman"/>
          <w:sz w:val="24"/>
          <w:szCs w:val="24"/>
        </w:rPr>
        <w:t>Ultrasonics</w:t>
      </w:r>
      <w:proofErr w:type="spellEnd"/>
      <w:r w:rsidRPr="003A3D4A">
        <w:rPr>
          <w:rFonts w:ascii="Times New Roman" w:hAnsi="Times New Roman" w:cs="Times New Roman"/>
          <w:sz w:val="24"/>
          <w:szCs w:val="24"/>
        </w:rPr>
        <w:t xml:space="preserve">, Winchester). Multivariable regression analysis was used to investigate differences in calcaneal BUA across sex-specific quintiles of dietary carotenoid intake; total carotene, </w:t>
      </w:r>
      <w:proofErr w:type="spellStart"/>
      <w:r w:rsidRPr="003A3D4A">
        <w:rPr>
          <w:rFonts w:ascii="Times New Roman" w:hAnsi="Times New Roman" w:cs="Times New Roman"/>
          <w:sz w:val="24"/>
          <w:szCs w:val="24"/>
        </w:rPr>
        <w:t>cryptoxanthin</w:t>
      </w:r>
      <w:proofErr w:type="spellEnd"/>
      <w:r w:rsidRPr="003A3D4A">
        <w:rPr>
          <w:rFonts w:ascii="Times New Roman" w:hAnsi="Times New Roman" w:cs="Times New Roman"/>
          <w:sz w:val="24"/>
          <w:szCs w:val="24"/>
        </w:rPr>
        <w:t>, lycopene, and combined lutein and zeaxanthin, were investigated individually. Each fully adjusted model included age, BMI, smoking status, physical activity, family history of osteoporosis, menopausal and HRT status in women, corticosteroid use, calcium intake and supplement use, vitamin D supplement use, and total energy intake. Statistical analyses were performed using STATA (v12; Stata Corp., USA).</w:t>
      </w:r>
    </w:p>
    <w:p w:rsidR="003A3D4A" w:rsidRPr="003A3D4A" w:rsidRDefault="003A3D4A" w:rsidP="003A3D4A">
      <w:pPr>
        <w:jc w:val="both"/>
        <w:rPr>
          <w:rFonts w:ascii="Times New Roman" w:hAnsi="Times New Roman" w:cs="Times New Roman"/>
          <w:sz w:val="24"/>
          <w:szCs w:val="24"/>
        </w:rPr>
      </w:pPr>
      <w:r w:rsidRPr="003A3D4A">
        <w:rPr>
          <w:rFonts w:ascii="Times New Roman" w:hAnsi="Times New Roman" w:cs="Times New Roman"/>
          <w:sz w:val="24"/>
          <w:szCs w:val="24"/>
        </w:rPr>
        <w:t>Data for the selected variables were available for 968 men and 1360 women. Mean (SD) age a</w:t>
      </w:r>
      <w:r>
        <w:rPr>
          <w:rFonts w:ascii="Times New Roman" w:hAnsi="Times New Roman" w:cs="Times New Roman"/>
          <w:sz w:val="24"/>
          <w:szCs w:val="24"/>
        </w:rPr>
        <w:t>t ultrasound measurement was 63.0 (9.3) years for men and 61.7 (9.</w:t>
      </w:r>
      <w:r w:rsidRPr="003A3D4A">
        <w:rPr>
          <w:rFonts w:ascii="Times New Roman" w:hAnsi="Times New Roman" w:cs="Times New Roman"/>
          <w:sz w:val="24"/>
          <w:szCs w:val="24"/>
        </w:rPr>
        <w:t>2) ye</w:t>
      </w:r>
      <w:r>
        <w:rPr>
          <w:rFonts w:ascii="Times New Roman" w:hAnsi="Times New Roman" w:cs="Times New Roman"/>
          <w:sz w:val="24"/>
          <w:szCs w:val="24"/>
        </w:rPr>
        <w:t>ars for women. The majority (75.</w:t>
      </w:r>
      <w:r w:rsidRPr="003A3D4A">
        <w:rPr>
          <w:rFonts w:ascii="Times New Roman" w:hAnsi="Times New Roman" w:cs="Times New Roman"/>
          <w:sz w:val="24"/>
          <w:szCs w:val="24"/>
        </w:rPr>
        <w:t>4 %) of wom</w:t>
      </w:r>
      <w:r>
        <w:rPr>
          <w:rFonts w:ascii="Times New Roman" w:hAnsi="Times New Roman" w:cs="Times New Roman"/>
          <w:sz w:val="24"/>
          <w:szCs w:val="24"/>
        </w:rPr>
        <w:t>en were post-menopausal, and 35.</w:t>
      </w:r>
      <w:r w:rsidRPr="003A3D4A">
        <w:rPr>
          <w:rFonts w:ascii="Times New Roman" w:hAnsi="Times New Roman" w:cs="Times New Roman"/>
          <w:sz w:val="24"/>
          <w:szCs w:val="24"/>
        </w:rPr>
        <w:t xml:space="preserve">3 % were current or former users of HRT. Mean (SD) daily dietary intakes were 2803 (1687) </w:t>
      </w:r>
      <w:proofErr w:type="spellStart"/>
      <w:r w:rsidRPr="003A3D4A">
        <w:rPr>
          <w:rFonts w:ascii="Times New Roman" w:hAnsi="Times New Roman" w:cs="Times New Roman"/>
          <w:sz w:val="24"/>
          <w:szCs w:val="24"/>
        </w:rPr>
        <w:t>μg</w:t>
      </w:r>
      <w:proofErr w:type="spellEnd"/>
      <w:r w:rsidRPr="003A3D4A">
        <w:rPr>
          <w:rFonts w:ascii="Times New Roman" w:hAnsi="Times New Roman" w:cs="Times New Roman"/>
          <w:sz w:val="24"/>
          <w:szCs w:val="24"/>
        </w:rPr>
        <w:t xml:space="preserve"> carotene, 437 (614) </w:t>
      </w:r>
      <w:proofErr w:type="spellStart"/>
      <w:r w:rsidRPr="003A3D4A">
        <w:rPr>
          <w:rFonts w:ascii="Times New Roman" w:hAnsi="Times New Roman" w:cs="Times New Roman"/>
          <w:sz w:val="24"/>
          <w:szCs w:val="24"/>
        </w:rPr>
        <w:t>μg</w:t>
      </w:r>
      <w:proofErr w:type="spellEnd"/>
      <w:r w:rsidRPr="003A3D4A">
        <w:rPr>
          <w:rFonts w:ascii="Times New Roman" w:hAnsi="Times New Roman" w:cs="Times New Roman"/>
          <w:sz w:val="24"/>
          <w:szCs w:val="24"/>
        </w:rPr>
        <w:t xml:space="preserve"> </w:t>
      </w:r>
      <w:proofErr w:type="spellStart"/>
      <w:r w:rsidRPr="003A3D4A">
        <w:rPr>
          <w:rFonts w:ascii="Times New Roman" w:hAnsi="Times New Roman" w:cs="Times New Roman"/>
          <w:sz w:val="24"/>
          <w:szCs w:val="24"/>
        </w:rPr>
        <w:t>cryptoxanthin</w:t>
      </w:r>
      <w:proofErr w:type="spellEnd"/>
      <w:r w:rsidRPr="003A3D4A">
        <w:rPr>
          <w:rFonts w:ascii="Times New Roman" w:hAnsi="Times New Roman" w:cs="Times New Roman"/>
          <w:sz w:val="24"/>
          <w:szCs w:val="24"/>
        </w:rPr>
        <w:t xml:space="preserve">, 1378 (1644) </w:t>
      </w:r>
      <w:proofErr w:type="spellStart"/>
      <w:r w:rsidRPr="003A3D4A">
        <w:rPr>
          <w:rFonts w:ascii="Times New Roman" w:hAnsi="Times New Roman" w:cs="Times New Roman"/>
          <w:sz w:val="24"/>
          <w:szCs w:val="24"/>
        </w:rPr>
        <w:t>μg</w:t>
      </w:r>
      <w:proofErr w:type="spellEnd"/>
      <w:r w:rsidRPr="003A3D4A">
        <w:rPr>
          <w:rFonts w:ascii="Times New Roman" w:hAnsi="Times New Roman" w:cs="Times New Roman"/>
          <w:sz w:val="24"/>
          <w:szCs w:val="24"/>
        </w:rPr>
        <w:t xml:space="preserve"> lycopene, and 1101 (834) </w:t>
      </w:r>
      <w:proofErr w:type="spellStart"/>
      <w:r w:rsidRPr="003A3D4A">
        <w:rPr>
          <w:rFonts w:ascii="Times New Roman" w:hAnsi="Times New Roman" w:cs="Times New Roman"/>
          <w:sz w:val="24"/>
          <w:szCs w:val="24"/>
        </w:rPr>
        <w:t>μg</w:t>
      </w:r>
      <w:proofErr w:type="spellEnd"/>
      <w:r w:rsidRPr="003A3D4A">
        <w:rPr>
          <w:rFonts w:ascii="Times New Roman" w:hAnsi="Times New Roman" w:cs="Times New Roman"/>
          <w:sz w:val="24"/>
          <w:szCs w:val="24"/>
        </w:rPr>
        <w:t xml:space="preserve"> combined lutein and zeaxanthin in men; and 2688 (1486) </w:t>
      </w:r>
      <w:proofErr w:type="spellStart"/>
      <w:r w:rsidRPr="003A3D4A">
        <w:rPr>
          <w:rFonts w:ascii="Times New Roman" w:hAnsi="Times New Roman" w:cs="Times New Roman"/>
          <w:sz w:val="24"/>
          <w:szCs w:val="24"/>
        </w:rPr>
        <w:t>μg</w:t>
      </w:r>
      <w:proofErr w:type="spellEnd"/>
      <w:r w:rsidRPr="003A3D4A">
        <w:rPr>
          <w:rFonts w:ascii="Times New Roman" w:hAnsi="Times New Roman" w:cs="Times New Roman"/>
          <w:sz w:val="24"/>
          <w:szCs w:val="24"/>
        </w:rPr>
        <w:t xml:space="preserve"> carotene, 461 (610) </w:t>
      </w:r>
      <w:proofErr w:type="spellStart"/>
      <w:r w:rsidRPr="003A3D4A">
        <w:rPr>
          <w:rFonts w:ascii="Times New Roman" w:hAnsi="Times New Roman" w:cs="Times New Roman"/>
          <w:sz w:val="24"/>
          <w:szCs w:val="24"/>
        </w:rPr>
        <w:t>μg</w:t>
      </w:r>
      <w:proofErr w:type="spellEnd"/>
      <w:r w:rsidRPr="003A3D4A">
        <w:rPr>
          <w:rFonts w:ascii="Times New Roman" w:hAnsi="Times New Roman" w:cs="Times New Roman"/>
          <w:sz w:val="24"/>
          <w:szCs w:val="24"/>
        </w:rPr>
        <w:t xml:space="preserve"> </w:t>
      </w:r>
      <w:proofErr w:type="spellStart"/>
      <w:r w:rsidRPr="003A3D4A">
        <w:rPr>
          <w:rFonts w:ascii="Times New Roman" w:hAnsi="Times New Roman" w:cs="Times New Roman"/>
          <w:sz w:val="24"/>
          <w:szCs w:val="24"/>
        </w:rPr>
        <w:t>cryptoxanthin</w:t>
      </w:r>
      <w:proofErr w:type="spellEnd"/>
      <w:r w:rsidRPr="003A3D4A">
        <w:rPr>
          <w:rFonts w:ascii="Times New Roman" w:hAnsi="Times New Roman" w:cs="Times New Roman"/>
          <w:sz w:val="24"/>
          <w:szCs w:val="24"/>
        </w:rPr>
        <w:t xml:space="preserve">, 1282 (1383) </w:t>
      </w:r>
      <w:proofErr w:type="spellStart"/>
      <w:r w:rsidRPr="003A3D4A">
        <w:rPr>
          <w:rFonts w:ascii="Times New Roman" w:hAnsi="Times New Roman" w:cs="Times New Roman"/>
          <w:sz w:val="24"/>
          <w:szCs w:val="24"/>
        </w:rPr>
        <w:t>μg</w:t>
      </w:r>
      <w:proofErr w:type="spellEnd"/>
      <w:r w:rsidRPr="003A3D4A">
        <w:rPr>
          <w:rFonts w:ascii="Times New Roman" w:hAnsi="Times New Roman" w:cs="Times New Roman"/>
          <w:sz w:val="24"/>
          <w:szCs w:val="24"/>
        </w:rPr>
        <w:t xml:space="preserve"> lycopene, and 1129 (905) </w:t>
      </w:r>
      <w:proofErr w:type="spellStart"/>
      <w:r w:rsidRPr="003A3D4A">
        <w:rPr>
          <w:rFonts w:ascii="Times New Roman" w:hAnsi="Times New Roman" w:cs="Times New Roman"/>
          <w:sz w:val="24"/>
          <w:szCs w:val="24"/>
        </w:rPr>
        <w:t>μg</w:t>
      </w:r>
      <w:proofErr w:type="spellEnd"/>
      <w:r w:rsidRPr="003A3D4A">
        <w:rPr>
          <w:rFonts w:ascii="Times New Roman" w:hAnsi="Times New Roman" w:cs="Times New Roman"/>
          <w:sz w:val="24"/>
          <w:szCs w:val="24"/>
        </w:rPr>
        <w:t xml:space="preserve"> combined lutein and zeaxanthin</w:t>
      </w:r>
      <w:r>
        <w:rPr>
          <w:rFonts w:ascii="Times New Roman" w:hAnsi="Times New Roman" w:cs="Times New Roman"/>
          <w:sz w:val="24"/>
          <w:szCs w:val="24"/>
        </w:rPr>
        <w:t xml:space="preserve"> in women. Mean (SD) BUA was 89.6 (17.4) dB/MHz for men and 72.1 (16.</w:t>
      </w:r>
      <w:r w:rsidRPr="003A3D4A">
        <w:rPr>
          <w:rFonts w:ascii="Times New Roman" w:hAnsi="Times New Roman" w:cs="Times New Roman"/>
          <w:sz w:val="24"/>
          <w:szCs w:val="24"/>
        </w:rPr>
        <w:t>5) dB/MHz for women. Significant positive trends in fully adjusted BUA were apparent across qui</w:t>
      </w:r>
      <w:r>
        <w:rPr>
          <w:rFonts w:ascii="Times New Roman" w:hAnsi="Times New Roman" w:cs="Times New Roman"/>
          <w:sz w:val="24"/>
          <w:szCs w:val="24"/>
        </w:rPr>
        <w:t>ntiles of total carotene (p = 0.</w:t>
      </w:r>
      <w:r w:rsidRPr="003A3D4A">
        <w:rPr>
          <w:rFonts w:ascii="Times New Roman" w:hAnsi="Times New Roman" w:cs="Times New Roman"/>
          <w:sz w:val="24"/>
          <w:szCs w:val="24"/>
        </w:rPr>
        <w:t>001) in women, and combined lute</w:t>
      </w:r>
      <w:r>
        <w:rPr>
          <w:rFonts w:ascii="Times New Roman" w:hAnsi="Times New Roman" w:cs="Times New Roman"/>
          <w:sz w:val="24"/>
          <w:szCs w:val="24"/>
        </w:rPr>
        <w:t>in and zeaxanthin in men (p = 0.03) and women (p &lt; 0.001). Fully adjusted BUA was 6.0 % greater (p = 0.</w:t>
      </w:r>
      <w:r w:rsidRPr="003A3D4A">
        <w:rPr>
          <w:rFonts w:ascii="Times New Roman" w:hAnsi="Times New Roman" w:cs="Times New Roman"/>
          <w:sz w:val="24"/>
          <w:szCs w:val="24"/>
        </w:rPr>
        <w:t xml:space="preserve">001) for total carotene quintile 5 </w:t>
      </w:r>
      <w:r w:rsidRPr="003A3D4A">
        <w:rPr>
          <w:rFonts w:ascii="Times New Roman" w:hAnsi="Times New Roman" w:cs="Times New Roman"/>
          <w:i/>
          <w:iCs/>
          <w:sz w:val="24"/>
          <w:szCs w:val="24"/>
        </w:rPr>
        <w:t>vs.</w:t>
      </w:r>
      <w:r w:rsidRPr="003A3D4A">
        <w:rPr>
          <w:rFonts w:ascii="Times New Roman" w:hAnsi="Times New Roman" w:cs="Times New Roman"/>
          <w:sz w:val="24"/>
          <w:szCs w:val="24"/>
        </w:rPr>
        <w:t xml:space="preserve"> quintile 1 in wom</w:t>
      </w:r>
      <w:r>
        <w:rPr>
          <w:rFonts w:ascii="Times New Roman" w:hAnsi="Times New Roman" w:cs="Times New Roman"/>
          <w:sz w:val="24"/>
          <w:szCs w:val="24"/>
        </w:rPr>
        <w:t>en, and 4.4 % greater (p = 0.</w:t>
      </w:r>
      <w:r w:rsidRPr="003A3D4A">
        <w:rPr>
          <w:rFonts w:ascii="Times New Roman" w:hAnsi="Times New Roman" w:cs="Times New Roman"/>
          <w:sz w:val="24"/>
          <w:szCs w:val="24"/>
        </w:rPr>
        <w:t xml:space="preserve">03) for combined lutein and zeaxanthin quintile 5 </w:t>
      </w:r>
      <w:r w:rsidRPr="003A3D4A">
        <w:rPr>
          <w:rFonts w:ascii="Times New Roman" w:hAnsi="Times New Roman" w:cs="Times New Roman"/>
          <w:i/>
          <w:iCs/>
          <w:sz w:val="24"/>
          <w:szCs w:val="24"/>
        </w:rPr>
        <w:t>vs.</w:t>
      </w:r>
      <w:r>
        <w:rPr>
          <w:rFonts w:ascii="Times New Roman" w:hAnsi="Times New Roman" w:cs="Times New Roman"/>
          <w:sz w:val="24"/>
          <w:szCs w:val="24"/>
        </w:rPr>
        <w:t xml:space="preserve"> quintile 1 in men and 6.0 % (p = 0.</w:t>
      </w:r>
      <w:r w:rsidRPr="003A3D4A">
        <w:rPr>
          <w:rFonts w:ascii="Times New Roman" w:hAnsi="Times New Roman" w:cs="Times New Roman"/>
          <w:sz w:val="24"/>
          <w:szCs w:val="24"/>
        </w:rPr>
        <w:t>001) in women.</w:t>
      </w:r>
    </w:p>
    <w:p w:rsidR="003A3D4A" w:rsidRPr="003A3D4A" w:rsidRDefault="003A3D4A" w:rsidP="003A3D4A">
      <w:pPr>
        <w:jc w:val="both"/>
        <w:rPr>
          <w:rFonts w:ascii="Times New Roman" w:hAnsi="Times New Roman" w:cs="Times New Roman"/>
          <w:sz w:val="24"/>
          <w:szCs w:val="24"/>
        </w:rPr>
      </w:pPr>
      <w:r w:rsidRPr="003A3D4A">
        <w:rPr>
          <w:rFonts w:ascii="Times New Roman" w:hAnsi="Times New Roman" w:cs="Times New Roman"/>
          <w:sz w:val="24"/>
          <w:szCs w:val="24"/>
        </w:rPr>
        <w:t>This study provides novel evidence that dietary carotenoid intake is relevant to bone health in both men and women and thus provides additional support for public health interventions promoting fruit and vegetable consumption. To our knowledge, this is the first time that positive associations between specific carotenoid intake and bone density status have been observed in a UK population cohort. Further investigation into the mechanisms of these associations and the potential protective role of carotenoids against osteoporosis is now required, along with longitudinal study of fracture incidence according to carotenoid intake.</w:t>
      </w:r>
      <w:bookmarkStart w:id="0" w:name="_GoBack"/>
      <w:bookmarkEnd w:id="0"/>
    </w:p>
    <w:p w:rsidR="000952CB" w:rsidRPr="0052009E" w:rsidRDefault="000952CB" w:rsidP="000952CB">
      <w:pPr>
        <w:jc w:val="both"/>
        <w:rPr>
          <w:rFonts w:ascii="Times New Roman" w:hAnsi="Times New Roman" w:cs="Times New Roman"/>
          <w:sz w:val="8"/>
          <w:szCs w:val="8"/>
        </w:rPr>
      </w:pPr>
    </w:p>
    <w:p w:rsidR="004B6475" w:rsidRPr="0064549C" w:rsidRDefault="0052009E" w:rsidP="004B6475">
      <w:pPr>
        <w:rPr>
          <w:rFonts w:ascii="Times New Roman" w:hAnsi="Times New Roman" w:cs="Times New Roman"/>
          <w:sz w:val="20"/>
          <w:szCs w:val="20"/>
        </w:rPr>
      </w:pPr>
      <w:r w:rsidRPr="0052009E">
        <w:rPr>
          <w:rFonts w:ascii="Times New Roman" w:hAnsi="Times New Roman" w:cs="Times New Roman"/>
          <w:sz w:val="20"/>
          <w:szCs w:val="20"/>
        </w:rPr>
        <w:t xml:space="preserve">1. </w:t>
      </w:r>
      <w:proofErr w:type="spellStart"/>
      <w:r w:rsidR="004B6475">
        <w:rPr>
          <w:rFonts w:ascii="Times New Roman" w:hAnsi="Times New Roman" w:cs="Times New Roman"/>
          <w:sz w:val="20"/>
          <w:szCs w:val="20"/>
        </w:rPr>
        <w:t>Rachner</w:t>
      </w:r>
      <w:proofErr w:type="spellEnd"/>
      <w:r w:rsidR="004B6475">
        <w:rPr>
          <w:rFonts w:ascii="Times New Roman" w:hAnsi="Times New Roman" w:cs="Times New Roman"/>
          <w:sz w:val="20"/>
          <w:szCs w:val="20"/>
        </w:rPr>
        <w:t xml:space="preserve"> TD, Khosla S &amp; </w:t>
      </w:r>
      <w:proofErr w:type="spellStart"/>
      <w:r w:rsidR="004B6475">
        <w:rPr>
          <w:rFonts w:ascii="Times New Roman" w:hAnsi="Times New Roman" w:cs="Times New Roman"/>
          <w:sz w:val="20"/>
          <w:szCs w:val="20"/>
        </w:rPr>
        <w:t>Hofbauer</w:t>
      </w:r>
      <w:proofErr w:type="spellEnd"/>
      <w:r w:rsidR="004B6475">
        <w:rPr>
          <w:rFonts w:ascii="Times New Roman" w:hAnsi="Times New Roman" w:cs="Times New Roman"/>
          <w:sz w:val="20"/>
          <w:szCs w:val="20"/>
        </w:rPr>
        <w:t xml:space="preserve"> LC (</w:t>
      </w:r>
      <w:r w:rsidR="0064549C" w:rsidRPr="0064549C">
        <w:rPr>
          <w:rFonts w:ascii="Times New Roman" w:hAnsi="Times New Roman" w:cs="Times New Roman"/>
          <w:sz w:val="20"/>
          <w:szCs w:val="20"/>
        </w:rPr>
        <w:t>2011</w:t>
      </w:r>
      <w:r w:rsidR="005057D8">
        <w:rPr>
          <w:rFonts w:ascii="Times New Roman" w:hAnsi="Times New Roman" w:cs="Times New Roman"/>
          <w:sz w:val="20"/>
          <w:szCs w:val="20"/>
        </w:rPr>
        <w:t>)</w:t>
      </w:r>
      <w:r w:rsidR="004B6475">
        <w:rPr>
          <w:rFonts w:ascii="Times New Roman" w:hAnsi="Times New Roman" w:cs="Times New Roman"/>
          <w:sz w:val="20"/>
          <w:szCs w:val="20"/>
        </w:rPr>
        <w:t xml:space="preserve"> </w:t>
      </w:r>
      <w:r w:rsidR="004B6475" w:rsidRPr="004B6475">
        <w:rPr>
          <w:rFonts w:ascii="Times New Roman" w:hAnsi="Times New Roman" w:cs="Times New Roman"/>
          <w:i/>
          <w:sz w:val="20"/>
          <w:szCs w:val="20"/>
        </w:rPr>
        <w:t>Lancet</w:t>
      </w:r>
      <w:r w:rsidR="004B6475">
        <w:rPr>
          <w:rFonts w:ascii="Times New Roman" w:hAnsi="Times New Roman" w:cs="Times New Roman"/>
          <w:sz w:val="20"/>
          <w:szCs w:val="20"/>
        </w:rPr>
        <w:t xml:space="preserve"> </w:t>
      </w:r>
      <w:r w:rsidR="0064549C" w:rsidRPr="004B6475">
        <w:rPr>
          <w:rFonts w:ascii="Times New Roman" w:hAnsi="Times New Roman" w:cs="Times New Roman"/>
          <w:b/>
          <w:sz w:val="20"/>
          <w:szCs w:val="20"/>
        </w:rPr>
        <w:t>377</w:t>
      </w:r>
      <w:r w:rsidR="004B6475">
        <w:rPr>
          <w:rFonts w:ascii="Times New Roman" w:hAnsi="Times New Roman" w:cs="Times New Roman"/>
          <w:sz w:val="20"/>
          <w:szCs w:val="20"/>
        </w:rPr>
        <w:t xml:space="preserve">, </w:t>
      </w:r>
      <w:r w:rsidR="0064549C" w:rsidRPr="0064549C">
        <w:rPr>
          <w:rFonts w:ascii="Times New Roman" w:hAnsi="Times New Roman" w:cs="Times New Roman"/>
          <w:sz w:val="20"/>
          <w:szCs w:val="20"/>
        </w:rPr>
        <w:t>1276-87.</w:t>
      </w:r>
      <w:r w:rsidR="004B6475" w:rsidRPr="0064549C">
        <w:rPr>
          <w:rFonts w:ascii="Times New Roman" w:hAnsi="Times New Roman" w:cs="Times New Roman"/>
          <w:sz w:val="20"/>
          <w:szCs w:val="20"/>
        </w:rPr>
        <w:t xml:space="preserve"> </w:t>
      </w:r>
    </w:p>
    <w:p w:rsidR="004B6475" w:rsidRDefault="004B6475" w:rsidP="0064549C">
      <w:pPr>
        <w:rPr>
          <w:rFonts w:ascii="Times New Roman" w:hAnsi="Times New Roman" w:cs="Times New Roman"/>
          <w:sz w:val="20"/>
          <w:szCs w:val="20"/>
        </w:rPr>
      </w:pPr>
      <w:r>
        <w:rPr>
          <w:rFonts w:ascii="Times New Roman" w:hAnsi="Times New Roman" w:cs="Times New Roman"/>
          <w:sz w:val="20"/>
          <w:szCs w:val="20"/>
        </w:rPr>
        <w:t xml:space="preserve">2. </w:t>
      </w:r>
      <w:proofErr w:type="spellStart"/>
      <w:r>
        <w:rPr>
          <w:rFonts w:ascii="Times New Roman" w:hAnsi="Times New Roman" w:cs="Times New Roman"/>
          <w:sz w:val="20"/>
          <w:szCs w:val="20"/>
        </w:rPr>
        <w:t>Gennari</w:t>
      </w:r>
      <w:proofErr w:type="spellEnd"/>
      <w:r>
        <w:rPr>
          <w:rFonts w:ascii="Times New Roman" w:hAnsi="Times New Roman" w:cs="Times New Roman"/>
          <w:sz w:val="20"/>
          <w:szCs w:val="20"/>
        </w:rPr>
        <w:t xml:space="preserve"> C (2001) </w:t>
      </w:r>
      <w:r w:rsidR="0064549C" w:rsidRPr="004B6475">
        <w:rPr>
          <w:rFonts w:ascii="Times New Roman" w:hAnsi="Times New Roman" w:cs="Times New Roman"/>
          <w:i/>
          <w:sz w:val="20"/>
          <w:szCs w:val="20"/>
        </w:rPr>
        <w:t xml:space="preserve">Public Health </w:t>
      </w:r>
      <w:proofErr w:type="spellStart"/>
      <w:r w:rsidR="0064549C" w:rsidRPr="004B6475">
        <w:rPr>
          <w:rFonts w:ascii="Times New Roman" w:hAnsi="Times New Roman" w:cs="Times New Roman"/>
          <w:i/>
          <w:sz w:val="20"/>
          <w:szCs w:val="20"/>
        </w:rPr>
        <w:t>Nutr</w:t>
      </w:r>
      <w:proofErr w:type="spellEnd"/>
      <w:r w:rsidR="0064549C" w:rsidRPr="0064549C">
        <w:rPr>
          <w:rFonts w:ascii="Times New Roman" w:hAnsi="Times New Roman" w:cs="Times New Roman"/>
          <w:sz w:val="20"/>
          <w:szCs w:val="20"/>
        </w:rPr>
        <w:t xml:space="preserve"> </w:t>
      </w:r>
      <w:r w:rsidR="0064549C" w:rsidRPr="004B6475">
        <w:rPr>
          <w:rFonts w:ascii="Times New Roman" w:hAnsi="Times New Roman" w:cs="Times New Roman"/>
          <w:b/>
          <w:sz w:val="20"/>
          <w:szCs w:val="20"/>
        </w:rPr>
        <w:t>4</w:t>
      </w:r>
      <w:r>
        <w:rPr>
          <w:rFonts w:ascii="Times New Roman" w:hAnsi="Times New Roman" w:cs="Times New Roman"/>
          <w:sz w:val="20"/>
          <w:szCs w:val="20"/>
        </w:rPr>
        <w:t xml:space="preserve">, </w:t>
      </w:r>
      <w:r w:rsidR="0064549C" w:rsidRPr="0064549C">
        <w:rPr>
          <w:rFonts w:ascii="Times New Roman" w:hAnsi="Times New Roman" w:cs="Times New Roman"/>
          <w:sz w:val="20"/>
          <w:szCs w:val="20"/>
        </w:rPr>
        <w:t>547-59.</w:t>
      </w:r>
    </w:p>
    <w:p w:rsidR="004B6475" w:rsidRDefault="004B6475" w:rsidP="005129AE">
      <w:pPr>
        <w:rPr>
          <w:rFonts w:ascii="Times New Roman" w:hAnsi="Times New Roman" w:cs="Times New Roman"/>
          <w:sz w:val="20"/>
          <w:szCs w:val="20"/>
        </w:rPr>
      </w:pPr>
      <w:r>
        <w:rPr>
          <w:rFonts w:ascii="Times New Roman" w:hAnsi="Times New Roman" w:cs="Times New Roman"/>
          <w:sz w:val="20"/>
          <w:szCs w:val="20"/>
        </w:rPr>
        <w:t>3</w:t>
      </w:r>
      <w:r w:rsidR="0052009E" w:rsidRPr="0052009E">
        <w:rPr>
          <w:rFonts w:ascii="Times New Roman" w:hAnsi="Times New Roman" w:cs="Times New Roman"/>
          <w:sz w:val="20"/>
          <w:szCs w:val="20"/>
        </w:rPr>
        <w:t xml:space="preserve">. </w:t>
      </w:r>
      <w:proofErr w:type="spellStart"/>
      <w:r>
        <w:rPr>
          <w:rFonts w:ascii="Times New Roman" w:hAnsi="Times New Roman" w:cs="Times New Roman"/>
          <w:sz w:val="20"/>
          <w:szCs w:val="20"/>
        </w:rPr>
        <w:t>Suguira</w:t>
      </w:r>
      <w:proofErr w:type="spellEnd"/>
      <w:r>
        <w:rPr>
          <w:rFonts w:ascii="Times New Roman" w:hAnsi="Times New Roman" w:cs="Times New Roman"/>
          <w:sz w:val="20"/>
          <w:szCs w:val="20"/>
        </w:rPr>
        <w:t xml:space="preserve"> M, Nakamura M, Ogawa K </w:t>
      </w:r>
      <w:r w:rsidRPr="00074D90">
        <w:rPr>
          <w:rFonts w:ascii="Times New Roman" w:hAnsi="Times New Roman" w:cs="Times New Roman"/>
          <w:i/>
          <w:sz w:val="20"/>
          <w:szCs w:val="20"/>
        </w:rPr>
        <w:t>et al.</w:t>
      </w:r>
      <w:r>
        <w:rPr>
          <w:rFonts w:ascii="Times New Roman" w:hAnsi="Times New Roman" w:cs="Times New Roman"/>
          <w:sz w:val="20"/>
          <w:szCs w:val="20"/>
        </w:rPr>
        <w:t xml:space="preserve"> (2012) </w:t>
      </w:r>
      <w:proofErr w:type="spellStart"/>
      <w:r w:rsidRPr="004B6475">
        <w:rPr>
          <w:rFonts w:ascii="Times New Roman" w:hAnsi="Times New Roman" w:cs="Times New Roman"/>
          <w:i/>
          <w:sz w:val="20"/>
          <w:szCs w:val="20"/>
        </w:rPr>
        <w:t>PLoS</w:t>
      </w:r>
      <w:proofErr w:type="spellEnd"/>
      <w:r w:rsidRPr="004B6475">
        <w:rPr>
          <w:rFonts w:ascii="Times New Roman" w:hAnsi="Times New Roman" w:cs="Times New Roman"/>
          <w:i/>
          <w:sz w:val="20"/>
          <w:szCs w:val="20"/>
        </w:rPr>
        <w:t xml:space="preserve"> One</w:t>
      </w:r>
      <w:r w:rsidRPr="004B6475">
        <w:rPr>
          <w:rFonts w:ascii="Times New Roman" w:hAnsi="Times New Roman" w:cs="Times New Roman"/>
          <w:sz w:val="20"/>
          <w:szCs w:val="20"/>
        </w:rPr>
        <w:t xml:space="preserve"> </w:t>
      </w:r>
      <w:r w:rsidRPr="004B6475">
        <w:rPr>
          <w:rFonts w:ascii="Times New Roman" w:hAnsi="Times New Roman" w:cs="Times New Roman"/>
          <w:b/>
          <w:sz w:val="20"/>
          <w:szCs w:val="20"/>
        </w:rPr>
        <w:t>7</w:t>
      </w:r>
      <w:r>
        <w:rPr>
          <w:rFonts w:ascii="Times New Roman" w:hAnsi="Times New Roman" w:cs="Times New Roman"/>
          <w:sz w:val="20"/>
          <w:szCs w:val="20"/>
        </w:rPr>
        <w:t>,</w:t>
      </w:r>
      <w:r w:rsidRPr="004B6475">
        <w:rPr>
          <w:rFonts w:ascii="Times New Roman" w:hAnsi="Times New Roman" w:cs="Times New Roman"/>
          <w:sz w:val="20"/>
          <w:szCs w:val="20"/>
        </w:rPr>
        <w:t xml:space="preserve"> e52643.</w:t>
      </w:r>
    </w:p>
    <w:p w:rsidR="005057D8" w:rsidRPr="005057D8" w:rsidRDefault="00B47D60" w:rsidP="005057D8">
      <w:pPr>
        <w:rPr>
          <w:rFonts w:ascii="Times New Roman" w:hAnsi="Times New Roman" w:cs="Times New Roman"/>
          <w:sz w:val="20"/>
          <w:szCs w:val="20"/>
        </w:rPr>
      </w:pPr>
      <w:r>
        <w:rPr>
          <w:rFonts w:ascii="Times New Roman" w:hAnsi="Times New Roman" w:cs="Times New Roman"/>
          <w:sz w:val="20"/>
          <w:szCs w:val="20"/>
        </w:rPr>
        <w:t xml:space="preserve">4. </w:t>
      </w:r>
      <w:proofErr w:type="spellStart"/>
      <w:r w:rsidR="005057D8">
        <w:rPr>
          <w:rFonts w:ascii="Times New Roman" w:hAnsi="Times New Roman" w:cs="Times New Roman"/>
          <w:sz w:val="20"/>
          <w:szCs w:val="20"/>
        </w:rPr>
        <w:t>Wattanapenpaiboon</w:t>
      </w:r>
      <w:proofErr w:type="spellEnd"/>
      <w:r w:rsidR="005057D8">
        <w:rPr>
          <w:rFonts w:ascii="Times New Roman" w:hAnsi="Times New Roman" w:cs="Times New Roman"/>
          <w:sz w:val="20"/>
          <w:szCs w:val="20"/>
        </w:rPr>
        <w:t xml:space="preserve"> N</w:t>
      </w:r>
      <w:r w:rsidR="005057D8" w:rsidRPr="005057D8">
        <w:rPr>
          <w:rFonts w:ascii="Times New Roman" w:hAnsi="Times New Roman" w:cs="Times New Roman"/>
          <w:sz w:val="20"/>
          <w:szCs w:val="20"/>
        </w:rPr>
        <w:t xml:space="preserve">, </w:t>
      </w:r>
      <w:proofErr w:type="spellStart"/>
      <w:r w:rsidR="005057D8" w:rsidRPr="005057D8">
        <w:rPr>
          <w:rFonts w:ascii="Times New Roman" w:hAnsi="Times New Roman" w:cs="Times New Roman"/>
          <w:sz w:val="20"/>
          <w:szCs w:val="20"/>
        </w:rPr>
        <w:t>Lukito</w:t>
      </w:r>
      <w:proofErr w:type="spellEnd"/>
      <w:r w:rsidR="005057D8" w:rsidRPr="005057D8">
        <w:rPr>
          <w:rFonts w:ascii="Times New Roman" w:hAnsi="Times New Roman" w:cs="Times New Roman"/>
          <w:sz w:val="20"/>
          <w:szCs w:val="20"/>
        </w:rPr>
        <w:t xml:space="preserve"> W, </w:t>
      </w:r>
      <w:proofErr w:type="spellStart"/>
      <w:r w:rsidR="005057D8" w:rsidRPr="005057D8">
        <w:rPr>
          <w:rFonts w:ascii="Times New Roman" w:hAnsi="Times New Roman" w:cs="Times New Roman"/>
          <w:sz w:val="20"/>
          <w:szCs w:val="20"/>
        </w:rPr>
        <w:t>Wahlqvist</w:t>
      </w:r>
      <w:proofErr w:type="spellEnd"/>
      <w:r w:rsidR="005057D8" w:rsidRPr="005057D8">
        <w:rPr>
          <w:rFonts w:ascii="Times New Roman" w:hAnsi="Times New Roman" w:cs="Times New Roman"/>
          <w:sz w:val="20"/>
          <w:szCs w:val="20"/>
        </w:rPr>
        <w:t xml:space="preserve"> ML, </w:t>
      </w:r>
      <w:r w:rsidR="005057D8" w:rsidRPr="005057D8">
        <w:rPr>
          <w:rFonts w:ascii="Times New Roman" w:hAnsi="Times New Roman" w:cs="Times New Roman"/>
          <w:i/>
          <w:sz w:val="20"/>
          <w:szCs w:val="20"/>
        </w:rPr>
        <w:t>et al.</w:t>
      </w:r>
      <w:r w:rsidR="005057D8">
        <w:rPr>
          <w:rFonts w:ascii="Times New Roman" w:hAnsi="Times New Roman" w:cs="Times New Roman"/>
          <w:sz w:val="20"/>
          <w:szCs w:val="20"/>
        </w:rPr>
        <w:t xml:space="preserve"> (2003) </w:t>
      </w:r>
      <w:r w:rsidR="005057D8" w:rsidRPr="00BE148F">
        <w:rPr>
          <w:rFonts w:ascii="Times New Roman" w:hAnsi="Times New Roman" w:cs="Times New Roman"/>
          <w:i/>
          <w:sz w:val="20"/>
          <w:szCs w:val="20"/>
        </w:rPr>
        <w:t xml:space="preserve">Asia Pac J </w:t>
      </w:r>
      <w:proofErr w:type="spellStart"/>
      <w:r w:rsidR="005057D8" w:rsidRPr="00BE148F">
        <w:rPr>
          <w:rFonts w:ascii="Times New Roman" w:hAnsi="Times New Roman" w:cs="Times New Roman"/>
          <w:i/>
          <w:sz w:val="20"/>
          <w:szCs w:val="20"/>
        </w:rPr>
        <w:t>Clin</w:t>
      </w:r>
      <w:proofErr w:type="spellEnd"/>
      <w:r w:rsidR="005057D8" w:rsidRPr="00BE148F">
        <w:rPr>
          <w:rFonts w:ascii="Times New Roman" w:hAnsi="Times New Roman" w:cs="Times New Roman"/>
          <w:i/>
          <w:sz w:val="20"/>
          <w:szCs w:val="20"/>
        </w:rPr>
        <w:t xml:space="preserve"> </w:t>
      </w:r>
      <w:proofErr w:type="spellStart"/>
      <w:r w:rsidR="005057D8" w:rsidRPr="00BE148F">
        <w:rPr>
          <w:rFonts w:ascii="Times New Roman" w:hAnsi="Times New Roman" w:cs="Times New Roman"/>
          <w:i/>
          <w:sz w:val="20"/>
          <w:szCs w:val="20"/>
        </w:rPr>
        <w:t>Nutr</w:t>
      </w:r>
      <w:proofErr w:type="spellEnd"/>
      <w:r w:rsidR="005057D8" w:rsidRPr="005057D8">
        <w:rPr>
          <w:rFonts w:ascii="Times New Roman" w:hAnsi="Times New Roman" w:cs="Times New Roman"/>
          <w:sz w:val="20"/>
          <w:szCs w:val="20"/>
        </w:rPr>
        <w:t xml:space="preserve"> </w:t>
      </w:r>
      <w:r w:rsidR="005057D8" w:rsidRPr="005057D8">
        <w:rPr>
          <w:rFonts w:ascii="Times New Roman" w:hAnsi="Times New Roman" w:cs="Times New Roman"/>
          <w:b/>
          <w:sz w:val="20"/>
          <w:szCs w:val="20"/>
        </w:rPr>
        <w:t>12</w:t>
      </w:r>
      <w:r w:rsidR="005057D8">
        <w:rPr>
          <w:rFonts w:ascii="Times New Roman" w:hAnsi="Times New Roman" w:cs="Times New Roman"/>
          <w:sz w:val="20"/>
          <w:szCs w:val="20"/>
        </w:rPr>
        <w:t xml:space="preserve">, </w:t>
      </w:r>
      <w:r w:rsidR="005057D8" w:rsidRPr="005057D8">
        <w:rPr>
          <w:rFonts w:ascii="Times New Roman" w:hAnsi="Times New Roman" w:cs="Times New Roman"/>
          <w:sz w:val="20"/>
          <w:szCs w:val="20"/>
        </w:rPr>
        <w:t>467-73.</w:t>
      </w:r>
    </w:p>
    <w:p w:rsidR="00074D90" w:rsidRPr="00074D90" w:rsidRDefault="00074D90" w:rsidP="00074D90">
      <w:pPr>
        <w:rPr>
          <w:rFonts w:ascii="Times New Roman" w:hAnsi="Times New Roman" w:cs="Times New Roman"/>
          <w:sz w:val="20"/>
          <w:szCs w:val="20"/>
        </w:rPr>
      </w:pPr>
      <w:r>
        <w:rPr>
          <w:rFonts w:ascii="Times New Roman" w:hAnsi="Times New Roman" w:cs="Times New Roman"/>
          <w:sz w:val="20"/>
          <w:szCs w:val="20"/>
        </w:rPr>
        <w:t xml:space="preserve">5. </w:t>
      </w:r>
      <w:proofErr w:type="spellStart"/>
      <w:r>
        <w:rPr>
          <w:rFonts w:ascii="Times New Roman" w:hAnsi="Times New Roman" w:cs="Times New Roman"/>
          <w:sz w:val="20"/>
          <w:szCs w:val="20"/>
        </w:rPr>
        <w:t>Sahni</w:t>
      </w:r>
      <w:proofErr w:type="spellEnd"/>
      <w:r>
        <w:rPr>
          <w:rFonts w:ascii="Times New Roman" w:hAnsi="Times New Roman" w:cs="Times New Roman"/>
          <w:sz w:val="20"/>
          <w:szCs w:val="20"/>
        </w:rPr>
        <w:t xml:space="preserve"> S</w:t>
      </w:r>
      <w:r w:rsidRPr="00074D90">
        <w:rPr>
          <w:rFonts w:ascii="Times New Roman" w:hAnsi="Times New Roman" w:cs="Times New Roman"/>
          <w:sz w:val="20"/>
          <w:szCs w:val="20"/>
        </w:rPr>
        <w:t xml:space="preserve">, </w:t>
      </w:r>
      <w:proofErr w:type="spellStart"/>
      <w:r w:rsidRPr="00074D90">
        <w:rPr>
          <w:rFonts w:ascii="Times New Roman" w:hAnsi="Times New Roman" w:cs="Times New Roman"/>
          <w:sz w:val="20"/>
          <w:szCs w:val="20"/>
        </w:rPr>
        <w:t>Hannan</w:t>
      </w:r>
      <w:proofErr w:type="spellEnd"/>
      <w:r w:rsidRPr="00074D90">
        <w:rPr>
          <w:rFonts w:ascii="Times New Roman" w:hAnsi="Times New Roman" w:cs="Times New Roman"/>
          <w:sz w:val="20"/>
          <w:szCs w:val="20"/>
        </w:rPr>
        <w:t xml:space="preserve"> MT, Blumberg J, </w:t>
      </w:r>
      <w:r w:rsidRPr="00074D90">
        <w:rPr>
          <w:rFonts w:ascii="Times New Roman" w:hAnsi="Times New Roman" w:cs="Times New Roman"/>
          <w:i/>
          <w:sz w:val="20"/>
          <w:szCs w:val="20"/>
        </w:rPr>
        <w:t>et al.</w:t>
      </w:r>
      <w:r>
        <w:rPr>
          <w:rFonts w:ascii="Times New Roman" w:hAnsi="Times New Roman" w:cs="Times New Roman"/>
          <w:sz w:val="20"/>
          <w:szCs w:val="20"/>
        </w:rPr>
        <w:t xml:space="preserve"> (2009) </w:t>
      </w:r>
      <w:r w:rsidRPr="00074D90">
        <w:rPr>
          <w:rFonts w:ascii="Times New Roman" w:hAnsi="Times New Roman" w:cs="Times New Roman"/>
          <w:i/>
          <w:sz w:val="20"/>
          <w:szCs w:val="20"/>
        </w:rPr>
        <w:t xml:space="preserve">Am J </w:t>
      </w:r>
      <w:proofErr w:type="spellStart"/>
      <w:r w:rsidRPr="00074D90">
        <w:rPr>
          <w:rFonts w:ascii="Times New Roman" w:hAnsi="Times New Roman" w:cs="Times New Roman"/>
          <w:i/>
          <w:sz w:val="20"/>
          <w:szCs w:val="20"/>
        </w:rPr>
        <w:t>Clin</w:t>
      </w:r>
      <w:proofErr w:type="spellEnd"/>
      <w:r w:rsidRPr="00074D90">
        <w:rPr>
          <w:rFonts w:ascii="Times New Roman" w:hAnsi="Times New Roman" w:cs="Times New Roman"/>
          <w:i/>
          <w:sz w:val="20"/>
          <w:szCs w:val="20"/>
        </w:rPr>
        <w:t xml:space="preserve"> </w:t>
      </w:r>
      <w:proofErr w:type="spellStart"/>
      <w:r w:rsidRPr="00074D90">
        <w:rPr>
          <w:rFonts w:ascii="Times New Roman" w:hAnsi="Times New Roman" w:cs="Times New Roman"/>
          <w:i/>
          <w:sz w:val="20"/>
          <w:szCs w:val="20"/>
        </w:rPr>
        <w:t>Nutr</w:t>
      </w:r>
      <w:proofErr w:type="spellEnd"/>
      <w:r>
        <w:rPr>
          <w:rFonts w:ascii="Times New Roman" w:hAnsi="Times New Roman" w:cs="Times New Roman"/>
          <w:sz w:val="20"/>
          <w:szCs w:val="20"/>
        </w:rPr>
        <w:t xml:space="preserve"> </w:t>
      </w:r>
      <w:r w:rsidRPr="00074D90">
        <w:rPr>
          <w:rFonts w:ascii="Times New Roman" w:hAnsi="Times New Roman" w:cs="Times New Roman"/>
          <w:b/>
          <w:sz w:val="20"/>
          <w:szCs w:val="20"/>
        </w:rPr>
        <w:t>89</w:t>
      </w:r>
      <w:r>
        <w:rPr>
          <w:rFonts w:ascii="Times New Roman" w:hAnsi="Times New Roman" w:cs="Times New Roman"/>
          <w:sz w:val="20"/>
          <w:szCs w:val="20"/>
        </w:rPr>
        <w:t xml:space="preserve">, </w:t>
      </w:r>
      <w:r w:rsidRPr="00074D90">
        <w:rPr>
          <w:rFonts w:ascii="Times New Roman" w:hAnsi="Times New Roman" w:cs="Times New Roman"/>
          <w:sz w:val="20"/>
          <w:szCs w:val="20"/>
        </w:rPr>
        <w:t>416-24.</w:t>
      </w:r>
    </w:p>
    <w:p w:rsidR="005057D8" w:rsidRDefault="00074D90" w:rsidP="005129AE">
      <w:pPr>
        <w:rPr>
          <w:rFonts w:ascii="Times New Roman" w:hAnsi="Times New Roman" w:cs="Times New Roman"/>
          <w:sz w:val="20"/>
          <w:szCs w:val="20"/>
        </w:rPr>
      </w:pPr>
      <w:r>
        <w:rPr>
          <w:rFonts w:ascii="Times New Roman" w:hAnsi="Times New Roman" w:cs="Times New Roman"/>
          <w:sz w:val="20"/>
          <w:szCs w:val="20"/>
        </w:rPr>
        <w:t>6</w:t>
      </w:r>
      <w:r w:rsidR="005057D8">
        <w:rPr>
          <w:rFonts w:ascii="Times New Roman" w:hAnsi="Times New Roman" w:cs="Times New Roman"/>
          <w:sz w:val="20"/>
          <w:szCs w:val="20"/>
        </w:rPr>
        <w:t xml:space="preserve">. </w:t>
      </w:r>
      <w:r w:rsidR="005057D8" w:rsidRPr="00023FC3">
        <w:rPr>
          <w:rFonts w:ascii="Times New Roman" w:hAnsi="Times New Roman" w:cs="Times New Roman"/>
          <w:sz w:val="20"/>
          <w:szCs w:val="20"/>
        </w:rPr>
        <w:t xml:space="preserve">Day N, Oakes S, Luben R, </w:t>
      </w:r>
      <w:r w:rsidR="005057D8" w:rsidRPr="00023FC3">
        <w:rPr>
          <w:rFonts w:ascii="Times New Roman" w:hAnsi="Times New Roman" w:cs="Times New Roman"/>
          <w:i/>
          <w:iCs/>
          <w:sz w:val="20"/>
          <w:szCs w:val="20"/>
        </w:rPr>
        <w:t>et al.</w:t>
      </w:r>
      <w:r w:rsidR="005057D8" w:rsidRPr="00023FC3">
        <w:rPr>
          <w:rFonts w:ascii="Times New Roman" w:hAnsi="Times New Roman" w:cs="Times New Roman"/>
          <w:sz w:val="20"/>
          <w:szCs w:val="20"/>
        </w:rPr>
        <w:t xml:space="preserve"> </w:t>
      </w:r>
      <w:r w:rsidR="005057D8">
        <w:rPr>
          <w:rFonts w:ascii="Times New Roman" w:hAnsi="Times New Roman" w:cs="Times New Roman"/>
          <w:sz w:val="20"/>
          <w:szCs w:val="20"/>
        </w:rPr>
        <w:t xml:space="preserve">(1999) </w:t>
      </w:r>
      <w:r w:rsidR="005057D8" w:rsidRPr="00023FC3">
        <w:rPr>
          <w:rFonts w:ascii="Times New Roman" w:hAnsi="Times New Roman" w:cs="Times New Roman"/>
          <w:i/>
          <w:iCs/>
          <w:sz w:val="20"/>
          <w:szCs w:val="20"/>
        </w:rPr>
        <w:t>Br J Cancer</w:t>
      </w:r>
      <w:r w:rsidR="005057D8" w:rsidRPr="00023FC3">
        <w:rPr>
          <w:rFonts w:ascii="Times New Roman" w:hAnsi="Times New Roman" w:cs="Times New Roman"/>
          <w:sz w:val="20"/>
          <w:szCs w:val="20"/>
        </w:rPr>
        <w:t xml:space="preserve"> </w:t>
      </w:r>
      <w:r w:rsidR="005057D8" w:rsidRPr="00023FC3">
        <w:rPr>
          <w:rFonts w:ascii="Times New Roman" w:hAnsi="Times New Roman" w:cs="Times New Roman"/>
          <w:b/>
          <w:bCs/>
          <w:sz w:val="20"/>
          <w:szCs w:val="20"/>
        </w:rPr>
        <w:t>80</w:t>
      </w:r>
      <w:r w:rsidR="005057D8">
        <w:rPr>
          <w:rFonts w:ascii="Times New Roman" w:hAnsi="Times New Roman" w:cs="Times New Roman"/>
          <w:b/>
          <w:bCs/>
          <w:sz w:val="20"/>
          <w:szCs w:val="20"/>
        </w:rPr>
        <w:t>,</w:t>
      </w:r>
      <w:r w:rsidR="005057D8" w:rsidRPr="00023FC3">
        <w:rPr>
          <w:rFonts w:ascii="Times New Roman" w:hAnsi="Times New Roman" w:cs="Times New Roman"/>
          <w:sz w:val="20"/>
          <w:szCs w:val="20"/>
        </w:rPr>
        <w:t xml:space="preserve"> 95-103.</w:t>
      </w:r>
    </w:p>
    <w:sectPr w:rsidR="005057D8" w:rsidSect="00954011">
      <w:headerReference w:type="even" r:id="rId8"/>
      <w:headerReference w:type="default" r:id="rId9"/>
      <w:footerReference w:type="even" r:id="rId10"/>
      <w:footerReference w:type="default" r:id="rId11"/>
      <w:headerReference w:type="first" r:id="rId12"/>
      <w:footerReference w:type="first" r:id="rId13"/>
      <w:pgSz w:w="11906" w:h="16838" w:code="9"/>
      <w:pgMar w:top="567" w:right="1440" w:bottom="284"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636E" w:rsidRDefault="00B3636E" w:rsidP="00B3636E">
      <w:r>
        <w:separator/>
      </w:r>
    </w:p>
  </w:endnote>
  <w:endnote w:type="continuationSeparator" w:id="0">
    <w:p w:rsidR="00B3636E" w:rsidRDefault="00B3636E" w:rsidP="00B36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636E" w:rsidRDefault="00B3636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636E" w:rsidRDefault="00B3636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636E" w:rsidRDefault="00B3636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636E" w:rsidRDefault="00B3636E" w:rsidP="00B3636E">
      <w:r>
        <w:separator/>
      </w:r>
    </w:p>
  </w:footnote>
  <w:footnote w:type="continuationSeparator" w:id="0">
    <w:p w:rsidR="00B3636E" w:rsidRDefault="00B3636E" w:rsidP="00B3636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636E" w:rsidRDefault="00B3636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74440519"/>
      <w:docPartObj>
        <w:docPartGallery w:val="Watermarks"/>
        <w:docPartUnique/>
      </w:docPartObj>
    </w:sdtPr>
    <w:sdtEndPr/>
    <w:sdtContent>
      <w:p w:rsidR="00B3636E" w:rsidRDefault="003A3D4A">
        <w:pPr>
          <w:pStyle w:val="Header"/>
        </w:pPr>
        <w:r>
          <w:rPr>
            <w:noProof/>
            <w:lang w:val="en-US" w:eastAsia="en-U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636E" w:rsidRDefault="00B3636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B673B6"/>
    <w:multiLevelType w:val="hybridMultilevel"/>
    <w:tmpl w:val="AAF045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A312719"/>
    <w:multiLevelType w:val="hybridMultilevel"/>
    <w:tmpl w:val="1E9CA1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4995C35"/>
    <w:multiLevelType w:val="hybridMultilevel"/>
    <w:tmpl w:val="749E6F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6B07"/>
    <w:rsid w:val="00023FC3"/>
    <w:rsid w:val="0003437B"/>
    <w:rsid w:val="00044317"/>
    <w:rsid w:val="00050D1D"/>
    <w:rsid w:val="00057F5E"/>
    <w:rsid w:val="00062C7A"/>
    <w:rsid w:val="00063EB4"/>
    <w:rsid w:val="00074117"/>
    <w:rsid w:val="00074D90"/>
    <w:rsid w:val="000759DF"/>
    <w:rsid w:val="0008173E"/>
    <w:rsid w:val="000830DA"/>
    <w:rsid w:val="000952CB"/>
    <w:rsid w:val="000B6B07"/>
    <w:rsid w:val="000E2BDF"/>
    <w:rsid w:val="00107267"/>
    <w:rsid w:val="00137AE4"/>
    <w:rsid w:val="00153017"/>
    <w:rsid w:val="00162503"/>
    <w:rsid w:val="00167678"/>
    <w:rsid w:val="00176F0E"/>
    <w:rsid w:val="00182E3E"/>
    <w:rsid w:val="001A6ECF"/>
    <w:rsid w:val="001E2C6C"/>
    <w:rsid w:val="00231339"/>
    <w:rsid w:val="0024757D"/>
    <w:rsid w:val="00251B65"/>
    <w:rsid w:val="00253908"/>
    <w:rsid w:val="00263A1A"/>
    <w:rsid w:val="002A7CC2"/>
    <w:rsid w:val="002B497D"/>
    <w:rsid w:val="002F0ABD"/>
    <w:rsid w:val="0030156D"/>
    <w:rsid w:val="00320774"/>
    <w:rsid w:val="00323CEB"/>
    <w:rsid w:val="00337DF1"/>
    <w:rsid w:val="0035693B"/>
    <w:rsid w:val="00356EF6"/>
    <w:rsid w:val="0037584A"/>
    <w:rsid w:val="00380113"/>
    <w:rsid w:val="00387B64"/>
    <w:rsid w:val="003A3D4A"/>
    <w:rsid w:val="003B73E7"/>
    <w:rsid w:val="003F3C79"/>
    <w:rsid w:val="003F59C1"/>
    <w:rsid w:val="004332E0"/>
    <w:rsid w:val="00442F49"/>
    <w:rsid w:val="00452BAF"/>
    <w:rsid w:val="004711FA"/>
    <w:rsid w:val="0048459C"/>
    <w:rsid w:val="00485F9F"/>
    <w:rsid w:val="004A3D2F"/>
    <w:rsid w:val="004B33C5"/>
    <w:rsid w:val="004B4CFF"/>
    <w:rsid w:val="004B5A9A"/>
    <w:rsid w:val="004B6475"/>
    <w:rsid w:val="004C09DE"/>
    <w:rsid w:val="004C31F7"/>
    <w:rsid w:val="004C5897"/>
    <w:rsid w:val="004E2EFA"/>
    <w:rsid w:val="004F3F2C"/>
    <w:rsid w:val="004F7731"/>
    <w:rsid w:val="0050269E"/>
    <w:rsid w:val="005057D8"/>
    <w:rsid w:val="005129AE"/>
    <w:rsid w:val="0052009E"/>
    <w:rsid w:val="00537029"/>
    <w:rsid w:val="00545ABC"/>
    <w:rsid w:val="00561D85"/>
    <w:rsid w:val="005724A3"/>
    <w:rsid w:val="00577BBD"/>
    <w:rsid w:val="005822A5"/>
    <w:rsid w:val="005C370C"/>
    <w:rsid w:val="005D3134"/>
    <w:rsid w:val="005E3747"/>
    <w:rsid w:val="005E5C2A"/>
    <w:rsid w:val="005F7EF6"/>
    <w:rsid w:val="00603331"/>
    <w:rsid w:val="006125C9"/>
    <w:rsid w:val="00613F67"/>
    <w:rsid w:val="006350EC"/>
    <w:rsid w:val="0064549C"/>
    <w:rsid w:val="0065093D"/>
    <w:rsid w:val="006559CB"/>
    <w:rsid w:val="006A2A12"/>
    <w:rsid w:val="006B4849"/>
    <w:rsid w:val="006D1982"/>
    <w:rsid w:val="0071344D"/>
    <w:rsid w:val="00735A6E"/>
    <w:rsid w:val="007455E2"/>
    <w:rsid w:val="00750550"/>
    <w:rsid w:val="00772BEB"/>
    <w:rsid w:val="0077448E"/>
    <w:rsid w:val="007957F0"/>
    <w:rsid w:val="007E53D5"/>
    <w:rsid w:val="007F04B2"/>
    <w:rsid w:val="007F4EC0"/>
    <w:rsid w:val="00815796"/>
    <w:rsid w:val="00826E86"/>
    <w:rsid w:val="0083193B"/>
    <w:rsid w:val="00834D73"/>
    <w:rsid w:val="008360C0"/>
    <w:rsid w:val="0084678B"/>
    <w:rsid w:val="00872715"/>
    <w:rsid w:val="008B0626"/>
    <w:rsid w:val="008B1B96"/>
    <w:rsid w:val="008C5478"/>
    <w:rsid w:val="008C73D2"/>
    <w:rsid w:val="008F2F1C"/>
    <w:rsid w:val="008F57E9"/>
    <w:rsid w:val="00914CB4"/>
    <w:rsid w:val="00947DF0"/>
    <w:rsid w:val="0095060E"/>
    <w:rsid w:val="00954011"/>
    <w:rsid w:val="00970176"/>
    <w:rsid w:val="00987D84"/>
    <w:rsid w:val="009A7183"/>
    <w:rsid w:val="009B18D1"/>
    <w:rsid w:val="009B319E"/>
    <w:rsid w:val="009B3A88"/>
    <w:rsid w:val="009C16C4"/>
    <w:rsid w:val="009C44E8"/>
    <w:rsid w:val="009C6BEF"/>
    <w:rsid w:val="009D1ABE"/>
    <w:rsid w:val="009E0080"/>
    <w:rsid w:val="009E3026"/>
    <w:rsid w:val="009F09BE"/>
    <w:rsid w:val="00A14A75"/>
    <w:rsid w:val="00A21187"/>
    <w:rsid w:val="00A323C7"/>
    <w:rsid w:val="00A4438E"/>
    <w:rsid w:val="00A574F0"/>
    <w:rsid w:val="00A6793B"/>
    <w:rsid w:val="00A8692F"/>
    <w:rsid w:val="00AA5083"/>
    <w:rsid w:val="00AB6C20"/>
    <w:rsid w:val="00AC4617"/>
    <w:rsid w:val="00AD7D39"/>
    <w:rsid w:val="00AE4EC9"/>
    <w:rsid w:val="00B03CC1"/>
    <w:rsid w:val="00B1517D"/>
    <w:rsid w:val="00B20A1F"/>
    <w:rsid w:val="00B3636E"/>
    <w:rsid w:val="00B47D60"/>
    <w:rsid w:val="00B63D35"/>
    <w:rsid w:val="00B74C4E"/>
    <w:rsid w:val="00B80C47"/>
    <w:rsid w:val="00B81073"/>
    <w:rsid w:val="00BB4655"/>
    <w:rsid w:val="00BE0B68"/>
    <w:rsid w:val="00BE148F"/>
    <w:rsid w:val="00BE22CB"/>
    <w:rsid w:val="00C514F1"/>
    <w:rsid w:val="00C5437F"/>
    <w:rsid w:val="00C54798"/>
    <w:rsid w:val="00C728F7"/>
    <w:rsid w:val="00CB2913"/>
    <w:rsid w:val="00CC151A"/>
    <w:rsid w:val="00D004D6"/>
    <w:rsid w:val="00D15A59"/>
    <w:rsid w:val="00D53608"/>
    <w:rsid w:val="00D6395F"/>
    <w:rsid w:val="00D647D9"/>
    <w:rsid w:val="00D857B2"/>
    <w:rsid w:val="00D86C0F"/>
    <w:rsid w:val="00D91882"/>
    <w:rsid w:val="00DB2CA5"/>
    <w:rsid w:val="00DC1835"/>
    <w:rsid w:val="00DD4845"/>
    <w:rsid w:val="00DE43E7"/>
    <w:rsid w:val="00DF2AD7"/>
    <w:rsid w:val="00DF7914"/>
    <w:rsid w:val="00E30D92"/>
    <w:rsid w:val="00E4030B"/>
    <w:rsid w:val="00E43AD1"/>
    <w:rsid w:val="00E52647"/>
    <w:rsid w:val="00E62138"/>
    <w:rsid w:val="00E71D90"/>
    <w:rsid w:val="00E86047"/>
    <w:rsid w:val="00E966E2"/>
    <w:rsid w:val="00EA7431"/>
    <w:rsid w:val="00EC7754"/>
    <w:rsid w:val="00EE1DCA"/>
    <w:rsid w:val="00EE665F"/>
    <w:rsid w:val="00EE7968"/>
    <w:rsid w:val="00EF136C"/>
    <w:rsid w:val="00EF1954"/>
    <w:rsid w:val="00EF4B87"/>
    <w:rsid w:val="00F00ADD"/>
    <w:rsid w:val="00F10059"/>
    <w:rsid w:val="00F970B5"/>
    <w:rsid w:val="00FA5E78"/>
    <w:rsid w:val="00FC45AF"/>
    <w:rsid w:val="00FD7CD4"/>
    <w:rsid w:val="00FE1B2C"/>
    <w:rsid w:val="00FE3F64"/>
    <w:rsid w:val="00FF1720"/>
    <w:rsid w:val="00FF1D84"/>
    <w:rsid w:val="00FF6281"/>
  </w:rsids>
  <m:mathPr>
    <m:mathFont m:val="Cambria Math"/>
    <m:brkBin m:val="before"/>
    <m:brkBinSub m:val="--"/>
    <m:smallFrac/>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B444237E-72A9-4F34-A62F-BE0FC2481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52CB"/>
    <w:pPr>
      <w:ind w:left="720"/>
      <w:contextualSpacing/>
    </w:pPr>
  </w:style>
  <w:style w:type="table" w:styleId="TableGrid">
    <w:name w:val="Table Grid"/>
    <w:basedOn w:val="TableNormal"/>
    <w:uiPriority w:val="59"/>
    <w:rsid w:val="006B4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3636E"/>
    <w:pPr>
      <w:tabs>
        <w:tab w:val="center" w:pos="4513"/>
        <w:tab w:val="right" w:pos="9026"/>
      </w:tabs>
    </w:pPr>
  </w:style>
  <w:style w:type="character" w:customStyle="1" w:styleId="HeaderChar">
    <w:name w:val="Header Char"/>
    <w:basedOn w:val="DefaultParagraphFont"/>
    <w:link w:val="Header"/>
    <w:uiPriority w:val="99"/>
    <w:rsid w:val="00B3636E"/>
  </w:style>
  <w:style w:type="paragraph" w:styleId="Footer">
    <w:name w:val="footer"/>
    <w:basedOn w:val="Normal"/>
    <w:link w:val="FooterChar"/>
    <w:uiPriority w:val="99"/>
    <w:unhideWhenUsed/>
    <w:rsid w:val="00B3636E"/>
    <w:pPr>
      <w:tabs>
        <w:tab w:val="center" w:pos="4513"/>
        <w:tab w:val="right" w:pos="9026"/>
      </w:tabs>
    </w:pPr>
  </w:style>
  <w:style w:type="character" w:customStyle="1" w:styleId="FooterChar">
    <w:name w:val="Footer Char"/>
    <w:basedOn w:val="DefaultParagraphFont"/>
    <w:link w:val="Footer"/>
    <w:uiPriority w:val="99"/>
    <w:rsid w:val="00B3636E"/>
  </w:style>
  <w:style w:type="paragraph" w:styleId="BalloonText">
    <w:name w:val="Balloon Text"/>
    <w:basedOn w:val="Normal"/>
    <w:link w:val="BalloonTextChar"/>
    <w:uiPriority w:val="99"/>
    <w:semiHidden/>
    <w:unhideWhenUsed/>
    <w:rsid w:val="00D5360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3608"/>
    <w:rPr>
      <w:rFonts w:ascii="Segoe UI" w:hAnsi="Segoe UI" w:cs="Segoe UI"/>
      <w:sz w:val="18"/>
      <w:szCs w:val="18"/>
    </w:rPr>
  </w:style>
  <w:style w:type="character" w:styleId="Hyperlink">
    <w:name w:val="Hyperlink"/>
    <w:basedOn w:val="DefaultParagraphFont"/>
    <w:uiPriority w:val="99"/>
    <w:unhideWhenUsed/>
    <w:rsid w:val="003A3D4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06723593">
      <w:bodyDiv w:val="1"/>
      <w:marLeft w:val="0"/>
      <w:marRight w:val="0"/>
      <w:marTop w:val="0"/>
      <w:marBottom w:val="0"/>
      <w:divBdr>
        <w:top w:val="none" w:sz="0" w:space="0" w:color="auto"/>
        <w:left w:val="none" w:sz="0" w:space="0" w:color="auto"/>
        <w:bottom w:val="none" w:sz="0" w:space="0" w:color="auto"/>
        <w:right w:val="none" w:sz="0" w:space="0" w:color="auto"/>
      </w:divBdr>
      <w:divsChild>
        <w:div w:id="910430769">
          <w:marLeft w:val="0"/>
          <w:marRight w:val="0"/>
          <w:marTop w:val="0"/>
          <w:marBottom w:val="0"/>
          <w:divBdr>
            <w:top w:val="none" w:sz="0" w:space="0" w:color="auto"/>
            <w:left w:val="none" w:sz="0" w:space="0" w:color="auto"/>
            <w:bottom w:val="none" w:sz="0" w:space="0" w:color="auto"/>
            <w:right w:val="none" w:sz="0" w:space="0" w:color="auto"/>
          </w:divBdr>
          <w:divsChild>
            <w:div w:id="571083825">
              <w:marLeft w:val="0"/>
              <w:marRight w:val="0"/>
              <w:marTop w:val="0"/>
              <w:marBottom w:val="0"/>
              <w:divBdr>
                <w:top w:val="none" w:sz="0" w:space="0" w:color="auto"/>
                <w:left w:val="none" w:sz="0" w:space="0" w:color="auto"/>
                <w:bottom w:val="none" w:sz="0" w:space="0" w:color="auto"/>
                <w:right w:val="none" w:sz="0" w:space="0" w:color="auto"/>
              </w:divBdr>
              <w:divsChild>
                <w:div w:id="751128212">
                  <w:marLeft w:val="0"/>
                  <w:marRight w:val="0"/>
                  <w:marTop w:val="0"/>
                  <w:marBottom w:val="0"/>
                  <w:divBdr>
                    <w:top w:val="none" w:sz="0" w:space="0" w:color="auto"/>
                    <w:left w:val="none" w:sz="0" w:space="0" w:color="auto"/>
                    <w:bottom w:val="none" w:sz="0" w:space="0" w:color="auto"/>
                    <w:right w:val="none" w:sz="0" w:space="0" w:color="auto"/>
                  </w:divBdr>
                  <w:divsChild>
                    <w:div w:id="1486047452">
                      <w:marLeft w:val="0"/>
                      <w:marRight w:val="0"/>
                      <w:marTop w:val="0"/>
                      <w:marBottom w:val="0"/>
                      <w:divBdr>
                        <w:top w:val="none" w:sz="0" w:space="0" w:color="auto"/>
                        <w:left w:val="none" w:sz="0" w:space="0" w:color="auto"/>
                        <w:bottom w:val="none" w:sz="0" w:space="0" w:color="auto"/>
                        <w:right w:val="none" w:sz="0" w:space="0" w:color="auto"/>
                      </w:divBdr>
                      <w:divsChild>
                        <w:div w:id="78842319">
                          <w:marLeft w:val="0"/>
                          <w:marRight w:val="0"/>
                          <w:marTop w:val="0"/>
                          <w:marBottom w:val="0"/>
                          <w:divBdr>
                            <w:top w:val="none" w:sz="0" w:space="0" w:color="auto"/>
                            <w:left w:val="none" w:sz="0" w:space="0" w:color="auto"/>
                            <w:bottom w:val="none" w:sz="0" w:space="0" w:color="auto"/>
                            <w:right w:val="none" w:sz="0" w:space="0" w:color="auto"/>
                          </w:divBdr>
                          <w:divsChild>
                            <w:div w:id="1804738319">
                              <w:marLeft w:val="0"/>
                              <w:marRight w:val="0"/>
                              <w:marTop w:val="0"/>
                              <w:marBottom w:val="0"/>
                              <w:divBdr>
                                <w:top w:val="none" w:sz="0" w:space="0" w:color="auto"/>
                                <w:left w:val="none" w:sz="0" w:space="0" w:color="auto"/>
                                <w:bottom w:val="none" w:sz="0" w:space="0" w:color="auto"/>
                                <w:right w:val="none" w:sz="0" w:space="0" w:color="auto"/>
                              </w:divBdr>
                              <w:divsChild>
                                <w:div w:id="1950508322">
                                  <w:marLeft w:val="0"/>
                                  <w:marRight w:val="0"/>
                                  <w:marTop w:val="0"/>
                                  <w:marBottom w:val="0"/>
                                  <w:divBdr>
                                    <w:top w:val="none" w:sz="0" w:space="0" w:color="auto"/>
                                    <w:left w:val="none" w:sz="0" w:space="0" w:color="auto"/>
                                    <w:bottom w:val="none" w:sz="0" w:space="0" w:color="auto"/>
                                    <w:right w:val="none" w:sz="0" w:space="0" w:color="auto"/>
                                  </w:divBdr>
                                  <w:divsChild>
                                    <w:div w:id="1286042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C76020-054F-414F-A6BD-56602D74D0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9F7ADD41.dotm</Template>
  <TotalTime>0</TotalTime>
  <Pages>1</Pages>
  <Words>686</Words>
  <Characters>3913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4590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Hayhoe (MED)</dc:creator>
  <cp:lastModifiedBy>Richard Hayhoe (MED)</cp:lastModifiedBy>
  <cp:revision>2</cp:revision>
  <cp:lastPrinted>2015-03-18T17:39:00Z</cp:lastPrinted>
  <dcterms:created xsi:type="dcterms:W3CDTF">2015-11-11T11:06:00Z</dcterms:created>
  <dcterms:modified xsi:type="dcterms:W3CDTF">2015-11-11T11:06:00Z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1914463169</vt:i4>
  </property>
  <property fmtid="{D5CDD505-2E9C-101B-9397-08002B2CF9AE}" pid="3" name="_NewReviewCycle">
    <vt:lpwstr/>
  </property>
  <property fmtid="{D5CDD505-2E9C-101B-9397-08002B2CF9AE}" pid="4" name="_EmailSubject">
    <vt:lpwstr>Mg bone abstract draft</vt:lpwstr>
  </property>
  <property fmtid="{D5CDD505-2E9C-101B-9397-08002B2CF9AE}" pid="5" name="_AuthorEmail">
    <vt:lpwstr>R.Hayhoe@uea.ac.uk</vt:lpwstr>
  </property>
  <property fmtid="{D5CDD505-2E9C-101B-9397-08002B2CF9AE}" pid="6" name="_AuthorEmailDisplayName">
    <vt:lpwstr>Richard Hayhoe (MED)</vt:lpwstr>
  </property>
  <property fmtid="{D5CDD505-2E9C-101B-9397-08002B2CF9AE}" pid="7" name="_ReviewingToolsShownOnce">
    <vt:lpwstr/>
  </property>
</Properties>
</file>