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7297" w14:textId="160FE957" w:rsidR="00434E38" w:rsidRDefault="000764F8" w:rsidP="00434E38">
      <w:pPr>
        <w:pStyle w:val="MainTitle"/>
        <w:framePr w:wrap="notBeside"/>
      </w:pPr>
      <w:r w:rsidRPr="00773357">
        <w:t>Chemoselective</w:t>
      </w:r>
      <w:r>
        <w:t xml:space="preserve"> Oxidation of Sulfides to S</w:t>
      </w:r>
      <w:r w:rsidRPr="008E1CD0">
        <w:t xml:space="preserve">ulfoxides </w:t>
      </w:r>
      <w:r>
        <w:t>with Urea-Hydrogen Peroxide Complex Catalysed by D</w:t>
      </w:r>
      <w:r w:rsidRPr="008E1CD0">
        <w:t>iselenide</w:t>
      </w:r>
      <w:r w:rsidR="00170402">
        <w:t xml:space="preserve"> </w:t>
      </w:r>
    </w:p>
    <w:p w14:paraId="3BF7F6D4" w14:textId="07B061C5" w:rsidR="00434E38" w:rsidRDefault="000764F8" w:rsidP="00434E38">
      <w:pPr>
        <w:pStyle w:val="Author"/>
        <w:framePr w:wrap="notBeside"/>
      </w:pPr>
      <w:r w:rsidRPr="008E1CD0">
        <w:t>Philip C. Bulman Page</w:t>
      </w:r>
      <w:r>
        <w:t>,</w:t>
      </w:r>
      <w:r>
        <w:rPr>
          <w:vertAlign w:val="superscript"/>
        </w:rPr>
        <w:t>a</w:t>
      </w:r>
      <w:r w:rsidRPr="008E1CD0">
        <w:t>*</w:t>
      </w:r>
      <w:r>
        <w:t xml:space="preserve"> </w:t>
      </w:r>
      <w:r w:rsidRPr="008E1CD0">
        <w:t>Benjamin R. Buckley,</w:t>
      </w:r>
      <w:r>
        <w:rPr>
          <w:vertAlign w:val="superscript"/>
        </w:rPr>
        <w:t>b*</w:t>
      </w:r>
      <w:r w:rsidRPr="008E1CD0">
        <w:t xml:space="preserve"> Claire Elliott,</w:t>
      </w:r>
      <w:r>
        <w:rPr>
          <w:vertAlign w:val="superscript"/>
        </w:rPr>
        <w:t>b</w:t>
      </w:r>
      <w:r w:rsidRPr="008E1CD0">
        <w:t xml:space="preserve"> Yohan Chan,</w:t>
      </w:r>
      <w:r>
        <w:rPr>
          <w:vertAlign w:val="superscript"/>
        </w:rPr>
        <w:t>a</w:t>
      </w:r>
      <w:r w:rsidRPr="008E1CD0">
        <w:t xml:space="preserve"> Nicolas Dreyfus,</w:t>
      </w:r>
      <w:r w:rsidRPr="008E1CD0">
        <w:rPr>
          <w:vertAlign w:val="superscript"/>
        </w:rPr>
        <w:t>c</w:t>
      </w:r>
      <w:r w:rsidRPr="008E1CD0">
        <w:t xml:space="preserve"> Frank Marken</w:t>
      </w:r>
      <w:r w:rsidRPr="008E1CD0">
        <w:rPr>
          <w:vertAlign w:val="superscript"/>
        </w:rPr>
        <w:t>d</w:t>
      </w:r>
      <w:r w:rsidR="00434E38">
        <w:t>.</w:t>
      </w:r>
    </w:p>
    <w:p w14:paraId="32C4F31D" w14:textId="65E674D1" w:rsidR="00434E38" w:rsidRDefault="000764F8" w:rsidP="000764F8">
      <w:pPr>
        <w:pStyle w:val="Address"/>
        <w:framePr w:wrap="notBeside"/>
      </w:pPr>
      <w:r>
        <w:rPr>
          <w:vertAlign w:val="superscript"/>
        </w:rPr>
        <w:t>a</w:t>
      </w:r>
      <w:r w:rsidRPr="008E1CD0">
        <w:t xml:space="preserve"> School of Chemistry, University of East Anglia, </w:t>
      </w:r>
      <w:r>
        <w:t xml:space="preserve">Norwich Research Park, </w:t>
      </w:r>
      <w:r w:rsidRPr="008E1CD0">
        <w:t>Norwich, Norfolk NR4 7TJ, UK</w:t>
      </w:r>
      <w:r w:rsidR="00434E38">
        <w:t>.</w:t>
      </w:r>
      <w:r>
        <w:t xml:space="preserve"> </w:t>
      </w:r>
    </w:p>
    <w:p w14:paraId="6739D819" w14:textId="0A7AD52D" w:rsidR="000764F8" w:rsidRPr="000764F8" w:rsidRDefault="000764F8" w:rsidP="000764F8">
      <w:pPr>
        <w:pStyle w:val="Address"/>
        <w:framePr w:wrap="notBeside"/>
      </w:pPr>
      <w:r>
        <w:rPr>
          <w:vertAlign w:val="superscript"/>
        </w:rPr>
        <w:t>b</w:t>
      </w:r>
      <w:r>
        <w:t xml:space="preserve"> Chemistry </w:t>
      </w:r>
      <w:r w:rsidRPr="008E1CD0">
        <w:t>Department, Loughborough University, Ashby Road, Loughborough, Leicestershire, LE11 3TU, UK.</w:t>
      </w:r>
      <w:r>
        <w:t xml:space="preserve"> </w:t>
      </w:r>
    </w:p>
    <w:p w14:paraId="7B2E34CB" w14:textId="096A7F64" w:rsidR="000764F8" w:rsidRDefault="000764F8" w:rsidP="000764F8">
      <w:pPr>
        <w:pStyle w:val="Address"/>
        <w:framePr w:wrap="notBeside"/>
      </w:pPr>
      <w:r w:rsidRPr="008E1CD0">
        <w:rPr>
          <w:vertAlign w:val="superscript"/>
        </w:rPr>
        <w:t>c</w:t>
      </w:r>
      <w:r>
        <w:t xml:space="preserve"> </w:t>
      </w:r>
      <w:r w:rsidRPr="008E1CD0">
        <w:t>Lilly</w:t>
      </w:r>
      <w:r w:rsidR="00A63B85">
        <w:t xml:space="preserve"> Research Centre</w:t>
      </w:r>
      <w:r w:rsidRPr="008E1CD0">
        <w:t xml:space="preserve">, Erl Wood Manor, </w:t>
      </w:r>
      <w:r w:rsidR="00A63B85">
        <w:t>Sunninghill Roa</w:t>
      </w:r>
      <w:r w:rsidRPr="008E1CD0">
        <w:t xml:space="preserve">d, Windlesham, Surrey, </w:t>
      </w:r>
      <w:r w:rsidR="00A63B85">
        <w:t xml:space="preserve">KT13 8JT, </w:t>
      </w:r>
      <w:bookmarkStart w:id="0" w:name="_GoBack"/>
      <w:bookmarkEnd w:id="0"/>
      <w:r w:rsidRPr="008E1CD0">
        <w:t>UK.</w:t>
      </w:r>
      <w:r>
        <w:t xml:space="preserve"> </w:t>
      </w:r>
    </w:p>
    <w:p w14:paraId="3617A36B" w14:textId="108055AA" w:rsidR="000764F8" w:rsidRPr="000764F8" w:rsidRDefault="000764F8" w:rsidP="000764F8">
      <w:pPr>
        <w:pStyle w:val="Address"/>
        <w:framePr w:wrap="notBeside"/>
      </w:pPr>
      <w:r w:rsidRPr="008E1CD0">
        <w:rPr>
          <w:vertAlign w:val="superscript"/>
        </w:rPr>
        <w:t>d</w:t>
      </w:r>
      <w:r w:rsidRPr="008E1CD0">
        <w:t xml:space="preserve"> Department of Chemistry, University of Bath, </w:t>
      </w:r>
      <w:r>
        <w:t>Claverton Down, Bath BA2 7AY, U</w:t>
      </w:r>
      <w:r w:rsidRPr="008E1CD0">
        <w:t>K.</w:t>
      </w:r>
      <w:r>
        <w:t xml:space="preserve"> </w:t>
      </w:r>
    </w:p>
    <w:p w14:paraId="48AF800B" w14:textId="2CAB55E9" w:rsidR="00434E38" w:rsidRDefault="00434E38" w:rsidP="00434E38">
      <w:pPr>
        <w:pStyle w:val="Fax"/>
        <w:framePr w:wrap="notBeside"/>
      </w:pPr>
      <w:r>
        <w:t xml:space="preserve">Fax: </w:t>
      </w:r>
      <w:r w:rsidR="0054000B">
        <w:t xml:space="preserve">00 44 1603 592008 </w:t>
      </w:r>
    </w:p>
    <w:p w14:paraId="0FCFFE0A" w14:textId="0A0703B1" w:rsidR="00434E38" w:rsidRDefault="00434E38" w:rsidP="00434E38">
      <w:pPr>
        <w:pStyle w:val="Email"/>
        <w:framePr w:wrap="notBeside"/>
      </w:pPr>
      <w:r>
        <w:t xml:space="preserve">E-mail: </w:t>
      </w:r>
      <w:r w:rsidR="0054000B">
        <w:t xml:space="preserve">p.page@uea.ac.uk </w:t>
      </w:r>
    </w:p>
    <w:p w14:paraId="39518985" w14:textId="77777777" w:rsidR="00434E38" w:rsidRDefault="00434E38" w:rsidP="00434E38">
      <w:pPr>
        <w:pStyle w:val="History"/>
        <w:framePr w:wrap="notBeside"/>
        <w:rPr>
          <w:i w:val="0"/>
        </w:rPr>
      </w:pPr>
      <w:r>
        <w:rPr>
          <w:b/>
        </w:rPr>
        <w:t>Received:</w:t>
      </w:r>
      <w:r>
        <w:rPr>
          <w:i w:val="0"/>
        </w:rPr>
        <w:t xml:space="preserve"> The date will be inserted once the manuscript is accepted.</w:t>
      </w:r>
    </w:p>
    <w:p w14:paraId="08157C86" w14:textId="764C344D" w:rsidR="00434E38" w:rsidRDefault="00434E38" w:rsidP="00434E38">
      <w:pPr>
        <w:pStyle w:val="Dedication"/>
        <w:framePr w:wrap="notBeside"/>
      </w:pPr>
      <w:r>
        <w:t>Dedication -</w:t>
      </w:r>
      <w:r w:rsidR="00CE7091">
        <w:t xml:space="preserve"> To Prof Steven Victor Ley for the occasion of his 70th birthday </w:t>
      </w:r>
    </w:p>
    <w:p w14:paraId="3B56E5EA" w14:textId="2DADC779" w:rsidR="00434E38" w:rsidRDefault="00434E38" w:rsidP="00434E38">
      <w:pPr>
        <w:pStyle w:val="Abstract"/>
      </w:pPr>
      <w:r>
        <w:rPr>
          <w:b/>
        </w:rPr>
        <w:t>Abstract:</w:t>
      </w:r>
      <w:r>
        <w:t xml:space="preserve"> </w:t>
      </w:r>
      <w:r w:rsidR="00B80778" w:rsidRPr="008E1CD0">
        <w:t xml:space="preserve">A highly selective </w:t>
      </w:r>
      <w:r w:rsidR="00B80778">
        <w:t xml:space="preserve">catalytic </w:t>
      </w:r>
      <w:r w:rsidR="00B80778" w:rsidRPr="008E1CD0">
        <w:t>oxidation system has been developed for the conversion of sulfides to the corresponding sulfoxides using urea–hydrogen peroxide as stoichiometric oxidant</w:t>
      </w:r>
      <w:r w:rsidR="00B80778">
        <w:t xml:space="preserve"> in the presence of a catalytic quantity of diphenyl diselenide</w:t>
      </w:r>
      <w:r>
        <w:t>.</w:t>
      </w:r>
      <w:r w:rsidR="00B80778">
        <w:t xml:space="preserve"> </w:t>
      </w:r>
    </w:p>
    <w:p w14:paraId="0FBF158E" w14:textId="6856309E" w:rsidR="00434E38" w:rsidRDefault="00434E38" w:rsidP="00434E38">
      <w:pPr>
        <w:pStyle w:val="AbstractKW"/>
      </w:pPr>
      <w:r>
        <w:rPr>
          <w:b/>
        </w:rPr>
        <w:t>Key words:</w:t>
      </w:r>
      <w:r>
        <w:t xml:space="preserve"> </w:t>
      </w:r>
      <w:r w:rsidR="00396E3A" w:rsidRPr="000328A9">
        <w:t xml:space="preserve">Sulfoxidation, </w:t>
      </w:r>
      <w:r w:rsidR="00396E3A" w:rsidRPr="008E1CD0">
        <w:t>urea–hydrogen peroxide</w:t>
      </w:r>
      <w:r w:rsidR="00396E3A" w:rsidRPr="000328A9">
        <w:t>, Diphenyl</w:t>
      </w:r>
      <w:r w:rsidR="001D590B">
        <w:t xml:space="preserve"> </w:t>
      </w:r>
      <w:r w:rsidR="00396E3A" w:rsidRPr="000328A9">
        <w:t>diselenide, Oxidation, Catalysis</w:t>
      </w:r>
      <w:r>
        <w:t>.</w:t>
      </w:r>
      <w:r w:rsidR="00396E3A">
        <w:t xml:space="preserve"> </w:t>
      </w:r>
    </w:p>
    <w:p w14:paraId="07D0EBB6" w14:textId="77777777" w:rsidR="00551C86" w:rsidRPr="00551C86" w:rsidRDefault="00551C86" w:rsidP="00434E38">
      <w:pPr>
        <w:rPr>
          <w:b/>
        </w:rPr>
      </w:pPr>
      <w:r w:rsidRPr="00551C86">
        <w:rPr>
          <w:b/>
        </w:rPr>
        <w:t xml:space="preserve">Introduction </w:t>
      </w:r>
    </w:p>
    <w:p w14:paraId="65D6154B" w14:textId="2B11613D" w:rsidR="00CA3598" w:rsidRDefault="00551C86" w:rsidP="00434E38">
      <w:r w:rsidRPr="008E1CD0">
        <w:t xml:space="preserve">Selective </w:t>
      </w:r>
      <w:r w:rsidR="00CA3598">
        <w:t xml:space="preserve">sulfur </w:t>
      </w:r>
      <w:r w:rsidRPr="008E1CD0">
        <w:t xml:space="preserve">oxidation </w:t>
      </w:r>
      <w:r w:rsidR="00CA3598">
        <w:t>to sulfoxides, without over-oxidation to sulfones, remains</w:t>
      </w:r>
      <w:r w:rsidRPr="008E1CD0">
        <w:t xml:space="preserve"> </w:t>
      </w:r>
      <w:r w:rsidRPr="008E1CD0">
        <w:rPr>
          <w:bCs/>
        </w:rPr>
        <w:t>an</w:t>
      </w:r>
      <w:r w:rsidRPr="008E1CD0">
        <w:t xml:space="preserve"> important </w:t>
      </w:r>
      <w:r w:rsidR="00CA3598">
        <w:t>process</w:t>
      </w:r>
      <w:r w:rsidRPr="008E1CD0">
        <w:t xml:space="preserve">, and </w:t>
      </w:r>
      <w:r w:rsidR="00CA3598">
        <w:t>can be</w:t>
      </w:r>
      <w:r w:rsidRPr="008E1CD0">
        <w:t xml:space="preserve"> problematic in the production of pharmaceutical </w:t>
      </w:r>
      <w:r w:rsidR="004F61E0">
        <w:t>intermediates. Most known</w:t>
      </w:r>
      <w:r w:rsidRPr="008E1CD0">
        <w:t xml:space="preserve"> processes</w:t>
      </w:r>
      <w:r>
        <w:t xml:space="preserve"> </w:t>
      </w:r>
      <w:r w:rsidR="004F61E0">
        <w:t>are</w:t>
      </w:r>
      <w:r>
        <w:t xml:space="preserve"> </w:t>
      </w:r>
      <w:r w:rsidR="004F61E0">
        <w:t>non-catalytic</w:t>
      </w:r>
      <w:r>
        <w:t>,</w:t>
      </w:r>
      <w:r w:rsidRPr="008E1CD0">
        <w:t xml:space="preserve"> </w:t>
      </w:r>
      <w:r w:rsidR="00A26111">
        <w:t xml:space="preserve">and </w:t>
      </w:r>
      <w:r w:rsidRPr="008E1CD0">
        <w:t xml:space="preserve">suffer from the generation of </w:t>
      </w:r>
      <w:r>
        <w:t xml:space="preserve">considerable </w:t>
      </w:r>
      <w:r w:rsidRPr="008E1CD0">
        <w:t xml:space="preserve">waste streams derived from the oxidant. </w:t>
      </w:r>
      <w:r w:rsidR="006D437C">
        <w:t>Much</w:t>
      </w:r>
      <w:r w:rsidRPr="008E1CD0">
        <w:t xml:space="preserve"> of this waste is unrecoverable inorganic </w:t>
      </w:r>
      <w:r w:rsidR="006D437C">
        <w:t>material</w:t>
      </w:r>
      <w:r w:rsidRPr="008E1CD0">
        <w:t xml:space="preserve"> </w:t>
      </w:r>
      <w:r w:rsidR="006D437C">
        <w:t>resulting</w:t>
      </w:r>
      <w:r w:rsidRPr="008E1CD0">
        <w:t xml:space="preserve"> </w:t>
      </w:r>
      <w:r w:rsidR="006D437C">
        <w:t>from the use of</w:t>
      </w:r>
      <w:r w:rsidRPr="008E1CD0">
        <w:t xml:space="preserve"> </w:t>
      </w:r>
      <w:r>
        <w:t xml:space="preserve">standard </w:t>
      </w:r>
      <w:r w:rsidRPr="008E1CD0">
        <w:t>oxidation re</w:t>
      </w:r>
      <w:r>
        <w:t xml:space="preserve">agents, </w:t>
      </w:r>
      <w:r w:rsidR="0027468B">
        <w:t>which typically contain</w:t>
      </w:r>
      <w:r>
        <w:t xml:space="preserve"> stoi</w:t>
      </w:r>
      <w:r w:rsidRPr="008E1CD0">
        <w:t>ch</w:t>
      </w:r>
      <w:r>
        <w:t>e</w:t>
      </w:r>
      <w:r w:rsidRPr="008E1CD0">
        <w:t>iometric quantities of metals. Use of such stoich</w:t>
      </w:r>
      <w:r>
        <w:t>e</w:t>
      </w:r>
      <w:r w:rsidRPr="008E1CD0">
        <w:t xml:space="preserve">iometric oxidizing reagents, with the concomitant production of inorganic </w:t>
      </w:r>
      <w:r w:rsidR="00700ED5">
        <w:rPr>
          <w:bCs/>
        </w:rPr>
        <w:t>waste</w:t>
      </w:r>
      <w:r>
        <w:rPr>
          <w:bCs/>
        </w:rPr>
        <w:t>,</w:t>
      </w:r>
      <w:r w:rsidRPr="008E1CD0">
        <w:t xml:space="preserve"> </w:t>
      </w:r>
      <w:r w:rsidR="00700ED5">
        <w:t>inevitably</w:t>
      </w:r>
      <w:r w:rsidRPr="008E1CD0">
        <w:t xml:space="preserve"> brings inherent environmental disadvantages and </w:t>
      </w:r>
      <w:r w:rsidR="00700ED5">
        <w:t>safety</w:t>
      </w:r>
      <w:r w:rsidRPr="008E1CD0">
        <w:t xml:space="preserve"> hazards. </w:t>
      </w:r>
    </w:p>
    <w:p w14:paraId="54CC2EDC" w14:textId="77777777" w:rsidR="00700ED5" w:rsidRDefault="00700ED5" w:rsidP="00434E38"/>
    <w:p w14:paraId="3BDB03F1" w14:textId="743F069F" w:rsidR="00551C86" w:rsidRDefault="00CA3598" w:rsidP="00434E38">
      <w:r>
        <w:t xml:space="preserve">We were interested in seeking </w:t>
      </w:r>
      <w:r w:rsidR="00551C86" w:rsidRPr="008E1CD0">
        <w:t>green</w:t>
      </w:r>
      <w:r w:rsidR="00551C86">
        <w:t>er</w:t>
      </w:r>
      <w:r w:rsidR="00551C86" w:rsidRPr="008E1CD0">
        <w:t xml:space="preserve"> variant</w:t>
      </w:r>
      <w:r>
        <w:t>s</w:t>
      </w:r>
      <w:r w:rsidR="00551C86" w:rsidRPr="008E1CD0">
        <w:t xml:space="preserve"> of traditional sulfur oxidation reactions, in which the requirement for addition of a traditional inorganic stoich</w:t>
      </w:r>
      <w:r w:rsidR="00551C86">
        <w:t>e</w:t>
      </w:r>
      <w:r w:rsidR="00551C86" w:rsidRPr="008E1CD0">
        <w:t xml:space="preserve">iometric oxidant would be eliminated. We </w:t>
      </w:r>
      <w:r w:rsidR="00F73504">
        <w:t>reasoned</w:t>
      </w:r>
      <w:r w:rsidR="00551C86" w:rsidRPr="008E1CD0">
        <w:t xml:space="preserve"> that this aim </w:t>
      </w:r>
      <w:r w:rsidR="00F73504">
        <w:t>would</w:t>
      </w:r>
      <w:r w:rsidR="00551C86" w:rsidRPr="008E1CD0">
        <w:t xml:space="preserve"> be achiev</w:t>
      </w:r>
      <w:r w:rsidR="00F73504">
        <w:t>ed</w:t>
      </w:r>
      <w:r w:rsidR="00551C86" w:rsidRPr="008E1CD0">
        <w:t xml:space="preserve"> i</w:t>
      </w:r>
      <w:r w:rsidR="00551C86">
        <w:t xml:space="preserve">n a catalytic system driven by hydrogen peroxide or an equivalent as the reoxidant </w:t>
      </w:r>
      <w:r w:rsidR="00F73504">
        <w:t>in the presence</w:t>
      </w:r>
      <w:r w:rsidR="00551C86">
        <w:t xml:space="preserve"> </w:t>
      </w:r>
      <w:r w:rsidR="00F73504">
        <w:t>of</w:t>
      </w:r>
      <w:r w:rsidR="00551C86">
        <w:t xml:space="preserve"> a suitable catalyst. </w:t>
      </w:r>
    </w:p>
    <w:p w14:paraId="66B0548C" w14:textId="77777777" w:rsidR="004729F0" w:rsidRDefault="004729F0" w:rsidP="00434E38"/>
    <w:p w14:paraId="15A86896" w14:textId="3ACFA9AD" w:rsidR="004729F0" w:rsidRDefault="004729F0" w:rsidP="00434E38">
      <w:r>
        <w:t>The complex urea-hydrogen peroxide (UHP), a solid soluble in organic solvents, provides a valuable alternative to the use of anhydrous hydrogen peroxide solutions.</w:t>
      </w:r>
      <w:r>
        <w:rPr>
          <w:vertAlign w:val="superscript"/>
        </w:rPr>
        <w:t>1</w:t>
      </w:r>
      <w:r>
        <w:t xml:space="preserve"> UHP was first prepared in the early 1900’s </w:t>
      </w:r>
      <w:r>
        <w:rPr>
          <w:vertAlign w:val="superscript"/>
        </w:rPr>
        <w:t>2</w:t>
      </w:r>
      <w:r>
        <w:t xml:space="preserve"> and its structure elucidated much later.</w:t>
      </w:r>
      <w:r>
        <w:rPr>
          <w:vertAlign w:val="superscript"/>
        </w:rPr>
        <w:t>3</w:t>
      </w:r>
      <w:r>
        <w:t xml:space="preserve"> UHP has been used for the oxidation of a number of functional groups.</w:t>
      </w:r>
      <w:r>
        <w:rPr>
          <w:vertAlign w:val="superscript"/>
        </w:rPr>
        <w:t>4</w:t>
      </w:r>
      <w:r>
        <w:t xml:space="preserve"> Its reactivity is, however, limited, and when used on its own the reaction mixtures are commonly heated.</w:t>
      </w:r>
      <w:r>
        <w:rPr>
          <w:vertAlign w:val="superscript"/>
        </w:rPr>
        <w:t>5</w:t>
      </w:r>
      <w:r>
        <w:t xml:space="preserve"> UHP is also used for the </w:t>
      </w:r>
      <w:r>
        <w:rPr>
          <w:i/>
        </w:rPr>
        <w:t>in situ</w:t>
      </w:r>
      <w:r>
        <w:t xml:space="preserve"> preparation of peracids from the corresponding anhydrides,</w:t>
      </w:r>
      <w:r>
        <w:rPr>
          <w:vertAlign w:val="superscript"/>
        </w:rPr>
        <w:t>6</w:t>
      </w:r>
      <w:r>
        <w:t xml:space="preserve"> in particular trifluoroperacetic acid.</w:t>
      </w:r>
      <w:r>
        <w:rPr>
          <w:vertAlign w:val="superscript"/>
        </w:rPr>
        <w:t>7</w:t>
      </w:r>
      <w:r>
        <w:t xml:space="preserve"> The majority of oxidations using UHP are catalysed either by a variety of metal complexes, such as copper(II) salens,</w:t>
      </w:r>
      <w:r>
        <w:rPr>
          <w:vertAlign w:val="superscript"/>
        </w:rPr>
        <w:t>8</w:t>
      </w:r>
      <w:r>
        <w:t xml:space="preserve"> polyoxotungstates,</w:t>
      </w:r>
      <w:r>
        <w:rPr>
          <w:vertAlign w:val="superscript"/>
        </w:rPr>
        <w:t>9</w:t>
      </w:r>
      <w:r>
        <w:t xml:space="preserve"> methyltrioxorhenium</w:t>
      </w:r>
      <w:r w:rsidRPr="000A6936">
        <w:t>,</w:t>
      </w:r>
      <w:r w:rsidRPr="000A6936">
        <w:rPr>
          <w:vertAlign w:val="superscript"/>
        </w:rPr>
        <w:t>10</w:t>
      </w:r>
      <w:r>
        <w:t xml:space="preserve"> or by using organocatalysts, such as ketones,</w:t>
      </w:r>
      <w:r>
        <w:rPr>
          <w:vertAlign w:val="superscript"/>
        </w:rPr>
        <w:t>11</w:t>
      </w:r>
      <w:r>
        <w:t xml:space="preserve"> or biocatalysis.</w:t>
      </w:r>
      <w:r>
        <w:rPr>
          <w:vertAlign w:val="superscript"/>
        </w:rPr>
        <w:t>12</w:t>
      </w:r>
      <w:r>
        <w:t xml:space="preserve"> Metal-catalysed enantioselective versions have also been developed for epoxidation </w:t>
      </w:r>
      <w:r>
        <w:rPr>
          <w:vertAlign w:val="superscript"/>
        </w:rPr>
        <w:t>13</w:t>
      </w:r>
      <w:r>
        <w:t xml:space="preserve"> and sulfur oxidation.</w:t>
      </w:r>
      <w:r>
        <w:rPr>
          <w:vertAlign w:val="superscript"/>
        </w:rPr>
        <w:t>14</w:t>
      </w:r>
      <w:r>
        <w:t xml:space="preserve"> </w:t>
      </w:r>
    </w:p>
    <w:p w14:paraId="2AF958C8" w14:textId="77777777" w:rsidR="004729F0" w:rsidRDefault="004729F0" w:rsidP="00434E38"/>
    <w:p w14:paraId="4BAD3474" w14:textId="55479EE4" w:rsidR="004729F0" w:rsidRDefault="00CA111F" w:rsidP="00434E38">
      <w:r w:rsidRPr="00773357">
        <w:t>Diselenides have long been known to act as catalysts for the oxidation of various species by, for example: hydrogen peroxide for dihydroxylation,</w:t>
      </w:r>
      <w:r w:rsidRPr="00773357">
        <w:rPr>
          <w:vertAlign w:val="superscript"/>
        </w:rPr>
        <w:t>15</w:t>
      </w:r>
      <w:r w:rsidRPr="00773357">
        <w:t xml:space="preserve"> </w:t>
      </w:r>
      <w:r>
        <w:t xml:space="preserve">the </w:t>
      </w:r>
      <w:r w:rsidRPr="00773357">
        <w:t>Baeyer-Villiger reaction,</w:t>
      </w:r>
      <w:r w:rsidRPr="00773357">
        <w:rPr>
          <w:vertAlign w:val="superscript"/>
        </w:rPr>
        <w:t>16</w:t>
      </w:r>
      <w:r w:rsidRPr="00773357">
        <w:t xml:space="preserve"> and other oxidations;</w:t>
      </w:r>
      <w:r w:rsidRPr="00773357">
        <w:rPr>
          <w:vertAlign w:val="superscript"/>
        </w:rPr>
        <w:t>17</w:t>
      </w:r>
      <w:r w:rsidRPr="00773357">
        <w:t xml:space="preserve"> t-butyl hydroperoxide for the oxidation of allylic alcohols;</w:t>
      </w:r>
      <w:r w:rsidRPr="00773357">
        <w:rPr>
          <w:vertAlign w:val="superscript"/>
        </w:rPr>
        <w:t>18</w:t>
      </w:r>
      <w:r w:rsidRPr="00773357">
        <w:t xml:space="preserve"> and iodoxybenzene for the oxidation of steroidal alcohols and ketones to the corresponding enones</w:t>
      </w:r>
      <w:r>
        <w:t>;</w:t>
      </w:r>
      <w:r w:rsidRPr="00773357">
        <w:rPr>
          <w:vertAlign w:val="superscript"/>
        </w:rPr>
        <w:t>19</w:t>
      </w:r>
      <w:r>
        <w:t xml:space="preserve"> and have been used in conjunction with UHP as the reoxidant for catalysed oxidative processes,</w:t>
      </w:r>
      <w:r>
        <w:rPr>
          <w:vertAlign w:val="superscript"/>
        </w:rPr>
        <w:t>20</w:t>
      </w:r>
      <w:r>
        <w:t xml:space="preserve"> but do</w:t>
      </w:r>
      <w:r w:rsidRPr="00773357">
        <w:t xml:space="preserve"> not appear to have been used previously in conjunction with UHP</w:t>
      </w:r>
      <w:r>
        <w:t xml:space="preserve"> </w:t>
      </w:r>
      <w:r w:rsidRPr="00460C1E">
        <w:t>directly to promote oxidation</w:t>
      </w:r>
      <w:r>
        <w:t xml:space="preserve">. </w:t>
      </w:r>
    </w:p>
    <w:p w14:paraId="2EF3AD2F" w14:textId="77777777" w:rsidR="00CA111F" w:rsidRDefault="00CA111F" w:rsidP="00434E38"/>
    <w:p w14:paraId="37A78139" w14:textId="143B5D46" w:rsidR="00CA111F" w:rsidRDefault="00140E84" w:rsidP="00434E38">
      <w:r w:rsidRPr="008E1CD0">
        <w:rPr>
          <w:b/>
          <w:szCs w:val="13"/>
        </w:rPr>
        <w:t>Results and Discussion</w:t>
      </w:r>
      <w:r>
        <w:rPr>
          <w:b/>
          <w:szCs w:val="13"/>
        </w:rPr>
        <w:t xml:space="preserve"> </w:t>
      </w:r>
    </w:p>
    <w:p w14:paraId="30152CDE" w14:textId="01F5CA18" w:rsidR="00CA111F" w:rsidRDefault="00140E84" w:rsidP="00434E38">
      <w:r w:rsidRPr="00773357">
        <w:t>The oxidation of sulfides using UHP can be driven thermally,</w:t>
      </w:r>
      <w:r w:rsidRPr="00773357">
        <w:rPr>
          <w:vertAlign w:val="superscript"/>
        </w:rPr>
        <w:t>5b</w:t>
      </w:r>
      <w:r w:rsidRPr="00773357">
        <w:t xml:space="preserve"> or using a catalyst,</w:t>
      </w:r>
      <w:r w:rsidRPr="00773357">
        <w:rPr>
          <w:vertAlign w:val="superscript"/>
        </w:rPr>
        <w:t>2</w:t>
      </w:r>
      <w:r>
        <w:rPr>
          <w:vertAlign w:val="superscript"/>
        </w:rPr>
        <w:t>1</w:t>
      </w:r>
      <w:r w:rsidRPr="00773357">
        <w:t xml:space="preserve"> with most examples involving a metal-based </w:t>
      </w:r>
      <w:r>
        <w:t>system</w:t>
      </w:r>
      <w:r w:rsidRPr="00773357">
        <w:t>.</w:t>
      </w:r>
      <w:r w:rsidRPr="00773357">
        <w:rPr>
          <w:vertAlign w:val="superscript"/>
        </w:rPr>
        <w:t>2</w:t>
      </w:r>
      <w:r>
        <w:rPr>
          <w:vertAlign w:val="superscript"/>
        </w:rPr>
        <w:t>2</w:t>
      </w:r>
      <w:r w:rsidRPr="00773357">
        <w:t xml:space="preserve"> However, most of these methodologies report the formation of the corresponding sulfone. We have found that sulfides may be selectively oxidized to</w:t>
      </w:r>
      <w:r w:rsidRPr="008E1CD0">
        <w:t xml:space="preserve"> sulfoxides in excellent yields using </w:t>
      </w:r>
      <w:r>
        <w:t>a catalytic quantity (≤</w:t>
      </w:r>
      <w:r w:rsidRPr="008E1CD0">
        <w:t>1</w:t>
      </w:r>
      <w:r>
        <w:t>.0</w:t>
      </w:r>
      <w:r w:rsidRPr="008E1CD0">
        <w:t xml:space="preserve"> mol%) of diphenyl diselenide (reacting presumably through the perseleninic acid or anhydride)</w:t>
      </w:r>
      <w:r>
        <w:rPr>
          <w:vertAlign w:val="superscript"/>
        </w:rPr>
        <w:t>23</w:t>
      </w:r>
      <w:r w:rsidRPr="008E1CD0">
        <w:t xml:space="preserve"> and urea–hydrogen peroxide complex (U</w:t>
      </w:r>
      <w:r>
        <w:t xml:space="preserve">HP) </w:t>
      </w:r>
      <w:r w:rsidRPr="008E1CD0">
        <w:t>as the stoich</w:t>
      </w:r>
      <w:r>
        <w:t>e</w:t>
      </w:r>
      <w:r w:rsidRPr="008E1CD0">
        <w:t>iometric oxidant (</w:t>
      </w:r>
      <w:r>
        <w:t xml:space="preserve">Scheme 1, </w:t>
      </w:r>
      <w:r w:rsidRPr="008E1CD0">
        <w:t>Table 1).</w:t>
      </w:r>
      <w:r>
        <w:t xml:space="preserve"> </w:t>
      </w:r>
    </w:p>
    <w:p w14:paraId="3A69A543" w14:textId="77777777" w:rsidR="00140E84" w:rsidRDefault="00140E84" w:rsidP="00434E38"/>
    <w:p w14:paraId="0A53AFB2" w14:textId="5848C18C" w:rsidR="003D1E64" w:rsidRDefault="003D1E64" w:rsidP="003D1E64">
      <w:pPr>
        <w:spacing w:line="240" w:lineRule="atLeast"/>
        <w:jc w:val="center"/>
      </w:pPr>
      <w:r>
        <w:rPr>
          <w:noProof/>
          <w:lang w:eastAsia="en-US"/>
        </w:rPr>
        <w:drawing>
          <wp:inline distT="0" distB="0" distL="0" distR="0" wp14:anchorId="0805F741" wp14:editId="2A5410DA">
            <wp:extent cx="2921635" cy="55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635" cy="559798"/>
                    </a:xfrm>
                    <a:prstGeom prst="rect">
                      <a:avLst/>
                    </a:prstGeom>
                    <a:noFill/>
                    <a:ln>
                      <a:noFill/>
                    </a:ln>
                  </pic:spPr>
                </pic:pic>
              </a:graphicData>
            </a:graphic>
          </wp:inline>
        </w:drawing>
      </w:r>
      <w:r>
        <w:t xml:space="preserve"> </w:t>
      </w:r>
    </w:p>
    <w:p w14:paraId="4496089D" w14:textId="30D4839A" w:rsidR="003D1E64" w:rsidRDefault="003D1E64" w:rsidP="003D1E64">
      <w:pPr>
        <w:jc w:val="center"/>
      </w:pPr>
      <w:r>
        <w:t xml:space="preserve">Scheme 1 </w:t>
      </w:r>
    </w:p>
    <w:p w14:paraId="4787ECD8" w14:textId="77777777" w:rsidR="003D1E64" w:rsidRDefault="003D1E64" w:rsidP="00434E38"/>
    <w:p w14:paraId="586CC742" w14:textId="1832A532" w:rsidR="00683BB0" w:rsidRPr="00683BB0" w:rsidRDefault="00683BB0" w:rsidP="00434E38">
      <w:r w:rsidRPr="008E1CD0">
        <w:rPr>
          <w:b/>
        </w:rPr>
        <w:t xml:space="preserve">Table 1. </w:t>
      </w:r>
      <w:r w:rsidRPr="008E1CD0">
        <w:t>Oxidation of sulfides to the corresponding sulfoxides using UHP and catalytic Ph</w:t>
      </w:r>
      <w:r w:rsidRPr="008E1CD0">
        <w:rPr>
          <w:vertAlign w:val="subscript"/>
        </w:rPr>
        <w:t>2</w:t>
      </w:r>
      <w:r w:rsidRPr="008E1CD0">
        <w:t>Se</w:t>
      </w:r>
      <w:r w:rsidRPr="008E1CD0">
        <w:rPr>
          <w:vertAlign w:val="subscript"/>
        </w:rPr>
        <w:t>2</w:t>
      </w:r>
      <w:r w:rsidRPr="008E1CD0">
        <w:t>.</w:t>
      </w:r>
      <w:r w:rsidRPr="008E1CD0">
        <w:rPr>
          <w:vertAlign w:val="superscript"/>
        </w:rPr>
        <w:t>a</w:t>
      </w:r>
      <w:r>
        <w:t xml:space="preserve"> </w:t>
      </w:r>
    </w:p>
    <w:tbl>
      <w:tblPr>
        <w:tblStyle w:val="TableGrid"/>
        <w:tblW w:w="0" w:type="auto"/>
        <w:tblLook w:val="04A0" w:firstRow="1" w:lastRow="0" w:firstColumn="1" w:lastColumn="0" w:noHBand="0" w:noVBand="1"/>
      </w:tblPr>
      <w:tblGrid>
        <w:gridCol w:w="691"/>
        <w:gridCol w:w="2176"/>
        <w:gridCol w:w="979"/>
        <w:gridCol w:w="971"/>
      </w:tblGrid>
      <w:tr w:rsidR="00683BB0" w14:paraId="5CCA95DB" w14:textId="77777777" w:rsidTr="00683BB0">
        <w:tc>
          <w:tcPr>
            <w:tcW w:w="1204" w:type="dxa"/>
          </w:tcPr>
          <w:p w14:paraId="2507E675" w14:textId="0D0A3154" w:rsidR="00683BB0" w:rsidRDefault="00CC040D" w:rsidP="00434E38">
            <w:r>
              <w:t xml:space="preserve">Entry </w:t>
            </w:r>
          </w:p>
        </w:tc>
        <w:tc>
          <w:tcPr>
            <w:tcW w:w="1204" w:type="dxa"/>
          </w:tcPr>
          <w:p w14:paraId="3B20CA0E" w14:textId="5B132287" w:rsidR="00683BB0" w:rsidRDefault="00CC040D" w:rsidP="00434E38">
            <w:r>
              <w:t xml:space="preserve">Substrate </w:t>
            </w:r>
          </w:p>
        </w:tc>
        <w:tc>
          <w:tcPr>
            <w:tcW w:w="1204" w:type="dxa"/>
          </w:tcPr>
          <w:p w14:paraId="73F453B9" w14:textId="38A2C72F" w:rsidR="00683BB0" w:rsidRDefault="00CC040D" w:rsidP="00434E38">
            <w:r>
              <w:t>Conv/%</w:t>
            </w:r>
            <w:r w:rsidR="00CF0B07">
              <w:rPr>
                <w:vertAlign w:val="superscript"/>
              </w:rPr>
              <w:t>b</w:t>
            </w:r>
            <w:r>
              <w:t xml:space="preserve"> </w:t>
            </w:r>
          </w:p>
        </w:tc>
        <w:tc>
          <w:tcPr>
            <w:tcW w:w="1205" w:type="dxa"/>
          </w:tcPr>
          <w:p w14:paraId="7F3CDBD6" w14:textId="57C01FA7" w:rsidR="00683BB0" w:rsidRDefault="00CC040D" w:rsidP="00434E38">
            <w:r>
              <w:t>Yield/%</w:t>
            </w:r>
            <w:r w:rsidR="00CF0B07">
              <w:rPr>
                <w:vertAlign w:val="superscript"/>
              </w:rPr>
              <w:t>c</w:t>
            </w:r>
            <w:r>
              <w:t xml:space="preserve"> </w:t>
            </w:r>
          </w:p>
        </w:tc>
      </w:tr>
      <w:tr w:rsidR="00683BB0" w14:paraId="1522D643" w14:textId="77777777" w:rsidTr="00860B6E">
        <w:tc>
          <w:tcPr>
            <w:tcW w:w="1204" w:type="dxa"/>
          </w:tcPr>
          <w:p w14:paraId="62E3C8CD" w14:textId="5B92FDE5" w:rsidR="00683BB0" w:rsidRDefault="008A5B6B" w:rsidP="00860B6E">
            <w:pPr>
              <w:spacing w:line="240" w:lineRule="atLeast"/>
              <w:jc w:val="center"/>
            </w:pPr>
            <w:r>
              <w:lastRenderedPageBreak/>
              <w:t>1</w:t>
            </w:r>
          </w:p>
        </w:tc>
        <w:tc>
          <w:tcPr>
            <w:tcW w:w="1204" w:type="dxa"/>
          </w:tcPr>
          <w:p w14:paraId="579B3CEF" w14:textId="5798036B" w:rsidR="00683BB0" w:rsidRDefault="00860B6E" w:rsidP="00860B6E">
            <w:pPr>
              <w:spacing w:line="240" w:lineRule="atLeast"/>
              <w:jc w:val="center"/>
            </w:pPr>
            <w:r>
              <w:rPr>
                <w:noProof/>
                <w:lang w:eastAsia="en-US"/>
              </w:rPr>
              <w:drawing>
                <wp:inline distT="0" distB="0" distL="0" distR="0" wp14:anchorId="6943C60F" wp14:editId="62BF1510">
                  <wp:extent cx="652145" cy="3473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347345"/>
                          </a:xfrm>
                          <a:prstGeom prst="rect">
                            <a:avLst/>
                          </a:prstGeom>
                          <a:noFill/>
                          <a:ln>
                            <a:noFill/>
                          </a:ln>
                        </pic:spPr>
                      </pic:pic>
                    </a:graphicData>
                  </a:graphic>
                </wp:inline>
              </w:drawing>
            </w:r>
          </w:p>
        </w:tc>
        <w:tc>
          <w:tcPr>
            <w:tcW w:w="1204" w:type="dxa"/>
          </w:tcPr>
          <w:p w14:paraId="797D7C34" w14:textId="2331AC29" w:rsidR="00683BB0" w:rsidRDefault="00E30E02" w:rsidP="00860B6E">
            <w:pPr>
              <w:spacing w:line="240" w:lineRule="atLeast"/>
              <w:jc w:val="center"/>
            </w:pPr>
            <w:r>
              <w:t>&gt;99</w:t>
            </w:r>
          </w:p>
        </w:tc>
        <w:tc>
          <w:tcPr>
            <w:tcW w:w="1205" w:type="dxa"/>
          </w:tcPr>
          <w:p w14:paraId="5E12DFDC" w14:textId="5F2AB03E" w:rsidR="00683BB0" w:rsidRPr="00E30E02" w:rsidRDefault="00E30E02" w:rsidP="00860B6E">
            <w:pPr>
              <w:spacing w:line="240" w:lineRule="atLeast"/>
              <w:jc w:val="center"/>
              <w:rPr>
                <w:vertAlign w:val="superscript"/>
              </w:rPr>
            </w:pPr>
            <w:r>
              <w:t>97</w:t>
            </w:r>
            <w:r>
              <w:rPr>
                <w:vertAlign w:val="superscript"/>
              </w:rPr>
              <w:t>d</w:t>
            </w:r>
          </w:p>
        </w:tc>
      </w:tr>
      <w:tr w:rsidR="00683BB0" w14:paraId="38A7C58D" w14:textId="77777777" w:rsidTr="00683BB0">
        <w:tc>
          <w:tcPr>
            <w:tcW w:w="1204" w:type="dxa"/>
          </w:tcPr>
          <w:p w14:paraId="74828BEC" w14:textId="312311A2" w:rsidR="00683BB0" w:rsidRDefault="008A5B6B" w:rsidP="00860B6E">
            <w:pPr>
              <w:spacing w:line="240" w:lineRule="atLeast"/>
              <w:jc w:val="center"/>
            </w:pPr>
            <w:r>
              <w:t>2</w:t>
            </w:r>
          </w:p>
        </w:tc>
        <w:tc>
          <w:tcPr>
            <w:tcW w:w="1204" w:type="dxa"/>
          </w:tcPr>
          <w:p w14:paraId="4F3ED6CB" w14:textId="48305276" w:rsidR="00683BB0" w:rsidRDefault="00860B6E" w:rsidP="00860B6E">
            <w:pPr>
              <w:spacing w:line="240" w:lineRule="atLeast"/>
              <w:jc w:val="center"/>
            </w:pPr>
            <w:r>
              <w:rPr>
                <w:noProof/>
                <w:lang w:eastAsia="en-US"/>
              </w:rPr>
              <w:drawing>
                <wp:inline distT="0" distB="0" distL="0" distR="0" wp14:anchorId="35FA8D9D" wp14:editId="2A3B837E">
                  <wp:extent cx="652145" cy="34734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347345"/>
                          </a:xfrm>
                          <a:prstGeom prst="rect">
                            <a:avLst/>
                          </a:prstGeom>
                          <a:noFill/>
                          <a:ln>
                            <a:noFill/>
                          </a:ln>
                        </pic:spPr>
                      </pic:pic>
                    </a:graphicData>
                  </a:graphic>
                </wp:inline>
              </w:drawing>
            </w:r>
          </w:p>
        </w:tc>
        <w:tc>
          <w:tcPr>
            <w:tcW w:w="1204" w:type="dxa"/>
          </w:tcPr>
          <w:p w14:paraId="38C2FF8A" w14:textId="03B822D4" w:rsidR="00683BB0" w:rsidRDefault="00E30E02" w:rsidP="00860B6E">
            <w:pPr>
              <w:spacing w:line="240" w:lineRule="atLeast"/>
              <w:jc w:val="center"/>
            </w:pPr>
            <w:r>
              <w:t>&gt;99</w:t>
            </w:r>
          </w:p>
        </w:tc>
        <w:tc>
          <w:tcPr>
            <w:tcW w:w="1205" w:type="dxa"/>
          </w:tcPr>
          <w:p w14:paraId="2BD22A26" w14:textId="4DDE07CA" w:rsidR="00683BB0" w:rsidRPr="00E30E02" w:rsidRDefault="00E30E02" w:rsidP="00860B6E">
            <w:pPr>
              <w:spacing w:line="240" w:lineRule="atLeast"/>
              <w:jc w:val="center"/>
              <w:rPr>
                <w:vertAlign w:val="superscript"/>
              </w:rPr>
            </w:pPr>
            <w:r>
              <w:t>99</w:t>
            </w:r>
            <w:r>
              <w:rPr>
                <w:vertAlign w:val="superscript"/>
              </w:rPr>
              <w:t>e</w:t>
            </w:r>
          </w:p>
        </w:tc>
      </w:tr>
      <w:tr w:rsidR="00683BB0" w14:paraId="2BBC48DD" w14:textId="77777777" w:rsidTr="00683BB0">
        <w:tc>
          <w:tcPr>
            <w:tcW w:w="1204" w:type="dxa"/>
          </w:tcPr>
          <w:p w14:paraId="17529295" w14:textId="29684CB8" w:rsidR="00683BB0" w:rsidRDefault="008A5B6B" w:rsidP="00860B6E">
            <w:pPr>
              <w:spacing w:line="240" w:lineRule="atLeast"/>
              <w:jc w:val="center"/>
            </w:pPr>
            <w:r>
              <w:t>3</w:t>
            </w:r>
          </w:p>
        </w:tc>
        <w:tc>
          <w:tcPr>
            <w:tcW w:w="1204" w:type="dxa"/>
          </w:tcPr>
          <w:p w14:paraId="55CE283B" w14:textId="6C71C366" w:rsidR="00683BB0" w:rsidRDefault="00860B6E" w:rsidP="00860B6E">
            <w:pPr>
              <w:spacing w:line="240" w:lineRule="atLeast"/>
              <w:jc w:val="center"/>
            </w:pPr>
            <w:r>
              <w:rPr>
                <w:noProof/>
                <w:lang w:eastAsia="en-US"/>
              </w:rPr>
              <w:drawing>
                <wp:inline distT="0" distB="0" distL="0" distR="0" wp14:anchorId="00D862F8" wp14:editId="2C4EF74B">
                  <wp:extent cx="652145" cy="3473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347345"/>
                          </a:xfrm>
                          <a:prstGeom prst="rect">
                            <a:avLst/>
                          </a:prstGeom>
                          <a:noFill/>
                          <a:ln>
                            <a:noFill/>
                          </a:ln>
                        </pic:spPr>
                      </pic:pic>
                    </a:graphicData>
                  </a:graphic>
                </wp:inline>
              </w:drawing>
            </w:r>
          </w:p>
        </w:tc>
        <w:tc>
          <w:tcPr>
            <w:tcW w:w="1204" w:type="dxa"/>
          </w:tcPr>
          <w:p w14:paraId="60EA51EC" w14:textId="2B30B7D7" w:rsidR="00683BB0" w:rsidRPr="00E30E02" w:rsidRDefault="00E30E02" w:rsidP="00860B6E">
            <w:pPr>
              <w:spacing w:line="240" w:lineRule="atLeast"/>
              <w:jc w:val="center"/>
              <w:rPr>
                <w:vertAlign w:val="superscript"/>
              </w:rPr>
            </w:pPr>
            <w:r>
              <w:t>&lt;5</w:t>
            </w:r>
            <w:r>
              <w:rPr>
                <w:vertAlign w:val="superscript"/>
              </w:rPr>
              <w:t>f</w:t>
            </w:r>
          </w:p>
        </w:tc>
        <w:tc>
          <w:tcPr>
            <w:tcW w:w="1205" w:type="dxa"/>
          </w:tcPr>
          <w:p w14:paraId="1855B98E" w14:textId="07098C0D" w:rsidR="00683BB0" w:rsidRDefault="00E30E02" w:rsidP="00860B6E">
            <w:pPr>
              <w:spacing w:line="240" w:lineRule="atLeast"/>
              <w:jc w:val="center"/>
            </w:pPr>
            <w:r>
              <w:t>&lt;5</w:t>
            </w:r>
          </w:p>
        </w:tc>
      </w:tr>
      <w:tr w:rsidR="00683BB0" w14:paraId="64F8B5D9" w14:textId="77777777" w:rsidTr="00683BB0">
        <w:tc>
          <w:tcPr>
            <w:tcW w:w="1204" w:type="dxa"/>
          </w:tcPr>
          <w:p w14:paraId="71441CAD" w14:textId="2153F2A8" w:rsidR="00683BB0" w:rsidRDefault="008A5B6B" w:rsidP="00860B6E">
            <w:pPr>
              <w:spacing w:line="240" w:lineRule="atLeast"/>
              <w:jc w:val="center"/>
            </w:pPr>
            <w:r>
              <w:t>4</w:t>
            </w:r>
          </w:p>
        </w:tc>
        <w:tc>
          <w:tcPr>
            <w:tcW w:w="1204" w:type="dxa"/>
          </w:tcPr>
          <w:p w14:paraId="5D0D033F" w14:textId="692E2AD5" w:rsidR="00683BB0" w:rsidRDefault="00411BEF" w:rsidP="00860B6E">
            <w:pPr>
              <w:spacing w:line="240" w:lineRule="atLeast"/>
              <w:jc w:val="center"/>
            </w:pPr>
            <w:r>
              <w:rPr>
                <w:noProof/>
                <w:lang w:eastAsia="en-US"/>
              </w:rPr>
              <w:drawing>
                <wp:inline distT="0" distB="0" distL="0" distR="0" wp14:anchorId="746A589E" wp14:editId="36049753">
                  <wp:extent cx="871855" cy="35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355600"/>
                          </a:xfrm>
                          <a:prstGeom prst="rect">
                            <a:avLst/>
                          </a:prstGeom>
                          <a:noFill/>
                          <a:ln>
                            <a:noFill/>
                          </a:ln>
                        </pic:spPr>
                      </pic:pic>
                    </a:graphicData>
                  </a:graphic>
                </wp:inline>
              </w:drawing>
            </w:r>
          </w:p>
        </w:tc>
        <w:tc>
          <w:tcPr>
            <w:tcW w:w="1204" w:type="dxa"/>
          </w:tcPr>
          <w:p w14:paraId="57425F07" w14:textId="3E66062B" w:rsidR="00683BB0" w:rsidRDefault="005B2E8B" w:rsidP="00860B6E">
            <w:pPr>
              <w:spacing w:line="240" w:lineRule="atLeast"/>
              <w:jc w:val="center"/>
            </w:pPr>
            <w:r>
              <w:t>95</w:t>
            </w:r>
          </w:p>
        </w:tc>
        <w:tc>
          <w:tcPr>
            <w:tcW w:w="1205" w:type="dxa"/>
          </w:tcPr>
          <w:p w14:paraId="284472E6" w14:textId="6B076A06" w:rsidR="00683BB0" w:rsidRDefault="005B2E8B" w:rsidP="00860B6E">
            <w:pPr>
              <w:spacing w:line="240" w:lineRule="atLeast"/>
              <w:jc w:val="center"/>
            </w:pPr>
            <w:r>
              <w:t>73</w:t>
            </w:r>
          </w:p>
        </w:tc>
      </w:tr>
      <w:tr w:rsidR="00683BB0" w14:paraId="1756466F" w14:textId="77777777" w:rsidTr="00683BB0">
        <w:tc>
          <w:tcPr>
            <w:tcW w:w="1204" w:type="dxa"/>
          </w:tcPr>
          <w:p w14:paraId="34652CEF" w14:textId="2C90D945" w:rsidR="00683BB0" w:rsidRDefault="008A5B6B" w:rsidP="00860B6E">
            <w:pPr>
              <w:spacing w:line="240" w:lineRule="atLeast"/>
              <w:jc w:val="center"/>
            </w:pPr>
            <w:r>
              <w:t>5</w:t>
            </w:r>
          </w:p>
        </w:tc>
        <w:tc>
          <w:tcPr>
            <w:tcW w:w="1204" w:type="dxa"/>
          </w:tcPr>
          <w:p w14:paraId="2879A444" w14:textId="4822AF7F" w:rsidR="00683BB0" w:rsidRDefault="00411BEF" w:rsidP="00860B6E">
            <w:pPr>
              <w:spacing w:line="240" w:lineRule="atLeast"/>
              <w:jc w:val="center"/>
            </w:pPr>
            <w:r>
              <w:rPr>
                <w:noProof/>
                <w:lang w:eastAsia="en-US"/>
              </w:rPr>
              <w:drawing>
                <wp:inline distT="0" distB="0" distL="0" distR="0" wp14:anchorId="03A452DA" wp14:editId="3FFF81C8">
                  <wp:extent cx="906145" cy="34734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45" cy="347345"/>
                          </a:xfrm>
                          <a:prstGeom prst="rect">
                            <a:avLst/>
                          </a:prstGeom>
                          <a:noFill/>
                          <a:ln>
                            <a:noFill/>
                          </a:ln>
                        </pic:spPr>
                      </pic:pic>
                    </a:graphicData>
                  </a:graphic>
                </wp:inline>
              </w:drawing>
            </w:r>
          </w:p>
        </w:tc>
        <w:tc>
          <w:tcPr>
            <w:tcW w:w="1204" w:type="dxa"/>
          </w:tcPr>
          <w:p w14:paraId="5D9F9D91" w14:textId="167B502F" w:rsidR="00683BB0" w:rsidRDefault="005B2E8B" w:rsidP="00860B6E">
            <w:pPr>
              <w:spacing w:line="240" w:lineRule="atLeast"/>
              <w:jc w:val="center"/>
            </w:pPr>
            <w:r>
              <w:t>97</w:t>
            </w:r>
          </w:p>
        </w:tc>
        <w:tc>
          <w:tcPr>
            <w:tcW w:w="1205" w:type="dxa"/>
          </w:tcPr>
          <w:p w14:paraId="4F6CADD9" w14:textId="13BFD30C" w:rsidR="00683BB0" w:rsidRDefault="005B2E8B" w:rsidP="00860B6E">
            <w:pPr>
              <w:spacing w:line="240" w:lineRule="atLeast"/>
              <w:jc w:val="center"/>
            </w:pPr>
            <w:r>
              <w:t>80</w:t>
            </w:r>
          </w:p>
        </w:tc>
      </w:tr>
      <w:tr w:rsidR="00683BB0" w14:paraId="02A94BD0" w14:textId="77777777" w:rsidTr="00683BB0">
        <w:tc>
          <w:tcPr>
            <w:tcW w:w="1204" w:type="dxa"/>
          </w:tcPr>
          <w:p w14:paraId="63D8D9AD" w14:textId="4BEBF56C" w:rsidR="00683BB0" w:rsidRDefault="008A5B6B" w:rsidP="00860B6E">
            <w:pPr>
              <w:spacing w:line="240" w:lineRule="atLeast"/>
              <w:jc w:val="center"/>
            </w:pPr>
            <w:r>
              <w:t>6</w:t>
            </w:r>
          </w:p>
        </w:tc>
        <w:tc>
          <w:tcPr>
            <w:tcW w:w="1204" w:type="dxa"/>
          </w:tcPr>
          <w:p w14:paraId="1123BB62" w14:textId="4256D9B3" w:rsidR="00683BB0" w:rsidRDefault="00A110A4" w:rsidP="00860B6E">
            <w:pPr>
              <w:spacing w:line="240" w:lineRule="atLeast"/>
              <w:jc w:val="center"/>
            </w:pPr>
            <w:r>
              <w:rPr>
                <w:noProof/>
                <w:lang w:eastAsia="en-US"/>
              </w:rPr>
              <w:drawing>
                <wp:inline distT="0" distB="0" distL="0" distR="0" wp14:anchorId="4668B5C6" wp14:editId="0E287D2D">
                  <wp:extent cx="863600" cy="3473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347345"/>
                          </a:xfrm>
                          <a:prstGeom prst="rect">
                            <a:avLst/>
                          </a:prstGeom>
                          <a:noFill/>
                          <a:ln>
                            <a:noFill/>
                          </a:ln>
                        </pic:spPr>
                      </pic:pic>
                    </a:graphicData>
                  </a:graphic>
                </wp:inline>
              </w:drawing>
            </w:r>
          </w:p>
        </w:tc>
        <w:tc>
          <w:tcPr>
            <w:tcW w:w="1204" w:type="dxa"/>
          </w:tcPr>
          <w:p w14:paraId="22D869E8" w14:textId="2A6B67EE" w:rsidR="00683BB0" w:rsidRDefault="006349D8" w:rsidP="00860B6E">
            <w:pPr>
              <w:spacing w:line="240" w:lineRule="atLeast"/>
              <w:jc w:val="center"/>
            </w:pPr>
            <w:r>
              <w:t>&gt;99</w:t>
            </w:r>
          </w:p>
        </w:tc>
        <w:tc>
          <w:tcPr>
            <w:tcW w:w="1205" w:type="dxa"/>
          </w:tcPr>
          <w:p w14:paraId="6363B1CF" w14:textId="757ECD48" w:rsidR="00683BB0" w:rsidRDefault="006349D8" w:rsidP="00860B6E">
            <w:pPr>
              <w:spacing w:line="240" w:lineRule="atLeast"/>
              <w:jc w:val="center"/>
            </w:pPr>
            <w:r>
              <w:t>96</w:t>
            </w:r>
          </w:p>
        </w:tc>
      </w:tr>
      <w:tr w:rsidR="00683BB0" w14:paraId="30ECDF07" w14:textId="77777777" w:rsidTr="00683BB0">
        <w:tc>
          <w:tcPr>
            <w:tcW w:w="1204" w:type="dxa"/>
          </w:tcPr>
          <w:p w14:paraId="33CE1679" w14:textId="36330368" w:rsidR="00683BB0" w:rsidRDefault="008A5B6B" w:rsidP="00860B6E">
            <w:pPr>
              <w:spacing w:line="240" w:lineRule="atLeast"/>
              <w:jc w:val="center"/>
            </w:pPr>
            <w:r>
              <w:t>7</w:t>
            </w:r>
          </w:p>
        </w:tc>
        <w:tc>
          <w:tcPr>
            <w:tcW w:w="1204" w:type="dxa"/>
          </w:tcPr>
          <w:p w14:paraId="0440E45F" w14:textId="7553DD70" w:rsidR="00683BB0" w:rsidRDefault="00A110A4" w:rsidP="00860B6E">
            <w:pPr>
              <w:spacing w:line="240" w:lineRule="atLeast"/>
              <w:jc w:val="center"/>
            </w:pPr>
            <w:r>
              <w:rPr>
                <w:noProof/>
                <w:lang w:eastAsia="en-US"/>
              </w:rPr>
              <w:drawing>
                <wp:inline distT="0" distB="0" distL="0" distR="0" wp14:anchorId="63BB3B7F" wp14:editId="534ABD7A">
                  <wp:extent cx="652145" cy="652145"/>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c>
        <w:tc>
          <w:tcPr>
            <w:tcW w:w="1204" w:type="dxa"/>
          </w:tcPr>
          <w:p w14:paraId="4885D4C5" w14:textId="1C96295C" w:rsidR="00683BB0" w:rsidRDefault="006349D8" w:rsidP="00860B6E">
            <w:pPr>
              <w:spacing w:line="240" w:lineRule="atLeast"/>
              <w:jc w:val="center"/>
            </w:pPr>
            <w:r>
              <w:t>96</w:t>
            </w:r>
          </w:p>
        </w:tc>
        <w:tc>
          <w:tcPr>
            <w:tcW w:w="1205" w:type="dxa"/>
          </w:tcPr>
          <w:p w14:paraId="5140759D" w14:textId="47BD7EF8" w:rsidR="00683BB0" w:rsidRDefault="006349D8" w:rsidP="00860B6E">
            <w:pPr>
              <w:spacing w:line="240" w:lineRule="atLeast"/>
              <w:jc w:val="center"/>
            </w:pPr>
            <w:r>
              <w:t>90</w:t>
            </w:r>
          </w:p>
        </w:tc>
      </w:tr>
      <w:tr w:rsidR="00683BB0" w14:paraId="459BA2EF" w14:textId="77777777" w:rsidTr="00683BB0">
        <w:tc>
          <w:tcPr>
            <w:tcW w:w="1204" w:type="dxa"/>
          </w:tcPr>
          <w:p w14:paraId="0A34E4F7" w14:textId="5E167815" w:rsidR="00683BB0" w:rsidRDefault="008A5B6B" w:rsidP="00860B6E">
            <w:pPr>
              <w:spacing w:line="240" w:lineRule="atLeast"/>
              <w:jc w:val="center"/>
            </w:pPr>
            <w:r>
              <w:t>8</w:t>
            </w:r>
          </w:p>
        </w:tc>
        <w:tc>
          <w:tcPr>
            <w:tcW w:w="1204" w:type="dxa"/>
          </w:tcPr>
          <w:p w14:paraId="2A408DE8" w14:textId="02DC2AC0" w:rsidR="00683BB0" w:rsidRDefault="00A110A4" w:rsidP="00860B6E">
            <w:pPr>
              <w:spacing w:line="240" w:lineRule="atLeast"/>
              <w:jc w:val="center"/>
            </w:pPr>
            <w:r>
              <w:rPr>
                <w:noProof/>
                <w:lang w:eastAsia="en-US"/>
              </w:rPr>
              <w:drawing>
                <wp:inline distT="0" distB="0" distL="0" distR="0" wp14:anchorId="1FF4C3FD" wp14:editId="36CA1D8B">
                  <wp:extent cx="838200" cy="34734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347345"/>
                          </a:xfrm>
                          <a:prstGeom prst="rect">
                            <a:avLst/>
                          </a:prstGeom>
                          <a:noFill/>
                          <a:ln>
                            <a:noFill/>
                          </a:ln>
                        </pic:spPr>
                      </pic:pic>
                    </a:graphicData>
                  </a:graphic>
                </wp:inline>
              </w:drawing>
            </w:r>
          </w:p>
        </w:tc>
        <w:tc>
          <w:tcPr>
            <w:tcW w:w="1204" w:type="dxa"/>
          </w:tcPr>
          <w:p w14:paraId="0990BD46" w14:textId="4BBCD40C" w:rsidR="00683BB0" w:rsidRDefault="006349D8" w:rsidP="00860B6E">
            <w:pPr>
              <w:spacing w:line="240" w:lineRule="atLeast"/>
              <w:jc w:val="center"/>
            </w:pPr>
            <w:r>
              <w:t>&gt;99</w:t>
            </w:r>
          </w:p>
        </w:tc>
        <w:tc>
          <w:tcPr>
            <w:tcW w:w="1205" w:type="dxa"/>
          </w:tcPr>
          <w:p w14:paraId="10B9DE8E" w14:textId="299763C4" w:rsidR="00683BB0" w:rsidRPr="006349D8" w:rsidRDefault="006349D8" w:rsidP="00860B6E">
            <w:pPr>
              <w:spacing w:line="240" w:lineRule="atLeast"/>
              <w:jc w:val="center"/>
              <w:rPr>
                <w:vertAlign w:val="superscript"/>
              </w:rPr>
            </w:pPr>
            <w:r>
              <w:t>66</w:t>
            </w:r>
            <w:r>
              <w:rPr>
                <w:vertAlign w:val="superscript"/>
              </w:rPr>
              <w:t>g</w:t>
            </w:r>
          </w:p>
        </w:tc>
      </w:tr>
      <w:tr w:rsidR="00683BB0" w14:paraId="10212D43" w14:textId="77777777" w:rsidTr="00683BB0">
        <w:tc>
          <w:tcPr>
            <w:tcW w:w="1204" w:type="dxa"/>
          </w:tcPr>
          <w:p w14:paraId="7EC6913F" w14:textId="1F09AC86" w:rsidR="00683BB0" w:rsidRDefault="008A5B6B" w:rsidP="00860B6E">
            <w:pPr>
              <w:spacing w:line="240" w:lineRule="atLeast"/>
              <w:jc w:val="center"/>
            </w:pPr>
            <w:r>
              <w:t>9</w:t>
            </w:r>
          </w:p>
        </w:tc>
        <w:tc>
          <w:tcPr>
            <w:tcW w:w="1204" w:type="dxa"/>
          </w:tcPr>
          <w:p w14:paraId="22BF29B4" w14:textId="30A69579" w:rsidR="00683BB0" w:rsidRDefault="00A110A4" w:rsidP="00860B6E">
            <w:pPr>
              <w:spacing w:line="240" w:lineRule="atLeast"/>
              <w:jc w:val="center"/>
            </w:pPr>
            <w:r>
              <w:rPr>
                <w:noProof/>
                <w:lang w:eastAsia="en-US"/>
              </w:rPr>
              <w:drawing>
                <wp:inline distT="0" distB="0" distL="0" distR="0" wp14:anchorId="60063836" wp14:editId="6D56A937">
                  <wp:extent cx="652145" cy="6604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145" cy="660400"/>
                          </a:xfrm>
                          <a:prstGeom prst="rect">
                            <a:avLst/>
                          </a:prstGeom>
                          <a:noFill/>
                          <a:ln>
                            <a:noFill/>
                          </a:ln>
                        </pic:spPr>
                      </pic:pic>
                    </a:graphicData>
                  </a:graphic>
                </wp:inline>
              </w:drawing>
            </w:r>
          </w:p>
        </w:tc>
        <w:tc>
          <w:tcPr>
            <w:tcW w:w="1204" w:type="dxa"/>
          </w:tcPr>
          <w:p w14:paraId="1AAFB622" w14:textId="2681AFA2" w:rsidR="00683BB0" w:rsidRDefault="00CD3A70" w:rsidP="00860B6E">
            <w:pPr>
              <w:spacing w:line="240" w:lineRule="atLeast"/>
              <w:jc w:val="center"/>
            </w:pPr>
            <w:r>
              <w:t>73</w:t>
            </w:r>
          </w:p>
        </w:tc>
        <w:tc>
          <w:tcPr>
            <w:tcW w:w="1205" w:type="dxa"/>
          </w:tcPr>
          <w:p w14:paraId="61EB04BA" w14:textId="583B9A70" w:rsidR="00683BB0" w:rsidRDefault="00CD3A70" w:rsidP="00860B6E">
            <w:pPr>
              <w:spacing w:line="240" w:lineRule="atLeast"/>
              <w:jc w:val="center"/>
            </w:pPr>
            <w:r>
              <w:t>68</w:t>
            </w:r>
          </w:p>
        </w:tc>
      </w:tr>
      <w:tr w:rsidR="00683BB0" w14:paraId="1EFD9567" w14:textId="77777777" w:rsidTr="00683BB0">
        <w:tc>
          <w:tcPr>
            <w:tcW w:w="1204" w:type="dxa"/>
          </w:tcPr>
          <w:p w14:paraId="63D22713" w14:textId="512C63ED" w:rsidR="00683BB0" w:rsidRDefault="008A5B6B" w:rsidP="00860B6E">
            <w:pPr>
              <w:spacing w:line="240" w:lineRule="atLeast"/>
              <w:jc w:val="center"/>
            </w:pPr>
            <w:r>
              <w:t>10</w:t>
            </w:r>
          </w:p>
        </w:tc>
        <w:tc>
          <w:tcPr>
            <w:tcW w:w="1204" w:type="dxa"/>
          </w:tcPr>
          <w:p w14:paraId="1031E58A" w14:textId="71D8ACA4" w:rsidR="00683BB0" w:rsidRDefault="001A0C6D" w:rsidP="00860B6E">
            <w:pPr>
              <w:spacing w:line="240" w:lineRule="atLeast"/>
              <w:jc w:val="center"/>
            </w:pPr>
            <w:r>
              <w:rPr>
                <w:noProof/>
                <w:lang w:eastAsia="en-US"/>
              </w:rPr>
              <w:drawing>
                <wp:inline distT="0" distB="0" distL="0" distR="0" wp14:anchorId="15580E44" wp14:editId="5819D3A1">
                  <wp:extent cx="906145" cy="3810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145" cy="381000"/>
                          </a:xfrm>
                          <a:prstGeom prst="rect">
                            <a:avLst/>
                          </a:prstGeom>
                          <a:noFill/>
                          <a:ln>
                            <a:noFill/>
                          </a:ln>
                        </pic:spPr>
                      </pic:pic>
                    </a:graphicData>
                  </a:graphic>
                </wp:inline>
              </w:drawing>
            </w:r>
          </w:p>
        </w:tc>
        <w:tc>
          <w:tcPr>
            <w:tcW w:w="1204" w:type="dxa"/>
          </w:tcPr>
          <w:p w14:paraId="653F863E" w14:textId="01A0AA8F" w:rsidR="00683BB0" w:rsidRDefault="00CD3A70" w:rsidP="00860B6E">
            <w:pPr>
              <w:spacing w:line="240" w:lineRule="atLeast"/>
              <w:jc w:val="center"/>
            </w:pPr>
            <w:r>
              <w:t>96</w:t>
            </w:r>
          </w:p>
        </w:tc>
        <w:tc>
          <w:tcPr>
            <w:tcW w:w="1205" w:type="dxa"/>
          </w:tcPr>
          <w:p w14:paraId="510DF1AF" w14:textId="0BBBEAB2" w:rsidR="00683BB0" w:rsidRDefault="00CD3A70" w:rsidP="00860B6E">
            <w:pPr>
              <w:spacing w:line="240" w:lineRule="atLeast"/>
              <w:jc w:val="center"/>
            </w:pPr>
            <w:r>
              <w:t>68</w:t>
            </w:r>
          </w:p>
        </w:tc>
      </w:tr>
      <w:tr w:rsidR="00683BB0" w14:paraId="3102B01B" w14:textId="77777777" w:rsidTr="00683BB0">
        <w:tc>
          <w:tcPr>
            <w:tcW w:w="1204" w:type="dxa"/>
          </w:tcPr>
          <w:p w14:paraId="01594732" w14:textId="2F024D5F" w:rsidR="00683BB0" w:rsidRDefault="008A5B6B" w:rsidP="00860B6E">
            <w:pPr>
              <w:spacing w:line="240" w:lineRule="atLeast"/>
              <w:jc w:val="center"/>
            </w:pPr>
            <w:r>
              <w:t>11</w:t>
            </w:r>
          </w:p>
        </w:tc>
        <w:tc>
          <w:tcPr>
            <w:tcW w:w="1204" w:type="dxa"/>
          </w:tcPr>
          <w:p w14:paraId="590CF42C" w14:textId="3D26982A" w:rsidR="00683BB0" w:rsidRDefault="001A0C6D" w:rsidP="00860B6E">
            <w:pPr>
              <w:spacing w:line="240" w:lineRule="atLeast"/>
              <w:jc w:val="center"/>
            </w:pPr>
            <w:r>
              <w:rPr>
                <w:noProof/>
                <w:lang w:eastAsia="en-US"/>
              </w:rPr>
              <w:drawing>
                <wp:inline distT="0" distB="0" distL="0" distR="0" wp14:anchorId="46BE42E3" wp14:editId="78004366">
                  <wp:extent cx="8636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0" cy="203200"/>
                          </a:xfrm>
                          <a:prstGeom prst="rect">
                            <a:avLst/>
                          </a:prstGeom>
                          <a:noFill/>
                          <a:ln>
                            <a:noFill/>
                          </a:ln>
                        </pic:spPr>
                      </pic:pic>
                    </a:graphicData>
                  </a:graphic>
                </wp:inline>
              </w:drawing>
            </w:r>
          </w:p>
        </w:tc>
        <w:tc>
          <w:tcPr>
            <w:tcW w:w="1204" w:type="dxa"/>
          </w:tcPr>
          <w:p w14:paraId="61001FDD" w14:textId="432771BA" w:rsidR="00683BB0" w:rsidRDefault="00CD3A70" w:rsidP="00860B6E">
            <w:pPr>
              <w:spacing w:line="240" w:lineRule="atLeast"/>
              <w:jc w:val="center"/>
            </w:pPr>
            <w:r>
              <w:t>&gt;99</w:t>
            </w:r>
          </w:p>
        </w:tc>
        <w:tc>
          <w:tcPr>
            <w:tcW w:w="1205" w:type="dxa"/>
          </w:tcPr>
          <w:p w14:paraId="5CD34B75" w14:textId="5B42C15A" w:rsidR="00683BB0" w:rsidRDefault="00CD3A70" w:rsidP="00860B6E">
            <w:pPr>
              <w:spacing w:line="240" w:lineRule="atLeast"/>
              <w:jc w:val="center"/>
            </w:pPr>
            <w:r>
              <w:t>89</w:t>
            </w:r>
          </w:p>
        </w:tc>
      </w:tr>
      <w:tr w:rsidR="00683BB0" w14:paraId="63C9700A" w14:textId="77777777" w:rsidTr="00683BB0">
        <w:tc>
          <w:tcPr>
            <w:tcW w:w="1204" w:type="dxa"/>
          </w:tcPr>
          <w:p w14:paraId="4F2AC52A" w14:textId="065EF9ED" w:rsidR="00683BB0" w:rsidRDefault="008A5B6B" w:rsidP="00860B6E">
            <w:pPr>
              <w:spacing w:line="240" w:lineRule="atLeast"/>
              <w:jc w:val="center"/>
            </w:pPr>
            <w:r>
              <w:t>12</w:t>
            </w:r>
          </w:p>
        </w:tc>
        <w:tc>
          <w:tcPr>
            <w:tcW w:w="1204" w:type="dxa"/>
          </w:tcPr>
          <w:p w14:paraId="36DAAF6E" w14:textId="496CE827" w:rsidR="00683BB0" w:rsidRDefault="001A0C6D" w:rsidP="00860B6E">
            <w:pPr>
              <w:spacing w:line="240" w:lineRule="atLeast"/>
              <w:jc w:val="center"/>
            </w:pPr>
            <w:r>
              <w:rPr>
                <w:noProof/>
                <w:lang w:eastAsia="en-US"/>
              </w:rPr>
              <w:drawing>
                <wp:inline distT="0" distB="0" distL="0" distR="0" wp14:anchorId="280926EF" wp14:editId="3A8CDFA7">
                  <wp:extent cx="711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1200" cy="203200"/>
                          </a:xfrm>
                          <a:prstGeom prst="rect">
                            <a:avLst/>
                          </a:prstGeom>
                          <a:noFill/>
                          <a:ln>
                            <a:noFill/>
                          </a:ln>
                        </pic:spPr>
                      </pic:pic>
                    </a:graphicData>
                  </a:graphic>
                </wp:inline>
              </w:drawing>
            </w:r>
          </w:p>
        </w:tc>
        <w:tc>
          <w:tcPr>
            <w:tcW w:w="1204" w:type="dxa"/>
          </w:tcPr>
          <w:p w14:paraId="7E88DA43" w14:textId="2B007483" w:rsidR="00683BB0" w:rsidRDefault="00CD3A70" w:rsidP="00860B6E">
            <w:pPr>
              <w:spacing w:line="240" w:lineRule="atLeast"/>
              <w:jc w:val="center"/>
            </w:pPr>
            <w:r>
              <w:t>&gt;99</w:t>
            </w:r>
          </w:p>
        </w:tc>
        <w:tc>
          <w:tcPr>
            <w:tcW w:w="1205" w:type="dxa"/>
          </w:tcPr>
          <w:p w14:paraId="632A2B3B" w14:textId="4B827EC2" w:rsidR="00683BB0" w:rsidRDefault="00CD3A70" w:rsidP="00860B6E">
            <w:pPr>
              <w:spacing w:line="240" w:lineRule="atLeast"/>
              <w:jc w:val="center"/>
            </w:pPr>
            <w:r>
              <w:t>74</w:t>
            </w:r>
          </w:p>
        </w:tc>
      </w:tr>
      <w:tr w:rsidR="00683BB0" w14:paraId="54A17E37" w14:textId="77777777" w:rsidTr="00683BB0">
        <w:tc>
          <w:tcPr>
            <w:tcW w:w="1204" w:type="dxa"/>
          </w:tcPr>
          <w:p w14:paraId="41DC2844" w14:textId="04A6A65C" w:rsidR="00683BB0" w:rsidRDefault="008A5B6B" w:rsidP="00860B6E">
            <w:pPr>
              <w:spacing w:line="240" w:lineRule="atLeast"/>
              <w:jc w:val="center"/>
            </w:pPr>
            <w:r>
              <w:t>13</w:t>
            </w:r>
          </w:p>
        </w:tc>
        <w:tc>
          <w:tcPr>
            <w:tcW w:w="1204" w:type="dxa"/>
          </w:tcPr>
          <w:p w14:paraId="3601A37A" w14:textId="1136A65B" w:rsidR="00683BB0" w:rsidRDefault="001A0C6D" w:rsidP="00860B6E">
            <w:pPr>
              <w:spacing w:line="240" w:lineRule="atLeast"/>
              <w:jc w:val="center"/>
            </w:pPr>
            <w:r>
              <w:rPr>
                <w:noProof/>
                <w:lang w:eastAsia="en-US"/>
              </w:rPr>
              <w:drawing>
                <wp:inline distT="0" distB="0" distL="0" distR="0" wp14:anchorId="5DFA6294" wp14:editId="33C7C0A7">
                  <wp:extent cx="652145" cy="152400"/>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145" cy="152400"/>
                          </a:xfrm>
                          <a:prstGeom prst="rect">
                            <a:avLst/>
                          </a:prstGeom>
                          <a:noFill/>
                          <a:ln>
                            <a:noFill/>
                          </a:ln>
                        </pic:spPr>
                      </pic:pic>
                    </a:graphicData>
                  </a:graphic>
                </wp:inline>
              </w:drawing>
            </w:r>
          </w:p>
        </w:tc>
        <w:tc>
          <w:tcPr>
            <w:tcW w:w="1204" w:type="dxa"/>
          </w:tcPr>
          <w:p w14:paraId="77E952F0" w14:textId="6845C904" w:rsidR="00683BB0" w:rsidRDefault="00CD3A70" w:rsidP="00860B6E">
            <w:pPr>
              <w:spacing w:line="240" w:lineRule="atLeast"/>
              <w:jc w:val="center"/>
            </w:pPr>
            <w:r>
              <w:t>&gt;99</w:t>
            </w:r>
          </w:p>
        </w:tc>
        <w:tc>
          <w:tcPr>
            <w:tcW w:w="1205" w:type="dxa"/>
          </w:tcPr>
          <w:p w14:paraId="4D1FB64D" w14:textId="583D97E9" w:rsidR="00683BB0" w:rsidRDefault="00CD3A70" w:rsidP="00860B6E">
            <w:pPr>
              <w:spacing w:line="240" w:lineRule="atLeast"/>
              <w:jc w:val="center"/>
            </w:pPr>
            <w:r>
              <w:t>92</w:t>
            </w:r>
          </w:p>
        </w:tc>
      </w:tr>
      <w:tr w:rsidR="00683BB0" w14:paraId="4A69570F" w14:textId="77777777" w:rsidTr="00683BB0">
        <w:tc>
          <w:tcPr>
            <w:tcW w:w="1204" w:type="dxa"/>
          </w:tcPr>
          <w:p w14:paraId="5273E071" w14:textId="0848BFD0" w:rsidR="00683BB0" w:rsidRDefault="008A5B6B" w:rsidP="00860B6E">
            <w:pPr>
              <w:spacing w:line="240" w:lineRule="atLeast"/>
              <w:jc w:val="center"/>
            </w:pPr>
            <w:r>
              <w:t>14</w:t>
            </w:r>
          </w:p>
        </w:tc>
        <w:tc>
          <w:tcPr>
            <w:tcW w:w="1204" w:type="dxa"/>
          </w:tcPr>
          <w:p w14:paraId="42762E6F" w14:textId="641E4312" w:rsidR="00683BB0" w:rsidRDefault="001A0C6D" w:rsidP="00860B6E">
            <w:pPr>
              <w:spacing w:line="240" w:lineRule="atLeast"/>
              <w:jc w:val="center"/>
            </w:pPr>
            <w:r>
              <w:rPr>
                <w:noProof/>
                <w:lang w:eastAsia="en-US"/>
              </w:rPr>
              <w:drawing>
                <wp:inline distT="0" distB="0" distL="0" distR="0" wp14:anchorId="6909AC8A" wp14:editId="7F791B6E">
                  <wp:extent cx="1244600" cy="533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4600" cy="533400"/>
                          </a:xfrm>
                          <a:prstGeom prst="rect">
                            <a:avLst/>
                          </a:prstGeom>
                          <a:noFill/>
                          <a:ln>
                            <a:noFill/>
                          </a:ln>
                        </pic:spPr>
                      </pic:pic>
                    </a:graphicData>
                  </a:graphic>
                </wp:inline>
              </w:drawing>
            </w:r>
          </w:p>
        </w:tc>
        <w:tc>
          <w:tcPr>
            <w:tcW w:w="1204" w:type="dxa"/>
          </w:tcPr>
          <w:p w14:paraId="4AE03AEE" w14:textId="4DF9B058" w:rsidR="00683BB0" w:rsidRDefault="00CD3A70" w:rsidP="00860B6E">
            <w:pPr>
              <w:spacing w:line="240" w:lineRule="atLeast"/>
              <w:jc w:val="center"/>
            </w:pPr>
            <w:r>
              <w:t>92</w:t>
            </w:r>
          </w:p>
        </w:tc>
        <w:tc>
          <w:tcPr>
            <w:tcW w:w="1205" w:type="dxa"/>
          </w:tcPr>
          <w:p w14:paraId="174197CD" w14:textId="7EEEEC9E" w:rsidR="00683BB0" w:rsidRDefault="00CD3A70" w:rsidP="00860B6E">
            <w:pPr>
              <w:spacing w:line="240" w:lineRule="atLeast"/>
              <w:jc w:val="center"/>
            </w:pPr>
            <w:r>
              <w:t>69</w:t>
            </w:r>
          </w:p>
        </w:tc>
      </w:tr>
      <w:tr w:rsidR="00683BB0" w14:paraId="4AF948DB" w14:textId="77777777" w:rsidTr="00683BB0">
        <w:tc>
          <w:tcPr>
            <w:tcW w:w="1204" w:type="dxa"/>
          </w:tcPr>
          <w:p w14:paraId="463DAE25" w14:textId="69F33E5D" w:rsidR="00683BB0" w:rsidRDefault="008A5B6B" w:rsidP="00860B6E">
            <w:pPr>
              <w:spacing w:line="240" w:lineRule="atLeast"/>
              <w:jc w:val="center"/>
            </w:pPr>
            <w:r>
              <w:t>15</w:t>
            </w:r>
          </w:p>
        </w:tc>
        <w:tc>
          <w:tcPr>
            <w:tcW w:w="1204" w:type="dxa"/>
          </w:tcPr>
          <w:p w14:paraId="474E9729" w14:textId="04C0664D" w:rsidR="00683BB0" w:rsidRDefault="001A0C6D" w:rsidP="00860B6E">
            <w:pPr>
              <w:spacing w:line="240" w:lineRule="atLeast"/>
              <w:jc w:val="center"/>
            </w:pPr>
            <w:r>
              <w:rPr>
                <w:noProof/>
                <w:lang w:eastAsia="en-US"/>
              </w:rPr>
              <w:drawing>
                <wp:inline distT="0" distB="0" distL="0" distR="0" wp14:anchorId="2F04C615" wp14:editId="7CE8A9A0">
                  <wp:extent cx="829945" cy="389255"/>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945" cy="389255"/>
                          </a:xfrm>
                          <a:prstGeom prst="rect">
                            <a:avLst/>
                          </a:prstGeom>
                          <a:noFill/>
                          <a:ln>
                            <a:noFill/>
                          </a:ln>
                        </pic:spPr>
                      </pic:pic>
                    </a:graphicData>
                  </a:graphic>
                </wp:inline>
              </w:drawing>
            </w:r>
          </w:p>
        </w:tc>
        <w:tc>
          <w:tcPr>
            <w:tcW w:w="1204" w:type="dxa"/>
          </w:tcPr>
          <w:p w14:paraId="2D09D1F1" w14:textId="2EF862A2" w:rsidR="00683BB0" w:rsidRDefault="00CD3A70" w:rsidP="00860B6E">
            <w:pPr>
              <w:spacing w:line="240" w:lineRule="atLeast"/>
              <w:jc w:val="center"/>
            </w:pPr>
            <w:r>
              <w:t>99</w:t>
            </w:r>
          </w:p>
        </w:tc>
        <w:tc>
          <w:tcPr>
            <w:tcW w:w="1205" w:type="dxa"/>
          </w:tcPr>
          <w:p w14:paraId="6CC7E06B" w14:textId="09ECB6CC" w:rsidR="00683BB0" w:rsidRDefault="00CD3A70" w:rsidP="00860B6E">
            <w:pPr>
              <w:spacing w:line="240" w:lineRule="atLeast"/>
              <w:jc w:val="center"/>
            </w:pPr>
            <w:r>
              <w:t>74</w:t>
            </w:r>
          </w:p>
        </w:tc>
      </w:tr>
    </w:tbl>
    <w:p w14:paraId="5B3B98D0" w14:textId="2EB6B253" w:rsidR="00DB2703" w:rsidRDefault="002E4A85" w:rsidP="00EE5282">
      <w:pPr>
        <w:jc w:val="left"/>
        <w:rPr>
          <w:sz w:val="20"/>
        </w:rPr>
      </w:pPr>
      <w:r w:rsidRPr="008E1CD0">
        <w:rPr>
          <w:sz w:val="20"/>
          <w:vertAlign w:val="superscript"/>
        </w:rPr>
        <w:t>a</w:t>
      </w:r>
      <w:r w:rsidRPr="008E1CD0">
        <w:rPr>
          <w:sz w:val="20"/>
        </w:rPr>
        <w:t>Standa</w:t>
      </w:r>
      <w:r w:rsidR="007B4945">
        <w:rPr>
          <w:sz w:val="20"/>
        </w:rPr>
        <w:t>rd conditions: Sulfide</w:t>
      </w:r>
      <w:r w:rsidRPr="008E1CD0">
        <w:rPr>
          <w:sz w:val="20"/>
        </w:rPr>
        <w:t>, Ph</w:t>
      </w:r>
      <w:r w:rsidRPr="008E1CD0">
        <w:rPr>
          <w:sz w:val="20"/>
          <w:vertAlign w:val="subscript"/>
        </w:rPr>
        <w:t>2</w:t>
      </w:r>
      <w:r w:rsidRPr="008E1CD0">
        <w:rPr>
          <w:sz w:val="20"/>
        </w:rPr>
        <w:t>Se</w:t>
      </w:r>
      <w:r w:rsidRPr="008E1CD0">
        <w:rPr>
          <w:sz w:val="20"/>
          <w:vertAlign w:val="subscript"/>
        </w:rPr>
        <w:t>2</w:t>
      </w:r>
      <w:r w:rsidRPr="008E1CD0">
        <w:rPr>
          <w:sz w:val="20"/>
        </w:rPr>
        <w:t xml:space="preserve"> (1.0 mol%), UHP (1.0 eq), CH</w:t>
      </w:r>
      <w:r w:rsidRPr="008E1CD0">
        <w:rPr>
          <w:sz w:val="20"/>
          <w:vertAlign w:val="subscript"/>
        </w:rPr>
        <w:t>2</w:t>
      </w:r>
      <w:r w:rsidRPr="008E1CD0">
        <w:rPr>
          <w:sz w:val="20"/>
        </w:rPr>
        <w:t>Cl</w:t>
      </w:r>
      <w:r w:rsidRPr="008E1CD0">
        <w:rPr>
          <w:sz w:val="20"/>
          <w:vertAlign w:val="subscript"/>
        </w:rPr>
        <w:t>2</w:t>
      </w:r>
      <w:r w:rsidR="00DA2D23">
        <w:rPr>
          <w:sz w:val="20"/>
        </w:rPr>
        <w:t>, 24 h.</w:t>
      </w:r>
      <w:r w:rsidRPr="008E1CD0">
        <w:rPr>
          <w:sz w:val="20"/>
        </w:rPr>
        <w:t xml:space="preserve"> </w:t>
      </w:r>
    </w:p>
    <w:p w14:paraId="0EFC6603" w14:textId="0DF25A83" w:rsidR="00DB2703" w:rsidRDefault="002E4A85" w:rsidP="00EE5282">
      <w:pPr>
        <w:jc w:val="left"/>
        <w:rPr>
          <w:sz w:val="20"/>
        </w:rPr>
      </w:pPr>
      <w:r w:rsidRPr="008E1CD0">
        <w:rPr>
          <w:sz w:val="20"/>
          <w:vertAlign w:val="superscript"/>
        </w:rPr>
        <w:lastRenderedPageBreak/>
        <w:t>b</w:t>
      </w:r>
      <w:r w:rsidRPr="008E1CD0">
        <w:rPr>
          <w:sz w:val="20"/>
        </w:rPr>
        <w:t xml:space="preserve"> Conversions were evaluated by comparison of the methylene signals in the </w:t>
      </w:r>
      <w:r w:rsidRPr="008E1CD0">
        <w:rPr>
          <w:sz w:val="20"/>
          <w:vertAlign w:val="superscript"/>
        </w:rPr>
        <w:t>1</w:t>
      </w:r>
      <w:r w:rsidRPr="008E1CD0">
        <w:rPr>
          <w:sz w:val="20"/>
        </w:rPr>
        <w:t xml:space="preserve">H NMR spectra </w:t>
      </w:r>
      <w:r w:rsidRPr="008E1CD0">
        <w:rPr>
          <w:sz w:val="20"/>
        </w:rPr>
        <w:sym w:font="Symbol" w:char="F061"/>
      </w:r>
      <w:r w:rsidRPr="008E1CD0">
        <w:rPr>
          <w:sz w:val="20"/>
        </w:rPr>
        <w:t xml:space="preserve"> to sulfur in</w:t>
      </w:r>
      <w:r w:rsidR="00DA2D23">
        <w:rPr>
          <w:sz w:val="20"/>
        </w:rPr>
        <w:t xml:space="preserve"> both the sulfide and sulfoxide.</w:t>
      </w:r>
      <w:r w:rsidRPr="008E1CD0">
        <w:rPr>
          <w:sz w:val="20"/>
        </w:rPr>
        <w:t xml:space="preserve"> </w:t>
      </w:r>
    </w:p>
    <w:p w14:paraId="18214F30" w14:textId="476371A4" w:rsidR="00DB2703" w:rsidRDefault="002E4A85" w:rsidP="00EE5282">
      <w:pPr>
        <w:jc w:val="left"/>
        <w:rPr>
          <w:sz w:val="20"/>
        </w:rPr>
      </w:pPr>
      <w:r w:rsidRPr="008E1CD0">
        <w:rPr>
          <w:sz w:val="20"/>
          <w:vertAlign w:val="superscript"/>
        </w:rPr>
        <w:t>c</w:t>
      </w:r>
      <w:r w:rsidRPr="008E1CD0">
        <w:rPr>
          <w:sz w:val="20"/>
        </w:rPr>
        <w:t xml:space="preserve"> Isolated </w:t>
      </w:r>
      <w:r w:rsidR="00DA2D23">
        <w:rPr>
          <w:sz w:val="20"/>
        </w:rPr>
        <w:t>yield.</w:t>
      </w:r>
      <w:r w:rsidRPr="00F1014C">
        <w:rPr>
          <w:sz w:val="20"/>
        </w:rPr>
        <w:t xml:space="preserve"> </w:t>
      </w:r>
    </w:p>
    <w:p w14:paraId="5FDB5C41" w14:textId="4E135925" w:rsidR="00DB2703" w:rsidRDefault="002E4A85" w:rsidP="00EE5282">
      <w:pPr>
        <w:jc w:val="left"/>
        <w:rPr>
          <w:sz w:val="20"/>
        </w:rPr>
      </w:pPr>
      <w:r w:rsidRPr="00F1014C">
        <w:rPr>
          <w:sz w:val="20"/>
          <w:vertAlign w:val="superscript"/>
        </w:rPr>
        <w:t>d</w:t>
      </w:r>
      <w:r w:rsidRPr="00F1014C">
        <w:rPr>
          <w:sz w:val="20"/>
        </w:rPr>
        <w:t xml:space="preserve"> </w:t>
      </w:r>
      <w:r w:rsidR="00DA2D23">
        <w:rPr>
          <w:sz w:val="20"/>
        </w:rPr>
        <w:t>Reaction complete in 7 h.</w:t>
      </w:r>
      <w:r w:rsidR="00760BD5" w:rsidRPr="00F1014C">
        <w:rPr>
          <w:sz w:val="20"/>
        </w:rPr>
        <w:t xml:space="preserve"> </w:t>
      </w:r>
    </w:p>
    <w:p w14:paraId="2B877567" w14:textId="27F2361B" w:rsidR="00DB2703" w:rsidRDefault="002E4A85" w:rsidP="00EE5282">
      <w:pPr>
        <w:jc w:val="left"/>
        <w:rPr>
          <w:sz w:val="20"/>
        </w:rPr>
      </w:pPr>
      <w:r w:rsidRPr="00F1014C">
        <w:rPr>
          <w:sz w:val="20"/>
          <w:vertAlign w:val="superscript"/>
        </w:rPr>
        <w:t>e</w:t>
      </w:r>
      <w:r w:rsidRPr="00F1014C">
        <w:rPr>
          <w:sz w:val="20"/>
        </w:rPr>
        <w:t xml:space="preserve"> </w:t>
      </w:r>
      <w:r w:rsidR="00760BD5" w:rsidRPr="00F1014C">
        <w:rPr>
          <w:sz w:val="20"/>
        </w:rPr>
        <w:t>Reaction run using Ph</w:t>
      </w:r>
      <w:r w:rsidR="00760BD5" w:rsidRPr="00F1014C">
        <w:rPr>
          <w:sz w:val="20"/>
          <w:vertAlign w:val="subscript"/>
        </w:rPr>
        <w:t>2</w:t>
      </w:r>
      <w:r w:rsidR="00760BD5" w:rsidRPr="00F1014C">
        <w:rPr>
          <w:sz w:val="20"/>
        </w:rPr>
        <w:t>Se</w:t>
      </w:r>
      <w:r w:rsidR="00760BD5" w:rsidRPr="00F1014C">
        <w:rPr>
          <w:sz w:val="20"/>
          <w:vertAlign w:val="subscript"/>
        </w:rPr>
        <w:t>2</w:t>
      </w:r>
      <w:r w:rsidR="00DA2D23">
        <w:rPr>
          <w:sz w:val="20"/>
        </w:rPr>
        <w:t xml:space="preserve"> (0.1 mol%).</w:t>
      </w:r>
      <w:r w:rsidR="00760BD5">
        <w:rPr>
          <w:sz w:val="20"/>
        </w:rPr>
        <w:t xml:space="preserve"> </w:t>
      </w:r>
    </w:p>
    <w:p w14:paraId="1EC7307B" w14:textId="6A881207" w:rsidR="00DB2703" w:rsidRDefault="002E4A85" w:rsidP="00EE5282">
      <w:pPr>
        <w:jc w:val="left"/>
        <w:rPr>
          <w:sz w:val="20"/>
        </w:rPr>
      </w:pPr>
      <w:r w:rsidRPr="00F1014C">
        <w:rPr>
          <w:sz w:val="20"/>
          <w:vertAlign w:val="superscript"/>
        </w:rPr>
        <w:t xml:space="preserve">f </w:t>
      </w:r>
      <w:r w:rsidRPr="00F1014C">
        <w:rPr>
          <w:sz w:val="20"/>
        </w:rPr>
        <w:t>Reaction run in the absence of Ph</w:t>
      </w:r>
      <w:r w:rsidRPr="00F1014C">
        <w:rPr>
          <w:sz w:val="20"/>
          <w:vertAlign w:val="subscript"/>
        </w:rPr>
        <w:t>2</w:t>
      </w:r>
      <w:r w:rsidRPr="00F1014C">
        <w:rPr>
          <w:sz w:val="20"/>
        </w:rPr>
        <w:t>Se</w:t>
      </w:r>
      <w:r w:rsidRPr="00F1014C">
        <w:rPr>
          <w:sz w:val="20"/>
          <w:vertAlign w:val="subscript"/>
        </w:rPr>
        <w:t>2</w:t>
      </w:r>
      <w:r w:rsidR="00DA2D23">
        <w:rPr>
          <w:sz w:val="20"/>
        </w:rPr>
        <w:t>.</w:t>
      </w:r>
      <w:r w:rsidRPr="00F1014C">
        <w:rPr>
          <w:sz w:val="20"/>
        </w:rPr>
        <w:t xml:space="preserve"> </w:t>
      </w:r>
    </w:p>
    <w:p w14:paraId="26DCC35D" w14:textId="186AC1C9" w:rsidR="00B87CF5" w:rsidRDefault="002E4A85" w:rsidP="00EE5282">
      <w:pPr>
        <w:jc w:val="left"/>
      </w:pPr>
      <w:r w:rsidRPr="00F1014C">
        <w:rPr>
          <w:sz w:val="20"/>
          <w:vertAlign w:val="superscript"/>
        </w:rPr>
        <w:t xml:space="preserve">g </w:t>
      </w:r>
      <w:r w:rsidR="00B67629">
        <w:rPr>
          <w:sz w:val="20"/>
        </w:rPr>
        <w:t>R</w:t>
      </w:r>
      <w:r w:rsidRPr="00F1014C">
        <w:rPr>
          <w:sz w:val="20"/>
        </w:rPr>
        <w:t>eaction complete in 20 minutes.</w:t>
      </w:r>
      <w:r>
        <w:rPr>
          <w:sz w:val="20"/>
        </w:rPr>
        <w:t xml:space="preserve"> </w:t>
      </w:r>
    </w:p>
    <w:p w14:paraId="7E3F95FB" w14:textId="77777777" w:rsidR="00B87CF5" w:rsidRDefault="00B87CF5" w:rsidP="00434E38"/>
    <w:p w14:paraId="4D56AA86" w14:textId="3B0A3F5C" w:rsidR="00140E84" w:rsidRDefault="005848FB" w:rsidP="00434E38">
      <w:r w:rsidRPr="00455EDB">
        <w:t xml:space="preserve">The reactions were carried out </w:t>
      </w:r>
      <w:r>
        <w:t xml:space="preserve">simply by stirring </w:t>
      </w:r>
      <w:r w:rsidRPr="00455EDB">
        <w:t xml:space="preserve">in dichloromethane solution </w:t>
      </w:r>
      <w:r>
        <w:t>at room temperature for up to 24 hours</w:t>
      </w:r>
      <w:r w:rsidRPr="00455EDB">
        <w:t>.</w:t>
      </w:r>
      <w:r w:rsidR="00A853F5">
        <w:rPr>
          <w:vertAlign w:val="superscript"/>
        </w:rPr>
        <w:t>24</w:t>
      </w:r>
      <w:r w:rsidRPr="00455EDB">
        <w:t xml:space="preserve"> </w:t>
      </w:r>
      <w:r>
        <w:t xml:space="preserve">In the absence of diphenyl diselenide, conversion to sulfoxide was slow </w:t>
      </w:r>
      <w:r w:rsidRPr="00CD0195">
        <w:t>(entry 3).</w:t>
      </w:r>
      <w:r>
        <w:t xml:space="preserve"> </w:t>
      </w:r>
      <w:r w:rsidRPr="00D646E6">
        <w:t xml:space="preserve">Our standard conditions used 1% </w:t>
      </w:r>
      <w:r>
        <w:t>diphenyl diselenide, but w</w:t>
      </w:r>
      <w:r w:rsidRPr="008E1CD0">
        <w:t>e were able to reduce the loading of the diselenide to 0.1 mol% and still achieve excellent yields of the sulfoxides</w:t>
      </w:r>
      <w:r>
        <w:t xml:space="preserve"> </w:t>
      </w:r>
      <w:r w:rsidRPr="008E1CD0">
        <w:t>at room temperature</w:t>
      </w:r>
      <w:r>
        <w:t>, with reactions</w:t>
      </w:r>
      <w:r w:rsidRPr="008E1CD0">
        <w:t xml:space="preserve"> </w:t>
      </w:r>
      <w:r w:rsidRPr="00D646E6">
        <w:t>complete within 24 h</w:t>
      </w:r>
      <w:r w:rsidRPr="008E1CD0">
        <w:t xml:space="preserve"> (Entry 2). The reaction tolerates a wide range of functional groups, for example the electron-rich alkene</w:t>
      </w:r>
      <w:r>
        <w:t xml:space="preserve"> in entry 13, where no epoxide wa</w:t>
      </w:r>
      <w:r w:rsidRPr="008E1CD0">
        <w:t>s observed, and the ketone in entry 9, where Baeyer-Villiger reaction was not observed</w:t>
      </w:r>
      <w:r>
        <w:rPr>
          <w:b/>
        </w:rPr>
        <w:t>.</w:t>
      </w:r>
      <w:r w:rsidRPr="00FB5091">
        <w:t xml:space="preserve"> </w:t>
      </w:r>
      <w:r>
        <w:t>The presence of electron-</w:t>
      </w:r>
      <w:r w:rsidRPr="00FB5091">
        <w:t>rich aryl substituents (entry 8, reaction complete in 20 min) accele</w:t>
      </w:r>
      <w:r>
        <w:t xml:space="preserve">rates </w:t>
      </w:r>
      <w:r w:rsidRPr="00FB5091">
        <w:t>sulfoxidation</w:t>
      </w:r>
      <w:r>
        <w:t>, while</w:t>
      </w:r>
      <w:r w:rsidRPr="00FB5091">
        <w:t xml:space="preserve"> electron</w:t>
      </w:r>
      <w:r>
        <w:t>-</w:t>
      </w:r>
      <w:r w:rsidRPr="00FB5091">
        <w:t xml:space="preserve">poor systems deactivate the process (entries 5,6, although the reactions are complete after 24 h). </w:t>
      </w:r>
      <w:r w:rsidRPr="003A184F">
        <w:t xml:space="preserve">The reaction is extremely simple to carry out, and over-oxidation </w:t>
      </w:r>
      <w:r w:rsidRPr="00D512C8">
        <w:t>to the corresponding</w:t>
      </w:r>
      <w:r>
        <w:t xml:space="preserve"> </w:t>
      </w:r>
      <w:r w:rsidRPr="003A184F">
        <w:t>sulfone is not observed.</w:t>
      </w:r>
      <w:r>
        <w:t xml:space="preserve"> </w:t>
      </w:r>
    </w:p>
    <w:p w14:paraId="4A236D05" w14:textId="77777777" w:rsidR="002B7784" w:rsidRDefault="002B7784" w:rsidP="00434E38"/>
    <w:p w14:paraId="4C1A355A" w14:textId="5361BA2B" w:rsidR="002B7784" w:rsidRDefault="002B7784" w:rsidP="00434E38">
      <w:r w:rsidRPr="008E1CD0">
        <w:rPr>
          <w:b/>
        </w:rPr>
        <w:t>Conclusion</w:t>
      </w:r>
      <w:r>
        <w:rPr>
          <w:b/>
        </w:rPr>
        <w:t xml:space="preserve"> </w:t>
      </w:r>
    </w:p>
    <w:p w14:paraId="247DA40D" w14:textId="75FFD81A" w:rsidR="002B7784" w:rsidRDefault="002B7784" w:rsidP="00434E38">
      <w:r w:rsidRPr="008E1CD0">
        <w:t xml:space="preserve">We have developed a highly selective </w:t>
      </w:r>
      <w:r>
        <w:t>catalytic</w:t>
      </w:r>
      <w:r w:rsidRPr="008E1CD0">
        <w:t xml:space="preserve"> oxidation system free of </w:t>
      </w:r>
      <w:r>
        <w:t>heavy metals</w:t>
      </w:r>
      <w:r w:rsidRPr="008E1CD0">
        <w:t xml:space="preserve"> for the conversion of sulfides </w:t>
      </w:r>
      <w:r>
        <w:t>in</w:t>
      </w:r>
      <w:r w:rsidRPr="008E1CD0">
        <w:t xml:space="preserve">to the corresponding sulfoxides using </w:t>
      </w:r>
      <w:r>
        <w:t xml:space="preserve">urea–hydrogen peroxide (UHP) in the presence of catalytic diphenyl diselenide </w:t>
      </w:r>
      <w:r w:rsidRPr="007661F1">
        <w:t>without formation of the corresponding sulfone</w:t>
      </w:r>
      <w:r>
        <w:t>s</w:t>
      </w:r>
      <w:r w:rsidRPr="007661F1">
        <w:t>.</w:t>
      </w:r>
      <w:r w:rsidRPr="008E1CD0">
        <w:t xml:space="preserve"> This simple system requires no </w:t>
      </w:r>
      <w:r>
        <w:t>special preparation</w:t>
      </w:r>
      <w:r w:rsidRPr="008E1CD0">
        <w:t xml:space="preserve"> and can be carried out </w:t>
      </w:r>
      <w:r>
        <w:t xml:space="preserve">simply by stirring in solution at room temperature. </w:t>
      </w:r>
    </w:p>
    <w:p w14:paraId="5B972F46" w14:textId="77777777" w:rsidR="000F1001" w:rsidRDefault="000F1001" w:rsidP="00434E38"/>
    <w:p w14:paraId="4EC2217A" w14:textId="77777777" w:rsidR="004729F0" w:rsidRPr="004729F0" w:rsidRDefault="004729F0" w:rsidP="00434E38"/>
    <w:p w14:paraId="77B21672" w14:textId="77777777" w:rsidR="00434E38" w:rsidRDefault="00434E38" w:rsidP="00434E38">
      <w:pPr>
        <w:sectPr w:rsidR="00434E38" w:rsidSect="00727376">
          <w:headerReference w:type="default" r:id="rId23"/>
          <w:footerReference w:type="default" r:id="rId24"/>
          <w:type w:val="continuous"/>
          <w:pgSz w:w="11906" w:h="16838" w:code="9"/>
          <w:pgMar w:top="1418" w:right="992" w:bottom="1134" w:left="992" w:header="709" w:footer="709" w:gutter="0"/>
          <w:cols w:num="2" w:space="720"/>
          <w:docGrid w:linePitch="360"/>
        </w:sectPr>
      </w:pPr>
    </w:p>
    <w:p w14:paraId="3EB60AFD" w14:textId="77777777" w:rsidR="00434E38" w:rsidRDefault="00434E38" w:rsidP="00434E38">
      <w:pPr>
        <w:sectPr w:rsidR="00434E38" w:rsidSect="00434E38">
          <w:type w:val="continuous"/>
          <w:pgSz w:w="11906" w:h="16838" w:code="9"/>
          <w:pgMar w:top="1418" w:right="992" w:bottom="1134" w:left="992" w:header="709" w:footer="709" w:gutter="0"/>
          <w:cols w:space="720"/>
          <w:docGrid w:linePitch="360"/>
        </w:sectPr>
      </w:pPr>
    </w:p>
    <w:p w14:paraId="039E3E9F" w14:textId="77777777" w:rsidR="00434E38" w:rsidRDefault="00434E38" w:rsidP="00434E38">
      <w:pPr>
        <w:pStyle w:val="Experimental"/>
      </w:pPr>
      <w:r>
        <w:rPr>
          <w:b/>
        </w:rPr>
        <w:lastRenderedPageBreak/>
        <w:t>Supporting Information</w:t>
      </w:r>
      <w:r>
        <w:t xml:space="preserve"> for this article is available online at http://www.thieme-connect.com/products/ejournals/journal/10.1055/s-00000083.</w:t>
      </w:r>
    </w:p>
    <w:p w14:paraId="68D51E65" w14:textId="77777777" w:rsidR="00434E38" w:rsidRDefault="00434E38" w:rsidP="00434E38">
      <w:pPr>
        <w:pStyle w:val="Experimental"/>
      </w:pPr>
      <w:r>
        <w:rPr>
          <w:b/>
        </w:rPr>
        <w:t>Primary Data</w:t>
      </w:r>
      <w:r>
        <w:t xml:space="preserve"> for this article are available online at http://www.thieme-connect.com/products/ejournals/journal/10.1055/s-00000083 and can be cited using the following DOI: (number will be inserted prior to online publication).</w:t>
      </w:r>
    </w:p>
    <w:p w14:paraId="52FBF137" w14:textId="0EFC1989" w:rsidR="00434E38" w:rsidRDefault="00434E38" w:rsidP="00434E38">
      <w:pPr>
        <w:pStyle w:val="HeadAckno"/>
      </w:pPr>
      <w:r>
        <w:lastRenderedPageBreak/>
        <w:t>Acknowledgment</w:t>
      </w:r>
      <w:r w:rsidR="00F94205">
        <w:t xml:space="preserve">s </w:t>
      </w:r>
    </w:p>
    <w:p w14:paraId="2661B3BB" w14:textId="496CDC36" w:rsidR="00434E38" w:rsidRDefault="00FF1052" w:rsidP="00434E38">
      <w:pPr>
        <w:pStyle w:val="Ackno"/>
      </w:pPr>
      <w:r w:rsidRPr="008E1CD0">
        <w:t>This investigation has enjoyed the support of Eli Lilly (CASE award to C.E.), Loughborough University</w:t>
      </w:r>
      <w:r>
        <w:t>,</w:t>
      </w:r>
      <w:r w:rsidRPr="008E1CD0">
        <w:t xml:space="preserve"> the University of East Anglia</w:t>
      </w:r>
      <w:r>
        <w:t>, and</w:t>
      </w:r>
      <w:r w:rsidRPr="006B356F">
        <w:t xml:space="preserve"> the ERDF (ISCE-Chem &amp; INTERREG IVa programme 4061)</w:t>
      </w:r>
      <w:r w:rsidRPr="008E1CD0">
        <w:t>. We are indebted to The Royal Society for an Industry Fellowship (to P.C.B.P.), Research Councils UK for a RCUK Fellowship (to B.R.B.), and to the EPSRC Mass Spectrometry Unit, Swansea.</w:t>
      </w:r>
      <w:r>
        <w:t xml:space="preserve"> </w:t>
      </w:r>
    </w:p>
    <w:p w14:paraId="0D38E43A" w14:textId="786C551D" w:rsidR="00434E38" w:rsidRDefault="00434E38" w:rsidP="00434E38">
      <w:pPr>
        <w:pStyle w:val="HeadRefs"/>
      </w:pPr>
      <w:r>
        <w:t>References</w:t>
      </w:r>
      <w:r w:rsidR="00F94205">
        <w:t xml:space="preserve"> </w:t>
      </w:r>
    </w:p>
    <w:p w14:paraId="5A984FFF" w14:textId="25F5D2D0" w:rsidR="00434E38" w:rsidRDefault="00BD4695" w:rsidP="00434E38">
      <w:pPr>
        <w:pStyle w:val="Ref"/>
      </w:pPr>
      <w:r w:rsidRPr="006B28CA">
        <w:t xml:space="preserve">Cooper, M. S.; Heaney, H.; Newbold, A. J.; Sanderson, W. R. </w:t>
      </w:r>
      <w:r w:rsidRPr="006B28CA">
        <w:rPr>
          <w:i/>
        </w:rPr>
        <w:t>Synlett</w:t>
      </w:r>
      <w:r w:rsidRPr="006B28CA">
        <w:t xml:space="preserve"> </w:t>
      </w:r>
      <w:r w:rsidRPr="006B28CA">
        <w:rPr>
          <w:b/>
        </w:rPr>
        <w:t>1990</w:t>
      </w:r>
      <w:r w:rsidRPr="006B28CA">
        <w:t>, 533.</w:t>
      </w:r>
      <w:r>
        <w:t xml:space="preserve"> </w:t>
      </w:r>
    </w:p>
    <w:p w14:paraId="2041DC0E" w14:textId="776596F2" w:rsidR="00434E38" w:rsidRDefault="00BD4695" w:rsidP="00434E38">
      <w:pPr>
        <w:pStyle w:val="Ref"/>
      </w:pPr>
      <w:r w:rsidRPr="006B28CA">
        <w:lastRenderedPageBreak/>
        <w:t xml:space="preserve">Tanatar, S. </w:t>
      </w:r>
      <w:r w:rsidRPr="006B28CA">
        <w:rPr>
          <w:i/>
        </w:rPr>
        <w:t xml:space="preserve">J. Russ. Phys.-Chem. Soc. </w:t>
      </w:r>
      <w:r w:rsidRPr="006B28CA">
        <w:rPr>
          <w:b/>
        </w:rPr>
        <w:t>1906</w:t>
      </w:r>
      <w:r w:rsidRPr="006B28CA">
        <w:t xml:space="preserve">, </w:t>
      </w:r>
      <w:r w:rsidRPr="006B28CA">
        <w:rPr>
          <w:i/>
        </w:rPr>
        <w:t>40L</w:t>
      </w:r>
      <w:r w:rsidRPr="006B28CA">
        <w:t>, 376.</w:t>
      </w:r>
      <w:r>
        <w:t xml:space="preserve"> </w:t>
      </w:r>
    </w:p>
    <w:p w14:paraId="19A3C693" w14:textId="7A0C9D74" w:rsidR="00434E38" w:rsidRDefault="00330646" w:rsidP="00434E38">
      <w:pPr>
        <w:pStyle w:val="Ref"/>
      </w:pPr>
      <w:r w:rsidRPr="006B28CA">
        <w:t xml:space="preserve">Lu, C.-S.; Hughes, E. W.; Giguère, P. A. </w:t>
      </w:r>
      <w:r w:rsidRPr="006B28CA">
        <w:rPr>
          <w:i/>
        </w:rPr>
        <w:t>J. Am. Chem. Soc.</w:t>
      </w:r>
      <w:r w:rsidRPr="006B28CA">
        <w:t xml:space="preserve"> </w:t>
      </w:r>
      <w:r w:rsidRPr="006B28CA">
        <w:rPr>
          <w:b/>
        </w:rPr>
        <w:t>1941</w:t>
      </w:r>
      <w:r w:rsidRPr="006B28CA">
        <w:t xml:space="preserve">, </w:t>
      </w:r>
      <w:r w:rsidRPr="006B28CA">
        <w:rPr>
          <w:i/>
        </w:rPr>
        <w:t>63</w:t>
      </w:r>
      <w:r w:rsidRPr="006B28CA">
        <w:t>, 1507.</w:t>
      </w:r>
      <w:r>
        <w:t xml:space="preserve"> </w:t>
      </w:r>
    </w:p>
    <w:p w14:paraId="3B05C5CD" w14:textId="62A5389F" w:rsidR="00434E38" w:rsidRDefault="00330646" w:rsidP="00434E38">
      <w:pPr>
        <w:pStyle w:val="Ref"/>
      </w:pPr>
      <w:r>
        <w:t xml:space="preserve">(a) </w:t>
      </w:r>
      <w:r w:rsidRPr="006B28CA">
        <w:t>Li, J.; Jingiang, L. Chao, Q.; Xinzhi, C.</w:t>
      </w:r>
      <w:r w:rsidRPr="006B28CA">
        <w:rPr>
          <w:b/>
          <w:i/>
        </w:rPr>
        <w:t xml:space="preserve"> </w:t>
      </w:r>
      <w:r w:rsidRPr="006B28CA">
        <w:rPr>
          <w:i/>
        </w:rPr>
        <w:t>Chin. J. Org. Chem.</w:t>
      </w:r>
      <w:r w:rsidRPr="006B28CA">
        <w:t xml:space="preserve"> </w:t>
      </w:r>
      <w:r w:rsidRPr="006B28CA">
        <w:rPr>
          <w:b/>
        </w:rPr>
        <w:t>2012</w:t>
      </w:r>
      <w:r w:rsidRPr="006B28CA">
        <w:t xml:space="preserve">, </w:t>
      </w:r>
      <w:r w:rsidRPr="006B28CA">
        <w:rPr>
          <w:i/>
        </w:rPr>
        <w:t>32</w:t>
      </w:r>
      <w:r w:rsidRPr="006B28CA">
        <w:t xml:space="preserve">, 254; </w:t>
      </w:r>
      <w:r>
        <w:t xml:space="preserve">(b) </w:t>
      </w:r>
      <w:r w:rsidRPr="006B28CA">
        <w:t xml:space="preserve">Taliansky, S. </w:t>
      </w:r>
      <w:r w:rsidRPr="006B28CA">
        <w:rPr>
          <w:i/>
        </w:rPr>
        <w:t>Synlett</w:t>
      </w:r>
      <w:r w:rsidRPr="006B28CA">
        <w:t xml:space="preserve"> </w:t>
      </w:r>
      <w:r w:rsidRPr="006B28CA">
        <w:rPr>
          <w:b/>
        </w:rPr>
        <w:t>2005</w:t>
      </w:r>
      <w:r w:rsidRPr="006B28CA">
        <w:t>, 1962.</w:t>
      </w:r>
      <w:r>
        <w:t xml:space="preserve"> </w:t>
      </w:r>
    </w:p>
    <w:p w14:paraId="53FDC39A" w14:textId="02CD0C3D" w:rsidR="00330646" w:rsidRDefault="00330646" w:rsidP="00434E38">
      <w:pPr>
        <w:pStyle w:val="Ref"/>
      </w:pPr>
      <w:r>
        <w:t xml:space="preserve">(a) </w:t>
      </w:r>
      <w:r w:rsidRPr="006B28CA">
        <w:t xml:space="preserve">Liu, X.; Jensen, K. F. </w:t>
      </w:r>
      <w:r w:rsidRPr="006B28CA">
        <w:rPr>
          <w:i/>
        </w:rPr>
        <w:t>Green Chem.</w:t>
      </w:r>
      <w:r w:rsidRPr="006B28CA">
        <w:t xml:space="preserve"> </w:t>
      </w:r>
      <w:r w:rsidRPr="006B28CA">
        <w:rPr>
          <w:b/>
        </w:rPr>
        <w:t>2013</w:t>
      </w:r>
      <w:r w:rsidRPr="006B28CA">
        <w:t xml:space="preserve">, </w:t>
      </w:r>
      <w:r w:rsidRPr="006B28CA">
        <w:rPr>
          <w:i/>
        </w:rPr>
        <w:t>15</w:t>
      </w:r>
      <w:r w:rsidRPr="006B28CA">
        <w:t xml:space="preserve">, 1538; </w:t>
      </w:r>
      <w:r>
        <w:t xml:space="preserve">(b) </w:t>
      </w:r>
      <w:r w:rsidRPr="006B28CA">
        <w:t xml:space="preserve">Varma, R. S.; Naicker, K. P. </w:t>
      </w:r>
      <w:r w:rsidRPr="006B28CA">
        <w:rPr>
          <w:i/>
        </w:rPr>
        <w:t>Org. Lett.</w:t>
      </w:r>
      <w:r w:rsidRPr="006B28CA">
        <w:t xml:space="preserve"> </w:t>
      </w:r>
      <w:r w:rsidRPr="006B28CA">
        <w:rPr>
          <w:b/>
        </w:rPr>
        <w:t>1999</w:t>
      </w:r>
      <w:r w:rsidRPr="006B28CA">
        <w:t xml:space="preserve">, </w:t>
      </w:r>
      <w:r w:rsidRPr="006B28CA">
        <w:rPr>
          <w:i/>
        </w:rPr>
        <w:t>1</w:t>
      </w:r>
      <w:r w:rsidRPr="006B28CA">
        <w:t>, 189.</w:t>
      </w:r>
      <w:r>
        <w:t xml:space="preserve"> </w:t>
      </w:r>
    </w:p>
    <w:p w14:paraId="18E420DA" w14:textId="761AD020" w:rsidR="00330646" w:rsidRDefault="00CF5A4E" w:rsidP="00434E38">
      <w:pPr>
        <w:pStyle w:val="Ref"/>
      </w:pPr>
      <w:r w:rsidRPr="006B28CA">
        <w:t xml:space="preserve">Heaney, H.; Newbold, A. J. </w:t>
      </w:r>
      <w:r w:rsidRPr="006B28CA">
        <w:rPr>
          <w:i/>
        </w:rPr>
        <w:t>Tetrahedron Lett.</w:t>
      </w:r>
      <w:r w:rsidRPr="006B28CA">
        <w:t xml:space="preserve"> </w:t>
      </w:r>
      <w:r w:rsidRPr="006B28CA">
        <w:rPr>
          <w:b/>
        </w:rPr>
        <w:t>2001</w:t>
      </w:r>
      <w:r w:rsidRPr="006B28CA">
        <w:t xml:space="preserve">, </w:t>
      </w:r>
      <w:r w:rsidRPr="006B28CA">
        <w:rPr>
          <w:i/>
        </w:rPr>
        <w:t>42</w:t>
      </w:r>
      <w:r w:rsidRPr="006B28CA">
        <w:t>, 6607.</w:t>
      </w:r>
      <w:r>
        <w:t xml:space="preserve"> </w:t>
      </w:r>
    </w:p>
    <w:p w14:paraId="11F4C449" w14:textId="38C878FF" w:rsidR="00CF5A4E" w:rsidRDefault="00CF5A4E" w:rsidP="00434E38">
      <w:pPr>
        <w:pStyle w:val="Ref"/>
      </w:pPr>
      <w:r>
        <w:t xml:space="preserve">(a) </w:t>
      </w:r>
      <w:r w:rsidRPr="006B28CA">
        <w:t xml:space="preserve">Rong, D.; Phillips, V. A.; Sánchez Rubio, R.; Angeles Castro, M.; Wheelhouse, R. T. </w:t>
      </w:r>
      <w:r w:rsidRPr="006B28CA">
        <w:rPr>
          <w:i/>
        </w:rPr>
        <w:t>Tetrahedron Lett.</w:t>
      </w:r>
      <w:r w:rsidRPr="006B28CA">
        <w:t xml:space="preserve"> </w:t>
      </w:r>
      <w:r w:rsidRPr="006B28CA">
        <w:rPr>
          <w:b/>
        </w:rPr>
        <w:t>2008</w:t>
      </w:r>
      <w:r w:rsidRPr="006B28CA">
        <w:t xml:space="preserve">, </w:t>
      </w:r>
      <w:r w:rsidRPr="006B28CA">
        <w:rPr>
          <w:i/>
        </w:rPr>
        <w:t>49</w:t>
      </w:r>
      <w:r w:rsidRPr="006B28CA">
        <w:t xml:space="preserve">, 6933; </w:t>
      </w:r>
      <w:r>
        <w:t xml:space="preserve">(b) </w:t>
      </w:r>
      <w:r w:rsidRPr="006B28CA">
        <w:t xml:space="preserve">Caron, S. Do, N. M.; Sieser, J. </w:t>
      </w:r>
      <w:r w:rsidRPr="006B28CA">
        <w:rPr>
          <w:i/>
        </w:rPr>
        <w:t>Tetrahedron Lett.</w:t>
      </w:r>
      <w:r w:rsidRPr="006B28CA">
        <w:t xml:space="preserve"> </w:t>
      </w:r>
      <w:r w:rsidRPr="006B28CA">
        <w:rPr>
          <w:b/>
        </w:rPr>
        <w:t>2000</w:t>
      </w:r>
      <w:r w:rsidRPr="006B28CA">
        <w:t xml:space="preserve">, </w:t>
      </w:r>
      <w:r w:rsidRPr="006B28CA">
        <w:rPr>
          <w:i/>
        </w:rPr>
        <w:t>41</w:t>
      </w:r>
      <w:r w:rsidRPr="006B28CA">
        <w:t>, 2299.</w:t>
      </w:r>
      <w:r>
        <w:t xml:space="preserve"> </w:t>
      </w:r>
    </w:p>
    <w:p w14:paraId="76D732E5" w14:textId="039FABA8" w:rsidR="00CF5A4E" w:rsidRDefault="00CF5A4E" w:rsidP="00434E38">
      <w:pPr>
        <w:pStyle w:val="Ref"/>
      </w:pPr>
      <w:r w:rsidRPr="006B28CA">
        <w:t xml:space="preserve">Nikoorazm, M.; Ghorbani- Choghamarani, A.; Ghorbani, F.; Mahdavi, H.; Karamshahi, Z. </w:t>
      </w:r>
      <w:r w:rsidRPr="006B28CA">
        <w:rPr>
          <w:i/>
        </w:rPr>
        <w:t xml:space="preserve">J. Porous Mater. </w:t>
      </w:r>
      <w:r w:rsidRPr="006B28CA">
        <w:rPr>
          <w:b/>
        </w:rPr>
        <w:t>2015</w:t>
      </w:r>
      <w:r w:rsidRPr="006B28CA">
        <w:t xml:space="preserve">, </w:t>
      </w:r>
      <w:r w:rsidRPr="006B28CA">
        <w:rPr>
          <w:i/>
        </w:rPr>
        <w:t>22</w:t>
      </w:r>
      <w:r w:rsidRPr="006B28CA">
        <w:t>, 261.</w:t>
      </w:r>
      <w:r>
        <w:t xml:space="preserve"> </w:t>
      </w:r>
    </w:p>
    <w:p w14:paraId="6BFDD34A" w14:textId="4527A3C2" w:rsidR="00CF5A4E" w:rsidRDefault="00CF5A4E" w:rsidP="00434E38">
      <w:pPr>
        <w:pStyle w:val="Ref"/>
      </w:pPr>
      <w:r w:rsidRPr="006B28CA">
        <w:t xml:space="preserve">Ding, Y.; Gao, Q.; Li, G.; Zhang, H.; Wang, J.; Yan, L.; Suo, J. </w:t>
      </w:r>
      <w:r w:rsidRPr="006B28CA">
        <w:rPr>
          <w:i/>
        </w:rPr>
        <w:t>J. Mol. Catal. A</w:t>
      </w:r>
      <w:r w:rsidRPr="006B28CA">
        <w:t xml:space="preserve">, </w:t>
      </w:r>
      <w:r w:rsidRPr="006B28CA">
        <w:rPr>
          <w:b/>
        </w:rPr>
        <w:t>2004</w:t>
      </w:r>
      <w:r w:rsidRPr="006B28CA">
        <w:t>, 161.</w:t>
      </w:r>
      <w:r>
        <w:t xml:space="preserve"> </w:t>
      </w:r>
    </w:p>
    <w:p w14:paraId="5DB6B416" w14:textId="0A2B68D4" w:rsidR="00CF5A4E" w:rsidRDefault="00CF5A4E" w:rsidP="00434E38">
      <w:pPr>
        <w:pStyle w:val="Ref"/>
      </w:pPr>
      <w:r>
        <w:t xml:space="preserve">(a) </w:t>
      </w:r>
      <w:r w:rsidRPr="006B28CA">
        <w:t xml:space="preserve">Soldaini, G.; Cardona, F.; Goti, A. </w:t>
      </w:r>
      <w:r w:rsidRPr="006B28CA">
        <w:rPr>
          <w:i/>
        </w:rPr>
        <w:t>Org. Lett.</w:t>
      </w:r>
      <w:r w:rsidRPr="006B28CA">
        <w:t xml:space="preserve"> </w:t>
      </w:r>
      <w:r w:rsidRPr="006B28CA">
        <w:rPr>
          <w:b/>
        </w:rPr>
        <w:t>2007</w:t>
      </w:r>
      <w:r w:rsidRPr="006B28CA">
        <w:t xml:space="preserve">, </w:t>
      </w:r>
      <w:r w:rsidRPr="006B28CA">
        <w:rPr>
          <w:i/>
        </w:rPr>
        <w:t>9</w:t>
      </w:r>
      <w:r w:rsidRPr="006B28CA">
        <w:t xml:space="preserve">, 473; </w:t>
      </w:r>
      <w:r>
        <w:t xml:space="preserve">(b) </w:t>
      </w:r>
      <w:r w:rsidRPr="006B28CA">
        <w:t xml:space="preserve">Boehlow, T. R.; Spilling, C. D. </w:t>
      </w:r>
      <w:r w:rsidRPr="006B28CA">
        <w:rPr>
          <w:i/>
        </w:rPr>
        <w:t>Tetrahedron Lett.</w:t>
      </w:r>
      <w:r w:rsidRPr="006B28CA">
        <w:t xml:space="preserve"> </w:t>
      </w:r>
      <w:r w:rsidRPr="006B28CA">
        <w:rPr>
          <w:b/>
        </w:rPr>
        <w:t>1996</w:t>
      </w:r>
      <w:r w:rsidRPr="006B28CA">
        <w:t xml:space="preserve">, </w:t>
      </w:r>
      <w:r w:rsidRPr="006B28CA">
        <w:rPr>
          <w:i/>
        </w:rPr>
        <w:t>37</w:t>
      </w:r>
      <w:r w:rsidRPr="006B28CA">
        <w:t xml:space="preserve">, 2717; </w:t>
      </w:r>
      <w:r>
        <w:t xml:space="preserve">(c) </w:t>
      </w:r>
      <w:r w:rsidRPr="006B28CA">
        <w:t xml:space="preserve">Adam, W.; Mitchell, C. M. </w:t>
      </w:r>
      <w:r w:rsidRPr="006B28CA">
        <w:rPr>
          <w:i/>
        </w:rPr>
        <w:t>Angew. Chem. Int. Ed. Engl.</w:t>
      </w:r>
      <w:r w:rsidRPr="006B28CA">
        <w:t xml:space="preserve"> </w:t>
      </w:r>
      <w:r w:rsidRPr="006B28CA">
        <w:rPr>
          <w:b/>
        </w:rPr>
        <w:t>1996</w:t>
      </w:r>
      <w:r w:rsidRPr="006B28CA">
        <w:t xml:space="preserve">, </w:t>
      </w:r>
      <w:r w:rsidRPr="006B28CA">
        <w:rPr>
          <w:i/>
        </w:rPr>
        <w:t>35</w:t>
      </w:r>
      <w:r w:rsidRPr="006B28CA">
        <w:t>, 533.</w:t>
      </w:r>
      <w:r>
        <w:t xml:space="preserve"> </w:t>
      </w:r>
    </w:p>
    <w:p w14:paraId="10939E45" w14:textId="568E4E53" w:rsidR="00CF5A4E" w:rsidRDefault="00CF5A4E" w:rsidP="00434E38">
      <w:pPr>
        <w:pStyle w:val="Ref"/>
      </w:pPr>
      <w:r w:rsidRPr="006B28CA">
        <w:t xml:space="preserve">Legros, J.; Crousse, B.; Bonnet-Delpon, D.; Bégué, J.-P. </w:t>
      </w:r>
      <w:r w:rsidRPr="006B28CA">
        <w:rPr>
          <w:i/>
        </w:rPr>
        <w:t>Eur. J. Org. Chem.</w:t>
      </w:r>
      <w:r w:rsidRPr="006B28CA">
        <w:t xml:space="preserve"> </w:t>
      </w:r>
      <w:r w:rsidRPr="006B28CA">
        <w:rPr>
          <w:b/>
        </w:rPr>
        <w:t>2002</w:t>
      </w:r>
      <w:r w:rsidRPr="006B28CA">
        <w:t>, 3290.</w:t>
      </w:r>
      <w:r>
        <w:t xml:space="preserve"> </w:t>
      </w:r>
    </w:p>
    <w:p w14:paraId="1C3C762D" w14:textId="777A1B67" w:rsidR="00CF5A4E" w:rsidRDefault="00273F93" w:rsidP="00434E38">
      <w:pPr>
        <w:pStyle w:val="Ref"/>
      </w:pPr>
      <w:r w:rsidRPr="006B28CA">
        <w:t xml:space="preserve">Rios, M. Y.; Salazar, E.; Olivo, H. F. </w:t>
      </w:r>
      <w:r w:rsidRPr="006B28CA">
        <w:rPr>
          <w:i/>
        </w:rPr>
        <w:t>Green Chem.</w:t>
      </w:r>
      <w:r w:rsidRPr="006B28CA">
        <w:t xml:space="preserve"> </w:t>
      </w:r>
      <w:r w:rsidRPr="006B28CA">
        <w:rPr>
          <w:b/>
        </w:rPr>
        <w:t>2007</w:t>
      </w:r>
      <w:r w:rsidRPr="006B28CA">
        <w:t xml:space="preserve">, </w:t>
      </w:r>
      <w:r w:rsidRPr="006B28CA">
        <w:rPr>
          <w:i/>
        </w:rPr>
        <w:t>9</w:t>
      </w:r>
      <w:r w:rsidRPr="006B28CA">
        <w:t>, 459.</w:t>
      </w:r>
      <w:r>
        <w:t xml:space="preserve"> </w:t>
      </w:r>
    </w:p>
    <w:p w14:paraId="56FE0C2A" w14:textId="42F92744" w:rsidR="00273F93" w:rsidRDefault="00273F93" w:rsidP="00434E38">
      <w:pPr>
        <w:pStyle w:val="Ref"/>
      </w:pPr>
      <w:r>
        <w:t xml:space="preserve">(a) </w:t>
      </w:r>
      <w:r w:rsidRPr="006B28CA">
        <w:t xml:space="preserve">Egami, H.; Oguma, T.; Katsuki, T. </w:t>
      </w:r>
      <w:r w:rsidRPr="006B28CA">
        <w:rPr>
          <w:i/>
        </w:rPr>
        <w:t>J. Am. Chem. Soc.</w:t>
      </w:r>
      <w:r w:rsidRPr="006B28CA">
        <w:t xml:space="preserve"> </w:t>
      </w:r>
      <w:r w:rsidRPr="006B28CA">
        <w:rPr>
          <w:b/>
        </w:rPr>
        <w:t>2010</w:t>
      </w:r>
      <w:r w:rsidRPr="006B28CA">
        <w:t xml:space="preserve">, </w:t>
      </w:r>
      <w:r w:rsidRPr="006B28CA">
        <w:rPr>
          <w:i/>
        </w:rPr>
        <w:t>132</w:t>
      </w:r>
      <w:r w:rsidRPr="006B28CA">
        <w:t xml:space="preserve">, 5886; </w:t>
      </w:r>
      <w:r>
        <w:t xml:space="preserve">(b) </w:t>
      </w:r>
      <w:r w:rsidRPr="006B28CA">
        <w:t xml:space="preserve">Kureshy, R. I.; Khan, N.-ul H.; Abdi, S. H. R.; Patel, S. T.; Jasra, R. V. </w:t>
      </w:r>
      <w:r w:rsidRPr="006B28CA">
        <w:rPr>
          <w:i/>
        </w:rPr>
        <w:t xml:space="preserve">Tetrahedron: Asymm. </w:t>
      </w:r>
      <w:r w:rsidRPr="006B28CA">
        <w:rPr>
          <w:b/>
        </w:rPr>
        <w:t>2001</w:t>
      </w:r>
      <w:r w:rsidRPr="006B28CA">
        <w:t xml:space="preserve">, </w:t>
      </w:r>
      <w:r w:rsidRPr="006B28CA">
        <w:rPr>
          <w:i/>
        </w:rPr>
        <w:t>12</w:t>
      </w:r>
      <w:r w:rsidRPr="006B28CA">
        <w:t>, 433.</w:t>
      </w:r>
      <w:r>
        <w:t xml:space="preserve"> </w:t>
      </w:r>
    </w:p>
    <w:p w14:paraId="5C65A85F" w14:textId="72FC4BB1" w:rsidR="00273F93" w:rsidRDefault="00273F93" w:rsidP="00434E38">
      <w:pPr>
        <w:pStyle w:val="Ref"/>
      </w:pPr>
      <w:r>
        <w:t xml:space="preserve">(a) </w:t>
      </w:r>
      <w:r w:rsidRPr="006B28CA">
        <w:t xml:space="preserve">Tanaka, T.; Saito, B.; Kastsuki, T. </w:t>
      </w:r>
      <w:r w:rsidRPr="006B28CA">
        <w:rPr>
          <w:i/>
        </w:rPr>
        <w:t>Tetrahedron Lett.</w:t>
      </w:r>
      <w:r w:rsidRPr="006B28CA">
        <w:t xml:space="preserve"> </w:t>
      </w:r>
      <w:r w:rsidRPr="006B28CA">
        <w:rPr>
          <w:b/>
        </w:rPr>
        <w:t>2002</w:t>
      </w:r>
      <w:r w:rsidRPr="006B28CA">
        <w:t xml:space="preserve">, </w:t>
      </w:r>
      <w:r w:rsidRPr="006B28CA">
        <w:rPr>
          <w:i/>
        </w:rPr>
        <w:t>43</w:t>
      </w:r>
      <w:r w:rsidRPr="006B28CA">
        <w:t xml:space="preserve">, 3259; </w:t>
      </w:r>
      <w:r>
        <w:t xml:space="preserve">(b) </w:t>
      </w:r>
      <w:r w:rsidRPr="006B28CA">
        <w:t xml:space="preserve">Gunaratne, H. Q. N.; McKervey, M. A.; Feutren, S.; Finlay, J.; Boyd, J. </w:t>
      </w:r>
      <w:r w:rsidRPr="006B28CA">
        <w:rPr>
          <w:i/>
        </w:rPr>
        <w:t>Tetrahedron Lett.</w:t>
      </w:r>
      <w:r w:rsidRPr="006B28CA">
        <w:t xml:space="preserve"> </w:t>
      </w:r>
      <w:r w:rsidRPr="006B28CA">
        <w:rPr>
          <w:b/>
        </w:rPr>
        <w:t>1998</w:t>
      </w:r>
      <w:r w:rsidRPr="006B28CA">
        <w:t xml:space="preserve">, </w:t>
      </w:r>
      <w:r w:rsidRPr="006B28CA">
        <w:rPr>
          <w:i/>
        </w:rPr>
        <w:t>39</w:t>
      </w:r>
      <w:r w:rsidRPr="006B28CA">
        <w:t>, 5665.</w:t>
      </w:r>
      <w:r>
        <w:t xml:space="preserve"> </w:t>
      </w:r>
    </w:p>
    <w:p w14:paraId="05F06917" w14:textId="0BE5D1BA" w:rsidR="00273F93" w:rsidRDefault="00273F93" w:rsidP="00434E38">
      <w:pPr>
        <w:pStyle w:val="Ref"/>
      </w:pPr>
      <w:r w:rsidRPr="006B28CA">
        <w:t xml:space="preserve">Santoro, S.; Santi, C.; Sabatini, M.; Testaferri, L.; Tiecco, M. </w:t>
      </w:r>
      <w:r w:rsidRPr="006B28CA">
        <w:rPr>
          <w:i/>
        </w:rPr>
        <w:t>Adv. Synth. Catal.</w:t>
      </w:r>
      <w:r w:rsidRPr="006B28CA">
        <w:t xml:space="preserve"> </w:t>
      </w:r>
      <w:r w:rsidRPr="006B28CA">
        <w:rPr>
          <w:b/>
        </w:rPr>
        <w:t>2008</w:t>
      </w:r>
      <w:r w:rsidRPr="006B28CA">
        <w:t xml:space="preserve">, </w:t>
      </w:r>
      <w:r w:rsidRPr="006B28CA">
        <w:rPr>
          <w:i/>
        </w:rPr>
        <w:t>350</w:t>
      </w:r>
      <w:r w:rsidRPr="006B28CA">
        <w:t>, 2881</w:t>
      </w:r>
      <w:r>
        <w:t xml:space="preserve">. </w:t>
      </w:r>
    </w:p>
    <w:p w14:paraId="42E5FB48" w14:textId="019DFD8B" w:rsidR="00273F93" w:rsidRDefault="00273F93" w:rsidP="00434E38">
      <w:pPr>
        <w:pStyle w:val="Ref"/>
      </w:pPr>
      <w:r w:rsidRPr="006B28CA">
        <w:t xml:space="preserve">Syper, L. </w:t>
      </w:r>
      <w:r w:rsidRPr="006B28CA">
        <w:rPr>
          <w:i/>
        </w:rPr>
        <w:t>Synthesis</w:t>
      </w:r>
      <w:r w:rsidRPr="006B28CA">
        <w:t xml:space="preserve"> </w:t>
      </w:r>
      <w:r w:rsidRPr="006B28CA">
        <w:rPr>
          <w:b/>
        </w:rPr>
        <w:t>1989</w:t>
      </w:r>
      <w:r w:rsidRPr="006B28CA">
        <w:t>, 167</w:t>
      </w:r>
      <w:r>
        <w:t xml:space="preserve">. </w:t>
      </w:r>
    </w:p>
    <w:p w14:paraId="258BDCAF" w14:textId="227A30FC" w:rsidR="00273F93" w:rsidRDefault="00273F93" w:rsidP="00434E38">
      <w:pPr>
        <w:pStyle w:val="Ref"/>
      </w:pPr>
      <w:r>
        <w:t xml:space="preserve">(a) </w:t>
      </w:r>
      <w:r w:rsidRPr="006B28CA">
        <w:t xml:space="preserve">Mlochowski, J.; Brzaszcz, M.; Chojnacka, M.; Giurg, M.; Wojtowicz, H. </w:t>
      </w:r>
      <w:r w:rsidRPr="006B28CA">
        <w:rPr>
          <w:i/>
        </w:rPr>
        <w:t>Arkivoc</w:t>
      </w:r>
      <w:r w:rsidRPr="006B28CA">
        <w:t xml:space="preserve"> </w:t>
      </w:r>
      <w:r w:rsidRPr="006B28CA">
        <w:rPr>
          <w:b/>
        </w:rPr>
        <w:t>2004</w:t>
      </w:r>
      <w:r w:rsidRPr="006B28CA">
        <w:t>, 226;</w:t>
      </w:r>
      <w:r>
        <w:t xml:space="preserve"> (b) </w:t>
      </w:r>
      <w:r w:rsidRPr="006B28CA">
        <w:t xml:space="preserve">Mlochowski, J.; Giurg, M.; Kubicz, E.; Said, S. B. </w:t>
      </w:r>
      <w:r w:rsidRPr="006B28CA">
        <w:rPr>
          <w:i/>
        </w:rPr>
        <w:t>Synth. Commun.</w:t>
      </w:r>
      <w:r w:rsidRPr="006B28CA">
        <w:t xml:space="preserve"> </w:t>
      </w:r>
      <w:r w:rsidRPr="006B28CA">
        <w:rPr>
          <w:b/>
        </w:rPr>
        <w:t>1996</w:t>
      </w:r>
      <w:r w:rsidRPr="006B28CA">
        <w:t xml:space="preserve">, </w:t>
      </w:r>
      <w:r w:rsidRPr="006B28CA">
        <w:rPr>
          <w:i/>
        </w:rPr>
        <w:t>26</w:t>
      </w:r>
      <w:r>
        <w:t>, 291;</w:t>
      </w:r>
      <w:r w:rsidRPr="00201466">
        <w:t xml:space="preserve"> </w:t>
      </w:r>
      <w:r>
        <w:t xml:space="preserve">(c) Syper, L. </w:t>
      </w:r>
      <w:r>
        <w:rPr>
          <w:i/>
        </w:rPr>
        <w:t>Tetrahedron</w:t>
      </w:r>
      <w:r>
        <w:t xml:space="preserve"> </w:t>
      </w:r>
      <w:r>
        <w:rPr>
          <w:b/>
        </w:rPr>
        <w:t>1987</w:t>
      </w:r>
      <w:r>
        <w:t xml:space="preserve">, </w:t>
      </w:r>
      <w:r>
        <w:rPr>
          <w:i/>
        </w:rPr>
        <w:t>43</w:t>
      </w:r>
      <w:r>
        <w:t xml:space="preserve">, 2853. </w:t>
      </w:r>
    </w:p>
    <w:p w14:paraId="7259AE28" w14:textId="08D572E2" w:rsidR="00273F93" w:rsidRDefault="00273F93" w:rsidP="00434E38">
      <w:pPr>
        <w:pStyle w:val="Ref"/>
      </w:pPr>
      <w:r w:rsidRPr="006B28CA">
        <w:t xml:space="preserve">Hori, T.; Sharpless, K. B. </w:t>
      </w:r>
      <w:r w:rsidRPr="006B28CA">
        <w:rPr>
          <w:i/>
        </w:rPr>
        <w:t>J. Org. Chem.</w:t>
      </w:r>
      <w:r w:rsidRPr="006B28CA">
        <w:t xml:space="preserve"> </w:t>
      </w:r>
      <w:r w:rsidRPr="006B28CA">
        <w:rPr>
          <w:b/>
        </w:rPr>
        <w:t>1978</w:t>
      </w:r>
      <w:r w:rsidRPr="006B28CA">
        <w:t xml:space="preserve">, </w:t>
      </w:r>
      <w:r w:rsidRPr="006B28CA">
        <w:rPr>
          <w:i/>
        </w:rPr>
        <w:t>43</w:t>
      </w:r>
      <w:r w:rsidRPr="006B28CA">
        <w:t>, 1689.</w:t>
      </w:r>
      <w:r>
        <w:t xml:space="preserve"> </w:t>
      </w:r>
    </w:p>
    <w:p w14:paraId="2C566109" w14:textId="2B9CAE4E" w:rsidR="00273F93" w:rsidRDefault="00085D74" w:rsidP="00434E38">
      <w:pPr>
        <w:pStyle w:val="Ref"/>
      </w:pPr>
      <w:r w:rsidRPr="006B28CA">
        <w:t xml:space="preserve">Barton, D. H. R.; Godfrey, C. R. A.; Morzycki, J. W.; Motherwell, W. B.; Ley, S. V. </w:t>
      </w:r>
      <w:r w:rsidRPr="006B28CA">
        <w:rPr>
          <w:i/>
        </w:rPr>
        <w:t>J. Chem. Soc., Perkin Trans. 1</w:t>
      </w:r>
      <w:r w:rsidRPr="006B28CA">
        <w:t xml:space="preserve"> </w:t>
      </w:r>
      <w:r w:rsidRPr="006B28CA">
        <w:rPr>
          <w:b/>
        </w:rPr>
        <w:t>1982</w:t>
      </w:r>
      <w:r w:rsidRPr="006B28CA">
        <w:t>, 1947.</w:t>
      </w:r>
      <w:r>
        <w:t xml:space="preserve"> </w:t>
      </w:r>
    </w:p>
    <w:p w14:paraId="10C689AF" w14:textId="44B6030C" w:rsidR="00085D74" w:rsidRDefault="00085D74" w:rsidP="00434E38">
      <w:pPr>
        <w:pStyle w:val="Ref"/>
      </w:pPr>
      <w:r w:rsidRPr="00774B81">
        <w:t>Brodsky</w:t>
      </w:r>
      <w:r>
        <w:t>, B. H.;</w:t>
      </w:r>
      <w:r w:rsidRPr="00774B81">
        <w:t xml:space="preserve"> Du Bois, J. </w:t>
      </w:r>
      <w:r w:rsidRPr="009304AB">
        <w:rPr>
          <w:i/>
        </w:rPr>
        <w:t>J. Am</w:t>
      </w:r>
      <w:r>
        <w:rPr>
          <w:i/>
        </w:rPr>
        <w:t>er</w:t>
      </w:r>
      <w:r w:rsidRPr="009304AB">
        <w:rPr>
          <w:i/>
        </w:rPr>
        <w:t>. Chem. Soc.</w:t>
      </w:r>
      <w:r w:rsidRPr="00774B81">
        <w:t xml:space="preserve"> </w:t>
      </w:r>
      <w:r w:rsidRPr="009304AB">
        <w:rPr>
          <w:b/>
        </w:rPr>
        <w:t>2005</w:t>
      </w:r>
      <w:r w:rsidRPr="00774B81">
        <w:t xml:space="preserve">, </w:t>
      </w:r>
      <w:r w:rsidRPr="009304AB">
        <w:rPr>
          <w:i/>
        </w:rPr>
        <w:t>127</w:t>
      </w:r>
      <w:r w:rsidRPr="00774B81">
        <w:t>, 15391 and references therein</w:t>
      </w:r>
      <w:r>
        <w:t xml:space="preserve">. </w:t>
      </w:r>
    </w:p>
    <w:p w14:paraId="7B9AD5DC" w14:textId="5AE79710" w:rsidR="00085D74" w:rsidRDefault="00085D74" w:rsidP="00434E38">
      <w:pPr>
        <w:pStyle w:val="Ref"/>
      </w:pPr>
      <w:r>
        <w:t xml:space="preserve">(a) Jeon, H. B.; Kim, K. T.; Kim, S. H. </w:t>
      </w:r>
      <w:r>
        <w:rPr>
          <w:i/>
        </w:rPr>
        <w:t>Tetrahedron Lett.</w:t>
      </w:r>
      <w:r>
        <w:t xml:space="preserve"> </w:t>
      </w:r>
      <w:r>
        <w:rPr>
          <w:b/>
        </w:rPr>
        <w:t>2014</w:t>
      </w:r>
      <w:r>
        <w:t xml:space="preserve">, </w:t>
      </w:r>
      <w:r>
        <w:rPr>
          <w:i/>
        </w:rPr>
        <w:t>55</w:t>
      </w:r>
      <w:r>
        <w:t xml:space="preserve">, 3905; (b) Prakash, G. K. S.; Shakhmin, A.; Glinton, K. E.; Rao, S.; Mathew, T.; Olah, G. A. </w:t>
      </w:r>
      <w:r>
        <w:rPr>
          <w:i/>
        </w:rPr>
        <w:t xml:space="preserve">Green Chem. </w:t>
      </w:r>
      <w:r>
        <w:rPr>
          <w:b/>
        </w:rPr>
        <w:t>2014</w:t>
      </w:r>
      <w:r>
        <w:t xml:space="preserve">, </w:t>
      </w:r>
      <w:r>
        <w:rPr>
          <w:i/>
        </w:rPr>
        <w:t>16</w:t>
      </w:r>
      <w:r>
        <w:t xml:space="preserve">, 3616. </w:t>
      </w:r>
    </w:p>
    <w:p w14:paraId="06007726" w14:textId="422BD796" w:rsidR="00085D74" w:rsidRDefault="00085D74" w:rsidP="00434E38">
      <w:pPr>
        <w:pStyle w:val="Ref"/>
      </w:pPr>
      <w:r>
        <w:t xml:space="preserve">(a) Rayati, S.; Nejabat, F.; Zakavi, S. </w:t>
      </w:r>
      <w:r>
        <w:rPr>
          <w:i/>
        </w:rPr>
        <w:t>Inorg. Chem. Commun.</w:t>
      </w:r>
      <w:r>
        <w:t xml:space="preserve"> </w:t>
      </w:r>
      <w:r>
        <w:rPr>
          <w:b/>
        </w:rPr>
        <w:t>2014</w:t>
      </w:r>
      <w:r>
        <w:t xml:space="preserve">, </w:t>
      </w:r>
      <w:r>
        <w:rPr>
          <w:i/>
        </w:rPr>
        <w:t>40</w:t>
      </w:r>
      <w:r>
        <w:t xml:space="preserve">, 82; (b) Bagherzadeh, M.; Zare, M. </w:t>
      </w:r>
      <w:r w:rsidR="00513435">
        <w:rPr>
          <w:i/>
        </w:rPr>
        <w:t>J. Sulfur Chem.</w:t>
      </w:r>
      <w:r>
        <w:t xml:space="preserve"> </w:t>
      </w:r>
      <w:r>
        <w:rPr>
          <w:b/>
        </w:rPr>
        <w:t>2011</w:t>
      </w:r>
      <w:r>
        <w:t xml:space="preserve">, </w:t>
      </w:r>
      <w:r>
        <w:rPr>
          <w:i/>
        </w:rPr>
        <w:t>32</w:t>
      </w:r>
      <w:r>
        <w:t xml:space="preserve">, 335; (c) Sheikhshoaie, I.; Rezaeifard, A.; Monadi, N.; Kaafi, S. </w:t>
      </w:r>
      <w:r>
        <w:rPr>
          <w:i/>
        </w:rPr>
        <w:t>Polyhedron</w:t>
      </w:r>
      <w:r>
        <w:t xml:space="preserve"> </w:t>
      </w:r>
      <w:r>
        <w:rPr>
          <w:b/>
        </w:rPr>
        <w:t>2009</w:t>
      </w:r>
      <w:r>
        <w:t xml:space="preserve">, </w:t>
      </w:r>
      <w:r>
        <w:rPr>
          <w:i/>
        </w:rPr>
        <w:t>28</w:t>
      </w:r>
      <w:r>
        <w:t xml:space="preserve">, 733; (d) Bagherdazed, M.; Tahsini, L.; Latifi, R.; Ellern, A.; Woo, L. K. </w:t>
      </w:r>
      <w:r>
        <w:rPr>
          <w:i/>
        </w:rPr>
        <w:t>Inorg. Chim. Acta</w:t>
      </w:r>
      <w:r>
        <w:t xml:space="preserve"> </w:t>
      </w:r>
      <w:r>
        <w:rPr>
          <w:b/>
        </w:rPr>
        <w:t>2008</w:t>
      </w:r>
      <w:r>
        <w:t xml:space="preserve">, </w:t>
      </w:r>
      <w:r>
        <w:rPr>
          <w:i/>
        </w:rPr>
        <w:t>361</w:t>
      </w:r>
      <w:r>
        <w:t xml:space="preserve">, 2019; (e) Bagherzadeh, M.; Latifi, R.; Tahsini, L.; Amini, M. </w:t>
      </w:r>
      <w:r>
        <w:rPr>
          <w:i/>
        </w:rPr>
        <w:t>Catal. Commun.</w:t>
      </w:r>
      <w:r>
        <w:t xml:space="preserve"> </w:t>
      </w:r>
      <w:r>
        <w:rPr>
          <w:b/>
        </w:rPr>
        <w:t>2008</w:t>
      </w:r>
      <w:r>
        <w:t xml:space="preserve">, </w:t>
      </w:r>
      <w:r>
        <w:rPr>
          <w:i/>
        </w:rPr>
        <w:t>10</w:t>
      </w:r>
      <w:r>
        <w:t xml:space="preserve">, 196; (f) Reddy, T. I.; Varma, R. S. </w:t>
      </w:r>
      <w:r>
        <w:rPr>
          <w:i/>
        </w:rPr>
        <w:t xml:space="preserve">Chem. Commun. </w:t>
      </w:r>
      <w:r w:rsidRPr="00C91DAA">
        <w:rPr>
          <w:b/>
        </w:rPr>
        <w:t>1997</w:t>
      </w:r>
      <w:r w:rsidRPr="00C91DAA">
        <w:t>, 471.</w:t>
      </w:r>
      <w:r>
        <w:t xml:space="preserve"> </w:t>
      </w:r>
    </w:p>
    <w:p w14:paraId="46A3B28E" w14:textId="26FA6C69" w:rsidR="00085D74" w:rsidRDefault="00085D74" w:rsidP="00434E38">
      <w:pPr>
        <w:pStyle w:val="Ref"/>
      </w:pPr>
      <w:r>
        <w:t xml:space="preserve">(a) </w:t>
      </w:r>
      <w:r w:rsidRPr="006B28CA">
        <w:t xml:space="preserve">Nascimento, V.; Alberto, E. E.; Tondo, D. W.; Dambrowski, D. Detty, M. R.; Nome, F.; Braga, A. L. </w:t>
      </w:r>
      <w:r w:rsidRPr="006B28CA">
        <w:rPr>
          <w:i/>
        </w:rPr>
        <w:t>J. Am. Chem. Soc.</w:t>
      </w:r>
      <w:r w:rsidRPr="006B28CA">
        <w:t xml:space="preserve"> </w:t>
      </w:r>
      <w:r w:rsidRPr="006B28CA">
        <w:rPr>
          <w:b/>
        </w:rPr>
        <w:t>2012</w:t>
      </w:r>
      <w:r w:rsidRPr="006B28CA">
        <w:t xml:space="preserve">, </w:t>
      </w:r>
      <w:r w:rsidRPr="006B28CA">
        <w:rPr>
          <w:i/>
        </w:rPr>
        <w:t>138</w:t>
      </w:r>
      <w:r w:rsidRPr="006B28CA">
        <w:t xml:space="preserve">, 138; </w:t>
      </w:r>
      <w:r>
        <w:t xml:space="preserve">(b) </w:t>
      </w:r>
      <w:r w:rsidRPr="006B28CA">
        <w:t xml:space="preserve">Singh, V. P.; Singh, H. B.; Butcher, R. J. </w:t>
      </w:r>
      <w:r w:rsidRPr="006B28CA">
        <w:rPr>
          <w:i/>
        </w:rPr>
        <w:t>Eur. J. Inorg. Chem.</w:t>
      </w:r>
      <w:r w:rsidRPr="006B28CA">
        <w:t xml:space="preserve"> </w:t>
      </w:r>
      <w:r w:rsidRPr="006B28CA">
        <w:rPr>
          <w:b/>
        </w:rPr>
        <w:t>2010</w:t>
      </w:r>
      <w:r w:rsidRPr="006B28CA">
        <w:t xml:space="preserve">, 637; </w:t>
      </w:r>
      <w:r>
        <w:t xml:space="preserve">(c) </w:t>
      </w:r>
      <w:r w:rsidRPr="006B28CA">
        <w:t xml:space="preserve">Syper, L.; Mlochowski, J. </w:t>
      </w:r>
      <w:r w:rsidRPr="006B28CA">
        <w:rPr>
          <w:i/>
        </w:rPr>
        <w:t>Tetrahedron</w:t>
      </w:r>
      <w:r w:rsidRPr="006B28CA">
        <w:t xml:space="preserve"> </w:t>
      </w:r>
      <w:r w:rsidRPr="006B28CA">
        <w:rPr>
          <w:b/>
        </w:rPr>
        <w:t>1987</w:t>
      </w:r>
      <w:r w:rsidRPr="006B28CA">
        <w:t xml:space="preserve">, </w:t>
      </w:r>
      <w:r w:rsidRPr="006B28CA">
        <w:rPr>
          <w:i/>
        </w:rPr>
        <w:t>43</w:t>
      </w:r>
      <w:r w:rsidRPr="006B28CA">
        <w:t>, 207.</w:t>
      </w:r>
      <w:r>
        <w:t xml:space="preserve"> </w:t>
      </w:r>
    </w:p>
    <w:p w14:paraId="49370A13" w14:textId="1C3E2414" w:rsidR="00330646" w:rsidRDefault="00A853F5" w:rsidP="00330646">
      <w:pPr>
        <w:pStyle w:val="Ref"/>
        <w:numPr>
          <w:ilvl w:val="0"/>
          <w:numId w:val="0"/>
        </w:numPr>
        <w:ind w:left="510" w:hanging="510"/>
      </w:pPr>
      <w:r>
        <w:t>(24)</w:t>
      </w:r>
      <w:r>
        <w:tab/>
      </w:r>
      <w:r w:rsidRPr="00A853F5">
        <w:t xml:space="preserve">General Procedure for the oxidation of sulfides using urea–hydrogen peroxide and diphenyl diselenide: </w:t>
      </w:r>
      <w:r>
        <w:t>Urea–</w:t>
      </w:r>
      <w:r w:rsidRPr="008E1CD0">
        <w:lastRenderedPageBreak/>
        <w:t>hydrogen peroxide (</w:t>
      </w:r>
      <w:r w:rsidRPr="00CC16E1">
        <w:t>2 mmol</w:t>
      </w:r>
      <w:r w:rsidRPr="008E1CD0">
        <w:t>) was dissolved in dichloromethane (2 mL), and the solution stirred at room temperature. A solution of diphenyl diselenide (1 mol%) and sulfide (2 mmol) in dichlorometha</w:t>
      </w:r>
      <w:r>
        <w:t>ne (2 mL) was added to the urea–</w:t>
      </w:r>
      <w:r w:rsidRPr="008E1CD0">
        <w:t xml:space="preserve">hydrogen peroxide solution. The mixture was stirred at room temperature </w:t>
      </w:r>
      <w:r>
        <w:t xml:space="preserve">for 24 hours or </w:t>
      </w:r>
      <w:r w:rsidRPr="008E1CD0">
        <w:t>until complete conversion to sulfoxide was observed by TLC. Extraction was carried out with dichloromethane (3 x 5 mL), after the addition of water (5 mL), and the combined organic solutions were washed with brine (50 mL), dried (MgSO</w:t>
      </w:r>
      <w:r w:rsidRPr="008E1CD0">
        <w:rPr>
          <w:vertAlign w:val="subscript"/>
        </w:rPr>
        <w:t>4</w:t>
      </w:r>
      <w:r w:rsidRPr="008E1CD0">
        <w:t xml:space="preserve">), filtered, and the solvents removed under reduced pressure. </w:t>
      </w:r>
      <w:r>
        <w:t xml:space="preserve">Sulfoxide products were purified where necessary by column chromatography. </w:t>
      </w:r>
      <w:bookmarkStart w:id="1" w:name="_Toc208118026"/>
      <w:r w:rsidR="00683497" w:rsidRPr="008E1CD0">
        <w:rPr>
          <w:bCs/>
        </w:rPr>
        <w:t>Sulfoxide from</w:t>
      </w:r>
      <w:r w:rsidR="00683497">
        <w:t xml:space="preserve"> t</w:t>
      </w:r>
      <w:r w:rsidR="00683497" w:rsidRPr="008E1CD0">
        <w:t>hiochroman-4-one</w:t>
      </w:r>
      <w:bookmarkEnd w:id="1"/>
      <w:r w:rsidR="00683497">
        <w:t xml:space="preserve">: </w:t>
      </w:r>
      <w:r w:rsidR="00683497" w:rsidRPr="008E1CD0">
        <w:t xml:space="preserve">Yellow oil; </w:t>
      </w:r>
      <w:r w:rsidR="00683497" w:rsidRPr="008E1CD0">
        <w:sym w:font="Symbol" w:char="F06E"/>
      </w:r>
      <w:r w:rsidR="00683497" w:rsidRPr="008E1CD0">
        <w:rPr>
          <w:vertAlign w:val="subscript"/>
        </w:rPr>
        <w:t xml:space="preserve">max </w:t>
      </w:r>
      <w:r w:rsidR="00683497" w:rsidRPr="008E1CD0">
        <w:t>(cm</w:t>
      </w:r>
      <w:r w:rsidR="00683497" w:rsidRPr="008E1CD0">
        <w:rPr>
          <w:vertAlign w:val="superscript"/>
        </w:rPr>
        <w:t>-1</w:t>
      </w:r>
      <w:r w:rsidR="00683497" w:rsidRPr="008E1CD0">
        <w:t xml:space="preserve">) 1694, 1585, 1325, 1282, 1237, 1182, 1120, 1080, 1039, 854; </w:t>
      </w:r>
      <w:r w:rsidR="00683497" w:rsidRPr="008E1CD0">
        <w:rPr>
          <w:vertAlign w:val="superscript"/>
        </w:rPr>
        <w:t>1</w:t>
      </w:r>
      <w:r w:rsidR="00683497" w:rsidRPr="008E1CD0">
        <w:t>H NMR (400 MHz, CDCl</w:t>
      </w:r>
      <w:r w:rsidR="00683497" w:rsidRPr="008E1CD0">
        <w:rPr>
          <w:vertAlign w:val="subscript"/>
        </w:rPr>
        <w:t>3</w:t>
      </w:r>
      <w:r w:rsidR="00683497">
        <w:t xml:space="preserve">): </w:t>
      </w:r>
      <w:r w:rsidR="00683497" w:rsidRPr="008E1CD0">
        <w:sym w:font="Symbol" w:char="F064"/>
      </w:r>
      <w:r w:rsidR="00683497" w:rsidRPr="008E1CD0">
        <w:rPr>
          <w:vertAlign w:val="subscript"/>
        </w:rPr>
        <w:t>H</w:t>
      </w:r>
      <w:r w:rsidR="00683497" w:rsidRPr="008E1CD0">
        <w:t xml:space="preserve"> 2.86-2.97 (1 H, m), 3.43-3.56 (3 H, m), 7.65-7.68 (1 H, m), 7.75-7.79 (1 H, m), 7.87 (1 H, dd, </w:t>
      </w:r>
      <w:r w:rsidR="00683497" w:rsidRPr="008E1CD0">
        <w:rPr>
          <w:i/>
          <w:iCs/>
        </w:rPr>
        <w:t>J</w:t>
      </w:r>
      <w:r w:rsidR="00683497" w:rsidRPr="008E1CD0">
        <w:t xml:space="preserve"> 8.1, 7.6 Hz), 8.14 (1 H, dd, </w:t>
      </w:r>
      <w:r w:rsidR="00683497" w:rsidRPr="008E1CD0">
        <w:rPr>
          <w:i/>
          <w:iCs/>
        </w:rPr>
        <w:t>J</w:t>
      </w:r>
      <w:r w:rsidR="00683497" w:rsidRPr="008E1CD0">
        <w:t xml:space="preserve"> 8.0, 7.6 Hz) ppm; </w:t>
      </w:r>
      <w:r w:rsidR="00683497" w:rsidRPr="008E1CD0">
        <w:rPr>
          <w:vertAlign w:val="superscript"/>
        </w:rPr>
        <w:t>13</w:t>
      </w:r>
      <w:r w:rsidR="00683497" w:rsidRPr="008E1CD0">
        <w:t>C NMR (100 MHz, CDCl</w:t>
      </w:r>
      <w:r w:rsidR="00683497" w:rsidRPr="008E1CD0">
        <w:rPr>
          <w:vertAlign w:val="subscript"/>
        </w:rPr>
        <w:t>3</w:t>
      </w:r>
      <w:r w:rsidR="00683497" w:rsidRPr="008E1CD0">
        <w:t xml:space="preserve">):  </w:t>
      </w:r>
      <w:r w:rsidR="00683497" w:rsidRPr="008E1CD0">
        <w:sym w:font="Symbol" w:char="F064"/>
      </w:r>
      <w:r w:rsidR="00683497" w:rsidRPr="008E1CD0">
        <w:rPr>
          <w:vertAlign w:val="subscript"/>
        </w:rPr>
        <w:t>C</w:t>
      </w:r>
      <w:r w:rsidR="00683497" w:rsidRPr="008E1CD0">
        <w:t xml:space="preserve"> 30.3, 46.6, 128.5, 128.9, 132.1, 134.6,</w:t>
      </w:r>
      <w:r w:rsidR="00683497" w:rsidRPr="008E1CD0">
        <w:rPr>
          <w:color w:val="FF0000"/>
        </w:rPr>
        <w:t xml:space="preserve"> </w:t>
      </w:r>
      <w:r w:rsidR="00683497" w:rsidRPr="008E1CD0">
        <w:t>145.5, 192.1.</w:t>
      </w:r>
      <w:r w:rsidR="00683497">
        <w:t xml:space="preserve"> </w:t>
      </w:r>
      <w:bookmarkStart w:id="2" w:name="_Toc208118024"/>
      <w:r w:rsidR="00683497" w:rsidRPr="008E1CD0">
        <w:rPr>
          <w:bCs/>
        </w:rPr>
        <w:t>Sulfoxide from</w:t>
      </w:r>
      <w:r w:rsidR="00683497" w:rsidRPr="008E1CD0">
        <w:t xml:space="preserve"> 4-fluorothioanisole</w:t>
      </w:r>
      <w:bookmarkEnd w:id="2"/>
      <w:r w:rsidR="00683497">
        <w:t xml:space="preserve">: </w:t>
      </w:r>
      <w:r w:rsidR="00683497" w:rsidRPr="008E1CD0">
        <w:t xml:space="preserve">Yellow oil; </w:t>
      </w:r>
      <w:r w:rsidR="00683497" w:rsidRPr="008E1CD0">
        <w:sym w:font="Symbol" w:char="F06E"/>
      </w:r>
      <w:r w:rsidR="00683497" w:rsidRPr="008E1CD0">
        <w:rPr>
          <w:vertAlign w:val="subscript"/>
        </w:rPr>
        <w:t xml:space="preserve">max </w:t>
      </w:r>
      <w:r w:rsidR="00683497" w:rsidRPr="008E1CD0">
        <w:t>(cm</w:t>
      </w:r>
      <w:r w:rsidR="00683497" w:rsidRPr="008E1CD0">
        <w:rPr>
          <w:vertAlign w:val="superscript"/>
        </w:rPr>
        <w:t>-1</w:t>
      </w:r>
      <w:r w:rsidR="00683497" w:rsidRPr="008E1CD0">
        <w:t xml:space="preserve">) 3096, 3062, 2996, 1655, 1641, 1046 (S=O), 958, 834 (C-F); </w:t>
      </w:r>
      <w:r w:rsidR="00683497" w:rsidRPr="008E1CD0">
        <w:rPr>
          <w:vertAlign w:val="superscript"/>
        </w:rPr>
        <w:t>1</w:t>
      </w:r>
      <w:r w:rsidR="00683497" w:rsidRPr="008E1CD0">
        <w:t>H NMR (400 MHz, CDCl</w:t>
      </w:r>
      <w:r w:rsidR="00683497" w:rsidRPr="008E1CD0">
        <w:rPr>
          <w:vertAlign w:val="subscript"/>
        </w:rPr>
        <w:t>3</w:t>
      </w:r>
      <w:r w:rsidR="00683497" w:rsidRPr="008E1CD0">
        <w:t xml:space="preserve">): </w:t>
      </w:r>
      <w:r w:rsidR="00683497" w:rsidRPr="008E1CD0">
        <w:sym w:font="Symbol" w:char="F064"/>
      </w:r>
      <w:r w:rsidR="00683497" w:rsidRPr="008E1CD0">
        <w:rPr>
          <w:vertAlign w:val="subscript"/>
        </w:rPr>
        <w:t>H</w:t>
      </w:r>
      <w:r w:rsidR="00683497" w:rsidRPr="008E1CD0">
        <w:t xml:space="preserve"> 2.73 (3 H, s), 7.21-7.26 (2 H, m), 7.66-7.69 (2 H, m) ppm; </w:t>
      </w:r>
      <w:r w:rsidR="00683497" w:rsidRPr="008E1CD0">
        <w:rPr>
          <w:vertAlign w:val="superscript"/>
        </w:rPr>
        <w:t>13</w:t>
      </w:r>
      <w:r w:rsidR="00683497" w:rsidRPr="008E1CD0">
        <w:t>C NMR (100 MHz, CDCl</w:t>
      </w:r>
      <w:r w:rsidR="00683497" w:rsidRPr="008E1CD0">
        <w:rPr>
          <w:vertAlign w:val="subscript"/>
        </w:rPr>
        <w:t>3</w:t>
      </w:r>
      <w:r w:rsidR="00683497">
        <w:t>):</w:t>
      </w:r>
      <w:r w:rsidR="00683497" w:rsidRPr="008E1CD0">
        <w:t xml:space="preserve"> </w:t>
      </w:r>
      <w:r w:rsidR="00683497" w:rsidRPr="008E1CD0">
        <w:sym w:font="Symbol" w:char="F064"/>
      </w:r>
      <w:r w:rsidR="00683497" w:rsidRPr="008E1CD0">
        <w:rPr>
          <w:vertAlign w:val="subscript"/>
        </w:rPr>
        <w:t>C</w:t>
      </w:r>
      <w:r w:rsidR="00683497" w:rsidRPr="008E1CD0">
        <w:t xml:space="preserve"> 44.0, 117.0, 125.5, 130.1, 141.2.</w:t>
      </w:r>
      <w:r w:rsidR="00683497">
        <w:t xml:space="preserve"> </w:t>
      </w:r>
      <w:bookmarkStart w:id="3" w:name="_Toc208118029"/>
      <w:r w:rsidR="00683497" w:rsidRPr="008E1CD0">
        <w:rPr>
          <w:bCs/>
        </w:rPr>
        <w:t>Sulfoxide from</w:t>
      </w:r>
      <w:r w:rsidR="00683497" w:rsidRPr="008E1CD0">
        <w:t xml:space="preserve"> 2-chloroethyl ethyl sulfi</w:t>
      </w:r>
      <w:bookmarkEnd w:id="3"/>
      <w:r w:rsidR="00683497">
        <w:t xml:space="preserve">de: </w:t>
      </w:r>
      <w:r w:rsidR="00683497" w:rsidRPr="008E1CD0">
        <w:t xml:space="preserve">Yellow oil; </w:t>
      </w:r>
      <w:r w:rsidR="00683497" w:rsidRPr="008E1CD0">
        <w:sym w:font="Symbol" w:char="F06E"/>
      </w:r>
      <w:r w:rsidR="00683497" w:rsidRPr="008E1CD0">
        <w:rPr>
          <w:vertAlign w:val="subscript"/>
        </w:rPr>
        <w:t xml:space="preserve">max </w:t>
      </w:r>
      <w:r w:rsidR="00683497" w:rsidRPr="008E1CD0">
        <w:t>(cm</w:t>
      </w:r>
      <w:r w:rsidR="00683497" w:rsidRPr="008E1CD0">
        <w:rPr>
          <w:vertAlign w:val="superscript"/>
        </w:rPr>
        <w:t>-1</w:t>
      </w:r>
      <w:r w:rsidR="00683497" w:rsidRPr="008E1CD0">
        <w:t xml:space="preserve">) 1653, 1455, 1301, 1127, 1020, 864; </w:t>
      </w:r>
      <w:r w:rsidR="00683497" w:rsidRPr="008E1CD0">
        <w:rPr>
          <w:vertAlign w:val="superscript"/>
        </w:rPr>
        <w:t>1</w:t>
      </w:r>
      <w:r w:rsidR="00683497" w:rsidRPr="008E1CD0">
        <w:t>H NMR (400 MHz, CDCl</w:t>
      </w:r>
      <w:r w:rsidR="00683497" w:rsidRPr="008E1CD0">
        <w:rPr>
          <w:vertAlign w:val="subscript"/>
        </w:rPr>
        <w:t>3</w:t>
      </w:r>
      <w:r w:rsidR="00683497">
        <w:t xml:space="preserve">): </w:t>
      </w:r>
      <w:r w:rsidR="00683497" w:rsidRPr="008E1CD0">
        <w:sym w:font="Symbol" w:char="F064"/>
      </w:r>
      <w:r w:rsidR="00683497" w:rsidRPr="008E1CD0">
        <w:rPr>
          <w:vertAlign w:val="subscript"/>
        </w:rPr>
        <w:t>H</w:t>
      </w:r>
      <w:r w:rsidR="00683497" w:rsidRPr="008E1CD0">
        <w:t xml:space="preserve"> 1.37 (3 H, t, </w:t>
      </w:r>
      <w:r w:rsidR="00683497" w:rsidRPr="008E1CD0">
        <w:rPr>
          <w:i/>
          <w:iCs/>
        </w:rPr>
        <w:t>J</w:t>
      </w:r>
      <w:r w:rsidR="00683497" w:rsidRPr="008E1CD0">
        <w:t xml:space="preserve"> 7.6 Hz), 2.76-2.86 (2 H, m), 3.04-3.08 (2 H, m), 3.89-4.00 (2 H, m) ppm; </w:t>
      </w:r>
      <w:r w:rsidR="00683497" w:rsidRPr="008E1CD0">
        <w:rPr>
          <w:vertAlign w:val="superscript"/>
        </w:rPr>
        <w:t>13</w:t>
      </w:r>
      <w:r w:rsidR="00683497" w:rsidRPr="008E1CD0">
        <w:t>C NMR (100 MHz, CDCl</w:t>
      </w:r>
      <w:r w:rsidR="00683497" w:rsidRPr="008E1CD0">
        <w:rPr>
          <w:vertAlign w:val="subscript"/>
        </w:rPr>
        <w:t>3</w:t>
      </w:r>
      <w:r w:rsidR="00683497">
        <w:t xml:space="preserve">): </w:t>
      </w:r>
      <w:r w:rsidR="00683497" w:rsidRPr="008E1CD0">
        <w:sym w:font="Symbol" w:char="F064"/>
      </w:r>
      <w:r w:rsidR="00683497" w:rsidRPr="008E1CD0">
        <w:rPr>
          <w:vertAlign w:val="subscript"/>
        </w:rPr>
        <w:t>C</w:t>
      </w:r>
      <w:r w:rsidR="00683497" w:rsidRPr="008E1CD0">
        <w:t xml:space="preserve"> 6.7, 37.0, 46.0, 54.0.</w:t>
      </w:r>
      <w:r w:rsidR="00683497">
        <w:t xml:space="preserve"> </w:t>
      </w:r>
      <w:bookmarkStart w:id="4" w:name="_Toc208118032"/>
      <w:r w:rsidR="00BA4B68" w:rsidRPr="008E1CD0">
        <w:rPr>
          <w:bCs/>
        </w:rPr>
        <w:t>Sulfoxide from</w:t>
      </w:r>
      <w:r w:rsidR="00BA4B68" w:rsidRPr="008E1CD0">
        <w:t xml:space="preserve"> </w:t>
      </w:r>
      <w:r w:rsidR="00BA4B68">
        <w:rPr>
          <w:bCs/>
        </w:rPr>
        <w:t>f</w:t>
      </w:r>
      <w:r w:rsidR="00BA4B68" w:rsidRPr="008E1CD0">
        <w:rPr>
          <w:bCs/>
        </w:rPr>
        <w:t>urfuryl methyl sulfide</w:t>
      </w:r>
      <w:bookmarkEnd w:id="4"/>
      <w:r w:rsidR="00BA4B68">
        <w:rPr>
          <w:bCs/>
        </w:rPr>
        <w:t xml:space="preserve">: </w:t>
      </w:r>
      <w:r w:rsidR="00BA4B68" w:rsidRPr="008E1CD0">
        <w:t xml:space="preserve">Yellow oil; </w:t>
      </w:r>
      <w:r w:rsidR="00BA4B68" w:rsidRPr="008E1CD0">
        <w:sym w:font="Symbol" w:char="F06E"/>
      </w:r>
      <w:r w:rsidR="00BA4B68" w:rsidRPr="008E1CD0">
        <w:rPr>
          <w:vertAlign w:val="subscript"/>
        </w:rPr>
        <w:t xml:space="preserve">max </w:t>
      </w:r>
      <w:r w:rsidR="00BA4B68" w:rsidRPr="008E1CD0">
        <w:t>(cm</w:t>
      </w:r>
      <w:r w:rsidR="00BA4B68" w:rsidRPr="008E1CD0">
        <w:rPr>
          <w:vertAlign w:val="superscript"/>
        </w:rPr>
        <w:t>-1</w:t>
      </w:r>
      <w:r w:rsidR="00BA4B68" w:rsidRPr="008E1CD0">
        <w:t>) 2972, 2916, 1423, 1033, 933, 744;</w:t>
      </w:r>
      <w:r w:rsidR="00BA4B68" w:rsidRPr="008E1CD0">
        <w:rPr>
          <w:color w:val="FF0000"/>
        </w:rPr>
        <w:t xml:space="preserve"> </w:t>
      </w:r>
      <w:r w:rsidR="00BA4B68" w:rsidRPr="008E1CD0">
        <w:rPr>
          <w:vertAlign w:val="superscript"/>
        </w:rPr>
        <w:t>1</w:t>
      </w:r>
      <w:r w:rsidR="00BA4B68" w:rsidRPr="008E1CD0">
        <w:t>H NMR (400 MHz, CDCl</w:t>
      </w:r>
      <w:r w:rsidR="00BA4B68" w:rsidRPr="008E1CD0">
        <w:rPr>
          <w:vertAlign w:val="subscript"/>
        </w:rPr>
        <w:t>3</w:t>
      </w:r>
      <w:r w:rsidR="00BA4B68">
        <w:t>):</w:t>
      </w:r>
      <w:r w:rsidR="00BA4B68" w:rsidRPr="008E1CD0">
        <w:t xml:space="preserve"> </w:t>
      </w:r>
      <w:r w:rsidR="00BA4B68" w:rsidRPr="008E1CD0">
        <w:sym w:font="Symbol" w:char="F064"/>
      </w:r>
      <w:r w:rsidR="00BA4B68" w:rsidRPr="008E1CD0">
        <w:rPr>
          <w:vertAlign w:val="subscript"/>
        </w:rPr>
        <w:t>H</w:t>
      </w:r>
      <w:r w:rsidR="00BA4B68" w:rsidRPr="008E1CD0">
        <w:t xml:space="preserve"> 2.52 (3 H, s), 4.06 (2 H, q, </w:t>
      </w:r>
      <w:r w:rsidR="00BA4B68" w:rsidRPr="008E1CD0">
        <w:rPr>
          <w:i/>
          <w:iCs/>
        </w:rPr>
        <w:t>J</w:t>
      </w:r>
      <w:r w:rsidR="00BA4B68" w:rsidRPr="008E1CD0">
        <w:t xml:space="preserve"> 13.92 Hz), 6.40 (2 H, m), 7.39 (1 H, dd, </w:t>
      </w:r>
      <w:r w:rsidR="00BA4B68" w:rsidRPr="008E1CD0">
        <w:rPr>
          <w:i/>
          <w:iCs/>
        </w:rPr>
        <w:t>J</w:t>
      </w:r>
      <w:r w:rsidR="00BA4B68" w:rsidRPr="008E1CD0">
        <w:t xml:space="preserve"> 2.0 Hz) ppm; </w:t>
      </w:r>
      <w:r w:rsidR="00BA4B68" w:rsidRPr="008E1CD0">
        <w:rPr>
          <w:vertAlign w:val="superscript"/>
        </w:rPr>
        <w:t>13</w:t>
      </w:r>
      <w:r w:rsidR="00BA4B68" w:rsidRPr="008E1CD0">
        <w:t>C NMR (100 MHz, CDCl</w:t>
      </w:r>
      <w:r w:rsidR="00BA4B68" w:rsidRPr="008E1CD0">
        <w:rPr>
          <w:vertAlign w:val="subscript"/>
        </w:rPr>
        <w:t>3</w:t>
      </w:r>
      <w:r w:rsidR="00BA4B68">
        <w:t>):</w:t>
      </w:r>
      <w:r w:rsidR="00BA4B68" w:rsidRPr="008E1CD0">
        <w:t xml:space="preserve"> </w:t>
      </w:r>
      <w:r w:rsidR="00BA4B68" w:rsidRPr="008E1CD0">
        <w:sym w:font="Symbol" w:char="F064"/>
      </w:r>
      <w:r w:rsidR="00BA4B68" w:rsidRPr="008E1CD0">
        <w:rPr>
          <w:vertAlign w:val="subscript"/>
        </w:rPr>
        <w:t>C</w:t>
      </w:r>
      <w:r w:rsidR="00BA4B68" w:rsidRPr="008E1CD0">
        <w:t xml:space="preserve"> 37.9, 52.2, 111.2, 143.5, 143.9.</w:t>
      </w:r>
      <w:r w:rsidR="00BA4B68">
        <w:t xml:space="preserve"> </w:t>
      </w:r>
    </w:p>
    <w:p w14:paraId="7325313F" w14:textId="77777777" w:rsidR="00A853F5" w:rsidRDefault="00A853F5" w:rsidP="00330646">
      <w:pPr>
        <w:pStyle w:val="Ref"/>
        <w:numPr>
          <w:ilvl w:val="0"/>
          <w:numId w:val="0"/>
        </w:numPr>
        <w:ind w:left="510" w:hanging="510"/>
      </w:pPr>
    </w:p>
    <w:p w14:paraId="598B6710" w14:textId="77777777" w:rsidR="00330646" w:rsidRDefault="00330646" w:rsidP="00330646">
      <w:pPr>
        <w:pStyle w:val="Ref"/>
        <w:numPr>
          <w:ilvl w:val="0"/>
          <w:numId w:val="0"/>
        </w:numPr>
        <w:ind w:left="510" w:hanging="510"/>
      </w:pPr>
    </w:p>
    <w:p w14:paraId="67821F7D" w14:textId="77777777" w:rsidR="00434E38" w:rsidRDefault="00434E38" w:rsidP="00434E38">
      <w:pPr>
        <w:pStyle w:val="Ref"/>
        <w:sectPr w:rsidR="00434E38" w:rsidSect="00727376">
          <w:type w:val="continuous"/>
          <w:pgSz w:w="11906" w:h="16838" w:code="9"/>
          <w:pgMar w:top="1418" w:right="992" w:bottom="1134" w:left="992" w:header="709" w:footer="709" w:gutter="0"/>
          <w:cols w:num="2" w:space="720"/>
          <w:docGrid w:linePitch="360"/>
        </w:sectPr>
      </w:pPr>
    </w:p>
    <w:p w14:paraId="05FEEC55" w14:textId="2B985F46" w:rsidR="00434E38" w:rsidRDefault="00434E38" w:rsidP="00434E38">
      <w:pPr>
        <w:rPr>
          <w:b/>
        </w:rPr>
      </w:pPr>
      <w:r>
        <w:rPr>
          <w:b/>
        </w:rPr>
        <w:lastRenderedPageBreak/>
        <w:t>Please place the graphical abstract and short title of the article here. The short title will be used as a running header.</w:t>
      </w:r>
      <w:r w:rsidR="00FB6352">
        <w:rPr>
          <w:b/>
        </w:rPr>
        <w:t xml:space="preserve"> </w:t>
      </w:r>
    </w:p>
    <w:p w14:paraId="46E4E3C0" w14:textId="77777777" w:rsidR="000867A9" w:rsidRDefault="000867A9" w:rsidP="00434E38">
      <w:pPr>
        <w:rPr>
          <w:b/>
        </w:rPr>
      </w:pPr>
    </w:p>
    <w:p w14:paraId="56020F05" w14:textId="00E8D80B" w:rsidR="000867A9" w:rsidRPr="000867A9" w:rsidRDefault="000867A9" w:rsidP="000867A9">
      <w:pPr>
        <w:jc w:val="center"/>
        <w:rPr>
          <w:b/>
        </w:rPr>
      </w:pPr>
      <w:r w:rsidRPr="000867A9">
        <w:rPr>
          <w:b/>
        </w:rPr>
        <w:t xml:space="preserve">Chemoselective Oxidation of Sulfides </w:t>
      </w:r>
    </w:p>
    <w:p w14:paraId="7FB4C554" w14:textId="77777777" w:rsidR="000867A9" w:rsidRDefault="000867A9" w:rsidP="000867A9">
      <w:pPr>
        <w:jc w:val="center"/>
        <w:rPr>
          <w:b/>
        </w:rPr>
      </w:pPr>
    </w:p>
    <w:p w14:paraId="28071D97" w14:textId="25610E48" w:rsidR="000867A9" w:rsidRDefault="007B4945" w:rsidP="000867A9">
      <w:pPr>
        <w:spacing w:line="240" w:lineRule="atLeast"/>
        <w:jc w:val="center"/>
      </w:pPr>
      <w:r>
        <w:rPr>
          <w:noProof/>
          <w:lang w:eastAsia="en-US"/>
        </w:rPr>
        <w:drawing>
          <wp:inline distT="0" distB="0" distL="0" distR="0" wp14:anchorId="7D59FA02" wp14:editId="03620C68">
            <wp:extent cx="3175000" cy="804545"/>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000" cy="804545"/>
                    </a:xfrm>
                    <a:prstGeom prst="rect">
                      <a:avLst/>
                    </a:prstGeom>
                    <a:noFill/>
                    <a:ln>
                      <a:noFill/>
                    </a:ln>
                  </pic:spPr>
                </pic:pic>
              </a:graphicData>
            </a:graphic>
          </wp:inline>
        </w:drawing>
      </w:r>
      <w:r w:rsidR="000867A9">
        <w:t xml:space="preserve"> </w:t>
      </w:r>
    </w:p>
    <w:p w14:paraId="1F57776E" w14:textId="77777777" w:rsidR="005D44AA" w:rsidRDefault="005D44AA" w:rsidP="00434E38"/>
    <w:p w14:paraId="3A0A71D2" w14:textId="661DC690" w:rsidR="00434E38" w:rsidRDefault="00434E38" w:rsidP="00434E38">
      <w:r>
        <w:t>• Statement of significance of work.</w:t>
      </w:r>
      <w:r w:rsidR="00FB6352">
        <w:t xml:space="preserve"> </w:t>
      </w:r>
    </w:p>
    <w:p w14:paraId="75A56B99" w14:textId="77777777" w:rsidR="005D44AA" w:rsidRDefault="005D44AA" w:rsidP="00434E38"/>
    <w:p w14:paraId="3DBD6B31" w14:textId="1AC323DE" w:rsidR="00434E38" w:rsidRDefault="00434E38" w:rsidP="00434E38">
      <w:r>
        <w:t xml:space="preserve"> • Full mailing address, telephone, and fax numbers and e-mail address of the corresponding author.</w:t>
      </w:r>
      <w:r w:rsidR="00FB6352">
        <w:t xml:space="preserve"> </w:t>
      </w:r>
    </w:p>
    <w:p w14:paraId="0D9B9799" w14:textId="59361F6D" w:rsidR="005D44AA" w:rsidRDefault="005D44AA" w:rsidP="005D44AA">
      <w:pPr>
        <w:pStyle w:val="Author"/>
        <w:framePr w:w="0" w:hSpace="0" w:vSpace="0" w:wrap="auto" w:vAnchor="margin" w:yAlign="inline"/>
      </w:pPr>
      <w:r w:rsidRPr="008E1CD0">
        <w:t>Philip C. Bulman Page</w:t>
      </w:r>
    </w:p>
    <w:p w14:paraId="2E33DCDD" w14:textId="517E4EE4" w:rsidR="005D44AA" w:rsidRDefault="005D44AA" w:rsidP="005D44AA">
      <w:pPr>
        <w:pStyle w:val="Address"/>
        <w:framePr w:w="0" w:hSpace="0" w:vSpace="0" w:wrap="auto" w:vAnchor="margin" w:yAlign="inline"/>
      </w:pPr>
      <w:r>
        <w:t xml:space="preserve">School of Chemistry </w:t>
      </w:r>
    </w:p>
    <w:p w14:paraId="59432E1E" w14:textId="77777777" w:rsidR="005D44AA" w:rsidRDefault="005D44AA" w:rsidP="005D44AA">
      <w:pPr>
        <w:pStyle w:val="Address"/>
        <w:framePr w:w="0" w:hSpace="0" w:vSpace="0" w:wrap="auto" w:vAnchor="margin" w:yAlign="inline"/>
      </w:pPr>
      <w:r w:rsidRPr="008E1CD0">
        <w:t>Universit</w:t>
      </w:r>
      <w:r>
        <w:t xml:space="preserve">y of East Anglia </w:t>
      </w:r>
    </w:p>
    <w:p w14:paraId="6578F9BC" w14:textId="77777777" w:rsidR="005D44AA" w:rsidRDefault="005D44AA" w:rsidP="005D44AA">
      <w:pPr>
        <w:pStyle w:val="Address"/>
        <w:framePr w:w="0" w:hSpace="0" w:vSpace="0" w:wrap="auto" w:vAnchor="margin" w:yAlign="inline"/>
      </w:pPr>
      <w:r>
        <w:t xml:space="preserve">Norwich Research Park </w:t>
      </w:r>
    </w:p>
    <w:p w14:paraId="1E57524A" w14:textId="77777777" w:rsidR="005D44AA" w:rsidRDefault="005D44AA" w:rsidP="005D44AA">
      <w:pPr>
        <w:pStyle w:val="Address"/>
        <w:framePr w:w="0" w:hSpace="0" w:vSpace="0" w:wrap="auto" w:vAnchor="margin" w:yAlign="inline"/>
      </w:pPr>
      <w:r>
        <w:t xml:space="preserve">Norwich </w:t>
      </w:r>
    </w:p>
    <w:p w14:paraId="251378EA" w14:textId="27F0872B" w:rsidR="005D44AA" w:rsidRDefault="005D44AA" w:rsidP="005D44AA">
      <w:pPr>
        <w:pStyle w:val="Address"/>
        <w:framePr w:w="0" w:hSpace="0" w:vSpace="0" w:wrap="auto" w:vAnchor="margin" w:yAlign="inline"/>
      </w:pPr>
      <w:r w:rsidRPr="008E1CD0">
        <w:t>Norfolk NR4 7TJ, UK</w:t>
      </w:r>
      <w:r>
        <w:t xml:space="preserve"> </w:t>
      </w:r>
    </w:p>
    <w:p w14:paraId="17262A52" w14:textId="77777777" w:rsidR="005D44AA" w:rsidRDefault="005D44AA" w:rsidP="005D44AA">
      <w:pPr>
        <w:pStyle w:val="Fax"/>
        <w:framePr w:w="0" w:hSpace="0" w:vSpace="0" w:wrap="auto" w:vAnchor="margin" w:yAlign="inline"/>
      </w:pPr>
      <w:r>
        <w:t xml:space="preserve">Fax: 00 44 1603 592008 </w:t>
      </w:r>
    </w:p>
    <w:p w14:paraId="6B580141" w14:textId="2A350430" w:rsidR="005D44AA" w:rsidRDefault="005D44AA" w:rsidP="005D44AA">
      <w:pPr>
        <w:pStyle w:val="Fax"/>
        <w:framePr w:w="0" w:hSpace="0" w:vSpace="0" w:wrap="auto" w:vAnchor="margin" w:yAlign="inline"/>
      </w:pPr>
      <w:r>
        <w:t xml:space="preserve">Tel: 00 44 1603 591061 </w:t>
      </w:r>
    </w:p>
    <w:p w14:paraId="2E3242B7" w14:textId="77777777" w:rsidR="005D44AA" w:rsidRDefault="005D44AA" w:rsidP="005D44AA">
      <w:pPr>
        <w:pStyle w:val="Email"/>
        <w:framePr w:w="0" w:hSpace="0" w:vSpace="0" w:wrap="auto" w:vAnchor="margin" w:yAlign="inline"/>
      </w:pPr>
      <w:r>
        <w:t xml:space="preserve">E-mail: p.page@uea.ac.uk </w:t>
      </w:r>
    </w:p>
    <w:p w14:paraId="6A064540" w14:textId="77777777" w:rsidR="005D44AA" w:rsidRDefault="005D44AA" w:rsidP="00434E38"/>
    <w:p w14:paraId="17A7332F" w14:textId="721874F1" w:rsidR="00434E38" w:rsidRDefault="005D44AA" w:rsidP="00434E38">
      <w:r>
        <w:t xml:space="preserve">• 5 key words </w:t>
      </w:r>
    </w:p>
    <w:p w14:paraId="14530A95" w14:textId="67760332" w:rsidR="00E25E36" w:rsidRDefault="00E25E36" w:rsidP="00434E38">
      <w:r>
        <w:t xml:space="preserve">Sulfoxidation </w:t>
      </w:r>
    </w:p>
    <w:p w14:paraId="50C9C421" w14:textId="14E68B69" w:rsidR="00E25E36" w:rsidRDefault="00E25E36" w:rsidP="00434E38">
      <w:r>
        <w:t xml:space="preserve">Oxidation </w:t>
      </w:r>
    </w:p>
    <w:p w14:paraId="356593DE" w14:textId="005E5263" w:rsidR="00E25E36" w:rsidRDefault="00E25E36" w:rsidP="00434E38">
      <w:r>
        <w:t xml:space="preserve">Urea–Hydrogen Peroxide </w:t>
      </w:r>
    </w:p>
    <w:p w14:paraId="6B7EF3DD" w14:textId="21FF0AE7" w:rsidR="00E25E36" w:rsidRDefault="00E25E36" w:rsidP="00434E38">
      <w:r>
        <w:t xml:space="preserve">Catalysis </w:t>
      </w:r>
    </w:p>
    <w:p w14:paraId="3D8B3F10" w14:textId="505209B9" w:rsidR="00E25E36" w:rsidRDefault="00E25E36" w:rsidP="00434E38">
      <w:r>
        <w:t xml:space="preserve">Diphenyl Diselenide </w:t>
      </w:r>
    </w:p>
    <w:p w14:paraId="40AC42B2" w14:textId="77777777" w:rsidR="005D44AA" w:rsidRDefault="005D44AA" w:rsidP="00434E38"/>
    <w:p w14:paraId="2947567E" w14:textId="5583A258" w:rsidR="00434E38" w:rsidRDefault="00434E38" w:rsidP="00434E38">
      <w:r>
        <w:t>Proceed to submit your article via our online submission system at http://mc.manuscriptcentral.com/synlett.</w:t>
      </w:r>
      <w:r w:rsidR="00FB6352">
        <w:t xml:space="preserve"> </w:t>
      </w:r>
    </w:p>
    <w:p w14:paraId="30CDFB69" w14:textId="77777777" w:rsidR="00434E38" w:rsidRPr="00434E38" w:rsidRDefault="00434E38" w:rsidP="00434E38"/>
    <w:sectPr w:rsidR="00434E38" w:rsidRPr="00434E38" w:rsidSect="00434E38">
      <w:pgSz w:w="11906" w:h="16838" w:code="9"/>
      <w:pgMar w:top="1418" w:right="992" w:bottom="1134" w:left="992"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79D1C" w14:textId="77777777" w:rsidR="00B87CF5" w:rsidRDefault="00B87CF5">
      <w:r>
        <w:separator/>
      </w:r>
    </w:p>
  </w:endnote>
  <w:endnote w:type="continuationSeparator" w:id="0">
    <w:p w14:paraId="67D55070" w14:textId="77777777" w:rsidR="00B87CF5" w:rsidRDefault="00B8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21D66" w14:textId="77777777" w:rsidR="00B87CF5" w:rsidRDefault="00B87CF5">
    <w:pPr>
      <w:pStyle w:val="Footer"/>
    </w:pPr>
    <w:r>
      <w:t xml:space="preserve">Template for </w:t>
    </w:r>
    <w:r w:rsidRPr="00B32C0E">
      <w:rPr>
        <w:i/>
      </w:rPr>
      <w:t>SYNLETT</w:t>
    </w:r>
    <w:r>
      <w:t xml:space="preserve"> and SYNTHESIS © Thieme  Stuttgart · New York</w:t>
    </w:r>
    <w:r>
      <w:tab/>
    </w:r>
    <w:r>
      <w:fldChar w:fldCharType="begin"/>
    </w:r>
    <w:r>
      <w:rPr>
        <w:lang w:val="de-DE"/>
      </w:rPr>
      <w:instrText xml:space="preserve"> DATE \@ "yyyy-MM-dd" </w:instrText>
    </w:r>
    <w:r>
      <w:fldChar w:fldCharType="separate"/>
    </w:r>
    <w:r w:rsidR="00A63B85">
      <w:rPr>
        <w:noProof/>
        <w:lang w:val="de-DE"/>
      </w:rPr>
      <w:t>2015-08-07</w:t>
    </w:r>
    <w: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A63B8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3B85">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2CA9A" w14:textId="77777777" w:rsidR="00B87CF5" w:rsidRDefault="00B87CF5">
      <w:r>
        <w:separator/>
      </w:r>
    </w:p>
  </w:footnote>
  <w:footnote w:type="continuationSeparator" w:id="0">
    <w:p w14:paraId="1CC44889" w14:textId="77777777" w:rsidR="00B87CF5" w:rsidRDefault="00B87C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99C0" w14:textId="77777777" w:rsidR="00B87CF5" w:rsidRDefault="00B87CF5">
    <w:pPr>
      <w:pStyle w:val="Header"/>
      <w:rPr>
        <w:lang w:val="fr-FR"/>
      </w:rPr>
    </w:pPr>
    <w:r>
      <w:rPr>
        <w:rStyle w:val="PageNumber"/>
      </w:rPr>
      <w:fldChar w:fldCharType="begin"/>
    </w:r>
    <w:r>
      <w:rPr>
        <w:rStyle w:val="PageNumber"/>
        <w:lang w:val="fr-FR"/>
      </w:rPr>
      <w:instrText xml:space="preserve"> PAGE </w:instrText>
    </w:r>
    <w:r>
      <w:rPr>
        <w:rStyle w:val="PageNumber"/>
      </w:rPr>
      <w:fldChar w:fldCharType="separate"/>
    </w:r>
    <w:r w:rsidR="00A63B85">
      <w:rPr>
        <w:rStyle w:val="PageNumber"/>
        <w:noProof/>
        <w:lang w:val="fr-FR"/>
      </w:rPr>
      <w:t>1</w:t>
    </w:r>
    <w:r>
      <w:rPr>
        <w:rStyle w:val="PageNumber"/>
      </w:rPr>
      <w:fldChar w:fldCharType="end"/>
    </w:r>
    <w:r>
      <w:rPr>
        <w:rStyle w:val="PageNumber"/>
        <w:lang w:val="fr-FR"/>
      </w:rPr>
      <w:tab/>
      <w:t>SYNLETT: LETTER</w:t>
    </w:r>
    <w:r>
      <w:rPr>
        <w:lang w:val="fr-F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C3E"/>
    <w:multiLevelType w:val="hybridMultilevel"/>
    <w:tmpl w:val="B3D81228"/>
    <w:lvl w:ilvl="0" w:tplc="E3F4B3F2">
      <w:start w:val="1"/>
      <w:numFmt w:val="decimal"/>
      <w:pStyle w:val="Ref"/>
      <w:lvlText w:val="(%1)"/>
      <w:lvlJc w:val="left"/>
      <w:pPr>
        <w:tabs>
          <w:tab w:val="num" w:pos="510"/>
        </w:tabs>
        <w:ind w:left="510" w:hanging="510"/>
      </w:pPr>
      <w:rPr>
        <w:rFonts w:hint="default"/>
      </w:rPr>
    </w:lvl>
    <w:lvl w:ilvl="1" w:tplc="CBB0981A" w:tentative="1">
      <w:start w:val="1"/>
      <w:numFmt w:val="lowerLetter"/>
      <w:lvlText w:val="%2."/>
      <w:lvlJc w:val="left"/>
      <w:pPr>
        <w:tabs>
          <w:tab w:val="num" w:pos="1440"/>
        </w:tabs>
        <w:ind w:left="1440" w:hanging="360"/>
      </w:pPr>
    </w:lvl>
    <w:lvl w:ilvl="2" w:tplc="903A6B42" w:tentative="1">
      <w:start w:val="1"/>
      <w:numFmt w:val="lowerRoman"/>
      <w:lvlText w:val="%3."/>
      <w:lvlJc w:val="right"/>
      <w:pPr>
        <w:tabs>
          <w:tab w:val="num" w:pos="2160"/>
        </w:tabs>
        <w:ind w:left="2160" w:hanging="180"/>
      </w:pPr>
    </w:lvl>
    <w:lvl w:ilvl="3" w:tplc="5030A312" w:tentative="1">
      <w:start w:val="1"/>
      <w:numFmt w:val="decimal"/>
      <w:lvlText w:val="%4."/>
      <w:lvlJc w:val="left"/>
      <w:pPr>
        <w:tabs>
          <w:tab w:val="num" w:pos="2880"/>
        </w:tabs>
        <w:ind w:left="2880" w:hanging="360"/>
      </w:pPr>
    </w:lvl>
    <w:lvl w:ilvl="4" w:tplc="6F1A9168" w:tentative="1">
      <w:start w:val="1"/>
      <w:numFmt w:val="lowerLetter"/>
      <w:lvlText w:val="%5."/>
      <w:lvlJc w:val="left"/>
      <w:pPr>
        <w:tabs>
          <w:tab w:val="num" w:pos="3600"/>
        </w:tabs>
        <w:ind w:left="3600" w:hanging="360"/>
      </w:pPr>
    </w:lvl>
    <w:lvl w:ilvl="5" w:tplc="B0E61760" w:tentative="1">
      <w:start w:val="1"/>
      <w:numFmt w:val="lowerRoman"/>
      <w:lvlText w:val="%6."/>
      <w:lvlJc w:val="right"/>
      <w:pPr>
        <w:tabs>
          <w:tab w:val="num" w:pos="4320"/>
        </w:tabs>
        <w:ind w:left="4320" w:hanging="180"/>
      </w:pPr>
    </w:lvl>
    <w:lvl w:ilvl="6" w:tplc="064273C4" w:tentative="1">
      <w:start w:val="1"/>
      <w:numFmt w:val="decimal"/>
      <w:lvlText w:val="%7."/>
      <w:lvlJc w:val="left"/>
      <w:pPr>
        <w:tabs>
          <w:tab w:val="num" w:pos="5040"/>
        </w:tabs>
        <w:ind w:left="5040" w:hanging="360"/>
      </w:pPr>
    </w:lvl>
    <w:lvl w:ilvl="7" w:tplc="C01A6008" w:tentative="1">
      <w:start w:val="1"/>
      <w:numFmt w:val="lowerLetter"/>
      <w:lvlText w:val="%8."/>
      <w:lvlJc w:val="left"/>
      <w:pPr>
        <w:tabs>
          <w:tab w:val="num" w:pos="5760"/>
        </w:tabs>
        <w:ind w:left="5760" w:hanging="360"/>
      </w:pPr>
    </w:lvl>
    <w:lvl w:ilvl="8" w:tplc="9E06BD7C" w:tentative="1">
      <w:start w:val="1"/>
      <w:numFmt w:val="lowerRoman"/>
      <w:lvlText w:val="%9."/>
      <w:lvlJc w:val="right"/>
      <w:pPr>
        <w:tabs>
          <w:tab w:val="num" w:pos="6480"/>
        </w:tabs>
        <w:ind w:left="6480" w:hanging="180"/>
      </w:pPr>
    </w:lvl>
  </w:abstractNum>
  <w:abstractNum w:abstractNumId="1">
    <w:nsid w:val="3A907928"/>
    <w:multiLevelType w:val="hybridMultilevel"/>
    <w:tmpl w:val="BB30C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DocType" w:val="CHOOSE AN ARTICLE TYPE"/>
    <w:docVar w:name="SysArtType_0" w:val="Synthesis: Paper@Use this template for Synthesis Papers; original research which has not been previously published except in the form of an abstract or preliminary communication@&lt;MainTitle&gt;Print out this copy of the sample article._x000d__x000a_&lt;MainTitle&gt;Main Title - Please overwrite this text with the title of the article._x000d__x000a_&lt;Author&gt;Authors - Please overwrite this text with the full names of all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Then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1" w:val="Synlett: Letter@Use this template for Synlett Letters; preliminary reports of new scientific research resul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docVar w:name="SysArtType_10" w:val="Synlett: Cluster (invited article)@Use this template for Synthesis Cluste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hen prompted to &quot;Add an Editor&quot;, please select the Editor who invited you to submit this Cluster article."/>
    <w:docVar w:name="SysArtType_2" w:val="Synthesis: PSP@Use this template for Synthesis Practical Synthetic Procedures (PSP); useful and reliable procedures presented in a compact form@&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chemeImage&gt;Please insert a 2 column scheme here providing an overview of the practial synthetic procedure provided in the manuscript._x000d__x000a_&lt;SchemeCaption&gt;&lt;B&gt;Scheme 1&lt;/B&gt; Insert the scheme legend here after the Scheme number and delete this text. All schemes must be numbered and mentioned in the text._x000d__x000a_&lt;Standard&gt;Note the Abstract, Key words, and Scheme 1 in a PSP are presented over 2 columns; please insert a 2-column scheme, the remaining formating will take place during production. 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2&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3" w:val="Synthesis: Review or Short Review (invited article)@Use this template for Synthesis Reviews or Short Reviews; critical evaluation of developments in a specific area of interest to the readership@&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Table of Contents entry - if required please overwrite this section with the table of contents for the article._x000d__x000a_&lt;ToC&gt;2_x000d__x000a_&lt;ToC&gt;2.1_x000d__x000a_&lt;ToC&gt;2.2_x000d__x000a_&lt;ToC&gt;2.3_x000d__x000a_&lt;ToC&gt;3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hort Review) or second page (Review)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Editor who invited you to submit this Review or Short Review."/>
    <w:docVar w:name="SysArtType_4" w:val="Synthesis: Feature (invited article)@Use this template for Synthesis Feature Articles; research papers with special prominence due to their high scientific standard and general interest@&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ToC&gt;1 Table of Contents entry - if required please overwrite this section with the table of contents for the article._x000d__x000a_&lt;ToC&gt;2_x000d__x000a_&lt;ToC&gt;2.1_x000d__x000a_&lt;ToC&gt;2.1.1_x000d__x000a_&lt;ToC&gt;3_x000d__x000a_&lt;ToC&gt;4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Regional Editor who invited you to submit this Feature Article._x000d__x000a_"/>
    <w:docVar w:name="SysArtType_5" w:val="Synlett: Account or Synpacts (invited article)@Use this template for Synlett Accounts or Synpacts; reviews of significant recent work from the research group of the principal autho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 Table of Contents entry - if required please overwrite this section with the table of contents for the article._x000d__x000a_&lt;ToC&gt;1.1_x000d__x000a_&lt;ToC&gt;2_x000d__x000a_&lt;ToC&gt;2.1_x000d__x000a_&lt;ToC&gt;3_x000d__x000a_&lt;ToC&gt;4_x000d__x000a_&lt;ToC&gt;5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ynpacts) or second page (Accounts)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lett. When prompted to &quot;Add an Editor&quot;, please select the Editor who invited you to submit this Account or Synpacts article."/>
    <w:docVar w:name="SysArtType_6" w:val="Synlett: New Tools@Use this template for Synlett New Tools; reviews of conceptual methodological or technical developments of areas of synthetic stragegy and methods that are of importance to synthetic chemis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lett/for-authors.html.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New Tools in Synthesis are generally invited; however, uninvited proposals or manuscripts will be considered. Please contact Michael Binanzer (michael.binanzer@thieme.de) at the Editorial Office."/>
    <w:docVar w:name="SysArtType_7" w:val="Synlett: Spotlight@Use this template for Synlett Spotlights, which focus on reagents chosen by graduate students; reagents must be approved prior to manuscript submission, consult the Instruction for Authors for more details@&lt;SYNLETT&gt;_x000d__x000a_&lt;MainTitle&gt;Print out a copy of this sample article. There is a 2-page limit for Spotlight articles. Please contact spotlights@thieme.de to get your reagent approved, before preparing the manuscript._x000d__x000a_&lt;MainTitle&gt;Please overwrite this text with the title of the article._x000d__x000a_&lt;Author&gt;Compiled by - Please enter your full name here and place the biographical sketch under your name. You may also place your  photograph here, alternatively you can send it by regular mail to the editorial office._x000d__x000a_&lt;Address&gt;Correspondence information - Please overwrite this text with the institution(s) and full mailing address where you are a student._x000d__x000a_&lt;Email&gt;E-mail: Insert your email address after the colon._x000d__x000a_&lt;Head1&gt;Introduction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page of the article at the galley proof stage. You may also place the photograph of the author here, alternatively you can send it by regular mail to the editorial office._x000d__x000a_&lt;Head1&gt;Manuscript submission checklist_x000d__x000a_&lt;Standard&gt; • Statement of significance of work._x000d__x000a_&lt;Standard&gt; • Full mailing address, telephone, and fax numbers, and email address of the corresponding author._x000d__x000a_&lt;Standard&gt; • Original Word file._x000d__x000a_&lt;Standard&gt; • Original graphics files._x000d__x000a_&lt;Standard&gt; • Biographical sketch of the author._x000d__x000a_&lt;Standard&gt; • Photograph of the author._x000d__x000a_&lt;Standard&gt;Inquiries concerning this section should be directed to the Editorial Office prior to manuscript preparation (spotlights@thieme.de)."/>
    <w:docVar w:name="SysArtType_8" w:val="Synthesis: Special Topic (invited article)@Use this template for Synthesis Special Topic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6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hen prompted to &quot;Add an Editor&quot;, please select the Editor who invited you to submit this Special Topic article._x000d__x000a_"/>
  </w:docVars>
  <w:rsids>
    <w:rsidRoot w:val="00434E38"/>
    <w:rsid w:val="00000595"/>
    <w:rsid w:val="000049E8"/>
    <w:rsid w:val="00025530"/>
    <w:rsid w:val="000329DC"/>
    <w:rsid w:val="0003546D"/>
    <w:rsid w:val="00037521"/>
    <w:rsid w:val="00041F80"/>
    <w:rsid w:val="00053E0D"/>
    <w:rsid w:val="000603E8"/>
    <w:rsid w:val="00074545"/>
    <w:rsid w:val="000764F8"/>
    <w:rsid w:val="00085D74"/>
    <w:rsid w:val="000867A9"/>
    <w:rsid w:val="000B5F16"/>
    <w:rsid w:val="000D183D"/>
    <w:rsid w:val="000F1001"/>
    <w:rsid w:val="001012A5"/>
    <w:rsid w:val="00106593"/>
    <w:rsid w:val="00140E84"/>
    <w:rsid w:val="00165EA7"/>
    <w:rsid w:val="0016789D"/>
    <w:rsid w:val="00170402"/>
    <w:rsid w:val="00170426"/>
    <w:rsid w:val="001A0C6D"/>
    <w:rsid w:val="001D4266"/>
    <w:rsid w:val="001D590B"/>
    <w:rsid w:val="00215EDA"/>
    <w:rsid w:val="00221075"/>
    <w:rsid w:val="00222369"/>
    <w:rsid w:val="00235E4A"/>
    <w:rsid w:val="00242C83"/>
    <w:rsid w:val="00260D90"/>
    <w:rsid w:val="0026704E"/>
    <w:rsid w:val="002728AD"/>
    <w:rsid w:val="00273F93"/>
    <w:rsid w:val="0027468B"/>
    <w:rsid w:val="002770F5"/>
    <w:rsid w:val="00285533"/>
    <w:rsid w:val="0029668F"/>
    <w:rsid w:val="002B2138"/>
    <w:rsid w:val="002B7784"/>
    <w:rsid w:val="002C2372"/>
    <w:rsid w:val="002C4E5D"/>
    <w:rsid w:val="002C5E23"/>
    <w:rsid w:val="002D6BC6"/>
    <w:rsid w:val="002E198B"/>
    <w:rsid w:val="002E4A85"/>
    <w:rsid w:val="002F04EA"/>
    <w:rsid w:val="002F68D5"/>
    <w:rsid w:val="00322173"/>
    <w:rsid w:val="00326ED2"/>
    <w:rsid w:val="00330646"/>
    <w:rsid w:val="003308C8"/>
    <w:rsid w:val="00355664"/>
    <w:rsid w:val="00356A12"/>
    <w:rsid w:val="00396E3A"/>
    <w:rsid w:val="003D1490"/>
    <w:rsid w:val="003D1E64"/>
    <w:rsid w:val="004062B3"/>
    <w:rsid w:val="00411BEF"/>
    <w:rsid w:val="00420A38"/>
    <w:rsid w:val="00434E38"/>
    <w:rsid w:val="004454E2"/>
    <w:rsid w:val="00445C3B"/>
    <w:rsid w:val="0045013E"/>
    <w:rsid w:val="00452AD8"/>
    <w:rsid w:val="004600F8"/>
    <w:rsid w:val="004729F0"/>
    <w:rsid w:val="0049355E"/>
    <w:rsid w:val="004B318A"/>
    <w:rsid w:val="004C5824"/>
    <w:rsid w:val="004D10ED"/>
    <w:rsid w:val="004D17E6"/>
    <w:rsid w:val="004E1A68"/>
    <w:rsid w:val="004F61E0"/>
    <w:rsid w:val="00504ECB"/>
    <w:rsid w:val="00513435"/>
    <w:rsid w:val="00534057"/>
    <w:rsid w:val="0054000B"/>
    <w:rsid w:val="00551C86"/>
    <w:rsid w:val="005816ED"/>
    <w:rsid w:val="005848FB"/>
    <w:rsid w:val="00595552"/>
    <w:rsid w:val="005B2E8B"/>
    <w:rsid w:val="005C45B5"/>
    <w:rsid w:val="005D44AA"/>
    <w:rsid w:val="005E4833"/>
    <w:rsid w:val="00616F86"/>
    <w:rsid w:val="006349D8"/>
    <w:rsid w:val="00657CF1"/>
    <w:rsid w:val="00683497"/>
    <w:rsid w:val="00683BB0"/>
    <w:rsid w:val="006877A8"/>
    <w:rsid w:val="00693CB6"/>
    <w:rsid w:val="006C24CA"/>
    <w:rsid w:val="006D437C"/>
    <w:rsid w:val="006E071F"/>
    <w:rsid w:val="006E1A10"/>
    <w:rsid w:val="00700ED5"/>
    <w:rsid w:val="0072264A"/>
    <w:rsid w:val="00727376"/>
    <w:rsid w:val="00736F04"/>
    <w:rsid w:val="00743E0E"/>
    <w:rsid w:val="00760BD5"/>
    <w:rsid w:val="00770808"/>
    <w:rsid w:val="007739AD"/>
    <w:rsid w:val="0078325A"/>
    <w:rsid w:val="00785ECB"/>
    <w:rsid w:val="00791B18"/>
    <w:rsid w:val="007933A2"/>
    <w:rsid w:val="00796940"/>
    <w:rsid w:val="007B4945"/>
    <w:rsid w:val="00813117"/>
    <w:rsid w:val="008331B8"/>
    <w:rsid w:val="00841D3F"/>
    <w:rsid w:val="0084793C"/>
    <w:rsid w:val="00860B6E"/>
    <w:rsid w:val="0087210B"/>
    <w:rsid w:val="008A5B6B"/>
    <w:rsid w:val="008B4DA1"/>
    <w:rsid w:val="008F4CE2"/>
    <w:rsid w:val="00914387"/>
    <w:rsid w:val="00923066"/>
    <w:rsid w:val="00995817"/>
    <w:rsid w:val="009B6612"/>
    <w:rsid w:val="009F28A6"/>
    <w:rsid w:val="00A013F9"/>
    <w:rsid w:val="00A110A4"/>
    <w:rsid w:val="00A26111"/>
    <w:rsid w:val="00A33482"/>
    <w:rsid w:val="00A608B1"/>
    <w:rsid w:val="00A63B85"/>
    <w:rsid w:val="00A65A1B"/>
    <w:rsid w:val="00A66C6F"/>
    <w:rsid w:val="00A836AA"/>
    <w:rsid w:val="00A853F5"/>
    <w:rsid w:val="00A93523"/>
    <w:rsid w:val="00A93800"/>
    <w:rsid w:val="00AB3FE8"/>
    <w:rsid w:val="00AC7002"/>
    <w:rsid w:val="00AF02E6"/>
    <w:rsid w:val="00B32C0E"/>
    <w:rsid w:val="00B41840"/>
    <w:rsid w:val="00B600BC"/>
    <w:rsid w:val="00B67629"/>
    <w:rsid w:val="00B80778"/>
    <w:rsid w:val="00B87CF5"/>
    <w:rsid w:val="00BA1F6E"/>
    <w:rsid w:val="00BA2407"/>
    <w:rsid w:val="00BA4B68"/>
    <w:rsid w:val="00BC0932"/>
    <w:rsid w:val="00BC2E7A"/>
    <w:rsid w:val="00BC7E99"/>
    <w:rsid w:val="00BD245C"/>
    <w:rsid w:val="00BD24B7"/>
    <w:rsid w:val="00BD4695"/>
    <w:rsid w:val="00BD5903"/>
    <w:rsid w:val="00BD63B1"/>
    <w:rsid w:val="00BF1197"/>
    <w:rsid w:val="00C448D3"/>
    <w:rsid w:val="00C54E48"/>
    <w:rsid w:val="00C630EC"/>
    <w:rsid w:val="00C635EB"/>
    <w:rsid w:val="00C72E8C"/>
    <w:rsid w:val="00C941D9"/>
    <w:rsid w:val="00C97935"/>
    <w:rsid w:val="00CA111F"/>
    <w:rsid w:val="00CA3598"/>
    <w:rsid w:val="00CC040D"/>
    <w:rsid w:val="00CD3A70"/>
    <w:rsid w:val="00CE5C6E"/>
    <w:rsid w:val="00CE7091"/>
    <w:rsid w:val="00CF0B07"/>
    <w:rsid w:val="00CF2A1B"/>
    <w:rsid w:val="00CF2EDE"/>
    <w:rsid w:val="00CF5A4E"/>
    <w:rsid w:val="00D06473"/>
    <w:rsid w:val="00D27FB0"/>
    <w:rsid w:val="00D52AB3"/>
    <w:rsid w:val="00D53512"/>
    <w:rsid w:val="00D54D33"/>
    <w:rsid w:val="00D7188E"/>
    <w:rsid w:val="00DA231A"/>
    <w:rsid w:val="00DA2D23"/>
    <w:rsid w:val="00DB2703"/>
    <w:rsid w:val="00DC18C4"/>
    <w:rsid w:val="00DD05AA"/>
    <w:rsid w:val="00DD3D2C"/>
    <w:rsid w:val="00DF1D82"/>
    <w:rsid w:val="00DF4E22"/>
    <w:rsid w:val="00E20CA4"/>
    <w:rsid w:val="00E25E36"/>
    <w:rsid w:val="00E30E02"/>
    <w:rsid w:val="00E41F3D"/>
    <w:rsid w:val="00E47FE1"/>
    <w:rsid w:val="00E642CD"/>
    <w:rsid w:val="00E7688B"/>
    <w:rsid w:val="00E8414B"/>
    <w:rsid w:val="00EE5282"/>
    <w:rsid w:val="00F02532"/>
    <w:rsid w:val="00F079C5"/>
    <w:rsid w:val="00F60BCC"/>
    <w:rsid w:val="00F73504"/>
    <w:rsid w:val="00F94205"/>
    <w:rsid w:val="00FB60F7"/>
    <w:rsid w:val="00FB6352"/>
    <w:rsid w:val="00FC39BE"/>
    <w:rsid w:val="00FC3A03"/>
    <w:rsid w:val="00FD2153"/>
    <w:rsid w:val="00FE7A16"/>
    <w:rsid w:val="00FF1052"/>
    <w:rsid w:val="00FF4D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A2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line="235" w:lineRule="exact"/>
      <w:jc w:val="both"/>
    </w:pPr>
    <w:rPr>
      <w:kern w:val="18"/>
      <w:sz w:val="21"/>
      <w:lang w:val="en-US" w:eastAsia="de-DE"/>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right" w:pos="9900"/>
      </w:tabs>
    </w:pPr>
    <w:rPr>
      <w:sz w:val="20"/>
    </w:rPr>
  </w:style>
  <w:style w:type="paragraph" w:customStyle="1" w:styleId="MainTitle">
    <w:name w:val="MainTitle"/>
    <w:basedOn w:val="Heading1"/>
    <w:next w:val="Author"/>
    <w:pPr>
      <w:keepLines/>
      <w:framePr w:w="9923" w:hSpace="142" w:vSpace="142" w:wrap="notBeside" w:vAnchor="text" w:hAnchor="text" w:y="1" w:anchorLock="1"/>
      <w:spacing w:after="120" w:line="340" w:lineRule="exact"/>
    </w:pPr>
    <w:rPr>
      <w:rFonts w:ascii="Times New Roman" w:hAnsi="Times New Roman"/>
      <w:sz w:val="30"/>
    </w:rPr>
  </w:style>
  <w:style w:type="paragraph" w:customStyle="1" w:styleId="Author">
    <w:name w:val="Author"/>
    <w:basedOn w:val="Normal"/>
    <w:next w:val="Address"/>
    <w:pPr>
      <w:framePr w:w="9923" w:hSpace="142" w:vSpace="142" w:wrap="notBeside" w:vAnchor="text" w:hAnchor="text" w:y="1"/>
      <w:spacing w:line="230" w:lineRule="exact"/>
      <w:jc w:val="left"/>
    </w:pPr>
  </w:style>
  <w:style w:type="paragraph" w:customStyle="1" w:styleId="Address">
    <w:name w:val="Address"/>
    <w:basedOn w:val="Normal"/>
    <w:next w:val="History"/>
    <w:pPr>
      <w:framePr w:w="9923" w:hSpace="142" w:vSpace="142" w:wrap="notBeside" w:vAnchor="text" w:hAnchor="text" w:y="1"/>
      <w:spacing w:after="40" w:line="205" w:lineRule="exact"/>
      <w:jc w:val="left"/>
    </w:pPr>
    <w:rPr>
      <w:sz w:val="18"/>
    </w:rPr>
  </w:style>
  <w:style w:type="paragraph" w:customStyle="1" w:styleId="History">
    <w:name w:val="History"/>
    <w:basedOn w:val="Normal"/>
    <w:next w:val="Abstract"/>
    <w:pPr>
      <w:framePr w:w="9923" w:hSpace="142" w:vSpace="142" w:wrap="notBeside" w:vAnchor="text" w:hAnchor="text" w:y="1"/>
      <w:spacing w:after="40" w:line="200" w:lineRule="exact"/>
      <w:jc w:val="left"/>
    </w:pPr>
    <w:rPr>
      <w:i/>
      <w:sz w:val="18"/>
    </w:rPr>
  </w:style>
  <w:style w:type="paragraph" w:customStyle="1" w:styleId="Abstract">
    <w:name w:val="Abstract"/>
    <w:basedOn w:val="Normal"/>
    <w:next w:val="AbstractKW"/>
    <w:pPr>
      <w:pBdr>
        <w:top w:val="single" w:sz="8" w:space="6" w:color="999999"/>
      </w:pBdr>
      <w:spacing w:line="205" w:lineRule="exact"/>
    </w:pPr>
    <w:rPr>
      <w:sz w:val="18"/>
    </w:rPr>
  </w:style>
  <w:style w:type="paragraph" w:customStyle="1" w:styleId="AbstractKW">
    <w:name w:val="AbstractKW"/>
    <w:basedOn w:val="Normal"/>
    <w:next w:val="Head1"/>
    <w:pPr>
      <w:pBdr>
        <w:bottom w:val="single" w:sz="8" w:space="6" w:color="999999"/>
      </w:pBdr>
      <w:spacing w:line="205" w:lineRule="exact"/>
    </w:pPr>
    <w:rPr>
      <w:sz w:val="18"/>
    </w:rPr>
  </w:style>
  <w:style w:type="paragraph" w:customStyle="1" w:styleId="Head1">
    <w:name w:val="Head1"/>
    <w:basedOn w:val="Heading2"/>
    <w:next w:val="Normal"/>
    <w:pPr>
      <w:tabs>
        <w:tab w:val="left" w:pos="709"/>
      </w:tabs>
      <w:spacing w:before="470" w:after="235"/>
      <w:ind w:left="709" w:hanging="709"/>
    </w:pPr>
    <w:rPr>
      <w:rFonts w:ascii="Times New Roman" w:hAnsi="Times New Roman"/>
      <w:i w:val="0"/>
      <w:sz w:val="22"/>
    </w:rPr>
  </w:style>
  <w:style w:type="paragraph" w:customStyle="1" w:styleId="FigCaption">
    <w:name w:val="FigCaption"/>
    <w:basedOn w:val="Normal"/>
    <w:next w:val="Normal"/>
    <w:pPr>
      <w:spacing w:before="80" w:after="315" w:line="200" w:lineRule="exact"/>
      <w:jc w:val="left"/>
    </w:pPr>
    <w:rPr>
      <w:sz w:val="17"/>
    </w:rPr>
  </w:style>
  <w:style w:type="paragraph" w:customStyle="1" w:styleId="FigImage">
    <w:name w:val="FigImage"/>
    <w:basedOn w:val="Normal"/>
    <w:next w:val="FigCaption"/>
    <w:pPr>
      <w:keepNext/>
      <w:keepLines/>
      <w:pBdr>
        <w:top w:val="single" w:sz="8" w:space="1" w:color="999999"/>
        <w:left w:val="single" w:sz="8" w:space="4" w:color="999999"/>
        <w:bottom w:val="single" w:sz="8" w:space="1" w:color="999999"/>
        <w:right w:val="single" w:sz="8" w:space="4" w:color="999999"/>
      </w:pBdr>
      <w:spacing w:before="315" w:after="0" w:line="240" w:lineRule="auto"/>
      <w:jc w:val="left"/>
    </w:pPr>
  </w:style>
  <w:style w:type="paragraph" w:customStyle="1" w:styleId="TDL">
    <w:name w:val="TDL"/>
    <w:basedOn w:val="Normal"/>
    <w:next w:val="TDLImage"/>
    <w:pPr>
      <w:shd w:val="clear" w:color="auto" w:fill="99CCFF"/>
      <w:spacing w:before="240" w:line="200" w:lineRule="exact"/>
      <w:jc w:val="left"/>
    </w:pPr>
    <w:rPr>
      <w:sz w:val="17"/>
    </w:rPr>
  </w:style>
  <w:style w:type="paragraph" w:customStyle="1" w:styleId="TDLImage">
    <w:name w:val="TDLImage"/>
    <w:basedOn w:val="TDL"/>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DH">
    <w:name w:val="TDH"/>
    <w:basedOn w:val="Normal"/>
    <w:pPr>
      <w:shd w:val="clear" w:color="auto" w:fill="E6E6E6"/>
      <w:spacing w:after="0" w:line="200" w:lineRule="atLeast"/>
      <w:jc w:val="left"/>
    </w:pPr>
    <w:rPr>
      <w:sz w:val="17"/>
    </w:rPr>
  </w:style>
  <w:style w:type="paragraph" w:customStyle="1" w:styleId="TD">
    <w:name w:val="TD"/>
    <w:basedOn w:val="Normal"/>
    <w:pPr>
      <w:spacing w:after="0" w:line="200" w:lineRule="atLeast"/>
      <w:jc w:val="left"/>
    </w:pPr>
    <w:rPr>
      <w:sz w:val="17"/>
    </w:rPr>
  </w:style>
  <w:style w:type="paragraph" w:customStyle="1" w:styleId="TDFN">
    <w:name w:val="TDFN"/>
    <w:basedOn w:val="TD"/>
    <w:pPr>
      <w:shd w:val="clear" w:color="auto" w:fill="F3F3F3"/>
    </w:pPr>
  </w:style>
  <w:style w:type="paragraph" w:customStyle="1" w:styleId="TDImage">
    <w:name w:val="TDImage"/>
    <w:basedOn w:val="TD"/>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Head2">
    <w:name w:val="Head2"/>
    <w:basedOn w:val="Heading3"/>
    <w:next w:val="Normal"/>
    <w:pPr>
      <w:spacing w:before="470" w:after="235"/>
      <w:ind w:left="709" w:hanging="709"/>
    </w:pPr>
    <w:rPr>
      <w:rFonts w:ascii="Times New Roman" w:hAnsi="Times New Roman"/>
      <w:sz w:val="22"/>
    </w:rPr>
  </w:style>
  <w:style w:type="paragraph" w:customStyle="1" w:styleId="HeadAckno">
    <w:name w:val="HeadAckno"/>
    <w:basedOn w:val="Heading3"/>
    <w:next w:val="Ackno"/>
    <w:pPr>
      <w:spacing w:before="235" w:after="120"/>
    </w:pPr>
    <w:rPr>
      <w:rFonts w:ascii="Times New Roman" w:hAnsi="Times New Roman"/>
      <w:sz w:val="21"/>
    </w:rPr>
  </w:style>
  <w:style w:type="paragraph" w:customStyle="1" w:styleId="Ackno">
    <w:name w:val="Ackno"/>
    <w:basedOn w:val="Normal"/>
    <w:pPr>
      <w:spacing w:line="205" w:lineRule="exact"/>
    </w:pPr>
    <w:rPr>
      <w:sz w:val="18"/>
    </w:rPr>
  </w:style>
  <w:style w:type="paragraph" w:customStyle="1" w:styleId="HeadRefs">
    <w:name w:val="HeadRefs"/>
    <w:basedOn w:val="Heading3"/>
    <w:next w:val="Ref"/>
    <w:pPr>
      <w:spacing w:before="235" w:after="120"/>
    </w:pPr>
    <w:rPr>
      <w:rFonts w:ascii="Times New Roman" w:hAnsi="Times New Roman"/>
      <w:sz w:val="21"/>
    </w:rPr>
  </w:style>
  <w:style w:type="paragraph" w:customStyle="1" w:styleId="Ref">
    <w:name w:val="Ref"/>
    <w:basedOn w:val="Normal"/>
    <w:pPr>
      <w:numPr>
        <w:numId w:val="1"/>
      </w:numPr>
      <w:spacing w:after="0" w:line="205" w:lineRule="exact"/>
      <w:jc w:val="left"/>
    </w:pPr>
    <w:rPr>
      <w:sz w:val="18"/>
    </w:rPr>
  </w:style>
  <w:style w:type="paragraph" w:styleId="Footer">
    <w:name w:val="footer"/>
    <w:basedOn w:val="Normal"/>
    <w:pPr>
      <w:tabs>
        <w:tab w:val="center" w:pos="7020"/>
        <w:tab w:val="right" w:pos="9900"/>
      </w:tabs>
    </w:pPr>
    <w:rPr>
      <w:sz w:val="16"/>
    </w:rPr>
  </w:style>
  <w:style w:type="character" w:styleId="PageNumber">
    <w:name w:val="page number"/>
    <w:basedOn w:val="DefaultParagraphFont"/>
  </w:style>
  <w:style w:type="paragraph" w:customStyle="1" w:styleId="Fax">
    <w:name w:val="Fax"/>
    <w:basedOn w:val="Address"/>
    <w:pPr>
      <w:framePr w:wrap="notBeside"/>
    </w:pPr>
    <w:rPr>
      <w:szCs w:val="24"/>
    </w:rPr>
  </w:style>
  <w:style w:type="paragraph" w:customStyle="1" w:styleId="ToC">
    <w:name w:val="ToC"/>
    <w:basedOn w:val="Abstract"/>
    <w:next w:val="AbstractKW"/>
    <w:pPr>
      <w:pBdr>
        <w:top w:val="none" w:sz="0" w:space="0" w:color="auto"/>
      </w:pBdr>
      <w:spacing w:after="0"/>
      <w:ind w:left="510" w:hanging="510"/>
    </w:pPr>
  </w:style>
  <w:style w:type="paragraph" w:customStyle="1" w:styleId="Email">
    <w:name w:val="Email"/>
    <w:basedOn w:val="Fax"/>
    <w:next w:val="History"/>
    <w:pPr>
      <w:framePr w:wrap="notBeside"/>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ioSketch">
    <w:name w:val="BioSketch"/>
    <w:basedOn w:val="Normal"/>
    <w:pPr>
      <w:pBdr>
        <w:left w:val="single" w:sz="8" w:space="4" w:color="999999"/>
      </w:pBdr>
      <w:spacing w:before="320" w:after="0" w:line="235" w:lineRule="atLeast"/>
    </w:pPr>
  </w:style>
  <w:style w:type="paragraph" w:customStyle="1" w:styleId="Head3">
    <w:name w:val="Head3"/>
    <w:basedOn w:val="Heading4"/>
    <w:next w:val="Normal"/>
    <w:pPr>
      <w:spacing w:before="470" w:after="235"/>
      <w:ind w:left="709" w:hanging="709"/>
    </w:pPr>
    <w:rPr>
      <w:sz w:val="22"/>
    </w:rPr>
  </w:style>
  <w:style w:type="paragraph" w:customStyle="1" w:styleId="Head4">
    <w:name w:val="Head4"/>
    <w:basedOn w:val="Heading5"/>
    <w:next w:val="Normal"/>
    <w:pPr>
      <w:spacing w:before="470" w:after="235"/>
      <w:ind w:left="709" w:hanging="709"/>
    </w:pPr>
    <w:rPr>
      <w:i w:val="0"/>
      <w:sz w:val="22"/>
    </w:rPr>
  </w:style>
  <w:style w:type="paragraph" w:customStyle="1" w:styleId="Head5">
    <w:name w:val="Head5"/>
    <w:basedOn w:val="Heading6"/>
    <w:next w:val="Normal"/>
    <w:pPr>
      <w:spacing w:before="470" w:after="235"/>
      <w:ind w:left="709" w:hanging="709"/>
    </w:pPr>
  </w:style>
  <w:style w:type="paragraph" w:customStyle="1" w:styleId="SchemeImage">
    <w:name w:val="SchemeImage"/>
    <w:basedOn w:val="FigImage"/>
    <w:next w:val="SchemeCaption"/>
  </w:style>
  <w:style w:type="paragraph" w:customStyle="1" w:styleId="SchemeCaption">
    <w:name w:val="SchemeCaption"/>
    <w:basedOn w:val="FigCaption"/>
    <w:next w:val="Normal"/>
  </w:style>
  <w:style w:type="paragraph" w:customStyle="1" w:styleId="EquImage">
    <w:name w:val="EquImage"/>
    <w:basedOn w:val="FigImage"/>
    <w:next w:val="EquCaption"/>
  </w:style>
  <w:style w:type="paragraph" w:customStyle="1" w:styleId="EquCaption">
    <w:name w:val="EquCaption"/>
    <w:basedOn w:val="FigCaption"/>
    <w:next w:val="Normal"/>
  </w:style>
  <w:style w:type="paragraph" w:customStyle="1" w:styleId="Dedication">
    <w:name w:val="Dedication"/>
    <w:basedOn w:val="History"/>
    <w:next w:val="Abstract"/>
    <w:pPr>
      <w:framePr w:wrap="notBeside"/>
    </w:pPr>
  </w:style>
  <w:style w:type="paragraph" w:customStyle="1" w:styleId="BioSketchT">
    <w:name w:val="BioSketchT"/>
    <w:basedOn w:val="Author"/>
    <w:next w:val="Address"/>
    <w:pPr>
      <w:framePr w:wrap="notBeside"/>
    </w:pPr>
  </w:style>
  <w:style w:type="paragraph" w:customStyle="1" w:styleId="Experimental">
    <w:name w:val="Experimental"/>
    <w:basedOn w:val="Normal"/>
  </w:style>
  <w:style w:type="paragraph" w:styleId="BalloonText">
    <w:name w:val="Balloon Text"/>
    <w:basedOn w:val="Normal"/>
    <w:link w:val="BalloonTextChar"/>
    <w:rsid w:val="003D1E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D1E64"/>
    <w:rPr>
      <w:rFonts w:ascii="Lucida Grande" w:hAnsi="Lucida Grande" w:cs="Lucida Grande"/>
      <w:kern w:val="18"/>
      <w:sz w:val="18"/>
      <w:szCs w:val="18"/>
      <w:lang w:val="en-US" w:eastAsia="de-DE"/>
    </w:rPr>
  </w:style>
  <w:style w:type="table" w:styleId="TableGrid">
    <w:name w:val="Table Grid"/>
    <w:basedOn w:val="TableNormal"/>
    <w:rsid w:val="00683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line="235" w:lineRule="exact"/>
      <w:jc w:val="both"/>
    </w:pPr>
    <w:rPr>
      <w:kern w:val="18"/>
      <w:sz w:val="21"/>
      <w:lang w:val="en-US" w:eastAsia="de-DE"/>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right" w:pos="9900"/>
      </w:tabs>
    </w:pPr>
    <w:rPr>
      <w:sz w:val="20"/>
    </w:rPr>
  </w:style>
  <w:style w:type="paragraph" w:customStyle="1" w:styleId="MainTitle">
    <w:name w:val="MainTitle"/>
    <w:basedOn w:val="Heading1"/>
    <w:next w:val="Author"/>
    <w:pPr>
      <w:keepLines/>
      <w:framePr w:w="9923" w:hSpace="142" w:vSpace="142" w:wrap="notBeside" w:vAnchor="text" w:hAnchor="text" w:y="1" w:anchorLock="1"/>
      <w:spacing w:after="120" w:line="340" w:lineRule="exact"/>
    </w:pPr>
    <w:rPr>
      <w:rFonts w:ascii="Times New Roman" w:hAnsi="Times New Roman"/>
      <w:sz w:val="30"/>
    </w:rPr>
  </w:style>
  <w:style w:type="paragraph" w:customStyle="1" w:styleId="Author">
    <w:name w:val="Author"/>
    <w:basedOn w:val="Normal"/>
    <w:next w:val="Address"/>
    <w:pPr>
      <w:framePr w:w="9923" w:hSpace="142" w:vSpace="142" w:wrap="notBeside" w:vAnchor="text" w:hAnchor="text" w:y="1"/>
      <w:spacing w:line="230" w:lineRule="exact"/>
      <w:jc w:val="left"/>
    </w:pPr>
  </w:style>
  <w:style w:type="paragraph" w:customStyle="1" w:styleId="Address">
    <w:name w:val="Address"/>
    <w:basedOn w:val="Normal"/>
    <w:next w:val="History"/>
    <w:pPr>
      <w:framePr w:w="9923" w:hSpace="142" w:vSpace="142" w:wrap="notBeside" w:vAnchor="text" w:hAnchor="text" w:y="1"/>
      <w:spacing w:after="40" w:line="205" w:lineRule="exact"/>
      <w:jc w:val="left"/>
    </w:pPr>
    <w:rPr>
      <w:sz w:val="18"/>
    </w:rPr>
  </w:style>
  <w:style w:type="paragraph" w:customStyle="1" w:styleId="History">
    <w:name w:val="History"/>
    <w:basedOn w:val="Normal"/>
    <w:next w:val="Abstract"/>
    <w:pPr>
      <w:framePr w:w="9923" w:hSpace="142" w:vSpace="142" w:wrap="notBeside" w:vAnchor="text" w:hAnchor="text" w:y="1"/>
      <w:spacing w:after="40" w:line="200" w:lineRule="exact"/>
      <w:jc w:val="left"/>
    </w:pPr>
    <w:rPr>
      <w:i/>
      <w:sz w:val="18"/>
    </w:rPr>
  </w:style>
  <w:style w:type="paragraph" w:customStyle="1" w:styleId="Abstract">
    <w:name w:val="Abstract"/>
    <w:basedOn w:val="Normal"/>
    <w:next w:val="AbstractKW"/>
    <w:pPr>
      <w:pBdr>
        <w:top w:val="single" w:sz="8" w:space="6" w:color="999999"/>
      </w:pBdr>
      <w:spacing w:line="205" w:lineRule="exact"/>
    </w:pPr>
    <w:rPr>
      <w:sz w:val="18"/>
    </w:rPr>
  </w:style>
  <w:style w:type="paragraph" w:customStyle="1" w:styleId="AbstractKW">
    <w:name w:val="AbstractKW"/>
    <w:basedOn w:val="Normal"/>
    <w:next w:val="Head1"/>
    <w:pPr>
      <w:pBdr>
        <w:bottom w:val="single" w:sz="8" w:space="6" w:color="999999"/>
      </w:pBdr>
      <w:spacing w:line="205" w:lineRule="exact"/>
    </w:pPr>
    <w:rPr>
      <w:sz w:val="18"/>
    </w:rPr>
  </w:style>
  <w:style w:type="paragraph" w:customStyle="1" w:styleId="Head1">
    <w:name w:val="Head1"/>
    <w:basedOn w:val="Heading2"/>
    <w:next w:val="Normal"/>
    <w:pPr>
      <w:tabs>
        <w:tab w:val="left" w:pos="709"/>
      </w:tabs>
      <w:spacing w:before="470" w:after="235"/>
      <w:ind w:left="709" w:hanging="709"/>
    </w:pPr>
    <w:rPr>
      <w:rFonts w:ascii="Times New Roman" w:hAnsi="Times New Roman"/>
      <w:i w:val="0"/>
      <w:sz w:val="22"/>
    </w:rPr>
  </w:style>
  <w:style w:type="paragraph" w:customStyle="1" w:styleId="FigCaption">
    <w:name w:val="FigCaption"/>
    <w:basedOn w:val="Normal"/>
    <w:next w:val="Normal"/>
    <w:pPr>
      <w:spacing w:before="80" w:after="315" w:line="200" w:lineRule="exact"/>
      <w:jc w:val="left"/>
    </w:pPr>
    <w:rPr>
      <w:sz w:val="17"/>
    </w:rPr>
  </w:style>
  <w:style w:type="paragraph" w:customStyle="1" w:styleId="FigImage">
    <w:name w:val="FigImage"/>
    <w:basedOn w:val="Normal"/>
    <w:next w:val="FigCaption"/>
    <w:pPr>
      <w:keepNext/>
      <w:keepLines/>
      <w:pBdr>
        <w:top w:val="single" w:sz="8" w:space="1" w:color="999999"/>
        <w:left w:val="single" w:sz="8" w:space="4" w:color="999999"/>
        <w:bottom w:val="single" w:sz="8" w:space="1" w:color="999999"/>
        <w:right w:val="single" w:sz="8" w:space="4" w:color="999999"/>
      </w:pBdr>
      <w:spacing w:before="315" w:after="0" w:line="240" w:lineRule="auto"/>
      <w:jc w:val="left"/>
    </w:pPr>
  </w:style>
  <w:style w:type="paragraph" w:customStyle="1" w:styleId="TDL">
    <w:name w:val="TDL"/>
    <w:basedOn w:val="Normal"/>
    <w:next w:val="TDLImage"/>
    <w:pPr>
      <w:shd w:val="clear" w:color="auto" w:fill="99CCFF"/>
      <w:spacing w:before="240" w:line="200" w:lineRule="exact"/>
      <w:jc w:val="left"/>
    </w:pPr>
    <w:rPr>
      <w:sz w:val="17"/>
    </w:rPr>
  </w:style>
  <w:style w:type="paragraph" w:customStyle="1" w:styleId="TDLImage">
    <w:name w:val="TDLImage"/>
    <w:basedOn w:val="TDL"/>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DH">
    <w:name w:val="TDH"/>
    <w:basedOn w:val="Normal"/>
    <w:pPr>
      <w:shd w:val="clear" w:color="auto" w:fill="E6E6E6"/>
      <w:spacing w:after="0" w:line="200" w:lineRule="atLeast"/>
      <w:jc w:val="left"/>
    </w:pPr>
    <w:rPr>
      <w:sz w:val="17"/>
    </w:rPr>
  </w:style>
  <w:style w:type="paragraph" w:customStyle="1" w:styleId="TD">
    <w:name w:val="TD"/>
    <w:basedOn w:val="Normal"/>
    <w:pPr>
      <w:spacing w:after="0" w:line="200" w:lineRule="atLeast"/>
      <w:jc w:val="left"/>
    </w:pPr>
    <w:rPr>
      <w:sz w:val="17"/>
    </w:rPr>
  </w:style>
  <w:style w:type="paragraph" w:customStyle="1" w:styleId="TDFN">
    <w:name w:val="TDFN"/>
    <w:basedOn w:val="TD"/>
    <w:pPr>
      <w:shd w:val="clear" w:color="auto" w:fill="F3F3F3"/>
    </w:pPr>
  </w:style>
  <w:style w:type="paragraph" w:customStyle="1" w:styleId="TDImage">
    <w:name w:val="TDImage"/>
    <w:basedOn w:val="TD"/>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Head2">
    <w:name w:val="Head2"/>
    <w:basedOn w:val="Heading3"/>
    <w:next w:val="Normal"/>
    <w:pPr>
      <w:spacing w:before="470" w:after="235"/>
      <w:ind w:left="709" w:hanging="709"/>
    </w:pPr>
    <w:rPr>
      <w:rFonts w:ascii="Times New Roman" w:hAnsi="Times New Roman"/>
      <w:sz w:val="22"/>
    </w:rPr>
  </w:style>
  <w:style w:type="paragraph" w:customStyle="1" w:styleId="HeadAckno">
    <w:name w:val="HeadAckno"/>
    <w:basedOn w:val="Heading3"/>
    <w:next w:val="Ackno"/>
    <w:pPr>
      <w:spacing w:before="235" w:after="120"/>
    </w:pPr>
    <w:rPr>
      <w:rFonts w:ascii="Times New Roman" w:hAnsi="Times New Roman"/>
      <w:sz w:val="21"/>
    </w:rPr>
  </w:style>
  <w:style w:type="paragraph" w:customStyle="1" w:styleId="Ackno">
    <w:name w:val="Ackno"/>
    <w:basedOn w:val="Normal"/>
    <w:pPr>
      <w:spacing w:line="205" w:lineRule="exact"/>
    </w:pPr>
    <w:rPr>
      <w:sz w:val="18"/>
    </w:rPr>
  </w:style>
  <w:style w:type="paragraph" w:customStyle="1" w:styleId="HeadRefs">
    <w:name w:val="HeadRefs"/>
    <w:basedOn w:val="Heading3"/>
    <w:next w:val="Ref"/>
    <w:pPr>
      <w:spacing w:before="235" w:after="120"/>
    </w:pPr>
    <w:rPr>
      <w:rFonts w:ascii="Times New Roman" w:hAnsi="Times New Roman"/>
      <w:sz w:val="21"/>
    </w:rPr>
  </w:style>
  <w:style w:type="paragraph" w:customStyle="1" w:styleId="Ref">
    <w:name w:val="Ref"/>
    <w:basedOn w:val="Normal"/>
    <w:pPr>
      <w:numPr>
        <w:numId w:val="1"/>
      </w:numPr>
      <w:spacing w:after="0" w:line="205" w:lineRule="exact"/>
      <w:jc w:val="left"/>
    </w:pPr>
    <w:rPr>
      <w:sz w:val="18"/>
    </w:rPr>
  </w:style>
  <w:style w:type="paragraph" w:styleId="Footer">
    <w:name w:val="footer"/>
    <w:basedOn w:val="Normal"/>
    <w:pPr>
      <w:tabs>
        <w:tab w:val="center" w:pos="7020"/>
        <w:tab w:val="right" w:pos="9900"/>
      </w:tabs>
    </w:pPr>
    <w:rPr>
      <w:sz w:val="16"/>
    </w:rPr>
  </w:style>
  <w:style w:type="character" w:styleId="PageNumber">
    <w:name w:val="page number"/>
    <w:basedOn w:val="DefaultParagraphFont"/>
  </w:style>
  <w:style w:type="paragraph" w:customStyle="1" w:styleId="Fax">
    <w:name w:val="Fax"/>
    <w:basedOn w:val="Address"/>
    <w:pPr>
      <w:framePr w:wrap="notBeside"/>
    </w:pPr>
    <w:rPr>
      <w:szCs w:val="24"/>
    </w:rPr>
  </w:style>
  <w:style w:type="paragraph" w:customStyle="1" w:styleId="ToC">
    <w:name w:val="ToC"/>
    <w:basedOn w:val="Abstract"/>
    <w:next w:val="AbstractKW"/>
    <w:pPr>
      <w:pBdr>
        <w:top w:val="none" w:sz="0" w:space="0" w:color="auto"/>
      </w:pBdr>
      <w:spacing w:after="0"/>
      <w:ind w:left="510" w:hanging="510"/>
    </w:pPr>
  </w:style>
  <w:style w:type="paragraph" w:customStyle="1" w:styleId="Email">
    <w:name w:val="Email"/>
    <w:basedOn w:val="Fax"/>
    <w:next w:val="History"/>
    <w:pPr>
      <w:framePr w:wrap="notBeside"/>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ioSketch">
    <w:name w:val="BioSketch"/>
    <w:basedOn w:val="Normal"/>
    <w:pPr>
      <w:pBdr>
        <w:left w:val="single" w:sz="8" w:space="4" w:color="999999"/>
      </w:pBdr>
      <w:spacing w:before="320" w:after="0" w:line="235" w:lineRule="atLeast"/>
    </w:pPr>
  </w:style>
  <w:style w:type="paragraph" w:customStyle="1" w:styleId="Head3">
    <w:name w:val="Head3"/>
    <w:basedOn w:val="Heading4"/>
    <w:next w:val="Normal"/>
    <w:pPr>
      <w:spacing w:before="470" w:after="235"/>
      <w:ind w:left="709" w:hanging="709"/>
    </w:pPr>
    <w:rPr>
      <w:sz w:val="22"/>
    </w:rPr>
  </w:style>
  <w:style w:type="paragraph" w:customStyle="1" w:styleId="Head4">
    <w:name w:val="Head4"/>
    <w:basedOn w:val="Heading5"/>
    <w:next w:val="Normal"/>
    <w:pPr>
      <w:spacing w:before="470" w:after="235"/>
      <w:ind w:left="709" w:hanging="709"/>
    </w:pPr>
    <w:rPr>
      <w:i w:val="0"/>
      <w:sz w:val="22"/>
    </w:rPr>
  </w:style>
  <w:style w:type="paragraph" w:customStyle="1" w:styleId="Head5">
    <w:name w:val="Head5"/>
    <w:basedOn w:val="Heading6"/>
    <w:next w:val="Normal"/>
    <w:pPr>
      <w:spacing w:before="470" w:after="235"/>
      <w:ind w:left="709" w:hanging="709"/>
    </w:pPr>
  </w:style>
  <w:style w:type="paragraph" w:customStyle="1" w:styleId="SchemeImage">
    <w:name w:val="SchemeImage"/>
    <w:basedOn w:val="FigImage"/>
    <w:next w:val="SchemeCaption"/>
  </w:style>
  <w:style w:type="paragraph" w:customStyle="1" w:styleId="SchemeCaption">
    <w:name w:val="SchemeCaption"/>
    <w:basedOn w:val="FigCaption"/>
    <w:next w:val="Normal"/>
  </w:style>
  <w:style w:type="paragraph" w:customStyle="1" w:styleId="EquImage">
    <w:name w:val="EquImage"/>
    <w:basedOn w:val="FigImage"/>
    <w:next w:val="EquCaption"/>
  </w:style>
  <w:style w:type="paragraph" w:customStyle="1" w:styleId="EquCaption">
    <w:name w:val="EquCaption"/>
    <w:basedOn w:val="FigCaption"/>
    <w:next w:val="Normal"/>
  </w:style>
  <w:style w:type="paragraph" w:customStyle="1" w:styleId="Dedication">
    <w:name w:val="Dedication"/>
    <w:basedOn w:val="History"/>
    <w:next w:val="Abstract"/>
    <w:pPr>
      <w:framePr w:wrap="notBeside"/>
    </w:pPr>
  </w:style>
  <w:style w:type="paragraph" w:customStyle="1" w:styleId="BioSketchT">
    <w:name w:val="BioSketchT"/>
    <w:basedOn w:val="Author"/>
    <w:next w:val="Address"/>
    <w:pPr>
      <w:framePr w:wrap="notBeside"/>
    </w:pPr>
  </w:style>
  <w:style w:type="paragraph" w:customStyle="1" w:styleId="Experimental">
    <w:name w:val="Experimental"/>
    <w:basedOn w:val="Normal"/>
  </w:style>
  <w:style w:type="paragraph" w:styleId="BalloonText">
    <w:name w:val="Balloon Text"/>
    <w:basedOn w:val="Normal"/>
    <w:link w:val="BalloonTextChar"/>
    <w:rsid w:val="003D1E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D1E64"/>
    <w:rPr>
      <w:rFonts w:ascii="Lucida Grande" w:hAnsi="Lucida Grande" w:cs="Lucida Grande"/>
      <w:kern w:val="18"/>
      <w:sz w:val="18"/>
      <w:szCs w:val="18"/>
      <w:lang w:val="en-US" w:eastAsia="de-DE"/>
    </w:rPr>
  </w:style>
  <w:style w:type="table" w:styleId="TableGrid">
    <w:name w:val="Table Grid"/>
    <w:basedOn w:val="TableNormal"/>
    <w:rsid w:val="00683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image" Target="media/image15.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hieme\Work%20Things\Template%20v1.3.2%20May%202014\SynthesisSynlett_v1.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64ED-5CBF-AB46-97D2-34333B59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\Thieme\Work Things\Template v1.3.2 May 2014\SynthesisSynlett_v1.3.2.dot</Template>
  <TotalTime>71</TotalTime>
  <Pages>4</Pages>
  <Words>1951</Words>
  <Characters>11121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Template for Writing Articles for Thieme Chemistry Journals</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Writing Articles for Thieme Chemistry Journals</dc:title>
  <dc:creator>Boothroyd</dc:creator>
  <dc:description>Template for Writing Articles for Thieme Chemistry Journals</dc:description>
  <cp:lastModifiedBy>Phil Page</cp:lastModifiedBy>
  <cp:revision>74</cp:revision>
  <cp:lastPrinted>2015-06-29T21:03:00Z</cp:lastPrinted>
  <dcterms:created xsi:type="dcterms:W3CDTF">2014-05-12T17:03:00Z</dcterms:created>
  <dcterms:modified xsi:type="dcterms:W3CDTF">2015-08-07T19:30:00Z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2002 Ziegler + Müller, programming: Marc Jung</vt:lpwstr>
  </property>
</Properties>
</file>