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81AF" w14:textId="510BEEF3" w:rsidR="00293B3E" w:rsidRDefault="00F34C74" w:rsidP="00527C13">
      <w:pPr>
        <w:rPr>
          <w:rFonts w:ascii="Arial" w:hAnsi="Arial" w:cs="Arial"/>
          <w:b/>
          <w:bCs/>
        </w:rPr>
      </w:pPr>
      <w:bookmarkStart w:id="0" w:name="_Toc369951256"/>
      <w:r>
        <w:rPr>
          <w:rFonts w:ascii="Arial" w:hAnsi="Arial" w:cs="Arial"/>
          <w:b/>
          <w:bCs/>
        </w:rPr>
        <w:t>R</w:t>
      </w:r>
      <w:r w:rsidR="00293B3E">
        <w:rPr>
          <w:rFonts w:ascii="Arial" w:hAnsi="Arial" w:cs="Arial"/>
          <w:b/>
          <w:bCs/>
        </w:rPr>
        <w:t>e-submission</w:t>
      </w:r>
      <w:r w:rsidR="00D86339">
        <w:rPr>
          <w:rFonts w:ascii="Arial" w:hAnsi="Arial" w:cs="Arial"/>
          <w:b/>
          <w:bCs/>
        </w:rPr>
        <w:t xml:space="preserve"> 2</w:t>
      </w:r>
      <w:r w:rsidR="001C19F9">
        <w:rPr>
          <w:rFonts w:ascii="Arial" w:hAnsi="Arial" w:cs="Arial"/>
          <w:b/>
          <w:bCs/>
        </w:rPr>
        <w:t xml:space="preserve"> </w:t>
      </w:r>
    </w:p>
    <w:p w14:paraId="73ABEEE9" w14:textId="77777777" w:rsidR="00293B3E" w:rsidRDefault="00293B3E" w:rsidP="00527C13">
      <w:pPr>
        <w:rPr>
          <w:rFonts w:ascii="Arial" w:hAnsi="Arial" w:cs="Arial"/>
          <w:b/>
          <w:bCs/>
        </w:rPr>
      </w:pPr>
    </w:p>
    <w:p w14:paraId="25F966C5" w14:textId="77777777" w:rsidR="00CD1BF5" w:rsidRPr="00CD1BF5" w:rsidRDefault="00CD1BF5" w:rsidP="00527C13">
      <w:pPr>
        <w:rPr>
          <w:rFonts w:ascii="Arial" w:hAnsi="Arial" w:cs="Arial"/>
          <w:b/>
          <w:bCs/>
        </w:rPr>
      </w:pPr>
      <w:r w:rsidRPr="00CD1BF5">
        <w:rPr>
          <w:rFonts w:ascii="Arial" w:hAnsi="Arial" w:cs="Arial"/>
          <w:b/>
          <w:bCs/>
        </w:rPr>
        <w:t>Title Page</w:t>
      </w:r>
      <w:r w:rsidR="00293B3E">
        <w:rPr>
          <w:rFonts w:ascii="Arial" w:hAnsi="Arial" w:cs="Arial"/>
          <w:b/>
          <w:bCs/>
        </w:rPr>
        <w:t xml:space="preserve"> </w:t>
      </w:r>
    </w:p>
    <w:p w14:paraId="6BE84C6F" w14:textId="77777777" w:rsidR="00CD1BF5" w:rsidRPr="00CD1BF5" w:rsidRDefault="00CD1BF5" w:rsidP="00527C13">
      <w:pPr>
        <w:rPr>
          <w:rFonts w:ascii="Arial" w:hAnsi="Arial" w:cs="Arial"/>
          <w:bCs/>
          <w:u w:val="single"/>
        </w:rPr>
      </w:pPr>
      <w:r w:rsidRPr="00CD1BF5">
        <w:rPr>
          <w:rFonts w:ascii="Arial" w:hAnsi="Arial" w:cs="Arial"/>
          <w:bCs/>
          <w:u w:val="single"/>
        </w:rPr>
        <w:t>Title</w:t>
      </w:r>
    </w:p>
    <w:p w14:paraId="49C9395B" w14:textId="77777777" w:rsidR="00AB790A" w:rsidRPr="00CD1BF5" w:rsidRDefault="00DB338A" w:rsidP="00527C13">
      <w:pPr>
        <w:rPr>
          <w:rFonts w:ascii="Arial" w:hAnsi="Arial" w:cs="Arial"/>
          <w:bCs/>
        </w:rPr>
      </w:pPr>
      <w:r w:rsidRPr="00CD1BF5">
        <w:rPr>
          <w:rFonts w:ascii="Arial" w:hAnsi="Arial" w:cs="Arial"/>
          <w:bCs/>
        </w:rPr>
        <w:t>A</w:t>
      </w:r>
      <w:r w:rsidR="00990A2C" w:rsidRPr="00CD1BF5">
        <w:rPr>
          <w:rFonts w:ascii="Arial" w:hAnsi="Arial" w:cs="Arial"/>
          <w:bCs/>
        </w:rPr>
        <w:t xml:space="preserve"> spatial</w:t>
      </w:r>
      <w:r w:rsidRPr="00CD1BF5">
        <w:rPr>
          <w:rFonts w:ascii="Arial" w:hAnsi="Arial" w:cs="Arial"/>
          <w:bCs/>
        </w:rPr>
        <w:t xml:space="preserve"> equity analysis of a</w:t>
      </w:r>
      <w:r w:rsidR="00BC6CFF" w:rsidRPr="00CD1BF5">
        <w:rPr>
          <w:rFonts w:ascii="Arial" w:hAnsi="Arial" w:cs="Arial"/>
          <w:bCs/>
        </w:rPr>
        <w:t xml:space="preserve"> public health in</w:t>
      </w:r>
      <w:r w:rsidRPr="00CD1BF5">
        <w:rPr>
          <w:rFonts w:ascii="Arial" w:hAnsi="Arial" w:cs="Arial"/>
          <w:bCs/>
        </w:rPr>
        <w:t xml:space="preserve">tervention: </w:t>
      </w:r>
      <w:r w:rsidR="00BC6CFF" w:rsidRPr="00CD1BF5">
        <w:rPr>
          <w:rFonts w:ascii="Arial" w:hAnsi="Arial" w:cs="Arial"/>
          <w:bCs/>
        </w:rPr>
        <w:t>A case study</w:t>
      </w:r>
      <w:r w:rsidR="00CD1BF5">
        <w:rPr>
          <w:rFonts w:ascii="Arial" w:hAnsi="Arial" w:cs="Arial"/>
          <w:bCs/>
        </w:rPr>
        <w:t xml:space="preserve"> of an outdoor</w:t>
      </w:r>
      <w:r w:rsidR="007C141A" w:rsidRPr="00CD1BF5">
        <w:rPr>
          <w:rFonts w:ascii="Arial" w:hAnsi="Arial" w:cs="Arial"/>
          <w:bCs/>
        </w:rPr>
        <w:t xml:space="preserve"> walking group provider</w:t>
      </w:r>
      <w:r w:rsidRPr="00CD1BF5">
        <w:rPr>
          <w:rFonts w:ascii="Arial" w:hAnsi="Arial" w:cs="Arial"/>
          <w:bCs/>
        </w:rPr>
        <w:t xml:space="preserve"> within local authorities in England</w:t>
      </w:r>
    </w:p>
    <w:p w14:paraId="47AA3BCA" w14:textId="77777777" w:rsidR="00CD1BF5" w:rsidRPr="00CD1BF5" w:rsidRDefault="00CD1BF5" w:rsidP="00CD1BF5">
      <w:pPr>
        <w:spacing w:after="0" w:line="240" w:lineRule="auto"/>
        <w:rPr>
          <w:rFonts w:ascii="Arial" w:hAnsi="Arial" w:cs="Arial"/>
          <w:bCs/>
          <w:u w:val="single"/>
        </w:rPr>
      </w:pPr>
      <w:r w:rsidRPr="00CD1BF5">
        <w:rPr>
          <w:rFonts w:ascii="Arial" w:hAnsi="Arial" w:cs="Arial"/>
          <w:bCs/>
          <w:u w:val="single"/>
        </w:rPr>
        <w:t>Corresponding author</w:t>
      </w:r>
    </w:p>
    <w:p w14:paraId="68C48527" w14:textId="77777777" w:rsidR="00CD1BF5" w:rsidRPr="00CD1BF5" w:rsidRDefault="00CD1BF5" w:rsidP="00CD1BF5">
      <w:pPr>
        <w:spacing w:after="0" w:line="240" w:lineRule="auto"/>
        <w:rPr>
          <w:rFonts w:ascii="Arial" w:hAnsi="Arial" w:cs="Arial"/>
          <w:b/>
          <w:bCs/>
        </w:rPr>
      </w:pPr>
    </w:p>
    <w:p w14:paraId="56352207" w14:textId="77777777" w:rsidR="00CD1BF5" w:rsidRPr="00CD1BF5" w:rsidRDefault="00CD1BF5" w:rsidP="00CD1BF5">
      <w:pPr>
        <w:rPr>
          <w:rFonts w:ascii="Arial" w:hAnsi="Arial" w:cs="Arial"/>
        </w:rPr>
      </w:pPr>
      <w:r w:rsidRPr="00CD1BF5">
        <w:rPr>
          <w:rFonts w:ascii="Arial" w:hAnsi="Arial" w:cs="Arial"/>
        </w:rPr>
        <w:t>Sarah Hanson, PhD student. Norwich Medical School, University of East Anglia, Norwich, Norfolk. U</w:t>
      </w:r>
      <w:r w:rsidR="00A97AF0">
        <w:rPr>
          <w:rFonts w:ascii="Arial" w:hAnsi="Arial" w:cs="Arial"/>
        </w:rPr>
        <w:t xml:space="preserve">nited </w:t>
      </w:r>
      <w:r w:rsidRPr="00CD1BF5">
        <w:rPr>
          <w:rFonts w:ascii="Arial" w:hAnsi="Arial" w:cs="Arial"/>
        </w:rPr>
        <w:t>K</w:t>
      </w:r>
      <w:r w:rsidR="00A97AF0">
        <w:rPr>
          <w:rFonts w:ascii="Arial" w:hAnsi="Arial" w:cs="Arial"/>
        </w:rPr>
        <w:t>ingdom</w:t>
      </w:r>
      <w:r w:rsidRPr="00CD1BF5">
        <w:rPr>
          <w:rFonts w:ascii="Arial" w:hAnsi="Arial" w:cs="Arial"/>
        </w:rPr>
        <w:t xml:space="preserve"> NR4 7TJ </w:t>
      </w:r>
      <w:hyperlink r:id="rId8" w:history="1">
        <w:r w:rsidRPr="00CD1BF5">
          <w:rPr>
            <w:rStyle w:val="Hyperlink"/>
            <w:rFonts w:ascii="Arial" w:hAnsi="Arial" w:cs="Arial"/>
          </w:rPr>
          <w:t>s.hanson@uea.ac.uk</w:t>
        </w:r>
      </w:hyperlink>
      <w:r w:rsidRPr="00CD1BF5">
        <w:rPr>
          <w:rFonts w:ascii="Arial" w:hAnsi="Arial" w:cs="Arial"/>
        </w:rPr>
        <w:t xml:space="preserve">  01603 593320</w:t>
      </w:r>
    </w:p>
    <w:p w14:paraId="4F673FDB" w14:textId="77777777" w:rsidR="00CD1BF5" w:rsidRPr="00CD1BF5" w:rsidRDefault="00CD1BF5" w:rsidP="00CD1BF5">
      <w:pPr>
        <w:rPr>
          <w:rFonts w:ascii="Arial" w:hAnsi="Arial" w:cs="Arial"/>
          <w:bCs/>
          <w:u w:val="single"/>
        </w:rPr>
      </w:pPr>
      <w:r w:rsidRPr="00CD1BF5">
        <w:rPr>
          <w:rFonts w:ascii="Arial" w:hAnsi="Arial" w:cs="Arial"/>
          <w:bCs/>
          <w:u w:val="single"/>
        </w:rPr>
        <w:t>Co-author</w:t>
      </w:r>
    </w:p>
    <w:p w14:paraId="4709A22E" w14:textId="77777777" w:rsidR="00CD1BF5" w:rsidRPr="00CD1BF5" w:rsidRDefault="00CD1BF5" w:rsidP="00CD1BF5">
      <w:pPr>
        <w:rPr>
          <w:rFonts w:ascii="Arial" w:hAnsi="Arial" w:cs="Arial"/>
        </w:rPr>
      </w:pPr>
      <w:r w:rsidRPr="00CD1BF5">
        <w:rPr>
          <w:rFonts w:ascii="Arial" w:hAnsi="Arial" w:cs="Arial"/>
        </w:rPr>
        <w:t xml:space="preserve">Andy Jones, Professor in Public Health. Norwich Medical School, University of East Anglia, Norwich, Norfolk. </w:t>
      </w:r>
      <w:hyperlink r:id="rId9" w:history="1">
        <w:r w:rsidR="00A97AF0" w:rsidRPr="002B7EE1">
          <w:rPr>
            <w:rStyle w:val="Hyperlink"/>
            <w:rFonts w:ascii="Arial" w:hAnsi="Arial" w:cs="Arial"/>
          </w:rPr>
          <w:t>a.p.jones@uea.ac.uk</w:t>
        </w:r>
      </w:hyperlink>
      <w:r w:rsidR="00A97AF0">
        <w:rPr>
          <w:rFonts w:ascii="Arial" w:hAnsi="Arial" w:cs="Arial"/>
        </w:rPr>
        <w:t xml:space="preserve"> </w:t>
      </w:r>
      <w:r w:rsidRPr="00CD1BF5">
        <w:rPr>
          <w:rFonts w:ascii="Arial" w:hAnsi="Arial" w:cs="Arial"/>
        </w:rPr>
        <w:t>U</w:t>
      </w:r>
      <w:r w:rsidR="00A97AF0">
        <w:rPr>
          <w:rFonts w:ascii="Arial" w:hAnsi="Arial" w:cs="Arial"/>
        </w:rPr>
        <w:t xml:space="preserve">nited </w:t>
      </w:r>
      <w:r w:rsidRPr="00CD1BF5">
        <w:rPr>
          <w:rFonts w:ascii="Arial" w:hAnsi="Arial" w:cs="Arial"/>
        </w:rPr>
        <w:t>K</w:t>
      </w:r>
      <w:r w:rsidR="00A97AF0">
        <w:rPr>
          <w:rFonts w:ascii="Arial" w:hAnsi="Arial" w:cs="Arial"/>
        </w:rPr>
        <w:t>ingdom</w:t>
      </w:r>
      <w:r w:rsidRPr="00CD1BF5">
        <w:rPr>
          <w:rFonts w:ascii="Arial" w:hAnsi="Arial" w:cs="Arial"/>
        </w:rPr>
        <w:t xml:space="preserve"> NR4 7TJ</w:t>
      </w:r>
    </w:p>
    <w:p w14:paraId="579F8E95" w14:textId="77777777" w:rsidR="00CD1BF5" w:rsidRDefault="00CD1B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F2DDC19" w14:textId="77777777" w:rsidR="00E050C1" w:rsidRPr="00086598" w:rsidRDefault="00E050C1" w:rsidP="00527C13">
      <w:pPr>
        <w:rPr>
          <w:rFonts w:ascii="Arial" w:hAnsi="Arial" w:cs="Arial"/>
          <w:b/>
          <w:bCs/>
        </w:rPr>
      </w:pPr>
      <w:r w:rsidRPr="00086598">
        <w:rPr>
          <w:rFonts w:ascii="Arial" w:hAnsi="Arial" w:cs="Arial"/>
          <w:b/>
          <w:bCs/>
        </w:rPr>
        <w:lastRenderedPageBreak/>
        <w:t>Abstract</w:t>
      </w:r>
    </w:p>
    <w:p w14:paraId="3D616920" w14:textId="77777777" w:rsidR="00E050C1" w:rsidRPr="00086598" w:rsidRDefault="00AA2897" w:rsidP="000A14E2">
      <w:pPr>
        <w:spacing w:line="480" w:lineRule="auto"/>
        <w:rPr>
          <w:rFonts w:ascii="Arial" w:hAnsi="Arial" w:cs="Arial"/>
          <w:bCs/>
        </w:rPr>
      </w:pPr>
      <w:r w:rsidRPr="00AA2897">
        <w:rPr>
          <w:rFonts w:ascii="Arial" w:hAnsi="Arial" w:cs="Arial"/>
          <w:b/>
          <w:bCs/>
        </w:rPr>
        <w:t>Introduction:</w:t>
      </w:r>
      <w:r>
        <w:rPr>
          <w:rFonts w:ascii="Arial" w:hAnsi="Arial" w:cs="Arial"/>
          <w:b/>
          <w:bCs/>
        </w:rPr>
        <w:t xml:space="preserve"> </w:t>
      </w:r>
      <w:r w:rsidR="00E050C1" w:rsidRPr="00086598">
        <w:rPr>
          <w:rFonts w:ascii="Arial" w:hAnsi="Arial" w:cs="Arial"/>
          <w:bCs/>
        </w:rPr>
        <w:t xml:space="preserve">If an intervention is not well spatially targeted, appropriate levels of uptake, efficacy, long-term compliance and </w:t>
      </w:r>
      <w:r w:rsidR="00E050C1" w:rsidRPr="00776252">
        <w:rPr>
          <w:rFonts w:ascii="Arial" w:hAnsi="Arial" w:cs="Arial"/>
          <w:bCs/>
        </w:rPr>
        <w:t>improved</w:t>
      </w:r>
      <w:r w:rsidR="00E050C1" w:rsidRPr="00ED7E92">
        <w:rPr>
          <w:rFonts w:ascii="Arial" w:hAnsi="Arial" w:cs="Arial"/>
          <w:bCs/>
        </w:rPr>
        <w:t xml:space="preserve"> health outcomes</w:t>
      </w:r>
      <w:r w:rsidR="00E050C1" w:rsidRPr="00086598">
        <w:rPr>
          <w:rFonts w:ascii="Arial" w:hAnsi="Arial" w:cs="Arial"/>
          <w:bCs/>
        </w:rPr>
        <w:t xml:space="preserve"> are unlikely to be attained. Effective health interventions should seek to achieve not only absolute improvements in health but also to reduce inequity. There is often a disparity whereby preventative interventions are more likely to be successful amongst the more affluent, a process which has been coined</w:t>
      </w:r>
      <w:r w:rsidR="00A672BC" w:rsidRPr="00086598">
        <w:rPr>
          <w:rFonts w:ascii="Arial" w:hAnsi="Arial" w:cs="Arial"/>
          <w:bCs/>
        </w:rPr>
        <w:t xml:space="preserve"> the</w:t>
      </w:r>
      <w:r w:rsidR="00E050C1" w:rsidRPr="00086598">
        <w:rPr>
          <w:rFonts w:ascii="Arial" w:hAnsi="Arial" w:cs="Arial"/>
          <w:bCs/>
        </w:rPr>
        <w:t xml:space="preserve"> ‘inverse prevention law’. Physical inactivity is known to be socially patterned and disproportionately prevalent in disadvantaged communities yet there is a lack of clear evidence on which interventions have the potential to </w:t>
      </w:r>
      <w:r w:rsidR="00C17172">
        <w:rPr>
          <w:rFonts w:ascii="Arial" w:hAnsi="Arial" w:cs="Arial"/>
          <w:bCs/>
        </w:rPr>
        <w:t xml:space="preserve">influence </w:t>
      </w:r>
      <w:r w:rsidR="00E050C1" w:rsidRPr="00086598">
        <w:rPr>
          <w:rFonts w:ascii="Arial" w:hAnsi="Arial" w:cs="Arial"/>
          <w:bCs/>
        </w:rPr>
        <w:t xml:space="preserve">inequity. </w:t>
      </w:r>
    </w:p>
    <w:p w14:paraId="5D0AB362" w14:textId="77777777" w:rsidR="00E050C1" w:rsidRPr="00086598" w:rsidRDefault="00E050C1" w:rsidP="000A14E2">
      <w:pPr>
        <w:spacing w:line="480" w:lineRule="auto"/>
        <w:rPr>
          <w:rFonts w:ascii="Arial" w:hAnsi="Arial" w:cs="Arial"/>
          <w:bCs/>
        </w:rPr>
      </w:pPr>
      <w:r w:rsidRPr="00086598">
        <w:rPr>
          <w:rFonts w:ascii="Arial" w:hAnsi="Arial" w:cs="Arial"/>
          <w:bCs/>
        </w:rPr>
        <w:t xml:space="preserve">Walking groups have been found to have multiple health benefits and increase physical activity. In England the major facilitator is a </w:t>
      </w:r>
      <w:r w:rsidR="005A2F95" w:rsidRPr="00ED7E92">
        <w:rPr>
          <w:rFonts w:ascii="Arial" w:hAnsi="Arial" w:cs="Arial"/>
          <w:bCs/>
        </w:rPr>
        <w:t>not for profit organisation</w:t>
      </w:r>
      <w:r w:rsidR="005A2F95">
        <w:rPr>
          <w:rFonts w:ascii="Arial" w:hAnsi="Arial" w:cs="Arial"/>
          <w:bCs/>
        </w:rPr>
        <w:t xml:space="preserve"> </w:t>
      </w:r>
      <w:r w:rsidRPr="00086598">
        <w:rPr>
          <w:rFonts w:ascii="Arial" w:hAnsi="Arial" w:cs="Arial"/>
          <w:bCs/>
        </w:rPr>
        <w:t xml:space="preserve">which has 70,000 regular walkers and is lay led with 10,000 volunteers. The aim of this study was to evaluate the extent to which </w:t>
      </w:r>
      <w:r w:rsidR="0083444E">
        <w:rPr>
          <w:rFonts w:ascii="Arial" w:hAnsi="Arial" w:cs="Arial"/>
          <w:bCs/>
        </w:rPr>
        <w:t>walking groups</w:t>
      </w:r>
      <w:r w:rsidR="0083444E" w:rsidRPr="00086598">
        <w:rPr>
          <w:rFonts w:ascii="Arial" w:hAnsi="Arial" w:cs="Arial"/>
          <w:bCs/>
        </w:rPr>
        <w:t xml:space="preserve"> </w:t>
      </w:r>
      <w:r w:rsidRPr="00086598">
        <w:rPr>
          <w:rFonts w:ascii="Arial" w:hAnsi="Arial" w:cs="Arial"/>
          <w:bCs/>
        </w:rPr>
        <w:t xml:space="preserve">operated in those places with the greatest health need and whether consequently </w:t>
      </w:r>
      <w:r w:rsidR="0083444E">
        <w:rPr>
          <w:rFonts w:ascii="Arial" w:hAnsi="Arial" w:cs="Arial"/>
          <w:bCs/>
        </w:rPr>
        <w:t>the scheme</w:t>
      </w:r>
      <w:r w:rsidR="00F1753A">
        <w:rPr>
          <w:rFonts w:ascii="Arial" w:hAnsi="Arial" w:cs="Arial"/>
          <w:bCs/>
        </w:rPr>
        <w:t xml:space="preserve"> </w:t>
      </w:r>
      <w:r w:rsidRPr="00086598">
        <w:rPr>
          <w:rFonts w:ascii="Arial" w:hAnsi="Arial" w:cs="Arial"/>
          <w:bCs/>
        </w:rPr>
        <w:t xml:space="preserve">has the potential to </w:t>
      </w:r>
      <w:r w:rsidR="00582C5C">
        <w:rPr>
          <w:rFonts w:ascii="Arial" w:hAnsi="Arial" w:cs="Arial"/>
          <w:bCs/>
        </w:rPr>
        <w:t>influence</w:t>
      </w:r>
      <w:r w:rsidRPr="00086598">
        <w:rPr>
          <w:rFonts w:ascii="Arial" w:hAnsi="Arial" w:cs="Arial"/>
          <w:bCs/>
        </w:rPr>
        <w:t xml:space="preserve"> health </w:t>
      </w:r>
      <w:r w:rsidR="00ED7E92">
        <w:rPr>
          <w:rFonts w:ascii="Arial" w:hAnsi="Arial" w:cs="Arial"/>
          <w:bCs/>
        </w:rPr>
        <w:t>inequity</w:t>
      </w:r>
      <w:r w:rsidRPr="00086598">
        <w:rPr>
          <w:rFonts w:ascii="Arial" w:hAnsi="Arial" w:cs="Arial"/>
          <w:bCs/>
        </w:rPr>
        <w:t xml:space="preserve">. </w:t>
      </w:r>
    </w:p>
    <w:p w14:paraId="7E90B0BB" w14:textId="77777777" w:rsidR="00AA2897" w:rsidRDefault="00AA2897" w:rsidP="000A14E2">
      <w:pPr>
        <w:spacing w:line="480" w:lineRule="auto"/>
        <w:rPr>
          <w:rFonts w:ascii="Arial" w:hAnsi="Arial" w:cs="Arial"/>
          <w:bCs/>
        </w:rPr>
      </w:pPr>
      <w:r w:rsidRPr="00AA2897">
        <w:rPr>
          <w:rFonts w:ascii="Arial" w:hAnsi="Arial" w:cs="Arial"/>
          <w:b/>
          <w:bCs/>
        </w:rPr>
        <w:t>Method:</w:t>
      </w:r>
      <w:r>
        <w:rPr>
          <w:rFonts w:ascii="Arial" w:hAnsi="Arial" w:cs="Arial"/>
          <w:bCs/>
        </w:rPr>
        <w:t xml:space="preserve"> </w:t>
      </w:r>
      <w:r w:rsidR="00E050C1" w:rsidRPr="00086598">
        <w:rPr>
          <w:rFonts w:ascii="Arial" w:hAnsi="Arial" w:cs="Arial"/>
          <w:bCs/>
        </w:rPr>
        <w:t xml:space="preserve">The work used a spatial approach whereby geographical variations in walking group provision within the 326 local authorities in England (mean population 163,410) were linked to </w:t>
      </w:r>
      <w:r w:rsidR="00582C5C">
        <w:rPr>
          <w:rFonts w:ascii="Arial" w:hAnsi="Arial" w:cs="Arial"/>
          <w:bCs/>
        </w:rPr>
        <w:t xml:space="preserve">health and socio-economic measures </w:t>
      </w:r>
      <w:r w:rsidR="00E050C1" w:rsidRPr="00086598">
        <w:rPr>
          <w:rFonts w:ascii="Arial" w:hAnsi="Arial" w:cs="Arial"/>
          <w:bCs/>
        </w:rPr>
        <w:t xml:space="preserve">of population need. </w:t>
      </w:r>
    </w:p>
    <w:p w14:paraId="0FD8F8FD" w14:textId="77777777" w:rsidR="00E050C1" w:rsidRPr="00086598" w:rsidRDefault="00AA2897" w:rsidP="000A14E2">
      <w:pPr>
        <w:spacing w:line="480" w:lineRule="auto"/>
        <w:rPr>
          <w:rFonts w:ascii="Arial" w:hAnsi="Arial" w:cs="Arial"/>
          <w:bCs/>
        </w:rPr>
      </w:pPr>
      <w:r w:rsidRPr="00AA2897">
        <w:rPr>
          <w:rFonts w:ascii="Arial" w:hAnsi="Arial" w:cs="Arial"/>
          <w:b/>
          <w:bCs/>
        </w:rPr>
        <w:t>Results:</w:t>
      </w:r>
      <w:r>
        <w:rPr>
          <w:rFonts w:ascii="Arial" w:hAnsi="Arial" w:cs="Arial"/>
          <w:bCs/>
        </w:rPr>
        <w:t xml:space="preserve"> </w:t>
      </w:r>
      <w:r w:rsidR="00E050C1" w:rsidRPr="00086598">
        <w:rPr>
          <w:rFonts w:ascii="Arial" w:hAnsi="Arial" w:cs="Arial"/>
          <w:bCs/>
        </w:rPr>
        <w:t xml:space="preserve">Generally, greater need was not associated with higher </w:t>
      </w:r>
      <w:r w:rsidR="0083444E">
        <w:rPr>
          <w:rFonts w:ascii="Arial" w:hAnsi="Arial" w:cs="Arial"/>
          <w:bCs/>
        </w:rPr>
        <w:t>provision</w:t>
      </w:r>
      <w:r w:rsidR="0083444E" w:rsidRPr="00086598">
        <w:rPr>
          <w:rFonts w:ascii="Arial" w:hAnsi="Arial" w:cs="Arial"/>
          <w:bCs/>
        </w:rPr>
        <w:t xml:space="preserve"> </w:t>
      </w:r>
      <w:r w:rsidR="00E050C1" w:rsidRPr="00086598">
        <w:rPr>
          <w:rFonts w:ascii="Arial" w:hAnsi="Arial" w:cs="Arial"/>
          <w:bCs/>
        </w:rPr>
        <w:t xml:space="preserve">of </w:t>
      </w:r>
      <w:r w:rsidR="005A656D">
        <w:rPr>
          <w:rFonts w:ascii="Arial" w:hAnsi="Arial" w:cs="Arial"/>
          <w:bCs/>
        </w:rPr>
        <w:t xml:space="preserve">the </w:t>
      </w:r>
      <w:r w:rsidR="00E050C1" w:rsidRPr="00086598">
        <w:rPr>
          <w:rFonts w:ascii="Arial" w:hAnsi="Arial" w:cs="Arial"/>
          <w:bCs/>
        </w:rPr>
        <w:t>walk</w:t>
      </w:r>
      <w:r w:rsidR="00582C5C">
        <w:rPr>
          <w:rFonts w:ascii="Arial" w:hAnsi="Arial" w:cs="Arial"/>
          <w:bCs/>
        </w:rPr>
        <w:t>ing group intervention</w:t>
      </w:r>
      <w:r w:rsidR="00720E16">
        <w:rPr>
          <w:rFonts w:ascii="Arial" w:hAnsi="Arial" w:cs="Arial"/>
          <w:bCs/>
        </w:rPr>
        <w:t>. A</w:t>
      </w:r>
      <w:r w:rsidR="00E050C1" w:rsidRPr="00086598">
        <w:rPr>
          <w:rFonts w:ascii="Arial" w:hAnsi="Arial" w:cs="Arial"/>
          <w:bCs/>
        </w:rPr>
        <w:t xml:space="preserve">lthough the magnitude of differences was small, provision of </w:t>
      </w:r>
      <w:r w:rsidR="00582C5C">
        <w:rPr>
          <w:rFonts w:ascii="Arial" w:hAnsi="Arial" w:cs="Arial"/>
          <w:bCs/>
        </w:rPr>
        <w:t>the intervention</w:t>
      </w:r>
      <w:r w:rsidR="00E050C1" w:rsidRPr="00086598">
        <w:rPr>
          <w:rFonts w:ascii="Arial" w:hAnsi="Arial" w:cs="Arial"/>
          <w:bCs/>
        </w:rPr>
        <w:t xml:space="preserve"> </w:t>
      </w:r>
      <w:r w:rsidR="00BF068B">
        <w:rPr>
          <w:rFonts w:ascii="Arial" w:hAnsi="Arial" w:cs="Arial"/>
          <w:bCs/>
        </w:rPr>
        <w:t>tended to be</w:t>
      </w:r>
      <w:r w:rsidR="00E050C1" w:rsidRPr="00086598">
        <w:rPr>
          <w:rFonts w:ascii="Arial" w:hAnsi="Arial" w:cs="Arial"/>
          <w:bCs/>
        </w:rPr>
        <w:t xml:space="preserve"> poorest in those local authorities with the greatest health need, as measured by our indicators.  </w:t>
      </w:r>
    </w:p>
    <w:p w14:paraId="11D4A98D" w14:textId="77777777" w:rsidR="00E050C1" w:rsidRPr="00086598" w:rsidRDefault="00AA2897" w:rsidP="000A14E2">
      <w:pPr>
        <w:spacing w:line="480" w:lineRule="auto"/>
        <w:rPr>
          <w:rFonts w:ascii="Arial" w:hAnsi="Arial" w:cs="Arial"/>
          <w:bCs/>
        </w:rPr>
      </w:pPr>
      <w:r w:rsidRPr="00AA2897">
        <w:rPr>
          <w:rFonts w:ascii="Arial" w:hAnsi="Arial" w:cs="Arial"/>
          <w:b/>
          <w:bCs/>
        </w:rPr>
        <w:t>Conclusions:</w:t>
      </w:r>
      <w:r>
        <w:rPr>
          <w:rFonts w:ascii="Arial" w:hAnsi="Arial" w:cs="Arial"/>
          <w:bCs/>
        </w:rPr>
        <w:t xml:space="preserve"> </w:t>
      </w:r>
      <w:r w:rsidR="00D615CA">
        <w:rPr>
          <w:rFonts w:ascii="Arial" w:hAnsi="Arial" w:cs="Arial"/>
          <w:bCs/>
        </w:rPr>
        <w:t>Without targeting those areas with greater health and socio-economic need,</w:t>
      </w:r>
      <w:r w:rsidR="005F24D7">
        <w:rPr>
          <w:rFonts w:ascii="Arial" w:hAnsi="Arial" w:cs="Arial"/>
          <w:bCs/>
        </w:rPr>
        <w:t xml:space="preserve"> there is a concern that walking groups </w:t>
      </w:r>
      <w:r w:rsidR="001A3158">
        <w:rPr>
          <w:rFonts w:ascii="Arial" w:hAnsi="Arial" w:cs="Arial"/>
          <w:bCs/>
        </w:rPr>
        <w:t>may not be set up in areas that need them most</w:t>
      </w:r>
      <w:r w:rsidR="00B30080">
        <w:rPr>
          <w:rFonts w:ascii="Arial" w:hAnsi="Arial" w:cs="Arial"/>
          <w:bCs/>
        </w:rPr>
        <w:t>. T</w:t>
      </w:r>
      <w:r w:rsidR="00D615CA">
        <w:rPr>
          <w:rFonts w:ascii="Arial" w:hAnsi="Arial" w:cs="Arial"/>
          <w:bCs/>
        </w:rPr>
        <w:t xml:space="preserve">here is </w:t>
      </w:r>
      <w:r w:rsidR="00B30080">
        <w:rPr>
          <w:rFonts w:ascii="Arial" w:hAnsi="Arial" w:cs="Arial"/>
          <w:bCs/>
        </w:rPr>
        <w:t xml:space="preserve">therefore </w:t>
      </w:r>
      <w:r w:rsidR="00D615CA">
        <w:rPr>
          <w:rFonts w:ascii="Arial" w:hAnsi="Arial" w:cs="Arial"/>
          <w:bCs/>
        </w:rPr>
        <w:t>a potential that this intervention could, albeit in a small way, widen inequity</w:t>
      </w:r>
      <w:r w:rsidR="005F24D7">
        <w:rPr>
          <w:rFonts w:ascii="Arial" w:hAnsi="Arial" w:cs="Arial"/>
          <w:bCs/>
        </w:rPr>
        <w:t xml:space="preserve"> between local authorities</w:t>
      </w:r>
      <w:r w:rsidR="00D615CA">
        <w:rPr>
          <w:rFonts w:ascii="Arial" w:hAnsi="Arial" w:cs="Arial"/>
          <w:bCs/>
        </w:rPr>
        <w:t xml:space="preserve">. </w:t>
      </w:r>
      <w:r w:rsidR="005A656D">
        <w:rPr>
          <w:rFonts w:ascii="Arial" w:hAnsi="Arial" w:cs="Arial"/>
          <w:bCs/>
        </w:rPr>
        <w:t xml:space="preserve"> </w:t>
      </w:r>
      <w:r w:rsidR="00D615CA">
        <w:rPr>
          <w:rFonts w:ascii="Arial" w:hAnsi="Arial" w:cs="Arial"/>
          <w:bCs/>
        </w:rPr>
        <w:t>H</w:t>
      </w:r>
      <w:r w:rsidR="001A321C" w:rsidRPr="001A321C">
        <w:rPr>
          <w:rFonts w:ascii="Arial" w:hAnsi="Arial" w:cs="Arial"/>
          <w:bCs/>
        </w:rPr>
        <w:t xml:space="preserve">owever small-scale and well-intentioned, </w:t>
      </w:r>
      <w:r w:rsidR="00D615CA">
        <w:rPr>
          <w:rFonts w:ascii="Arial" w:hAnsi="Arial" w:cs="Arial"/>
          <w:bCs/>
        </w:rPr>
        <w:t xml:space="preserve">interventions need to be evaluated for </w:t>
      </w:r>
      <w:r w:rsidR="001A321C" w:rsidRPr="001A321C">
        <w:rPr>
          <w:rFonts w:ascii="Arial" w:hAnsi="Arial" w:cs="Arial"/>
          <w:bCs/>
        </w:rPr>
        <w:t>their potential impact on inequity.</w:t>
      </w:r>
    </w:p>
    <w:p w14:paraId="26793D12" w14:textId="77777777" w:rsidR="00E050C1" w:rsidRPr="00086598" w:rsidRDefault="00E050C1" w:rsidP="00E050C1">
      <w:pPr>
        <w:rPr>
          <w:rFonts w:ascii="Arial" w:hAnsi="Arial" w:cs="Arial"/>
          <w:b/>
          <w:bCs/>
        </w:rPr>
      </w:pPr>
      <w:r w:rsidRPr="00086598">
        <w:rPr>
          <w:rFonts w:ascii="Arial" w:hAnsi="Arial" w:cs="Arial"/>
          <w:b/>
          <w:bCs/>
        </w:rPr>
        <w:lastRenderedPageBreak/>
        <w:t>Key words</w:t>
      </w:r>
    </w:p>
    <w:p w14:paraId="1428B3E2" w14:textId="77777777" w:rsidR="008E1C3C" w:rsidRPr="00086598" w:rsidRDefault="008E1C3C" w:rsidP="008E1C3C">
      <w:pPr>
        <w:rPr>
          <w:rFonts w:ascii="Arial" w:hAnsi="Arial" w:cs="Arial"/>
          <w:bCs/>
        </w:rPr>
      </w:pPr>
      <w:r w:rsidRPr="00086598">
        <w:rPr>
          <w:rFonts w:ascii="Arial" w:hAnsi="Arial" w:cs="Arial"/>
          <w:bCs/>
        </w:rPr>
        <w:t xml:space="preserve">Physical activity. Walking groups. </w:t>
      </w:r>
      <w:r w:rsidR="00AA2897">
        <w:rPr>
          <w:rFonts w:ascii="Arial" w:hAnsi="Arial" w:cs="Arial"/>
          <w:bCs/>
        </w:rPr>
        <w:t>Health inequ</w:t>
      </w:r>
      <w:r w:rsidR="006455FA" w:rsidRPr="00086598">
        <w:rPr>
          <w:rFonts w:ascii="Arial" w:hAnsi="Arial" w:cs="Arial"/>
          <w:bCs/>
        </w:rPr>
        <w:t xml:space="preserve">ity, </w:t>
      </w:r>
      <w:proofErr w:type="gramStart"/>
      <w:r w:rsidR="00AA2897" w:rsidRPr="00AA2897">
        <w:rPr>
          <w:rFonts w:ascii="Arial" w:hAnsi="Arial" w:cs="Arial"/>
          <w:bCs/>
        </w:rPr>
        <w:t>Spatial</w:t>
      </w:r>
      <w:proofErr w:type="gramEnd"/>
      <w:r w:rsidR="00AA2897" w:rsidRPr="00AA2897">
        <w:rPr>
          <w:rFonts w:ascii="Arial" w:hAnsi="Arial" w:cs="Arial"/>
          <w:bCs/>
        </w:rPr>
        <w:t xml:space="preserve"> equity. </w:t>
      </w:r>
      <w:r w:rsidRPr="00086598">
        <w:rPr>
          <w:rFonts w:ascii="Arial" w:hAnsi="Arial" w:cs="Arial"/>
          <w:bCs/>
        </w:rPr>
        <w:t>Public health</w:t>
      </w:r>
    </w:p>
    <w:p w14:paraId="78899E7E" w14:textId="77777777" w:rsidR="0045462A" w:rsidRPr="00086598" w:rsidRDefault="0045462A">
      <w:pPr>
        <w:rPr>
          <w:rFonts w:ascii="Arial" w:hAnsi="Arial" w:cs="Arial"/>
          <w:bCs/>
        </w:rPr>
      </w:pPr>
      <w:r w:rsidRPr="00086598">
        <w:rPr>
          <w:rFonts w:ascii="Arial" w:hAnsi="Arial" w:cs="Arial"/>
          <w:bCs/>
        </w:rPr>
        <w:br w:type="page"/>
      </w:r>
    </w:p>
    <w:p w14:paraId="52924D38" w14:textId="77777777" w:rsidR="00527C13" w:rsidRPr="00086598" w:rsidRDefault="00764886" w:rsidP="00527C13">
      <w:pPr>
        <w:rPr>
          <w:rFonts w:ascii="Arial" w:hAnsi="Arial" w:cs="Arial"/>
          <w:b/>
          <w:bCs/>
        </w:rPr>
      </w:pPr>
      <w:r w:rsidRPr="00086598">
        <w:rPr>
          <w:rFonts w:ascii="Arial" w:hAnsi="Arial" w:cs="Arial"/>
          <w:b/>
          <w:bCs/>
        </w:rPr>
        <w:lastRenderedPageBreak/>
        <w:t>Introduction</w:t>
      </w:r>
      <w:r w:rsidR="00527C13" w:rsidRPr="00086598">
        <w:rPr>
          <w:rFonts w:ascii="Arial" w:hAnsi="Arial" w:cs="Arial"/>
          <w:b/>
          <w:bCs/>
        </w:rPr>
        <w:t xml:space="preserve"> </w:t>
      </w:r>
      <w:bookmarkEnd w:id="0"/>
    </w:p>
    <w:p w14:paraId="51A94A83" w14:textId="77777777" w:rsidR="00633C49" w:rsidRDefault="00EC4DE0" w:rsidP="00D431D0">
      <w:pPr>
        <w:spacing w:line="480" w:lineRule="auto"/>
        <w:rPr>
          <w:rFonts w:ascii="Arial" w:hAnsi="Arial" w:cs="Arial"/>
        </w:rPr>
      </w:pPr>
      <w:r w:rsidRPr="00086598">
        <w:rPr>
          <w:rFonts w:ascii="Arial" w:hAnsi="Arial" w:cs="Arial"/>
        </w:rPr>
        <w:t>The term h</w:t>
      </w:r>
      <w:r w:rsidR="008B5A3A" w:rsidRPr="00086598">
        <w:rPr>
          <w:rFonts w:ascii="Arial" w:hAnsi="Arial" w:cs="Arial"/>
        </w:rPr>
        <w:t xml:space="preserve">ealth </w:t>
      </w:r>
      <w:r w:rsidR="00ED7E92">
        <w:rPr>
          <w:rFonts w:ascii="Arial" w:hAnsi="Arial" w:cs="Arial"/>
        </w:rPr>
        <w:t>inequity</w:t>
      </w:r>
      <w:r w:rsidR="008A2022">
        <w:rPr>
          <w:rFonts w:ascii="Arial" w:hAnsi="Arial" w:cs="Arial"/>
        </w:rPr>
        <w:t xml:space="preserve"> </w:t>
      </w:r>
      <w:r w:rsidRPr="00086598">
        <w:rPr>
          <w:rFonts w:ascii="Arial" w:hAnsi="Arial" w:cs="Arial"/>
        </w:rPr>
        <w:t>describes</w:t>
      </w:r>
      <w:r w:rsidR="00B85971" w:rsidRPr="00086598">
        <w:rPr>
          <w:rFonts w:ascii="Arial" w:hAnsi="Arial" w:cs="Arial"/>
        </w:rPr>
        <w:t xml:space="preserve"> the unnecessary and avoidable </w:t>
      </w:r>
      <w:r w:rsidR="00CD533A">
        <w:rPr>
          <w:rFonts w:ascii="Arial" w:hAnsi="Arial" w:cs="Arial"/>
        </w:rPr>
        <w:t>inequalities</w:t>
      </w:r>
      <w:r w:rsidR="00B85971" w:rsidRPr="00086598">
        <w:rPr>
          <w:rFonts w:ascii="Arial" w:hAnsi="Arial" w:cs="Arial"/>
        </w:rPr>
        <w:t xml:space="preserve"> in health </w:t>
      </w:r>
      <w:r w:rsidR="00CD533A">
        <w:rPr>
          <w:rFonts w:ascii="Arial" w:hAnsi="Arial" w:cs="Arial"/>
        </w:rPr>
        <w:t xml:space="preserve">between different groups of people. These inequities arise from inequalities </w:t>
      </w:r>
      <w:r w:rsidR="0045465A">
        <w:rPr>
          <w:rFonts w:ascii="Arial" w:hAnsi="Arial" w:cs="Arial"/>
        </w:rPr>
        <w:t xml:space="preserve">within and between societies and </w:t>
      </w:r>
      <w:r w:rsidR="000A7FD1">
        <w:rPr>
          <w:rFonts w:ascii="Arial" w:hAnsi="Arial" w:cs="Arial"/>
        </w:rPr>
        <w:t>are considered</w:t>
      </w:r>
      <w:r w:rsidR="00CD533A">
        <w:rPr>
          <w:rFonts w:ascii="Arial" w:hAnsi="Arial" w:cs="Arial"/>
        </w:rPr>
        <w:t xml:space="preserve"> unfair and unjust </w:t>
      </w:r>
      <w:r w:rsidR="00CD533A">
        <w:rPr>
          <w:rFonts w:ascii="Arial" w:hAnsi="Arial" w:cs="Arial"/>
        </w:rPr>
        <w:fldChar w:fldCharType="begin"/>
      </w:r>
      <w:r w:rsidR="00471A05">
        <w:rPr>
          <w:rFonts w:ascii="Arial" w:hAnsi="Arial" w:cs="Arial"/>
        </w:rPr>
        <w:instrText xml:space="preserve"> ADDIN EN.CITE &lt;EndNote&gt;&lt;Cite&gt;&lt;Author&gt;Whitehead&lt;/Author&gt;&lt;Year&gt;1992&lt;/Year&gt;&lt;RecNum&gt;3828&lt;/RecNum&gt;&lt;DisplayText&gt;[1, 2]&lt;/DisplayText&gt;&lt;record&gt;&lt;rec-number&gt;3828&lt;/rec-number&gt;&lt;foreign-keys&gt;&lt;key app="EN" db-id="prxtsfzvix5rpde9zrnpewvb5aaxdewa02df"&gt;3828&lt;/key&gt;&lt;/foreign-keys&gt;&lt;ref-type name="Electronic Article"&gt;43&lt;/ref-type&gt;&lt;contributors&gt;&lt;authors&gt;&lt;author&gt;Whitehead, Margaret&lt;/author&gt;&lt;/authors&gt;&lt;/contributors&gt;&lt;titles&gt;&lt;title&gt;The concepts and principles of equity and health&lt;/title&gt;&lt;secondary-title&gt;A fair chance for all&lt;/secondary-title&gt;&lt;/titles&gt;&lt;periodical&gt;&lt;full-title&gt;A fair chance for all&lt;/full-title&gt;&lt;/periodical&gt;&lt;dates&gt;&lt;year&gt;1992&lt;/year&gt;&lt;pub-dates&gt;&lt;date&gt;29th July 2015]&lt;/date&gt;&lt;/pub-dates&gt;&lt;/dates&gt;&lt;pub-location&gt;Copenhagen&lt;/pub-location&gt;&lt;publisher&gt;World Health Organisation Regional Office for Europe&lt;/publisher&gt;&lt;urls&gt;&lt;related-urls&gt;&lt;url&gt;http://salud.ciee.flacso.org.ar/flacso/optativas/equity_and_health.pdf&lt;/url&gt;&lt;/related-urls&gt;&lt;/urls&gt;&lt;/record&gt;&lt;/Cite&gt;&lt;Cite&gt;&lt;Author&gt;Organization&lt;/Author&gt;&lt;RecNum&gt;3961&lt;/RecNum&gt;&lt;record&gt;&lt;rec-number&gt;3961&lt;/rec-number&gt;&lt;foreign-keys&gt;&lt;key app="EN" db-id="prxtsfzvix5rpde9zrnpewvb5aaxdewa02df"&gt;3961&lt;/key&gt;&lt;/foreign-keys&gt;&lt;ref-type name="Web Page"&gt;12&lt;/ref-type&gt;&lt;contributors&gt;&lt;authors&gt;&lt;author&gt;World Health Organization&lt;/author&gt;&lt;/authors&gt;&lt;/contributors&gt;&lt;titles&gt;&lt;title&gt;Social determinants of health&lt;/title&gt;&lt;/titles&gt;&lt;number&gt;29th July 2015]&lt;/number&gt;&lt;dates&gt;&lt;/dates&gt;&lt;urls&gt;&lt;related-urls&gt;&lt;url&gt;http://www.who.int/social_determinants/thecommission/finalreport/key_concepts/en/&lt;/url&gt;&lt;/related-urls&gt;&lt;/urls&gt;&lt;/record&gt;&lt;/Cite&gt;&lt;/EndNote&gt;</w:instrText>
      </w:r>
      <w:r w:rsidR="00CD533A">
        <w:rPr>
          <w:rFonts w:ascii="Arial" w:hAnsi="Arial" w:cs="Arial"/>
        </w:rPr>
        <w:fldChar w:fldCharType="separate"/>
      </w:r>
      <w:r w:rsidR="00471A05">
        <w:rPr>
          <w:rFonts w:ascii="Arial" w:hAnsi="Arial" w:cs="Arial"/>
          <w:noProof/>
        </w:rPr>
        <w:t>[</w:t>
      </w:r>
      <w:hyperlink w:anchor="_ENREF_1" w:tooltip="Whitehead, 1992 #3828" w:history="1">
        <w:r w:rsidR="003A47F3">
          <w:rPr>
            <w:rFonts w:ascii="Arial" w:hAnsi="Arial" w:cs="Arial"/>
            <w:noProof/>
          </w:rPr>
          <w:t>1</w:t>
        </w:r>
      </w:hyperlink>
      <w:r w:rsidR="00471A05">
        <w:rPr>
          <w:rFonts w:ascii="Arial" w:hAnsi="Arial" w:cs="Arial"/>
          <w:noProof/>
        </w:rPr>
        <w:t xml:space="preserve">, </w:t>
      </w:r>
      <w:hyperlink w:anchor="_ENREF_2" w:tooltip="Organization,  #3961" w:history="1">
        <w:r w:rsidR="003A47F3">
          <w:rPr>
            <w:rFonts w:ascii="Arial" w:hAnsi="Arial" w:cs="Arial"/>
            <w:noProof/>
          </w:rPr>
          <w:t>2</w:t>
        </w:r>
      </w:hyperlink>
      <w:r w:rsidR="00471A05">
        <w:rPr>
          <w:rFonts w:ascii="Arial" w:hAnsi="Arial" w:cs="Arial"/>
          <w:noProof/>
        </w:rPr>
        <w:t>]</w:t>
      </w:r>
      <w:r w:rsidR="00CD533A">
        <w:rPr>
          <w:rFonts w:ascii="Arial" w:hAnsi="Arial" w:cs="Arial"/>
        </w:rPr>
        <w:fldChar w:fldCharType="end"/>
      </w:r>
      <w:r w:rsidR="00280CA0">
        <w:rPr>
          <w:rFonts w:ascii="Arial" w:hAnsi="Arial" w:cs="Arial"/>
        </w:rPr>
        <w:t xml:space="preserve">. </w:t>
      </w:r>
      <w:r w:rsidR="00633C49" w:rsidRPr="00633C49">
        <w:rPr>
          <w:rFonts w:ascii="Arial" w:hAnsi="Arial" w:cs="Arial"/>
        </w:rPr>
        <w:t xml:space="preserve">There are important social and economic costs to society from health inequity, as well as it being a matter of social justice </w:t>
      </w:r>
      <w:r w:rsidR="00633C49" w:rsidRPr="00633C49">
        <w:rPr>
          <w:rFonts w:ascii="Arial" w:hAnsi="Arial" w:cs="Arial"/>
        </w:rPr>
        <w:fldChar w:fldCharType="begin">
          <w:fldData xml:space="preserve">PEVuZE5vdGU+PENpdGU+PEF1dGhvcj5NYXJtb3Q8L0F1dGhvcj48WWVhcj4yMDEwPC9ZZWFyPjxS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</w:fldData>
        </w:fldChar>
      </w:r>
      <w:r w:rsidR="00471A05">
        <w:rPr>
          <w:rFonts w:ascii="Arial" w:hAnsi="Arial" w:cs="Arial"/>
        </w:rPr>
        <w:instrText xml:space="preserve"> ADDIN EN.CITE </w:instrText>
      </w:r>
      <w:r w:rsidR="00471A05">
        <w:rPr>
          <w:rFonts w:ascii="Arial" w:hAnsi="Arial" w:cs="Arial"/>
        </w:rPr>
        <w:fldChar w:fldCharType="begin">
          <w:fldData xml:space="preserve">PEVuZE5vdGU+PENpdGU+PEF1dGhvcj5NYXJtb3Q8L0F1dGhvcj48WWVhcj4yMDEwPC9ZZWFyPjxS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</w:fldData>
        </w:fldChar>
      </w:r>
      <w:r w:rsidR="00471A05">
        <w:rPr>
          <w:rFonts w:ascii="Arial" w:hAnsi="Arial" w:cs="Arial"/>
        </w:rPr>
        <w:instrText xml:space="preserve"> ADDIN EN.CITE.DATA </w:instrText>
      </w:r>
      <w:r w:rsidR="00471A05">
        <w:rPr>
          <w:rFonts w:ascii="Arial" w:hAnsi="Arial" w:cs="Arial"/>
        </w:rPr>
      </w:r>
      <w:r w:rsidR="00471A05">
        <w:rPr>
          <w:rFonts w:ascii="Arial" w:hAnsi="Arial" w:cs="Arial"/>
        </w:rPr>
        <w:fldChar w:fldCharType="end"/>
      </w:r>
      <w:r w:rsidR="00633C49" w:rsidRPr="00633C49">
        <w:rPr>
          <w:rFonts w:ascii="Arial" w:hAnsi="Arial" w:cs="Arial"/>
        </w:rPr>
      </w:r>
      <w:r w:rsidR="00633C49" w:rsidRPr="00633C49">
        <w:rPr>
          <w:rFonts w:ascii="Arial" w:hAnsi="Arial" w:cs="Arial"/>
        </w:rPr>
        <w:fldChar w:fldCharType="separate"/>
      </w:r>
      <w:r w:rsidR="00471A05">
        <w:rPr>
          <w:rFonts w:ascii="Arial" w:hAnsi="Arial" w:cs="Arial"/>
          <w:noProof/>
        </w:rPr>
        <w:t>[</w:t>
      </w:r>
      <w:hyperlink w:anchor="_ENREF_1" w:tooltip="Whitehead, 1992 #3828" w:history="1">
        <w:r w:rsidR="003A47F3">
          <w:rPr>
            <w:rFonts w:ascii="Arial" w:hAnsi="Arial" w:cs="Arial"/>
            <w:noProof/>
          </w:rPr>
          <w:t>1</w:t>
        </w:r>
      </w:hyperlink>
      <w:r w:rsidR="00471A05">
        <w:rPr>
          <w:rFonts w:ascii="Arial" w:hAnsi="Arial" w:cs="Arial"/>
          <w:noProof/>
        </w:rPr>
        <w:t xml:space="preserve">, </w:t>
      </w:r>
      <w:hyperlink w:anchor="_ENREF_3" w:tooltip="Marmot, 2010 #2356" w:history="1">
        <w:r w:rsidR="003A47F3">
          <w:rPr>
            <w:rFonts w:ascii="Arial" w:hAnsi="Arial" w:cs="Arial"/>
            <w:noProof/>
          </w:rPr>
          <w:t>3</w:t>
        </w:r>
      </w:hyperlink>
      <w:r w:rsidR="00471A05">
        <w:rPr>
          <w:rFonts w:ascii="Arial" w:hAnsi="Arial" w:cs="Arial"/>
          <w:noProof/>
        </w:rPr>
        <w:t xml:space="preserve">, </w:t>
      </w:r>
      <w:hyperlink w:anchor="_ENREF_4" w:tooltip="Wilkinson, 2010 #3701" w:history="1">
        <w:r w:rsidR="003A47F3">
          <w:rPr>
            <w:rFonts w:ascii="Arial" w:hAnsi="Arial" w:cs="Arial"/>
            <w:noProof/>
          </w:rPr>
          <w:t>4</w:t>
        </w:r>
      </w:hyperlink>
      <w:r w:rsidR="00471A05">
        <w:rPr>
          <w:rFonts w:ascii="Arial" w:hAnsi="Arial" w:cs="Arial"/>
          <w:noProof/>
        </w:rPr>
        <w:t>]</w:t>
      </w:r>
      <w:r w:rsidR="00633C49" w:rsidRPr="00633C49">
        <w:rPr>
          <w:rFonts w:ascii="Arial" w:hAnsi="Arial" w:cs="Arial"/>
        </w:rPr>
        <w:fldChar w:fldCharType="end"/>
      </w:r>
      <w:r w:rsidR="00633C49" w:rsidRPr="00633C49">
        <w:rPr>
          <w:rFonts w:ascii="Arial" w:hAnsi="Arial" w:cs="Arial"/>
        </w:rPr>
        <w:t>.</w:t>
      </w:r>
    </w:p>
    <w:p w14:paraId="669C7661" w14:textId="77777777" w:rsidR="00CE4865" w:rsidRDefault="00ED7E92" w:rsidP="00D431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Inequity</w:t>
      </w:r>
      <w:r w:rsidR="00F50C00" w:rsidRPr="00086598">
        <w:rPr>
          <w:rFonts w:ascii="Arial" w:hAnsi="Arial" w:cs="Arial"/>
        </w:rPr>
        <w:t xml:space="preserve"> in health</w:t>
      </w:r>
      <w:r w:rsidR="008B5A3A" w:rsidRPr="00086598">
        <w:rPr>
          <w:rFonts w:ascii="Arial" w:hAnsi="Arial" w:cs="Arial"/>
        </w:rPr>
        <w:t xml:space="preserve"> </w:t>
      </w:r>
      <w:r w:rsidR="00B40D0B">
        <w:rPr>
          <w:rFonts w:ascii="Arial" w:hAnsi="Arial" w:cs="Arial"/>
        </w:rPr>
        <w:t xml:space="preserve">is a problem in all developed countries </w:t>
      </w:r>
      <w:r w:rsidR="00B40D0B">
        <w:rPr>
          <w:rFonts w:ascii="Arial" w:hAnsi="Arial" w:cs="Arial"/>
        </w:rPr>
        <w:fldChar w:fldCharType="begin"/>
      </w:r>
      <w:r w:rsidR="00471A05">
        <w:rPr>
          <w:rFonts w:ascii="Arial" w:hAnsi="Arial" w:cs="Arial"/>
        </w:rPr>
        <w:instrText xml:space="preserve"> ADDIN EN.CITE &lt;EndNote&gt;&lt;Cite&gt;&lt;Author&gt;WHO Europe&lt;/Author&gt;&lt;Year&gt;2005&lt;/Year&gt;&lt;RecNum&gt;3847&lt;/RecNum&gt;&lt;DisplayText&gt;[5]&lt;/DisplayText&gt;&lt;record&gt;&lt;rec-number&gt;3847&lt;/rec-number&gt;&lt;foreign-keys&gt;&lt;key app="EN" db-id="prxtsfzvix5rpde9zrnpewvb5aaxdewa02df"&gt;3847&lt;/key&gt;&lt;/foreign-keys&gt;&lt;ref-type name="Web Page"&gt;12&lt;/ref-type&gt;&lt;contributors&gt;&lt;authors&gt;&lt;author&gt;WHO Europe,&lt;/author&gt;&lt;/authors&gt;&lt;/contributors&gt;&lt;titles&gt;&lt;title&gt;Closing the Health Inequalities Gap: An International Perspective&lt;/title&gt;&lt;/titles&gt;&lt;number&gt;31st October 2014&lt;/number&gt;&lt;dates&gt;&lt;year&gt;2005&lt;/year&gt;&lt;/dates&gt;&lt;urls&gt;&lt;related-urls&gt;&lt;url&gt;http://www.euro.who.int/__data/assets/pdf_file/0005/124529/E87934.pdf&lt;/url&gt;&lt;/related-urls&gt;&lt;/urls&gt;&lt;/record&gt;&lt;/Cite&gt;&lt;/EndNote&gt;</w:instrText>
      </w:r>
      <w:r w:rsidR="00B40D0B">
        <w:rPr>
          <w:rFonts w:ascii="Arial" w:hAnsi="Arial" w:cs="Arial"/>
        </w:rPr>
        <w:fldChar w:fldCharType="separate"/>
      </w:r>
      <w:r w:rsidR="00471A05">
        <w:rPr>
          <w:rFonts w:ascii="Arial" w:hAnsi="Arial" w:cs="Arial"/>
          <w:noProof/>
        </w:rPr>
        <w:t>[</w:t>
      </w:r>
      <w:hyperlink w:anchor="_ENREF_5" w:tooltip="WHO Europe, 2005 #3847" w:history="1">
        <w:r w:rsidR="003A47F3">
          <w:rPr>
            <w:rFonts w:ascii="Arial" w:hAnsi="Arial" w:cs="Arial"/>
            <w:noProof/>
          </w:rPr>
          <w:t>5</w:t>
        </w:r>
      </w:hyperlink>
      <w:r w:rsidR="00471A05">
        <w:rPr>
          <w:rFonts w:ascii="Arial" w:hAnsi="Arial" w:cs="Arial"/>
          <w:noProof/>
        </w:rPr>
        <w:t>]</w:t>
      </w:r>
      <w:r w:rsidR="00B40D0B">
        <w:rPr>
          <w:rFonts w:ascii="Arial" w:hAnsi="Arial" w:cs="Arial"/>
        </w:rPr>
        <w:fldChar w:fldCharType="end"/>
      </w:r>
      <w:r w:rsidR="00B40D0B">
        <w:rPr>
          <w:rFonts w:ascii="Arial" w:hAnsi="Arial" w:cs="Arial"/>
        </w:rPr>
        <w:t xml:space="preserve">. In the United Kingdom (UK), the ‘Black Report’ </w:t>
      </w:r>
      <w:r w:rsidR="00B31E3C">
        <w:rPr>
          <w:rFonts w:ascii="Arial" w:hAnsi="Arial" w:cs="Arial"/>
        </w:rPr>
        <w:t xml:space="preserve">of 1980 </w:t>
      </w:r>
      <w:r w:rsidR="00B40D0B">
        <w:rPr>
          <w:rFonts w:ascii="Arial" w:hAnsi="Arial" w:cs="Arial"/>
        </w:rPr>
        <w:t>was the first to detail the extent of which ill-health and death were unequally distributed</w:t>
      </w:r>
      <w:r w:rsidR="00734B85">
        <w:rPr>
          <w:rFonts w:ascii="Arial" w:hAnsi="Arial" w:cs="Arial"/>
        </w:rPr>
        <w:t xml:space="preserve"> </w:t>
      </w:r>
      <w:r w:rsidR="00734B85">
        <w:rPr>
          <w:rFonts w:ascii="Arial" w:hAnsi="Arial" w:cs="Arial"/>
        </w:rPr>
        <w:fldChar w:fldCharType="begin"/>
      </w:r>
      <w:r w:rsidR="00471A05">
        <w:rPr>
          <w:rFonts w:ascii="Arial" w:hAnsi="Arial" w:cs="Arial"/>
        </w:rPr>
        <w:instrText xml:space="preserve"> ADDIN EN.CITE &lt;EndNote&gt;&lt;Cite&gt;&lt;Author&gt;Security&lt;/Author&gt;&lt;Year&gt;1980&lt;/Year&gt;&lt;RecNum&gt;3944&lt;/RecNum&gt;&lt;DisplayText&gt;[6]&lt;/DisplayText&gt;&lt;record&gt;&lt;rec-number&gt;3944&lt;/rec-number&gt;&lt;foreign-keys&gt;&lt;key app="EN" db-id="prxtsfzvix5rpde9zrnpewvb5aaxdewa02df"&gt;3944&lt;/key&gt;&lt;/foreign-keys&gt;&lt;ref-type name="Book"&gt;6&lt;/ref-type&gt;&lt;contributors&gt;&lt;authors&gt;&lt;author&gt;Department of Health and Social Security,&lt;/author&gt;&lt;/authors&gt;&lt;/contributors&gt;&lt;titles&gt;&lt;title&gt;Inequalities in Health: Report of a Working Group Chaired by Sir Douglas Black,&lt;/title&gt;&lt;/titles&gt;&lt;dates&gt;&lt;year&gt;1980&lt;/year&gt;&lt;/dates&gt;&lt;pub-location&gt;London&lt;/pub-location&gt;&lt;publisher&gt;DHSS&lt;/publisher&gt;&lt;urls&gt;&lt;/urls&gt;&lt;/record&gt;&lt;/Cite&gt;&lt;/EndNote&gt;</w:instrText>
      </w:r>
      <w:r w:rsidR="00734B85">
        <w:rPr>
          <w:rFonts w:ascii="Arial" w:hAnsi="Arial" w:cs="Arial"/>
        </w:rPr>
        <w:fldChar w:fldCharType="separate"/>
      </w:r>
      <w:r w:rsidR="00471A05">
        <w:rPr>
          <w:rFonts w:ascii="Arial" w:hAnsi="Arial" w:cs="Arial"/>
          <w:noProof/>
        </w:rPr>
        <w:t>[</w:t>
      </w:r>
      <w:hyperlink w:anchor="_ENREF_6" w:tooltip="Department of Health and Social Security, 1980 #3944" w:history="1">
        <w:r w:rsidR="003A47F3">
          <w:rPr>
            <w:rFonts w:ascii="Arial" w:hAnsi="Arial" w:cs="Arial"/>
            <w:noProof/>
          </w:rPr>
          <w:t>6</w:t>
        </w:r>
      </w:hyperlink>
      <w:r w:rsidR="00471A05">
        <w:rPr>
          <w:rFonts w:ascii="Arial" w:hAnsi="Arial" w:cs="Arial"/>
          <w:noProof/>
        </w:rPr>
        <w:t>]</w:t>
      </w:r>
      <w:r w:rsidR="00734B85">
        <w:rPr>
          <w:rFonts w:ascii="Arial" w:hAnsi="Arial" w:cs="Arial"/>
        </w:rPr>
        <w:fldChar w:fldCharType="end"/>
      </w:r>
      <w:r w:rsidR="00B31E3C">
        <w:rPr>
          <w:rFonts w:ascii="Arial" w:hAnsi="Arial" w:cs="Arial"/>
        </w:rPr>
        <w:t>. These inequalities were not due</w:t>
      </w:r>
      <w:r w:rsidR="00966E70">
        <w:rPr>
          <w:rFonts w:ascii="Arial" w:hAnsi="Arial" w:cs="Arial"/>
        </w:rPr>
        <w:t xml:space="preserve"> solely</w:t>
      </w:r>
      <w:r w:rsidR="00B31E3C">
        <w:rPr>
          <w:rFonts w:ascii="Arial" w:hAnsi="Arial" w:cs="Arial"/>
        </w:rPr>
        <w:t xml:space="preserve"> to failings in the National Health Service (NHS) but to many other social </w:t>
      </w:r>
      <w:r w:rsidR="007A6943">
        <w:rPr>
          <w:rFonts w:ascii="Arial" w:hAnsi="Arial" w:cs="Arial"/>
        </w:rPr>
        <w:t>determinants</w:t>
      </w:r>
      <w:r w:rsidR="00B31E3C">
        <w:rPr>
          <w:rFonts w:ascii="Arial" w:hAnsi="Arial" w:cs="Arial"/>
        </w:rPr>
        <w:t xml:space="preserve"> </w:t>
      </w:r>
      <w:r w:rsidR="001A3158">
        <w:rPr>
          <w:rFonts w:ascii="Arial" w:hAnsi="Arial" w:cs="Arial"/>
        </w:rPr>
        <w:t>of</w:t>
      </w:r>
      <w:r w:rsidR="00B31E3C">
        <w:rPr>
          <w:rFonts w:ascii="Arial" w:hAnsi="Arial" w:cs="Arial"/>
        </w:rPr>
        <w:t xml:space="preserve"> health. Furthermore, </w:t>
      </w:r>
      <w:r w:rsidR="00966E70">
        <w:rPr>
          <w:rFonts w:ascii="Arial" w:hAnsi="Arial" w:cs="Arial"/>
        </w:rPr>
        <w:t xml:space="preserve">there was evidence that </w:t>
      </w:r>
      <w:r w:rsidR="00B31E3C">
        <w:rPr>
          <w:rFonts w:ascii="Arial" w:hAnsi="Arial" w:cs="Arial"/>
        </w:rPr>
        <w:t>these inequalities were widening</w:t>
      </w:r>
      <w:r w:rsidR="00734B85">
        <w:rPr>
          <w:rFonts w:ascii="Arial" w:hAnsi="Arial" w:cs="Arial"/>
        </w:rPr>
        <w:t xml:space="preserve"> </w:t>
      </w:r>
      <w:r w:rsidR="00734B85">
        <w:rPr>
          <w:rFonts w:ascii="Arial" w:hAnsi="Arial" w:cs="Arial"/>
        </w:rPr>
        <w:fldChar w:fldCharType="begin"/>
      </w:r>
      <w:r w:rsidR="00471A05">
        <w:rPr>
          <w:rFonts w:ascii="Arial" w:hAnsi="Arial" w:cs="Arial"/>
        </w:rPr>
        <w:instrText xml:space="preserve"> ADDIN EN.CITE &lt;EndNote&gt;&lt;Cite&gt;&lt;Author&gt;Townsend&lt;/Author&gt;&lt;Year&gt;1992&lt;/Year&gt;&lt;RecNum&gt;3702&lt;/RecNum&gt;&lt;DisplayText&gt;[7]&lt;/DisplayText&gt;&lt;record&gt;&lt;rec-number&gt;3702&lt;/rec-number&gt;&lt;foreign-keys&gt;&lt;key app="EN" db-id="prxtsfzvix5rpde9zrnpewvb5aaxdewa02df"&gt;3702&lt;/key&gt;&lt;/foreign-keys&gt;&lt;ref-type name="Book"&gt;6&lt;/ref-type&gt;&lt;contributors&gt;&lt;authors&gt;&lt;author&gt;Townsend, Peter&lt;/author&gt;&lt;author&gt;Davidson, Nick&lt;/author&gt;&lt;author&gt;Whitehead, Margaret&lt;/author&gt;&lt;/authors&gt;&lt;/contributors&gt;&lt;titles&gt;&lt;title&gt;Inequalities in health: the Black report&lt;/title&gt;&lt;/titles&gt;&lt;dates&gt;&lt;year&gt;1992&lt;/year&gt;&lt;/dates&gt;&lt;publisher&gt;Penguin Books Great Britain&lt;/publisher&gt;&lt;isbn&gt;0140172653&lt;/isbn&gt;&lt;urls&gt;&lt;/urls&gt;&lt;/record&gt;&lt;/Cite&gt;&lt;/EndNote&gt;</w:instrText>
      </w:r>
      <w:r w:rsidR="00734B85">
        <w:rPr>
          <w:rFonts w:ascii="Arial" w:hAnsi="Arial" w:cs="Arial"/>
        </w:rPr>
        <w:fldChar w:fldCharType="separate"/>
      </w:r>
      <w:r w:rsidR="00471A05">
        <w:rPr>
          <w:rFonts w:ascii="Arial" w:hAnsi="Arial" w:cs="Arial"/>
          <w:noProof/>
        </w:rPr>
        <w:t>[</w:t>
      </w:r>
      <w:hyperlink w:anchor="_ENREF_7" w:tooltip="Townsend, 1992 #3702" w:history="1">
        <w:r w:rsidR="003A47F3">
          <w:rPr>
            <w:rFonts w:ascii="Arial" w:hAnsi="Arial" w:cs="Arial"/>
            <w:noProof/>
          </w:rPr>
          <w:t>7</w:t>
        </w:r>
      </w:hyperlink>
      <w:r w:rsidR="00471A05">
        <w:rPr>
          <w:rFonts w:ascii="Arial" w:hAnsi="Arial" w:cs="Arial"/>
          <w:noProof/>
        </w:rPr>
        <w:t>]</w:t>
      </w:r>
      <w:r w:rsidR="00734B85">
        <w:rPr>
          <w:rFonts w:ascii="Arial" w:hAnsi="Arial" w:cs="Arial"/>
        </w:rPr>
        <w:fldChar w:fldCharType="end"/>
      </w:r>
      <w:r w:rsidR="009C2674">
        <w:rPr>
          <w:rFonts w:ascii="Arial" w:hAnsi="Arial" w:cs="Arial"/>
        </w:rPr>
        <w:t xml:space="preserve">.This </w:t>
      </w:r>
      <w:r w:rsidR="00966E70">
        <w:rPr>
          <w:rFonts w:ascii="Arial" w:hAnsi="Arial" w:cs="Arial"/>
        </w:rPr>
        <w:t xml:space="preserve">trend </w:t>
      </w:r>
      <w:r w:rsidR="009C2674">
        <w:rPr>
          <w:rFonts w:ascii="Arial" w:hAnsi="Arial" w:cs="Arial"/>
        </w:rPr>
        <w:t xml:space="preserve">continues to the present day with an estimate of between 1.3 and 2.5 million extra years of life lost each year in England due to health </w:t>
      </w:r>
      <w:r>
        <w:rPr>
          <w:rFonts w:ascii="Arial" w:hAnsi="Arial" w:cs="Arial"/>
        </w:rPr>
        <w:t>inequ</w:t>
      </w:r>
      <w:r w:rsidR="00D46915">
        <w:rPr>
          <w:rFonts w:ascii="Arial" w:hAnsi="Arial" w:cs="Arial"/>
        </w:rPr>
        <w:t>alities</w:t>
      </w:r>
      <w:r w:rsidR="009C2674">
        <w:rPr>
          <w:rFonts w:ascii="Arial" w:hAnsi="Arial" w:cs="Arial"/>
        </w:rPr>
        <w:t xml:space="preserve"> </w:t>
      </w:r>
      <w:r w:rsidR="00243A41">
        <w:rPr>
          <w:rFonts w:ascii="Arial" w:hAnsi="Arial" w:cs="Arial"/>
        </w:rPr>
        <w:fldChar w:fldCharType="begin"/>
      </w:r>
      <w:r w:rsidR="00471A05">
        <w:rPr>
          <w:rFonts w:ascii="Arial" w:hAnsi="Arial" w:cs="Arial"/>
        </w:rPr>
        <w:instrText xml:space="preserve"> ADDIN EN.CITE &lt;EndNote&gt;&lt;Cite&gt;&lt;Author&gt;Marmot&lt;/Author&gt;&lt;Year&gt;2010&lt;/Year&gt;&lt;RecNum&gt;2356&lt;/RecNum&gt;&lt;DisplayText&gt;[3]&lt;/DisplayText&gt;&lt;record&gt;&lt;rec-number&gt;2356&lt;/rec-number&gt;&lt;foreign-keys&gt;&lt;key app="EN" db-id="prxtsfzvix5rpde9zrnpewvb5aaxdewa02df"&gt;2356&lt;/key&gt;&lt;/foreign-keys&gt;&lt;ref-type name="Journal Article"&gt;17&lt;/ref-type&gt;&lt;contributors&gt;&lt;authors&gt;&lt;author&gt;Marmot, MG&lt;/author&gt;&lt;author&gt;Allen, J&lt;/author&gt;&lt;author&gt;Goldblatt, P&lt;/author&gt;&lt;author&gt;Boyce, T&lt;/author&gt;&lt;author&gt;McNeish, D&lt;/author&gt;&lt;author&gt;Grady, M&lt;/author&gt;&lt;author&gt;Geddes, I&lt;/author&gt;&lt;/authors&gt;&lt;/contributors&gt;&lt;titles&gt;&lt;title&gt;Fair society, healthy lives: Strategic review of health inequalities in England post-2010&lt;/title&gt;&lt;/titles&gt;&lt;dates&gt;&lt;year&gt;2010&lt;/year&gt;&lt;/dates&gt;&lt;urls&gt;&lt;/urls&gt;&lt;/record&gt;&lt;/Cite&gt;&lt;/EndNote&gt;</w:instrText>
      </w:r>
      <w:r w:rsidR="00243A41">
        <w:rPr>
          <w:rFonts w:ascii="Arial" w:hAnsi="Arial" w:cs="Arial"/>
        </w:rPr>
        <w:fldChar w:fldCharType="separate"/>
      </w:r>
      <w:r w:rsidR="00471A05">
        <w:rPr>
          <w:rFonts w:ascii="Arial" w:hAnsi="Arial" w:cs="Arial"/>
          <w:noProof/>
        </w:rPr>
        <w:t>[</w:t>
      </w:r>
      <w:hyperlink w:anchor="_ENREF_3" w:tooltip="Marmot, 2010 #2356" w:history="1">
        <w:r w:rsidR="003A47F3">
          <w:rPr>
            <w:rFonts w:ascii="Arial" w:hAnsi="Arial" w:cs="Arial"/>
            <w:noProof/>
          </w:rPr>
          <w:t>3</w:t>
        </w:r>
      </w:hyperlink>
      <w:r w:rsidR="00471A05">
        <w:rPr>
          <w:rFonts w:ascii="Arial" w:hAnsi="Arial" w:cs="Arial"/>
          <w:noProof/>
        </w:rPr>
        <w:t>]</w:t>
      </w:r>
      <w:r w:rsidR="00243A41">
        <w:rPr>
          <w:rFonts w:ascii="Arial" w:hAnsi="Arial" w:cs="Arial"/>
        </w:rPr>
        <w:fldChar w:fldCharType="end"/>
      </w:r>
      <w:r w:rsidR="009C2674">
        <w:rPr>
          <w:rFonts w:ascii="Arial" w:hAnsi="Arial" w:cs="Arial"/>
        </w:rPr>
        <w:t xml:space="preserve">. </w:t>
      </w:r>
    </w:p>
    <w:p w14:paraId="1B764B92" w14:textId="77777777" w:rsidR="001F6D54" w:rsidRPr="00086598" w:rsidRDefault="00482E18" w:rsidP="00966E70">
      <w:pPr>
        <w:spacing w:line="480" w:lineRule="auto"/>
        <w:rPr>
          <w:rFonts w:ascii="Arial" w:hAnsi="Arial" w:cs="Arial"/>
          <w:bCs/>
          <w:lang w:eastAsia="zh-TW"/>
        </w:rPr>
      </w:pPr>
      <w:r>
        <w:rPr>
          <w:rFonts w:ascii="Arial" w:hAnsi="Arial" w:cs="Arial"/>
          <w:bCs/>
        </w:rPr>
        <w:t>Determinants</w:t>
      </w:r>
      <w:r w:rsidR="00D431D0" w:rsidRPr="00D431D0">
        <w:rPr>
          <w:rFonts w:ascii="Arial" w:hAnsi="Arial" w:cs="Arial"/>
          <w:bCs/>
        </w:rPr>
        <w:t xml:space="preserve"> </w:t>
      </w:r>
      <w:r w:rsidR="00A64529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>poor health extend beyond</w:t>
      </w:r>
      <w:r w:rsidR="00D431D0" w:rsidRPr="00D431D0">
        <w:rPr>
          <w:rFonts w:ascii="Arial" w:hAnsi="Arial" w:cs="Arial"/>
          <w:bCs/>
        </w:rPr>
        <w:t xml:space="preserve"> individual characteristics into environmental settings, such as workplaces and neighbourhoods (residential settings), so that where you live matters </w:t>
      </w:r>
      <w:r w:rsidR="00D431D0" w:rsidRPr="00D431D0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&lt;EndNote&gt;&lt;Cite&gt;&lt;Author&gt;Cummins&lt;/Author&gt;&lt;Year&gt;2010&lt;/Year&gt;&lt;RecNum&gt;3941&lt;/RecNum&gt;&lt;DisplayText&gt;[8]&lt;/DisplayText&gt;&lt;record&gt;&lt;rec-number&gt;3941&lt;/rec-number&gt;&lt;foreign-keys&gt;&lt;key app="EN" db-id="prxtsfzvix5rpde9zrnpewvb5aaxdewa02df"&gt;3941&lt;/key&gt;&lt;/foreign-keys&gt;&lt;ref-type name="Book Section"&gt;5&lt;/ref-type&gt;&lt;contributors&gt;&lt;authors&gt;&lt;author&gt;Cummins, Steven&lt;/author&gt;&lt;/authors&gt;&lt;secondary-authors&gt;&lt;author&gt;Killoran, Amanda&lt;/author&gt;&lt;/secondary-authors&gt;&lt;/contributors&gt;&lt;titles&gt;&lt;title&gt;Chapter 18: Improving population health through area-based social interventions: generating evidence in a complex world&lt;/title&gt;&lt;secondary-title&gt;Evidence-based public health: effectiveness and efficiency&lt;/secondary-title&gt;&lt;/titles&gt;&lt;dates&gt;&lt;year&gt;2010&lt;/year&gt;&lt;/dates&gt;&lt;publisher&gt;Oxford University Press&lt;/publisher&gt;&lt;isbn&gt;0199563624&lt;/isbn&gt;&lt;urls&gt;&lt;/urls&gt;&lt;/record&gt;&lt;/Cite&gt;&lt;/EndNote&gt;</w:instrText>
      </w:r>
      <w:r w:rsidR="00D431D0" w:rsidRPr="00D431D0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8" w:tooltip="Cummins, 2010 #3941" w:history="1">
        <w:r w:rsidR="003A47F3">
          <w:rPr>
            <w:rFonts w:ascii="Arial" w:hAnsi="Arial" w:cs="Arial"/>
            <w:bCs/>
            <w:noProof/>
          </w:rPr>
          <w:t>8</w:t>
        </w:r>
      </w:hyperlink>
      <w:r w:rsidR="00471A05">
        <w:rPr>
          <w:rFonts w:ascii="Arial" w:hAnsi="Arial" w:cs="Arial"/>
          <w:bCs/>
          <w:noProof/>
        </w:rPr>
        <w:t>]</w:t>
      </w:r>
      <w:r w:rsidR="00D431D0" w:rsidRPr="00D431D0">
        <w:rPr>
          <w:rFonts w:ascii="Arial" w:hAnsi="Arial" w:cs="Arial"/>
        </w:rPr>
        <w:fldChar w:fldCharType="end"/>
      </w:r>
      <w:r w:rsidR="00D431D0" w:rsidRPr="00D431D0">
        <w:rPr>
          <w:rFonts w:ascii="Arial" w:hAnsi="Arial" w:cs="Arial"/>
          <w:bCs/>
        </w:rPr>
        <w:t>. Importantly, differences across neighbourhoods are not in themselves natural</w:t>
      </w:r>
      <w:r w:rsidR="00A64529">
        <w:rPr>
          <w:rFonts w:ascii="Arial" w:hAnsi="Arial" w:cs="Arial"/>
          <w:bCs/>
        </w:rPr>
        <w:t>;</w:t>
      </w:r>
      <w:r w:rsidR="00D431D0" w:rsidRPr="00D431D0">
        <w:rPr>
          <w:rFonts w:ascii="Arial" w:hAnsi="Arial" w:cs="Arial"/>
          <w:bCs/>
        </w:rPr>
        <w:t xml:space="preserve"> rather </w:t>
      </w:r>
      <w:r w:rsidR="00633C49">
        <w:rPr>
          <w:rFonts w:ascii="Arial" w:hAnsi="Arial" w:cs="Arial"/>
          <w:bCs/>
        </w:rPr>
        <w:t xml:space="preserve">they </w:t>
      </w:r>
      <w:r w:rsidR="00D431D0" w:rsidRPr="00D431D0">
        <w:rPr>
          <w:rFonts w:ascii="Arial" w:hAnsi="Arial" w:cs="Arial"/>
          <w:bCs/>
        </w:rPr>
        <w:t xml:space="preserve">result from specific policies, or the absence of policies </w:t>
      </w:r>
      <w:r w:rsidR="00D431D0" w:rsidRPr="00D431D0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&lt;EndNote&gt;&lt;Cite&gt;&lt;Author&gt;Diez-Roux&lt;/Author&gt;&lt;Year&gt;2007&lt;/Year&gt;&lt;RecNum&gt;3940&lt;/RecNum&gt;&lt;DisplayText&gt;[9]&lt;/DisplayText&gt;&lt;record&gt;&lt;rec-number&gt;3940&lt;/rec-number&gt;&lt;foreign-keys&gt;&lt;key app="EN" db-id="prxtsfzvix5rpde9zrnpewvb5aaxdewa02df"&gt;3940&lt;/key&gt;&lt;/foreign-keys&gt;&lt;ref-type name="Journal Article"&gt;17&lt;/ref-type&gt;&lt;contributors&gt;&lt;authors&gt;&lt;author&gt;Diez-Roux, A-V &lt;/author&gt;&lt;/authors&gt;&lt;/contributors&gt;&lt;titles&gt;&lt;title&gt;Neighborhoods and health: where are we and were do we go from here?&lt;/title&gt;&lt;secondary-title&gt;Revue d&amp;apos;epidemiologie et de sante publique&lt;/secondary-title&gt;&lt;/titles&gt;&lt;periodical&gt;&lt;full-title&gt;Revue d&amp;apos;epidemiologie et de sante publique&lt;/full-title&gt;&lt;/periodical&gt;&lt;pages&gt;13-21&lt;/pages&gt;&lt;volume&gt;55&lt;/volume&gt;&lt;number&gt;1&lt;/number&gt;&lt;dates&gt;&lt;year&gt;2007&lt;/year&gt;&lt;/dates&gt;&lt;isbn&gt;0398-7620&lt;/isbn&gt;&lt;urls&gt;&lt;/urls&gt;&lt;/record&gt;&lt;/Cite&gt;&lt;/EndNote&gt;</w:instrText>
      </w:r>
      <w:r w:rsidR="00D431D0" w:rsidRPr="00D431D0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9" w:tooltip="Diez-Roux, 2007 #3940" w:history="1">
        <w:r w:rsidR="003A47F3">
          <w:rPr>
            <w:rFonts w:ascii="Arial" w:hAnsi="Arial" w:cs="Arial"/>
            <w:bCs/>
            <w:noProof/>
          </w:rPr>
          <w:t>9</w:t>
        </w:r>
      </w:hyperlink>
      <w:r w:rsidR="00471A05">
        <w:rPr>
          <w:rFonts w:ascii="Arial" w:hAnsi="Arial" w:cs="Arial"/>
          <w:bCs/>
          <w:noProof/>
        </w:rPr>
        <w:t>]</w:t>
      </w:r>
      <w:r w:rsidR="00D431D0" w:rsidRPr="00D431D0">
        <w:rPr>
          <w:rFonts w:ascii="Arial" w:hAnsi="Arial" w:cs="Arial"/>
        </w:rPr>
        <w:fldChar w:fldCharType="end"/>
      </w:r>
      <w:r w:rsidR="00D431D0" w:rsidRPr="00D431D0">
        <w:rPr>
          <w:rFonts w:ascii="Arial" w:hAnsi="Arial" w:cs="Arial"/>
          <w:bCs/>
        </w:rPr>
        <w:t xml:space="preserve">. Therefore, targeting spatial inequalities within neighbourhoods is an attractive target for interventions </w:t>
      </w:r>
      <w:r w:rsidR="00D431D0" w:rsidRPr="00D431D0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&lt;EndNote&gt;&lt;Cite&gt;&lt;Author&gt;Diez Roux&lt;/Author&gt;&lt;Year&gt;2010&lt;/Year&gt;&lt;RecNum&gt;3939&lt;/RecNum&gt;&lt;DisplayText&gt;[10]&lt;/DisplayText&gt;&lt;record&gt;&lt;rec-number&gt;3939&lt;/rec-number&gt;&lt;foreign-keys&gt;&lt;key app="EN" db-id="prxtsfzvix5rpde9zrnpewvb5aaxdewa02df"&gt;3939&lt;/key&gt;&lt;/foreign-keys&gt;&lt;ref-type name="Journal Article"&gt;17&lt;/ref-type&gt;&lt;contributors&gt;&lt;authors&gt;&lt;author&gt;Diez Roux, Ana V.&lt;/author&gt;&lt;author&gt;Mair, Christina&lt;/author&gt;&lt;/authors&gt;&lt;/contributors&gt;&lt;titles&gt;&lt;title&gt;Neighborhoods and health&lt;/title&gt;&lt;secondary-title&gt;Annals of the New York Academy of Sciences&lt;/secondary-title&gt;&lt;/titles&gt;&lt;periodical&gt;&lt;full-title&gt;Annals of the New York Academy of Sciences&lt;/full-title&gt;&lt;/periodical&gt;&lt;pages&gt;125-145&lt;/pages&gt;&lt;volume&gt;1186&lt;/volume&gt;&lt;number&gt;1&lt;/number&gt;&lt;keywords&gt;&lt;keyword&gt;NEIGHBORHOODS&lt;/keyword&gt;&lt;keyword&gt;HEALTH&lt;/keyword&gt;&lt;keyword&gt;EQUALITY&lt;/keyword&gt;&lt;keyword&gt;MENTAL health&lt;/keyword&gt;&lt;keyword&gt;MENTAL depression&lt;/keyword&gt;&lt;keyword&gt;HOUSEHOLD surveys&lt;/keyword&gt;&lt;keyword&gt;NUTRITION disorders&lt;/keyword&gt;&lt;keyword&gt;epidemiology&lt;/keyword&gt;&lt;/keywords&gt;&lt;dates&gt;&lt;year&gt;2010&lt;/year&gt;&lt;/dates&gt;&lt;publisher&gt;Wiley-Blackwell&lt;/publisher&gt;&lt;isbn&gt;00778923&lt;/isbn&gt;&lt;accession-num&gt;48116272&lt;/accession-num&gt;&lt;work-type&gt;Article&lt;/work-type&gt;&lt;urls&gt;&lt;related-urls&gt;&lt;url&gt;http://search.ebscohost.com/login.aspx?direct=true&amp;amp;db=a9h&amp;amp;AN=48116272&amp;amp;authtype=sso&amp;amp;custid=s8993828&amp;amp;site=ehost-live&lt;/url&gt;&lt;/related-urls&gt;&lt;/urls&gt;&lt;electronic-resource-num&gt;10.1111/j.1749-6632.2009.05333.x&lt;/electronic-resource-num&gt;&lt;remote-database-name&gt;a9h&lt;/remote-database-name&gt;&lt;remote-database-provider&gt;EBSCOhost&lt;/remote-database-provider&gt;&lt;/record&gt;&lt;/Cite&gt;&lt;/EndNote&gt;</w:instrText>
      </w:r>
      <w:r w:rsidR="00D431D0" w:rsidRPr="00D431D0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10" w:tooltip="Diez Roux, 2010 #3939" w:history="1">
        <w:r w:rsidR="003A47F3">
          <w:rPr>
            <w:rFonts w:ascii="Arial" w:hAnsi="Arial" w:cs="Arial"/>
            <w:bCs/>
            <w:noProof/>
          </w:rPr>
          <w:t>10</w:t>
        </w:r>
      </w:hyperlink>
      <w:r w:rsidR="00471A05">
        <w:rPr>
          <w:rFonts w:ascii="Arial" w:hAnsi="Arial" w:cs="Arial"/>
          <w:bCs/>
          <w:noProof/>
        </w:rPr>
        <w:t>]</w:t>
      </w:r>
      <w:r w:rsidR="00D431D0" w:rsidRPr="00D431D0">
        <w:rPr>
          <w:rFonts w:ascii="Arial" w:hAnsi="Arial" w:cs="Arial"/>
        </w:rPr>
        <w:fldChar w:fldCharType="end"/>
      </w:r>
      <w:r w:rsidR="00D431D0" w:rsidRPr="00D431D0">
        <w:rPr>
          <w:rFonts w:ascii="Arial" w:hAnsi="Arial" w:cs="Arial"/>
          <w:bCs/>
        </w:rPr>
        <w:t xml:space="preserve">. </w:t>
      </w:r>
      <w:r w:rsidR="00B85A15">
        <w:rPr>
          <w:rFonts w:ascii="Arial" w:hAnsi="Arial" w:cs="Arial"/>
          <w:bCs/>
        </w:rPr>
        <w:t>However, t</w:t>
      </w:r>
      <w:r w:rsidR="00633C49">
        <w:rPr>
          <w:rFonts w:ascii="Arial" w:hAnsi="Arial" w:cs="Arial"/>
          <w:bCs/>
        </w:rPr>
        <w:t>here is a</w:t>
      </w:r>
      <w:r w:rsidR="00966E70">
        <w:rPr>
          <w:rFonts w:ascii="Arial" w:hAnsi="Arial" w:cs="Arial"/>
          <w:bCs/>
        </w:rPr>
        <w:t xml:space="preserve"> concern that</w:t>
      </w:r>
      <w:r w:rsidR="00DD567A" w:rsidRPr="00DD567A">
        <w:rPr>
          <w:rFonts w:ascii="Arial" w:hAnsi="Arial" w:cs="Arial"/>
          <w:bCs/>
        </w:rPr>
        <w:t xml:space="preserve"> many interventions </w:t>
      </w:r>
      <w:r w:rsidR="00966E70">
        <w:rPr>
          <w:rFonts w:ascii="Arial" w:hAnsi="Arial" w:cs="Arial"/>
          <w:bCs/>
        </w:rPr>
        <w:t xml:space="preserve">designed to improve health </w:t>
      </w:r>
      <w:r w:rsidR="00DD567A" w:rsidRPr="00DD567A">
        <w:rPr>
          <w:rFonts w:ascii="Arial" w:hAnsi="Arial" w:cs="Arial"/>
          <w:bCs/>
        </w:rPr>
        <w:t xml:space="preserve">may not be </w:t>
      </w:r>
      <w:r w:rsidR="00633C49">
        <w:rPr>
          <w:rFonts w:ascii="Arial" w:hAnsi="Arial" w:cs="Arial"/>
          <w:bCs/>
        </w:rPr>
        <w:t xml:space="preserve">reaching the most disadvantaged, as </w:t>
      </w:r>
      <w:r w:rsidR="00DD567A" w:rsidRPr="00DD567A">
        <w:rPr>
          <w:rFonts w:ascii="Arial" w:hAnsi="Arial" w:cs="Arial"/>
          <w:bCs/>
        </w:rPr>
        <w:t xml:space="preserve">was recognised by the UK </w:t>
      </w:r>
      <w:r w:rsidR="00A64529">
        <w:rPr>
          <w:rFonts w:ascii="Arial" w:hAnsi="Arial" w:cs="Arial"/>
          <w:bCs/>
        </w:rPr>
        <w:t>G</w:t>
      </w:r>
      <w:r w:rsidR="00DD567A" w:rsidRPr="00DD567A">
        <w:rPr>
          <w:rFonts w:ascii="Arial" w:hAnsi="Arial" w:cs="Arial"/>
          <w:bCs/>
        </w:rPr>
        <w:t>overnment following the</w:t>
      </w:r>
      <w:r w:rsidR="00966E70">
        <w:rPr>
          <w:rFonts w:ascii="Arial" w:hAnsi="Arial" w:cs="Arial"/>
          <w:bCs/>
        </w:rPr>
        <w:t xml:space="preserve"> publication of the</w:t>
      </w:r>
      <w:r w:rsidR="00DD567A" w:rsidRPr="00DD567A">
        <w:rPr>
          <w:rFonts w:ascii="Arial" w:hAnsi="Arial" w:cs="Arial"/>
          <w:bCs/>
        </w:rPr>
        <w:t xml:space="preserve"> </w:t>
      </w:r>
      <w:r w:rsidR="00DD567A">
        <w:rPr>
          <w:rFonts w:ascii="Arial" w:hAnsi="Arial" w:cs="Arial"/>
          <w:bCs/>
        </w:rPr>
        <w:t>‘</w:t>
      </w:r>
      <w:proofErr w:type="spellStart"/>
      <w:r w:rsidR="00DD567A" w:rsidRPr="00DD567A">
        <w:rPr>
          <w:rFonts w:ascii="Arial" w:hAnsi="Arial" w:cs="Arial"/>
          <w:bCs/>
        </w:rPr>
        <w:t>Wanless</w:t>
      </w:r>
      <w:proofErr w:type="spellEnd"/>
      <w:r w:rsidR="00DD567A" w:rsidRPr="00DD567A">
        <w:rPr>
          <w:rFonts w:ascii="Arial" w:hAnsi="Arial" w:cs="Arial"/>
          <w:bCs/>
        </w:rPr>
        <w:t xml:space="preserve"> Report</w:t>
      </w:r>
      <w:r w:rsidR="00DD567A">
        <w:rPr>
          <w:rFonts w:ascii="Arial" w:hAnsi="Arial" w:cs="Arial"/>
          <w:bCs/>
        </w:rPr>
        <w:t>’</w:t>
      </w:r>
      <w:r w:rsidR="00DD567A" w:rsidRPr="00DD567A">
        <w:rPr>
          <w:rFonts w:ascii="Arial" w:hAnsi="Arial" w:cs="Arial"/>
          <w:bCs/>
        </w:rPr>
        <w:t xml:space="preserve"> of 2004 </w:t>
      </w:r>
      <w:r w:rsidR="00DD567A" w:rsidRPr="00DD567A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&lt;EndNote&gt;&lt;Cite&gt;&lt;Author&gt;Treasury&lt;/Author&gt;&lt;Year&gt;2004&lt;/Year&gt;&lt;RecNum&gt;3752&lt;/RecNum&gt;&lt;DisplayText&gt;[11]&lt;/DisplayText&gt;&lt;record&gt;&lt;rec-number&gt;3752&lt;/rec-number&gt;&lt;foreign-keys&gt;&lt;key app="EN" db-id="prxtsfzvix5rpde9zrnpewvb5aaxdewa02df"&gt;3752&lt;/key&gt;&lt;/foreign-keys&gt;&lt;ref-type name="Report"&gt;27&lt;/ref-type&gt;&lt;contributors&gt;&lt;authors&gt;&lt;author&gt;Treasury, Her Majesty’s&lt;/author&gt;&lt;/authors&gt;&lt;/contributors&gt;&lt;titles&gt;&lt;title&gt;The Wanless report: Securing good health for the whole population&lt;/title&gt;&lt;secondary-title&gt;HM Treasury, London. &lt;/secondary-title&gt;&lt;/titles&gt;&lt;periodical&gt;&lt;full-title&gt;HM Treasury, London.&lt;/full-title&gt;&lt;/periodical&gt;&lt;dates&gt;&lt;year&gt;2004&lt;/year&gt;&lt;/dates&gt;&lt;urls&gt;&lt;/urls&gt;&lt;/record&gt;&lt;/Cite&gt;&lt;/EndNote&gt;</w:instrText>
      </w:r>
      <w:r w:rsidR="00DD567A" w:rsidRPr="00DD567A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11" w:tooltip="Treasury, 2004 #3752" w:history="1">
        <w:r w:rsidR="003A47F3">
          <w:rPr>
            <w:rFonts w:ascii="Arial" w:hAnsi="Arial" w:cs="Arial"/>
            <w:bCs/>
            <w:noProof/>
          </w:rPr>
          <w:t>11</w:t>
        </w:r>
      </w:hyperlink>
      <w:r w:rsidR="00471A05">
        <w:rPr>
          <w:rFonts w:ascii="Arial" w:hAnsi="Arial" w:cs="Arial"/>
          <w:bCs/>
          <w:noProof/>
        </w:rPr>
        <w:t>]</w:t>
      </w:r>
      <w:r w:rsidR="00DD567A" w:rsidRPr="00DD567A">
        <w:rPr>
          <w:rFonts w:ascii="Arial" w:hAnsi="Arial" w:cs="Arial"/>
        </w:rPr>
        <w:fldChar w:fldCharType="end"/>
      </w:r>
      <w:r w:rsidR="00633C49">
        <w:rPr>
          <w:rFonts w:ascii="Arial" w:hAnsi="Arial" w:cs="Arial"/>
        </w:rPr>
        <w:t>.</w:t>
      </w:r>
      <w:r w:rsidR="00513952">
        <w:rPr>
          <w:rFonts w:ascii="Arial" w:hAnsi="Arial" w:cs="Arial"/>
        </w:rPr>
        <w:t xml:space="preserve"> </w:t>
      </w:r>
      <w:r w:rsidR="00ED0C8B" w:rsidRPr="00ED0C8B">
        <w:rPr>
          <w:rFonts w:ascii="Arial" w:hAnsi="Arial" w:cs="Arial"/>
        </w:rPr>
        <w:t xml:space="preserve">It has been observed that there is often a disparity whereby </w:t>
      </w:r>
      <w:r w:rsidR="00966E70">
        <w:rPr>
          <w:rFonts w:ascii="Arial" w:hAnsi="Arial" w:cs="Arial"/>
        </w:rPr>
        <w:t xml:space="preserve">uptake and provision of </w:t>
      </w:r>
      <w:r w:rsidR="00ED0C8B" w:rsidRPr="00ED0C8B">
        <w:rPr>
          <w:rFonts w:ascii="Arial" w:hAnsi="Arial" w:cs="Arial"/>
        </w:rPr>
        <w:t xml:space="preserve">preventative </w:t>
      </w:r>
      <w:r w:rsidR="00ED0C8B" w:rsidRPr="00ED0C8B">
        <w:rPr>
          <w:rFonts w:ascii="Arial" w:hAnsi="Arial" w:cs="Arial"/>
          <w:bCs/>
        </w:rPr>
        <w:t xml:space="preserve">interventions </w:t>
      </w:r>
      <w:r w:rsidR="00966E70">
        <w:rPr>
          <w:rFonts w:ascii="Arial" w:hAnsi="Arial" w:cs="Arial"/>
          <w:bCs/>
        </w:rPr>
        <w:t>is</w:t>
      </w:r>
      <w:r w:rsidR="00ED0C8B" w:rsidRPr="00ED0C8B">
        <w:rPr>
          <w:rFonts w:ascii="Arial" w:hAnsi="Arial" w:cs="Arial"/>
          <w:bCs/>
        </w:rPr>
        <w:t xml:space="preserve"> socially patterned and </w:t>
      </w:r>
      <w:r w:rsidR="00633C49">
        <w:rPr>
          <w:rFonts w:ascii="Arial" w:hAnsi="Arial" w:cs="Arial"/>
          <w:bCs/>
        </w:rPr>
        <w:t>are</w:t>
      </w:r>
      <w:r w:rsidR="00966E70">
        <w:rPr>
          <w:rFonts w:ascii="Arial" w:hAnsi="Arial" w:cs="Arial"/>
          <w:bCs/>
        </w:rPr>
        <w:t xml:space="preserve"> </w:t>
      </w:r>
      <w:r w:rsidR="00ED0C8B" w:rsidRPr="00ED0C8B">
        <w:rPr>
          <w:rFonts w:ascii="Arial" w:hAnsi="Arial" w:cs="Arial"/>
          <w:bCs/>
        </w:rPr>
        <w:t xml:space="preserve">more likely to be successful amongst the more affluent, a process which has been coined the ‘inverse prevention law’ </w:t>
      </w:r>
      <w:r w:rsidR="00ED0C8B" w:rsidRPr="00ED0C8B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&lt;EndNote&gt;&lt;Cite&gt;&lt;Author&gt;Acheson&lt;/Author&gt;&lt;Year&gt;1998&lt;/Year&gt;&lt;RecNum&gt;3790&lt;/RecNum&gt;&lt;DisplayText&gt;[12]&lt;/DisplayText&gt;&lt;record&gt;&lt;rec-number&gt;3790&lt;/rec-number&gt;&lt;foreign-keys&gt;&lt;key app="EN" db-id="prxtsfzvix5rpde9zrnpewvb5aaxdewa02df"&gt;3790&lt;/key&gt;&lt;/foreign-keys&gt;&lt;ref-type name="Report"&gt;27&lt;/ref-type&gt;&lt;contributors&gt;&lt;authors&gt;&lt;author&gt;Acheson, Donald,&lt;/author&gt;&lt;/authors&gt;&lt;tertiary-authors&gt;&lt;author&gt;The Stationery Office&lt;/author&gt;&lt;/tertiary-authors&gt;&lt;/contributors&gt;&lt;titles&gt;&lt;title&gt;Independent Inquiry into Inequalities in Health Report,&lt;/title&gt;&lt;/titles&gt;&lt;dates&gt;&lt;year&gt;1998&lt;/year&gt;&lt;/dates&gt;&lt;publisher&gt;Department of Health&lt;/publisher&gt;&lt;urls&gt;&lt;related-urls&gt;&lt;url&gt;https://www.gov.uk/government/uploads/system/uploads/attachment_data/file/265503/ih.pdf&lt;/url&gt;&lt;/related-urls&gt;&lt;/urls&gt;&lt;access-date&gt;16th June 2014&lt;/access-date&gt;&lt;/record&gt;&lt;/Cite&gt;&lt;/EndNote&gt;</w:instrText>
      </w:r>
      <w:r w:rsidR="00ED0C8B" w:rsidRPr="00ED0C8B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12" w:tooltip="Acheson, 1998 #3790" w:history="1">
        <w:r w:rsidR="003A47F3">
          <w:rPr>
            <w:rFonts w:ascii="Arial" w:hAnsi="Arial" w:cs="Arial"/>
            <w:bCs/>
            <w:noProof/>
          </w:rPr>
          <w:t>12</w:t>
        </w:r>
      </w:hyperlink>
      <w:r w:rsidR="00471A05">
        <w:rPr>
          <w:rFonts w:ascii="Arial" w:hAnsi="Arial" w:cs="Arial"/>
          <w:bCs/>
          <w:noProof/>
        </w:rPr>
        <w:t>]</w:t>
      </w:r>
      <w:r w:rsidR="00ED0C8B" w:rsidRPr="00ED0C8B">
        <w:rPr>
          <w:rFonts w:ascii="Arial" w:hAnsi="Arial" w:cs="Arial"/>
        </w:rPr>
        <w:fldChar w:fldCharType="end"/>
      </w:r>
      <w:r w:rsidR="00ED0C8B" w:rsidRPr="00ED0C8B">
        <w:rPr>
          <w:rFonts w:ascii="Arial" w:hAnsi="Arial" w:cs="Arial"/>
          <w:bCs/>
        </w:rPr>
        <w:t xml:space="preserve">. </w:t>
      </w:r>
      <w:r w:rsidR="00A64529">
        <w:rPr>
          <w:rFonts w:ascii="Arial" w:hAnsi="Arial" w:cs="Arial"/>
          <w:bCs/>
        </w:rPr>
        <w:t>Indeed s</w:t>
      </w:r>
      <w:r w:rsidR="00694826" w:rsidRPr="00086598">
        <w:rPr>
          <w:rFonts w:ascii="Arial" w:hAnsi="Arial" w:cs="Arial"/>
          <w:bCs/>
        </w:rPr>
        <w:t xml:space="preserve">ome </w:t>
      </w:r>
      <w:r w:rsidR="006717CC" w:rsidRPr="00086598">
        <w:rPr>
          <w:rFonts w:ascii="Arial" w:hAnsi="Arial" w:cs="Arial"/>
          <w:bCs/>
        </w:rPr>
        <w:t xml:space="preserve">researchers </w:t>
      </w:r>
      <w:r w:rsidR="00694826" w:rsidRPr="00086598">
        <w:rPr>
          <w:rFonts w:ascii="Arial" w:hAnsi="Arial" w:cs="Arial"/>
          <w:bCs/>
        </w:rPr>
        <w:t xml:space="preserve">have </w:t>
      </w:r>
      <w:r w:rsidR="003E5707" w:rsidRPr="00086598">
        <w:rPr>
          <w:rFonts w:ascii="Arial" w:hAnsi="Arial" w:cs="Arial"/>
          <w:bCs/>
        </w:rPr>
        <w:t>pointed to</w:t>
      </w:r>
      <w:r w:rsidR="00D546B2" w:rsidRPr="00086598">
        <w:rPr>
          <w:rFonts w:ascii="Arial" w:hAnsi="Arial" w:cs="Arial"/>
          <w:bCs/>
        </w:rPr>
        <w:t xml:space="preserve"> evidence of </w:t>
      </w:r>
      <w:r w:rsidR="003E5707" w:rsidRPr="00086598">
        <w:rPr>
          <w:rFonts w:ascii="Arial" w:hAnsi="Arial" w:cs="Arial"/>
          <w:bCs/>
        </w:rPr>
        <w:t xml:space="preserve"> an</w:t>
      </w:r>
      <w:r w:rsidR="001D6546" w:rsidRPr="00086598">
        <w:rPr>
          <w:rFonts w:ascii="Arial" w:hAnsi="Arial" w:cs="Arial"/>
          <w:bCs/>
        </w:rPr>
        <w:t xml:space="preserve"> ‘inverse equity hypothesis’</w:t>
      </w:r>
      <w:r w:rsidR="006717CC" w:rsidRPr="00086598">
        <w:rPr>
          <w:rFonts w:ascii="Arial" w:hAnsi="Arial" w:cs="Arial"/>
          <w:bCs/>
        </w:rPr>
        <w:t xml:space="preserve"> whereby</w:t>
      </w:r>
      <w:r w:rsidR="00D546B2" w:rsidRPr="00086598">
        <w:rPr>
          <w:rFonts w:ascii="Arial" w:hAnsi="Arial" w:cs="Arial"/>
          <w:bCs/>
        </w:rPr>
        <w:t>,</w:t>
      </w:r>
      <w:r w:rsidR="006717CC" w:rsidRPr="00086598">
        <w:rPr>
          <w:rFonts w:ascii="Arial" w:hAnsi="Arial" w:cs="Arial"/>
          <w:bCs/>
        </w:rPr>
        <w:t xml:space="preserve"> in the absence of  effort</w:t>
      </w:r>
      <w:r w:rsidR="00C31388" w:rsidRPr="00086598">
        <w:rPr>
          <w:rFonts w:ascii="Arial" w:hAnsi="Arial" w:cs="Arial"/>
          <w:bCs/>
        </w:rPr>
        <w:t xml:space="preserve"> to promote equity, new health interventions will first be adopted by the wealthy, </w:t>
      </w:r>
      <w:r w:rsidR="001D6546" w:rsidRPr="00086598">
        <w:rPr>
          <w:rFonts w:ascii="Arial" w:hAnsi="Arial" w:cs="Arial"/>
          <w:bCs/>
        </w:rPr>
        <w:t xml:space="preserve">but as </w:t>
      </w:r>
      <w:r w:rsidR="00C31388" w:rsidRPr="00086598">
        <w:rPr>
          <w:rFonts w:ascii="Arial" w:hAnsi="Arial" w:cs="Arial"/>
          <w:bCs/>
        </w:rPr>
        <w:t>coverage increases poorer individuals wi</w:t>
      </w:r>
      <w:r w:rsidR="00A746F2" w:rsidRPr="00086598">
        <w:rPr>
          <w:rFonts w:ascii="Arial" w:hAnsi="Arial" w:cs="Arial"/>
          <w:bCs/>
        </w:rPr>
        <w:t>ll make faster gains and</w:t>
      </w:r>
      <w:r w:rsidR="00D546B2" w:rsidRPr="00086598">
        <w:rPr>
          <w:rFonts w:ascii="Arial" w:hAnsi="Arial" w:cs="Arial"/>
          <w:bCs/>
        </w:rPr>
        <w:t xml:space="preserve"> initial</w:t>
      </w:r>
      <w:r w:rsidR="00A746F2" w:rsidRPr="00086598">
        <w:rPr>
          <w:rFonts w:ascii="Arial" w:hAnsi="Arial" w:cs="Arial"/>
          <w:bCs/>
        </w:rPr>
        <w:t xml:space="preserve"> inequ</w:t>
      </w:r>
      <w:r w:rsidR="00C31388" w:rsidRPr="00086598">
        <w:rPr>
          <w:rFonts w:ascii="Arial" w:hAnsi="Arial" w:cs="Arial"/>
          <w:bCs/>
        </w:rPr>
        <w:t xml:space="preserve">ity would </w:t>
      </w:r>
      <w:r w:rsidR="00C31388" w:rsidRPr="00086598">
        <w:rPr>
          <w:rFonts w:ascii="Arial" w:hAnsi="Arial" w:cs="Arial"/>
          <w:bCs/>
        </w:rPr>
        <w:lastRenderedPageBreak/>
        <w:t xml:space="preserve">eventually be reduced </w:t>
      </w:r>
      <w:r w:rsidR="00C31388" w:rsidRPr="00086598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&lt;EndNote&gt;&lt;Cite&gt;&lt;Author&gt;Victora&lt;/Author&gt;&lt;Year&gt;2000&lt;/Year&gt;&lt;RecNum&gt;3838&lt;/RecNum&gt;&lt;DisplayText&gt;[13]&lt;/DisplayText&gt;&lt;record&gt;&lt;rec-number&gt;3838&lt;/rec-number&gt;&lt;foreign-keys&gt;&lt;key app="EN" db-id="prxtsfzvix5rpde9zrnpewvb5aaxdewa02df"&gt;3838&lt;/key&gt;&lt;/foreign-keys&gt;&lt;ref-type name="Journal Article"&gt;17&lt;/ref-type&gt;&lt;contributors&gt;&lt;authors&gt;&lt;author&gt;Victora, Cesar G&lt;/author&gt;&lt;author&gt;Vaughan, J Patrick&lt;/author&gt;&lt;author&gt;Barros, Fernando C&lt;/author&gt;&lt;author&gt;Silva, Anamaria C&lt;/author&gt;&lt;author&gt;Tomasi, Elaine&lt;/author&gt;&lt;/authors&gt;&lt;/contributors&gt;&lt;titles&gt;&lt;title&gt;Explaining trends in inequities: evidence from Brazilian child health studies&lt;/title&gt;&lt;secondary-title&gt;The Lancet&lt;/secondary-title&gt;&lt;/titles&gt;&lt;periodical&gt;&lt;full-title&gt;The Lancet&lt;/full-title&gt;&lt;/periodical&gt;&lt;pages&gt;1093-1098&lt;/pages&gt;&lt;volume&gt;356&lt;/volume&gt;&lt;number&gt;9235&lt;/number&gt;&lt;dates&gt;&lt;year&gt;2000&lt;/year&gt;&lt;/dates&gt;&lt;isbn&gt;0140-6736&lt;/isbn&gt;&lt;urls&gt;&lt;/urls&gt;&lt;/record&gt;&lt;/Cite&gt;&lt;/EndNote&gt;</w:instrText>
      </w:r>
      <w:r w:rsidR="00C31388" w:rsidRPr="00086598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13" w:tooltip="Victora, 2000 #3838" w:history="1">
        <w:r w:rsidR="003A47F3">
          <w:rPr>
            <w:rFonts w:ascii="Arial" w:hAnsi="Arial" w:cs="Arial"/>
            <w:bCs/>
            <w:noProof/>
          </w:rPr>
          <w:t>13</w:t>
        </w:r>
      </w:hyperlink>
      <w:r w:rsidR="00471A05">
        <w:rPr>
          <w:rFonts w:ascii="Arial" w:hAnsi="Arial" w:cs="Arial"/>
          <w:bCs/>
          <w:noProof/>
        </w:rPr>
        <w:t>]</w:t>
      </w:r>
      <w:r w:rsidR="00C31388" w:rsidRPr="00086598">
        <w:rPr>
          <w:rFonts w:ascii="Arial" w:hAnsi="Arial" w:cs="Arial"/>
          <w:bCs/>
        </w:rPr>
        <w:fldChar w:fldCharType="end"/>
      </w:r>
      <w:r w:rsidR="00F4228F" w:rsidRPr="00086598">
        <w:rPr>
          <w:rFonts w:ascii="Arial" w:hAnsi="Arial" w:cs="Arial"/>
          <w:bCs/>
        </w:rPr>
        <w:t xml:space="preserve">. </w:t>
      </w:r>
      <w:r w:rsidR="006374BC" w:rsidRPr="00086598">
        <w:rPr>
          <w:rFonts w:ascii="Arial" w:hAnsi="Arial" w:cs="Arial"/>
          <w:bCs/>
        </w:rPr>
        <w:t xml:space="preserve">Others have </w:t>
      </w:r>
      <w:r w:rsidR="00EA4763" w:rsidRPr="00086598">
        <w:rPr>
          <w:rFonts w:ascii="Arial" w:hAnsi="Arial" w:cs="Arial"/>
          <w:bCs/>
        </w:rPr>
        <w:t xml:space="preserve">shown evidence </w:t>
      </w:r>
      <w:r w:rsidR="006374BC" w:rsidRPr="00086598">
        <w:rPr>
          <w:rFonts w:ascii="Arial" w:hAnsi="Arial" w:cs="Arial"/>
          <w:bCs/>
        </w:rPr>
        <w:t xml:space="preserve">of cumulative </w:t>
      </w:r>
      <w:r w:rsidR="00ED7E92">
        <w:rPr>
          <w:rFonts w:ascii="Arial" w:hAnsi="Arial" w:cs="Arial"/>
          <w:bCs/>
        </w:rPr>
        <w:t>inequity</w:t>
      </w:r>
      <w:r w:rsidR="006374BC" w:rsidRPr="00086598">
        <w:rPr>
          <w:rFonts w:ascii="Arial" w:hAnsi="Arial" w:cs="Arial"/>
          <w:bCs/>
        </w:rPr>
        <w:t>, expressed as</w:t>
      </w:r>
      <w:r w:rsidR="00EA4763" w:rsidRPr="00086598">
        <w:rPr>
          <w:rFonts w:ascii="Arial" w:hAnsi="Arial" w:cs="Arial"/>
          <w:bCs/>
        </w:rPr>
        <w:t xml:space="preserve"> ‘the staircase effect’, </w:t>
      </w:r>
      <w:r w:rsidR="00D546B2" w:rsidRPr="00086598">
        <w:rPr>
          <w:rFonts w:ascii="Arial" w:hAnsi="Arial" w:cs="Arial"/>
          <w:bCs/>
        </w:rPr>
        <w:t xml:space="preserve">whereby </w:t>
      </w:r>
      <w:r w:rsidR="00EA4763" w:rsidRPr="00086598">
        <w:rPr>
          <w:rFonts w:ascii="Arial" w:hAnsi="Arial" w:cs="Arial"/>
          <w:bCs/>
        </w:rPr>
        <w:t xml:space="preserve">cumulative disadvantage at different stages of interventions </w:t>
      </w:r>
      <w:r w:rsidR="00D546B2" w:rsidRPr="00086598">
        <w:rPr>
          <w:rFonts w:ascii="Arial" w:hAnsi="Arial" w:cs="Arial"/>
          <w:bCs/>
        </w:rPr>
        <w:t xml:space="preserve">acts to </w:t>
      </w:r>
      <w:r w:rsidR="00EA4763" w:rsidRPr="00086598">
        <w:rPr>
          <w:rFonts w:ascii="Arial" w:hAnsi="Arial" w:cs="Arial"/>
          <w:bCs/>
        </w:rPr>
        <w:t>decreas</w:t>
      </w:r>
      <w:r w:rsidR="00A427F6" w:rsidRPr="00086598">
        <w:rPr>
          <w:rFonts w:ascii="Arial" w:hAnsi="Arial" w:cs="Arial"/>
          <w:bCs/>
        </w:rPr>
        <w:t>e</w:t>
      </w:r>
      <w:r w:rsidR="00EA4763" w:rsidRPr="00086598">
        <w:rPr>
          <w:rFonts w:ascii="Arial" w:hAnsi="Arial" w:cs="Arial"/>
          <w:bCs/>
        </w:rPr>
        <w:t xml:space="preserve"> the effectiveness of </w:t>
      </w:r>
      <w:r w:rsidR="006374BC" w:rsidRPr="00086598">
        <w:rPr>
          <w:rFonts w:ascii="Arial" w:hAnsi="Arial" w:cs="Arial"/>
          <w:bCs/>
        </w:rPr>
        <w:t xml:space="preserve">any </w:t>
      </w:r>
      <w:r w:rsidR="00EA4763" w:rsidRPr="00086598">
        <w:rPr>
          <w:rFonts w:ascii="Arial" w:hAnsi="Arial" w:cs="Arial"/>
          <w:bCs/>
        </w:rPr>
        <w:t xml:space="preserve">potential benefits </w:t>
      </w:r>
      <w:r w:rsidR="00EA4763" w:rsidRPr="00086598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&lt;EndNote&gt;&lt;Cite&gt;&lt;Author&gt;Tugwell&lt;/Author&gt;&lt;Year&gt;2006&lt;/Year&gt;&lt;RecNum&gt;3843&lt;/RecNum&gt;&lt;DisplayText&gt;[14]&lt;/DisplayText&gt;&lt;record&gt;&lt;rec-number&gt;3843&lt;/rec-number&gt;&lt;foreign-keys&gt;&lt;key app="EN" db-id="prxtsfzvix5rpde9zrnpewvb5aaxdewa02df"&gt;3843&lt;/key&gt;&lt;/foreign-keys&gt;&lt;ref-type name="Journal Article"&gt;17&lt;/ref-type&gt;&lt;contributors&gt;&lt;authors&gt;&lt;author&gt;Tugwell, Peter&lt;/author&gt;&lt;author&gt;de Savigny, Don&lt;/author&gt;&lt;author&gt;Hawker, Gillian&lt;/author&gt;&lt;author&gt;Robinson, Vivian&lt;/author&gt;&lt;/authors&gt;&lt;/contributors&gt;&lt;titles&gt;&lt;title&gt;Applying clinical epidemiological methods to health equity: the equity effectiveness loop&lt;/title&gt;&lt;secondary-title&gt;BMJ&lt;/secondary-title&gt;&lt;/titles&gt;&lt;periodical&gt;&lt;full-title&gt;BMJ&lt;/full-title&gt;&lt;/periodical&gt;&lt;pages&gt;358-361&lt;/pages&gt;&lt;volume&gt;332&lt;/volume&gt;&lt;number&gt;7537&lt;/number&gt;&lt;dates&gt;&lt;year&gt;2006&lt;/year&gt;&lt;/dates&gt;&lt;isbn&gt;0959-8138&lt;/isbn&gt;&lt;urls&gt;&lt;/urls&gt;&lt;/record&gt;&lt;/Cite&gt;&lt;/EndNote&gt;</w:instrText>
      </w:r>
      <w:r w:rsidR="00EA4763" w:rsidRPr="00086598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14" w:tooltip="Tugwell, 2006 #3843" w:history="1">
        <w:r w:rsidR="003A47F3">
          <w:rPr>
            <w:rFonts w:ascii="Arial" w:hAnsi="Arial" w:cs="Arial"/>
            <w:bCs/>
            <w:noProof/>
          </w:rPr>
          <w:t>14</w:t>
        </w:r>
      </w:hyperlink>
      <w:r w:rsidR="00471A05">
        <w:rPr>
          <w:rFonts w:ascii="Arial" w:hAnsi="Arial" w:cs="Arial"/>
          <w:bCs/>
          <w:noProof/>
        </w:rPr>
        <w:t>]</w:t>
      </w:r>
      <w:r w:rsidR="00EA4763" w:rsidRPr="00086598">
        <w:rPr>
          <w:rFonts w:ascii="Arial" w:hAnsi="Arial" w:cs="Arial"/>
          <w:bCs/>
        </w:rPr>
        <w:fldChar w:fldCharType="end"/>
      </w:r>
      <w:r w:rsidR="00EA4763" w:rsidRPr="00086598">
        <w:rPr>
          <w:rFonts w:ascii="Arial" w:hAnsi="Arial" w:cs="Arial"/>
          <w:bCs/>
        </w:rPr>
        <w:t xml:space="preserve">. </w:t>
      </w:r>
      <w:r w:rsidR="001F6D54" w:rsidRPr="00086598">
        <w:rPr>
          <w:rFonts w:ascii="Arial" w:hAnsi="Arial" w:cs="Arial"/>
          <w:bCs/>
        </w:rPr>
        <w:t xml:space="preserve">There is </w:t>
      </w:r>
      <w:r w:rsidR="00694826" w:rsidRPr="00086598">
        <w:rPr>
          <w:rFonts w:ascii="Arial" w:hAnsi="Arial" w:cs="Arial"/>
          <w:bCs/>
        </w:rPr>
        <w:t xml:space="preserve">also </w:t>
      </w:r>
      <w:r w:rsidR="001F6D54" w:rsidRPr="00086598">
        <w:rPr>
          <w:rFonts w:ascii="Arial" w:hAnsi="Arial" w:cs="Arial"/>
          <w:bCs/>
        </w:rPr>
        <w:t xml:space="preserve">some evidence that those interventions that rely on voluntary behaviour change, as opposed to statutory regulation, can have a </w:t>
      </w:r>
      <w:r w:rsidR="00D546B2" w:rsidRPr="00086598">
        <w:rPr>
          <w:rFonts w:ascii="Arial" w:hAnsi="Arial" w:cs="Arial"/>
          <w:bCs/>
        </w:rPr>
        <w:t xml:space="preserve">particularly </w:t>
      </w:r>
      <w:r w:rsidR="001F6D54" w:rsidRPr="00086598">
        <w:rPr>
          <w:rFonts w:ascii="Arial" w:hAnsi="Arial" w:cs="Arial"/>
          <w:bCs/>
        </w:rPr>
        <w:t>negative impact on health equity</w:t>
      </w:r>
      <w:r w:rsidR="00EC4DE0" w:rsidRPr="00086598">
        <w:rPr>
          <w:rFonts w:ascii="Arial" w:hAnsi="Arial" w:cs="Arial"/>
          <w:bCs/>
        </w:rPr>
        <w:t xml:space="preserve"> because they will tend to be adopted by those with the least need</w:t>
      </w:r>
      <w:r w:rsidR="001F6D54" w:rsidRPr="00086598">
        <w:rPr>
          <w:rFonts w:ascii="Arial" w:hAnsi="Arial" w:cs="Arial"/>
          <w:bCs/>
        </w:rPr>
        <w:t xml:space="preserve"> </w:t>
      </w:r>
      <w:r w:rsidR="001F6D54" w:rsidRPr="00086598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&lt;EndNote&gt;&lt;Cite&gt;&lt;Author&gt;White&lt;/Author&gt;&lt;Year&gt;2009&lt;/Year&gt;&lt;RecNum&gt;3722&lt;/RecNum&gt;&lt;DisplayText&gt;[15, 16]&lt;/DisplayText&gt;&lt;record&gt;&lt;rec-number&gt;3722&lt;/rec-number&gt;&lt;foreign-keys&gt;&lt;key app="EN" db-id="prxtsfzvix5rpde9zrnpewvb5aaxdewa02df"&gt;3722&lt;/key&gt;&lt;/foreign-keys&gt;&lt;ref-type name="Journal Article"&gt;17&lt;/ref-type&gt;&lt;contributors&gt;&lt;authors&gt;&lt;author&gt;White, Martin&lt;/author&gt;&lt;author&gt;Adams, Jean&lt;/author&gt;&lt;author&gt;Heywood, Peter&lt;/author&gt;&lt;/authors&gt;&lt;/contributors&gt;&lt;titles&gt;&lt;title&gt;How and why do interventions that increase health overall widen inequalities within populations?&lt;/title&gt;&lt;secondary-title&gt;Social Inequality and Public Health&lt;/secondary-title&gt;&lt;/titles&gt;&lt;periodical&gt;&lt;full-title&gt;Social inequality and public health&lt;/full-title&gt;&lt;/periodical&gt;&lt;pages&gt;65-82&lt;/pages&gt;&lt;dates&gt;&lt;year&gt;2009&lt;/year&gt;&lt;/dates&gt;&lt;urls&gt;&lt;/urls&gt;&lt;/record&gt;&lt;/Cite&gt;&lt;Cite&gt;&lt;Author&gt;Lorenc&lt;/Author&gt;&lt;Year&gt;2013&lt;/Year&gt;&lt;RecNum&gt;3727&lt;/RecNum&gt;&lt;record&gt;&lt;rec-number&gt;3727&lt;/rec-number&gt;&lt;foreign-keys&gt;&lt;key app="EN" db-id="prxtsfzvix5rpde9zrnpewvb5aaxdewa02df"&gt;3727&lt;/key&gt;&lt;/foreign-keys&gt;&lt;ref-type name="Journal Article"&gt;17&lt;/ref-type&gt;&lt;contributors&gt;&lt;authors&gt;&lt;author&gt;Lorenc, Theo&lt;/author&gt;&lt;author&gt;Petticrew, Mark&lt;/author&gt;&lt;author&gt;Welch, Vivian&lt;/author&gt;&lt;author&gt;Tugwell, Peter&lt;/author&gt;&lt;/authors&gt;&lt;/contributors&gt;&lt;titles&gt;&lt;title&gt;What types of interventions generate inequalities? Evidence from systematic reviews&lt;/title&gt;&lt;secondary-title&gt;Journal of Epidemiology and Community Health,&lt;/secondary-title&gt;&lt;/titles&gt;&lt;periodical&gt;&lt;full-title&gt;Journal of Epidemiology and Community health,&lt;/full-title&gt;&lt;/periodical&gt;&lt;pages&gt;190-193&lt;/pages&gt;&lt;volume&gt;67&lt;/volume&gt;&lt;number&gt;2&lt;/number&gt;&lt;dates&gt;&lt;year&gt;2013&lt;/year&gt;&lt;pub-dates&gt;&lt;date&gt;February 1, 2013&lt;/date&gt;&lt;/pub-dates&gt;&lt;/dates&gt;&lt;urls&gt;&lt;related-urls&gt;&lt;url&gt;http://jech.bmj.com/content/67/2/190.abstract&lt;/url&gt;&lt;/related-urls&gt;&lt;/urls&gt;&lt;electronic-resource-num&gt;10.1136/jech-2012-201257&lt;/electronic-resource-num&gt;&lt;/record&gt;&lt;/Cite&gt;&lt;/EndNote&gt;</w:instrText>
      </w:r>
      <w:r w:rsidR="001F6D54" w:rsidRPr="00086598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15" w:tooltip="White, 2009 #3722" w:history="1">
        <w:r w:rsidR="003A47F3">
          <w:rPr>
            <w:rFonts w:ascii="Arial" w:hAnsi="Arial" w:cs="Arial"/>
            <w:bCs/>
            <w:noProof/>
          </w:rPr>
          <w:t>15</w:t>
        </w:r>
      </w:hyperlink>
      <w:r w:rsidR="00471A05">
        <w:rPr>
          <w:rFonts w:ascii="Arial" w:hAnsi="Arial" w:cs="Arial"/>
          <w:bCs/>
          <w:noProof/>
        </w:rPr>
        <w:t xml:space="preserve">, </w:t>
      </w:r>
      <w:hyperlink w:anchor="_ENREF_16" w:tooltip="Lorenc, 2013 #3727" w:history="1">
        <w:r w:rsidR="003A47F3">
          <w:rPr>
            <w:rFonts w:ascii="Arial" w:hAnsi="Arial" w:cs="Arial"/>
            <w:bCs/>
            <w:noProof/>
          </w:rPr>
          <w:t>16</w:t>
        </w:r>
      </w:hyperlink>
      <w:r w:rsidR="00471A05">
        <w:rPr>
          <w:rFonts w:ascii="Arial" w:hAnsi="Arial" w:cs="Arial"/>
          <w:bCs/>
          <w:noProof/>
        </w:rPr>
        <w:t>]</w:t>
      </w:r>
      <w:r w:rsidR="001F6D54" w:rsidRPr="00086598">
        <w:rPr>
          <w:rFonts w:ascii="Arial" w:hAnsi="Arial" w:cs="Arial"/>
          <w:bCs/>
        </w:rPr>
        <w:fldChar w:fldCharType="end"/>
      </w:r>
      <w:r w:rsidR="006717CC" w:rsidRPr="00086598">
        <w:rPr>
          <w:rFonts w:ascii="Arial" w:hAnsi="Arial" w:cs="Arial"/>
          <w:bCs/>
        </w:rPr>
        <w:t xml:space="preserve">. </w:t>
      </w:r>
    </w:p>
    <w:p w14:paraId="243DDBD5" w14:textId="77777777" w:rsidR="00D71121" w:rsidRDefault="00542435" w:rsidP="00D71121">
      <w:pPr>
        <w:spacing w:line="480" w:lineRule="auto"/>
        <w:rPr>
          <w:rFonts w:ascii="Arial" w:hAnsi="Arial" w:cs="Arial"/>
          <w:bCs/>
          <w:lang w:eastAsia="zh-TW"/>
        </w:rPr>
      </w:pPr>
      <w:r w:rsidRPr="00086598">
        <w:rPr>
          <w:rFonts w:ascii="Arial" w:hAnsi="Arial" w:cs="Arial"/>
          <w:bCs/>
          <w:lang w:eastAsia="zh-TW"/>
        </w:rPr>
        <w:t>Many population health interventions focus on u</w:t>
      </w:r>
      <w:r w:rsidR="0058773F" w:rsidRPr="00086598">
        <w:rPr>
          <w:rFonts w:ascii="Arial" w:hAnsi="Arial" w:cs="Arial"/>
          <w:bCs/>
          <w:lang w:eastAsia="zh-TW"/>
        </w:rPr>
        <w:t>nhealthy behaviours</w:t>
      </w:r>
      <w:r w:rsidR="00A1134A" w:rsidRPr="00086598">
        <w:rPr>
          <w:rFonts w:ascii="Arial" w:hAnsi="Arial" w:cs="Arial"/>
          <w:bCs/>
          <w:lang w:eastAsia="zh-TW"/>
        </w:rPr>
        <w:t xml:space="preserve"> </w:t>
      </w:r>
      <w:r w:rsidRPr="00086598">
        <w:rPr>
          <w:rFonts w:ascii="Arial" w:hAnsi="Arial" w:cs="Arial"/>
          <w:bCs/>
          <w:lang w:eastAsia="zh-TW"/>
        </w:rPr>
        <w:t xml:space="preserve">which </w:t>
      </w:r>
      <w:r w:rsidR="00A1134A" w:rsidRPr="00086598">
        <w:rPr>
          <w:rFonts w:ascii="Arial" w:hAnsi="Arial" w:cs="Arial"/>
          <w:bCs/>
          <w:lang w:eastAsia="zh-TW"/>
        </w:rPr>
        <w:t xml:space="preserve">are a key contributor to non-communicable disease mortality and disease burden. </w:t>
      </w:r>
      <w:r w:rsidRPr="00086598">
        <w:rPr>
          <w:rFonts w:ascii="Arial" w:hAnsi="Arial" w:cs="Arial"/>
          <w:bCs/>
          <w:lang w:eastAsia="zh-TW"/>
        </w:rPr>
        <w:t xml:space="preserve">Such </w:t>
      </w:r>
      <w:r w:rsidR="00A1134A" w:rsidRPr="00086598">
        <w:rPr>
          <w:rFonts w:ascii="Arial" w:hAnsi="Arial" w:cs="Arial"/>
          <w:bCs/>
          <w:lang w:eastAsia="zh-TW"/>
        </w:rPr>
        <w:t xml:space="preserve">diseases are largely preventable but are disproportionately </w:t>
      </w:r>
      <w:r w:rsidRPr="00086598">
        <w:rPr>
          <w:rFonts w:ascii="Arial" w:hAnsi="Arial" w:cs="Arial"/>
          <w:bCs/>
          <w:lang w:eastAsia="zh-TW"/>
        </w:rPr>
        <w:t xml:space="preserve">prevalent in </w:t>
      </w:r>
      <w:r w:rsidR="00A1134A" w:rsidRPr="00086598">
        <w:rPr>
          <w:rFonts w:ascii="Arial" w:hAnsi="Arial" w:cs="Arial"/>
          <w:bCs/>
          <w:lang w:eastAsia="zh-TW"/>
        </w:rPr>
        <w:t>poor and disadvantaged communities</w:t>
      </w:r>
      <w:r w:rsidR="0097262B">
        <w:rPr>
          <w:rFonts w:ascii="Arial" w:hAnsi="Arial" w:cs="Arial"/>
          <w:bCs/>
          <w:lang w:eastAsia="zh-TW"/>
        </w:rPr>
        <w:t>,</w:t>
      </w:r>
      <w:r w:rsidR="00A1134A" w:rsidRPr="00086598">
        <w:rPr>
          <w:rFonts w:ascii="Arial" w:hAnsi="Arial" w:cs="Arial"/>
          <w:bCs/>
          <w:lang w:eastAsia="zh-TW"/>
        </w:rPr>
        <w:t xml:space="preserve"> </w:t>
      </w:r>
      <w:r w:rsidRPr="00086598">
        <w:rPr>
          <w:rFonts w:ascii="Arial" w:hAnsi="Arial" w:cs="Arial"/>
          <w:bCs/>
          <w:lang w:eastAsia="zh-TW"/>
        </w:rPr>
        <w:t>with</w:t>
      </w:r>
      <w:r w:rsidR="00A1134A" w:rsidRPr="00086598">
        <w:rPr>
          <w:rFonts w:ascii="Arial" w:hAnsi="Arial" w:cs="Arial"/>
          <w:bCs/>
          <w:lang w:eastAsia="zh-TW"/>
        </w:rPr>
        <w:t xml:space="preserve"> evidence that this </w:t>
      </w:r>
      <w:r w:rsidR="00EC4DE0" w:rsidRPr="00086598">
        <w:rPr>
          <w:rFonts w:ascii="Arial" w:hAnsi="Arial" w:cs="Arial"/>
          <w:bCs/>
          <w:lang w:eastAsia="zh-TW"/>
        </w:rPr>
        <w:t xml:space="preserve">disparity </w:t>
      </w:r>
      <w:r w:rsidR="00A1134A" w:rsidRPr="00086598">
        <w:rPr>
          <w:rFonts w:ascii="Arial" w:hAnsi="Arial" w:cs="Arial"/>
          <w:bCs/>
          <w:lang w:eastAsia="zh-TW"/>
        </w:rPr>
        <w:t xml:space="preserve">is increasing </w:t>
      </w:r>
      <w:r w:rsidR="00730D54" w:rsidRPr="00086598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&lt;EndNote&gt;&lt;Cite&gt;&lt;Author&gt;Buck&lt;/Author&gt;&lt;Year&gt;2012&lt;/Year&gt;&lt;RecNum&gt;3849&lt;/RecNum&gt;&lt;DisplayText&gt;[17, 18]&lt;/DisplayText&gt;&lt;record&gt;&lt;rec-number&gt;3849&lt;/rec-number&gt;&lt;foreign-keys&gt;&lt;key app="EN" db-id="prxtsfzvix5rpde9zrnpewvb5aaxdewa02df"&gt;3849&lt;/key&gt;&lt;/foreign-keys&gt;&lt;ref-type name="Report"&gt;27&lt;/ref-type&gt;&lt;contributors&gt;&lt;authors&gt;&lt;author&gt;Buck, David&lt;/author&gt;&lt;author&gt;Frosini, Francesca&lt;/author&gt;&lt;/authors&gt;&lt;/contributors&gt;&lt;titles&gt;&lt;title&gt;Clustering of unhealthy behaviours over time: Implications for policy and practice&lt;/title&gt;&lt;/titles&gt;&lt;dates&gt;&lt;year&gt;2012&lt;/year&gt;&lt;/dates&gt;&lt;pub-location&gt;London&lt;/pub-location&gt;&lt;publisher&gt;The King&amp;apos;s Fund&lt;/publisher&gt;&lt;isbn&gt;1857176421&lt;/isbn&gt;&lt;urls&gt;&lt;related-urls&gt;&lt;url&gt;http://www.kingsfund.org.uk/publications/clustering-unhealthy-behaviours-over-time&lt;/url&gt;&lt;/related-urls&gt;&lt;/urls&gt;&lt;/record&gt;&lt;/Cite&gt;&lt;Cite&gt;&lt;Author&gt;WHO&lt;/Author&gt;&lt;Year&gt;2008&lt;/Year&gt;&lt;RecNum&gt;3636&lt;/RecNum&gt;&lt;record&gt;&lt;rec-number&gt;3636&lt;/rec-number&gt;&lt;foreign-keys&gt;&lt;key app="EN" db-id="prxtsfzvix5rpde9zrnpewvb5aaxdewa02df"&gt;3636&lt;/key&gt;&lt;/foreign-keys&gt;&lt;ref-type name="Electronic Article"&gt;43&lt;/ref-type&gt;&lt;contributors&gt;&lt;authors&gt;&lt;author&gt;WHO&lt;/author&gt;&lt;/authors&gt;&lt;/contributors&gt;&lt;titles&gt;&lt;title&gt;2008-2013 Action Plan for the Global Strategy for the Prevention and Control of Noncommunicable Diseases&lt;/title&gt;&lt;tertiary-title&gt;World Health Organisation&lt;/tertiary-title&gt;&lt;/titles&gt;&lt;dates&gt;&lt;year&gt;2008&lt;/year&gt;&lt;pub-dates&gt;&lt;date&gt;27/11/13&lt;/date&gt;&lt;/pub-dates&gt;&lt;/dates&gt;&lt;urls&gt;&lt;related-urls&gt;&lt;url&gt;http://www.who.int/nmh/Actionplan-PC-NCD-2008.pdf&lt;/url&gt;&lt;/related-urls&gt;&lt;/urls&gt;&lt;/record&gt;&lt;/Cite&gt;&lt;/EndNote&gt;</w:instrText>
      </w:r>
      <w:r w:rsidR="00730D54" w:rsidRPr="00086598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17" w:tooltip="Buck, 2012 #3849" w:history="1">
        <w:r w:rsidR="003A47F3">
          <w:rPr>
            <w:rFonts w:ascii="Arial" w:hAnsi="Arial" w:cs="Arial"/>
            <w:bCs/>
            <w:noProof/>
            <w:lang w:eastAsia="zh-TW"/>
          </w:rPr>
          <w:t>17</w:t>
        </w:r>
      </w:hyperlink>
      <w:r w:rsidR="00471A05">
        <w:rPr>
          <w:rFonts w:ascii="Arial" w:hAnsi="Arial" w:cs="Arial"/>
          <w:bCs/>
          <w:noProof/>
          <w:lang w:eastAsia="zh-TW"/>
        </w:rPr>
        <w:t xml:space="preserve">, </w:t>
      </w:r>
      <w:hyperlink w:anchor="_ENREF_18" w:tooltip="WHO, 2008 #3636" w:history="1">
        <w:r w:rsidR="003A47F3">
          <w:rPr>
            <w:rFonts w:ascii="Arial" w:hAnsi="Arial" w:cs="Arial"/>
            <w:bCs/>
            <w:noProof/>
            <w:lang w:eastAsia="zh-TW"/>
          </w:rPr>
          <w:t>18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="00730D54" w:rsidRPr="00086598">
        <w:rPr>
          <w:rFonts w:ascii="Arial" w:hAnsi="Arial" w:cs="Arial"/>
          <w:bCs/>
          <w:lang w:eastAsia="zh-TW"/>
        </w:rPr>
        <w:fldChar w:fldCharType="end"/>
      </w:r>
      <w:r w:rsidR="00A1134A" w:rsidRPr="00086598">
        <w:rPr>
          <w:rFonts w:ascii="Arial" w:hAnsi="Arial" w:cs="Arial"/>
          <w:bCs/>
          <w:lang w:eastAsia="zh-TW"/>
        </w:rPr>
        <w:t xml:space="preserve">. </w:t>
      </w:r>
    </w:p>
    <w:p w14:paraId="74275244" w14:textId="77777777" w:rsidR="00730D54" w:rsidRDefault="007D2589" w:rsidP="0045462A">
      <w:pPr>
        <w:spacing w:line="480" w:lineRule="auto"/>
        <w:rPr>
          <w:rFonts w:ascii="Arial" w:hAnsi="Arial" w:cs="Arial"/>
          <w:bCs/>
          <w:lang w:eastAsia="zh-TW"/>
        </w:rPr>
      </w:pPr>
      <w:r w:rsidRPr="007D2589">
        <w:rPr>
          <w:rFonts w:ascii="Arial" w:hAnsi="Arial" w:cs="Arial"/>
          <w:bCs/>
          <w:lang w:eastAsia="zh-TW"/>
        </w:rPr>
        <w:t>Physical activity is known to have wide ranging long term health benefits across all socio-economic</w:t>
      </w:r>
      <w:r w:rsidR="00B73B5E">
        <w:rPr>
          <w:rFonts w:ascii="Arial" w:hAnsi="Arial" w:cs="Arial"/>
          <w:bCs/>
          <w:lang w:eastAsia="zh-TW"/>
        </w:rPr>
        <w:t xml:space="preserve"> and</w:t>
      </w:r>
      <w:r w:rsidRPr="007D2589">
        <w:rPr>
          <w:rFonts w:ascii="Arial" w:hAnsi="Arial" w:cs="Arial"/>
          <w:bCs/>
          <w:lang w:eastAsia="zh-TW"/>
        </w:rPr>
        <w:t xml:space="preserve"> ethnic </w:t>
      </w:r>
      <w:r w:rsidR="0097262B">
        <w:rPr>
          <w:rFonts w:ascii="Arial" w:hAnsi="Arial" w:cs="Arial"/>
          <w:bCs/>
          <w:lang w:eastAsia="zh-TW"/>
        </w:rPr>
        <w:t>groups and sexes</w:t>
      </w:r>
      <w:r w:rsidR="0097262B" w:rsidRPr="007D2589">
        <w:rPr>
          <w:rFonts w:ascii="Arial" w:hAnsi="Arial" w:cs="Arial"/>
          <w:bCs/>
          <w:lang w:eastAsia="zh-TW"/>
        </w:rPr>
        <w:t xml:space="preserve"> </w:t>
      </w:r>
      <w:r w:rsidRPr="007D2589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&lt;EndNote&gt;&lt;Cite&gt;&lt;Author&gt;Hallal&lt;/Author&gt;&lt;Year&gt;2012&lt;/Year&gt;&lt;RecNum&gt;3839&lt;/RecNum&gt;&lt;DisplayText&gt;[19, 20]&lt;/DisplayText&gt;&lt;record&gt;&lt;rec-number&gt;3839&lt;/rec-number&gt;&lt;foreign-keys&gt;&lt;key app="EN" db-id="prxtsfzvix5rpde9zrnpewvb5aaxdewa02df"&gt;3839&lt;/key&gt;&lt;/foreign-keys&gt;&lt;ref-type name="Journal Article"&gt;17&lt;/ref-type&gt;&lt;contributors&gt;&lt;authors&gt;&lt;author&gt;Hallal, Pedro C&lt;/author&gt;&lt;author&gt;Bauman, Adrian E&lt;/author&gt;&lt;author&gt;Heath, Gregory W&lt;/author&gt;&lt;author&gt;Lee, I-Min&lt;/author&gt;&lt;author&gt;Pratt, Michael&lt;/author&gt;&lt;/authors&gt;&lt;/contributors&gt;&lt;titles&gt;&lt;title&gt;Physical activity: more of the same is not enough&lt;/title&gt;&lt;secondary-title&gt;The Lancet&lt;/secondary-title&gt;&lt;/titles&gt;&lt;periodical&gt;&lt;full-title&gt;The Lancet&lt;/full-title&gt;&lt;/periodical&gt;&lt;pages&gt;190-191&lt;/pages&gt;&lt;volume&gt;380&lt;/volume&gt;&lt;number&gt;9838&lt;/number&gt;&lt;dates&gt;&lt;year&gt;2012&lt;/year&gt;&lt;/dates&gt;&lt;isbn&gt;0140-6736&lt;/isbn&gt;&lt;urls&gt;&lt;/urls&gt;&lt;/record&gt;&lt;/Cite&gt;&lt;Cite&gt;&lt;Author&gt;Reiner&lt;/Author&gt;&lt;Year&gt;2013&lt;/Year&gt;&lt;RecNum&gt;3673&lt;/RecNum&gt;&lt;record&gt;&lt;rec-number&gt;3673&lt;/rec-number&gt;&lt;foreign-keys&gt;&lt;key app="EN" db-id="prxtsfzvix5rpde9zrnpewvb5aaxdewa02df"&gt;3673&lt;/key&gt;&lt;/foreign-keys&gt;&lt;ref-type name="Journal Article"&gt;17&lt;/ref-type&gt;&lt;contributors&gt;&lt;authors&gt;&lt;author&gt;Reiner, Miriam&lt;/author&gt;&lt;author&gt;Niermann, Christina&lt;/author&gt;&lt;author&gt;Jekauc, Darko&lt;/author&gt;&lt;author&gt;Woll, Alexander&lt;/author&gt;&lt;/authors&gt;&lt;/contributors&gt;&lt;titles&gt;&lt;title&gt;Long-term health benefits of physical activity--a systematic review of longitudinal studies&lt;/title&gt;&lt;secondary-title&gt;BMC public health&lt;/secondary-title&gt;&lt;/titles&gt;&lt;periodical&gt;&lt;full-title&gt;BMC Public Health&lt;/full-title&gt;&lt;/periodical&gt;&lt;pages&gt;813&lt;/pages&gt;&lt;volume&gt;13&lt;/volume&gt;&lt;number&gt;1&lt;/number&gt;&lt;dates&gt;&lt;year&gt;2013&lt;/year&gt;&lt;/dates&gt;&lt;isbn&gt;1471-2458&lt;/isbn&gt;&lt;urls&gt;&lt;/urls&gt;&lt;/record&gt;&lt;/Cite&gt;&lt;/EndNote&gt;</w:instrText>
      </w:r>
      <w:r w:rsidRPr="007D2589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19" w:tooltip="Hallal, 2012 #3839" w:history="1">
        <w:r w:rsidR="003A47F3">
          <w:rPr>
            <w:rFonts w:ascii="Arial" w:hAnsi="Arial" w:cs="Arial"/>
            <w:bCs/>
            <w:noProof/>
            <w:lang w:eastAsia="zh-TW"/>
          </w:rPr>
          <w:t>19</w:t>
        </w:r>
      </w:hyperlink>
      <w:r w:rsidR="00471A05">
        <w:rPr>
          <w:rFonts w:ascii="Arial" w:hAnsi="Arial" w:cs="Arial"/>
          <w:bCs/>
          <w:noProof/>
          <w:lang w:eastAsia="zh-TW"/>
        </w:rPr>
        <w:t xml:space="preserve">, </w:t>
      </w:r>
      <w:hyperlink w:anchor="_ENREF_20" w:tooltip="Reiner, 2013 #3673" w:history="1">
        <w:r w:rsidR="003A47F3">
          <w:rPr>
            <w:rFonts w:ascii="Arial" w:hAnsi="Arial" w:cs="Arial"/>
            <w:bCs/>
            <w:noProof/>
            <w:lang w:eastAsia="zh-TW"/>
          </w:rPr>
          <w:t>20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Pr="007D2589">
        <w:rPr>
          <w:rFonts w:ascii="Arial" w:hAnsi="Arial" w:cs="Arial"/>
          <w:bCs/>
          <w:lang w:eastAsia="zh-TW"/>
        </w:rPr>
        <w:fldChar w:fldCharType="end"/>
      </w:r>
      <w:r>
        <w:rPr>
          <w:rFonts w:ascii="Arial" w:hAnsi="Arial" w:cs="Arial"/>
          <w:bCs/>
          <w:lang w:eastAsia="zh-TW"/>
        </w:rPr>
        <w:t xml:space="preserve">. </w:t>
      </w:r>
      <w:r w:rsidR="00A64529">
        <w:rPr>
          <w:rFonts w:ascii="Arial" w:hAnsi="Arial" w:cs="Arial"/>
          <w:bCs/>
          <w:lang w:eastAsia="zh-TW"/>
        </w:rPr>
        <w:t>A</w:t>
      </w:r>
      <w:r w:rsidR="00730D54" w:rsidRPr="00086598">
        <w:rPr>
          <w:rFonts w:ascii="Arial" w:hAnsi="Arial" w:cs="Arial"/>
          <w:bCs/>
          <w:lang w:eastAsia="zh-TW"/>
        </w:rPr>
        <w:t xml:space="preserve"> key component to unhealthy behaviour is physical inactivity</w:t>
      </w:r>
      <w:r w:rsidR="00542435" w:rsidRPr="00086598">
        <w:rPr>
          <w:rFonts w:ascii="Arial" w:hAnsi="Arial" w:cs="Arial"/>
          <w:bCs/>
          <w:lang w:eastAsia="zh-TW"/>
        </w:rPr>
        <w:t>, which</w:t>
      </w:r>
      <w:r w:rsidR="00730D54" w:rsidRPr="00086598">
        <w:rPr>
          <w:rFonts w:ascii="Arial" w:hAnsi="Arial" w:cs="Arial"/>
          <w:bCs/>
          <w:lang w:eastAsia="zh-TW"/>
        </w:rPr>
        <w:t xml:space="preserve"> has been estimated to </w:t>
      </w:r>
      <w:r w:rsidR="00542435" w:rsidRPr="00086598">
        <w:rPr>
          <w:rFonts w:ascii="Arial" w:hAnsi="Arial" w:cs="Arial"/>
          <w:bCs/>
          <w:lang w:eastAsia="zh-TW"/>
        </w:rPr>
        <w:t xml:space="preserve">be associated with </w:t>
      </w:r>
      <w:r w:rsidR="00730D54" w:rsidRPr="00086598">
        <w:rPr>
          <w:rFonts w:ascii="Arial" w:hAnsi="Arial" w:cs="Arial"/>
          <w:bCs/>
          <w:lang w:eastAsia="zh-TW"/>
        </w:rPr>
        <w:t>9% of premature deaths</w:t>
      </w:r>
      <w:r w:rsidR="00EC4DE0" w:rsidRPr="00086598">
        <w:rPr>
          <w:rFonts w:ascii="Arial" w:hAnsi="Arial" w:cs="Arial"/>
          <w:bCs/>
          <w:lang w:eastAsia="zh-TW"/>
        </w:rPr>
        <w:t xml:space="preserve"> worldwide</w:t>
      </w:r>
      <w:r w:rsidR="008131E3">
        <w:rPr>
          <w:rFonts w:ascii="Arial" w:hAnsi="Arial" w:cs="Arial"/>
          <w:bCs/>
          <w:lang w:eastAsia="zh-TW"/>
        </w:rPr>
        <w:t xml:space="preserve"> </w:t>
      </w:r>
      <w:r w:rsidR="008131E3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&lt;EndNote&gt;&lt;Cite&gt;&lt;Author&gt;Lee&lt;/Author&gt;&lt;Year&gt;2012&lt;/Year&gt;&lt;RecNum&gt;3624&lt;/RecNum&gt;&lt;DisplayText&gt;[21]&lt;/DisplayText&gt;&lt;record&gt;&lt;rec-number&gt;3624&lt;/rec-number&gt;&lt;foreign-keys&gt;&lt;key app="EN" db-id="prxtsfzvix5rpde9zrnpewvb5aaxdewa02df"&gt;3624&lt;/key&gt;&lt;/foreign-keys&gt;&lt;ref-type name="Journal Article"&gt;17&lt;/ref-type&gt;&lt;contributors&gt;&lt;authors&gt;&lt;author&gt;Lee, I. Min&lt;/author&gt;&lt;author&gt;Shiroma, Eric J.&lt;/author&gt;&lt;author&gt;Lobelo, Felipe&lt;/author&gt;&lt;author&gt;Puska, Pekka&lt;/author&gt;&lt;author&gt;Blair, Steven N.&lt;/author&gt;&lt;author&gt;Katzmarzyk, Peter T.&lt;/author&gt;&lt;/authors&gt;&lt;/contributors&gt;&lt;titles&gt;&lt;title&gt;Effect of physical inactivity on major non-communicable diseases worldwide: an analysis of burden of disease and life expectancy&lt;/title&gt;&lt;secondary-title&gt;The Lancet&lt;/secondary-title&gt;&lt;/titles&gt;&lt;periodical&gt;&lt;full-title&gt;The Lancet&lt;/full-title&gt;&lt;/periodical&gt;&lt;pages&gt;219-229&lt;/pages&gt;&lt;volume&gt;380&lt;/volume&gt;&lt;number&gt;9838&lt;/number&gt;&lt;dates&gt;&lt;year&gt;2012&lt;/year&gt;&lt;pub-dates&gt;&lt;date&gt;//&lt;/date&gt;&lt;/pub-dates&gt;&lt;/dates&gt;&lt;isbn&gt;0140-6736&lt;/isbn&gt;&lt;urls&gt;&lt;related-urls&gt;&lt;url&gt;http://www.sciencedirect.com/science/article/pii/S0140673612610319&lt;/url&gt;&lt;/related-urls&gt;&lt;/urls&gt;&lt;electronic-resource-num&gt;http://dx.doi.org/10.1016/S0140-6736(12)61031-9&lt;/electronic-resource-num&gt;&lt;access-date&gt;2012/7/27/&lt;/access-date&gt;&lt;/record&gt;&lt;/Cite&gt;&lt;/EndNote&gt;</w:instrText>
      </w:r>
      <w:r w:rsidR="008131E3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21" w:tooltip="Lee, 2012 #3624" w:history="1">
        <w:r w:rsidR="003A47F3">
          <w:rPr>
            <w:rFonts w:ascii="Arial" w:hAnsi="Arial" w:cs="Arial"/>
            <w:bCs/>
            <w:noProof/>
            <w:lang w:eastAsia="zh-TW"/>
          </w:rPr>
          <w:t>21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="008131E3">
        <w:rPr>
          <w:rFonts w:ascii="Arial" w:hAnsi="Arial" w:cs="Arial"/>
          <w:bCs/>
          <w:lang w:eastAsia="zh-TW"/>
        </w:rPr>
        <w:fldChar w:fldCharType="end"/>
      </w:r>
      <w:r w:rsidR="00730D54" w:rsidRPr="00086598">
        <w:rPr>
          <w:rFonts w:ascii="Arial" w:hAnsi="Arial" w:cs="Arial"/>
          <w:bCs/>
          <w:lang w:eastAsia="zh-TW"/>
        </w:rPr>
        <w:t xml:space="preserve">. </w:t>
      </w:r>
      <w:r>
        <w:rPr>
          <w:rFonts w:ascii="Arial" w:hAnsi="Arial" w:cs="Arial"/>
          <w:bCs/>
          <w:lang w:eastAsia="zh-TW"/>
        </w:rPr>
        <w:t>P</w:t>
      </w:r>
      <w:r w:rsidR="00AA1A23">
        <w:rPr>
          <w:rFonts w:ascii="Arial" w:hAnsi="Arial" w:cs="Arial"/>
          <w:bCs/>
          <w:lang w:eastAsia="zh-TW"/>
        </w:rPr>
        <w:t xml:space="preserve">hysical inactivity has been estimated to cost the </w:t>
      </w:r>
      <w:r>
        <w:rPr>
          <w:rFonts w:ascii="Arial" w:hAnsi="Arial" w:cs="Arial"/>
          <w:bCs/>
          <w:lang w:eastAsia="zh-TW"/>
        </w:rPr>
        <w:t xml:space="preserve">English </w:t>
      </w:r>
      <w:r w:rsidR="00AA1A23">
        <w:rPr>
          <w:rFonts w:ascii="Arial" w:hAnsi="Arial" w:cs="Arial"/>
          <w:bCs/>
          <w:lang w:eastAsia="zh-TW"/>
        </w:rPr>
        <w:t>National Health Service</w:t>
      </w:r>
      <w:r w:rsidR="004330FC">
        <w:rPr>
          <w:rFonts w:ascii="Arial" w:hAnsi="Arial" w:cs="Arial"/>
          <w:bCs/>
          <w:lang w:eastAsia="zh-TW"/>
        </w:rPr>
        <w:t xml:space="preserve"> (NHS)</w:t>
      </w:r>
      <w:r w:rsidR="00AA1A23">
        <w:rPr>
          <w:rFonts w:ascii="Arial" w:hAnsi="Arial" w:cs="Arial"/>
          <w:bCs/>
          <w:lang w:eastAsia="zh-TW"/>
        </w:rPr>
        <w:t xml:space="preserve"> </w:t>
      </w:r>
      <w:r w:rsidR="005F79BD">
        <w:rPr>
          <w:rFonts w:ascii="Arial" w:hAnsi="Arial" w:cs="Arial"/>
          <w:bCs/>
          <w:lang w:eastAsia="zh-TW"/>
        </w:rPr>
        <w:t>£1.06</w:t>
      </w:r>
      <w:r w:rsidR="00AA1A23">
        <w:rPr>
          <w:rFonts w:ascii="Arial" w:hAnsi="Arial" w:cs="Arial"/>
          <w:bCs/>
          <w:lang w:eastAsia="zh-TW"/>
        </w:rPr>
        <w:t xml:space="preserve"> billion per year</w:t>
      </w:r>
      <w:r w:rsidR="005F79BD">
        <w:rPr>
          <w:rFonts w:ascii="Arial" w:hAnsi="Arial" w:cs="Arial"/>
          <w:bCs/>
          <w:lang w:eastAsia="zh-TW"/>
        </w:rPr>
        <w:t xml:space="preserve"> in direct costs</w:t>
      </w:r>
      <w:r w:rsidR="00A64529">
        <w:rPr>
          <w:rFonts w:ascii="Arial" w:hAnsi="Arial" w:cs="Arial"/>
          <w:bCs/>
          <w:lang w:eastAsia="zh-TW"/>
        </w:rPr>
        <w:t>,</w:t>
      </w:r>
      <w:r w:rsidR="00AA1A23">
        <w:rPr>
          <w:rFonts w:ascii="Arial" w:hAnsi="Arial" w:cs="Arial"/>
          <w:bCs/>
          <w:lang w:eastAsia="zh-TW"/>
        </w:rPr>
        <w:t xml:space="preserve"> </w:t>
      </w:r>
      <w:r w:rsidR="004330FC">
        <w:rPr>
          <w:rFonts w:ascii="Arial" w:hAnsi="Arial" w:cs="Arial"/>
          <w:bCs/>
          <w:lang w:eastAsia="zh-TW"/>
        </w:rPr>
        <w:t>with</w:t>
      </w:r>
      <w:r w:rsidR="005F79BD">
        <w:rPr>
          <w:rFonts w:ascii="Arial" w:hAnsi="Arial" w:cs="Arial"/>
          <w:bCs/>
          <w:lang w:eastAsia="zh-TW"/>
        </w:rPr>
        <w:t xml:space="preserve"> lost productivity an estimated £6.5 billion per year</w:t>
      </w:r>
      <w:r w:rsidR="00AA1A23">
        <w:rPr>
          <w:rFonts w:ascii="Arial" w:hAnsi="Arial" w:cs="Arial"/>
          <w:bCs/>
          <w:lang w:eastAsia="zh-TW"/>
        </w:rPr>
        <w:t xml:space="preserve"> </w:t>
      </w:r>
      <w:r w:rsidR="005F79BD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&lt;EndNote&gt;&lt;Cite&gt;&lt;Author&gt;National Institute for Health and Care Excellence&lt;/Author&gt;&lt;Year&gt;2012&lt;/Year&gt;&lt;RecNum&gt;3936&lt;/RecNum&gt;&lt;DisplayText&gt;[22]&lt;/DisplayText&gt;&lt;record&gt;&lt;rec-number&gt;3936&lt;/rec-number&gt;&lt;foreign-keys&gt;&lt;key app="EN" db-id="prxtsfzvix5rpde9zrnpewvb5aaxdewa02df"&gt;3936&lt;/key&gt;&lt;/foreign-keys&gt;&lt;ref-type name="Web Page"&gt;12&lt;/ref-type&gt;&lt;contributors&gt;&lt;authors&gt;&lt;author&gt;National Institute for Health and Care Excellence,&lt;/author&gt;&lt;/authors&gt;&lt;/contributors&gt;&lt;titles&gt;&lt;title&gt;Physical activity (NICE guidance LGB3)&lt;/title&gt;&lt;/titles&gt;&lt;number&gt;13th July 2015&lt;/number&gt;&lt;dates&gt;&lt;year&gt;2012&lt;/year&gt;&lt;/dates&gt;&lt;urls&gt;&lt;related-urls&gt;&lt;url&gt;http://www.nice.org.uk/advice/lgb3/chapter/Costs-and-savings&lt;/url&gt;&lt;/related-urls&gt;&lt;/urls&gt;&lt;/record&gt;&lt;/Cite&gt;&lt;/EndNote&gt;</w:instrText>
      </w:r>
      <w:r w:rsidR="005F79BD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22" w:tooltip="National Institute for Health and Care Excellence, 2012 #3936" w:history="1">
        <w:r w:rsidR="003A47F3">
          <w:rPr>
            <w:rFonts w:ascii="Arial" w:hAnsi="Arial" w:cs="Arial"/>
            <w:bCs/>
            <w:noProof/>
            <w:lang w:eastAsia="zh-TW"/>
          </w:rPr>
          <w:t>22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="005F79BD">
        <w:rPr>
          <w:rFonts w:ascii="Arial" w:hAnsi="Arial" w:cs="Arial"/>
          <w:bCs/>
          <w:lang w:eastAsia="zh-TW"/>
        </w:rPr>
        <w:fldChar w:fldCharType="end"/>
      </w:r>
      <w:r w:rsidR="005F79BD">
        <w:rPr>
          <w:rFonts w:ascii="Arial" w:hAnsi="Arial" w:cs="Arial"/>
          <w:bCs/>
          <w:lang w:eastAsia="zh-TW"/>
        </w:rPr>
        <w:t xml:space="preserve">. </w:t>
      </w:r>
      <w:r w:rsidR="00647395">
        <w:rPr>
          <w:rFonts w:ascii="Arial" w:hAnsi="Arial" w:cs="Arial"/>
          <w:bCs/>
          <w:lang w:eastAsia="zh-TW"/>
        </w:rPr>
        <w:t xml:space="preserve">For example, </w:t>
      </w:r>
      <w:r w:rsidR="00B73B5E">
        <w:rPr>
          <w:rFonts w:ascii="Arial" w:hAnsi="Arial" w:cs="Arial"/>
          <w:bCs/>
          <w:lang w:eastAsia="zh-TW"/>
        </w:rPr>
        <w:t>it</w:t>
      </w:r>
      <w:r w:rsidR="00647395">
        <w:rPr>
          <w:rFonts w:ascii="Arial" w:hAnsi="Arial" w:cs="Arial"/>
          <w:bCs/>
          <w:lang w:eastAsia="zh-TW"/>
        </w:rPr>
        <w:t xml:space="preserve"> is one of the major risk factors for c</w:t>
      </w:r>
      <w:r w:rsidR="005F79BD">
        <w:rPr>
          <w:rFonts w:ascii="Arial" w:hAnsi="Arial" w:cs="Arial"/>
          <w:bCs/>
          <w:lang w:eastAsia="zh-TW"/>
        </w:rPr>
        <w:t>ardio</w:t>
      </w:r>
      <w:r w:rsidR="00D9761B">
        <w:rPr>
          <w:rFonts w:ascii="Arial" w:hAnsi="Arial" w:cs="Arial"/>
          <w:bCs/>
          <w:lang w:eastAsia="zh-TW"/>
        </w:rPr>
        <w:t>vascular disease</w:t>
      </w:r>
      <w:r w:rsidR="00647395">
        <w:rPr>
          <w:rFonts w:ascii="Arial" w:hAnsi="Arial" w:cs="Arial"/>
          <w:bCs/>
          <w:lang w:eastAsia="zh-TW"/>
        </w:rPr>
        <w:t xml:space="preserve">; </w:t>
      </w:r>
      <w:r w:rsidR="0082636C">
        <w:rPr>
          <w:rFonts w:ascii="Arial" w:hAnsi="Arial" w:cs="Arial"/>
          <w:bCs/>
          <w:lang w:eastAsia="zh-TW"/>
        </w:rPr>
        <w:t>one of the major causes of premature death in England</w:t>
      </w:r>
      <w:r w:rsidR="00647395">
        <w:rPr>
          <w:rFonts w:ascii="Arial" w:hAnsi="Arial" w:cs="Arial"/>
          <w:bCs/>
          <w:lang w:eastAsia="zh-TW"/>
        </w:rPr>
        <w:t xml:space="preserve"> </w:t>
      </w:r>
      <w:r w:rsidR="00A64529">
        <w:rPr>
          <w:rFonts w:ascii="Arial" w:hAnsi="Arial" w:cs="Arial"/>
          <w:bCs/>
          <w:lang w:eastAsia="zh-TW"/>
        </w:rPr>
        <w:t xml:space="preserve">and </w:t>
      </w:r>
      <w:r w:rsidR="00647395">
        <w:rPr>
          <w:rFonts w:ascii="Arial" w:hAnsi="Arial" w:cs="Arial"/>
          <w:bCs/>
          <w:lang w:eastAsia="zh-TW"/>
        </w:rPr>
        <w:t xml:space="preserve">associated with </w:t>
      </w:r>
      <w:r w:rsidR="005F79BD">
        <w:rPr>
          <w:rFonts w:ascii="Arial" w:hAnsi="Arial" w:cs="Arial"/>
          <w:bCs/>
          <w:lang w:eastAsia="zh-TW"/>
        </w:rPr>
        <w:t>34% of all deaths</w:t>
      </w:r>
      <w:r w:rsidR="0082636C">
        <w:rPr>
          <w:rFonts w:ascii="Arial" w:hAnsi="Arial" w:cs="Arial"/>
          <w:bCs/>
          <w:lang w:eastAsia="zh-TW"/>
        </w:rPr>
        <w:t xml:space="preserve"> </w:t>
      </w:r>
      <w:r w:rsidR="00313C6A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&lt;EndNote&gt;&lt;Cite&gt;&lt;Author&gt;National Institute for Health and Care Excellence&lt;/Author&gt;&lt;Year&gt;2010&lt;/Year&gt;&lt;RecNum&gt;3937&lt;/RecNum&gt;&lt;DisplayText&gt;[23]&lt;/DisplayText&gt;&lt;record&gt;&lt;rec-number&gt;3937&lt;/rec-number&gt;&lt;foreign-keys&gt;&lt;key app="EN" db-id="prxtsfzvix5rpde9zrnpewvb5aaxdewa02df"&gt;3937&lt;/key&gt;&lt;/foreign-keys&gt;&lt;ref-type name="Web Page"&gt;12&lt;/ref-type&gt;&lt;contributors&gt;&lt;authors&gt;&lt;author&gt;National Institute for Health and Care Excellence,&lt;/author&gt;&lt;/authors&gt;&lt;/contributors&gt;&lt;titles&gt;&lt;title&gt;Prevention of cardiovascular disease (NICE guideline PH25)&lt;/title&gt;&lt;/titles&gt;&lt;number&gt;13th July 2015&lt;/number&gt;&lt;dates&gt;&lt;year&gt;2010&lt;/year&gt;&lt;/dates&gt;&lt;urls&gt;&lt;related-urls&gt;&lt;url&gt;http://www.nice.org.uk/guidance/ph25/chapter/2-Public-health-need-and-practice&lt;/url&gt;&lt;/related-urls&gt;&lt;/urls&gt;&lt;/record&gt;&lt;/Cite&gt;&lt;/EndNote&gt;</w:instrText>
      </w:r>
      <w:r w:rsidR="00313C6A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23" w:tooltip="National Institute for Health and Care Excellence, 2010 #3937" w:history="1">
        <w:r w:rsidR="003A47F3">
          <w:rPr>
            <w:rFonts w:ascii="Arial" w:hAnsi="Arial" w:cs="Arial"/>
            <w:bCs/>
            <w:noProof/>
            <w:lang w:eastAsia="zh-TW"/>
          </w:rPr>
          <w:t>23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="00313C6A">
        <w:rPr>
          <w:rFonts w:ascii="Arial" w:hAnsi="Arial" w:cs="Arial"/>
          <w:bCs/>
          <w:lang w:eastAsia="zh-TW"/>
        </w:rPr>
        <w:fldChar w:fldCharType="end"/>
      </w:r>
      <w:r w:rsidR="00313C6A">
        <w:rPr>
          <w:rFonts w:ascii="Arial" w:hAnsi="Arial" w:cs="Arial"/>
          <w:bCs/>
          <w:lang w:eastAsia="zh-TW"/>
        </w:rPr>
        <w:t>.</w:t>
      </w:r>
      <w:r w:rsidR="008131E3">
        <w:rPr>
          <w:rFonts w:ascii="Arial" w:hAnsi="Arial" w:cs="Arial"/>
          <w:bCs/>
          <w:lang w:eastAsia="zh-TW"/>
        </w:rPr>
        <w:t xml:space="preserve"> </w:t>
      </w:r>
      <w:r w:rsidR="00A64529">
        <w:rPr>
          <w:rFonts w:ascii="Arial" w:hAnsi="Arial" w:cs="Arial"/>
          <w:bCs/>
          <w:lang w:eastAsia="zh-TW"/>
        </w:rPr>
        <w:t>It is of concern that</w:t>
      </w:r>
      <w:r w:rsidR="00302D5E" w:rsidRPr="00086598">
        <w:rPr>
          <w:rFonts w:ascii="Arial" w:hAnsi="Arial" w:cs="Arial"/>
          <w:bCs/>
          <w:lang w:eastAsia="zh-TW"/>
        </w:rPr>
        <w:t xml:space="preserve"> it has been </w:t>
      </w:r>
      <w:r w:rsidR="00EC4DE0" w:rsidRPr="00086598">
        <w:rPr>
          <w:rFonts w:ascii="Arial" w:hAnsi="Arial" w:cs="Arial"/>
          <w:bCs/>
          <w:lang w:eastAsia="zh-TW"/>
        </w:rPr>
        <w:t xml:space="preserve">shown </w:t>
      </w:r>
      <w:r w:rsidR="00302D5E" w:rsidRPr="00086598">
        <w:rPr>
          <w:rFonts w:ascii="Arial" w:hAnsi="Arial" w:cs="Arial"/>
          <w:bCs/>
          <w:lang w:eastAsia="zh-TW"/>
        </w:rPr>
        <w:t xml:space="preserve">that </w:t>
      </w:r>
      <w:r w:rsidR="00D812D5" w:rsidRPr="00086598">
        <w:rPr>
          <w:rFonts w:ascii="Arial" w:hAnsi="Arial" w:cs="Arial"/>
          <w:bCs/>
          <w:lang w:eastAsia="zh-TW"/>
        </w:rPr>
        <w:t xml:space="preserve">a higher prevalence of leisure-time or moderate–vigorous intensity physical activity is found </w:t>
      </w:r>
      <w:r w:rsidR="00EC4DE0" w:rsidRPr="00086598">
        <w:rPr>
          <w:rFonts w:ascii="Arial" w:hAnsi="Arial" w:cs="Arial"/>
          <w:bCs/>
          <w:lang w:eastAsia="zh-TW"/>
        </w:rPr>
        <w:t>in the most educated</w:t>
      </w:r>
      <w:r w:rsidR="00D812D5" w:rsidRPr="00086598">
        <w:rPr>
          <w:rFonts w:ascii="Arial" w:hAnsi="Arial" w:cs="Arial"/>
          <w:bCs/>
          <w:lang w:eastAsia="zh-TW"/>
        </w:rPr>
        <w:t xml:space="preserve"> </w:t>
      </w:r>
      <w:r w:rsidR="00D812D5" w:rsidRPr="00086598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&lt;EndNote&gt;&lt;Cite&gt;&lt;Author&gt;Gidlow&lt;/Author&gt;&lt;Year&gt;2006&lt;/Year&gt;&lt;RecNum&gt;3711&lt;/RecNum&gt;&lt;DisplayText&gt;[24]&lt;/DisplayText&gt;&lt;record&gt;&lt;rec-number&gt;3711&lt;/rec-number&gt;&lt;foreign-keys&gt;&lt;key app="EN" db-id="prxtsfzvix5rpde9zrnpewvb5aaxdewa02df"&gt;3711&lt;/key&gt;&lt;/foreign-keys&gt;&lt;ref-type name="Journal Article"&gt;17&lt;/ref-type&gt;&lt;contributors&gt;&lt;authors&gt;&lt;author&gt;Gidlow, Christopher&lt;/author&gt;&lt;author&gt;Johnston, Lynne Halley&lt;/author&gt;&lt;author&gt;Crone, Diane&lt;/author&gt;&lt;author&gt;Ellis, Naomi&lt;/author&gt;&lt;author&gt;James, David&lt;/author&gt;&lt;/authors&gt;&lt;/contributors&gt;&lt;titles&gt;&lt;title&gt;A systematic review of the relationship between socio-economic position and physical activity&lt;/title&gt;&lt;secondary-title&gt;Health Education Journal&lt;/secondary-title&gt;&lt;/titles&gt;&lt;periodical&gt;&lt;full-title&gt;Health Education Journal&lt;/full-title&gt;&lt;/periodical&gt;&lt;pages&gt;338-367&lt;/pages&gt;&lt;volume&gt;65&lt;/volume&gt;&lt;number&gt;4&lt;/number&gt;&lt;dates&gt;&lt;year&gt;2006&lt;/year&gt;&lt;pub-dates&gt;&lt;date&gt;December 1, 2006&lt;/date&gt;&lt;/pub-dates&gt;&lt;/dates&gt;&lt;urls&gt;&lt;related-urls&gt;&lt;url&gt;http://hej.sagepub.com/content/65/4/338.abstract&lt;/url&gt;&lt;/related-urls&gt;&lt;/urls&gt;&lt;electronic-resource-num&gt;10.1177/0017896906069378&lt;/electronic-resource-num&gt;&lt;/record&gt;&lt;/Cite&gt;&lt;/EndNote&gt;</w:instrText>
      </w:r>
      <w:r w:rsidR="00D812D5" w:rsidRPr="00086598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24" w:tooltip="Gidlow, 2006 #3711" w:history="1">
        <w:r w:rsidR="003A47F3">
          <w:rPr>
            <w:rFonts w:ascii="Arial" w:hAnsi="Arial" w:cs="Arial"/>
            <w:bCs/>
            <w:noProof/>
            <w:lang w:eastAsia="zh-TW"/>
          </w:rPr>
          <w:t>24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="00D812D5" w:rsidRPr="00086598">
        <w:rPr>
          <w:rFonts w:ascii="Arial" w:hAnsi="Arial" w:cs="Arial"/>
          <w:bCs/>
          <w:lang w:eastAsia="zh-TW"/>
        </w:rPr>
        <w:fldChar w:fldCharType="end"/>
      </w:r>
      <w:r w:rsidR="00FC5602">
        <w:rPr>
          <w:rFonts w:ascii="Arial" w:hAnsi="Arial" w:cs="Arial"/>
          <w:bCs/>
          <w:lang w:eastAsia="zh-TW"/>
        </w:rPr>
        <w:t xml:space="preserve">. </w:t>
      </w:r>
      <w:r w:rsidR="00A64529">
        <w:rPr>
          <w:rFonts w:ascii="Arial" w:hAnsi="Arial" w:cs="Arial"/>
          <w:bCs/>
          <w:lang w:eastAsia="zh-TW"/>
        </w:rPr>
        <w:t>Further</w:t>
      </w:r>
      <w:r w:rsidR="00FC5602">
        <w:rPr>
          <w:rFonts w:ascii="Arial" w:hAnsi="Arial" w:cs="Arial"/>
          <w:bCs/>
          <w:lang w:eastAsia="zh-TW"/>
        </w:rPr>
        <w:t>,</w:t>
      </w:r>
      <w:r w:rsidR="00EC4DE0" w:rsidRPr="00086598">
        <w:rPr>
          <w:rFonts w:ascii="Arial" w:hAnsi="Arial" w:cs="Arial"/>
          <w:bCs/>
          <w:lang w:eastAsia="zh-TW"/>
        </w:rPr>
        <w:t xml:space="preserve"> </w:t>
      </w:r>
      <w:r w:rsidR="00D812D5" w:rsidRPr="00086598">
        <w:rPr>
          <w:rFonts w:ascii="Arial" w:hAnsi="Arial" w:cs="Arial"/>
          <w:bCs/>
          <w:lang w:eastAsia="zh-TW"/>
        </w:rPr>
        <w:t xml:space="preserve">economically disadvantaged and vulnerable groups </w:t>
      </w:r>
      <w:r w:rsidR="00EC4DE0" w:rsidRPr="00086598">
        <w:rPr>
          <w:rFonts w:ascii="Arial" w:hAnsi="Arial" w:cs="Arial"/>
          <w:bCs/>
          <w:lang w:eastAsia="zh-TW"/>
        </w:rPr>
        <w:t xml:space="preserve">are </w:t>
      </w:r>
      <w:r w:rsidR="00D812D5" w:rsidRPr="00086598">
        <w:rPr>
          <w:rFonts w:ascii="Arial" w:hAnsi="Arial" w:cs="Arial"/>
          <w:bCs/>
          <w:lang w:eastAsia="zh-TW"/>
        </w:rPr>
        <w:t xml:space="preserve">less likely to engage with physical activity interventions </w:t>
      </w:r>
      <w:r w:rsidR="00D812D5" w:rsidRPr="00086598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&lt;EndNote&gt;&lt;Cite&gt;&lt;Author&gt;Hillsdon&lt;/Author&gt;&lt;Year&gt;2008&lt;/Year&gt;&lt;RecNum&gt;2355&lt;/RecNum&gt;&lt;DisplayText&gt;[25]&lt;/DisplayText&gt;&lt;record&gt;&lt;rec-number&gt;2355&lt;/rec-number&gt;&lt;foreign-keys&gt;&lt;key app="EN" db-id="prxtsfzvix5rpde9zrnpewvb5aaxdewa02df"&gt;2355&lt;/key&gt;&lt;/foreign-keys&gt;&lt;ref-type name="Journal Article"&gt;17&lt;/ref-type&gt;&lt;contributors&gt;&lt;authors&gt;&lt;author&gt;Hillsdon, M&lt;/author&gt;&lt;author&gt;Lawlor, DA&lt;/author&gt;&lt;author&gt;Ebrahim, S&lt;/author&gt;&lt;author&gt;Morris, JN&lt;/author&gt;&lt;/authors&gt;&lt;/contributors&gt;&lt;titles&gt;&lt;title&gt;Physical activity in older women: associations with area deprivation and with socioeconomic position over the life course: observations in the British Women’s Heart and Health Study&lt;/title&gt;&lt;secondary-title&gt;Journal of Epidemiology and Community Health,&lt;/secondary-title&gt;&lt;/titles&gt;&lt;periodical&gt;&lt;full-title&gt;Journal of Epidemiology and Community health,&lt;/full-title&gt;&lt;/periodical&gt;&lt;pages&gt;344-350&lt;/pages&gt;&lt;volume&gt;62&lt;/volume&gt;&lt;number&gt;4&lt;/number&gt;&lt;dates&gt;&lt;year&gt;2008&lt;/year&gt;&lt;/dates&gt;&lt;isbn&gt;1470-2738&lt;/isbn&gt;&lt;urls&gt;&lt;/urls&gt;&lt;/record&gt;&lt;/Cite&gt;&lt;/EndNote&gt;</w:instrText>
      </w:r>
      <w:r w:rsidR="00D812D5" w:rsidRPr="00086598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25" w:tooltip="Hillsdon, 2008 #2355" w:history="1">
        <w:r w:rsidR="003A47F3">
          <w:rPr>
            <w:rFonts w:ascii="Arial" w:hAnsi="Arial" w:cs="Arial"/>
            <w:bCs/>
            <w:noProof/>
            <w:lang w:eastAsia="zh-TW"/>
          </w:rPr>
          <w:t>25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="00D812D5" w:rsidRPr="00086598">
        <w:rPr>
          <w:rFonts w:ascii="Arial" w:hAnsi="Arial" w:cs="Arial"/>
          <w:bCs/>
          <w:lang w:eastAsia="zh-TW"/>
        </w:rPr>
        <w:fldChar w:fldCharType="end"/>
      </w:r>
      <w:r w:rsidR="00D812D5" w:rsidRPr="00086598">
        <w:rPr>
          <w:rFonts w:ascii="Arial" w:hAnsi="Arial" w:cs="Arial"/>
          <w:bCs/>
          <w:lang w:eastAsia="zh-TW"/>
        </w:rPr>
        <w:t>.</w:t>
      </w:r>
      <w:r w:rsidR="00B73B5E">
        <w:rPr>
          <w:rFonts w:ascii="Arial" w:hAnsi="Arial" w:cs="Arial"/>
          <w:bCs/>
          <w:lang w:eastAsia="zh-TW"/>
        </w:rPr>
        <w:t xml:space="preserve"> A</w:t>
      </w:r>
      <w:r w:rsidR="00004103" w:rsidRPr="00004103">
        <w:rPr>
          <w:rFonts w:ascii="Arial" w:hAnsi="Arial" w:cs="Arial"/>
          <w:bCs/>
          <w:lang w:eastAsia="zh-TW"/>
        </w:rPr>
        <w:t xml:space="preserve">ccessibility </w:t>
      </w:r>
      <w:r w:rsidR="00B73B5E">
        <w:rPr>
          <w:rFonts w:ascii="Arial" w:hAnsi="Arial" w:cs="Arial"/>
          <w:bCs/>
          <w:lang w:eastAsia="zh-TW"/>
        </w:rPr>
        <w:t>of</w:t>
      </w:r>
      <w:r w:rsidR="00B73B5E" w:rsidRPr="00004103">
        <w:rPr>
          <w:rFonts w:ascii="Arial" w:hAnsi="Arial" w:cs="Arial"/>
          <w:bCs/>
          <w:lang w:eastAsia="zh-TW"/>
        </w:rPr>
        <w:t xml:space="preserve"> </w:t>
      </w:r>
      <w:r w:rsidR="00004103" w:rsidRPr="00004103">
        <w:rPr>
          <w:rFonts w:ascii="Arial" w:hAnsi="Arial" w:cs="Arial"/>
          <w:bCs/>
          <w:lang w:eastAsia="zh-TW"/>
        </w:rPr>
        <w:t xml:space="preserve">physical activity </w:t>
      </w:r>
      <w:r w:rsidR="00E82F27">
        <w:rPr>
          <w:rFonts w:ascii="Arial" w:hAnsi="Arial" w:cs="Arial"/>
          <w:bCs/>
          <w:lang w:eastAsia="zh-TW"/>
        </w:rPr>
        <w:t>interventions may</w:t>
      </w:r>
      <w:r w:rsidR="00004103" w:rsidRPr="00004103">
        <w:rPr>
          <w:rFonts w:ascii="Arial" w:hAnsi="Arial" w:cs="Arial"/>
          <w:bCs/>
          <w:lang w:eastAsia="zh-TW"/>
        </w:rPr>
        <w:t xml:space="preserve"> be one of several environmental factors that influence individuals’ physical activity behaviours </w:t>
      </w:r>
      <w:r w:rsidR="00004103" w:rsidRPr="00004103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&lt;EndNote&gt;&lt;Cite&gt;&lt;Author&gt;Roux&lt;/Author&gt;&lt;Year&gt;2007&lt;/Year&gt;&lt;RecNum&gt;3943&lt;/RecNum&gt;&lt;DisplayText&gt;[26]&lt;/DisplayText&gt;&lt;record&gt;&lt;rec-number&gt;3943&lt;/rec-number&gt;&lt;foreign-keys&gt;&lt;key app="EN" db-id="prxtsfzvix5rpde9zrnpewvb5aaxdewa02df"&gt;3943&lt;/key&gt;&lt;/foreign-keys&gt;&lt;ref-type name="Journal Article"&gt;17&lt;/ref-type&gt;&lt;contributors&gt;&lt;authors&gt;&lt;author&gt;Diez-Roux, Ana V. &lt;/author&gt;&lt;author&gt;Moore, Latetia&lt;/author&gt;&lt;author&gt;Evenson, Kelly R.&lt;/author&gt;&lt;author&gt;McGinn, Aileen P.&lt;/author&gt;&lt;author&gt;Brown, Daniel G.&lt;/author&gt;&lt;author&gt;Brines, Shannon&lt;/author&gt;&lt;author&gt;Jacobs Jr, David R.&lt;/author&gt;&lt;/authors&gt;&lt;/contributors&gt;&lt;titles&gt;&lt;title&gt;Availability of Recreational Resources and Physical Activity in Adults&lt;/title&gt;&lt;secondary-title&gt;American Journal of Public Health&lt;/secondary-title&gt;&lt;/titles&gt;&lt;periodical&gt;&lt;full-title&gt;American Journal of Public Health&lt;/full-title&gt;&lt;/periodical&gt;&lt;pages&gt;493-499&lt;/pages&gt;&lt;volume&gt;97&lt;/volume&gt;&lt;number&gt;3&lt;/number&gt;&lt;keywords&gt;&lt;keyword&gt;*RECREATION areas&lt;/keyword&gt;&lt;keyword&gt;*PHYSICAL fitness -- Research&lt;/keyword&gt;&lt;keyword&gt;*ECOLOGY&lt;/keyword&gt;&lt;keyword&gt;DEMOGRAPHIC surveys&lt;/keyword&gt;&lt;keyword&gt;ADULTS&lt;/keyword&gt;&lt;keyword&gt;SOCIOECONOMIC factors&lt;/keyword&gt;&lt;/keywords&gt;&lt;dates&gt;&lt;year&gt;2007&lt;/year&gt;&lt;/dates&gt;&lt;isbn&gt;00900036&lt;/isbn&gt;&lt;accession-num&gt;24347124&lt;/accession-num&gt;&lt;urls&gt;&lt;related-urls&gt;&lt;url&gt;http://search.ebscohost.com/login.aspx?direct=true&amp;amp;db=s3h&amp;amp;AN=24347124&amp;amp;authtype=sso&amp;amp;custid=s8993828&amp;amp;site=ehost-live&lt;/url&gt;&lt;/related-urls&gt;&lt;/urls&gt;&lt;remote-database-name&gt;s3h&lt;/remote-database-name&gt;&lt;remote-database-provider&gt;EBSCOhost&lt;/remote-database-provider&gt;&lt;/record&gt;&lt;/Cite&gt;&lt;/EndNote&gt;</w:instrText>
      </w:r>
      <w:r w:rsidR="00004103" w:rsidRPr="00004103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26" w:tooltip="Diez-Roux, 2007 #3943" w:history="1">
        <w:r w:rsidR="003A47F3">
          <w:rPr>
            <w:rFonts w:ascii="Arial" w:hAnsi="Arial" w:cs="Arial"/>
            <w:bCs/>
            <w:noProof/>
            <w:lang w:eastAsia="zh-TW"/>
          </w:rPr>
          <w:t>26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="00004103" w:rsidRPr="00004103">
        <w:rPr>
          <w:rFonts w:ascii="Arial" w:hAnsi="Arial" w:cs="Arial"/>
          <w:bCs/>
          <w:lang w:eastAsia="zh-TW"/>
        </w:rPr>
        <w:fldChar w:fldCharType="end"/>
      </w:r>
      <w:r w:rsidR="00004103" w:rsidRPr="00004103">
        <w:rPr>
          <w:rFonts w:ascii="Arial" w:hAnsi="Arial" w:cs="Arial"/>
          <w:bCs/>
          <w:lang w:eastAsia="zh-TW"/>
        </w:rPr>
        <w:t xml:space="preserve">. </w:t>
      </w:r>
      <w:r w:rsidR="00D812D5" w:rsidRPr="00086598">
        <w:rPr>
          <w:rFonts w:ascii="Arial" w:hAnsi="Arial" w:cs="Arial"/>
          <w:bCs/>
          <w:lang w:eastAsia="zh-TW"/>
        </w:rPr>
        <w:t xml:space="preserve"> </w:t>
      </w:r>
      <w:r w:rsidR="00D431D0">
        <w:rPr>
          <w:rFonts w:ascii="Arial" w:hAnsi="Arial" w:cs="Arial"/>
          <w:bCs/>
          <w:lang w:eastAsia="zh-TW"/>
        </w:rPr>
        <w:t>A</w:t>
      </w:r>
      <w:r w:rsidR="00302D5E" w:rsidRPr="00086598">
        <w:rPr>
          <w:rFonts w:ascii="Arial" w:hAnsi="Arial" w:cs="Arial"/>
          <w:bCs/>
          <w:lang w:val="en" w:eastAsia="zh-TW"/>
        </w:rPr>
        <w:t xml:space="preserve">n </w:t>
      </w:r>
      <w:r w:rsidR="00302D5E" w:rsidRPr="00086598">
        <w:rPr>
          <w:rFonts w:ascii="Arial" w:hAnsi="Arial" w:cs="Arial"/>
          <w:bCs/>
          <w:lang w:eastAsia="zh-TW"/>
        </w:rPr>
        <w:t>evaluation of physical activity in</w:t>
      </w:r>
      <w:r w:rsidR="006717CC" w:rsidRPr="00086598">
        <w:rPr>
          <w:rFonts w:ascii="Arial" w:hAnsi="Arial" w:cs="Arial"/>
          <w:bCs/>
          <w:lang w:eastAsia="zh-TW"/>
        </w:rPr>
        <w:t>terventions in</w:t>
      </w:r>
      <w:r w:rsidR="00302D5E" w:rsidRPr="00086598">
        <w:rPr>
          <w:rFonts w:ascii="Arial" w:hAnsi="Arial" w:cs="Arial"/>
          <w:bCs/>
          <w:lang w:eastAsia="zh-TW"/>
        </w:rPr>
        <w:t xml:space="preserve"> Europe found that very few of the analysed policies included specific measures to increase participation of economically disadvantaged population groups </w:t>
      </w:r>
      <w:r w:rsidR="00302D5E" w:rsidRPr="00086598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&lt;EndNote&gt;&lt;Cite&gt;&lt;Author&gt;Daugbjerg&lt;/Author&gt;&lt;Year&gt;2009&lt;/Year&gt;&lt;RecNum&gt;3840&lt;/RecNum&gt;&lt;DisplayText&gt;[27]&lt;/DisplayText&gt;&lt;record&gt;&lt;rec-number&gt;3840&lt;/rec-number&gt;&lt;foreign-keys&gt;&lt;key app="EN" db-id="prxtsfzvix5rpde9zrnpewvb5aaxdewa02df"&gt;3840&lt;/key&gt;&lt;/foreign-keys&gt;&lt;ref-type name="Journal Article"&gt;17&lt;/ref-type&gt;&lt;contributors&gt;&lt;authors&gt;&lt;author&gt;Daugbjerg, Signe B&lt;/author&gt;&lt;author&gt;Kahlmeier, Sonja&lt;/author&gt;&lt;author&gt;Racioppi, Francesca&lt;/author&gt;&lt;author&gt;Martin-Diener, Eva&lt;/author&gt;&lt;author&gt;Martin, Brian&lt;/author&gt;&lt;author&gt;Oja, Pekka&lt;/author&gt;&lt;author&gt;Bull, Fiona&lt;/author&gt;&lt;/authors&gt;&lt;/contributors&gt;&lt;titles&gt;&lt;title&gt;Promotion of physical activity in the European region: content analysis of 27 national policy documents&lt;/title&gt;&lt;secondary-title&gt;Journal of Physical Activity &amp;amp; Health,&lt;/secondary-title&gt;&lt;/titles&gt;&lt;periodical&gt;&lt;full-title&gt;Journal of Physical Activity &amp;amp; Health,&lt;/full-title&gt;&lt;/periodical&gt;&lt;pages&gt;805&lt;/pages&gt;&lt;volume&gt;6&lt;/volume&gt;&lt;number&gt;6&lt;/number&gt;&lt;dates&gt;&lt;year&gt;2009&lt;/year&gt;&lt;/dates&gt;&lt;isbn&gt;1543-3080&lt;/isbn&gt;&lt;urls&gt;&lt;/urls&gt;&lt;/record&gt;&lt;/Cite&gt;&lt;/EndNote&gt;</w:instrText>
      </w:r>
      <w:r w:rsidR="00302D5E" w:rsidRPr="00086598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27" w:tooltip="Daugbjerg, 2009 #3840" w:history="1">
        <w:r w:rsidR="003A47F3">
          <w:rPr>
            <w:rFonts w:ascii="Arial" w:hAnsi="Arial" w:cs="Arial"/>
            <w:bCs/>
            <w:noProof/>
            <w:lang w:eastAsia="zh-TW"/>
          </w:rPr>
          <w:t>27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="00302D5E" w:rsidRPr="00086598">
        <w:rPr>
          <w:rFonts w:ascii="Arial" w:hAnsi="Arial" w:cs="Arial"/>
          <w:bCs/>
          <w:lang w:eastAsia="zh-TW"/>
        </w:rPr>
        <w:fldChar w:fldCharType="end"/>
      </w:r>
      <w:r w:rsidR="00302D5E" w:rsidRPr="00086598">
        <w:rPr>
          <w:rFonts w:ascii="Arial" w:hAnsi="Arial" w:cs="Arial"/>
          <w:bCs/>
          <w:lang w:val="en" w:eastAsia="zh-TW"/>
        </w:rPr>
        <w:t>.</w:t>
      </w:r>
      <w:r w:rsidR="00302D5E" w:rsidRPr="00086598">
        <w:rPr>
          <w:rFonts w:ascii="Arial" w:hAnsi="Arial" w:cs="Arial"/>
          <w:bCs/>
          <w:lang w:eastAsia="zh-TW"/>
        </w:rPr>
        <w:t xml:space="preserve"> There is therefore a </w:t>
      </w:r>
      <w:r w:rsidR="00EC4DE0" w:rsidRPr="00086598">
        <w:rPr>
          <w:rFonts w:ascii="Arial" w:hAnsi="Arial" w:cs="Arial"/>
          <w:bCs/>
          <w:lang w:eastAsia="zh-TW"/>
        </w:rPr>
        <w:t>risk</w:t>
      </w:r>
      <w:r w:rsidR="00302D5E" w:rsidRPr="00086598">
        <w:rPr>
          <w:rFonts w:ascii="Arial" w:hAnsi="Arial" w:cs="Arial"/>
          <w:bCs/>
          <w:lang w:eastAsia="zh-TW"/>
        </w:rPr>
        <w:t xml:space="preserve"> that interventions to increase physical activity could increase health inequity</w:t>
      </w:r>
      <w:r w:rsidR="00EC4DE0" w:rsidRPr="00086598">
        <w:rPr>
          <w:rFonts w:ascii="Arial" w:hAnsi="Arial" w:cs="Arial"/>
          <w:bCs/>
          <w:lang w:eastAsia="zh-TW"/>
        </w:rPr>
        <w:t xml:space="preserve">, representing </w:t>
      </w:r>
      <w:r w:rsidR="00D812D5" w:rsidRPr="00086598">
        <w:rPr>
          <w:rFonts w:ascii="Arial" w:hAnsi="Arial" w:cs="Arial"/>
          <w:bCs/>
          <w:lang w:eastAsia="zh-TW"/>
        </w:rPr>
        <w:t>a major challenge to public health professionals.</w:t>
      </w:r>
    </w:p>
    <w:p w14:paraId="238BFD61" w14:textId="77777777" w:rsidR="004F3F7E" w:rsidRPr="00086598" w:rsidRDefault="004F3F7E" w:rsidP="0045462A">
      <w:pPr>
        <w:spacing w:line="480" w:lineRule="auto"/>
        <w:rPr>
          <w:rFonts w:ascii="Arial" w:hAnsi="Arial" w:cs="Arial"/>
          <w:bCs/>
          <w:lang w:eastAsia="zh-TW"/>
        </w:rPr>
      </w:pPr>
      <w:r w:rsidRPr="004F3F7E">
        <w:rPr>
          <w:rFonts w:ascii="Arial" w:hAnsi="Arial" w:cs="Arial"/>
          <w:bCs/>
          <w:lang w:eastAsia="zh-TW"/>
        </w:rPr>
        <w:lastRenderedPageBreak/>
        <w:t xml:space="preserve">Outdoor walking group schemes are a widely recommended as a way of increasing physical activity and have been shown to be effective at the population level </w:t>
      </w:r>
      <w:r w:rsidRPr="004F3F7E">
        <w:rPr>
          <w:rFonts w:ascii="Arial" w:hAnsi="Arial" w:cs="Arial"/>
          <w:bCs/>
          <w:lang w:eastAsia="zh-TW"/>
        </w:rPr>
        <w:fldChar w:fldCharType="begin">
          <w:fldData xml:space="preserve">PEVuZE5vdGU+PENpdGU+PEF1dGhvcj5OYXRpb25hbCBJbnN0aXR1dGUgZm9yIEhlYWx0aCBhbmQg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</w:fldData>
        </w:fldChar>
      </w:r>
      <w:r w:rsidR="00471A05">
        <w:rPr>
          <w:rFonts w:ascii="Arial" w:hAnsi="Arial" w:cs="Arial"/>
          <w:bCs/>
          <w:lang w:eastAsia="zh-TW"/>
        </w:rPr>
        <w:instrText xml:space="preserve"> ADDIN EN.CITE </w:instrText>
      </w:r>
      <w:r w:rsidR="00471A05">
        <w:rPr>
          <w:rFonts w:ascii="Arial" w:hAnsi="Arial" w:cs="Arial"/>
          <w:bCs/>
          <w:lang w:eastAsia="zh-TW"/>
        </w:rPr>
        <w:fldChar w:fldCharType="begin">
          <w:fldData xml:space="preserve">PEVuZE5vdGU+PENpdGU+PEF1dGhvcj5OYXRpb25hbCBJbnN0aXR1dGUgZm9yIEhlYWx0aCBhbmQg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</w:fldData>
        </w:fldChar>
      </w:r>
      <w:r w:rsidR="00471A05">
        <w:rPr>
          <w:rFonts w:ascii="Arial" w:hAnsi="Arial" w:cs="Arial"/>
          <w:bCs/>
          <w:lang w:eastAsia="zh-TW"/>
        </w:rPr>
        <w:instrText xml:space="preserve"> ADDIN EN.CITE.DATA </w:instrText>
      </w:r>
      <w:r w:rsidR="00471A05">
        <w:rPr>
          <w:rFonts w:ascii="Arial" w:hAnsi="Arial" w:cs="Arial"/>
          <w:bCs/>
          <w:lang w:eastAsia="zh-TW"/>
        </w:rPr>
      </w:r>
      <w:r w:rsidR="00471A05">
        <w:rPr>
          <w:rFonts w:ascii="Arial" w:hAnsi="Arial" w:cs="Arial"/>
          <w:bCs/>
          <w:lang w:eastAsia="zh-TW"/>
        </w:rPr>
        <w:fldChar w:fldCharType="end"/>
      </w:r>
      <w:r w:rsidRPr="004F3F7E">
        <w:rPr>
          <w:rFonts w:ascii="Arial" w:hAnsi="Arial" w:cs="Arial"/>
          <w:bCs/>
          <w:lang w:eastAsia="zh-TW"/>
        </w:rPr>
      </w:r>
      <w:r w:rsidRPr="004F3F7E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28" w:tooltip="National Institute for Health and Care Excellence, 2012 #3826" w:history="1">
        <w:r w:rsidR="003A47F3">
          <w:rPr>
            <w:rFonts w:ascii="Arial" w:hAnsi="Arial" w:cs="Arial"/>
            <w:bCs/>
            <w:noProof/>
            <w:lang w:eastAsia="zh-TW"/>
          </w:rPr>
          <w:t>28-30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Pr="004F3F7E">
        <w:rPr>
          <w:rFonts w:ascii="Arial" w:hAnsi="Arial" w:cs="Arial"/>
          <w:bCs/>
          <w:lang w:eastAsia="zh-TW"/>
        </w:rPr>
        <w:fldChar w:fldCharType="end"/>
      </w:r>
      <w:r w:rsidR="00CF5036">
        <w:rPr>
          <w:rFonts w:ascii="Arial" w:hAnsi="Arial" w:cs="Arial"/>
          <w:bCs/>
          <w:lang w:eastAsia="zh-TW"/>
        </w:rPr>
        <w:t xml:space="preserve">. </w:t>
      </w:r>
      <w:r w:rsidR="005608B6">
        <w:rPr>
          <w:rFonts w:ascii="Arial" w:hAnsi="Arial" w:cs="Arial"/>
          <w:bCs/>
          <w:lang w:eastAsia="zh-TW"/>
        </w:rPr>
        <w:t>A r</w:t>
      </w:r>
      <w:r w:rsidRPr="004F3F7E">
        <w:rPr>
          <w:rFonts w:ascii="Arial" w:hAnsi="Arial" w:cs="Arial"/>
          <w:bCs/>
          <w:lang w:eastAsia="zh-TW"/>
        </w:rPr>
        <w:t xml:space="preserve">ecent systematic review found </w:t>
      </w:r>
      <w:r w:rsidR="00B73B5E">
        <w:rPr>
          <w:rFonts w:ascii="Arial" w:hAnsi="Arial" w:cs="Arial"/>
          <w:bCs/>
          <w:lang w:eastAsia="zh-TW"/>
        </w:rPr>
        <w:t>them</w:t>
      </w:r>
      <w:r w:rsidRPr="004F3F7E">
        <w:rPr>
          <w:rFonts w:ascii="Arial" w:hAnsi="Arial" w:cs="Arial"/>
          <w:bCs/>
          <w:lang w:eastAsia="zh-TW"/>
        </w:rPr>
        <w:t xml:space="preserve"> to have numerous health benefits with virtually no adverse effects </w:t>
      </w:r>
      <w:r w:rsidRPr="004F3F7E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&lt;EndNote&gt;&lt;Cite&gt;&lt;Author&gt;Hanson&lt;/Author&gt;&lt;Year&gt;2015&lt;/Year&gt;&lt;RecNum&gt;3900&lt;/RecNum&gt;&lt;DisplayText&gt;[31]&lt;/DisplayText&gt;&lt;record&gt;&lt;rec-number&gt;3900&lt;/rec-number&gt;&lt;foreign-keys&gt;&lt;key app="EN" db-id="prxtsfzvix5rpde9zrnpewvb5aaxdewa02df"&gt;3900&lt;/key&gt;&lt;/foreign-keys&gt;&lt;ref-type name="Journal Article"&gt;17&lt;/ref-type&gt;&lt;contributors&gt;&lt;authors&gt;&lt;author&gt;Hanson, Sarah&lt;/author&gt;&lt;author&gt;Jones, Andy&lt;/author&gt;&lt;/authors&gt;&lt;/contributors&gt;&lt;titles&gt;&lt;title&gt;Is there evidence that walking groups have health benefits? A systematic review and meta-analysis&lt;/title&gt;&lt;secondary-title&gt;British Journal of Sports Medicine&lt;/secondary-title&gt;&lt;/titles&gt;&lt;periodical&gt;&lt;full-title&gt;British Journal of Sports Medicine&lt;/full-title&gt;&lt;/periodical&gt;&lt;pages&gt;710-715&lt;/pages&gt;&lt;volume&gt;49&lt;/volume&gt;&lt;number&gt;11&lt;/number&gt;&lt;dates&gt;&lt;year&gt;2015&lt;/year&gt;&lt;pub-dates&gt;&lt;date&gt;June 1, 2015&lt;/date&gt;&lt;/pub-dates&gt;&lt;/dates&gt;&lt;urls&gt;&lt;related-urls&gt;&lt;url&gt;http://bjsm.bmj.com/content/49/11/710.abstract&lt;/url&gt;&lt;/related-urls&gt;&lt;/urls&gt;&lt;electronic-resource-num&gt;10.1136/bjsports-2014-094157&lt;/electronic-resource-num&gt;&lt;/record&gt;&lt;/Cite&gt;&lt;/EndNote&gt;</w:instrText>
      </w:r>
      <w:r w:rsidRPr="004F3F7E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31" w:tooltip="Hanson, 2015 #3900" w:history="1">
        <w:r w:rsidR="003A47F3">
          <w:rPr>
            <w:rFonts w:ascii="Arial" w:hAnsi="Arial" w:cs="Arial"/>
            <w:bCs/>
            <w:noProof/>
            <w:lang w:eastAsia="zh-TW"/>
          </w:rPr>
          <w:t>31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Pr="004F3F7E">
        <w:rPr>
          <w:rFonts w:ascii="Arial" w:hAnsi="Arial" w:cs="Arial"/>
          <w:bCs/>
          <w:lang w:eastAsia="zh-TW"/>
        </w:rPr>
        <w:fldChar w:fldCharType="end"/>
      </w:r>
      <w:r w:rsidRPr="004F3F7E">
        <w:rPr>
          <w:rFonts w:ascii="Arial" w:hAnsi="Arial" w:cs="Arial"/>
          <w:bCs/>
          <w:lang w:eastAsia="zh-TW"/>
        </w:rPr>
        <w:t xml:space="preserve">.They are also efficacious at increasing physical activity, particularly when targeted at older adults </w:t>
      </w:r>
      <w:r w:rsidRPr="004F3F7E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&lt;EndNote&gt;&lt;Cite&gt;&lt;Author&gt;Kassavou&lt;/Author&gt;&lt;Year&gt;2013&lt;/Year&gt;&lt;RecNum&gt;434&lt;/RecNum&gt;&lt;DisplayText&gt;[32]&lt;/DisplayText&gt;&lt;record&gt;&lt;rec-number&gt;434&lt;/rec-number&gt;&lt;foreign-keys&gt;&lt;key app="EN" db-id="prxtsfzvix5rpde9zrnpewvb5aaxdewa02df"&gt;434&lt;/key&gt;&lt;/foreign-keys&gt;&lt;ref-type name="Journal Article"&gt;17&lt;/ref-type&gt;&lt;contributors&gt;&lt;authors&gt;&lt;author&gt;Kassavou, A.&lt;/author&gt;&lt;author&gt;Turner, A.&lt;/author&gt;&lt;author&gt;French, D. P.&lt;/author&gt;&lt;/authors&gt;&lt;/contributors&gt;&lt;auth-address&gt;Centre for Primary Care and Public Health, Queen Mary, University of London, London, UK. k.kassavou@qmul.ac.uk.&lt;/auth-address&gt;&lt;titles&gt;&lt;title&gt;Do interventions to promote walking in groups increase physical activity? A meta-analysis&lt;/title&gt;&lt;secondary-title&gt;International Journal of Behavioral Nutrition &amp;amp; Physical Activity&lt;/secondary-title&gt;&lt;/titles&gt;&lt;periodical&gt;&lt;full-title&gt;International Journal of Behavioral Nutrition &amp;amp; Physical Activity&lt;/full-title&gt;&lt;/periodical&gt;&lt;pages&gt;18&lt;/pages&gt;&lt;volume&gt;10&lt;/volume&gt;&lt;dates&gt;&lt;year&gt;2013&lt;/year&gt;&lt;/dates&gt;&lt;accession-num&gt;23388115&lt;/accession-num&gt;&lt;urls&gt;&lt;related-urls&gt;&lt;url&gt;http://ovidsp.ovid.com/ovidweb.cgi?T=JS&amp;amp;CSC=Y&amp;amp;NEWS=N&amp;amp;PAGE=fulltext&amp;amp;D=prem&amp;amp;AN=23388115&lt;/url&gt;&lt;url&gt;http://mlsfx.lib.uea.ac.uk:8888/sfx_local?sid=OVID:medline&amp;amp;id=pmid:23388115&amp;amp;id=doi:10.1186%2F1479-5868-10-18&amp;amp;issn=1479-5868&amp;amp;isbn=&amp;amp;volume=10&amp;amp;issue=&amp;amp;spage=18&amp;amp;pages=18&amp;amp;date=2013&amp;amp;title=International+Journal+of+Behavioral+Nutrition+%26+Physical+Activity&amp;amp;atitle=Do+interventions+to+promote+walking+in+groups+increase+physical+activity%3F+A+meta-analysis.&amp;amp;aulast=Kassavou&amp;amp;pid=%3Cauthor%3EKassavou+A%3C%2Fauthor%3E%3CAN%3E23388115%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Pr="004F3F7E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32" w:tooltip="Kassavou, 2013 #434" w:history="1">
        <w:r w:rsidR="003A47F3">
          <w:rPr>
            <w:rFonts w:ascii="Arial" w:hAnsi="Arial" w:cs="Arial"/>
            <w:bCs/>
            <w:noProof/>
            <w:lang w:eastAsia="zh-TW"/>
          </w:rPr>
          <w:t>32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Pr="004F3F7E">
        <w:rPr>
          <w:rFonts w:ascii="Arial" w:hAnsi="Arial" w:cs="Arial"/>
          <w:bCs/>
          <w:lang w:eastAsia="zh-TW"/>
        </w:rPr>
        <w:fldChar w:fldCharType="end"/>
      </w:r>
      <w:r w:rsidRPr="004F3F7E">
        <w:rPr>
          <w:rFonts w:ascii="Arial" w:hAnsi="Arial" w:cs="Arial"/>
          <w:bCs/>
          <w:lang w:eastAsia="zh-TW"/>
        </w:rPr>
        <w:t xml:space="preserve">. Furthermore, group based physical activity interventions aimed at adults have </w:t>
      </w:r>
      <w:r w:rsidR="00004103">
        <w:rPr>
          <w:rFonts w:ascii="Arial" w:hAnsi="Arial" w:cs="Arial"/>
          <w:bCs/>
          <w:lang w:eastAsia="zh-TW"/>
        </w:rPr>
        <w:t xml:space="preserve">previously </w:t>
      </w:r>
      <w:r w:rsidRPr="004F3F7E">
        <w:rPr>
          <w:rFonts w:ascii="Arial" w:hAnsi="Arial" w:cs="Arial"/>
          <w:bCs/>
          <w:lang w:eastAsia="zh-TW"/>
        </w:rPr>
        <w:t xml:space="preserve">been found to be effective in socio-economically disadvantaged communities </w:t>
      </w:r>
      <w:r w:rsidRPr="004F3F7E">
        <w:rPr>
          <w:rFonts w:ascii="Arial" w:hAnsi="Arial" w:cs="Arial"/>
          <w:bCs/>
          <w:lang w:eastAsia="zh-TW"/>
        </w:rPr>
        <w:fldChar w:fldCharType="begin"/>
      </w:r>
      <w:r w:rsidR="00471A05">
        <w:rPr>
          <w:rFonts w:ascii="Arial" w:hAnsi="Arial" w:cs="Arial"/>
          <w:bCs/>
          <w:lang w:eastAsia="zh-TW"/>
        </w:rPr>
        <w:instrText xml:space="preserve"> ADDIN EN.CITE &lt;EndNote&gt;&lt;Cite&gt;&lt;Author&gt;Cleland&lt;/Author&gt;&lt;Year&gt;2012&lt;/Year&gt;&lt;RecNum&gt;2233&lt;/RecNum&gt;&lt;DisplayText&gt;[33]&lt;/DisplayText&gt;&lt;record&gt;&lt;rec-number&gt;2233&lt;/rec-number&gt;&lt;foreign-keys&gt;&lt;key app="EN" db-id="prxtsfzvix5rpde9zrnpewvb5aaxdewa02df"&gt;2233&lt;/key&gt;&lt;/foreign-keys&gt;&lt;ref-type name="Journal Article"&gt;17&lt;/ref-type&gt;&lt;contributors&gt;&lt;authors&gt;&lt;author&gt;Cleland, Claire L.&lt;/author&gt;&lt;author&gt;Tully, Mark A.&lt;/author&gt;&lt;author&gt;Kee, Frank&lt;/author&gt;&lt;author&gt;Cupples, Margaret E.&lt;/author&gt;&lt;/authors&gt;&lt;/contributors&gt;&lt;titles&gt;&lt;title&gt;The effectiveness of physical activity interventions in socio-economically disadvantaged communities: A systematic review&lt;/title&gt;&lt;secondary-title&gt;Preventive Medicine&lt;/secondary-title&gt;&lt;/titles&gt;&lt;periodical&gt;&lt;full-title&gt;Prev Med&lt;/full-title&gt;&lt;abbr-1&gt;Preventive medicine&lt;/abbr-1&gt;&lt;/periodical&gt;&lt;pages&gt;371-380&lt;/pages&gt;&lt;volume&gt;54&lt;/volume&gt;&lt;number&gt;6&lt;/number&gt;&lt;keywords&gt;&lt;keyword&gt;Physical activity&lt;/keyword&gt;&lt;keyword&gt;Review&lt;/keyword&gt;&lt;keyword&gt;Community&lt;/keyword&gt;&lt;/keywords&gt;&lt;dates&gt;&lt;year&gt;2012&lt;/year&gt;&lt;pub-dates&gt;&lt;date&gt;6//&lt;/date&gt;&lt;/pub-dates&gt;&lt;/dates&gt;&lt;isbn&gt;0091-7435&lt;/isbn&gt;&lt;urls&gt;&lt;related-urls&gt;&lt;url&gt;http://www.sciencedirect.com/science/article/pii/S0091743512001107&lt;/url&gt;&lt;/related-urls&gt;&lt;/urls&gt;&lt;electronic-resource-num&gt;http://dx.doi.org/10.1016/j.ypmed.2012.04.004&lt;/electronic-resource-num&gt;&lt;/record&gt;&lt;/Cite&gt;&lt;/EndNote&gt;</w:instrText>
      </w:r>
      <w:r w:rsidRPr="004F3F7E">
        <w:rPr>
          <w:rFonts w:ascii="Arial" w:hAnsi="Arial" w:cs="Arial"/>
          <w:bCs/>
          <w:lang w:eastAsia="zh-TW"/>
        </w:rPr>
        <w:fldChar w:fldCharType="separate"/>
      </w:r>
      <w:r w:rsidR="00471A05">
        <w:rPr>
          <w:rFonts w:ascii="Arial" w:hAnsi="Arial" w:cs="Arial"/>
          <w:bCs/>
          <w:noProof/>
          <w:lang w:eastAsia="zh-TW"/>
        </w:rPr>
        <w:t>[</w:t>
      </w:r>
      <w:hyperlink w:anchor="_ENREF_33" w:tooltip="Cleland, 2012 #2233" w:history="1">
        <w:r w:rsidR="003A47F3">
          <w:rPr>
            <w:rFonts w:ascii="Arial" w:hAnsi="Arial" w:cs="Arial"/>
            <w:bCs/>
            <w:noProof/>
            <w:lang w:eastAsia="zh-TW"/>
          </w:rPr>
          <w:t>33</w:t>
        </w:r>
      </w:hyperlink>
      <w:r w:rsidR="00471A05">
        <w:rPr>
          <w:rFonts w:ascii="Arial" w:hAnsi="Arial" w:cs="Arial"/>
          <w:bCs/>
          <w:noProof/>
          <w:lang w:eastAsia="zh-TW"/>
        </w:rPr>
        <w:t>]</w:t>
      </w:r>
      <w:r w:rsidRPr="004F3F7E">
        <w:rPr>
          <w:rFonts w:ascii="Arial" w:hAnsi="Arial" w:cs="Arial"/>
          <w:bCs/>
          <w:lang w:eastAsia="zh-TW"/>
        </w:rPr>
        <w:fldChar w:fldCharType="end"/>
      </w:r>
      <w:r w:rsidRPr="004F3F7E">
        <w:rPr>
          <w:rFonts w:ascii="Arial" w:hAnsi="Arial" w:cs="Arial"/>
          <w:bCs/>
          <w:lang w:eastAsia="zh-TW"/>
        </w:rPr>
        <w:t>.</w:t>
      </w:r>
    </w:p>
    <w:p w14:paraId="4C8443AF" w14:textId="77777777" w:rsidR="00F95318" w:rsidRDefault="00616B03" w:rsidP="0045462A">
      <w:pPr>
        <w:spacing w:line="480" w:lineRule="auto"/>
        <w:rPr>
          <w:rFonts w:ascii="Arial" w:hAnsi="Arial" w:cs="Arial"/>
          <w:bCs/>
        </w:rPr>
      </w:pPr>
      <w:r w:rsidRPr="00616B03">
        <w:rPr>
          <w:rFonts w:ascii="Arial" w:hAnsi="Arial" w:cs="Arial"/>
          <w:bCs/>
        </w:rPr>
        <w:t>In England the major facilitator of group walking schemes is the national ‘Walking for Health’ (WfH) programme</w:t>
      </w:r>
      <w:r w:rsidR="00B85A15">
        <w:rPr>
          <w:rFonts w:ascii="Arial" w:hAnsi="Arial" w:cs="Arial"/>
          <w:bCs/>
        </w:rPr>
        <w:t xml:space="preserve"> </w:t>
      </w:r>
      <w:r w:rsidR="00B85A15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&lt;EndNote&gt;&lt;Cite&gt;&lt;Author&gt;Walking for Health&lt;/Author&gt;&lt;Year&gt;2013&lt;/Year&gt;&lt;RecNum&gt;3642&lt;/RecNum&gt;&lt;DisplayText&gt;[34]&lt;/DisplayText&gt;&lt;record&gt;&lt;rec-number&gt;3642&lt;/rec-number&gt;&lt;foreign-keys&gt;&lt;key app="EN" db-id="prxtsfzvix5rpde9zrnpewvb5aaxdewa02df"&gt;3642&lt;/key&gt;&lt;/foreign-keys&gt;&lt;ref-type name="Electronic Article"&gt;43&lt;/ref-type&gt;&lt;contributors&gt;&lt;authors&gt;&lt;author&gt;Walking for Health,&lt;/author&gt;&lt;/authors&gt;&lt;/contributors&gt;&lt;titles&gt;&lt;title&gt;Walking works. Making the case to encourage greater uptake of walking as a physical activity and recognise the value and benefits of Walking for Health&lt;/title&gt;&lt;/titles&gt;&lt;dates&gt;&lt;year&gt;2013&lt;/year&gt;&lt;pub-dates&gt;&lt;date&gt;28th July 2015]&lt;/date&gt;&lt;/pub-dates&gt;&lt;/dates&gt;&lt;pub-location&gt;London&lt;/pub-location&gt;&lt;publisher&gt;The Ramblers Macmillan&lt;/publisher&gt;&lt;urls&gt;&lt;related-urls&gt;&lt;url&gt;http://www.walkingforhealth.org.uk/sites/default/files/Walking%20works_LONG_AW_Web.pdf&lt;/url&gt;&lt;/related-urls&gt;&lt;/urls&gt;&lt;access-date&gt;27/11/13&lt;/access-date&gt;&lt;/record&gt;&lt;/Cite&gt;&lt;/EndNote&gt;</w:instrText>
      </w:r>
      <w:r w:rsidR="00B85A15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34" w:tooltip="Walking for Health, 2013 #3642" w:history="1">
        <w:r w:rsidR="003A47F3">
          <w:rPr>
            <w:rFonts w:ascii="Arial" w:hAnsi="Arial" w:cs="Arial"/>
            <w:bCs/>
            <w:noProof/>
          </w:rPr>
          <w:t>34</w:t>
        </w:r>
      </w:hyperlink>
      <w:r w:rsidR="00471A05">
        <w:rPr>
          <w:rFonts w:ascii="Arial" w:hAnsi="Arial" w:cs="Arial"/>
          <w:bCs/>
          <w:noProof/>
        </w:rPr>
        <w:t>]</w:t>
      </w:r>
      <w:r w:rsidR="00B85A15">
        <w:rPr>
          <w:rFonts w:ascii="Arial" w:hAnsi="Arial" w:cs="Arial"/>
          <w:bCs/>
        </w:rPr>
        <w:fldChar w:fldCharType="end"/>
      </w:r>
      <w:r w:rsidRPr="00616B03">
        <w:rPr>
          <w:rFonts w:ascii="Arial" w:hAnsi="Arial" w:cs="Arial"/>
          <w:bCs/>
        </w:rPr>
        <w:t xml:space="preserve">. </w:t>
      </w:r>
      <w:r w:rsidR="00004B86" w:rsidRPr="00004B86">
        <w:rPr>
          <w:rFonts w:ascii="Arial" w:hAnsi="Arial" w:cs="Arial"/>
          <w:bCs/>
        </w:rPr>
        <w:t xml:space="preserve">The concept of </w:t>
      </w:r>
      <w:r w:rsidR="00004B86">
        <w:rPr>
          <w:rFonts w:ascii="Arial" w:hAnsi="Arial" w:cs="Arial"/>
          <w:bCs/>
        </w:rPr>
        <w:t xml:space="preserve">group </w:t>
      </w:r>
      <w:r w:rsidR="00004B86" w:rsidRPr="00004B86">
        <w:rPr>
          <w:rFonts w:ascii="Arial" w:hAnsi="Arial" w:cs="Arial"/>
          <w:bCs/>
        </w:rPr>
        <w:t>health walks in England was introduced by an Oxfordshire General Practitioner in 1995</w:t>
      </w:r>
      <w:r w:rsidR="00CF5036">
        <w:rPr>
          <w:rFonts w:ascii="Arial" w:hAnsi="Arial" w:cs="Arial"/>
          <w:bCs/>
        </w:rPr>
        <w:t>,</w:t>
      </w:r>
      <w:r w:rsidR="00004B86" w:rsidRPr="00004B86">
        <w:rPr>
          <w:rFonts w:ascii="Arial" w:hAnsi="Arial" w:cs="Arial"/>
          <w:bCs/>
        </w:rPr>
        <w:t xml:space="preserve"> developing into a national ‘Walking for Health’ scheme in 2000. I</w:t>
      </w:r>
      <w:r w:rsidR="00E82F27">
        <w:rPr>
          <w:rFonts w:ascii="Arial" w:hAnsi="Arial" w:cs="Arial"/>
          <w:bCs/>
        </w:rPr>
        <w:t>t is run by two charities</w:t>
      </w:r>
      <w:r w:rsidR="00004B86" w:rsidRPr="00004B86">
        <w:rPr>
          <w:rFonts w:ascii="Arial" w:hAnsi="Arial" w:cs="Arial"/>
          <w:bCs/>
        </w:rPr>
        <w:t>. WfH is England’s largest network of lay-led health group walks with 70,000 regular walkers, 10,000 volunteer walk leaders and approximately 3,000 free short walks weekly in the natural environment. The stated aims are to ‘provide a local, low cost, fun, social method of becoming active’ with those at highest risk of inactivity being particularly targeted</w:t>
      </w:r>
      <w:r w:rsidR="0050419D">
        <w:rPr>
          <w:rFonts w:ascii="Arial" w:hAnsi="Arial" w:cs="Arial"/>
          <w:bCs/>
        </w:rPr>
        <w:t xml:space="preserve"> </w:t>
      </w:r>
      <w:r w:rsidR="0050419D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&lt;EndNote&gt;&lt;Cite&gt;&lt;Author&gt;Walking for Health&lt;/Author&gt;&lt;Year&gt;2013&lt;/Year&gt;&lt;RecNum&gt;3642&lt;/RecNum&gt;&lt;DisplayText&gt;[34]&lt;/DisplayText&gt;&lt;record&gt;&lt;rec-number&gt;3642&lt;/rec-number&gt;&lt;foreign-keys&gt;&lt;key app="EN" db-id="prxtsfzvix5rpde9zrnpewvb5aaxdewa02df"&gt;3642&lt;/key&gt;&lt;/foreign-keys&gt;&lt;ref-type name="Electronic Article"&gt;43&lt;/ref-type&gt;&lt;contributors&gt;&lt;authors&gt;&lt;author&gt;Walking for Health,&lt;/author&gt;&lt;/authors&gt;&lt;/contributors&gt;&lt;titles&gt;&lt;title&gt;Walking works. Making the case to encourage greater uptake of walking as a physical activity and recognise the value and benefits of Walking for Health&lt;/title&gt;&lt;/titles&gt;&lt;dates&gt;&lt;year&gt;2013&lt;/year&gt;&lt;pub-dates&gt;&lt;date&gt;28th July 2015]&lt;/date&gt;&lt;/pub-dates&gt;&lt;/dates&gt;&lt;pub-location&gt;London&lt;/pub-location&gt;&lt;publisher&gt;The Ramblers Macmillan&lt;/publisher&gt;&lt;urls&gt;&lt;related-urls&gt;&lt;url&gt;http://www.walkingforhealth.org.uk/sites/default/files/Walking%20works_LONG_AW_Web.pdf&lt;/url&gt;&lt;/related-urls&gt;&lt;/urls&gt;&lt;access-date&gt;27/11/13&lt;/access-date&gt;&lt;/record&gt;&lt;/Cite&gt;&lt;/EndNote&gt;</w:instrText>
      </w:r>
      <w:r w:rsidR="0050419D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34" w:tooltip="Walking for Health, 2013 #3642" w:history="1">
        <w:r w:rsidR="003A47F3">
          <w:rPr>
            <w:rFonts w:ascii="Arial" w:hAnsi="Arial" w:cs="Arial"/>
            <w:bCs/>
            <w:noProof/>
          </w:rPr>
          <w:t>34</w:t>
        </w:r>
      </w:hyperlink>
      <w:r w:rsidR="00471A05">
        <w:rPr>
          <w:rFonts w:ascii="Arial" w:hAnsi="Arial" w:cs="Arial"/>
          <w:bCs/>
          <w:noProof/>
        </w:rPr>
        <w:t>]</w:t>
      </w:r>
      <w:r w:rsidR="0050419D">
        <w:rPr>
          <w:rFonts w:ascii="Arial" w:hAnsi="Arial" w:cs="Arial"/>
          <w:bCs/>
        </w:rPr>
        <w:fldChar w:fldCharType="end"/>
      </w:r>
      <w:r w:rsidR="00004B86" w:rsidRPr="00004B86">
        <w:rPr>
          <w:rFonts w:ascii="Arial" w:hAnsi="Arial" w:cs="Arial"/>
          <w:bCs/>
        </w:rPr>
        <w:t xml:space="preserve">. </w:t>
      </w:r>
    </w:p>
    <w:p w14:paraId="09257B6D" w14:textId="77777777" w:rsidR="00DF2FD2" w:rsidRDefault="00616B03" w:rsidP="0045462A">
      <w:pPr>
        <w:spacing w:line="480" w:lineRule="auto"/>
        <w:rPr>
          <w:rFonts w:ascii="Arial" w:hAnsi="Arial" w:cs="Arial"/>
          <w:bCs/>
        </w:rPr>
      </w:pPr>
      <w:r w:rsidRPr="00616B03">
        <w:rPr>
          <w:rFonts w:ascii="Arial" w:hAnsi="Arial" w:cs="Arial"/>
          <w:bCs/>
        </w:rPr>
        <w:t xml:space="preserve">The scheme is organised centrally </w:t>
      </w:r>
      <w:r w:rsidR="00131677">
        <w:rPr>
          <w:rFonts w:ascii="Arial" w:hAnsi="Arial" w:cs="Arial"/>
          <w:bCs/>
        </w:rPr>
        <w:t xml:space="preserve">with salaried co-ordinators </w:t>
      </w:r>
      <w:r w:rsidRPr="00616B03">
        <w:rPr>
          <w:rFonts w:ascii="Arial" w:hAnsi="Arial" w:cs="Arial"/>
          <w:bCs/>
        </w:rPr>
        <w:t>but it is primarily a community delivered intervention,</w:t>
      </w:r>
      <w:r>
        <w:rPr>
          <w:rFonts w:ascii="Arial" w:hAnsi="Arial" w:cs="Arial"/>
          <w:bCs/>
        </w:rPr>
        <w:t xml:space="preserve"> </w:t>
      </w:r>
      <w:r w:rsidRPr="00616B03">
        <w:rPr>
          <w:rFonts w:ascii="Arial" w:hAnsi="Arial" w:cs="Arial"/>
          <w:bCs/>
        </w:rPr>
        <w:t xml:space="preserve">funded locally through partnership arrangements. </w:t>
      </w:r>
      <w:r w:rsidR="00131677">
        <w:rPr>
          <w:rFonts w:ascii="Arial" w:hAnsi="Arial" w:cs="Arial"/>
          <w:bCs/>
        </w:rPr>
        <w:t xml:space="preserve">The </w:t>
      </w:r>
      <w:r w:rsidR="00A82BBA">
        <w:rPr>
          <w:rFonts w:ascii="Arial" w:hAnsi="Arial" w:cs="Arial"/>
          <w:bCs/>
        </w:rPr>
        <w:t xml:space="preserve">group </w:t>
      </w:r>
      <w:r w:rsidR="00131677">
        <w:rPr>
          <w:rFonts w:ascii="Arial" w:hAnsi="Arial" w:cs="Arial"/>
          <w:bCs/>
        </w:rPr>
        <w:t>walks are</w:t>
      </w:r>
      <w:r w:rsidRPr="00616B03">
        <w:rPr>
          <w:rFonts w:ascii="Arial" w:hAnsi="Arial" w:cs="Arial"/>
          <w:bCs/>
        </w:rPr>
        <w:t xml:space="preserve"> delivered by volunteers</w:t>
      </w:r>
      <w:r w:rsidR="00131677">
        <w:rPr>
          <w:rFonts w:ascii="Arial" w:hAnsi="Arial" w:cs="Arial"/>
          <w:bCs/>
        </w:rPr>
        <w:t xml:space="preserve">. </w:t>
      </w:r>
      <w:r w:rsidR="0050419D">
        <w:rPr>
          <w:rFonts w:ascii="Arial" w:hAnsi="Arial" w:cs="Arial"/>
          <w:bCs/>
        </w:rPr>
        <w:t>Volunteers</w:t>
      </w:r>
      <w:r w:rsidR="00131677">
        <w:rPr>
          <w:rFonts w:ascii="Arial" w:hAnsi="Arial" w:cs="Arial"/>
          <w:bCs/>
        </w:rPr>
        <w:t xml:space="preserve"> receive</w:t>
      </w:r>
      <w:r w:rsidRPr="00616B03">
        <w:rPr>
          <w:rFonts w:ascii="Arial" w:hAnsi="Arial" w:cs="Arial"/>
          <w:bCs/>
        </w:rPr>
        <w:t xml:space="preserve"> one day of </w:t>
      </w:r>
      <w:r w:rsidR="00131677">
        <w:rPr>
          <w:rFonts w:ascii="Arial" w:hAnsi="Arial" w:cs="Arial"/>
          <w:bCs/>
        </w:rPr>
        <w:t xml:space="preserve">standardised </w:t>
      </w:r>
      <w:r w:rsidR="00F95318">
        <w:rPr>
          <w:rFonts w:ascii="Arial" w:hAnsi="Arial" w:cs="Arial"/>
          <w:bCs/>
        </w:rPr>
        <w:t>t</w:t>
      </w:r>
      <w:r w:rsidRPr="00616B03">
        <w:rPr>
          <w:rFonts w:ascii="Arial" w:hAnsi="Arial" w:cs="Arial"/>
          <w:bCs/>
        </w:rPr>
        <w:t xml:space="preserve">raining </w:t>
      </w:r>
      <w:r w:rsidR="00131677">
        <w:rPr>
          <w:rFonts w:ascii="Arial" w:hAnsi="Arial" w:cs="Arial"/>
          <w:bCs/>
        </w:rPr>
        <w:t>and then</w:t>
      </w:r>
      <w:r w:rsidRPr="00616B03">
        <w:rPr>
          <w:rFonts w:ascii="Arial" w:hAnsi="Arial" w:cs="Arial"/>
          <w:bCs/>
        </w:rPr>
        <w:t xml:space="preserve"> lead walks in their own community. </w:t>
      </w:r>
      <w:r w:rsidR="002A6562">
        <w:rPr>
          <w:rFonts w:ascii="Arial" w:hAnsi="Arial" w:cs="Arial"/>
          <w:bCs/>
        </w:rPr>
        <w:t xml:space="preserve">Information on how </w:t>
      </w:r>
      <w:r w:rsidR="00004103">
        <w:rPr>
          <w:rFonts w:ascii="Arial" w:hAnsi="Arial" w:cs="Arial"/>
          <w:bCs/>
        </w:rPr>
        <w:t xml:space="preserve">to set up or add to existing schemes </w:t>
      </w:r>
      <w:r w:rsidR="002A6562">
        <w:rPr>
          <w:rFonts w:ascii="Arial" w:hAnsi="Arial" w:cs="Arial"/>
          <w:bCs/>
        </w:rPr>
        <w:t xml:space="preserve">is given on </w:t>
      </w:r>
      <w:r w:rsidR="001501B9">
        <w:rPr>
          <w:rFonts w:ascii="Arial" w:hAnsi="Arial" w:cs="Arial"/>
          <w:bCs/>
        </w:rPr>
        <w:t>the scheme’s</w:t>
      </w:r>
      <w:r w:rsidR="00004103">
        <w:rPr>
          <w:rFonts w:ascii="Arial" w:hAnsi="Arial" w:cs="Arial"/>
          <w:bCs/>
        </w:rPr>
        <w:t xml:space="preserve"> website</w:t>
      </w:r>
      <w:r w:rsidR="00285F97">
        <w:rPr>
          <w:rFonts w:ascii="Arial" w:hAnsi="Arial" w:cs="Arial"/>
          <w:bCs/>
        </w:rPr>
        <w:t xml:space="preserve"> and </w:t>
      </w:r>
      <w:r w:rsidR="0050419D">
        <w:rPr>
          <w:rFonts w:ascii="Arial" w:hAnsi="Arial" w:cs="Arial"/>
          <w:bCs/>
        </w:rPr>
        <w:t xml:space="preserve">it </w:t>
      </w:r>
      <w:r w:rsidR="00285F97">
        <w:rPr>
          <w:rFonts w:ascii="Arial" w:hAnsi="Arial" w:cs="Arial"/>
          <w:bCs/>
        </w:rPr>
        <w:t xml:space="preserve">is open to </w:t>
      </w:r>
      <w:r w:rsidR="00A82BBA">
        <w:rPr>
          <w:rFonts w:ascii="Arial" w:hAnsi="Arial" w:cs="Arial"/>
          <w:bCs/>
        </w:rPr>
        <w:t>member</w:t>
      </w:r>
      <w:r w:rsidR="00F95318">
        <w:rPr>
          <w:rFonts w:ascii="Arial" w:hAnsi="Arial" w:cs="Arial"/>
          <w:bCs/>
        </w:rPr>
        <w:t>s</w:t>
      </w:r>
      <w:r w:rsidR="00A82BBA">
        <w:rPr>
          <w:rFonts w:ascii="Arial" w:hAnsi="Arial" w:cs="Arial"/>
          <w:bCs/>
        </w:rPr>
        <w:t xml:space="preserve"> of </w:t>
      </w:r>
      <w:r w:rsidR="00285F97">
        <w:rPr>
          <w:rFonts w:ascii="Arial" w:hAnsi="Arial" w:cs="Arial"/>
          <w:bCs/>
        </w:rPr>
        <w:t>the public to apply</w:t>
      </w:r>
      <w:r w:rsidR="00E82F27">
        <w:rPr>
          <w:rFonts w:ascii="Arial" w:hAnsi="Arial" w:cs="Arial"/>
          <w:bCs/>
        </w:rPr>
        <w:t xml:space="preserve"> to do this</w:t>
      </w:r>
      <w:r w:rsidR="00DB0F59">
        <w:rPr>
          <w:rFonts w:ascii="Arial" w:hAnsi="Arial" w:cs="Arial"/>
          <w:bCs/>
        </w:rPr>
        <w:t>. There are</w:t>
      </w:r>
      <w:r w:rsidR="00004103">
        <w:rPr>
          <w:rFonts w:ascii="Arial" w:hAnsi="Arial" w:cs="Arial"/>
          <w:bCs/>
        </w:rPr>
        <w:t xml:space="preserve"> </w:t>
      </w:r>
      <w:r w:rsidR="002A6562">
        <w:rPr>
          <w:rFonts w:ascii="Arial" w:hAnsi="Arial" w:cs="Arial"/>
          <w:bCs/>
        </w:rPr>
        <w:t xml:space="preserve">requirements </w:t>
      </w:r>
      <w:r w:rsidR="001501B9">
        <w:rPr>
          <w:rFonts w:ascii="Arial" w:hAnsi="Arial" w:cs="Arial"/>
          <w:bCs/>
        </w:rPr>
        <w:t xml:space="preserve">for accreditation and </w:t>
      </w:r>
      <w:r w:rsidR="0050419D">
        <w:rPr>
          <w:rFonts w:ascii="Arial" w:hAnsi="Arial" w:cs="Arial"/>
          <w:bCs/>
        </w:rPr>
        <w:t xml:space="preserve">for </w:t>
      </w:r>
      <w:r w:rsidR="00285F97">
        <w:rPr>
          <w:rFonts w:ascii="Arial" w:hAnsi="Arial" w:cs="Arial"/>
          <w:bCs/>
        </w:rPr>
        <w:t xml:space="preserve">using the scheme </w:t>
      </w:r>
      <w:r w:rsidR="001501B9">
        <w:rPr>
          <w:rFonts w:ascii="Arial" w:hAnsi="Arial" w:cs="Arial"/>
          <w:bCs/>
        </w:rPr>
        <w:t>branding</w:t>
      </w:r>
      <w:r w:rsidR="00004103">
        <w:rPr>
          <w:rFonts w:ascii="Arial" w:hAnsi="Arial" w:cs="Arial"/>
          <w:bCs/>
        </w:rPr>
        <w:t xml:space="preserve">. </w:t>
      </w:r>
      <w:r w:rsidR="00A82BBA">
        <w:rPr>
          <w:rFonts w:ascii="Arial" w:hAnsi="Arial" w:cs="Arial"/>
          <w:bCs/>
        </w:rPr>
        <w:t>This includes that</w:t>
      </w:r>
      <w:r w:rsidR="00004103">
        <w:rPr>
          <w:rFonts w:ascii="Arial" w:hAnsi="Arial" w:cs="Arial"/>
          <w:bCs/>
        </w:rPr>
        <w:t xml:space="preserve"> all walk</w:t>
      </w:r>
      <w:r w:rsidR="001501B9">
        <w:rPr>
          <w:rFonts w:ascii="Arial" w:hAnsi="Arial" w:cs="Arial"/>
          <w:bCs/>
        </w:rPr>
        <w:t xml:space="preserve"> leaders </w:t>
      </w:r>
      <w:r w:rsidR="00A82BBA">
        <w:rPr>
          <w:rFonts w:ascii="Arial" w:hAnsi="Arial" w:cs="Arial"/>
          <w:bCs/>
        </w:rPr>
        <w:t>receive</w:t>
      </w:r>
      <w:r w:rsidR="001501B9">
        <w:rPr>
          <w:rFonts w:ascii="Arial" w:hAnsi="Arial" w:cs="Arial"/>
          <w:bCs/>
        </w:rPr>
        <w:t xml:space="preserve"> train</w:t>
      </w:r>
      <w:r w:rsidR="00A82BBA">
        <w:rPr>
          <w:rFonts w:ascii="Arial" w:hAnsi="Arial" w:cs="Arial"/>
          <w:bCs/>
        </w:rPr>
        <w:t>ing</w:t>
      </w:r>
      <w:r w:rsidR="00131677">
        <w:rPr>
          <w:rFonts w:ascii="Arial" w:hAnsi="Arial" w:cs="Arial"/>
          <w:bCs/>
        </w:rPr>
        <w:t xml:space="preserve"> and that t</w:t>
      </w:r>
      <w:r w:rsidR="001501B9">
        <w:rPr>
          <w:rFonts w:ascii="Arial" w:hAnsi="Arial" w:cs="Arial"/>
          <w:bCs/>
        </w:rPr>
        <w:t>he walks</w:t>
      </w:r>
      <w:r w:rsidR="00004103">
        <w:rPr>
          <w:rFonts w:ascii="Arial" w:hAnsi="Arial" w:cs="Arial"/>
          <w:bCs/>
        </w:rPr>
        <w:t xml:space="preserve"> are free</w:t>
      </w:r>
      <w:r w:rsidR="001501B9">
        <w:rPr>
          <w:rFonts w:ascii="Arial" w:hAnsi="Arial" w:cs="Arial"/>
          <w:bCs/>
        </w:rPr>
        <w:t xml:space="preserve"> and regular </w:t>
      </w:r>
      <w:r w:rsidR="00CF5036">
        <w:rPr>
          <w:rFonts w:ascii="Arial" w:hAnsi="Arial" w:cs="Arial"/>
          <w:bCs/>
        </w:rPr>
        <w:t>and should be</w:t>
      </w:r>
      <w:r w:rsidR="001501B9">
        <w:rPr>
          <w:rFonts w:ascii="Arial" w:hAnsi="Arial" w:cs="Arial"/>
          <w:bCs/>
        </w:rPr>
        <w:t xml:space="preserve"> no longer than 90 minutes in length</w:t>
      </w:r>
      <w:r w:rsidR="00F95318">
        <w:rPr>
          <w:rFonts w:ascii="Arial" w:hAnsi="Arial" w:cs="Arial"/>
          <w:bCs/>
        </w:rPr>
        <w:t>,</w:t>
      </w:r>
      <w:r w:rsidR="001501B9">
        <w:rPr>
          <w:rFonts w:ascii="Arial" w:hAnsi="Arial" w:cs="Arial"/>
          <w:bCs/>
        </w:rPr>
        <w:t xml:space="preserve"> with at least one 30 minute walk per month</w:t>
      </w:r>
      <w:r w:rsidR="0084403C">
        <w:rPr>
          <w:rFonts w:ascii="Arial" w:hAnsi="Arial" w:cs="Arial"/>
          <w:bCs/>
        </w:rPr>
        <w:t xml:space="preserve">. Information is </w:t>
      </w:r>
      <w:r w:rsidR="00E82F27">
        <w:rPr>
          <w:rFonts w:ascii="Arial" w:hAnsi="Arial" w:cs="Arial"/>
          <w:bCs/>
        </w:rPr>
        <w:t xml:space="preserve">also </w:t>
      </w:r>
      <w:r w:rsidR="0084403C">
        <w:rPr>
          <w:rFonts w:ascii="Arial" w:hAnsi="Arial" w:cs="Arial"/>
          <w:bCs/>
        </w:rPr>
        <w:t xml:space="preserve">given </w:t>
      </w:r>
      <w:r w:rsidR="00E82F27">
        <w:rPr>
          <w:rFonts w:ascii="Arial" w:hAnsi="Arial" w:cs="Arial"/>
          <w:bCs/>
        </w:rPr>
        <w:t xml:space="preserve">on </w:t>
      </w:r>
      <w:r w:rsidR="00B73B5E">
        <w:rPr>
          <w:rFonts w:ascii="Arial" w:hAnsi="Arial" w:cs="Arial"/>
          <w:bCs/>
        </w:rPr>
        <w:t xml:space="preserve">the scheme </w:t>
      </w:r>
      <w:r w:rsidR="00E82F27">
        <w:rPr>
          <w:rFonts w:ascii="Arial" w:hAnsi="Arial" w:cs="Arial"/>
          <w:bCs/>
        </w:rPr>
        <w:t xml:space="preserve">website </w:t>
      </w:r>
      <w:r w:rsidR="0084403C">
        <w:rPr>
          <w:rFonts w:ascii="Arial" w:hAnsi="Arial" w:cs="Arial"/>
          <w:bCs/>
        </w:rPr>
        <w:t>about how to</w:t>
      </w:r>
      <w:r w:rsidR="001501B9">
        <w:rPr>
          <w:rFonts w:ascii="Arial" w:hAnsi="Arial" w:cs="Arial"/>
          <w:bCs/>
        </w:rPr>
        <w:t xml:space="preserve"> apply for local funding from</w:t>
      </w:r>
      <w:r w:rsidR="0084403C">
        <w:rPr>
          <w:rFonts w:ascii="Arial" w:hAnsi="Arial" w:cs="Arial"/>
          <w:bCs/>
        </w:rPr>
        <w:t xml:space="preserve"> sources such as local authorities and NHS commissioners</w:t>
      </w:r>
      <w:r w:rsidRPr="00616B0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934A7C" w:rsidRPr="00086598">
        <w:rPr>
          <w:rFonts w:ascii="Arial" w:hAnsi="Arial" w:cs="Arial"/>
          <w:bCs/>
        </w:rPr>
        <w:t>The</w:t>
      </w:r>
      <w:r w:rsidR="00004B86">
        <w:rPr>
          <w:rFonts w:ascii="Arial" w:hAnsi="Arial" w:cs="Arial"/>
          <w:bCs/>
        </w:rPr>
        <w:t xml:space="preserve"> scheme therefore presents a case-study opportunity</w:t>
      </w:r>
      <w:r w:rsidR="00934A7C" w:rsidRPr="00086598">
        <w:rPr>
          <w:rFonts w:ascii="Arial" w:hAnsi="Arial" w:cs="Arial"/>
          <w:bCs/>
        </w:rPr>
        <w:t xml:space="preserve"> </w:t>
      </w:r>
      <w:r w:rsidR="00E53BD4" w:rsidRPr="00086598">
        <w:rPr>
          <w:rFonts w:ascii="Arial" w:hAnsi="Arial" w:cs="Arial"/>
          <w:bCs/>
        </w:rPr>
        <w:t xml:space="preserve">to evaluate </w:t>
      </w:r>
      <w:r w:rsidR="008F2CF9" w:rsidRPr="00086598">
        <w:rPr>
          <w:rFonts w:ascii="Arial" w:hAnsi="Arial" w:cs="Arial"/>
          <w:bCs/>
        </w:rPr>
        <w:t xml:space="preserve">the extent to which </w:t>
      </w:r>
      <w:r w:rsidR="00E82F27">
        <w:rPr>
          <w:rFonts w:ascii="Arial" w:hAnsi="Arial" w:cs="Arial"/>
          <w:bCs/>
        </w:rPr>
        <w:t xml:space="preserve">such an </w:t>
      </w:r>
      <w:r w:rsidR="0019209D">
        <w:rPr>
          <w:rFonts w:ascii="Arial" w:hAnsi="Arial" w:cs="Arial"/>
          <w:bCs/>
        </w:rPr>
        <w:t>intervention that is</w:t>
      </w:r>
      <w:r w:rsidR="005C5C0C">
        <w:rPr>
          <w:rFonts w:ascii="Arial" w:hAnsi="Arial" w:cs="Arial"/>
          <w:bCs/>
        </w:rPr>
        <w:t xml:space="preserve"> </w:t>
      </w:r>
      <w:r w:rsidR="001501B9">
        <w:rPr>
          <w:rFonts w:ascii="Arial" w:hAnsi="Arial" w:cs="Arial"/>
          <w:bCs/>
        </w:rPr>
        <w:t xml:space="preserve">nationally organised </w:t>
      </w:r>
      <w:r w:rsidR="001501B9">
        <w:rPr>
          <w:rFonts w:ascii="Arial" w:hAnsi="Arial" w:cs="Arial"/>
          <w:bCs/>
        </w:rPr>
        <w:lastRenderedPageBreak/>
        <w:t>but</w:t>
      </w:r>
      <w:r w:rsidR="005C5C0C">
        <w:rPr>
          <w:rFonts w:ascii="Arial" w:hAnsi="Arial" w:cs="Arial"/>
          <w:bCs/>
        </w:rPr>
        <w:t xml:space="preserve"> delivered locally</w:t>
      </w:r>
      <w:r w:rsidR="0019209D">
        <w:rPr>
          <w:rFonts w:ascii="Arial" w:hAnsi="Arial" w:cs="Arial"/>
          <w:bCs/>
        </w:rPr>
        <w:t xml:space="preserve"> on a voluntary basis</w:t>
      </w:r>
      <w:r w:rsidR="00FD5566">
        <w:rPr>
          <w:rFonts w:ascii="Arial" w:hAnsi="Arial" w:cs="Arial"/>
          <w:bCs/>
        </w:rPr>
        <w:t xml:space="preserve"> </w:t>
      </w:r>
      <w:r w:rsidR="008F2CF9" w:rsidRPr="00086598">
        <w:rPr>
          <w:rFonts w:ascii="Arial" w:hAnsi="Arial" w:cs="Arial"/>
          <w:bCs/>
        </w:rPr>
        <w:t>operate</w:t>
      </w:r>
      <w:r w:rsidR="001501B9">
        <w:rPr>
          <w:rFonts w:ascii="Arial" w:hAnsi="Arial" w:cs="Arial"/>
          <w:bCs/>
        </w:rPr>
        <w:t>s</w:t>
      </w:r>
      <w:r w:rsidR="008F2CF9" w:rsidRPr="00086598">
        <w:rPr>
          <w:rFonts w:ascii="Arial" w:hAnsi="Arial" w:cs="Arial"/>
          <w:bCs/>
        </w:rPr>
        <w:t xml:space="preserve"> in those places with the greatest health need</w:t>
      </w:r>
      <w:r w:rsidR="00B73B5E">
        <w:rPr>
          <w:rFonts w:ascii="Arial" w:hAnsi="Arial" w:cs="Arial"/>
          <w:bCs/>
        </w:rPr>
        <w:t xml:space="preserve"> and has the potential to influence inequity.</w:t>
      </w:r>
    </w:p>
    <w:p w14:paraId="7DFCB8D2" w14:textId="77777777" w:rsidR="00616B03" w:rsidRPr="00616B03" w:rsidRDefault="00616B03" w:rsidP="00616B03">
      <w:pPr>
        <w:spacing w:line="480" w:lineRule="auto"/>
        <w:rPr>
          <w:rFonts w:ascii="Arial" w:hAnsi="Arial" w:cs="Arial"/>
          <w:bCs/>
        </w:rPr>
      </w:pPr>
      <w:r w:rsidRPr="00616B03">
        <w:rPr>
          <w:rFonts w:ascii="Arial" w:hAnsi="Arial" w:cs="Arial"/>
          <w:bCs/>
        </w:rPr>
        <w:t>This work takes a spatial approach</w:t>
      </w:r>
      <w:r w:rsidR="006F4CB4">
        <w:rPr>
          <w:rFonts w:ascii="Arial" w:hAnsi="Arial" w:cs="Arial"/>
          <w:bCs/>
        </w:rPr>
        <w:t>,</w:t>
      </w:r>
      <w:r w:rsidRPr="00616B03">
        <w:rPr>
          <w:rFonts w:ascii="Arial" w:hAnsi="Arial" w:cs="Arial"/>
          <w:bCs/>
        </w:rPr>
        <w:t xml:space="preserve"> whereby geographical variations in walking group</w:t>
      </w:r>
      <w:r w:rsidR="00F95318">
        <w:rPr>
          <w:rFonts w:ascii="Arial" w:hAnsi="Arial" w:cs="Arial"/>
          <w:bCs/>
        </w:rPr>
        <w:t xml:space="preserve"> </w:t>
      </w:r>
      <w:r w:rsidRPr="00616B03">
        <w:rPr>
          <w:rFonts w:ascii="Arial" w:hAnsi="Arial" w:cs="Arial"/>
          <w:bCs/>
        </w:rPr>
        <w:t xml:space="preserve">provision in England are linked and then compared to variations in a range of measures of population need. Taking </w:t>
      </w:r>
      <w:r w:rsidR="00B73B5E">
        <w:rPr>
          <w:rFonts w:ascii="Arial" w:hAnsi="Arial" w:cs="Arial"/>
          <w:bCs/>
        </w:rPr>
        <w:t>such an approach</w:t>
      </w:r>
      <w:r w:rsidRPr="00616B03">
        <w:rPr>
          <w:rFonts w:ascii="Arial" w:hAnsi="Arial" w:cs="Arial"/>
          <w:bCs/>
        </w:rPr>
        <w:t xml:space="preserve"> is appropriate as it has been argued that the achievement of spatial equity is the first step in a process towards reducing health </w:t>
      </w:r>
      <w:r w:rsidR="00ED7E92">
        <w:rPr>
          <w:rFonts w:ascii="Arial" w:hAnsi="Arial" w:cs="Arial"/>
          <w:bCs/>
        </w:rPr>
        <w:t>inequity</w:t>
      </w:r>
      <w:r w:rsidRPr="00616B03">
        <w:rPr>
          <w:rFonts w:ascii="Arial" w:hAnsi="Arial" w:cs="Arial"/>
          <w:bCs/>
        </w:rPr>
        <w:t>; if an intervention is not well spatially targeted, appropriate levels of uptake, efficacy, long-term compliance, and the accomplishment</w:t>
      </w:r>
      <w:r w:rsidRPr="00616B03" w:rsidDel="00DF676F">
        <w:rPr>
          <w:rFonts w:ascii="Arial" w:hAnsi="Arial" w:cs="Arial"/>
          <w:bCs/>
        </w:rPr>
        <w:t xml:space="preserve"> </w:t>
      </w:r>
      <w:r w:rsidRPr="00616B03">
        <w:rPr>
          <w:rFonts w:ascii="Arial" w:hAnsi="Arial" w:cs="Arial"/>
          <w:bCs/>
        </w:rPr>
        <w:t xml:space="preserve">of improved health outcomes are unlikely to be attained </w:t>
      </w:r>
      <w:r w:rsidRPr="00616B03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&lt;EndNote&gt;&lt;Cite&gt;&lt;Author&gt;Dalton&lt;/Author&gt;&lt;Year&gt;2013&lt;/Year&gt;&lt;RecNum&gt;3720&lt;/RecNum&gt;&lt;DisplayText&gt;[35]&lt;/DisplayText&gt;&lt;record&gt;&lt;rec-number&gt;3720&lt;/rec-number&gt;&lt;foreign-keys&gt;&lt;key app="EN" db-id="prxtsfzvix5rpde9zrnpewvb5aaxdewa02df"&gt;3720&lt;/key&gt;&lt;/foreign-keys&gt;&lt;ref-type name="Journal Article"&gt;17&lt;/ref-type&gt;&lt;contributors&gt;&lt;authors&gt;&lt;author&gt;Dalton, Alice&lt;/author&gt;&lt;author&gt;Jones, Andrew&lt;/author&gt;&lt;author&gt;Ogilvie, David&lt;/author&gt;&lt;author&gt;Petticrew, Mark&lt;/author&gt;&lt;author&gt;White, Martin&lt;/author&gt;&lt;author&gt;Cummins, Steven&lt;/author&gt;&lt;/authors&gt;&lt;/contributors&gt;&lt;titles&gt;&lt;title&gt;Using spatial equity analysis in the process evaluation of environmental interventions to tackle obesity: the healthy towns programme in England&lt;/title&gt;&lt;secondary-title&gt;International Journal for Equity in Health&lt;/secondary-title&gt;&lt;/titles&gt;&lt;periodical&gt;&lt;full-title&gt;International Journal for Equity in Health&lt;/full-title&gt;&lt;/periodical&gt;&lt;pages&gt;43&lt;/pages&gt;&lt;volume&gt;12&lt;/volume&gt;&lt;number&gt;1&lt;/number&gt;&lt;dates&gt;&lt;year&gt;2013&lt;/year&gt;&lt;/dates&gt;&lt;isbn&gt;1475-9276&lt;/isbn&gt;&lt;accession-num&gt;doi:10.1186/1475-9276-12-43&lt;/accession-num&gt;&lt;urls&gt;&lt;related-urls&gt;&lt;url&gt;http://www.equityhealthj.com/content/12/1/43&lt;/url&gt;&lt;/related-urls&gt;&lt;/urls&gt;&lt;/record&gt;&lt;/Cite&gt;&lt;/EndNote&gt;</w:instrText>
      </w:r>
      <w:r w:rsidRPr="00616B03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35" w:tooltip="Dalton, 2013 #3720" w:history="1">
        <w:r w:rsidR="003A47F3">
          <w:rPr>
            <w:rFonts w:ascii="Arial" w:hAnsi="Arial" w:cs="Arial"/>
            <w:bCs/>
            <w:noProof/>
          </w:rPr>
          <w:t>35</w:t>
        </w:r>
      </w:hyperlink>
      <w:r w:rsidR="00471A05">
        <w:rPr>
          <w:rFonts w:ascii="Arial" w:hAnsi="Arial" w:cs="Arial"/>
          <w:bCs/>
          <w:noProof/>
        </w:rPr>
        <w:t>]</w:t>
      </w:r>
      <w:r w:rsidRPr="00616B03">
        <w:rPr>
          <w:rFonts w:ascii="Arial" w:hAnsi="Arial" w:cs="Arial"/>
          <w:bCs/>
        </w:rPr>
        <w:fldChar w:fldCharType="end"/>
      </w:r>
      <w:r w:rsidRPr="00616B03">
        <w:rPr>
          <w:rFonts w:ascii="Arial" w:hAnsi="Arial" w:cs="Arial"/>
          <w:bCs/>
        </w:rPr>
        <w:t xml:space="preserve">.     </w:t>
      </w:r>
    </w:p>
    <w:p w14:paraId="634B4147" w14:textId="77777777" w:rsidR="00616B03" w:rsidRPr="00086598" w:rsidRDefault="00616B03" w:rsidP="0045462A">
      <w:pPr>
        <w:spacing w:line="480" w:lineRule="auto"/>
        <w:rPr>
          <w:rFonts w:ascii="Arial" w:hAnsi="Arial" w:cs="Arial"/>
          <w:bCs/>
        </w:rPr>
      </w:pPr>
    </w:p>
    <w:p w14:paraId="59143DB2" w14:textId="77777777" w:rsidR="00BA2190" w:rsidRPr="00086598" w:rsidRDefault="00BA2190" w:rsidP="0045462A">
      <w:pPr>
        <w:spacing w:line="480" w:lineRule="auto"/>
        <w:rPr>
          <w:rFonts w:ascii="Arial" w:hAnsi="Arial" w:cs="Arial"/>
          <w:bCs/>
        </w:rPr>
      </w:pPr>
      <w:r w:rsidRPr="00086598">
        <w:rPr>
          <w:rFonts w:ascii="Arial" w:hAnsi="Arial" w:cs="Arial"/>
          <w:bCs/>
        </w:rPr>
        <w:br w:type="page"/>
      </w:r>
    </w:p>
    <w:p w14:paraId="788FCDFF" w14:textId="77777777" w:rsidR="00527C13" w:rsidRPr="00086598" w:rsidRDefault="00527C13" w:rsidP="00527C13">
      <w:pPr>
        <w:rPr>
          <w:rFonts w:ascii="Arial" w:hAnsi="Arial" w:cs="Arial"/>
          <w:b/>
          <w:bCs/>
        </w:rPr>
      </w:pPr>
      <w:bookmarkStart w:id="1" w:name="_Toc369951258"/>
      <w:r w:rsidRPr="00086598">
        <w:rPr>
          <w:rFonts w:ascii="Arial" w:hAnsi="Arial" w:cs="Arial"/>
          <w:b/>
          <w:bCs/>
        </w:rPr>
        <w:lastRenderedPageBreak/>
        <w:t>Methods</w:t>
      </w:r>
      <w:bookmarkEnd w:id="1"/>
    </w:p>
    <w:p w14:paraId="3FDEA4E6" w14:textId="77777777" w:rsidR="00990A2C" w:rsidRPr="00086598" w:rsidRDefault="00990A2C" w:rsidP="0032206A">
      <w:pPr>
        <w:spacing w:after="0"/>
        <w:rPr>
          <w:rFonts w:ascii="Arial" w:hAnsi="Arial" w:cs="Arial"/>
        </w:rPr>
      </w:pPr>
    </w:p>
    <w:p w14:paraId="5B68EFBC" w14:textId="77777777" w:rsidR="00E26888" w:rsidRPr="00086598" w:rsidRDefault="00347892" w:rsidP="0032206A">
      <w:pPr>
        <w:spacing w:after="0"/>
        <w:rPr>
          <w:rFonts w:ascii="Arial" w:hAnsi="Arial" w:cs="Arial"/>
          <w:b/>
        </w:rPr>
      </w:pPr>
      <w:r w:rsidRPr="00086598">
        <w:rPr>
          <w:rFonts w:ascii="Arial" w:hAnsi="Arial" w:cs="Arial"/>
          <w:b/>
        </w:rPr>
        <w:t>Walking for Health (W</w:t>
      </w:r>
      <w:r w:rsidR="00700601" w:rsidRPr="00086598">
        <w:rPr>
          <w:rFonts w:ascii="Arial" w:hAnsi="Arial" w:cs="Arial"/>
          <w:b/>
        </w:rPr>
        <w:t>fH</w:t>
      </w:r>
      <w:r w:rsidRPr="00086598">
        <w:rPr>
          <w:rFonts w:ascii="Arial" w:hAnsi="Arial" w:cs="Arial"/>
          <w:b/>
        </w:rPr>
        <w:t>)</w:t>
      </w:r>
      <w:r w:rsidR="002735AC" w:rsidRPr="00086598">
        <w:rPr>
          <w:rFonts w:ascii="Arial" w:hAnsi="Arial" w:cs="Arial"/>
          <w:b/>
        </w:rPr>
        <w:t xml:space="preserve"> </w:t>
      </w:r>
      <w:r w:rsidR="00543809" w:rsidRPr="00086598">
        <w:rPr>
          <w:rFonts w:ascii="Arial" w:hAnsi="Arial" w:cs="Arial"/>
          <w:b/>
        </w:rPr>
        <w:t xml:space="preserve">scheme </w:t>
      </w:r>
      <w:r w:rsidR="00FE3B2F" w:rsidRPr="00086598">
        <w:rPr>
          <w:rFonts w:ascii="Arial" w:hAnsi="Arial" w:cs="Arial"/>
          <w:b/>
        </w:rPr>
        <w:t>data</w:t>
      </w:r>
      <w:r w:rsidR="002735AC" w:rsidRPr="00086598">
        <w:rPr>
          <w:rFonts w:ascii="Arial" w:hAnsi="Arial" w:cs="Arial"/>
          <w:b/>
        </w:rPr>
        <w:t xml:space="preserve"> </w:t>
      </w:r>
    </w:p>
    <w:p w14:paraId="63C1D384" w14:textId="77777777" w:rsidR="0045462A" w:rsidRPr="00086598" w:rsidRDefault="0045462A" w:rsidP="0032206A">
      <w:pPr>
        <w:spacing w:after="0"/>
        <w:rPr>
          <w:rFonts w:ascii="Arial" w:hAnsi="Arial" w:cs="Arial"/>
          <w:b/>
        </w:rPr>
      </w:pPr>
    </w:p>
    <w:p w14:paraId="1DDC4F17" w14:textId="77777777" w:rsidR="00C63ED5" w:rsidRPr="00086598" w:rsidRDefault="00347892" w:rsidP="0045462A">
      <w:pPr>
        <w:spacing w:after="0" w:line="480" w:lineRule="auto"/>
        <w:rPr>
          <w:rFonts w:ascii="Arial" w:hAnsi="Arial" w:cs="Arial"/>
          <w:bCs/>
        </w:rPr>
      </w:pPr>
      <w:r w:rsidRPr="00086598">
        <w:rPr>
          <w:rFonts w:ascii="Arial" w:hAnsi="Arial" w:cs="Arial"/>
        </w:rPr>
        <w:t xml:space="preserve">To evaluate the extent to which WfH operates in those places with the greatest need </w:t>
      </w:r>
      <w:r w:rsidRPr="00086598">
        <w:rPr>
          <w:rFonts w:ascii="Arial" w:hAnsi="Arial" w:cs="Arial"/>
          <w:bCs/>
        </w:rPr>
        <w:t>it was firstly necessary to identify where WfH walks were provided</w:t>
      </w:r>
      <w:r w:rsidR="00700601" w:rsidRPr="00086598">
        <w:rPr>
          <w:rFonts w:ascii="Arial" w:hAnsi="Arial" w:cs="Arial"/>
          <w:bCs/>
        </w:rPr>
        <w:t>.</w:t>
      </w:r>
      <w:r w:rsidRPr="00086598">
        <w:rPr>
          <w:rFonts w:ascii="Arial" w:hAnsi="Arial" w:cs="Arial"/>
          <w:bCs/>
        </w:rPr>
        <w:t xml:space="preserve"> England is organised administratively into 326 local authorities </w:t>
      </w:r>
      <w:r w:rsidR="00700601" w:rsidRPr="00086598">
        <w:rPr>
          <w:rFonts w:ascii="Arial" w:hAnsi="Arial" w:cs="Arial"/>
          <w:bCs/>
        </w:rPr>
        <w:t xml:space="preserve">(LAs) </w:t>
      </w:r>
      <w:r w:rsidRPr="00086598">
        <w:rPr>
          <w:rFonts w:ascii="Arial" w:hAnsi="Arial" w:cs="Arial"/>
          <w:bCs/>
        </w:rPr>
        <w:t xml:space="preserve">with a mean population of 163,410 </w:t>
      </w:r>
      <w:r w:rsidRPr="00086598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&lt;EndNote&gt;&lt;Cite&gt;&lt;Author&gt;Office for National Statistics&lt;/Author&gt;&lt;Year&gt;2014&lt;/Year&gt;&lt;RecNum&gt;3726&lt;/RecNum&gt;&lt;DisplayText&gt;[36]&lt;/DisplayText&gt;&lt;record&gt;&lt;rec-number&gt;3726&lt;/rec-number&gt;&lt;foreign-keys&gt;&lt;key app="EN" db-id="prxtsfzvix5rpde9zrnpewvb5aaxdewa02df"&gt;3726&lt;/key&gt;&lt;/foreign-keys&gt;&lt;ref-type name="Web Page"&gt;12&lt;/ref-type&gt;&lt;contributors&gt;&lt;authors&gt;&lt;author&gt;Office for National Statistics,&lt;/author&gt;&lt;/authors&gt;&lt;/contributors&gt;&lt;titles&gt;&lt;title&gt;A beginner&amp;apos;s guide to geography: Guidance and methodoloy&lt;/title&gt;&lt;/titles&gt;&lt;number&gt;16th April 2014]&lt;/number&gt;&lt;dates&gt;&lt;year&gt;2014&lt;/year&gt;&lt;/dates&gt;&lt;pub-location&gt;London&lt;/pub-location&gt;&lt;publisher&gt;Office for National Statistics&lt;/publisher&gt;&lt;urls&gt;&lt;related-urls&gt;&lt;url&gt;http://www.ons.gov.uk/ons/guide-method/geography/beginner-s-guide/index.html&lt;/url&gt;&lt;/related-urls&gt;&lt;/urls&gt;&lt;/record&gt;&lt;/Cite&gt;&lt;/EndNote&gt;</w:instrText>
      </w:r>
      <w:r w:rsidRPr="00086598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36" w:tooltip="Office for National Statistics, 2014 #3726" w:history="1">
        <w:r w:rsidR="003A47F3">
          <w:rPr>
            <w:rFonts w:ascii="Arial" w:hAnsi="Arial" w:cs="Arial"/>
            <w:bCs/>
            <w:noProof/>
          </w:rPr>
          <w:t>36</w:t>
        </w:r>
      </w:hyperlink>
      <w:r w:rsidR="00471A05">
        <w:rPr>
          <w:rFonts w:ascii="Arial" w:hAnsi="Arial" w:cs="Arial"/>
          <w:bCs/>
          <w:noProof/>
        </w:rPr>
        <w:t>]</w:t>
      </w:r>
      <w:r w:rsidRPr="00086598">
        <w:rPr>
          <w:rFonts w:ascii="Arial" w:hAnsi="Arial" w:cs="Arial"/>
          <w:bCs/>
        </w:rPr>
        <w:fldChar w:fldCharType="end"/>
      </w:r>
      <w:r w:rsidRPr="00086598">
        <w:rPr>
          <w:rFonts w:ascii="Arial" w:hAnsi="Arial" w:cs="Arial"/>
          <w:bCs/>
        </w:rPr>
        <w:t xml:space="preserve">. This is the administrative area that </w:t>
      </w:r>
      <w:r w:rsidR="00B73B5E">
        <w:rPr>
          <w:rFonts w:ascii="Arial" w:hAnsi="Arial" w:cs="Arial"/>
          <w:bCs/>
        </w:rPr>
        <w:t xml:space="preserve">the </w:t>
      </w:r>
      <w:r w:rsidRPr="00086598">
        <w:rPr>
          <w:rFonts w:ascii="Arial" w:hAnsi="Arial" w:cs="Arial"/>
          <w:bCs/>
        </w:rPr>
        <w:t xml:space="preserve">WfH </w:t>
      </w:r>
      <w:r w:rsidR="00B73B5E">
        <w:rPr>
          <w:rFonts w:ascii="Arial" w:hAnsi="Arial" w:cs="Arial"/>
          <w:bCs/>
        </w:rPr>
        <w:t xml:space="preserve">scheme </w:t>
      </w:r>
      <w:r w:rsidRPr="00086598">
        <w:rPr>
          <w:rFonts w:ascii="Arial" w:hAnsi="Arial" w:cs="Arial"/>
          <w:bCs/>
        </w:rPr>
        <w:t xml:space="preserve">uses to collate its data and therefore local authorities were used as the spatial </w:t>
      </w:r>
      <w:r w:rsidR="00185A67" w:rsidRPr="00086598">
        <w:rPr>
          <w:rFonts w:ascii="Arial" w:hAnsi="Arial" w:cs="Arial"/>
          <w:bCs/>
        </w:rPr>
        <w:t>units</w:t>
      </w:r>
      <w:r w:rsidRPr="00086598">
        <w:rPr>
          <w:rFonts w:ascii="Arial" w:hAnsi="Arial" w:cs="Arial"/>
          <w:bCs/>
        </w:rPr>
        <w:t xml:space="preserve"> for this analysis.</w:t>
      </w:r>
      <w:r w:rsidR="00702B4C" w:rsidRPr="00086598">
        <w:rPr>
          <w:rFonts w:ascii="Arial" w:hAnsi="Arial" w:cs="Arial"/>
          <w:bCs/>
        </w:rPr>
        <w:t xml:space="preserve"> </w:t>
      </w:r>
      <w:r w:rsidR="006F4CB4">
        <w:rPr>
          <w:rFonts w:ascii="Arial" w:hAnsi="Arial" w:cs="Arial"/>
          <w:bCs/>
        </w:rPr>
        <w:t>For the purposes of this research t</w:t>
      </w:r>
      <w:r w:rsidR="00BE645C">
        <w:rPr>
          <w:rFonts w:ascii="Arial" w:hAnsi="Arial" w:cs="Arial"/>
          <w:bCs/>
        </w:rPr>
        <w:t>he intervention is</w:t>
      </w:r>
      <w:r w:rsidR="006F4CB4">
        <w:rPr>
          <w:rFonts w:ascii="Arial" w:hAnsi="Arial" w:cs="Arial"/>
          <w:bCs/>
        </w:rPr>
        <w:t xml:space="preserve"> defined as</w:t>
      </w:r>
      <w:r w:rsidR="00BE645C">
        <w:rPr>
          <w:rFonts w:ascii="Arial" w:hAnsi="Arial" w:cs="Arial"/>
          <w:bCs/>
        </w:rPr>
        <w:t xml:space="preserve"> the operation of a group walk. </w:t>
      </w:r>
      <w:r w:rsidR="002550B2" w:rsidRPr="00086598">
        <w:rPr>
          <w:rFonts w:ascii="Arial" w:hAnsi="Arial" w:cs="Arial"/>
          <w:bCs/>
        </w:rPr>
        <w:t xml:space="preserve">Each </w:t>
      </w:r>
      <w:r w:rsidR="00C35E1B">
        <w:rPr>
          <w:rFonts w:ascii="Arial" w:hAnsi="Arial" w:cs="Arial"/>
          <w:bCs/>
        </w:rPr>
        <w:t>l</w:t>
      </w:r>
      <w:r w:rsidR="00703051" w:rsidRPr="00086598">
        <w:rPr>
          <w:rFonts w:ascii="Arial" w:hAnsi="Arial" w:cs="Arial"/>
          <w:bCs/>
        </w:rPr>
        <w:t>ocal WfH scheme</w:t>
      </w:r>
      <w:r w:rsidR="002550B2" w:rsidRPr="00086598">
        <w:rPr>
          <w:rFonts w:ascii="Arial" w:hAnsi="Arial" w:cs="Arial"/>
          <w:bCs/>
        </w:rPr>
        <w:t xml:space="preserve"> </w:t>
      </w:r>
      <w:r w:rsidR="00480AAB">
        <w:rPr>
          <w:rFonts w:ascii="Arial" w:hAnsi="Arial" w:cs="Arial"/>
          <w:bCs/>
        </w:rPr>
        <w:t>records</w:t>
      </w:r>
      <w:r w:rsidR="00BE645C">
        <w:rPr>
          <w:rFonts w:ascii="Arial" w:hAnsi="Arial" w:cs="Arial"/>
          <w:bCs/>
        </w:rPr>
        <w:t xml:space="preserve"> these</w:t>
      </w:r>
      <w:r w:rsidR="006F4CB4">
        <w:rPr>
          <w:rFonts w:ascii="Arial" w:hAnsi="Arial" w:cs="Arial"/>
          <w:bCs/>
        </w:rPr>
        <w:t xml:space="preserve"> walks</w:t>
      </w:r>
      <w:r w:rsidR="00703051" w:rsidRPr="00086598">
        <w:rPr>
          <w:rFonts w:ascii="Arial" w:hAnsi="Arial" w:cs="Arial"/>
          <w:bCs/>
        </w:rPr>
        <w:t xml:space="preserve"> onto </w:t>
      </w:r>
      <w:r w:rsidR="00185A67" w:rsidRPr="00086598">
        <w:rPr>
          <w:rFonts w:ascii="Arial" w:hAnsi="Arial" w:cs="Arial"/>
          <w:bCs/>
        </w:rPr>
        <w:t xml:space="preserve">a </w:t>
      </w:r>
      <w:r w:rsidR="00703051" w:rsidRPr="00086598">
        <w:rPr>
          <w:rFonts w:ascii="Arial" w:hAnsi="Arial" w:cs="Arial"/>
          <w:bCs/>
        </w:rPr>
        <w:t>national database</w:t>
      </w:r>
      <w:r w:rsidR="002550B2" w:rsidRPr="00086598">
        <w:rPr>
          <w:rFonts w:ascii="Arial" w:hAnsi="Arial" w:cs="Arial"/>
          <w:bCs/>
        </w:rPr>
        <w:t xml:space="preserve">. </w:t>
      </w:r>
      <w:r w:rsidR="00185A67" w:rsidRPr="00086598">
        <w:rPr>
          <w:rFonts w:ascii="Arial" w:hAnsi="Arial" w:cs="Arial"/>
          <w:bCs/>
        </w:rPr>
        <w:t xml:space="preserve">The measure of provision </w:t>
      </w:r>
      <w:r w:rsidR="00122E22">
        <w:rPr>
          <w:rFonts w:ascii="Arial" w:hAnsi="Arial" w:cs="Arial"/>
          <w:bCs/>
        </w:rPr>
        <w:t xml:space="preserve">therefore </w:t>
      </w:r>
      <w:r w:rsidR="00185A67" w:rsidRPr="00086598">
        <w:rPr>
          <w:rFonts w:ascii="Arial" w:hAnsi="Arial" w:cs="Arial"/>
          <w:bCs/>
        </w:rPr>
        <w:t>was the</w:t>
      </w:r>
      <w:r w:rsidR="00EC1111" w:rsidRPr="00086598">
        <w:rPr>
          <w:rFonts w:ascii="Arial" w:hAnsi="Arial" w:cs="Arial"/>
          <w:bCs/>
          <w:lang w:val="en-US"/>
        </w:rPr>
        <w:t xml:space="preserve"> number of </w:t>
      </w:r>
      <w:r w:rsidR="00122E22">
        <w:rPr>
          <w:rFonts w:ascii="Arial" w:hAnsi="Arial" w:cs="Arial"/>
          <w:bCs/>
          <w:lang w:val="en-US"/>
        </w:rPr>
        <w:t xml:space="preserve">group </w:t>
      </w:r>
      <w:r w:rsidR="00EC1111" w:rsidRPr="00086598">
        <w:rPr>
          <w:rFonts w:ascii="Arial" w:hAnsi="Arial" w:cs="Arial"/>
          <w:bCs/>
          <w:lang w:val="en-US"/>
        </w:rPr>
        <w:t>walk</w:t>
      </w:r>
      <w:r w:rsidR="00122E22">
        <w:rPr>
          <w:rFonts w:ascii="Arial" w:hAnsi="Arial" w:cs="Arial"/>
          <w:bCs/>
          <w:lang w:val="en-US"/>
        </w:rPr>
        <w:t>s</w:t>
      </w:r>
      <w:r w:rsidR="00EC1111" w:rsidRPr="00086598">
        <w:rPr>
          <w:rFonts w:ascii="Arial" w:hAnsi="Arial" w:cs="Arial"/>
          <w:bCs/>
          <w:lang w:val="en-US"/>
        </w:rPr>
        <w:t xml:space="preserve"> </w:t>
      </w:r>
      <w:r w:rsidR="00185A67" w:rsidRPr="00086598">
        <w:rPr>
          <w:rFonts w:ascii="Arial" w:hAnsi="Arial" w:cs="Arial"/>
          <w:bCs/>
          <w:lang w:val="en-US"/>
        </w:rPr>
        <w:t>recorded on the national database</w:t>
      </w:r>
      <w:r w:rsidR="00EC1111" w:rsidRPr="00086598">
        <w:rPr>
          <w:rFonts w:ascii="Arial" w:hAnsi="Arial" w:cs="Arial"/>
          <w:bCs/>
          <w:lang w:val="en-US"/>
        </w:rPr>
        <w:t xml:space="preserve"> within</w:t>
      </w:r>
      <w:r w:rsidR="00E0100D" w:rsidRPr="00086598">
        <w:rPr>
          <w:rFonts w:ascii="Arial" w:hAnsi="Arial" w:cs="Arial"/>
          <w:bCs/>
          <w:lang w:val="en-US"/>
        </w:rPr>
        <w:t xml:space="preserve"> each of the 326 local authorities in England </w:t>
      </w:r>
      <w:r w:rsidR="00185A67" w:rsidRPr="00086598">
        <w:rPr>
          <w:rFonts w:ascii="Arial" w:hAnsi="Arial" w:cs="Arial"/>
          <w:bCs/>
          <w:lang w:val="en-US"/>
        </w:rPr>
        <w:t>over a 12 month period</w:t>
      </w:r>
      <w:r w:rsidR="00E0100D" w:rsidRPr="00086598">
        <w:rPr>
          <w:rFonts w:ascii="Arial" w:hAnsi="Arial" w:cs="Arial"/>
          <w:bCs/>
          <w:lang w:val="en-US"/>
        </w:rPr>
        <w:t xml:space="preserve">. </w:t>
      </w:r>
      <w:r w:rsidR="00FE3B2F" w:rsidRPr="00086598">
        <w:rPr>
          <w:rFonts w:ascii="Arial" w:hAnsi="Arial" w:cs="Arial"/>
          <w:bCs/>
        </w:rPr>
        <w:t>Data was</w:t>
      </w:r>
      <w:r w:rsidR="00E0100D" w:rsidRPr="00086598">
        <w:rPr>
          <w:rFonts w:ascii="Arial" w:hAnsi="Arial" w:cs="Arial"/>
          <w:bCs/>
        </w:rPr>
        <w:t xml:space="preserve"> extracted in September 2014 for walks registered </w:t>
      </w:r>
      <w:proofErr w:type="gramStart"/>
      <w:r w:rsidR="00E0100D" w:rsidRPr="00086598">
        <w:rPr>
          <w:rFonts w:ascii="Arial" w:hAnsi="Arial" w:cs="Arial"/>
          <w:bCs/>
        </w:rPr>
        <w:t>between</w:t>
      </w:r>
      <w:r w:rsidR="00CB1512">
        <w:rPr>
          <w:rFonts w:ascii="Arial" w:hAnsi="Arial" w:cs="Arial"/>
          <w:bCs/>
        </w:rPr>
        <w:t xml:space="preserve"> the </w:t>
      </w:r>
      <w:r w:rsidR="00E0100D" w:rsidRPr="00086598">
        <w:rPr>
          <w:rFonts w:ascii="Arial" w:hAnsi="Arial" w:cs="Arial"/>
          <w:bCs/>
        </w:rPr>
        <w:t>1</w:t>
      </w:r>
      <w:r w:rsidR="00E0100D" w:rsidRPr="00086598">
        <w:rPr>
          <w:rFonts w:ascii="Arial" w:hAnsi="Arial" w:cs="Arial"/>
          <w:bCs/>
          <w:vertAlign w:val="superscript"/>
        </w:rPr>
        <w:t>st</w:t>
      </w:r>
      <w:r w:rsidR="00E0100D" w:rsidRPr="00086598">
        <w:rPr>
          <w:rFonts w:ascii="Arial" w:hAnsi="Arial" w:cs="Arial"/>
          <w:bCs/>
        </w:rPr>
        <w:t xml:space="preserve"> April 2013 to 31</w:t>
      </w:r>
      <w:r w:rsidR="00E0100D" w:rsidRPr="00086598">
        <w:rPr>
          <w:rFonts w:ascii="Arial" w:hAnsi="Arial" w:cs="Arial"/>
          <w:bCs/>
          <w:vertAlign w:val="superscript"/>
        </w:rPr>
        <w:t>st</w:t>
      </w:r>
      <w:r w:rsidR="00A268C6" w:rsidRPr="00086598">
        <w:rPr>
          <w:rFonts w:ascii="Arial" w:hAnsi="Arial" w:cs="Arial"/>
          <w:bCs/>
        </w:rPr>
        <w:t xml:space="preserve"> March 2014,</w:t>
      </w:r>
      <w:proofErr w:type="gramEnd"/>
      <w:r w:rsidR="00A268C6" w:rsidRPr="00086598">
        <w:rPr>
          <w:rFonts w:ascii="Arial" w:hAnsi="Arial" w:cs="Arial"/>
          <w:bCs/>
        </w:rPr>
        <w:t xml:space="preserve"> the </w:t>
      </w:r>
      <w:r w:rsidR="00E0100D" w:rsidRPr="00086598">
        <w:rPr>
          <w:rFonts w:ascii="Arial" w:hAnsi="Arial" w:cs="Arial"/>
          <w:bCs/>
        </w:rPr>
        <w:t xml:space="preserve">period for which </w:t>
      </w:r>
      <w:r w:rsidR="00A268C6" w:rsidRPr="00086598">
        <w:rPr>
          <w:rFonts w:ascii="Arial" w:hAnsi="Arial" w:cs="Arial"/>
          <w:bCs/>
        </w:rPr>
        <w:t xml:space="preserve">most </w:t>
      </w:r>
      <w:r w:rsidR="00185A67" w:rsidRPr="00086598">
        <w:rPr>
          <w:rFonts w:ascii="Arial" w:hAnsi="Arial" w:cs="Arial"/>
          <w:bCs/>
        </w:rPr>
        <w:t xml:space="preserve">recent </w:t>
      </w:r>
      <w:r w:rsidR="00E0100D" w:rsidRPr="00086598">
        <w:rPr>
          <w:rFonts w:ascii="Arial" w:hAnsi="Arial" w:cs="Arial"/>
          <w:bCs/>
        </w:rPr>
        <w:t>complete information was available.</w:t>
      </w:r>
      <w:r w:rsidR="002F7C28">
        <w:rPr>
          <w:rFonts w:ascii="Arial" w:hAnsi="Arial" w:cs="Arial"/>
          <w:bCs/>
        </w:rPr>
        <w:t xml:space="preserve"> </w:t>
      </w:r>
    </w:p>
    <w:p w14:paraId="27D2DA8E" w14:textId="77777777" w:rsidR="006717CC" w:rsidRPr="00086598" w:rsidRDefault="006717CC" w:rsidP="006A2CFC">
      <w:pPr>
        <w:spacing w:after="0"/>
        <w:rPr>
          <w:rFonts w:ascii="Arial" w:hAnsi="Arial" w:cs="Arial"/>
        </w:rPr>
      </w:pPr>
    </w:p>
    <w:p w14:paraId="5F175213" w14:textId="77777777" w:rsidR="0032206A" w:rsidRPr="00086598" w:rsidRDefault="00122E22" w:rsidP="005720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Health and socio-economic measures </w:t>
      </w:r>
      <w:r w:rsidR="00185A67" w:rsidRPr="00086598">
        <w:rPr>
          <w:rFonts w:ascii="Arial" w:hAnsi="Arial" w:cs="Arial"/>
          <w:b/>
        </w:rPr>
        <w:t>in L</w:t>
      </w:r>
      <w:r w:rsidR="0063288B" w:rsidRPr="00086598">
        <w:rPr>
          <w:rFonts w:ascii="Arial" w:hAnsi="Arial" w:cs="Arial"/>
          <w:b/>
        </w:rPr>
        <w:t xml:space="preserve">ocal </w:t>
      </w:r>
      <w:r w:rsidR="00185A67" w:rsidRPr="00086598">
        <w:rPr>
          <w:rFonts w:ascii="Arial" w:hAnsi="Arial" w:cs="Arial"/>
          <w:b/>
        </w:rPr>
        <w:t>A</w:t>
      </w:r>
      <w:r w:rsidR="0045462A" w:rsidRPr="00086598">
        <w:rPr>
          <w:rFonts w:ascii="Arial" w:hAnsi="Arial" w:cs="Arial"/>
          <w:b/>
        </w:rPr>
        <w:t>uthorities (LA</w:t>
      </w:r>
      <w:r w:rsidR="00185A67" w:rsidRPr="00086598">
        <w:rPr>
          <w:rFonts w:ascii="Arial" w:hAnsi="Arial" w:cs="Arial"/>
          <w:b/>
        </w:rPr>
        <w:t>s</w:t>
      </w:r>
      <w:r w:rsidR="0063288B" w:rsidRPr="00086598">
        <w:rPr>
          <w:rFonts w:ascii="Arial" w:hAnsi="Arial" w:cs="Arial"/>
          <w:b/>
        </w:rPr>
        <w:t>)</w:t>
      </w:r>
    </w:p>
    <w:p w14:paraId="1CB4909A" w14:textId="77777777" w:rsidR="0045462A" w:rsidRPr="00086598" w:rsidRDefault="0045462A" w:rsidP="005720D7">
      <w:pPr>
        <w:spacing w:after="0"/>
        <w:rPr>
          <w:rFonts w:ascii="Arial" w:hAnsi="Arial" w:cs="Arial"/>
          <w:b/>
        </w:rPr>
      </w:pPr>
    </w:p>
    <w:p w14:paraId="561C146C" w14:textId="77777777" w:rsidR="007F0B08" w:rsidRDefault="00A501E1" w:rsidP="00F14EA5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3B5E">
        <w:rPr>
          <w:rFonts w:ascii="Arial" w:hAnsi="Arial" w:cs="Arial"/>
        </w:rPr>
        <w:t>A set of v</w:t>
      </w:r>
      <w:r w:rsidRPr="00A501E1">
        <w:rPr>
          <w:rFonts w:ascii="Arial" w:hAnsi="Arial" w:cs="Arial"/>
        </w:rPr>
        <w:t xml:space="preserve">ariables </w:t>
      </w:r>
      <w:r>
        <w:rPr>
          <w:rFonts w:ascii="Arial" w:hAnsi="Arial" w:cs="Arial"/>
        </w:rPr>
        <w:t xml:space="preserve">were </w:t>
      </w:r>
      <w:r w:rsidRPr="00A501E1">
        <w:rPr>
          <w:rFonts w:ascii="Arial" w:hAnsi="Arial" w:cs="Arial"/>
        </w:rPr>
        <w:t xml:space="preserve">generated to describe </w:t>
      </w:r>
      <w:r w:rsidR="00B73B5E">
        <w:rPr>
          <w:rFonts w:ascii="Arial" w:hAnsi="Arial" w:cs="Arial"/>
        </w:rPr>
        <w:t xml:space="preserve">the level of </w:t>
      </w:r>
      <w:r w:rsidRPr="00A501E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and </w:t>
      </w:r>
      <w:r w:rsidR="009E6B9F">
        <w:rPr>
          <w:rFonts w:ascii="Arial" w:hAnsi="Arial" w:cs="Arial"/>
        </w:rPr>
        <w:t>socio-economic</w:t>
      </w:r>
      <w:r>
        <w:rPr>
          <w:rFonts w:ascii="Arial" w:hAnsi="Arial" w:cs="Arial"/>
        </w:rPr>
        <w:t xml:space="preserve"> need</w:t>
      </w:r>
      <w:r w:rsidRPr="00A501E1">
        <w:rPr>
          <w:rFonts w:ascii="Arial" w:hAnsi="Arial" w:cs="Arial"/>
        </w:rPr>
        <w:t xml:space="preserve"> </w:t>
      </w:r>
      <w:r w:rsidR="00B73B5E">
        <w:rPr>
          <w:rFonts w:ascii="Arial" w:hAnsi="Arial" w:cs="Arial"/>
        </w:rPr>
        <w:t xml:space="preserve">for the provision of physical activity interventions </w:t>
      </w:r>
      <w:r w:rsidRPr="00A501E1">
        <w:rPr>
          <w:rFonts w:ascii="Arial" w:hAnsi="Arial" w:cs="Arial"/>
        </w:rPr>
        <w:t>within each local authority</w:t>
      </w:r>
      <w:r>
        <w:rPr>
          <w:rFonts w:ascii="Arial" w:hAnsi="Arial" w:cs="Arial"/>
        </w:rPr>
        <w:t xml:space="preserve">. </w:t>
      </w:r>
      <w:r w:rsidR="00495A2E">
        <w:rPr>
          <w:rFonts w:ascii="Arial" w:hAnsi="Arial" w:cs="Arial"/>
        </w:rPr>
        <w:t xml:space="preserve">Two sets of indicators were generated. </w:t>
      </w:r>
      <w:r w:rsidR="00161379">
        <w:rPr>
          <w:rFonts w:ascii="Arial" w:hAnsi="Arial" w:cs="Arial"/>
        </w:rPr>
        <w:t>Firstly, data was chosen to</w:t>
      </w:r>
      <w:r w:rsidR="00495A2E">
        <w:rPr>
          <w:rFonts w:ascii="Arial" w:hAnsi="Arial" w:cs="Arial"/>
        </w:rPr>
        <w:t xml:space="preserve"> </w:t>
      </w:r>
      <w:r w:rsidR="00161379">
        <w:rPr>
          <w:rFonts w:ascii="Arial" w:hAnsi="Arial" w:cs="Arial"/>
        </w:rPr>
        <w:t>represent</w:t>
      </w:r>
      <w:r w:rsidR="00495A2E">
        <w:rPr>
          <w:rFonts w:ascii="Arial" w:hAnsi="Arial" w:cs="Arial"/>
        </w:rPr>
        <w:t xml:space="preserve"> direct health need</w:t>
      </w:r>
      <w:r w:rsidR="00161379">
        <w:rPr>
          <w:rFonts w:ascii="Arial" w:hAnsi="Arial" w:cs="Arial"/>
        </w:rPr>
        <w:t xml:space="preserve">. </w:t>
      </w:r>
      <w:r w:rsidR="004D5E6D">
        <w:rPr>
          <w:rFonts w:ascii="Arial" w:hAnsi="Arial" w:cs="Arial"/>
        </w:rPr>
        <w:t xml:space="preserve">This included behavioural measures such as </w:t>
      </w:r>
      <w:r w:rsidR="00453C6E">
        <w:rPr>
          <w:rFonts w:ascii="Arial" w:hAnsi="Arial" w:cs="Arial"/>
        </w:rPr>
        <w:t xml:space="preserve">physical </w:t>
      </w:r>
      <w:r w:rsidR="004D5E6D">
        <w:rPr>
          <w:rFonts w:ascii="Arial" w:hAnsi="Arial" w:cs="Arial"/>
        </w:rPr>
        <w:t xml:space="preserve">inactivity. </w:t>
      </w:r>
      <w:r w:rsidR="00161379">
        <w:rPr>
          <w:rFonts w:ascii="Arial" w:hAnsi="Arial" w:cs="Arial"/>
        </w:rPr>
        <w:t>Secondly, as it is widely recognised that some socio-</w:t>
      </w:r>
      <w:r w:rsidR="00B73B5E">
        <w:rPr>
          <w:rFonts w:ascii="Arial" w:hAnsi="Arial" w:cs="Arial"/>
        </w:rPr>
        <w:t xml:space="preserve">demographic </w:t>
      </w:r>
      <w:r w:rsidR="00161379">
        <w:rPr>
          <w:rFonts w:ascii="Arial" w:hAnsi="Arial" w:cs="Arial"/>
        </w:rPr>
        <w:t xml:space="preserve">groups can be disadvantaged in health programmes, </w:t>
      </w:r>
      <w:r w:rsidR="00161379" w:rsidRPr="00161379">
        <w:rPr>
          <w:rFonts w:ascii="Arial" w:hAnsi="Arial" w:cs="Arial"/>
        </w:rPr>
        <w:t xml:space="preserve">demographic indicators </w:t>
      </w:r>
      <w:r w:rsidR="00161379">
        <w:rPr>
          <w:rFonts w:ascii="Arial" w:hAnsi="Arial" w:cs="Arial"/>
        </w:rPr>
        <w:t xml:space="preserve">were chosen </w:t>
      </w:r>
      <w:r w:rsidR="00161379" w:rsidRPr="00161379">
        <w:rPr>
          <w:rFonts w:ascii="Arial" w:hAnsi="Arial" w:cs="Arial"/>
        </w:rPr>
        <w:t>that</w:t>
      </w:r>
      <w:r w:rsidR="00FC5602">
        <w:rPr>
          <w:rFonts w:ascii="Arial" w:hAnsi="Arial" w:cs="Arial"/>
        </w:rPr>
        <w:t xml:space="preserve"> represent</w:t>
      </w:r>
      <w:r w:rsidR="009154B2">
        <w:rPr>
          <w:rFonts w:ascii="Arial" w:hAnsi="Arial" w:cs="Arial"/>
        </w:rPr>
        <w:t xml:space="preserve"> </w:t>
      </w:r>
      <w:r w:rsidR="00FC5602">
        <w:rPr>
          <w:rFonts w:ascii="Arial" w:hAnsi="Arial" w:cs="Arial"/>
        </w:rPr>
        <w:t xml:space="preserve">these </w:t>
      </w:r>
      <w:r w:rsidR="004F45B2">
        <w:rPr>
          <w:rFonts w:ascii="Arial" w:hAnsi="Arial" w:cs="Arial"/>
        </w:rPr>
        <w:t xml:space="preserve">socio-economic </w:t>
      </w:r>
      <w:r w:rsidR="00FC5602">
        <w:rPr>
          <w:rFonts w:ascii="Arial" w:hAnsi="Arial" w:cs="Arial"/>
        </w:rPr>
        <w:t>factors</w:t>
      </w:r>
      <w:r w:rsidR="00161379">
        <w:rPr>
          <w:rFonts w:ascii="Arial" w:hAnsi="Arial" w:cs="Arial"/>
        </w:rPr>
        <w:t xml:space="preserve">. </w:t>
      </w:r>
      <w:r w:rsidR="00CB1512">
        <w:rPr>
          <w:rFonts w:ascii="Arial" w:hAnsi="Arial" w:cs="Arial"/>
        </w:rPr>
        <w:t xml:space="preserve">The </w:t>
      </w:r>
      <w:r w:rsidR="00CB1512" w:rsidRPr="00CB1512">
        <w:rPr>
          <w:rFonts w:ascii="Arial" w:hAnsi="Arial" w:cs="Arial"/>
        </w:rPr>
        <w:t>Public Health Observatory Handbook of Health Inequalities</w:t>
      </w:r>
      <w:r w:rsidR="00FE0EFE">
        <w:rPr>
          <w:rFonts w:ascii="Arial" w:hAnsi="Arial" w:cs="Arial"/>
        </w:rPr>
        <w:t xml:space="preserve"> </w:t>
      </w:r>
      <w:r w:rsidR="00DA1010">
        <w:rPr>
          <w:rFonts w:ascii="Arial" w:hAnsi="Arial" w:cs="Arial"/>
        </w:rPr>
        <w:t>was</w:t>
      </w:r>
      <w:r w:rsidR="00CB1512" w:rsidRPr="00CB1512">
        <w:rPr>
          <w:rFonts w:ascii="Arial" w:hAnsi="Arial" w:cs="Arial"/>
        </w:rPr>
        <w:t xml:space="preserve"> </w:t>
      </w:r>
      <w:r w:rsidR="000958A7">
        <w:rPr>
          <w:rFonts w:ascii="Arial" w:hAnsi="Arial" w:cs="Arial"/>
        </w:rPr>
        <w:t>used to provide guidance on the</w:t>
      </w:r>
      <w:r w:rsidR="00CB1512" w:rsidRPr="00CB1512">
        <w:rPr>
          <w:rFonts w:ascii="Arial" w:hAnsi="Arial" w:cs="Arial"/>
        </w:rPr>
        <w:t xml:space="preserve"> selection</w:t>
      </w:r>
      <w:r w:rsidR="000958A7">
        <w:rPr>
          <w:rFonts w:ascii="Arial" w:hAnsi="Arial" w:cs="Arial"/>
        </w:rPr>
        <w:t xml:space="preserve"> of appropriate measures</w:t>
      </w:r>
      <w:r w:rsidR="00DA1010">
        <w:rPr>
          <w:rFonts w:ascii="Arial" w:hAnsi="Arial" w:cs="Arial"/>
        </w:rPr>
        <w:t xml:space="preserve"> </w:t>
      </w:r>
      <w:r w:rsidR="00DA1010">
        <w:rPr>
          <w:rFonts w:ascii="Arial" w:hAnsi="Arial" w:cs="Arial"/>
        </w:rPr>
        <w:fldChar w:fldCharType="begin"/>
      </w:r>
      <w:r w:rsidR="00471A05">
        <w:rPr>
          <w:rFonts w:ascii="Arial" w:hAnsi="Arial" w:cs="Arial"/>
        </w:rPr>
        <w:instrText xml:space="preserve"> ADDIN EN.CITE &lt;EndNote&gt;&lt;Cite&gt;&lt;Author&gt;Carr-Hill&lt;/Author&gt;&lt;Year&gt;2005&lt;/Year&gt;&lt;RecNum&gt;3728&lt;/RecNum&gt;&lt;DisplayText&gt;[37]&lt;/DisplayText&gt;&lt;record&gt;&lt;rec-number&gt;3728&lt;/rec-number&gt;&lt;foreign-keys&gt;&lt;key app="EN" db-id="prxtsfzvix5rpde9zrnpewvb5aaxdewa02df"&gt;3728&lt;/key&gt;&lt;/foreign-keys&gt;&lt;ref-type name="Book"&gt;6&lt;/ref-type&gt;&lt;contributors&gt;&lt;authors&gt;&lt;author&gt;Carr-Hill, Roy A&lt;/author&gt;&lt;author&gt;Chalmers-Dixon, Paul&lt;/author&gt;&lt;author&gt;Lin, Jennifer&lt;/author&gt;&lt;author&gt;Britain, Great&lt;/author&gt;&lt;/authors&gt;&lt;/contributors&gt;&lt;titles&gt;&lt;title&gt;The public health observatory handbook of health inequalities measurement&lt;/title&gt;&lt;/titles&gt;&lt;dates&gt;&lt;year&gt;2005&lt;/year&gt;&lt;/dates&gt;&lt;publisher&gt;South East Public Health Observatory&lt;/publisher&gt;&lt;isbn&gt;0954297121&lt;/isbn&gt;&lt;urls&gt;&lt;/urls&gt;&lt;/record&gt;&lt;/Cite&gt;&lt;/EndNote&gt;</w:instrText>
      </w:r>
      <w:r w:rsidR="00DA1010">
        <w:rPr>
          <w:rFonts w:ascii="Arial" w:hAnsi="Arial" w:cs="Arial"/>
        </w:rPr>
        <w:fldChar w:fldCharType="separate"/>
      </w:r>
      <w:r w:rsidR="00471A05">
        <w:rPr>
          <w:rFonts w:ascii="Arial" w:hAnsi="Arial" w:cs="Arial"/>
          <w:noProof/>
        </w:rPr>
        <w:t>[</w:t>
      </w:r>
      <w:hyperlink w:anchor="_ENREF_37" w:tooltip="Carr-Hill, 2005 #3728" w:history="1">
        <w:r w:rsidR="003A47F3">
          <w:rPr>
            <w:rFonts w:ascii="Arial" w:hAnsi="Arial" w:cs="Arial"/>
            <w:noProof/>
          </w:rPr>
          <w:t>37</w:t>
        </w:r>
      </w:hyperlink>
      <w:r w:rsidR="00471A05">
        <w:rPr>
          <w:rFonts w:ascii="Arial" w:hAnsi="Arial" w:cs="Arial"/>
          <w:noProof/>
        </w:rPr>
        <w:t>]</w:t>
      </w:r>
      <w:r w:rsidR="00DA1010">
        <w:rPr>
          <w:rFonts w:ascii="Arial" w:hAnsi="Arial" w:cs="Arial"/>
        </w:rPr>
        <w:fldChar w:fldCharType="end"/>
      </w:r>
      <w:r w:rsidR="00CB1512" w:rsidRPr="00CB1512">
        <w:rPr>
          <w:rFonts w:ascii="Arial" w:hAnsi="Arial" w:cs="Arial"/>
        </w:rPr>
        <w:t>.</w:t>
      </w:r>
      <w:r w:rsidR="00495A2E" w:rsidRPr="00495A2E">
        <w:rPr>
          <w:rFonts w:ascii="Arial" w:hAnsi="Arial" w:cs="Arial"/>
        </w:rPr>
        <w:t xml:space="preserve"> </w:t>
      </w:r>
    </w:p>
    <w:p w14:paraId="0E486115" w14:textId="77777777" w:rsidR="007F0B08" w:rsidRDefault="007F0B08" w:rsidP="00F14EA5">
      <w:pPr>
        <w:spacing w:after="0" w:line="480" w:lineRule="auto"/>
        <w:rPr>
          <w:rFonts w:ascii="Arial" w:hAnsi="Arial" w:cs="Arial"/>
        </w:rPr>
      </w:pPr>
    </w:p>
    <w:p w14:paraId="09C1210C" w14:textId="77777777" w:rsidR="001F6D23" w:rsidRDefault="00495A2E" w:rsidP="00F14EA5">
      <w:pPr>
        <w:spacing w:after="0" w:line="480" w:lineRule="auto"/>
        <w:rPr>
          <w:rFonts w:ascii="Arial" w:hAnsi="Arial" w:cs="Arial"/>
          <w:lang w:val="en-US"/>
        </w:rPr>
      </w:pPr>
      <w:r w:rsidRPr="00495A2E">
        <w:rPr>
          <w:rFonts w:ascii="Arial" w:hAnsi="Arial" w:cs="Arial"/>
        </w:rPr>
        <w:t>The full list of variables representing need are listed in Table 1.</w:t>
      </w:r>
      <w:r w:rsidR="007F0B08" w:rsidRPr="007F0B08">
        <w:rPr>
          <w:rFonts w:ascii="Arial" w:hAnsi="Arial" w:cs="Arial"/>
        </w:rPr>
        <w:t xml:space="preserve"> </w:t>
      </w:r>
      <w:r w:rsidR="007F0B08">
        <w:rPr>
          <w:rFonts w:ascii="Arial" w:hAnsi="Arial" w:cs="Arial"/>
        </w:rPr>
        <w:t>All data was derived from routinely available national datasets. T</w:t>
      </w:r>
      <w:r w:rsidR="009414B9" w:rsidRPr="00086598">
        <w:rPr>
          <w:rFonts w:ascii="Arial" w:hAnsi="Arial" w:cs="Arial"/>
        </w:rPr>
        <w:t>he d</w:t>
      </w:r>
      <w:r w:rsidR="00C92DA9" w:rsidRPr="00086598">
        <w:rPr>
          <w:rFonts w:ascii="Arial" w:hAnsi="Arial" w:cs="Arial"/>
        </w:rPr>
        <w:t xml:space="preserve">ata </w:t>
      </w:r>
      <w:r w:rsidR="009414B9" w:rsidRPr="00086598">
        <w:rPr>
          <w:rFonts w:ascii="Arial" w:hAnsi="Arial" w:cs="Arial"/>
        </w:rPr>
        <w:t>used to generate th</w:t>
      </w:r>
      <w:r w:rsidR="006348C5">
        <w:rPr>
          <w:rFonts w:ascii="Arial" w:hAnsi="Arial" w:cs="Arial"/>
        </w:rPr>
        <w:t xml:space="preserve">e variables </w:t>
      </w:r>
      <w:r w:rsidR="00C92DA9" w:rsidRPr="00086598">
        <w:rPr>
          <w:rFonts w:ascii="Arial" w:hAnsi="Arial" w:cs="Arial"/>
        </w:rPr>
        <w:t>was obtained from t</w:t>
      </w:r>
      <w:r w:rsidR="00162E0D" w:rsidRPr="00086598">
        <w:rPr>
          <w:rFonts w:ascii="Arial" w:hAnsi="Arial" w:cs="Arial"/>
        </w:rPr>
        <w:t xml:space="preserve">he </w:t>
      </w:r>
      <w:r w:rsidR="00C92DA9" w:rsidRPr="00086598">
        <w:rPr>
          <w:rFonts w:ascii="Arial" w:hAnsi="Arial" w:cs="Arial"/>
        </w:rPr>
        <w:t>Office for National Statistics which</w:t>
      </w:r>
      <w:r w:rsidR="00162E0D" w:rsidRPr="00086598">
        <w:rPr>
          <w:rFonts w:ascii="Arial" w:hAnsi="Arial" w:cs="Arial"/>
        </w:rPr>
        <w:t xml:space="preserve"> provides </w:t>
      </w:r>
      <w:r w:rsidR="009414B9" w:rsidRPr="00086598">
        <w:rPr>
          <w:rFonts w:ascii="Arial" w:hAnsi="Arial" w:cs="Arial"/>
        </w:rPr>
        <w:t xml:space="preserve">information on </w:t>
      </w:r>
      <w:r w:rsidR="00162E0D" w:rsidRPr="00086598">
        <w:rPr>
          <w:rFonts w:ascii="Arial" w:hAnsi="Arial" w:cs="Arial"/>
        </w:rPr>
        <w:t>the age and socio-</w:t>
      </w:r>
      <w:r w:rsidR="00162E0D" w:rsidRPr="00086598">
        <w:rPr>
          <w:rFonts w:ascii="Arial" w:hAnsi="Arial" w:cs="Arial"/>
        </w:rPr>
        <w:lastRenderedPageBreak/>
        <w:t xml:space="preserve">economic makeup of the population </w:t>
      </w:r>
      <w:r w:rsidR="00103214" w:rsidRPr="00086598">
        <w:rPr>
          <w:rFonts w:ascii="Arial" w:hAnsi="Arial" w:cs="Arial"/>
        </w:rPr>
        <w:t xml:space="preserve">via the national census of population </w:t>
      </w:r>
      <w:r w:rsidR="009414B9" w:rsidRPr="00086598">
        <w:rPr>
          <w:rFonts w:ascii="Arial" w:hAnsi="Arial" w:cs="Arial"/>
        </w:rPr>
        <w:t xml:space="preserve">as well as </w:t>
      </w:r>
      <w:r w:rsidR="00162E0D" w:rsidRPr="00086598">
        <w:rPr>
          <w:rFonts w:ascii="Arial" w:hAnsi="Arial" w:cs="Arial"/>
        </w:rPr>
        <w:t xml:space="preserve">general health </w:t>
      </w:r>
      <w:r w:rsidR="00773E6C" w:rsidRPr="00086598">
        <w:rPr>
          <w:rFonts w:ascii="Arial" w:hAnsi="Arial" w:cs="Arial"/>
          <w:lang w:val="en-US"/>
        </w:rPr>
        <w:fldChar w:fldCharType="begin"/>
      </w:r>
      <w:r w:rsidR="00471A05">
        <w:rPr>
          <w:rFonts w:ascii="Arial" w:hAnsi="Arial" w:cs="Arial"/>
          <w:lang w:val="en-US"/>
        </w:rPr>
        <w:instrText xml:space="preserve"> ADDIN EN.CITE &lt;EndNote&gt;&lt;Cite&gt;&lt;Author&gt;Service&lt;/Author&gt;&lt;Year&gt;2013&lt;/Year&gt;&lt;RecNum&gt;3724&lt;/RecNum&gt;&lt;DisplayText&gt;[38]&lt;/DisplayText&gt;&lt;record&gt;&lt;rec-number&gt;3724&lt;/rec-number&gt;&lt;foreign-keys&gt;&lt;key app="EN" db-id="prxtsfzvix5rpde9zrnpewvb5aaxdewa02df"&gt;3724&lt;/key&gt;&lt;/foreign-keys&gt;&lt;ref-type name="Web Page"&gt;12&lt;/ref-type&gt;&lt;contributors&gt;&lt;authors&gt;&lt;author&gt;UK Data Service,&lt;/author&gt;&lt;/authors&gt;&lt;/contributors&gt;&lt;titles&gt;&lt;title&gt;Census 2011 for England and Wales Who we are Where we live What we do&lt;/title&gt;&lt;/titles&gt;&lt;number&gt;19th September 2013&lt;/number&gt;&lt;dates&gt;&lt;year&gt;2013&lt;/year&gt;&lt;/dates&gt;&lt;pub-location&gt;London&lt;/pub-location&gt;&lt;publisher&gt;Office for National Statistics&lt;/publisher&gt;&lt;urls&gt;&lt;related-urls&gt;&lt;url&gt;http://www.ons.gov.uk/ons/guide-method/census/2011/index.html&lt;/url&gt;&lt;/related-urls&gt;&lt;/urls&gt;&lt;/record&gt;&lt;/Cite&gt;&lt;/EndNote&gt;</w:instrText>
      </w:r>
      <w:r w:rsidR="00773E6C" w:rsidRPr="00086598">
        <w:rPr>
          <w:rFonts w:ascii="Arial" w:hAnsi="Arial" w:cs="Arial"/>
          <w:lang w:val="en-US"/>
        </w:rPr>
        <w:fldChar w:fldCharType="separate"/>
      </w:r>
      <w:r w:rsidR="00471A05">
        <w:rPr>
          <w:rFonts w:ascii="Arial" w:hAnsi="Arial" w:cs="Arial"/>
          <w:noProof/>
          <w:lang w:val="en-US"/>
        </w:rPr>
        <w:t>[</w:t>
      </w:r>
      <w:hyperlink w:anchor="_ENREF_38" w:tooltip="UK Data Service, 2013 #3724" w:history="1">
        <w:r w:rsidR="003A47F3">
          <w:rPr>
            <w:rFonts w:ascii="Arial" w:hAnsi="Arial" w:cs="Arial"/>
            <w:noProof/>
            <w:lang w:val="en-US"/>
          </w:rPr>
          <w:t>38</w:t>
        </w:r>
      </w:hyperlink>
      <w:r w:rsidR="00471A05">
        <w:rPr>
          <w:rFonts w:ascii="Arial" w:hAnsi="Arial" w:cs="Arial"/>
          <w:noProof/>
          <w:lang w:val="en-US"/>
        </w:rPr>
        <w:t>]</w:t>
      </w:r>
      <w:r w:rsidR="00773E6C" w:rsidRPr="00086598">
        <w:rPr>
          <w:rFonts w:ascii="Arial" w:hAnsi="Arial" w:cs="Arial"/>
          <w:lang w:val="en-US"/>
        </w:rPr>
        <w:fldChar w:fldCharType="end"/>
      </w:r>
      <w:r w:rsidR="009414B9" w:rsidRPr="00086598">
        <w:rPr>
          <w:rFonts w:ascii="Arial" w:hAnsi="Arial" w:cs="Arial"/>
          <w:lang w:val="en-US"/>
        </w:rPr>
        <w:t>,</w:t>
      </w:r>
      <w:r w:rsidR="00C92DA9" w:rsidRPr="00086598">
        <w:rPr>
          <w:rFonts w:ascii="Arial" w:hAnsi="Arial" w:cs="Arial"/>
          <w:lang w:val="en-US"/>
        </w:rPr>
        <w:t xml:space="preserve"> from </w:t>
      </w:r>
      <w:r w:rsidR="00773E6C" w:rsidRPr="00086598">
        <w:rPr>
          <w:rFonts w:ascii="Arial" w:hAnsi="Arial" w:cs="Arial"/>
          <w:lang w:val="en-US"/>
        </w:rPr>
        <w:t>Public Health England</w:t>
      </w:r>
      <w:r w:rsidR="00A26752" w:rsidRPr="00086598">
        <w:rPr>
          <w:rFonts w:ascii="Arial" w:hAnsi="Arial" w:cs="Arial"/>
          <w:lang w:val="en-US"/>
        </w:rPr>
        <w:t xml:space="preserve"> </w:t>
      </w:r>
      <w:r w:rsidR="00487EEE" w:rsidRPr="00086598">
        <w:rPr>
          <w:rFonts w:ascii="Arial" w:hAnsi="Arial" w:cs="Arial"/>
          <w:lang w:val="en-US"/>
        </w:rPr>
        <w:t>and</w:t>
      </w:r>
      <w:r w:rsidR="00A26752" w:rsidRPr="00086598">
        <w:rPr>
          <w:rFonts w:ascii="Arial" w:hAnsi="Arial" w:cs="Arial"/>
          <w:lang w:val="en-US"/>
        </w:rPr>
        <w:t xml:space="preserve"> the Public Health Observatories </w:t>
      </w:r>
      <w:r w:rsidR="00C92DA9" w:rsidRPr="00086598">
        <w:rPr>
          <w:rFonts w:ascii="Arial" w:hAnsi="Arial" w:cs="Arial"/>
          <w:lang w:val="en-US"/>
        </w:rPr>
        <w:t>for health and health care data</w:t>
      </w:r>
      <w:r w:rsidR="00F7514F" w:rsidRPr="00086598">
        <w:rPr>
          <w:rFonts w:ascii="Arial" w:hAnsi="Arial" w:cs="Arial"/>
          <w:lang w:val="en-US"/>
        </w:rPr>
        <w:t xml:space="preserve"> </w:t>
      </w:r>
      <w:r w:rsidR="00F7514F" w:rsidRPr="00086598">
        <w:rPr>
          <w:rFonts w:ascii="Arial" w:hAnsi="Arial" w:cs="Arial"/>
          <w:lang w:val="en-US"/>
        </w:rPr>
        <w:fldChar w:fldCharType="begin"/>
      </w:r>
      <w:r w:rsidR="00471A05">
        <w:rPr>
          <w:rFonts w:ascii="Arial" w:hAnsi="Arial" w:cs="Arial"/>
          <w:lang w:val="en-US"/>
        </w:rPr>
        <w:instrText xml:space="preserve"> ADDIN EN.CITE &lt;EndNote&gt;&lt;Cite&gt;&lt;Author&gt;APHO&lt;/Author&gt;&lt;Year&gt;2013&lt;/Year&gt;&lt;RecNum&gt;3725&lt;/RecNum&gt;&lt;DisplayText&gt;[39]&lt;/DisplayText&gt;&lt;record&gt;&lt;rec-number&gt;3725&lt;/rec-number&gt;&lt;foreign-keys&gt;&lt;key app="EN" db-id="prxtsfzvix5rpde9zrnpewvb5aaxdewa02df"&gt;3725&lt;/key&gt;&lt;/foreign-keys&gt;&lt;ref-type name="Web Page"&gt;12&lt;/ref-type&gt;&lt;contributors&gt;&lt;authors&gt;&lt;author&gt;APHO&lt;/author&gt;&lt;/authors&gt;&lt;/contributors&gt;&lt;titles&gt;&lt;title&gt;Public Health Observatories&lt;/title&gt;&lt;/titles&gt;&lt;number&gt;19th September 2013&lt;/number&gt;&lt;dates&gt;&lt;year&gt;2013&lt;/year&gt;&lt;/dates&gt;&lt;pub-location&gt;London&lt;/pub-location&gt;&lt;urls&gt;&lt;related-urls&gt;&lt;url&gt;http://www.apho.org.uk/&lt;/url&gt;&lt;/related-urls&gt;&lt;/urls&gt;&lt;/record&gt;&lt;/Cite&gt;&lt;/EndNote&gt;</w:instrText>
      </w:r>
      <w:r w:rsidR="00F7514F" w:rsidRPr="00086598">
        <w:rPr>
          <w:rFonts w:ascii="Arial" w:hAnsi="Arial" w:cs="Arial"/>
          <w:lang w:val="en-US"/>
        </w:rPr>
        <w:fldChar w:fldCharType="separate"/>
      </w:r>
      <w:r w:rsidR="00471A05">
        <w:rPr>
          <w:rFonts w:ascii="Arial" w:hAnsi="Arial" w:cs="Arial"/>
          <w:noProof/>
          <w:lang w:val="en-US"/>
        </w:rPr>
        <w:t>[</w:t>
      </w:r>
      <w:hyperlink w:anchor="_ENREF_39" w:tooltip="APHO, 2013 #3725" w:history="1">
        <w:r w:rsidR="003A47F3">
          <w:rPr>
            <w:rFonts w:ascii="Arial" w:hAnsi="Arial" w:cs="Arial"/>
            <w:noProof/>
            <w:lang w:val="en-US"/>
          </w:rPr>
          <w:t>39</w:t>
        </w:r>
      </w:hyperlink>
      <w:r w:rsidR="00471A05">
        <w:rPr>
          <w:rFonts w:ascii="Arial" w:hAnsi="Arial" w:cs="Arial"/>
          <w:noProof/>
          <w:lang w:val="en-US"/>
        </w:rPr>
        <w:t>]</w:t>
      </w:r>
      <w:r w:rsidR="00F7514F" w:rsidRPr="00086598">
        <w:rPr>
          <w:rFonts w:ascii="Arial" w:hAnsi="Arial" w:cs="Arial"/>
          <w:lang w:val="en-US"/>
        </w:rPr>
        <w:fldChar w:fldCharType="end"/>
      </w:r>
      <w:r w:rsidR="00F7514F" w:rsidRPr="00086598">
        <w:rPr>
          <w:rFonts w:ascii="Arial" w:hAnsi="Arial" w:cs="Arial"/>
          <w:lang w:val="en-US"/>
        </w:rPr>
        <w:t xml:space="preserve"> </w:t>
      </w:r>
      <w:r w:rsidR="00C92DA9" w:rsidRPr="00086598">
        <w:rPr>
          <w:rFonts w:ascii="Arial" w:hAnsi="Arial" w:cs="Arial"/>
          <w:lang w:val="en-US"/>
        </w:rPr>
        <w:t xml:space="preserve"> and from </w:t>
      </w:r>
      <w:r w:rsidR="00136A97" w:rsidRPr="00086598">
        <w:rPr>
          <w:rFonts w:ascii="Arial" w:hAnsi="Arial" w:cs="Arial"/>
          <w:lang w:val="en-US"/>
        </w:rPr>
        <w:t>t</w:t>
      </w:r>
      <w:r w:rsidR="00A26752" w:rsidRPr="00086598">
        <w:rPr>
          <w:rFonts w:ascii="Arial" w:hAnsi="Arial" w:cs="Arial"/>
          <w:lang w:val="en-US"/>
        </w:rPr>
        <w:t xml:space="preserve">he Active People Survey </w:t>
      </w:r>
      <w:r w:rsidR="00E658A5" w:rsidRPr="00086598">
        <w:rPr>
          <w:rFonts w:ascii="Arial" w:hAnsi="Arial" w:cs="Arial"/>
          <w:lang w:val="en-US"/>
        </w:rPr>
        <w:fldChar w:fldCharType="begin"/>
      </w:r>
      <w:r w:rsidR="00471A05">
        <w:rPr>
          <w:rFonts w:ascii="Arial" w:hAnsi="Arial" w:cs="Arial"/>
          <w:lang w:val="en-US"/>
        </w:rPr>
        <w:instrText xml:space="preserve"> ADDIN EN.CITE &lt;EndNote&gt;&lt;Cite&gt;&lt;Author&gt;Sport England&lt;/Author&gt;&lt;Year&gt;2013&lt;/Year&gt;&lt;RecNum&gt;3629&lt;/RecNum&gt;&lt;DisplayText&gt;[40]&lt;/DisplayText&gt;&lt;record&gt;&lt;rec-number&gt;3629&lt;/rec-number&gt;&lt;foreign-keys&gt;&lt;key app="EN" db-id="prxtsfzvix5rpde9zrnpewvb5aaxdewa02df"&gt;3629&lt;/key&gt;&lt;/foreign-keys&gt;&lt;ref-type name="Web Page"&gt;12&lt;/ref-type&gt;&lt;contributors&gt;&lt;authors&gt;&lt;author&gt;Sport England,&lt;/author&gt;&lt;/authors&gt;&lt;/contributors&gt;&lt;titles&gt;&lt;title&gt;Active people survey&lt;/title&gt;&lt;/titles&gt;&lt;dates&gt;&lt;year&gt;2013&lt;/year&gt;&lt;pub-dates&gt;&lt;date&gt;27/11/2013&lt;/date&gt;&lt;/pub-dates&gt;&lt;/dates&gt;&lt;publisher&gt;Sport England&lt;/publisher&gt;&lt;urls&gt;&lt;related-urls&gt;&lt;url&gt;http://www.sportengland.org/research/active_people_survey/active_people_survey_6.aspx&lt;/url&gt;&lt;/related-urls&gt;&lt;/urls&gt;&lt;/record&gt;&lt;/Cite&gt;&lt;/EndNote&gt;</w:instrText>
      </w:r>
      <w:r w:rsidR="00E658A5" w:rsidRPr="00086598">
        <w:rPr>
          <w:rFonts w:ascii="Arial" w:hAnsi="Arial" w:cs="Arial"/>
          <w:lang w:val="en-US"/>
        </w:rPr>
        <w:fldChar w:fldCharType="separate"/>
      </w:r>
      <w:r w:rsidR="00471A05">
        <w:rPr>
          <w:rFonts w:ascii="Arial" w:hAnsi="Arial" w:cs="Arial"/>
          <w:noProof/>
          <w:lang w:val="en-US"/>
        </w:rPr>
        <w:t>[</w:t>
      </w:r>
      <w:hyperlink w:anchor="_ENREF_40" w:tooltip="Sport England, 2013 #3629" w:history="1">
        <w:r w:rsidR="003A47F3">
          <w:rPr>
            <w:rFonts w:ascii="Arial" w:hAnsi="Arial" w:cs="Arial"/>
            <w:noProof/>
            <w:lang w:val="en-US"/>
          </w:rPr>
          <w:t>40</w:t>
        </w:r>
      </w:hyperlink>
      <w:r w:rsidR="00471A05">
        <w:rPr>
          <w:rFonts w:ascii="Arial" w:hAnsi="Arial" w:cs="Arial"/>
          <w:noProof/>
          <w:lang w:val="en-US"/>
        </w:rPr>
        <w:t>]</w:t>
      </w:r>
      <w:r w:rsidR="00E658A5" w:rsidRPr="00086598">
        <w:rPr>
          <w:rFonts w:ascii="Arial" w:hAnsi="Arial" w:cs="Arial"/>
          <w:lang w:val="en-US"/>
        </w:rPr>
        <w:fldChar w:fldCharType="end"/>
      </w:r>
      <w:r w:rsidR="00A26752" w:rsidRPr="00086598">
        <w:rPr>
          <w:rFonts w:ascii="Arial" w:hAnsi="Arial" w:cs="Arial"/>
          <w:lang w:val="en-US"/>
        </w:rPr>
        <w:t xml:space="preserve"> </w:t>
      </w:r>
      <w:r w:rsidR="00C92DA9" w:rsidRPr="00086598">
        <w:rPr>
          <w:rFonts w:ascii="Arial" w:hAnsi="Arial" w:cs="Arial"/>
          <w:lang w:val="en-US"/>
        </w:rPr>
        <w:t xml:space="preserve">for </w:t>
      </w:r>
      <w:r w:rsidR="00A26752" w:rsidRPr="00086598">
        <w:rPr>
          <w:rFonts w:ascii="Arial" w:hAnsi="Arial" w:cs="Arial"/>
          <w:lang w:val="en-US"/>
        </w:rPr>
        <w:t xml:space="preserve">recreational </w:t>
      </w:r>
      <w:r w:rsidR="00C92DA9" w:rsidRPr="00086598">
        <w:rPr>
          <w:rFonts w:ascii="Arial" w:hAnsi="Arial" w:cs="Arial"/>
          <w:lang w:val="en-US"/>
        </w:rPr>
        <w:t xml:space="preserve">physical </w:t>
      </w:r>
      <w:r w:rsidR="00A26752" w:rsidRPr="00086598">
        <w:rPr>
          <w:rFonts w:ascii="Arial" w:hAnsi="Arial" w:cs="Arial"/>
          <w:lang w:val="en-US"/>
        </w:rPr>
        <w:t>activity</w:t>
      </w:r>
      <w:r w:rsidR="00D16994" w:rsidRPr="00086598">
        <w:rPr>
          <w:rFonts w:ascii="Arial" w:hAnsi="Arial" w:cs="Arial"/>
          <w:lang w:val="en-US"/>
        </w:rPr>
        <w:t xml:space="preserve"> </w:t>
      </w:r>
      <w:r w:rsidR="00C92DA9" w:rsidRPr="00086598">
        <w:rPr>
          <w:rFonts w:ascii="Arial" w:hAnsi="Arial" w:cs="Arial"/>
          <w:lang w:val="en-US"/>
        </w:rPr>
        <w:t>data</w:t>
      </w:r>
      <w:r w:rsidR="001F3140" w:rsidRPr="00086598">
        <w:rPr>
          <w:rFonts w:ascii="Arial" w:hAnsi="Arial" w:cs="Arial"/>
          <w:lang w:val="en-US"/>
        </w:rPr>
        <w:t>.</w:t>
      </w:r>
      <w:r w:rsidR="00C92DA9" w:rsidRPr="00086598">
        <w:rPr>
          <w:rFonts w:ascii="Arial" w:hAnsi="Arial" w:cs="Arial"/>
          <w:lang w:val="en-US"/>
        </w:rPr>
        <w:t xml:space="preserve"> </w:t>
      </w:r>
    </w:p>
    <w:p w14:paraId="511D8899" w14:textId="77777777" w:rsidR="00F14EA5" w:rsidRPr="00086598" w:rsidRDefault="00F14EA5" w:rsidP="00F14EA5">
      <w:pPr>
        <w:spacing w:after="0" w:line="480" w:lineRule="auto"/>
        <w:rPr>
          <w:rFonts w:ascii="Arial" w:hAnsi="Arial" w:cs="Arial"/>
          <w:bCs/>
          <w:lang w:val="en-US"/>
        </w:rPr>
      </w:pPr>
    </w:p>
    <w:p w14:paraId="750E3B1B" w14:textId="77777777" w:rsidR="00057A43" w:rsidRPr="00086598" w:rsidRDefault="00F14EA5" w:rsidP="002B41FE">
      <w:pPr>
        <w:spacing w:after="0"/>
        <w:rPr>
          <w:rFonts w:ascii="Arial" w:hAnsi="Arial" w:cs="Arial"/>
          <w:b/>
          <w:bCs/>
          <w:lang w:eastAsia="zh-TW"/>
        </w:rPr>
      </w:pPr>
      <w:r>
        <w:rPr>
          <w:rFonts w:ascii="Arial" w:hAnsi="Arial" w:cs="Arial"/>
          <w:b/>
          <w:bCs/>
          <w:lang w:eastAsia="zh-TW"/>
        </w:rPr>
        <w:t>S</w:t>
      </w:r>
      <w:r w:rsidR="00057A43" w:rsidRPr="00086598">
        <w:rPr>
          <w:rFonts w:ascii="Arial" w:hAnsi="Arial" w:cs="Arial"/>
          <w:b/>
          <w:bCs/>
          <w:lang w:eastAsia="zh-TW"/>
        </w:rPr>
        <w:t>tatistical analysis</w:t>
      </w:r>
    </w:p>
    <w:p w14:paraId="3DFE7FBB" w14:textId="77777777" w:rsidR="0045462A" w:rsidRPr="00086598" w:rsidRDefault="0045462A" w:rsidP="002B41FE">
      <w:pPr>
        <w:spacing w:after="0"/>
        <w:rPr>
          <w:rFonts w:ascii="Arial" w:hAnsi="Arial" w:cs="Arial"/>
          <w:b/>
          <w:bCs/>
          <w:lang w:eastAsia="zh-TW"/>
        </w:rPr>
      </w:pPr>
    </w:p>
    <w:p w14:paraId="67770BC3" w14:textId="77777777" w:rsidR="00B60089" w:rsidRDefault="000F5B95" w:rsidP="0045462A">
      <w:pPr>
        <w:spacing w:after="0" w:line="480" w:lineRule="auto"/>
        <w:rPr>
          <w:rFonts w:ascii="Arial" w:hAnsi="Arial" w:cs="Arial"/>
          <w:bCs/>
          <w:lang w:eastAsia="zh-TW"/>
        </w:rPr>
      </w:pPr>
      <w:r w:rsidRPr="00086598">
        <w:rPr>
          <w:rFonts w:ascii="Arial" w:hAnsi="Arial" w:cs="Arial"/>
          <w:bCs/>
          <w:lang w:eastAsia="zh-TW"/>
        </w:rPr>
        <w:t xml:space="preserve">Initial data extraction showed there was no evidence of </w:t>
      </w:r>
      <w:r w:rsidR="009E6B9F">
        <w:rPr>
          <w:rFonts w:ascii="Arial" w:hAnsi="Arial" w:cs="Arial"/>
          <w:bCs/>
          <w:lang w:eastAsia="zh-TW"/>
        </w:rPr>
        <w:t xml:space="preserve">group </w:t>
      </w:r>
      <w:r w:rsidRPr="00086598">
        <w:rPr>
          <w:rFonts w:ascii="Arial" w:hAnsi="Arial" w:cs="Arial"/>
          <w:bCs/>
          <w:lang w:eastAsia="zh-TW"/>
        </w:rPr>
        <w:t>walk provision in 128 of the 326 L</w:t>
      </w:r>
      <w:r w:rsidR="00F95318">
        <w:rPr>
          <w:rFonts w:ascii="Arial" w:hAnsi="Arial" w:cs="Arial"/>
          <w:bCs/>
          <w:lang w:eastAsia="zh-TW"/>
        </w:rPr>
        <w:t>A</w:t>
      </w:r>
      <w:r w:rsidRPr="00086598">
        <w:rPr>
          <w:rFonts w:ascii="Arial" w:hAnsi="Arial" w:cs="Arial"/>
          <w:bCs/>
          <w:lang w:eastAsia="zh-TW"/>
        </w:rPr>
        <w:t>s</w:t>
      </w:r>
      <w:r w:rsidR="00F95318">
        <w:rPr>
          <w:rFonts w:ascii="Arial" w:hAnsi="Arial" w:cs="Arial"/>
          <w:bCs/>
          <w:lang w:eastAsia="zh-TW"/>
        </w:rPr>
        <w:t>;</w:t>
      </w:r>
      <w:r w:rsidRPr="00086598">
        <w:rPr>
          <w:rFonts w:ascii="Arial" w:hAnsi="Arial" w:cs="Arial"/>
          <w:bCs/>
          <w:lang w:eastAsia="zh-TW"/>
        </w:rPr>
        <w:t xml:space="preserve"> a large </w:t>
      </w:r>
      <w:r w:rsidR="0089542B">
        <w:rPr>
          <w:rFonts w:ascii="Arial" w:hAnsi="Arial" w:cs="Arial"/>
          <w:bCs/>
          <w:lang w:eastAsia="zh-TW"/>
        </w:rPr>
        <w:t>percentage (39.2%)</w:t>
      </w:r>
      <w:r w:rsidRPr="00086598">
        <w:rPr>
          <w:rFonts w:ascii="Arial" w:hAnsi="Arial" w:cs="Arial"/>
          <w:bCs/>
          <w:lang w:eastAsia="zh-TW"/>
        </w:rPr>
        <w:t>.</w:t>
      </w:r>
      <w:r w:rsidR="000958A7">
        <w:rPr>
          <w:rFonts w:ascii="Arial" w:hAnsi="Arial" w:cs="Arial"/>
          <w:bCs/>
          <w:lang w:eastAsia="zh-TW"/>
        </w:rPr>
        <w:t xml:space="preserve"> Therefore we f</w:t>
      </w:r>
      <w:r w:rsidR="009E6B9F">
        <w:rPr>
          <w:rFonts w:ascii="Arial" w:hAnsi="Arial" w:cs="Arial"/>
          <w:bCs/>
          <w:lang w:eastAsia="zh-TW"/>
        </w:rPr>
        <w:t xml:space="preserve">irstly </w:t>
      </w:r>
      <w:r w:rsidR="00AA1103">
        <w:rPr>
          <w:rFonts w:ascii="Arial" w:hAnsi="Arial" w:cs="Arial"/>
          <w:bCs/>
          <w:lang w:eastAsia="zh-TW"/>
        </w:rPr>
        <w:t>wanted to</w:t>
      </w:r>
      <w:r w:rsidR="008C0EEC">
        <w:rPr>
          <w:rFonts w:ascii="Arial" w:hAnsi="Arial" w:cs="Arial"/>
          <w:bCs/>
          <w:lang w:eastAsia="zh-TW"/>
        </w:rPr>
        <w:t xml:space="preserve"> determine any </w:t>
      </w:r>
      <w:r w:rsidR="00E72205">
        <w:rPr>
          <w:rFonts w:ascii="Arial" w:hAnsi="Arial" w:cs="Arial"/>
          <w:bCs/>
          <w:lang w:eastAsia="zh-TW"/>
        </w:rPr>
        <w:t xml:space="preserve">differences in the </w:t>
      </w:r>
      <w:r w:rsidR="00AA1103">
        <w:rPr>
          <w:rFonts w:ascii="Arial" w:hAnsi="Arial" w:cs="Arial"/>
          <w:bCs/>
          <w:lang w:eastAsia="zh-TW"/>
        </w:rPr>
        <w:t>health and socio</w:t>
      </w:r>
      <w:r w:rsidR="009E6B9F">
        <w:rPr>
          <w:rFonts w:ascii="Arial" w:hAnsi="Arial" w:cs="Arial"/>
          <w:bCs/>
          <w:lang w:eastAsia="zh-TW"/>
        </w:rPr>
        <w:t>-</w:t>
      </w:r>
      <w:r w:rsidR="00AA1103">
        <w:rPr>
          <w:rFonts w:ascii="Arial" w:hAnsi="Arial" w:cs="Arial"/>
          <w:bCs/>
          <w:lang w:eastAsia="zh-TW"/>
        </w:rPr>
        <w:t xml:space="preserve">economic </w:t>
      </w:r>
      <w:r w:rsidR="00E72205">
        <w:rPr>
          <w:rFonts w:ascii="Arial" w:hAnsi="Arial" w:cs="Arial"/>
          <w:bCs/>
          <w:lang w:eastAsia="zh-TW"/>
        </w:rPr>
        <w:t>measures</w:t>
      </w:r>
      <w:r w:rsidRPr="00086598">
        <w:rPr>
          <w:rFonts w:ascii="Arial" w:hAnsi="Arial" w:cs="Arial"/>
          <w:bCs/>
          <w:lang w:eastAsia="zh-TW"/>
        </w:rPr>
        <w:t xml:space="preserve"> </w:t>
      </w:r>
      <w:r w:rsidR="00AA1103">
        <w:rPr>
          <w:rFonts w:ascii="Arial" w:hAnsi="Arial" w:cs="Arial"/>
          <w:bCs/>
          <w:lang w:eastAsia="zh-TW"/>
        </w:rPr>
        <w:t>between those LAs with the provision and those without it</w:t>
      </w:r>
      <w:r w:rsidR="00AF7046">
        <w:rPr>
          <w:rFonts w:ascii="Arial" w:hAnsi="Arial" w:cs="Arial"/>
          <w:bCs/>
          <w:lang w:eastAsia="zh-TW"/>
        </w:rPr>
        <w:t>.</w:t>
      </w:r>
      <w:r w:rsidR="00AA1103">
        <w:rPr>
          <w:rFonts w:ascii="Arial" w:hAnsi="Arial" w:cs="Arial"/>
          <w:bCs/>
          <w:lang w:eastAsia="zh-TW"/>
        </w:rPr>
        <w:t xml:space="preserve"> </w:t>
      </w:r>
      <w:r w:rsidR="00E72205">
        <w:rPr>
          <w:rFonts w:ascii="Arial" w:hAnsi="Arial" w:cs="Arial"/>
          <w:bCs/>
          <w:lang w:eastAsia="zh-TW"/>
        </w:rPr>
        <w:t xml:space="preserve">For each of these measures, </w:t>
      </w:r>
      <w:r w:rsidR="004D5E6D">
        <w:rPr>
          <w:rFonts w:ascii="Arial" w:hAnsi="Arial" w:cs="Arial"/>
          <w:bCs/>
          <w:lang w:eastAsia="zh-TW"/>
        </w:rPr>
        <w:t xml:space="preserve">the </w:t>
      </w:r>
      <w:r w:rsidR="00E72205">
        <w:rPr>
          <w:rFonts w:ascii="Arial" w:hAnsi="Arial" w:cs="Arial"/>
          <w:bCs/>
          <w:lang w:eastAsia="zh-TW"/>
        </w:rPr>
        <w:t>differences in mean values were compared in those LAs with walks and those without</w:t>
      </w:r>
      <w:r w:rsidR="004D5E6D">
        <w:rPr>
          <w:rFonts w:ascii="Arial" w:hAnsi="Arial" w:cs="Arial"/>
          <w:bCs/>
          <w:lang w:eastAsia="zh-TW"/>
        </w:rPr>
        <w:t>. An</w:t>
      </w:r>
      <w:r w:rsidR="009E6B9F">
        <w:rPr>
          <w:rFonts w:ascii="Arial" w:hAnsi="Arial" w:cs="Arial"/>
          <w:bCs/>
          <w:lang w:eastAsia="zh-TW"/>
        </w:rPr>
        <w:t xml:space="preserve">alysis of variance </w:t>
      </w:r>
      <w:r w:rsidR="004D5E6D">
        <w:rPr>
          <w:rFonts w:ascii="Arial" w:hAnsi="Arial" w:cs="Arial"/>
          <w:bCs/>
          <w:lang w:eastAsia="zh-TW"/>
        </w:rPr>
        <w:t xml:space="preserve">was used </w:t>
      </w:r>
      <w:r w:rsidR="009E6B9F">
        <w:rPr>
          <w:rFonts w:ascii="Arial" w:hAnsi="Arial" w:cs="Arial"/>
          <w:bCs/>
          <w:lang w:eastAsia="zh-TW"/>
        </w:rPr>
        <w:t xml:space="preserve">to </w:t>
      </w:r>
      <w:r w:rsidR="0089542B">
        <w:rPr>
          <w:rFonts w:ascii="Arial" w:hAnsi="Arial" w:cs="Arial"/>
          <w:bCs/>
          <w:lang w:eastAsia="zh-TW"/>
        </w:rPr>
        <w:t>test the</w:t>
      </w:r>
      <w:r w:rsidR="00E72205">
        <w:rPr>
          <w:rFonts w:ascii="Arial" w:hAnsi="Arial" w:cs="Arial"/>
          <w:bCs/>
          <w:lang w:eastAsia="zh-TW"/>
        </w:rPr>
        <w:t xml:space="preserve"> difference in means</w:t>
      </w:r>
      <w:r w:rsidR="009E6B9F">
        <w:rPr>
          <w:rFonts w:ascii="Arial" w:hAnsi="Arial" w:cs="Arial"/>
          <w:bCs/>
          <w:lang w:eastAsia="zh-TW"/>
        </w:rPr>
        <w:t xml:space="preserve"> with</w:t>
      </w:r>
      <w:r w:rsidR="00E72205">
        <w:rPr>
          <w:rFonts w:ascii="Arial" w:hAnsi="Arial" w:cs="Arial"/>
          <w:bCs/>
          <w:lang w:eastAsia="zh-TW"/>
        </w:rPr>
        <w:t xml:space="preserve"> an odds ratio computed using binary logistic regression</w:t>
      </w:r>
      <w:r w:rsidR="00B60089">
        <w:rPr>
          <w:rFonts w:ascii="Arial" w:hAnsi="Arial" w:cs="Arial"/>
          <w:bCs/>
          <w:lang w:eastAsia="zh-TW"/>
        </w:rPr>
        <w:t>.</w:t>
      </w:r>
    </w:p>
    <w:p w14:paraId="100D8B38" w14:textId="13A1CE12" w:rsidR="002B41FE" w:rsidRPr="00086598" w:rsidRDefault="003557E4" w:rsidP="0045462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TW"/>
        </w:rPr>
        <w:t xml:space="preserve">The second </w:t>
      </w:r>
      <w:r w:rsidR="004F45B2">
        <w:rPr>
          <w:rFonts w:ascii="Arial" w:hAnsi="Arial" w:cs="Arial"/>
          <w:bCs/>
          <w:lang w:eastAsia="zh-TW"/>
        </w:rPr>
        <w:t xml:space="preserve">component of this </w:t>
      </w:r>
      <w:r w:rsidR="00A0133B" w:rsidRPr="00086598">
        <w:rPr>
          <w:rFonts w:ascii="Arial" w:hAnsi="Arial" w:cs="Arial"/>
          <w:bCs/>
          <w:lang w:eastAsia="zh-TW"/>
        </w:rPr>
        <w:t>analysis</w:t>
      </w:r>
      <w:r w:rsidR="00FB281F">
        <w:rPr>
          <w:rFonts w:ascii="Arial" w:hAnsi="Arial" w:cs="Arial"/>
          <w:bCs/>
          <w:lang w:eastAsia="zh-TW"/>
        </w:rPr>
        <w:t xml:space="preserve"> examined</w:t>
      </w:r>
      <w:r w:rsidR="00B60089">
        <w:rPr>
          <w:rFonts w:ascii="Arial" w:hAnsi="Arial" w:cs="Arial"/>
          <w:bCs/>
          <w:lang w:eastAsia="zh-TW"/>
        </w:rPr>
        <w:t xml:space="preserve"> </w:t>
      </w:r>
      <w:r w:rsidR="00B97D2D">
        <w:rPr>
          <w:rFonts w:ascii="Arial" w:hAnsi="Arial" w:cs="Arial"/>
          <w:bCs/>
          <w:lang w:eastAsia="zh-TW"/>
        </w:rPr>
        <w:t>those LAs</w:t>
      </w:r>
      <w:r w:rsidR="00BC514D">
        <w:rPr>
          <w:rFonts w:ascii="Arial" w:hAnsi="Arial" w:cs="Arial"/>
          <w:bCs/>
          <w:lang w:eastAsia="zh-TW"/>
        </w:rPr>
        <w:t xml:space="preserve"> </w:t>
      </w:r>
      <w:r w:rsidR="00B60089">
        <w:rPr>
          <w:rFonts w:ascii="Arial" w:hAnsi="Arial" w:cs="Arial"/>
          <w:bCs/>
          <w:lang w:eastAsia="zh-TW"/>
        </w:rPr>
        <w:t>where the</w:t>
      </w:r>
      <w:r w:rsidR="00BC514D">
        <w:rPr>
          <w:rFonts w:ascii="Arial" w:hAnsi="Arial" w:cs="Arial"/>
          <w:bCs/>
          <w:lang w:eastAsia="zh-TW"/>
        </w:rPr>
        <w:t>re was evidence of the</w:t>
      </w:r>
      <w:r w:rsidR="00B60089">
        <w:rPr>
          <w:rFonts w:ascii="Arial" w:hAnsi="Arial" w:cs="Arial"/>
          <w:bCs/>
          <w:lang w:eastAsia="zh-TW"/>
        </w:rPr>
        <w:t xml:space="preserve"> </w:t>
      </w:r>
      <w:r w:rsidR="002F5BCB">
        <w:rPr>
          <w:rFonts w:ascii="Arial" w:hAnsi="Arial" w:cs="Arial"/>
          <w:bCs/>
          <w:lang w:eastAsia="zh-TW"/>
        </w:rPr>
        <w:t>group walk</w:t>
      </w:r>
      <w:r w:rsidR="004F45B2">
        <w:rPr>
          <w:rFonts w:ascii="Arial" w:hAnsi="Arial" w:cs="Arial"/>
          <w:bCs/>
          <w:lang w:eastAsia="zh-TW"/>
        </w:rPr>
        <w:t>s</w:t>
      </w:r>
      <w:r w:rsidR="00FB281F">
        <w:rPr>
          <w:rFonts w:ascii="Arial" w:hAnsi="Arial" w:cs="Arial"/>
          <w:bCs/>
          <w:lang w:eastAsia="zh-TW"/>
        </w:rPr>
        <w:t xml:space="preserve">. The </w:t>
      </w:r>
      <w:r w:rsidR="00B97D2D">
        <w:rPr>
          <w:rFonts w:ascii="Arial" w:hAnsi="Arial" w:cs="Arial"/>
          <w:bCs/>
          <w:lang w:eastAsia="zh-TW"/>
        </w:rPr>
        <w:t xml:space="preserve">aim of </w:t>
      </w:r>
      <w:r w:rsidR="00A160C0">
        <w:rPr>
          <w:rFonts w:ascii="Arial" w:hAnsi="Arial" w:cs="Arial"/>
          <w:bCs/>
          <w:lang w:eastAsia="zh-TW"/>
        </w:rPr>
        <w:t>this</w:t>
      </w:r>
      <w:r w:rsidR="004F45B2">
        <w:rPr>
          <w:rFonts w:ascii="Arial" w:hAnsi="Arial" w:cs="Arial"/>
          <w:bCs/>
          <w:lang w:eastAsia="zh-TW"/>
        </w:rPr>
        <w:t xml:space="preserve"> </w:t>
      </w:r>
      <w:r w:rsidR="00FB281F">
        <w:rPr>
          <w:rFonts w:ascii="Arial" w:hAnsi="Arial" w:cs="Arial"/>
          <w:bCs/>
          <w:lang w:eastAsia="zh-TW"/>
        </w:rPr>
        <w:t>was to determine</w:t>
      </w:r>
      <w:r w:rsidR="00B97D2D">
        <w:rPr>
          <w:rFonts w:ascii="Arial" w:hAnsi="Arial" w:cs="Arial"/>
          <w:bCs/>
          <w:lang w:eastAsia="zh-TW"/>
        </w:rPr>
        <w:t xml:space="preserve"> </w:t>
      </w:r>
      <w:r w:rsidR="00B711BA">
        <w:rPr>
          <w:rFonts w:ascii="Arial" w:hAnsi="Arial" w:cs="Arial"/>
          <w:bCs/>
          <w:lang w:eastAsia="zh-TW"/>
        </w:rPr>
        <w:t xml:space="preserve">whether </w:t>
      </w:r>
      <w:r w:rsidR="004F45B2">
        <w:rPr>
          <w:rFonts w:ascii="Arial" w:hAnsi="Arial" w:cs="Arial"/>
          <w:bCs/>
          <w:lang w:eastAsia="zh-TW"/>
        </w:rPr>
        <w:t xml:space="preserve">the number of walks recorded </w:t>
      </w:r>
      <w:r w:rsidR="0089542B">
        <w:rPr>
          <w:rFonts w:ascii="Arial" w:hAnsi="Arial" w:cs="Arial"/>
          <w:bCs/>
          <w:lang w:eastAsia="zh-TW"/>
        </w:rPr>
        <w:t xml:space="preserve">in these LAs </w:t>
      </w:r>
      <w:r w:rsidR="00B711BA">
        <w:rPr>
          <w:rFonts w:ascii="Arial" w:hAnsi="Arial" w:cs="Arial"/>
          <w:bCs/>
          <w:lang w:eastAsia="zh-TW"/>
        </w:rPr>
        <w:t xml:space="preserve">was </w:t>
      </w:r>
      <w:r w:rsidR="004F45B2">
        <w:rPr>
          <w:rFonts w:ascii="Arial" w:hAnsi="Arial" w:cs="Arial"/>
          <w:bCs/>
          <w:lang w:eastAsia="zh-TW"/>
        </w:rPr>
        <w:t>associat</w:t>
      </w:r>
      <w:r w:rsidR="00B711BA">
        <w:rPr>
          <w:rFonts w:ascii="Arial" w:hAnsi="Arial" w:cs="Arial"/>
          <w:bCs/>
          <w:lang w:eastAsia="zh-TW"/>
        </w:rPr>
        <w:t>ed</w:t>
      </w:r>
      <w:r w:rsidR="009E6B9F">
        <w:rPr>
          <w:rFonts w:ascii="Arial" w:hAnsi="Arial" w:cs="Arial"/>
          <w:bCs/>
          <w:lang w:eastAsia="zh-TW"/>
        </w:rPr>
        <w:t xml:space="preserve"> with the health and socio-economic measures</w:t>
      </w:r>
      <w:r w:rsidR="004F45B2">
        <w:rPr>
          <w:rFonts w:ascii="Arial" w:hAnsi="Arial" w:cs="Arial"/>
          <w:bCs/>
          <w:lang w:eastAsia="zh-TW"/>
        </w:rPr>
        <w:t xml:space="preserve">. In order to do this, </w:t>
      </w:r>
      <w:r w:rsidR="00AE5975">
        <w:rPr>
          <w:rFonts w:ascii="Arial" w:hAnsi="Arial" w:cs="Arial"/>
          <w:bCs/>
          <w:lang w:eastAsia="zh-TW"/>
        </w:rPr>
        <w:t>t</w:t>
      </w:r>
      <w:r w:rsidR="00057A43" w:rsidRPr="00086598">
        <w:rPr>
          <w:rFonts w:ascii="Arial" w:hAnsi="Arial" w:cs="Arial"/>
          <w:bCs/>
          <w:lang w:eastAsia="zh-TW"/>
        </w:rPr>
        <w:t xml:space="preserve">he mean number of </w:t>
      </w:r>
      <w:r w:rsidR="00BC514D">
        <w:rPr>
          <w:rFonts w:ascii="Arial" w:hAnsi="Arial" w:cs="Arial"/>
          <w:bCs/>
          <w:lang w:eastAsia="zh-TW"/>
        </w:rPr>
        <w:t xml:space="preserve">group </w:t>
      </w:r>
      <w:r w:rsidR="00057A43" w:rsidRPr="00086598">
        <w:rPr>
          <w:rFonts w:ascii="Arial" w:hAnsi="Arial" w:cs="Arial"/>
          <w:bCs/>
          <w:lang w:eastAsia="zh-TW"/>
        </w:rPr>
        <w:t>walk</w:t>
      </w:r>
      <w:r w:rsidR="002F5BCB">
        <w:rPr>
          <w:rFonts w:ascii="Arial" w:hAnsi="Arial" w:cs="Arial"/>
          <w:bCs/>
          <w:lang w:eastAsia="zh-TW"/>
        </w:rPr>
        <w:t>s</w:t>
      </w:r>
      <w:r w:rsidR="006348C5">
        <w:rPr>
          <w:rFonts w:ascii="Arial" w:hAnsi="Arial" w:cs="Arial"/>
          <w:bCs/>
          <w:lang w:eastAsia="zh-TW"/>
        </w:rPr>
        <w:t xml:space="preserve"> </w:t>
      </w:r>
      <w:r w:rsidR="0036115F">
        <w:rPr>
          <w:rFonts w:ascii="Arial" w:hAnsi="Arial" w:cs="Arial"/>
          <w:bCs/>
          <w:lang w:eastAsia="zh-TW"/>
        </w:rPr>
        <w:t>over the study period</w:t>
      </w:r>
      <w:r w:rsidR="00A51612">
        <w:rPr>
          <w:rFonts w:ascii="Arial" w:hAnsi="Arial" w:cs="Arial"/>
          <w:bCs/>
          <w:lang w:eastAsia="zh-TW"/>
        </w:rPr>
        <w:t xml:space="preserve"> </w:t>
      </w:r>
      <w:r w:rsidR="004F45B2">
        <w:rPr>
          <w:rFonts w:ascii="Arial" w:hAnsi="Arial" w:cs="Arial"/>
          <w:bCs/>
          <w:lang w:eastAsia="zh-TW"/>
        </w:rPr>
        <w:t>was classified</w:t>
      </w:r>
      <w:r w:rsidR="00BC514D">
        <w:rPr>
          <w:rFonts w:ascii="Arial" w:hAnsi="Arial" w:cs="Arial"/>
          <w:bCs/>
          <w:lang w:eastAsia="zh-TW"/>
        </w:rPr>
        <w:t xml:space="preserve"> into quintiles repr</w:t>
      </w:r>
      <w:r w:rsidR="004F45B2">
        <w:rPr>
          <w:rFonts w:ascii="Arial" w:hAnsi="Arial" w:cs="Arial"/>
          <w:bCs/>
          <w:lang w:eastAsia="zh-TW"/>
        </w:rPr>
        <w:t xml:space="preserve">esenting least to most </w:t>
      </w:r>
      <w:r w:rsidR="009E6B9F">
        <w:rPr>
          <w:rFonts w:ascii="Arial" w:hAnsi="Arial" w:cs="Arial"/>
          <w:bCs/>
          <w:lang w:eastAsia="zh-TW"/>
        </w:rPr>
        <w:t xml:space="preserve">group </w:t>
      </w:r>
      <w:r w:rsidR="004F45B2">
        <w:rPr>
          <w:rFonts w:ascii="Arial" w:hAnsi="Arial" w:cs="Arial"/>
          <w:bCs/>
          <w:lang w:eastAsia="zh-TW"/>
        </w:rPr>
        <w:t>walks</w:t>
      </w:r>
      <w:r w:rsidR="0036115F">
        <w:rPr>
          <w:rFonts w:ascii="Arial" w:hAnsi="Arial" w:cs="Arial"/>
          <w:bCs/>
          <w:lang w:eastAsia="zh-TW"/>
        </w:rPr>
        <w:t>.</w:t>
      </w:r>
      <w:r w:rsidR="00BC514D">
        <w:rPr>
          <w:rFonts w:ascii="Arial" w:hAnsi="Arial" w:cs="Arial"/>
          <w:bCs/>
          <w:lang w:eastAsia="zh-TW"/>
        </w:rPr>
        <w:t xml:space="preserve"> </w:t>
      </w:r>
      <w:r w:rsidR="00E72205">
        <w:rPr>
          <w:rFonts w:ascii="Arial" w:hAnsi="Arial" w:cs="Arial"/>
          <w:bCs/>
          <w:lang w:eastAsia="zh-TW"/>
        </w:rPr>
        <w:t xml:space="preserve">Trends in the mean values of the variables across quintiles were examined using a test for linear trend </w:t>
      </w:r>
      <w:r w:rsidR="009E6B9F">
        <w:rPr>
          <w:rFonts w:ascii="Arial" w:hAnsi="Arial" w:cs="Arial"/>
          <w:bCs/>
          <w:lang w:eastAsia="zh-TW"/>
        </w:rPr>
        <w:t>by means of</w:t>
      </w:r>
      <w:r w:rsidR="00E72205">
        <w:rPr>
          <w:rFonts w:ascii="Arial" w:hAnsi="Arial" w:cs="Arial"/>
          <w:bCs/>
          <w:lang w:eastAsia="zh-TW"/>
        </w:rPr>
        <w:t xml:space="preserve"> polynomial contrast.</w:t>
      </w:r>
      <w:r w:rsidR="003D6D10">
        <w:rPr>
          <w:rFonts w:ascii="Arial" w:hAnsi="Arial" w:cs="Arial"/>
          <w:bCs/>
          <w:lang w:eastAsia="zh-TW"/>
        </w:rPr>
        <w:t xml:space="preserve"> </w:t>
      </w:r>
      <w:r w:rsidR="00D067BB">
        <w:rPr>
          <w:rFonts w:ascii="Arial" w:hAnsi="Arial" w:cs="Arial"/>
          <w:bCs/>
          <w:lang w:eastAsia="zh-TW"/>
        </w:rPr>
        <w:t xml:space="preserve">The threshold for </w:t>
      </w:r>
      <w:r w:rsidR="007D1433">
        <w:rPr>
          <w:rFonts w:ascii="Arial" w:hAnsi="Arial" w:cs="Arial"/>
          <w:bCs/>
          <w:lang w:eastAsia="zh-TW"/>
        </w:rPr>
        <w:t xml:space="preserve">statistical </w:t>
      </w:r>
      <w:r w:rsidR="00D067BB">
        <w:rPr>
          <w:rFonts w:ascii="Arial" w:hAnsi="Arial" w:cs="Arial"/>
          <w:bCs/>
          <w:lang w:eastAsia="zh-TW"/>
        </w:rPr>
        <w:t>significa</w:t>
      </w:r>
      <w:r w:rsidR="00B459B8">
        <w:rPr>
          <w:rFonts w:ascii="Arial" w:hAnsi="Arial" w:cs="Arial"/>
          <w:bCs/>
          <w:lang w:eastAsia="zh-TW"/>
        </w:rPr>
        <w:t>nce was p = 0.05</w:t>
      </w:r>
      <w:r w:rsidR="000E6630">
        <w:rPr>
          <w:rFonts w:ascii="Arial" w:hAnsi="Arial" w:cs="Arial"/>
          <w:bCs/>
          <w:lang w:eastAsia="zh-TW"/>
        </w:rPr>
        <w:t>.</w:t>
      </w:r>
      <w:r w:rsidR="000E6630">
        <w:rPr>
          <w:rFonts w:ascii="Arial" w:hAnsi="Arial" w:cs="Arial"/>
        </w:rPr>
        <w:t xml:space="preserve"> </w:t>
      </w:r>
      <w:r w:rsidR="00A64E77" w:rsidRPr="00086598">
        <w:rPr>
          <w:rFonts w:ascii="Arial" w:hAnsi="Arial" w:cs="Arial"/>
        </w:rPr>
        <w:t xml:space="preserve">SPSS </w:t>
      </w:r>
      <w:r w:rsidR="000C7BFC" w:rsidRPr="00086598">
        <w:rPr>
          <w:rFonts w:ascii="Arial" w:hAnsi="Arial" w:cs="Arial"/>
        </w:rPr>
        <w:t>Version 22</w:t>
      </w:r>
      <w:r w:rsidR="00B711BA">
        <w:rPr>
          <w:rFonts w:ascii="Arial" w:hAnsi="Arial" w:cs="Arial"/>
        </w:rPr>
        <w:t xml:space="preserve"> was used for all analysis</w:t>
      </w:r>
      <w:r w:rsidR="000C7BFC" w:rsidRPr="00086598">
        <w:rPr>
          <w:rFonts w:ascii="Arial" w:hAnsi="Arial" w:cs="Arial"/>
        </w:rPr>
        <w:t xml:space="preserve"> </w:t>
      </w:r>
      <w:r w:rsidR="00A64E77" w:rsidRPr="00086598">
        <w:rPr>
          <w:rFonts w:ascii="Arial" w:hAnsi="Arial" w:cs="Arial"/>
        </w:rPr>
        <w:fldChar w:fldCharType="begin"/>
      </w:r>
      <w:r w:rsidR="00471A05">
        <w:rPr>
          <w:rFonts w:ascii="Arial" w:hAnsi="Arial" w:cs="Arial"/>
        </w:rPr>
        <w:instrText xml:space="preserve"> ADDIN EN.CITE &lt;EndNote&gt;&lt;Cite&gt;&lt;Author&gt;SPSS&lt;/Author&gt;&lt;Year&gt;2009&lt;/Year&gt;&lt;RecNum&gt;3820&lt;/RecNum&gt;&lt;DisplayText&gt;[41]&lt;/DisplayText&gt;&lt;record&gt;&lt;rec-number&gt;3820&lt;/rec-number&gt;&lt;foreign-keys&gt;&lt;key app="EN" db-id="prxtsfzvix5rpde9zrnpewvb5aaxdewa02df"&gt;3820&lt;/key&gt;&lt;/foreign-keys&gt;&lt;ref-type name="Journal Article"&gt;17&lt;/ref-type&gt;&lt;contributors&gt;&lt;authors&gt;&lt;author&gt;SPSS, Inc&lt;/author&gt;&lt;/authors&gt;&lt;/contributors&gt;&lt;titles&gt;&lt;title&gt;PASW Statistics 18&lt;/title&gt;&lt;secondary-title&gt;Chicago, IL: SPSS Inc&lt;/secondary-title&gt;&lt;/titles&gt;&lt;periodical&gt;&lt;full-title&gt;Chicago, IL: SPSS Inc&lt;/full-title&gt;&lt;/periodical&gt;&lt;dates&gt;&lt;year&gt;2009&lt;/year&gt;&lt;/dates&gt;&lt;urls&gt;&lt;/urls&gt;&lt;/record&gt;&lt;/Cite&gt;&lt;/EndNote&gt;</w:instrText>
      </w:r>
      <w:r w:rsidR="00A64E77" w:rsidRPr="00086598">
        <w:rPr>
          <w:rFonts w:ascii="Arial" w:hAnsi="Arial" w:cs="Arial"/>
        </w:rPr>
        <w:fldChar w:fldCharType="separate"/>
      </w:r>
      <w:r w:rsidR="00471A05">
        <w:rPr>
          <w:rFonts w:ascii="Arial" w:hAnsi="Arial" w:cs="Arial"/>
          <w:noProof/>
        </w:rPr>
        <w:t>[</w:t>
      </w:r>
      <w:hyperlink w:anchor="_ENREF_41" w:tooltip="SPSS, 2009 #3820" w:history="1">
        <w:r w:rsidR="003A47F3">
          <w:rPr>
            <w:rFonts w:ascii="Arial" w:hAnsi="Arial" w:cs="Arial"/>
            <w:noProof/>
          </w:rPr>
          <w:t>41</w:t>
        </w:r>
      </w:hyperlink>
      <w:r w:rsidR="00471A05">
        <w:rPr>
          <w:rFonts w:ascii="Arial" w:hAnsi="Arial" w:cs="Arial"/>
          <w:noProof/>
        </w:rPr>
        <w:t>]</w:t>
      </w:r>
      <w:r w:rsidR="00A64E77" w:rsidRPr="00086598">
        <w:rPr>
          <w:rFonts w:ascii="Arial" w:hAnsi="Arial" w:cs="Arial"/>
        </w:rPr>
        <w:fldChar w:fldCharType="end"/>
      </w:r>
      <w:r w:rsidR="000C7BFC" w:rsidRPr="00086598">
        <w:rPr>
          <w:rFonts w:ascii="Arial" w:hAnsi="Arial" w:cs="Arial"/>
        </w:rPr>
        <w:t xml:space="preserve">. </w:t>
      </w:r>
    </w:p>
    <w:p w14:paraId="72A291CC" w14:textId="77777777" w:rsidR="008D5FB6" w:rsidRPr="00086598" w:rsidRDefault="008D5FB6" w:rsidP="00A26752">
      <w:pPr>
        <w:spacing w:after="0"/>
        <w:rPr>
          <w:rFonts w:ascii="Arial" w:hAnsi="Arial" w:cs="Arial"/>
          <w:b/>
          <w:bCs/>
          <w:lang w:val="en-US"/>
        </w:rPr>
      </w:pPr>
    </w:p>
    <w:p w14:paraId="61C030A0" w14:textId="77777777" w:rsidR="005C0690" w:rsidRPr="00086598" w:rsidRDefault="005C0690" w:rsidP="00A26752">
      <w:pPr>
        <w:spacing w:after="0"/>
        <w:rPr>
          <w:rFonts w:ascii="Arial" w:hAnsi="Arial" w:cs="Arial"/>
          <w:b/>
          <w:bCs/>
          <w:lang w:val="en-US"/>
        </w:rPr>
      </w:pPr>
      <w:r w:rsidRPr="00086598">
        <w:rPr>
          <w:rFonts w:ascii="Arial" w:hAnsi="Arial" w:cs="Arial"/>
          <w:b/>
          <w:bCs/>
          <w:lang w:val="en-US"/>
        </w:rPr>
        <w:t>Results</w:t>
      </w:r>
    </w:p>
    <w:p w14:paraId="25164B29" w14:textId="77777777" w:rsidR="0045462A" w:rsidRPr="00086598" w:rsidRDefault="0045462A" w:rsidP="00A26752">
      <w:pPr>
        <w:spacing w:after="0"/>
        <w:rPr>
          <w:rFonts w:ascii="Arial" w:hAnsi="Arial" w:cs="Arial"/>
          <w:b/>
          <w:bCs/>
          <w:lang w:val="en-US"/>
        </w:rPr>
      </w:pPr>
    </w:p>
    <w:p w14:paraId="634E1FFC" w14:textId="77777777" w:rsidR="0011593F" w:rsidRPr="00086598" w:rsidRDefault="00BC708F" w:rsidP="0045462A">
      <w:pPr>
        <w:spacing w:after="0" w:line="480" w:lineRule="auto"/>
        <w:rPr>
          <w:rFonts w:ascii="Arial" w:hAnsi="Arial" w:cs="Arial"/>
        </w:rPr>
      </w:pPr>
      <w:r w:rsidRPr="00086598">
        <w:rPr>
          <w:rFonts w:ascii="Arial" w:hAnsi="Arial" w:cs="Arial"/>
        </w:rPr>
        <w:t xml:space="preserve">Based on the information extracted from the </w:t>
      </w:r>
      <w:r w:rsidR="007C368D" w:rsidRPr="00086598">
        <w:rPr>
          <w:rFonts w:ascii="Arial" w:hAnsi="Arial" w:cs="Arial"/>
        </w:rPr>
        <w:t xml:space="preserve">national </w:t>
      </w:r>
      <w:r w:rsidRPr="00086598">
        <w:rPr>
          <w:rFonts w:ascii="Arial" w:hAnsi="Arial" w:cs="Arial"/>
        </w:rPr>
        <w:t>database,</w:t>
      </w:r>
      <w:r w:rsidR="0097652B" w:rsidRPr="00086598">
        <w:rPr>
          <w:rFonts w:ascii="Arial" w:hAnsi="Arial" w:cs="Arial"/>
        </w:rPr>
        <w:t xml:space="preserve"> b</w:t>
      </w:r>
      <w:r w:rsidR="0028688F" w:rsidRPr="00086598">
        <w:rPr>
          <w:rFonts w:ascii="Arial" w:hAnsi="Arial" w:cs="Arial"/>
        </w:rPr>
        <w:t>etween April 2013</w:t>
      </w:r>
      <w:r w:rsidR="00CD63C7" w:rsidRPr="00086598">
        <w:rPr>
          <w:rFonts w:ascii="Arial" w:hAnsi="Arial" w:cs="Arial"/>
        </w:rPr>
        <w:t xml:space="preserve"> </w:t>
      </w:r>
      <w:r w:rsidR="00962501" w:rsidRPr="00086598">
        <w:rPr>
          <w:rFonts w:ascii="Arial" w:hAnsi="Arial" w:cs="Arial"/>
        </w:rPr>
        <w:t>and March 2014</w:t>
      </w:r>
      <w:r w:rsidR="003F4FDC" w:rsidRPr="00086598">
        <w:rPr>
          <w:rFonts w:ascii="Arial" w:hAnsi="Arial" w:cs="Arial"/>
        </w:rPr>
        <w:t xml:space="preserve"> the WfH scheme provided 58,525</w:t>
      </w:r>
      <w:r w:rsidR="00962501" w:rsidRPr="00086598">
        <w:rPr>
          <w:rFonts w:ascii="Arial" w:hAnsi="Arial" w:cs="Arial"/>
        </w:rPr>
        <w:t xml:space="preserve"> walks in England with </w:t>
      </w:r>
      <w:r w:rsidR="0028688F" w:rsidRPr="00086598">
        <w:rPr>
          <w:rFonts w:ascii="Arial" w:hAnsi="Arial" w:cs="Arial"/>
        </w:rPr>
        <w:t>48,277</w:t>
      </w:r>
      <w:r w:rsidR="00CD63C7" w:rsidRPr="00086598">
        <w:rPr>
          <w:rFonts w:ascii="Arial" w:hAnsi="Arial" w:cs="Arial"/>
        </w:rPr>
        <w:t xml:space="preserve"> registered walkers</w:t>
      </w:r>
      <w:r w:rsidR="00962501" w:rsidRPr="00086598">
        <w:rPr>
          <w:rFonts w:ascii="Arial" w:hAnsi="Arial" w:cs="Arial"/>
        </w:rPr>
        <w:t xml:space="preserve"> and a t</w:t>
      </w:r>
      <w:r w:rsidR="0028688F" w:rsidRPr="00086598">
        <w:rPr>
          <w:rFonts w:ascii="Arial" w:hAnsi="Arial" w:cs="Arial"/>
        </w:rPr>
        <w:t xml:space="preserve">otal attendance at walks </w:t>
      </w:r>
      <w:r w:rsidR="00962501" w:rsidRPr="00086598">
        <w:rPr>
          <w:rFonts w:ascii="Arial" w:hAnsi="Arial" w:cs="Arial"/>
        </w:rPr>
        <w:t>of</w:t>
      </w:r>
      <w:r w:rsidR="0028688F" w:rsidRPr="00086598">
        <w:rPr>
          <w:rFonts w:ascii="Arial" w:hAnsi="Arial" w:cs="Arial"/>
        </w:rPr>
        <w:t xml:space="preserve"> 856,239</w:t>
      </w:r>
      <w:r w:rsidR="00DB68CB" w:rsidRPr="00086598">
        <w:rPr>
          <w:rFonts w:ascii="Arial" w:hAnsi="Arial" w:cs="Arial"/>
        </w:rPr>
        <w:t xml:space="preserve"> people. </w:t>
      </w:r>
      <w:r w:rsidR="00A64E77" w:rsidRPr="00086598">
        <w:rPr>
          <w:rFonts w:ascii="Arial" w:hAnsi="Arial" w:cs="Arial"/>
        </w:rPr>
        <w:t xml:space="preserve">The population of walkers was </w:t>
      </w:r>
      <w:r w:rsidR="00247B81" w:rsidRPr="00086598">
        <w:rPr>
          <w:rFonts w:ascii="Arial" w:hAnsi="Arial" w:cs="Arial"/>
        </w:rPr>
        <w:t xml:space="preserve">of an </w:t>
      </w:r>
      <w:r w:rsidR="00A64E77" w:rsidRPr="00086598">
        <w:rPr>
          <w:rFonts w:ascii="Arial" w:hAnsi="Arial" w:cs="Arial"/>
        </w:rPr>
        <w:t>old</w:t>
      </w:r>
      <w:r w:rsidR="00247B81" w:rsidRPr="00086598">
        <w:rPr>
          <w:rFonts w:ascii="Arial" w:hAnsi="Arial" w:cs="Arial"/>
        </w:rPr>
        <w:t>er age group</w:t>
      </w:r>
      <w:r w:rsidR="00A64E77" w:rsidRPr="00086598">
        <w:rPr>
          <w:rFonts w:ascii="Arial" w:hAnsi="Arial" w:cs="Arial"/>
        </w:rPr>
        <w:t xml:space="preserve">; </w:t>
      </w:r>
      <w:r w:rsidR="008149FE" w:rsidRPr="00086598">
        <w:rPr>
          <w:rFonts w:ascii="Arial" w:hAnsi="Arial" w:cs="Arial"/>
        </w:rPr>
        <w:t xml:space="preserve">81% </w:t>
      </w:r>
      <w:r w:rsidR="00EB458F" w:rsidRPr="00086598">
        <w:rPr>
          <w:rFonts w:ascii="Arial" w:hAnsi="Arial" w:cs="Arial"/>
        </w:rPr>
        <w:t xml:space="preserve">were </w:t>
      </w:r>
      <w:r w:rsidR="008149FE" w:rsidRPr="00086598">
        <w:rPr>
          <w:rFonts w:ascii="Arial" w:hAnsi="Arial" w:cs="Arial"/>
        </w:rPr>
        <w:t xml:space="preserve">aged above 55 years of age and 48% above 65. </w:t>
      </w:r>
      <w:r w:rsidR="00EB458F" w:rsidRPr="00086598">
        <w:rPr>
          <w:rFonts w:ascii="Arial" w:hAnsi="Arial" w:cs="Arial"/>
        </w:rPr>
        <w:t>There was evidence of the</w:t>
      </w:r>
      <w:r w:rsidR="007C368D" w:rsidRPr="00086598">
        <w:rPr>
          <w:rFonts w:ascii="Arial" w:hAnsi="Arial" w:cs="Arial"/>
        </w:rPr>
        <w:t xml:space="preserve"> WfH intervention </w:t>
      </w:r>
      <w:r w:rsidR="00EB458F" w:rsidRPr="00086598">
        <w:rPr>
          <w:rFonts w:ascii="Arial" w:hAnsi="Arial" w:cs="Arial"/>
        </w:rPr>
        <w:t>operating</w:t>
      </w:r>
      <w:r w:rsidR="007C368D" w:rsidRPr="00086598">
        <w:rPr>
          <w:rFonts w:ascii="Arial" w:hAnsi="Arial" w:cs="Arial"/>
        </w:rPr>
        <w:t xml:space="preserve"> in </w:t>
      </w:r>
      <w:r w:rsidR="00E87196">
        <w:rPr>
          <w:rFonts w:ascii="Arial" w:hAnsi="Arial" w:cs="Arial"/>
        </w:rPr>
        <w:t xml:space="preserve">198 of the 326 </w:t>
      </w:r>
      <w:r w:rsidR="00E22912">
        <w:rPr>
          <w:rFonts w:ascii="Arial" w:hAnsi="Arial" w:cs="Arial"/>
        </w:rPr>
        <w:t>(</w:t>
      </w:r>
      <w:r w:rsidR="00EB458F" w:rsidRPr="00086598">
        <w:rPr>
          <w:rFonts w:ascii="Arial" w:hAnsi="Arial" w:cs="Arial"/>
        </w:rPr>
        <w:t>61%</w:t>
      </w:r>
      <w:r w:rsidR="00E22912">
        <w:rPr>
          <w:rFonts w:ascii="Arial" w:hAnsi="Arial" w:cs="Arial"/>
        </w:rPr>
        <w:t>)</w:t>
      </w:r>
      <w:r w:rsidR="00EB458F" w:rsidRPr="00086598">
        <w:rPr>
          <w:rFonts w:ascii="Arial" w:hAnsi="Arial" w:cs="Arial"/>
        </w:rPr>
        <w:t xml:space="preserve"> of the</w:t>
      </w:r>
      <w:r w:rsidR="0002101B" w:rsidRPr="00086598">
        <w:rPr>
          <w:rFonts w:ascii="Arial" w:hAnsi="Arial" w:cs="Arial"/>
        </w:rPr>
        <w:t xml:space="preserve"> local authorities. </w:t>
      </w:r>
      <w:r w:rsidR="00FB281F">
        <w:rPr>
          <w:rFonts w:ascii="Arial" w:hAnsi="Arial" w:cs="Arial"/>
        </w:rPr>
        <w:t>Where the group walks</w:t>
      </w:r>
      <w:r w:rsidR="00E87196">
        <w:rPr>
          <w:rFonts w:ascii="Arial" w:hAnsi="Arial" w:cs="Arial"/>
        </w:rPr>
        <w:t xml:space="preserve"> operated</w:t>
      </w:r>
      <w:r w:rsidR="005F5304">
        <w:rPr>
          <w:rFonts w:ascii="Arial" w:hAnsi="Arial" w:cs="Arial"/>
        </w:rPr>
        <w:t>,</w:t>
      </w:r>
      <w:r w:rsidR="00E87196">
        <w:rPr>
          <w:rFonts w:ascii="Arial" w:hAnsi="Arial" w:cs="Arial"/>
        </w:rPr>
        <w:t xml:space="preserve"> the median </w:t>
      </w:r>
      <w:r w:rsidR="00174872">
        <w:rPr>
          <w:rFonts w:ascii="Arial" w:hAnsi="Arial" w:cs="Arial"/>
        </w:rPr>
        <w:t>w</w:t>
      </w:r>
      <w:r w:rsidR="00FB281F">
        <w:rPr>
          <w:rFonts w:ascii="Arial" w:hAnsi="Arial" w:cs="Arial"/>
        </w:rPr>
        <w:t>as 225 group wal</w:t>
      </w:r>
      <w:r w:rsidR="00E87196">
        <w:rPr>
          <w:rFonts w:ascii="Arial" w:hAnsi="Arial" w:cs="Arial"/>
        </w:rPr>
        <w:t>ks per year. T</w:t>
      </w:r>
      <w:r w:rsidR="00174872">
        <w:rPr>
          <w:rFonts w:ascii="Arial" w:hAnsi="Arial" w:cs="Arial"/>
        </w:rPr>
        <w:t>his</w:t>
      </w:r>
      <w:r w:rsidR="00E87196">
        <w:rPr>
          <w:rFonts w:ascii="Arial" w:hAnsi="Arial" w:cs="Arial"/>
        </w:rPr>
        <w:t xml:space="preserve"> </w:t>
      </w:r>
      <w:r w:rsidR="00E22912">
        <w:rPr>
          <w:rFonts w:ascii="Arial" w:hAnsi="Arial" w:cs="Arial"/>
        </w:rPr>
        <w:t xml:space="preserve">ranged </w:t>
      </w:r>
      <w:r w:rsidR="00E22912">
        <w:rPr>
          <w:rFonts w:ascii="Arial" w:hAnsi="Arial" w:cs="Arial"/>
        </w:rPr>
        <w:lastRenderedPageBreak/>
        <w:t xml:space="preserve">from &lt; 10 </w:t>
      </w:r>
      <w:r w:rsidR="00E87196">
        <w:rPr>
          <w:rFonts w:ascii="Arial" w:hAnsi="Arial" w:cs="Arial"/>
        </w:rPr>
        <w:t xml:space="preserve">(6 LAs) to 2037 </w:t>
      </w:r>
      <w:r w:rsidR="006409F1">
        <w:rPr>
          <w:rFonts w:ascii="Arial" w:hAnsi="Arial" w:cs="Arial"/>
        </w:rPr>
        <w:t xml:space="preserve">(1 LA) </w:t>
      </w:r>
      <w:r w:rsidR="00174872">
        <w:rPr>
          <w:rFonts w:ascii="Arial" w:hAnsi="Arial" w:cs="Arial"/>
        </w:rPr>
        <w:t>group walks</w:t>
      </w:r>
      <w:r w:rsidR="00E87196">
        <w:rPr>
          <w:rFonts w:ascii="Arial" w:hAnsi="Arial" w:cs="Arial"/>
        </w:rPr>
        <w:t xml:space="preserve"> in the year. The interquartile range was from 83 to 408 group walk</w:t>
      </w:r>
      <w:r w:rsidR="00174872">
        <w:rPr>
          <w:rFonts w:ascii="Arial" w:hAnsi="Arial" w:cs="Arial"/>
        </w:rPr>
        <w:t>s</w:t>
      </w:r>
      <w:r w:rsidR="00E87196">
        <w:rPr>
          <w:rFonts w:ascii="Arial" w:hAnsi="Arial" w:cs="Arial"/>
        </w:rPr>
        <w:t>.</w:t>
      </w:r>
    </w:p>
    <w:p w14:paraId="472DFA50" w14:textId="77777777" w:rsidR="0011593F" w:rsidRPr="00086598" w:rsidRDefault="0011593F" w:rsidP="0045462A">
      <w:pPr>
        <w:spacing w:after="0" w:line="480" w:lineRule="auto"/>
        <w:rPr>
          <w:rFonts w:ascii="Arial" w:hAnsi="Arial" w:cs="Arial"/>
        </w:rPr>
      </w:pPr>
    </w:p>
    <w:p w14:paraId="49E89AE4" w14:textId="77777777" w:rsidR="000F5B95" w:rsidRPr="00086598" w:rsidRDefault="000F5B95" w:rsidP="0045462A">
      <w:pPr>
        <w:spacing w:after="0" w:line="480" w:lineRule="auto"/>
        <w:rPr>
          <w:rFonts w:ascii="Arial" w:hAnsi="Arial" w:cs="Arial"/>
        </w:rPr>
      </w:pPr>
      <w:r w:rsidRPr="00086598">
        <w:rPr>
          <w:rFonts w:ascii="Arial" w:hAnsi="Arial" w:cs="Arial"/>
        </w:rPr>
        <w:t xml:space="preserve">Table 2 describes the difference in </w:t>
      </w:r>
      <w:r w:rsidR="001B50B5">
        <w:rPr>
          <w:rFonts w:ascii="Arial" w:hAnsi="Arial" w:cs="Arial"/>
        </w:rPr>
        <w:t xml:space="preserve">the </w:t>
      </w:r>
      <w:r w:rsidR="0036115F">
        <w:rPr>
          <w:rFonts w:ascii="Arial" w:hAnsi="Arial" w:cs="Arial"/>
        </w:rPr>
        <w:t>health and socio-economic measures</w:t>
      </w:r>
      <w:r w:rsidRPr="00086598">
        <w:rPr>
          <w:rFonts w:ascii="Arial" w:hAnsi="Arial" w:cs="Arial"/>
        </w:rPr>
        <w:t xml:space="preserve"> between those local authorities with</w:t>
      </w:r>
      <w:r w:rsidR="0036115F">
        <w:rPr>
          <w:rFonts w:ascii="Arial" w:hAnsi="Arial" w:cs="Arial"/>
        </w:rPr>
        <w:t xml:space="preserve"> no </w:t>
      </w:r>
      <w:r w:rsidRPr="00086598">
        <w:rPr>
          <w:rFonts w:ascii="Arial" w:hAnsi="Arial" w:cs="Arial"/>
        </w:rPr>
        <w:t xml:space="preserve">evidence of the WfH intervention and those with it. In general, those local authorities with no evidence of WfH provision were more likely to have greater need, </w:t>
      </w:r>
      <w:r w:rsidR="005F5304">
        <w:rPr>
          <w:rFonts w:ascii="Arial" w:hAnsi="Arial" w:cs="Arial"/>
        </w:rPr>
        <w:t>as measured by the health and socio</w:t>
      </w:r>
      <w:r w:rsidR="009E6B9F">
        <w:rPr>
          <w:rFonts w:ascii="Arial" w:hAnsi="Arial" w:cs="Arial"/>
        </w:rPr>
        <w:t>-</w:t>
      </w:r>
      <w:r w:rsidR="005F5304">
        <w:rPr>
          <w:rFonts w:ascii="Arial" w:hAnsi="Arial" w:cs="Arial"/>
        </w:rPr>
        <w:t xml:space="preserve">economic indicators, </w:t>
      </w:r>
      <w:r w:rsidRPr="00086598">
        <w:rPr>
          <w:rFonts w:ascii="Arial" w:hAnsi="Arial" w:cs="Arial"/>
        </w:rPr>
        <w:t>with statistically signific</w:t>
      </w:r>
      <w:r w:rsidR="001440BB" w:rsidRPr="00086598">
        <w:rPr>
          <w:rFonts w:ascii="Arial" w:hAnsi="Arial" w:cs="Arial"/>
        </w:rPr>
        <w:t>ant differences for 1</w:t>
      </w:r>
      <w:r w:rsidR="0036115F">
        <w:rPr>
          <w:rFonts w:ascii="Arial" w:hAnsi="Arial" w:cs="Arial"/>
        </w:rPr>
        <w:t>0</w:t>
      </w:r>
      <w:r w:rsidR="001440BB" w:rsidRPr="00086598">
        <w:rPr>
          <w:rFonts w:ascii="Arial" w:hAnsi="Arial" w:cs="Arial"/>
        </w:rPr>
        <w:t xml:space="preserve"> of the 1</w:t>
      </w:r>
      <w:r w:rsidR="0036115F">
        <w:rPr>
          <w:rFonts w:ascii="Arial" w:hAnsi="Arial" w:cs="Arial"/>
        </w:rPr>
        <w:t>5</w:t>
      </w:r>
      <w:r w:rsidRPr="00086598">
        <w:rPr>
          <w:rFonts w:ascii="Arial" w:hAnsi="Arial" w:cs="Arial"/>
        </w:rPr>
        <w:t xml:space="preserve"> measures. </w:t>
      </w:r>
      <w:r w:rsidR="00E75983">
        <w:rPr>
          <w:rFonts w:ascii="Arial" w:hAnsi="Arial" w:cs="Arial"/>
        </w:rPr>
        <w:t>T</w:t>
      </w:r>
      <w:r w:rsidR="004E2B1D" w:rsidRPr="00086598">
        <w:rPr>
          <w:rFonts w:ascii="Arial" w:hAnsi="Arial" w:cs="Arial"/>
        </w:rPr>
        <w:t xml:space="preserve">here was </w:t>
      </w:r>
      <w:r w:rsidR="00E75983">
        <w:rPr>
          <w:rFonts w:ascii="Arial" w:hAnsi="Arial" w:cs="Arial"/>
        </w:rPr>
        <w:t xml:space="preserve">WfH </w:t>
      </w:r>
      <w:r w:rsidR="00AE5975">
        <w:rPr>
          <w:rFonts w:ascii="Arial" w:hAnsi="Arial" w:cs="Arial"/>
        </w:rPr>
        <w:t xml:space="preserve">provision </w:t>
      </w:r>
      <w:r w:rsidR="00E75983">
        <w:rPr>
          <w:rFonts w:ascii="Arial" w:hAnsi="Arial" w:cs="Arial"/>
        </w:rPr>
        <w:t xml:space="preserve">in those LAs with </w:t>
      </w:r>
      <w:r w:rsidR="009E6B9F">
        <w:rPr>
          <w:rFonts w:ascii="Arial" w:hAnsi="Arial" w:cs="Arial"/>
        </w:rPr>
        <w:t xml:space="preserve">districts with </w:t>
      </w:r>
      <w:r w:rsidR="00E75983">
        <w:rPr>
          <w:rFonts w:ascii="Arial" w:hAnsi="Arial" w:cs="Arial"/>
        </w:rPr>
        <w:t xml:space="preserve">greater </w:t>
      </w:r>
      <w:r w:rsidR="00CB7E0C" w:rsidRPr="00086598">
        <w:rPr>
          <w:rFonts w:ascii="Arial" w:hAnsi="Arial" w:cs="Arial"/>
        </w:rPr>
        <w:t>populations</w:t>
      </w:r>
      <w:r w:rsidR="004E2B1D" w:rsidRPr="00086598">
        <w:rPr>
          <w:rFonts w:ascii="Arial" w:hAnsi="Arial" w:cs="Arial"/>
        </w:rPr>
        <w:t xml:space="preserve"> aged above 65</w:t>
      </w:r>
      <w:r w:rsidR="001F2A44">
        <w:rPr>
          <w:rFonts w:ascii="Arial" w:hAnsi="Arial" w:cs="Arial"/>
        </w:rPr>
        <w:t xml:space="preserve"> and</w:t>
      </w:r>
      <w:r w:rsidR="00172973" w:rsidRPr="00086598">
        <w:rPr>
          <w:rFonts w:ascii="Arial" w:hAnsi="Arial" w:cs="Arial"/>
        </w:rPr>
        <w:t xml:space="preserve"> </w:t>
      </w:r>
      <w:r w:rsidR="00E75983">
        <w:rPr>
          <w:rFonts w:ascii="Arial" w:hAnsi="Arial" w:cs="Arial"/>
        </w:rPr>
        <w:t xml:space="preserve">with </w:t>
      </w:r>
      <w:r w:rsidR="004E2B1D" w:rsidRPr="00086598">
        <w:rPr>
          <w:rFonts w:ascii="Arial" w:hAnsi="Arial" w:cs="Arial"/>
        </w:rPr>
        <w:t xml:space="preserve">limiting long term illness. </w:t>
      </w:r>
      <w:r w:rsidR="00E75983">
        <w:rPr>
          <w:rFonts w:ascii="Arial" w:hAnsi="Arial" w:cs="Arial"/>
        </w:rPr>
        <w:t>Otherwise there was</w:t>
      </w:r>
      <w:r w:rsidR="0089542B">
        <w:rPr>
          <w:rFonts w:ascii="Arial" w:hAnsi="Arial" w:cs="Arial"/>
        </w:rPr>
        <w:t xml:space="preserve"> a greater odds of</w:t>
      </w:r>
      <w:r w:rsidR="00E75983">
        <w:rPr>
          <w:rFonts w:ascii="Arial" w:hAnsi="Arial" w:cs="Arial"/>
        </w:rPr>
        <w:t xml:space="preserve"> no provision in those LAs with greater </w:t>
      </w:r>
      <w:r w:rsidR="009E6B9F">
        <w:rPr>
          <w:rFonts w:ascii="Arial" w:hAnsi="Arial" w:cs="Arial"/>
        </w:rPr>
        <w:t>socio-economic</w:t>
      </w:r>
      <w:r w:rsidR="00E75983">
        <w:rPr>
          <w:rFonts w:ascii="Arial" w:hAnsi="Arial" w:cs="Arial"/>
        </w:rPr>
        <w:t xml:space="preserve"> and health need as represented by our </w:t>
      </w:r>
      <w:r w:rsidR="009E6B9F">
        <w:rPr>
          <w:rFonts w:ascii="Arial" w:hAnsi="Arial" w:cs="Arial"/>
        </w:rPr>
        <w:t xml:space="preserve">health and socio-economic </w:t>
      </w:r>
      <w:r w:rsidR="00E75983">
        <w:rPr>
          <w:rFonts w:ascii="Arial" w:hAnsi="Arial" w:cs="Arial"/>
        </w:rPr>
        <w:t xml:space="preserve">measures.  </w:t>
      </w:r>
      <w:r w:rsidR="00174872">
        <w:rPr>
          <w:rFonts w:ascii="Arial" w:hAnsi="Arial" w:cs="Arial"/>
        </w:rPr>
        <w:t>The</w:t>
      </w:r>
      <w:r w:rsidRPr="00086598">
        <w:rPr>
          <w:rFonts w:ascii="Arial" w:hAnsi="Arial" w:cs="Arial"/>
        </w:rPr>
        <w:t xml:space="preserve"> size for these differences were </w:t>
      </w:r>
      <w:r w:rsidR="0089542B">
        <w:rPr>
          <w:rFonts w:ascii="Arial" w:hAnsi="Arial" w:cs="Arial"/>
        </w:rPr>
        <w:t xml:space="preserve">however </w:t>
      </w:r>
      <w:r w:rsidRPr="00086598">
        <w:rPr>
          <w:rFonts w:ascii="Arial" w:hAnsi="Arial" w:cs="Arial"/>
        </w:rPr>
        <w:t>modest with odds ratios relatively close to unity.</w:t>
      </w:r>
    </w:p>
    <w:p w14:paraId="7B8AEFC5" w14:textId="77777777" w:rsidR="000F5B95" w:rsidRPr="00086598" w:rsidRDefault="000F5B95" w:rsidP="0045462A">
      <w:pPr>
        <w:spacing w:after="0" w:line="480" w:lineRule="auto"/>
        <w:rPr>
          <w:rFonts w:ascii="Arial" w:hAnsi="Arial" w:cs="Arial"/>
        </w:rPr>
      </w:pPr>
    </w:p>
    <w:p w14:paraId="1C1D5BB2" w14:textId="77777777" w:rsidR="00F14EA5" w:rsidRDefault="00EB458F" w:rsidP="00F14EA5">
      <w:pPr>
        <w:spacing w:after="0" w:line="480" w:lineRule="auto"/>
        <w:rPr>
          <w:rFonts w:ascii="Arial" w:hAnsi="Arial" w:cs="Arial"/>
        </w:rPr>
      </w:pPr>
      <w:r w:rsidRPr="00086598">
        <w:rPr>
          <w:rFonts w:ascii="Arial" w:hAnsi="Arial" w:cs="Arial"/>
        </w:rPr>
        <w:t xml:space="preserve">Table </w:t>
      </w:r>
      <w:r w:rsidR="000F5B95" w:rsidRPr="00086598">
        <w:rPr>
          <w:rFonts w:ascii="Arial" w:hAnsi="Arial" w:cs="Arial"/>
        </w:rPr>
        <w:t>3</w:t>
      </w:r>
      <w:r w:rsidRPr="00086598">
        <w:rPr>
          <w:rFonts w:ascii="Arial" w:hAnsi="Arial" w:cs="Arial"/>
        </w:rPr>
        <w:t xml:space="preserve"> shows trends in the level</w:t>
      </w:r>
      <w:r w:rsidR="001440BB" w:rsidRPr="00086598">
        <w:rPr>
          <w:rFonts w:ascii="Arial" w:hAnsi="Arial" w:cs="Arial"/>
        </w:rPr>
        <w:t xml:space="preserve"> of walk provision across the </w:t>
      </w:r>
      <w:r w:rsidR="001F2A44">
        <w:rPr>
          <w:rFonts w:ascii="Arial" w:hAnsi="Arial" w:cs="Arial"/>
        </w:rPr>
        <w:t xml:space="preserve">health and </w:t>
      </w:r>
      <w:r w:rsidR="009E6B9F">
        <w:rPr>
          <w:rFonts w:ascii="Arial" w:hAnsi="Arial" w:cs="Arial"/>
        </w:rPr>
        <w:t>socio-economic</w:t>
      </w:r>
      <w:r w:rsidR="001F2A44">
        <w:rPr>
          <w:rFonts w:ascii="Arial" w:hAnsi="Arial" w:cs="Arial"/>
        </w:rPr>
        <w:t xml:space="preserve"> </w:t>
      </w:r>
      <w:r w:rsidRPr="00086598">
        <w:rPr>
          <w:rFonts w:ascii="Arial" w:hAnsi="Arial" w:cs="Arial"/>
        </w:rPr>
        <w:t xml:space="preserve">measures </w:t>
      </w:r>
      <w:r w:rsidR="007D1DF0" w:rsidRPr="00086598">
        <w:rPr>
          <w:rFonts w:ascii="Arial" w:hAnsi="Arial" w:cs="Arial"/>
        </w:rPr>
        <w:t>for those LAs within which at least some walk provision was present</w:t>
      </w:r>
      <w:r w:rsidRPr="00086598">
        <w:rPr>
          <w:rFonts w:ascii="Arial" w:hAnsi="Arial" w:cs="Arial"/>
        </w:rPr>
        <w:t xml:space="preserve">. </w:t>
      </w:r>
      <w:r w:rsidR="00D44CAB" w:rsidRPr="00086598">
        <w:rPr>
          <w:rFonts w:ascii="Arial" w:hAnsi="Arial" w:cs="Arial"/>
        </w:rPr>
        <w:t>Generally</w:t>
      </w:r>
      <w:r w:rsidRPr="00086598">
        <w:rPr>
          <w:rFonts w:ascii="Arial" w:hAnsi="Arial" w:cs="Arial"/>
        </w:rPr>
        <w:t xml:space="preserve">, </w:t>
      </w:r>
      <w:r w:rsidR="004039E1">
        <w:rPr>
          <w:rFonts w:ascii="Arial" w:hAnsi="Arial" w:cs="Arial"/>
        </w:rPr>
        <w:t xml:space="preserve">poorer health and </w:t>
      </w:r>
      <w:r w:rsidR="009E6B9F">
        <w:rPr>
          <w:rFonts w:ascii="Arial" w:hAnsi="Arial" w:cs="Arial"/>
        </w:rPr>
        <w:t>socio-economic</w:t>
      </w:r>
      <w:r w:rsidR="004039E1">
        <w:rPr>
          <w:rFonts w:ascii="Arial" w:hAnsi="Arial" w:cs="Arial"/>
        </w:rPr>
        <w:t xml:space="preserve"> measures</w:t>
      </w:r>
      <w:r w:rsidRPr="00086598">
        <w:rPr>
          <w:rFonts w:ascii="Arial" w:hAnsi="Arial" w:cs="Arial"/>
        </w:rPr>
        <w:t xml:space="preserve"> in </w:t>
      </w:r>
      <w:r w:rsidR="00D44CAB" w:rsidRPr="00086598">
        <w:rPr>
          <w:rFonts w:ascii="Arial" w:hAnsi="Arial" w:cs="Arial"/>
        </w:rPr>
        <w:t>LAs</w:t>
      </w:r>
      <w:r w:rsidRPr="00086598">
        <w:rPr>
          <w:rFonts w:ascii="Arial" w:hAnsi="Arial" w:cs="Arial"/>
        </w:rPr>
        <w:t xml:space="preserve"> was not associated with </w:t>
      </w:r>
      <w:r w:rsidR="00D44CAB" w:rsidRPr="00086598">
        <w:rPr>
          <w:rFonts w:ascii="Arial" w:hAnsi="Arial" w:cs="Arial"/>
        </w:rPr>
        <w:t>a trend of higher</w:t>
      </w:r>
      <w:r w:rsidRPr="00086598">
        <w:rPr>
          <w:rFonts w:ascii="Arial" w:hAnsi="Arial" w:cs="Arial"/>
        </w:rPr>
        <w:t xml:space="preserve"> </w:t>
      </w:r>
      <w:r w:rsidR="00D44CAB" w:rsidRPr="00086598">
        <w:rPr>
          <w:rFonts w:ascii="Arial" w:hAnsi="Arial" w:cs="Arial"/>
        </w:rPr>
        <w:t>walk</w:t>
      </w:r>
      <w:r w:rsidRPr="00086598">
        <w:rPr>
          <w:rFonts w:ascii="Arial" w:hAnsi="Arial" w:cs="Arial"/>
        </w:rPr>
        <w:t xml:space="preserve"> provision, except for the measure of the percentage of older people</w:t>
      </w:r>
      <w:r w:rsidR="00D44CAB" w:rsidRPr="00086598">
        <w:rPr>
          <w:rFonts w:ascii="Arial" w:hAnsi="Arial" w:cs="Arial"/>
        </w:rPr>
        <w:t xml:space="preserve"> resid</w:t>
      </w:r>
      <w:r w:rsidR="00A0133B" w:rsidRPr="00086598">
        <w:rPr>
          <w:rFonts w:ascii="Arial" w:hAnsi="Arial" w:cs="Arial"/>
        </w:rPr>
        <w:t>ent in the LA</w:t>
      </w:r>
      <w:r w:rsidRPr="00086598">
        <w:rPr>
          <w:rFonts w:ascii="Arial" w:hAnsi="Arial" w:cs="Arial"/>
        </w:rPr>
        <w:t xml:space="preserve">. There was some evidence that provision </w:t>
      </w:r>
      <w:r w:rsidR="00D44CAB" w:rsidRPr="00086598">
        <w:rPr>
          <w:rFonts w:ascii="Arial" w:hAnsi="Arial" w:cs="Arial"/>
        </w:rPr>
        <w:t>w</w:t>
      </w:r>
      <w:r w:rsidRPr="00086598">
        <w:rPr>
          <w:rFonts w:ascii="Arial" w:hAnsi="Arial" w:cs="Arial"/>
        </w:rPr>
        <w:t xml:space="preserve">as greater in areas with more limiting long term illness or disability and poorer self-rated health but trends did not reach statistical significance. For all other indicators, </w:t>
      </w:r>
      <w:r w:rsidR="00D44CAB" w:rsidRPr="00086598">
        <w:rPr>
          <w:rFonts w:ascii="Arial" w:hAnsi="Arial" w:cs="Arial"/>
        </w:rPr>
        <w:t>provision was generally poorer in areas of greater need</w:t>
      </w:r>
      <w:r w:rsidR="00F10026">
        <w:rPr>
          <w:rFonts w:ascii="Arial" w:hAnsi="Arial" w:cs="Arial"/>
        </w:rPr>
        <w:t>,</w:t>
      </w:r>
      <w:r w:rsidR="00D44CAB" w:rsidRPr="00086598">
        <w:rPr>
          <w:rFonts w:ascii="Arial" w:hAnsi="Arial" w:cs="Arial"/>
        </w:rPr>
        <w:t xml:space="preserve"> although trends only reached statistical significance for the measures of </w:t>
      </w:r>
      <w:r w:rsidRPr="00086598">
        <w:rPr>
          <w:rFonts w:ascii="Arial" w:hAnsi="Arial" w:cs="Arial"/>
        </w:rPr>
        <w:t xml:space="preserve">pensioners living alone and </w:t>
      </w:r>
      <w:r w:rsidR="00D44CAB" w:rsidRPr="00086598">
        <w:rPr>
          <w:rFonts w:ascii="Arial" w:hAnsi="Arial" w:cs="Arial"/>
        </w:rPr>
        <w:t>emergency admissions for</w:t>
      </w:r>
      <w:r w:rsidRPr="00086598">
        <w:rPr>
          <w:rFonts w:ascii="Arial" w:hAnsi="Arial" w:cs="Arial"/>
        </w:rPr>
        <w:t xml:space="preserve"> COPD</w:t>
      </w:r>
      <w:r w:rsidR="00F05A1E" w:rsidRPr="00086598">
        <w:rPr>
          <w:rFonts w:ascii="Arial" w:hAnsi="Arial" w:cs="Arial"/>
        </w:rPr>
        <w:t>, and the magnitude of difference</w:t>
      </w:r>
      <w:r w:rsidR="00A0133B" w:rsidRPr="00086598">
        <w:rPr>
          <w:rFonts w:ascii="Arial" w:hAnsi="Arial" w:cs="Arial"/>
        </w:rPr>
        <w:t>s in mean values between the LA</w:t>
      </w:r>
      <w:r w:rsidR="00F05A1E" w:rsidRPr="00086598">
        <w:rPr>
          <w:rFonts w:ascii="Arial" w:hAnsi="Arial" w:cs="Arial"/>
        </w:rPr>
        <w:t xml:space="preserve">s with the most and least number of walks </w:t>
      </w:r>
      <w:r w:rsidR="0089542B">
        <w:rPr>
          <w:rFonts w:ascii="Arial" w:hAnsi="Arial" w:cs="Arial"/>
        </w:rPr>
        <w:t>were again</w:t>
      </w:r>
      <w:r w:rsidR="0089542B" w:rsidRPr="00086598">
        <w:rPr>
          <w:rFonts w:ascii="Arial" w:hAnsi="Arial" w:cs="Arial"/>
        </w:rPr>
        <w:t xml:space="preserve"> </w:t>
      </w:r>
      <w:r w:rsidR="00F05A1E" w:rsidRPr="00086598">
        <w:rPr>
          <w:rFonts w:ascii="Arial" w:hAnsi="Arial" w:cs="Arial"/>
        </w:rPr>
        <w:t>small</w:t>
      </w:r>
      <w:r w:rsidRPr="00086598">
        <w:rPr>
          <w:rFonts w:ascii="Arial" w:hAnsi="Arial" w:cs="Arial"/>
        </w:rPr>
        <w:t xml:space="preserve">. </w:t>
      </w:r>
      <w:bookmarkStart w:id="2" w:name="_Toc369951265"/>
    </w:p>
    <w:p w14:paraId="2D536A59" w14:textId="77777777" w:rsidR="00F14EA5" w:rsidRDefault="00F14EA5" w:rsidP="00F14EA5">
      <w:pPr>
        <w:spacing w:after="0" w:line="480" w:lineRule="auto"/>
        <w:rPr>
          <w:rFonts w:ascii="Arial" w:hAnsi="Arial" w:cs="Arial"/>
        </w:rPr>
      </w:pPr>
    </w:p>
    <w:p w14:paraId="74239206" w14:textId="77777777" w:rsidR="00527C13" w:rsidRPr="00086598" w:rsidRDefault="00A008D1" w:rsidP="00F14EA5">
      <w:pPr>
        <w:spacing w:after="0" w:line="480" w:lineRule="auto"/>
        <w:rPr>
          <w:rFonts w:ascii="Arial" w:hAnsi="Arial" w:cs="Arial"/>
          <w:b/>
          <w:bCs/>
        </w:rPr>
      </w:pPr>
      <w:r w:rsidRPr="00086598">
        <w:rPr>
          <w:rFonts w:ascii="Arial" w:hAnsi="Arial" w:cs="Arial"/>
          <w:b/>
          <w:bCs/>
        </w:rPr>
        <w:t>D</w:t>
      </w:r>
      <w:r w:rsidR="00527C13" w:rsidRPr="00086598">
        <w:rPr>
          <w:rFonts w:ascii="Arial" w:hAnsi="Arial" w:cs="Arial"/>
          <w:b/>
          <w:bCs/>
        </w:rPr>
        <w:t>iscussion</w:t>
      </w:r>
      <w:bookmarkEnd w:id="2"/>
    </w:p>
    <w:p w14:paraId="13A5EB24" w14:textId="09A448A0" w:rsidR="004F2BAA" w:rsidRDefault="00332423" w:rsidP="0045462A"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8B7499" w:rsidRPr="00086598">
        <w:rPr>
          <w:rFonts w:ascii="Arial" w:hAnsi="Arial" w:cs="Arial"/>
          <w:bCs/>
        </w:rPr>
        <w:t xml:space="preserve">he magnitude of differences </w:t>
      </w:r>
      <w:r>
        <w:rPr>
          <w:rFonts w:ascii="Arial" w:hAnsi="Arial" w:cs="Arial"/>
          <w:bCs/>
        </w:rPr>
        <w:t xml:space="preserve">in this case study </w:t>
      </w:r>
      <w:r w:rsidR="00C044EE">
        <w:rPr>
          <w:rFonts w:ascii="Arial" w:hAnsi="Arial" w:cs="Arial"/>
          <w:bCs/>
        </w:rPr>
        <w:t>were</w:t>
      </w:r>
      <w:r w:rsidR="008B7499" w:rsidRPr="00086598">
        <w:rPr>
          <w:rFonts w:ascii="Arial" w:hAnsi="Arial" w:cs="Arial"/>
          <w:bCs/>
        </w:rPr>
        <w:t xml:space="preserve"> small, </w:t>
      </w:r>
      <w:r>
        <w:rPr>
          <w:rFonts w:ascii="Arial" w:hAnsi="Arial" w:cs="Arial"/>
          <w:bCs/>
        </w:rPr>
        <w:t xml:space="preserve">but </w:t>
      </w:r>
      <w:r w:rsidR="008B7499" w:rsidRPr="00086598">
        <w:rPr>
          <w:rFonts w:ascii="Arial" w:hAnsi="Arial" w:cs="Arial"/>
          <w:bCs/>
        </w:rPr>
        <w:t xml:space="preserve">the findings showed that </w:t>
      </w:r>
      <w:r w:rsidR="007D3AB3">
        <w:rPr>
          <w:rFonts w:ascii="Arial" w:hAnsi="Arial" w:cs="Arial"/>
          <w:bCs/>
        </w:rPr>
        <w:t>the</w:t>
      </w:r>
      <w:r w:rsidR="000E6630">
        <w:rPr>
          <w:rFonts w:ascii="Arial" w:hAnsi="Arial" w:cs="Arial"/>
          <w:bCs/>
        </w:rPr>
        <w:t xml:space="preserve"> </w:t>
      </w:r>
      <w:r w:rsidR="007D3AB3">
        <w:rPr>
          <w:rFonts w:ascii="Arial" w:hAnsi="Arial" w:cs="Arial"/>
          <w:bCs/>
        </w:rPr>
        <w:t xml:space="preserve">number </w:t>
      </w:r>
      <w:r w:rsidR="008B7499" w:rsidRPr="00086598">
        <w:rPr>
          <w:rFonts w:ascii="Arial" w:hAnsi="Arial" w:cs="Arial"/>
          <w:bCs/>
        </w:rPr>
        <w:t xml:space="preserve">of </w:t>
      </w:r>
      <w:r w:rsidR="00482BF6">
        <w:rPr>
          <w:rFonts w:ascii="Arial" w:hAnsi="Arial" w:cs="Arial"/>
          <w:bCs/>
        </w:rPr>
        <w:t xml:space="preserve">the group </w:t>
      </w:r>
      <w:r w:rsidR="008B7499" w:rsidRPr="00086598">
        <w:rPr>
          <w:rFonts w:ascii="Arial" w:hAnsi="Arial" w:cs="Arial"/>
          <w:bCs/>
        </w:rPr>
        <w:t>walk</w:t>
      </w:r>
      <w:r w:rsidR="0083570F">
        <w:rPr>
          <w:rFonts w:ascii="Arial" w:hAnsi="Arial" w:cs="Arial"/>
          <w:bCs/>
        </w:rPr>
        <w:t>s</w:t>
      </w:r>
      <w:r w:rsidR="008B7499" w:rsidRPr="00086598">
        <w:rPr>
          <w:rFonts w:ascii="Arial" w:hAnsi="Arial" w:cs="Arial"/>
          <w:bCs/>
        </w:rPr>
        <w:t xml:space="preserve"> </w:t>
      </w:r>
      <w:r w:rsidR="007D3AB3">
        <w:rPr>
          <w:rFonts w:ascii="Arial" w:hAnsi="Arial" w:cs="Arial"/>
          <w:bCs/>
        </w:rPr>
        <w:t xml:space="preserve">provided </w:t>
      </w:r>
      <w:r w:rsidR="008B7499" w:rsidRPr="00086598">
        <w:rPr>
          <w:rFonts w:ascii="Arial" w:hAnsi="Arial" w:cs="Arial"/>
          <w:bCs/>
        </w:rPr>
        <w:t xml:space="preserve">was generally </w:t>
      </w:r>
      <w:r w:rsidR="007D3AB3">
        <w:rPr>
          <w:rFonts w:ascii="Arial" w:hAnsi="Arial" w:cs="Arial"/>
          <w:bCs/>
        </w:rPr>
        <w:t>low</w:t>
      </w:r>
      <w:r w:rsidR="008B7499" w:rsidRPr="00086598">
        <w:rPr>
          <w:rFonts w:ascii="Arial" w:hAnsi="Arial" w:cs="Arial"/>
          <w:bCs/>
        </w:rPr>
        <w:t xml:space="preserve">est in those local authorities with the greatest health need, as measured by our </w:t>
      </w:r>
      <w:r w:rsidR="00482BF6">
        <w:rPr>
          <w:rFonts w:ascii="Arial" w:hAnsi="Arial" w:cs="Arial"/>
          <w:bCs/>
        </w:rPr>
        <w:t xml:space="preserve">health and </w:t>
      </w:r>
      <w:r w:rsidR="009E6B9F">
        <w:rPr>
          <w:rFonts w:ascii="Arial" w:hAnsi="Arial" w:cs="Arial"/>
          <w:bCs/>
        </w:rPr>
        <w:t>socio-economic</w:t>
      </w:r>
      <w:r w:rsidR="00482BF6">
        <w:rPr>
          <w:rFonts w:ascii="Arial" w:hAnsi="Arial" w:cs="Arial"/>
          <w:bCs/>
        </w:rPr>
        <w:t xml:space="preserve"> </w:t>
      </w:r>
      <w:r w:rsidR="008B7499" w:rsidRPr="00086598">
        <w:rPr>
          <w:rFonts w:ascii="Arial" w:hAnsi="Arial" w:cs="Arial"/>
          <w:bCs/>
        </w:rPr>
        <w:t>indicators.</w:t>
      </w:r>
      <w:r w:rsidR="00872C7C">
        <w:rPr>
          <w:rFonts w:ascii="Arial" w:hAnsi="Arial" w:cs="Arial"/>
          <w:bCs/>
        </w:rPr>
        <w:t xml:space="preserve"> </w:t>
      </w:r>
      <w:r w:rsidR="008B7499" w:rsidRPr="00086598">
        <w:rPr>
          <w:rFonts w:ascii="Arial" w:hAnsi="Arial" w:cs="Arial"/>
          <w:bCs/>
        </w:rPr>
        <w:t xml:space="preserve">The only </w:t>
      </w:r>
      <w:r w:rsidR="008B7499" w:rsidRPr="00086598">
        <w:rPr>
          <w:rFonts w:ascii="Arial" w:hAnsi="Arial" w:cs="Arial"/>
          <w:bCs/>
        </w:rPr>
        <w:lastRenderedPageBreak/>
        <w:t xml:space="preserve">statistically significant exception to this observation was that provision </w:t>
      </w:r>
      <w:r w:rsidR="00E13690">
        <w:rPr>
          <w:rFonts w:ascii="Arial" w:hAnsi="Arial" w:cs="Arial"/>
          <w:bCs/>
        </w:rPr>
        <w:t xml:space="preserve">of walks </w:t>
      </w:r>
      <w:r w:rsidR="008B7499" w:rsidRPr="00086598">
        <w:rPr>
          <w:rFonts w:ascii="Arial" w:hAnsi="Arial" w:cs="Arial"/>
          <w:bCs/>
        </w:rPr>
        <w:t xml:space="preserve">was better in </w:t>
      </w:r>
      <w:r w:rsidR="00804E5B">
        <w:rPr>
          <w:rFonts w:ascii="Arial" w:hAnsi="Arial" w:cs="Arial"/>
          <w:bCs/>
        </w:rPr>
        <w:t xml:space="preserve">those LAs </w:t>
      </w:r>
      <w:r w:rsidR="008B7499" w:rsidRPr="00086598">
        <w:rPr>
          <w:rFonts w:ascii="Arial" w:hAnsi="Arial" w:cs="Arial"/>
          <w:bCs/>
        </w:rPr>
        <w:t>areas with greater numbers of older people</w:t>
      </w:r>
      <w:r w:rsidR="0089542B">
        <w:rPr>
          <w:rFonts w:ascii="Arial" w:hAnsi="Arial" w:cs="Arial"/>
          <w:bCs/>
        </w:rPr>
        <w:t>,</w:t>
      </w:r>
      <w:r w:rsidR="00CD3634">
        <w:rPr>
          <w:rFonts w:ascii="Arial" w:hAnsi="Arial" w:cs="Arial"/>
          <w:bCs/>
        </w:rPr>
        <w:t xml:space="preserve"> although not for pensioners living alone</w:t>
      </w:r>
      <w:r w:rsidR="008B7499" w:rsidRPr="00086598">
        <w:rPr>
          <w:rFonts w:ascii="Arial" w:hAnsi="Arial" w:cs="Arial"/>
          <w:bCs/>
        </w:rPr>
        <w:t xml:space="preserve">. Health walks </w:t>
      </w:r>
      <w:r w:rsidR="0077085D" w:rsidRPr="00086598">
        <w:rPr>
          <w:rFonts w:ascii="Arial" w:hAnsi="Arial" w:cs="Arial"/>
          <w:bCs/>
        </w:rPr>
        <w:t xml:space="preserve">are </w:t>
      </w:r>
      <w:r w:rsidR="0031257B" w:rsidRPr="00086598">
        <w:rPr>
          <w:rFonts w:ascii="Arial" w:hAnsi="Arial" w:cs="Arial"/>
          <w:bCs/>
        </w:rPr>
        <w:t xml:space="preserve">predominantly </w:t>
      </w:r>
      <w:r w:rsidR="0077085D" w:rsidRPr="00086598">
        <w:rPr>
          <w:rFonts w:ascii="Arial" w:hAnsi="Arial" w:cs="Arial"/>
          <w:bCs/>
        </w:rPr>
        <w:t>attended b</w:t>
      </w:r>
      <w:r w:rsidR="00347E72" w:rsidRPr="00086598">
        <w:rPr>
          <w:rFonts w:ascii="Arial" w:hAnsi="Arial" w:cs="Arial"/>
          <w:bCs/>
        </w:rPr>
        <w:t xml:space="preserve">y older people </w:t>
      </w:r>
      <w:r w:rsidR="008B7499" w:rsidRPr="00086598">
        <w:rPr>
          <w:rFonts w:ascii="Arial" w:hAnsi="Arial" w:cs="Arial"/>
          <w:bCs/>
        </w:rPr>
        <w:t xml:space="preserve">and therefore the scheme </w:t>
      </w:r>
      <w:r w:rsidR="00777670" w:rsidRPr="00086598">
        <w:rPr>
          <w:rFonts w:ascii="Arial" w:hAnsi="Arial" w:cs="Arial"/>
          <w:bCs/>
        </w:rPr>
        <w:t xml:space="preserve">could </w:t>
      </w:r>
      <w:r w:rsidR="008B7499" w:rsidRPr="00086598">
        <w:rPr>
          <w:rFonts w:ascii="Arial" w:hAnsi="Arial" w:cs="Arial"/>
          <w:bCs/>
        </w:rPr>
        <w:t xml:space="preserve">be well positioned to have </w:t>
      </w:r>
      <w:r w:rsidR="00777670" w:rsidRPr="00086598">
        <w:rPr>
          <w:rFonts w:ascii="Arial" w:hAnsi="Arial" w:cs="Arial"/>
          <w:bCs/>
        </w:rPr>
        <w:t>a positive impact on the physical activity levels of older people</w:t>
      </w:r>
      <w:r w:rsidR="008B7499" w:rsidRPr="00086598">
        <w:rPr>
          <w:rFonts w:ascii="Arial" w:hAnsi="Arial" w:cs="Arial"/>
          <w:bCs/>
        </w:rPr>
        <w:t>, a group at particular risk of inactivity</w:t>
      </w:r>
      <w:r w:rsidR="005E36F1" w:rsidRPr="00086598">
        <w:rPr>
          <w:rFonts w:ascii="Arial" w:hAnsi="Arial" w:cs="Arial"/>
          <w:bCs/>
        </w:rPr>
        <w:t xml:space="preserve"> </w:t>
      </w:r>
      <w:r w:rsidR="005E36F1" w:rsidRPr="00086598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&lt;EndNote&gt;&lt;Cite&gt;&lt;Author&gt;Doyle&lt;/Author&gt;&lt;Year&gt;2012&lt;/Year&gt;&lt;RecNum&gt;3795&lt;/RecNum&gt;&lt;DisplayText&gt;[42]&lt;/DisplayText&gt;&lt;record&gt;&lt;rec-number&gt;3795&lt;/rec-number&gt;&lt;foreign-keys&gt;&lt;key app="EN" db-id="prxtsfzvix5rpde9zrnpewvb5aaxdewa02df"&gt;3795&lt;/key&gt;&lt;/foreign-keys&gt;&lt;ref-type name="Journal Article"&gt;17&lt;/ref-type&gt;&lt;contributors&gt;&lt;authors&gt;&lt;author&gt;Doyle, Yvonne G.&lt;/author&gt;&lt;author&gt;Mc Kee, Martin&lt;/author&gt;&lt;author&gt;Sherriff, Martyn&lt;/author&gt;&lt;/authors&gt;&lt;/contributors&gt;&lt;titles&gt;&lt;title&gt;A model of successful ageing in British populations&lt;/title&gt;&lt;secondary-title&gt;The European Journal of Public Health&lt;/secondary-title&gt;&lt;/titles&gt;&lt;periodical&gt;&lt;full-title&gt;The European Journal of Public Health&lt;/full-title&gt;&lt;/periodical&gt;&lt;pages&gt;71-76&lt;/pages&gt;&lt;volume&gt;22&lt;/volume&gt;&lt;number&gt;1&lt;/number&gt;&lt;dates&gt;&lt;year&gt;2012&lt;/year&gt;&lt;pub-dates&gt;&lt;date&gt;February 1, 2012&lt;/date&gt;&lt;/pub-dates&gt;&lt;/dates&gt;&lt;urls&gt;&lt;related-urls&gt;&lt;url&gt;http://eurpub.oxfordjournals.org/content/22/1/71.abstract&lt;/url&gt;&lt;/related-urls&gt;&lt;/urls&gt;&lt;electronic-resource-num&gt;10.1093/eurpub/ckq132&lt;/electronic-resource-num&gt;&lt;/record&gt;&lt;/Cite&gt;&lt;/EndNote&gt;</w:instrText>
      </w:r>
      <w:r w:rsidR="005E36F1" w:rsidRPr="00086598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42" w:tooltip="Doyle, 2012 #3795" w:history="1">
        <w:r w:rsidR="003A47F3">
          <w:rPr>
            <w:rFonts w:ascii="Arial" w:hAnsi="Arial" w:cs="Arial"/>
            <w:bCs/>
            <w:noProof/>
          </w:rPr>
          <w:t>42</w:t>
        </w:r>
      </w:hyperlink>
      <w:r w:rsidR="00471A05">
        <w:rPr>
          <w:rFonts w:ascii="Arial" w:hAnsi="Arial" w:cs="Arial"/>
          <w:bCs/>
          <w:noProof/>
        </w:rPr>
        <w:t>]</w:t>
      </w:r>
      <w:r w:rsidR="005E36F1" w:rsidRPr="00086598">
        <w:rPr>
          <w:rFonts w:ascii="Arial" w:hAnsi="Arial" w:cs="Arial"/>
          <w:bCs/>
        </w:rPr>
        <w:fldChar w:fldCharType="end"/>
      </w:r>
      <w:r w:rsidR="00684D1F">
        <w:rPr>
          <w:rFonts w:ascii="Arial" w:hAnsi="Arial" w:cs="Arial"/>
          <w:bCs/>
        </w:rPr>
        <w:t>.</w:t>
      </w:r>
      <w:r w:rsidR="00F10026">
        <w:rPr>
          <w:rFonts w:ascii="Arial" w:hAnsi="Arial" w:cs="Arial"/>
          <w:bCs/>
        </w:rPr>
        <w:t xml:space="preserve"> </w:t>
      </w:r>
      <w:r w:rsidR="0089542B">
        <w:rPr>
          <w:rFonts w:ascii="Arial" w:hAnsi="Arial" w:cs="Arial"/>
          <w:bCs/>
        </w:rPr>
        <w:t>Group walks may</w:t>
      </w:r>
      <w:r w:rsidR="001F06D2" w:rsidRPr="00086598">
        <w:rPr>
          <w:rFonts w:ascii="Arial" w:hAnsi="Arial" w:cs="Arial"/>
          <w:bCs/>
        </w:rPr>
        <w:t xml:space="preserve"> help address the social isolation, loneliness and higher levels of deprivation that are linked with pensioners who live alone</w:t>
      </w:r>
      <w:r w:rsidR="00EE755D" w:rsidRPr="00086598">
        <w:rPr>
          <w:rFonts w:ascii="Arial" w:hAnsi="Arial" w:cs="Arial"/>
          <w:bCs/>
        </w:rPr>
        <w:t xml:space="preserve"> </w:t>
      </w:r>
      <w:r w:rsidR="00EE755D" w:rsidRPr="00086598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&lt;EndNote&gt;&lt;Cite&gt;&lt;Author&gt;Public Health England&lt;/Author&gt;&lt;Year&gt;2013&lt;/Year&gt;&lt;RecNum&gt;3805&lt;/RecNum&gt;&lt;DisplayText&gt;[43]&lt;/DisplayText&gt;&lt;record&gt;&lt;rec-number&gt;3805&lt;/rec-number&gt;&lt;foreign-keys&gt;&lt;key app="EN" db-id="prxtsfzvix5rpde9zrnpewvb5aaxdewa02df"&gt;3805&lt;/key&gt;&lt;/foreign-keys&gt;&lt;ref-type name="Web Page"&gt;12&lt;/ref-type&gt;&lt;contributors&gt;&lt;authors&gt;&lt;author&gt;Public Health England,&lt;/author&gt;&lt;/authors&gt;&lt;/contributors&gt;&lt;titles&gt;&lt;title&gt;Pensioners living alone. Small area indicators for Joint Strategic Needs assessment&lt;/title&gt;&lt;/titles&gt;&lt;number&gt;16th June 2014]&lt;/number&gt;&lt;dates&gt;&lt;year&gt;2013&lt;/year&gt;&lt;/dates&gt;&lt;urls&gt;&lt;related-urls&gt;&lt;url&gt;http://www.localhealth.org.uk/#l=en;v=map9&lt;/url&gt;&lt;/related-urls&gt;&lt;/urls&gt;&lt;/record&gt;&lt;/Cite&gt;&lt;/EndNote&gt;</w:instrText>
      </w:r>
      <w:r w:rsidR="00EE755D" w:rsidRPr="00086598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43" w:tooltip="Public Health England, 2013 #3805" w:history="1">
        <w:r w:rsidR="003A47F3">
          <w:rPr>
            <w:rFonts w:ascii="Arial" w:hAnsi="Arial" w:cs="Arial"/>
            <w:bCs/>
            <w:noProof/>
          </w:rPr>
          <w:t>43</w:t>
        </w:r>
      </w:hyperlink>
      <w:r w:rsidR="00471A05">
        <w:rPr>
          <w:rFonts w:ascii="Arial" w:hAnsi="Arial" w:cs="Arial"/>
          <w:bCs/>
          <w:noProof/>
        </w:rPr>
        <w:t>]</w:t>
      </w:r>
      <w:r w:rsidR="00EE755D" w:rsidRPr="00086598">
        <w:rPr>
          <w:rFonts w:ascii="Arial" w:hAnsi="Arial" w:cs="Arial"/>
          <w:bCs/>
        </w:rPr>
        <w:fldChar w:fldCharType="end"/>
      </w:r>
      <w:r w:rsidR="001F06D2" w:rsidRPr="00086598">
        <w:rPr>
          <w:rFonts w:ascii="Arial" w:hAnsi="Arial" w:cs="Arial"/>
          <w:bCs/>
        </w:rPr>
        <w:t>.</w:t>
      </w:r>
      <w:r w:rsidR="00777670" w:rsidRPr="00086598">
        <w:rPr>
          <w:rFonts w:ascii="Arial" w:hAnsi="Arial" w:cs="Arial"/>
          <w:bCs/>
        </w:rPr>
        <w:t xml:space="preserve"> </w:t>
      </w:r>
      <w:r w:rsidR="008B7499" w:rsidRPr="00086598">
        <w:rPr>
          <w:rFonts w:ascii="Arial" w:hAnsi="Arial" w:cs="Arial"/>
          <w:bCs/>
        </w:rPr>
        <w:t>Indeed, there is evidence of a</w:t>
      </w:r>
      <w:r w:rsidR="00917020">
        <w:rPr>
          <w:rFonts w:ascii="Arial" w:hAnsi="Arial" w:cs="Arial"/>
          <w:bCs/>
        </w:rPr>
        <w:t>n</w:t>
      </w:r>
      <w:r w:rsidR="008B7499" w:rsidRPr="00086598">
        <w:rPr>
          <w:rFonts w:ascii="Arial" w:hAnsi="Arial" w:cs="Arial"/>
          <w:bCs/>
        </w:rPr>
        <w:t xml:space="preserve"> </w:t>
      </w:r>
      <w:r w:rsidR="008B7FB6">
        <w:rPr>
          <w:rFonts w:ascii="Arial" w:hAnsi="Arial" w:cs="Arial"/>
          <w:bCs/>
        </w:rPr>
        <w:t>income-</w:t>
      </w:r>
      <w:r w:rsidR="008B7499" w:rsidRPr="00086598">
        <w:rPr>
          <w:rFonts w:ascii="Arial" w:hAnsi="Arial" w:cs="Arial"/>
          <w:bCs/>
        </w:rPr>
        <w:t xml:space="preserve">age gradient </w:t>
      </w:r>
      <w:r w:rsidR="00917020">
        <w:rPr>
          <w:rFonts w:ascii="Arial" w:hAnsi="Arial" w:cs="Arial"/>
          <w:bCs/>
        </w:rPr>
        <w:t xml:space="preserve">in physical activity </w:t>
      </w:r>
      <w:r w:rsidR="008B7499" w:rsidRPr="00086598">
        <w:rPr>
          <w:rFonts w:ascii="Arial" w:hAnsi="Arial" w:cs="Arial"/>
          <w:bCs/>
        </w:rPr>
        <w:t xml:space="preserve">with the largest differences </w:t>
      </w:r>
      <w:r w:rsidR="00917020">
        <w:rPr>
          <w:rFonts w:ascii="Arial" w:hAnsi="Arial" w:cs="Arial"/>
          <w:bCs/>
        </w:rPr>
        <w:t xml:space="preserve">by income </w:t>
      </w:r>
      <w:r w:rsidR="008B7499" w:rsidRPr="00086598">
        <w:rPr>
          <w:rFonts w:ascii="Arial" w:hAnsi="Arial" w:cs="Arial"/>
          <w:bCs/>
        </w:rPr>
        <w:t>occurring in those who are up to 10 years post statutory retirement age</w:t>
      </w:r>
      <w:r w:rsidR="00A1338B" w:rsidRPr="00086598">
        <w:rPr>
          <w:rFonts w:ascii="Arial" w:hAnsi="Arial" w:cs="Arial"/>
          <w:bCs/>
        </w:rPr>
        <w:t xml:space="preserve"> </w:t>
      </w:r>
      <w:r w:rsidR="00A1338B" w:rsidRPr="00086598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&lt;EndNote&gt;&lt;Cite&gt;&lt;Author&gt;Farrell&lt;/Author&gt;&lt;Year&gt;2013&lt;/Year&gt;&lt;RecNum&gt;3634&lt;/RecNum&gt;&lt;DisplayText&gt;[44]&lt;/DisplayText&gt;&lt;record&gt;&lt;rec-number&gt;3634&lt;/rec-number&gt;&lt;foreign-keys&gt;&lt;key app="EN" db-id="prxtsfzvix5rpde9zrnpewvb5aaxdewa02df"&gt;3634&lt;/key&gt;&lt;/foreign-keys&gt;&lt;ref-type name="Report"&gt;27&lt;/ref-type&gt;&lt;contributors&gt;&lt;authors&gt;&lt;author&gt;Farrell, L. &lt;/author&gt;&lt;author&gt;Hollingsworht, B. &lt;/author&gt;&lt;author&gt;Propper, C. &lt;/author&gt;&lt;author&gt;Shilelds, M A.&lt;/author&gt;&lt;/authors&gt;&lt;/contributors&gt;&lt;titles&gt;&lt;title&gt;The Socioeconomic Gradient in Physical Inactivity in England&lt;/title&gt;&lt;/titles&gt;&lt;number&gt;2nd February 2014]&lt;/number&gt;&lt;dates&gt;&lt;year&gt;2013&lt;/year&gt;&lt;pub-dates&gt;&lt;date&gt;26/11/2013&lt;/date&gt;&lt;/pub-dates&gt;&lt;/dates&gt;&lt;pub-location&gt;Bristol, England&lt;/pub-location&gt;&lt;publisher&gt;Centre for Market and Public Organisation, University of Bristol&amp;#xD;&lt;/publisher&gt;&lt;urls&gt;&lt;related-urls&gt;&lt;url&gt;http://www.bristol.ac.uk/cmpo/publications/papers/2013/wp311.pdf&lt;/url&gt;&lt;/related-urls&gt;&lt;/urls&gt;&lt;/record&gt;&lt;/Cite&gt;&lt;/EndNote&gt;</w:instrText>
      </w:r>
      <w:r w:rsidR="00A1338B" w:rsidRPr="00086598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44" w:tooltip="Farrell, 2013 #3634" w:history="1">
        <w:r w:rsidR="003A47F3">
          <w:rPr>
            <w:rFonts w:ascii="Arial" w:hAnsi="Arial" w:cs="Arial"/>
            <w:bCs/>
            <w:noProof/>
          </w:rPr>
          <w:t>44</w:t>
        </w:r>
      </w:hyperlink>
      <w:r w:rsidR="00471A05">
        <w:rPr>
          <w:rFonts w:ascii="Arial" w:hAnsi="Arial" w:cs="Arial"/>
          <w:bCs/>
          <w:noProof/>
        </w:rPr>
        <w:t>]</w:t>
      </w:r>
      <w:r w:rsidR="00A1338B" w:rsidRPr="00086598">
        <w:rPr>
          <w:rFonts w:ascii="Arial" w:hAnsi="Arial" w:cs="Arial"/>
          <w:bCs/>
        </w:rPr>
        <w:fldChar w:fldCharType="end"/>
      </w:r>
      <w:r w:rsidR="00684D1F">
        <w:rPr>
          <w:rFonts w:ascii="Arial" w:hAnsi="Arial" w:cs="Arial"/>
          <w:bCs/>
        </w:rPr>
        <w:t>.</w:t>
      </w:r>
      <w:r w:rsidR="008B7499" w:rsidRPr="00086598">
        <w:rPr>
          <w:rFonts w:ascii="Arial" w:hAnsi="Arial" w:cs="Arial"/>
          <w:bCs/>
        </w:rPr>
        <w:t xml:space="preserve"> </w:t>
      </w:r>
      <w:r w:rsidR="00B90028">
        <w:rPr>
          <w:rFonts w:ascii="Arial" w:hAnsi="Arial" w:cs="Arial"/>
          <w:bCs/>
        </w:rPr>
        <w:t>I</w:t>
      </w:r>
      <w:r w:rsidR="008B7499" w:rsidRPr="00086598">
        <w:rPr>
          <w:rFonts w:ascii="Arial" w:hAnsi="Arial" w:cs="Arial"/>
          <w:bCs/>
        </w:rPr>
        <w:t xml:space="preserve">t is of concern </w:t>
      </w:r>
      <w:r w:rsidR="00C044EE">
        <w:rPr>
          <w:rFonts w:ascii="Arial" w:hAnsi="Arial" w:cs="Arial"/>
          <w:bCs/>
        </w:rPr>
        <w:t xml:space="preserve">however, </w:t>
      </w:r>
      <w:r w:rsidR="008B7499" w:rsidRPr="00086598">
        <w:rPr>
          <w:rFonts w:ascii="Arial" w:hAnsi="Arial" w:cs="Arial"/>
          <w:bCs/>
        </w:rPr>
        <w:t xml:space="preserve">that walk provision was generally poorer in areas with the </w:t>
      </w:r>
      <w:r w:rsidR="00C044EE">
        <w:rPr>
          <w:rFonts w:ascii="Arial" w:hAnsi="Arial" w:cs="Arial"/>
          <w:bCs/>
        </w:rPr>
        <w:t xml:space="preserve">greatest </w:t>
      </w:r>
      <w:r w:rsidR="008B7499" w:rsidRPr="00086598">
        <w:rPr>
          <w:rFonts w:ascii="Arial" w:hAnsi="Arial" w:cs="Arial"/>
          <w:bCs/>
        </w:rPr>
        <w:t xml:space="preserve">need measured by the other </w:t>
      </w:r>
      <w:r w:rsidR="00482BF6">
        <w:rPr>
          <w:rFonts w:ascii="Arial" w:hAnsi="Arial" w:cs="Arial"/>
          <w:bCs/>
        </w:rPr>
        <w:t xml:space="preserve">health and </w:t>
      </w:r>
      <w:r w:rsidR="009E6B9F">
        <w:rPr>
          <w:rFonts w:ascii="Arial" w:hAnsi="Arial" w:cs="Arial"/>
          <w:bCs/>
        </w:rPr>
        <w:t>socio-economic</w:t>
      </w:r>
      <w:r w:rsidR="00482BF6">
        <w:rPr>
          <w:rFonts w:ascii="Arial" w:hAnsi="Arial" w:cs="Arial"/>
          <w:bCs/>
        </w:rPr>
        <w:t xml:space="preserve"> </w:t>
      </w:r>
      <w:r w:rsidR="008B7499" w:rsidRPr="00086598">
        <w:rPr>
          <w:rFonts w:ascii="Arial" w:hAnsi="Arial" w:cs="Arial"/>
          <w:bCs/>
        </w:rPr>
        <w:t>indicators</w:t>
      </w:r>
      <w:r w:rsidR="001C3A0C">
        <w:rPr>
          <w:rFonts w:ascii="Arial" w:hAnsi="Arial" w:cs="Arial"/>
          <w:bCs/>
        </w:rPr>
        <w:t xml:space="preserve"> </w:t>
      </w:r>
    </w:p>
    <w:p w14:paraId="5F3A7A66" w14:textId="77777777" w:rsidR="00D4529A" w:rsidRDefault="00D4529A" w:rsidP="0045462A">
      <w:pPr>
        <w:spacing w:after="0" w:line="480" w:lineRule="auto"/>
        <w:rPr>
          <w:rFonts w:ascii="Arial" w:hAnsi="Arial" w:cs="Arial"/>
          <w:bCs/>
        </w:rPr>
      </w:pPr>
    </w:p>
    <w:p w14:paraId="61768F57" w14:textId="778C9A0A" w:rsidR="00D059F0" w:rsidRDefault="004F2BAA" w:rsidP="0045462A"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1C3A0C">
        <w:rPr>
          <w:rFonts w:ascii="Arial" w:hAnsi="Arial" w:cs="Arial"/>
          <w:bCs/>
        </w:rPr>
        <w:t xml:space="preserve">t is probably the case that the measures we used to describe each LA captured an overall health and socio-economic disadvantage </w:t>
      </w:r>
      <w:r w:rsidR="000E6630">
        <w:rPr>
          <w:rFonts w:ascii="Arial" w:hAnsi="Arial" w:cs="Arial"/>
          <w:bCs/>
        </w:rPr>
        <w:t xml:space="preserve">in certain areas </w:t>
      </w:r>
      <w:r w:rsidR="001C3A0C">
        <w:rPr>
          <w:rFonts w:ascii="Arial" w:hAnsi="Arial" w:cs="Arial"/>
          <w:bCs/>
        </w:rPr>
        <w:t xml:space="preserve">and that some of the measures we used were better at </w:t>
      </w:r>
      <w:r w:rsidR="000E6630">
        <w:rPr>
          <w:rFonts w:ascii="Arial" w:hAnsi="Arial" w:cs="Arial"/>
          <w:bCs/>
        </w:rPr>
        <w:t>picking this up</w:t>
      </w:r>
      <w:r w:rsidR="001C3A0C">
        <w:rPr>
          <w:rFonts w:ascii="Arial" w:hAnsi="Arial" w:cs="Arial"/>
          <w:bCs/>
        </w:rPr>
        <w:t xml:space="preserve"> than others.  </w:t>
      </w:r>
      <w:r w:rsidR="000E6630">
        <w:rPr>
          <w:rFonts w:ascii="Arial" w:hAnsi="Arial" w:cs="Arial"/>
          <w:bCs/>
        </w:rPr>
        <w:t xml:space="preserve">As a consequence specific associations with individual measures need to be interpreted with caution. </w:t>
      </w:r>
      <w:r>
        <w:rPr>
          <w:rFonts w:ascii="Arial" w:hAnsi="Arial" w:cs="Arial"/>
          <w:bCs/>
        </w:rPr>
        <w:t xml:space="preserve">However, it is noteworthy that </w:t>
      </w:r>
      <w:r w:rsidRPr="004F2BAA">
        <w:rPr>
          <w:rFonts w:ascii="Arial" w:hAnsi="Arial" w:cs="Arial"/>
          <w:bCs/>
        </w:rPr>
        <w:t xml:space="preserve">where there was no evidence of </w:t>
      </w:r>
      <w:r>
        <w:rPr>
          <w:rFonts w:ascii="Arial" w:hAnsi="Arial" w:cs="Arial"/>
          <w:bCs/>
        </w:rPr>
        <w:t>the walk provision</w:t>
      </w:r>
      <w:r w:rsidRPr="004F2BAA">
        <w:rPr>
          <w:rFonts w:ascii="Arial" w:hAnsi="Arial" w:cs="Arial"/>
          <w:bCs/>
        </w:rPr>
        <w:t xml:space="preserve"> being provided at</w:t>
      </w:r>
      <w:r>
        <w:rPr>
          <w:rFonts w:ascii="Arial" w:hAnsi="Arial" w:cs="Arial"/>
          <w:bCs/>
        </w:rPr>
        <w:t xml:space="preserve"> all, this</w:t>
      </w:r>
      <w:r w:rsidRPr="004F2BAA">
        <w:rPr>
          <w:rFonts w:ascii="Arial" w:hAnsi="Arial" w:cs="Arial"/>
          <w:bCs/>
        </w:rPr>
        <w:t xml:space="preserve"> tended to be in those LAs with a poorer health and socio-economic profile</w:t>
      </w:r>
      <w:r w:rsidR="000E6630">
        <w:rPr>
          <w:rFonts w:ascii="Arial" w:hAnsi="Arial" w:cs="Arial"/>
          <w:bCs/>
        </w:rPr>
        <w:t xml:space="preserve"> across a wide range of measures</w:t>
      </w:r>
      <w:r w:rsidR="00D4529A">
        <w:rPr>
          <w:rFonts w:ascii="Arial" w:hAnsi="Arial" w:cs="Arial"/>
          <w:bCs/>
        </w:rPr>
        <w:t xml:space="preserve">. </w:t>
      </w:r>
      <w:r w:rsidR="00AA5C67">
        <w:rPr>
          <w:rFonts w:ascii="Arial" w:hAnsi="Arial" w:cs="Arial"/>
          <w:bCs/>
        </w:rPr>
        <w:t>This is despite the fact that the organisation</w:t>
      </w:r>
      <w:r w:rsidR="00AA5C67" w:rsidRPr="00B93C00">
        <w:rPr>
          <w:rFonts w:ascii="Arial" w:hAnsi="Arial" w:cs="Arial"/>
          <w:bCs/>
        </w:rPr>
        <w:t xml:space="preserve"> </w:t>
      </w:r>
      <w:r w:rsidR="00AA5C67">
        <w:rPr>
          <w:rFonts w:ascii="Arial" w:hAnsi="Arial" w:cs="Arial"/>
          <w:bCs/>
        </w:rPr>
        <w:t xml:space="preserve">in this case study encourages the start-up of new schemes, and it offers information </w:t>
      </w:r>
      <w:r w:rsidR="00AA5C67" w:rsidRPr="00B93C00">
        <w:rPr>
          <w:rFonts w:ascii="Arial" w:hAnsi="Arial" w:cs="Arial"/>
          <w:bCs/>
        </w:rPr>
        <w:t xml:space="preserve">to </w:t>
      </w:r>
      <w:r w:rsidR="00AA5C67">
        <w:rPr>
          <w:rFonts w:ascii="Arial" w:hAnsi="Arial" w:cs="Arial"/>
          <w:bCs/>
        </w:rPr>
        <w:t>assist</w:t>
      </w:r>
      <w:r w:rsidR="00AA5C67" w:rsidRPr="00B93C00">
        <w:rPr>
          <w:rFonts w:ascii="Arial" w:hAnsi="Arial" w:cs="Arial"/>
          <w:bCs/>
        </w:rPr>
        <w:t xml:space="preserve"> those </w:t>
      </w:r>
      <w:r w:rsidR="00AA5C67">
        <w:rPr>
          <w:rFonts w:ascii="Arial" w:hAnsi="Arial" w:cs="Arial"/>
          <w:bCs/>
        </w:rPr>
        <w:t>who might want to set</w:t>
      </w:r>
      <w:r w:rsidR="00AA5C67" w:rsidRPr="00B93C00">
        <w:rPr>
          <w:rFonts w:ascii="Arial" w:hAnsi="Arial" w:cs="Arial"/>
          <w:bCs/>
        </w:rPr>
        <w:t xml:space="preserve"> up new group walks </w:t>
      </w:r>
      <w:r w:rsidR="00AA5C67">
        <w:rPr>
          <w:rFonts w:ascii="Arial" w:hAnsi="Arial" w:cs="Arial"/>
          <w:bCs/>
        </w:rPr>
        <w:t xml:space="preserve">in their community on </w:t>
      </w:r>
      <w:r w:rsidR="00AA5C67" w:rsidRPr="00B93C00">
        <w:rPr>
          <w:rFonts w:ascii="Arial" w:hAnsi="Arial" w:cs="Arial"/>
          <w:bCs/>
        </w:rPr>
        <w:t xml:space="preserve">how to apply for local funding from sources such as </w:t>
      </w:r>
      <w:r w:rsidR="00AA5C67">
        <w:rPr>
          <w:rFonts w:ascii="Arial" w:hAnsi="Arial" w:cs="Arial"/>
          <w:bCs/>
        </w:rPr>
        <w:t>local public health</w:t>
      </w:r>
      <w:r w:rsidR="00AA5C67" w:rsidRPr="00B93C00">
        <w:rPr>
          <w:rFonts w:ascii="Arial" w:hAnsi="Arial" w:cs="Arial"/>
          <w:bCs/>
        </w:rPr>
        <w:t xml:space="preserve"> and the NHS. </w:t>
      </w:r>
      <w:r w:rsidR="00AA5C67">
        <w:rPr>
          <w:rFonts w:ascii="Arial" w:hAnsi="Arial" w:cs="Arial"/>
          <w:bCs/>
        </w:rPr>
        <w:t>It is thus of concern that</w:t>
      </w:r>
      <w:r w:rsidR="000E6630">
        <w:rPr>
          <w:rFonts w:ascii="Arial" w:hAnsi="Arial" w:cs="Arial"/>
          <w:bCs/>
        </w:rPr>
        <w:t xml:space="preserve"> the initial impetus to instigate the scheme </w:t>
      </w:r>
      <w:r w:rsidR="00AA5C67">
        <w:rPr>
          <w:rFonts w:ascii="Arial" w:hAnsi="Arial" w:cs="Arial"/>
          <w:bCs/>
        </w:rPr>
        <w:t>appears</w:t>
      </w:r>
      <w:r w:rsidR="000E6630">
        <w:rPr>
          <w:rFonts w:ascii="Arial" w:hAnsi="Arial" w:cs="Arial"/>
          <w:bCs/>
        </w:rPr>
        <w:t xml:space="preserve"> is most lacking in deprived areas rather than limitations in the provision of new walks in </w:t>
      </w:r>
      <w:r w:rsidR="005B7E51">
        <w:rPr>
          <w:rFonts w:ascii="Arial" w:hAnsi="Arial" w:cs="Arial"/>
          <w:bCs/>
        </w:rPr>
        <w:t>localities</w:t>
      </w:r>
      <w:r w:rsidR="000E6630">
        <w:rPr>
          <w:rFonts w:ascii="Arial" w:hAnsi="Arial" w:cs="Arial"/>
          <w:bCs/>
        </w:rPr>
        <w:t xml:space="preserve"> where some alr</w:t>
      </w:r>
      <w:r w:rsidR="005B7E51">
        <w:rPr>
          <w:rFonts w:ascii="Arial" w:hAnsi="Arial" w:cs="Arial"/>
          <w:bCs/>
        </w:rPr>
        <w:t xml:space="preserve">eady present. For the scheme to operate more universally the particular barriers involved in starting walks when none are present may need to be addressed. </w:t>
      </w:r>
    </w:p>
    <w:p w14:paraId="1C65F937" w14:textId="77777777" w:rsidR="000E6630" w:rsidRDefault="000E6630" w:rsidP="0045462A">
      <w:pPr>
        <w:spacing w:after="0" w:line="480" w:lineRule="auto"/>
        <w:rPr>
          <w:rFonts w:ascii="Arial" w:hAnsi="Arial" w:cs="Arial"/>
          <w:bCs/>
        </w:rPr>
      </w:pPr>
    </w:p>
    <w:p w14:paraId="05FAD9EA" w14:textId="5FD56D4F" w:rsidR="00AA5C67" w:rsidRDefault="00D059F0" w:rsidP="00B93C00">
      <w:pPr>
        <w:spacing w:after="0" w:line="480" w:lineRule="auto"/>
        <w:rPr>
          <w:rFonts w:ascii="Arial" w:hAnsi="Arial" w:cs="Arial"/>
          <w:bCs/>
        </w:rPr>
      </w:pPr>
      <w:r w:rsidRPr="00D059F0">
        <w:rPr>
          <w:rFonts w:ascii="Arial" w:hAnsi="Arial" w:cs="Arial"/>
          <w:bCs/>
        </w:rPr>
        <w:t>The intervention considered in this case study started as a small local initiativ</w:t>
      </w:r>
      <w:r w:rsidR="008178C3">
        <w:rPr>
          <w:rFonts w:ascii="Arial" w:hAnsi="Arial" w:cs="Arial"/>
          <w:bCs/>
        </w:rPr>
        <w:t xml:space="preserve">e which has </w:t>
      </w:r>
      <w:r w:rsidRPr="00D059F0">
        <w:rPr>
          <w:rFonts w:ascii="Arial" w:hAnsi="Arial" w:cs="Arial"/>
          <w:bCs/>
        </w:rPr>
        <w:t xml:space="preserve">grown </w:t>
      </w:r>
      <w:r w:rsidR="00445DC3">
        <w:rPr>
          <w:rFonts w:ascii="Arial" w:hAnsi="Arial" w:cs="Arial"/>
          <w:bCs/>
        </w:rPr>
        <w:t xml:space="preserve">organically </w:t>
      </w:r>
      <w:r w:rsidR="008178C3">
        <w:rPr>
          <w:rFonts w:ascii="Arial" w:hAnsi="Arial" w:cs="Arial"/>
          <w:bCs/>
        </w:rPr>
        <w:t xml:space="preserve">into a </w:t>
      </w:r>
      <w:r w:rsidR="007A64D7">
        <w:rPr>
          <w:rFonts w:ascii="Arial" w:hAnsi="Arial" w:cs="Arial"/>
          <w:bCs/>
        </w:rPr>
        <w:t xml:space="preserve">large </w:t>
      </w:r>
      <w:r w:rsidR="008178C3">
        <w:rPr>
          <w:rFonts w:ascii="Arial" w:hAnsi="Arial" w:cs="Arial"/>
          <w:bCs/>
        </w:rPr>
        <w:t>national organisation</w:t>
      </w:r>
      <w:r w:rsidR="00EE5D25">
        <w:rPr>
          <w:rFonts w:ascii="Arial" w:hAnsi="Arial" w:cs="Arial"/>
          <w:bCs/>
        </w:rPr>
        <w:t xml:space="preserve"> operating in both urban and rural </w:t>
      </w:r>
      <w:r w:rsidR="00EE5D25">
        <w:rPr>
          <w:rFonts w:ascii="Arial" w:hAnsi="Arial" w:cs="Arial"/>
          <w:bCs/>
        </w:rPr>
        <w:lastRenderedPageBreak/>
        <w:t>communities</w:t>
      </w:r>
      <w:r w:rsidR="008178C3">
        <w:rPr>
          <w:rFonts w:ascii="Arial" w:hAnsi="Arial" w:cs="Arial"/>
          <w:bCs/>
        </w:rPr>
        <w:t>. WfH</w:t>
      </w:r>
      <w:r w:rsidRPr="00D059F0">
        <w:rPr>
          <w:rFonts w:ascii="Arial" w:hAnsi="Arial" w:cs="Arial"/>
          <w:bCs/>
        </w:rPr>
        <w:t xml:space="preserve"> </w:t>
      </w:r>
      <w:r w:rsidR="00445DC3">
        <w:rPr>
          <w:rFonts w:ascii="Arial" w:hAnsi="Arial" w:cs="Arial"/>
          <w:bCs/>
        </w:rPr>
        <w:t>recognises that physical inactivity i</w:t>
      </w:r>
      <w:r w:rsidR="00647869">
        <w:rPr>
          <w:rFonts w:ascii="Arial" w:hAnsi="Arial" w:cs="Arial"/>
          <w:bCs/>
        </w:rPr>
        <w:t>s</w:t>
      </w:r>
      <w:r w:rsidR="00445DC3">
        <w:rPr>
          <w:rFonts w:ascii="Arial" w:hAnsi="Arial" w:cs="Arial"/>
          <w:bCs/>
        </w:rPr>
        <w:t xml:space="preserve"> an increasing challenge and that more health walks </w:t>
      </w:r>
      <w:r w:rsidR="001B50B5">
        <w:rPr>
          <w:rFonts w:ascii="Arial" w:hAnsi="Arial" w:cs="Arial"/>
          <w:bCs/>
        </w:rPr>
        <w:t xml:space="preserve">are needed </w:t>
      </w:r>
      <w:r w:rsidR="00445DC3">
        <w:rPr>
          <w:rFonts w:ascii="Arial" w:hAnsi="Arial" w:cs="Arial"/>
          <w:bCs/>
        </w:rPr>
        <w:t xml:space="preserve">to reach as many people as possible. </w:t>
      </w:r>
      <w:r w:rsidR="00C044EE">
        <w:rPr>
          <w:rFonts w:ascii="Arial" w:hAnsi="Arial" w:cs="Arial"/>
          <w:bCs/>
        </w:rPr>
        <w:t>However, p</w:t>
      </w:r>
      <w:r w:rsidR="008178C3">
        <w:rPr>
          <w:rFonts w:ascii="Arial" w:hAnsi="Arial" w:cs="Arial"/>
          <w:bCs/>
        </w:rPr>
        <w:t>revious research has cautioned that</w:t>
      </w:r>
      <w:r w:rsidR="00D71228">
        <w:rPr>
          <w:rFonts w:ascii="Arial" w:hAnsi="Arial" w:cs="Arial"/>
          <w:bCs/>
        </w:rPr>
        <w:t xml:space="preserve"> </w:t>
      </w:r>
      <w:r w:rsidR="000064B7">
        <w:rPr>
          <w:rFonts w:ascii="Arial" w:hAnsi="Arial" w:cs="Arial"/>
          <w:bCs/>
        </w:rPr>
        <w:t xml:space="preserve">walking </w:t>
      </w:r>
      <w:r w:rsidR="00D71228">
        <w:rPr>
          <w:rFonts w:ascii="Arial" w:hAnsi="Arial" w:cs="Arial"/>
          <w:bCs/>
        </w:rPr>
        <w:t xml:space="preserve">interventions may be preferentially taken up by better-off groups </w:t>
      </w:r>
      <w:r w:rsidR="00D71228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&lt;EndNote&gt;&lt;Cite&gt;&lt;Author&gt;Ogilvie&lt;/Author&gt;&lt;Year&gt;2007&lt;/Year&gt;&lt;RecNum&gt;174&lt;/RecNum&gt;&lt;DisplayText&gt;[45]&lt;/DisplayText&gt;&lt;record&gt;&lt;rec-number&gt;174&lt;/rec-number&gt;&lt;foreign-keys&gt;&lt;key app="EN" db-id="prxtsfzvix5rpde9zrnpewvb5aaxdewa02df"&gt;174&lt;/key&gt;&lt;/foreign-keys&gt;&lt;ref-type name="Journal Article"&gt;17&lt;/ref-type&gt;&lt;contributors&gt;&lt;authors&gt;&lt;author&gt;Ogilvie, D&lt;/author&gt;&lt;author&gt;Foster, CE&lt;/author&gt;&lt;author&gt;Rothnie, H&lt;/author&gt;&lt;/authors&gt;&lt;/contributors&gt;&lt;titles&gt;&lt;title&gt;Interventions to promote walking: systematic review&lt;/title&gt;&lt;secondary-title&gt;BMJ&lt;/secondary-title&gt;&lt;/titles&gt;&lt;periodical&gt;&lt;full-title&gt;BMJ&lt;/full-title&gt;&lt;/periodical&gt;&lt;pages&gt;1204 - 1207&lt;/pages&gt;&lt;volume&gt;334&lt;/volume&gt;&lt;number&gt;7605&lt;/number&gt;&lt;dates&gt;&lt;year&gt;2007&lt;/year&gt;&lt;/dates&gt;&lt;accession-num&gt;doi:10.1136/bmj.39198.722720.BE&lt;/accession-num&gt;&lt;urls&gt;&lt;/urls&gt;&lt;/record&gt;&lt;/Cite&gt;&lt;/EndNote&gt;</w:instrText>
      </w:r>
      <w:r w:rsidR="00D71228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45" w:tooltip="Ogilvie, 2007 #174" w:history="1">
        <w:r w:rsidR="003A47F3">
          <w:rPr>
            <w:rFonts w:ascii="Arial" w:hAnsi="Arial" w:cs="Arial"/>
            <w:bCs/>
            <w:noProof/>
          </w:rPr>
          <w:t>45</w:t>
        </w:r>
      </w:hyperlink>
      <w:r w:rsidR="00471A05">
        <w:rPr>
          <w:rFonts w:ascii="Arial" w:hAnsi="Arial" w:cs="Arial"/>
          <w:bCs/>
          <w:noProof/>
        </w:rPr>
        <w:t>]</w:t>
      </w:r>
      <w:r w:rsidR="00D71228">
        <w:rPr>
          <w:rFonts w:ascii="Arial" w:hAnsi="Arial" w:cs="Arial"/>
          <w:bCs/>
        </w:rPr>
        <w:fldChar w:fldCharType="end"/>
      </w:r>
      <w:r w:rsidR="00C044EE">
        <w:rPr>
          <w:rFonts w:ascii="Arial" w:hAnsi="Arial" w:cs="Arial"/>
          <w:bCs/>
        </w:rPr>
        <w:t>. For example, research with one</w:t>
      </w:r>
      <w:r w:rsidR="00D71228">
        <w:rPr>
          <w:rFonts w:ascii="Arial" w:hAnsi="Arial" w:cs="Arial"/>
          <w:bCs/>
        </w:rPr>
        <w:t xml:space="preserve"> walking group organisation found </w:t>
      </w:r>
      <w:r w:rsidR="00D71228" w:rsidRPr="00D71228">
        <w:rPr>
          <w:rFonts w:ascii="Arial" w:hAnsi="Arial" w:cs="Arial"/>
          <w:bCs/>
        </w:rPr>
        <w:t xml:space="preserve">that 72% of the membership </w:t>
      </w:r>
      <w:r w:rsidR="00D71228">
        <w:rPr>
          <w:rFonts w:ascii="Arial" w:hAnsi="Arial" w:cs="Arial"/>
          <w:bCs/>
        </w:rPr>
        <w:t>were</w:t>
      </w:r>
      <w:r w:rsidR="00D71228" w:rsidRPr="00D71228">
        <w:rPr>
          <w:rFonts w:ascii="Arial" w:hAnsi="Arial" w:cs="Arial"/>
          <w:bCs/>
        </w:rPr>
        <w:t xml:space="preserve"> professionals</w:t>
      </w:r>
      <w:r w:rsidR="00D71228">
        <w:rPr>
          <w:rFonts w:ascii="Arial" w:hAnsi="Arial" w:cs="Arial"/>
          <w:bCs/>
        </w:rPr>
        <w:t xml:space="preserve"> with</w:t>
      </w:r>
      <w:r w:rsidR="00D71228" w:rsidRPr="00D71228">
        <w:rPr>
          <w:rFonts w:ascii="Arial" w:hAnsi="Arial" w:cs="Arial"/>
          <w:bCs/>
        </w:rPr>
        <w:t xml:space="preserve"> </w:t>
      </w:r>
      <w:r w:rsidR="000064B7">
        <w:rPr>
          <w:rFonts w:ascii="Arial" w:hAnsi="Arial" w:cs="Arial"/>
          <w:bCs/>
        </w:rPr>
        <w:t>new members attracted</w:t>
      </w:r>
      <w:r w:rsidR="00D71228">
        <w:rPr>
          <w:rFonts w:ascii="Arial" w:hAnsi="Arial" w:cs="Arial"/>
          <w:bCs/>
        </w:rPr>
        <w:t xml:space="preserve"> </w:t>
      </w:r>
      <w:r w:rsidR="00D71228" w:rsidRPr="00D71228">
        <w:rPr>
          <w:rFonts w:ascii="Arial" w:hAnsi="Arial" w:cs="Arial"/>
          <w:bCs/>
        </w:rPr>
        <w:t xml:space="preserve">by </w:t>
      </w:r>
      <w:r w:rsidR="000064B7">
        <w:rPr>
          <w:rFonts w:ascii="Arial" w:hAnsi="Arial" w:cs="Arial"/>
          <w:bCs/>
        </w:rPr>
        <w:t>‘</w:t>
      </w:r>
      <w:r w:rsidR="00D71228" w:rsidRPr="00D71228">
        <w:rPr>
          <w:rFonts w:ascii="Arial" w:hAnsi="Arial" w:cs="Arial"/>
          <w:bCs/>
        </w:rPr>
        <w:t>word of mouth</w:t>
      </w:r>
      <w:r w:rsidR="000064B7">
        <w:rPr>
          <w:rFonts w:ascii="Arial" w:hAnsi="Arial" w:cs="Arial"/>
          <w:bCs/>
        </w:rPr>
        <w:t>’</w:t>
      </w:r>
      <w:r w:rsidR="00D71228">
        <w:rPr>
          <w:rFonts w:ascii="Arial" w:hAnsi="Arial" w:cs="Arial"/>
          <w:bCs/>
        </w:rPr>
        <w:t xml:space="preserve">. This </w:t>
      </w:r>
      <w:r w:rsidR="000064B7">
        <w:rPr>
          <w:rFonts w:ascii="Arial" w:hAnsi="Arial" w:cs="Arial"/>
          <w:bCs/>
        </w:rPr>
        <w:t xml:space="preserve">subsequently attracted people </w:t>
      </w:r>
      <w:r w:rsidR="00D71228" w:rsidRPr="00D71228">
        <w:rPr>
          <w:rFonts w:ascii="Arial" w:hAnsi="Arial" w:cs="Arial"/>
          <w:bCs/>
        </w:rPr>
        <w:t xml:space="preserve">from similar demographics – the retired, middle class and largely female </w:t>
      </w:r>
      <w:r w:rsidR="00D71228" w:rsidRPr="00D71228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&lt;EndNote&gt;&lt;Cite&gt;&lt;Author&gt;Matthews&lt;/Author&gt;&lt;Year&gt;2012&lt;/Year&gt;&lt;RecNum&gt;2257&lt;/RecNum&gt;&lt;DisplayText&gt;[46]&lt;/DisplayText&gt;&lt;record&gt;&lt;rec-number&gt;2257&lt;/rec-number&gt;&lt;foreign-keys&gt;&lt;key app="EN" db-id="prxtsfzvix5rpde9zrnpewvb5aaxdewa02df"&gt;2257&lt;/key&gt;&lt;/foreign-keys&gt;&lt;ref-type name="Journal Article"&gt;17&lt;/ref-type&gt;&lt;contributors&gt;&lt;authors&gt;&lt;author&gt;Matthews, A.&lt;/author&gt;&lt;author&gt;Brennan, G.&lt;/author&gt;&lt;author&gt;Kelly, P.&lt;/author&gt;&lt;author&gt;McAdam, C.&lt;/author&gt;&lt;author&gt;Mutrie, N.&lt;/author&gt;&lt;author&gt;Foster, C.&lt;/author&gt;&lt;/authors&gt;&lt;/contributors&gt;&lt;auth-address&gt;British Heart Foundation Health Promotion Research Group, Department of Public Health, University of Oxford, Oxford, UK. anne.matthews@dphpc.ox.ac.uk&lt;/auth-address&gt;&lt;titles&gt;&lt;title&gt;&amp;quot;Don&amp;apos;t wait for them to come to you, you go to them&amp;quot;. A qualitative study of recruitment approaches in community based walking programmes in the UK&lt;/title&gt;&lt;secondary-title&gt;BMC Public Health&lt;/secondary-title&gt;&lt;/titles&gt;&lt;periodical&gt;&lt;full-title&gt;BMC Public Health&lt;/full-title&gt;&lt;/periodical&gt;&lt;pages&gt;635&lt;/pages&gt;&lt;volume&gt;12&lt;/volume&gt;&lt;dates&gt;&lt;year&gt;2012&lt;/year&gt;&lt;/dates&gt;&lt;accession-num&gt;22882796&lt;/accession-num&gt;&lt;work-type&gt;Research Support, Non-U.S. Gov&amp;apos;t&lt;/work-type&gt;&lt;urls&gt;&lt;related-urls&gt;&lt;url&gt;http://ovidsp.ovid.com/ovidweb.cgi?T=JS&amp;amp;CSC=Y&amp;amp;NEWS=N&amp;amp;PAGE=fulltext&amp;amp;D=prem&amp;amp;AN=22882796&lt;/url&gt;&lt;url&gt;http://mlsfx.lib.uea.ac.uk:8888/sfx_local?sid=OVID:medline&amp;amp;id=pmid:22882796&amp;amp;id=doi:10.1186%2F1471-2458-12-635&amp;amp;issn=1471-2458&amp;amp;isbn=&amp;amp;volume=12&amp;amp;issue=1&amp;amp;spage=635&amp;amp;pages=635&amp;amp;date=2012&amp;amp;title=BMC+Public+Health&amp;amp;atitle=%22Don%27t+wait+for+them+to+come+to+you%2C+you+go+to+them%22.+A+qualitative+study+of+recruitment+approaches+in+community+based+walking+programmes+in+the+UK.&amp;amp;aulast=Matthews&amp;amp;pid=%3Cauthor%3EMatthews+A%3C%2Fauthor%3E%3CAN%3E22882796%3C%2FAN%3E%3CDT%3EJournal+Article%3C%2FDT%3E&lt;/url&gt;&lt;/related-urls&gt;&lt;/urls&gt;&lt;custom2&gt;PMC3490991&lt;/custom2&gt;&lt;remote-database-name&gt;MEDLINE&lt;/remote-database-name&gt;&lt;remote-database-provider&gt;Ovid Technologies&lt;/remote-database-provider&gt;&lt;/record&gt;&lt;/Cite&gt;&lt;/EndNote&gt;</w:instrText>
      </w:r>
      <w:r w:rsidR="00D71228" w:rsidRPr="00D71228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46" w:tooltip="Matthews, 2012 #2257" w:history="1">
        <w:r w:rsidR="003A47F3">
          <w:rPr>
            <w:rFonts w:ascii="Arial" w:hAnsi="Arial" w:cs="Arial"/>
            <w:bCs/>
            <w:noProof/>
          </w:rPr>
          <w:t>46</w:t>
        </w:r>
      </w:hyperlink>
      <w:r w:rsidR="00471A05">
        <w:rPr>
          <w:rFonts w:ascii="Arial" w:hAnsi="Arial" w:cs="Arial"/>
          <w:bCs/>
          <w:noProof/>
        </w:rPr>
        <w:t>]</w:t>
      </w:r>
      <w:r w:rsidR="00D71228" w:rsidRPr="00D71228">
        <w:rPr>
          <w:rFonts w:ascii="Arial" w:hAnsi="Arial" w:cs="Arial"/>
          <w:bCs/>
        </w:rPr>
        <w:fldChar w:fldCharType="end"/>
      </w:r>
      <w:r w:rsidR="00B93C00">
        <w:rPr>
          <w:rFonts w:ascii="Arial" w:hAnsi="Arial" w:cs="Arial"/>
          <w:bCs/>
        </w:rPr>
        <w:t>.</w:t>
      </w:r>
      <w:r w:rsidR="00B93C00" w:rsidRPr="00B93C00">
        <w:rPr>
          <w:rFonts w:ascii="Arial" w:hAnsi="Arial" w:cs="Arial"/>
          <w:bCs/>
        </w:rPr>
        <w:t xml:space="preserve"> </w:t>
      </w:r>
      <w:r w:rsidR="00976B33">
        <w:rPr>
          <w:rFonts w:ascii="Arial" w:hAnsi="Arial" w:cs="Arial"/>
          <w:bCs/>
        </w:rPr>
        <w:t xml:space="preserve">Community participation is key to health promotion and to reach </w:t>
      </w:r>
      <w:r w:rsidR="0084767E">
        <w:rPr>
          <w:rFonts w:ascii="Arial" w:hAnsi="Arial" w:cs="Arial"/>
          <w:bCs/>
        </w:rPr>
        <w:t xml:space="preserve">into </w:t>
      </w:r>
      <w:r w:rsidR="00976B33">
        <w:rPr>
          <w:rFonts w:ascii="Arial" w:hAnsi="Arial" w:cs="Arial"/>
          <w:bCs/>
        </w:rPr>
        <w:t xml:space="preserve">those that are </w:t>
      </w:r>
      <w:r w:rsidR="0084767E">
        <w:rPr>
          <w:rFonts w:ascii="Arial" w:hAnsi="Arial" w:cs="Arial"/>
          <w:bCs/>
        </w:rPr>
        <w:t xml:space="preserve">more disadvantaged </w:t>
      </w:r>
      <w:r w:rsidR="00976B33">
        <w:rPr>
          <w:rFonts w:ascii="Arial" w:hAnsi="Arial" w:cs="Arial"/>
          <w:bCs/>
        </w:rPr>
        <w:t xml:space="preserve">there is a need to better </w:t>
      </w:r>
      <w:r w:rsidR="0092042C">
        <w:rPr>
          <w:rFonts w:ascii="Arial" w:hAnsi="Arial" w:cs="Arial"/>
          <w:bCs/>
        </w:rPr>
        <w:t xml:space="preserve">mobilise the energy and resources </w:t>
      </w:r>
      <w:r w:rsidR="005743C3">
        <w:rPr>
          <w:rFonts w:ascii="Arial" w:hAnsi="Arial" w:cs="Arial"/>
          <w:bCs/>
        </w:rPr>
        <w:t xml:space="preserve">that comes from </w:t>
      </w:r>
      <w:r w:rsidR="0092042C">
        <w:rPr>
          <w:rFonts w:ascii="Arial" w:hAnsi="Arial" w:cs="Arial"/>
          <w:bCs/>
        </w:rPr>
        <w:t xml:space="preserve">within communities </w:t>
      </w:r>
      <w:r w:rsidR="0092042C">
        <w:rPr>
          <w:rFonts w:ascii="Arial" w:hAnsi="Arial" w:cs="Arial"/>
          <w:bCs/>
        </w:rPr>
        <w:fldChar w:fldCharType="begin"/>
      </w:r>
      <w:r w:rsidR="0092042C">
        <w:rPr>
          <w:rFonts w:ascii="Arial" w:hAnsi="Arial" w:cs="Arial"/>
          <w:bCs/>
        </w:rPr>
        <w:instrText xml:space="preserve"> ADDIN EN.CITE &lt;EndNote&gt;&lt;Cite&gt;&lt;Author&gt;World Health Organization&lt;/Author&gt;&lt;Year&gt;2013&lt;/Year&gt;&lt;RecNum&gt;3897&lt;/RecNum&gt;&lt;DisplayText&gt;[47]&lt;/DisplayText&gt;&lt;record&gt;&lt;rec-number&gt;3897&lt;/rec-number&gt;&lt;foreign-keys&gt;&lt;key app="EN" db-id="prxtsfzvix5rpde9zrnpewvb5aaxdewa02df"&gt;3897&lt;/key&gt;&lt;/foreign-keys&gt;&lt;ref-type name="Web Page"&gt;12&lt;/ref-type&gt;&lt;contributors&gt;&lt;authors&gt;&lt;author&gt;World Health Organization,&lt;/author&gt;&lt;/authors&gt;&lt;/contributors&gt;&lt;titles&gt;&lt;title&gt;Health 2020: the European policy for health and well-being,&lt;/title&gt;&lt;/titles&gt;&lt;number&gt;14th April 2015]&lt;/number&gt;&lt;dates&gt;&lt;year&gt;2013&lt;/year&gt;&lt;/dates&gt;&lt;pub-location&gt;Copenhagen&lt;/pub-location&gt;&lt;urls&gt;&lt;related-urls&gt;&lt;url&gt;http://www.euro.who.int/en/health-topics/health-policy/health-2020-the-european-policy-for-health-and-well-being&lt;/url&gt;&lt;/related-urls&gt;&lt;/urls&gt;&lt;/record&gt;&lt;/Cite&gt;&lt;/EndNote&gt;</w:instrText>
      </w:r>
      <w:r w:rsidR="0092042C">
        <w:rPr>
          <w:rFonts w:ascii="Arial" w:hAnsi="Arial" w:cs="Arial"/>
          <w:bCs/>
        </w:rPr>
        <w:fldChar w:fldCharType="separate"/>
      </w:r>
      <w:r w:rsidR="0092042C">
        <w:rPr>
          <w:rFonts w:ascii="Arial" w:hAnsi="Arial" w:cs="Arial"/>
          <w:bCs/>
          <w:noProof/>
        </w:rPr>
        <w:t>[</w:t>
      </w:r>
      <w:hyperlink w:anchor="_ENREF_47" w:tooltip="World Health Organization, 2013 #3897" w:history="1">
        <w:r w:rsidR="003A47F3">
          <w:rPr>
            <w:rFonts w:ascii="Arial" w:hAnsi="Arial" w:cs="Arial"/>
            <w:bCs/>
            <w:noProof/>
          </w:rPr>
          <w:t>47</w:t>
        </w:r>
      </w:hyperlink>
      <w:r w:rsidR="0092042C">
        <w:rPr>
          <w:rFonts w:ascii="Arial" w:hAnsi="Arial" w:cs="Arial"/>
          <w:bCs/>
          <w:noProof/>
        </w:rPr>
        <w:t>]</w:t>
      </w:r>
      <w:r w:rsidR="0092042C">
        <w:rPr>
          <w:rFonts w:ascii="Arial" w:hAnsi="Arial" w:cs="Arial"/>
          <w:bCs/>
        </w:rPr>
        <w:fldChar w:fldCharType="end"/>
      </w:r>
      <w:r w:rsidR="0092042C">
        <w:rPr>
          <w:rFonts w:ascii="Arial" w:hAnsi="Arial" w:cs="Arial"/>
          <w:bCs/>
        </w:rPr>
        <w:t xml:space="preserve">. </w:t>
      </w:r>
      <w:r w:rsidR="005743C3">
        <w:rPr>
          <w:rFonts w:ascii="Arial" w:hAnsi="Arial" w:cs="Arial"/>
          <w:bCs/>
        </w:rPr>
        <w:t xml:space="preserve">Previous research has identified involving residents in a bottom up approach with meaningful engagement and the support of volunteers as key to successful physical activity interventions </w:t>
      </w:r>
      <w:r w:rsidR="005743C3">
        <w:rPr>
          <w:rFonts w:ascii="Arial" w:hAnsi="Arial" w:cs="Arial"/>
          <w:bCs/>
        </w:rPr>
        <w:fldChar w:fldCharType="begin">
          <w:fldData xml:space="preserve">PEVuZE5vdGU+PENpdGU+PEF1dGhvcj5DbGVsYW5kPC9BdXRob3I+PFllYXI+MjAxNDwvWWVhcj48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</w:fldData>
        </w:fldChar>
      </w:r>
      <w:r w:rsidR="005743C3">
        <w:rPr>
          <w:rFonts w:ascii="Arial" w:hAnsi="Arial" w:cs="Arial"/>
          <w:bCs/>
        </w:rPr>
        <w:instrText xml:space="preserve"> ADDIN EN.CITE </w:instrText>
      </w:r>
      <w:r w:rsidR="005743C3">
        <w:rPr>
          <w:rFonts w:ascii="Arial" w:hAnsi="Arial" w:cs="Arial"/>
          <w:bCs/>
        </w:rPr>
        <w:fldChar w:fldCharType="begin">
          <w:fldData xml:space="preserve">PEVuZE5vdGU+PENpdGU+PEF1dGhvcj5DbGVsYW5kPC9BdXRob3I+PFllYXI+MjAxNDwvWWVhcj48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</w:fldData>
        </w:fldChar>
      </w:r>
      <w:r w:rsidR="005743C3">
        <w:rPr>
          <w:rFonts w:ascii="Arial" w:hAnsi="Arial" w:cs="Arial"/>
          <w:bCs/>
        </w:rPr>
        <w:instrText xml:space="preserve"> ADDIN EN.CITE.DATA </w:instrText>
      </w:r>
      <w:r w:rsidR="005743C3">
        <w:rPr>
          <w:rFonts w:ascii="Arial" w:hAnsi="Arial" w:cs="Arial"/>
          <w:bCs/>
        </w:rPr>
      </w:r>
      <w:r w:rsidR="005743C3">
        <w:rPr>
          <w:rFonts w:ascii="Arial" w:hAnsi="Arial" w:cs="Arial"/>
          <w:bCs/>
        </w:rPr>
        <w:fldChar w:fldCharType="end"/>
      </w:r>
      <w:r w:rsidR="005743C3">
        <w:rPr>
          <w:rFonts w:ascii="Arial" w:hAnsi="Arial" w:cs="Arial"/>
          <w:bCs/>
        </w:rPr>
      </w:r>
      <w:r w:rsidR="005743C3">
        <w:rPr>
          <w:rFonts w:ascii="Arial" w:hAnsi="Arial" w:cs="Arial"/>
          <w:bCs/>
        </w:rPr>
        <w:fldChar w:fldCharType="separate"/>
      </w:r>
      <w:r w:rsidR="005743C3">
        <w:rPr>
          <w:rFonts w:ascii="Arial" w:hAnsi="Arial" w:cs="Arial"/>
          <w:bCs/>
          <w:noProof/>
        </w:rPr>
        <w:t>[</w:t>
      </w:r>
      <w:hyperlink w:anchor="_ENREF_48" w:tooltip="Cleland, 2014 #3904" w:history="1">
        <w:r w:rsidR="003A47F3">
          <w:rPr>
            <w:rFonts w:ascii="Arial" w:hAnsi="Arial" w:cs="Arial"/>
            <w:bCs/>
            <w:noProof/>
          </w:rPr>
          <w:t>48</w:t>
        </w:r>
      </w:hyperlink>
      <w:r w:rsidR="005743C3">
        <w:rPr>
          <w:rFonts w:ascii="Arial" w:hAnsi="Arial" w:cs="Arial"/>
          <w:bCs/>
          <w:noProof/>
        </w:rPr>
        <w:t>]</w:t>
      </w:r>
      <w:r w:rsidR="005743C3">
        <w:rPr>
          <w:rFonts w:ascii="Arial" w:hAnsi="Arial" w:cs="Arial"/>
          <w:bCs/>
        </w:rPr>
        <w:fldChar w:fldCharType="end"/>
      </w:r>
      <w:r w:rsidR="005743C3">
        <w:rPr>
          <w:rFonts w:ascii="Arial" w:hAnsi="Arial" w:cs="Arial"/>
          <w:bCs/>
        </w:rPr>
        <w:t xml:space="preserve">. </w:t>
      </w:r>
      <w:r w:rsidR="00207EDE">
        <w:rPr>
          <w:rFonts w:ascii="Arial" w:hAnsi="Arial" w:cs="Arial"/>
          <w:bCs/>
        </w:rPr>
        <w:t>Additionally, t</w:t>
      </w:r>
      <w:r w:rsidR="005743C3">
        <w:rPr>
          <w:rFonts w:ascii="Arial" w:hAnsi="Arial" w:cs="Arial"/>
          <w:bCs/>
        </w:rPr>
        <w:t>h</w:t>
      </w:r>
      <w:r w:rsidR="00D360F3">
        <w:rPr>
          <w:rFonts w:ascii="Arial" w:hAnsi="Arial" w:cs="Arial"/>
          <w:bCs/>
        </w:rPr>
        <w:t>e use of lay community / lay volunteers ha</w:t>
      </w:r>
      <w:r w:rsidR="00207EDE">
        <w:rPr>
          <w:rFonts w:ascii="Arial" w:hAnsi="Arial" w:cs="Arial"/>
          <w:bCs/>
        </w:rPr>
        <w:t>s shown some promise in improving</w:t>
      </w:r>
      <w:r w:rsidR="00D360F3">
        <w:rPr>
          <w:rFonts w:ascii="Arial" w:hAnsi="Arial" w:cs="Arial"/>
          <w:bCs/>
        </w:rPr>
        <w:t xml:space="preserve"> health amongst disadvantaged groups in general  </w:t>
      </w:r>
      <w:r w:rsidR="00D360F3">
        <w:rPr>
          <w:rFonts w:ascii="Arial" w:hAnsi="Arial" w:cs="Arial"/>
          <w:bCs/>
        </w:rPr>
        <w:fldChar w:fldCharType="begin"/>
      </w:r>
      <w:r w:rsidR="00D360F3">
        <w:rPr>
          <w:rFonts w:ascii="Arial" w:hAnsi="Arial" w:cs="Arial"/>
          <w:bCs/>
        </w:rPr>
        <w:instrText xml:space="preserve"> ADDIN EN.CITE &lt;EndNote&gt;&lt;Cite&gt;&lt;Author&gt;O&amp;apos;Mara-Eves&lt;/Author&gt;&lt;Year&gt;2013&lt;/Year&gt;&lt;RecNum&gt;3887&lt;/RecNum&gt;&lt;DisplayText&gt;[49]&lt;/DisplayText&gt;&lt;record&gt;&lt;rec-number&gt;3887&lt;/rec-number&gt;&lt;foreign-keys&gt;&lt;key app="EN" db-id="prxtsfzvix5rpde9zrnpewvb5aaxdewa02df"&gt;3887&lt;/key&gt;&lt;/foreign-keys&gt;&lt;ref-type name="Journal Article"&gt;17&lt;/ref-type&gt;&lt;contributors&gt;&lt;authors&gt;&lt;author&gt;O&amp;apos;Mara-Eves, Alison&lt;/author&gt;&lt;author&gt;Brunton, Ginny&lt;/author&gt;&lt;author&gt;McDaid, G&lt;/author&gt;&lt;author&gt;Oliver, Sandy&lt;/author&gt;&lt;author&gt;Kavanagh, Josephine&lt;/author&gt;&lt;author&gt;Jamal, Farah&lt;/author&gt;&lt;author&gt;Matosevic, Tihana&lt;/author&gt;&lt;author&gt;Harden, Angela&lt;/author&gt;&lt;author&gt;Thomas, James&lt;/author&gt;&lt;/authors&gt;&lt;/contributors&gt;&lt;titles&gt;&lt;title&gt;Community engagement to reduce inequalities in health: a systematic review, meta-analysis and economic analysis&lt;/title&gt;&lt;secondary-title&gt;Public Health Research&lt;/secondary-title&gt;&lt;/titles&gt;&lt;periodical&gt;&lt;full-title&gt;Public Health Research&lt;/full-title&gt;&lt;/periodical&gt;&lt;volume&gt;1&lt;/volume&gt;&lt;number&gt;4&lt;/number&gt;&lt;dates&gt;&lt;year&gt;2013&lt;/year&gt;&lt;/dates&gt;&lt;urls&gt;&lt;/urls&gt;&lt;/record&gt;&lt;/Cite&gt;&lt;/EndNote&gt;</w:instrText>
      </w:r>
      <w:r w:rsidR="00D360F3">
        <w:rPr>
          <w:rFonts w:ascii="Arial" w:hAnsi="Arial" w:cs="Arial"/>
          <w:bCs/>
        </w:rPr>
        <w:fldChar w:fldCharType="separate"/>
      </w:r>
      <w:r w:rsidR="00D360F3">
        <w:rPr>
          <w:rFonts w:ascii="Arial" w:hAnsi="Arial" w:cs="Arial"/>
          <w:bCs/>
          <w:noProof/>
        </w:rPr>
        <w:t>[</w:t>
      </w:r>
      <w:hyperlink w:anchor="_ENREF_49" w:tooltip="O'Mara-Eves, 2013 #3887" w:history="1">
        <w:r w:rsidR="003A47F3">
          <w:rPr>
            <w:rFonts w:ascii="Arial" w:hAnsi="Arial" w:cs="Arial"/>
            <w:bCs/>
            <w:noProof/>
          </w:rPr>
          <w:t>49</w:t>
        </w:r>
      </w:hyperlink>
      <w:r w:rsidR="00D360F3">
        <w:rPr>
          <w:rFonts w:ascii="Arial" w:hAnsi="Arial" w:cs="Arial"/>
          <w:bCs/>
          <w:noProof/>
        </w:rPr>
        <w:t>]</w:t>
      </w:r>
      <w:r w:rsidR="00D360F3">
        <w:rPr>
          <w:rFonts w:ascii="Arial" w:hAnsi="Arial" w:cs="Arial"/>
          <w:bCs/>
        </w:rPr>
        <w:fldChar w:fldCharType="end"/>
      </w:r>
      <w:r w:rsidR="00D360F3">
        <w:rPr>
          <w:rFonts w:ascii="Arial" w:hAnsi="Arial" w:cs="Arial"/>
          <w:bCs/>
        </w:rPr>
        <w:t xml:space="preserve"> </w:t>
      </w:r>
      <w:r w:rsidR="00A20079">
        <w:rPr>
          <w:rFonts w:ascii="Arial" w:hAnsi="Arial" w:cs="Arial"/>
          <w:bCs/>
        </w:rPr>
        <w:t>with s</w:t>
      </w:r>
      <w:r w:rsidR="00A10224">
        <w:rPr>
          <w:rFonts w:ascii="Arial" w:hAnsi="Arial" w:cs="Arial"/>
          <w:bCs/>
        </w:rPr>
        <w:t>pecific successes</w:t>
      </w:r>
      <w:r w:rsidR="00A20079">
        <w:rPr>
          <w:rFonts w:ascii="Arial" w:hAnsi="Arial" w:cs="Arial"/>
          <w:bCs/>
        </w:rPr>
        <w:t xml:space="preserve"> in mental health </w:t>
      </w:r>
      <w:r w:rsidR="00F43D06">
        <w:rPr>
          <w:rFonts w:ascii="Arial" w:hAnsi="Arial" w:cs="Arial"/>
          <w:bCs/>
        </w:rPr>
        <w:t xml:space="preserve">and lifestyle improvement </w:t>
      </w:r>
      <w:r w:rsidR="00A10224">
        <w:rPr>
          <w:rFonts w:ascii="Arial" w:hAnsi="Arial" w:cs="Arial"/>
          <w:bCs/>
        </w:rPr>
        <w:fldChar w:fldCharType="begin"/>
      </w:r>
      <w:r w:rsidR="008D1512">
        <w:rPr>
          <w:rFonts w:ascii="Arial" w:hAnsi="Arial" w:cs="Arial"/>
          <w:bCs/>
        </w:rPr>
        <w:instrText xml:space="preserve"> ADDIN EN.CITE &lt;EndNote&gt;&lt;Cite&gt;&lt;Author&gt;better&lt;/Author&gt;&lt;Year&gt;2015&lt;/Year&gt;&lt;RecNum&gt;3975&lt;/RecNum&gt;&lt;DisplayText&gt;[50]&lt;/DisplayText&gt;&lt;record&gt;&lt;rec-number&gt;3975&lt;/rec-number&gt;&lt;foreign-keys&gt;&lt;key app="EN" db-id="prxtsfzvix5rpde9zrnpewvb5aaxdewa02df"&gt;3975&lt;/key&gt;&lt;/foreign-keys&gt;&lt;ref-type name="Web Page"&gt;12&lt;/ref-type&gt;&lt;contributors&gt;&lt;authors&gt;&lt;author&gt;Altogether better, NHS Confederation,&lt;/author&gt;&lt;/authors&gt;&lt;/contributors&gt;&lt;titles&gt;&lt;title&gt;Unlocking the power of communities to transform lives. Community health champions: creating new relationships with patients and communities&lt;/title&gt;&lt;/titles&gt;&lt;number&gt;20th October 2015&lt;/number&gt;&lt;dates&gt;&lt;year&gt;2015&lt;/year&gt;&lt;/dates&gt;&lt;urls&gt;&lt;related-urls&gt;&lt;url&gt;http://www.altogetherbetter.org.uk/home.aspx&lt;/url&gt;&lt;/related-urls&gt;&lt;/urls&gt;&lt;/record&gt;&lt;/Cite&gt;&lt;/EndNote&gt;</w:instrText>
      </w:r>
      <w:r w:rsidR="00A10224">
        <w:rPr>
          <w:rFonts w:ascii="Arial" w:hAnsi="Arial" w:cs="Arial"/>
          <w:bCs/>
        </w:rPr>
        <w:fldChar w:fldCharType="separate"/>
      </w:r>
      <w:r w:rsidR="00A10224">
        <w:rPr>
          <w:rFonts w:ascii="Arial" w:hAnsi="Arial" w:cs="Arial"/>
          <w:bCs/>
          <w:noProof/>
        </w:rPr>
        <w:t>[</w:t>
      </w:r>
      <w:hyperlink w:anchor="_ENREF_50" w:tooltip="Altogether better, 2015 #3975" w:history="1">
        <w:r w:rsidR="003A47F3">
          <w:rPr>
            <w:rFonts w:ascii="Arial" w:hAnsi="Arial" w:cs="Arial"/>
            <w:bCs/>
            <w:noProof/>
          </w:rPr>
          <w:t>50</w:t>
        </w:r>
      </w:hyperlink>
      <w:r w:rsidR="00A10224">
        <w:rPr>
          <w:rFonts w:ascii="Arial" w:hAnsi="Arial" w:cs="Arial"/>
          <w:bCs/>
          <w:noProof/>
        </w:rPr>
        <w:t>]</w:t>
      </w:r>
      <w:r w:rsidR="00A10224">
        <w:rPr>
          <w:rFonts w:ascii="Arial" w:hAnsi="Arial" w:cs="Arial"/>
          <w:bCs/>
        </w:rPr>
        <w:fldChar w:fldCharType="end"/>
      </w:r>
      <w:r w:rsidR="00D360F3">
        <w:rPr>
          <w:rFonts w:ascii="Arial" w:hAnsi="Arial" w:cs="Arial"/>
          <w:bCs/>
        </w:rPr>
        <w:t>.</w:t>
      </w:r>
      <w:r w:rsidR="005743C3">
        <w:rPr>
          <w:rFonts w:ascii="Arial" w:hAnsi="Arial" w:cs="Arial"/>
          <w:bCs/>
        </w:rPr>
        <w:t xml:space="preserve"> </w:t>
      </w:r>
      <w:r w:rsidR="00D360F3">
        <w:rPr>
          <w:rFonts w:ascii="Arial" w:hAnsi="Arial" w:cs="Arial"/>
          <w:bCs/>
        </w:rPr>
        <w:t>It might be that</w:t>
      </w:r>
      <w:r w:rsidR="003A47F3">
        <w:rPr>
          <w:rFonts w:ascii="Arial" w:hAnsi="Arial" w:cs="Arial"/>
          <w:bCs/>
        </w:rPr>
        <w:t xml:space="preserve"> a model of partnership working with a community health champion approach could aid productive access into disadvantaged </w:t>
      </w:r>
      <w:r w:rsidR="00AA5C67">
        <w:rPr>
          <w:rFonts w:ascii="Arial" w:hAnsi="Arial" w:cs="Arial"/>
          <w:bCs/>
        </w:rPr>
        <w:t>areas</w:t>
      </w:r>
      <w:r w:rsidR="003A47F3">
        <w:rPr>
          <w:rFonts w:ascii="Arial" w:hAnsi="Arial" w:cs="Arial"/>
          <w:bCs/>
        </w:rPr>
        <w:t>.</w:t>
      </w:r>
    </w:p>
    <w:p w14:paraId="03869AFC" w14:textId="77777777" w:rsidR="00AA5C67" w:rsidRDefault="00AA5C67" w:rsidP="00B93C00">
      <w:pPr>
        <w:spacing w:after="0" w:line="480" w:lineRule="auto"/>
        <w:rPr>
          <w:rFonts w:ascii="Arial" w:hAnsi="Arial" w:cs="Arial"/>
          <w:bCs/>
        </w:rPr>
      </w:pPr>
    </w:p>
    <w:p w14:paraId="22E15F14" w14:textId="77777777" w:rsidR="00CF0E70" w:rsidRPr="00CF0E70" w:rsidRDefault="00D71228" w:rsidP="00CF0E70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CF0E70" w:rsidRPr="00CF0E70">
        <w:rPr>
          <w:rFonts w:ascii="Arial" w:hAnsi="Arial" w:cs="Arial"/>
          <w:b/>
          <w:bCs/>
        </w:rPr>
        <w:t>trengths and limitations</w:t>
      </w:r>
    </w:p>
    <w:p w14:paraId="3B095450" w14:textId="33D68B76" w:rsidR="00CF0E70" w:rsidRDefault="00CF0E70" w:rsidP="00CF0E70">
      <w:pPr>
        <w:spacing w:after="0" w:line="480" w:lineRule="auto"/>
        <w:rPr>
          <w:rFonts w:ascii="Arial" w:hAnsi="Arial" w:cs="Arial"/>
          <w:bCs/>
        </w:rPr>
      </w:pPr>
      <w:r w:rsidRPr="00CF0E70">
        <w:rPr>
          <w:rFonts w:ascii="Arial" w:hAnsi="Arial" w:cs="Arial"/>
          <w:bCs/>
        </w:rPr>
        <w:t xml:space="preserve">A strength of this analysis is the wide variety of datasets used to generate health and </w:t>
      </w:r>
      <w:r w:rsidR="009E6B9F">
        <w:rPr>
          <w:rFonts w:ascii="Arial" w:hAnsi="Arial" w:cs="Arial"/>
          <w:bCs/>
        </w:rPr>
        <w:t>socio-economic</w:t>
      </w:r>
      <w:r w:rsidRPr="00CF0E70">
        <w:rPr>
          <w:rFonts w:ascii="Arial" w:hAnsi="Arial" w:cs="Arial"/>
          <w:bCs/>
        </w:rPr>
        <w:t xml:space="preserve"> measures within local authorities</w:t>
      </w:r>
      <w:r w:rsidR="007D1433">
        <w:rPr>
          <w:rFonts w:ascii="Arial" w:hAnsi="Arial" w:cs="Arial"/>
          <w:bCs/>
        </w:rPr>
        <w:t xml:space="preserve">. </w:t>
      </w:r>
      <w:r w:rsidR="003D6D10">
        <w:rPr>
          <w:rFonts w:ascii="Arial" w:hAnsi="Arial" w:cs="Arial"/>
          <w:bCs/>
        </w:rPr>
        <w:t>However, as a consequence we undertook a large number of tes</w:t>
      </w:r>
      <w:r w:rsidR="00207EDE">
        <w:rPr>
          <w:rFonts w:ascii="Arial" w:hAnsi="Arial" w:cs="Arial"/>
          <w:bCs/>
        </w:rPr>
        <w:t>ts which raises the potential of</w:t>
      </w:r>
      <w:r w:rsidR="003D6D10">
        <w:rPr>
          <w:rFonts w:ascii="Arial" w:hAnsi="Arial" w:cs="Arial"/>
          <w:bCs/>
        </w:rPr>
        <w:t xml:space="preserve"> type I statistical error associated with multiple testing</w:t>
      </w:r>
      <w:r w:rsidRPr="00CF0E70">
        <w:rPr>
          <w:rFonts w:ascii="Arial" w:hAnsi="Arial" w:cs="Arial"/>
          <w:bCs/>
        </w:rPr>
        <w:t>.</w:t>
      </w:r>
      <w:r w:rsidR="003D6D10">
        <w:rPr>
          <w:rFonts w:ascii="Arial" w:hAnsi="Arial" w:cs="Arial"/>
          <w:bCs/>
        </w:rPr>
        <w:t xml:space="preserve"> </w:t>
      </w:r>
      <w:r w:rsidRPr="00CF0E70">
        <w:rPr>
          <w:rFonts w:ascii="Arial" w:hAnsi="Arial" w:cs="Arial"/>
          <w:bCs/>
        </w:rPr>
        <w:t>The study also benefitted from access to a large national database of standardised measures of walk provision.</w:t>
      </w:r>
      <w:r w:rsidR="00B92161">
        <w:rPr>
          <w:rFonts w:ascii="Arial" w:hAnsi="Arial" w:cs="Arial"/>
          <w:bCs/>
        </w:rPr>
        <w:t xml:space="preserve"> In common with any analysis that makes use of an organisation’s database, we are vulnerable to incompleteness. Our discussion with the WfH scheme suggests there may be some </w:t>
      </w:r>
      <w:proofErr w:type="spellStart"/>
      <w:r w:rsidR="00B92161">
        <w:rPr>
          <w:rFonts w:ascii="Arial" w:hAnsi="Arial" w:cs="Arial"/>
          <w:bCs/>
        </w:rPr>
        <w:t>missingness</w:t>
      </w:r>
      <w:proofErr w:type="spellEnd"/>
      <w:r w:rsidR="00B92161">
        <w:rPr>
          <w:rFonts w:ascii="Arial" w:hAnsi="Arial" w:cs="Arial"/>
          <w:bCs/>
        </w:rPr>
        <w:t xml:space="preserve"> in the data where some schemes use their own database software which is not c</w:t>
      </w:r>
      <w:r w:rsidR="00E13690">
        <w:rPr>
          <w:rFonts w:ascii="Arial" w:hAnsi="Arial" w:cs="Arial"/>
          <w:bCs/>
        </w:rPr>
        <w:t xml:space="preserve">ompatible with the </w:t>
      </w:r>
      <w:r w:rsidR="0089542B">
        <w:rPr>
          <w:rFonts w:ascii="Arial" w:hAnsi="Arial" w:cs="Arial"/>
          <w:bCs/>
        </w:rPr>
        <w:t xml:space="preserve">central </w:t>
      </w:r>
      <w:r w:rsidR="00E13690">
        <w:rPr>
          <w:rFonts w:ascii="Arial" w:hAnsi="Arial" w:cs="Arial"/>
          <w:bCs/>
        </w:rPr>
        <w:t>database</w:t>
      </w:r>
      <w:r w:rsidR="0089542B">
        <w:rPr>
          <w:rFonts w:ascii="Arial" w:hAnsi="Arial" w:cs="Arial"/>
          <w:bCs/>
        </w:rPr>
        <w:t xml:space="preserve"> we had access to</w:t>
      </w:r>
      <w:r w:rsidR="00E13690">
        <w:rPr>
          <w:rFonts w:ascii="Arial" w:hAnsi="Arial" w:cs="Arial"/>
          <w:bCs/>
        </w:rPr>
        <w:t xml:space="preserve">. </w:t>
      </w:r>
      <w:r w:rsidR="00B92161" w:rsidRPr="00B92161">
        <w:rPr>
          <w:rFonts w:ascii="Arial" w:hAnsi="Arial" w:cs="Arial"/>
          <w:bCs/>
        </w:rPr>
        <w:t xml:space="preserve">There is </w:t>
      </w:r>
      <w:r w:rsidR="0089542B">
        <w:rPr>
          <w:rFonts w:ascii="Arial" w:hAnsi="Arial" w:cs="Arial"/>
          <w:bCs/>
        </w:rPr>
        <w:t xml:space="preserve">however </w:t>
      </w:r>
      <w:r w:rsidR="00B92161" w:rsidRPr="00B92161">
        <w:rPr>
          <w:rFonts w:ascii="Arial" w:hAnsi="Arial" w:cs="Arial"/>
          <w:bCs/>
        </w:rPr>
        <w:t xml:space="preserve">no suggestion that this </w:t>
      </w:r>
      <w:proofErr w:type="spellStart"/>
      <w:r w:rsidR="00B92161" w:rsidRPr="00B92161">
        <w:rPr>
          <w:rFonts w:ascii="Arial" w:hAnsi="Arial" w:cs="Arial"/>
          <w:bCs/>
        </w:rPr>
        <w:t>missingness</w:t>
      </w:r>
      <w:proofErr w:type="spellEnd"/>
      <w:r w:rsidR="00B92161" w:rsidRPr="00B92161">
        <w:rPr>
          <w:rFonts w:ascii="Arial" w:hAnsi="Arial" w:cs="Arial"/>
          <w:bCs/>
        </w:rPr>
        <w:t xml:space="preserve"> is more prevalent in more disadvantaged areas. </w:t>
      </w:r>
      <w:r w:rsidRPr="00CF0E70">
        <w:rPr>
          <w:rFonts w:ascii="Arial" w:hAnsi="Arial" w:cs="Arial"/>
          <w:bCs/>
        </w:rPr>
        <w:t xml:space="preserve">A further limitation is that our health and </w:t>
      </w:r>
      <w:r w:rsidR="009E6B9F">
        <w:rPr>
          <w:rFonts w:ascii="Arial" w:hAnsi="Arial" w:cs="Arial"/>
          <w:bCs/>
        </w:rPr>
        <w:t>socio-economic</w:t>
      </w:r>
      <w:r w:rsidRPr="00CF0E70">
        <w:rPr>
          <w:rFonts w:ascii="Arial" w:hAnsi="Arial" w:cs="Arial"/>
          <w:bCs/>
        </w:rPr>
        <w:t xml:space="preserve"> measures were area based and hence did not provide any insight into the health needs of those </w:t>
      </w:r>
      <w:r w:rsidRPr="00CF0E70">
        <w:rPr>
          <w:rFonts w:ascii="Arial" w:hAnsi="Arial" w:cs="Arial"/>
          <w:bCs/>
        </w:rPr>
        <w:lastRenderedPageBreak/>
        <w:t xml:space="preserve">individuals who actually attend the walks. LAs in England have a mean population of 163,410 </w:t>
      </w:r>
      <w:r w:rsidRPr="00CF0E70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&lt;EndNote&gt;&lt;Cite&gt;&lt;Author&gt;Office for National Statistics&lt;/Author&gt;&lt;Year&gt;2014&lt;/Year&gt;&lt;RecNum&gt;3726&lt;/RecNum&gt;&lt;DisplayText&gt;[36]&lt;/DisplayText&gt;&lt;record&gt;&lt;rec-number&gt;3726&lt;/rec-number&gt;&lt;foreign-keys&gt;&lt;key app="EN" db-id="prxtsfzvix5rpde9zrnpewvb5aaxdewa02df"&gt;3726&lt;/key&gt;&lt;/foreign-keys&gt;&lt;ref-type name="Web Page"&gt;12&lt;/ref-type&gt;&lt;contributors&gt;&lt;authors&gt;&lt;author&gt;Office for National Statistics,&lt;/author&gt;&lt;/authors&gt;&lt;/contributors&gt;&lt;titles&gt;&lt;title&gt;A beginner&amp;apos;s guide to geography: Guidance and methodoloy&lt;/title&gt;&lt;/titles&gt;&lt;number&gt;16th April 2014]&lt;/number&gt;&lt;dates&gt;&lt;year&gt;2014&lt;/year&gt;&lt;/dates&gt;&lt;pub-location&gt;London&lt;/pub-location&gt;&lt;publisher&gt;Office for National Statistics&lt;/publisher&gt;&lt;urls&gt;&lt;related-urls&gt;&lt;url&gt;http://www.ons.gov.uk/ons/guide-method/geography/beginner-s-guide/index.html&lt;/url&gt;&lt;/related-urls&gt;&lt;/urls&gt;&lt;/record&gt;&lt;/Cite&gt;&lt;/EndNote&gt;</w:instrText>
      </w:r>
      <w:r w:rsidRPr="00CF0E70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36" w:tooltip="Office for National Statistics, 2014 #3726" w:history="1">
        <w:r w:rsidR="003A47F3">
          <w:rPr>
            <w:rFonts w:ascii="Arial" w:hAnsi="Arial" w:cs="Arial"/>
            <w:bCs/>
            <w:noProof/>
          </w:rPr>
          <w:t>36</w:t>
        </w:r>
      </w:hyperlink>
      <w:r w:rsidR="00471A05">
        <w:rPr>
          <w:rFonts w:ascii="Arial" w:hAnsi="Arial" w:cs="Arial"/>
          <w:bCs/>
          <w:noProof/>
        </w:rPr>
        <w:t>]</w:t>
      </w:r>
      <w:r w:rsidRPr="00CF0E70">
        <w:rPr>
          <w:rFonts w:ascii="Arial" w:hAnsi="Arial" w:cs="Arial"/>
          <w:bCs/>
        </w:rPr>
        <w:fldChar w:fldCharType="end"/>
      </w:r>
      <w:r w:rsidRPr="00CF0E70">
        <w:rPr>
          <w:rFonts w:ascii="Arial" w:hAnsi="Arial" w:cs="Arial"/>
          <w:bCs/>
        </w:rPr>
        <w:t xml:space="preserve">. </w:t>
      </w:r>
      <w:r w:rsidR="00593BBF">
        <w:rPr>
          <w:rFonts w:ascii="Arial" w:hAnsi="Arial" w:cs="Arial"/>
          <w:bCs/>
        </w:rPr>
        <w:t>B</w:t>
      </w:r>
      <w:r w:rsidRPr="00CF0E70">
        <w:rPr>
          <w:rFonts w:ascii="Arial" w:hAnsi="Arial" w:cs="Arial"/>
          <w:bCs/>
        </w:rPr>
        <w:t>oth rural and metropolitan LAs are very heterogeneous and therefore our findings for a LA cannot be taken as a proxy for</w:t>
      </w:r>
      <w:r w:rsidR="00593BBF">
        <w:rPr>
          <w:rFonts w:ascii="Arial" w:hAnsi="Arial" w:cs="Arial"/>
          <w:bCs/>
        </w:rPr>
        <w:t xml:space="preserve"> more local</w:t>
      </w:r>
      <w:r w:rsidRPr="00CF0E70">
        <w:rPr>
          <w:rFonts w:ascii="Arial" w:hAnsi="Arial" w:cs="Arial"/>
          <w:bCs/>
        </w:rPr>
        <w:t xml:space="preserve"> neighbourhoods </w:t>
      </w:r>
      <w:r w:rsidRPr="00CF0E70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&lt;EndNote&gt;&lt;Cite&gt;&lt;Author&gt;Diez-Roux&lt;/Author&gt;&lt;Year&gt;2007&lt;/Year&gt;&lt;RecNum&gt;3940&lt;/RecNum&gt;&lt;DisplayText&gt;[9]&lt;/DisplayText&gt;&lt;record&gt;&lt;rec-number&gt;3940&lt;/rec-number&gt;&lt;foreign-keys&gt;&lt;key app="EN" db-id="prxtsfzvix5rpde9zrnpewvb5aaxdewa02df"&gt;3940&lt;/key&gt;&lt;/foreign-keys&gt;&lt;ref-type name="Journal Article"&gt;17&lt;/ref-type&gt;&lt;contributors&gt;&lt;authors&gt;&lt;author&gt;Diez-Roux, A-V &lt;/author&gt;&lt;/authors&gt;&lt;/contributors&gt;&lt;titles&gt;&lt;title&gt;Neighborhoods and health: where are we and were do we go from here?&lt;/title&gt;&lt;secondary-title&gt;Revue d&amp;apos;epidemiologie et de sante publique&lt;/secondary-title&gt;&lt;/titles&gt;&lt;periodical&gt;&lt;full-title&gt;Revue d&amp;apos;epidemiologie et de sante publique&lt;/full-title&gt;&lt;/periodical&gt;&lt;pages&gt;13-21&lt;/pages&gt;&lt;volume&gt;55&lt;/volume&gt;&lt;number&gt;1&lt;/number&gt;&lt;dates&gt;&lt;year&gt;2007&lt;/year&gt;&lt;/dates&gt;&lt;isbn&gt;0398-7620&lt;/isbn&gt;&lt;urls&gt;&lt;/urls&gt;&lt;/record&gt;&lt;/Cite&gt;&lt;/EndNote&gt;</w:instrText>
      </w:r>
      <w:r w:rsidRPr="00CF0E70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9" w:tooltip="Diez-Roux, 2007 #3940" w:history="1">
        <w:r w:rsidR="003A47F3">
          <w:rPr>
            <w:rFonts w:ascii="Arial" w:hAnsi="Arial" w:cs="Arial"/>
            <w:bCs/>
            <w:noProof/>
          </w:rPr>
          <w:t>9</w:t>
        </w:r>
      </w:hyperlink>
      <w:r w:rsidR="00471A05">
        <w:rPr>
          <w:rFonts w:ascii="Arial" w:hAnsi="Arial" w:cs="Arial"/>
          <w:bCs/>
          <w:noProof/>
        </w:rPr>
        <w:t>]</w:t>
      </w:r>
      <w:r w:rsidRPr="00CF0E70">
        <w:rPr>
          <w:rFonts w:ascii="Arial" w:hAnsi="Arial" w:cs="Arial"/>
          <w:bCs/>
        </w:rPr>
        <w:fldChar w:fldCharType="end"/>
      </w:r>
      <w:r w:rsidRPr="00CF0E70">
        <w:rPr>
          <w:rFonts w:ascii="Arial" w:hAnsi="Arial" w:cs="Arial"/>
          <w:bCs/>
        </w:rPr>
        <w:t xml:space="preserve">. Finally, the findings from this analysis are limited to one health intervention </w:t>
      </w:r>
      <w:r w:rsidR="001621DE">
        <w:rPr>
          <w:rFonts w:ascii="Arial" w:hAnsi="Arial" w:cs="Arial"/>
          <w:bCs/>
        </w:rPr>
        <w:t xml:space="preserve">in one country. Caution should </w:t>
      </w:r>
      <w:r w:rsidR="0089542B">
        <w:rPr>
          <w:rFonts w:ascii="Arial" w:hAnsi="Arial" w:cs="Arial"/>
          <w:bCs/>
        </w:rPr>
        <w:t xml:space="preserve">therefore </w:t>
      </w:r>
      <w:r w:rsidRPr="00CF0E70">
        <w:rPr>
          <w:rFonts w:ascii="Arial" w:hAnsi="Arial" w:cs="Arial"/>
          <w:bCs/>
        </w:rPr>
        <w:t>be given to how generalizable these findings are</w:t>
      </w:r>
      <w:r w:rsidR="0089542B">
        <w:rPr>
          <w:rFonts w:ascii="Arial" w:hAnsi="Arial" w:cs="Arial"/>
          <w:bCs/>
        </w:rPr>
        <w:t xml:space="preserve"> to other settings</w:t>
      </w:r>
      <w:r w:rsidRPr="00CF0E70">
        <w:rPr>
          <w:rFonts w:ascii="Arial" w:hAnsi="Arial" w:cs="Arial"/>
          <w:bCs/>
        </w:rPr>
        <w:t xml:space="preserve">. </w:t>
      </w:r>
    </w:p>
    <w:p w14:paraId="6FF456ED" w14:textId="77777777" w:rsidR="00CF0E70" w:rsidRPr="00CF0E70" w:rsidRDefault="00CF0E70" w:rsidP="00CF0E70">
      <w:pPr>
        <w:spacing w:after="0" w:line="480" w:lineRule="auto"/>
        <w:rPr>
          <w:rFonts w:ascii="Arial" w:hAnsi="Arial" w:cs="Arial"/>
          <w:bCs/>
          <w:lang w:val="en-US"/>
        </w:rPr>
      </w:pPr>
    </w:p>
    <w:p w14:paraId="0BB7C873" w14:textId="77777777" w:rsidR="00CF0E70" w:rsidRPr="00CF0E70" w:rsidRDefault="00CF0E70" w:rsidP="00CF0E70">
      <w:pPr>
        <w:spacing w:after="0" w:line="480" w:lineRule="auto"/>
        <w:rPr>
          <w:rFonts w:ascii="Arial" w:hAnsi="Arial" w:cs="Arial"/>
          <w:b/>
          <w:bCs/>
        </w:rPr>
      </w:pPr>
      <w:r w:rsidRPr="00CF0E70">
        <w:rPr>
          <w:rFonts w:ascii="Arial" w:hAnsi="Arial" w:cs="Arial"/>
          <w:b/>
          <w:bCs/>
        </w:rPr>
        <w:t>Conclusions and implications of this study</w:t>
      </w:r>
    </w:p>
    <w:p w14:paraId="24918B1E" w14:textId="77777777" w:rsidR="00CF0E70" w:rsidRDefault="0054023D" w:rsidP="00CF0E70"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CF0E70" w:rsidRPr="00CF0E70">
        <w:rPr>
          <w:rFonts w:ascii="Arial" w:hAnsi="Arial" w:cs="Arial"/>
          <w:bCs/>
        </w:rPr>
        <w:t xml:space="preserve">ur study </w:t>
      </w:r>
      <w:r>
        <w:rPr>
          <w:rFonts w:ascii="Arial" w:hAnsi="Arial" w:cs="Arial"/>
          <w:bCs/>
        </w:rPr>
        <w:t xml:space="preserve">showed some inequity </w:t>
      </w:r>
      <w:r w:rsidR="00B621EE">
        <w:rPr>
          <w:rFonts w:ascii="Arial" w:hAnsi="Arial" w:cs="Arial"/>
          <w:bCs/>
        </w:rPr>
        <w:t xml:space="preserve">between LAs </w:t>
      </w:r>
      <w:r>
        <w:rPr>
          <w:rFonts w:ascii="Arial" w:hAnsi="Arial" w:cs="Arial"/>
          <w:bCs/>
        </w:rPr>
        <w:t xml:space="preserve">in </w:t>
      </w:r>
      <w:r w:rsidR="00B621EE">
        <w:rPr>
          <w:rFonts w:ascii="Arial" w:hAnsi="Arial" w:cs="Arial"/>
          <w:bCs/>
        </w:rPr>
        <w:t xml:space="preserve">walking group </w:t>
      </w:r>
      <w:r>
        <w:rPr>
          <w:rFonts w:ascii="Arial" w:hAnsi="Arial" w:cs="Arial"/>
          <w:bCs/>
        </w:rPr>
        <w:t xml:space="preserve">provision. There was no evidence of higher levels of provision </w:t>
      </w:r>
      <w:r w:rsidR="004C6A03">
        <w:rPr>
          <w:rFonts w:ascii="Arial" w:hAnsi="Arial" w:cs="Arial"/>
          <w:bCs/>
        </w:rPr>
        <w:t>in areas of greatest need and they</w:t>
      </w:r>
      <w:r>
        <w:rPr>
          <w:rFonts w:ascii="Arial" w:hAnsi="Arial" w:cs="Arial"/>
          <w:bCs/>
        </w:rPr>
        <w:t xml:space="preserve"> </w:t>
      </w:r>
      <w:r w:rsidR="001B6591">
        <w:rPr>
          <w:rFonts w:ascii="Arial" w:hAnsi="Arial" w:cs="Arial"/>
          <w:bCs/>
        </w:rPr>
        <w:t xml:space="preserve">also </w:t>
      </w:r>
      <w:r>
        <w:rPr>
          <w:rFonts w:ascii="Arial" w:hAnsi="Arial" w:cs="Arial"/>
          <w:bCs/>
        </w:rPr>
        <w:t>tended to operate</w:t>
      </w:r>
      <w:r w:rsidRPr="0054023D">
        <w:rPr>
          <w:rFonts w:ascii="Arial" w:hAnsi="Arial" w:cs="Arial"/>
          <w:bCs/>
        </w:rPr>
        <w:t xml:space="preserve"> in those areas that have better </w:t>
      </w:r>
      <w:r>
        <w:rPr>
          <w:rFonts w:ascii="Arial" w:hAnsi="Arial" w:cs="Arial"/>
          <w:bCs/>
        </w:rPr>
        <w:t>socio-economic and health indicators</w:t>
      </w:r>
      <w:r w:rsidRPr="0054023D">
        <w:rPr>
          <w:rFonts w:ascii="Arial" w:hAnsi="Arial" w:cs="Arial"/>
          <w:bCs/>
        </w:rPr>
        <w:t>.</w:t>
      </w:r>
      <w:r w:rsidR="003E7FDE">
        <w:rPr>
          <w:rFonts w:ascii="Arial" w:hAnsi="Arial" w:cs="Arial"/>
          <w:bCs/>
        </w:rPr>
        <w:t xml:space="preserve"> The magnitude of the differences </w:t>
      </w:r>
      <w:r w:rsidR="0089542B">
        <w:rPr>
          <w:rFonts w:ascii="Arial" w:hAnsi="Arial" w:cs="Arial"/>
          <w:bCs/>
        </w:rPr>
        <w:t xml:space="preserve">were </w:t>
      </w:r>
      <w:r w:rsidR="003E7FDE">
        <w:rPr>
          <w:rFonts w:ascii="Arial" w:hAnsi="Arial" w:cs="Arial"/>
          <w:bCs/>
        </w:rPr>
        <w:t>small and o</w:t>
      </w:r>
      <w:r>
        <w:rPr>
          <w:rFonts w:ascii="Arial" w:hAnsi="Arial" w:cs="Arial"/>
          <w:bCs/>
        </w:rPr>
        <w:t xml:space="preserve">n </w:t>
      </w:r>
      <w:r w:rsidR="0089542B">
        <w:rPr>
          <w:rFonts w:ascii="Arial" w:hAnsi="Arial" w:cs="Arial"/>
          <w:bCs/>
        </w:rPr>
        <w:t xml:space="preserve">their </w:t>
      </w:r>
      <w:r>
        <w:rPr>
          <w:rFonts w:ascii="Arial" w:hAnsi="Arial" w:cs="Arial"/>
          <w:bCs/>
        </w:rPr>
        <w:t xml:space="preserve">own </w:t>
      </w:r>
      <w:r w:rsidR="00CF0E70" w:rsidRPr="00CF0E70">
        <w:rPr>
          <w:rFonts w:ascii="Arial" w:hAnsi="Arial" w:cs="Arial"/>
          <w:bCs/>
        </w:rPr>
        <w:t>unlikely to meaningfull</w:t>
      </w:r>
      <w:r w:rsidR="00B621EE">
        <w:rPr>
          <w:rFonts w:ascii="Arial" w:hAnsi="Arial" w:cs="Arial"/>
          <w:bCs/>
        </w:rPr>
        <w:t>y contribute to health inequity.</w:t>
      </w:r>
      <w:r w:rsidR="003E7FDE">
        <w:rPr>
          <w:rFonts w:ascii="Arial" w:hAnsi="Arial" w:cs="Arial"/>
          <w:bCs/>
        </w:rPr>
        <w:t xml:space="preserve"> However, </w:t>
      </w:r>
      <w:r w:rsidR="0089542B">
        <w:rPr>
          <w:rFonts w:ascii="Arial" w:hAnsi="Arial" w:cs="Arial"/>
          <w:bCs/>
        </w:rPr>
        <w:t>if these findings were</w:t>
      </w:r>
      <w:r w:rsidR="003E7FDE">
        <w:rPr>
          <w:rFonts w:ascii="Arial" w:hAnsi="Arial" w:cs="Arial"/>
          <w:bCs/>
        </w:rPr>
        <w:t xml:space="preserve"> similarly replicated in other health initiatives they could</w:t>
      </w:r>
      <w:r w:rsidR="00CF0E70" w:rsidRPr="00CF0E70">
        <w:rPr>
          <w:rFonts w:ascii="Arial" w:hAnsi="Arial" w:cs="Arial"/>
          <w:bCs/>
        </w:rPr>
        <w:t xml:space="preserve"> act additively and </w:t>
      </w:r>
      <w:r w:rsidR="003E7FDE">
        <w:rPr>
          <w:rFonts w:ascii="Arial" w:hAnsi="Arial" w:cs="Arial"/>
          <w:bCs/>
        </w:rPr>
        <w:t>lead to significant inequity</w:t>
      </w:r>
      <w:r w:rsidR="00CF0E70" w:rsidRPr="00CF0E70">
        <w:rPr>
          <w:rFonts w:ascii="Arial" w:hAnsi="Arial" w:cs="Arial"/>
          <w:bCs/>
        </w:rPr>
        <w:t xml:space="preserve"> in final</w:t>
      </w:r>
      <w:r w:rsidR="00B93FE8">
        <w:rPr>
          <w:rFonts w:ascii="Arial" w:hAnsi="Arial" w:cs="Arial"/>
          <w:bCs/>
        </w:rPr>
        <w:t xml:space="preserve"> outcomes (White et al., 2009).</w:t>
      </w:r>
      <w:r w:rsidR="00CF0E70" w:rsidRPr="00CF0E70">
        <w:rPr>
          <w:rFonts w:ascii="Arial" w:hAnsi="Arial" w:cs="Arial"/>
          <w:bCs/>
        </w:rPr>
        <w:t xml:space="preserve"> </w:t>
      </w:r>
      <w:r w:rsidR="00B621EE">
        <w:rPr>
          <w:rFonts w:ascii="Arial" w:hAnsi="Arial" w:cs="Arial"/>
          <w:bCs/>
        </w:rPr>
        <w:t>It has previously been cautioned that a</w:t>
      </w:r>
      <w:r w:rsidR="00CF0E70" w:rsidRPr="00CF0E70">
        <w:rPr>
          <w:rFonts w:ascii="Arial" w:hAnsi="Arial" w:cs="Arial"/>
          <w:bCs/>
        </w:rPr>
        <w:t xml:space="preserve">ll processes in the planning and delivery of an intervention have the potential to widen inequity between groups </w:t>
      </w:r>
      <w:r w:rsidR="00CF0E70" w:rsidRPr="00CF0E70">
        <w:rPr>
          <w:rFonts w:ascii="Arial" w:hAnsi="Arial" w:cs="Arial"/>
          <w:bCs/>
        </w:rPr>
        <w:fldChar w:fldCharType="begin"/>
      </w:r>
      <w:r w:rsidR="00471A05">
        <w:rPr>
          <w:rFonts w:ascii="Arial" w:hAnsi="Arial" w:cs="Arial"/>
          <w:bCs/>
        </w:rPr>
        <w:instrText xml:space="preserve"> ADDIN EN.CITE &lt;EndNote&gt;&lt;Cite&gt;&lt;Author&gt;White&lt;/Author&gt;&lt;Year&gt;2009&lt;/Year&gt;&lt;RecNum&gt;3722&lt;/RecNum&gt;&lt;DisplayText&gt;[15]&lt;/DisplayText&gt;&lt;record&gt;&lt;rec-number&gt;3722&lt;/rec-number&gt;&lt;foreign-keys&gt;&lt;key app="EN" db-id="prxtsfzvix5rpde9zrnpewvb5aaxdewa02df"&gt;3722&lt;/key&gt;&lt;/foreign-keys&gt;&lt;ref-type name="Journal Article"&gt;17&lt;/ref-type&gt;&lt;contributors&gt;&lt;authors&gt;&lt;author&gt;White, Martin&lt;/author&gt;&lt;author&gt;Adams, Jean&lt;/author&gt;&lt;author&gt;Heywood, Peter&lt;/author&gt;&lt;/authors&gt;&lt;/contributors&gt;&lt;titles&gt;&lt;title&gt;How and why do interventions that increase health overall widen inequalities within populations?&lt;/title&gt;&lt;secondary-title&gt;Social Inequality and Public Health&lt;/secondary-title&gt;&lt;/titles&gt;&lt;periodical&gt;&lt;full-title&gt;Social inequality and public health&lt;/full-title&gt;&lt;/periodical&gt;&lt;pages&gt;65-82&lt;/pages&gt;&lt;dates&gt;&lt;year&gt;2009&lt;/year&gt;&lt;/dates&gt;&lt;urls&gt;&lt;/urls&gt;&lt;/record&gt;&lt;/Cite&gt;&lt;/EndNote&gt;</w:instrText>
      </w:r>
      <w:r w:rsidR="00CF0E70" w:rsidRPr="00CF0E70">
        <w:rPr>
          <w:rFonts w:ascii="Arial" w:hAnsi="Arial" w:cs="Arial"/>
          <w:bCs/>
        </w:rPr>
        <w:fldChar w:fldCharType="separate"/>
      </w:r>
      <w:r w:rsidR="00471A05">
        <w:rPr>
          <w:rFonts w:ascii="Arial" w:hAnsi="Arial" w:cs="Arial"/>
          <w:bCs/>
          <w:noProof/>
        </w:rPr>
        <w:t>[</w:t>
      </w:r>
      <w:hyperlink w:anchor="_ENREF_15" w:tooltip="White, 2009 #3722" w:history="1">
        <w:r w:rsidR="003A47F3">
          <w:rPr>
            <w:rFonts w:ascii="Arial" w:hAnsi="Arial" w:cs="Arial"/>
            <w:bCs/>
            <w:noProof/>
          </w:rPr>
          <w:t>15</w:t>
        </w:r>
      </w:hyperlink>
      <w:r w:rsidR="00471A05">
        <w:rPr>
          <w:rFonts w:ascii="Arial" w:hAnsi="Arial" w:cs="Arial"/>
          <w:bCs/>
          <w:noProof/>
        </w:rPr>
        <w:t>]</w:t>
      </w:r>
      <w:r w:rsidR="00CF0E70" w:rsidRPr="00CF0E70">
        <w:rPr>
          <w:rFonts w:ascii="Arial" w:hAnsi="Arial" w:cs="Arial"/>
          <w:bCs/>
        </w:rPr>
        <w:fldChar w:fldCharType="end"/>
      </w:r>
      <w:r w:rsidR="00CF0E70" w:rsidRPr="00CF0E70">
        <w:rPr>
          <w:rFonts w:ascii="Arial" w:hAnsi="Arial" w:cs="Arial"/>
          <w:bCs/>
        </w:rPr>
        <w:t xml:space="preserve">. </w:t>
      </w:r>
      <w:r w:rsidR="00B621EE">
        <w:rPr>
          <w:rFonts w:ascii="Arial" w:hAnsi="Arial" w:cs="Arial"/>
          <w:bCs/>
        </w:rPr>
        <w:t>Our study has shown that i</w:t>
      </w:r>
      <w:r w:rsidR="00CF0E70" w:rsidRPr="00CF0E70">
        <w:rPr>
          <w:rFonts w:ascii="Arial" w:hAnsi="Arial" w:cs="Arial"/>
          <w:bCs/>
        </w:rPr>
        <w:t xml:space="preserve">t is possible that </w:t>
      </w:r>
      <w:r w:rsidR="009F0223">
        <w:rPr>
          <w:rFonts w:ascii="Arial" w:hAnsi="Arial" w:cs="Arial"/>
          <w:bCs/>
        </w:rPr>
        <w:t xml:space="preserve">the </w:t>
      </w:r>
      <w:r w:rsidR="0024047A">
        <w:rPr>
          <w:rFonts w:ascii="Arial" w:hAnsi="Arial" w:cs="Arial"/>
          <w:bCs/>
        </w:rPr>
        <w:t xml:space="preserve">way </w:t>
      </w:r>
      <w:r w:rsidR="003E7FDE">
        <w:rPr>
          <w:rFonts w:ascii="Arial" w:hAnsi="Arial" w:cs="Arial"/>
          <w:bCs/>
        </w:rPr>
        <w:t xml:space="preserve">walking </w:t>
      </w:r>
      <w:r w:rsidR="00CF0E70" w:rsidRPr="00CF0E70">
        <w:rPr>
          <w:rFonts w:ascii="Arial" w:hAnsi="Arial" w:cs="Arial"/>
          <w:bCs/>
        </w:rPr>
        <w:t xml:space="preserve">schemes </w:t>
      </w:r>
      <w:r w:rsidR="0024047A">
        <w:rPr>
          <w:rFonts w:ascii="Arial" w:hAnsi="Arial" w:cs="Arial"/>
          <w:bCs/>
        </w:rPr>
        <w:t xml:space="preserve">are developed </w:t>
      </w:r>
      <w:r w:rsidR="00CF0E70" w:rsidRPr="00CF0E70">
        <w:rPr>
          <w:rFonts w:ascii="Arial" w:hAnsi="Arial" w:cs="Arial"/>
          <w:bCs/>
        </w:rPr>
        <w:t xml:space="preserve">through local initiatives could </w:t>
      </w:r>
      <w:r w:rsidR="0024047A">
        <w:rPr>
          <w:rFonts w:ascii="Arial" w:hAnsi="Arial" w:cs="Arial"/>
          <w:bCs/>
        </w:rPr>
        <w:t xml:space="preserve">create </w:t>
      </w:r>
      <w:r w:rsidR="00CF0E70" w:rsidRPr="00CF0E70">
        <w:rPr>
          <w:rFonts w:ascii="Arial" w:hAnsi="Arial" w:cs="Arial"/>
          <w:bCs/>
        </w:rPr>
        <w:t>the potential to widen inequity between local autho</w:t>
      </w:r>
      <w:r w:rsidR="00583377">
        <w:rPr>
          <w:rFonts w:ascii="Arial" w:hAnsi="Arial" w:cs="Arial"/>
          <w:bCs/>
        </w:rPr>
        <w:t>rities</w:t>
      </w:r>
      <w:r w:rsidR="0089542B">
        <w:rPr>
          <w:rFonts w:ascii="Arial" w:hAnsi="Arial" w:cs="Arial"/>
          <w:bCs/>
        </w:rPr>
        <w:t xml:space="preserve"> as </w:t>
      </w:r>
      <w:r w:rsidR="005F24D7">
        <w:rPr>
          <w:rFonts w:ascii="Arial" w:hAnsi="Arial" w:cs="Arial"/>
          <w:bCs/>
        </w:rPr>
        <w:t>they</w:t>
      </w:r>
      <w:r w:rsidR="00CF0E70" w:rsidRPr="00CF0E70">
        <w:rPr>
          <w:rFonts w:ascii="Arial" w:hAnsi="Arial" w:cs="Arial"/>
          <w:bCs/>
        </w:rPr>
        <w:t xml:space="preserve"> might not </w:t>
      </w:r>
      <w:r w:rsidR="009F0223">
        <w:rPr>
          <w:rFonts w:ascii="Arial" w:hAnsi="Arial" w:cs="Arial"/>
          <w:bCs/>
        </w:rPr>
        <w:t xml:space="preserve">be </w:t>
      </w:r>
      <w:r w:rsidR="00CF0E70" w:rsidRPr="00CF0E70">
        <w:rPr>
          <w:rFonts w:ascii="Arial" w:hAnsi="Arial" w:cs="Arial"/>
          <w:bCs/>
        </w:rPr>
        <w:t xml:space="preserve">set up </w:t>
      </w:r>
      <w:r w:rsidR="003E7FDE">
        <w:rPr>
          <w:rFonts w:ascii="Arial" w:hAnsi="Arial" w:cs="Arial"/>
          <w:bCs/>
        </w:rPr>
        <w:t xml:space="preserve">in those communities that </w:t>
      </w:r>
      <w:r w:rsidR="00CF0E70" w:rsidRPr="00CF0E70">
        <w:rPr>
          <w:rFonts w:ascii="Arial" w:hAnsi="Arial" w:cs="Arial"/>
          <w:bCs/>
        </w:rPr>
        <w:t xml:space="preserve">stand to gain the most. </w:t>
      </w:r>
    </w:p>
    <w:p w14:paraId="7E92BF3B" w14:textId="77777777" w:rsidR="003E7FDE" w:rsidRDefault="003E7FDE" w:rsidP="00CF0E70">
      <w:pPr>
        <w:spacing w:after="0" w:line="480" w:lineRule="auto"/>
        <w:rPr>
          <w:rFonts w:ascii="Arial" w:hAnsi="Arial" w:cs="Arial"/>
          <w:bCs/>
        </w:rPr>
      </w:pPr>
    </w:p>
    <w:p w14:paraId="5EBF499F" w14:textId="77777777" w:rsidR="00CF0E70" w:rsidRPr="00CF0E70" w:rsidRDefault="00CF0E70" w:rsidP="00CF0E70">
      <w:pPr>
        <w:spacing w:after="0" w:line="480" w:lineRule="auto"/>
        <w:rPr>
          <w:rFonts w:ascii="Arial" w:hAnsi="Arial" w:cs="Arial"/>
          <w:b/>
          <w:bCs/>
        </w:rPr>
      </w:pPr>
      <w:r w:rsidRPr="00CF0E70">
        <w:rPr>
          <w:rFonts w:ascii="Arial" w:hAnsi="Arial" w:cs="Arial"/>
          <w:b/>
          <w:bCs/>
        </w:rPr>
        <w:t>Competing interests</w:t>
      </w:r>
    </w:p>
    <w:p w14:paraId="6B783718" w14:textId="77777777" w:rsidR="00CF0E70" w:rsidRPr="00CF0E70" w:rsidRDefault="00CF0E70" w:rsidP="00CF0E70">
      <w:pPr>
        <w:spacing w:after="0" w:line="480" w:lineRule="auto"/>
        <w:rPr>
          <w:rFonts w:ascii="Arial" w:hAnsi="Arial" w:cs="Arial"/>
          <w:bCs/>
        </w:rPr>
      </w:pPr>
      <w:r w:rsidRPr="00CF0E70">
        <w:rPr>
          <w:rFonts w:ascii="Arial" w:hAnsi="Arial" w:cs="Arial"/>
          <w:bCs/>
        </w:rPr>
        <w:t>AJ has received research funding from Macmillan and The Ramblers to undertake an evaluation of the Walking for Health scheme.</w:t>
      </w:r>
    </w:p>
    <w:p w14:paraId="7DE687DB" w14:textId="77777777" w:rsidR="00CF0E70" w:rsidRPr="00CF0E70" w:rsidRDefault="00CF0E70" w:rsidP="00CF0E70">
      <w:pPr>
        <w:spacing w:after="0" w:line="480" w:lineRule="auto"/>
        <w:rPr>
          <w:rFonts w:ascii="Arial" w:hAnsi="Arial" w:cs="Arial"/>
          <w:b/>
          <w:bCs/>
        </w:rPr>
      </w:pPr>
      <w:r w:rsidRPr="00CF0E70">
        <w:rPr>
          <w:rFonts w:ascii="Arial" w:hAnsi="Arial" w:cs="Arial"/>
          <w:b/>
          <w:bCs/>
        </w:rPr>
        <w:t>Author’s contributions</w:t>
      </w:r>
    </w:p>
    <w:p w14:paraId="0FF6CB61" w14:textId="77777777" w:rsidR="00CF0E70" w:rsidRPr="00CF0E70" w:rsidRDefault="00CF0E70" w:rsidP="00CF0E70">
      <w:pPr>
        <w:spacing w:after="0" w:line="480" w:lineRule="auto"/>
        <w:rPr>
          <w:rFonts w:ascii="Arial" w:hAnsi="Arial" w:cs="Arial"/>
          <w:bCs/>
        </w:rPr>
      </w:pPr>
      <w:r w:rsidRPr="00CF0E70">
        <w:rPr>
          <w:rFonts w:ascii="Arial" w:hAnsi="Arial" w:cs="Arial"/>
          <w:bCs/>
        </w:rPr>
        <w:t>SH and AJ designed the study. SH extracted and analysed the data. SH drafted the original manuscript which was critically revised by AJ. Both authors read and approved the final manuscript.</w:t>
      </w:r>
    </w:p>
    <w:p w14:paraId="09E51498" w14:textId="77777777" w:rsidR="00CF0E70" w:rsidRPr="00CF0E70" w:rsidRDefault="00CF0E70" w:rsidP="00CF0E70">
      <w:pPr>
        <w:spacing w:after="0" w:line="480" w:lineRule="auto"/>
        <w:rPr>
          <w:rFonts w:ascii="Arial" w:hAnsi="Arial" w:cs="Arial"/>
          <w:b/>
          <w:bCs/>
        </w:rPr>
      </w:pPr>
      <w:r w:rsidRPr="00CF0E70">
        <w:rPr>
          <w:rFonts w:ascii="Arial" w:hAnsi="Arial" w:cs="Arial"/>
          <w:b/>
          <w:bCs/>
        </w:rPr>
        <w:t>Acknowledgements</w:t>
      </w:r>
    </w:p>
    <w:p w14:paraId="3F1A217E" w14:textId="5FB8B80C" w:rsidR="003A2181" w:rsidRDefault="00CF0E70" w:rsidP="00872C7C">
      <w:pPr>
        <w:spacing w:after="0" w:line="480" w:lineRule="auto"/>
        <w:rPr>
          <w:rFonts w:ascii="Arial" w:eastAsia="Times New Roman" w:hAnsi="Arial" w:cs="Arial"/>
          <w:bCs/>
          <w:color w:val="000000"/>
          <w:kern w:val="36"/>
        </w:rPr>
        <w:sectPr w:rsidR="003A2181" w:rsidSect="00A310DF">
          <w:footerReference w:type="even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CF0E70">
        <w:rPr>
          <w:rFonts w:ascii="Arial" w:hAnsi="Arial" w:cs="Arial"/>
          <w:bCs/>
        </w:rPr>
        <w:lastRenderedPageBreak/>
        <w:t xml:space="preserve">This work was partially supported by the Centre for Diet and Activity Research (CEDAR), a UKCRC Public Health Research Centre of Excellence. Funding from the British Heart Foundation, Economic and Social Research Council, Medical Research Council, National Institute for Health Research and the </w:t>
      </w:r>
      <w:proofErr w:type="spellStart"/>
      <w:r w:rsidRPr="00CF0E70">
        <w:rPr>
          <w:rFonts w:ascii="Arial" w:hAnsi="Arial" w:cs="Arial"/>
          <w:bCs/>
        </w:rPr>
        <w:t>Wellcome</w:t>
      </w:r>
      <w:proofErr w:type="spellEnd"/>
      <w:r w:rsidRPr="00CF0E70">
        <w:rPr>
          <w:rFonts w:ascii="Arial" w:hAnsi="Arial" w:cs="Arial"/>
          <w:bCs/>
        </w:rPr>
        <w:t xml:space="preserve"> Trust, under the auspices of the UK Clinical Research Collaboration, is gratefully acknowledged.</w:t>
      </w:r>
      <w:r w:rsidR="00872C7C">
        <w:rPr>
          <w:rFonts w:ascii="Arial" w:hAnsi="Arial" w:cs="Arial"/>
          <w:bCs/>
        </w:rPr>
        <w:t xml:space="preserve"> </w:t>
      </w:r>
      <w:r w:rsidRPr="00CF0E70">
        <w:rPr>
          <w:rFonts w:ascii="Arial" w:hAnsi="Arial" w:cs="Arial"/>
          <w:bCs/>
        </w:rPr>
        <w:t>We thank Macmillan and The Ramblers for providing access to the data used in this research.</w:t>
      </w:r>
      <w:r w:rsidR="00872C7C">
        <w:rPr>
          <w:rFonts w:ascii="Arial" w:hAnsi="Arial" w:cs="Arial"/>
          <w:bCs/>
        </w:rPr>
        <w:t xml:space="preserve"> W</w:t>
      </w:r>
      <w:r w:rsidR="00872C7C" w:rsidRPr="00872C7C">
        <w:rPr>
          <w:rFonts w:ascii="Arial" w:eastAsia="Times New Roman" w:hAnsi="Arial" w:cs="Arial"/>
          <w:bCs/>
          <w:color w:val="000000"/>
          <w:kern w:val="36"/>
        </w:rPr>
        <w:t>e would also like to thank the anonymous peer reviewer who provided useful and constructive feedback that has improved this paper.</w:t>
      </w:r>
    </w:p>
    <w:tbl>
      <w:tblPr>
        <w:tblStyle w:val="TableGrid12"/>
        <w:tblW w:w="14200" w:type="dxa"/>
        <w:tblInd w:w="-426" w:type="dxa"/>
        <w:tblLook w:val="04A0" w:firstRow="1" w:lastRow="0" w:firstColumn="1" w:lastColumn="0" w:noHBand="0" w:noVBand="1"/>
      </w:tblPr>
      <w:tblGrid>
        <w:gridCol w:w="3628"/>
        <w:gridCol w:w="1106"/>
        <w:gridCol w:w="5836"/>
        <w:gridCol w:w="3630"/>
      </w:tblGrid>
      <w:tr w:rsidR="00441E9C" w:rsidRPr="003A2181" w14:paraId="2134265D" w14:textId="77777777" w:rsidTr="002927C0">
        <w:trPr>
          <w:gridAfter w:val="3"/>
          <w:wAfter w:w="10572" w:type="dxa"/>
          <w:trHeight w:val="44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3BE9B" w14:textId="77777777" w:rsidR="00441E9C" w:rsidRPr="003A2181" w:rsidRDefault="00441E9C" w:rsidP="003A2181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85FC7" w:rsidRPr="003A2181" w14:paraId="1F887F65" w14:textId="77777777" w:rsidTr="002927C0">
        <w:trPr>
          <w:trHeight w:val="472"/>
        </w:trPr>
        <w:tc>
          <w:tcPr>
            <w:tcW w:w="1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08065" w14:textId="77777777" w:rsidR="00585FC7" w:rsidRDefault="00585FC7" w:rsidP="003A21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2181">
              <w:rPr>
                <w:rFonts w:ascii="Arial" w:hAnsi="Arial" w:cs="Arial"/>
                <w:b/>
                <w:sz w:val="20"/>
                <w:szCs w:val="20"/>
                <w:lang w:val="en-US"/>
              </w:rPr>
              <w:t>Table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3A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Variables generated to describe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and socio-economic</w:t>
            </w:r>
            <w:r w:rsidRPr="003A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measures within each local authority</w:t>
            </w:r>
          </w:p>
          <w:p w14:paraId="563A8EE3" w14:textId="77777777" w:rsidR="00585FC7" w:rsidRPr="003A2181" w:rsidRDefault="00585FC7" w:rsidP="003A21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D156D" w:rsidRPr="003A2181" w14:paraId="7B1CCF21" w14:textId="77777777" w:rsidTr="002927C0">
        <w:trPr>
          <w:trHeight w:val="457"/>
        </w:trPr>
        <w:tc>
          <w:tcPr>
            <w:tcW w:w="47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8C12DE" w14:textId="77777777" w:rsidR="00BD156D" w:rsidRPr="003A2181" w:rsidRDefault="00BD156D" w:rsidP="003A2181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BCABEF" w14:textId="77777777" w:rsidR="00BD156D" w:rsidRPr="003A2181" w:rsidRDefault="00BD156D" w:rsidP="00BD156D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218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Description</w:t>
            </w:r>
            <w:r w:rsidR="00F251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the variable and the unit it is expressed in</w:t>
            </w:r>
          </w:p>
        </w:tc>
      </w:tr>
      <w:tr w:rsidR="00585FC7" w:rsidRPr="003A2181" w14:paraId="5F22A380" w14:textId="77777777" w:rsidTr="002927C0">
        <w:trPr>
          <w:trHeight w:val="472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326FE" w14:textId="77777777" w:rsidR="00585FC7" w:rsidRPr="00585FC7" w:rsidRDefault="00585FC7" w:rsidP="00585F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85FC7">
              <w:rPr>
                <w:rFonts w:ascii="Arial" w:hAnsi="Arial" w:cs="Arial"/>
                <w:b/>
                <w:sz w:val="20"/>
                <w:szCs w:val="20"/>
                <w:lang w:val="en-US"/>
              </w:rPr>
              <w:t>1. Measure of health need</w:t>
            </w:r>
          </w:p>
          <w:p w14:paraId="7A3B9771" w14:textId="77777777" w:rsidR="00585FC7" w:rsidRPr="00585FC7" w:rsidRDefault="00585FC7" w:rsidP="00585F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14:paraId="5B2DBA97" w14:textId="77777777" w:rsidR="00585FC7" w:rsidRPr="009154B2" w:rsidRDefault="00585FC7" w:rsidP="003A21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C2C78" w14:textId="77777777" w:rsidR="00585FC7" w:rsidRPr="009154B2" w:rsidRDefault="00585FC7" w:rsidP="003A21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156D" w:rsidRPr="003A2181" w14:paraId="523AFE79" w14:textId="77777777" w:rsidTr="002927C0">
        <w:trPr>
          <w:trHeight w:val="472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75046" w14:textId="77777777" w:rsidR="00BD156D" w:rsidRPr="009154B2" w:rsidRDefault="00BD156D" w:rsidP="003A218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Aged above 65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F610D" w14:textId="77777777" w:rsidR="00BD156D" w:rsidRPr="009154B2" w:rsidRDefault="007313F3" w:rsidP="003A218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BD156D" w:rsidRPr="009154B2">
              <w:rPr>
                <w:rFonts w:ascii="Arial" w:hAnsi="Arial" w:cs="Arial"/>
                <w:sz w:val="20"/>
                <w:szCs w:val="20"/>
                <w:lang w:val="en-US"/>
              </w:rPr>
              <w:t>ersons aged above 65 years of age</w:t>
            </w:r>
            <w:r w:rsidR="00BD156D">
              <w:rPr>
                <w:rFonts w:ascii="Arial" w:hAnsi="Arial" w:cs="Arial"/>
                <w:sz w:val="20"/>
                <w:szCs w:val="20"/>
                <w:lang w:val="en-US"/>
              </w:rPr>
              <w:t xml:space="preserve"> as a percentage of the total population</w:t>
            </w:r>
            <w:r w:rsidR="00BD156D"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7313F3" w:rsidRPr="003A2181" w14:paraId="4A5E8D67" w14:textId="77777777" w:rsidTr="002927C0">
        <w:trPr>
          <w:trHeight w:val="1004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13E20" w14:textId="77777777" w:rsidR="007313F3" w:rsidRPr="009154B2" w:rsidRDefault="007313F3" w:rsidP="007313F3">
            <w:pPr>
              <w:spacing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Physically inactive &lt; 30 minutes per week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9271F" w14:textId="77777777" w:rsidR="007313F3" w:rsidRPr="009154B2" w:rsidRDefault="007313F3" w:rsidP="007313F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Percentage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="00972F63">
              <w:rPr>
                <w:rFonts w:ascii="Arial" w:hAnsi="Arial" w:cs="Arial"/>
                <w:sz w:val="20"/>
                <w:szCs w:val="20"/>
                <w:lang w:val="en-US"/>
              </w:rPr>
              <w:t xml:space="preserve">all 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adults (aged 16 and over) participating in sport and/or undertaking some form of physical activity at moderate intensity (or higher) in 10 minute blocks. Includes recreational walking and walking for active travel.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313F3" w:rsidRPr="003A2181" w14:paraId="3B2CE073" w14:textId="77777777" w:rsidTr="002927C0">
        <w:trPr>
          <w:trHeight w:val="747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38AA7" w14:textId="77777777" w:rsidR="007313F3" w:rsidRPr="009154B2" w:rsidRDefault="007313F3" w:rsidP="003A218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Mortality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AE12B" w14:textId="02AB1257" w:rsidR="007313F3" w:rsidRPr="009154B2" w:rsidRDefault="007313F3" w:rsidP="00E556C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All cause </w:t>
            </w:r>
            <w:proofErr w:type="spellStart"/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standardised</w:t>
            </w:r>
            <w:proofErr w:type="spellEnd"/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 mortality ratios (SMR).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SMR </w:t>
            </w:r>
            <w:r w:rsidR="00E556C7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based on </w:t>
            </w:r>
            <w:r w:rsidR="00E556C7">
              <w:rPr>
                <w:rFonts w:ascii="Arial" w:hAnsi="Arial" w:cs="Arial"/>
                <w:sz w:val="20"/>
                <w:szCs w:val="20"/>
                <w:lang w:val="en-US"/>
              </w:rPr>
              <w:t xml:space="preserve">an England 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standard of 100</w:t>
            </w:r>
            <w:r w:rsidR="00E556C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927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2F6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E556C7">
              <w:rPr>
                <w:rFonts w:ascii="Arial" w:hAnsi="Arial" w:cs="Arial"/>
                <w:sz w:val="20"/>
                <w:szCs w:val="20"/>
                <w:lang w:val="en-US"/>
              </w:rPr>
              <w:t xml:space="preserve">reater than 100 </w:t>
            </w:r>
            <w:r w:rsidR="00A830FE"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="00E556C7">
              <w:rPr>
                <w:rFonts w:ascii="Arial" w:hAnsi="Arial" w:cs="Arial"/>
                <w:sz w:val="20"/>
                <w:szCs w:val="20"/>
                <w:lang w:val="en-US"/>
              </w:rPr>
              <w:t xml:space="preserve"> greater than national average</w:t>
            </w:r>
            <w:r w:rsidR="00972F6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7313F3" w:rsidRPr="003A2181" w14:paraId="14BE71FE" w14:textId="77777777" w:rsidTr="002927C0">
        <w:trPr>
          <w:trHeight w:val="1007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6D99" w14:textId="77777777" w:rsidR="007313F3" w:rsidRPr="009154B2" w:rsidRDefault="007313F3" w:rsidP="003A218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Inequality in life expectancy</w:t>
            </w:r>
          </w:p>
          <w:p w14:paraId="22986DE9" w14:textId="77777777" w:rsidR="007313F3" w:rsidRPr="009154B2" w:rsidRDefault="007313F3" w:rsidP="003A218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(For male and females)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D49A1" w14:textId="77777777" w:rsidR="007313F3" w:rsidRPr="009154B2" w:rsidRDefault="007313F3" w:rsidP="007313F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Slope index of inequality (SII) for life expectancy at birth using Index of Multiple Deprivation data (2010) and mortality data for 2006-10. Hypothetical difference in life expectancy within a district </w:t>
            </w:r>
            <w:r w:rsidR="00916C6F">
              <w:rPr>
                <w:rFonts w:ascii="Arial" w:hAnsi="Arial" w:cs="Arial"/>
                <w:sz w:val="20"/>
                <w:szCs w:val="20"/>
                <w:lang w:val="en-US"/>
              </w:rPr>
              <w:t xml:space="preserve">expressed 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in years.</w:t>
            </w:r>
          </w:p>
        </w:tc>
      </w:tr>
      <w:tr w:rsidR="007313F3" w:rsidRPr="003A2181" w14:paraId="288B9426" w14:textId="77777777" w:rsidTr="002927C0">
        <w:trPr>
          <w:trHeight w:val="732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7E235" w14:textId="77777777" w:rsidR="007313F3" w:rsidRPr="009154B2" w:rsidRDefault="007313F3" w:rsidP="003A218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Limiting long term illness or disability which limits daily activity or work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DE94A" w14:textId="77EB3C4A" w:rsidR="007313F3" w:rsidRPr="009154B2" w:rsidRDefault="00972F63" w:rsidP="007313F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Percentage</w:t>
            </w:r>
            <w:r w:rsidR="007313F3"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 of people with day to day activities limited. Self-rated.</w:t>
            </w:r>
            <w:r w:rsidR="007313F3">
              <w:rPr>
                <w:rFonts w:ascii="Arial" w:hAnsi="Arial" w:cs="Arial"/>
                <w:sz w:val="20"/>
                <w:szCs w:val="20"/>
                <w:lang w:val="en-US"/>
              </w:rPr>
              <w:t xml:space="preserve"> A percentage of the total</w:t>
            </w:r>
            <w:r w:rsidR="002927C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respondents to the question</w:t>
            </w:r>
            <w:r w:rsidR="007313F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7313F3" w:rsidRPr="003A2181" w14:paraId="7C181BF4" w14:textId="77777777" w:rsidTr="002927C0">
        <w:trPr>
          <w:trHeight w:val="747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F4E99" w14:textId="77777777" w:rsidR="007313F3" w:rsidRPr="009154B2" w:rsidRDefault="007313F3" w:rsidP="003A218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Self-rated health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7006C" w14:textId="1B196430" w:rsidR="007313F3" w:rsidRPr="009154B2" w:rsidRDefault="007313F3" w:rsidP="00972F6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Self-rated health. </w:t>
            </w:r>
            <w:r w:rsidR="00972F63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percentage of the total population</w:t>
            </w:r>
            <w:r w:rsidR="00972F63">
              <w:rPr>
                <w:rFonts w:ascii="Arial" w:hAnsi="Arial" w:cs="Arial"/>
                <w:sz w:val="20"/>
                <w:szCs w:val="20"/>
                <w:lang w:val="en-US"/>
              </w:rPr>
              <w:t xml:space="preserve"> rating their health bad and very bad</w:t>
            </w:r>
            <w:r w:rsidR="002927C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F2519A" w:rsidRPr="003A2181" w14:paraId="15CD7DD5" w14:textId="77777777" w:rsidTr="002927C0">
        <w:trPr>
          <w:trHeight w:val="808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4F0F" w14:textId="77777777" w:rsidR="00F2519A" w:rsidRPr="009154B2" w:rsidRDefault="00F2519A" w:rsidP="007313F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Chronic and poorly managed disease</w:t>
            </w:r>
            <w:r w:rsidR="00916C6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: Chronic obstructive pulmonary disease (COPD) and Coronary heart disease (CHD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6D02F" w14:textId="08610B09" w:rsidR="00F2519A" w:rsidRPr="009154B2" w:rsidRDefault="00F2519A" w:rsidP="00916C6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16C6F">
              <w:rPr>
                <w:rFonts w:ascii="Arial" w:hAnsi="Arial" w:cs="Arial"/>
                <w:sz w:val="20"/>
                <w:szCs w:val="20"/>
                <w:lang w:val="en-US"/>
              </w:rPr>
              <w:t xml:space="preserve">mergency admissions for 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COPD</w:t>
            </w:r>
            <w:r w:rsidR="00916C6F">
              <w:rPr>
                <w:rFonts w:ascii="Arial" w:hAnsi="Arial" w:cs="Arial"/>
                <w:sz w:val="20"/>
                <w:szCs w:val="20"/>
                <w:lang w:val="en-US"/>
              </w:rPr>
              <w:t xml:space="preserve"> and Emergency admissions for CHD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2519A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</w:t>
            </w:r>
            <w:r w:rsidRPr="00F2519A">
              <w:rPr>
                <w:rFonts w:ascii="Arial" w:hAnsi="Arial" w:cs="Arial"/>
                <w:sz w:val="20"/>
                <w:szCs w:val="20"/>
                <w:lang w:val="en-US"/>
              </w:rPr>
              <w:t xml:space="preserve">Standardized admission ratio 100 is the </w:t>
            </w:r>
            <w:r w:rsidR="002927C0">
              <w:rPr>
                <w:rFonts w:ascii="Arial" w:hAnsi="Arial" w:cs="Arial"/>
                <w:sz w:val="20"/>
                <w:szCs w:val="20"/>
                <w:lang w:val="en-US"/>
              </w:rPr>
              <w:t xml:space="preserve">England </w:t>
            </w:r>
            <w:r w:rsidRPr="00F2519A">
              <w:rPr>
                <w:rFonts w:ascii="Arial" w:hAnsi="Arial" w:cs="Arial"/>
                <w:sz w:val="20"/>
                <w:szCs w:val="20"/>
                <w:lang w:val="en-US"/>
              </w:rPr>
              <w:t>benchmark.</w:t>
            </w:r>
          </w:p>
        </w:tc>
      </w:tr>
      <w:tr w:rsidR="00F2519A" w:rsidRPr="003A2181" w14:paraId="2818E57B" w14:textId="77777777" w:rsidTr="002927C0">
        <w:trPr>
          <w:trHeight w:val="930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1174B" w14:textId="77777777" w:rsidR="00F2519A" w:rsidRDefault="00F2519A" w:rsidP="003A21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C75397" w14:textId="77777777" w:rsidR="00F2519A" w:rsidRPr="009154B2" w:rsidRDefault="00F2519A" w:rsidP="003A21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Excess weight </w:t>
            </w:r>
          </w:p>
          <w:p w14:paraId="23DE9C4D" w14:textId="77777777" w:rsidR="00F2519A" w:rsidRPr="009154B2" w:rsidRDefault="00F2519A" w:rsidP="003A21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922EA">
              <w:rPr>
                <w:rFonts w:ascii="Arial" w:hAnsi="Arial" w:cs="Arial"/>
                <w:sz w:val="20"/>
                <w:szCs w:val="20"/>
                <w:lang w:val="en-US"/>
              </w:rPr>
              <w:t>Body Mass Index (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BMI</w:t>
            </w:r>
            <w:r w:rsidR="00D922E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≥25kg/m²)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F04A6" w14:textId="77777777" w:rsidR="00F2519A" w:rsidRDefault="00F2519A" w:rsidP="00F251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022380" w14:textId="0DF10B60" w:rsidR="00F2519A" w:rsidRPr="009154B2" w:rsidRDefault="00F2519A" w:rsidP="00F251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Self-reported height and weight information (BMI</w:t>
            </w:r>
            <w:proofErr w:type="gramStart"/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) .</w:t>
            </w:r>
            <w:proofErr w:type="gramEnd"/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Adults, 16 years and over. 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Uses Health Survey for England methodology for adjusting for inaccuracy in self-reporting.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 percentage estimate of the prevalence of excess weight. </w:t>
            </w:r>
          </w:p>
        </w:tc>
      </w:tr>
      <w:tr w:rsidR="00441E9C" w:rsidRPr="003A2181" w14:paraId="3DB0BC8B" w14:textId="77777777" w:rsidTr="002927C0">
        <w:trPr>
          <w:trHeight w:val="442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85C73" w14:textId="77777777" w:rsidR="00441E9C" w:rsidRPr="003A2181" w:rsidRDefault="00441E9C" w:rsidP="003A2181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14:paraId="4D6F8D88" w14:textId="77777777" w:rsidR="00441E9C" w:rsidRPr="003A2181" w:rsidRDefault="00441E9C" w:rsidP="003A2181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56782" w14:textId="77777777" w:rsidR="00441E9C" w:rsidRPr="003A2181" w:rsidRDefault="00441E9C" w:rsidP="003A2181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41E9C" w:rsidRPr="003A2181" w14:paraId="2629765D" w14:textId="77777777" w:rsidTr="002927C0">
        <w:trPr>
          <w:gridAfter w:val="3"/>
          <w:wAfter w:w="10572" w:type="dxa"/>
          <w:trHeight w:val="44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E03ED" w14:textId="77777777" w:rsidR="00441E9C" w:rsidRPr="003A2181" w:rsidRDefault="00441E9C" w:rsidP="003A2181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85FC7" w:rsidRPr="003A2181" w14:paraId="58D1F824" w14:textId="77777777" w:rsidTr="002927C0">
        <w:trPr>
          <w:trHeight w:val="472"/>
        </w:trPr>
        <w:tc>
          <w:tcPr>
            <w:tcW w:w="1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E8A68" w14:textId="77777777" w:rsidR="00585FC7" w:rsidRDefault="00585FC7" w:rsidP="00767A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85FC7">
              <w:rPr>
                <w:rFonts w:ascii="Arial" w:hAnsi="Arial" w:cs="Arial"/>
                <w:b/>
                <w:sz w:val="20"/>
                <w:szCs w:val="20"/>
                <w:lang w:val="en-US"/>
              </w:rPr>
              <w:t>2. Socio-economic measures</w:t>
            </w:r>
          </w:p>
          <w:p w14:paraId="0600693D" w14:textId="77777777" w:rsidR="00585FC7" w:rsidRPr="009154B2" w:rsidRDefault="00585FC7" w:rsidP="00767A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1EF2" w:rsidRPr="003A2181" w14:paraId="381CB69E" w14:textId="77777777" w:rsidTr="002927C0">
        <w:trPr>
          <w:trHeight w:val="1007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952A6" w14:textId="77777777" w:rsidR="00981EF2" w:rsidRPr="009154B2" w:rsidRDefault="00981EF2" w:rsidP="003A218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Socio-economically disadvantaged adults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6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46E69" w14:textId="14E3B763" w:rsidR="00981EF2" w:rsidRPr="009154B2" w:rsidRDefault="00981EF2" w:rsidP="00B96D4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English Index of Multiple Deprivation (IMD) 2010.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Population weighted a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 xml:space="preserve">verage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 the combined 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score</w:t>
            </w:r>
            <w:r w:rsidR="00BD156D">
              <w:rPr>
                <w:rFonts w:ascii="Arial" w:hAnsi="Arial" w:cs="Arial"/>
                <w:sz w:val="20"/>
                <w:szCs w:val="20"/>
                <w:lang w:val="en-US"/>
              </w:rPr>
              <w:t>s for the lower super output areas in a local authority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927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2F63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BD156D">
              <w:rPr>
                <w:rFonts w:ascii="Arial" w:hAnsi="Arial" w:cs="Arial"/>
                <w:sz w:val="20"/>
                <w:szCs w:val="20"/>
                <w:lang w:val="en-US"/>
              </w:rPr>
              <w:t>ower is less disadvantage</w:t>
            </w:r>
            <w:r w:rsidR="00972F6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981EF2" w:rsidRPr="003A2181" w14:paraId="416B1AE5" w14:textId="77777777" w:rsidTr="002927C0">
        <w:trPr>
          <w:trHeight w:val="747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6AAA2" w14:textId="77777777" w:rsidR="00981EF2" w:rsidRPr="009154B2" w:rsidRDefault="00981EF2" w:rsidP="003A21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Income deprivation amongst adults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7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CDD85" w14:textId="5AF6CA72" w:rsidR="00981EF2" w:rsidRPr="009154B2" w:rsidRDefault="00981EF2" w:rsidP="00972F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154B2">
              <w:rPr>
                <w:rFonts w:ascii="Arial" w:hAnsi="Arial" w:cs="Arial"/>
                <w:sz w:val="20"/>
                <w:szCs w:val="20"/>
              </w:rPr>
              <w:t>Income domain from IMD 2010.</w:t>
            </w:r>
            <w:r>
              <w:rPr>
                <w:rFonts w:ascii="Arial" w:hAnsi="Arial" w:cs="Arial"/>
                <w:sz w:val="20"/>
                <w:szCs w:val="20"/>
              </w:rPr>
              <w:t xml:space="preserve"> Percentage of the total population living in low income families</w:t>
            </w:r>
            <w:r w:rsidR="00972F63">
              <w:rPr>
                <w:rFonts w:ascii="Arial" w:hAnsi="Arial" w:cs="Arial"/>
                <w:sz w:val="20"/>
                <w:szCs w:val="20"/>
              </w:rPr>
              <w:t xml:space="preserve"> (out of work and low income dependent on means dependent benefits).</w:t>
            </w:r>
          </w:p>
        </w:tc>
      </w:tr>
      <w:tr w:rsidR="00981EF2" w:rsidRPr="003A2181" w14:paraId="61AAF5A1" w14:textId="77777777" w:rsidTr="002927C0">
        <w:trPr>
          <w:trHeight w:val="732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3AC77" w14:textId="77777777" w:rsidR="00981EF2" w:rsidRPr="009154B2" w:rsidRDefault="00981EF2" w:rsidP="003A218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154B2">
              <w:rPr>
                <w:rFonts w:ascii="Arial" w:hAnsi="Arial" w:cs="Arial"/>
                <w:sz w:val="20"/>
                <w:szCs w:val="20"/>
              </w:rPr>
              <w:t>Socio-economic disadvantage in older people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9154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C32F0" w14:textId="77777777" w:rsidR="00981EF2" w:rsidRPr="009154B2" w:rsidRDefault="00981EF2" w:rsidP="00981EF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154B2">
              <w:rPr>
                <w:rFonts w:ascii="Arial" w:hAnsi="Arial" w:cs="Arial"/>
                <w:sz w:val="20"/>
                <w:szCs w:val="20"/>
              </w:rPr>
              <w:t xml:space="preserve">Income Deprivation Affecting Older People (IDAOP) </w:t>
            </w:r>
            <w:r>
              <w:rPr>
                <w:rFonts w:ascii="Arial" w:hAnsi="Arial" w:cs="Arial"/>
                <w:sz w:val="20"/>
                <w:szCs w:val="20"/>
              </w:rPr>
              <w:t>Percentage of a</w:t>
            </w:r>
            <w:r w:rsidRPr="009154B2">
              <w:rPr>
                <w:rFonts w:ascii="Arial" w:hAnsi="Arial" w:cs="Arial"/>
                <w:sz w:val="20"/>
                <w:szCs w:val="20"/>
              </w:rPr>
              <w:t>dults aged 60 or over living in pension credit households as a percentage of all adults aged 60 or over.</w:t>
            </w:r>
          </w:p>
        </w:tc>
      </w:tr>
      <w:tr w:rsidR="00981EF2" w:rsidRPr="003A2181" w14:paraId="57115DB7" w14:textId="77777777" w:rsidTr="00C17C42">
        <w:trPr>
          <w:trHeight w:val="472"/>
        </w:trPr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E1686" w14:textId="77777777" w:rsidR="00981EF2" w:rsidRPr="009154B2" w:rsidRDefault="00981EF2" w:rsidP="009154B2">
            <w:pPr>
              <w:rPr>
                <w:rFonts w:ascii="Arial" w:hAnsi="Arial" w:cs="Arial"/>
                <w:sz w:val="20"/>
                <w:szCs w:val="20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Pensioners living alone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083E" w14:textId="77777777" w:rsidR="00981EF2" w:rsidRDefault="002927C0" w:rsidP="00915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81EF2" w:rsidRPr="009154B2">
              <w:rPr>
                <w:rFonts w:ascii="Arial" w:hAnsi="Arial" w:cs="Arial"/>
                <w:sz w:val="20"/>
                <w:szCs w:val="20"/>
              </w:rPr>
              <w:t>eople aged 65 or over living alone as a percentage of all adults aged 65 or over.</w:t>
            </w:r>
          </w:p>
          <w:p w14:paraId="1FF00C37" w14:textId="77777777" w:rsidR="00981EF2" w:rsidRPr="009154B2" w:rsidRDefault="00981EF2" w:rsidP="00915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F2" w:rsidRPr="009154B2" w14:paraId="2D2622E3" w14:textId="77777777" w:rsidTr="00C17C42">
        <w:trPr>
          <w:trHeight w:val="472"/>
        </w:trPr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5171D" w14:textId="77777777" w:rsidR="00981EF2" w:rsidRPr="009154B2" w:rsidRDefault="00981EF2" w:rsidP="00D922EA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D922EA">
              <w:rPr>
                <w:rFonts w:ascii="Arial" w:hAnsi="Arial" w:cs="Arial"/>
                <w:sz w:val="20"/>
                <w:szCs w:val="20"/>
                <w:lang w:val="en-US"/>
              </w:rPr>
              <w:t xml:space="preserve">lack and Minority Ethnic 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(BME) adults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48104" w14:textId="48C15CDE" w:rsidR="00981EF2" w:rsidRPr="009154B2" w:rsidRDefault="00972F63" w:rsidP="0056584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981EF2" w:rsidRPr="009154B2">
              <w:rPr>
                <w:rFonts w:ascii="Arial" w:hAnsi="Arial" w:cs="Arial"/>
                <w:sz w:val="20"/>
                <w:szCs w:val="20"/>
                <w:lang w:val="en-US"/>
              </w:rPr>
              <w:t>on-white</w:t>
            </w:r>
            <w:r w:rsidR="00981EF2">
              <w:rPr>
                <w:rFonts w:ascii="Arial" w:hAnsi="Arial" w:cs="Arial"/>
                <w:sz w:val="20"/>
                <w:szCs w:val="20"/>
                <w:lang w:val="en-US"/>
              </w:rPr>
              <w:t xml:space="preserve"> as a percentage of the total adult population</w:t>
            </w:r>
            <w:r w:rsidR="00981EF2" w:rsidRPr="009154B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441E9C" w:rsidRPr="003A2181" w14:paraId="6D0C3751" w14:textId="77777777" w:rsidTr="00C17C42">
        <w:trPr>
          <w:trHeight w:val="213"/>
        </w:trPr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52D4A" w14:textId="77777777" w:rsidR="00441E9C" w:rsidRPr="003A2181" w:rsidRDefault="00441E9C" w:rsidP="009154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74D04" w14:textId="77777777" w:rsidR="00441E9C" w:rsidRPr="003A2181" w:rsidRDefault="00441E9C" w:rsidP="009154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28A31" w14:textId="77777777" w:rsidR="00441E9C" w:rsidRPr="003A2181" w:rsidRDefault="00441E9C" w:rsidP="009154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B2FD24" w14:textId="77777777" w:rsidR="00767A53" w:rsidRPr="00FF2F76" w:rsidRDefault="00767A53" w:rsidP="00767A53">
      <w:pPr>
        <w:spacing w:after="0"/>
        <w:rPr>
          <w:rFonts w:ascii="Arial" w:eastAsia="SimSun" w:hAnsi="Arial" w:cs="Arial"/>
          <w:bCs/>
          <w:sz w:val="18"/>
          <w:szCs w:val="18"/>
          <w:lang w:val="en-US"/>
        </w:rPr>
      </w:pPr>
      <w:r w:rsidRPr="00FF2F76">
        <w:rPr>
          <w:rFonts w:ascii="Arial" w:eastAsia="SimSun" w:hAnsi="Arial" w:cs="Arial"/>
          <w:bCs/>
          <w:vertAlign w:val="superscript"/>
          <w:lang w:val="en-US"/>
        </w:rPr>
        <w:t>1</w:t>
      </w:r>
      <w:r w:rsidRPr="00FF2F76">
        <w:rPr>
          <w:rFonts w:ascii="Arial" w:eastAsia="SimSun" w:hAnsi="Arial" w:cs="Arial"/>
          <w:bCs/>
          <w:lang w:val="en-US"/>
        </w:rPr>
        <w:t xml:space="preserve"> </w:t>
      </w:r>
      <w:r w:rsidR="00565845" w:rsidRPr="00441E9C">
        <w:rPr>
          <w:rFonts w:ascii="Arial" w:eastAsia="SimSun" w:hAnsi="Arial" w:cs="Arial"/>
          <w:bCs/>
          <w:sz w:val="18"/>
          <w:szCs w:val="18"/>
          <w:lang w:val="en-US"/>
        </w:rPr>
        <w:t>Census 2011</w:t>
      </w:r>
      <w:r w:rsidR="00441E9C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Pr="00441E9C">
        <w:rPr>
          <w:rFonts w:ascii="Arial" w:eastAsia="SimSun" w:hAnsi="Arial" w:cs="Arial"/>
          <w:bCs/>
          <w:sz w:val="18"/>
          <w:szCs w:val="18"/>
          <w:lang w:val="en-US"/>
        </w:rPr>
        <w:t>Available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 at: </w:t>
      </w:r>
      <w:hyperlink r:id="rId12" w:history="1">
        <w:r w:rsidRPr="00FF2F76">
          <w:rPr>
            <w:rFonts w:ascii="Arial" w:eastAsia="SimSun" w:hAnsi="Arial" w:cs="Arial"/>
            <w:bCs/>
            <w:color w:val="0000FF"/>
            <w:sz w:val="18"/>
            <w:szCs w:val="18"/>
            <w:u w:val="single"/>
            <w:lang w:val="en-US"/>
          </w:rPr>
          <w:t>http://www.ons.gov.uk/ons/guide-method/census/2011/index.html</w:t>
        </w:r>
      </w:hyperlink>
    </w:p>
    <w:p w14:paraId="55A5F1F8" w14:textId="77777777" w:rsidR="00767A53" w:rsidRPr="00FF2F76" w:rsidRDefault="00767A53" w:rsidP="00767A53">
      <w:pPr>
        <w:spacing w:after="0"/>
        <w:rPr>
          <w:rFonts w:ascii="Arial" w:eastAsia="SimSun" w:hAnsi="Arial" w:cs="Arial"/>
          <w:bCs/>
          <w:sz w:val="18"/>
          <w:szCs w:val="18"/>
          <w:lang w:val="en-US"/>
        </w:rPr>
      </w:pPr>
      <w:r w:rsidRPr="00FF2F76">
        <w:rPr>
          <w:rFonts w:ascii="Arial" w:eastAsia="SimSun" w:hAnsi="Arial" w:cs="Arial"/>
          <w:bCs/>
          <w:sz w:val="18"/>
          <w:szCs w:val="18"/>
          <w:vertAlign w:val="superscript"/>
          <w:lang w:val="en-US"/>
        </w:rPr>
        <w:t>2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="00565845">
        <w:rPr>
          <w:rFonts w:ascii="Arial" w:eastAsia="SimSun" w:hAnsi="Arial" w:cs="Arial"/>
          <w:bCs/>
          <w:sz w:val="18"/>
          <w:szCs w:val="18"/>
          <w:lang w:val="en-US"/>
        </w:rPr>
        <w:t>Active People Survey</w:t>
      </w:r>
      <w:r w:rsidR="00565845" w:rsidRPr="00565845">
        <w:rPr>
          <w:rFonts w:ascii="Arial" w:eastAsia="SimSun" w:hAnsi="Arial" w:cs="Arial"/>
          <w:bCs/>
          <w:sz w:val="18"/>
          <w:szCs w:val="18"/>
          <w:lang w:val="en-US"/>
        </w:rPr>
        <w:t xml:space="preserve"> (data collected between January 2012 and January 2013) commissioned by Sport England 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Available at: </w:t>
      </w:r>
      <w:hyperlink r:id="rId13" w:history="1">
        <w:r w:rsidRPr="00FF2F76">
          <w:rPr>
            <w:rFonts w:ascii="Arial" w:eastAsia="SimSun" w:hAnsi="Arial" w:cs="Arial"/>
            <w:bCs/>
            <w:color w:val="0000FF"/>
            <w:sz w:val="18"/>
            <w:szCs w:val="18"/>
            <w:u w:val="single"/>
            <w:lang w:val="en-US"/>
          </w:rPr>
          <w:t>http://archive.sportengland.org/research/active_people_survey.aspx</w:t>
        </w:r>
      </w:hyperlink>
    </w:p>
    <w:p w14:paraId="5A409128" w14:textId="77777777" w:rsidR="00767A53" w:rsidRPr="00FF2F76" w:rsidRDefault="00767A53" w:rsidP="00767A53">
      <w:pPr>
        <w:spacing w:after="0"/>
        <w:rPr>
          <w:rFonts w:ascii="Arial" w:eastAsia="SimSun" w:hAnsi="Arial" w:cs="Arial"/>
          <w:bCs/>
          <w:sz w:val="18"/>
          <w:szCs w:val="18"/>
          <w:lang w:val="en-US"/>
        </w:rPr>
      </w:pPr>
      <w:r w:rsidRPr="00FF2F76">
        <w:rPr>
          <w:rFonts w:ascii="Arial" w:eastAsia="SimSun" w:hAnsi="Arial" w:cs="Arial"/>
          <w:bCs/>
          <w:sz w:val="18"/>
          <w:szCs w:val="18"/>
          <w:vertAlign w:val="superscript"/>
          <w:lang w:val="en-US"/>
        </w:rPr>
        <w:t>3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="00565845" w:rsidRPr="00565845">
        <w:rPr>
          <w:rFonts w:ascii="Arial" w:eastAsia="SimSun" w:hAnsi="Arial" w:cs="Arial"/>
          <w:bCs/>
          <w:sz w:val="18"/>
          <w:szCs w:val="18"/>
          <w:lang w:val="en-US"/>
        </w:rPr>
        <w:t>O</w:t>
      </w:r>
      <w:r w:rsidR="00565845">
        <w:rPr>
          <w:rFonts w:ascii="Arial" w:eastAsia="SimSun" w:hAnsi="Arial" w:cs="Arial"/>
          <w:bCs/>
          <w:sz w:val="18"/>
          <w:szCs w:val="18"/>
          <w:lang w:val="en-US"/>
        </w:rPr>
        <w:t xml:space="preserve">ffice for </w:t>
      </w:r>
      <w:r w:rsidR="00565845" w:rsidRPr="00565845">
        <w:rPr>
          <w:rFonts w:ascii="Arial" w:eastAsia="SimSun" w:hAnsi="Arial" w:cs="Arial"/>
          <w:bCs/>
          <w:sz w:val="18"/>
          <w:szCs w:val="18"/>
          <w:lang w:val="en-US"/>
        </w:rPr>
        <w:t>N</w:t>
      </w:r>
      <w:r w:rsidR="00565845">
        <w:rPr>
          <w:rFonts w:ascii="Arial" w:eastAsia="SimSun" w:hAnsi="Arial" w:cs="Arial"/>
          <w:bCs/>
          <w:sz w:val="18"/>
          <w:szCs w:val="18"/>
          <w:lang w:val="en-US"/>
        </w:rPr>
        <w:t>ational statistics</w:t>
      </w:r>
      <w:r w:rsidR="00565845" w:rsidRPr="00565845">
        <w:rPr>
          <w:rFonts w:ascii="Arial" w:eastAsia="SimSun" w:hAnsi="Arial" w:cs="Arial"/>
          <w:bCs/>
          <w:sz w:val="18"/>
          <w:szCs w:val="18"/>
          <w:lang w:val="en-US"/>
        </w:rPr>
        <w:t xml:space="preserve"> 2012</w:t>
      </w:r>
      <w:r w:rsidR="00565845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Available at: </w:t>
      </w:r>
      <w:hyperlink r:id="rId14" w:history="1">
        <w:r w:rsidRPr="00FF2F76">
          <w:rPr>
            <w:rFonts w:ascii="Arial" w:eastAsia="SimSun" w:hAnsi="Arial" w:cs="Arial"/>
            <w:bCs/>
            <w:color w:val="0000FF"/>
            <w:sz w:val="18"/>
            <w:szCs w:val="18"/>
            <w:u w:val="single"/>
            <w:lang w:val="en-US"/>
          </w:rPr>
          <w:t>http://www.ons.gov.uk/ons/publications/re-reference-tables.html?edition=tcm%3A77-314473</w:t>
        </w:r>
      </w:hyperlink>
    </w:p>
    <w:p w14:paraId="7A0D921B" w14:textId="77777777" w:rsidR="00767A53" w:rsidRPr="00FF2F76" w:rsidRDefault="00767A53" w:rsidP="00767A53">
      <w:pPr>
        <w:spacing w:after="0"/>
        <w:rPr>
          <w:rFonts w:ascii="Arial" w:eastAsia="SimSun" w:hAnsi="Arial" w:cs="Arial"/>
          <w:bCs/>
          <w:sz w:val="18"/>
          <w:szCs w:val="18"/>
          <w:lang w:val="en-US"/>
        </w:rPr>
      </w:pPr>
      <w:r w:rsidRPr="00FF2F76">
        <w:rPr>
          <w:rFonts w:ascii="Arial" w:eastAsia="SimSun" w:hAnsi="Arial" w:cs="Arial"/>
          <w:bCs/>
          <w:sz w:val="18"/>
          <w:szCs w:val="18"/>
          <w:vertAlign w:val="superscript"/>
          <w:lang w:val="en-US"/>
        </w:rPr>
        <w:t>4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="00565845" w:rsidRPr="00565845">
        <w:rPr>
          <w:rFonts w:ascii="Arial" w:eastAsia="SimSun" w:hAnsi="Arial" w:cs="Arial"/>
          <w:bCs/>
          <w:sz w:val="18"/>
          <w:szCs w:val="18"/>
          <w:lang w:val="en-US"/>
        </w:rPr>
        <w:t>Public Health England 2013</w:t>
      </w:r>
      <w:r w:rsidR="00565845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Available at: </w:t>
      </w:r>
      <w:hyperlink r:id="rId15" w:history="1">
        <w:r w:rsidRPr="00FF2F76">
          <w:rPr>
            <w:rFonts w:ascii="Arial" w:eastAsia="SimSun" w:hAnsi="Arial" w:cs="Arial"/>
            <w:bCs/>
            <w:color w:val="0000FF"/>
            <w:sz w:val="18"/>
            <w:szCs w:val="18"/>
            <w:u w:val="single"/>
            <w:lang w:val="en-US"/>
          </w:rPr>
          <w:t>http://www.apho.org.uk/default.aspx?RID=110504</w:t>
        </w:r>
      </w:hyperlink>
    </w:p>
    <w:p w14:paraId="75AB0932" w14:textId="77777777" w:rsidR="00767A53" w:rsidRPr="00FF2F76" w:rsidRDefault="00767A53" w:rsidP="00767A53">
      <w:pPr>
        <w:spacing w:after="0"/>
        <w:rPr>
          <w:rFonts w:ascii="Arial" w:eastAsia="SimSun" w:hAnsi="Arial" w:cs="Arial"/>
          <w:bCs/>
          <w:sz w:val="18"/>
          <w:szCs w:val="18"/>
          <w:lang w:val="en-US"/>
        </w:rPr>
      </w:pPr>
      <w:r w:rsidRPr="00FF2F76">
        <w:rPr>
          <w:rFonts w:ascii="Arial" w:eastAsia="SimSun" w:hAnsi="Arial" w:cs="Arial"/>
          <w:bCs/>
          <w:sz w:val="18"/>
          <w:szCs w:val="18"/>
          <w:vertAlign w:val="superscript"/>
          <w:lang w:val="en-US"/>
        </w:rPr>
        <w:t>5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="003B04F8" w:rsidRPr="003B04F8">
        <w:rPr>
          <w:rFonts w:ascii="Arial" w:eastAsia="SimSun" w:hAnsi="Arial" w:cs="Arial"/>
          <w:bCs/>
          <w:sz w:val="18"/>
          <w:szCs w:val="18"/>
          <w:lang w:val="en-US"/>
        </w:rPr>
        <w:t>Hospital episode statistics from Public Health England. Admissions from April 2006 to March 2011</w:t>
      </w:r>
      <w:r w:rsidR="003B04F8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Available at: </w:t>
      </w:r>
      <w:hyperlink r:id="rId16" w:history="1">
        <w:r w:rsidRPr="00FF2F76">
          <w:rPr>
            <w:rFonts w:ascii="Arial" w:eastAsia="SimSun" w:hAnsi="Arial" w:cs="Arial"/>
            <w:bCs/>
            <w:color w:val="0000FF"/>
            <w:sz w:val="18"/>
            <w:szCs w:val="18"/>
            <w:u w:val="single"/>
            <w:lang w:val="en-US"/>
          </w:rPr>
          <w:t>http://www.yhpho.org.uk/default.aspx?RID=8494</w:t>
        </w:r>
      </w:hyperlink>
    </w:p>
    <w:p w14:paraId="3D8CB8E0" w14:textId="77777777" w:rsidR="00767A53" w:rsidRPr="00FF2F76" w:rsidRDefault="00767A53" w:rsidP="00767A53">
      <w:pPr>
        <w:spacing w:after="0"/>
        <w:rPr>
          <w:rFonts w:ascii="Arial" w:eastAsia="SimSun" w:hAnsi="Arial" w:cs="Arial"/>
          <w:bCs/>
          <w:sz w:val="18"/>
          <w:szCs w:val="18"/>
          <w:lang w:val="en-US"/>
        </w:rPr>
      </w:pPr>
      <w:r w:rsidRPr="00FF2F76">
        <w:rPr>
          <w:rFonts w:ascii="Arial" w:eastAsia="SimSun" w:hAnsi="Arial" w:cs="Arial"/>
          <w:bCs/>
          <w:sz w:val="18"/>
          <w:szCs w:val="18"/>
          <w:vertAlign w:val="superscript"/>
          <w:lang w:val="en-US"/>
        </w:rPr>
        <w:t>6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="00441E9C" w:rsidRPr="00441E9C">
        <w:rPr>
          <w:rFonts w:ascii="Arial" w:eastAsia="SimSun" w:hAnsi="Arial" w:cs="Arial"/>
          <w:bCs/>
          <w:sz w:val="18"/>
          <w:szCs w:val="18"/>
          <w:lang w:val="en-US"/>
        </w:rPr>
        <w:t>Social Disadvantage Research Centre at the Department of Social Policy and Social work at the University of Oxford. Commissioned by the Department for Communities and local government March 2011</w:t>
      </w:r>
      <w:r w:rsidR="00441E9C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Available at: </w:t>
      </w:r>
      <w:hyperlink r:id="rId17" w:history="1">
        <w:r w:rsidRPr="00FF2F76">
          <w:rPr>
            <w:rFonts w:ascii="Arial" w:eastAsia="SimSun" w:hAnsi="Arial" w:cs="Arial"/>
            <w:bCs/>
            <w:color w:val="0000FF"/>
            <w:sz w:val="18"/>
            <w:szCs w:val="18"/>
            <w:u w:val="single"/>
            <w:lang w:val="en-US"/>
          </w:rPr>
          <w:t>https://www.gov.uk/government/statistics/english-indices-of-deprivation-2010</w:t>
        </w:r>
      </w:hyperlink>
    </w:p>
    <w:p w14:paraId="5A9D5100" w14:textId="77777777" w:rsidR="00767A53" w:rsidRPr="00FF2F76" w:rsidRDefault="00767A53" w:rsidP="00767A53">
      <w:pPr>
        <w:spacing w:after="0"/>
        <w:rPr>
          <w:rFonts w:ascii="Arial" w:eastAsia="SimSun" w:hAnsi="Arial" w:cs="Arial"/>
          <w:bCs/>
          <w:sz w:val="18"/>
          <w:szCs w:val="18"/>
          <w:lang w:val="en-US"/>
        </w:rPr>
      </w:pPr>
      <w:r w:rsidRPr="00FF2F76">
        <w:rPr>
          <w:rFonts w:ascii="Arial" w:eastAsia="SimSun" w:hAnsi="Arial" w:cs="Arial"/>
          <w:bCs/>
          <w:sz w:val="18"/>
          <w:szCs w:val="18"/>
          <w:vertAlign w:val="superscript"/>
          <w:lang w:val="en-US"/>
        </w:rPr>
        <w:t>7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="00441E9C" w:rsidRPr="00441E9C">
        <w:rPr>
          <w:rFonts w:ascii="Arial" w:eastAsia="SimSun" w:hAnsi="Arial" w:cs="Arial"/>
          <w:bCs/>
          <w:sz w:val="18"/>
          <w:szCs w:val="18"/>
          <w:lang w:val="en-US"/>
        </w:rPr>
        <w:t xml:space="preserve">Public Health England Commissioned by the Department for Communities and local government 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Available at: </w:t>
      </w:r>
      <w:hyperlink r:id="rId18" w:history="1">
        <w:r w:rsidRPr="00FF2F76">
          <w:rPr>
            <w:rFonts w:ascii="Arial" w:eastAsia="SimSun" w:hAnsi="Arial" w:cs="Arial"/>
            <w:bCs/>
            <w:color w:val="0000FF"/>
            <w:sz w:val="18"/>
            <w:szCs w:val="18"/>
            <w:u w:val="single"/>
            <w:lang w:val="en-US"/>
          </w:rPr>
          <w:t>http://www.apho.org.uk/resource/item.aspx?RID=97316</w:t>
        </w:r>
      </w:hyperlink>
    </w:p>
    <w:p w14:paraId="60394EDB" w14:textId="77777777" w:rsidR="00767A53" w:rsidRPr="00FF2F76" w:rsidRDefault="00767A53" w:rsidP="00767A53">
      <w:pPr>
        <w:spacing w:after="0"/>
        <w:rPr>
          <w:rFonts w:ascii="Arial" w:eastAsia="SimSun" w:hAnsi="Arial" w:cs="Arial"/>
          <w:bCs/>
          <w:color w:val="0000FF"/>
          <w:sz w:val="18"/>
          <w:szCs w:val="18"/>
          <w:u w:val="single"/>
          <w:lang w:val="en-US"/>
        </w:rPr>
      </w:pPr>
      <w:r w:rsidRPr="00FF2F76">
        <w:rPr>
          <w:rFonts w:ascii="Arial" w:eastAsia="SimSun" w:hAnsi="Arial" w:cs="Arial"/>
          <w:bCs/>
          <w:sz w:val="18"/>
          <w:szCs w:val="18"/>
          <w:vertAlign w:val="superscript"/>
          <w:lang w:val="en-US"/>
        </w:rPr>
        <w:t>8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="00441E9C" w:rsidRPr="00441E9C">
        <w:rPr>
          <w:rFonts w:ascii="Arial" w:eastAsia="SimSun" w:hAnsi="Arial" w:cs="Arial"/>
          <w:bCs/>
          <w:sz w:val="18"/>
          <w:szCs w:val="18"/>
          <w:lang w:val="en-US"/>
        </w:rPr>
        <w:t>Social Disadvantage Research Centre at the Department of Social Policy and Social work at the University of Oxford. Commissioned by the Department for Communities and local government March 2011</w:t>
      </w:r>
      <w:r w:rsidR="00441E9C">
        <w:rPr>
          <w:rFonts w:ascii="Arial" w:eastAsia="SimSun" w:hAnsi="Arial" w:cs="Arial"/>
          <w:bCs/>
          <w:sz w:val="18"/>
          <w:szCs w:val="18"/>
          <w:lang w:val="en-US"/>
        </w:rPr>
        <w:t xml:space="preserve"> </w:t>
      </w:r>
      <w:r w:rsidRPr="00FF2F76">
        <w:rPr>
          <w:rFonts w:ascii="Arial" w:eastAsia="SimSun" w:hAnsi="Arial" w:cs="Arial"/>
          <w:bCs/>
          <w:sz w:val="18"/>
          <w:szCs w:val="18"/>
          <w:lang w:val="en-US"/>
        </w:rPr>
        <w:t xml:space="preserve">Available at: </w:t>
      </w:r>
      <w:hyperlink r:id="rId19" w:history="1">
        <w:r w:rsidRPr="00FF2F76">
          <w:rPr>
            <w:rFonts w:ascii="Arial" w:eastAsia="SimSun" w:hAnsi="Arial" w:cs="Arial"/>
            <w:bCs/>
            <w:color w:val="0000FF"/>
            <w:sz w:val="18"/>
            <w:szCs w:val="18"/>
            <w:u w:val="single"/>
            <w:lang w:val="en-US"/>
          </w:rPr>
          <w:t>http://www.apho.org.uk/resource/item.aspx?RID=97318</w:t>
        </w:r>
      </w:hyperlink>
    </w:p>
    <w:p w14:paraId="119309F1" w14:textId="77777777" w:rsidR="00767A53" w:rsidRPr="00FF2F76" w:rsidRDefault="00767A53" w:rsidP="00767A53">
      <w:pPr>
        <w:spacing w:after="0"/>
        <w:rPr>
          <w:rFonts w:ascii="Arial" w:eastAsia="SimSun" w:hAnsi="Arial" w:cs="Arial"/>
          <w:bCs/>
          <w:color w:val="0000FF"/>
          <w:sz w:val="18"/>
          <w:szCs w:val="18"/>
          <w:u w:val="single"/>
          <w:lang w:val="en-US"/>
        </w:rPr>
      </w:pPr>
    </w:p>
    <w:p w14:paraId="50F128FC" w14:textId="77777777" w:rsidR="003A2181" w:rsidRDefault="003A2181" w:rsidP="0045462A">
      <w:pPr>
        <w:spacing w:line="480" w:lineRule="auto"/>
        <w:rPr>
          <w:rFonts w:ascii="Arial" w:eastAsia="Times New Roman" w:hAnsi="Arial" w:cs="Arial"/>
          <w:bCs/>
          <w:color w:val="000000"/>
          <w:kern w:val="36"/>
        </w:rPr>
      </w:pPr>
    </w:p>
    <w:p w14:paraId="4EBE1B7F" w14:textId="77777777" w:rsidR="00767A53" w:rsidRDefault="00767A53">
      <w:pPr>
        <w:rPr>
          <w:rFonts w:ascii="Arial" w:eastAsia="Times New Roman" w:hAnsi="Arial" w:cs="Arial"/>
          <w:bCs/>
          <w:color w:val="000000"/>
          <w:kern w:val="36"/>
        </w:rPr>
        <w:sectPr w:rsidR="00767A53" w:rsidSect="003A218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2"/>
        <w:tblW w:w="14220" w:type="dxa"/>
        <w:tblLayout w:type="fixed"/>
        <w:tblLook w:val="04A0" w:firstRow="1" w:lastRow="0" w:firstColumn="1" w:lastColumn="0" w:noHBand="0" w:noVBand="1"/>
      </w:tblPr>
      <w:tblGrid>
        <w:gridCol w:w="3840"/>
        <w:gridCol w:w="1563"/>
        <w:gridCol w:w="2275"/>
        <w:gridCol w:w="2132"/>
        <w:gridCol w:w="1534"/>
        <w:gridCol w:w="2876"/>
      </w:tblGrid>
      <w:tr w:rsidR="00767A53" w:rsidRPr="00767A53" w14:paraId="0248650A" w14:textId="77777777" w:rsidTr="00D922EA">
        <w:trPr>
          <w:trHeight w:val="194"/>
        </w:trPr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1A9B5" w14:textId="77777777" w:rsidR="00767A53" w:rsidRPr="00767A53" w:rsidRDefault="00767A53" w:rsidP="00767A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A5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Table 2: Difference in health and </w:t>
            </w:r>
            <w:r w:rsidR="009E6B9F">
              <w:rPr>
                <w:rFonts w:ascii="Arial" w:hAnsi="Arial" w:cs="Arial"/>
                <w:b/>
                <w:sz w:val="20"/>
                <w:szCs w:val="20"/>
              </w:rPr>
              <w:t>socio-economic</w:t>
            </w:r>
            <w:r w:rsidRPr="00767A53">
              <w:rPr>
                <w:rFonts w:ascii="Arial" w:hAnsi="Arial" w:cs="Arial"/>
                <w:b/>
                <w:sz w:val="20"/>
                <w:szCs w:val="20"/>
              </w:rPr>
              <w:t xml:space="preserve"> measures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between </w:t>
            </w:r>
            <w:r w:rsidRPr="00767A53">
              <w:rPr>
                <w:rFonts w:ascii="Arial" w:hAnsi="Arial" w:cs="Arial"/>
                <w:b/>
                <w:sz w:val="20"/>
                <w:szCs w:val="20"/>
              </w:rPr>
              <w:t xml:space="preserve">local authorities </w:t>
            </w:r>
            <w:r w:rsidR="00D922EA">
              <w:rPr>
                <w:rFonts w:ascii="Arial" w:hAnsi="Arial" w:cs="Arial"/>
                <w:b/>
                <w:sz w:val="20"/>
                <w:szCs w:val="20"/>
              </w:rPr>
              <w:t xml:space="preserve">(LA) </w:t>
            </w:r>
            <w:r w:rsidRPr="00767A53">
              <w:rPr>
                <w:rFonts w:ascii="Arial" w:hAnsi="Arial" w:cs="Arial"/>
                <w:b/>
                <w:sz w:val="20"/>
                <w:szCs w:val="20"/>
              </w:rPr>
              <w:t xml:space="preserve">with and without the intervention </w:t>
            </w:r>
          </w:p>
        </w:tc>
      </w:tr>
      <w:tr w:rsidR="00767A53" w:rsidRPr="00767A53" w14:paraId="2BEC6526" w14:textId="77777777" w:rsidTr="00D922EA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8F3D8" w14:textId="77777777" w:rsidR="00767A53" w:rsidRPr="00767A53" w:rsidRDefault="00767A53" w:rsidP="00CB77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F7CB1" w14:textId="77777777" w:rsidR="00767A53" w:rsidRPr="00767A53" w:rsidRDefault="00767A53" w:rsidP="00767A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A53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F46E7" w14:textId="77777777" w:rsidR="00767A53" w:rsidRPr="00767A53" w:rsidRDefault="00767A53" w:rsidP="00767A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767A53">
              <w:rPr>
                <w:rFonts w:ascii="Arial" w:hAnsi="Arial" w:cs="Arial"/>
                <w:b/>
                <w:sz w:val="18"/>
                <w:szCs w:val="18"/>
              </w:rPr>
              <w:t>No provision</w:t>
            </w:r>
          </w:p>
          <w:p w14:paraId="3B3FD307" w14:textId="77777777" w:rsidR="00767A53" w:rsidRPr="00767A53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A53">
              <w:rPr>
                <w:rFonts w:ascii="Arial" w:hAnsi="Arial" w:cs="Arial"/>
                <w:sz w:val="18"/>
                <w:szCs w:val="18"/>
              </w:rPr>
              <w:t>n=128</w:t>
            </w:r>
          </w:p>
          <w:p w14:paraId="1A8F757C" w14:textId="77777777" w:rsidR="00767A53" w:rsidRPr="00767A53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A53">
              <w:rPr>
                <w:rFonts w:ascii="Arial" w:hAnsi="Arial" w:cs="Arial"/>
                <w:sz w:val="18"/>
                <w:szCs w:val="18"/>
              </w:rPr>
              <w:t>Mean value</w:t>
            </w:r>
          </w:p>
          <w:p w14:paraId="0C9AC388" w14:textId="77777777" w:rsidR="00767A53" w:rsidRPr="00767A53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A53">
              <w:rPr>
                <w:rFonts w:ascii="Arial" w:hAnsi="Arial" w:cs="Arial"/>
                <w:sz w:val="18"/>
                <w:szCs w:val="18"/>
              </w:rPr>
              <w:t>(95% CI)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BF5B3" w14:textId="77777777" w:rsidR="00767A53" w:rsidRPr="00767A53" w:rsidRDefault="00767A53" w:rsidP="00767A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767A53">
              <w:rPr>
                <w:rFonts w:ascii="Arial" w:hAnsi="Arial" w:cs="Arial"/>
                <w:b/>
                <w:sz w:val="18"/>
                <w:szCs w:val="18"/>
              </w:rPr>
              <w:t>Provision</w:t>
            </w:r>
          </w:p>
          <w:p w14:paraId="051D9DD6" w14:textId="77777777" w:rsidR="00767A53" w:rsidRPr="00767A53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A53">
              <w:rPr>
                <w:rFonts w:ascii="Arial" w:hAnsi="Arial" w:cs="Arial"/>
                <w:sz w:val="18"/>
                <w:szCs w:val="18"/>
              </w:rPr>
              <w:t>n=198</w:t>
            </w:r>
          </w:p>
          <w:p w14:paraId="5C3CCAFF" w14:textId="77777777" w:rsidR="00767A53" w:rsidRPr="00767A53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A53">
              <w:rPr>
                <w:rFonts w:ascii="Arial" w:hAnsi="Arial" w:cs="Arial"/>
                <w:sz w:val="18"/>
                <w:szCs w:val="18"/>
              </w:rPr>
              <w:t>Mean value</w:t>
            </w:r>
          </w:p>
          <w:p w14:paraId="23447194" w14:textId="77777777" w:rsidR="00767A53" w:rsidRPr="00767A53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A53">
              <w:rPr>
                <w:rFonts w:ascii="Arial" w:hAnsi="Arial" w:cs="Arial"/>
                <w:sz w:val="18"/>
                <w:szCs w:val="18"/>
              </w:rPr>
              <w:t>(95% CI)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6058C" w14:textId="77777777" w:rsidR="00767A53" w:rsidRPr="00C17C42" w:rsidRDefault="00767A53" w:rsidP="00767A53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767A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p-</w:t>
            </w:r>
            <w:r w:rsidRPr="00767A53">
              <w:rPr>
                <w:rFonts w:ascii="Arial" w:hAnsi="Arial" w:cs="Arial"/>
                <w:b/>
                <w:sz w:val="18"/>
                <w:szCs w:val="18"/>
              </w:rPr>
              <w:t>value</w:t>
            </w:r>
            <w:r w:rsidR="007A46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F89FA" w14:textId="77777777" w:rsidR="00767A53" w:rsidRPr="00C17C42" w:rsidRDefault="00313A6F" w:rsidP="00767A53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Odds Ratio</w:t>
            </w:r>
            <w:r w:rsidR="007A46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14:paraId="6AED058C" w14:textId="77777777" w:rsidR="00767A53" w:rsidRPr="00767A53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FAC1E0" w14:textId="77777777" w:rsidR="00767A53" w:rsidRPr="00767A53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A53">
              <w:rPr>
                <w:rFonts w:ascii="Arial" w:hAnsi="Arial" w:cs="Arial"/>
                <w:sz w:val="18"/>
                <w:szCs w:val="18"/>
              </w:rPr>
              <w:t>(95% CI)</w:t>
            </w:r>
          </w:p>
        </w:tc>
      </w:tr>
      <w:tr w:rsidR="002927C0" w:rsidRPr="00767A53" w14:paraId="243832FB" w14:textId="77777777" w:rsidTr="00D922EA">
        <w:trPr>
          <w:trHeight w:val="221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1342E" w14:textId="77777777" w:rsidR="002927C0" w:rsidRPr="00C64DAE" w:rsidRDefault="00CB77BE" w:rsidP="00CB77BE">
            <w:pPr>
              <w:rPr>
                <w:rFonts w:ascii="Arial" w:hAnsi="Arial" w:cs="Arial"/>
                <w:sz w:val="18"/>
                <w:szCs w:val="18"/>
              </w:rPr>
            </w:pPr>
            <w:r w:rsidRPr="00CB77B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1. </w:t>
            </w:r>
            <w:r w:rsidR="00585FC7" w:rsidRPr="00CB77BE">
              <w:rPr>
                <w:rFonts w:ascii="Arial" w:hAnsi="Arial" w:cs="Arial"/>
                <w:b/>
                <w:sz w:val="18"/>
                <w:szCs w:val="18"/>
                <w:lang w:val="en-US"/>
              </w:rPr>
              <w:t>Measure of health need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B863B" w14:textId="77777777" w:rsidR="002927C0" w:rsidRPr="00C64DAE" w:rsidRDefault="002927C0" w:rsidP="00CB7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93DC7" w14:textId="77777777" w:rsidR="002927C0" w:rsidRPr="00C64DAE" w:rsidRDefault="002927C0" w:rsidP="00CB7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3EBE9" w14:textId="77777777" w:rsidR="002927C0" w:rsidRPr="00C64DAE" w:rsidRDefault="002927C0" w:rsidP="00CB7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E23B5" w14:textId="77777777" w:rsidR="002927C0" w:rsidRPr="00C64DAE" w:rsidRDefault="002927C0" w:rsidP="00CB7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CBD55" w14:textId="77777777" w:rsidR="002927C0" w:rsidRPr="00C64DAE" w:rsidRDefault="002927C0" w:rsidP="00CB7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A53" w:rsidRPr="00767A53" w14:paraId="11FF4226" w14:textId="77777777" w:rsidTr="00D922EA">
        <w:trPr>
          <w:trHeight w:val="458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89D81" w14:textId="77777777" w:rsidR="00767A53" w:rsidRPr="00C64DAE" w:rsidRDefault="00767A53" w:rsidP="00CB77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Above age 65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F1AEE" w14:textId="77777777" w:rsidR="00767A53" w:rsidRPr="00C64DAE" w:rsidRDefault="00767A53" w:rsidP="00CB77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8F7B9" w14:textId="77777777" w:rsidR="00767A53" w:rsidRPr="00C64DAE" w:rsidRDefault="00767A53" w:rsidP="00CB77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16.22</w:t>
            </w:r>
          </w:p>
          <w:p w14:paraId="00145731" w14:textId="77777777" w:rsidR="00767A53" w:rsidRPr="00C64DAE" w:rsidRDefault="00767A53" w:rsidP="00CB77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(15.52 to 16.92)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1A455" w14:textId="77777777" w:rsidR="00767A53" w:rsidRPr="00C64DAE" w:rsidRDefault="00767A53" w:rsidP="00CB77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18.22</w:t>
            </w:r>
          </w:p>
          <w:p w14:paraId="67EA06D4" w14:textId="77777777" w:rsidR="00767A53" w:rsidRPr="00C64DAE" w:rsidRDefault="00767A53" w:rsidP="00CB77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(17.67 to 18.77)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4D21A" w14:textId="77777777" w:rsidR="00767A53" w:rsidRPr="00C64DAE" w:rsidRDefault="00767A53" w:rsidP="00CB7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&lt; 0.001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CF62D" w14:textId="77777777" w:rsidR="00767A53" w:rsidRPr="00C64DAE" w:rsidRDefault="00767A53" w:rsidP="00CB7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1.14  </w:t>
            </w:r>
          </w:p>
          <w:p w14:paraId="5F0D082B" w14:textId="77777777" w:rsidR="00767A53" w:rsidRPr="00C64DAE" w:rsidRDefault="00767A53" w:rsidP="00CB7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(1.07 to 1.2) </w:t>
            </w:r>
          </w:p>
        </w:tc>
      </w:tr>
      <w:tr w:rsidR="00767A53" w:rsidRPr="00767A53" w14:paraId="4D893FF8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08996E32" w14:textId="77777777" w:rsidR="00767A53" w:rsidRPr="00C64DAE" w:rsidRDefault="00767A53" w:rsidP="00C64DAE">
            <w:pPr>
              <w:spacing w:before="100" w:before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Physically inactive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1252519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90CD4A7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28.06</w:t>
            </w:r>
          </w:p>
          <w:p w14:paraId="4C46B05C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(27.19 to 28.93)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EE88669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27.69</w:t>
            </w:r>
          </w:p>
          <w:p w14:paraId="49794927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(27.14 to 28.23)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CF8434B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6B3A8430" w14:textId="77777777" w:rsidR="00767A53" w:rsidRPr="00C64DAE" w:rsidRDefault="00767A53" w:rsidP="00C64DA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0.980 </w:t>
            </w:r>
          </w:p>
          <w:p w14:paraId="3EEE0D83" w14:textId="77777777" w:rsidR="00767A53" w:rsidRPr="00C64DAE" w:rsidRDefault="00767A53" w:rsidP="00C64DA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(0.93 to 1.03)</w:t>
            </w:r>
          </w:p>
        </w:tc>
      </w:tr>
      <w:tr w:rsidR="00767A53" w:rsidRPr="00767A53" w14:paraId="3EE1C0E6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2567DDB8" w14:textId="77777777" w:rsidR="00767A53" w:rsidRPr="00C64DAE" w:rsidRDefault="00767A53" w:rsidP="00767A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Standardised mortality ratio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CB1A068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Ratio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56370F9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98.67</w:t>
            </w:r>
          </w:p>
          <w:p w14:paraId="32F1ED54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(96.14 to 101.2)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62A8670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96.78</w:t>
            </w:r>
          </w:p>
          <w:p w14:paraId="28741EC7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(95.05 to 98.97)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9CD7297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29B1CA79" w14:textId="77777777" w:rsidR="00767A53" w:rsidRPr="00C64DAE" w:rsidRDefault="00767A53" w:rsidP="00C64DA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0.99</w:t>
            </w:r>
          </w:p>
          <w:p w14:paraId="24B13F9A" w14:textId="77777777" w:rsidR="00767A53" w:rsidRPr="00C64DAE" w:rsidRDefault="00767A53" w:rsidP="00C64DAE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 (0.97 to 1.01)</w:t>
            </w:r>
          </w:p>
        </w:tc>
      </w:tr>
      <w:tr w:rsidR="00767A53" w:rsidRPr="00767A53" w14:paraId="7B52AFE5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75B21C1B" w14:textId="77777777" w:rsidR="00767A53" w:rsidRPr="00C64DAE" w:rsidRDefault="00767A53" w:rsidP="00767A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Inequality in life expectancy SII  (males)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CED2EDF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22BEC9D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8.06</w:t>
            </w:r>
          </w:p>
          <w:p w14:paraId="2A212771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(7.54 to 8.58)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4F2DCD0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7.34</w:t>
            </w:r>
          </w:p>
          <w:p w14:paraId="040DEB56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(6.98 to 7.97)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509F891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0A91A09B" w14:textId="77777777" w:rsidR="00767A53" w:rsidRPr="00C64DAE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0.924 </w:t>
            </w:r>
          </w:p>
          <w:p w14:paraId="0FCB0A31" w14:textId="77777777" w:rsidR="00767A53" w:rsidRPr="00C64DAE" w:rsidRDefault="00767A53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(0.86 to 0.99)</w:t>
            </w:r>
          </w:p>
        </w:tc>
      </w:tr>
      <w:tr w:rsidR="00767A53" w:rsidRPr="00767A53" w14:paraId="52957606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2E32E9F1" w14:textId="77777777" w:rsidR="00767A53" w:rsidRPr="00C64DAE" w:rsidRDefault="00767A53" w:rsidP="00767A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Inequality in life expectancy SII (females)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2457EDE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F20ECF4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5.59</w:t>
            </w:r>
          </w:p>
          <w:p w14:paraId="5D2F3277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(5.15 to 6.03)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6AFF9BC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5.35</w:t>
            </w:r>
          </w:p>
          <w:p w14:paraId="580CA0D3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(5.0 to 5.7)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7829E7C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6906E119" w14:textId="77777777" w:rsidR="00767A53" w:rsidRPr="00C64DAE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0.962 </w:t>
            </w:r>
          </w:p>
          <w:p w14:paraId="47F66535" w14:textId="77777777" w:rsidR="00767A53" w:rsidRPr="00C64DAE" w:rsidRDefault="0037733B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(0.88</w:t>
            </w:r>
            <w:r w:rsidR="00767A53" w:rsidRPr="00C64DAE">
              <w:rPr>
                <w:rFonts w:ascii="Arial" w:hAnsi="Arial" w:cs="Arial"/>
                <w:sz w:val="18"/>
                <w:szCs w:val="18"/>
              </w:rPr>
              <w:t xml:space="preserve"> to 1.05)</w:t>
            </w:r>
          </w:p>
        </w:tc>
      </w:tr>
      <w:tr w:rsidR="00767A53" w:rsidRPr="00767A53" w14:paraId="0FBECF30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4ADDA0DE" w14:textId="77777777" w:rsidR="00767A53" w:rsidRPr="00C64DAE" w:rsidRDefault="00767A53" w:rsidP="00767A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Limiting long term illness or disability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3713293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8AE07A6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17.08</w:t>
            </w:r>
          </w:p>
          <w:p w14:paraId="67682167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(16.51 to 17.65)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0D64BCE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18.03</w:t>
            </w:r>
          </w:p>
          <w:p w14:paraId="5826DA14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(17.6 to 18.5)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5890C9A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5B559E5" w14:textId="77777777" w:rsidR="00767A53" w:rsidRPr="00C64DAE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1.101 </w:t>
            </w:r>
          </w:p>
          <w:p w14:paraId="294679E3" w14:textId="77777777" w:rsidR="00767A53" w:rsidRPr="00C64DAE" w:rsidRDefault="00767A53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(1.02 to 1.18)</w:t>
            </w:r>
          </w:p>
        </w:tc>
      </w:tr>
      <w:tr w:rsidR="00767A53" w:rsidRPr="00767A53" w14:paraId="475B80E5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261F101F" w14:textId="77777777" w:rsidR="00767A53" w:rsidRPr="00C64DAE" w:rsidRDefault="00767A53" w:rsidP="00767A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Bad and very bad health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0BA4B22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55E110F8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5.25</w:t>
            </w:r>
          </w:p>
          <w:p w14:paraId="3654EE15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(5.00 to 5.50)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33E7C5C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5.28</w:t>
            </w:r>
          </w:p>
          <w:p w14:paraId="3F35C25E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( 5.09 to 5.46)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C6E6E30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0385D958" w14:textId="77777777" w:rsidR="00767A53" w:rsidRPr="00C64DAE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1.013</w:t>
            </w:r>
          </w:p>
          <w:p w14:paraId="40EFB765" w14:textId="77777777" w:rsidR="00767A53" w:rsidRPr="00C64DAE" w:rsidRDefault="00767A53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 (0.86 to 1.19)</w:t>
            </w:r>
          </w:p>
        </w:tc>
      </w:tr>
      <w:tr w:rsidR="00767A53" w:rsidRPr="00767A53" w14:paraId="486FDF63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1C6CBDEA" w14:textId="77777777" w:rsidR="00767A53" w:rsidRPr="00C64DAE" w:rsidRDefault="00767A53" w:rsidP="00767A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Chronic and poorly managed disease COPD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2BE82FE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Ratio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1B3FA9A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102.16</w:t>
            </w:r>
          </w:p>
          <w:p w14:paraId="60A1C5DA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(94.33 to 109.98)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9302937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88.03</w:t>
            </w:r>
          </w:p>
          <w:p w14:paraId="07AA07D6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(82.91 to 93.16)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0FB62F4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670FE5AF" w14:textId="77777777" w:rsidR="00767A53" w:rsidRPr="00C64DAE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0.991</w:t>
            </w:r>
          </w:p>
          <w:p w14:paraId="67EB4982" w14:textId="77777777" w:rsidR="00767A53" w:rsidRPr="00C64DAE" w:rsidRDefault="0037733B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 (0.986</w:t>
            </w:r>
            <w:r w:rsidR="00767A53" w:rsidRPr="00C64DAE">
              <w:rPr>
                <w:rFonts w:ascii="Arial" w:hAnsi="Arial" w:cs="Arial"/>
                <w:sz w:val="18"/>
                <w:szCs w:val="18"/>
              </w:rPr>
              <w:t xml:space="preserve"> to 0.99</w:t>
            </w:r>
            <w:r w:rsidRPr="00C64DAE">
              <w:rPr>
                <w:rFonts w:ascii="Arial" w:hAnsi="Arial" w:cs="Arial"/>
                <w:sz w:val="18"/>
                <w:szCs w:val="18"/>
              </w:rPr>
              <w:t>7</w:t>
            </w:r>
            <w:r w:rsidR="00767A53" w:rsidRPr="00C64D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7A53" w:rsidRPr="00767A53" w14:paraId="457865C4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06D9A6AB" w14:textId="77777777" w:rsidR="00767A53" w:rsidRPr="00C64DAE" w:rsidRDefault="00767A53" w:rsidP="00767A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Chronic and poorly managed disease CHD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6DBAF75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Ratio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4E70455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100.40</w:t>
            </w:r>
          </w:p>
          <w:p w14:paraId="7D9DE8C6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(96.10 to 104.72)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DF7E11A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95.12</w:t>
            </w:r>
          </w:p>
          <w:p w14:paraId="19836EF3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(92.17 to 98.07)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2442536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6B5466A6" w14:textId="77777777" w:rsidR="00767A53" w:rsidRPr="00C64DAE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0.990 </w:t>
            </w:r>
          </w:p>
          <w:p w14:paraId="1FF2ECF0" w14:textId="77777777" w:rsidR="00767A53" w:rsidRPr="00C64DAE" w:rsidRDefault="0037733B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(0.98 to 1.0</w:t>
            </w:r>
            <w:r w:rsidR="00767A53" w:rsidRPr="00C64DAE">
              <w:rPr>
                <w:rFonts w:ascii="Arial" w:hAnsi="Arial" w:cs="Arial"/>
                <w:sz w:val="18"/>
                <w:szCs w:val="18"/>
              </w:rPr>
              <w:t>0)</w:t>
            </w:r>
          </w:p>
        </w:tc>
      </w:tr>
      <w:tr w:rsidR="00767A53" w:rsidRPr="00767A53" w14:paraId="4900987D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4DAFC" w14:textId="77777777" w:rsidR="00767A53" w:rsidRPr="00C64DAE" w:rsidRDefault="00767A53" w:rsidP="00767A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br w:type="page"/>
              <w:t>Excess weight (BMI ≥ 25kg/m²)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1B3AB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64A7D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64.27</w:t>
            </w:r>
          </w:p>
          <w:p w14:paraId="13A46D10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(63.31 to 65.23)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8B583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64.30</w:t>
            </w:r>
          </w:p>
          <w:p w14:paraId="51582CFE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(63.59 to 65.02)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2F446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1FFC3" w14:textId="77777777" w:rsidR="00767A53" w:rsidRPr="00C64DAE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1.001 </w:t>
            </w:r>
          </w:p>
          <w:p w14:paraId="2B5DCFFB" w14:textId="77777777" w:rsidR="00767A53" w:rsidRPr="00C64DAE" w:rsidRDefault="00767A53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(0.96 to 1.04)</w:t>
            </w:r>
          </w:p>
        </w:tc>
      </w:tr>
      <w:tr w:rsidR="00CB77BE" w:rsidRPr="00CB77BE" w14:paraId="6821E9E4" w14:textId="77777777" w:rsidTr="00D922EA">
        <w:trPr>
          <w:trHeight w:val="178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6D81D" w14:textId="77777777" w:rsidR="00CB77BE" w:rsidRPr="00CB77BE" w:rsidRDefault="00CB77BE" w:rsidP="0076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7BE">
              <w:rPr>
                <w:rFonts w:ascii="Arial" w:hAnsi="Arial" w:cs="Arial"/>
                <w:b/>
                <w:sz w:val="18"/>
                <w:szCs w:val="18"/>
              </w:rPr>
              <w:t>2. Socio-economic measures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DAF2B" w14:textId="77777777" w:rsidR="00CB77BE" w:rsidRPr="00CB77BE" w:rsidRDefault="00CB77BE" w:rsidP="00C64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5EE45" w14:textId="77777777" w:rsidR="00CB77BE" w:rsidRPr="00CB77BE" w:rsidRDefault="00CB77BE" w:rsidP="00767A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2AB40" w14:textId="77777777" w:rsidR="00CB77BE" w:rsidRPr="00CB77BE" w:rsidRDefault="00CB77BE" w:rsidP="00767A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09C73" w14:textId="77777777" w:rsidR="00CB77BE" w:rsidRPr="00CB77BE" w:rsidRDefault="00CB77BE" w:rsidP="00C64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EDEB0" w14:textId="77777777" w:rsidR="00CB77BE" w:rsidRPr="00CB77BE" w:rsidRDefault="00CB77BE" w:rsidP="00767A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7A53" w:rsidRPr="00767A53" w14:paraId="6304DB15" w14:textId="77777777" w:rsidTr="00D922EA">
        <w:trPr>
          <w:trHeight w:val="458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6B5A7" w14:textId="77777777" w:rsidR="00767A53" w:rsidRPr="00C64DAE" w:rsidRDefault="00CB77BE" w:rsidP="00767A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Index of multiple deprivation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3C21A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Average score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A31CB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20.59</w:t>
            </w:r>
          </w:p>
          <w:p w14:paraId="4ED50420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(18.91 to 22.26)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C0F1F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18.23</w:t>
            </w:r>
          </w:p>
          <w:p w14:paraId="32AD0DC0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(17.18 to 19.27)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55166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076F1" w14:textId="77777777" w:rsidR="00767A53" w:rsidRPr="00C64DAE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0.967 </w:t>
            </w:r>
          </w:p>
          <w:p w14:paraId="751FE0ED" w14:textId="77777777" w:rsidR="00767A53" w:rsidRPr="00C64DAE" w:rsidRDefault="00767A53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(0.94 to 0.99)</w:t>
            </w:r>
          </w:p>
        </w:tc>
      </w:tr>
      <w:tr w:rsidR="00767A53" w:rsidRPr="00767A53" w14:paraId="616641A9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4C559F8D" w14:textId="77777777" w:rsidR="00767A53" w:rsidRPr="00C64DAE" w:rsidRDefault="00767A53" w:rsidP="00767A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Income domain IMD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BD6C5C8" w14:textId="77777777" w:rsidR="00767A53" w:rsidRPr="00C64DAE" w:rsidRDefault="00767A53" w:rsidP="00C64D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96E502A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13.86</w:t>
            </w:r>
          </w:p>
          <w:p w14:paraId="2806322D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(12.75 to 14.97)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0BFB6CD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12.45</w:t>
            </w:r>
          </w:p>
          <w:p w14:paraId="25D490C5" w14:textId="77777777" w:rsidR="00767A53" w:rsidRPr="00C64DAE" w:rsidRDefault="00767A53" w:rsidP="00767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(11.78 to 13.11)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6C2952E" w14:textId="77777777" w:rsidR="00767A53" w:rsidRPr="00C64DAE" w:rsidRDefault="00767A53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1E1E7B7" w14:textId="77777777" w:rsidR="00767A53" w:rsidRPr="00C64DAE" w:rsidRDefault="00767A53" w:rsidP="0076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0.954</w:t>
            </w:r>
          </w:p>
          <w:p w14:paraId="628347CC" w14:textId="77777777" w:rsidR="00767A53" w:rsidRPr="00C64DAE" w:rsidRDefault="00767A53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 (0.92 to 0.99)</w:t>
            </w:r>
          </w:p>
        </w:tc>
      </w:tr>
      <w:tr w:rsidR="00701E21" w:rsidRPr="00767A53" w14:paraId="10AF3563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2AF1E775" w14:textId="77777777" w:rsidR="00701E21" w:rsidRPr="00C64DAE" w:rsidRDefault="00701E21" w:rsidP="00701E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Income deprivation older people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D493F09" w14:textId="77777777" w:rsidR="00701E21" w:rsidRPr="00C64DAE" w:rsidRDefault="00701E21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E03F358" w14:textId="77777777" w:rsidR="00701E21" w:rsidRPr="00C64DAE" w:rsidRDefault="00701E21" w:rsidP="00701E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18.40</w:t>
            </w:r>
          </w:p>
          <w:p w14:paraId="189B3DDB" w14:textId="77777777" w:rsidR="00701E21" w:rsidRPr="00C64DAE" w:rsidRDefault="00701E21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(16.98 to 19.83)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6A0A798" w14:textId="77777777" w:rsidR="00701E21" w:rsidRPr="00C64DAE" w:rsidRDefault="00701E21" w:rsidP="00701E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16.21</w:t>
            </w:r>
          </w:p>
          <w:p w14:paraId="2C4A2C11" w14:textId="77777777" w:rsidR="00701E21" w:rsidRPr="00C64DAE" w:rsidRDefault="00701E21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(15.41 to 17.02)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4894458" w14:textId="77777777" w:rsidR="00701E21" w:rsidRPr="00C64DAE" w:rsidRDefault="00701E21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110FB857" w14:textId="77777777" w:rsidR="00701E21" w:rsidRPr="00C64DAE" w:rsidRDefault="00701E21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0.954</w:t>
            </w:r>
          </w:p>
          <w:p w14:paraId="231FA950" w14:textId="77777777" w:rsidR="00701E21" w:rsidRPr="00C64DAE" w:rsidRDefault="00701E21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 (0.92 to 0.99)</w:t>
            </w:r>
          </w:p>
        </w:tc>
      </w:tr>
      <w:tr w:rsidR="00701E21" w:rsidRPr="00767A53" w14:paraId="6A13E20C" w14:textId="77777777" w:rsidTr="00C17C42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2C9FC9D8" w14:textId="77777777" w:rsidR="00701E21" w:rsidRPr="00C64DAE" w:rsidRDefault="00701E21" w:rsidP="00701E21">
            <w:pPr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Pensioners living alone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90F23C3" w14:textId="77777777" w:rsidR="00701E21" w:rsidRPr="00C64DAE" w:rsidRDefault="00701E21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4DB9D79" w14:textId="77777777" w:rsidR="00701E21" w:rsidRPr="00C64DAE" w:rsidRDefault="00701E21" w:rsidP="00701E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31.97</w:t>
            </w:r>
          </w:p>
          <w:p w14:paraId="1834F630" w14:textId="77777777" w:rsidR="00701E21" w:rsidRPr="00C64DAE" w:rsidRDefault="00701E21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(31.30 to 32.64)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2D55100" w14:textId="77777777" w:rsidR="00701E21" w:rsidRPr="00C64DAE" w:rsidRDefault="00701E21" w:rsidP="00701E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30.77</w:t>
            </w:r>
          </w:p>
          <w:p w14:paraId="0C91445F" w14:textId="77777777" w:rsidR="00701E21" w:rsidRPr="00C64DAE" w:rsidRDefault="00701E21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(30.30 to 31.24)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BF89C0C" w14:textId="77777777" w:rsidR="00701E21" w:rsidRPr="00C64DAE" w:rsidRDefault="00701E21" w:rsidP="00C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B87404A" w14:textId="77777777" w:rsidR="00701E21" w:rsidRPr="00C64DAE" w:rsidRDefault="00701E21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0.910</w:t>
            </w:r>
          </w:p>
          <w:p w14:paraId="1EBA3F1C" w14:textId="77777777" w:rsidR="00701E21" w:rsidRPr="00C64DAE" w:rsidRDefault="00701E21" w:rsidP="0070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(0.85 to 0.97)</w:t>
            </w:r>
          </w:p>
        </w:tc>
      </w:tr>
      <w:tr w:rsidR="00906BAC" w:rsidRPr="00C64DAE" w14:paraId="65B22D93" w14:textId="77777777" w:rsidTr="00C17C42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3CE23" w14:textId="77777777" w:rsidR="00906BAC" w:rsidRPr="00C64DAE" w:rsidRDefault="00906BAC" w:rsidP="005658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Non-white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7DE25" w14:textId="77777777" w:rsidR="00906BAC" w:rsidRPr="00C64DAE" w:rsidRDefault="00906BAC" w:rsidP="00565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20B94" w14:textId="77777777" w:rsidR="00906BAC" w:rsidRPr="00C64DAE" w:rsidRDefault="00906BAC" w:rsidP="00565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14.78</w:t>
            </w:r>
          </w:p>
          <w:p w14:paraId="6EF31A4F" w14:textId="77777777" w:rsidR="00906BAC" w:rsidRPr="00C64DAE" w:rsidRDefault="00906BAC" w:rsidP="00565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(12.2 to 17.37)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537F7" w14:textId="77777777" w:rsidR="00906BAC" w:rsidRPr="00C64DAE" w:rsidRDefault="00906BAC" w:rsidP="00565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8.02</w:t>
            </w:r>
          </w:p>
          <w:p w14:paraId="1D80F4E5" w14:textId="77777777" w:rsidR="00906BAC" w:rsidRPr="00C64DAE" w:rsidRDefault="00906BAC" w:rsidP="00565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(6.52 to 9.53)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FB9E6" w14:textId="77777777" w:rsidR="00906BAC" w:rsidRPr="00C64DAE" w:rsidRDefault="00906BAC" w:rsidP="0056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&lt; 0.001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B9C0C" w14:textId="77777777" w:rsidR="00906BAC" w:rsidRPr="00C64DAE" w:rsidRDefault="00906BAC" w:rsidP="0056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>0.958</w:t>
            </w:r>
          </w:p>
          <w:p w14:paraId="382E5CFD" w14:textId="77777777" w:rsidR="00D922EA" w:rsidRPr="00C64DAE" w:rsidRDefault="00906BAC" w:rsidP="00D9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DAE">
              <w:rPr>
                <w:rFonts w:ascii="Arial" w:hAnsi="Arial" w:cs="Arial"/>
                <w:sz w:val="18"/>
                <w:szCs w:val="18"/>
              </w:rPr>
              <w:t xml:space="preserve"> (0.94 to 0.98)</w:t>
            </w:r>
          </w:p>
        </w:tc>
      </w:tr>
      <w:tr w:rsidR="00D922EA" w:rsidRPr="00C64DAE" w14:paraId="5F4D9577" w14:textId="77777777" w:rsidTr="00C17C42">
        <w:trPr>
          <w:trHeight w:val="458"/>
        </w:trPr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7F8B4E2B" w14:textId="77777777" w:rsidR="00D922EA" w:rsidRDefault="00D922EA" w:rsidP="00D922EA">
            <w:pPr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</w:rPr>
            </w:pPr>
            <w:r w:rsidRPr="00A32EFC"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</w:rPr>
              <w:lastRenderedPageBreak/>
              <w:t>Abbreviations: Slope index of inequality (SII); Chronic obstructive pulmonary disease (COPD); Coronary heart disease (CHD) Index of multiple deprivation (IMD).</w:t>
            </w:r>
          </w:p>
          <w:p w14:paraId="1E42CBCC" w14:textId="75DC99D1" w:rsidR="00D922EA" w:rsidRDefault="00D922EA" w:rsidP="00D922EA">
            <w:pPr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</w:rPr>
              <w:t xml:space="preserve"> </w:t>
            </w:r>
            <w:r w:rsidR="007A4641"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</w:rPr>
              <w:t>1. Based on a</w:t>
            </w:r>
            <w:r w:rsidRPr="00D922EA"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</w:rPr>
              <w:t xml:space="preserve">nalysis of variance to test the difference in means </w:t>
            </w:r>
            <w:r w:rsidR="007A4641"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</w:rPr>
              <w:t>2. A</w:t>
            </w:r>
            <w:r w:rsidRPr="00D922EA"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</w:rPr>
              <w:t xml:space="preserve">n odds ratio </w:t>
            </w:r>
            <w:r w:rsidR="00F91A9A"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</w:rPr>
              <w:t>generated</w:t>
            </w:r>
            <w:r w:rsidRPr="00D922EA"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</w:rPr>
              <w:t xml:space="preserve"> using binary logistic regression.</w:t>
            </w:r>
          </w:p>
          <w:p w14:paraId="03911479" w14:textId="77777777" w:rsidR="00D922EA" w:rsidRPr="00C64DAE" w:rsidRDefault="00D922EA" w:rsidP="00D922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B24BF" w14:textId="77777777" w:rsidR="00D922EA" w:rsidRPr="00C64DAE" w:rsidRDefault="00D922EA" w:rsidP="00D9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2EA" w:rsidRPr="00C64DAE" w14:paraId="3CB2B6DC" w14:textId="77777777" w:rsidTr="00D922EA">
        <w:trPr>
          <w:trHeight w:val="4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3E6BED97" w14:textId="77777777" w:rsidR="00D922EA" w:rsidRPr="00C64DAE" w:rsidRDefault="00D922EA" w:rsidP="005658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D86A142" w14:textId="77777777" w:rsidR="00D922EA" w:rsidRPr="00C64DAE" w:rsidRDefault="00D922EA" w:rsidP="0056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0E52DEE" w14:textId="77777777" w:rsidR="00D922EA" w:rsidRPr="00C64DAE" w:rsidRDefault="00D922EA" w:rsidP="0056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31FCBD8" w14:textId="77777777" w:rsidR="00D922EA" w:rsidRPr="00C64DAE" w:rsidRDefault="00D922EA" w:rsidP="0056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5DBE2C7" w14:textId="77777777" w:rsidR="00D922EA" w:rsidRPr="00C64DAE" w:rsidRDefault="00D922EA" w:rsidP="0056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3F97C6CF" w14:textId="77777777" w:rsidR="00D922EA" w:rsidRPr="00C64DAE" w:rsidRDefault="00D922EA" w:rsidP="0056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DF096" w14:textId="77777777" w:rsidR="00721552" w:rsidRPr="00D922EA" w:rsidRDefault="00721552">
      <w:pPr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sectPr w:rsidR="00721552" w:rsidRPr="00D922EA" w:rsidSect="006D314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3"/>
        <w:tblW w:w="143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52"/>
        <w:gridCol w:w="1141"/>
        <w:gridCol w:w="1704"/>
        <w:gridCol w:w="1704"/>
        <w:gridCol w:w="1846"/>
        <w:gridCol w:w="1989"/>
        <w:gridCol w:w="1822"/>
        <w:gridCol w:w="1560"/>
      </w:tblGrid>
      <w:tr w:rsidR="00767A53" w:rsidRPr="00767A53" w14:paraId="5CDC50C6" w14:textId="77777777" w:rsidTr="00F91A9A">
        <w:trPr>
          <w:trHeight w:val="254"/>
        </w:trPr>
        <w:tc>
          <w:tcPr>
            <w:tcW w:w="143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38B47" w14:textId="77777777" w:rsidR="00767A53" w:rsidRDefault="00767A53" w:rsidP="0024265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7A5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 xml:space="preserve">Table 3: Health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and </w:t>
            </w:r>
            <w:r w:rsidR="009E6B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socio-economic</w:t>
            </w:r>
            <w:r w:rsidRPr="00767A5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measures for each quintile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of</w:t>
            </w:r>
            <w:r w:rsidRPr="00767A5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intervention in local authorities with the intervention </w:t>
            </w:r>
            <w:r w:rsidR="0003434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AA37C17" w14:textId="2A39B04C" w:rsidR="000B2818" w:rsidRPr="000B2818" w:rsidRDefault="000B2818" w:rsidP="0024265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18">
              <w:rPr>
                <w:rFonts w:ascii="Arial" w:eastAsia="Calibri" w:hAnsi="Arial" w:cs="Arial"/>
                <w:sz w:val="16"/>
                <w:szCs w:val="16"/>
                <w:lang w:eastAsia="en-US"/>
              </w:rPr>
              <w:t>(n= local authority)</w:t>
            </w:r>
          </w:p>
        </w:tc>
      </w:tr>
      <w:tr w:rsidR="00767A53" w:rsidRPr="00767A53" w14:paraId="3D892345" w14:textId="77777777" w:rsidTr="00F91A9A">
        <w:trPr>
          <w:trHeight w:val="428"/>
        </w:trPr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3B4A5" w14:textId="77777777" w:rsidR="00767A53" w:rsidRPr="00767A53" w:rsidRDefault="00767A53" w:rsidP="00767A5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67A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0E05C2F6" w14:textId="77777777" w:rsidR="00767A53" w:rsidRPr="00767A53" w:rsidRDefault="00767A53" w:rsidP="00767A5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5008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Group 1</w:t>
            </w:r>
          </w:p>
          <w:p w14:paraId="4A8E738E" w14:textId="1A616741" w:rsidR="00767A53" w:rsidRPr="00034348" w:rsidRDefault="00767A53" w:rsidP="00F91A9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17C4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LAs with least provision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3F5D6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Group 2</w:t>
            </w:r>
          </w:p>
          <w:p w14:paraId="0B2AF820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DB90207" w14:textId="25C2F531" w:rsidR="00767A53" w:rsidRPr="00C17C42" w:rsidRDefault="00767A53" w:rsidP="00C17C4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1CA95" w14:textId="3DD11317" w:rsidR="00767A53" w:rsidRPr="00C17C42" w:rsidRDefault="00767A53" w:rsidP="00F91A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Group 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4DE5" w14:textId="45DA4D3D" w:rsidR="00767A53" w:rsidRPr="00C17C42" w:rsidRDefault="00767A53" w:rsidP="00F91A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Group 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82ED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Group 5</w:t>
            </w:r>
          </w:p>
          <w:p w14:paraId="57364F69" w14:textId="29994838" w:rsidR="00767A53" w:rsidRPr="00034348" w:rsidRDefault="00767A53" w:rsidP="00F91A9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17C4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LAs with most provision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14CF4" w14:textId="77777777" w:rsidR="00767A53" w:rsidRPr="00C17C42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Test for linear trend</w:t>
            </w:r>
            <w:r w:rsidR="004F594A"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  <w:t>1</w:t>
            </w:r>
          </w:p>
          <w:p w14:paraId="3642165E" w14:textId="77777777" w:rsidR="009C69B0" w:rsidRPr="00034348" w:rsidRDefault="009C69B0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060D2F1" w14:textId="78746129" w:rsidR="00767A53" w:rsidRPr="00C17C42" w:rsidRDefault="00767A53" w:rsidP="00767A5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67A53" w:rsidRPr="00767A53" w14:paraId="40F39105" w14:textId="77777777" w:rsidTr="00C17C42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1ADEFD" w14:textId="77777777" w:rsidR="00767A53" w:rsidRPr="00767A53" w:rsidRDefault="00767A53" w:rsidP="00767A5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0EE97059" w14:textId="77777777" w:rsidR="00767A53" w:rsidRPr="00767A53" w:rsidRDefault="00767A53" w:rsidP="00767A5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C87B10B" w14:textId="77777777" w:rsidR="007A4641" w:rsidRPr="00F91A9A" w:rsidRDefault="007A4641" w:rsidP="007A464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91A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Mean value</w:t>
            </w:r>
          </w:p>
          <w:p w14:paraId="6C9FBB00" w14:textId="77777777" w:rsidR="00767A53" w:rsidRPr="00034348" w:rsidRDefault="007A4641" w:rsidP="007A464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91A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(95% CI)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6D5DE32" w14:textId="77777777" w:rsidR="007A4641" w:rsidRPr="00C17C42" w:rsidRDefault="007A4641" w:rsidP="007A464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17C4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Mean value</w:t>
            </w:r>
          </w:p>
          <w:p w14:paraId="15B9ECEC" w14:textId="77777777" w:rsidR="00767A53" w:rsidRPr="00034348" w:rsidRDefault="007A4641" w:rsidP="007A464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17C42">
              <w:rPr>
                <w:rFonts w:ascii="Arial" w:eastAsia="Calibri" w:hAnsi="Arial" w:cs="Arial"/>
                <w:sz w:val="16"/>
                <w:szCs w:val="16"/>
                <w:lang w:eastAsia="en-US"/>
              </w:rPr>
              <w:t>(95% CI)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18C2DB86" w14:textId="77777777" w:rsidR="00767A53" w:rsidRPr="00C17C42" w:rsidRDefault="00767A53" w:rsidP="00767A5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17C4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Mean value</w:t>
            </w:r>
          </w:p>
          <w:p w14:paraId="066C699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17C42">
              <w:rPr>
                <w:rFonts w:ascii="Arial" w:eastAsia="Calibri" w:hAnsi="Arial" w:cs="Arial"/>
                <w:sz w:val="16"/>
                <w:szCs w:val="16"/>
                <w:lang w:eastAsia="en-US"/>
              </w:rPr>
              <w:t>(95% CI</w:t>
            </w: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081B8B65" w14:textId="77777777" w:rsidR="007A4641" w:rsidRPr="00C17C42" w:rsidRDefault="007A4641" w:rsidP="007A464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17C4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Mean value</w:t>
            </w:r>
          </w:p>
          <w:p w14:paraId="23BF4463" w14:textId="77777777" w:rsidR="00767A53" w:rsidRPr="00034348" w:rsidRDefault="007A4641" w:rsidP="007A464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17C42">
              <w:rPr>
                <w:rFonts w:ascii="Arial" w:eastAsia="Calibri" w:hAnsi="Arial" w:cs="Arial"/>
                <w:sz w:val="16"/>
                <w:szCs w:val="16"/>
                <w:lang w:eastAsia="en-US"/>
              </w:rPr>
              <w:t>(95% CI)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BAF4142" w14:textId="77777777" w:rsidR="007A4641" w:rsidRPr="00C17C42" w:rsidRDefault="007A4641" w:rsidP="007A464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17C4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Mean value</w:t>
            </w:r>
          </w:p>
          <w:p w14:paraId="0D678321" w14:textId="77777777" w:rsidR="00767A53" w:rsidRPr="00034348" w:rsidRDefault="007A4641" w:rsidP="007A464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17C42">
              <w:rPr>
                <w:rFonts w:ascii="Arial" w:eastAsia="Calibri" w:hAnsi="Arial" w:cs="Arial"/>
                <w:sz w:val="16"/>
                <w:szCs w:val="16"/>
                <w:lang w:eastAsia="en-US"/>
              </w:rPr>
              <w:t>(95% CI)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1E5018" w14:textId="77777777" w:rsidR="00767A53" w:rsidRPr="00C17C42" w:rsidRDefault="00A830FE" w:rsidP="00767A5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17C4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p-value</w:t>
            </w:r>
          </w:p>
        </w:tc>
      </w:tr>
      <w:tr w:rsidR="00F91A9A" w:rsidRPr="00767A53" w14:paraId="1850D10E" w14:textId="77777777" w:rsidTr="00C17C42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F40A9" w14:textId="69E4AED2" w:rsidR="00F91A9A" w:rsidRPr="00767A53" w:rsidRDefault="00F91A9A" w:rsidP="00767A5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770C" w14:textId="77777777" w:rsidR="00F91A9A" w:rsidRPr="00767A53" w:rsidRDefault="00F91A9A" w:rsidP="00767A5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3F787" w14:textId="77777777" w:rsidR="00F91A9A" w:rsidRPr="00F91A9A" w:rsidRDefault="00F91A9A" w:rsidP="007A464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n=39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BCCBD" w14:textId="77777777" w:rsidR="00F91A9A" w:rsidRPr="00F91A9A" w:rsidRDefault="00F91A9A" w:rsidP="007A464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n=40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A2834" w14:textId="77777777" w:rsidR="00F91A9A" w:rsidRPr="00F91A9A" w:rsidRDefault="00F91A9A" w:rsidP="00767A5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n=40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53FE9" w14:textId="77777777" w:rsidR="00F91A9A" w:rsidRPr="00F91A9A" w:rsidRDefault="00F91A9A" w:rsidP="007A464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n=40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1B293" w14:textId="77777777" w:rsidR="00F91A9A" w:rsidRPr="00F91A9A" w:rsidRDefault="00F91A9A" w:rsidP="007A464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n=39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C7E94" w14:textId="77777777" w:rsidR="00F91A9A" w:rsidRPr="00F91A9A" w:rsidRDefault="00F91A9A" w:rsidP="00767A5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B77BE" w:rsidRPr="00767A53" w14:paraId="40492B5C" w14:textId="77777777" w:rsidTr="00C17C42">
        <w:trPr>
          <w:trHeight w:val="39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0BF07" w14:textId="77777777" w:rsidR="00CB77BE" w:rsidRPr="00CB77BE" w:rsidRDefault="00CB77BE" w:rsidP="00CB77BE">
            <w:pPr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</w:pPr>
            <w:r w:rsidRPr="00CB77BE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1. Measure of health need</w:t>
            </w:r>
          </w:p>
          <w:p w14:paraId="535D718B" w14:textId="77777777" w:rsidR="00CB77BE" w:rsidRPr="00767A53" w:rsidRDefault="00CB77BE" w:rsidP="00767A5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9C108" w14:textId="77777777" w:rsidR="00CB77BE" w:rsidRPr="00767A53" w:rsidRDefault="00CB77BE" w:rsidP="00767A5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F1A16" w14:textId="77777777" w:rsidR="00CB77BE" w:rsidRPr="00034348" w:rsidRDefault="00CB77BE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89116" w14:textId="77777777" w:rsidR="00CB77BE" w:rsidRPr="00034348" w:rsidRDefault="00CB77BE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2E3B1" w14:textId="77777777" w:rsidR="00CB77BE" w:rsidRPr="00034348" w:rsidRDefault="00CB77BE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5C9F3" w14:textId="77777777" w:rsidR="00CB77BE" w:rsidRPr="00034348" w:rsidRDefault="00CB77BE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16883" w14:textId="77777777" w:rsidR="00CB77BE" w:rsidRPr="00034348" w:rsidRDefault="00CB77BE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33F89" w14:textId="77777777" w:rsidR="00CB77BE" w:rsidRPr="00034348" w:rsidRDefault="00CB77BE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67A53" w:rsidRPr="00767A53" w14:paraId="1D3544C0" w14:textId="77777777" w:rsidTr="00F91A9A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1131ED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Above aged 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8B53DAA" w14:textId="77777777" w:rsidR="00767A53" w:rsidRPr="00034348" w:rsidRDefault="007A64D7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  <w:r w:rsidR="009154B2"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C0BAA8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16.97</w:t>
            </w:r>
          </w:p>
          <w:p w14:paraId="4699DBF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(15.43 to 18.52)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798E4FB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17.94</w:t>
            </w:r>
          </w:p>
          <w:p w14:paraId="5F953EE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(16.72 to 19.17)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B9A4BCD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18.93</w:t>
            </w:r>
          </w:p>
          <w:p w14:paraId="695AE04C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(17.74 to 20.12)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5E5BA1F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18.61</w:t>
            </w:r>
          </w:p>
          <w:p w14:paraId="7C608EB0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(17.52 to 19.70)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F4EE49C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18.62</w:t>
            </w:r>
          </w:p>
          <w:p w14:paraId="30A4F31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(17.42 to 19.83)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0E7898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0.046</w:t>
            </w:r>
          </w:p>
        </w:tc>
      </w:tr>
      <w:tr w:rsidR="00767A53" w:rsidRPr="00767A53" w14:paraId="5FA6C43C" w14:textId="77777777" w:rsidTr="00E4727B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9B31F3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Physically inactive (</w:t>
            </w:r>
            <w:r w:rsidRPr="0003434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&lt; 30 minutes per week)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1FD7F39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AA8F086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28.37</w:t>
            </w:r>
          </w:p>
          <w:p w14:paraId="7E202A8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(27.07 to 29.67)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30B914C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27.52</w:t>
            </w:r>
          </w:p>
          <w:p w14:paraId="5DD1E2F4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(26.28 to 28.76)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57FC9C6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26.99</w:t>
            </w:r>
          </w:p>
          <w:p w14:paraId="11082B1B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(25.86 to 28.13)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016A5393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27.33</w:t>
            </w:r>
          </w:p>
          <w:p w14:paraId="6714DAAF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(26.19 to 28.47)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61652D4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28.25</w:t>
            </w:r>
          </w:p>
          <w:p w14:paraId="4174597F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(26.86 to 29.64)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9A25B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0.826</w:t>
            </w:r>
          </w:p>
        </w:tc>
      </w:tr>
      <w:tr w:rsidR="00767A53" w:rsidRPr="00767A53" w14:paraId="404E43DB" w14:textId="77777777" w:rsidTr="00E4727B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C32650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03434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Standardised</w:t>
            </w:r>
            <w:proofErr w:type="spellEnd"/>
            <w:r w:rsidRPr="0003434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mortality ratio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28A18FD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Ratio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91847E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98.69</w:t>
            </w:r>
          </w:p>
          <w:p w14:paraId="138C55F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(95.11 to 102.27)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9CAE323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95.25</w:t>
            </w:r>
          </w:p>
          <w:p w14:paraId="4778799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(89.36 to 101.14)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3DDD226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96.33</w:t>
            </w:r>
          </w:p>
          <w:p w14:paraId="1FD3E76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(92.75 to 99.90)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1F612DF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95.38</w:t>
            </w:r>
          </w:p>
          <w:p w14:paraId="6E2D248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(91.93 to 98.82)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54DE8FE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98.36</w:t>
            </w:r>
          </w:p>
          <w:p w14:paraId="79427FE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(95.75 to 100.96)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32BB76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0.931</w:t>
            </w:r>
          </w:p>
        </w:tc>
      </w:tr>
      <w:tr w:rsidR="00767A53" w:rsidRPr="00767A53" w14:paraId="2908EF11" w14:textId="77777777" w:rsidTr="00966E70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8E05EC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Inequality in life expectancy SII (males)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0485EEA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Years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1212DD3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7.81</w:t>
            </w:r>
          </w:p>
          <w:p w14:paraId="10E7B120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(6.85 to 8.77)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382D85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7.39</w:t>
            </w:r>
          </w:p>
          <w:p w14:paraId="6DB15E0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(6.46 to 8.31)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48716B7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6.62</w:t>
            </w:r>
          </w:p>
          <w:p w14:paraId="4234992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(5.73 to 7.52)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76E4871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8.01</w:t>
            </w:r>
          </w:p>
          <w:p w14:paraId="381E9AD3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(7.00 to 9.02)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926700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7.08</w:t>
            </w:r>
          </w:p>
          <w:p w14:paraId="22A4EBE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(6.24 to 7.93)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F9CBB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0.574</w:t>
            </w:r>
          </w:p>
        </w:tc>
      </w:tr>
      <w:tr w:rsidR="00767A53" w:rsidRPr="00767A53" w14:paraId="16023DFA" w14:textId="77777777" w:rsidTr="00966E70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C832DF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Inequality in life expectancy SII (females)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9546AB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Years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68F59FC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5.94</w:t>
            </w:r>
          </w:p>
          <w:p w14:paraId="147BC80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(5.03 to 6.84)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BB67AB4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5.59</w:t>
            </w:r>
          </w:p>
          <w:p w14:paraId="528E3F6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(4.83 to 6.35)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6224CF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4.73</w:t>
            </w:r>
          </w:p>
          <w:p w14:paraId="5CEFB30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(3.88 to 5.57)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72B46484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5.63</w:t>
            </w:r>
          </w:p>
          <w:p w14:paraId="0D810CA6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(4.74 to 6.52)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ACEF6F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4.87</w:t>
            </w:r>
          </w:p>
          <w:p w14:paraId="60E590E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(4.29 to 5.44)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F52E68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0.098</w:t>
            </w:r>
          </w:p>
        </w:tc>
      </w:tr>
      <w:tr w:rsidR="00767A53" w:rsidRPr="00767A53" w14:paraId="23B13EA5" w14:textId="77777777" w:rsidTr="00966E70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104C66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Limiting long term illness or disability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F4FE82D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78B01C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17.64</w:t>
            </w:r>
          </w:p>
          <w:p w14:paraId="4ACF292C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(16.58 to 18.69)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86B5195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17.99</w:t>
            </w:r>
          </w:p>
          <w:p w14:paraId="1825776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(17.02 to 18.98)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0618B3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17.94</w:t>
            </w:r>
          </w:p>
          <w:p w14:paraId="6925D78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(16.91 to 18.98)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6BCA324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18.23</w:t>
            </w:r>
          </w:p>
          <w:p w14:paraId="46F7BEA3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(17.29 to 19.16)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9593BF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18.34</w:t>
            </w:r>
          </w:p>
          <w:p w14:paraId="5F5E813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(17.32 to 19.36)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9113CB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0.299</w:t>
            </w:r>
          </w:p>
        </w:tc>
      </w:tr>
      <w:tr w:rsidR="00767A53" w:rsidRPr="00767A53" w14:paraId="19E3C377" w14:textId="77777777" w:rsidTr="00966E70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BD08FF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Self-rated bad health and very bad health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2C0EFC4C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5F1CB65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5.28</w:t>
            </w:r>
          </w:p>
          <w:p w14:paraId="3814CF16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(4.88 to 5.69)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1596054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5.33</w:t>
            </w:r>
          </w:p>
          <w:p w14:paraId="2CD1281F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(4.89 to 5.76)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6EFCEA2D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5.14</w:t>
            </w:r>
          </w:p>
          <w:p w14:paraId="77B0B40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(4.64 to 5.63)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50F7A87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5.31</w:t>
            </w:r>
          </w:p>
          <w:p w14:paraId="4807C0E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(4.90 to 5.72)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C80B45C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5.33</w:t>
            </w:r>
          </w:p>
          <w:p w14:paraId="20942815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(4.92 to 5.74)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D26E70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0.912</w:t>
            </w:r>
          </w:p>
        </w:tc>
      </w:tr>
      <w:tr w:rsidR="00767A53" w:rsidRPr="00767A53" w14:paraId="4AB0F567" w14:textId="77777777" w:rsidTr="00966E70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CE5A9C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Chronic and poorly managed disease COPD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76FD38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Ratio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3DD326D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100.91</w:t>
            </w:r>
          </w:p>
          <w:p w14:paraId="27E4346D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(88.64 to 113.19)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8BBEF3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89.73</w:t>
            </w:r>
          </w:p>
          <w:p w14:paraId="5CD61FD3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(78.66 to 100.81)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1D8FB6B3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81.11</w:t>
            </w:r>
          </w:p>
          <w:p w14:paraId="2D60AAB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(68.07 to 94.15)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70824FCC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87.04</w:t>
            </w:r>
          </w:p>
          <w:p w14:paraId="523C4815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(75.45 to 98.64)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DA63AF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81.52</w:t>
            </w:r>
          </w:p>
          <w:p w14:paraId="1D3056A5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(71.58 to 91.45)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78ADD0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0.024</w:t>
            </w:r>
          </w:p>
        </w:tc>
      </w:tr>
      <w:tr w:rsidR="00767A53" w:rsidRPr="00767A53" w14:paraId="44489711" w14:textId="77777777" w:rsidTr="00C17C42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C35F64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Chronic and poorly managed disease CHD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F2F332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Ratio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0CB39D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98.02</w:t>
            </w:r>
          </w:p>
          <w:p w14:paraId="5F77AF1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(91.50 to 104.53)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D8432F0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96.19</w:t>
            </w:r>
          </w:p>
          <w:p w14:paraId="23A2DC28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(89.78 to 102.60)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9E4C27F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91.41</w:t>
            </w:r>
          </w:p>
          <w:p w14:paraId="1806656B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(84.07 to 98.74)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486D873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95.80</w:t>
            </w:r>
          </w:p>
          <w:p w14:paraId="2CE87463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(90.04 to 101.56)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CC5D10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94.24</w:t>
            </w:r>
          </w:p>
          <w:p w14:paraId="7BF0FC4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(86.44 to 102.04)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0BA1BC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0.457</w:t>
            </w:r>
          </w:p>
        </w:tc>
      </w:tr>
      <w:tr w:rsidR="00767A53" w:rsidRPr="00767A53" w14:paraId="3F0D1082" w14:textId="77777777" w:rsidTr="00C17C42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D844FD" w14:textId="77777777" w:rsidR="00767A53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Excess weight (BMI ≥ 25kg/m²)</w:t>
            </w:r>
          </w:p>
          <w:p w14:paraId="16DB6146" w14:textId="77777777" w:rsidR="007A4641" w:rsidRPr="00034348" w:rsidRDefault="007A4641" w:rsidP="00767A5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92F793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D4A3B6D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63.71</w:t>
            </w:r>
          </w:p>
          <w:p w14:paraId="13D6959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(62.21 to 65.21)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A35CF9F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65.58</w:t>
            </w:r>
          </w:p>
          <w:p w14:paraId="6D6AD3B6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(63.79 to 67.37)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648DBDD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64.68</w:t>
            </w:r>
          </w:p>
          <w:p w14:paraId="242772BF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(63.27 to 66.10)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1869CB7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64.79</w:t>
            </w:r>
          </w:p>
          <w:p w14:paraId="2DAFC2BD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(63.13 to 66.46)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ACEA813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62.69</w:t>
            </w:r>
          </w:p>
          <w:p w14:paraId="7512AB74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(60.93 to 64.46)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487713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0.272</w:t>
            </w:r>
          </w:p>
        </w:tc>
      </w:tr>
      <w:tr w:rsidR="00CB77BE" w:rsidRPr="00767A53" w14:paraId="58E26A52" w14:textId="77777777" w:rsidTr="00C17C42">
        <w:trPr>
          <w:trHeight w:val="392"/>
        </w:trPr>
        <w:tc>
          <w:tcPr>
            <w:tcW w:w="143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3F27AF" w14:textId="77777777" w:rsidR="00CB77BE" w:rsidRPr="00034348" w:rsidRDefault="00CB77BE" w:rsidP="00CB77B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7B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2. Socio-economic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</w:t>
            </w:r>
            <w:r w:rsidRPr="00CB77B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easures</w:t>
            </w:r>
          </w:p>
        </w:tc>
      </w:tr>
      <w:tr w:rsidR="00767A53" w:rsidRPr="00767A53" w14:paraId="71710329" w14:textId="77777777" w:rsidTr="00C17C42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15AE79" w14:textId="77777777" w:rsidR="00767A53" w:rsidRPr="00034348" w:rsidRDefault="00CB77BE" w:rsidP="00767A53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Index of multiple deprivation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7D313E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Average</w:t>
            </w:r>
          </w:p>
          <w:p w14:paraId="37AF446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score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9DF432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19.63</w:t>
            </w:r>
          </w:p>
          <w:p w14:paraId="651F5FE4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(17.09 to 22.16)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FAEA74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18.09</w:t>
            </w:r>
          </w:p>
          <w:p w14:paraId="6A54863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(15.82 to 20.37)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47ADDEFF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16.49</w:t>
            </w:r>
          </w:p>
          <w:p w14:paraId="7450AF81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(13.95 to 19.04)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5669E405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18.22</w:t>
            </w:r>
          </w:p>
          <w:p w14:paraId="375D6CE8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(16.09 to20.42)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627D900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18.74</w:t>
            </w:r>
          </w:p>
          <w:p w14:paraId="11BC8AE0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(16.34 to 21.15)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287DDB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0.663</w:t>
            </w:r>
          </w:p>
        </w:tc>
      </w:tr>
      <w:tr w:rsidR="00767A53" w:rsidRPr="00767A53" w14:paraId="643E92F0" w14:textId="77777777" w:rsidTr="00966E70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933C79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Income domain IMD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0683BC1C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6D442F6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12.99</w:t>
            </w:r>
          </w:p>
          <w:p w14:paraId="1819811B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(11.24 to 14.74)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57AA2F4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12.44</w:t>
            </w:r>
          </w:p>
          <w:p w14:paraId="6CCA42A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(10.93 to 13.96)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266CF776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11.37</w:t>
            </w:r>
          </w:p>
          <w:p w14:paraId="3D5E333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(9.87 to 12.86)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61DFE4E0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12.56</w:t>
            </w:r>
          </w:p>
          <w:p w14:paraId="655C570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(11.15 to 13.96)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284098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12.90</w:t>
            </w:r>
          </w:p>
          <w:p w14:paraId="3E6E534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(11.45 to 14.35)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7E1028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0.980</w:t>
            </w:r>
          </w:p>
        </w:tc>
      </w:tr>
      <w:tr w:rsidR="00767A53" w:rsidRPr="00767A53" w14:paraId="4FB556D8" w14:textId="77777777" w:rsidTr="00E4727B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97FB2C" w14:textId="77777777" w:rsidR="00767A53" w:rsidRPr="00034348" w:rsidRDefault="00767A53" w:rsidP="00767A5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Income deprivation older people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148B95BD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9FC2377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17.60</w:t>
            </w:r>
          </w:p>
          <w:p w14:paraId="68E961B9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(15.32 to 19.88)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C56D9B6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16.32</w:t>
            </w:r>
          </w:p>
          <w:p w14:paraId="0AEAFD5A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(14.32 to 18.33)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4061E30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14.94</w:t>
            </w:r>
          </w:p>
          <w:p w14:paraId="29C115FE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(13.19 to 16.69)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6F75832B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15.85</w:t>
            </w:r>
          </w:p>
          <w:p w14:paraId="0A35F6EB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(14.38 to 17.31)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534E573B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16.40</w:t>
            </w:r>
          </w:p>
          <w:p w14:paraId="7F7565AB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(14.79 to 18.00)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CA5F42" w14:textId="77777777" w:rsidR="00767A53" w:rsidRPr="00034348" w:rsidRDefault="00767A53" w:rsidP="00767A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0.321</w:t>
            </w:r>
          </w:p>
        </w:tc>
      </w:tr>
      <w:tr w:rsidR="00E4727B" w:rsidRPr="00767A53" w14:paraId="48ECB438" w14:textId="77777777" w:rsidTr="00C17C42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D17D93" w14:textId="77777777" w:rsidR="00E4727B" w:rsidRPr="00034348" w:rsidRDefault="00E4727B" w:rsidP="00B93FE8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Pensioners living alone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1CB59D3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141E360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31.25</w:t>
            </w:r>
          </w:p>
          <w:p w14:paraId="57BC86AE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(30.33 to 32.17)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687B2E0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31.78</w:t>
            </w:r>
          </w:p>
          <w:p w14:paraId="4EE635BB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(30.33 to 33.23)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0A83899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30.06</w:t>
            </w:r>
          </w:p>
          <w:p w14:paraId="0090347B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(29.18 to 30.93)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3739FF91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30.66</w:t>
            </w:r>
          </w:p>
          <w:p w14:paraId="470E2FF3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(29.70 to 31.63)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6524D28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30.11</w:t>
            </w:r>
          </w:p>
          <w:p w14:paraId="1E669CC6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(29.09 to 31.12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9915F8" w14:textId="77777777" w:rsidR="00E4727B" w:rsidRPr="00034348" w:rsidRDefault="00E4727B" w:rsidP="00B93FE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0.044</w:t>
            </w:r>
          </w:p>
        </w:tc>
      </w:tr>
      <w:tr w:rsidR="00906BAC" w:rsidRPr="00034348" w14:paraId="4FC9520C" w14:textId="77777777" w:rsidTr="00C17C42">
        <w:trPr>
          <w:trHeight w:val="39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A9C1D" w14:textId="77777777" w:rsidR="00906BAC" w:rsidRPr="00034348" w:rsidRDefault="00906BAC" w:rsidP="0056584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Non-white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3E138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415A1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11.26</w:t>
            </w:r>
          </w:p>
          <w:p w14:paraId="256EBE19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(6.35 to 16.18)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F7B2F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7.84</w:t>
            </w:r>
          </w:p>
          <w:p w14:paraId="49A57318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(5.49 to 10.20)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D4252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7.19</w:t>
            </w:r>
          </w:p>
          <w:p w14:paraId="2826457E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(3.74 to 10.65)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4B66F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7.13</w:t>
            </w:r>
          </w:p>
          <w:p w14:paraId="6A179AFC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(4.00 to 10.25)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1AD82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6.75</w:t>
            </w:r>
          </w:p>
          <w:p w14:paraId="238A26A6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(3.89 to 9.61)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980A8" w14:textId="77777777" w:rsidR="00906BAC" w:rsidRPr="00034348" w:rsidRDefault="00906BAC" w:rsidP="0056584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43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0.073</w:t>
            </w:r>
          </w:p>
        </w:tc>
      </w:tr>
    </w:tbl>
    <w:p w14:paraId="795D65DB" w14:textId="77777777" w:rsidR="00D922EA" w:rsidRDefault="00D922EA" w:rsidP="00D922EA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</w:pPr>
      <w:r w:rsidRPr="00D922EA"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 xml:space="preserve">Abbreviations: Slope index of inequality (SII); </w:t>
      </w:r>
      <w:proofErr w:type="gramStart"/>
      <w:r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>C</w:t>
      </w:r>
      <w:r w:rsidRPr="00D922EA"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>hronic</w:t>
      </w:r>
      <w:proofErr w:type="gramEnd"/>
      <w:r w:rsidRPr="00D922EA"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 xml:space="preserve"> obstructive pulmonary disease (COPD); Coronary heart disease (CHD) Index of multiple deprivation (</w:t>
      </w:r>
      <w:r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>IMD).</w:t>
      </w:r>
    </w:p>
    <w:p w14:paraId="0F19780D" w14:textId="37924BAF" w:rsidR="00D922EA" w:rsidRPr="00D922EA" w:rsidRDefault="004F594A" w:rsidP="00D922EA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</w:pPr>
      <w:r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>1</w:t>
      </w:r>
      <w:r w:rsidR="00D922EA"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>:</w:t>
      </w:r>
      <w:r w:rsidR="00D922EA" w:rsidRPr="00D922EA"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>P</w:t>
      </w:r>
      <w:r w:rsidR="00D922EA" w:rsidRPr="00D922EA"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>olynomial contrast</w:t>
      </w:r>
      <w:r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 xml:space="preserve"> for linear trend across quintiles</w:t>
      </w:r>
      <w:r w:rsidR="00D922EA" w:rsidRPr="00D922EA"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>.</w:t>
      </w:r>
    </w:p>
    <w:p w14:paraId="5F1F3701" w14:textId="77777777" w:rsidR="00721552" w:rsidRDefault="00721552" w:rsidP="00FD5566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kern w:val="36"/>
        </w:rPr>
        <w:sectPr w:rsidR="00721552" w:rsidSect="009154B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B8E089D" w14:textId="77777777" w:rsidR="00960685" w:rsidRDefault="00960685" w:rsidP="00FD5566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960685">
        <w:rPr>
          <w:rFonts w:ascii="Arial" w:hAnsi="Arial" w:cs="Arial"/>
          <w:b/>
        </w:rPr>
        <w:lastRenderedPageBreak/>
        <w:t>References</w:t>
      </w:r>
    </w:p>
    <w:p w14:paraId="22ED546A" w14:textId="77777777" w:rsidR="00960685" w:rsidRPr="00960685" w:rsidRDefault="00960685" w:rsidP="00FD5566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14:paraId="05CC3722" w14:textId="77777777" w:rsidR="003A47F3" w:rsidRPr="003A47F3" w:rsidRDefault="00536436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r w:rsidRPr="00086598">
        <w:rPr>
          <w:rFonts w:ascii="Arial" w:hAnsi="Arial" w:cs="Arial"/>
        </w:rPr>
        <w:fldChar w:fldCharType="begin"/>
      </w:r>
      <w:r w:rsidRPr="00086598">
        <w:rPr>
          <w:rFonts w:ascii="Arial" w:hAnsi="Arial" w:cs="Arial"/>
        </w:rPr>
        <w:instrText xml:space="preserve"> ADDIN EN.REFLIST </w:instrText>
      </w:r>
      <w:r w:rsidRPr="00086598">
        <w:rPr>
          <w:rFonts w:ascii="Arial" w:hAnsi="Arial" w:cs="Arial"/>
        </w:rPr>
        <w:fldChar w:fldCharType="separate"/>
      </w:r>
      <w:bookmarkStart w:id="3" w:name="_ENREF_1"/>
      <w:r w:rsidR="003A47F3" w:rsidRPr="003A47F3">
        <w:rPr>
          <w:rFonts w:ascii="Calibri" w:hAnsi="Calibri" w:cs="Arial"/>
          <w:noProof/>
        </w:rPr>
        <w:t>1.</w:t>
      </w:r>
      <w:r w:rsidR="003A47F3" w:rsidRPr="003A47F3">
        <w:rPr>
          <w:rFonts w:ascii="Calibri" w:hAnsi="Calibri" w:cs="Arial"/>
          <w:noProof/>
        </w:rPr>
        <w:tab/>
        <w:t xml:space="preserve">Whitehead M: </w:t>
      </w:r>
      <w:r w:rsidR="003A47F3" w:rsidRPr="003A47F3">
        <w:rPr>
          <w:rFonts w:ascii="Calibri" w:hAnsi="Calibri" w:cs="Arial"/>
          <w:b/>
          <w:noProof/>
        </w:rPr>
        <w:t>The concepts and principles of equity and health.</w:t>
      </w:r>
      <w:r w:rsidR="003A47F3" w:rsidRPr="003A47F3">
        <w:rPr>
          <w:rFonts w:ascii="Calibri" w:hAnsi="Calibri" w:cs="Arial"/>
          <w:noProof/>
        </w:rPr>
        <w:t xml:space="preserve"> In </w:t>
      </w:r>
      <w:r w:rsidR="003A47F3" w:rsidRPr="003A47F3">
        <w:rPr>
          <w:rFonts w:ascii="Calibri" w:hAnsi="Calibri" w:cs="Arial"/>
          <w:i/>
          <w:noProof/>
        </w:rPr>
        <w:t>A fair chance for all</w:t>
      </w:r>
      <w:r w:rsidR="003A47F3" w:rsidRPr="003A47F3">
        <w:rPr>
          <w:rFonts w:ascii="Calibri" w:hAnsi="Calibri" w:cs="Arial"/>
          <w:noProof/>
        </w:rPr>
        <w:t>. Copenhagen: World Health Organisation Regional Office for Europe; 1992.</w:t>
      </w:r>
      <w:bookmarkEnd w:id="3"/>
    </w:p>
    <w:p w14:paraId="066BD7EA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4" w:name="_ENREF_2"/>
      <w:r w:rsidRPr="003A47F3">
        <w:rPr>
          <w:rFonts w:ascii="Calibri" w:hAnsi="Calibri" w:cs="Arial"/>
          <w:noProof/>
        </w:rPr>
        <w:t>2.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Social determinants of health </w:t>
      </w:r>
      <w:r w:rsidRPr="003A47F3">
        <w:rPr>
          <w:rFonts w:ascii="Calibri" w:hAnsi="Calibri" w:cs="Arial"/>
          <w:noProof/>
        </w:rPr>
        <w:t>[</w:t>
      </w:r>
      <w:hyperlink r:id="rId20" w:history="1">
        <w:r w:rsidRPr="003A47F3">
          <w:rPr>
            <w:rStyle w:val="Hyperlink"/>
            <w:rFonts w:ascii="Calibri" w:hAnsi="Calibri" w:cs="Arial"/>
            <w:noProof/>
          </w:rPr>
          <w:t>http://www.who.int/social_determinants/thecommission/finalreport/key_concepts/en/</w:t>
        </w:r>
      </w:hyperlink>
      <w:r w:rsidRPr="003A47F3">
        <w:rPr>
          <w:rFonts w:ascii="Calibri" w:hAnsi="Calibri" w:cs="Arial"/>
          <w:noProof/>
        </w:rPr>
        <w:t>]</w:t>
      </w:r>
      <w:bookmarkEnd w:id="4"/>
    </w:p>
    <w:p w14:paraId="7246E733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5" w:name="_ENREF_3"/>
      <w:r w:rsidRPr="003A47F3">
        <w:rPr>
          <w:rFonts w:ascii="Calibri" w:hAnsi="Calibri" w:cs="Arial"/>
          <w:noProof/>
        </w:rPr>
        <w:t>3.</w:t>
      </w:r>
      <w:r w:rsidRPr="003A47F3">
        <w:rPr>
          <w:rFonts w:ascii="Calibri" w:hAnsi="Calibri" w:cs="Arial"/>
          <w:noProof/>
        </w:rPr>
        <w:tab/>
        <w:t xml:space="preserve">Marmot M, Allen J, Goldblatt P, Boyce T, McNeish D, Grady M, Geddes I: </w:t>
      </w:r>
      <w:r w:rsidRPr="003A47F3">
        <w:rPr>
          <w:rFonts w:ascii="Calibri" w:hAnsi="Calibri" w:cs="Arial"/>
          <w:b/>
          <w:noProof/>
        </w:rPr>
        <w:t>Fair society, healthy lives: Strategic review of health inequalities in England post-2010.</w:t>
      </w:r>
      <w:r w:rsidRPr="003A47F3">
        <w:rPr>
          <w:rFonts w:ascii="Calibri" w:hAnsi="Calibri" w:cs="Arial"/>
          <w:noProof/>
        </w:rPr>
        <w:t xml:space="preserve"> 2010.</w:t>
      </w:r>
      <w:bookmarkEnd w:id="5"/>
    </w:p>
    <w:p w14:paraId="25207C66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6" w:name="_ENREF_4"/>
      <w:r w:rsidRPr="003A47F3">
        <w:rPr>
          <w:rFonts w:ascii="Calibri" w:hAnsi="Calibri" w:cs="Arial"/>
          <w:noProof/>
        </w:rPr>
        <w:t>4.</w:t>
      </w:r>
      <w:r w:rsidRPr="003A47F3">
        <w:rPr>
          <w:rFonts w:ascii="Calibri" w:hAnsi="Calibri" w:cs="Arial"/>
          <w:noProof/>
        </w:rPr>
        <w:tab/>
        <w:t xml:space="preserve">Wilkinson R, Pickett K: </w:t>
      </w:r>
      <w:r w:rsidRPr="003A47F3">
        <w:rPr>
          <w:rFonts w:ascii="Calibri" w:hAnsi="Calibri" w:cs="Arial"/>
          <w:i/>
          <w:noProof/>
        </w:rPr>
        <w:t>The spirit level: Why equality is better for everyone.</w:t>
      </w:r>
      <w:r w:rsidRPr="003A47F3">
        <w:rPr>
          <w:rFonts w:ascii="Calibri" w:hAnsi="Calibri" w:cs="Arial"/>
          <w:noProof/>
        </w:rPr>
        <w:t xml:space="preserve"> Penguin UK; 2010.</w:t>
      </w:r>
      <w:bookmarkEnd w:id="6"/>
    </w:p>
    <w:p w14:paraId="6A512C0B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7" w:name="_ENREF_5"/>
      <w:r w:rsidRPr="003A47F3">
        <w:rPr>
          <w:rFonts w:ascii="Calibri" w:hAnsi="Calibri" w:cs="Arial"/>
          <w:noProof/>
        </w:rPr>
        <w:t>5.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Closing the Health Inequalities Gap: An International Perspective </w:t>
      </w:r>
      <w:r w:rsidRPr="003A47F3">
        <w:rPr>
          <w:rFonts w:ascii="Calibri" w:hAnsi="Calibri" w:cs="Arial"/>
          <w:noProof/>
        </w:rPr>
        <w:t>[</w:t>
      </w:r>
      <w:hyperlink r:id="rId21" w:history="1">
        <w:r w:rsidRPr="003A47F3">
          <w:rPr>
            <w:rStyle w:val="Hyperlink"/>
            <w:rFonts w:ascii="Calibri" w:hAnsi="Calibri" w:cs="Arial"/>
            <w:noProof/>
          </w:rPr>
          <w:t>http://www.euro.who.int/__data/assets/pdf_file/0005/124529/E87934.pdf</w:t>
        </w:r>
      </w:hyperlink>
      <w:r w:rsidRPr="003A47F3">
        <w:rPr>
          <w:rFonts w:ascii="Calibri" w:hAnsi="Calibri" w:cs="Arial"/>
          <w:noProof/>
        </w:rPr>
        <w:t>]</w:t>
      </w:r>
      <w:bookmarkEnd w:id="7"/>
    </w:p>
    <w:p w14:paraId="47139DC7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8" w:name="_ENREF_6"/>
      <w:r w:rsidRPr="003A47F3">
        <w:rPr>
          <w:rFonts w:ascii="Calibri" w:hAnsi="Calibri" w:cs="Arial"/>
          <w:noProof/>
        </w:rPr>
        <w:t>6.</w:t>
      </w:r>
      <w:r w:rsidRPr="003A47F3">
        <w:rPr>
          <w:rFonts w:ascii="Calibri" w:hAnsi="Calibri" w:cs="Arial"/>
          <w:noProof/>
        </w:rPr>
        <w:tab/>
        <w:t xml:space="preserve">Department of Health and Social Security: </w:t>
      </w:r>
      <w:r w:rsidRPr="003A47F3">
        <w:rPr>
          <w:rFonts w:ascii="Calibri" w:hAnsi="Calibri" w:cs="Arial"/>
          <w:i/>
          <w:noProof/>
        </w:rPr>
        <w:t>Inequalities in Health: Report of a Working Group Chaired by Sir Douglas Black,.</w:t>
      </w:r>
      <w:r w:rsidRPr="003A47F3">
        <w:rPr>
          <w:rFonts w:ascii="Calibri" w:hAnsi="Calibri" w:cs="Arial"/>
          <w:noProof/>
        </w:rPr>
        <w:t xml:space="preserve"> London: DHSS; 1980.</w:t>
      </w:r>
      <w:bookmarkEnd w:id="8"/>
    </w:p>
    <w:p w14:paraId="5698B7D4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9" w:name="_ENREF_7"/>
      <w:r w:rsidRPr="003A47F3">
        <w:rPr>
          <w:rFonts w:ascii="Calibri" w:hAnsi="Calibri" w:cs="Arial"/>
          <w:noProof/>
        </w:rPr>
        <w:t>7.</w:t>
      </w:r>
      <w:r w:rsidRPr="003A47F3">
        <w:rPr>
          <w:rFonts w:ascii="Calibri" w:hAnsi="Calibri" w:cs="Arial"/>
          <w:noProof/>
        </w:rPr>
        <w:tab/>
        <w:t xml:space="preserve">Townsend P, Davidson N, Whitehead M: </w:t>
      </w:r>
      <w:r w:rsidRPr="003A47F3">
        <w:rPr>
          <w:rFonts w:ascii="Calibri" w:hAnsi="Calibri" w:cs="Arial"/>
          <w:i/>
          <w:noProof/>
        </w:rPr>
        <w:t>Inequalities in health: the Black report.</w:t>
      </w:r>
      <w:r w:rsidRPr="003A47F3">
        <w:rPr>
          <w:rFonts w:ascii="Calibri" w:hAnsi="Calibri" w:cs="Arial"/>
          <w:noProof/>
        </w:rPr>
        <w:t xml:space="preserve"> Penguin Books Great Britain; 1992.</w:t>
      </w:r>
      <w:bookmarkEnd w:id="9"/>
    </w:p>
    <w:p w14:paraId="3BD1265E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10" w:name="_ENREF_8"/>
      <w:r w:rsidRPr="003A47F3">
        <w:rPr>
          <w:rFonts w:ascii="Calibri" w:hAnsi="Calibri" w:cs="Arial"/>
          <w:noProof/>
        </w:rPr>
        <w:t>8.</w:t>
      </w:r>
      <w:r w:rsidRPr="003A47F3">
        <w:rPr>
          <w:rFonts w:ascii="Calibri" w:hAnsi="Calibri" w:cs="Arial"/>
          <w:noProof/>
        </w:rPr>
        <w:tab/>
        <w:t xml:space="preserve">Cummins S: </w:t>
      </w:r>
      <w:r w:rsidRPr="003A47F3">
        <w:rPr>
          <w:rFonts w:ascii="Calibri" w:hAnsi="Calibri" w:cs="Arial"/>
          <w:b/>
          <w:noProof/>
        </w:rPr>
        <w:t>Chapter 18: Improving population health through area-based social interventions: generating evidence in a complex world.</w:t>
      </w:r>
      <w:r w:rsidRPr="003A47F3">
        <w:rPr>
          <w:rFonts w:ascii="Calibri" w:hAnsi="Calibri" w:cs="Arial"/>
          <w:noProof/>
        </w:rPr>
        <w:t xml:space="preserve"> In </w:t>
      </w:r>
      <w:r w:rsidRPr="003A47F3">
        <w:rPr>
          <w:rFonts w:ascii="Calibri" w:hAnsi="Calibri" w:cs="Arial"/>
          <w:i/>
          <w:noProof/>
        </w:rPr>
        <w:t>Evidence-based public health: effectiveness and efficiency.</w:t>
      </w:r>
      <w:r w:rsidRPr="003A47F3">
        <w:rPr>
          <w:rFonts w:ascii="Calibri" w:hAnsi="Calibri" w:cs="Arial"/>
          <w:noProof/>
        </w:rPr>
        <w:t xml:space="preserve"> Edited by Killoran A: Oxford University Press; 2010</w:t>
      </w:r>
      <w:bookmarkEnd w:id="10"/>
    </w:p>
    <w:p w14:paraId="61B9C2A2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11" w:name="_ENREF_9"/>
      <w:r w:rsidRPr="003A47F3">
        <w:rPr>
          <w:rFonts w:ascii="Calibri" w:hAnsi="Calibri" w:cs="Arial"/>
          <w:noProof/>
        </w:rPr>
        <w:t>9.</w:t>
      </w:r>
      <w:r w:rsidRPr="003A47F3">
        <w:rPr>
          <w:rFonts w:ascii="Calibri" w:hAnsi="Calibri" w:cs="Arial"/>
          <w:noProof/>
        </w:rPr>
        <w:tab/>
        <w:t xml:space="preserve">Diez-Roux A-V: </w:t>
      </w:r>
      <w:r w:rsidRPr="003A47F3">
        <w:rPr>
          <w:rFonts w:ascii="Calibri" w:hAnsi="Calibri" w:cs="Arial"/>
          <w:b/>
          <w:noProof/>
        </w:rPr>
        <w:t>Neighborhoods and health: where are we and were do we go from here?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Revue d'epidemiologie et de sante publique </w:t>
      </w:r>
      <w:r w:rsidRPr="003A47F3">
        <w:rPr>
          <w:rFonts w:ascii="Calibri" w:hAnsi="Calibri" w:cs="Arial"/>
          <w:noProof/>
        </w:rPr>
        <w:t xml:space="preserve">2007, </w:t>
      </w:r>
      <w:r w:rsidRPr="003A47F3">
        <w:rPr>
          <w:rFonts w:ascii="Calibri" w:hAnsi="Calibri" w:cs="Arial"/>
          <w:b/>
          <w:noProof/>
        </w:rPr>
        <w:t>55:</w:t>
      </w:r>
      <w:r w:rsidRPr="003A47F3">
        <w:rPr>
          <w:rFonts w:ascii="Calibri" w:hAnsi="Calibri" w:cs="Arial"/>
          <w:noProof/>
        </w:rPr>
        <w:t>13-21.</w:t>
      </w:r>
      <w:bookmarkEnd w:id="11"/>
    </w:p>
    <w:p w14:paraId="2E6C9C91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12" w:name="_ENREF_10"/>
      <w:r w:rsidRPr="003A47F3">
        <w:rPr>
          <w:rFonts w:ascii="Calibri" w:hAnsi="Calibri" w:cs="Arial"/>
          <w:noProof/>
        </w:rPr>
        <w:t>10.</w:t>
      </w:r>
      <w:r w:rsidRPr="003A47F3">
        <w:rPr>
          <w:rFonts w:ascii="Calibri" w:hAnsi="Calibri" w:cs="Arial"/>
          <w:noProof/>
        </w:rPr>
        <w:tab/>
        <w:t xml:space="preserve">Diez Roux AV, Mair C: </w:t>
      </w:r>
      <w:r w:rsidRPr="003A47F3">
        <w:rPr>
          <w:rFonts w:ascii="Calibri" w:hAnsi="Calibri" w:cs="Arial"/>
          <w:b/>
          <w:noProof/>
        </w:rPr>
        <w:t>Neighborhoods and health.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Annals of the New York Academy of Sciences </w:t>
      </w:r>
      <w:r w:rsidRPr="003A47F3">
        <w:rPr>
          <w:rFonts w:ascii="Calibri" w:hAnsi="Calibri" w:cs="Arial"/>
          <w:noProof/>
        </w:rPr>
        <w:t xml:space="preserve">2010, </w:t>
      </w:r>
      <w:r w:rsidRPr="003A47F3">
        <w:rPr>
          <w:rFonts w:ascii="Calibri" w:hAnsi="Calibri" w:cs="Arial"/>
          <w:b/>
          <w:noProof/>
        </w:rPr>
        <w:t>1186:</w:t>
      </w:r>
      <w:r w:rsidRPr="003A47F3">
        <w:rPr>
          <w:rFonts w:ascii="Calibri" w:hAnsi="Calibri" w:cs="Arial"/>
          <w:noProof/>
        </w:rPr>
        <w:t>125-145.</w:t>
      </w:r>
      <w:bookmarkEnd w:id="12"/>
    </w:p>
    <w:p w14:paraId="17BF26BE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13" w:name="_ENREF_11"/>
      <w:r w:rsidRPr="003A47F3">
        <w:rPr>
          <w:rFonts w:ascii="Calibri" w:hAnsi="Calibri" w:cs="Arial"/>
          <w:noProof/>
        </w:rPr>
        <w:t>11.</w:t>
      </w:r>
      <w:r w:rsidRPr="003A47F3">
        <w:rPr>
          <w:rFonts w:ascii="Calibri" w:hAnsi="Calibri" w:cs="Arial"/>
          <w:noProof/>
        </w:rPr>
        <w:tab/>
        <w:t xml:space="preserve">Treasury HMs: </w:t>
      </w:r>
      <w:r w:rsidRPr="003A47F3">
        <w:rPr>
          <w:rFonts w:ascii="Calibri" w:hAnsi="Calibri" w:cs="Arial"/>
          <w:b/>
          <w:noProof/>
        </w:rPr>
        <w:t>The Wanless report: Securing good health for the whole population.</w:t>
      </w:r>
      <w:r w:rsidRPr="003A47F3">
        <w:rPr>
          <w:rFonts w:ascii="Calibri" w:hAnsi="Calibri" w:cs="Arial"/>
          <w:noProof/>
        </w:rPr>
        <w:t xml:space="preserve"> In </w:t>
      </w:r>
      <w:r w:rsidRPr="003A47F3">
        <w:rPr>
          <w:rFonts w:ascii="Calibri" w:hAnsi="Calibri" w:cs="Arial"/>
          <w:i/>
          <w:noProof/>
        </w:rPr>
        <w:t xml:space="preserve">HM Treasury, London </w:t>
      </w:r>
      <w:r w:rsidRPr="003A47F3">
        <w:rPr>
          <w:rFonts w:ascii="Calibri" w:hAnsi="Calibri" w:cs="Arial"/>
          <w:noProof/>
        </w:rPr>
        <w:t>2004.</w:t>
      </w:r>
      <w:bookmarkEnd w:id="13"/>
    </w:p>
    <w:p w14:paraId="1B3E061E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14" w:name="_ENREF_12"/>
      <w:r w:rsidRPr="003A47F3">
        <w:rPr>
          <w:rFonts w:ascii="Calibri" w:hAnsi="Calibri" w:cs="Arial"/>
          <w:noProof/>
        </w:rPr>
        <w:t>12.</w:t>
      </w:r>
      <w:r w:rsidRPr="003A47F3">
        <w:rPr>
          <w:rFonts w:ascii="Calibri" w:hAnsi="Calibri" w:cs="Arial"/>
          <w:noProof/>
        </w:rPr>
        <w:tab/>
        <w:t xml:space="preserve">Acheson D: </w:t>
      </w:r>
      <w:r w:rsidRPr="003A47F3">
        <w:rPr>
          <w:rFonts w:ascii="Calibri" w:hAnsi="Calibri" w:cs="Arial"/>
          <w:b/>
          <w:noProof/>
        </w:rPr>
        <w:t>Independent Inquiry into Inequalities in Health Report,.</w:t>
      </w:r>
      <w:r w:rsidRPr="003A47F3">
        <w:rPr>
          <w:rFonts w:ascii="Calibri" w:hAnsi="Calibri" w:cs="Arial"/>
          <w:noProof/>
        </w:rPr>
        <w:t xml:space="preserve"> Department of Health; 1998.</w:t>
      </w:r>
      <w:bookmarkEnd w:id="14"/>
    </w:p>
    <w:p w14:paraId="357D5E21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15" w:name="_ENREF_13"/>
      <w:r w:rsidRPr="003A47F3">
        <w:rPr>
          <w:rFonts w:ascii="Calibri" w:hAnsi="Calibri" w:cs="Arial"/>
          <w:noProof/>
        </w:rPr>
        <w:t>13.</w:t>
      </w:r>
      <w:r w:rsidRPr="003A47F3">
        <w:rPr>
          <w:rFonts w:ascii="Calibri" w:hAnsi="Calibri" w:cs="Arial"/>
          <w:noProof/>
        </w:rPr>
        <w:tab/>
        <w:t xml:space="preserve">Victora CG, Vaughan JP, Barros FC, Silva AC, Tomasi E: </w:t>
      </w:r>
      <w:r w:rsidRPr="003A47F3">
        <w:rPr>
          <w:rFonts w:ascii="Calibri" w:hAnsi="Calibri" w:cs="Arial"/>
          <w:b/>
          <w:noProof/>
        </w:rPr>
        <w:t>Explaining trends in inequities: evidence from Brazilian child health studies.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The Lancet </w:t>
      </w:r>
      <w:r w:rsidRPr="003A47F3">
        <w:rPr>
          <w:rFonts w:ascii="Calibri" w:hAnsi="Calibri" w:cs="Arial"/>
          <w:noProof/>
        </w:rPr>
        <w:t xml:space="preserve">2000, </w:t>
      </w:r>
      <w:r w:rsidRPr="003A47F3">
        <w:rPr>
          <w:rFonts w:ascii="Calibri" w:hAnsi="Calibri" w:cs="Arial"/>
          <w:b/>
          <w:noProof/>
        </w:rPr>
        <w:t>356:</w:t>
      </w:r>
      <w:r w:rsidRPr="003A47F3">
        <w:rPr>
          <w:rFonts w:ascii="Calibri" w:hAnsi="Calibri" w:cs="Arial"/>
          <w:noProof/>
        </w:rPr>
        <w:t>1093-1098.</w:t>
      </w:r>
      <w:bookmarkEnd w:id="15"/>
    </w:p>
    <w:p w14:paraId="2590D86E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16" w:name="_ENREF_14"/>
      <w:r w:rsidRPr="003A47F3">
        <w:rPr>
          <w:rFonts w:ascii="Calibri" w:hAnsi="Calibri" w:cs="Arial"/>
          <w:noProof/>
        </w:rPr>
        <w:t>14.</w:t>
      </w:r>
      <w:r w:rsidRPr="003A47F3">
        <w:rPr>
          <w:rFonts w:ascii="Calibri" w:hAnsi="Calibri" w:cs="Arial"/>
          <w:noProof/>
        </w:rPr>
        <w:tab/>
        <w:t xml:space="preserve">Tugwell P, de Savigny D, Hawker G, Robinson V: </w:t>
      </w:r>
      <w:r w:rsidRPr="003A47F3">
        <w:rPr>
          <w:rFonts w:ascii="Calibri" w:hAnsi="Calibri" w:cs="Arial"/>
          <w:b/>
          <w:noProof/>
        </w:rPr>
        <w:t>Applying clinical epidemiological methods to health equity: the equity effectiveness loop.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BMJ </w:t>
      </w:r>
      <w:r w:rsidRPr="003A47F3">
        <w:rPr>
          <w:rFonts w:ascii="Calibri" w:hAnsi="Calibri" w:cs="Arial"/>
          <w:noProof/>
        </w:rPr>
        <w:t xml:space="preserve">2006, </w:t>
      </w:r>
      <w:r w:rsidRPr="003A47F3">
        <w:rPr>
          <w:rFonts w:ascii="Calibri" w:hAnsi="Calibri" w:cs="Arial"/>
          <w:b/>
          <w:noProof/>
        </w:rPr>
        <w:t>332:</w:t>
      </w:r>
      <w:r w:rsidRPr="003A47F3">
        <w:rPr>
          <w:rFonts w:ascii="Calibri" w:hAnsi="Calibri" w:cs="Arial"/>
          <w:noProof/>
        </w:rPr>
        <w:t>358-361.</w:t>
      </w:r>
      <w:bookmarkEnd w:id="16"/>
    </w:p>
    <w:p w14:paraId="40CBAF87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17" w:name="_ENREF_15"/>
      <w:r w:rsidRPr="003A47F3">
        <w:rPr>
          <w:rFonts w:ascii="Calibri" w:hAnsi="Calibri" w:cs="Arial"/>
          <w:noProof/>
        </w:rPr>
        <w:t>15.</w:t>
      </w:r>
      <w:r w:rsidRPr="003A47F3">
        <w:rPr>
          <w:rFonts w:ascii="Calibri" w:hAnsi="Calibri" w:cs="Arial"/>
          <w:noProof/>
        </w:rPr>
        <w:tab/>
        <w:t xml:space="preserve">White M, Adams J, Heywood P: </w:t>
      </w:r>
      <w:r w:rsidRPr="003A47F3">
        <w:rPr>
          <w:rFonts w:ascii="Calibri" w:hAnsi="Calibri" w:cs="Arial"/>
          <w:b/>
          <w:noProof/>
        </w:rPr>
        <w:t>How and why do interventions that increase health overall widen inequalities within populations?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Social Inequality and Public Health </w:t>
      </w:r>
      <w:r w:rsidRPr="003A47F3">
        <w:rPr>
          <w:rFonts w:ascii="Calibri" w:hAnsi="Calibri" w:cs="Arial"/>
          <w:noProof/>
        </w:rPr>
        <w:t>2009</w:t>
      </w:r>
      <w:r w:rsidRPr="003A47F3">
        <w:rPr>
          <w:rFonts w:ascii="Calibri" w:hAnsi="Calibri" w:cs="Arial"/>
          <w:b/>
          <w:noProof/>
        </w:rPr>
        <w:t>:</w:t>
      </w:r>
      <w:r w:rsidRPr="003A47F3">
        <w:rPr>
          <w:rFonts w:ascii="Calibri" w:hAnsi="Calibri" w:cs="Arial"/>
          <w:noProof/>
        </w:rPr>
        <w:t>65-82.</w:t>
      </w:r>
      <w:bookmarkEnd w:id="17"/>
    </w:p>
    <w:p w14:paraId="6119B764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18" w:name="_ENREF_16"/>
      <w:r w:rsidRPr="003A47F3">
        <w:rPr>
          <w:rFonts w:ascii="Calibri" w:hAnsi="Calibri" w:cs="Arial"/>
          <w:noProof/>
        </w:rPr>
        <w:t>16.</w:t>
      </w:r>
      <w:r w:rsidRPr="003A47F3">
        <w:rPr>
          <w:rFonts w:ascii="Calibri" w:hAnsi="Calibri" w:cs="Arial"/>
          <w:noProof/>
        </w:rPr>
        <w:tab/>
        <w:t xml:space="preserve">Lorenc T, Petticrew M, Welch V, Tugwell P: </w:t>
      </w:r>
      <w:r w:rsidRPr="003A47F3">
        <w:rPr>
          <w:rFonts w:ascii="Calibri" w:hAnsi="Calibri" w:cs="Arial"/>
          <w:b/>
          <w:noProof/>
        </w:rPr>
        <w:t>What types of interventions generate inequalities? Evidence from systematic reviews.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Journal of Epidemiology and Community Health, </w:t>
      </w:r>
      <w:r w:rsidRPr="003A47F3">
        <w:rPr>
          <w:rFonts w:ascii="Calibri" w:hAnsi="Calibri" w:cs="Arial"/>
          <w:noProof/>
        </w:rPr>
        <w:t xml:space="preserve">2013, </w:t>
      </w:r>
      <w:r w:rsidRPr="003A47F3">
        <w:rPr>
          <w:rFonts w:ascii="Calibri" w:hAnsi="Calibri" w:cs="Arial"/>
          <w:b/>
          <w:noProof/>
        </w:rPr>
        <w:t>67:</w:t>
      </w:r>
      <w:r w:rsidRPr="003A47F3">
        <w:rPr>
          <w:rFonts w:ascii="Calibri" w:hAnsi="Calibri" w:cs="Arial"/>
          <w:noProof/>
        </w:rPr>
        <w:t>190-193.</w:t>
      </w:r>
      <w:bookmarkEnd w:id="18"/>
    </w:p>
    <w:p w14:paraId="329D6001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19" w:name="_ENREF_17"/>
      <w:r w:rsidRPr="003A47F3">
        <w:rPr>
          <w:rFonts w:ascii="Calibri" w:hAnsi="Calibri" w:cs="Arial"/>
          <w:noProof/>
        </w:rPr>
        <w:t>17.</w:t>
      </w:r>
      <w:r w:rsidRPr="003A47F3">
        <w:rPr>
          <w:rFonts w:ascii="Calibri" w:hAnsi="Calibri" w:cs="Arial"/>
          <w:noProof/>
        </w:rPr>
        <w:tab/>
        <w:t xml:space="preserve">Buck D, Frosini F: </w:t>
      </w:r>
      <w:r w:rsidRPr="003A47F3">
        <w:rPr>
          <w:rFonts w:ascii="Calibri" w:hAnsi="Calibri" w:cs="Arial"/>
          <w:b/>
          <w:noProof/>
        </w:rPr>
        <w:t>Clustering of unhealthy behaviours over time: Implications for policy and practice.</w:t>
      </w:r>
      <w:r w:rsidRPr="003A47F3">
        <w:rPr>
          <w:rFonts w:ascii="Calibri" w:hAnsi="Calibri" w:cs="Arial"/>
          <w:noProof/>
        </w:rPr>
        <w:t xml:space="preserve"> London: The King's Fund; 2012.</w:t>
      </w:r>
      <w:bookmarkEnd w:id="19"/>
    </w:p>
    <w:p w14:paraId="5A78D6AF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0" w:name="_ENREF_18"/>
      <w:r w:rsidRPr="003A47F3">
        <w:rPr>
          <w:rFonts w:ascii="Calibri" w:hAnsi="Calibri" w:cs="Arial"/>
          <w:noProof/>
        </w:rPr>
        <w:t>18.</w:t>
      </w:r>
      <w:r w:rsidRPr="003A47F3">
        <w:rPr>
          <w:rFonts w:ascii="Calibri" w:hAnsi="Calibri" w:cs="Arial"/>
          <w:noProof/>
        </w:rPr>
        <w:tab/>
        <w:t xml:space="preserve">WHO: </w:t>
      </w:r>
      <w:r w:rsidRPr="003A47F3">
        <w:rPr>
          <w:rFonts w:ascii="Calibri" w:hAnsi="Calibri" w:cs="Arial"/>
          <w:b/>
          <w:noProof/>
        </w:rPr>
        <w:t>2008-2013 Action Plan for the Global Strategy for the Prevention and Control of Noncommunicable Diseases.</w:t>
      </w:r>
      <w:r w:rsidRPr="003A47F3">
        <w:rPr>
          <w:rFonts w:ascii="Calibri" w:hAnsi="Calibri" w:cs="Arial"/>
          <w:noProof/>
        </w:rPr>
        <w:t xml:space="preserve"> 2008.</w:t>
      </w:r>
      <w:bookmarkEnd w:id="20"/>
    </w:p>
    <w:p w14:paraId="68D0ECFC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1" w:name="_ENREF_19"/>
      <w:r w:rsidRPr="003A47F3">
        <w:rPr>
          <w:rFonts w:ascii="Calibri" w:hAnsi="Calibri" w:cs="Arial"/>
          <w:noProof/>
        </w:rPr>
        <w:t>19.</w:t>
      </w:r>
      <w:r w:rsidRPr="003A47F3">
        <w:rPr>
          <w:rFonts w:ascii="Calibri" w:hAnsi="Calibri" w:cs="Arial"/>
          <w:noProof/>
        </w:rPr>
        <w:tab/>
        <w:t xml:space="preserve">Hallal PC, Bauman AE, Heath GW, Lee I-M, Pratt M: </w:t>
      </w:r>
      <w:r w:rsidRPr="003A47F3">
        <w:rPr>
          <w:rFonts w:ascii="Calibri" w:hAnsi="Calibri" w:cs="Arial"/>
          <w:b/>
          <w:noProof/>
        </w:rPr>
        <w:t>Physical activity: more of the same is not enough.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The Lancet </w:t>
      </w:r>
      <w:r w:rsidRPr="003A47F3">
        <w:rPr>
          <w:rFonts w:ascii="Calibri" w:hAnsi="Calibri" w:cs="Arial"/>
          <w:noProof/>
        </w:rPr>
        <w:t xml:space="preserve">2012, </w:t>
      </w:r>
      <w:r w:rsidRPr="003A47F3">
        <w:rPr>
          <w:rFonts w:ascii="Calibri" w:hAnsi="Calibri" w:cs="Arial"/>
          <w:b/>
          <w:noProof/>
        </w:rPr>
        <w:t>380:</w:t>
      </w:r>
      <w:r w:rsidRPr="003A47F3">
        <w:rPr>
          <w:rFonts w:ascii="Calibri" w:hAnsi="Calibri" w:cs="Arial"/>
          <w:noProof/>
        </w:rPr>
        <w:t>190-191.</w:t>
      </w:r>
      <w:bookmarkEnd w:id="21"/>
    </w:p>
    <w:p w14:paraId="32207197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2" w:name="_ENREF_20"/>
      <w:r w:rsidRPr="003A47F3">
        <w:rPr>
          <w:rFonts w:ascii="Calibri" w:hAnsi="Calibri" w:cs="Arial"/>
          <w:noProof/>
        </w:rPr>
        <w:t>20.</w:t>
      </w:r>
      <w:r w:rsidRPr="003A47F3">
        <w:rPr>
          <w:rFonts w:ascii="Calibri" w:hAnsi="Calibri" w:cs="Arial"/>
          <w:noProof/>
        </w:rPr>
        <w:tab/>
        <w:t xml:space="preserve">Reiner M, Niermann C, Jekauc D, Woll A: </w:t>
      </w:r>
      <w:r w:rsidRPr="003A47F3">
        <w:rPr>
          <w:rFonts w:ascii="Calibri" w:hAnsi="Calibri" w:cs="Arial"/>
          <w:b/>
          <w:noProof/>
        </w:rPr>
        <w:t>Long-term health benefits of physical activity--a systematic review of longitudinal studies.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BMC public health </w:t>
      </w:r>
      <w:r w:rsidRPr="003A47F3">
        <w:rPr>
          <w:rFonts w:ascii="Calibri" w:hAnsi="Calibri" w:cs="Arial"/>
          <w:noProof/>
        </w:rPr>
        <w:t xml:space="preserve">2013, </w:t>
      </w:r>
      <w:r w:rsidRPr="003A47F3">
        <w:rPr>
          <w:rFonts w:ascii="Calibri" w:hAnsi="Calibri" w:cs="Arial"/>
          <w:b/>
          <w:noProof/>
        </w:rPr>
        <w:t>13:</w:t>
      </w:r>
      <w:r w:rsidRPr="003A47F3">
        <w:rPr>
          <w:rFonts w:ascii="Calibri" w:hAnsi="Calibri" w:cs="Arial"/>
          <w:noProof/>
        </w:rPr>
        <w:t>813.</w:t>
      </w:r>
      <w:bookmarkEnd w:id="22"/>
    </w:p>
    <w:p w14:paraId="21B272DE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3" w:name="_ENREF_21"/>
      <w:r w:rsidRPr="003A47F3">
        <w:rPr>
          <w:rFonts w:ascii="Calibri" w:hAnsi="Calibri" w:cs="Arial"/>
          <w:noProof/>
        </w:rPr>
        <w:t>21.</w:t>
      </w:r>
      <w:r w:rsidRPr="003A47F3">
        <w:rPr>
          <w:rFonts w:ascii="Calibri" w:hAnsi="Calibri" w:cs="Arial"/>
          <w:noProof/>
        </w:rPr>
        <w:tab/>
        <w:t xml:space="preserve">Lee IM, Shiroma EJ, Lobelo F, Puska P, Blair SN, Katzmarzyk PT: </w:t>
      </w:r>
      <w:r w:rsidRPr="003A47F3">
        <w:rPr>
          <w:rFonts w:ascii="Calibri" w:hAnsi="Calibri" w:cs="Arial"/>
          <w:b/>
          <w:noProof/>
        </w:rPr>
        <w:t>Effect of physical inactivity on major non-communicable diseases worldwide: an analysis of burden of disease and life expectancy.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The Lancet </w:t>
      </w:r>
      <w:r w:rsidRPr="003A47F3">
        <w:rPr>
          <w:rFonts w:ascii="Calibri" w:hAnsi="Calibri" w:cs="Arial"/>
          <w:noProof/>
        </w:rPr>
        <w:t xml:space="preserve">2012, </w:t>
      </w:r>
      <w:r w:rsidRPr="003A47F3">
        <w:rPr>
          <w:rFonts w:ascii="Calibri" w:hAnsi="Calibri" w:cs="Arial"/>
          <w:b/>
          <w:noProof/>
        </w:rPr>
        <w:t>380:</w:t>
      </w:r>
      <w:r w:rsidRPr="003A47F3">
        <w:rPr>
          <w:rFonts w:ascii="Calibri" w:hAnsi="Calibri" w:cs="Arial"/>
          <w:noProof/>
        </w:rPr>
        <w:t>219-229.</w:t>
      </w:r>
      <w:bookmarkEnd w:id="23"/>
    </w:p>
    <w:p w14:paraId="55ED6D4A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4" w:name="_ENREF_22"/>
      <w:r w:rsidRPr="003A47F3">
        <w:rPr>
          <w:rFonts w:ascii="Calibri" w:hAnsi="Calibri" w:cs="Arial"/>
          <w:noProof/>
        </w:rPr>
        <w:t>22.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Physical activity (NICE guidance LGB3) </w:t>
      </w:r>
      <w:r w:rsidRPr="003A47F3">
        <w:rPr>
          <w:rFonts w:ascii="Calibri" w:hAnsi="Calibri" w:cs="Arial"/>
          <w:noProof/>
        </w:rPr>
        <w:t>[</w:t>
      </w:r>
      <w:hyperlink r:id="rId22" w:history="1">
        <w:r w:rsidRPr="003A47F3">
          <w:rPr>
            <w:rStyle w:val="Hyperlink"/>
            <w:rFonts w:ascii="Calibri" w:hAnsi="Calibri" w:cs="Arial"/>
            <w:noProof/>
          </w:rPr>
          <w:t>http://www.nice.org.uk/advice/lgb3/chapter/Costs-and-savings</w:t>
        </w:r>
      </w:hyperlink>
      <w:r w:rsidRPr="003A47F3">
        <w:rPr>
          <w:rFonts w:ascii="Calibri" w:hAnsi="Calibri" w:cs="Arial"/>
          <w:noProof/>
        </w:rPr>
        <w:t>]</w:t>
      </w:r>
      <w:bookmarkEnd w:id="24"/>
    </w:p>
    <w:p w14:paraId="10868408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5" w:name="_ENREF_23"/>
      <w:r w:rsidRPr="003A47F3">
        <w:rPr>
          <w:rFonts w:ascii="Calibri" w:hAnsi="Calibri" w:cs="Arial"/>
          <w:noProof/>
        </w:rPr>
        <w:t>23.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Prevention of cardiovascular disease (NICE guideline PH25) </w:t>
      </w:r>
      <w:r w:rsidRPr="003A47F3">
        <w:rPr>
          <w:rFonts w:ascii="Calibri" w:hAnsi="Calibri" w:cs="Arial"/>
          <w:noProof/>
        </w:rPr>
        <w:t>[</w:t>
      </w:r>
      <w:hyperlink r:id="rId23" w:history="1">
        <w:r w:rsidRPr="003A47F3">
          <w:rPr>
            <w:rStyle w:val="Hyperlink"/>
            <w:rFonts w:ascii="Calibri" w:hAnsi="Calibri" w:cs="Arial"/>
            <w:noProof/>
          </w:rPr>
          <w:t>http://www.nice.org.uk/guidance/ph25/chapter/2-Public-health-need-and-practice</w:t>
        </w:r>
      </w:hyperlink>
      <w:r w:rsidRPr="003A47F3">
        <w:rPr>
          <w:rFonts w:ascii="Calibri" w:hAnsi="Calibri" w:cs="Arial"/>
          <w:noProof/>
        </w:rPr>
        <w:t>]</w:t>
      </w:r>
      <w:bookmarkEnd w:id="25"/>
    </w:p>
    <w:p w14:paraId="1383D9B6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6" w:name="_ENREF_24"/>
      <w:r w:rsidRPr="003A47F3">
        <w:rPr>
          <w:rFonts w:ascii="Calibri" w:hAnsi="Calibri" w:cs="Arial"/>
          <w:noProof/>
        </w:rPr>
        <w:lastRenderedPageBreak/>
        <w:t>24.</w:t>
      </w:r>
      <w:r w:rsidRPr="003A47F3">
        <w:rPr>
          <w:rFonts w:ascii="Calibri" w:hAnsi="Calibri" w:cs="Arial"/>
          <w:noProof/>
        </w:rPr>
        <w:tab/>
        <w:t xml:space="preserve">Gidlow C, Johnston LH, Crone D, Ellis N, James D: </w:t>
      </w:r>
      <w:r w:rsidRPr="003A47F3">
        <w:rPr>
          <w:rFonts w:ascii="Calibri" w:hAnsi="Calibri" w:cs="Arial"/>
          <w:b/>
          <w:noProof/>
        </w:rPr>
        <w:t>A systematic review of the relationship between socio-economic position and physical activity.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Health Education Journal </w:t>
      </w:r>
      <w:r w:rsidRPr="003A47F3">
        <w:rPr>
          <w:rFonts w:ascii="Calibri" w:hAnsi="Calibri" w:cs="Arial"/>
          <w:noProof/>
        </w:rPr>
        <w:t xml:space="preserve">2006, </w:t>
      </w:r>
      <w:r w:rsidRPr="003A47F3">
        <w:rPr>
          <w:rFonts w:ascii="Calibri" w:hAnsi="Calibri" w:cs="Arial"/>
          <w:b/>
          <w:noProof/>
        </w:rPr>
        <w:t>65:</w:t>
      </w:r>
      <w:r w:rsidRPr="003A47F3">
        <w:rPr>
          <w:rFonts w:ascii="Calibri" w:hAnsi="Calibri" w:cs="Arial"/>
          <w:noProof/>
        </w:rPr>
        <w:t>338-367.</w:t>
      </w:r>
      <w:bookmarkEnd w:id="26"/>
    </w:p>
    <w:p w14:paraId="4443D470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7" w:name="_ENREF_25"/>
      <w:r w:rsidRPr="003A47F3">
        <w:rPr>
          <w:rFonts w:ascii="Calibri" w:hAnsi="Calibri" w:cs="Arial"/>
          <w:noProof/>
        </w:rPr>
        <w:t>25.</w:t>
      </w:r>
      <w:r w:rsidRPr="003A47F3">
        <w:rPr>
          <w:rFonts w:ascii="Calibri" w:hAnsi="Calibri" w:cs="Arial"/>
          <w:noProof/>
        </w:rPr>
        <w:tab/>
        <w:t xml:space="preserve">Hillsdon M, Lawlor D, Ebrahim S, Morris J: </w:t>
      </w:r>
      <w:r w:rsidRPr="003A47F3">
        <w:rPr>
          <w:rFonts w:ascii="Calibri" w:hAnsi="Calibri" w:cs="Arial"/>
          <w:b/>
          <w:noProof/>
        </w:rPr>
        <w:t>Physical activity in older women: associations with area deprivation and with socioeconomic position over the life course: observations in the British Women’s Heart and Health Study.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Journal of Epidemiology and Community Health, </w:t>
      </w:r>
      <w:r w:rsidRPr="003A47F3">
        <w:rPr>
          <w:rFonts w:ascii="Calibri" w:hAnsi="Calibri" w:cs="Arial"/>
          <w:noProof/>
        </w:rPr>
        <w:t xml:space="preserve">2008, </w:t>
      </w:r>
      <w:r w:rsidRPr="003A47F3">
        <w:rPr>
          <w:rFonts w:ascii="Calibri" w:hAnsi="Calibri" w:cs="Arial"/>
          <w:b/>
          <w:noProof/>
        </w:rPr>
        <w:t>62:</w:t>
      </w:r>
      <w:r w:rsidRPr="003A47F3">
        <w:rPr>
          <w:rFonts w:ascii="Calibri" w:hAnsi="Calibri" w:cs="Arial"/>
          <w:noProof/>
        </w:rPr>
        <w:t>344-350.</w:t>
      </w:r>
      <w:bookmarkEnd w:id="27"/>
    </w:p>
    <w:p w14:paraId="7939A4CD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8" w:name="_ENREF_26"/>
      <w:r w:rsidRPr="003A47F3">
        <w:rPr>
          <w:rFonts w:ascii="Calibri" w:hAnsi="Calibri" w:cs="Arial"/>
          <w:noProof/>
        </w:rPr>
        <w:t>26.</w:t>
      </w:r>
      <w:r w:rsidRPr="003A47F3">
        <w:rPr>
          <w:rFonts w:ascii="Calibri" w:hAnsi="Calibri" w:cs="Arial"/>
          <w:noProof/>
        </w:rPr>
        <w:tab/>
        <w:t xml:space="preserve">Diez-Roux AV, Moore L, Evenson KR, McGinn AP, Brown DG, Brines S, Jacobs Jr DR: </w:t>
      </w:r>
      <w:r w:rsidRPr="003A47F3">
        <w:rPr>
          <w:rFonts w:ascii="Calibri" w:hAnsi="Calibri" w:cs="Arial"/>
          <w:b/>
          <w:noProof/>
        </w:rPr>
        <w:t>Availability of Recreational Resources and Physical Activity in Adults.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American Journal of Public Health </w:t>
      </w:r>
      <w:r w:rsidRPr="003A47F3">
        <w:rPr>
          <w:rFonts w:ascii="Calibri" w:hAnsi="Calibri" w:cs="Arial"/>
          <w:noProof/>
        </w:rPr>
        <w:t xml:space="preserve">2007, </w:t>
      </w:r>
      <w:r w:rsidRPr="003A47F3">
        <w:rPr>
          <w:rFonts w:ascii="Calibri" w:hAnsi="Calibri" w:cs="Arial"/>
          <w:b/>
          <w:noProof/>
        </w:rPr>
        <w:t>97:</w:t>
      </w:r>
      <w:r w:rsidRPr="003A47F3">
        <w:rPr>
          <w:rFonts w:ascii="Calibri" w:hAnsi="Calibri" w:cs="Arial"/>
          <w:noProof/>
        </w:rPr>
        <w:t>493-499.</w:t>
      </w:r>
      <w:bookmarkEnd w:id="28"/>
    </w:p>
    <w:p w14:paraId="33743DB1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9" w:name="_ENREF_27"/>
      <w:r w:rsidRPr="003A47F3">
        <w:rPr>
          <w:rFonts w:ascii="Calibri" w:hAnsi="Calibri" w:cs="Arial"/>
          <w:noProof/>
        </w:rPr>
        <w:t>27.</w:t>
      </w:r>
      <w:r w:rsidRPr="003A47F3">
        <w:rPr>
          <w:rFonts w:ascii="Calibri" w:hAnsi="Calibri" w:cs="Arial"/>
          <w:noProof/>
        </w:rPr>
        <w:tab/>
        <w:t xml:space="preserve">Daugbjerg SB, Kahlmeier S, Racioppi F, Martin-Diener E, Martin B, Oja P, Bull F: </w:t>
      </w:r>
      <w:r w:rsidRPr="003A47F3">
        <w:rPr>
          <w:rFonts w:ascii="Calibri" w:hAnsi="Calibri" w:cs="Arial"/>
          <w:b/>
          <w:noProof/>
        </w:rPr>
        <w:t>Promotion of physical activity in the European region: content analysis of 27 national policy documents.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Journal of Physical Activity &amp; Health, </w:t>
      </w:r>
      <w:r w:rsidRPr="003A47F3">
        <w:rPr>
          <w:rFonts w:ascii="Calibri" w:hAnsi="Calibri" w:cs="Arial"/>
          <w:noProof/>
        </w:rPr>
        <w:t xml:space="preserve">2009, </w:t>
      </w:r>
      <w:r w:rsidRPr="003A47F3">
        <w:rPr>
          <w:rFonts w:ascii="Calibri" w:hAnsi="Calibri" w:cs="Arial"/>
          <w:b/>
          <w:noProof/>
        </w:rPr>
        <w:t>6:</w:t>
      </w:r>
      <w:r w:rsidRPr="003A47F3">
        <w:rPr>
          <w:rFonts w:ascii="Calibri" w:hAnsi="Calibri" w:cs="Arial"/>
          <w:noProof/>
        </w:rPr>
        <w:t>805.</w:t>
      </w:r>
      <w:bookmarkEnd w:id="29"/>
    </w:p>
    <w:p w14:paraId="0D6F7477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0" w:name="_ENREF_28"/>
      <w:r w:rsidRPr="003A47F3">
        <w:rPr>
          <w:rFonts w:ascii="Calibri" w:hAnsi="Calibri" w:cs="Arial"/>
          <w:noProof/>
        </w:rPr>
        <w:t>28.</w:t>
      </w:r>
      <w:r w:rsidRPr="003A47F3">
        <w:rPr>
          <w:rFonts w:ascii="Calibri" w:hAnsi="Calibri" w:cs="Arial"/>
          <w:noProof/>
        </w:rPr>
        <w:tab/>
        <w:t xml:space="preserve">National Institute for Health and Care Excellence: </w:t>
      </w:r>
      <w:r w:rsidRPr="003A47F3">
        <w:rPr>
          <w:rFonts w:ascii="Calibri" w:hAnsi="Calibri" w:cs="Arial"/>
          <w:b/>
          <w:noProof/>
        </w:rPr>
        <w:t>Walking and cycling: local measures to promote walking and cycling as forms of travel or recreation (PH41).</w:t>
      </w:r>
      <w:r w:rsidRPr="003A47F3">
        <w:rPr>
          <w:rFonts w:ascii="Calibri" w:hAnsi="Calibri" w:cs="Arial"/>
          <w:noProof/>
        </w:rPr>
        <w:t xml:space="preserve"> 2012.</w:t>
      </w:r>
      <w:bookmarkEnd w:id="30"/>
    </w:p>
    <w:p w14:paraId="07D39F73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1" w:name="_ENREF_29"/>
      <w:r w:rsidRPr="003A47F3">
        <w:rPr>
          <w:rFonts w:ascii="Calibri" w:hAnsi="Calibri" w:cs="Arial"/>
          <w:noProof/>
        </w:rPr>
        <w:t>29.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6 in 10 Adults Now Get Physical Activity by Walking </w:t>
      </w:r>
      <w:r w:rsidRPr="003A47F3">
        <w:rPr>
          <w:rFonts w:ascii="Calibri" w:hAnsi="Calibri" w:cs="Arial"/>
          <w:noProof/>
        </w:rPr>
        <w:t>[</w:t>
      </w:r>
      <w:hyperlink r:id="rId24" w:history="1">
        <w:r w:rsidRPr="003A47F3">
          <w:rPr>
            <w:rStyle w:val="Hyperlink"/>
            <w:rFonts w:ascii="Calibri" w:hAnsi="Calibri" w:cs="Arial"/>
            <w:noProof/>
          </w:rPr>
          <w:t>http://www.cdc.gov/Features/VitalSigns/Walking/</w:t>
        </w:r>
      </w:hyperlink>
      <w:r w:rsidRPr="003A47F3">
        <w:rPr>
          <w:rFonts w:ascii="Calibri" w:hAnsi="Calibri" w:cs="Arial"/>
          <w:noProof/>
        </w:rPr>
        <w:t>]</w:t>
      </w:r>
      <w:bookmarkEnd w:id="31"/>
    </w:p>
    <w:p w14:paraId="5C98A451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2" w:name="_ENREF_30"/>
      <w:r w:rsidRPr="003A47F3">
        <w:rPr>
          <w:rFonts w:ascii="Calibri" w:hAnsi="Calibri" w:cs="Arial"/>
          <w:noProof/>
        </w:rPr>
        <w:t>30.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Everybody active, every day: a framework to embed physical activity into daily life </w:t>
      </w:r>
      <w:r w:rsidRPr="003A47F3">
        <w:rPr>
          <w:rFonts w:ascii="Calibri" w:hAnsi="Calibri" w:cs="Arial"/>
          <w:noProof/>
        </w:rPr>
        <w:t>[https://</w:t>
      </w:r>
      <w:hyperlink r:id="rId25" w:history="1">
        <w:r w:rsidRPr="003A47F3">
          <w:rPr>
            <w:rStyle w:val="Hyperlink"/>
            <w:rFonts w:ascii="Calibri" w:hAnsi="Calibri" w:cs="Arial"/>
            <w:noProof/>
          </w:rPr>
          <w:t>www.gov.uk/government/publications/everybody-active-every-day-a-framework-to-embed-physical-activity-into-daily-life</w:t>
        </w:r>
      </w:hyperlink>
      <w:r w:rsidRPr="003A47F3">
        <w:rPr>
          <w:rFonts w:ascii="Calibri" w:hAnsi="Calibri" w:cs="Arial"/>
          <w:noProof/>
        </w:rPr>
        <w:t>]</w:t>
      </w:r>
      <w:bookmarkEnd w:id="32"/>
    </w:p>
    <w:p w14:paraId="66E49156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3" w:name="_ENREF_31"/>
      <w:r w:rsidRPr="003A47F3">
        <w:rPr>
          <w:rFonts w:ascii="Calibri" w:hAnsi="Calibri" w:cs="Arial"/>
          <w:noProof/>
        </w:rPr>
        <w:t>31.</w:t>
      </w:r>
      <w:r w:rsidRPr="003A47F3">
        <w:rPr>
          <w:rFonts w:ascii="Calibri" w:hAnsi="Calibri" w:cs="Arial"/>
          <w:noProof/>
        </w:rPr>
        <w:tab/>
        <w:t xml:space="preserve">Hanson S, Jones A: </w:t>
      </w:r>
      <w:r w:rsidRPr="003A47F3">
        <w:rPr>
          <w:rFonts w:ascii="Calibri" w:hAnsi="Calibri" w:cs="Arial"/>
          <w:b/>
          <w:noProof/>
        </w:rPr>
        <w:t>Is there evidence that walking groups have health benefits? A systematic review and meta-analysis.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British Journal of Sports Medicine </w:t>
      </w:r>
      <w:r w:rsidRPr="003A47F3">
        <w:rPr>
          <w:rFonts w:ascii="Calibri" w:hAnsi="Calibri" w:cs="Arial"/>
          <w:noProof/>
        </w:rPr>
        <w:t xml:space="preserve">2015, </w:t>
      </w:r>
      <w:r w:rsidRPr="003A47F3">
        <w:rPr>
          <w:rFonts w:ascii="Calibri" w:hAnsi="Calibri" w:cs="Arial"/>
          <w:b/>
          <w:noProof/>
        </w:rPr>
        <w:t>49:</w:t>
      </w:r>
      <w:r w:rsidRPr="003A47F3">
        <w:rPr>
          <w:rFonts w:ascii="Calibri" w:hAnsi="Calibri" w:cs="Arial"/>
          <w:noProof/>
        </w:rPr>
        <w:t>710-715.</w:t>
      </w:r>
      <w:bookmarkEnd w:id="33"/>
    </w:p>
    <w:p w14:paraId="69A88F3E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4" w:name="_ENREF_32"/>
      <w:r w:rsidRPr="003A47F3">
        <w:rPr>
          <w:rFonts w:ascii="Calibri" w:hAnsi="Calibri" w:cs="Arial"/>
          <w:noProof/>
        </w:rPr>
        <w:t>32.</w:t>
      </w:r>
      <w:r w:rsidRPr="003A47F3">
        <w:rPr>
          <w:rFonts w:ascii="Calibri" w:hAnsi="Calibri" w:cs="Arial"/>
          <w:noProof/>
        </w:rPr>
        <w:tab/>
        <w:t xml:space="preserve">Kassavou A, Turner A, French DP: </w:t>
      </w:r>
      <w:r w:rsidRPr="003A47F3">
        <w:rPr>
          <w:rFonts w:ascii="Calibri" w:hAnsi="Calibri" w:cs="Arial"/>
          <w:b/>
          <w:noProof/>
        </w:rPr>
        <w:t>Do interventions to promote walking in groups increase physical activity? A meta-analysis.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International Journal of Behavioral Nutrition &amp; Physical Activity </w:t>
      </w:r>
      <w:r w:rsidRPr="003A47F3">
        <w:rPr>
          <w:rFonts w:ascii="Calibri" w:hAnsi="Calibri" w:cs="Arial"/>
          <w:noProof/>
        </w:rPr>
        <w:t xml:space="preserve">2013, </w:t>
      </w:r>
      <w:r w:rsidRPr="003A47F3">
        <w:rPr>
          <w:rFonts w:ascii="Calibri" w:hAnsi="Calibri" w:cs="Arial"/>
          <w:b/>
          <w:noProof/>
        </w:rPr>
        <w:t>10:</w:t>
      </w:r>
      <w:r w:rsidRPr="003A47F3">
        <w:rPr>
          <w:rFonts w:ascii="Calibri" w:hAnsi="Calibri" w:cs="Arial"/>
          <w:noProof/>
        </w:rPr>
        <w:t>18.</w:t>
      </w:r>
      <w:bookmarkEnd w:id="34"/>
    </w:p>
    <w:p w14:paraId="028C3929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5" w:name="_ENREF_33"/>
      <w:r w:rsidRPr="003A47F3">
        <w:rPr>
          <w:rFonts w:ascii="Calibri" w:hAnsi="Calibri" w:cs="Arial"/>
          <w:noProof/>
        </w:rPr>
        <w:t>33.</w:t>
      </w:r>
      <w:r w:rsidRPr="003A47F3">
        <w:rPr>
          <w:rFonts w:ascii="Calibri" w:hAnsi="Calibri" w:cs="Arial"/>
          <w:noProof/>
        </w:rPr>
        <w:tab/>
        <w:t xml:space="preserve">Cleland CL, Tully MA, Kee F, Cupples ME: </w:t>
      </w:r>
      <w:r w:rsidRPr="003A47F3">
        <w:rPr>
          <w:rFonts w:ascii="Calibri" w:hAnsi="Calibri" w:cs="Arial"/>
          <w:b/>
          <w:noProof/>
        </w:rPr>
        <w:t>The effectiveness of physical activity interventions in socio-economically disadvantaged communities: A systematic review.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Preventive Medicine </w:t>
      </w:r>
      <w:r w:rsidRPr="003A47F3">
        <w:rPr>
          <w:rFonts w:ascii="Calibri" w:hAnsi="Calibri" w:cs="Arial"/>
          <w:noProof/>
        </w:rPr>
        <w:t xml:space="preserve">2012, </w:t>
      </w:r>
      <w:r w:rsidRPr="003A47F3">
        <w:rPr>
          <w:rFonts w:ascii="Calibri" w:hAnsi="Calibri" w:cs="Arial"/>
          <w:b/>
          <w:noProof/>
        </w:rPr>
        <w:t>54:</w:t>
      </w:r>
      <w:r w:rsidRPr="003A47F3">
        <w:rPr>
          <w:rFonts w:ascii="Calibri" w:hAnsi="Calibri" w:cs="Arial"/>
          <w:noProof/>
        </w:rPr>
        <w:t>371-380.</w:t>
      </w:r>
      <w:bookmarkEnd w:id="35"/>
    </w:p>
    <w:p w14:paraId="58798221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6" w:name="_ENREF_34"/>
      <w:r w:rsidRPr="003A47F3">
        <w:rPr>
          <w:rFonts w:ascii="Calibri" w:hAnsi="Calibri" w:cs="Arial"/>
          <w:noProof/>
        </w:rPr>
        <w:t>34.</w:t>
      </w:r>
      <w:r w:rsidRPr="003A47F3">
        <w:rPr>
          <w:rFonts w:ascii="Calibri" w:hAnsi="Calibri" w:cs="Arial"/>
          <w:noProof/>
        </w:rPr>
        <w:tab/>
        <w:t xml:space="preserve">Walking for Health: </w:t>
      </w:r>
      <w:r w:rsidRPr="003A47F3">
        <w:rPr>
          <w:rFonts w:ascii="Calibri" w:hAnsi="Calibri" w:cs="Arial"/>
          <w:b/>
          <w:noProof/>
        </w:rPr>
        <w:t>Walking works. Making the case to encourage greater uptake of walking as a physical activity and recognise the value and benefits of Walking for Health.</w:t>
      </w:r>
      <w:r w:rsidRPr="003A47F3">
        <w:rPr>
          <w:rFonts w:ascii="Calibri" w:hAnsi="Calibri" w:cs="Arial"/>
          <w:noProof/>
        </w:rPr>
        <w:t xml:space="preserve"> London: The Ramblers Macmillan; 2013.</w:t>
      </w:r>
      <w:bookmarkEnd w:id="36"/>
    </w:p>
    <w:p w14:paraId="48821A96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7" w:name="_ENREF_35"/>
      <w:r w:rsidRPr="003A47F3">
        <w:rPr>
          <w:rFonts w:ascii="Calibri" w:hAnsi="Calibri" w:cs="Arial"/>
          <w:noProof/>
        </w:rPr>
        <w:t>35.</w:t>
      </w:r>
      <w:r w:rsidRPr="003A47F3">
        <w:rPr>
          <w:rFonts w:ascii="Calibri" w:hAnsi="Calibri" w:cs="Arial"/>
          <w:noProof/>
        </w:rPr>
        <w:tab/>
        <w:t xml:space="preserve">Dalton A, Jones A, Ogilvie D, Petticrew M, White M, Cummins S: </w:t>
      </w:r>
      <w:r w:rsidRPr="003A47F3">
        <w:rPr>
          <w:rFonts w:ascii="Calibri" w:hAnsi="Calibri" w:cs="Arial"/>
          <w:b/>
          <w:noProof/>
        </w:rPr>
        <w:t>Using spatial equity analysis in the process evaluation of environmental interventions to tackle obesity: the healthy towns programme in England.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International Journal for Equity in Health </w:t>
      </w:r>
      <w:r w:rsidRPr="003A47F3">
        <w:rPr>
          <w:rFonts w:ascii="Calibri" w:hAnsi="Calibri" w:cs="Arial"/>
          <w:noProof/>
        </w:rPr>
        <w:t xml:space="preserve">2013, </w:t>
      </w:r>
      <w:r w:rsidRPr="003A47F3">
        <w:rPr>
          <w:rFonts w:ascii="Calibri" w:hAnsi="Calibri" w:cs="Arial"/>
          <w:b/>
          <w:noProof/>
        </w:rPr>
        <w:t>12:</w:t>
      </w:r>
      <w:r w:rsidRPr="003A47F3">
        <w:rPr>
          <w:rFonts w:ascii="Calibri" w:hAnsi="Calibri" w:cs="Arial"/>
          <w:noProof/>
        </w:rPr>
        <w:t>43.</w:t>
      </w:r>
      <w:bookmarkEnd w:id="37"/>
    </w:p>
    <w:p w14:paraId="4242BADE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8" w:name="_ENREF_36"/>
      <w:r w:rsidRPr="003A47F3">
        <w:rPr>
          <w:rFonts w:ascii="Calibri" w:hAnsi="Calibri" w:cs="Arial"/>
          <w:noProof/>
        </w:rPr>
        <w:t>36.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A beginner's guide to geography: Guidance and methodoloy </w:t>
      </w:r>
      <w:r w:rsidRPr="003A47F3">
        <w:rPr>
          <w:rFonts w:ascii="Calibri" w:hAnsi="Calibri" w:cs="Arial"/>
          <w:noProof/>
        </w:rPr>
        <w:t>[</w:t>
      </w:r>
      <w:hyperlink r:id="rId26" w:history="1">
        <w:r w:rsidRPr="003A47F3">
          <w:rPr>
            <w:rStyle w:val="Hyperlink"/>
            <w:rFonts w:ascii="Calibri" w:hAnsi="Calibri" w:cs="Arial"/>
            <w:noProof/>
          </w:rPr>
          <w:t>http://www.ons.gov.uk/ons/guide-method/geography/beginner-s-guide/index.html</w:t>
        </w:r>
      </w:hyperlink>
      <w:r w:rsidRPr="003A47F3">
        <w:rPr>
          <w:rFonts w:ascii="Calibri" w:hAnsi="Calibri" w:cs="Arial"/>
          <w:noProof/>
        </w:rPr>
        <w:t>]</w:t>
      </w:r>
      <w:bookmarkEnd w:id="38"/>
    </w:p>
    <w:p w14:paraId="1507B057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9" w:name="_ENREF_37"/>
      <w:r w:rsidRPr="003A47F3">
        <w:rPr>
          <w:rFonts w:ascii="Calibri" w:hAnsi="Calibri" w:cs="Arial"/>
          <w:noProof/>
        </w:rPr>
        <w:t>37.</w:t>
      </w:r>
      <w:r w:rsidRPr="003A47F3">
        <w:rPr>
          <w:rFonts w:ascii="Calibri" w:hAnsi="Calibri" w:cs="Arial"/>
          <w:noProof/>
        </w:rPr>
        <w:tab/>
        <w:t xml:space="preserve">Carr-Hill RA, Chalmers-Dixon P, Lin J, Britain G: </w:t>
      </w:r>
      <w:r w:rsidRPr="003A47F3">
        <w:rPr>
          <w:rFonts w:ascii="Calibri" w:hAnsi="Calibri" w:cs="Arial"/>
          <w:i/>
          <w:noProof/>
        </w:rPr>
        <w:t>The public health observatory handbook of health inequalities measurement.</w:t>
      </w:r>
      <w:r w:rsidRPr="003A47F3">
        <w:rPr>
          <w:rFonts w:ascii="Calibri" w:hAnsi="Calibri" w:cs="Arial"/>
          <w:noProof/>
        </w:rPr>
        <w:t xml:space="preserve"> South East Public Health Observatory; 2005.</w:t>
      </w:r>
      <w:bookmarkEnd w:id="39"/>
    </w:p>
    <w:p w14:paraId="6304BD57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40" w:name="_ENREF_38"/>
      <w:r w:rsidRPr="003A47F3">
        <w:rPr>
          <w:rFonts w:ascii="Calibri" w:hAnsi="Calibri" w:cs="Arial"/>
          <w:noProof/>
        </w:rPr>
        <w:t>38.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Census 2011 for England and Wales Who we are Where we live What we do </w:t>
      </w:r>
      <w:r w:rsidRPr="003A47F3">
        <w:rPr>
          <w:rFonts w:ascii="Calibri" w:hAnsi="Calibri" w:cs="Arial"/>
          <w:noProof/>
        </w:rPr>
        <w:t>[</w:t>
      </w:r>
      <w:hyperlink r:id="rId27" w:history="1">
        <w:r w:rsidRPr="003A47F3">
          <w:rPr>
            <w:rStyle w:val="Hyperlink"/>
            <w:rFonts w:ascii="Calibri" w:hAnsi="Calibri" w:cs="Arial"/>
            <w:noProof/>
          </w:rPr>
          <w:t>http://www.ons.gov.uk/ons/guide-method/census/2011/index.html</w:t>
        </w:r>
      </w:hyperlink>
      <w:r w:rsidRPr="003A47F3">
        <w:rPr>
          <w:rFonts w:ascii="Calibri" w:hAnsi="Calibri" w:cs="Arial"/>
          <w:noProof/>
        </w:rPr>
        <w:t>]</w:t>
      </w:r>
      <w:bookmarkEnd w:id="40"/>
    </w:p>
    <w:p w14:paraId="47E0943D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41" w:name="_ENREF_39"/>
      <w:r w:rsidRPr="003A47F3">
        <w:rPr>
          <w:rFonts w:ascii="Calibri" w:hAnsi="Calibri" w:cs="Arial"/>
          <w:noProof/>
        </w:rPr>
        <w:t>39.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Public Health Observatories </w:t>
      </w:r>
      <w:r w:rsidRPr="003A47F3">
        <w:rPr>
          <w:rFonts w:ascii="Calibri" w:hAnsi="Calibri" w:cs="Arial"/>
          <w:noProof/>
        </w:rPr>
        <w:t>[</w:t>
      </w:r>
      <w:hyperlink r:id="rId28" w:history="1">
        <w:r w:rsidRPr="003A47F3">
          <w:rPr>
            <w:rStyle w:val="Hyperlink"/>
            <w:rFonts w:ascii="Calibri" w:hAnsi="Calibri" w:cs="Arial"/>
            <w:noProof/>
          </w:rPr>
          <w:t>http://www.apho.org.uk/</w:t>
        </w:r>
      </w:hyperlink>
      <w:r w:rsidRPr="003A47F3">
        <w:rPr>
          <w:rFonts w:ascii="Calibri" w:hAnsi="Calibri" w:cs="Arial"/>
          <w:noProof/>
        </w:rPr>
        <w:t>]</w:t>
      </w:r>
      <w:bookmarkEnd w:id="41"/>
    </w:p>
    <w:p w14:paraId="0DA3B5A4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42" w:name="_ENREF_40"/>
      <w:r w:rsidRPr="003A47F3">
        <w:rPr>
          <w:rFonts w:ascii="Calibri" w:hAnsi="Calibri" w:cs="Arial"/>
          <w:noProof/>
        </w:rPr>
        <w:t>40.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Active people survey </w:t>
      </w:r>
      <w:r w:rsidRPr="003A47F3">
        <w:rPr>
          <w:rFonts w:ascii="Calibri" w:hAnsi="Calibri" w:cs="Arial"/>
          <w:noProof/>
        </w:rPr>
        <w:t>[</w:t>
      </w:r>
      <w:hyperlink r:id="rId29" w:history="1">
        <w:r w:rsidRPr="003A47F3">
          <w:rPr>
            <w:rStyle w:val="Hyperlink"/>
            <w:rFonts w:ascii="Calibri" w:hAnsi="Calibri" w:cs="Arial"/>
            <w:noProof/>
          </w:rPr>
          <w:t>http://www.sportengland.org/research/active_people_survey/active_people_survey_6.aspx</w:t>
        </w:r>
      </w:hyperlink>
      <w:r w:rsidRPr="003A47F3">
        <w:rPr>
          <w:rFonts w:ascii="Calibri" w:hAnsi="Calibri" w:cs="Arial"/>
          <w:noProof/>
        </w:rPr>
        <w:t>]</w:t>
      </w:r>
      <w:bookmarkEnd w:id="42"/>
    </w:p>
    <w:p w14:paraId="5C7C0102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43" w:name="_ENREF_41"/>
      <w:r w:rsidRPr="003A47F3">
        <w:rPr>
          <w:rFonts w:ascii="Calibri" w:hAnsi="Calibri" w:cs="Arial"/>
          <w:noProof/>
        </w:rPr>
        <w:t>41.</w:t>
      </w:r>
      <w:r w:rsidRPr="003A47F3">
        <w:rPr>
          <w:rFonts w:ascii="Calibri" w:hAnsi="Calibri" w:cs="Arial"/>
          <w:noProof/>
        </w:rPr>
        <w:tab/>
        <w:t xml:space="preserve">SPSS I: </w:t>
      </w:r>
      <w:r w:rsidRPr="003A47F3">
        <w:rPr>
          <w:rFonts w:ascii="Calibri" w:hAnsi="Calibri" w:cs="Arial"/>
          <w:b/>
          <w:noProof/>
        </w:rPr>
        <w:t>PASW Statistics 18.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Chicago, IL: SPSS Inc </w:t>
      </w:r>
      <w:r w:rsidRPr="003A47F3">
        <w:rPr>
          <w:rFonts w:ascii="Calibri" w:hAnsi="Calibri" w:cs="Arial"/>
          <w:noProof/>
        </w:rPr>
        <w:t>2009.</w:t>
      </w:r>
      <w:bookmarkEnd w:id="43"/>
    </w:p>
    <w:p w14:paraId="1C3F9EEB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44" w:name="_ENREF_42"/>
      <w:r w:rsidRPr="003A47F3">
        <w:rPr>
          <w:rFonts w:ascii="Calibri" w:hAnsi="Calibri" w:cs="Arial"/>
          <w:noProof/>
        </w:rPr>
        <w:t>42.</w:t>
      </w:r>
      <w:r w:rsidRPr="003A47F3">
        <w:rPr>
          <w:rFonts w:ascii="Calibri" w:hAnsi="Calibri" w:cs="Arial"/>
          <w:noProof/>
        </w:rPr>
        <w:tab/>
        <w:t xml:space="preserve">Doyle YG, Mc Kee M, Sherriff M: </w:t>
      </w:r>
      <w:r w:rsidRPr="003A47F3">
        <w:rPr>
          <w:rFonts w:ascii="Calibri" w:hAnsi="Calibri" w:cs="Arial"/>
          <w:b/>
          <w:noProof/>
        </w:rPr>
        <w:t>A model of successful ageing in British populations.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The European Journal of Public Health </w:t>
      </w:r>
      <w:r w:rsidRPr="003A47F3">
        <w:rPr>
          <w:rFonts w:ascii="Calibri" w:hAnsi="Calibri" w:cs="Arial"/>
          <w:noProof/>
        </w:rPr>
        <w:t xml:space="preserve">2012, </w:t>
      </w:r>
      <w:r w:rsidRPr="003A47F3">
        <w:rPr>
          <w:rFonts w:ascii="Calibri" w:hAnsi="Calibri" w:cs="Arial"/>
          <w:b/>
          <w:noProof/>
        </w:rPr>
        <w:t>22:</w:t>
      </w:r>
      <w:r w:rsidRPr="003A47F3">
        <w:rPr>
          <w:rFonts w:ascii="Calibri" w:hAnsi="Calibri" w:cs="Arial"/>
          <w:noProof/>
        </w:rPr>
        <w:t>71-76.</w:t>
      </w:r>
      <w:bookmarkEnd w:id="44"/>
    </w:p>
    <w:p w14:paraId="2068E0D1" w14:textId="026E4AB3" w:rsidR="003A47F3" w:rsidRPr="003A47F3" w:rsidRDefault="003A47F3" w:rsidP="00C17C42">
      <w:pPr>
        <w:spacing w:line="240" w:lineRule="auto"/>
        <w:ind w:left="720" w:hanging="720"/>
        <w:rPr>
          <w:rFonts w:ascii="Calibri" w:hAnsi="Calibri" w:cs="Arial"/>
          <w:noProof/>
        </w:rPr>
      </w:pPr>
      <w:bookmarkStart w:id="45" w:name="_ENREF_43"/>
      <w:r w:rsidRPr="003A47F3">
        <w:rPr>
          <w:rFonts w:ascii="Calibri" w:hAnsi="Calibri" w:cs="Arial"/>
          <w:noProof/>
        </w:rPr>
        <w:t>43.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Pensioners living alone. Small area indicators for Joint Strategic Needs assessment </w:t>
      </w:r>
      <w:r w:rsidRPr="003A47F3">
        <w:rPr>
          <w:rFonts w:ascii="Calibri" w:hAnsi="Calibri" w:cs="Arial"/>
          <w:noProof/>
        </w:rPr>
        <w:t>[</w:t>
      </w:r>
      <w:hyperlink r:id="rId30" w:anchor="l=en;v=map9" w:history="1">
        <w:r w:rsidRPr="003A47F3">
          <w:rPr>
            <w:rStyle w:val="Hyperlink"/>
            <w:rFonts w:ascii="Calibri" w:hAnsi="Calibri" w:cs="Arial"/>
            <w:noProof/>
          </w:rPr>
          <w:t>http://www.localhealth.org.uk/#l=en;v=map9</w:t>
        </w:r>
      </w:hyperlink>
      <w:r w:rsidRPr="003A47F3">
        <w:rPr>
          <w:rFonts w:ascii="Calibri" w:hAnsi="Calibri" w:cs="Arial"/>
          <w:noProof/>
        </w:rPr>
        <w:t>]</w:t>
      </w:r>
      <w:bookmarkEnd w:id="45"/>
    </w:p>
    <w:p w14:paraId="041120C4" w14:textId="5C346B80" w:rsidR="003A47F3" w:rsidRPr="003A47F3" w:rsidRDefault="003A47F3" w:rsidP="00C20BC7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46" w:name="_ENREF_44"/>
      <w:r w:rsidRPr="003A47F3">
        <w:rPr>
          <w:rFonts w:ascii="Calibri" w:hAnsi="Calibri" w:cs="Arial"/>
          <w:noProof/>
        </w:rPr>
        <w:lastRenderedPageBreak/>
        <w:t>44.</w:t>
      </w:r>
      <w:r w:rsidRPr="003A47F3">
        <w:rPr>
          <w:rFonts w:ascii="Calibri" w:hAnsi="Calibri" w:cs="Arial"/>
          <w:noProof/>
        </w:rPr>
        <w:tab/>
        <w:t xml:space="preserve">Farrell L, Hollingsworht B, Propper C, Shilelds MA: </w:t>
      </w:r>
      <w:r w:rsidRPr="003A47F3">
        <w:rPr>
          <w:rFonts w:ascii="Calibri" w:hAnsi="Calibri" w:cs="Arial"/>
          <w:b/>
          <w:noProof/>
        </w:rPr>
        <w:t>The Socioeconomic Gradient in Physical Inactivity in England.</w:t>
      </w:r>
      <w:r w:rsidRPr="003A47F3">
        <w:rPr>
          <w:rFonts w:ascii="Calibri" w:hAnsi="Calibri" w:cs="Arial"/>
          <w:noProof/>
        </w:rPr>
        <w:t xml:space="preserve"> Bristol, England: Centre for Market and Public Organisation, University of Bristol</w:t>
      </w:r>
      <w:r w:rsidR="00F91A9A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noProof/>
        </w:rPr>
        <w:t>2013.</w:t>
      </w:r>
      <w:bookmarkEnd w:id="46"/>
    </w:p>
    <w:p w14:paraId="2022A319" w14:textId="77777777" w:rsidR="003A47F3" w:rsidRPr="003A47F3" w:rsidRDefault="003A47F3" w:rsidP="00C20BC7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47" w:name="_ENREF_45"/>
      <w:r w:rsidRPr="003A47F3">
        <w:rPr>
          <w:rFonts w:ascii="Calibri" w:hAnsi="Calibri" w:cs="Arial"/>
          <w:noProof/>
        </w:rPr>
        <w:t>45.</w:t>
      </w:r>
      <w:r w:rsidRPr="003A47F3">
        <w:rPr>
          <w:rFonts w:ascii="Calibri" w:hAnsi="Calibri" w:cs="Arial"/>
          <w:noProof/>
        </w:rPr>
        <w:tab/>
        <w:t xml:space="preserve">Ogilvie D, Foster C, Rothnie H: </w:t>
      </w:r>
      <w:r w:rsidRPr="003A47F3">
        <w:rPr>
          <w:rFonts w:ascii="Calibri" w:hAnsi="Calibri" w:cs="Arial"/>
          <w:b/>
          <w:noProof/>
        </w:rPr>
        <w:t>Interventions to promote walking: systematic review.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BMJ </w:t>
      </w:r>
      <w:r w:rsidRPr="003A47F3">
        <w:rPr>
          <w:rFonts w:ascii="Calibri" w:hAnsi="Calibri" w:cs="Arial"/>
          <w:noProof/>
        </w:rPr>
        <w:t xml:space="preserve">2007, </w:t>
      </w:r>
      <w:r w:rsidRPr="003A47F3">
        <w:rPr>
          <w:rFonts w:ascii="Calibri" w:hAnsi="Calibri" w:cs="Arial"/>
          <w:b/>
          <w:noProof/>
        </w:rPr>
        <w:t>334:</w:t>
      </w:r>
      <w:r w:rsidRPr="003A47F3">
        <w:rPr>
          <w:rFonts w:ascii="Calibri" w:hAnsi="Calibri" w:cs="Arial"/>
          <w:noProof/>
        </w:rPr>
        <w:t>1204 - 1207.</w:t>
      </w:r>
      <w:bookmarkStart w:id="48" w:name="_GoBack"/>
      <w:bookmarkEnd w:id="47"/>
      <w:bookmarkEnd w:id="48"/>
    </w:p>
    <w:p w14:paraId="6BD7A9C8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49" w:name="_ENREF_46"/>
      <w:r w:rsidRPr="003A47F3">
        <w:rPr>
          <w:rFonts w:ascii="Calibri" w:hAnsi="Calibri" w:cs="Arial"/>
          <w:noProof/>
        </w:rPr>
        <w:t>46.</w:t>
      </w:r>
      <w:r w:rsidRPr="003A47F3">
        <w:rPr>
          <w:rFonts w:ascii="Calibri" w:hAnsi="Calibri" w:cs="Arial"/>
          <w:noProof/>
        </w:rPr>
        <w:tab/>
        <w:t xml:space="preserve">Matthews A, Brennan G, Kelly P, McAdam C, Mutrie N, Foster C: </w:t>
      </w:r>
      <w:r w:rsidRPr="003A47F3">
        <w:rPr>
          <w:rFonts w:ascii="Calibri" w:hAnsi="Calibri" w:cs="Arial"/>
          <w:b/>
          <w:noProof/>
        </w:rPr>
        <w:t>"Don't wait for them to come to you, you go to them". A qualitative study of recruitment approaches in community based walking programmes in the UK.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BMC Public Health </w:t>
      </w:r>
      <w:r w:rsidRPr="003A47F3">
        <w:rPr>
          <w:rFonts w:ascii="Calibri" w:hAnsi="Calibri" w:cs="Arial"/>
          <w:noProof/>
        </w:rPr>
        <w:t xml:space="preserve">2012, </w:t>
      </w:r>
      <w:r w:rsidRPr="003A47F3">
        <w:rPr>
          <w:rFonts w:ascii="Calibri" w:hAnsi="Calibri" w:cs="Arial"/>
          <w:b/>
          <w:noProof/>
        </w:rPr>
        <w:t>12:</w:t>
      </w:r>
      <w:r w:rsidRPr="003A47F3">
        <w:rPr>
          <w:rFonts w:ascii="Calibri" w:hAnsi="Calibri" w:cs="Arial"/>
          <w:noProof/>
        </w:rPr>
        <w:t>635.</w:t>
      </w:r>
      <w:bookmarkEnd w:id="49"/>
    </w:p>
    <w:p w14:paraId="4B99443C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50" w:name="_ENREF_47"/>
      <w:r w:rsidRPr="003A47F3">
        <w:rPr>
          <w:rFonts w:ascii="Calibri" w:hAnsi="Calibri" w:cs="Arial"/>
          <w:noProof/>
        </w:rPr>
        <w:t>47.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Health 2020: the European policy for health and well-being, </w:t>
      </w:r>
      <w:r w:rsidRPr="003A47F3">
        <w:rPr>
          <w:rFonts w:ascii="Calibri" w:hAnsi="Calibri" w:cs="Arial"/>
          <w:noProof/>
        </w:rPr>
        <w:t>[</w:t>
      </w:r>
      <w:hyperlink r:id="rId31" w:history="1">
        <w:r w:rsidRPr="003A47F3">
          <w:rPr>
            <w:rStyle w:val="Hyperlink"/>
            <w:rFonts w:ascii="Calibri" w:hAnsi="Calibri" w:cs="Arial"/>
            <w:noProof/>
          </w:rPr>
          <w:t>http://www.euro.who.int/en/health-topics/health-policy/health-2020-the-european-policy-for-health-and-well-being</w:t>
        </w:r>
      </w:hyperlink>
      <w:r w:rsidRPr="003A47F3">
        <w:rPr>
          <w:rFonts w:ascii="Calibri" w:hAnsi="Calibri" w:cs="Arial"/>
          <w:noProof/>
        </w:rPr>
        <w:t>]</w:t>
      </w:r>
      <w:bookmarkEnd w:id="50"/>
    </w:p>
    <w:p w14:paraId="51DB7EE6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51" w:name="_ENREF_48"/>
      <w:r w:rsidRPr="003A47F3">
        <w:rPr>
          <w:rFonts w:ascii="Calibri" w:hAnsi="Calibri" w:cs="Arial"/>
          <w:noProof/>
        </w:rPr>
        <w:t>48.</w:t>
      </w:r>
      <w:r w:rsidRPr="003A47F3">
        <w:rPr>
          <w:rFonts w:ascii="Calibri" w:hAnsi="Calibri" w:cs="Arial"/>
          <w:noProof/>
        </w:rPr>
        <w:tab/>
        <w:t xml:space="preserve">Cleland CL, Hunter RF, Tully MA, Scott D, Kee F, Donnelly M, Prior L, Cupples ME: </w:t>
      </w:r>
      <w:r w:rsidRPr="003A47F3">
        <w:rPr>
          <w:rFonts w:ascii="Calibri" w:hAnsi="Calibri" w:cs="Arial"/>
          <w:b/>
          <w:noProof/>
        </w:rPr>
        <w:t>Identifying solutions to increase participation in physical activity interventions within a socio-economically disadvantaged community: A qualitative study.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The International Journal of Behavioral Nutrition and Physical Activity </w:t>
      </w:r>
      <w:r w:rsidRPr="003A47F3">
        <w:rPr>
          <w:rFonts w:ascii="Calibri" w:hAnsi="Calibri" w:cs="Arial"/>
          <w:noProof/>
        </w:rPr>
        <w:t xml:space="preserve">2014, </w:t>
      </w:r>
      <w:r w:rsidRPr="003A47F3">
        <w:rPr>
          <w:rFonts w:ascii="Calibri" w:hAnsi="Calibri" w:cs="Arial"/>
          <w:b/>
          <w:noProof/>
        </w:rPr>
        <w:t>11</w:t>
      </w:r>
      <w:r w:rsidRPr="003A47F3">
        <w:rPr>
          <w:rFonts w:ascii="Calibri" w:hAnsi="Calibri" w:cs="Arial"/>
          <w:noProof/>
        </w:rPr>
        <w:t>.</w:t>
      </w:r>
      <w:bookmarkEnd w:id="51"/>
    </w:p>
    <w:p w14:paraId="6CA013DF" w14:textId="77777777" w:rsidR="003A47F3" w:rsidRPr="003A47F3" w:rsidRDefault="003A47F3" w:rsidP="003A47F3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52" w:name="_ENREF_49"/>
      <w:r w:rsidRPr="003A47F3">
        <w:rPr>
          <w:rFonts w:ascii="Calibri" w:hAnsi="Calibri" w:cs="Arial"/>
          <w:noProof/>
        </w:rPr>
        <w:t>49.</w:t>
      </w:r>
      <w:r w:rsidRPr="003A47F3">
        <w:rPr>
          <w:rFonts w:ascii="Calibri" w:hAnsi="Calibri" w:cs="Arial"/>
          <w:noProof/>
        </w:rPr>
        <w:tab/>
        <w:t xml:space="preserve">O'Mara-Eves A, Brunton G, McDaid G, Oliver S, Kavanagh J, Jamal F, Matosevic T, Harden A, Thomas J: </w:t>
      </w:r>
      <w:r w:rsidRPr="003A47F3">
        <w:rPr>
          <w:rFonts w:ascii="Calibri" w:hAnsi="Calibri" w:cs="Arial"/>
          <w:b/>
          <w:noProof/>
        </w:rPr>
        <w:t>Community engagement to reduce inequalities in health: a systematic review, meta-analysis and economic analysis.</w:t>
      </w:r>
      <w:r w:rsidRPr="003A47F3">
        <w:rPr>
          <w:rFonts w:ascii="Calibri" w:hAnsi="Calibri" w:cs="Arial"/>
          <w:noProof/>
        </w:rPr>
        <w:t xml:space="preserve"> </w:t>
      </w:r>
      <w:r w:rsidRPr="003A47F3">
        <w:rPr>
          <w:rFonts w:ascii="Calibri" w:hAnsi="Calibri" w:cs="Arial"/>
          <w:i/>
          <w:noProof/>
        </w:rPr>
        <w:t xml:space="preserve">Public Health Research </w:t>
      </w:r>
      <w:r w:rsidRPr="003A47F3">
        <w:rPr>
          <w:rFonts w:ascii="Calibri" w:hAnsi="Calibri" w:cs="Arial"/>
          <w:noProof/>
        </w:rPr>
        <w:t xml:space="preserve">2013, </w:t>
      </w:r>
      <w:r w:rsidRPr="003A47F3">
        <w:rPr>
          <w:rFonts w:ascii="Calibri" w:hAnsi="Calibri" w:cs="Arial"/>
          <w:b/>
          <w:noProof/>
        </w:rPr>
        <w:t>1</w:t>
      </w:r>
      <w:r w:rsidRPr="003A47F3">
        <w:rPr>
          <w:rFonts w:ascii="Calibri" w:hAnsi="Calibri" w:cs="Arial"/>
          <w:noProof/>
        </w:rPr>
        <w:t>.</w:t>
      </w:r>
      <w:bookmarkEnd w:id="52"/>
    </w:p>
    <w:p w14:paraId="54273571" w14:textId="77777777" w:rsidR="003A47F3" w:rsidRPr="003A47F3" w:rsidRDefault="003A47F3" w:rsidP="003A47F3">
      <w:pPr>
        <w:spacing w:line="240" w:lineRule="auto"/>
        <w:ind w:left="720" w:hanging="720"/>
        <w:rPr>
          <w:rFonts w:ascii="Calibri" w:hAnsi="Calibri" w:cs="Arial"/>
          <w:noProof/>
        </w:rPr>
      </w:pPr>
      <w:bookmarkStart w:id="53" w:name="_ENREF_50"/>
      <w:r w:rsidRPr="003A47F3">
        <w:rPr>
          <w:rFonts w:ascii="Calibri" w:hAnsi="Calibri" w:cs="Arial"/>
          <w:noProof/>
        </w:rPr>
        <w:t>50.</w:t>
      </w:r>
      <w:r w:rsidRPr="003A47F3">
        <w:rPr>
          <w:rFonts w:ascii="Calibri" w:hAnsi="Calibri" w:cs="Arial"/>
          <w:noProof/>
        </w:rPr>
        <w:tab/>
      </w:r>
      <w:r w:rsidRPr="003A47F3">
        <w:rPr>
          <w:rFonts w:ascii="Calibri" w:hAnsi="Calibri" w:cs="Arial"/>
          <w:b/>
          <w:noProof/>
        </w:rPr>
        <w:t xml:space="preserve">Unlocking the power of communities to transform lives. Community health champions: creating new relationships with patients and communities </w:t>
      </w:r>
      <w:r w:rsidRPr="003A47F3">
        <w:rPr>
          <w:rFonts w:ascii="Calibri" w:hAnsi="Calibri" w:cs="Arial"/>
          <w:noProof/>
        </w:rPr>
        <w:t>[</w:t>
      </w:r>
      <w:hyperlink r:id="rId32" w:history="1">
        <w:r w:rsidRPr="003A47F3">
          <w:rPr>
            <w:rStyle w:val="Hyperlink"/>
            <w:rFonts w:ascii="Calibri" w:hAnsi="Calibri" w:cs="Arial"/>
            <w:noProof/>
          </w:rPr>
          <w:t>http://www.altogetherbetter.org.uk/home.aspx</w:t>
        </w:r>
      </w:hyperlink>
      <w:r w:rsidRPr="003A47F3">
        <w:rPr>
          <w:rFonts w:ascii="Calibri" w:hAnsi="Calibri" w:cs="Arial"/>
          <w:noProof/>
        </w:rPr>
        <w:t>]</w:t>
      </w:r>
      <w:bookmarkEnd w:id="53"/>
    </w:p>
    <w:p w14:paraId="7F3A0B63" w14:textId="77777777" w:rsidR="003A47F3" w:rsidRDefault="003A47F3" w:rsidP="003A47F3">
      <w:pPr>
        <w:spacing w:line="240" w:lineRule="auto"/>
        <w:rPr>
          <w:rFonts w:ascii="Calibri" w:hAnsi="Calibri" w:cs="Arial"/>
          <w:noProof/>
        </w:rPr>
      </w:pPr>
    </w:p>
    <w:p w14:paraId="70D3BEE9" w14:textId="77777777" w:rsidR="00214956" w:rsidRDefault="00536436" w:rsidP="00A310DF">
      <w:pPr>
        <w:spacing w:line="240" w:lineRule="auto"/>
        <w:ind w:left="720" w:hanging="720"/>
        <w:rPr>
          <w:rFonts w:ascii="Arial" w:hAnsi="Arial" w:cs="Arial"/>
        </w:rPr>
      </w:pPr>
      <w:r w:rsidRPr="00086598">
        <w:rPr>
          <w:rFonts w:ascii="Arial" w:hAnsi="Arial" w:cs="Arial"/>
        </w:rPr>
        <w:fldChar w:fldCharType="end"/>
      </w:r>
    </w:p>
    <w:sectPr w:rsidR="00214956" w:rsidSect="00767A5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2C656" w14:textId="77777777" w:rsidR="00510296" w:rsidRDefault="00510296">
      <w:pPr>
        <w:spacing w:after="0" w:line="240" w:lineRule="auto"/>
      </w:pPr>
      <w:r>
        <w:separator/>
      </w:r>
    </w:p>
  </w:endnote>
  <w:endnote w:type="continuationSeparator" w:id="0">
    <w:p w14:paraId="060444FA" w14:textId="77777777" w:rsidR="00510296" w:rsidRDefault="0051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056E" w14:textId="77777777" w:rsidR="000E6630" w:rsidRDefault="000E6630">
    <w:pPr>
      <w:framePr w:w="12052" w:h="144" w:wrap="none" w:vAnchor="text" w:hAnchor="page" w:x="-72" w:y="-964"/>
      <w:ind w:left="10762"/>
    </w:pPr>
    <w:r>
      <w:fldChar w:fldCharType="begin"/>
    </w:r>
    <w:r>
      <w:instrText xml:space="preserve"> PAGE \* MERGEFORMAT </w:instrText>
    </w:r>
    <w:r>
      <w:fldChar w:fldCharType="separate"/>
    </w:r>
    <w:r w:rsidRPr="00A64FA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222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2BCDC" w14:textId="77777777" w:rsidR="000E6630" w:rsidRDefault="000E6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BC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13FCB8" w14:textId="77777777" w:rsidR="000E6630" w:rsidRDefault="000E6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1BB2" w14:textId="77777777" w:rsidR="00510296" w:rsidRDefault="00510296">
      <w:pPr>
        <w:spacing w:after="0" w:line="240" w:lineRule="auto"/>
      </w:pPr>
      <w:r>
        <w:separator/>
      </w:r>
    </w:p>
  </w:footnote>
  <w:footnote w:type="continuationSeparator" w:id="0">
    <w:p w14:paraId="0CE0A341" w14:textId="77777777" w:rsidR="00510296" w:rsidRDefault="0051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3C2"/>
    <w:multiLevelType w:val="hybridMultilevel"/>
    <w:tmpl w:val="7DDE40FA"/>
    <w:lvl w:ilvl="0" w:tplc="3CC4BB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E98"/>
    <w:multiLevelType w:val="hybridMultilevel"/>
    <w:tmpl w:val="3E8E40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98E"/>
    <w:multiLevelType w:val="hybridMultilevel"/>
    <w:tmpl w:val="BBAC2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0288"/>
    <w:multiLevelType w:val="hybridMultilevel"/>
    <w:tmpl w:val="0E285610"/>
    <w:lvl w:ilvl="0" w:tplc="68BEB0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4896"/>
    <w:multiLevelType w:val="hybridMultilevel"/>
    <w:tmpl w:val="AA82C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E013A"/>
    <w:multiLevelType w:val="hybridMultilevel"/>
    <w:tmpl w:val="CCA8D6A2"/>
    <w:lvl w:ilvl="0" w:tplc="A9D4D5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9DE"/>
    <w:multiLevelType w:val="multilevel"/>
    <w:tmpl w:val="1FF45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15279E"/>
    <w:multiLevelType w:val="hybridMultilevel"/>
    <w:tmpl w:val="3C9814B2"/>
    <w:lvl w:ilvl="0" w:tplc="969AFC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6363E"/>
    <w:multiLevelType w:val="multilevel"/>
    <w:tmpl w:val="516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021F3B"/>
    <w:multiLevelType w:val="hybridMultilevel"/>
    <w:tmpl w:val="F140E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64D92"/>
    <w:multiLevelType w:val="hybridMultilevel"/>
    <w:tmpl w:val="1C90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72C"/>
    <w:multiLevelType w:val="hybridMultilevel"/>
    <w:tmpl w:val="1EB45DB2"/>
    <w:lvl w:ilvl="0" w:tplc="8F24D9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B010C"/>
    <w:multiLevelType w:val="multilevel"/>
    <w:tmpl w:val="9ED6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93480"/>
    <w:multiLevelType w:val="hybridMultilevel"/>
    <w:tmpl w:val="252EC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921F0"/>
    <w:multiLevelType w:val="hybridMultilevel"/>
    <w:tmpl w:val="56A6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Equity in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rxtsfzvix5rpde9zrnpewvb5aaxdewa02df&quot;&gt;My EndNote Library-SavedApril&lt;record-ids&gt;&lt;item&gt;174&lt;/item&gt;&lt;item&gt;434&lt;/item&gt;&lt;item&gt;2233&lt;/item&gt;&lt;item&gt;2257&lt;/item&gt;&lt;item&gt;2355&lt;/item&gt;&lt;item&gt;2356&lt;/item&gt;&lt;item&gt;3624&lt;/item&gt;&lt;item&gt;3629&lt;/item&gt;&lt;item&gt;3634&lt;/item&gt;&lt;item&gt;3636&lt;/item&gt;&lt;item&gt;3642&lt;/item&gt;&lt;item&gt;3673&lt;/item&gt;&lt;item&gt;3701&lt;/item&gt;&lt;item&gt;3702&lt;/item&gt;&lt;item&gt;3711&lt;/item&gt;&lt;item&gt;3720&lt;/item&gt;&lt;item&gt;3722&lt;/item&gt;&lt;item&gt;3724&lt;/item&gt;&lt;item&gt;3725&lt;/item&gt;&lt;item&gt;3726&lt;/item&gt;&lt;item&gt;3727&lt;/item&gt;&lt;item&gt;3728&lt;/item&gt;&lt;item&gt;3752&lt;/item&gt;&lt;item&gt;3790&lt;/item&gt;&lt;item&gt;3795&lt;/item&gt;&lt;item&gt;3805&lt;/item&gt;&lt;item&gt;3820&lt;/item&gt;&lt;item&gt;3825&lt;/item&gt;&lt;item&gt;3826&lt;/item&gt;&lt;item&gt;3828&lt;/item&gt;&lt;item&gt;3838&lt;/item&gt;&lt;item&gt;3839&lt;/item&gt;&lt;item&gt;3840&lt;/item&gt;&lt;item&gt;3843&lt;/item&gt;&lt;item&gt;3847&lt;/item&gt;&lt;item&gt;3849&lt;/item&gt;&lt;item&gt;3855&lt;/item&gt;&lt;item&gt;3887&lt;/item&gt;&lt;item&gt;3897&lt;/item&gt;&lt;item&gt;3900&lt;/item&gt;&lt;item&gt;3904&lt;/item&gt;&lt;item&gt;3936&lt;/item&gt;&lt;item&gt;3937&lt;/item&gt;&lt;item&gt;3939&lt;/item&gt;&lt;item&gt;3940&lt;/item&gt;&lt;item&gt;3941&lt;/item&gt;&lt;item&gt;3943&lt;/item&gt;&lt;item&gt;3944&lt;/item&gt;&lt;item&gt;3961&lt;/item&gt;&lt;item&gt;3975&lt;/item&gt;&lt;/record-ids&gt;&lt;/item&gt;&lt;/Libraries&gt;"/>
  </w:docVars>
  <w:rsids>
    <w:rsidRoot w:val="00527C13"/>
    <w:rsid w:val="00001635"/>
    <w:rsid w:val="00004103"/>
    <w:rsid w:val="00004487"/>
    <w:rsid w:val="00004B86"/>
    <w:rsid w:val="000064B7"/>
    <w:rsid w:val="0000667A"/>
    <w:rsid w:val="000068AD"/>
    <w:rsid w:val="000101CF"/>
    <w:rsid w:val="00012255"/>
    <w:rsid w:val="00012B4E"/>
    <w:rsid w:val="00016BD7"/>
    <w:rsid w:val="00016F8C"/>
    <w:rsid w:val="00020A86"/>
    <w:rsid w:val="0002101B"/>
    <w:rsid w:val="00021A14"/>
    <w:rsid w:val="00022CAB"/>
    <w:rsid w:val="00024977"/>
    <w:rsid w:val="00024FF5"/>
    <w:rsid w:val="000310F3"/>
    <w:rsid w:val="000310F7"/>
    <w:rsid w:val="00033C0A"/>
    <w:rsid w:val="00033D62"/>
    <w:rsid w:val="00034348"/>
    <w:rsid w:val="00035F30"/>
    <w:rsid w:val="00036A97"/>
    <w:rsid w:val="000376D9"/>
    <w:rsid w:val="000378C9"/>
    <w:rsid w:val="00037980"/>
    <w:rsid w:val="00040B30"/>
    <w:rsid w:val="000439F6"/>
    <w:rsid w:val="0004558D"/>
    <w:rsid w:val="000455DC"/>
    <w:rsid w:val="0005226D"/>
    <w:rsid w:val="00054C0C"/>
    <w:rsid w:val="0005595F"/>
    <w:rsid w:val="00055A10"/>
    <w:rsid w:val="00056984"/>
    <w:rsid w:val="00056ED0"/>
    <w:rsid w:val="00057A43"/>
    <w:rsid w:val="00060B78"/>
    <w:rsid w:val="00060E84"/>
    <w:rsid w:val="00061123"/>
    <w:rsid w:val="00061D0F"/>
    <w:rsid w:val="000644E2"/>
    <w:rsid w:val="0006699C"/>
    <w:rsid w:val="0006777F"/>
    <w:rsid w:val="000708C5"/>
    <w:rsid w:val="00077D50"/>
    <w:rsid w:val="00082755"/>
    <w:rsid w:val="000846F7"/>
    <w:rsid w:val="00085544"/>
    <w:rsid w:val="00085FBF"/>
    <w:rsid w:val="00086598"/>
    <w:rsid w:val="0009111F"/>
    <w:rsid w:val="00092611"/>
    <w:rsid w:val="00092D5D"/>
    <w:rsid w:val="000957BB"/>
    <w:rsid w:val="000958A7"/>
    <w:rsid w:val="000A0E88"/>
    <w:rsid w:val="000A14E2"/>
    <w:rsid w:val="000A267B"/>
    <w:rsid w:val="000A5119"/>
    <w:rsid w:val="000A785D"/>
    <w:rsid w:val="000A79AF"/>
    <w:rsid w:val="000A7FD1"/>
    <w:rsid w:val="000B05FA"/>
    <w:rsid w:val="000B06E7"/>
    <w:rsid w:val="000B1F23"/>
    <w:rsid w:val="000B2818"/>
    <w:rsid w:val="000B46E0"/>
    <w:rsid w:val="000B4919"/>
    <w:rsid w:val="000B5694"/>
    <w:rsid w:val="000B5C54"/>
    <w:rsid w:val="000B5C9A"/>
    <w:rsid w:val="000B75D4"/>
    <w:rsid w:val="000C4081"/>
    <w:rsid w:val="000C40C9"/>
    <w:rsid w:val="000C51EC"/>
    <w:rsid w:val="000C605E"/>
    <w:rsid w:val="000C6767"/>
    <w:rsid w:val="000C7247"/>
    <w:rsid w:val="000C7BFC"/>
    <w:rsid w:val="000D587D"/>
    <w:rsid w:val="000D61B1"/>
    <w:rsid w:val="000D6499"/>
    <w:rsid w:val="000E076F"/>
    <w:rsid w:val="000E1A3E"/>
    <w:rsid w:val="000E2633"/>
    <w:rsid w:val="000E3A1D"/>
    <w:rsid w:val="000E4840"/>
    <w:rsid w:val="000E6630"/>
    <w:rsid w:val="000E739B"/>
    <w:rsid w:val="000F04CF"/>
    <w:rsid w:val="000F3505"/>
    <w:rsid w:val="000F4252"/>
    <w:rsid w:val="000F5B95"/>
    <w:rsid w:val="000F7A50"/>
    <w:rsid w:val="00100122"/>
    <w:rsid w:val="001010A4"/>
    <w:rsid w:val="00102437"/>
    <w:rsid w:val="00102B75"/>
    <w:rsid w:val="00103214"/>
    <w:rsid w:val="00103336"/>
    <w:rsid w:val="00103F17"/>
    <w:rsid w:val="001051B1"/>
    <w:rsid w:val="00105222"/>
    <w:rsid w:val="00105BA2"/>
    <w:rsid w:val="001105AD"/>
    <w:rsid w:val="00111887"/>
    <w:rsid w:val="00113FB0"/>
    <w:rsid w:val="00113FE2"/>
    <w:rsid w:val="00114C92"/>
    <w:rsid w:val="0011558A"/>
    <w:rsid w:val="0011593F"/>
    <w:rsid w:val="0011630C"/>
    <w:rsid w:val="001200D8"/>
    <w:rsid w:val="00121162"/>
    <w:rsid w:val="00122E22"/>
    <w:rsid w:val="00127861"/>
    <w:rsid w:val="0013029B"/>
    <w:rsid w:val="00131677"/>
    <w:rsid w:val="00136A97"/>
    <w:rsid w:val="001428EF"/>
    <w:rsid w:val="001440BB"/>
    <w:rsid w:val="001441E4"/>
    <w:rsid w:val="00146A43"/>
    <w:rsid w:val="0014783B"/>
    <w:rsid w:val="001501B9"/>
    <w:rsid w:val="001561A5"/>
    <w:rsid w:val="001602DA"/>
    <w:rsid w:val="00161379"/>
    <w:rsid w:val="00161C89"/>
    <w:rsid w:val="001621DE"/>
    <w:rsid w:val="0016291C"/>
    <w:rsid w:val="00162E0D"/>
    <w:rsid w:val="00165168"/>
    <w:rsid w:val="00167F57"/>
    <w:rsid w:val="0017116C"/>
    <w:rsid w:val="00172823"/>
    <w:rsid w:val="00172973"/>
    <w:rsid w:val="00173167"/>
    <w:rsid w:val="00174872"/>
    <w:rsid w:val="001755A7"/>
    <w:rsid w:val="00181B2A"/>
    <w:rsid w:val="00181D95"/>
    <w:rsid w:val="00182A93"/>
    <w:rsid w:val="00183789"/>
    <w:rsid w:val="00184DA8"/>
    <w:rsid w:val="00185A67"/>
    <w:rsid w:val="00187585"/>
    <w:rsid w:val="001875EF"/>
    <w:rsid w:val="00191C6B"/>
    <w:rsid w:val="0019209D"/>
    <w:rsid w:val="001933E8"/>
    <w:rsid w:val="00194500"/>
    <w:rsid w:val="0019596E"/>
    <w:rsid w:val="001960D9"/>
    <w:rsid w:val="001A3158"/>
    <w:rsid w:val="001A321C"/>
    <w:rsid w:val="001A3231"/>
    <w:rsid w:val="001A602F"/>
    <w:rsid w:val="001A67F3"/>
    <w:rsid w:val="001B277C"/>
    <w:rsid w:val="001B479B"/>
    <w:rsid w:val="001B50B5"/>
    <w:rsid w:val="001B6591"/>
    <w:rsid w:val="001C0822"/>
    <w:rsid w:val="001C0D65"/>
    <w:rsid w:val="001C1177"/>
    <w:rsid w:val="001C19F9"/>
    <w:rsid w:val="001C1C2C"/>
    <w:rsid w:val="001C2224"/>
    <w:rsid w:val="001C2319"/>
    <w:rsid w:val="001C23B9"/>
    <w:rsid w:val="001C362E"/>
    <w:rsid w:val="001C3A0C"/>
    <w:rsid w:val="001C510D"/>
    <w:rsid w:val="001D01FF"/>
    <w:rsid w:val="001D2CF1"/>
    <w:rsid w:val="001D4674"/>
    <w:rsid w:val="001D63BD"/>
    <w:rsid w:val="001D6546"/>
    <w:rsid w:val="001D72BE"/>
    <w:rsid w:val="001E0AA4"/>
    <w:rsid w:val="001E369C"/>
    <w:rsid w:val="001E36E5"/>
    <w:rsid w:val="001E5F6F"/>
    <w:rsid w:val="001E6C02"/>
    <w:rsid w:val="001F06D2"/>
    <w:rsid w:val="001F0B12"/>
    <w:rsid w:val="001F2A44"/>
    <w:rsid w:val="001F3140"/>
    <w:rsid w:val="001F6398"/>
    <w:rsid w:val="001F6D23"/>
    <w:rsid w:val="001F6D36"/>
    <w:rsid w:val="001F6D54"/>
    <w:rsid w:val="00201C07"/>
    <w:rsid w:val="0020225B"/>
    <w:rsid w:val="002035A6"/>
    <w:rsid w:val="00204960"/>
    <w:rsid w:val="00207EDE"/>
    <w:rsid w:val="0021395D"/>
    <w:rsid w:val="00214956"/>
    <w:rsid w:val="00215695"/>
    <w:rsid w:val="0021695E"/>
    <w:rsid w:val="0022062F"/>
    <w:rsid w:val="002211D4"/>
    <w:rsid w:val="0022489E"/>
    <w:rsid w:val="00226CB3"/>
    <w:rsid w:val="002306D2"/>
    <w:rsid w:val="00231975"/>
    <w:rsid w:val="00232748"/>
    <w:rsid w:val="00232E18"/>
    <w:rsid w:val="00233A72"/>
    <w:rsid w:val="00234110"/>
    <w:rsid w:val="00237697"/>
    <w:rsid w:val="00237CB3"/>
    <w:rsid w:val="00237E34"/>
    <w:rsid w:val="0024047A"/>
    <w:rsid w:val="002409A5"/>
    <w:rsid w:val="0024265E"/>
    <w:rsid w:val="002435E6"/>
    <w:rsid w:val="00243A41"/>
    <w:rsid w:val="00243F4A"/>
    <w:rsid w:val="00244A55"/>
    <w:rsid w:val="002465CB"/>
    <w:rsid w:val="00246A3B"/>
    <w:rsid w:val="00247B81"/>
    <w:rsid w:val="00247C67"/>
    <w:rsid w:val="00250739"/>
    <w:rsid w:val="002510A1"/>
    <w:rsid w:val="002516E6"/>
    <w:rsid w:val="0025220A"/>
    <w:rsid w:val="002550B2"/>
    <w:rsid w:val="00260655"/>
    <w:rsid w:val="0026236B"/>
    <w:rsid w:val="00262AB1"/>
    <w:rsid w:val="00262DB9"/>
    <w:rsid w:val="00265DA1"/>
    <w:rsid w:val="00266852"/>
    <w:rsid w:val="00266F0C"/>
    <w:rsid w:val="00267A05"/>
    <w:rsid w:val="00270332"/>
    <w:rsid w:val="00271162"/>
    <w:rsid w:val="002735AC"/>
    <w:rsid w:val="00274240"/>
    <w:rsid w:val="002756CC"/>
    <w:rsid w:val="002766D9"/>
    <w:rsid w:val="00277231"/>
    <w:rsid w:val="00280CA0"/>
    <w:rsid w:val="00280FB4"/>
    <w:rsid w:val="002827C7"/>
    <w:rsid w:val="00282FA9"/>
    <w:rsid w:val="0028411F"/>
    <w:rsid w:val="002855DE"/>
    <w:rsid w:val="00285782"/>
    <w:rsid w:val="00285F97"/>
    <w:rsid w:val="0028688F"/>
    <w:rsid w:val="0028709A"/>
    <w:rsid w:val="00290E32"/>
    <w:rsid w:val="002911EB"/>
    <w:rsid w:val="002918B7"/>
    <w:rsid w:val="002927C0"/>
    <w:rsid w:val="00292CC3"/>
    <w:rsid w:val="00293B3E"/>
    <w:rsid w:val="002940ED"/>
    <w:rsid w:val="00297056"/>
    <w:rsid w:val="002A17A3"/>
    <w:rsid w:val="002A1881"/>
    <w:rsid w:val="002A34D7"/>
    <w:rsid w:val="002A5035"/>
    <w:rsid w:val="002A6562"/>
    <w:rsid w:val="002B1DB4"/>
    <w:rsid w:val="002B4123"/>
    <w:rsid w:val="002B4142"/>
    <w:rsid w:val="002B41FE"/>
    <w:rsid w:val="002B5BE6"/>
    <w:rsid w:val="002B6749"/>
    <w:rsid w:val="002C123E"/>
    <w:rsid w:val="002C4693"/>
    <w:rsid w:val="002C6647"/>
    <w:rsid w:val="002C69A2"/>
    <w:rsid w:val="002C6CFC"/>
    <w:rsid w:val="002D0554"/>
    <w:rsid w:val="002D0C44"/>
    <w:rsid w:val="002D0DC6"/>
    <w:rsid w:val="002D1526"/>
    <w:rsid w:val="002D2102"/>
    <w:rsid w:val="002E0B2B"/>
    <w:rsid w:val="002E3F50"/>
    <w:rsid w:val="002E441E"/>
    <w:rsid w:val="002E54F5"/>
    <w:rsid w:val="002E7390"/>
    <w:rsid w:val="002E7B1F"/>
    <w:rsid w:val="002F05D7"/>
    <w:rsid w:val="002F457C"/>
    <w:rsid w:val="002F4C0E"/>
    <w:rsid w:val="002F5BCB"/>
    <w:rsid w:val="002F5C2D"/>
    <w:rsid w:val="002F6EC8"/>
    <w:rsid w:val="002F7302"/>
    <w:rsid w:val="002F7C28"/>
    <w:rsid w:val="00300533"/>
    <w:rsid w:val="003024A3"/>
    <w:rsid w:val="003025DA"/>
    <w:rsid w:val="00302D5E"/>
    <w:rsid w:val="00306478"/>
    <w:rsid w:val="00307EAC"/>
    <w:rsid w:val="00310E88"/>
    <w:rsid w:val="0031257B"/>
    <w:rsid w:val="00313908"/>
    <w:rsid w:val="00313A6F"/>
    <w:rsid w:val="00313C6A"/>
    <w:rsid w:val="00314372"/>
    <w:rsid w:val="00314BBD"/>
    <w:rsid w:val="00314BE3"/>
    <w:rsid w:val="003201D7"/>
    <w:rsid w:val="003203B3"/>
    <w:rsid w:val="003211FB"/>
    <w:rsid w:val="0032206A"/>
    <w:rsid w:val="00322A5F"/>
    <w:rsid w:val="00326C58"/>
    <w:rsid w:val="00332423"/>
    <w:rsid w:val="00335FE6"/>
    <w:rsid w:val="003364C5"/>
    <w:rsid w:val="00340C2C"/>
    <w:rsid w:val="00342837"/>
    <w:rsid w:val="00343377"/>
    <w:rsid w:val="00343E19"/>
    <w:rsid w:val="00345D47"/>
    <w:rsid w:val="00346064"/>
    <w:rsid w:val="003464EB"/>
    <w:rsid w:val="00347892"/>
    <w:rsid w:val="00347E72"/>
    <w:rsid w:val="00350883"/>
    <w:rsid w:val="00351466"/>
    <w:rsid w:val="003532ED"/>
    <w:rsid w:val="003557E4"/>
    <w:rsid w:val="00360FE3"/>
    <w:rsid w:val="0036115F"/>
    <w:rsid w:val="003624D8"/>
    <w:rsid w:val="003627D0"/>
    <w:rsid w:val="003645CF"/>
    <w:rsid w:val="003669B7"/>
    <w:rsid w:val="003703EE"/>
    <w:rsid w:val="0037733B"/>
    <w:rsid w:val="003800B0"/>
    <w:rsid w:val="00380E94"/>
    <w:rsid w:val="00382BFE"/>
    <w:rsid w:val="00382DD0"/>
    <w:rsid w:val="003839FC"/>
    <w:rsid w:val="00385168"/>
    <w:rsid w:val="00392957"/>
    <w:rsid w:val="00392C26"/>
    <w:rsid w:val="00393B9F"/>
    <w:rsid w:val="00394572"/>
    <w:rsid w:val="00395A76"/>
    <w:rsid w:val="0039699C"/>
    <w:rsid w:val="003A2181"/>
    <w:rsid w:val="003A36EF"/>
    <w:rsid w:val="003A47F3"/>
    <w:rsid w:val="003A57B1"/>
    <w:rsid w:val="003A5FF3"/>
    <w:rsid w:val="003A63DE"/>
    <w:rsid w:val="003A723D"/>
    <w:rsid w:val="003B04F8"/>
    <w:rsid w:val="003B0C73"/>
    <w:rsid w:val="003B1287"/>
    <w:rsid w:val="003B12D5"/>
    <w:rsid w:val="003B3DB6"/>
    <w:rsid w:val="003B6B5A"/>
    <w:rsid w:val="003C1954"/>
    <w:rsid w:val="003C2007"/>
    <w:rsid w:val="003C26B3"/>
    <w:rsid w:val="003C26EB"/>
    <w:rsid w:val="003C2ACC"/>
    <w:rsid w:val="003C2BB5"/>
    <w:rsid w:val="003C6036"/>
    <w:rsid w:val="003C6953"/>
    <w:rsid w:val="003D045A"/>
    <w:rsid w:val="003D40C1"/>
    <w:rsid w:val="003D5D58"/>
    <w:rsid w:val="003D66E5"/>
    <w:rsid w:val="003D6D10"/>
    <w:rsid w:val="003D6D32"/>
    <w:rsid w:val="003E2195"/>
    <w:rsid w:val="003E3C3F"/>
    <w:rsid w:val="003E4C31"/>
    <w:rsid w:val="003E4C39"/>
    <w:rsid w:val="003E5707"/>
    <w:rsid w:val="003E681F"/>
    <w:rsid w:val="003E7FDE"/>
    <w:rsid w:val="003F197A"/>
    <w:rsid w:val="003F1D6D"/>
    <w:rsid w:val="003F4FDC"/>
    <w:rsid w:val="00400571"/>
    <w:rsid w:val="00400C71"/>
    <w:rsid w:val="00401C4B"/>
    <w:rsid w:val="00402B61"/>
    <w:rsid w:val="004039E1"/>
    <w:rsid w:val="00404F15"/>
    <w:rsid w:val="004073B2"/>
    <w:rsid w:val="004106A9"/>
    <w:rsid w:val="00410835"/>
    <w:rsid w:val="0041097D"/>
    <w:rsid w:val="00412A5A"/>
    <w:rsid w:val="00414C0C"/>
    <w:rsid w:val="00415CDE"/>
    <w:rsid w:val="00415EFF"/>
    <w:rsid w:val="0042023F"/>
    <w:rsid w:val="00427B29"/>
    <w:rsid w:val="00432C57"/>
    <w:rsid w:val="004330FC"/>
    <w:rsid w:val="0043449A"/>
    <w:rsid w:val="0043507A"/>
    <w:rsid w:val="004367D4"/>
    <w:rsid w:val="004367E2"/>
    <w:rsid w:val="00441E9C"/>
    <w:rsid w:val="00443DBB"/>
    <w:rsid w:val="0044502E"/>
    <w:rsid w:val="00445DC3"/>
    <w:rsid w:val="00453708"/>
    <w:rsid w:val="00453C6E"/>
    <w:rsid w:val="0045462A"/>
    <w:rsid w:val="0045465A"/>
    <w:rsid w:val="00455E85"/>
    <w:rsid w:val="0045702C"/>
    <w:rsid w:val="00464F9D"/>
    <w:rsid w:val="004656DF"/>
    <w:rsid w:val="00471A05"/>
    <w:rsid w:val="004732AF"/>
    <w:rsid w:val="00473C05"/>
    <w:rsid w:val="00475485"/>
    <w:rsid w:val="00477CB1"/>
    <w:rsid w:val="00480A86"/>
    <w:rsid w:val="00480AAB"/>
    <w:rsid w:val="00480ADF"/>
    <w:rsid w:val="00480B66"/>
    <w:rsid w:val="00482BF6"/>
    <w:rsid w:val="00482E18"/>
    <w:rsid w:val="00484BB9"/>
    <w:rsid w:val="00484E26"/>
    <w:rsid w:val="00487EEE"/>
    <w:rsid w:val="004901F1"/>
    <w:rsid w:val="004938EA"/>
    <w:rsid w:val="004944D4"/>
    <w:rsid w:val="00494506"/>
    <w:rsid w:val="0049496C"/>
    <w:rsid w:val="00495A2E"/>
    <w:rsid w:val="00497264"/>
    <w:rsid w:val="004A68F2"/>
    <w:rsid w:val="004A74C0"/>
    <w:rsid w:val="004B3758"/>
    <w:rsid w:val="004B40BA"/>
    <w:rsid w:val="004B591C"/>
    <w:rsid w:val="004B5F59"/>
    <w:rsid w:val="004B76D1"/>
    <w:rsid w:val="004C2697"/>
    <w:rsid w:val="004C3211"/>
    <w:rsid w:val="004C34C6"/>
    <w:rsid w:val="004C38FA"/>
    <w:rsid w:val="004C423D"/>
    <w:rsid w:val="004C4960"/>
    <w:rsid w:val="004C6157"/>
    <w:rsid w:val="004C6A03"/>
    <w:rsid w:val="004C6EF9"/>
    <w:rsid w:val="004D0D80"/>
    <w:rsid w:val="004D1B06"/>
    <w:rsid w:val="004D42EF"/>
    <w:rsid w:val="004D5E6D"/>
    <w:rsid w:val="004D663B"/>
    <w:rsid w:val="004E13C5"/>
    <w:rsid w:val="004E1498"/>
    <w:rsid w:val="004E2B1D"/>
    <w:rsid w:val="004E61FA"/>
    <w:rsid w:val="004E6778"/>
    <w:rsid w:val="004E6B95"/>
    <w:rsid w:val="004F27B2"/>
    <w:rsid w:val="004F2BAA"/>
    <w:rsid w:val="004F3F7E"/>
    <w:rsid w:val="004F41F7"/>
    <w:rsid w:val="004F45B2"/>
    <w:rsid w:val="004F469A"/>
    <w:rsid w:val="004F594A"/>
    <w:rsid w:val="0050010D"/>
    <w:rsid w:val="0050088A"/>
    <w:rsid w:val="00501176"/>
    <w:rsid w:val="0050419D"/>
    <w:rsid w:val="00504A95"/>
    <w:rsid w:val="00505C3E"/>
    <w:rsid w:val="00507FC6"/>
    <w:rsid w:val="00510296"/>
    <w:rsid w:val="00510743"/>
    <w:rsid w:val="00510D1A"/>
    <w:rsid w:val="005125A8"/>
    <w:rsid w:val="0051335D"/>
    <w:rsid w:val="00513952"/>
    <w:rsid w:val="00514F9B"/>
    <w:rsid w:val="00522EBC"/>
    <w:rsid w:val="00527C13"/>
    <w:rsid w:val="00530A2A"/>
    <w:rsid w:val="005323A8"/>
    <w:rsid w:val="00533B02"/>
    <w:rsid w:val="00534F6F"/>
    <w:rsid w:val="00536436"/>
    <w:rsid w:val="0054023D"/>
    <w:rsid w:val="00542435"/>
    <w:rsid w:val="00543809"/>
    <w:rsid w:val="00547A14"/>
    <w:rsid w:val="00551224"/>
    <w:rsid w:val="00556A18"/>
    <w:rsid w:val="00556E7C"/>
    <w:rsid w:val="005601FC"/>
    <w:rsid w:val="005608B6"/>
    <w:rsid w:val="005643CF"/>
    <w:rsid w:val="00565845"/>
    <w:rsid w:val="00571824"/>
    <w:rsid w:val="005720D7"/>
    <w:rsid w:val="005743C3"/>
    <w:rsid w:val="00574BCD"/>
    <w:rsid w:val="00575982"/>
    <w:rsid w:val="00576A5D"/>
    <w:rsid w:val="00577767"/>
    <w:rsid w:val="0058128A"/>
    <w:rsid w:val="00581FE1"/>
    <w:rsid w:val="00582C5C"/>
    <w:rsid w:val="00583377"/>
    <w:rsid w:val="00585FC7"/>
    <w:rsid w:val="0058692E"/>
    <w:rsid w:val="00587656"/>
    <w:rsid w:val="0058773F"/>
    <w:rsid w:val="005937B3"/>
    <w:rsid w:val="00593BBF"/>
    <w:rsid w:val="0059413A"/>
    <w:rsid w:val="005A0BDA"/>
    <w:rsid w:val="005A0DB0"/>
    <w:rsid w:val="005A185B"/>
    <w:rsid w:val="005A277D"/>
    <w:rsid w:val="005A2F95"/>
    <w:rsid w:val="005A656D"/>
    <w:rsid w:val="005A7359"/>
    <w:rsid w:val="005B10B3"/>
    <w:rsid w:val="005B7E51"/>
    <w:rsid w:val="005C0690"/>
    <w:rsid w:val="005C25A3"/>
    <w:rsid w:val="005C5C0C"/>
    <w:rsid w:val="005D3345"/>
    <w:rsid w:val="005E015A"/>
    <w:rsid w:val="005E0558"/>
    <w:rsid w:val="005E1F89"/>
    <w:rsid w:val="005E2486"/>
    <w:rsid w:val="005E24FC"/>
    <w:rsid w:val="005E330C"/>
    <w:rsid w:val="005E36B6"/>
    <w:rsid w:val="005E36F1"/>
    <w:rsid w:val="005E5567"/>
    <w:rsid w:val="005F0266"/>
    <w:rsid w:val="005F069C"/>
    <w:rsid w:val="005F1A19"/>
    <w:rsid w:val="005F1B3C"/>
    <w:rsid w:val="005F24D7"/>
    <w:rsid w:val="005F42D9"/>
    <w:rsid w:val="005F506E"/>
    <w:rsid w:val="005F5304"/>
    <w:rsid w:val="005F79BD"/>
    <w:rsid w:val="006012EF"/>
    <w:rsid w:val="00601AE2"/>
    <w:rsid w:val="00602262"/>
    <w:rsid w:val="00603E1A"/>
    <w:rsid w:val="00604661"/>
    <w:rsid w:val="00607878"/>
    <w:rsid w:val="00613538"/>
    <w:rsid w:val="006135EC"/>
    <w:rsid w:val="006144EE"/>
    <w:rsid w:val="00616572"/>
    <w:rsid w:val="00616745"/>
    <w:rsid w:val="00616B03"/>
    <w:rsid w:val="00616C21"/>
    <w:rsid w:val="00616D65"/>
    <w:rsid w:val="00617588"/>
    <w:rsid w:val="006179CE"/>
    <w:rsid w:val="00623AD3"/>
    <w:rsid w:val="00624B98"/>
    <w:rsid w:val="0062535F"/>
    <w:rsid w:val="00626113"/>
    <w:rsid w:val="0062647C"/>
    <w:rsid w:val="0062693B"/>
    <w:rsid w:val="00626EC9"/>
    <w:rsid w:val="0062729F"/>
    <w:rsid w:val="0063020D"/>
    <w:rsid w:val="006308A8"/>
    <w:rsid w:val="006321A9"/>
    <w:rsid w:val="0063288B"/>
    <w:rsid w:val="00633337"/>
    <w:rsid w:val="00633C49"/>
    <w:rsid w:val="006346FE"/>
    <w:rsid w:val="006348C5"/>
    <w:rsid w:val="00634C57"/>
    <w:rsid w:val="00636FFF"/>
    <w:rsid w:val="00637372"/>
    <w:rsid w:val="006374BC"/>
    <w:rsid w:val="006409F1"/>
    <w:rsid w:val="00643AF0"/>
    <w:rsid w:val="00643E94"/>
    <w:rsid w:val="006448D4"/>
    <w:rsid w:val="00644DE4"/>
    <w:rsid w:val="006455FA"/>
    <w:rsid w:val="00645AD7"/>
    <w:rsid w:val="00647395"/>
    <w:rsid w:val="00647869"/>
    <w:rsid w:val="00654610"/>
    <w:rsid w:val="00656159"/>
    <w:rsid w:val="0066200F"/>
    <w:rsid w:val="00662EE9"/>
    <w:rsid w:val="00663E14"/>
    <w:rsid w:val="00664877"/>
    <w:rsid w:val="006648B0"/>
    <w:rsid w:val="006703CC"/>
    <w:rsid w:val="006717CC"/>
    <w:rsid w:val="006757B1"/>
    <w:rsid w:val="00684D1F"/>
    <w:rsid w:val="0068583C"/>
    <w:rsid w:val="00687279"/>
    <w:rsid w:val="006913B6"/>
    <w:rsid w:val="00692913"/>
    <w:rsid w:val="00694826"/>
    <w:rsid w:val="00695DFA"/>
    <w:rsid w:val="00696694"/>
    <w:rsid w:val="00696EAE"/>
    <w:rsid w:val="00697558"/>
    <w:rsid w:val="006A028E"/>
    <w:rsid w:val="006A2CFC"/>
    <w:rsid w:val="006A4692"/>
    <w:rsid w:val="006A4725"/>
    <w:rsid w:val="006A65F5"/>
    <w:rsid w:val="006B0AA6"/>
    <w:rsid w:val="006B13D2"/>
    <w:rsid w:val="006B5483"/>
    <w:rsid w:val="006B63C9"/>
    <w:rsid w:val="006B6A1E"/>
    <w:rsid w:val="006C037E"/>
    <w:rsid w:val="006C2C4E"/>
    <w:rsid w:val="006C2DCD"/>
    <w:rsid w:val="006C3334"/>
    <w:rsid w:val="006C6AE5"/>
    <w:rsid w:val="006C7374"/>
    <w:rsid w:val="006D0162"/>
    <w:rsid w:val="006D0968"/>
    <w:rsid w:val="006D1120"/>
    <w:rsid w:val="006D1431"/>
    <w:rsid w:val="006D314E"/>
    <w:rsid w:val="006D35A2"/>
    <w:rsid w:val="006D39B6"/>
    <w:rsid w:val="006D5A8B"/>
    <w:rsid w:val="006D664A"/>
    <w:rsid w:val="006E5463"/>
    <w:rsid w:val="006E70C4"/>
    <w:rsid w:val="006E76CF"/>
    <w:rsid w:val="006F4CB4"/>
    <w:rsid w:val="006F603C"/>
    <w:rsid w:val="00700601"/>
    <w:rsid w:val="00701E21"/>
    <w:rsid w:val="00702735"/>
    <w:rsid w:val="00702B4C"/>
    <w:rsid w:val="00703051"/>
    <w:rsid w:val="00703477"/>
    <w:rsid w:val="00705A08"/>
    <w:rsid w:val="00706B14"/>
    <w:rsid w:val="007142A9"/>
    <w:rsid w:val="00720E16"/>
    <w:rsid w:val="00721552"/>
    <w:rsid w:val="0072357C"/>
    <w:rsid w:val="007242C5"/>
    <w:rsid w:val="00730CB9"/>
    <w:rsid w:val="00730D54"/>
    <w:rsid w:val="007313F3"/>
    <w:rsid w:val="00731CBA"/>
    <w:rsid w:val="00731E31"/>
    <w:rsid w:val="00734B85"/>
    <w:rsid w:val="00741C2B"/>
    <w:rsid w:val="00742A09"/>
    <w:rsid w:val="00744122"/>
    <w:rsid w:val="00744426"/>
    <w:rsid w:val="00754698"/>
    <w:rsid w:val="00755DBA"/>
    <w:rsid w:val="007568E1"/>
    <w:rsid w:val="00756F37"/>
    <w:rsid w:val="007626AB"/>
    <w:rsid w:val="0076434C"/>
    <w:rsid w:val="00764886"/>
    <w:rsid w:val="00767457"/>
    <w:rsid w:val="00767618"/>
    <w:rsid w:val="00767A53"/>
    <w:rsid w:val="0077085D"/>
    <w:rsid w:val="00770961"/>
    <w:rsid w:val="00771198"/>
    <w:rsid w:val="00773C60"/>
    <w:rsid w:val="00773E6C"/>
    <w:rsid w:val="0077426F"/>
    <w:rsid w:val="00775648"/>
    <w:rsid w:val="00776252"/>
    <w:rsid w:val="00777670"/>
    <w:rsid w:val="00777CAC"/>
    <w:rsid w:val="00777D66"/>
    <w:rsid w:val="00777D98"/>
    <w:rsid w:val="00780163"/>
    <w:rsid w:val="007809E4"/>
    <w:rsid w:val="00780AA7"/>
    <w:rsid w:val="0078464E"/>
    <w:rsid w:val="00791AD5"/>
    <w:rsid w:val="007932C5"/>
    <w:rsid w:val="007936E3"/>
    <w:rsid w:val="007A3D9D"/>
    <w:rsid w:val="007A4641"/>
    <w:rsid w:val="007A64D7"/>
    <w:rsid w:val="007A6943"/>
    <w:rsid w:val="007B1210"/>
    <w:rsid w:val="007B2871"/>
    <w:rsid w:val="007B4081"/>
    <w:rsid w:val="007B5428"/>
    <w:rsid w:val="007B7FBD"/>
    <w:rsid w:val="007C0C95"/>
    <w:rsid w:val="007C1021"/>
    <w:rsid w:val="007C141A"/>
    <w:rsid w:val="007C2399"/>
    <w:rsid w:val="007C2601"/>
    <w:rsid w:val="007C368D"/>
    <w:rsid w:val="007C3E1F"/>
    <w:rsid w:val="007C4891"/>
    <w:rsid w:val="007D1433"/>
    <w:rsid w:val="007D1DF0"/>
    <w:rsid w:val="007D2589"/>
    <w:rsid w:val="007D29E1"/>
    <w:rsid w:val="007D3AB3"/>
    <w:rsid w:val="007D595E"/>
    <w:rsid w:val="007D5F14"/>
    <w:rsid w:val="007D6971"/>
    <w:rsid w:val="007D7A91"/>
    <w:rsid w:val="007D7B76"/>
    <w:rsid w:val="007E0410"/>
    <w:rsid w:val="007E327A"/>
    <w:rsid w:val="007E34C8"/>
    <w:rsid w:val="007E441E"/>
    <w:rsid w:val="007E47D1"/>
    <w:rsid w:val="007E533C"/>
    <w:rsid w:val="007F0B08"/>
    <w:rsid w:val="007F3B53"/>
    <w:rsid w:val="007F4B0B"/>
    <w:rsid w:val="007F4BF6"/>
    <w:rsid w:val="007F50BD"/>
    <w:rsid w:val="007F54A0"/>
    <w:rsid w:val="007F6EF7"/>
    <w:rsid w:val="0080051F"/>
    <w:rsid w:val="00800EF0"/>
    <w:rsid w:val="008035EE"/>
    <w:rsid w:val="00804E5B"/>
    <w:rsid w:val="00806515"/>
    <w:rsid w:val="00807824"/>
    <w:rsid w:val="00807ACE"/>
    <w:rsid w:val="00811F78"/>
    <w:rsid w:val="0081257D"/>
    <w:rsid w:val="00812724"/>
    <w:rsid w:val="008131E3"/>
    <w:rsid w:val="008149FE"/>
    <w:rsid w:val="008178C3"/>
    <w:rsid w:val="00817A76"/>
    <w:rsid w:val="00824803"/>
    <w:rsid w:val="0082636C"/>
    <w:rsid w:val="00831A15"/>
    <w:rsid w:val="00833784"/>
    <w:rsid w:val="0083444E"/>
    <w:rsid w:val="0083570F"/>
    <w:rsid w:val="0083600D"/>
    <w:rsid w:val="00837E7E"/>
    <w:rsid w:val="00840AB1"/>
    <w:rsid w:val="0084403C"/>
    <w:rsid w:val="0084767E"/>
    <w:rsid w:val="0085170D"/>
    <w:rsid w:val="008521A8"/>
    <w:rsid w:val="00852E5C"/>
    <w:rsid w:val="0085780B"/>
    <w:rsid w:val="00860862"/>
    <w:rsid w:val="0086574E"/>
    <w:rsid w:val="00866026"/>
    <w:rsid w:val="00866A2A"/>
    <w:rsid w:val="00866C75"/>
    <w:rsid w:val="00871875"/>
    <w:rsid w:val="00872C7C"/>
    <w:rsid w:val="00873203"/>
    <w:rsid w:val="008746E4"/>
    <w:rsid w:val="00877DE3"/>
    <w:rsid w:val="008802F2"/>
    <w:rsid w:val="00881FE4"/>
    <w:rsid w:val="00882E7E"/>
    <w:rsid w:val="00883A24"/>
    <w:rsid w:val="00886096"/>
    <w:rsid w:val="0088696B"/>
    <w:rsid w:val="00886AA6"/>
    <w:rsid w:val="00890941"/>
    <w:rsid w:val="00890CA9"/>
    <w:rsid w:val="00891E8C"/>
    <w:rsid w:val="00892570"/>
    <w:rsid w:val="008935F4"/>
    <w:rsid w:val="008948B7"/>
    <w:rsid w:val="0089542B"/>
    <w:rsid w:val="008967F2"/>
    <w:rsid w:val="008A2022"/>
    <w:rsid w:val="008A283B"/>
    <w:rsid w:val="008A3BAC"/>
    <w:rsid w:val="008A4173"/>
    <w:rsid w:val="008A5483"/>
    <w:rsid w:val="008A672E"/>
    <w:rsid w:val="008A6E57"/>
    <w:rsid w:val="008A72A7"/>
    <w:rsid w:val="008A754F"/>
    <w:rsid w:val="008A7F6D"/>
    <w:rsid w:val="008B2B34"/>
    <w:rsid w:val="008B53E3"/>
    <w:rsid w:val="008B5A3A"/>
    <w:rsid w:val="008B692C"/>
    <w:rsid w:val="008B7499"/>
    <w:rsid w:val="008B7CAC"/>
    <w:rsid w:val="008B7FB6"/>
    <w:rsid w:val="008C0EEC"/>
    <w:rsid w:val="008C0EEE"/>
    <w:rsid w:val="008C456D"/>
    <w:rsid w:val="008C4A73"/>
    <w:rsid w:val="008C7422"/>
    <w:rsid w:val="008D09C4"/>
    <w:rsid w:val="008D1512"/>
    <w:rsid w:val="008D1611"/>
    <w:rsid w:val="008D2AB7"/>
    <w:rsid w:val="008D3BB6"/>
    <w:rsid w:val="008D3BC7"/>
    <w:rsid w:val="008D4E41"/>
    <w:rsid w:val="008D5FB6"/>
    <w:rsid w:val="008D727B"/>
    <w:rsid w:val="008E1C3C"/>
    <w:rsid w:val="008E271F"/>
    <w:rsid w:val="008E2AE9"/>
    <w:rsid w:val="008E5E98"/>
    <w:rsid w:val="008E5F6D"/>
    <w:rsid w:val="008F01B8"/>
    <w:rsid w:val="008F1070"/>
    <w:rsid w:val="008F2CF9"/>
    <w:rsid w:val="008F3012"/>
    <w:rsid w:val="008F7B1E"/>
    <w:rsid w:val="0090692E"/>
    <w:rsid w:val="00906BAC"/>
    <w:rsid w:val="009071FF"/>
    <w:rsid w:val="00911821"/>
    <w:rsid w:val="009144A5"/>
    <w:rsid w:val="0091524C"/>
    <w:rsid w:val="009154B2"/>
    <w:rsid w:val="00915A9F"/>
    <w:rsid w:val="009164CD"/>
    <w:rsid w:val="00916629"/>
    <w:rsid w:val="00916C6F"/>
    <w:rsid w:val="00917020"/>
    <w:rsid w:val="0092042C"/>
    <w:rsid w:val="009244F5"/>
    <w:rsid w:val="00926D41"/>
    <w:rsid w:val="009277AB"/>
    <w:rsid w:val="00930613"/>
    <w:rsid w:val="00930B7F"/>
    <w:rsid w:val="009311A7"/>
    <w:rsid w:val="009320A9"/>
    <w:rsid w:val="009321C7"/>
    <w:rsid w:val="009338E8"/>
    <w:rsid w:val="00933AD7"/>
    <w:rsid w:val="00934A7C"/>
    <w:rsid w:val="00935E24"/>
    <w:rsid w:val="00936D3C"/>
    <w:rsid w:val="00940A2B"/>
    <w:rsid w:val="009414B9"/>
    <w:rsid w:val="009510C9"/>
    <w:rsid w:val="009531C6"/>
    <w:rsid w:val="009552E6"/>
    <w:rsid w:val="00960685"/>
    <w:rsid w:val="0096123B"/>
    <w:rsid w:val="00962501"/>
    <w:rsid w:val="00966D03"/>
    <w:rsid w:val="00966E25"/>
    <w:rsid w:val="00966E70"/>
    <w:rsid w:val="009678A1"/>
    <w:rsid w:val="0097262B"/>
    <w:rsid w:val="00972F63"/>
    <w:rsid w:val="009731C0"/>
    <w:rsid w:val="009738DD"/>
    <w:rsid w:val="0097652B"/>
    <w:rsid w:val="0097668A"/>
    <w:rsid w:val="00976B33"/>
    <w:rsid w:val="009779EB"/>
    <w:rsid w:val="00977EC3"/>
    <w:rsid w:val="00981EF2"/>
    <w:rsid w:val="00982D2F"/>
    <w:rsid w:val="0098343D"/>
    <w:rsid w:val="00983922"/>
    <w:rsid w:val="0098739B"/>
    <w:rsid w:val="00990A2C"/>
    <w:rsid w:val="009919A2"/>
    <w:rsid w:val="0099206F"/>
    <w:rsid w:val="009931E2"/>
    <w:rsid w:val="00996110"/>
    <w:rsid w:val="009A5B1B"/>
    <w:rsid w:val="009A6262"/>
    <w:rsid w:val="009A6266"/>
    <w:rsid w:val="009A70AC"/>
    <w:rsid w:val="009A77F2"/>
    <w:rsid w:val="009B2E5D"/>
    <w:rsid w:val="009B3564"/>
    <w:rsid w:val="009C2674"/>
    <w:rsid w:val="009C48A2"/>
    <w:rsid w:val="009C4F04"/>
    <w:rsid w:val="009C69B0"/>
    <w:rsid w:val="009C7835"/>
    <w:rsid w:val="009D20A9"/>
    <w:rsid w:val="009D2132"/>
    <w:rsid w:val="009D4042"/>
    <w:rsid w:val="009E03AC"/>
    <w:rsid w:val="009E3A25"/>
    <w:rsid w:val="009E5046"/>
    <w:rsid w:val="009E5103"/>
    <w:rsid w:val="009E59F5"/>
    <w:rsid w:val="009E6B9F"/>
    <w:rsid w:val="009F0223"/>
    <w:rsid w:val="009F2457"/>
    <w:rsid w:val="009F4C65"/>
    <w:rsid w:val="00A008D1"/>
    <w:rsid w:val="00A0133B"/>
    <w:rsid w:val="00A03775"/>
    <w:rsid w:val="00A070F0"/>
    <w:rsid w:val="00A10224"/>
    <w:rsid w:val="00A1134A"/>
    <w:rsid w:val="00A1338B"/>
    <w:rsid w:val="00A15DDD"/>
    <w:rsid w:val="00A160C0"/>
    <w:rsid w:val="00A20079"/>
    <w:rsid w:val="00A20871"/>
    <w:rsid w:val="00A21AEC"/>
    <w:rsid w:val="00A21EE8"/>
    <w:rsid w:val="00A239B4"/>
    <w:rsid w:val="00A26752"/>
    <w:rsid w:val="00A268C6"/>
    <w:rsid w:val="00A310DF"/>
    <w:rsid w:val="00A32E0A"/>
    <w:rsid w:val="00A332F3"/>
    <w:rsid w:val="00A33598"/>
    <w:rsid w:val="00A339F4"/>
    <w:rsid w:val="00A36767"/>
    <w:rsid w:val="00A36AC1"/>
    <w:rsid w:val="00A36F7B"/>
    <w:rsid w:val="00A375D4"/>
    <w:rsid w:val="00A427F6"/>
    <w:rsid w:val="00A46EE2"/>
    <w:rsid w:val="00A47501"/>
    <w:rsid w:val="00A500BE"/>
    <w:rsid w:val="00A501E1"/>
    <w:rsid w:val="00A51612"/>
    <w:rsid w:val="00A54B72"/>
    <w:rsid w:val="00A54F2A"/>
    <w:rsid w:val="00A57589"/>
    <w:rsid w:val="00A57EC7"/>
    <w:rsid w:val="00A6286E"/>
    <w:rsid w:val="00A64529"/>
    <w:rsid w:val="00A6460F"/>
    <w:rsid w:val="00A64E77"/>
    <w:rsid w:val="00A66003"/>
    <w:rsid w:val="00A672BC"/>
    <w:rsid w:val="00A71FF2"/>
    <w:rsid w:val="00A746F2"/>
    <w:rsid w:val="00A77C35"/>
    <w:rsid w:val="00A80C75"/>
    <w:rsid w:val="00A8288F"/>
    <w:rsid w:val="00A82BBA"/>
    <w:rsid w:val="00A830FE"/>
    <w:rsid w:val="00A86656"/>
    <w:rsid w:val="00A876A1"/>
    <w:rsid w:val="00A95A8B"/>
    <w:rsid w:val="00A95C17"/>
    <w:rsid w:val="00A97AF0"/>
    <w:rsid w:val="00AA0918"/>
    <w:rsid w:val="00AA1103"/>
    <w:rsid w:val="00AA1A23"/>
    <w:rsid w:val="00AA2897"/>
    <w:rsid w:val="00AA4BD0"/>
    <w:rsid w:val="00AA5C67"/>
    <w:rsid w:val="00AA7F34"/>
    <w:rsid w:val="00AB3B47"/>
    <w:rsid w:val="00AB4285"/>
    <w:rsid w:val="00AB488E"/>
    <w:rsid w:val="00AB550D"/>
    <w:rsid w:val="00AB6C4E"/>
    <w:rsid w:val="00AB7060"/>
    <w:rsid w:val="00AB790A"/>
    <w:rsid w:val="00AC3C4B"/>
    <w:rsid w:val="00AC40C2"/>
    <w:rsid w:val="00AC4749"/>
    <w:rsid w:val="00AC6DC1"/>
    <w:rsid w:val="00AD5DBD"/>
    <w:rsid w:val="00AD5F8D"/>
    <w:rsid w:val="00AD673B"/>
    <w:rsid w:val="00AE1AB3"/>
    <w:rsid w:val="00AE2710"/>
    <w:rsid w:val="00AE5975"/>
    <w:rsid w:val="00AE5D58"/>
    <w:rsid w:val="00AF10E5"/>
    <w:rsid w:val="00AF7046"/>
    <w:rsid w:val="00B01536"/>
    <w:rsid w:val="00B02A84"/>
    <w:rsid w:val="00B057AF"/>
    <w:rsid w:val="00B0580C"/>
    <w:rsid w:val="00B07A28"/>
    <w:rsid w:val="00B12368"/>
    <w:rsid w:val="00B13807"/>
    <w:rsid w:val="00B166DD"/>
    <w:rsid w:val="00B176BA"/>
    <w:rsid w:val="00B20EFC"/>
    <w:rsid w:val="00B23B31"/>
    <w:rsid w:val="00B2588C"/>
    <w:rsid w:val="00B30080"/>
    <w:rsid w:val="00B306BB"/>
    <w:rsid w:val="00B31E3C"/>
    <w:rsid w:val="00B350F6"/>
    <w:rsid w:val="00B372E2"/>
    <w:rsid w:val="00B40D0B"/>
    <w:rsid w:val="00B42343"/>
    <w:rsid w:val="00B4327C"/>
    <w:rsid w:val="00B45067"/>
    <w:rsid w:val="00B459B8"/>
    <w:rsid w:val="00B468CB"/>
    <w:rsid w:val="00B51DEA"/>
    <w:rsid w:val="00B53300"/>
    <w:rsid w:val="00B54575"/>
    <w:rsid w:val="00B5594D"/>
    <w:rsid w:val="00B56E16"/>
    <w:rsid w:val="00B60089"/>
    <w:rsid w:val="00B60503"/>
    <w:rsid w:val="00B621EE"/>
    <w:rsid w:val="00B63198"/>
    <w:rsid w:val="00B65AA9"/>
    <w:rsid w:val="00B662C3"/>
    <w:rsid w:val="00B704A6"/>
    <w:rsid w:val="00B70911"/>
    <w:rsid w:val="00B711BA"/>
    <w:rsid w:val="00B72AA3"/>
    <w:rsid w:val="00B73B5E"/>
    <w:rsid w:val="00B75ABD"/>
    <w:rsid w:val="00B8066C"/>
    <w:rsid w:val="00B85971"/>
    <w:rsid w:val="00B85A15"/>
    <w:rsid w:val="00B8667B"/>
    <w:rsid w:val="00B90028"/>
    <w:rsid w:val="00B92161"/>
    <w:rsid w:val="00B93C00"/>
    <w:rsid w:val="00B93FE8"/>
    <w:rsid w:val="00B9532F"/>
    <w:rsid w:val="00B96D48"/>
    <w:rsid w:val="00B97502"/>
    <w:rsid w:val="00B977E1"/>
    <w:rsid w:val="00B97D2D"/>
    <w:rsid w:val="00BA2190"/>
    <w:rsid w:val="00BA31DA"/>
    <w:rsid w:val="00BA47F3"/>
    <w:rsid w:val="00BA5245"/>
    <w:rsid w:val="00BA5977"/>
    <w:rsid w:val="00BA6E0B"/>
    <w:rsid w:val="00BA7A50"/>
    <w:rsid w:val="00BB2F44"/>
    <w:rsid w:val="00BB45E1"/>
    <w:rsid w:val="00BB65CA"/>
    <w:rsid w:val="00BB68E9"/>
    <w:rsid w:val="00BC12E6"/>
    <w:rsid w:val="00BC1B41"/>
    <w:rsid w:val="00BC3F77"/>
    <w:rsid w:val="00BC514D"/>
    <w:rsid w:val="00BC6CFF"/>
    <w:rsid w:val="00BC708F"/>
    <w:rsid w:val="00BD156D"/>
    <w:rsid w:val="00BE4448"/>
    <w:rsid w:val="00BE5977"/>
    <w:rsid w:val="00BE63F3"/>
    <w:rsid w:val="00BE645C"/>
    <w:rsid w:val="00BF068B"/>
    <w:rsid w:val="00BF06B1"/>
    <w:rsid w:val="00BF5BBC"/>
    <w:rsid w:val="00BF7C45"/>
    <w:rsid w:val="00C00E96"/>
    <w:rsid w:val="00C010B7"/>
    <w:rsid w:val="00C023A8"/>
    <w:rsid w:val="00C03BF7"/>
    <w:rsid w:val="00C044EE"/>
    <w:rsid w:val="00C05816"/>
    <w:rsid w:val="00C11599"/>
    <w:rsid w:val="00C12E30"/>
    <w:rsid w:val="00C160B4"/>
    <w:rsid w:val="00C17172"/>
    <w:rsid w:val="00C17C42"/>
    <w:rsid w:val="00C20BC7"/>
    <w:rsid w:val="00C21FD5"/>
    <w:rsid w:val="00C23373"/>
    <w:rsid w:val="00C24932"/>
    <w:rsid w:val="00C2564C"/>
    <w:rsid w:val="00C25EA3"/>
    <w:rsid w:val="00C267B7"/>
    <w:rsid w:val="00C30D5F"/>
    <w:rsid w:val="00C311FE"/>
    <w:rsid w:val="00C3120D"/>
    <w:rsid w:val="00C31388"/>
    <w:rsid w:val="00C35861"/>
    <w:rsid w:val="00C35E1B"/>
    <w:rsid w:val="00C36C74"/>
    <w:rsid w:val="00C3709D"/>
    <w:rsid w:val="00C3776D"/>
    <w:rsid w:val="00C40E89"/>
    <w:rsid w:val="00C41297"/>
    <w:rsid w:val="00C42209"/>
    <w:rsid w:val="00C46552"/>
    <w:rsid w:val="00C468F2"/>
    <w:rsid w:val="00C47243"/>
    <w:rsid w:val="00C5319A"/>
    <w:rsid w:val="00C535D7"/>
    <w:rsid w:val="00C57C45"/>
    <w:rsid w:val="00C625C8"/>
    <w:rsid w:val="00C63ED5"/>
    <w:rsid w:val="00C64DAE"/>
    <w:rsid w:val="00C651C2"/>
    <w:rsid w:val="00C6571B"/>
    <w:rsid w:val="00C65875"/>
    <w:rsid w:val="00C7039F"/>
    <w:rsid w:val="00C71306"/>
    <w:rsid w:val="00C766DF"/>
    <w:rsid w:val="00C80AB2"/>
    <w:rsid w:val="00C85884"/>
    <w:rsid w:val="00C9193F"/>
    <w:rsid w:val="00C92DA9"/>
    <w:rsid w:val="00C95DDC"/>
    <w:rsid w:val="00C96BB1"/>
    <w:rsid w:val="00C973F1"/>
    <w:rsid w:val="00CA1090"/>
    <w:rsid w:val="00CA39B9"/>
    <w:rsid w:val="00CB10CB"/>
    <w:rsid w:val="00CB1512"/>
    <w:rsid w:val="00CB5206"/>
    <w:rsid w:val="00CB5A37"/>
    <w:rsid w:val="00CB6215"/>
    <w:rsid w:val="00CB77BE"/>
    <w:rsid w:val="00CB7E0C"/>
    <w:rsid w:val="00CC0525"/>
    <w:rsid w:val="00CC5C91"/>
    <w:rsid w:val="00CC65A8"/>
    <w:rsid w:val="00CC7F14"/>
    <w:rsid w:val="00CD0203"/>
    <w:rsid w:val="00CD1BF5"/>
    <w:rsid w:val="00CD3634"/>
    <w:rsid w:val="00CD3D4F"/>
    <w:rsid w:val="00CD533A"/>
    <w:rsid w:val="00CD5365"/>
    <w:rsid w:val="00CD63C7"/>
    <w:rsid w:val="00CD64BE"/>
    <w:rsid w:val="00CD6DFA"/>
    <w:rsid w:val="00CD7561"/>
    <w:rsid w:val="00CE02F3"/>
    <w:rsid w:val="00CE09F8"/>
    <w:rsid w:val="00CE0A3A"/>
    <w:rsid w:val="00CE1AF8"/>
    <w:rsid w:val="00CE4865"/>
    <w:rsid w:val="00CF0B1F"/>
    <w:rsid w:val="00CF0DF0"/>
    <w:rsid w:val="00CF0E70"/>
    <w:rsid w:val="00CF1092"/>
    <w:rsid w:val="00CF47AF"/>
    <w:rsid w:val="00CF5036"/>
    <w:rsid w:val="00CF5EF0"/>
    <w:rsid w:val="00CF6387"/>
    <w:rsid w:val="00D00FB3"/>
    <w:rsid w:val="00D01DA8"/>
    <w:rsid w:val="00D02C98"/>
    <w:rsid w:val="00D032A5"/>
    <w:rsid w:val="00D059F0"/>
    <w:rsid w:val="00D067BB"/>
    <w:rsid w:val="00D068BE"/>
    <w:rsid w:val="00D13307"/>
    <w:rsid w:val="00D13DDD"/>
    <w:rsid w:val="00D1534A"/>
    <w:rsid w:val="00D16410"/>
    <w:rsid w:val="00D16994"/>
    <w:rsid w:val="00D20CF8"/>
    <w:rsid w:val="00D21128"/>
    <w:rsid w:val="00D219EB"/>
    <w:rsid w:val="00D21E65"/>
    <w:rsid w:val="00D23A46"/>
    <w:rsid w:val="00D26082"/>
    <w:rsid w:val="00D268E6"/>
    <w:rsid w:val="00D3031D"/>
    <w:rsid w:val="00D328AE"/>
    <w:rsid w:val="00D34517"/>
    <w:rsid w:val="00D35740"/>
    <w:rsid w:val="00D360F3"/>
    <w:rsid w:val="00D40154"/>
    <w:rsid w:val="00D41E4B"/>
    <w:rsid w:val="00D42BD7"/>
    <w:rsid w:val="00D431D0"/>
    <w:rsid w:val="00D43F5A"/>
    <w:rsid w:val="00D43F94"/>
    <w:rsid w:val="00D44AD1"/>
    <w:rsid w:val="00D44CAB"/>
    <w:rsid w:val="00D44F1F"/>
    <w:rsid w:val="00D4529A"/>
    <w:rsid w:val="00D46915"/>
    <w:rsid w:val="00D546B2"/>
    <w:rsid w:val="00D54D59"/>
    <w:rsid w:val="00D5631D"/>
    <w:rsid w:val="00D56A96"/>
    <w:rsid w:val="00D5722E"/>
    <w:rsid w:val="00D61363"/>
    <w:rsid w:val="00D615CA"/>
    <w:rsid w:val="00D619A0"/>
    <w:rsid w:val="00D61A26"/>
    <w:rsid w:val="00D61E51"/>
    <w:rsid w:val="00D6206A"/>
    <w:rsid w:val="00D63D32"/>
    <w:rsid w:val="00D642B8"/>
    <w:rsid w:val="00D64508"/>
    <w:rsid w:val="00D701B3"/>
    <w:rsid w:val="00D70AB8"/>
    <w:rsid w:val="00D71121"/>
    <w:rsid w:val="00D71228"/>
    <w:rsid w:val="00D74437"/>
    <w:rsid w:val="00D74966"/>
    <w:rsid w:val="00D766C5"/>
    <w:rsid w:val="00D7690B"/>
    <w:rsid w:val="00D812D5"/>
    <w:rsid w:val="00D8330E"/>
    <w:rsid w:val="00D86339"/>
    <w:rsid w:val="00D86F19"/>
    <w:rsid w:val="00D872FE"/>
    <w:rsid w:val="00D922EA"/>
    <w:rsid w:val="00D94306"/>
    <w:rsid w:val="00D95CAB"/>
    <w:rsid w:val="00D96458"/>
    <w:rsid w:val="00D9761B"/>
    <w:rsid w:val="00DA1010"/>
    <w:rsid w:val="00DA17DB"/>
    <w:rsid w:val="00DA1913"/>
    <w:rsid w:val="00DA5746"/>
    <w:rsid w:val="00DA5D43"/>
    <w:rsid w:val="00DA726D"/>
    <w:rsid w:val="00DB0F59"/>
    <w:rsid w:val="00DB17AD"/>
    <w:rsid w:val="00DB18C2"/>
    <w:rsid w:val="00DB1E95"/>
    <w:rsid w:val="00DB2805"/>
    <w:rsid w:val="00DB3310"/>
    <w:rsid w:val="00DB338A"/>
    <w:rsid w:val="00DB59B2"/>
    <w:rsid w:val="00DB68CB"/>
    <w:rsid w:val="00DC257A"/>
    <w:rsid w:val="00DC2D15"/>
    <w:rsid w:val="00DD0E1A"/>
    <w:rsid w:val="00DD1051"/>
    <w:rsid w:val="00DD440F"/>
    <w:rsid w:val="00DD512B"/>
    <w:rsid w:val="00DD567A"/>
    <w:rsid w:val="00DE151E"/>
    <w:rsid w:val="00DE3A4C"/>
    <w:rsid w:val="00DE7092"/>
    <w:rsid w:val="00DE7F52"/>
    <w:rsid w:val="00DF003D"/>
    <w:rsid w:val="00DF2FD2"/>
    <w:rsid w:val="00DF4A68"/>
    <w:rsid w:val="00DF5499"/>
    <w:rsid w:val="00DF6724"/>
    <w:rsid w:val="00DF676F"/>
    <w:rsid w:val="00DF7F91"/>
    <w:rsid w:val="00E00887"/>
    <w:rsid w:val="00E0100D"/>
    <w:rsid w:val="00E02D85"/>
    <w:rsid w:val="00E03682"/>
    <w:rsid w:val="00E0410C"/>
    <w:rsid w:val="00E050C1"/>
    <w:rsid w:val="00E10990"/>
    <w:rsid w:val="00E11E9B"/>
    <w:rsid w:val="00E13690"/>
    <w:rsid w:val="00E15DA1"/>
    <w:rsid w:val="00E1794F"/>
    <w:rsid w:val="00E20E63"/>
    <w:rsid w:val="00E20EBE"/>
    <w:rsid w:val="00E211ED"/>
    <w:rsid w:val="00E22912"/>
    <w:rsid w:val="00E263D4"/>
    <w:rsid w:val="00E26888"/>
    <w:rsid w:val="00E26D7A"/>
    <w:rsid w:val="00E3223C"/>
    <w:rsid w:val="00E3498D"/>
    <w:rsid w:val="00E351F7"/>
    <w:rsid w:val="00E35E83"/>
    <w:rsid w:val="00E37216"/>
    <w:rsid w:val="00E378FB"/>
    <w:rsid w:val="00E4727B"/>
    <w:rsid w:val="00E47A81"/>
    <w:rsid w:val="00E51287"/>
    <w:rsid w:val="00E52497"/>
    <w:rsid w:val="00E53A3B"/>
    <w:rsid w:val="00E53BD4"/>
    <w:rsid w:val="00E556C7"/>
    <w:rsid w:val="00E560F7"/>
    <w:rsid w:val="00E61588"/>
    <w:rsid w:val="00E62256"/>
    <w:rsid w:val="00E6257E"/>
    <w:rsid w:val="00E65000"/>
    <w:rsid w:val="00E65635"/>
    <w:rsid w:val="00E658A5"/>
    <w:rsid w:val="00E67C14"/>
    <w:rsid w:val="00E70CB6"/>
    <w:rsid w:val="00E71302"/>
    <w:rsid w:val="00E72153"/>
    <w:rsid w:val="00E72205"/>
    <w:rsid w:val="00E72B3F"/>
    <w:rsid w:val="00E72D71"/>
    <w:rsid w:val="00E737AF"/>
    <w:rsid w:val="00E753AE"/>
    <w:rsid w:val="00E75983"/>
    <w:rsid w:val="00E762C6"/>
    <w:rsid w:val="00E765DA"/>
    <w:rsid w:val="00E8043F"/>
    <w:rsid w:val="00E8087E"/>
    <w:rsid w:val="00E82F27"/>
    <w:rsid w:val="00E8375E"/>
    <w:rsid w:val="00E84D23"/>
    <w:rsid w:val="00E86937"/>
    <w:rsid w:val="00E87196"/>
    <w:rsid w:val="00E90569"/>
    <w:rsid w:val="00EA26C5"/>
    <w:rsid w:val="00EA292A"/>
    <w:rsid w:val="00EA4763"/>
    <w:rsid w:val="00EA6200"/>
    <w:rsid w:val="00EA7486"/>
    <w:rsid w:val="00EB3B8C"/>
    <w:rsid w:val="00EB41D2"/>
    <w:rsid w:val="00EB458F"/>
    <w:rsid w:val="00EB46B8"/>
    <w:rsid w:val="00EB5852"/>
    <w:rsid w:val="00EB5AA0"/>
    <w:rsid w:val="00EC1111"/>
    <w:rsid w:val="00EC4DE0"/>
    <w:rsid w:val="00ED0C8B"/>
    <w:rsid w:val="00ED5364"/>
    <w:rsid w:val="00ED6034"/>
    <w:rsid w:val="00ED7E92"/>
    <w:rsid w:val="00EE110C"/>
    <w:rsid w:val="00EE11F5"/>
    <w:rsid w:val="00EE3316"/>
    <w:rsid w:val="00EE4CC8"/>
    <w:rsid w:val="00EE5D25"/>
    <w:rsid w:val="00EE755D"/>
    <w:rsid w:val="00EF0042"/>
    <w:rsid w:val="00EF0A6E"/>
    <w:rsid w:val="00EF17D6"/>
    <w:rsid w:val="00EF440F"/>
    <w:rsid w:val="00EF5060"/>
    <w:rsid w:val="00EF58BE"/>
    <w:rsid w:val="00EF635F"/>
    <w:rsid w:val="00EF65FD"/>
    <w:rsid w:val="00EF68FF"/>
    <w:rsid w:val="00EF6F17"/>
    <w:rsid w:val="00F0000D"/>
    <w:rsid w:val="00F016F7"/>
    <w:rsid w:val="00F0500A"/>
    <w:rsid w:val="00F05A1E"/>
    <w:rsid w:val="00F06C6C"/>
    <w:rsid w:val="00F10026"/>
    <w:rsid w:val="00F10ED3"/>
    <w:rsid w:val="00F13215"/>
    <w:rsid w:val="00F14EA5"/>
    <w:rsid w:val="00F1753A"/>
    <w:rsid w:val="00F2047C"/>
    <w:rsid w:val="00F2519A"/>
    <w:rsid w:val="00F25E4F"/>
    <w:rsid w:val="00F2672C"/>
    <w:rsid w:val="00F27D61"/>
    <w:rsid w:val="00F31A96"/>
    <w:rsid w:val="00F32FA7"/>
    <w:rsid w:val="00F34C74"/>
    <w:rsid w:val="00F35E45"/>
    <w:rsid w:val="00F35E78"/>
    <w:rsid w:val="00F364B1"/>
    <w:rsid w:val="00F414ED"/>
    <w:rsid w:val="00F4187D"/>
    <w:rsid w:val="00F4228F"/>
    <w:rsid w:val="00F431A6"/>
    <w:rsid w:val="00F43D06"/>
    <w:rsid w:val="00F46A0A"/>
    <w:rsid w:val="00F50C00"/>
    <w:rsid w:val="00F511D1"/>
    <w:rsid w:val="00F53E89"/>
    <w:rsid w:val="00F55D8D"/>
    <w:rsid w:val="00F560F0"/>
    <w:rsid w:val="00F60882"/>
    <w:rsid w:val="00F62B1D"/>
    <w:rsid w:val="00F6449B"/>
    <w:rsid w:val="00F675D9"/>
    <w:rsid w:val="00F67B5B"/>
    <w:rsid w:val="00F72DF3"/>
    <w:rsid w:val="00F73FA0"/>
    <w:rsid w:val="00F7514F"/>
    <w:rsid w:val="00F7534F"/>
    <w:rsid w:val="00F80CE3"/>
    <w:rsid w:val="00F81CD2"/>
    <w:rsid w:val="00F82293"/>
    <w:rsid w:val="00F85203"/>
    <w:rsid w:val="00F906A6"/>
    <w:rsid w:val="00F90A20"/>
    <w:rsid w:val="00F90CE9"/>
    <w:rsid w:val="00F91A9A"/>
    <w:rsid w:val="00F92E0A"/>
    <w:rsid w:val="00F95318"/>
    <w:rsid w:val="00FA0297"/>
    <w:rsid w:val="00FA37EB"/>
    <w:rsid w:val="00FA4341"/>
    <w:rsid w:val="00FA73CA"/>
    <w:rsid w:val="00FA768A"/>
    <w:rsid w:val="00FB0BE9"/>
    <w:rsid w:val="00FB1758"/>
    <w:rsid w:val="00FB281F"/>
    <w:rsid w:val="00FB40C3"/>
    <w:rsid w:val="00FB4C64"/>
    <w:rsid w:val="00FB7C7F"/>
    <w:rsid w:val="00FC23A0"/>
    <w:rsid w:val="00FC5602"/>
    <w:rsid w:val="00FC6D79"/>
    <w:rsid w:val="00FD3769"/>
    <w:rsid w:val="00FD5566"/>
    <w:rsid w:val="00FD79F8"/>
    <w:rsid w:val="00FE0EFE"/>
    <w:rsid w:val="00FE1325"/>
    <w:rsid w:val="00FE22D9"/>
    <w:rsid w:val="00FE2BC3"/>
    <w:rsid w:val="00FE3B2F"/>
    <w:rsid w:val="00FE5832"/>
    <w:rsid w:val="00FF1034"/>
    <w:rsid w:val="00FF5253"/>
    <w:rsid w:val="00FF6F18"/>
    <w:rsid w:val="00FF7201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18E522"/>
  <w15:docId w15:val="{B243854A-2B0D-4440-97C9-4ABC7305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13"/>
  </w:style>
  <w:style w:type="character" w:styleId="Hyperlink">
    <w:name w:val="Hyperlink"/>
    <w:basedOn w:val="DefaultParagraphFont"/>
    <w:uiPriority w:val="99"/>
    <w:unhideWhenUsed/>
    <w:rsid w:val="00527C1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1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2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2D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56CC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A73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97"/>
  </w:style>
  <w:style w:type="character" w:styleId="CommentReference">
    <w:name w:val="annotation reference"/>
    <w:basedOn w:val="DefaultParagraphFont"/>
    <w:uiPriority w:val="99"/>
    <w:semiHidden/>
    <w:unhideWhenUsed/>
    <w:rsid w:val="0097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0D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5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14F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9C48A2"/>
  </w:style>
  <w:style w:type="table" w:customStyle="1" w:styleId="TableGrid1">
    <w:name w:val="Table Grid1"/>
    <w:basedOn w:val="TableNormal"/>
    <w:next w:val="TableGrid"/>
    <w:uiPriority w:val="39"/>
    <w:rsid w:val="002F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905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A218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7A5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67A5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43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57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74581">
                                              <w:marLeft w:val="0"/>
                                              <w:marRight w:val="0"/>
                                              <w:marTop w:val="3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98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83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51640">
                                                  <w:marLeft w:val="-120"/>
                                                  <w:marRight w:val="-5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4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8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97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599">
              <w:marLeft w:val="2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2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992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583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anson@uea.ac.uk" TargetMode="External"/><Relationship Id="rId13" Type="http://schemas.openxmlformats.org/officeDocument/2006/relationships/hyperlink" Target="http://archive.sportengland.org/research/active_people_survey.aspx" TargetMode="External"/><Relationship Id="rId18" Type="http://schemas.openxmlformats.org/officeDocument/2006/relationships/hyperlink" Target="http://www.apho.org.uk/resource/item.aspx?RID=97316" TargetMode="External"/><Relationship Id="rId26" Type="http://schemas.openxmlformats.org/officeDocument/2006/relationships/hyperlink" Target="http://www.ons.gov.uk/ons/guide-method/geography/beginner-s-guid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ro.who.int/__data/assets/pdf_file/0005/124529/E87934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ns.gov.uk/ons/guide-method/census/2011/index.html" TargetMode="External"/><Relationship Id="rId17" Type="http://schemas.openxmlformats.org/officeDocument/2006/relationships/hyperlink" Target="https://www.gov.uk/government/statistics/english-indices-of-deprivation-2010" TargetMode="External"/><Relationship Id="rId25" Type="http://schemas.openxmlformats.org/officeDocument/2006/relationships/hyperlink" Target="http://www.gov.uk/government/publications/everybody-active-every-day-a-framework-to-embed-physical-activity-into-daily-lif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hpho.org.uk/default.aspx?RID=8494" TargetMode="External"/><Relationship Id="rId20" Type="http://schemas.openxmlformats.org/officeDocument/2006/relationships/hyperlink" Target="http://www.who.int/social_determinants/thecommission/finalreport/key_concepts/en/" TargetMode="External"/><Relationship Id="rId29" Type="http://schemas.openxmlformats.org/officeDocument/2006/relationships/hyperlink" Target="http://www.sportengland.org/research/active_people_survey/active_people_survey_6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cdc.gov/Features/VitalSigns/Walking/" TargetMode="External"/><Relationship Id="rId32" Type="http://schemas.openxmlformats.org/officeDocument/2006/relationships/hyperlink" Target="http://www.altogetherbetter.org.uk/hom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ho.org.uk/default.aspx?RID=110504" TargetMode="External"/><Relationship Id="rId23" Type="http://schemas.openxmlformats.org/officeDocument/2006/relationships/hyperlink" Target="http://www.nice.org.uk/guidance/ph25/chapter/2-Public-health-need-and-practice" TargetMode="External"/><Relationship Id="rId28" Type="http://schemas.openxmlformats.org/officeDocument/2006/relationships/hyperlink" Target="http://www.apho.org.uk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pho.org.uk/resource/item.aspx?RID=97318" TargetMode="External"/><Relationship Id="rId31" Type="http://schemas.openxmlformats.org/officeDocument/2006/relationships/hyperlink" Target="http://www.euro.who.int/en/health-topics/health-policy/health-2020-the-european-policy-for-health-and-well-be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.jones@uea.ac.uk" TargetMode="External"/><Relationship Id="rId14" Type="http://schemas.openxmlformats.org/officeDocument/2006/relationships/hyperlink" Target="http://www.ons.gov.uk/ons/publications/re-reference-tables.html?edition=tcm%3A77-314473" TargetMode="External"/><Relationship Id="rId22" Type="http://schemas.openxmlformats.org/officeDocument/2006/relationships/hyperlink" Target="http://www.nice.org.uk/advice/lgb3/chapter/Costs-and-savings" TargetMode="External"/><Relationship Id="rId27" Type="http://schemas.openxmlformats.org/officeDocument/2006/relationships/hyperlink" Target="http://www.ons.gov.uk/ons/guide-method/census/2011/index.html" TargetMode="External"/><Relationship Id="rId30" Type="http://schemas.openxmlformats.org/officeDocument/2006/relationships/hyperlink" Target="http://www.localhealth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7ABAB8-DBAA-48B8-909A-08D61716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BFFF7C5C</Template>
  <TotalTime>9</TotalTime>
  <Pages>23</Pages>
  <Words>13685</Words>
  <Characters>78010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91512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dka08dpc</dc:creator>
  <cp:lastModifiedBy>Sarah Hanson (MED)</cp:lastModifiedBy>
  <cp:revision>7</cp:revision>
  <cp:lastPrinted>2015-10-14T14:30:00Z</cp:lastPrinted>
  <dcterms:created xsi:type="dcterms:W3CDTF">2015-10-21T13:14:00Z</dcterms:created>
  <dcterms:modified xsi:type="dcterms:W3CDTF">2015-10-21T14:12:00Z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-1269386326</vt:i4>
  </property>
  <property fmtid="{D5CDD505-2E9C-101B-9397-08002B2CF9AE}" pid="4" name="_EmailSubject">
    <vt:lpwstr>WfH script</vt:lpwstr>
  </property>
  <property fmtid="{D5CDD505-2E9C-101B-9397-08002B2CF9AE}" pid="5" name="_AuthorEmail">
    <vt:lpwstr>S.Hanson@uea.ac.uk</vt:lpwstr>
  </property>
  <property fmtid="{D5CDD505-2E9C-101B-9397-08002B2CF9AE}" pid="6" name="_AuthorEmailDisplayName">
    <vt:lpwstr>Sarah Hanson (MED)</vt:lpwstr>
  </property>
</Properties>
</file>